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14:textFill>
            <w14:solidFill>
              <w14:schemeClr w14:val="tx1"/>
            </w14:solidFill>
          </w14:textFill>
        </w:rPr>
      </w:pPr>
      <w:r>
        <w:rPr>
          <w:rFonts w:hint="eastAsia"/>
          <w:color w:val="000000" w:themeColor="text1"/>
          <w:w w:val="120"/>
          <w:sz w:val="52"/>
          <w:szCs w:val="52"/>
          <w14:textFill>
            <w14:solidFill>
              <w14:schemeClr w14:val="tx1"/>
            </w14:solidFill>
          </w14:textFill>
        </w:rPr>
        <w:t>阳新县县级政府采购</w:t>
      </w:r>
    </w:p>
    <w:p>
      <w:pPr>
        <w:pStyle w:val="12"/>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480" w:lineRule="auto"/>
        <w:ind w:firstLine="1600" w:firstLineChars="500"/>
        <w:rPr>
          <w:rFonts w:hint="default" w:eastAsiaTheme="minorEastAsia"/>
          <w:bCs/>
          <w:color w:val="000000" w:themeColor="text1"/>
          <w:sz w:val="32"/>
          <w:szCs w:val="32"/>
          <w:u w:val="single"/>
          <w:lang w:val="en-US" w:eastAsia="zh-CN"/>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r>
        <w:rPr>
          <w:rFonts w:hint="eastAsia" w:ascii="宋体" w:hAnsi="宋体" w:eastAsia="宋体" w:cs="宋体"/>
          <w:bCs/>
          <w:color w:val="000000"/>
          <w:sz w:val="32"/>
          <w:szCs w:val="32"/>
          <w:u w:val="single"/>
          <w:lang w:val="en-US" w:eastAsia="zh-CN"/>
        </w:rPr>
        <w:t xml:space="preserve">131-2020CG- 281  </w:t>
      </w:r>
    </w:p>
    <w:p>
      <w:pPr>
        <w:spacing w:line="480" w:lineRule="auto"/>
        <w:ind w:firstLine="1600" w:firstLineChars="500"/>
        <w:rPr>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采 购 人：</w:t>
      </w:r>
      <w:r>
        <w:rPr>
          <w:rFonts w:hint="eastAsia"/>
          <w:bCs/>
          <w:color w:val="000000" w:themeColor="text1"/>
          <w:sz w:val="32"/>
          <w:szCs w:val="32"/>
          <w:u w:val="single"/>
          <w14:textFill>
            <w14:solidFill>
              <w14:schemeClr w14:val="tx1"/>
            </w14:solidFill>
          </w14:textFill>
        </w:rPr>
        <w:t>阳新县人民医院</w:t>
      </w:r>
    </w:p>
    <w:p>
      <w:pPr>
        <w:spacing w:line="480" w:lineRule="auto"/>
        <w:ind w:left="3156" w:leftChars="761" w:hanging="1558" w:hangingChars="487"/>
        <w:rPr>
          <w:rFonts w:hint="eastAsia" w:eastAsiaTheme="minorEastAsia"/>
          <w:bCs/>
          <w:color w:val="000000" w:themeColor="text1"/>
          <w:sz w:val="30"/>
          <w:szCs w:val="30"/>
          <w:u w:val="single"/>
          <w:lang w:eastAsia="zh-CN"/>
          <w14:textFill>
            <w14:solidFill>
              <w14:schemeClr w14:val="tx1"/>
            </w14:solidFill>
          </w14:textFill>
        </w:rPr>
      </w:pPr>
      <w:r>
        <w:rPr>
          <w:rFonts w:hint="eastAsia"/>
          <w:bCs/>
          <w:color w:val="000000" w:themeColor="text1"/>
          <w:sz w:val="32"/>
          <w:szCs w:val="32"/>
          <w14:textFill>
            <w14:solidFill>
              <w14:schemeClr w14:val="tx1"/>
            </w14:solidFill>
          </w14:textFill>
        </w:rPr>
        <w:t>项目名称：</w:t>
      </w:r>
      <w:r>
        <w:rPr>
          <w:rFonts w:hint="eastAsia"/>
          <w:bCs/>
          <w:color w:val="000000" w:themeColor="text1"/>
          <w:spacing w:val="-6"/>
          <w:sz w:val="30"/>
          <w:szCs w:val="30"/>
          <w:u w:val="single"/>
          <w:lang w:eastAsia="zh-CN"/>
          <w14:textFill>
            <w14:solidFill>
              <w14:schemeClr w14:val="tx1"/>
            </w14:solidFill>
          </w14:textFill>
        </w:rPr>
        <w:t>阳新县人民医院医疗设备采购项目</w:t>
      </w:r>
    </w:p>
    <w:p>
      <w:pPr>
        <w:spacing w:line="480" w:lineRule="auto"/>
        <w:ind w:firstLine="1600" w:firstLineChars="500"/>
        <w:rPr>
          <w:rFonts w:hint="eastAsia" w:eastAsiaTheme="minorEastAsia"/>
          <w:bCs/>
          <w:color w:val="000000" w:themeColor="text1"/>
          <w:sz w:val="32"/>
          <w:szCs w:val="32"/>
          <w:u w:val="single"/>
          <w:lang w:eastAsia="zh-CN"/>
          <w14:textFill>
            <w14:solidFill>
              <w14:schemeClr w14:val="tx1"/>
            </w14:solidFill>
          </w14:textFill>
        </w:rPr>
      </w:pPr>
      <w:r>
        <w:rPr>
          <w:rFonts w:hint="eastAsia"/>
          <w:bCs/>
          <w:color w:val="000000" w:themeColor="text1"/>
          <w:sz w:val="32"/>
          <w:szCs w:val="32"/>
          <w14:textFill>
            <w14:solidFill>
              <w14:schemeClr w14:val="tx1"/>
            </w14:solidFill>
          </w14:textFill>
        </w:rPr>
        <w:t>采购内容：</w:t>
      </w:r>
      <w:r>
        <w:rPr>
          <w:rFonts w:hint="default"/>
          <w:bCs/>
          <w:color w:val="000000" w:themeColor="text1"/>
          <w:spacing w:val="-6"/>
          <w:sz w:val="30"/>
          <w:szCs w:val="30"/>
          <w:u w:val="single"/>
          <w:lang w:val="en-US" w:eastAsia="zh-CN"/>
          <w14:textFill>
            <w14:solidFill>
              <w14:schemeClr w14:val="tx1"/>
            </w14:solidFill>
          </w14:textFill>
        </w:rPr>
        <w:t>超乳玻切一体机</w:t>
      </w:r>
      <w:r>
        <w:rPr>
          <w:rFonts w:hint="eastAsia"/>
          <w:bCs/>
          <w:color w:val="000000" w:themeColor="text1"/>
          <w:spacing w:val="-6"/>
          <w:sz w:val="30"/>
          <w:szCs w:val="30"/>
          <w:u w:val="single"/>
          <w:lang w:val="en-US" w:eastAsia="zh-CN"/>
          <w14:textFill>
            <w14:solidFill>
              <w14:schemeClr w14:val="tx1"/>
            </w14:solidFill>
          </w14:textFill>
        </w:rPr>
        <w:t>、视野计</w:t>
      </w:r>
      <w:r>
        <w:rPr>
          <w:rFonts w:hint="eastAsia"/>
          <w:bCs/>
          <w:color w:val="000000" w:themeColor="text1"/>
          <w:spacing w:val="-6"/>
          <w:sz w:val="30"/>
          <w:szCs w:val="30"/>
          <w:u w:val="single"/>
          <w:lang w:eastAsia="zh-CN"/>
          <w14:textFill>
            <w14:solidFill>
              <w14:schemeClr w14:val="tx1"/>
            </w14:solidFill>
          </w14:textFill>
        </w:rPr>
        <w:t>等医疗设备采购</w:t>
      </w:r>
    </w:p>
    <w:p>
      <w:pPr>
        <w:spacing w:line="360" w:lineRule="auto"/>
        <w:ind w:left="2052" w:leftChars="619" w:right="1306" w:rightChars="622" w:hanging="752" w:hangingChars="209"/>
        <w:rPr>
          <w:rFonts w:ascii="宋体" w:hAnsi="宋体" w:eastAsia="宋体" w:cs="Times New Roman"/>
          <w:sz w:val="36"/>
          <w:szCs w:val="36"/>
        </w:rPr>
      </w:pPr>
    </w:p>
    <w:p>
      <w:pPr>
        <w:adjustRightInd w:val="0"/>
        <w:snapToGrid w:val="0"/>
        <w:jc w:val="center"/>
        <w:rPr>
          <w:rFonts w:hint="eastAsia"/>
          <w:bCs/>
          <w:snapToGrid w:val="0"/>
          <w:color w:val="000000" w:themeColor="text1"/>
          <w:kern w:val="0"/>
          <w:position w:val="-98"/>
          <w:sz w:val="56"/>
          <w:szCs w:val="56"/>
          <w:lang w:eastAsia="zh-CN"/>
          <w14:textFill>
            <w14:solidFill>
              <w14:schemeClr w14:val="tx1"/>
            </w14:solidFill>
          </w14:textFill>
        </w:rPr>
      </w:pPr>
      <w:r>
        <w:rPr>
          <w:rFonts w:hint="eastAsia"/>
          <w:bCs/>
          <w:snapToGrid w:val="0"/>
          <w:color w:val="000000" w:themeColor="text1"/>
          <w:kern w:val="0"/>
          <w:position w:val="-98"/>
          <w:sz w:val="56"/>
          <w:szCs w:val="56"/>
          <w:lang w:eastAsia="zh-CN"/>
          <w14:textFill>
            <w14:solidFill>
              <w14:schemeClr w14:val="tx1"/>
            </w14:solidFill>
          </w14:textFill>
        </w:rPr>
        <w:t>广州穗科建设管理有限公司</w:t>
      </w:r>
    </w:p>
    <w:p>
      <w:pPr>
        <w:adjustRightInd w:val="0"/>
        <w:snapToGrid w:val="0"/>
        <w:jc w:val="center"/>
        <w:rPr>
          <w:rFonts w:hint="default"/>
          <w:bCs/>
          <w:snapToGrid w:val="0"/>
          <w:color w:val="000000" w:themeColor="text1"/>
          <w:kern w:val="0"/>
          <w:position w:val="-98"/>
          <w:sz w:val="56"/>
          <w:szCs w:val="56"/>
          <w:lang w:val="en-US" w:eastAsia="zh-CN"/>
          <w14:textFill>
            <w14:solidFill>
              <w14:schemeClr w14:val="tx1"/>
            </w14:solidFill>
          </w14:textFill>
        </w:rPr>
        <w:sectPr>
          <w:headerReference r:id="rId3" w:type="default"/>
          <w:footerReference r:id="rId5" w:type="default"/>
          <w:headerReference r:id="rId4" w:type="even"/>
          <w:footerReference r:id="rId6" w:type="even"/>
          <w:pgSz w:w="11906" w:h="16838"/>
          <w:pgMar w:top="3402" w:right="1191" w:bottom="1134" w:left="1191" w:header="680" w:footer="680" w:gutter="0"/>
          <w:cols w:space="425" w:num="1"/>
          <w:docGrid w:type="lines" w:linePitch="312" w:charSpace="0"/>
        </w:sectPr>
      </w:pPr>
      <w:r>
        <w:rPr>
          <w:rFonts w:hint="eastAsia"/>
          <w:bCs/>
          <w:snapToGrid w:val="0"/>
          <w:color w:val="000000" w:themeColor="text1"/>
          <w:kern w:val="0"/>
          <w:position w:val="-98"/>
          <w:sz w:val="48"/>
          <w:szCs w:val="48"/>
          <w:lang w:val="en-US" w:eastAsia="zh-CN"/>
          <w14:textFill>
            <w14:solidFill>
              <w14:schemeClr w14:val="tx1"/>
            </w14:solidFill>
          </w14:textFill>
        </w:rPr>
        <w:t>二0二0年十二月</w:t>
      </w: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2"/>
            <w:tabs>
              <w:tab w:val="left" w:pos="1260"/>
              <w:tab w:val="right" w:leader="dot" w:pos="9514"/>
            </w:tabs>
            <w:rPr>
              <w:rFonts w:eastAsiaTheme="minorEastAsia"/>
              <w:b w:val="0"/>
              <w:iCs w:val="0"/>
              <w:color w:val="auto"/>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7"/>
              <w:rFonts w:hint="eastAsia" w:ascii="黑体" w:hAnsi="黑体"/>
            </w:rPr>
            <w:t>第一章</w:t>
          </w:r>
          <w:r>
            <w:rPr>
              <w:rFonts w:eastAsiaTheme="minorEastAsia"/>
              <w:b w:val="0"/>
              <w:iCs w:val="0"/>
              <w:color w:val="auto"/>
              <w:kern w:val="2"/>
              <w:sz w:val="21"/>
            </w:rPr>
            <w:tab/>
          </w:r>
          <w:r>
            <w:rPr>
              <w:rStyle w:val="27"/>
              <w:rFonts w:hint="eastAsia" w:ascii="黑体" w:hAnsi="黑体"/>
            </w:rPr>
            <w:t>投标邀请书</w:t>
          </w:r>
          <w:r>
            <w:tab/>
          </w:r>
          <w:r>
            <w:fldChar w:fldCharType="begin"/>
          </w:r>
          <w:r>
            <w:instrText xml:space="preserve"> PAGEREF _Toc495861517 \h </w:instrText>
          </w:r>
          <w:r>
            <w:fldChar w:fldCharType="separate"/>
          </w:r>
          <w:r>
            <w:t>4</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"_Toc495861518" </w:instrText>
          </w:r>
          <w:r>
            <w:fldChar w:fldCharType="separate"/>
          </w:r>
          <w:r>
            <w:rPr>
              <w:rStyle w:val="27"/>
              <w:rFonts w:hint="eastAsia" w:ascii="黑体" w:hAnsi="黑体"/>
            </w:rPr>
            <w:t>第二章</w:t>
          </w:r>
          <w:r>
            <w:rPr>
              <w:rFonts w:eastAsiaTheme="minorEastAsia"/>
              <w:b w:val="0"/>
              <w:iCs w:val="0"/>
              <w:color w:val="auto"/>
              <w:kern w:val="2"/>
              <w:sz w:val="21"/>
            </w:rPr>
            <w:tab/>
          </w:r>
          <w:r>
            <w:rPr>
              <w:rStyle w:val="27"/>
              <w:rFonts w:hint="eastAsia" w:ascii="黑体" w:hAnsi="黑体"/>
            </w:rPr>
            <w:t>投标人须知</w:t>
          </w:r>
          <w:r>
            <w:tab/>
          </w:r>
          <w:r>
            <w:fldChar w:fldCharType="begin"/>
          </w:r>
          <w:r>
            <w:instrText xml:space="preserve"> PAGEREF _Toc495861518 \h </w:instrText>
          </w:r>
          <w:r>
            <w:fldChar w:fldCharType="separate"/>
          </w:r>
          <w:r>
            <w:t>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"_Toc495861519" </w:instrText>
          </w:r>
          <w:r>
            <w:fldChar w:fldCharType="separate"/>
          </w:r>
          <w:r>
            <w:rPr>
              <w:rStyle w:val="27"/>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"_Toc495861520" </w:instrText>
          </w:r>
          <w:r>
            <w:fldChar w:fldCharType="separate"/>
          </w:r>
          <w:r>
            <w:rPr>
              <w:rStyle w:val="27"/>
              <w:rFonts w:hint="eastAsia" w:cs="Times New Roman" w:asciiTheme="majorEastAsia" w:hAnsiTheme="majorEastAsia"/>
              <w:lang w:val="zh-CN"/>
            </w:rPr>
            <w:t>一、</w:t>
          </w:r>
          <w:r>
            <w:rPr>
              <w:rFonts w:asciiTheme="minorHAnsi" w:hAnsiTheme="minorHAnsi"/>
              <w:iCs w:val="0"/>
              <w:color w:val="auto"/>
              <w:kern w:val="2"/>
              <w:sz w:val="21"/>
            </w:rPr>
            <w:tab/>
          </w:r>
          <w:r>
            <w:rPr>
              <w:rStyle w:val="27"/>
              <w:rFonts w:hint="eastAsia" w:cs="Times New Roman" w:asciiTheme="majorEastAsia" w:hAnsiTheme="majorEastAsia"/>
              <w:lang w:val="zh-CN"/>
            </w:rPr>
            <w:t>说明</w:t>
          </w:r>
          <w:r>
            <w:tab/>
          </w:r>
          <w:r>
            <w:t>……………………………………………………………………………………</w:t>
          </w:r>
          <w:r>
            <w:rPr>
              <w:rFonts w:hint="eastAsia"/>
            </w:rPr>
            <w:t>.</w:t>
          </w:r>
          <w:r>
            <w:fldChar w:fldCharType="begin"/>
          </w:r>
          <w:r>
            <w:instrText xml:space="preserve"> PAGEREF _Toc495861520 \h </w:instrText>
          </w:r>
          <w:r>
            <w:fldChar w:fldCharType="separate"/>
          </w:r>
          <w:r>
            <w:t>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"_Toc495861521" </w:instrText>
          </w:r>
          <w:r>
            <w:fldChar w:fldCharType="separate"/>
          </w:r>
          <w:r>
            <w:rPr>
              <w:rStyle w:val="27"/>
              <w:rFonts w:hint="eastAsia" w:cs="Times New Roman" w:asciiTheme="majorEastAsia" w:hAnsiTheme="majorEastAsia"/>
              <w:lang w:val="zh-CN"/>
            </w:rPr>
            <w:t>二、</w:t>
          </w:r>
          <w:r>
            <w:rPr>
              <w:rFonts w:asciiTheme="minorHAnsi" w:hAnsiTheme="minorHAnsi"/>
              <w:iCs w:val="0"/>
              <w:color w:val="auto"/>
              <w:kern w:val="2"/>
              <w:sz w:val="21"/>
            </w:rPr>
            <w:tab/>
          </w:r>
          <w:r>
            <w:rPr>
              <w:rStyle w:val="27"/>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"_Toc495861522" </w:instrText>
          </w:r>
          <w:r>
            <w:fldChar w:fldCharType="separate"/>
          </w:r>
          <w:r>
            <w:rPr>
              <w:rStyle w:val="27"/>
              <w:rFonts w:hint="eastAsia" w:cs="Times New Roman" w:asciiTheme="majorEastAsia" w:hAnsiTheme="majorEastAsia"/>
              <w:lang w:val="zh-CN"/>
            </w:rPr>
            <w:t>三、</w:t>
          </w:r>
          <w:r>
            <w:rPr>
              <w:rFonts w:asciiTheme="minorHAnsi" w:hAnsiTheme="minorHAnsi"/>
              <w:iCs w:val="0"/>
              <w:color w:val="auto"/>
              <w:kern w:val="2"/>
              <w:sz w:val="21"/>
            </w:rPr>
            <w:tab/>
          </w:r>
          <w:r>
            <w:rPr>
              <w:rStyle w:val="27"/>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"_Toc495861523" </w:instrText>
          </w:r>
          <w:r>
            <w:fldChar w:fldCharType="separate"/>
          </w:r>
          <w:r>
            <w:rPr>
              <w:rStyle w:val="27"/>
              <w:rFonts w:hint="eastAsia" w:cs="Times New Roman" w:asciiTheme="majorEastAsia" w:hAnsiTheme="majorEastAsia"/>
              <w:lang w:val="zh-CN"/>
            </w:rPr>
            <w:t>四、</w:t>
          </w:r>
          <w:r>
            <w:rPr>
              <w:rFonts w:asciiTheme="minorHAnsi" w:hAnsiTheme="minorHAnsi"/>
              <w:iCs w:val="0"/>
              <w:color w:val="auto"/>
              <w:kern w:val="2"/>
              <w:sz w:val="21"/>
            </w:rPr>
            <w:tab/>
          </w:r>
          <w:r>
            <w:rPr>
              <w:rStyle w:val="27"/>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"_Toc495861524" </w:instrText>
          </w:r>
          <w:r>
            <w:fldChar w:fldCharType="separate"/>
          </w:r>
          <w:r>
            <w:rPr>
              <w:rStyle w:val="27"/>
              <w:rFonts w:hint="eastAsia" w:cs="Times New Roman" w:asciiTheme="majorEastAsia" w:hAnsiTheme="majorEastAsia"/>
              <w:lang w:val="zh-CN"/>
            </w:rPr>
            <w:t>五、</w:t>
          </w:r>
          <w:r>
            <w:rPr>
              <w:rFonts w:asciiTheme="minorHAnsi" w:hAnsiTheme="minorHAnsi"/>
              <w:iCs w:val="0"/>
              <w:color w:val="auto"/>
              <w:kern w:val="2"/>
              <w:sz w:val="21"/>
            </w:rPr>
            <w:tab/>
          </w:r>
          <w:r>
            <w:rPr>
              <w:rStyle w:val="27"/>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"_Toc495861525" </w:instrText>
          </w:r>
          <w:r>
            <w:fldChar w:fldCharType="separate"/>
          </w:r>
          <w:r>
            <w:rPr>
              <w:rStyle w:val="27"/>
              <w:rFonts w:hint="eastAsia" w:cs="Times New Roman" w:asciiTheme="majorEastAsia" w:hAnsiTheme="majorEastAsia"/>
              <w:lang w:val="zh-CN"/>
            </w:rPr>
            <w:t>六、</w:t>
          </w:r>
          <w:r>
            <w:rPr>
              <w:rFonts w:asciiTheme="minorHAnsi" w:hAnsiTheme="minorHAnsi"/>
              <w:iCs w:val="0"/>
              <w:color w:val="auto"/>
              <w:kern w:val="2"/>
              <w:sz w:val="21"/>
            </w:rPr>
            <w:tab/>
          </w:r>
          <w:r>
            <w:rPr>
              <w:rStyle w:val="27"/>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"_Toc495861526" </w:instrText>
          </w:r>
          <w:r>
            <w:fldChar w:fldCharType="separate"/>
          </w:r>
          <w:r>
            <w:rPr>
              <w:rStyle w:val="27"/>
              <w:rFonts w:hint="eastAsia" w:cs="Times New Roman" w:asciiTheme="majorEastAsia" w:hAnsiTheme="majorEastAsia"/>
              <w:lang w:val="zh-CN"/>
            </w:rPr>
            <w:t>七、</w:t>
          </w:r>
          <w:r>
            <w:rPr>
              <w:rFonts w:asciiTheme="minorHAnsi" w:hAnsiTheme="minorHAnsi"/>
              <w:iCs w:val="0"/>
              <w:color w:val="auto"/>
              <w:kern w:val="2"/>
              <w:sz w:val="21"/>
            </w:rPr>
            <w:tab/>
          </w:r>
          <w:r>
            <w:rPr>
              <w:rStyle w:val="27"/>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"_Toc495861527" </w:instrText>
          </w:r>
          <w:r>
            <w:fldChar w:fldCharType="separate"/>
          </w:r>
          <w:r>
            <w:rPr>
              <w:rStyle w:val="27"/>
              <w:rFonts w:hint="eastAsia" w:cs="Times New Roman" w:asciiTheme="majorEastAsia" w:hAnsiTheme="majorEastAsia"/>
              <w:lang w:val="zh-CN"/>
            </w:rPr>
            <w:t>八、</w:t>
          </w:r>
          <w:r>
            <w:rPr>
              <w:rFonts w:asciiTheme="minorHAnsi" w:hAnsiTheme="minorHAnsi"/>
              <w:iCs w:val="0"/>
              <w:color w:val="auto"/>
              <w:kern w:val="2"/>
              <w:sz w:val="21"/>
            </w:rPr>
            <w:tab/>
          </w:r>
          <w:r>
            <w:rPr>
              <w:rStyle w:val="27"/>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17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"_Toc495861528" </w:instrText>
          </w:r>
          <w:r>
            <w:fldChar w:fldCharType="separate"/>
          </w:r>
          <w:r>
            <w:rPr>
              <w:rStyle w:val="27"/>
              <w:rFonts w:hint="eastAsia" w:cs="Times New Roman" w:asciiTheme="majorEastAsia" w:hAnsiTheme="majorEastAsia"/>
              <w:lang w:val="zh-CN"/>
            </w:rPr>
            <w:t>九、</w:t>
          </w:r>
          <w:r>
            <w:rPr>
              <w:rFonts w:asciiTheme="minorHAnsi" w:hAnsiTheme="minorHAnsi"/>
              <w:iCs w:val="0"/>
              <w:color w:val="auto"/>
              <w:kern w:val="2"/>
              <w:sz w:val="21"/>
            </w:rPr>
            <w:tab/>
          </w:r>
          <w:r>
            <w:rPr>
              <w:rStyle w:val="27"/>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17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"_Toc495861529" </w:instrText>
          </w:r>
          <w:r>
            <w:fldChar w:fldCharType="separate"/>
          </w:r>
          <w:r>
            <w:rPr>
              <w:rStyle w:val="27"/>
              <w:rFonts w:hint="eastAsia" w:cs="Times New Roman" w:asciiTheme="majorEastAsia" w:hAnsiTheme="majorEastAsia"/>
              <w:lang w:val="zh-CN"/>
            </w:rPr>
            <w:t>十、</w:t>
          </w:r>
          <w:r>
            <w:rPr>
              <w:rFonts w:asciiTheme="minorHAnsi" w:hAnsiTheme="minorHAnsi"/>
              <w:iCs w:val="0"/>
              <w:color w:val="auto"/>
              <w:kern w:val="2"/>
              <w:sz w:val="21"/>
            </w:rPr>
            <w:tab/>
          </w:r>
          <w:r>
            <w:rPr>
              <w:rStyle w:val="27"/>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18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"_Toc495861530" </w:instrText>
          </w:r>
          <w:r>
            <w:fldChar w:fldCharType="separate"/>
          </w:r>
          <w:r>
            <w:rPr>
              <w:rStyle w:val="27"/>
              <w:rFonts w:hint="eastAsia" w:cs="Times New Roman" w:asciiTheme="majorEastAsia" w:hAnsiTheme="majorEastAsia"/>
              <w:lang w:val="zh-CN"/>
            </w:rPr>
            <w:t>十一、</w:t>
          </w:r>
          <w:r>
            <w:rPr>
              <w:rFonts w:asciiTheme="minorHAnsi" w:hAnsiTheme="minorHAnsi"/>
              <w:iCs w:val="0"/>
              <w:color w:val="auto"/>
              <w:kern w:val="2"/>
              <w:sz w:val="21"/>
            </w:rPr>
            <w:tab/>
          </w:r>
          <w:r>
            <w:rPr>
              <w:rStyle w:val="27"/>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18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"_Toc495861531" </w:instrText>
          </w:r>
          <w:r>
            <w:fldChar w:fldCharType="separate"/>
          </w:r>
          <w:r>
            <w:rPr>
              <w:rStyle w:val="27"/>
              <w:rFonts w:hint="eastAsia" w:cs="Times New Roman" w:asciiTheme="majorEastAsia" w:hAnsiTheme="majorEastAsia"/>
              <w:lang w:val="zh-CN"/>
            </w:rPr>
            <w:t>十二、</w:t>
          </w:r>
          <w:r>
            <w:rPr>
              <w:rFonts w:asciiTheme="minorHAnsi" w:hAnsiTheme="minorHAnsi"/>
              <w:iCs w:val="0"/>
              <w:color w:val="auto"/>
              <w:kern w:val="2"/>
              <w:sz w:val="21"/>
            </w:rPr>
            <w:tab/>
          </w:r>
          <w:r>
            <w:rPr>
              <w:rStyle w:val="27"/>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18</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"_Toc495861532" </w:instrText>
          </w:r>
          <w:r>
            <w:fldChar w:fldCharType="separate"/>
          </w:r>
          <w:r>
            <w:rPr>
              <w:rStyle w:val="27"/>
              <w:rFonts w:hint="eastAsia" w:ascii="黑体" w:hAnsi="黑体"/>
            </w:rPr>
            <w:t>第三章</w:t>
          </w:r>
          <w:r>
            <w:rPr>
              <w:rFonts w:eastAsiaTheme="minorEastAsia"/>
              <w:b w:val="0"/>
              <w:iCs w:val="0"/>
              <w:color w:val="auto"/>
              <w:kern w:val="2"/>
              <w:sz w:val="21"/>
            </w:rPr>
            <w:tab/>
          </w:r>
          <w:r>
            <w:rPr>
              <w:rStyle w:val="27"/>
              <w:rFonts w:hint="eastAsia" w:ascii="黑体" w:hAnsi="黑体"/>
            </w:rPr>
            <w:t>项目技术、服务及商务要求</w:t>
          </w:r>
          <w:r>
            <w:tab/>
          </w:r>
          <w:r>
            <w:fldChar w:fldCharType="begin"/>
          </w:r>
          <w:r>
            <w:instrText xml:space="preserve"> PAGEREF _Toc495861532 \h </w:instrText>
          </w:r>
          <w:r>
            <w:fldChar w:fldCharType="separate"/>
          </w:r>
          <w:r>
            <w:t>19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"_Toc495861533" </w:instrText>
          </w:r>
          <w:r>
            <w:fldChar w:fldCharType="separate"/>
          </w:r>
          <w:r>
            <w:rPr>
              <w:rStyle w:val="27"/>
              <w:rFonts w:hint="eastAsia" w:cs="Times New Roman" w:asciiTheme="majorEastAsia" w:hAnsiTheme="majorEastAsia"/>
              <w:lang w:val="zh-CN"/>
            </w:rPr>
            <w:t>一、</w:t>
          </w:r>
          <w:r>
            <w:rPr>
              <w:rFonts w:asciiTheme="minorHAnsi" w:hAnsiTheme="minorHAnsi"/>
              <w:iCs w:val="0"/>
              <w:color w:val="auto"/>
              <w:kern w:val="2"/>
              <w:sz w:val="21"/>
            </w:rPr>
            <w:tab/>
          </w:r>
          <w:r>
            <w:rPr>
              <w:rStyle w:val="27"/>
              <w:rFonts w:hint="eastAsia" w:cs="Times New Roman" w:asciiTheme="majorEastAsia" w:hAnsiTheme="majorEastAsia"/>
              <w:lang w:val="zh-CN"/>
            </w:rPr>
            <w:t>采购清单</w:t>
          </w:r>
          <w:r>
            <w:tab/>
          </w:r>
          <w:r>
            <w:fldChar w:fldCharType="begin"/>
          </w:r>
          <w:r>
            <w:instrText xml:space="preserve"> PAGEREF _Toc495861533 \h </w:instrText>
          </w:r>
          <w:r>
            <w:fldChar w:fldCharType="separate"/>
          </w:r>
          <w:r>
            <w:rPr>
              <w:b/>
            </w:rPr>
            <w:t>错误！未定义书签。</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"_Toc495861536" </w:instrText>
          </w:r>
          <w:r>
            <w:fldChar w:fldCharType="separate"/>
          </w:r>
          <w:r>
            <w:rPr>
              <w:rStyle w:val="27"/>
              <w:rFonts w:hint="eastAsia" w:cs="Times New Roman" w:asciiTheme="majorEastAsia" w:hAnsiTheme="majorEastAsia"/>
              <w:lang w:val="zh-CN"/>
            </w:rPr>
            <w:t>二、</w:t>
          </w:r>
          <w:r>
            <w:rPr>
              <w:rFonts w:asciiTheme="minorHAnsi" w:hAnsiTheme="minorHAnsi"/>
              <w:iCs w:val="0"/>
              <w:color w:val="auto"/>
              <w:kern w:val="2"/>
              <w:sz w:val="21"/>
            </w:rPr>
            <w:tab/>
          </w:r>
          <w:r>
            <w:rPr>
              <w:rStyle w:val="27"/>
              <w:rFonts w:hint="eastAsia" w:cs="Times New Roman" w:asciiTheme="majorEastAsia" w:hAnsiTheme="majorEastAsia"/>
              <w:lang w:val="zh-CN"/>
            </w:rPr>
            <w:t>技术、服务要求</w:t>
          </w:r>
          <w:r>
            <w:tab/>
          </w:r>
          <w:r>
            <w:fldChar w:fldCharType="begin"/>
          </w:r>
          <w:r>
            <w:instrText xml:space="preserve"> PAGEREF _Toc495861536 \h </w:instrText>
          </w:r>
          <w:r>
            <w:fldChar w:fldCharType="separate"/>
          </w:r>
          <w:r>
            <w:rPr>
              <w:b/>
            </w:rPr>
            <w:t>错误！未定义书签。</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"_Toc495861537" </w:instrText>
          </w:r>
          <w:r>
            <w:fldChar w:fldCharType="separate"/>
          </w:r>
          <w:r>
            <w:rPr>
              <w:rStyle w:val="27"/>
              <w:rFonts w:hint="eastAsia" w:cs="Times New Roman" w:asciiTheme="majorEastAsia" w:hAnsiTheme="majorEastAsia"/>
              <w:lang w:val="zh-CN"/>
            </w:rPr>
            <w:t>三、</w:t>
          </w:r>
          <w:r>
            <w:rPr>
              <w:rFonts w:asciiTheme="minorHAnsi" w:hAnsiTheme="minorHAnsi"/>
              <w:iCs w:val="0"/>
              <w:color w:val="auto"/>
              <w:kern w:val="2"/>
              <w:sz w:val="21"/>
            </w:rPr>
            <w:tab/>
          </w:r>
          <w:r>
            <w:rPr>
              <w:rStyle w:val="27"/>
              <w:rFonts w:hint="eastAsia" w:cs="Times New Roman" w:asciiTheme="majorEastAsia" w:hAnsiTheme="majorEastAsia"/>
              <w:lang w:val="zh-CN"/>
            </w:rPr>
            <w:t>商务要求</w:t>
          </w:r>
          <w:r>
            <w:tab/>
          </w:r>
          <w:r>
            <w:fldChar w:fldCharType="begin"/>
          </w:r>
          <w:r>
            <w:instrText xml:space="preserve"> PAGEREF _Toc495861537 \h </w:instrText>
          </w:r>
          <w:r>
            <w:fldChar w:fldCharType="separate"/>
          </w:r>
          <w:r>
            <w:rPr>
              <w:b/>
            </w:rPr>
            <w:t>错误！未定义书签。</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"_Toc495861538" </w:instrText>
          </w:r>
          <w:r>
            <w:fldChar w:fldCharType="separate"/>
          </w:r>
          <w:r>
            <w:rPr>
              <w:rStyle w:val="27"/>
              <w:rFonts w:hint="eastAsia" w:ascii="黑体" w:hAnsi="黑体"/>
            </w:rPr>
            <w:t>第四章</w:t>
          </w:r>
          <w:r>
            <w:rPr>
              <w:rFonts w:eastAsiaTheme="minorEastAsia"/>
              <w:b w:val="0"/>
              <w:iCs w:val="0"/>
              <w:color w:val="auto"/>
              <w:kern w:val="2"/>
              <w:sz w:val="21"/>
            </w:rPr>
            <w:tab/>
          </w:r>
          <w:r>
            <w:rPr>
              <w:rStyle w:val="27"/>
              <w:rFonts w:hint="eastAsia" w:ascii="黑体" w:hAnsi="黑体"/>
            </w:rPr>
            <w:t>资格审查方法及标准</w:t>
          </w:r>
          <w:r>
            <w:tab/>
          </w:r>
          <w:r>
            <w:fldChar w:fldCharType="begin"/>
          </w:r>
          <w:r>
            <w:instrText xml:space="preserve"> PAGEREF _Toc495861538 \h </w:instrText>
          </w:r>
          <w:r>
            <w:fldChar w:fldCharType="separate"/>
          </w:r>
          <w:r>
            <w:rPr>
              <w:b/>
            </w:rPr>
            <w:t>错误！未定义书签。</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"_Toc495861539" </w:instrText>
          </w:r>
          <w:r>
            <w:fldChar w:fldCharType="separate"/>
          </w:r>
          <w:r>
            <w:rPr>
              <w:rStyle w:val="27"/>
              <w:rFonts w:hint="eastAsia" w:cs="Times New Roman" w:asciiTheme="majorEastAsia" w:hAnsiTheme="majorEastAsia"/>
              <w:lang w:val="zh-CN"/>
            </w:rPr>
            <w:t>一、</w:t>
          </w:r>
          <w:r>
            <w:rPr>
              <w:rFonts w:asciiTheme="minorHAnsi" w:hAnsiTheme="minorHAnsi"/>
              <w:iCs w:val="0"/>
              <w:color w:val="auto"/>
              <w:kern w:val="2"/>
              <w:sz w:val="21"/>
            </w:rPr>
            <w:tab/>
          </w:r>
          <w:r>
            <w:rPr>
              <w:rStyle w:val="27"/>
              <w:rFonts w:hint="eastAsia" w:cs="Times New Roman" w:asciiTheme="majorEastAsia" w:hAnsiTheme="majorEastAsia"/>
              <w:lang w:val="zh-CN"/>
            </w:rPr>
            <w:t>资格审查方法</w:t>
          </w:r>
          <w:r>
            <w:tab/>
          </w:r>
          <w:r>
            <w:fldChar w:fldCharType="begin"/>
          </w:r>
          <w:r>
            <w:instrText xml:space="preserve"> PAGEREF _Toc495861539 \h </w:instrText>
          </w:r>
          <w:r>
            <w:fldChar w:fldCharType="separate"/>
          </w:r>
          <w:r>
            <w:rPr>
              <w:b/>
            </w:rPr>
            <w:t>错误！未定义书签。</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"_Toc495861540" </w:instrText>
          </w:r>
          <w:r>
            <w:fldChar w:fldCharType="separate"/>
          </w:r>
          <w:r>
            <w:rPr>
              <w:rStyle w:val="27"/>
              <w:rFonts w:hint="eastAsia" w:cs="Times New Roman" w:asciiTheme="majorEastAsia" w:hAnsiTheme="majorEastAsia"/>
              <w:lang w:val="zh-CN"/>
            </w:rPr>
            <w:t>二、</w:t>
          </w:r>
          <w:r>
            <w:rPr>
              <w:rFonts w:asciiTheme="minorHAnsi" w:hAnsiTheme="minorHAnsi"/>
              <w:iCs w:val="0"/>
              <w:color w:val="auto"/>
              <w:kern w:val="2"/>
              <w:sz w:val="21"/>
            </w:rPr>
            <w:tab/>
          </w:r>
          <w:r>
            <w:rPr>
              <w:rStyle w:val="27"/>
              <w:rFonts w:hint="eastAsia" w:cs="Times New Roman" w:asciiTheme="majorEastAsia" w:hAnsiTheme="majorEastAsia"/>
              <w:lang w:val="zh-CN"/>
            </w:rPr>
            <w:t>资格审查标准</w:t>
          </w:r>
          <w:r>
            <w:tab/>
          </w:r>
          <w:r>
            <w:fldChar w:fldCharType="begin"/>
          </w:r>
          <w:r>
            <w:instrText xml:space="preserve"> PAGEREF _Toc495861540 \h </w:instrText>
          </w:r>
          <w:r>
            <w:fldChar w:fldCharType="separate"/>
          </w:r>
          <w:r>
            <w:rPr>
              <w:b/>
            </w:rPr>
            <w:t>错误！未定义书签。</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"_Toc495861541" </w:instrText>
          </w:r>
          <w:r>
            <w:fldChar w:fldCharType="separate"/>
          </w:r>
          <w:r>
            <w:rPr>
              <w:rStyle w:val="27"/>
              <w:rFonts w:hint="eastAsia" w:ascii="黑体" w:hAnsi="黑体"/>
            </w:rPr>
            <w:t>第五章</w:t>
          </w:r>
          <w:r>
            <w:rPr>
              <w:rFonts w:eastAsiaTheme="minorEastAsia"/>
              <w:b w:val="0"/>
              <w:iCs w:val="0"/>
              <w:color w:val="auto"/>
              <w:kern w:val="2"/>
              <w:sz w:val="21"/>
            </w:rPr>
            <w:tab/>
          </w:r>
          <w:r>
            <w:rPr>
              <w:rStyle w:val="27"/>
              <w:rFonts w:hint="eastAsia" w:ascii="黑体" w:hAnsi="黑体"/>
            </w:rPr>
            <w:t>评标方法、程序及标准</w:t>
          </w:r>
          <w:r>
            <w:tab/>
          </w:r>
          <w:r>
            <w:fldChar w:fldCharType="begin"/>
          </w:r>
          <w:r>
            <w:instrText xml:space="preserve"> PAGEREF _Toc495861541 \h </w:instrText>
          </w:r>
          <w:r>
            <w:fldChar w:fldCharType="separate"/>
          </w:r>
          <w:r>
            <w:t>36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"_Toc495861542" </w:instrText>
          </w:r>
          <w:r>
            <w:fldChar w:fldCharType="separate"/>
          </w:r>
          <w:r>
            <w:rPr>
              <w:rStyle w:val="27"/>
              <w:rFonts w:hint="eastAsia" w:cs="Times New Roman" w:asciiTheme="majorEastAsia" w:hAnsiTheme="majorEastAsia"/>
              <w:lang w:val="zh-CN"/>
            </w:rPr>
            <w:t>一、</w:t>
          </w:r>
          <w:r>
            <w:rPr>
              <w:rFonts w:asciiTheme="minorHAnsi" w:hAnsiTheme="minorHAnsi"/>
              <w:iCs w:val="0"/>
              <w:color w:val="auto"/>
              <w:kern w:val="2"/>
              <w:sz w:val="21"/>
            </w:rPr>
            <w:tab/>
          </w:r>
          <w:r>
            <w:rPr>
              <w:rStyle w:val="27"/>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39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"_Toc495861543" </w:instrText>
          </w:r>
          <w:r>
            <w:fldChar w:fldCharType="separate"/>
          </w:r>
          <w:r>
            <w:rPr>
              <w:rStyle w:val="27"/>
              <w:rFonts w:hint="eastAsia" w:cs="Times New Roman" w:asciiTheme="majorEastAsia" w:hAnsiTheme="majorEastAsia"/>
              <w:lang w:val="zh-CN"/>
            </w:rPr>
            <w:t>二、</w:t>
          </w:r>
          <w:r>
            <w:rPr>
              <w:rFonts w:asciiTheme="minorHAnsi" w:hAnsiTheme="minorHAnsi"/>
              <w:iCs w:val="0"/>
              <w:color w:val="auto"/>
              <w:kern w:val="2"/>
              <w:sz w:val="21"/>
            </w:rPr>
            <w:tab/>
          </w:r>
          <w:r>
            <w:rPr>
              <w:rStyle w:val="27"/>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39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"_Toc495861544" </w:instrText>
          </w:r>
          <w:r>
            <w:fldChar w:fldCharType="separate"/>
          </w:r>
          <w:r>
            <w:rPr>
              <w:rStyle w:val="27"/>
              <w:rFonts w:hint="eastAsia" w:cs="Times New Roman" w:asciiTheme="majorEastAsia" w:hAnsiTheme="majorEastAsia"/>
              <w:lang w:val="zh-CN"/>
            </w:rPr>
            <w:t>三、</w:t>
          </w:r>
          <w:r>
            <w:rPr>
              <w:rFonts w:asciiTheme="minorHAnsi" w:hAnsiTheme="minorHAnsi"/>
              <w:iCs w:val="0"/>
              <w:color w:val="auto"/>
              <w:kern w:val="2"/>
              <w:sz w:val="21"/>
            </w:rPr>
            <w:tab/>
          </w:r>
          <w:r>
            <w:rPr>
              <w:rStyle w:val="27"/>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43</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"_Toc495861545" </w:instrText>
          </w:r>
          <w:r>
            <w:fldChar w:fldCharType="separate"/>
          </w:r>
          <w:r>
            <w:rPr>
              <w:rStyle w:val="27"/>
              <w:rFonts w:hint="eastAsia" w:ascii="黑体" w:hAnsi="黑体"/>
            </w:rPr>
            <w:t>第六章</w:t>
          </w:r>
          <w:r>
            <w:rPr>
              <w:rFonts w:eastAsiaTheme="minorEastAsia"/>
              <w:b w:val="0"/>
              <w:iCs w:val="0"/>
              <w:color w:val="auto"/>
              <w:kern w:val="2"/>
              <w:sz w:val="21"/>
            </w:rPr>
            <w:tab/>
          </w:r>
          <w:r>
            <w:rPr>
              <w:rStyle w:val="27"/>
              <w:rFonts w:hint="eastAsia" w:ascii="黑体" w:hAnsi="黑体"/>
            </w:rPr>
            <w:t>合同书格式（参考）</w:t>
          </w:r>
          <w:r>
            <w:tab/>
          </w:r>
          <w:r>
            <w:fldChar w:fldCharType="begin"/>
          </w:r>
          <w:r>
            <w:instrText xml:space="preserve"> PAGEREF _Toc495861545 \h </w:instrText>
          </w:r>
          <w:r>
            <w:fldChar w:fldCharType="separate"/>
          </w:r>
          <w:r>
            <w:t>44</w:t>
          </w:r>
          <w:r>
            <w:fldChar w:fldCharType="end"/>
          </w:r>
          <w:r>
            <w:fldChar w:fldCharType="end"/>
          </w:r>
        </w:p>
        <w:p>
          <w:pPr>
            <w:pStyle w:val="2"/>
            <w:tabs>
              <w:tab w:val="left" w:pos="1260"/>
              <w:tab w:val="right" w:leader="dot" w:pos="9514"/>
            </w:tabs>
            <w:rPr>
              <w:rFonts w:eastAsiaTheme="minorEastAsia"/>
              <w:b w:val="0"/>
              <w:iCs w:val="0"/>
              <w:color w:val="auto"/>
              <w:kern w:val="2"/>
              <w:sz w:val="21"/>
            </w:rPr>
          </w:pPr>
          <w:r>
            <w:fldChar w:fldCharType="begin"/>
          </w:r>
          <w:r>
            <w:instrText xml:space="preserve"> HYPERLINK \l "_Toc495861546" </w:instrText>
          </w:r>
          <w:r>
            <w:fldChar w:fldCharType="separate"/>
          </w:r>
          <w:r>
            <w:rPr>
              <w:rStyle w:val="27"/>
              <w:rFonts w:hint="eastAsia" w:ascii="黑体" w:hAnsi="黑体"/>
            </w:rPr>
            <w:t>第七章</w:t>
          </w:r>
          <w:r>
            <w:rPr>
              <w:rFonts w:eastAsiaTheme="minorEastAsia"/>
              <w:b w:val="0"/>
              <w:iCs w:val="0"/>
              <w:color w:val="auto"/>
              <w:kern w:val="2"/>
              <w:sz w:val="21"/>
            </w:rPr>
            <w:tab/>
          </w:r>
          <w:r>
            <w:rPr>
              <w:rStyle w:val="27"/>
              <w:rFonts w:hint="eastAsia" w:ascii="黑体" w:hAnsi="黑体"/>
            </w:rPr>
            <w:t>投标文件格式（参考）</w:t>
          </w:r>
          <w:r>
            <w:tab/>
          </w:r>
          <w:r>
            <w:fldChar w:fldCharType="begin"/>
          </w:r>
          <w:r>
            <w:instrText xml:space="preserve"> PAGEREF _Toc495861546 \h </w:instrText>
          </w:r>
          <w:r>
            <w:fldChar w:fldCharType="separate"/>
          </w:r>
          <w:r>
            <w:t>46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"_Toc495861547" </w:instrText>
          </w:r>
          <w:r>
            <w:fldChar w:fldCharType="separate"/>
          </w:r>
          <w:r>
            <w:rPr>
              <w:rStyle w:val="27"/>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46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"_Toc495861548" </w:instrText>
          </w:r>
          <w:r>
            <w:fldChar w:fldCharType="separate"/>
          </w:r>
          <w:r>
            <w:rPr>
              <w:rStyle w:val="27"/>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48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"_Toc495861549" </w:instrText>
          </w:r>
          <w:r>
            <w:fldChar w:fldCharType="separate"/>
          </w:r>
          <w:r>
            <w:rPr>
              <w:rStyle w:val="27"/>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50</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"_Toc495861550" </w:instrText>
          </w:r>
          <w:r>
            <w:fldChar w:fldCharType="separate"/>
          </w:r>
          <w:r>
            <w:rPr>
              <w:rStyle w:val="27"/>
              <w:rFonts w:hint="eastAsia" w:eastAsia="宋体"/>
            </w:rPr>
            <w:t>附件一、</w:t>
          </w:r>
          <w:r>
            <w:rPr>
              <w:rFonts w:asciiTheme="minorHAnsi" w:hAnsiTheme="minorHAnsi"/>
              <w:iCs w:val="0"/>
              <w:color w:val="auto"/>
              <w:kern w:val="2"/>
              <w:sz w:val="21"/>
            </w:rPr>
            <w:tab/>
          </w:r>
          <w:r>
            <w:rPr>
              <w:rStyle w:val="27"/>
              <w:rFonts w:hint="eastAsia" w:eastAsia="宋体"/>
            </w:rPr>
            <w:t>投标书</w:t>
          </w:r>
          <w:r>
            <w:tab/>
          </w:r>
          <w:r>
            <w:fldChar w:fldCharType="begin"/>
          </w:r>
          <w:r>
            <w:instrText xml:space="preserve"> PAGEREF _Toc495861550 \h </w:instrText>
          </w:r>
          <w:r>
            <w:fldChar w:fldCharType="separate"/>
          </w:r>
          <w:r>
            <w:t>52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"_Toc495861551" </w:instrText>
          </w:r>
          <w:r>
            <w:fldChar w:fldCharType="separate"/>
          </w:r>
          <w:r>
            <w:rPr>
              <w:rStyle w:val="27"/>
              <w:rFonts w:hint="eastAsia" w:eastAsia="宋体"/>
            </w:rPr>
            <w:t>附件二、</w:t>
          </w:r>
          <w:r>
            <w:rPr>
              <w:rFonts w:asciiTheme="minorHAnsi" w:hAnsiTheme="minorHAnsi"/>
              <w:iCs w:val="0"/>
              <w:color w:val="auto"/>
              <w:kern w:val="2"/>
              <w:sz w:val="21"/>
            </w:rPr>
            <w:tab/>
          </w:r>
          <w:r>
            <w:rPr>
              <w:rStyle w:val="27"/>
              <w:rFonts w:hint="eastAsia" w:eastAsia="宋体"/>
            </w:rPr>
            <w:t>制造商中小企业声明函</w:t>
          </w:r>
          <w:r>
            <w:tab/>
          </w:r>
          <w:r>
            <w:fldChar w:fldCharType="begin"/>
          </w:r>
          <w:r>
            <w:instrText xml:space="preserve"> PAGEREF _Toc495861551 \h </w:instrText>
          </w:r>
          <w:r>
            <w:fldChar w:fldCharType="separate"/>
          </w:r>
          <w:r>
            <w:t>53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"_Toc495861552" </w:instrText>
          </w:r>
          <w:r>
            <w:fldChar w:fldCharType="separate"/>
          </w:r>
          <w:r>
            <w:rPr>
              <w:rStyle w:val="27"/>
              <w:rFonts w:hint="eastAsia" w:eastAsia="宋体"/>
            </w:rPr>
            <w:t>附件三、</w:t>
          </w:r>
          <w:r>
            <w:rPr>
              <w:rFonts w:asciiTheme="minorHAnsi" w:hAnsiTheme="minorHAnsi"/>
              <w:iCs w:val="0"/>
              <w:color w:val="auto"/>
              <w:kern w:val="2"/>
              <w:sz w:val="21"/>
            </w:rPr>
            <w:tab/>
          </w:r>
          <w:r>
            <w:rPr>
              <w:rStyle w:val="27"/>
              <w:rFonts w:hint="eastAsia" w:eastAsia="宋体"/>
            </w:rPr>
            <w:t>中小企业声明函</w:t>
          </w:r>
          <w:r>
            <w:tab/>
          </w:r>
          <w:r>
            <w:fldChar w:fldCharType="begin"/>
          </w:r>
          <w:r>
            <w:instrText xml:space="preserve"> PAGEREF _Toc495861552 \h </w:instrText>
          </w:r>
          <w:r>
            <w:fldChar w:fldCharType="separate"/>
          </w:r>
          <w:r>
            <w:t>54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"_Toc495861553" </w:instrText>
          </w:r>
          <w:r>
            <w:fldChar w:fldCharType="separate"/>
          </w:r>
          <w:r>
            <w:rPr>
              <w:rStyle w:val="27"/>
              <w:rFonts w:hint="eastAsia" w:eastAsia="宋体"/>
            </w:rPr>
            <w:t>附件四、</w:t>
          </w:r>
          <w:r>
            <w:rPr>
              <w:rFonts w:asciiTheme="minorHAnsi" w:hAnsiTheme="minorHAnsi"/>
              <w:iCs w:val="0"/>
              <w:color w:val="auto"/>
              <w:kern w:val="2"/>
              <w:sz w:val="21"/>
            </w:rPr>
            <w:tab/>
          </w:r>
          <w:r>
            <w:rPr>
              <w:rStyle w:val="27"/>
              <w:rFonts w:hint="eastAsia" w:eastAsia="宋体"/>
            </w:rPr>
            <w:t>残疾人福利性单位声明函</w:t>
          </w:r>
          <w:r>
            <w:tab/>
          </w:r>
          <w:r>
            <w:fldChar w:fldCharType="begin"/>
          </w:r>
          <w:r>
            <w:instrText xml:space="preserve"> PAGEREF _Toc495861553 \h </w:instrText>
          </w:r>
          <w:r>
            <w:fldChar w:fldCharType="separate"/>
          </w:r>
          <w:r>
            <w:t>56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"_Toc495861554" </w:instrText>
          </w:r>
          <w:r>
            <w:fldChar w:fldCharType="separate"/>
          </w:r>
          <w:r>
            <w:rPr>
              <w:rStyle w:val="27"/>
              <w:rFonts w:hint="eastAsia" w:eastAsia="宋体"/>
            </w:rPr>
            <w:t>附件五、</w:t>
          </w:r>
          <w:r>
            <w:rPr>
              <w:rFonts w:asciiTheme="minorHAnsi" w:hAnsiTheme="minorHAnsi"/>
              <w:iCs w:val="0"/>
              <w:color w:val="auto"/>
              <w:kern w:val="2"/>
              <w:sz w:val="21"/>
            </w:rPr>
            <w:tab/>
          </w:r>
          <w:r>
            <w:rPr>
              <w:rStyle w:val="27"/>
              <w:rFonts w:hint="eastAsia" w:eastAsia="宋体"/>
            </w:rPr>
            <w:t>开标一览表</w:t>
          </w:r>
          <w:r>
            <w:tab/>
          </w:r>
          <w:r>
            <w:fldChar w:fldCharType="begin"/>
          </w:r>
          <w:r>
            <w:instrText xml:space="preserve"> PAGEREF _Toc495861554 \h </w:instrText>
          </w:r>
          <w:r>
            <w:fldChar w:fldCharType="separate"/>
          </w:r>
          <w:r>
            <w:t>59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"_Toc495861555" </w:instrText>
          </w:r>
          <w:r>
            <w:fldChar w:fldCharType="separate"/>
          </w:r>
          <w:r>
            <w:rPr>
              <w:rStyle w:val="27"/>
              <w:rFonts w:hint="eastAsia" w:eastAsia="宋体"/>
            </w:rPr>
            <w:t>附件六、</w:t>
          </w:r>
          <w:r>
            <w:rPr>
              <w:rFonts w:asciiTheme="minorHAnsi" w:hAnsiTheme="minorHAnsi"/>
              <w:iCs w:val="0"/>
              <w:color w:val="auto"/>
              <w:kern w:val="2"/>
              <w:sz w:val="21"/>
            </w:rPr>
            <w:tab/>
          </w:r>
          <w:r>
            <w:rPr>
              <w:rStyle w:val="27"/>
              <w:rFonts w:hint="eastAsia" w:eastAsia="宋体"/>
            </w:rPr>
            <w:t>投标报价明细表</w:t>
          </w:r>
          <w:r>
            <w:tab/>
          </w:r>
          <w:r>
            <w:fldChar w:fldCharType="begin"/>
          </w:r>
          <w:r>
            <w:instrText xml:space="preserve"> PAGEREF _Toc495861555 \h </w:instrText>
          </w:r>
          <w:r>
            <w:fldChar w:fldCharType="separate"/>
          </w:r>
          <w:r>
            <w:t>60</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"_Toc495861556" </w:instrText>
          </w:r>
          <w:r>
            <w:fldChar w:fldCharType="separate"/>
          </w:r>
          <w:r>
            <w:rPr>
              <w:rStyle w:val="27"/>
              <w:rFonts w:hint="eastAsia" w:eastAsia="宋体"/>
            </w:rPr>
            <w:t>附件七、</w:t>
          </w:r>
          <w:r>
            <w:rPr>
              <w:rFonts w:asciiTheme="minorHAnsi" w:hAnsiTheme="minorHAnsi"/>
              <w:iCs w:val="0"/>
              <w:color w:val="auto"/>
              <w:kern w:val="2"/>
              <w:sz w:val="21"/>
            </w:rPr>
            <w:tab/>
          </w:r>
          <w:r>
            <w:rPr>
              <w:rStyle w:val="27"/>
              <w:rFonts w:hint="eastAsia" w:eastAsia="宋体"/>
            </w:rPr>
            <w:t>小型和微型企业、监狱企业、残疾人福利性单位货物汇总表</w:t>
          </w:r>
          <w:r>
            <w:tab/>
          </w:r>
          <w:r>
            <w:fldChar w:fldCharType="begin"/>
          </w:r>
          <w:r>
            <w:instrText xml:space="preserve"> PAGEREF _Toc495861556 \h </w:instrText>
          </w:r>
          <w:r>
            <w:fldChar w:fldCharType="separate"/>
          </w:r>
          <w:r>
            <w:t>61</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"_Toc495861557" </w:instrText>
          </w:r>
          <w:r>
            <w:fldChar w:fldCharType="separate"/>
          </w:r>
          <w:r>
            <w:rPr>
              <w:rStyle w:val="27"/>
              <w:rFonts w:hint="eastAsia" w:eastAsia="宋体"/>
            </w:rPr>
            <w:t>附件八、</w:t>
          </w:r>
          <w:r>
            <w:rPr>
              <w:rFonts w:asciiTheme="minorHAnsi" w:hAnsiTheme="minorHAnsi"/>
              <w:iCs w:val="0"/>
              <w:color w:val="auto"/>
              <w:kern w:val="2"/>
              <w:sz w:val="21"/>
            </w:rPr>
            <w:tab/>
          </w:r>
          <w:r>
            <w:rPr>
              <w:rStyle w:val="27"/>
              <w:rFonts w:hint="eastAsia" w:eastAsia="宋体"/>
            </w:rPr>
            <w:t>投标货物（工程或服务）清单</w:t>
          </w:r>
          <w:r>
            <w:tab/>
          </w:r>
          <w:r>
            <w:fldChar w:fldCharType="begin"/>
          </w:r>
          <w:r>
            <w:instrText xml:space="preserve"> PAGEREF _Toc495861557 \h </w:instrText>
          </w:r>
          <w:r>
            <w:fldChar w:fldCharType="separate"/>
          </w:r>
          <w:r>
            <w:t>62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"_Toc495861558" </w:instrText>
          </w:r>
          <w:r>
            <w:fldChar w:fldCharType="separate"/>
          </w:r>
          <w:r>
            <w:rPr>
              <w:rStyle w:val="27"/>
              <w:rFonts w:hint="eastAsia" w:eastAsia="宋体"/>
            </w:rPr>
            <w:t>附件九、</w:t>
          </w:r>
          <w:r>
            <w:rPr>
              <w:rFonts w:asciiTheme="minorHAnsi" w:hAnsiTheme="minorHAnsi"/>
              <w:iCs w:val="0"/>
              <w:color w:val="auto"/>
              <w:kern w:val="2"/>
              <w:sz w:val="21"/>
            </w:rPr>
            <w:tab/>
          </w:r>
          <w:r>
            <w:rPr>
              <w:rStyle w:val="27"/>
              <w:rFonts w:hint="eastAsia" w:eastAsia="宋体"/>
            </w:rPr>
            <w:t>交纳投标保证金的银行凭证</w:t>
          </w:r>
          <w:r>
            <w:tab/>
          </w:r>
          <w:r>
            <w:fldChar w:fldCharType="begin"/>
          </w:r>
          <w:r>
            <w:instrText xml:space="preserve"> PAGEREF _Toc495861558 \h </w:instrText>
          </w:r>
          <w:r>
            <w:fldChar w:fldCharType="separate"/>
          </w:r>
          <w:r>
            <w:t>63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"_Toc495861559" </w:instrText>
          </w:r>
          <w:r>
            <w:fldChar w:fldCharType="separate"/>
          </w:r>
          <w:r>
            <w:rPr>
              <w:rStyle w:val="27"/>
              <w:rFonts w:hint="eastAsia" w:eastAsia="宋体"/>
            </w:rPr>
            <w:t>附件十、</w:t>
          </w:r>
          <w:r>
            <w:rPr>
              <w:rFonts w:asciiTheme="minorHAnsi" w:hAnsiTheme="minorHAnsi"/>
              <w:iCs w:val="0"/>
              <w:color w:val="auto"/>
              <w:kern w:val="2"/>
              <w:sz w:val="21"/>
            </w:rPr>
            <w:tab/>
          </w:r>
          <w:r>
            <w:rPr>
              <w:rStyle w:val="27"/>
              <w:rFonts w:hint="eastAsia" w:eastAsia="宋体"/>
            </w:rPr>
            <w:t>法定代表人授权书</w:t>
          </w:r>
          <w:r>
            <w:tab/>
          </w:r>
          <w:r>
            <w:fldChar w:fldCharType="begin"/>
          </w:r>
          <w:r>
            <w:instrText xml:space="preserve"> PAGEREF _Toc495861559 \h </w:instrText>
          </w:r>
          <w:r>
            <w:fldChar w:fldCharType="separate"/>
          </w:r>
          <w:r>
            <w:t>64</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"_Toc495861560" </w:instrText>
          </w:r>
          <w:r>
            <w:fldChar w:fldCharType="separate"/>
          </w:r>
          <w:r>
            <w:rPr>
              <w:rStyle w:val="27"/>
              <w:rFonts w:hint="eastAsia" w:eastAsia="宋体"/>
            </w:rPr>
            <w:t>附件十一、</w:t>
          </w:r>
          <w:r>
            <w:rPr>
              <w:rFonts w:asciiTheme="minorHAnsi" w:hAnsiTheme="minorHAnsi"/>
              <w:iCs w:val="0"/>
              <w:color w:val="auto"/>
              <w:kern w:val="2"/>
              <w:sz w:val="21"/>
            </w:rPr>
            <w:tab/>
          </w:r>
          <w:r>
            <w:rPr>
              <w:rStyle w:val="27"/>
              <w:rFonts w:hint="eastAsia" w:eastAsia="宋体"/>
            </w:rPr>
            <w:t>投标人的资格声明</w:t>
          </w:r>
          <w:r>
            <w:tab/>
          </w:r>
          <w:r>
            <w:fldChar w:fldCharType="begin"/>
          </w:r>
          <w:r>
            <w:instrText xml:space="preserve"> PAGEREF _Toc495861560 \h </w:instrText>
          </w:r>
          <w:r>
            <w:fldChar w:fldCharType="separate"/>
          </w:r>
          <w:r>
            <w:t>65</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"_Toc495861561" </w:instrText>
          </w:r>
          <w:r>
            <w:fldChar w:fldCharType="separate"/>
          </w:r>
          <w:r>
            <w:rPr>
              <w:rStyle w:val="27"/>
              <w:rFonts w:hint="eastAsia" w:eastAsia="宋体"/>
            </w:rPr>
            <w:t>附件十二、</w:t>
          </w:r>
          <w:r>
            <w:rPr>
              <w:rFonts w:asciiTheme="minorHAnsi" w:hAnsiTheme="minorHAnsi"/>
              <w:iCs w:val="0"/>
              <w:color w:val="auto"/>
              <w:kern w:val="2"/>
              <w:sz w:val="21"/>
            </w:rPr>
            <w:tab/>
          </w:r>
          <w:r>
            <w:rPr>
              <w:rStyle w:val="27"/>
              <w:rFonts w:hint="eastAsia" w:eastAsia="宋体"/>
            </w:rPr>
            <w:t>项目负责人、技术负责人简历表</w:t>
          </w:r>
          <w:r>
            <w:tab/>
          </w:r>
          <w:r>
            <w:fldChar w:fldCharType="begin"/>
          </w:r>
          <w:r>
            <w:instrText xml:space="preserve"> PAGEREF _Toc495861561 \h </w:instrText>
          </w:r>
          <w:r>
            <w:fldChar w:fldCharType="separate"/>
          </w:r>
          <w:r>
            <w:t>66</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"_Toc495861562" </w:instrText>
          </w:r>
          <w:r>
            <w:fldChar w:fldCharType="separate"/>
          </w:r>
          <w:r>
            <w:rPr>
              <w:rStyle w:val="27"/>
              <w:rFonts w:hint="eastAsia" w:eastAsia="宋体"/>
            </w:rPr>
            <w:t>附件十三、</w:t>
          </w:r>
          <w:r>
            <w:rPr>
              <w:rFonts w:asciiTheme="minorHAnsi" w:hAnsiTheme="minorHAnsi"/>
              <w:iCs w:val="0"/>
              <w:color w:val="auto"/>
              <w:kern w:val="2"/>
              <w:sz w:val="21"/>
            </w:rPr>
            <w:tab/>
          </w:r>
          <w:r>
            <w:rPr>
              <w:rStyle w:val="27"/>
              <w:rFonts w:hint="eastAsia" w:eastAsia="宋体"/>
            </w:rPr>
            <w:t>项目班子成员情况表</w:t>
          </w:r>
          <w:r>
            <w:tab/>
          </w:r>
          <w:r>
            <w:fldChar w:fldCharType="begin"/>
          </w:r>
          <w:r>
            <w:instrText xml:space="preserve"> PAGEREF _Toc495861562 \h </w:instrText>
          </w:r>
          <w:r>
            <w:fldChar w:fldCharType="separate"/>
          </w:r>
          <w:r>
            <w:t>67</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"_Toc495861563" </w:instrText>
          </w:r>
          <w:r>
            <w:fldChar w:fldCharType="separate"/>
          </w:r>
          <w:r>
            <w:rPr>
              <w:rStyle w:val="27"/>
              <w:rFonts w:hint="eastAsia" w:eastAsia="宋体"/>
            </w:rPr>
            <w:t>附件十四、</w:t>
          </w:r>
          <w:r>
            <w:rPr>
              <w:rFonts w:asciiTheme="minorHAnsi" w:hAnsiTheme="minorHAnsi"/>
              <w:iCs w:val="0"/>
              <w:color w:val="auto"/>
              <w:kern w:val="2"/>
              <w:sz w:val="21"/>
            </w:rPr>
            <w:tab/>
          </w:r>
          <w:r>
            <w:rPr>
              <w:rStyle w:val="27"/>
              <w:rFonts w:hint="eastAsia" w:eastAsia="宋体"/>
            </w:rPr>
            <w:t>投标人类似项目业绩表</w:t>
          </w:r>
          <w:r>
            <w:tab/>
          </w:r>
          <w:r>
            <w:fldChar w:fldCharType="begin"/>
          </w:r>
          <w:r>
            <w:instrText xml:space="preserve"> PAGEREF _Toc495861563 \h </w:instrText>
          </w:r>
          <w:r>
            <w:fldChar w:fldCharType="separate"/>
          </w:r>
          <w:r>
            <w:t>68</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"_Toc495861564" </w:instrText>
          </w:r>
          <w:r>
            <w:fldChar w:fldCharType="separate"/>
          </w:r>
          <w:r>
            <w:rPr>
              <w:rStyle w:val="27"/>
              <w:rFonts w:hint="eastAsia" w:eastAsia="宋体"/>
            </w:rPr>
            <w:t>附件十五、</w:t>
          </w:r>
          <w:r>
            <w:rPr>
              <w:rFonts w:asciiTheme="minorHAnsi" w:hAnsiTheme="minorHAnsi"/>
              <w:iCs w:val="0"/>
              <w:color w:val="auto"/>
              <w:kern w:val="2"/>
              <w:sz w:val="21"/>
            </w:rPr>
            <w:tab/>
          </w:r>
          <w:r>
            <w:rPr>
              <w:rStyle w:val="27"/>
              <w:rFonts w:hint="eastAsia" w:eastAsia="宋体"/>
            </w:rPr>
            <w:t>符合性审查对照表</w:t>
          </w:r>
          <w:r>
            <w:tab/>
          </w:r>
          <w:r>
            <w:fldChar w:fldCharType="begin"/>
          </w:r>
          <w:r>
            <w:instrText xml:space="preserve"> PAGEREF _Toc495861564 \h </w:instrText>
          </w:r>
          <w:r>
            <w:fldChar w:fldCharType="separate"/>
          </w:r>
          <w:r>
            <w:t>69</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"_Toc495861565" </w:instrText>
          </w:r>
          <w:r>
            <w:fldChar w:fldCharType="separate"/>
          </w:r>
          <w:r>
            <w:rPr>
              <w:rStyle w:val="27"/>
              <w:rFonts w:hint="eastAsia" w:eastAsia="宋体"/>
            </w:rPr>
            <w:t>附件十六、</w:t>
          </w:r>
          <w:r>
            <w:rPr>
              <w:rFonts w:asciiTheme="minorHAnsi" w:hAnsiTheme="minorHAnsi"/>
              <w:iCs w:val="0"/>
              <w:color w:val="auto"/>
              <w:kern w:val="2"/>
              <w:sz w:val="21"/>
            </w:rPr>
            <w:tab/>
          </w:r>
          <w:r>
            <w:rPr>
              <w:rStyle w:val="27"/>
              <w:rFonts w:hint="eastAsia" w:eastAsia="宋体"/>
            </w:rPr>
            <w:t>商务要求响应、偏离说明表</w:t>
          </w:r>
          <w:r>
            <w:tab/>
          </w:r>
          <w:r>
            <w:fldChar w:fldCharType="begin"/>
          </w:r>
          <w:r>
            <w:instrText xml:space="preserve"> PAGEREF _Toc495861565 \h </w:instrText>
          </w:r>
          <w:r>
            <w:fldChar w:fldCharType="separate"/>
          </w:r>
          <w:r>
            <w:t>70</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"_Toc495861566" </w:instrText>
          </w:r>
          <w:r>
            <w:fldChar w:fldCharType="separate"/>
          </w:r>
          <w:r>
            <w:rPr>
              <w:rStyle w:val="27"/>
              <w:rFonts w:hint="eastAsia" w:eastAsia="宋体"/>
            </w:rPr>
            <w:t>附件十七、</w:t>
          </w:r>
          <w:r>
            <w:rPr>
              <w:rFonts w:asciiTheme="minorHAnsi" w:hAnsiTheme="minorHAnsi"/>
              <w:iCs w:val="0"/>
              <w:color w:val="auto"/>
              <w:kern w:val="2"/>
              <w:sz w:val="21"/>
            </w:rPr>
            <w:tab/>
          </w:r>
          <w:r>
            <w:rPr>
              <w:rStyle w:val="27"/>
              <w:rFonts w:hint="eastAsia" w:eastAsia="宋体"/>
            </w:rPr>
            <w:t>商务要求“★”号条款响应、偏离说明表</w:t>
          </w:r>
          <w:r>
            <w:tab/>
          </w:r>
          <w:r>
            <w:fldChar w:fldCharType="begin"/>
          </w:r>
          <w:r>
            <w:instrText xml:space="preserve"> PAGEREF _Toc495861566 \h </w:instrText>
          </w:r>
          <w:r>
            <w:fldChar w:fldCharType="separate"/>
          </w:r>
          <w:r>
            <w:t>71</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"_Toc495861567" </w:instrText>
          </w:r>
          <w:r>
            <w:fldChar w:fldCharType="separate"/>
          </w:r>
          <w:r>
            <w:rPr>
              <w:rStyle w:val="27"/>
              <w:rFonts w:hint="eastAsia" w:eastAsia="宋体"/>
            </w:rPr>
            <w:t>附件十八、</w:t>
          </w:r>
          <w:r>
            <w:rPr>
              <w:rFonts w:asciiTheme="minorHAnsi" w:hAnsiTheme="minorHAnsi"/>
              <w:iCs w:val="0"/>
              <w:color w:val="auto"/>
              <w:kern w:val="2"/>
              <w:sz w:val="21"/>
            </w:rPr>
            <w:tab/>
          </w:r>
          <w:r>
            <w:rPr>
              <w:rStyle w:val="27"/>
              <w:rFonts w:hint="eastAsia" w:eastAsia="宋体"/>
            </w:rPr>
            <w:t>商务评议对照表</w:t>
          </w:r>
          <w:r>
            <w:tab/>
          </w:r>
          <w:r>
            <w:fldChar w:fldCharType="begin"/>
          </w:r>
          <w:r>
            <w:instrText xml:space="preserve"> PAGEREF _Toc495861567 \h </w:instrText>
          </w:r>
          <w:r>
            <w:fldChar w:fldCharType="separate"/>
          </w:r>
          <w:r>
            <w:t>72</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"_Toc495861568" </w:instrText>
          </w:r>
          <w:r>
            <w:fldChar w:fldCharType="separate"/>
          </w:r>
          <w:r>
            <w:rPr>
              <w:rStyle w:val="27"/>
              <w:rFonts w:hint="eastAsia" w:eastAsia="宋体"/>
            </w:rPr>
            <w:t>附件十九、</w:t>
          </w:r>
          <w:r>
            <w:rPr>
              <w:rFonts w:asciiTheme="minorHAnsi" w:hAnsiTheme="minorHAnsi"/>
              <w:iCs w:val="0"/>
              <w:color w:val="auto"/>
              <w:kern w:val="2"/>
              <w:sz w:val="21"/>
            </w:rPr>
            <w:tab/>
          </w:r>
          <w:r>
            <w:rPr>
              <w:rStyle w:val="27"/>
              <w:rFonts w:hint="eastAsia" w:eastAsia="宋体"/>
            </w:rPr>
            <w:t>技术、服务要求响应、偏离说明表</w:t>
          </w:r>
          <w:r>
            <w:tab/>
          </w:r>
          <w:r>
            <w:fldChar w:fldCharType="begin"/>
          </w:r>
          <w:r>
            <w:instrText xml:space="preserve"> PAGEREF _Toc495861568 \h </w:instrText>
          </w:r>
          <w:r>
            <w:fldChar w:fldCharType="separate"/>
          </w:r>
          <w:r>
            <w:t>73</w:t>
          </w:r>
          <w:r>
            <w:fldChar w:fldCharType="end"/>
          </w:r>
          <w:r>
            <w:fldChar w:fldCharType="end"/>
          </w:r>
        </w:p>
        <w:p>
          <w:pPr>
            <w:pStyle w:val="18"/>
            <w:rPr>
              <w:rFonts w:asciiTheme="minorHAnsi" w:hAnsiTheme="minorHAnsi"/>
              <w:iCs w:val="0"/>
              <w:color w:val="auto"/>
              <w:kern w:val="2"/>
              <w:sz w:val="21"/>
            </w:rPr>
          </w:pPr>
          <w:r>
            <w:fldChar w:fldCharType="begin"/>
          </w:r>
          <w:r>
            <w:instrText xml:space="preserve"> HYPERLINK \l "_Toc495861569" </w:instrText>
          </w:r>
          <w:r>
            <w:fldChar w:fldCharType="separate"/>
          </w:r>
          <w:r>
            <w:rPr>
              <w:rStyle w:val="27"/>
              <w:rFonts w:hint="eastAsia" w:eastAsia="宋体"/>
            </w:rPr>
            <w:t>附件二十、</w:t>
          </w:r>
          <w:r>
            <w:rPr>
              <w:rFonts w:asciiTheme="minorHAnsi" w:hAnsiTheme="minorHAnsi"/>
              <w:iCs w:val="0"/>
              <w:color w:val="auto"/>
              <w:kern w:val="2"/>
              <w:sz w:val="21"/>
            </w:rPr>
            <w:tab/>
          </w:r>
          <w:r>
            <w:rPr>
              <w:rStyle w:val="27"/>
              <w:rFonts w:hint="eastAsia" w:eastAsia="宋体"/>
            </w:rPr>
            <w:t>技术、服务要求“★”号条款响应、偏离说明表</w:t>
          </w:r>
          <w:r>
            <w:tab/>
          </w:r>
          <w:r>
            <w:fldChar w:fldCharType="begin"/>
          </w:r>
          <w:r>
            <w:instrText xml:space="preserve"> PAGEREF _Toc495861569 \h </w:instrText>
          </w:r>
          <w:r>
            <w:fldChar w:fldCharType="separate"/>
          </w:r>
          <w:r>
            <w:t>74</w:t>
          </w:r>
          <w:r>
            <w:fldChar w:fldCharType="end"/>
          </w:r>
          <w:r>
            <w:fldChar w:fldCharType="end"/>
          </w:r>
        </w:p>
        <w:p>
          <w:pPr>
            <w:pStyle w:val="18"/>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7"/>
              <w:rFonts w:hint="eastAsia" w:eastAsia="宋体"/>
            </w:rPr>
            <w:t>附件二十一、</w:t>
          </w:r>
          <w:r>
            <w:rPr>
              <w:rFonts w:asciiTheme="minorHAnsi" w:hAnsiTheme="minorHAnsi"/>
              <w:iCs w:val="0"/>
              <w:color w:val="auto"/>
              <w:kern w:val="2"/>
              <w:sz w:val="21"/>
            </w:rPr>
            <w:tab/>
          </w:r>
          <w:r>
            <w:rPr>
              <w:rStyle w:val="27"/>
              <w:rFonts w:hint="eastAsia" w:eastAsia="宋体"/>
            </w:rPr>
            <w:t>技术、服务评议对照表</w:t>
          </w:r>
          <w:r>
            <w:tab/>
          </w:r>
          <w:r>
            <w:fldChar w:fldCharType="begin"/>
          </w:r>
          <w:r>
            <w:instrText xml:space="preserve"> PAGEREF _Toc495861570 \h </w:instrText>
          </w:r>
          <w:r>
            <w:fldChar w:fldCharType="separate"/>
          </w:r>
          <w:r>
            <w:t>75</w:t>
          </w:r>
          <w:r>
            <w:fldChar w:fldCharType="end"/>
          </w:r>
          <w:r>
            <w:fldChar w:fldCharType="end"/>
          </w:r>
        </w:p>
        <w:p>
          <w:pPr>
            <w:pStyle w:val="2"/>
            <w:tabs>
              <w:tab w:val="left" w:pos="1260"/>
              <w:tab w:val="right" w:leader="dot" w:pos="9514"/>
            </w:tabs>
          </w:pPr>
          <w:r>
            <w:fldChar w:fldCharType="end"/>
          </w:r>
          <w:r>
            <w:rPr>
              <w:b w:val="0"/>
              <w:bCs/>
              <w:lang w:val="zh-CN"/>
            </w:rPr>
            <w:tab/>
          </w:r>
        </w:p>
      </w:sdtContent>
    </w:sdt>
    <w:p>
      <w:r>
        <w:br w:type="page"/>
      </w:r>
    </w:p>
    <w:p>
      <w:pPr>
        <w:pStyle w:val="3"/>
        <w:numPr>
          <w:ilvl w:val="0"/>
          <w:numId w:val="1"/>
        </w:numPr>
        <w:spacing w:before="240" w:after="120"/>
        <w:ind w:left="883" w:hanging="880" w:hangingChars="200"/>
        <w:jc w:val="center"/>
        <w:rPr>
          <w:rFonts w:ascii="黑体" w:hAnsi="黑体" w:eastAsia="黑体"/>
        </w:rPr>
      </w:pPr>
      <w:bookmarkStart w:id="0" w:name="_Toc495861517"/>
      <w:r>
        <w:rPr>
          <w:rFonts w:hint="eastAsia" w:ascii="黑体" w:hAnsi="黑体" w:eastAsia="黑体"/>
        </w:rPr>
        <w:t>投标邀请书</w:t>
      </w:r>
      <w:bookmarkEnd w:id="0"/>
    </w:p>
    <w:p>
      <w:pPr>
        <w:pStyle w:val="20"/>
        <w:keepNext w:val="0"/>
        <w:keepLines w:val="0"/>
        <w:widowControl/>
        <w:suppressLineNumbers w:val="0"/>
        <w:pBdr>
          <w:top w:val="single" w:color="auto" w:sz="6" w:space="0"/>
          <w:left w:val="single" w:color="auto" w:sz="6" w:space="3"/>
          <w:bottom w:val="single" w:color="auto" w:sz="6" w:space="0"/>
          <w:right w:val="single" w:color="auto" w:sz="6" w:space="3"/>
        </w:pBdr>
        <w:spacing w:before="0" w:beforeAutospacing="0" w:after="0" w:afterAutospacing="0" w:line="360" w:lineRule="auto"/>
        <w:ind w:right="0" w:firstLine="480" w:firstLineChars="200"/>
        <w:rPr>
          <w:color w:val="auto"/>
        </w:rPr>
      </w:pPr>
      <w:bookmarkStart w:id="1" w:name="_Toc495861518"/>
      <w:r>
        <w:rPr>
          <w:rFonts w:hint="eastAsia" w:ascii="宋体" w:hAnsi="宋体" w:cs="宋体"/>
          <w:color w:val="auto"/>
          <w:sz w:val="24"/>
          <w:szCs w:val="24"/>
          <w:shd w:val="clear" w:fill="FFFFFF"/>
          <w:lang w:eastAsia="zh-CN"/>
        </w:rPr>
        <w:t>阳新县人民医院医疗设备采购项目</w:t>
      </w:r>
      <w:r>
        <w:rPr>
          <w:rFonts w:hint="eastAsia" w:ascii="宋体" w:hAnsi="宋体" w:eastAsia="宋体" w:cs="宋体"/>
          <w:color w:val="auto"/>
          <w:sz w:val="24"/>
          <w:szCs w:val="24"/>
          <w:shd w:val="clear" w:fill="FFFFFF"/>
        </w:rPr>
        <w:t>的潜在投标人应在</w:t>
      </w:r>
      <w:r>
        <w:rPr>
          <w:rFonts w:hint="eastAsia" w:ascii="宋体" w:hAnsi="宋体" w:eastAsia="宋体" w:cs="宋体"/>
          <w:color w:val="auto"/>
          <w:spacing w:val="0"/>
          <w:sz w:val="24"/>
          <w:szCs w:val="24"/>
          <w:shd w:val="clear" w:fill="FFFFFF"/>
        </w:rPr>
        <w:t>“湖北省政府采购网”、“黄石市公共资源交易信息网”及“阳新县人民政府网”</w:t>
      </w:r>
      <w:r>
        <w:rPr>
          <w:rFonts w:hint="eastAsia" w:ascii="宋体" w:hAnsi="宋体" w:eastAsia="宋体" w:cs="宋体"/>
          <w:color w:val="auto"/>
          <w:sz w:val="24"/>
          <w:szCs w:val="24"/>
          <w:shd w:val="clear" w:fill="FFFFFF"/>
        </w:rPr>
        <w:t>获取招标文件，并于</w:t>
      </w:r>
      <w:r>
        <w:rPr>
          <w:rFonts w:hint="eastAsia" w:ascii="宋体" w:hAnsi="宋体" w:eastAsia="宋体" w:cs="宋体"/>
          <w:color w:val="auto"/>
          <w:spacing w:val="0"/>
          <w:sz w:val="24"/>
          <w:szCs w:val="24"/>
          <w:u w:val="single"/>
          <w:shd w:val="clear" w:fill="FFFFFF"/>
        </w:rPr>
        <w:t>2020</w:t>
      </w:r>
      <w:r>
        <w:rPr>
          <w:rFonts w:hint="eastAsia" w:ascii="宋体" w:hAnsi="宋体" w:eastAsia="宋体" w:cs="宋体"/>
          <w:color w:val="auto"/>
          <w:spacing w:val="0"/>
          <w:sz w:val="24"/>
          <w:szCs w:val="24"/>
          <w:shd w:val="clear" w:fill="FFFFFF"/>
        </w:rPr>
        <w:t>年</w:t>
      </w:r>
      <w:r>
        <w:rPr>
          <w:rFonts w:hint="eastAsia" w:ascii="宋体" w:hAnsi="宋体" w:eastAsia="宋体" w:cs="宋体"/>
          <w:color w:val="auto"/>
          <w:spacing w:val="0"/>
          <w:sz w:val="24"/>
          <w:szCs w:val="24"/>
          <w:u w:val="single"/>
          <w:shd w:val="clear" w:fill="FFFFFF"/>
          <w:lang w:val="en-US" w:eastAsia="zh-CN"/>
        </w:rPr>
        <w:t xml:space="preserve"> </w:t>
      </w:r>
      <w:r>
        <w:rPr>
          <w:rFonts w:hint="eastAsia" w:ascii="宋体" w:hAnsi="宋体" w:cs="宋体"/>
          <w:color w:val="auto"/>
          <w:spacing w:val="0"/>
          <w:sz w:val="24"/>
          <w:szCs w:val="24"/>
          <w:u w:val="single"/>
          <w:shd w:val="clear" w:fill="FFFFFF"/>
          <w:lang w:val="en-US" w:eastAsia="zh-CN"/>
        </w:rPr>
        <w:t xml:space="preserve">12 </w:t>
      </w:r>
      <w:r>
        <w:rPr>
          <w:rFonts w:hint="eastAsia" w:ascii="宋体" w:hAnsi="宋体" w:eastAsia="宋体" w:cs="宋体"/>
          <w:color w:val="auto"/>
          <w:spacing w:val="0"/>
          <w:sz w:val="24"/>
          <w:szCs w:val="24"/>
          <w:shd w:val="clear" w:fill="FFFFFF"/>
        </w:rPr>
        <w:t>月</w:t>
      </w:r>
      <w:r>
        <w:rPr>
          <w:rFonts w:hint="eastAsia" w:ascii="宋体" w:hAnsi="宋体" w:eastAsia="宋体" w:cs="宋体"/>
          <w:color w:val="auto"/>
          <w:spacing w:val="0"/>
          <w:sz w:val="24"/>
          <w:szCs w:val="24"/>
          <w:u w:val="single"/>
          <w:shd w:val="clear" w:fill="FFFFFF"/>
          <w:lang w:val="en-US" w:eastAsia="zh-CN"/>
        </w:rPr>
        <w:t xml:space="preserve"> 30</w:t>
      </w:r>
      <w:r>
        <w:rPr>
          <w:rFonts w:hint="eastAsia" w:ascii="宋体" w:hAnsi="宋体" w:cs="宋体"/>
          <w:color w:val="auto"/>
          <w:spacing w:val="0"/>
          <w:sz w:val="24"/>
          <w:szCs w:val="24"/>
          <w:u w:val="single"/>
          <w:shd w:val="clear" w:fill="FFFFFF"/>
          <w:lang w:val="en-US" w:eastAsia="zh-CN"/>
        </w:rPr>
        <w:t xml:space="preserve">  </w:t>
      </w:r>
      <w:r>
        <w:rPr>
          <w:rFonts w:hint="eastAsia" w:ascii="宋体" w:hAnsi="宋体" w:eastAsia="宋体" w:cs="宋体"/>
          <w:color w:val="auto"/>
          <w:spacing w:val="0"/>
          <w:sz w:val="24"/>
          <w:szCs w:val="24"/>
          <w:shd w:val="clear" w:fill="FFFFFF"/>
        </w:rPr>
        <w:t>日</w:t>
      </w:r>
      <w:r>
        <w:rPr>
          <w:rFonts w:hint="eastAsia" w:ascii="宋体" w:hAnsi="宋体" w:cs="宋体"/>
          <w:color w:val="auto"/>
          <w:spacing w:val="0"/>
          <w:sz w:val="24"/>
          <w:szCs w:val="24"/>
          <w:u w:val="single"/>
          <w:shd w:val="clear" w:fill="FFFFFF"/>
          <w:lang w:val="en-US" w:eastAsia="zh-CN"/>
        </w:rPr>
        <w:t xml:space="preserve"> 15 </w:t>
      </w:r>
      <w:r>
        <w:rPr>
          <w:rFonts w:hint="eastAsia" w:ascii="宋体" w:hAnsi="宋体" w:eastAsia="宋体" w:cs="宋体"/>
          <w:color w:val="auto"/>
          <w:spacing w:val="0"/>
          <w:sz w:val="24"/>
          <w:szCs w:val="24"/>
          <w:shd w:val="clear" w:fill="FFFFFF"/>
        </w:rPr>
        <w:t>点00分(</w:t>
      </w:r>
      <w:r>
        <w:rPr>
          <w:rFonts w:hint="eastAsia" w:ascii="宋体" w:hAnsi="宋体" w:eastAsia="宋体" w:cs="宋体"/>
          <w:color w:val="auto"/>
          <w:sz w:val="24"/>
          <w:szCs w:val="24"/>
          <w:shd w:val="clear" w:fill="FFFFFF"/>
        </w:rPr>
        <w:t>北京时间）前递交投标文件。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color w:val="auto"/>
        </w:rPr>
      </w:pPr>
      <w:r>
        <w:rPr>
          <w:rStyle w:val="25"/>
          <w:rFonts w:hint="eastAsia" w:ascii="宋体" w:hAnsi="宋体" w:eastAsia="宋体" w:cs="宋体"/>
          <w:color w:val="auto"/>
          <w:sz w:val="24"/>
          <w:szCs w:val="24"/>
          <w:shd w:val="clear" w:fill="FFFFFF"/>
        </w:rPr>
        <w:t>一、项目基本情况</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eastAsia="宋体"/>
          <w:color w:val="auto"/>
          <w:lang w:val="en-US" w:eastAsia="zh-CN"/>
        </w:rPr>
      </w:pPr>
      <w:r>
        <w:rPr>
          <w:rFonts w:hint="eastAsia" w:ascii="宋体" w:hAnsi="宋体" w:eastAsia="宋体" w:cs="宋体"/>
          <w:color w:val="auto"/>
          <w:sz w:val="24"/>
          <w:szCs w:val="24"/>
          <w:shd w:val="clear" w:fill="FFFFFF"/>
        </w:rPr>
        <w:t>项目编号：</w:t>
      </w:r>
      <w:r>
        <w:rPr>
          <w:rFonts w:hint="eastAsia" w:ascii="宋体" w:hAnsi="宋体" w:eastAsia="宋体" w:cs="宋体"/>
          <w:color w:val="auto"/>
          <w:sz w:val="24"/>
          <w:szCs w:val="24"/>
          <w:shd w:val="clear" w:fill="FFFFFF"/>
          <w:lang w:eastAsia="zh-CN"/>
        </w:rPr>
        <w:t>131-2020CG</w:t>
      </w:r>
      <w:r>
        <w:rPr>
          <w:rFonts w:hint="eastAsia" w:ascii="宋体" w:hAnsi="宋体" w:eastAsia="宋体" w:cs="宋体"/>
          <w:color w:val="auto"/>
          <w:sz w:val="24"/>
          <w:szCs w:val="24"/>
          <w:shd w:val="clear" w:fill="FFFFFF"/>
        </w:rPr>
        <w:t>-</w:t>
      </w:r>
      <w:r>
        <w:rPr>
          <w:rFonts w:hint="eastAsia" w:ascii="宋体" w:hAnsi="宋体" w:cs="宋体"/>
          <w:color w:val="auto"/>
          <w:sz w:val="24"/>
          <w:szCs w:val="24"/>
          <w:u w:val="single"/>
          <w:shd w:val="clear" w:fill="FFFFFF"/>
          <w:lang w:val="en-US" w:eastAsia="zh-CN"/>
        </w:rPr>
        <w:t xml:space="preserve"> 281 </w:t>
      </w:r>
      <w:r>
        <w:rPr>
          <w:rFonts w:hint="eastAsia" w:ascii="宋体" w:hAnsi="宋体" w:eastAsia="宋体" w:cs="宋体"/>
          <w:i w:val="0"/>
          <w:caps w:val="0"/>
          <w:color w:val="auto"/>
          <w:spacing w:val="0"/>
          <w:kern w:val="0"/>
          <w:sz w:val="24"/>
          <w:szCs w:val="24"/>
          <w:u w:val="none"/>
          <w:shd w:val="clear" w:fill="FFFFFF"/>
          <w:lang w:val="en-US" w:eastAsia="zh-CN" w:bidi="ar"/>
        </w:rPr>
        <w:t>（政府采购备案号：阳财采计备[2020]A</w:t>
      </w:r>
      <w:r>
        <w:rPr>
          <w:rFonts w:hint="eastAsia" w:ascii="宋体" w:hAnsi="宋体" w:cs="宋体"/>
          <w:i w:val="0"/>
          <w:caps w:val="0"/>
          <w:color w:val="auto"/>
          <w:spacing w:val="0"/>
          <w:kern w:val="0"/>
          <w:sz w:val="24"/>
          <w:szCs w:val="24"/>
          <w:u w:val="single"/>
          <w:shd w:val="clear" w:fill="FFFFFF"/>
          <w:lang w:val="en-US" w:eastAsia="zh-CN" w:bidi="ar"/>
        </w:rPr>
        <w:t xml:space="preserve"> 230 </w:t>
      </w:r>
      <w:r>
        <w:rPr>
          <w:rFonts w:hint="eastAsia" w:ascii="宋体" w:hAnsi="宋体" w:eastAsia="宋体" w:cs="宋体"/>
          <w:i w:val="0"/>
          <w:caps w:val="0"/>
          <w:color w:val="auto"/>
          <w:spacing w:val="0"/>
          <w:kern w:val="0"/>
          <w:sz w:val="24"/>
          <w:szCs w:val="24"/>
          <w:u w:val="single"/>
          <w:shd w:val="clear" w:fill="FFFFFF"/>
          <w:lang w:val="en-US" w:eastAsia="zh-CN" w:bidi="ar"/>
        </w:rPr>
        <w:t xml:space="preserve"> </w:t>
      </w:r>
      <w:r>
        <w:rPr>
          <w:rFonts w:hint="eastAsia" w:ascii="宋体" w:hAnsi="宋体" w:eastAsia="宋体" w:cs="宋体"/>
          <w:i w:val="0"/>
          <w:caps w:val="0"/>
          <w:color w:val="auto"/>
          <w:spacing w:val="0"/>
          <w:kern w:val="0"/>
          <w:sz w:val="24"/>
          <w:szCs w:val="24"/>
          <w:u w:val="none"/>
          <w:shd w:val="clear" w:fill="FFFFFF"/>
          <w:lang w:val="en-US" w:eastAsia="zh-CN" w:bidi="ar"/>
        </w:rPr>
        <w:t>号）</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fill="FFFFFF"/>
          <w:lang w:eastAsia="zh-CN"/>
        </w:rPr>
      </w:pPr>
      <w:r>
        <w:rPr>
          <w:rFonts w:hint="eastAsia" w:ascii="宋体" w:hAnsi="宋体" w:eastAsia="宋体" w:cs="宋体"/>
          <w:color w:val="auto"/>
          <w:sz w:val="24"/>
          <w:szCs w:val="24"/>
          <w:shd w:val="clear" w:fill="FFFFFF"/>
        </w:rPr>
        <w:t>项目名称：</w:t>
      </w:r>
      <w:r>
        <w:rPr>
          <w:rFonts w:hint="eastAsia" w:ascii="宋体" w:hAnsi="宋体" w:eastAsia="宋体" w:cs="宋体"/>
          <w:color w:val="auto"/>
          <w:sz w:val="24"/>
          <w:szCs w:val="24"/>
          <w:shd w:val="clear" w:fill="FFFFFF"/>
          <w:lang w:eastAsia="zh-CN"/>
        </w:rPr>
        <w:t>阳新县人民医院医疗设备采购项目</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78" w:leftChars="228" w:right="0" w:firstLine="64" w:firstLineChars="27"/>
        <w:textAlignment w:val="auto"/>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预算金额</w:t>
      </w:r>
      <w:r>
        <w:rPr>
          <w:rFonts w:hint="eastAsia" w:ascii="宋体" w:hAnsi="宋体" w:eastAsia="宋体" w:cs="宋体"/>
          <w:color w:val="auto"/>
          <w:sz w:val="24"/>
          <w:szCs w:val="24"/>
          <w:shd w:val="clear" w:fill="FFFFFF"/>
          <w:lang w:eastAsia="zh-CN"/>
        </w:rPr>
        <w:t>：</w:t>
      </w:r>
      <w:r>
        <w:rPr>
          <w:rFonts w:hint="eastAsia" w:ascii="宋体" w:hAnsi="宋体" w:cs="宋体"/>
          <w:color w:val="auto"/>
          <w:sz w:val="24"/>
          <w:szCs w:val="24"/>
          <w:shd w:val="clear" w:fill="FFFFFF"/>
          <w:lang w:val="en-US" w:eastAsia="zh-CN"/>
        </w:rPr>
        <w:t>一</w:t>
      </w:r>
      <w:r>
        <w:rPr>
          <w:rFonts w:hint="default" w:ascii="宋体" w:hAnsi="宋体" w:eastAsia="宋体" w:cs="宋体"/>
          <w:color w:val="auto"/>
          <w:sz w:val="24"/>
          <w:szCs w:val="24"/>
          <w:shd w:val="clear" w:fill="FFFFFF"/>
          <w:lang w:val="en-US" w:eastAsia="zh-CN"/>
        </w:rPr>
        <w:t>包：</w:t>
      </w:r>
      <w:r>
        <w:rPr>
          <w:rFonts w:hint="eastAsia" w:ascii="宋体" w:hAnsi="宋体" w:eastAsia="宋体" w:cs="宋体"/>
          <w:color w:val="auto"/>
          <w:sz w:val="24"/>
          <w:szCs w:val="24"/>
          <w:shd w:val="clear" w:fill="FFFFFF"/>
          <w:lang w:val="en-US" w:eastAsia="zh-CN"/>
        </w:rPr>
        <w:t>145万元，</w:t>
      </w:r>
      <w:r>
        <w:rPr>
          <w:rFonts w:hint="eastAsia" w:ascii="宋体" w:hAnsi="宋体" w:cs="宋体"/>
          <w:color w:val="auto"/>
          <w:sz w:val="24"/>
          <w:szCs w:val="24"/>
          <w:shd w:val="clear" w:fill="FFFFFF"/>
          <w:lang w:val="en-US" w:eastAsia="zh-CN"/>
        </w:rPr>
        <w:t>二包：140万元；三包：175万元；四包：175万元；五包：48万元；六包：115万元。</w:t>
      </w:r>
      <w:r>
        <w:rPr>
          <w:rFonts w:hint="eastAsia" w:ascii="宋体" w:hAnsi="宋体" w:eastAsia="宋体" w:cs="宋体"/>
          <w:color w:val="auto"/>
          <w:sz w:val="24"/>
          <w:szCs w:val="24"/>
          <w:shd w:val="clear" w:fill="FFFFFF"/>
        </w:rPr>
        <w:t>（超过</w:t>
      </w:r>
      <w:r>
        <w:rPr>
          <w:rFonts w:hint="eastAsia" w:ascii="宋体" w:hAnsi="宋体" w:eastAsia="宋体" w:cs="宋体"/>
          <w:color w:val="auto"/>
          <w:sz w:val="24"/>
          <w:szCs w:val="24"/>
          <w:shd w:val="clear" w:fill="FFFFFF"/>
          <w:lang w:eastAsia="zh-CN"/>
        </w:rPr>
        <w:t>预算金额</w:t>
      </w:r>
      <w:r>
        <w:rPr>
          <w:rFonts w:hint="eastAsia" w:ascii="宋体" w:hAnsi="宋体" w:eastAsia="宋体" w:cs="宋体"/>
          <w:color w:val="auto"/>
          <w:sz w:val="24"/>
          <w:szCs w:val="24"/>
          <w:shd w:val="clear" w:fill="FFFFFF"/>
        </w:rPr>
        <w:t>作为无效投标）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eastAsia="宋体"/>
          <w:color w:val="auto"/>
          <w:lang w:eastAsia="zh-CN"/>
        </w:rPr>
      </w:pPr>
      <w:r>
        <w:rPr>
          <w:rFonts w:hint="eastAsia" w:ascii="宋体" w:hAnsi="宋体" w:eastAsia="宋体" w:cs="宋体"/>
          <w:color w:val="auto"/>
          <w:sz w:val="24"/>
          <w:szCs w:val="24"/>
          <w:shd w:val="clear" w:fill="FFFFFF"/>
        </w:rPr>
        <w:t>采购需求：</w:t>
      </w:r>
      <w:r>
        <w:rPr>
          <w:rFonts w:hint="eastAsia" w:ascii="宋体" w:hAnsi="宋体" w:eastAsia="宋体" w:cs="宋体"/>
          <w:color w:val="auto"/>
          <w:sz w:val="24"/>
          <w:szCs w:val="24"/>
          <w:shd w:val="clear" w:fill="FFFFFF"/>
          <w:lang w:eastAsia="zh-CN"/>
        </w:rPr>
        <w:t>采购一批医疗设备</w:t>
      </w:r>
      <w:r>
        <w:rPr>
          <w:rFonts w:hint="eastAsia" w:ascii="宋体" w:hAnsi="宋体" w:eastAsia="宋体" w:cs="宋体"/>
          <w:color w:val="auto"/>
          <w:sz w:val="24"/>
          <w:szCs w:val="24"/>
          <w:shd w:val="clear" w:fill="FFFFFF"/>
        </w:rPr>
        <w:t>（详见招标文件）</w:t>
      </w:r>
      <w:r>
        <w:rPr>
          <w:rFonts w:hint="eastAsia" w:ascii="宋体" w:hAnsi="宋体" w:eastAsia="宋体" w:cs="宋体"/>
          <w:color w:val="auto"/>
          <w:sz w:val="24"/>
          <w:szCs w:val="24"/>
          <w:shd w:val="clear" w:fill="FFFFFF"/>
          <w:lang w:val="en-US" w:eastAsia="zh-CN"/>
        </w:rPr>
        <w:t>,</w:t>
      </w:r>
      <w:r>
        <w:rPr>
          <w:rFonts w:hint="eastAsia" w:ascii="宋体" w:hAnsi="宋体" w:eastAsia="宋体" w:cs="宋体"/>
          <w:color w:val="auto"/>
          <w:sz w:val="24"/>
          <w:szCs w:val="24"/>
          <w:shd w:val="clear" w:fill="FFFFFF"/>
        </w:rPr>
        <w:t>本</w:t>
      </w:r>
      <w:r>
        <w:rPr>
          <w:rFonts w:hint="eastAsia" w:ascii="宋体" w:hAnsi="宋体" w:eastAsia="宋体" w:cs="宋体"/>
          <w:color w:val="0C0C0C"/>
          <w:sz w:val="24"/>
          <w:szCs w:val="24"/>
          <w:shd w:val="clear" w:fill="FFFFFF"/>
        </w:rPr>
        <w:t>项目已办理进口产品审批手续</w:t>
      </w:r>
      <w:r>
        <w:rPr>
          <w:rFonts w:hint="eastAsia" w:ascii="宋体" w:hAnsi="宋体" w:cs="宋体"/>
          <w:color w:val="0C0C0C"/>
          <w:sz w:val="24"/>
          <w:szCs w:val="24"/>
          <w:shd w:val="clear" w:fill="FFFFFF"/>
          <w:lang w:eastAsia="zh-CN"/>
        </w:rPr>
        <w:t>。</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eastAsia="宋体"/>
          <w:color w:val="auto"/>
          <w:lang w:val="en-US" w:eastAsia="zh-CN"/>
        </w:rPr>
      </w:pPr>
      <w:r>
        <w:rPr>
          <w:rFonts w:hint="eastAsia" w:ascii="宋体" w:hAnsi="宋体" w:eastAsia="宋体" w:cs="宋体"/>
          <w:color w:val="auto"/>
          <w:sz w:val="24"/>
          <w:szCs w:val="24"/>
          <w:shd w:val="clear" w:fill="FFFFFF"/>
        </w:rPr>
        <w:t>合同履行期限：</w:t>
      </w:r>
      <w:r>
        <w:rPr>
          <w:rFonts w:hint="eastAsia" w:ascii="宋体" w:hAnsi="宋体" w:eastAsia="宋体" w:cs="宋体"/>
          <w:sz w:val="24"/>
          <w:szCs w:val="24"/>
          <w:u w:val="none"/>
          <w:lang w:eastAsia="zh-CN"/>
        </w:rPr>
        <w:t>合同签定后</w:t>
      </w:r>
      <w:r>
        <w:rPr>
          <w:rFonts w:hint="eastAsia" w:ascii="宋体" w:hAnsi="宋体" w:cs="宋体"/>
          <w:sz w:val="24"/>
          <w:szCs w:val="24"/>
          <w:u w:val="none"/>
          <w:lang w:val="en-US" w:eastAsia="zh-CN"/>
        </w:rPr>
        <w:t>30</w:t>
      </w:r>
      <w:r>
        <w:rPr>
          <w:rFonts w:hint="eastAsia" w:ascii="宋体" w:hAnsi="宋体" w:eastAsia="宋体" w:cs="宋体"/>
          <w:sz w:val="24"/>
          <w:szCs w:val="24"/>
          <w:u w:val="none"/>
          <w:lang w:val="en-US" w:eastAsia="zh-CN"/>
        </w:rPr>
        <w:t>个工作日内</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color w:val="auto"/>
        </w:rPr>
      </w:pPr>
      <w:r>
        <w:rPr>
          <w:rFonts w:hint="eastAsia" w:ascii="宋体" w:hAnsi="宋体" w:eastAsia="宋体" w:cs="宋体"/>
          <w:color w:val="auto"/>
          <w:sz w:val="24"/>
          <w:szCs w:val="24"/>
          <w:shd w:val="clear" w:fill="FFFFFF"/>
        </w:rPr>
        <w:t>本项目不接受联合体投标。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color w:val="auto"/>
        </w:rPr>
      </w:pPr>
      <w:r>
        <w:rPr>
          <w:rStyle w:val="25"/>
          <w:rFonts w:hint="eastAsia" w:ascii="宋体" w:hAnsi="宋体" w:eastAsia="宋体" w:cs="宋体"/>
          <w:color w:val="auto"/>
          <w:sz w:val="24"/>
          <w:szCs w:val="24"/>
          <w:shd w:val="clear" w:fill="FFFFFF"/>
        </w:rPr>
        <w:t>二、申请人的资格要求：</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color w:val="auto"/>
        </w:rPr>
      </w:pPr>
      <w:r>
        <w:rPr>
          <w:rFonts w:hint="eastAsia" w:ascii="宋体" w:hAnsi="宋体" w:eastAsia="宋体" w:cs="宋体"/>
          <w:color w:val="auto"/>
          <w:sz w:val="24"/>
          <w:szCs w:val="24"/>
          <w:shd w:val="clear" w:fill="FFFFFF"/>
        </w:rPr>
        <w:t>1、应具备《政府采购法》第二十二条第一款规定的条件；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lang w:val="en-US" w:eastAsia="zh-CN"/>
        </w:rPr>
        <w:t>3、特定条件：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设备进口代理商可不提供厂家医疗器械生产许可证)；</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auto"/>
          <w:sz w:val="24"/>
          <w:szCs w:val="24"/>
          <w:shd w:val="clear" w:fill="FFFFFF"/>
          <w:lang w:val="en-US" w:eastAsia="zh-CN"/>
        </w:rPr>
      </w:pPr>
      <w:r>
        <w:rPr>
          <w:rFonts w:hint="eastAsia" w:ascii="宋体" w:hAnsi="宋体" w:eastAsia="宋体" w:cs="宋体"/>
          <w:color w:val="auto"/>
          <w:sz w:val="24"/>
          <w:szCs w:val="24"/>
          <w:shd w:val="clear" w:fill="FFFFFF"/>
          <w:lang w:val="en-US" w:eastAsia="zh-CN"/>
        </w:rPr>
        <w:t>4、本项目不接受联合体形式的投标。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color w:val="auto"/>
        </w:rPr>
      </w:pPr>
      <w:r>
        <w:rPr>
          <w:rStyle w:val="25"/>
          <w:rFonts w:hint="eastAsia" w:ascii="宋体" w:hAnsi="宋体" w:eastAsia="宋体" w:cs="宋体"/>
          <w:color w:val="auto"/>
          <w:sz w:val="24"/>
          <w:szCs w:val="24"/>
          <w:shd w:val="clear" w:fill="FFFFFF"/>
        </w:rPr>
        <w:t>三、获取招标文件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时间：</w:t>
      </w: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12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 4</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日至</w:t>
      </w: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 12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11</w:t>
      </w:r>
      <w:r>
        <w:rPr>
          <w:rFonts w:hint="eastAsia" w:ascii="宋体" w:hAnsi="宋体" w:eastAsia="宋体" w:cs="宋体"/>
          <w:color w:val="auto"/>
          <w:sz w:val="24"/>
          <w:szCs w:val="24"/>
          <w:shd w:val="clear" w:fill="FFFFFF"/>
        </w:rPr>
        <w:t>日17:30(北京时间)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招标文件下载：见附件</w:t>
      </w:r>
    </w:p>
    <w:p>
      <w:pPr>
        <w:pStyle w:val="20"/>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Style w:val="25"/>
          <w:rFonts w:hint="eastAsia" w:ascii="宋体" w:hAnsi="宋体" w:eastAsia="宋体" w:cs="宋体"/>
          <w:color w:val="auto"/>
          <w:sz w:val="24"/>
          <w:szCs w:val="24"/>
          <w:shd w:val="clear" w:fill="FFFFFF"/>
        </w:rPr>
      </w:pPr>
      <w:r>
        <w:rPr>
          <w:rStyle w:val="25"/>
          <w:rFonts w:hint="eastAsia" w:ascii="宋体" w:hAnsi="宋体" w:eastAsia="宋体" w:cs="宋体"/>
          <w:color w:val="auto"/>
          <w:sz w:val="24"/>
          <w:szCs w:val="24"/>
          <w:shd w:val="clear" w:fill="FFFFFF"/>
        </w:rPr>
        <w:t>提交投标文件截止时间、开标时间和地点</w:t>
      </w:r>
    </w:p>
    <w:p>
      <w:pPr>
        <w:pStyle w:val="20"/>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auto"/>
          <w:sz w:val="24"/>
          <w:szCs w:val="24"/>
          <w:shd w:val="clear" w:fill="FFFFFF"/>
        </w:rPr>
      </w:pPr>
      <w:r>
        <w:rPr>
          <w:rFonts w:hint="eastAsia" w:ascii="宋体" w:hAnsi="宋体" w:eastAsia="宋体" w:cs="宋体"/>
          <w:b w:val="0"/>
          <w:sz w:val="24"/>
          <w:szCs w:val="24"/>
        </w:rPr>
        <w:t>提交投标文件截止时间、开标时间</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12</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30</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w:t>
      </w:r>
      <w:r>
        <w:rPr>
          <w:rFonts w:hint="eastAsia" w:ascii="宋体" w:hAnsi="宋体" w:cs="宋体"/>
          <w:color w:val="auto"/>
          <w:sz w:val="24"/>
          <w:szCs w:val="24"/>
          <w:u w:val="single"/>
          <w:shd w:val="clear" w:fill="FFFFFF"/>
          <w:lang w:val="en-US" w:eastAsia="zh-CN"/>
        </w:rPr>
        <w:t xml:space="preserve"> 15 </w:t>
      </w:r>
      <w:r>
        <w:rPr>
          <w:rFonts w:hint="eastAsia" w:ascii="宋体" w:hAnsi="宋体" w:eastAsia="宋体" w:cs="宋体"/>
          <w:color w:val="auto"/>
          <w:sz w:val="24"/>
          <w:szCs w:val="24"/>
          <w:shd w:val="clear" w:fill="FFFFFF"/>
        </w:rPr>
        <w:t>时</w:t>
      </w:r>
      <w:r>
        <w:rPr>
          <w:rFonts w:hint="eastAsia" w:ascii="宋体" w:hAnsi="宋体" w:eastAsia="宋体" w:cs="宋体"/>
          <w:color w:val="auto"/>
          <w:sz w:val="24"/>
          <w:szCs w:val="24"/>
          <w:shd w:val="clear" w:fill="FFFFFF"/>
          <w:lang w:val="en-US" w:eastAsia="zh-CN"/>
        </w:rPr>
        <w:t>00分</w:t>
      </w:r>
      <w:r>
        <w:rPr>
          <w:rFonts w:hint="eastAsia" w:ascii="宋体" w:hAnsi="宋体" w:eastAsia="宋体" w:cs="宋体"/>
          <w:color w:val="auto"/>
          <w:sz w:val="24"/>
          <w:szCs w:val="24"/>
          <w:shd w:val="clear" w:fill="FFFFFF"/>
        </w:rPr>
        <w:t>（</w:t>
      </w:r>
      <w:r>
        <w:rPr>
          <w:rFonts w:hint="eastAsia" w:ascii="宋体" w:hAnsi="宋体" w:cs="宋体"/>
          <w:color w:val="auto"/>
          <w:sz w:val="24"/>
          <w:szCs w:val="24"/>
          <w:u w:val="single"/>
          <w:shd w:val="clear" w:fill="FFFFFF"/>
          <w:lang w:val="en-US" w:eastAsia="zh-CN"/>
        </w:rPr>
        <w:t xml:space="preserve"> 14 </w:t>
      </w:r>
      <w:r>
        <w:rPr>
          <w:rFonts w:hint="eastAsia" w:ascii="宋体" w:hAnsi="宋体" w:eastAsia="宋体" w:cs="宋体"/>
          <w:color w:val="auto"/>
          <w:sz w:val="24"/>
          <w:szCs w:val="24"/>
          <w:shd w:val="clear" w:fill="FFFFFF"/>
        </w:rPr>
        <w:t>时</w:t>
      </w:r>
      <w:r>
        <w:rPr>
          <w:rFonts w:hint="eastAsia" w:ascii="宋体" w:hAnsi="宋体" w:eastAsia="宋体" w:cs="宋体"/>
          <w:color w:val="auto"/>
          <w:sz w:val="24"/>
          <w:szCs w:val="24"/>
          <w:shd w:val="clear" w:fill="FFFFFF"/>
          <w:lang w:val="en-US" w:eastAsia="zh-CN"/>
        </w:rPr>
        <w:t>3</w:t>
      </w:r>
      <w:r>
        <w:rPr>
          <w:rFonts w:hint="eastAsia" w:ascii="宋体" w:hAnsi="宋体" w:eastAsia="宋体" w:cs="宋体"/>
          <w:color w:val="auto"/>
          <w:sz w:val="24"/>
          <w:szCs w:val="24"/>
          <w:shd w:val="clear" w:fill="FFFFFF"/>
        </w:rPr>
        <w:t>0分开始接收投标文件，拒收逾期送达或者未按招标文件要求密封的投标文件）</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b w:val="0"/>
          <w:sz w:val="24"/>
          <w:szCs w:val="24"/>
        </w:rPr>
        <w:t>提交投标文件地点</w:t>
      </w:r>
      <w:r>
        <w:rPr>
          <w:rFonts w:hint="eastAsia" w:ascii="宋体" w:hAnsi="宋体" w:eastAsia="宋体" w:cs="宋体"/>
          <w:color w:val="auto"/>
          <w:sz w:val="24"/>
          <w:szCs w:val="24"/>
          <w:shd w:val="clear" w:fill="FFFFFF"/>
        </w:rPr>
        <w:t>：阳新县公共资源交易中心</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二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楼开标大厅（阳新县熊家垴安置小区东侧）</w:t>
      </w:r>
    </w:p>
    <w:p>
      <w:pPr>
        <w:pStyle w:val="20"/>
        <w:keepNext w:val="0"/>
        <w:keepLines w:val="0"/>
        <w:widowControl/>
        <w:suppressLineNumbers w:val="0"/>
        <w:spacing w:before="0" w:beforeAutospacing="0" w:after="0" w:afterAutospacing="0" w:line="360" w:lineRule="auto"/>
        <w:ind w:left="0" w:right="0" w:firstLine="420"/>
        <w:rPr>
          <w:color w:val="auto"/>
        </w:rPr>
      </w:pPr>
      <w:r>
        <w:rPr>
          <w:rStyle w:val="25"/>
          <w:rFonts w:hint="eastAsia" w:ascii="宋体" w:hAnsi="宋体" w:eastAsia="宋体" w:cs="宋体"/>
          <w:color w:val="auto"/>
          <w:sz w:val="24"/>
          <w:szCs w:val="24"/>
          <w:shd w:val="clear" w:fill="FFFFFF"/>
        </w:rPr>
        <w:t>五、公告期限</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自本公告发布之日起5个工作日。</w:t>
      </w:r>
    </w:p>
    <w:p>
      <w:pPr>
        <w:pStyle w:val="20"/>
        <w:keepNext w:val="0"/>
        <w:keepLines w:val="0"/>
        <w:widowControl/>
        <w:suppressLineNumbers w:val="0"/>
        <w:spacing w:before="0" w:beforeAutospacing="0" w:after="0" w:afterAutospacing="0" w:line="360" w:lineRule="auto"/>
        <w:ind w:left="0" w:right="0" w:firstLine="420"/>
        <w:rPr>
          <w:color w:val="auto"/>
        </w:rPr>
      </w:pPr>
      <w:r>
        <w:rPr>
          <w:rStyle w:val="25"/>
          <w:rFonts w:hint="eastAsia" w:ascii="宋体" w:hAnsi="宋体" w:eastAsia="宋体" w:cs="宋体"/>
          <w:color w:val="auto"/>
          <w:sz w:val="24"/>
          <w:szCs w:val="24"/>
          <w:shd w:val="clear" w:fill="FFFFFF"/>
        </w:rPr>
        <w:t>六、其他补充事宜</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lang w:val="en-US" w:eastAsia="zh-CN"/>
        </w:rPr>
        <w:t>1、</w:t>
      </w:r>
      <w:r>
        <w:rPr>
          <w:rFonts w:hint="eastAsia" w:ascii="宋体" w:hAnsi="宋体" w:eastAsia="宋体" w:cs="宋体"/>
          <w:color w:val="auto"/>
          <w:sz w:val="24"/>
          <w:szCs w:val="24"/>
          <w:shd w:val="clear" w:fill="FFFFFF"/>
        </w:rPr>
        <w:t>落实政府采购强制、优先采购节能产品政策；政府采购优先采购环保产品政策；政府采购促进中小企业发展（监狱企业、残疾人福利性单位视同小微企业）等政策。</w:t>
      </w:r>
    </w:p>
    <w:p>
      <w:pPr>
        <w:pStyle w:val="20"/>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2、</w:t>
      </w:r>
      <w:r>
        <w:rPr>
          <w:rFonts w:hint="eastAsia" w:ascii="宋体" w:hAnsi="宋体" w:eastAsia="宋体" w:cs="宋体"/>
          <w:color w:val="auto"/>
          <w:sz w:val="24"/>
          <w:szCs w:val="24"/>
          <w:shd w:val="clear" w:fill="FFFFFF"/>
        </w:rPr>
        <w:t>是否专门面向中小企业、监狱企业、残疾人福利性单位：否。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20"/>
        <w:keepNext w:val="0"/>
        <w:keepLines w:val="0"/>
        <w:widowControl/>
        <w:suppressLineNumbers w:val="0"/>
        <w:spacing w:before="0" w:beforeAutospacing="0" w:after="0" w:afterAutospacing="0" w:line="360" w:lineRule="auto"/>
        <w:ind w:left="0" w:right="0" w:firstLine="420"/>
        <w:rPr>
          <w:color w:val="auto"/>
        </w:rPr>
      </w:pPr>
      <w:r>
        <w:rPr>
          <w:rStyle w:val="25"/>
          <w:rFonts w:hint="eastAsia" w:ascii="宋体" w:hAnsi="宋体" w:eastAsia="宋体" w:cs="宋体"/>
          <w:color w:val="auto"/>
          <w:sz w:val="24"/>
          <w:szCs w:val="24"/>
          <w:shd w:val="clear" w:fill="FFFFFF"/>
        </w:rPr>
        <w:t>七、对本次招标提出询问，请按以下方式联系。</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1.采购人信息</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名   称：</w:t>
      </w:r>
      <w:r>
        <w:rPr>
          <w:rFonts w:hint="eastAsia" w:ascii="宋体" w:hAnsi="宋体" w:eastAsia="宋体" w:cs="宋体"/>
          <w:b/>
          <w:color w:val="000000"/>
          <w:sz w:val="24"/>
          <w:szCs w:val="24"/>
          <w:u w:val="single"/>
          <w:lang w:eastAsia="zh-CN"/>
        </w:rPr>
        <w:t>阳新县人民医院</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地   址：</w:t>
      </w:r>
      <w:r>
        <w:rPr>
          <w:rFonts w:hint="eastAsia" w:ascii="宋体" w:hAnsi="宋体" w:eastAsia="宋体" w:cs="宋体"/>
          <w:b/>
          <w:bCs/>
          <w:kern w:val="0"/>
          <w:sz w:val="24"/>
          <w:u w:val="single"/>
          <w:lang w:eastAsia="zh-CN"/>
        </w:rPr>
        <w:t>阳新县兴国镇儒学垴路</w:t>
      </w:r>
      <w:r>
        <w:rPr>
          <w:rFonts w:hint="eastAsia" w:ascii="宋体" w:hAnsi="宋体" w:eastAsia="宋体" w:cs="宋体"/>
          <w:b/>
          <w:bCs/>
          <w:kern w:val="0"/>
          <w:sz w:val="24"/>
          <w:u w:val="single"/>
          <w:lang w:val="en-US" w:eastAsia="zh-CN"/>
        </w:rPr>
        <w:t>81</w:t>
      </w:r>
      <w:r>
        <w:rPr>
          <w:rFonts w:hint="eastAsia" w:ascii="宋体" w:hAnsi="宋体" w:eastAsia="宋体" w:cs="宋体"/>
          <w:b/>
          <w:bCs/>
          <w:kern w:val="0"/>
          <w:sz w:val="24"/>
          <w:u w:val="single"/>
          <w:lang w:eastAsia="zh-CN"/>
        </w:rPr>
        <w:t>号</w:t>
      </w:r>
    </w:p>
    <w:p>
      <w:pPr>
        <w:pStyle w:val="20"/>
        <w:keepNext w:val="0"/>
        <w:keepLines w:val="0"/>
        <w:widowControl/>
        <w:suppressLineNumbers w:val="0"/>
        <w:spacing w:before="0" w:beforeAutospacing="0" w:after="0" w:afterAutospacing="0" w:line="360" w:lineRule="auto"/>
        <w:ind w:left="0" w:right="0" w:firstLine="480"/>
        <w:rPr>
          <w:rFonts w:hint="default" w:eastAsia="宋体"/>
          <w:color w:val="auto"/>
          <w:lang w:val="en-US" w:eastAsia="zh-CN"/>
        </w:rPr>
      </w:pPr>
      <w:r>
        <w:rPr>
          <w:rFonts w:hint="eastAsia" w:ascii="宋体" w:hAnsi="宋体" w:eastAsia="宋体" w:cs="宋体"/>
          <w:color w:val="auto"/>
          <w:sz w:val="24"/>
          <w:szCs w:val="24"/>
          <w:shd w:val="clear" w:fill="FFFFFF"/>
        </w:rPr>
        <w:t>联系方式：</w:t>
      </w:r>
      <w:r>
        <w:rPr>
          <w:rFonts w:hint="eastAsia" w:ascii="宋体" w:hAnsi="宋体" w:cs="宋体"/>
          <w:b/>
          <w:bCs w:val="0"/>
          <w:color w:val="000000"/>
          <w:kern w:val="0"/>
          <w:sz w:val="24"/>
          <w:szCs w:val="24"/>
          <w:u w:val="single"/>
          <w:lang w:val="en-US" w:eastAsia="zh-CN"/>
        </w:rPr>
        <w:t>0714-7314409</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2.采购代理机构信息</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名   称：</w:t>
      </w:r>
      <w:r>
        <w:rPr>
          <w:rFonts w:hint="eastAsia" w:ascii="宋体" w:hAnsi="宋体" w:cs="宋体"/>
          <w:b/>
          <w:color w:val="000000"/>
          <w:sz w:val="24"/>
          <w:szCs w:val="24"/>
          <w:u w:val="single"/>
          <w:lang w:eastAsia="zh-CN"/>
        </w:rPr>
        <w:t>广州穗科建设管理有限公司</w:t>
      </w:r>
    </w:p>
    <w:p>
      <w:pPr>
        <w:pStyle w:val="20"/>
        <w:keepNext w:val="0"/>
        <w:keepLines w:val="0"/>
        <w:widowControl/>
        <w:suppressLineNumbers w:val="0"/>
        <w:spacing w:before="0" w:beforeAutospacing="0" w:after="0" w:afterAutospacing="0" w:line="360" w:lineRule="auto"/>
        <w:ind w:left="0" w:right="0" w:firstLine="480"/>
        <w:rPr>
          <w:rFonts w:hint="default"/>
          <w:color w:val="auto"/>
          <w:lang w:val="en-US"/>
        </w:rPr>
      </w:pPr>
      <w:r>
        <w:rPr>
          <w:rFonts w:hint="eastAsia" w:ascii="宋体" w:hAnsi="宋体" w:eastAsia="宋体" w:cs="宋体"/>
          <w:color w:val="auto"/>
          <w:sz w:val="24"/>
          <w:szCs w:val="24"/>
          <w:shd w:val="clear" w:fill="FFFFFF"/>
        </w:rPr>
        <w:t>地   址：</w:t>
      </w:r>
      <w:r>
        <w:rPr>
          <w:rFonts w:hint="eastAsia" w:ascii="宋体" w:hAnsi="宋体" w:cs="宋体"/>
          <w:b/>
          <w:color w:val="000000"/>
          <w:sz w:val="24"/>
          <w:szCs w:val="24"/>
          <w:u w:val="single"/>
          <w:lang w:eastAsia="zh-CN"/>
        </w:rPr>
        <w:t>阳新县兴国镇惠美家超市后面青山小区</w:t>
      </w:r>
      <w:r>
        <w:rPr>
          <w:rFonts w:hint="eastAsia" w:ascii="宋体" w:hAnsi="宋体" w:cs="宋体"/>
          <w:b/>
          <w:color w:val="000000"/>
          <w:sz w:val="24"/>
          <w:szCs w:val="24"/>
          <w:u w:val="single"/>
          <w:lang w:val="en-US" w:eastAsia="zh-CN"/>
        </w:rPr>
        <w:t>1号楼402室</w:t>
      </w:r>
    </w:p>
    <w:p>
      <w:pPr>
        <w:pStyle w:val="20"/>
        <w:keepNext w:val="0"/>
        <w:keepLines w:val="0"/>
        <w:widowControl/>
        <w:suppressLineNumbers w:val="0"/>
        <w:spacing w:before="0" w:beforeAutospacing="0" w:after="0" w:afterAutospacing="0" w:line="360" w:lineRule="auto"/>
        <w:ind w:left="0" w:right="0" w:firstLine="480"/>
        <w:rPr>
          <w:rFonts w:hint="default"/>
          <w:color w:val="auto"/>
          <w:lang w:val="en-US"/>
        </w:rPr>
      </w:pPr>
      <w:r>
        <w:rPr>
          <w:rFonts w:hint="eastAsia" w:ascii="宋体" w:hAnsi="宋体" w:eastAsia="宋体" w:cs="宋体"/>
          <w:color w:val="auto"/>
          <w:sz w:val="24"/>
          <w:szCs w:val="24"/>
          <w:shd w:val="clear" w:fill="FFFFFF"/>
        </w:rPr>
        <w:t>联系方式：</w:t>
      </w:r>
      <w:r>
        <w:rPr>
          <w:rFonts w:hint="eastAsia" w:ascii="宋体" w:hAnsi="宋体" w:cs="宋体"/>
          <w:b/>
          <w:color w:val="000000"/>
          <w:sz w:val="24"/>
          <w:szCs w:val="24"/>
          <w:u w:val="single"/>
          <w:lang w:val="en-US" w:eastAsia="zh-CN"/>
        </w:rPr>
        <w:t>15334279810</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3.项目联系方式</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项目联系人：</w:t>
      </w:r>
      <w:r>
        <w:rPr>
          <w:rFonts w:hint="eastAsia" w:ascii="宋体" w:hAnsi="宋体" w:cs="宋体"/>
          <w:b/>
          <w:bCs/>
          <w:color w:val="auto"/>
          <w:sz w:val="24"/>
          <w:szCs w:val="24"/>
          <w:u w:val="single"/>
          <w:shd w:val="clear" w:fill="FFFFFF"/>
          <w:lang w:eastAsia="zh-CN"/>
        </w:rPr>
        <w:t>姚锦花</w:t>
      </w:r>
      <w:r>
        <w:rPr>
          <w:rFonts w:hint="eastAsia" w:ascii="宋体" w:hAnsi="宋体" w:eastAsia="宋体" w:cs="宋体"/>
          <w:color w:val="auto"/>
          <w:sz w:val="24"/>
          <w:szCs w:val="24"/>
          <w:shd w:val="clear" w:fill="FFFFFF"/>
        </w:rPr>
        <w:t>  </w:t>
      </w:r>
    </w:p>
    <w:p>
      <w:pPr>
        <w:pStyle w:val="20"/>
        <w:keepNext w:val="0"/>
        <w:keepLines w:val="0"/>
        <w:widowControl/>
        <w:suppressLineNumbers w:val="0"/>
        <w:spacing w:before="0" w:beforeAutospacing="0" w:after="0" w:afterAutospacing="0" w:line="360" w:lineRule="auto"/>
        <w:ind w:left="0" w:right="0" w:firstLine="480"/>
        <w:rPr>
          <w:rFonts w:hint="default"/>
          <w:color w:val="auto"/>
          <w:lang w:val="en-US"/>
        </w:rPr>
      </w:pPr>
      <w:r>
        <w:rPr>
          <w:rFonts w:hint="eastAsia" w:ascii="宋体" w:hAnsi="宋体" w:eastAsia="宋体" w:cs="宋体"/>
          <w:color w:val="auto"/>
          <w:sz w:val="24"/>
          <w:szCs w:val="24"/>
          <w:shd w:val="clear" w:fill="FFFFFF"/>
        </w:rPr>
        <w:t>电　　</w:t>
      </w:r>
      <w:r>
        <w:rPr>
          <w:rFonts w:hint="eastAsia" w:ascii="宋体" w:hAnsi="宋体" w:eastAsia="宋体" w:cs="宋体"/>
          <w:color w:val="auto"/>
          <w:sz w:val="24"/>
          <w:szCs w:val="24"/>
          <w:shd w:val="clear" w:fill="FFFFFF"/>
          <w:lang w:val="en-US" w:eastAsia="zh-CN"/>
        </w:rPr>
        <w:t xml:space="preserve"> </w:t>
      </w:r>
      <w:r>
        <w:rPr>
          <w:rFonts w:hint="eastAsia" w:ascii="宋体" w:hAnsi="宋体" w:eastAsia="宋体" w:cs="宋体"/>
          <w:color w:val="auto"/>
          <w:sz w:val="24"/>
          <w:szCs w:val="24"/>
          <w:shd w:val="clear" w:fill="FFFFFF"/>
        </w:rPr>
        <w:t xml:space="preserve"> 话：</w:t>
      </w:r>
      <w:r>
        <w:rPr>
          <w:rFonts w:hint="eastAsia" w:ascii="宋体" w:hAnsi="宋体" w:cs="宋体"/>
          <w:b/>
          <w:color w:val="000000"/>
          <w:sz w:val="24"/>
          <w:szCs w:val="24"/>
          <w:u w:val="single"/>
          <w:lang w:val="en-US" w:eastAsia="zh-CN"/>
        </w:rPr>
        <w:t>15334279810</w:t>
      </w:r>
    </w:p>
    <w:p>
      <w:pPr>
        <w:pStyle w:val="20"/>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 </w:t>
      </w:r>
    </w:p>
    <w:p>
      <w:pPr>
        <w:pStyle w:val="20"/>
        <w:keepNext w:val="0"/>
        <w:keepLines w:val="0"/>
        <w:widowControl/>
        <w:suppressLineNumbers w:val="0"/>
        <w:spacing w:before="0" w:beforeAutospacing="0" w:after="0" w:afterAutospacing="0" w:line="360" w:lineRule="auto"/>
        <w:ind w:left="0" w:right="0" w:firstLine="480"/>
        <w:jc w:val="right"/>
        <w:rPr>
          <w:rFonts w:hint="eastAsia" w:eastAsiaTheme="minorEastAsia"/>
          <w:color w:val="auto"/>
          <w:lang w:eastAsia="zh-CN"/>
        </w:rPr>
      </w:pPr>
      <w:r>
        <w:rPr>
          <w:rFonts w:hint="eastAsia" w:ascii="宋体" w:hAnsi="宋体" w:cs="宋体"/>
          <w:color w:val="auto"/>
          <w:sz w:val="24"/>
          <w:szCs w:val="24"/>
          <w:shd w:val="clear" w:fill="FFFFFF"/>
          <w:lang w:eastAsia="zh-CN"/>
        </w:rPr>
        <w:t>广州穗科建设管理有限公司</w:t>
      </w:r>
    </w:p>
    <w:p>
      <w:pPr>
        <w:pStyle w:val="20"/>
        <w:keepNext w:val="0"/>
        <w:keepLines w:val="0"/>
        <w:widowControl/>
        <w:suppressLineNumbers w:val="0"/>
        <w:spacing w:before="0" w:beforeAutospacing="0" w:after="0" w:afterAutospacing="0" w:line="360" w:lineRule="auto"/>
        <w:ind w:left="0" w:right="0" w:firstLine="480"/>
        <w:jc w:val="right"/>
      </w:pP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12</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月</w:t>
      </w:r>
      <w:r>
        <w:rPr>
          <w:rFonts w:hint="eastAsia" w:ascii="宋体" w:hAnsi="宋体" w:cs="宋体"/>
          <w:color w:val="auto"/>
          <w:sz w:val="24"/>
          <w:szCs w:val="24"/>
          <w:u w:val="single"/>
          <w:shd w:val="clear" w:fill="FFFFFF"/>
          <w:lang w:val="en-US" w:eastAsia="zh-CN"/>
        </w:rPr>
        <w:t xml:space="preserve"> 4 </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日</w:t>
      </w:r>
    </w:p>
    <w:p>
      <w:pPr>
        <w:pStyle w:val="3"/>
        <w:numPr>
          <w:ilvl w:val="0"/>
          <w:numId w:val="1"/>
        </w:numPr>
        <w:spacing w:before="240" w:after="120"/>
        <w:ind w:left="883" w:hanging="880" w:hangingChars="200"/>
        <w:jc w:val="center"/>
        <w:rPr>
          <w:rFonts w:ascii="黑体" w:hAnsi="黑体" w:eastAsia="黑体"/>
          <w:highlight w:val="none"/>
        </w:rPr>
      </w:pPr>
      <w:r>
        <w:rPr>
          <w:rFonts w:hint="eastAsia" w:ascii="黑体" w:hAnsi="黑体" w:eastAsia="黑体"/>
          <w:highlight w:val="none"/>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highlight w:val="none"/>
          <w:lang w:val="zh-CN"/>
        </w:rPr>
      </w:pPr>
      <w:bookmarkStart w:id="2" w:name="_Toc494561937"/>
      <w:bookmarkStart w:id="3" w:name="_Toc495861519"/>
      <w:r>
        <w:rPr>
          <w:rFonts w:cs="Times New Roman" w:asciiTheme="majorEastAsia" w:hAnsiTheme="majorEastAsia" w:eastAsiaTheme="majorEastAsia"/>
          <w:b/>
          <w:bCs/>
          <w:sz w:val="32"/>
          <w:szCs w:val="32"/>
          <w:highlight w:val="none"/>
          <w:lang w:val="zh-CN"/>
        </w:rPr>
        <w:t>投标须知前附表</w:t>
      </w:r>
      <w:bookmarkEnd w:id="2"/>
      <w:bookmarkEnd w:id="3"/>
    </w:p>
    <w:tbl>
      <w:tblPr>
        <w:tblStyle w:val="22"/>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highlight w:val="none"/>
              </w:rPr>
            </w:pPr>
            <w:r>
              <w:rPr>
                <w:rFonts w:ascii="宋体" w:hAnsi="宋体" w:eastAsia="宋体" w:cs="Times New Roman"/>
                <w:b/>
                <w:sz w:val="24"/>
                <w:szCs w:val="24"/>
                <w:highlight w:val="none"/>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highlight w:val="none"/>
              </w:rPr>
            </w:pPr>
            <w:r>
              <w:rPr>
                <w:rFonts w:hint="eastAsia" w:ascii="Times New Roman" w:hAnsi="宋体" w:eastAsia="宋体" w:cs="Times New Roman"/>
                <w:b/>
                <w:sz w:val="24"/>
                <w:szCs w:val="24"/>
                <w:highlight w:val="none"/>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highlight w:val="none"/>
              </w:rPr>
            </w:pPr>
            <w:r>
              <w:rPr>
                <w:rFonts w:ascii="Times New Roman" w:hAnsi="宋体" w:eastAsia="宋体" w:cs="Times New Roman"/>
                <w:b/>
                <w:sz w:val="24"/>
                <w:szCs w:val="24"/>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highlight w:val="none"/>
              </w:rPr>
            </w:pPr>
            <w:r>
              <w:rPr>
                <w:rFonts w:ascii="Times New Roman" w:hAnsi="宋体" w:eastAsia="宋体" w:cs="Times New Roman"/>
                <w:color w:val="auto"/>
                <w:sz w:val="24"/>
                <w:szCs w:val="24"/>
                <w:highlight w:val="none"/>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sz w:val="24"/>
                <w:szCs w:val="24"/>
                <w:highlight w:val="none"/>
                <w:lang w:val="en-US" w:eastAsia="zh-CN"/>
              </w:rPr>
              <w:t xml:space="preserve">131-2020CG- 281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highlight w:val="none"/>
                <w:lang w:eastAsia="zh-CN"/>
              </w:rPr>
            </w:pPr>
            <w:r>
              <w:rPr>
                <w:rFonts w:hint="eastAsia" w:ascii="Times New Roman" w:hAnsi="Times New Roman" w:eastAsia="宋体" w:cs="Times New Roman"/>
                <w:color w:val="auto"/>
                <w:sz w:val="24"/>
                <w:szCs w:val="24"/>
                <w:highlight w:val="none"/>
                <w:lang w:eastAsia="zh-CN"/>
              </w:rPr>
              <w:t>阳新县人民医院医疗设备采购项目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highlight w:val="none"/>
              </w:rPr>
            </w:pPr>
            <w:r>
              <w:rPr>
                <w:rFonts w:hint="eastAsia" w:ascii="Times New Roman" w:hAnsi="宋体" w:eastAsia="宋体" w:cs="Times New Roman"/>
                <w:color w:val="0D0D0D"/>
                <w:sz w:val="24"/>
                <w:szCs w:val="24"/>
                <w:highlight w:val="none"/>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highlight w:val="none"/>
              </w:rPr>
            </w:pPr>
            <w:r>
              <w:rPr>
                <w:rFonts w:hint="eastAsia" w:ascii="宋体" w:hAnsi="宋体" w:eastAsia="宋体" w:cs="宋体"/>
                <w:color w:val="auto"/>
                <w:kern w:val="0"/>
                <w:sz w:val="24"/>
                <w:szCs w:val="24"/>
                <w:highlight w:val="none"/>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highlight w:val="none"/>
              </w:rPr>
            </w:pPr>
            <w:r>
              <w:rPr>
                <w:rFonts w:hint="eastAsia" w:ascii="宋体" w:hAnsi="宋体" w:eastAsia="宋体" w:cs="宋体"/>
                <w:bCs/>
                <w:color w:val="auto"/>
                <w:kern w:val="0"/>
                <w:sz w:val="24"/>
                <w:szCs w:val="24"/>
                <w:highlight w:val="none"/>
                <w:u w:val="none"/>
              </w:rPr>
              <w:t>阳新县人民医院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highlight w:val="none"/>
              </w:rPr>
            </w:pPr>
            <w:r>
              <w:rPr>
                <w:rFonts w:hint="eastAsia" w:ascii="Times New Roman" w:hAnsi="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保证金</w:t>
            </w:r>
            <w:r>
              <w:rPr>
                <w:rFonts w:hint="eastAsia" w:ascii="Times New Roman" w:hAnsi="宋体" w:eastAsia="宋体" w:cs="Times New Roman"/>
                <w:sz w:val="24"/>
                <w:szCs w:val="24"/>
                <w:highlight w:val="none"/>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highlight w:val="none"/>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ascii="Times New Roman" w:hAnsi="Times New Roman" w:eastAsia="宋体" w:cs="Times New Roman"/>
                <w:color w:val="0D0D0D"/>
                <w:sz w:val="24"/>
                <w:szCs w:val="24"/>
                <w:highlight w:val="none"/>
              </w:rPr>
              <w:t>正本</w:t>
            </w:r>
            <w:r>
              <w:rPr>
                <w:rFonts w:hint="eastAsia" w:ascii="Times New Roman" w:hAnsi="Times New Roman" w:eastAsia="宋体" w:cs="Times New Roman"/>
                <w:color w:val="0D0D0D"/>
                <w:sz w:val="24"/>
                <w:szCs w:val="24"/>
                <w:highlight w:val="none"/>
              </w:rPr>
              <w:t>一</w:t>
            </w:r>
            <w:r>
              <w:rPr>
                <w:rFonts w:ascii="Times New Roman" w:hAnsi="Times New Roman" w:eastAsia="宋体" w:cs="Times New Roman"/>
                <w:color w:val="0D0D0D"/>
                <w:sz w:val="24"/>
                <w:szCs w:val="24"/>
                <w:highlight w:val="none"/>
              </w:rPr>
              <w:t>份</w:t>
            </w:r>
            <w:r>
              <w:rPr>
                <w:rFonts w:hint="eastAsia" w:ascii="Times New Roman" w:hAnsi="Times New Roman" w:eastAsia="宋体" w:cs="Times New Roman"/>
                <w:color w:val="0D0D0D"/>
                <w:sz w:val="24"/>
                <w:szCs w:val="24"/>
                <w:highlight w:val="none"/>
              </w:rPr>
              <w:t>，</w:t>
            </w:r>
            <w:r>
              <w:rPr>
                <w:rFonts w:ascii="Times New Roman" w:hAnsi="Times New Roman" w:eastAsia="宋体" w:cs="Times New Roman"/>
                <w:color w:val="0D0D0D"/>
                <w:sz w:val="24"/>
                <w:szCs w:val="24"/>
                <w:highlight w:val="none"/>
              </w:rPr>
              <w:t>副本</w:t>
            </w:r>
            <w:r>
              <w:rPr>
                <w:rFonts w:hint="eastAsia" w:ascii="Times New Roman" w:hAnsi="Times New Roman" w:eastAsia="宋体" w:cs="Times New Roman"/>
                <w:color w:val="0D0D0D"/>
                <w:sz w:val="24"/>
                <w:szCs w:val="24"/>
                <w:highlight w:val="none"/>
                <w:lang w:eastAsia="zh-CN"/>
              </w:rPr>
              <w:t>四</w:t>
            </w:r>
            <w:r>
              <w:rPr>
                <w:rFonts w:ascii="Times New Roman" w:hAnsi="Times New Roman" w:eastAsia="宋体" w:cs="Times New Roman"/>
                <w:color w:val="0D0D0D"/>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宋体" w:hAnsi="宋体" w:eastAsia="宋体" w:cs="宋体"/>
                <w:color w:val="0D0D0D"/>
                <w:kern w:val="0"/>
                <w:sz w:val="24"/>
                <w:szCs w:val="24"/>
                <w:highlight w:val="none"/>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FF0000"/>
                <w:sz w:val="24"/>
                <w:szCs w:val="24"/>
                <w:highlight w:val="none"/>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开标时间</w:t>
            </w:r>
            <w:r>
              <w:rPr>
                <w:rFonts w:hint="eastAsia" w:ascii="Times New Roman" w:hAnsi="宋体" w:eastAsia="宋体" w:cs="Times New Roman"/>
                <w:sz w:val="24"/>
                <w:szCs w:val="24"/>
                <w:highlight w:val="none"/>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不允许</w:t>
            </w:r>
          </w:p>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不提交</w:t>
            </w:r>
          </w:p>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宋体" w:hAnsi="宋体" w:eastAsia="宋体" w:cs="宋体"/>
                <w:color w:val="000000"/>
                <w:sz w:val="24"/>
                <w:szCs w:val="24"/>
                <w:highlight w:val="none"/>
              </w:rPr>
              <w:t>现</w:t>
            </w:r>
            <w:r>
              <w:rPr>
                <w:rFonts w:hint="eastAsia" w:ascii="宋体" w:hAnsi="宋体" w:eastAsia="宋体" w:cs="宋体"/>
                <w:sz w:val="24"/>
                <w:szCs w:val="24"/>
                <w:highlight w:val="none"/>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不组织</w:t>
            </w:r>
          </w:p>
          <w:p>
            <w:pPr>
              <w:ind w:right="-105" w:rightChars="-50"/>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highlight w:val="none"/>
              </w:rPr>
            </w:pPr>
            <w:r>
              <w:rPr>
                <w:rFonts w:hint="eastAsia" w:ascii="Times New Roman" w:hAnsi="宋体" w:eastAsia="宋体" w:cs="Times New Roman"/>
                <w:color w:val="0D0D0D"/>
                <w:sz w:val="24"/>
                <w:szCs w:val="24"/>
                <w:highlight w:val="none"/>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不允许</w:t>
            </w:r>
          </w:p>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ascii="Times New Roman" w:hAnsi="Times New Roman" w:eastAsia="宋体" w:cs="Times New Roman"/>
                <w:color w:val="0D0D0D"/>
                <w:sz w:val="24"/>
                <w:szCs w:val="24"/>
                <w:highlight w:val="none"/>
              </w:rPr>
              <w:t>综合评分法</w:t>
            </w:r>
          </w:p>
          <w:p>
            <w:pPr>
              <w:rPr>
                <w:rFonts w:ascii="Times New Roman" w:hAnsi="Times New Roman" w:eastAsia="宋体" w:cs="Times New Roman"/>
                <w:color w:val="0D0D0D"/>
                <w:sz w:val="24"/>
                <w:szCs w:val="24"/>
                <w:highlight w:val="none"/>
                <w:lang w:val="zh-CN"/>
              </w:rPr>
            </w:pPr>
            <w:r>
              <w:rPr>
                <w:rFonts w:hint="eastAsia" w:ascii="Times New Roman" w:hAnsi="Times New Roman" w:eastAsia="宋体" w:cs="Times New Roman"/>
                <w:color w:val="0D0D0D"/>
                <w:sz w:val="24"/>
                <w:szCs w:val="24"/>
                <w:highlight w:val="none"/>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highlight w:val="none"/>
              </w:rPr>
            </w:pPr>
            <w:r>
              <w:rPr>
                <w:rFonts w:hint="eastAsia" w:cs="Times New Roman" w:asciiTheme="minorEastAsia" w:hAnsiTheme="minorEastAsia"/>
                <w:color w:val="0D0D0D"/>
                <w:sz w:val="24"/>
                <w:szCs w:val="24"/>
                <w:highlight w:val="none"/>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1"/>
        <w:rPr>
          <w:rFonts w:ascii="黑体" w:hAnsi="黑体" w:eastAsia="黑体" w:cs="Times New Roman"/>
          <w:b/>
          <w:bCs/>
          <w:sz w:val="32"/>
          <w:szCs w:val="32"/>
          <w:highlight w:val="none"/>
          <w:lang w:val="zh-CN"/>
        </w:rPr>
      </w:pPr>
      <w:bookmarkStart w:id="4" w:name="_Toc494561938"/>
      <w:r>
        <w:rPr>
          <w:rFonts w:ascii="黑体" w:hAnsi="黑体" w:eastAsia="黑体" w:cs="Times New Roman"/>
          <w:b/>
          <w:bCs/>
          <w:sz w:val="32"/>
          <w:szCs w:val="32"/>
          <w:highlight w:val="none"/>
          <w:lang w:val="zh-CN"/>
        </w:rPr>
        <w:br w:type="page"/>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5" w:name="_Toc495861520"/>
      <w:r>
        <w:rPr>
          <w:rFonts w:hint="eastAsia" w:cs="Times New Roman" w:asciiTheme="majorEastAsia" w:hAnsiTheme="majorEastAsia"/>
          <w:bCs w:val="0"/>
          <w:lang w:val="zh-CN"/>
        </w:rPr>
        <w:t>说  明</w:t>
      </w:r>
      <w:bookmarkEnd w:id="4"/>
      <w:bookmarkEnd w:id="5"/>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color w:val="auto"/>
          <w:sz w:val="24"/>
          <w:szCs w:val="24"/>
          <w:lang w:val="zh-CN"/>
        </w:rPr>
        <w:t>阳新县政府采购办公室、阳新县公共资源交易监督管理局。</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ascii="宋体" w:hAnsi="宋体" w:eastAsia="宋体" w:cs="Times New Roman"/>
          <w:b/>
          <w:color w:val="0D0D0D" w:themeColor="text1" w:themeTint="F2"/>
          <w:sz w:val="24"/>
          <w:szCs w:val="24"/>
          <w:u w:val="single"/>
          <w:lang w:eastAsia="zh-CN"/>
          <w14:textFill>
            <w14:solidFill>
              <w14:schemeClr w14:val="tx1">
                <w14:lumMod w14:val="95000"/>
                <w14:lumOff w14:val="5000"/>
              </w14:schemeClr>
            </w14:solidFill>
          </w14:textFill>
        </w:rPr>
        <w:t>广州穗科建设管理有限公司</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7"/>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9"/>
        </w:numPr>
        <w:spacing w:line="360" w:lineRule="auto"/>
        <w:ind w:left="854"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D0D0D" w:themeColor="text1" w:themeTint="F2"/>
          <w:sz w:val="24"/>
          <w:szCs w:val="24"/>
          <w:lang w:val="zh-CN"/>
          <w14:textFill>
            <w14:solidFill>
              <w14:schemeClr w14:val="tx1">
                <w14:lumMod w14:val="95000"/>
                <w14:lumOff w14:val="5000"/>
              </w14:schemeClr>
            </w14:solidFill>
          </w14:textFill>
        </w:rPr>
        <w:t>是指：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keepNext w:val="0"/>
        <w:keepLines w:val="0"/>
        <w:pageBreakBefore w:val="0"/>
        <w:widowControl w:val="0"/>
        <w:numPr>
          <w:ilvl w:val="0"/>
          <w:numId w:val="10"/>
        </w:numPr>
        <w:kinsoku/>
        <w:wordWrap/>
        <w:overflowPunct/>
        <w:topLinePunct w:val="0"/>
        <w:autoSpaceDE/>
        <w:autoSpaceDN/>
        <w:bidi w:val="0"/>
        <w:spacing w:line="440" w:lineRule="exact"/>
        <w:ind w:left="476" w:hanging="476"/>
        <w:textAlignment w:val="auto"/>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44"/>
        <w:keepNext w:val="0"/>
        <w:keepLines w:val="0"/>
        <w:pageBreakBefore w:val="0"/>
        <w:widowControl w:val="0"/>
        <w:numPr>
          <w:ilvl w:val="0"/>
          <w:numId w:val="10"/>
        </w:numPr>
        <w:kinsoku/>
        <w:wordWrap/>
        <w:overflowPunct/>
        <w:topLinePunct w:val="0"/>
        <w:autoSpaceDE/>
        <w:autoSpaceDN/>
        <w:bidi w:val="0"/>
        <w:adjustRightInd w:val="0"/>
        <w:snapToGrid w:val="0"/>
        <w:spacing w:line="440" w:lineRule="exact"/>
        <w:ind w:firstLineChars="0"/>
        <w:textAlignment w:val="auto"/>
        <w:rPr>
          <w:rFonts w:ascii="宋体" w:hAnsi="宋体"/>
          <w:bCs/>
          <w:sz w:val="24"/>
          <w:szCs w:val="24"/>
        </w:rPr>
      </w:pPr>
      <w:r>
        <w:rPr>
          <w:rFonts w:hint="eastAsia" w:ascii="宋体" w:hAnsi="宋体"/>
          <w:sz w:val="24"/>
          <w:szCs w:val="24"/>
        </w:rPr>
        <w:t>采购代理服务费</w:t>
      </w:r>
    </w:p>
    <w:p>
      <w:pPr>
        <w:pStyle w:val="44"/>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宋体" w:hAnsi="宋体"/>
          <w:b/>
          <w:sz w:val="24"/>
          <w:szCs w:val="24"/>
        </w:rPr>
      </w:pPr>
      <w:r>
        <w:rPr>
          <w:rFonts w:hint="eastAsia" w:ascii="宋体" w:hAnsi="宋体"/>
          <w:b/>
          <w:sz w:val="24"/>
          <w:szCs w:val="24"/>
          <w:lang w:val="en-US" w:eastAsia="zh-CN"/>
        </w:rPr>
        <w:t>4.2.1</w:t>
      </w:r>
      <w:r>
        <w:rPr>
          <w:rFonts w:hint="eastAsia" w:ascii="宋体" w:hAnsi="宋体"/>
          <w:b/>
          <w:sz w:val="24"/>
          <w:szCs w:val="24"/>
        </w:rPr>
        <w:t>经过采购代理机构与采购人协议，规定由中标单位支付。采购代理服务费收费标准如下：</w:t>
      </w:r>
    </w:p>
    <w:p>
      <w:pPr>
        <w:pStyle w:val="44"/>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宋体" w:hAnsi="宋体"/>
          <w:b/>
          <w:sz w:val="24"/>
          <w:szCs w:val="24"/>
        </w:rPr>
      </w:pPr>
    </w:p>
    <w:tbl>
      <w:tblPr>
        <w:tblStyle w:val="22"/>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BGc6zR&#10;AAAACQEAAA8AAAAAAAAAAQAgAAAAIgAAAGRycy9kb3ducmV2LnhtbFBLAQIUABQAAAAIAIdO4kC2&#10;DvWT7gEAAPMDAAAOAAAAAAAAAAEAIAAAACABAABkcnMvZTJvRG9jLnhtbFBLBQYAAAAABgAGAFkB&#10;AACA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4uAobV&#10;AAAACAEAAA8AAAAAAAAAAQAgAAAAIgAAAGRycy9kb3ducmV2LnhtbFBLAQIUABQAAAAIAIdO4kB8&#10;jt2F6gEAAPMDAAAOAAAAAAAAAAEAIAAAACQBAABkcnMvZTJvRG9jLnhtbFBLBQYAAAAABgAGAFkB&#10;AACA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uR037VAAAACQEAAA8AAAAAAAAAAQAg&#10;AAAAIgAAAGRycy9kb3ducmV2LnhtbFBLAQIUABQAAAAIAIdO4kDNgef12AEAANY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w:t>
            </w:r>
            <w:r>
              <w:rPr>
                <w:rFonts w:hint="eastAsia" w:ascii="宋体" w:hAnsi="宋体" w:cs="宋体"/>
                <w:sz w:val="24"/>
                <w:szCs w:val="24"/>
                <w:lang w:val="en-US" w:eastAsia="zh-CN"/>
              </w:rPr>
              <w:t>8</w:t>
            </w:r>
            <w:r>
              <w:rPr>
                <w:rFonts w:hint="eastAsia" w:ascii="宋体" w:hAnsi="宋体" w:cs="宋体"/>
                <w:sz w:val="24"/>
                <w:szCs w:val="24"/>
              </w:rPr>
              <w:t>%</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44"/>
        <w:adjustRightInd w:val="0"/>
        <w:snapToGrid w:val="0"/>
        <w:spacing w:line="300" w:lineRule="auto"/>
        <w:ind w:left="420" w:firstLine="0" w:firstLineChars="0"/>
        <w:rPr>
          <w:rFonts w:ascii="宋体" w:hAnsi="宋体"/>
          <w:b/>
          <w:sz w:val="24"/>
          <w:szCs w:val="24"/>
        </w:rPr>
      </w:pPr>
    </w:p>
    <w:p>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ascii="宋体" w:hAnsi="宋体"/>
          <w:b/>
          <w:sz w:val="24"/>
          <w:szCs w:val="24"/>
        </w:rPr>
      </w:pPr>
      <w:r>
        <w:rPr>
          <w:rFonts w:hint="eastAsia" w:ascii="宋体" w:hAnsi="宋体"/>
          <w:b/>
          <w:sz w:val="24"/>
          <w:szCs w:val="24"/>
          <w:lang w:val="en-US" w:eastAsia="zh-CN"/>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6" w:name="_Toc495861521"/>
      <w:bookmarkStart w:id="7" w:name="_Toc272247695"/>
      <w:bookmarkStart w:id="8" w:name="_Toc278891592"/>
      <w:bookmarkStart w:id="9" w:name="_Toc494561939"/>
      <w:r>
        <w:rPr>
          <w:rFonts w:hint="eastAsia" w:cs="Times New Roman" w:asciiTheme="majorEastAsia" w:hAnsiTheme="majorEastAsia"/>
          <w:bCs w:val="0"/>
          <w:lang w:val="zh-CN"/>
        </w:rPr>
        <w:t>招标文件</w:t>
      </w:r>
      <w:bookmarkEnd w:id="6"/>
      <w:bookmarkEnd w:id="7"/>
      <w:bookmarkEnd w:id="8"/>
      <w:bookmarkEnd w:id="9"/>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2"/>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0" w:name="_Toc494561940"/>
      <w:bookmarkStart w:id="11" w:name="_Toc495861522"/>
      <w:bookmarkStart w:id="12" w:name="_Toc272247696"/>
      <w:bookmarkStart w:id="13" w:name="_Toc278891593"/>
      <w:r>
        <w:rPr>
          <w:rFonts w:hint="eastAsia" w:cs="Times New Roman" w:asciiTheme="majorEastAsia" w:hAnsiTheme="majorEastAsia"/>
          <w:bCs w:val="0"/>
          <w:lang w:val="zh-CN"/>
        </w:rPr>
        <w:t>投标文件</w:t>
      </w:r>
      <w:bookmarkEnd w:id="10"/>
      <w:bookmarkEnd w:id="11"/>
      <w:bookmarkEnd w:id="12"/>
      <w:bookmarkEnd w:id="13"/>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4"/>
        </w:numPr>
        <w:spacing w:line="360" w:lineRule="auto"/>
        <w:ind w:left="616" w:hanging="616"/>
        <w:rPr>
          <w:rFonts w:cs="Times New Roman" w:asciiTheme="minorEastAsia" w:hAnsiTheme="minorEastAsia"/>
          <w:color w:val="FF0000"/>
          <w:sz w:val="24"/>
          <w:szCs w:val="24"/>
          <w:lang w:val="zh-CN"/>
        </w:rPr>
      </w:pPr>
      <w:r>
        <w:rPr>
          <w:rFonts w:hint="eastAsia" w:cs="Times New Roman" w:asciiTheme="minorEastAsia" w:hAnsiTheme="minorEastAsia"/>
          <w:b w:val="0"/>
          <w:bCs w:val="0"/>
          <w:color w:val="auto"/>
          <w:sz w:val="24"/>
          <w:szCs w:val="24"/>
          <w:lang w:val="zh-CN"/>
        </w:rPr>
        <w:t>招标文件有分包要求，投标人对招标文件中多个包进行投标的，其投标文件的编制应按每包要求分别装订和封装，</w:t>
      </w:r>
      <w:r>
        <w:rPr>
          <w:rFonts w:hint="eastAsia" w:cs="Times New Roman" w:asciiTheme="minorEastAsia" w:hAnsiTheme="minorEastAsia"/>
          <w:b/>
          <w:bCs/>
          <w:color w:val="FF0000"/>
          <w:sz w:val="24"/>
          <w:szCs w:val="24"/>
          <w:lang w:val="zh-CN"/>
        </w:rPr>
        <w:t>并注明对应包号</w:t>
      </w:r>
      <w:r>
        <w:rPr>
          <w:rFonts w:hint="eastAsia" w:cs="Times New Roman" w:asciiTheme="minorEastAsia" w:hAnsiTheme="minorEastAsia"/>
          <w:b w:val="0"/>
          <w:bCs w:val="0"/>
          <w:color w:val="auto"/>
          <w:sz w:val="24"/>
          <w:szCs w:val="24"/>
          <w:lang w:val="zh-CN"/>
        </w:rPr>
        <w:t>。</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w:t>
      </w:r>
      <w:r>
        <w:rPr>
          <w:rFonts w:hint="eastAsia" w:cs="Times New Roman" w:asciiTheme="minorEastAsia" w:hAnsiTheme="minorEastAsia"/>
          <w:sz w:val="24"/>
          <w:szCs w:val="24"/>
          <w:lang w:val="zh-CN"/>
        </w:rPr>
        <w:t>若有虚假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，将依法承担相应责任。投标人应自觉接受采购代理机构对其中任何资料进一步核实的要求。</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spacing w:line="360" w:lineRule="auto"/>
        <w:ind w:left="566" w:hanging="564" w:hangingChars="235"/>
        <w:rPr>
          <w:rFonts w:ascii="宋体" w:hAnsi="宋体" w:eastAsia="宋体" w:cs="Times New Roman"/>
          <w:b/>
          <w:sz w:val="24"/>
          <w:szCs w:val="20"/>
        </w:rPr>
      </w:pPr>
      <w:r>
        <w:rPr>
          <w:rFonts w:hint="eastAsia" w:cs="Times New Roman" w:asciiTheme="minorEastAsia" w:hAnsiTheme="minorEastAsia"/>
          <w:b/>
          <w:sz w:val="24"/>
          <w:szCs w:val="24"/>
        </w:rPr>
        <w:t>11.7</w:t>
      </w:r>
      <w:r>
        <w:rPr>
          <w:rFonts w:hint="eastAsia" w:cs="Times New Roman" w:asciiTheme="minorEastAsia" w:hAnsiTheme="minorEastAsia"/>
          <w:b/>
          <w:sz w:val="24"/>
          <w:szCs w:val="24"/>
          <w:lang w:val="en-US" w:eastAsia="zh-CN"/>
        </w:rPr>
        <w:t xml:space="preserve"> </w:t>
      </w:r>
      <w:r>
        <w:rPr>
          <w:rFonts w:hint="eastAsia" w:cs="Times New Roman"/>
          <w:b/>
          <w:color w:val="FF0000"/>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w:t>
      </w:r>
      <w:r>
        <w:rPr>
          <w:rFonts w:hint="eastAsia" w:ascii="宋体" w:hAnsi="宋体" w:cs="Times New Roman"/>
          <w:b/>
          <w:color w:val="FF0000"/>
          <w:sz w:val="24"/>
          <w:szCs w:val="20"/>
          <w:lang w:val="zh-CN"/>
        </w:rPr>
        <w:t>各部分文件及内容详见第七章“投标文件格式”要求。</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6"/>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6"/>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6"/>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两个及以上投标人可以组成一个联合体，以一个投标人的身份共同参与投标。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6"/>
        </w:numPr>
        <w:spacing w:line="360" w:lineRule="auto"/>
        <w:ind w:left="560" w:hanging="560"/>
        <w:rPr>
          <w:rFonts w:ascii="宋体" w:hAnsi="宋体"/>
          <w:b/>
          <w:bCs/>
          <w:color w:val="FF0000"/>
          <w:sz w:val="24"/>
          <w:szCs w:val="24"/>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（交纳金额及账户信息详见本章“投标须知前附表”中规定）。</w:t>
      </w:r>
      <w:r>
        <w:rPr>
          <w:rFonts w:hint="eastAsia" w:ascii="宋体" w:hAnsi="宋体"/>
          <w:b/>
          <w:bCs/>
          <w:color w:val="FF0000"/>
          <w:sz w:val="24"/>
          <w:szCs w:val="24"/>
          <w:lang w:val="zh-CN"/>
        </w:rPr>
        <w:t>本项目不收取投标保证金。</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spacing w:line="360" w:lineRule="auto"/>
        <w:ind w:left="720" w:hanging="720" w:hangingChars="300"/>
        <w:rPr>
          <w:rFonts w:hint="eastAsia" w:ascii="宋体" w:hAnsi="宋体" w:cs="Times New Roman"/>
          <w:color w:val="auto"/>
          <w:sz w:val="24"/>
          <w:szCs w:val="20"/>
          <w:lang w:val="zh-CN"/>
        </w:rPr>
      </w:pPr>
      <w:r>
        <w:rPr>
          <w:rFonts w:ascii="宋体" w:hAnsi="宋体" w:cs="Times New Roman"/>
          <w:color w:val="auto"/>
          <w:sz w:val="24"/>
          <w:szCs w:val="20"/>
        </w:rPr>
        <w:t>20.1</w:t>
      </w:r>
      <w:r>
        <w:rPr>
          <w:rFonts w:hint="eastAsia" w:ascii="宋体" w:hAnsi="宋体" w:cs="Times New Roman"/>
          <w:color w:val="auto"/>
          <w:sz w:val="24"/>
          <w:szCs w:val="20"/>
        </w:rPr>
        <w:t xml:space="preserve"> </w:t>
      </w:r>
      <w:r>
        <w:rPr>
          <w:rFonts w:hint="eastAsia" w:ascii="宋体" w:hAnsi="宋体" w:cs="Times New Roman"/>
          <w:color w:val="auto"/>
          <w:sz w:val="24"/>
          <w:szCs w:val="20"/>
          <w:lang w:val="zh-CN"/>
        </w:rPr>
        <w:t>投标人应将投标文件第一部分资格证明文件、第二部分商务文件、第三部分技术、服</w:t>
      </w:r>
    </w:p>
    <w:p>
      <w:pPr>
        <w:spacing w:line="360" w:lineRule="auto"/>
        <w:ind w:left="718" w:leftChars="342" w:firstLine="0" w:firstLineChars="0"/>
        <w:rPr>
          <w:rFonts w:ascii="宋体" w:hAnsi="宋体" w:cs="Times New Roman"/>
          <w:color w:val="auto"/>
          <w:sz w:val="24"/>
          <w:szCs w:val="20"/>
          <w:lang w:val="zh-CN"/>
        </w:rPr>
      </w:pPr>
      <w:r>
        <w:rPr>
          <w:rFonts w:hint="eastAsia" w:ascii="宋体" w:hAnsi="宋体" w:cs="Times New Roman"/>
          <w:color w:val="auto"/>
          <w:sz w:val="24"/>
          <w:szCs w:val="20"/>
          <w:lang w:val="zh-CN"/>
        </w:rPr>
        <w:t>务文件</w:t>
      </w:r>
      <w:r>
        <w:rPr>
          <w:rFonts w:hint="eastAsia" w:ascii="宋体" w:hAnsi="宋体" w:cs="Times New Roman"/>
          <w:b/>
          <w:color w:val="auto"/>
          <w:sz w:val="24"/>
          <w:szCs w:val="20"/>
          <w:lang w:val="zh-CN"/>
        </w:rPr>
        <w:t>一起合并装订成一本投标文件</w:t>
      </w:r>
      <w:r>
        <w:rPr>
          <w:rFonts w:hint="eastAsia" w:ascii="宋体" w:hAnsi="宋体" w:cs="Times New Roman"/>
          <w:b/>
          <w:color w:val="FF0000"/>
          <w:sz w:val="24"/>
          <w:szCs w:val="20"/>
          <w:lang w:val="zh-CN"/>
        </w:rPr>
        <w:t>（标注对应包号）</w:t>
      </w:r>
      <w:r>
        <w:rPr>
          <w:rFonts w:hint="eastAsia" w:ascii="宋体" w:hAnsi="宋体" w:cs="Times New Roman"/>
          <w:b/>
          <w:color w:val="auto"/>
          <w:sz w:val="24"/>
          <w:szCs w:val="20"/>
          <w:lang w:val="zh-CN"/>
        </w:rPr>
        <w:t>，一起封装。</w:t>
      </w:r>
    </w:p>
    <w:p>
      <w:pPr>
        <w:spacing w:line="360" w:lineRule="auto"/>
        <w:ind w:left="720" w:hanging="720" w:hangingChars="300"/>
        <w:rPr>
          <w:rFonts w:hint="eastAsia" w:ascii="宋体" w:hAnsi="宋体" w:cs="Times New Roman"/>
          <w:color w:val="auto"/>
          <w:sz w:val="24"/>
          <w:szCs w:val="20"/>
          <w:lang w:val="zh-CN"/>
        </w:rPr>
      </w:pPr>
      <w:r>
        <w:rPr>
          <w:rFonts w:ascii="宋体" w:hAnsi="宋体" w:cs="Times New Roman"/>
          <w:color w:val="auto"/>
          <w:sz w:val="24"/>
          <w:szCs w:val="20"/>
        </w:rPr>
        <w:t>20.2</w:t>
      </w:r>
      <w:r>
        <w:rPr>
          <w:rFonts w:hint="eastAsia" w:ascii="宋体" w:hAnsi="宋体" w:cs="Times New Roman"/>
          <w:color w:val="auto"/>
          <w:sz w:val="24"/>
          <w:szCs w:val="20"/>
        </w:rPr>
        <w:t xml:space="preserve"> </w:t>
      </w:r>
      <w:r>
        <w:rPr>
          <w:rFonts w:hint="eastAsia" w:ascii="宋体" w:hAnsi="宋体" w:cs="Times New Roman"/>
          <w:color w:val="auto"/>
          <w:sz w:val="24"/>
          <w:szCs w:val="20"/>
          <w:lang w:val="zh-CN"/>
        </w:rPr>
        <w:t>投标人应将投标文件</w:t>
      </w:r>
      <w:r>
        <w:rPr>
          <w:rFonts w:hint="eastAsia" w:ascii="宋体" w:hAnsi="宋体" w:cs="Times New Roman"/>
          <w:b/>
          <w:color w:val="auto"/>
          <w:sz w:val="24"/>
          <w:szCs w:val="20"/>
          <w:lang w:val="zh-CN"/>
        </w:rPr>
        <w:t>正本和副本</w:t>
      </w:r>
      <w:r>
        <w:rPr>
          <w:rFonts w:hint="eastAsia" w:ascii="宋体" w:hAnsi="宋体" w:cs="Times New Roman"/>
          <w:color w:val="auto"/>
          <w:sz w:val="24"/>
          <w:szCs w:val="20"/>
          <w:lang w:val="zh-CN"/>
        </w:rPr>
        <w:t>分开密封装在单独的封包中，并在封包上标明“正</w:t>
      </w:r>
    </w:p>
    <w:p>
      <w:pPr>
        <w:spacing w:line="360" w:lineRule="auto"/>
        <w:ind w:left="718" w:leftChars="342" w:firstLine="0" w:firstLineChars="0"/>
        <w:rPr>
          <w:rFonts w:ascii="宋体" w:hAnsi="宋体" w:cs="Times New Roman"/>
          <w:color w:val="auto"/>
          <w:sz w:val="24"/>
          <w:szCs w:val="20"/>
          <w:lang w:val="zh-CN"/>
        </w:rPr>
      </w:pPr>
      <w:r>
        <w:rPr>
          <w:rFonts w:hint="eastAsia" w:ascii="宋体" w:hAnsi="宋体" w:cs="Times New Roman"/>
          <w:color w:val="auto"/>
          <w:sz w:val="24"/>
          <w:szCs w:val="20"/>
          <w:lang w:val="zh-CN"/>
        </w:rPr>
        <w:t>本”、“副本”字样。</w:t>
      </w:r>
    </w:p>
    <w:p>
      <w:pPr>
        <w:spacing w:line="360" w:lineRule="auto"/>
        <w:ind w:left="720" w:hanging="720" w:hangingChars="300"/>
        <w:rPr>
          <w:rFonts w:ascii="宋体" w:hAnsi="宋体" w:cs="Times New Roman"/>
          <w:color w:val="auto"/>
          <w:sz w:val="24"/>
          <w:szCs w:val="20"/>
          <w:lang w:val="zh-CN"/>
        </w:rPr>
      </w:pPr>
      <w:r>
        <w:rPr>
          <w:rFonts w:ascii="宋体" w:hAnsi="宋体" w:cs="Times New Roman"/>
          <w:color w:val="auto"/>
          <w:sz w:val="24"/>
          <w:szCs w:val="20"/>
        </w:rPr>
        <w:t>20.3</w:t>
      </w:r>
      <w:r>
        <w:rPr>
          <w:rFonts w:hint="eastAsia" w:ascii="宋体" w:hAnsi="宋体" w:cs="Times New Roman" w:eastAsiaTheme="minorEastAsia"/>
          <w:color w:val="auto"/>
          <w:spacing w:val="-6"/>
          <w:sz w:val="24"/>
          <w:szCs w:val="20"/>
          <w:lang w:val="zh-CN"/>
        </w:rPr>
        <w:t>如果未按要求加写密封、标记或存在错误，采购代理机构对其误投或提前启封概不负责。</w:t>
      </w:r>
    </w:p>
    <w:p>
      <w:pPr>
        <w:spacing w:line="360" w:lineRule="auto"/>
        <w:ind w:left="720" w:hanging="720" w:hangingChars="300"/>
        <w:rPr>
          <w:rFonts w:hint="eastAsia" w:ascii="宋体" w:hAnsi="宋体" w:cs="Times New Roman"/>
          <w:color w:val="auto"/>
          <w:sz w:val="24"/>
          <w:szCs w:val="20"/>
        </w:rPr>
      </w:pPr>
      <w:r>
        <w:rPr>
          <w:rFonts w:hint="eastAsia" w:ascii="宋体" w:hAnsi="宋体" w:cs="Times New Roman"/>
          <w:color w:val="auto"/>
          <w:sz w:val="24"/>
          <w:szCs w:val="20"/>
        </w:rPr>
        <w:t>2</w:t>
      </w:r>
      <w:r>
        <w:rPr>
          <w:rFonts w:ascii="宋体" w:hAnsi="宋体" w:cs="Times New Roman"/>
          <w:color w:val="auto"/>
          <w:sz w:val="24"/>
          <w:szCs w:val="20"/>
        </w:rPr>
        <w:t>0.4</w:t>
      </w:r>
      <w:r>
        <w:rPr>
          <w:rFonts w:hint="eastAsia" w:ascii="宋体" w:hAnsi="宋体" w:cs="Times New Roman"/>
          <w:color w:val="auto"/>
          <w:sz w:val="24"/>
          <w:szCs w:val="20"/>
        </w:rPr>
        <w:t>为方便开标时唱标，投标人应将《开标一览表》原件一份</w:t>
      </w:r>
      <w:r>
        <w:rPr>
          <w:rFonts w:hint="eastAsia" w:ascii="宋体" w:hAnsi="宋体" w:cs="Times New Roman"/>
          <w:color w:val="auto"/>
          <w:spacing w:val="-6"/>
          <w:kern w:val="0"/>
          <w:sz w:val="24"/>
          <w:szCs w:val="20"/>
        </w:rPr>
        <w:t>装入一个信封，单独密封提交</w:t>
      </w:r>
      <w:r>
        <w:rPr>
          <w:rFonts w:hint="eastAsia" w:ascii="宋体" w:hAnsi="宋体" w:cs="Times New Roman"/>
          <w:color w:val="auto"/>
          <w:sz w:val="24"/>
          <w:szCs w:val="20"/>
        </w:rPr>
        <w:t>，</w:t>
      </w:r>
    </w:p>
    <w:p>
      <w:pPr>
        <w:spacing w:line="360" w:lineRule="auto"/>
        <w:ind w:left="718" w:leftChars="342" w:firstLine="0" w:firstLineChars="0"/>
        <w:rPr>
          <w:rFonts w:ascii="宋体" w:hAnsi="宋体" w:cs="Times New Roman"/>
          <w:b/>
          <w:color w:val="auto"/>
          <w:sz w:val="24"/>
          <w:szCs w:val="20"/>
        </w:rPr>
      </w:pPr>
      <w:r>
        <w:rPr>
          <w:rFonts w:hint="eastAsia" w:ascii="宋体" w:hAnsi="宋体" w:cs="Times New Roman"/>
          <w:color w:val="auto"/>
          <w:sz w:val="24"/>
          <w:szCs w:val="20"/>
        </w:rPr>
        <w:t>并在信封上注明“开标一览表”字样。未单独提交或单独提交的上述资料未按照招标文件规定的格式填写完整并签字、盖章的采购代理机构</w:t>
      </w:r>
      <w:r>
        <w:rPr>
          <w:rFonts w:hint="eastAsia" w:ascii="宋体" w:hAnsi="宋体" w:cs="Times New Roman"/>
          <w:b/>
          <w:color w:val="auto"/>
          <w:sz w:val="24"/>
          <w:szCs w:val="20"/>
        </w:rPr>
        <w:t>拒绝</w:t>
      </w:r>
      <w:r>
        <w:rPr>
          <w:rFonts w:hint="eastAsia" w:ascii="宋体" w:hAnsi="宋体" w:cs="Times New Roman"/>
          <w:color w:val="auto"/>
          <w:sz w:val="24"/>
          <w:szCs w:val="20"/>
        </w:rPr>
        <w:t>其投标。</w:t>
      </w:r>
    </w:p>
    <w:p>
      <w:pPr>
        <w:spacing w:line="360" w:lineRule="auto"/>
        <w:ind w:left="720" w:hanging="720" w:hangingChars="300"/>
        <w:rPr>
          <w:rFonts w:ascii="宋体" w:hAnsi="宋体" w:cs="Times New Roman"/>
          <w:color w:val="auto"/>
          <w:sz w:val="24"/>
          <w:szCs w:val="20"/>
        </w:rPr>
      </w:pPr>
      <w:r>
        <w:rPr>
          <w:rFonts w:hint="eastAsia" w:ascii="宋体" w:hAnsi="宋体" w:cs="Times New Roman"/>
          <w:color w:val="auto"/>
          <w:sz w:val="24"/>
          <w:szCs w:val="20"/>
        </w:rPr>
        <w:t>2</w:t>
      </w:r>
      <w:r>
        <w:rPr>
          <w:rFonts w:ascii="宋体" w:hAnsi="宋体" w:cs="Times New Roman"/>
          <w:color w:val="auto"/>
          <w:sz w:val="24"/>
          <w:szCs w:val="20"/>
        </w:rPr>
        <w:t>0.5</w:t>
      </w:r>
      <w:r>
        <w:rPr>
          <w:rFonts w:hint="eastAsia" w:ascii="宋体" w:hAnsi="宋体" w:cs="Times New Roman"/>
          <w:color w:val="auto"/>
          <w:sz w:val="24"/>
          <w:szCs w:val="20"/>
        </w:rPr>
        <w:t>“开标一览表”信封和投标文件各部分的封包上还应注明采购项目编号、项目名称、</w:t>
      </w:r>
      <w:r>
        <w:rPr>
          <w:rFonts w:hint="eastAsia" w:ascii="宋体" w:hAnsi="宋体" w:cs="Times New Roman"/>
          <w:color w:val="auto"/>
          <w:sz w:val="24"/>
          <w:szCs w:val="20"/>
          <w:lang w:eastAsia="zh-CN"/>
        </w:rPr>
        <w:t>包号、</w:t>
      </w:r>
      <w:r>
        <w:rPr>
          <w:rFonts w:hint="eastAsia" w:ascii="宋体" w:hAnsi="宋体" w:cs="Times New Roman"/>
          <w:color w:val="auto"/>
          <w:sz w:val="24"/>
          <w:szCs w:val="20"/>
        </w:rPr>
        <w:t>投标内容和有“在（招标文件中规定的开标日期和时间）之前不得启封”的字样，封口处加盖投标人公章。</w:t>
      </w:r>
    </w:p>
    <w:p>
      <w:pPr>
        <w:spacing w:line="360" w:lineRule="auto"/>
        <w:rPr>
          <w:rFonts w:ascii="宋体" w:hAnsi="宋体" w:cs="Times New Roman"/>
          <w:color w:val="auto"/>
          <w:sz w:val="24"/>
          <w:szCs w:val="20"/>
        </w:rPr>
      </w:pPr>
      <w:r>
        <w:rPr>
          <w:rFonts w:hint="eastAsia" w:ascii="宋体" w:hAnsi="宋体" w:cs="Times New Roman"/>
          <w:color w:val="auto"/>
          <w:sz w:val="24"/>
          <w:szCs w:val="20"/>
        </w:rPr>
        <w:t>2</w:t>
      </w:r>
      <w:r>
        <w:rPr>
          <w:rFonts w:ascii="宋体" w:hAnsi="宋体" w:cs="Times New Roman"/>
          <w:color w:val="auto"/>
          <w:sz w:val="24"/>
          <w:szCs w:val="20"/>
        </w:rPr>
        <w:t>0.6</w:t>
      </w:r>
      <w:r>
        <w:rPr>
          <w:rFonts w:hint="eastAsia" w:ascii="宋体" w:hAnsi="宋体" w:cs="Times New Roman"/>
          <w:color w:val="auto"/>
          <w:sz w:val="24"/>
          <w:szCs w:val="20"/>
        </w:rPr>
        <w:t>未按要求密封、标记或存在错误，采购代理机构对其误投或提前启封概不负责。</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1"/>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ascii="Helvetica" w:hAnsi="Helvetica" w:eastAsia="宋体" w:cs="Helvetica"/>
          <w:color w:val="auto"/>
          <w:kern w:val="0"/>
          <w:sz w:val="24"/>
          <w:szCs w:val="24"/>
          <w:lang w:val="zh-CN"/>
        </w:rPr>
        <w:t>采购代理机构规定的投标地点。</w:t>
      </w:r>
    </w:p>
    <w:p>
      <w:pPr>
        <w:numPr>
          <w:ilvl w:val="0"/>
          <w:numId w:val="21"/>
        </w:numPr>
        <w:spacing w:line="360" w:lineRule="auto"/>
        <w:ind w:left="616" w:hanging="616"/>
        <w:rPr>
          <w:rFonts w:ascii="Helvetica" w:hAnsi="Helvetica" w:eastAsia="宋体" w:cs="Helvetica"/>
          <w:b/>
          <w:color w:val="auto"/>
          <w:kern w:val="0"/>
          <w:sz w:val="24"/>
          <w:szCs w:val="24"/>
          <w:lang w:val="zh-CN"/>
        </w:rPr>
      </w:pPr>
      <w:r>
        <w:rPr>
          <w:rFonts w:hint="eastAsia" w:ascii="Helvetica" w:hAnsi="Helvetica" w:eastAsia="宋体" w:cs="Helvetica"/>
          <w:color w:val="auto"/>
          <w:kern w:val="0"/>
          <w:sz w:val="24"/>
          <w:szCs w:val="24"/>
          <w:lang w:val="zh-CN"/>
        </w:rPr>
        <w:t>采购代理机构</w:t>
      </w:r>
      <w:r>
        <w:rPr>
          <w:rFonts w:hint="eastAsia" w:ascii="Helvetica" w:hAnsi="Helvetica" w:eastAsia="宋体" w:cs="Helvetica"/>
          <w:b/>
          <w:color w:val="auto"/>
          <w:kern w:val="0"/>
          <w:sz w:val="24"/>
          <w:szCs w:val="24"/>
          <w:lang w:val="zh-CN"/>
        </w:rPr>
        <w:t>拒收逾期送达或者未按招标文件要求密封的投标文件。</w:t>
      </w:r>
    </w:p>
    <w:p>
      <w:pPr>
        <w:numPr>
          <w:ilvl w:val="0"/>
          <w:numId w:val="21"/>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color w:val="auto"/>
          <w:kern w:val="0"/>
          <w:sz w:val="24"/>
          <w:szCs w:val="24"/>
          <w:lang w:val="zh-CN"/>
        </w:rPr>
        <w:t>采购代理机构</w:t>
      </w:r>
      <w:r>
        <w:rPr>
          <w:rFonts w:ascii="Helvetica" w:hAnsi="Helvetica" w:eastAsia="宋体" w:cs="Helvetica"/>
          <w:color w:val="auto"/>
          <w:kern w:val="0"/>
          <w:sz w:val="24"/>
          <w:szCs w:val="24"/>
          <w:lang w:val="zh-CN"/>
        </w:rPr>
        <w:t>收</w:t>
      </w:r>
      <w:r>
        <w:rPr>
          <w:rFonts w:ascii="Helvetica" w:hAnsi="Helvetica" w:eastAsia="宋体" w:cs="Helvetica"/>
          <w:kern w:val="0"/>
          <w:sz w:val="24"/>
          <w:szCs w:val="24"/>
          <w:lang w:val="zh-CN"/>
        </w:rPr>
        <w:t>到投标文件后，应当如实记载投标文件的送达时间和密封情况，签收保存，并向投标人出具签收回执。</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2"/>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4" w:name="_Toc494561942"/>
      <w:bookmarkStart w:id="15" w:name="_Toc278891595"/>
      <w:bookmarkStart w:id="16" w:name="_Toc272247698"/>
      <w:bookmarkStart w:id="17" w:name="_Toc495861523"/>
      <w:r>
        <w:rPr>
          <w:rFonts w:hint="eastAsia" w:cs="Times New Roman" w:asciiTheme="majorEastAsia" w:hAnsiTheme="majorEastAsia"/>
          <w:bCs w:val="0"/>
          <w:lang w:val="zh-CN"/>
        </w:rPr>
        <w:t>开标与评标</w:t>
      </w:r>
      <w:bookmarkEnd w:id="14"/>
      <w:bookmarkEnd w:id="15"/>
      <w:bookmarkEnd w:id="16"/>
      <w:bookmarkEnd w:id="1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3"/>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auto"/>
          <w:kern w:val="0"/>
          <w:sz w:val="24"/>
          <w:szCs w:val="24"/>
          <w:lang w:val="zh-CN"/>
        </w:rPr>
        <w:t>采购代理机构</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w:t>
      </w:r>
      <w:r>
        <w:rPr>
          <w:rFonts w:hint="eastAsia" w:ascii="宋体" w:hAnsi="宋体" w:eastAsia="宋体" w:cs="Times New Roman"/>
          <w:b/>
          <w:bCs/>
          <w:sz w:val="24"/>
          <w:szCs w:val="20"/>
          <w:lang w:val="zh-CN"/>
        </w:rPr>
        <w:t>身份证明（</w:t>
      </w:r>
      <w:r>
        <w:rPr>
          <w:rFonts w:hint="eastAsia" w:ascii="宋体" w:hAnsi="宋体" w:eastAsia="宋体" w:cs="Times New Roman"/>
          <w:b/>
          <w:bCs/>
          <w:color w:val="FF0000"/>
          <w:sz w:val="24"/>
          <w:szCs w:val="20"/>
          <w:u w:val="none"/>
          <w:lang w:val="zh-CN"/>
        </w:rPr>
        <w:t>法人身份证明书或法人授权委托书及有效身份证</w:t>
      </w:r>
      <w:r>
        <w:rPr>
          <w:rFonts w:hint="eastAsia" w:ascii="宋体" w:hAnsi="宋体" w:eastAsia="宋体" w:cs="Times New Roman"/>
          <w:b/>
          <w:bCs/>
          <w:sz w:val="24"/>
          <w:szCs w:val="20"/>
          <w:lang w:val="zh-CN"/>
        </w:rPr>
        <w:t>）</w:t>
      </w:r>
      <w:r>
        <w:rPr>
          <w:rFonts w:hint="eastAsia" w:ascii="宋体" w:hAnsi="宋体" w:eastAsia="宋体" w:cs="Times New Roman"/>
          <w:sz w:val="24"/>
          <w:szCs w:val="20"/>
          <w:lang w:val="zh-CN"/>
        </w:rPr>
        <w:t>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3"/>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sz w:val="24"/>
          <w:szCs w:val="20"/>
          <w:lang w:val="zh-CN"/>
        </w:rPr>
        <w:t>开标时，由投标人或其推选的代表检查投标文件的密封情况，经确</w:t>
      </w:r>
      <w:r>
        <w:rPr>
          <w:rFonts w:hint="eastAsia" w:ascii="宋体" w:hAnsi="宋体" w:eastAsia="宋体" w:cs="Times New Roman"/>
          <w:color w:val="auto"/>
          <w:sz w:val="24"/>
          <w:szCs w:val="20"/>
          <w:lang w:val="zh-CN"/>
        </w:rPr>
        <w:t>认无误后由</w:t>
      </w:r>
      <w:r>
        <w:rPr>
          <w:rFonts w:hint="eastAsia" w:ascii="Helvetica" w:hAnsi="Helvetica" w:eastAsia="宋体" w:cs="Helvetica"/>
          <w:color w:val="auto"/>
          <w:kern w:val="0"/>
          <w:sz w:val="24"/>
          <w:szCs w:val="24"/>
          <w:lang w:val="zh-CN"/>
        </w:rPr>
        <w:t>采购代理机构</w:t>
      </w:r>
      <w:r>
        <w:rPr>
          <w:rFonts w:hint="eastAsia" w:ascii="宋体" w:hAnsi="宋体" w:eastAsia="宋体" w:cs="Times New Roman"/>
          <w:color w:val="auto"/>
          <w:sz w:val="24"/>
          <w:szCs w:val="20"/>
          <w:lang w:val="zh-CN"/>
        </w:rPr>
        <w:t>工作人员当众拆封，</w:t>
      </w:r>
      <w:r>
        <w:rPr>
          <w:rFonts w:ascii="宋体" w:hAnsi="宋体" w:eastAsia="宋体" w:cs="Times New Roman"/>
          <w:color w:val="auto"/>
          <w:sz w:val="24"/>
          <w:szCs w:val="20"/>
          <w:lang w:val="zh-CN"/>
        </w:rPr>
        <w:t>宣布投标人名称、投标价格和招标文件规定的需要宣布的其他内容。</w:t>
      </w:r>
    </w:p>
    <w:p>
      <w:pPr>
        <w:numPr>
          <w:ilvl w:val="0"/>
          <w:numId w:val="23"/>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color w:val="auto"/>
          <w:kern w:val="0"/>
          <w:sz w:val="24"/>
          <w:szCs w:val="24"/>
          <w:lang w:val="zh-CN"/>
        </w:rPr>
        <w:t>采购代理机构</w:t>
      </w:r>
      <w:r>
        <w:rPr>
          <w:rFonts w:ascii="宋体" w:hAnsi="宋体" w:eastAsia="宋体" w:cs="Times New Roman"/>
          <w:color w:val="auto"/>
          <w:sz w:val="24"/>
          <w:szCs w:val="20"/>
          <w:lang w:val="zh-CN"/>
        </w:rPr>
        <w:t>负责</w:t>
      </w:r>
      <w:r>
        <w:rPr>
          <w:rFonts w:hint="eastAsia" w:ascii="宋体" w:hAnsi="宋体" w:eastAsia="宋体" w:cs="Times New Roman"/>
          <w:color w:val="auto"/>
          <w:sz w:val="24"/>
          <w:szCs w:val="20"/>
          <w:lang w:val="zh-CN"/>
        </w:rPr>
        <w:t>对</w:t>
      </w:r>
      <w:r>
        <w:rPr>
          <w:rFonts w:ascii="宋体" w:hAnsi="宋体" w:eastAsia="宋体" w:cs="Times New Roman"/>
          <w:color w:val="auto"/>
          <w:sz w:val="24"/>
          <w:szCs w:val="20"/>
          <w:lang w:val="zh-CN"/>
        </w:rPr>
        <w:t>开标过程</w:t>
      </w:r>
      <w:r>
        <w:rPr>
          <w:rFonts w:hint="eastAsia" w:ascii="宋体" w:hAnsi="宋体" w:eastAsia="宋体" w:cs="Times New Roman"/>
          <w:color w:val="auto"/>
          <w:sz w:val="24"/>
          <w:szCs w:val="20"/>
          <w:lang w:val="zh-CN"/>
        </w:rPr>
        <w:t>进行</w:t>
      </w:r>
      <w:r>
        <w:rPr>
          <w:rFonts w:ascii="宋体" w:hAnsi="宋体" w:eastAsia="宋体" w:cs="Times New Roman"/>
          <w:color w:val="auto"/>
          <w:sz w:val="24"/>
          <w:szCs w:val="20"/>
          <w:lang w:val="zh-CN"/>
        </w:rPr>
        <w:t>记录，由参加开标的各投标人代表和相关</w:t>
      </w:r>
      <w:r>
        <w:rPr>
          <w:rFonts w:ascii="宋体" w:hAnsi="宋体" w:eastAsia="宋体" w:cs="Times New Roman"/>
          <w:sz w:val="24"/>
          <w:szCs w:val="20"/>
          <w:lang w:val="zh-CN"/>
        </w:rPr>
        <w:t>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3"/>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sz w:val="24"/>
          <w:szCs w:val="20"/>
          <w:lang w:val="zh-CN"/>
        </w:rPr>
        <w:t>投标人代表对开标过程和开标记录有疑义，</w:t>
      </w:r>
      <w:r>
        <w:rPr>
          <w:rFonts w:ascii="宋体" w:hAnsi="宋体" w:eastAsia="宋体" w:cs="Times New Roman"/>
          <w:color w:val="auto"/>
          <w:sz w:val="24"/>
          <w:szCs w:val="20"/>
          <w:lang w:val="zh-CN"/>
        </w:rPr>
        <w:t>以及认为采购人、</w:t>
      </w:r>
      <w:r>
        <w:rPr>
          <w:rFonts w:hint="eastAsia" w:ascii="Helvetica" w:hAnsi="Helvetica" w:eastAsia="宋体" w:cs="Helvetica"/>
          <w:color w:val="auto"/>
          <w:kern w:val="0"/>
          <w:sz w:val="24"/>
          <w:szCs w:val="24"/>
          <w:lang w:val="zh-CN"/>
        </w:rPr>
        <w:t>代理公司</w:t>
      </w:r>
      <w:r>
        <w:rPr>
          <w:rFonts w:ascii="宋体" w:hAnsi="宋体" w:eastAsia="宋体" w:cs="Times New Roman"/>
          <w:color w:val="auto"/>
          <w:sz w:val="24"/>
          <w:szCs w:val="20"/>
          <w:lang w:val="zh-CN"/>
        </w:rPr>
        <w:t>相关工作人员有需要回避的情形的，应当场提出询问或者回避申请。采购人、</w:t>
      </w:r>
      <w:r>
        <w:rPr>
          <w:rFonts w:hint="eastAsia" w:ascii="Helvetica" w:hAnsi="Helvetica" w:eastAsia="宋体" w:cs="Helvetica"/>
          <w:color w:val="auto"/>
          <w:kern w:val="0"/>
          <w:sz w:val="24"/>
          <w:szCs w:val="24"/>
          <w:lang w:val="zh-CN"/>
        </w:rPr>
        <w:t>代理公司</w:t>
      </w:r>
      <w:r>
        <w:rPr>
          <w:rFonts w:hint="eastAsia" w:ascii="宋体" w:hAnsi="宋体" w:eastAsia="宋体" w:cs="Times New Roman"/>
          <w:color w:val="auto"/>
          <w:sz w:val="24"/>
          <w:szCs w:val="20"/>
          <w:lang w:val="zh-CN"/>
        </w:rPr>
        <w:t>将</w:t>
      </w:r>
      <w:r>
        <w:rPr>
          <w:rFonts w:ascii="宋体" w:hAnsi="宋体" w:eastAsia="宋体" w:cs="Times New Roman"/>
          <w:color w:val="auto"/>
          <w:sz w:val="24"/>
          <w:szCs w:val="20"/>
          <w:lang w:val="zh-CN"/>
        </w:rPr>
        <w:t>及时处理投标人代表提出的询问或者回避申请。</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4"/>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w:t>
      </w:r>
      <w:r>
        <w:rPr>
          <w:rFonts w:hint="eastAsia" w:ascii="宋体" w:hAnsi="宋体" w:eastAsia="宋体" w:cs="Times New Roman"/>
          <w:bCs/>
          <w:color w:val="FF0000"/>
          <w:sz w:val="24"/>
          <w:szCs w:val="20"/>
          <w:lang w:val="zh-CN"/>
        </w:rPr>
        <w:t>采购人和采购代理公司</w:t>
      </w:r>
      <w:r>
        <w:rPr>
          <w:rFonts w:hint="eastAsia" w:ascii="宋体" w:hAnsi="宋体" w:eastAsia="宋体" w:cs="Times New Roman"/>
          <w:bCs/>
          <w:sz w:val="24"/>
          <w:szCs w:val="20"/>
          <w:lang w:val="zh-CN"/>
        </w:rPr>
        <w:t>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4"/>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5"/>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6"/>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6"/>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7"/>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28"/>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28"/>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7"/>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8" w:name="_Toc494561943"/>
      <w:bookmarkStart w:id="19" w:name="_Toc495861524"/>
      <w:r>
        <w:rPr>
          <w:rFonts w:hint="eastAsia" w:cs="Times New Roman" w:asciiTheme="majorEastAsia" w:hAnsiTheme="majorEastAsia"/>
          <w:bCs w:val="0"/>
          <w:lang w:val="zh-CN"/>
        </w:rPr>
        <w:t>投标人信用信息及查询</w:t>
      </w:r>
      <w:bookmarkEnd w:id="18"/>
      <w:bookmarkEnd w:id="19"/>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列入失信被执行人、重大税收违法案件当事人名单、政府采购严重违法失信行为记录名单的投标人，采购人、采购代理机构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29"/>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w:t>
      </w:r>
      <w:r>
        <w:rPr>
          <w:rFonts w:hint="eastAsia" w:cs="Helvetica" w:asciiTheme="minorEastAsia" w:hAnsiTheme="minorEastAsia"/>
          <w:color w:val="auto"/>
          <w:kern w:val="0"/>
          <w:sz w:val="24"/>
          <w:szCs w:val="24"/>
          <w:lang w:val="zh-CN"/>
        </w:rPr>
        <w:t>下，</w:t>
      </w:r>
      <w:r>
        <w:rPr>
          <w:rFonts w:hint="eastAsia" w:ascii="Helvetica" w:hAnsi="Helvetica" w:eastAsia="宋体" w:cs="Helvetica"/>
          <w:color w:val="auto"/>
          <w:kern w:val="0"/>
          <w:sz w:val="24"/>
          <w:szCs w:val="24"/>
          <w:lang w:val="zh-CN"/>
        </w:rPr>
        <w:t>采购代理机构</w:t>
      </w:r>
      <w:r>
        <w:rPr>
          <w:rFonts w:hint="eastAsia" w:cs="Helvetica" w:asciiTheme="minorEastAsia" w:hAnsiTheme="minorEastAsia"/>
          <w:color w:val="auto"/>
          <w:kern w:val="0"/>
          <w:sz w:val="24"/>
          <w:szCs w:val="24"/>
          <w:lang w:val="zh-CN"/>
        </w:rPr>
        <w:t>工作</w:t>
      </w:r>
      <w:r>
        <w:rPr>
          <w:rFonts w:hint="eastAsia" w:cs="Helvetica" w:asciiTheme="minorEastAsia" w:hAnsiTheme="minorEastAsia"/>
          <w:kern w:val="0"/>
          <w:sz w:val="24"/>
          <w:szCs w:val="24"/>
          <w:lang w:val="zh-CN"/>
        </w:rPr>
        <w:t>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495861525"/>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0"/>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1"/>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1"/>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0"/>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0"/>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0"/>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2"/>
        </w:numPr>
        <w:spacing w:line="360" w:lineRule="auto"/>
        <w:ind w:left="616" w:hanging="616"/>
        <w:rPr>
          <w:rFonts w:ascii="宋体" w:hAnsi="宋体" w:eastAsia="宋体" w:cs="Times New Roman"/>
          <w:sz w:val="24"/>
          <w:szCs w:val="20"/>
          <w:lang w:val="zh-CN"/>
        </w:rPr>
      </w:pPr>
      <w:bookmarkStart w:id="22" w:name="_Toc278891597"/>
      <w:bookmarkStart w:id="23"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2"/>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4" w:name="_Toc495861526"/>
      <w:bookmarkStart w:id="25" w:name="_Toc494561945"/>
      <w:r>
        <w:rPr>
          <w:rFonts w:hint="eastAsia" w:cs="Times New Roman" w:asciiTheme="majorEastAsia" w:hAnsiTheme="majorEastAsia"/>
          <w:bCs w:val="0"/>
          <w:lang w:val="zh-CN"/>
        </w:rPr>
        <w:t>采购信息公告</w:t>
      </w:r>
      <w:bookmarkEnd w:id="24"/>
      <w:bookmarkEnd w:id="25"/>
    </w:p>
    <w:p>
      <w:pPr>
        <w:numPr>
          <w:ilvl w:val="0"/>
          <w:numId w:val="6"/>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3"/>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3"/>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6" w:name="_Toc494561946"/>
      <w:bookmarkStart w:id="27" w:name="_Toc495861527"/>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w:t>
      </w:r>
      <w:r>
        <w:rPr>
          <w:rFonts w:hint="eastAsia" w:ascii="宋体" w:hAnsi="宋体" w:eastAsia="宋体" w:cs="Times New Roman"/>
          <w:color w:val="auto"/>
          <w:sz w:val="24"/>
          <w:szCs w:val="20"/>
          <w:lang w:val="zh-CN"/>
        </w:rPr>
        <w:t>作日内，</w:t>
      </w:r>
      <w:r>
        <w:rPr>
          <w:rFonts w:ascii="宋体" w:hAnsi="宋体" w:eastAsia="宋体" w:cs="Times New Roman"/>
          <w:color w:val="auto"/>
          <w:sz w:val="24"/>
          <w:szCs w:val="20"/>
          <w:lang w:val="zh-CN"/>
        </w:rPr>
        <w:t>向</w:t>
      </w:r>
      <w:r>
        <w:rPr>
          <w:rFonts w:hint="eastAsia" w:ascii="宋体" w:hAnsi="宋体" w:eastAsia="宋体" w:cs="Times New Roman"/>
          <w:color w:val="auto"/>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sz w:val="24"/>
          <w:szCs w:val="20"/>
          <w:lang w:val="zh-CN"/>
        </w:rPr>
        <w:t>投标人未按本章“质疑及提交”规定的时限、内容及方式进行质疑的，</w:t>
      </w:r>
      <w:r>
        <w:rPr>
          <w:rFonts w:hint="eastAsia" w:ascii="宋体" w:hAnsi="宋体" w:eastAsia="宋体" w:cs="Times New Roman"/>
          <w:color w:val="auto"/>
          <w:sz w:val="24"/>
          <w:szCs w:val="20"/>
          <w:lang w:val="zh-CN"/>
        </w:rPr>
        <w:t>采购人（或代理公司）不予受理。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8" w:name="_Toc494561947"/>
      <w:bookmarkStart w:id="29" w:name="_Toc495861528"/>
      <w:r>
        <w:rPr>
          <w:rFonts w:hint="eastAsia" w:cs="Times New Roman" w:asciiTheme="majorEastAsia" w:hAnsiTheme="majorEastAsia"/>
          <w:bCs w:val="0"/>
          <w:lang w:val="zh-CN"/>
        </w:rPr>
        <w:t>相关条文解读</w:t>
      </w:r>
      <w:bookmarkEnd w:id="28"/>
      <w:bookmarkEnd w:id="29"/>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30" w:name="_Toc495861529"/>
      <w:bookmarkStart w:id="31" w:name="_Toc494561948"/>
      <w:r>
        <w:rPr>
          <w:rFonts w:hint="eastAsia" w:cs="Times New Roman" w:asciiTheme="majorEastAsia" w:hAnsiTheme="majorEastAsia"/>
          <w:bCs w:val="0"/>
          <w:lang w:val="zh-CN"/>
        </w:rPr>
        <w:t>其他注意事项</w:t>
      </w:r>
      <w:bookmarkEnd w:id="30"/>
      <w:bookmarkEnd w:id="31"/>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2" w:name="_Toc495861530"/>
      <w:bookmarkStart w:id="33" w:name="_Toc278891598"/>
      <w:bookmarkStart w:id="34" w:name="_Toc272247701"/>
      <w:bookmarkStart w:id="35" w:name="_Toc494561949"/>
      <w:r>
        <w:rPr>
          <w:rFonts w:hint="eastAsia" w:cs="Times New Roman" w:asciiTheme="majorEastAsia" w:hAnsiTheme="majorEastAsia"/>
          <w:bCs w:val="0"/>
          <w:lang w:val="zh-CN"/>
        </w:rPr>
        <w:t>适用法律</w:t>
      </w:r>
      <w:bookmarkEnd w:id="32"/>
      <w:bookmarkEnd w:id="33"/>
      <w:bookmarkEnd w:id="34"/>
      <w:bookmarkEnd w:id="35"/>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6"/>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6" w:name="_Toc494561950"/>
      <w:bookmarkStart w:id="37" w:name="_Toc495861531"/>
      <w:bookmarkStart w:id="38" w:name="_Toc272247702"/>
      <w:bookmarkStart w:id="39" w:name="_Toc278891599"/>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6"/>
        </w:numPr>
        <w:spacing w:line="360" w:lineRule="auto"/>
        <w:ind w:left="560" w:hanging="560"/>
      </w:pPr>
      <w:r>
        <w:rPr>
          <w:rFonts w:hint="eastAsia" w:ascii="宋体" w:hAnsi="宋体" w:eastAsia="宋体" w:cs="Times New Roman"/>
          <w:sz w:val="24"/>
          <w:szCs w:val="20"/>
          <w:lang w:val="zh-CN"/>
        </w:rPr>
        <w:t>招标文件的最终解释</w:t>
      </w:r>
      <w:r>
        <w:rPr>
          <w:rFonts w:hint="eastAsia" w:ascii="宋体" w:hAnsi="宋体" w:eastAsia="宋体" w:cs="Times New Roman"/>
          <w:color w:val="auto"/>
          <w:sz w:val="24"/>
          <w:szCs w:val="20"/>
          <w:lang w:val="zh-CN"/>
        </w:rPr>
        <w:t>权为采购人、采购代理机构</w:t>
      </w:r>
      <w:r>
        <w:rPr>
          <w:rFonts w:hint="eastAsia" w:ascii="宋体" w:hAnsi="宋体" w:eastAsia="宋体" w:cs="Times New Roman"/>
          <w:sz w:val="24"/>
          <w:szCs w:val="20"/>
          <w:lang w:val="zh-CN"/>
        </w:rPr>
        <w:t>所有。</w:t>
      </w:r>
      <w:r>
        <w:br w:type="page"/>
      </w:r>
    </w:p>
    <w:p>
      <w:pPr>
        <w:pStyle w:val="3"/>
        <w:numPr>
          <w:ilvl w:val="0"/>
          <w:numId w:val="1"/>
        </w:numPr>
        <w:jc w:val="center"/>
        <w:rPr>
          <w:rFonts w:ascii="黑体" w:hAnsi="黑体" w:eastAsia="黑体"/>
        </w:rPr>
      </w:pPr>
      <w:bookmarkStart w:id="40" w:name="_Toc495861532"/>
      <w:r>
        <w:rPr>
          <w:rFonts w:hint="eastAsia" w:ascii="黑体" w:hAnsi="黑体" w:eastAsia="黑体"/>
        </w:rPr>
        <w:t>项目技术、服务及商务要求</w:t>
      </w:r>
      <w:bookmarkEnd w:id="40"/>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一包：</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（一）采购清单</w:t>
      </w:r>
    </w:p>
    <w:tbl>
      <w:tblPr>
        <w:tblStyle w:val="23"/>
        <w:tblpPr w:leftFromText="180" w:rightFromText="180" w:vertAnchor="text" w:horzAnchor="page" w:tblpX="1665" w:tblpY="234"/>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011"/>
        <w:gridCol w:w="1238"/>
        <w:gridCol w:w="1425"/>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31"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序 号</w:t>
            </w:r>
          </w:p>
        </w:tc>
        <w:tc>
          <w:tcPr>
            <w:tcW w:w="4011" w:type="dxa"/>
            <w:vAlign w:val="center"/>
          </w:tcPr>
          <w:p>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1238"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1425"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1271"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31" w:type="dxa"/>
            <w:vAlign w:val="center"/>
          </w:tcPr>
          <w:p>
            <w:pPr>
              <w:ind w:left="0" w:leftChars="0" w:firstLine="240" w:firstLineChars="100"/>
              <w:jc w:val="both"/>
              <w:rPr>
                <w:rFonts w:hint="eastAsia" w:ascii="宋体" w:hAnsi="宋体" w:eastAsia="宋体" w:cs="宋体"/>
                <w:b/>
                <w:sz w:val="24"/>
                <w:szCs w:val="24"/>
                <w:lang w:val="zh-CN"/>
              </w:rPr>
            </w:pPr>
            <w:r>
              <w:rPr>
                <w:rFonts w:hint="eastAsia" w:ascii="宋体" w:hAnsi="宋体" w:eastAsia="宋体" w:cs="宋体"/>
                <w:b/>
                <w:sz w:val="24"/>
                <w:szCs w:val="24"/>
                <w:lang w:val="zh-CN"/>
              </w:rPr>
              <w:t>1</w:t>
            </w:r>
          </w:p>
        </w:tc>
        <w:tc>
          <w:tcPr>
            <w:tcW w:w="4011" w:type="dxa"/>
            <w:vAlign w:val="center"/>
          </w:tcPr>
          <w:p>
            <w:pPr>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超乳玻切一体机</w:t>
            </w:r>
          </w:p>
        </w:tc>
        <w:tc>
          <w:tcPr>
            <w:tcW w:w="1238" w:type="dxa"/>
            <w:vAlign w:val="center"/>
          </w:tcPr>
          <w:p>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5"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套</w:t>
            </w:r>
          </w:p>
        </w:tc>
        <w:tc>
          <w:tcPr>
            <w:tcW w:w="1271"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货物</w:t>
            </w:r>
          </w:p>
        </w:tc>
      </w:tr>
    </w:tbl>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rPr>
          <w:rFonts w:hint="eastAsia" w:ascii="宋体" w:hAnsi="宋体" w:eastAsia="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（二）、技术参数</w:t>
      </w:r>
    </w:p>
    <w:tbl>
      <w:tblPr>
        <w:tblStyle w:val="22"/>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3123"/>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color w:val="000000"/>
              </w:rPr>
            </w:pPr>
            <w:r>
              <w:rPr>
                <w:rFonts w:hint="eastAsia" w:ascii="宋体" w:hAnsi="宋体"/>
                <w:b/>
                <w:color w:val="000000"/>
              </w:rPr>
              <w:t>序号</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color w:val="000000"/>
              </w:rPr>
            </w:pPr>
            <w:r>
              <w:rPr>
                <w:rFonts w:hint="eastAsia" w:ascii="宋体" w:hAnsi="宋体"/>
                <w:b/>
                <w:color w:val="000000"/>
              </w:rPr>
              <w:t>技术和性能参数名称</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62" w:leftChars="-506" w:firstLine="930" w:firstLineChars="443"/>
              <w:jc w:val="center"/>
              <w:rPr>
                <w:rFonts w:ascii="宋体" w:hAnsi="宋体"/>
                <w:b/>
                <w:color w:val="000000"/>
              </w:rPr>
            </w:pPr>
            <w:r>
              <w:rPr>
                <w:rFonts w:hint="eastAsia" w:ascii="宋体" w:hAnsi="宋体"/>
                <w:b/>
                <w:color w:val="000000"/>
              </w:rPr>
              <w:t>技术和性能参数要求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rPr>
            </w:pPr>
            <w:r>
              <w:rPr>
                <w:rFonts w:hint="eastAsia" w:ascii="宋体" w:hAnsi="宋体"/>
                <w:color w:val="000000"/>
              </w:rPr>
              <w:t>1</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000000"/>
                <w:lang w:bidi="ml-IN"/>
              </w:rPr>
            </w:pPr>
            <w:r>
              <w:rPr>
                <w:rFonts w:hint="eastAsia" w:ascii="宋体" w:hAnsi="宋体" w:cs="宋体"/>
                <w:color w:val="000000"/>
                <w:lang w:bidi="ml-IN"/>
              </w:rPr>
              <w:t>适用范围</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rPr>
            </w:pPr>
            <w:r>
              <w:rPr>
                <w:rFonts w:hint="eastAsia" w:ascii="宋体" w:hAnsi="宋体" w:cs="宋体"/>
                <w:color w:val="000000"/>
                <w:lang w:bidi="ml-IN"/>
              </w:rPr>
              <w:t>用于晶体乳化和吸除手术，以及前节和后节玻璃体切除术。</w:t>
            </w:r>
            <w:r>
              <w:rPr>
                <w:rFonts w:hint="eastAsia" w:ascii="宋体" w:hAnsi="宋体"/>
                <w:color w:val="000000"/>
              </w:rPr>
              <w:t>具备白内障超声乳化、前段玻切、玻璃体切除、眼内照明、硅油注吸、气液交换、灌注加压、电凝、回流功能；能进行3.2-1.8毫米范围内的微切口白内障超乳手术，以及20G、23G、25G玻璃体手术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b/>
                <w:color w:val="000000"/>
              </w:rPr>
            </w:pPr>
            <w:r>
              <w:rPr>
                <w:rFonts w:hint="eastAsia" w:ascii="宋体" w:hAnsi="宋体"/>
                <w:b/>
                <w:color w:val="000000"/>
              </w:rPr>
              <w:t>2</w:t>
            </w:r>
          </w:p>
        </w:tc>
        <w:tc>
          <w:tcPr>
            <w:tcW w:w="7853" w:type="dxa"/>
            <w:gridSpan w:val="2"/>
            <w:tcBorders>
              <w:top w:val="single" w:color="auto" w:sz="4" w:space="0"/>
              <w:left w:val="single" w:color="auto" w:sz="4" w:space="0"/>
              <w:right w:val="single" w:color="auto" w:sz="4" w:space="0"/>
            </w:tcBorders>
            <w:noWrap w:val="0"/>
            <w:vAlign w:val="center"/>
          </w:tcPr>
          <w:p>
            <w:pPr>
              <w:spacing w:line="380" w:lineRule="exact"/>
              <w:jc w:val="both"/>
              <w:rPr>
                <w:rFonts w:ascii="宋体" w:hAnsi="宋体"/>
                <w:color w:val="000000"/>
                <w:highlight w:val="yellow"/>
              </w:rPr>
            </w:pPr>
            <w:r>
              <w:rPr>
                <w:rFonts w:hint="eastAsia" w:ascii="宋体" w:hAnsi="宋体" w:cs="宋体"/>
                <w:b/>
                <w:color w:val="000000"/>
                <w:lang w:bidi="ml-IN"/>
              </w:rPr>
              <w:t>系统性能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b/>
                <w:color w:val="000000"/>
              </w:rPr>
            </w:pPr>
            <w:r>
              <w:rPr>
                <w:rFonts w:hint="eastAsia" w:ascii="宋体" w:hAnsi="宋体"/>
                <w:b/>
                <w:color w:val="000000"/>
              </w:rPr>
              <w:t>2</w:t>
            </w:r>
            <w:r>
              <w:rPr>
                <w:rFonts w:ascii="宋体" w:hAnsi="宋体"/>
                <w:b/>
                <w:color w:val="000000"/>
              </w:rPr>
              <w:t>.</w:t>
            </w:r>
            <w:r>
              <w:rPr>
                <w:rFonts w:hint="eastAsia" w:ascii="宋体" w:hAnsi="宋体"/>
                <w:b/>
                <w:color w:val="000000"/>
              </w:rPr>
              <w:t>1</w:t>
            </w:r>
          </w:p>
        </w:tc>
        <w:tc>
          <w:tcPr>
            <w:tcW w:w="7853" w:type="dxa"/>
            <w:gridSpan w:val="2"/>
            <w:tcBorders>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b/>
                <w:color w:val="000000"/>
              </w:rPr>
              <w:t>超声乳化和超声粉碎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lang w:val="en-US" w:eastAsia="zh-CN"/>
              </w:rPr>
              <w:t>★</w:t>
            </w:r>
            <w:r>
              <w:rPr>
                <w:rFonts w:hint="eastAsia" w:ascii="宋体" w:hAnsi="宋体"/>
                <w:color w:val="000000"/>
              </w:rPr>
              <w:t>2</w:t>
            </w:r>
            <w:r>
              <w:rPr>
                <w:rFonts w:ascii="宋体" w:hAnsi="宋体"/>
                <w:color w:val="000000"/>
              </w:rPr>
              <w:t>.</w:t>
            </w:r>
            <w:r>
              <w:rPr>
                <w:rFonts w:hint="eastAsia" w:ascii="宋体" w:hAnsi="宋体"/>
                <w:color w:val="000000"/>
              </w:rPr>
              <w:t>1.1</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超声乳化最小切口</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lang w:val="en-US" w:eastAsia="zh-CN"/>
              </w:rPr>
              <w:t>1</w:t>
            </w:r>
            <w:r>
              <w:rPr>
                <w:rFonts w:hint="eastAsia"/>
              </w:rPr>
              <w:t>.</w:t>
            </w:r>
            <w:r>
              <w:rPr>
                <w:rFonts w:hint="eastAsia"/>
                <w:lang w:val="en-US" w:eastAsia="zh-CN"/>
              </w:rPr>
              <w:t>8</w:t>
            </w:r>
            <w: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lang w:val="en-US" w:eastAsia="zh-CN"/>
              </w:rPr>
              <w:t>★</w:t>
            </w:r>
            <w:r>
              <w:rPr>
                <w:rFonts w:hint="eastAsia" w:ascii="宋体" w:hAnsi="宋体"/>
                <w:color w:val="000000"/>
              </w:rPr>
              <w:t>2</w:t>
            </w:r>
            <w:r>
              <w:rPr>
                <w:rFonts w:ascii="宋体" w:hAnsi="宋体"/>
                <w:color w:val="000000"/>
              </w:rPr>
              <w:t>.</w:t>
            </w:r>
            <w:r>
              <w:rPr>
                <w:rFonts w:hint="eastAsia" w:ascii="宋体" w:hAnsi="宋体"/>
                <w:color w:val="000000"/>
              </w:rPr>
              <w:t>1.2</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s="微软雅黑"/>
                <w:color w:val="000000"/>
              </w:rPr>
              <w:t>共振频率</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rPr>
              <w:t>28.5</w:t>
            </w:r>
            <w: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1.3</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超声输出模式</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连续，脉冲，固定爆破，单爆破和多重爆破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1.4</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脉冲次数</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0-250次/秒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1.5</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s="微软雅黑"/>
                <w:color w:val="000000"/>
              </w:rPr>
              <w:t>能量管理及控制系统</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lang w:val="en-US" w:eastAsia="zh-CN"/>
              </w:rPr>
              <w:t>★</w:t>
            </w:r>
            <w:r>
              <w:rPr>
                <w:rFonts w:hint="eastAsia" w:ascii="宋体" w:hAnsi="宋体"/>
                <w:color w:val="000000"/>
              </w:rPr>
              <w:t>2</w:t>
            </w:r>
            <w:r>
              <w:rPr>
                <w:rFonts w:ascii="宋体" w:hAnsi="宋体"/>
                <w:color w:val="000000"/>
              </w:rPr>
              <w:t>.</w:t>
            </w:r>
            <w:r>
              <w:rPr>
                <w:rFonts w:hint="eastAsia" w:ascii="宋体" w:hAnsi="宋体"/>
                <w:color w:val="000000"/>
              </w:rPr>
              <w:t>1.6</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双线性超声</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hint="eastAsia" w:ascii="宋体" w:hAnsi="宋体"/>
                <w:color w:val="000000"/>
              </w:rPr>
            </w:pPr>
            <w:r>
              <w:rPr>
                <w:rFonts w:hint="eastAsia" w:ascii="宋体" w:hAnsi="宋体"/>
                <w:color w:val="000000"/>
              </w:rPr>
              <w:t>2.1.7</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hint="eastAsia" w:ascii="宋体" w:hAnsi="宋体"/>
                <w:color w:val="000000"/>
              </w:rPr>
            </w:pPr>
            <w:r>
              <w:rPr>
                <w:rFonts w:hint="eastAsia" w:ascii="宋体" w:hAnsi="宋体"/>
                <w:color w:val="000000"/>
              </w:rPr>
              <w:t>开机测试时间</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hint="eastAsia" w:ascii="宋体" w:hAnsi="宋体"/>
                <w:color w:val="000000"/>
              </w:rPr>
            </w:pPr>
            <w:r>
              <w:rPr>
                <w:rFonts w:hint="eastAsia" w:ascii="宋体" w:hAnsi="宋体"/>
                <w:color w:val="000000"/>
              </w:rPr>
              <w:t>≤60秒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b/>
                <w:color w:val="000000"/>
              </w:rPr>
            </w:pPr>
            <w:r>
              <w:rPr>
                <w:rFonts w:hint="eastAsia" w:ascii="宋体" w:hAnsi="宋体"/>
                <w:b/>
                <w:color w:val="000000"/>
              </w:rPr>
              <w:t>2.2</w:t>
            </w:r>
          </w:p>
        </w:tc>
        <w:tc>
          <w:tcPr>
            <w:tcW w:w="7853"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b/>
                <w:color w:val="000000"/>
              </w:rPr>
              <w:t>负压系统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lang w:val="en-US" w:eastAsia="zh-CN"/>
              </w:rPr>
              <w:t>★</w:t>
            </w:r>
            <w:r>
              <w:rPr>
                <w:rFonts w:hint="eastAsia" w:ascii="宋体" w:hAnsi="宋体"/>
                <w:color w:val="000000"/>
              </w:rPr>
              <w:t>2.2.1</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负压系统方式</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文丘里系统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2.2.2</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玻切、超乳、移液、灌注负压变化范围</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ascii="宋体" w:hAnsi="宋体" w:cs="Arial"/>
                <w:color w:val="000000"/>
              </w:rPr>
              <w:t>0</w:t>
            </w:r>
            <w:r>
              <w:rPr>
                <w:rFonts w:hint="eastAsia" w:ascii="宋体" w:hAnsi="宋体" w:cs="Arial"/>
                <w:color w:val="000000"/>
              </w:rPr>
              <w:t>--</w:t>
            </w:r>
            <w:r>
              <w:rPr>
                <w:rFonts w:ascii="宋体" w:hAnsi="宋体" w:cs="Arial"/>
                <w:color w:val="000000"/>
              </w:rPr>
              <w:t>600mmHg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2.2.3</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负压调节精度</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bCs/>
                <w:color w:val="000000"/>
              </w:rPr>
              <w:t>1</w:t>
            </w:r>
            <w:r>
              <w:rPr>
                <w:rFonts w:ascii="宋体" w:hAnsi="宋体" w:cs="Arial"/>
                <w:color w:val="000000"/>
              </w:rPr>
              <w:t>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2.2.4</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负压控制模式</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线性，固定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b/>
                <w:color w:val="000000"/>
              </w:rPr>
            </w:pPr>
            <w:r>
              <w:rPr>
                <w:rFonts w:hint="eastAsia" w:ascii="宋体" w:hAnsi="宋体"/>
                <w:b/>
                <w:color w:val="000000"/>
              </w:rPr>
              <w:t>2.3</w:t>
            </w:r>
          </w:p>
        </w:tc>
        <w:tc>
          <w:tcPr>
            <w:tcW w:w="7853"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b/>
                <w:color w:val="000000"/>
              </w:rPr>
            </w:pPr>
            <w:r>
              <w:rPr>
                <w:rFonts w:hint="eastAsia" w:ascii="宋体" w:hAnsi="宋体"/>
                <w:b/>
                <w:color w:val="000000"/>
              </w:rPr>
              <w:t>玻璃体切割系统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2.3.1</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玻璃体手术类型</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20G、23G、25G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2.3.2</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最大切割速度</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ascii="宋体" w:hAnsi="宋体" w:cs="Arial"/>
                <w:color w:val="000000"/>
              </w:rPr>
              <w:t>5000次</w:t>
            </w:r>
            <w:r>
              <w:rPr>
                <w:rFonts w:hint="eastAsia" w:ascii="宋体" w:hAnsi="宋体" w:cs="Arial"/>
                <w:color w:val="000000"/>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2.3.3</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最大切割速度控制精度</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s="Arial"/>
                <w:color w:val="000000"/>
              </w:rPr>
              <w:t>1</w:t>
            </w:r>
            <w:r>
              <w:rPr>
                <w:rFonts w:ascii="宋体" w:hAnsi="宋体" w:cs="Arial"/>
                <w:color w:val="000000"/>
              </w:rPr>
              <w:t>次</w:t>
            </w:r>
            <w:r>
              <w:rPr>
                <w:rFonts w:hint="eastAsia" w:ascii="宋体" w:hAnsi="宋体" w:cs="Arial"/>
                <w:color w:val="000000"/>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2.3.4</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切割模式</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双线性、共线性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hint="eastAsia" w:ascii="宋体" w:hAnsi="宋体"/>
                <w:color w:val="000000"/>
              </w:rPr>
            </w:pPr>
            <w:r>
              <w:rPr>
                <w:rFonts w:hint="eastAsia" w:ascii="宋体" w:hAnsi="宋体"/>
                <w:color w:val="000000"/>
              </w:rPr>
              <w:t>2.3.5</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hint="eastAsia" w:ascii="宋体" w:hAnsi="宋体"/>
                <w:color w:val="000000"/>
              </w:rPr>
            </w:pPr>
            <w:r>
              <w:rPr>
                <w:rFonts w:hint="eastAsia" w:ascii="宋体" w:hAnsi="宋体"/>
                <w:color w:val="000000"/>
              </w:rPr>
              <w:t>玻切套包</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hint="eastAsia" w:ascii="宋体" w:hAnsi="宋体"/>
                <w:color w:val="000000"/>
              </w:rPr>
            </w:pPr>
            <w:r>
              <w:rPr>
                <w:rFonts w:hint="eastAsia" w:ascii="宋体" w:hAnsi="宋体"/>
                <w:color w:val="000000"/>
              </w:rPr>
              <w:t>前节套包，后节套包，前后联合套包及前段玻切套包多种选择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b/>
                <w:color w:val="000000"/>
              </w:rPr>
            </w:pPr>
            <w:r>
              <w:rPr>
                <w:rFonts w:hint="eastAsia" w:ascii="宋体" w:hAnsi="宋体"/>
                <w:b/>
                <w:color w:val="000000"/>
              </w:rPr>
              <w:t>2</w:t>
            </w:r>
            <w:r>
              <w:rPr>
                <w:rFonts w:ascii="宋体" w:hAnsi="宋体"/>
                <w:b/>
                <w:color w:val="000000"/>
              </w:rPr>
              <w:t>.</w:t>
            </w:r>
            <w:r>
              <w:rPr>
                <w:rFonts w:hint="eastAsia" w:ascii="宋体" w:hAnsi="宋体"/>
                <w:b/>
                <w:color w:val="000000"/>
              </w:rPr>
              <w:t>4</w:t>
            </w:r>
          </w:p>
        </w:tc>
        <w:tc>
          <w:tcPr>
            <w:tcW w:w="7853"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b/>
                <w:color w:val="000000"/>
              </w:rPr>
              <w:t>眼内照明系统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lang w:val="en-US" w:eastAsia="zh-CN"/>
              </w:rPr>
              <w:t>★</w:t>
            </w:r>
            <w:r>
              <w:rPr>
                <w:rFonts w:hint="eastAsia" w:ascii="宋体" w:hAnsi="宋体"/>
                <w:color w:val="000000"/>
              </w:rPr>
              <w:t>2</w:t>
            </w:r>
            <w:r>
              <w:rPr>
                <w:rFonts w:ascii="宋体" w:hAnsi="宋体"/>
                <w:color w:val="000000"/>
              </w:rPr>
              <w:t>.</w:t>
            </w:r>
            <w:r>
              <w:rPr>
                <w:rFonts w:hint="eastAsia" w:ascii="宋体" w:hAnsi="宋体"/>
                <w:color w:val="000000"/>
              </w:rPr>
              <w:t>4.</w:t>
            </w:r>
            <w:r>
              <w:rPr>
                <w:rFonts w:ascii="宋体" w:hAnsi="宋体"/>
                <w:color w:val="000000"/>
              </w:rPr>
              <w:t>1</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ascii="宋体" w:hAnsi="宋体" w:cs="Arial"/>
                <w:color w:val="000000"/>
              </w:rPr>
              <w:t>氙灯</w:t>
            </w:r>
            <w:r>
              <w:rPr>
                <w:rFonts w:hint="eastAsia" w:ascii="宋体" w:hAnsi="宋体" w:cs="Arial"/>
                <w:color w:val="000000"/>
              </w:rPr>
              <w:t>照明</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具备并可同时选择汞灯照明搭配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lang w:val="en-US" w:eastAsia="zh-CN"/>
              </w:rPr>
              <w:t>★</w:t>
            </w:r>
            <w:r>
              <w:rPr>
                <w:rFonts w:hint="eastAsia" w:ascii="宋体" w:hAnsi="宋体"/>
                <w:color w:val="000000"/>
              </w:rPr>
              <w:t>2</w:t>
            </w:r>
            <w:r>
              <w:rPr>
                <w:rFonts w:ascii="宋体" w:hAnsi="宋体"/>
                <w:color w:val="000000"/>
              </w:rPr>
              <w:t>.</w:t>
            </w:r>
            <w:r>
              <w:rPr>
                <w:rFonts w:hint="eastAsia" w:ascii="宋体" w:hAnsi="宋体"/>
                <w:color w:val="000000"/>
              </w:rPr>
              <w:t>4.2</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双光源输出</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具备两个独立的光源模块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lang w:val="en-US" w:eastAsia="zh-CN"/>
              </w:rPr>
              <w:t>★</w:t>
            </w:r>
            <w:r>
              <w:rPr>
                <w:rFonts w:hint="eastAsia" w:ascii="宋体" w:hAnsi="宋体"/>
                <w:color w:val="000000"/>
              </w:rPr>
              <w:t>2</w:t>
            </w:r>
            <w:r>
              <w:rPr>
                <w:rFonts w:ascii="宋体" w:hAnsi="宋体"/>
                <w:color w:val="000000"/>
              </w:rPr>
              <w:t>.</w:t>
            </w:r>
            <w:r>
              <w:rPr>
                <w:rFonts w:hint="eastAsia" w:ascii="宋体" w:hAnsi="宋体"/>
                <w:color w:val="000000"/>
              </w:rPr>
              <w:t>4.3</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s="Arial"/>
                <w:color w:val="000000"/>
              </w:rPr>
              <w:t>光谱切换类别</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绿色，黄色，琥珀色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lang w:val="en-US" w:eastAsia="zh-CN"/>
              </w:rPr>
              <w:t>★</w:t>
            </w:r>
            <w:r>
              <w:rPr>
                <w:rFonts w:hint="eastAsia" w:ascii="宋体" w:hAnsi="宋体"/>
                <w:color w:val="000000"/>
              </w:rPr>
              <w:t>2</w:t>
            </w:r>
            <w:r>
              <w:rPr>
                <w:rFonts w:ascii="宋体" w:hAnsi="宋体"/>
                <w:color w:val="000000"/>
              </w:rPr>
              <w:t>.</w:t>
            </w:r>
            <w:r>
              <w:rPr>
                <w:rFonts w:hint="eastAsia" w:ascii="宋体" w:hAnsi="宋体"/>
                <w:color w:val="000000"/>
              </w:rPr>
              <w:t>4.4</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hint="eastAsia" w:ascii="宋体" w:hAnsi="宋体"/>
                <w:color w:val="000000"/>
              </w:rPr>
            </w:pPr>
            <w:r>
              <w:rPr>
                <w:rFonts w:hint="eastAsia" w:ascii="宋体" w:hAnsi="宋体"/>
                <w:color w:val="000000"/>
              </w:rPr>
              <w:t>眼内照明范围</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hint="eastAsia" w:ascii="宋体" w:hAnsi="宋体"/>
                <w:color w:val="000000"/>
              </w:rPr>
            </w:pPr>
            <w:r>
              <w:rPr>
                <w:rFonts w:hint="eastAsia" w:ascii="宋体" w:hAnsi="宋体"/>
                <w:color w:val="000000"/>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w:t>
            </w:r>
            <w:r>
              <w:rPr>
                <w:rFonts w:ascii="宋体" w:hAnsi="宋体"/>
                <w:color w:val="000000"/>
              </w:rPr>
              <w:t>.</w:t>
            </w:r>
            <w:r>
              <w:rPr>
                <w:rFonts w:hint="eastAsia" w:ascii="宋体" w:hAnsi="宋体"/>
                <w:color w:val="000000"/>
              </w:rPr>
              <w:t>4.5</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亮度调整范围</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b/>
                <w:color w:val="000000"/>
              </w:rPr>
            </w:pPr>
            <w:r>
              <w:rPr>
                <w:rFonts w:hint="eastAsia" w:ascii="宋体" w:hAnsi="宋体"/>
                <w:b/>
                <w:color w:val="000000"/>
              </w:rPr>
              <w:t>2.5</w:t>
            </w:r>
          </w:p>
        </w:tc>
        <w:tc>
          <w:tcPr>
            <w:tcW w:w="7853"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s="Arial"/>
                <w:b/>
                <w:color w:val="000000"/>
              </w:rPr>
              <w:t>液体、气体</w:t>
            </w:r>
            <w:r>
              <w:rPr>
                <w:rFonts w:ascii="宋体" w:hAnsi="宋体" w:cs="Arial"/>
                <w:b/>
                <w:color w:val="000000"/>
              </w:rPr>
              <w:t>灌注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2.5.1</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ascii="宋体" w:hAnsi="宋体" w:cs="Arial"/>
                <w:color w:val="000000"/>
              </w:rPr>
              <w:t>气液交换</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2.5.2</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加压灌注</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2.6</w:t>
            </w:r>
          </w:p>
        </w:tc>
        <w:tc>
          <w:tcPr>
            <w:tcW w:w="7853"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ascii="宋体" w:hAnsi="宋体" w:cs="Arial"/>
                <w:b/>
                <w:color w:val="000000"/>
              </w:rPr>
              <w:t>硅油</w:t>
            </w:r>
            <w:r>
              <w:rPr>
                <w:rFonts w:hint="eastAsia" w:ascii="宋体" w:hAnsi="宋体" w:cs="Arial"/>
                <w:b/>
                <w:color w:val="000000"/>
              </w:rPr>
              <w:t>自动</w:t>
            </w:r>
            <w:r>
              <w:rPr>
                <w:rFonts w:ascii="宋体" w:hAnsi="宋体" w:cs="Arial"/>
                <w:b/>
                <w:color w:val="000000"/>
              </w:rPr>
              <w:t>注吸</w:t>
            </w:r>
            <w:r>
              <w:rPr>
                <w:rFonts w:hint="eastAsia" w:ascii="宋体" w:hAnsi="宋体" w:cs="Arial"/>
                <w:b/>
                <w:color w:val="000000"/>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2.6.1</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硅油注入压力范围</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s="Arial"/>
                <w:color w:val="000000"/>
              </w:rPr>
              <w:t>0--</w:t>
            </w:r>
            <w:r>
              <w:rPr>
                <w:rFonts w:ascii="宋体" w:hAnsi="宋体" w:cs="Arial"/>
                <w:color w:val="000000"/>
              </w:rPr>
              <w:t>70 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2.6.2</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硅油注入压力精度</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1psi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2.6.3</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硅油抽取压力范围</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ascii="宋体" w:hAnsi="宋体" w:cs="Arial"/>
                <w:color w:val="000000"/>
              </w:rPr>
              <w:t xml:space="preserve">5mmHg </w:t>
            </w:r>
            <w:r>
              <w:rPr>
                <w:rFonts w:hint="eastAsia" w:ascii="宋体" w:hAnsi="宋体" w:cs="Arial"/>
                <w:color w:val="000000"/>
              </w:rPr>
              <w:t>--</w:t>
            </w:r>
            <w:r>
              <w:rPr>
                <w:rFonts w:ascii="宋体" w:hAnsi="宋体" w:cs="Arial"/>
                <w:color w:val="000000"/>
              </w:rPr>
              <w:t>600mmHg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2.6.4</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注吸压力可调精度</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s="Arial"/>
                <w:color w:val="000000"/>
              </w:rPr>
              <w:t>10</w:t>
            </w:r>
            <w:r>
              <w:rPr>
                <w:rFonts w:ascii="宋体" w:hAnsi="宋体" w:cs="Arial"/>
                <w:color w:val="000000"/>
              </w:rPr>
              <w:t>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b/>
                <w:color w:val="000000"/>
              </w:rPr>
            </w:pPr>
            <w:r>
              <w:rPr>
                <w:rFonts w:hint="eastAsia" w:ascii="宋体" w:hAnsi="宋体"/>
                <w:b/>
                <w:color w:val="000000"/>
              </w:rPr>
              <w:t>2.7</w:t>
            </w:r>
          </w:p>
        </w:tc>
        <w:tc>
          <w:tcPr>
            <w:tcW w:w="7853"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b/>
                <w:color w:val="000000"/>
              </w:rPr>
              <w:t>眼内外电凝系统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2.7.1</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双极电凝</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2.7.2</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电凝功率</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7.5W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2.7.3</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功率调节范围</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2.7.4</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调节精度</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2.7.5</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输出模式</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线性或固定输出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b/>
                <w:color w:val="000000"/>
              </w:rPr>
            </w:pPr>
            <w:r>
              <w:rPr>
                <w:rFonts w:hint="eastAsia" w:ascii="宋体" w:hAnsi="宋体"/>
                <w:b/>
                <w:color w:val="000000"/>
              </w:rPr>
              <w:t>2.8</w:t>
            </w:r>
          </w:p>
        </w:tc>
        <w:tc>
          <w:tcPr>
            <w:tcW w:w="7853"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b/>
                <w:color w:val="000000"/>
              </w:rPr>
              <w:t>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lang w:val="en-US" w:eastAsia="zh-CN"/>
              </w:rPr>
              <w:t>★</w:t>
            </w:r>
            <w:r>
              <w:rPr>
                <w:rFonts w:hint="eastAsia" w:ascii="宋体" w:hAnsi="宋体"/>
                <w:color w:val="000000"/>
              </w:rPr>
              <w:t>2.8.1</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尺寸</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≥17寸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2.8.2</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触摸屏</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2.8.3</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分辨率</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ascii="宋体" w:hAnsi="宋体" w:cs="微软雅黑"/>
                <w:color w:val="000000"/>
              </w:rPr>
              <w:t>1280 x 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lang w:val="en-US" w:eastAsia="zh-CN"/>
              </w:rPr>
              <w:t>★</w:t>
            </w:r>
            <w:r>
              <w:rPr>
                <w:rFonts w:hint="eastAsia" w:ascii="宋体" w:hAnsi="宋体"/>
                <w:color w:val="000000"/>
              </w:rPr>
              <w:t>2.8.4</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操作界面</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hint="eastAsia" w:ascii="宋体" w:hAnsi="宋体"/>
                <w:color w:val="000000"/>
              </w:rPr>
            </w:pPr>
            <w:r>
              <w:rPr>
                <w:rFonts w:hint="eastAsia" w:ascii="宋体" w:hAnsi="宋体"/>
                <w:color w:val="000000"/>
              </w:rPr>
              <w:t>同时具备原厂中文和英文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b/>
                <w:color w:val="000000"/>
              </w:rPr>
            </w:pPr>
            <w:r>
              <w:rPr>
                <w:rFonts w:hint="eastAsia" w:ascii="宋体" w:hAnsi="宋体"/>
                <w:b/>
                <w:color w:val="000000"/>
              </w:rPr>
              <w:t>2</w:t>
            </w:r>
            <w:r>
              <w:rPr>
                <w:rFonts w:ascii="宋体" w:hAnsi="宋体"/>
                <w:b/>
                <w:color w:val="000000"/>
              </w:rPr>
              <w:t>.</w:t>
            </w:r>
            <w:r>
              <w:rPr>
                <w:rFonts w:hint="eastAsia" w:ascii="宋体" w:hAnsi="宋体"/>
                <w:b/>
                <w:color w:val="000000"/>
              </w:rPr>
              <w:t>9</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b/>
                <w:color w:val="000000"/>
              </w:rPr>
            </w:pPr>
            <w:r>
              <w:rPr>
                <w:rFonts w:hint="eastAsia" w:ascii="宋体" w:hAnsi="宋体"/>
                <w:b/>
                <w:color w:val="000000"/>
              </w:rPr>
              <w:t>脚踏</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lang w:val="en-US" w:eastAsia="zh-CN"/>
              </w:rPr>
              <w:t>★</w:t>
            </w:r>
            <w:r>
              <w:rPr>
                <w:rFonts w:hint="eastAsia" w:ascii="宋体" w:hAnsi="宋体"/>
                <w:color w:val="000000"/>
              </w:rPr>
              <w:t>2.9.1</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脚踏连接方式</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无线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2.9.2</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脚踏控制功能</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超声能量、玻切速率、抽吸负压、真空负压等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b/>
                <w:color w:val="000000"/>
              </w:rPr>
            </w:pPr>
            <w:r>
              <w:rPr>
                <w:rFonts w:hint="eastAsia" w:ascii="宋体" w:hAnsi="宋体"/>
                <w:b/>
                <w:color w:val="000000"/>
              </w:rPr>
              <w:t>2.10</w:t>
            </w:r>
          </w:p>
        </w:tc>
        <w:tc>
          <w:tcPr>
            <w:tcW w:w="7853"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b/>
                <w:color w:val="000000"/>
              </w:rPr>
              <w:t>基座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lang w:val="en-US" w:eastAsia="zh-CN"/>
              </w:rPr>
              <w:t>★</w:t>
            </w:r>
            <w:r>
              <w:rPr>
                <w:rFonts w:hint="eastAsia" w:ascii="宋体" w:hAnsi="宋体"/>
                <w:color w:val="000000"/>
              </w:rPr>
              <w:t>2.10.1</w:t>
            </w:r>
          </w:p>
        </w:tc>
        <w:tc>
          <w:tcPr>
            <w:tcW w:w="312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原装移动平台</w:t>
            </w:r>
          </w:p>
        </w:tc>
        <w:tc>
          <w:tcPr>
            <w:tcW w:w="473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both"/>
              <w:rPr>
                <w:rFonts w:ascii="宋体" w:hAnsi="宋体"/>
                <w:color w:val="000000"/>
              </w:rPr>
            </w:pPr>
            <w:r>
              <w:rPr>
                <w:rFonts w:hint="eastAsia" w:ascii="宋体" w:hAnsi="宋体"/>
                <w:color w:val="000000"/>
              </w:rPr>
              <w:t>配备</w:t>
            </w:r>
          </w:p>
        </w:tc>
      </w:tr>
    </w:tbl>
    <w:p/>
    <w:p>
      <w:pPr>
        <w:spacing w:line="480" w:lineRule="exact"/>
        <w:ind w:left="0" w:leftChars="0" w:firstLine="0" w:firstLineChars="0"/>
        <w:jc w:val="left"/>
        <w:rPr>
          <w:rFonts w:hint="eastAsia" w:ascii="宋体" w:hAnsi="宋体"/>
          <w:b/>
          <w:bCs/>
          <w:sz w:val="24"/>
          <w:szCs w:val="24"/>
        </w:rPr>
      </w:pPr>
      <w:r>
        <w:rPr>
          <w:rFonts w:hint="eastAsia" w:ascii="华文中宋" w:hAnsi="华文中宋" w:eastAsia="华文中宋"/>
          <w:b/>
          <w:bCs/>
          <w:sz w:val="28"/>
          <w:szCs w:val="32"/>
        </w:rPr>
        <w:t>注</w:t>
      </w:r>
      <w:r>
        <w:rPr>
          <w:rFonts w:hint="eastAsia" w:ascii="宋体" w:hAnsi="宋体"/>
          <w:b/>
          <w:bCs/>
          <w:sz w:val="28"/>
          <w:szCs w:val="28"/>
        </w:rPr>
        <w:t>：(1) 标注“</w:t>
      </w:r>
      <w:r>
        <w:rPr>
          <w:rFonts w:hint="default" w:ascii="宋体" w:hAnsi="宋体"/>
          <w:b/>
          <w:bCs/>
          <w:sz w:val="28"/>
          <w:szCs w:val="28"/>
          <w:lang w:val="en-US"/>
        </w:rPr>
        <w:t>★</w:t>
      </w:r>
      <w:r>
        <w:rPr>
          <w:rFonts w:hint="eastAsia" w:ascii="宋体" w:hAnsi="宋体"/>
          <w:b/>
          <w:bCs/>
          <w:sz w:val="28"/>
          <w:szCs w:val="28"/>
        </w:rPr>
        <w:t>”号的参数为关键性技术参数指标</w:t>
      </w:r>
      <w:r>
        <w:rPr>
          <w:rFonts w:hint="eastAsia" w:ascii="宋体" w:hAnsi="宋体"/>
          <w:b/>
          <w:bCs/>
          <w:sz w:val="24"/>
          <w:szCs w:val="24"/>
        </w:rPr>
        <w:t>。</w:t>
      </w:r>
    </w:p>
    <w:p/>
    <w:p/>
    <w:p/>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二包：</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（一）采购清单</w:t>
      </w:r>
    </w:p>
    <w:tbl>
      <w:tblPr>
        <w:tblStyle w:val="23"/>
        <w:tblpPr w:leftFromText="180" w:rightFromText="180" w:vertAnchor="text" w:horzAnchor="page" w:tblpX="1665" w:tblpY="234"/>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011"/>
        <w:gridCol w:w="1238"/>
        <w:gridCol w:w="1425"/>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31"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序 号</w:t>
            </w:r>
          </w:p>
        </w:tc>
        <w:tc>
          <w:tcPr>
            <w:tcW w:w="4011" w:type="dxa"/>
            <w:vAlign w:val="center"/>
          </w:tcPr>
          <w:p>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1238"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1425"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1271"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1" w:type="dxa"/>
            <w:vAlign w:val="center"/>
          </w:tcPr>
          <w:p>
            <w:pPr>
              <w:ind w:left="0" w:leftChars="0" w:firstLine="240" w:firstLineChars="100"/>
              <w:jc w:val="both"/>
              <w:rPr>
                <w:rFonts w:hint="eastAsia" w:ascii="宋体" w:hAnsi="宋体" w:eastAsia="宋体" w:cs="宋体"/>
                <w:b/>
                <w:sz w:val="24"/>
                <w:szCs w:val="24"/>
                <w:lang w:val="zh-CN"/>
              </w:rPr>
            </w:pPr>
            <w:r>
              <w:rPr>
                <w:rFonts w:hint="eastAsia" w:ascii="宋体" w:hAnsi="宋体" w:eastAsia="宋体" w:cs="宋体"/>
                <w:b/>
                <w:sz w:val="24"/>
                <w:szCs w:val="24"/>
                <w:lang w:val="zh-CN"/>
              </w:rPr>
              <w:t>1</w:t>
            </w:r>
          </w:p>
        </w:tc>
        <w:tc>
          <w:tcPr>
            <w:tcW w:w="4011" w:type="dxa"/>
            <w:vAlign w:val="center"/>
          </w:tcPr>
          <w:p>
            <w:pPr>
              <w:ind w:left="0" w:leftChars="0" w:firstLine="0" w:firstLineChars="0"/>
              <w:jc w:val="center"/>
              <w:rPr>
                <w:rFonts w:hint="eastAsia" w:ascii="宋体" w:hAnsi="宋体" w:eastAsia="宋体" w:cs="宋体"/>
                <w:sz w:val="24"/>
                <w:szCs w:val="24"/>
                <w:lang w:val="zh-CN" w:eastAsia="zh-CN"/>
              </w:rPr>
            </w:pPr>
            <w:r>
              <w:rPr>
                <w:rFonts w:hint="eastAsia" w:ascii="宋体" w:hAnsi="宋体" w:eastAsia="宋体" w:cs="宋体"/>
                <w:b w:val="0"/>
                <w:bCs w:val="0"/>
                <w:sz w:val="24"/>
                <w:szCs w:val="24"/>
                <w:lang w:eastAsia="zh-CN"/>
              </w:rPr>
              <w:t>视野计</w:t>
            </w:r>
          </w:p>
        </w:tc>
        <w:tc>
          <w:tcPr>
            <w:tcW w:w="1238" w:type="dxa"/>
            <w:vAlign w:val="center"/>
          </w:tcPr>
          <w:p>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5"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台</w:t>
            </w:r>
          </w:p>
        </w:tc>
        <w:tc>
          <w:tcPr>
            <w:tcW w:w="1271"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1" w:type="dxa"/>
            <w:vAlign w:val="center"/>
          </w:tcPr>
          <w:p>
            <w:pPr>
              <w:ind w:left="0" w:leftChars="0" w:firstLine="240" w:firstLineChars="1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w:t>
            </w:r>
          </w:p>
        </w:tc>
        <w:tc>
          <w:tcPr>
            <w:tcW w:w="4011" w:type="dxa"/>
            <w:vAlign w:val="center"/>
          </w:tcPr>
          <w:p>
            <w:pPr>
              <w:ind w:left="0" w:leftChars="0" w:firstLine="0" w:firstLine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眼底激光（后节）</w:t>
            </w:r>
          </w:p>
        </w:tc>
        <w:tc>
          <w:tcPr>
            <w:tcW w:w="1238" w:type="dxa"/>
            <w:vAlign w:val="center"/>
          </w:tcPr>
          <w:p>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5"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台</w:t>
            </w:r>
          </w:p>
        </w:tc>
        <w:tc>
          <w:tcPr>
            <w:tcW w:w="1271"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1" w:type="dxa"/>
            <w:vAlign w:val="center"/>
          </w:tcPr>
          <w:p>
            <w:pPr>
              <w:ind w:left="0" w:leftChars="0" w:firstLine="240" w:firstLineChars="1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3</w:t>
            </w:r>
          </w:p>
        </w:tc>
        <w:tc>
          <w:tcPr>
            <w:tcW w:w="4011" w:type="dxa"/>
            <w:vAlign w:val="center"/>
          </w:tcPr>
          <w:p>
            <w:pPr>
              <w:ind w:left="0" w:leftChars="0" w:firstLine="0" w:firstLineChars="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光学生物测量仪</w:t>
            </w:r>
          </w:p>
        </w:tc>
        <w:tc>
          <w:tcPr>
            <w:tcW w:w="1238" w:type="dxa"/>
            <w:vAlign w:val="center"/>
          </w:tcPr>
          <w:p>
            <w:pPr>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p>
        </w:tc>
        <w:tc>
          <w:tcPr>
            <w:tcW w:w="1425" w:type="dxa"/>
            <w:vAlign w:val="center"/>
          </w:tcPr>
          <w:p>
            <w:pPr>
              <w:ind w:left="0" w:leftChars="0" w:firstLine="0" w:firstLineChars="0"/>
              <w:jc w:val="center"/>
              <w:rPr>
                <w:rFonts w:hint="eastAsia" w:ascii="宋体" w:hAnsi="宋体" w:eastAsia="宋体" w:cs="宋体"/>
                <w:kern w:val="2"/>
                <w:sz w:val="24"/>
                <w:szCs w:val="24"/>
                <w:lang w:val="zh-CN" w:eastAsia="zh-CN" w:bidi="ar-SA"/>
              </w:rPr>
            </w:pPr>
            <w:r>
              <w:rPr>
                <w:rFonts w:hint="eastAsia" w:ascii="宋体" w:hAnsi="宋体" w:eastAsia="宋体" w:cs="宋体"/>
                <w:sz w:val="24"/>
                <w:szCs w:val="24"/>
                <w:lang w:val="zh-CN"/>
              </w:rPr>
              <w:t>台</w:t>
            </w:r>
          </w:p>
        </w:tc>
        <w:tc>
          <w:tcPr>
            <w:tcW w:w="1271"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货物</w:t>
            </w:r>
          </w:p>
        </w:tc>
      </w:tr>
    </w:tbl>
    <w:p>
      <w:pPr>
        <w:pStyle w:val="8"/>
        <w:numPr>
          <w:ilvl w:val="0"/>
          <w:numId w:val="36"/>
        </w:num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技术参数</w:t>
      </w:r>
    </w:p>
    <w:p>
      <w:pPr>
        <w:pStyle w:val="8"/>
        <w:numPr>
          <w:ilvl w:val="0"/>
          <w:numId w:val="0"/>
        </w:numPr>
        <w:ind w:right="0" w:rightChars="0"/>
        <w:jc w:val="both"/>
        <w:rPr>
          <w:rFonts w:hint="eastAsia" w:ascii="宋体" w:hAnsi="宋体" w:cs="宋体"/>
          <w:b/>
          <w:bCs/>
          <w:sz w:val="32"/>
          <w:szCs w:val="32"/>
          <w:lang w:val="en-US" w:eastAsia="zh-CN"/>
        </w:rPr>
      </w:pPr>
      <w:r>
        <w:rPr>
          <w:rFonts w:hint="eastAsia" w:ascii="宋体" w:hAnsi="宋体" w:cs="宋体"/>
          <w:b/>
          <w:bCs/>
          <w:sz w:val="32"/>
          <w:szCs w:val="32"/>
          <w:lang w:val="en-US" w:eastAsia="zh-CN"/>
        </w:rPr>
        <w:t>一、视野计技术参数</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b/>
          <w:color w:val="000000"/>
          <w:kern w:val="0"/>
          <w:sz w:val="24"/>
          <w:szCs w:val="24"/>
          <w:lang w:bidi="ar"/>
        </w:rPr>
      </w:pPr>
      <w:r>
        <w:rPr>
          <w:rFonts w:hint="eastAsia" w:ascii="宋体" w:hAnsi="宋体" w:cs="宋体"/>
          <w:color w:val="000000"/>
          <w:kern w:val="0"/>
          <w:sz w:val="24"/>
          <w:szCs w:val="24"/>
          <w:lang w:val="en-US" w:eastAsia="zh-CN" w:bidi="ar"/>
        </w:rPr>
        <w:t>1.</w:t>
      </w:r>
      <w:r>
        <w:rPr>
          <w:rFonts w:hint="eastAsia" w:ascii="宋体" w:hAnsi="宋体" w:cs="宋体"/>
          <w:color w:val="000000"/>
          <w:kern w:val="0"/>
          <w:sz w:val="24"/>
          <w:szCs w:val="24"/>
          <w:lang w:bidi="ar"/>
        </w:rPr>
        <w:t>临床应用: 视野功能的检测与随访</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2.</w:t>
      </w:r>
      <w:r>
        <w:rPr>
          <w:rFonts w:hint="eastAsia" w:ascii="宋体" w:hAnsi="宋体" w:cs="宋体"/>
          <w:color w:val="000000"/>
          <w:kern w:val="0"/>
          <w:sz w:val="24"/>
          <w:szCs w:val="24"/>
          <w:lang w:bidi="ar"/>
        </w:rPr>
        <w:t>最大光强度：10,000 ASB</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bidi="ar"/>
        </w:rPr>
        <w:t>光刺激时间：200ms</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4.</w:t>
      </w:r>
      <w:r>
        <w:rPr>
          <w:rFonts w:hint="eastAsia" w:ascii="宋体" w:hAnsi="宋体" w:cs="宋体"/>
          <w:color w:val="000000"/>
          <w:kern w:val="0"/>
          <w:sz w:val="24"/>
          <w:szCs w:val="24"/>
          <w:lang w:bidi="ar"/>
        </w:rPr>
        <w:t>测试范围：90度</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5.</w:t>
      </w:r>
      <w:r>
        <w:rPr>
          <w:rFonts w:hint="eastAsia" w:ascii="宋体" w:hAnsi="宋体" w:cs="宋体"/>
          <w:color w:val="000000"/>
          <w:kern w:val="0"/>
          <w:sz w:val="24"/>
          <w:szCs w:val="24"/>
          <w:lang w:bidi="ar"/>
        </w:rPr>
        <w:t>可测量中心凹阈值</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val="en-US" w:eastAsia="zh-CN" w:bidi="ar"/>
        </w:rPr>
        <w:t>具有</w:t>
      </w:r>
      <w:r>
        <w:rPr>
          <w:rFonts w:hint="eastAsia" w:ascii="宋体" w:hAnsi="宋体" w:cs="宋体"/>
          <w:color w:val="000000"/>
          <w:kern w:val="0"/>
          <w:sz w:val="24"/>
          <w:szCs w:val="24"/>
          <w:lang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6.</w:t>
      </w:r>
      <w:r>
        <w:rPr>
          <w:rFonts w:hint="eastAsia" w:ascii="宋体" w:hAnsi="宋体" w:cs="宋体"/>
          <w:color w:val="000000"/>
          <w:kern w:val="0"/>
          <w:sz w:val="24"/>
          <w:szCs w:val="24"/>
          <w:lang w:bidi="ar"/>
        </w:rPr>
        <w:t>阈值测试程序：6种</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7.</w:t>
      </w:r>
      <w:r>
        <w:rPr>
          <w:rFonts w:hint="eastAsia" w:ascii="宋体" w:hAnsi="宋体" w:cs="宋体"/>
          <w:color w:val="000000"/>
          <w:kern w:val="0"/>
          <w:sz w:val="24"/>
          <w:szCs w:val="24"/>
          <w:lang w:bidi="ar"/>
        </w:rPr>
        <w:t>筛选测试程序：12种</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8.</w:t>
      </w:r>
      <w:r>
        <w:rPr>
          <w:rFonts w:hint="eastAsia" w:ascii="宋体" w:hAnsi="宋体" w:cs="宋体"/>
          <w:color w:val="000000"/>
          <w:kern w:val="0"/>
          <w:sz w:val="24"/>
          <w:szCs w:val="24"/>
          <w:lang w:bidi="ar"/>
        </w:rPr>
        <w:t>特殊测试程序：4种</w:t>
      </w:r>
    </w:p>
    <w:p>
      <w:pPr>
        <w:keepNext w:val="0"/>
        <w:keepLines w:val="0"/>
        <w:pageBreakBefore w:val="0"/>
        <w:widowControl w:val="0"/>
        <w:kinsoku/>
        <w:wordWrap/>
        <w:overflowPunct/>
        <w:topLinePunct w:val="0"/>
        <w:autoSpaceDE/>
        <w:autoSpaceDN/>
        <w:bidi w:val="0"/>
        <w:adjustRightInd/>
        <w:snapToGrid/>
        <w:spacing w:line="400" w:lineRule="exact"/>
        <w:ind w:left="8839" w:leftChars="95" w:hanging="8640" w:hangingChars="36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9.</w:t>
      </w:r>
      <w:r>
        <w:rPr>
          <w:rFonts w:hint="eastAsia" w:ascii="宋体" w:hAnsi="宋体" w:cs="宋体"/>
          <w:color w:val="000000"/>
          <w:kern w:val="0"/>
          <w:sz w:val="24"/>
          <w:szCs w:val="24"/>
          <w:lang w:bidi="ar"/>
        </w:rPr>
        <w:t>程序：具有自定义阈值检查</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可自定义设置检查，适合新交规的150度单眼视野检查</w:t>
      </w:r>
      <w:r>
        <w:rPr>
          <w:rFonts w:hint="eastAsia" w:ascii="宋体" w:hAnsi="宋体" w:cs="宋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5000" w:hanging="6000" w:hangingChars="25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10.</w:t>
      </w:r>
      <w:r>
        <w:rPr>
          <w:rFonts w:hint="eastAsia" w:ascii="宋体" w:hAnsi="宋体" w:cs="宋体"/>
          <w:color w:val="000000"/>
          <w:kern w:val="0"/>
          <w:sz w:val="24"/>
          <w:szCs w:val="24"/>
          <w:lang w:bidi="ar"/>
        </w:rPr>
        <w:t>电脑：内置，一体化</w:t>
      </w:r>
    </w:p>
    <w:p>
      <w:pPr>
        <w:keepNext w:val="0"/>
        <w:keepLines w:val="0"/>
        <w:pageBreakBefore w:val="0"/>
        <w:widowControl w:val="0"/>
        <w:kinsoku/>
        <w:wordWrap/>
        <w:overflowPunct/>
        <w:topLinePunct w:val="0"/>
        <w:autoSpaceDE/>
        <w:autoSpaceDN/>
        <w:bidi w:val="0"/>
        <w:adjustRightInd/>
        <w:snapToGrid/>
        <w:spacing w:line="400" w:lineRule="exact"/>
        <w:ind w:left="5959" w:leftChars="95" w:hanging="5760" w:hangingChars="24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11.</w:t>
      </w:r>
      <w:r>
        <w:rPr>
          <w:rFonts w:hint="eastAsia" w:ascii="宋体" w:hAnsi="宋体" w:cs="宋体"/>
          <w:color w:val="000000"/>
          <w:kern w:val="0"/>
          <w:sz w:val="24"/>
          <w:szCs w:val="24"/>
          <w:lang w:bidi="ar"/>
        </w:rPr>
        <w:t>固视目标：中心点，小钻石形，大钻石形可选</w:t>
      </w:r>
    </w:p>
    <w:p>
      <w:pPr>
        <w:keepNext w:val="0"/>
        <w:keepLines w:val="0"/>
        <w:pageBreakBefore w:val="0"/>
        <w:widowControl w:val="0"/>
        <w:kinsoku/>
        <w:wordWrap/>
        <w:overflowPunct/>
        <w:topLinePunct w:val="0"/>
        <w:autoSpaceDE/>
        <w:autoSpaceDN/>
        <w:bidi w:val="0"/>
        <w:adjustRightInd/>
        <w:snapToGrid/>
        <w:spacing w:line="400" w:lineRule="exact"/>
        <w:ind w:left="5959" w:leftChars="95" w:hanging="5760" w:hangingChars="24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12.</w:t>
      </w:r>
      <w:r>
        <w:rPr>
          <w:rFonts w:hint="eastAsia" w:ascii="宋体" w:hAnsi="宋体" w:cs="宋体"/>
          <w:color w:val="000000"/>
          <w:kern w:val="0"/>
          <w:sz w:val="24"/>
          <w:szCs w:val="24"/>
          <w:lang w:bidi="ar"/>
        </w:rPr>
        <w:t>固视监测：盲点法和CCD视频监测</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Style w:val="48"/>
          <w:rFonts w:hint="default"/>
          <w:sz w:val="24"/>
          <w:szCs w:val="24"/>
          <w:lang w:bidi="ar"/>
        </w:rPr>
      </w:pPr>
      <w:r>
        <w:rPr>
          <w:rFonts w:hint="eastAsia" w:ascii="宋体" w:hAnsi="宋体" w:cs="宋体"/>
          <w:color w:val="000000"/>
          <w:kern w:val="0"/>
          <w:sz w:val="24"/>
          <w:szCs w:val="24"/>
          <w:lang w:bidi="ar"/>
        </w:rPr>
        <w:t>1</w:t>
      </w:r>
      <w:r>
        <w:rPr>
          <w:rFonts w:hint="eastAsia" w:ascii="宋体" w:hAnsi="宋体" w:cs="宋体"/>
          <w:color w:val="000000"/>
          <w:kern w:val="0"/>
          <w:sz w:val="24"/>
          <w:szCs w:val="24"/>
          <w:lang w:val="en-US" w:eastAsia="zh-CN" w:bidi="ar"/>
        </w:rPr>
        <w:t>3.</w:t>
      </w:r>
      <w:r>
        <w:rPr>
          <w:rFonts w:hint="eastAsia" w:ascii="宋体" w:hAnsi="宋体" w:cs="宋体"/>
          <w:color w:val="000000"/>
          <w:kern w:val="0"/>
          <w:sz w:val="24"/>
          <w:szCs w:val="24"/>
          <w:lang w:bidi="ar"/>
        </w:rPr>
        <w:t xml:space="preserve">跟踪精度： </w:t>
      </w:r>
      <w:r>
        <w:rPr>
          <w:rStyle w:val="47"/>
          <w:rFonts w:hint="default"/>
          <w:sz w:val="24"/>
          <w:szCs w:val="24"/>
          <w:lang w:bidi="ar"/>
        </w:rPr>
        <w:t>≤2</w:t>
      </w:r>
      <w:r>
        <w:rPr>
          <w:rStyle w:val="48"/>
          <w:rFonts w:hint="default"/>
          <w:sz w:val="24"/>
          <w:szCs w:val="24"/>
          <w:lang w:bidi="ar"/>
        </w:rPr>
        <w:t>0</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Style w:val="48"/>
          <w:rFonts w:hint="default"/>
          <w:sz w:val="24"/>
          <w:szCs w:val="24"/>
          <w:lang w:bidi="ar"/>
        </w:rPr>
      </w:pPr>
      <w:r>
        <w:rPr>
          <w:rFonts w:hint="eastAsia" w:ascii="宋体" w:hAnsi="宋体" w:cs="宋体"/>
          <w:color w:val="000000"/>
          <w:kern w:val="0"/>
          <w:sz w:val="24"/>
          <w:szCs w:val="24"/>
          <w:lang w:val="en-US" w:eastAsia="zh-CN" w:bidi="ar"/>
        </w:rPr>
        <w:t>14.</w:t>
      </w:r>
      <w:r>
        <w:rPr>
          <w:rFonts w:hint="eastAsia" w:ascii="宋体" w:hAnsi="宋体" w:cs="宋体"/>
          <w:color w:val="000000"/>
          <w:kern w:val="0"/>
          <w:sz w:val="24"/>
          <w:szCs w:val="24"/>
          <w:lang w:bidi="ar"/>
        </w:rPr>
        <w:t>跟踪时间：整个检查过程</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15.</w:t>
      </w:r>
      <w:r>
        <w:rPr>
          <w:rFonts w:hint="eastAsia" w:ascii="宋体" w:hAnsi="宋体" w:cs="宋体"/>
          <w:color w:val="000000"/>
          <w:kern w:val="0"/>
          <w:sz w:val="24"/>
          <w:szCs w:val="24"/>
          <w:lang w:bidi="ar"/>
        </w:rPr>
        <w:t>头位跟踪</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 xml:space="preserve"> </w:t>
      </w:r>
      <w:r>
        <w:rPr>
          <w:rFonts w:hint="eastAsia" w:ascii="宋体" w:hAnsi="宋体" w:cs="宋体"/>
          <w:b/>
          <w:color w:val="000000"/>
          <w:kern w:val="0"/>
          <w:sz w:val="24"/>
          <w:szCs w:val="24"/>
          <w:lang w:bidi="ar"/>
        </w:rPr>
        <w:t>具备</w:t>
      </w:r>
      <w:r>
        <w:rPr>
          <w:rFonts w:hint="eastAsia" w:ascii="宋体" w:hAnsi="宋体" w:cs="宋体"/>
          <w:color w:val="000000"/>
          <w:kern w:val="0"/>
          <w:sz w:val="24"/>
          <w:szCs w:val="24"/>
          <w:lang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16.</w:t>
      </w:r>
      <w:r>
        <w:rPr>
          <w:rFonts w:hint="eastAsia" w:ascii="宋体" w:hAnsi="宋体" w:cs="宋体"/>
          <w:color w:val="000000"/>
          <w:kern w:val="0"/>
          <w:sz w:val="24"/>
          <w:szCs w:val="24"/>
          <w:lang w:bidi="ar"/>
        </w:rPr>
        <w:t>顶点监测</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 xml:space="preserve">具有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17.</w:t>
      </w:r>
      <w:r>
        <w:rPr>
          <w:rFonts w:hint="eastAsia" w:ascii="宋体" w:hAnsi="宋体" w:cs="宋体"/>
          <w:color w:val="000000"/>
          <w:kern w:val="0"/>
          <w:sz w:val="24"/>
          <w:szCs w:val="24"/>
          <w:lang w:bidi="ar"/>
        </w:rPr>
        <w:t>检测方式: 全自动计算机控制</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18.</w:t>
      </w:r>
      <w:r>
        <w:rPr>
          <w:rFonts w:hint="eastAsia" w:ascii="宋体" w:hAnsi="宋体" w:cs="宋体"/>
          <w:color w:val="000000"/>
          <w:kern w:val="0"/>
          <w:sz w:val="24"/>
          <w:szCs w:val="24"/>
          <w:lang w:bidi="ar"/>
        </w:rPr>
        <w:t>检测程序: 有阈值检查和筛选检查程序</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19.</w:t>
      </w:r>
      <w:r>
        <w:rPr>
          <w:rFonts w:hint="eastAsia" w:ascii="宋体" w:hAnsi="宋体" w:cs="宋体"/>
          <w:color w:val="000000"/>
          <w:kern w:val="0"/>
          <w:sz w:val="24"/>
          <w:szCs w:val="24"/>
          <w:lang w:bidi="ar"/>
        </w:rPr>
        <w:t>快速程序: 快速检查序在不影响准确性的前提下可明显缩短检测时间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20.</w:t>
      </w:r>
      <w:r>
        <w:rPr>
          <w:rFonts w:hint="eastAsia" w:ascii="宋体" w:hAnsi="宋体" w:cs="宋体"/>
          <w:color w:val="000000"/>
          <w:kern w:val="0"/>
          <w:sz w:val="24"/>
          <w:szCs w:val="24"/>
          <w:lang w:bidi="ar"/>
        </w:rPr>
        <w:t>分析程序: 以31.5asb背景光亮度下的正常数据库为基础</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21.</w:t>
      </w:r>
      <w:r>
        <w:rPr>
          <w:rFonts w:hint="eastAsia" w:ascii="宋体" w:hAnsi="宋体" w:cs="宋体"/>
          <w:color w:val="000000"/>
          <w:kern w:val="0"/>
          <w:sz w:val="24"/>
          <w:szCs w:val="24"/>
          <w:lang w:bidi="ar"/>
        </w:rPr>
        <w:t>青光眼半视野分析程序(GHT)</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 xml:space="preserve">具有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22.</w:t>
      </w:r>
      <w:r>
        <w:rPr>
          <w:rStyle w:val="49"/>
          <w:rFonts w:hint="default"/>
          <w:sz w:val="24"/>
          <w:szCs w:val="24"/>
          <w:lang w:bidi="ar"/>
        </w:rPr>
        <w:t>青光眼随访分析程序GPA</w:t>
      </w:r>
      <w:r>
        <w:rPr>
          <w:rStyle w:val="49"/>
          <w:rFonts w:hint="eastAsia"/>
          <w:sz w:val="24"/>
          <w:szCs w:val="24"/>
          <w:lang w:eastAsia="zh-CN" w:bidi="ar"/>
        </w:rPr>
        <w:t>：</w:t>
      </w:r>
      <w:r>
        <w:rPr>
          <w:rFonts w:hint="eastAsia" w:ascii="宋体" w:hAnsi="宋体" w:cs="宋体"/>
          <w:color w:val="000000"/>
          <w:kern w:val="0"/>
          <w:sz w:val="24"/>
          <w:szCs w:val="24"/>
          <w:lang w:bidi="ar"/>
        </w:rPr>
        <w:t>具有</w:t>
      </w:r>
      <w:r>
        <w:rPr>
          <w:rStyle w:val="49"/>
          <w:rFonts w:hint="default"/>
          <w:sz w:val="24"/>
          <w:szCs w:val="24"/>
          <w:lang w:bidi="ar"/>
        </w:rPr>
        <w:t xml:space="preserve">（FDA批准）     </w:t>
      </w:r>
      <w:r>
        <w:rPr>
          <w:rFonts w:hint="eastAsia" w:ascii="宋体" w:hAnsi="宋体" w:cs="宋体"/>
          <w:color w:val="000000"/>
          <w:kern w:val="0"/>
          <w:sz w:val="24"/>
          <w:szCs w:val="24"/>
          <w:lang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Style w:val="49"/>
          <w:rFonts w:hint="eastAsia"/>
          <w:sz w:val="24"/>
          <w:szCs w:val="24"/>
          <w:lang w:val="en-US" w:eastAsia="zh-CN" w:bidi="ar"/>
        </w:rPr>
        <w:t>23.</w:t>
      </w:r>
      <w:r>
        <w:rPr>
          <w:rStyle w:val="49"/>
          <w:rFonts w:hint="default"/>
          <w:sz w:val="24"/>
          <w:szCs w:val="24"/>
          <w:lang w:bidi="ar"/>
        </w:rPr>
        <w:t>RelEye实时眼位监测</w:t>
      </w:r>
      <w:r>
        <w:rPr>
          <w:rStyle w:val="49"/>
          <w:rFonts w:hint="eastAsia"/>
          <w:sz w:val="24"/>
          <w:szCs w:val="24"/>
          <w:lang w:eastAsia="zh-CN" w:bidi="ar"/>
        </w:rPr>
        <w:t>：</w:t>
      </w:r>
      <w:r>
        <w:rPr>
          <w:rFonts w:hint="eastAsia" w:ascii="宋体" w:hAnsi="宋体" w:cs="宋体"/>
          <w:color w:val="000000"/>
          <w:kern w:val="0"/>
          <w:sz w:val="24"/>
          <w:szCs w:val="24"/>
          <w:lang w:bidi="ar"/>
        </w:rPr>
        <w:t>具有</w:t>
      </w:r>
      <w:r>
        <w:rPr>
          <w:rStyle w:val="49"/>
          <w:rFonts w:hint="default"/>
          <w:sz w:val="24"/>
          <w:szCs w:val="24"/>
          <w:lang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24.</w:t>
      </w:r>
      <w:r>
        <w:rPr>
          <w:rFonts w:hint="eastAsia" w:ascii="宋体" w:hAnsi="宋体" w:cs="宋体"/>
          <w:color w:val="000000"/>
          <w:kern w:val="0"/>
          <w:sz w:val="24"/>
          <w:szCs w:val="24"/>
          <w:lang w:bidi="ar"/>
        </w:rPr>
        <w:t>数据库：多中心、多人种、年龄匹配</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25.</w:t>
      </w:r>
      <w:r>
        <w:rPr>
          <w:rFonts w:hint="eastAsia" w:ascii="宋体" w:hAnsi="宋体" w:cs="宋体"/>
          <w:color w:val="000000"/>
          <w:kern w:val="0"/>
          <w:sz w:val="24"/>
          <w:szCs w:val="24"/>
          <w:lang w:bidi="ar"/>
        </w:rPr>
        <w:t>背景光亮度：31.5asb</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26.</w:t>
      </w:r>
      <w:r>
        <w:rPr>
          <w:rFonts w:hint="eastAsia" w:ascii="宋体" w:hAnsi="宋体" w:cs="宋体"/>
          <w:color w:val="000000"/>
          <w:kern w:val="0"/>
          <w:sz w:val="24"/>
          <w:szCs w:val="24"/>
          <w:lang w:bidi="ar"/>
        </w:rPr>
        <w:t>操作方式：高灵敏电容触摸屏</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27.</w:t>
      </w:r>
      <w:r>
        <w:rPr>
          <w:rFonts w:hint="eastAsia" w:ascii="宋体" w:hAnsi="宋体" w:cs="宋体"/>
          <w:color w:val="000000"/>
          <w:kern w:val="0"/>
          <w:sz w:val="24"/>
          <w:szCs w:val="24"/>
          <w:lang w:bidi="ar"/>
        </w:rPr>
        <w:t>系统语言：包含全中文的多国语言</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28.</w:t>
      </w:r>
      <w:r>
        <w:rPr>
          <w:rFonts w:hint="eastAsia" w:ascii="宋体" w:hAnsi="宋体" w:cs="宋体"/>
          <w:color w:val="000000"/>
          <w:kern w:val="0"/>
          <w:sz w:val="24"/>
          <w:szCs w:val="24"/>
          <w:lang w:bidi="ar"/>
        </w:rPr>
        <w:t>光标大小：GOLDMAN－I,II,III,IV,V</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29.</w:t>
      </w:r>
      <w:r>
        <w:rPr>
          <w:rFonts w:hint="eastAsia" w:ascii="宋体" w:hAnsi="宋体" w:cs="宋体"/>
          <w:color w:val="000000"/>
          <w:kern w:val="0"/>
          <w:sz w:val="24"/>
          <w:szCs w:val="24"/>
          <w:lang w:bidi="ar"/>
        </w:rPr>
        <w:t>光标呈现：投射式，可测中心和周边视野</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30.</w:t>
      </w:r>
      <w:r>
        <w:rPr>
          <w:rFonts w:hint="eastAsia" w:ascii="宋体" w:hAnsi="宋体" w:cs="宋体"/>
          <w:color w:val="000000"/>
          <w:kern w:val="0"/>
          <w:sz w:val="24"/>
          <w:szCs w:val="24"/>
          <w:lang w:bidi="ar"/>
        </w:rPr>
        <w:t>视野检查距离：30cm</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31.</w:t>
      </w:r>
      <w:r>
        <w:rPr>
          <w:rFonts w:hint="eastAsia" w:ascii="宋体" w:hAnsi="宋体" w:cs="宋体"/>
          <w:color w:val="000000"/>
          <w:kern w:val="0"/>
          <w:sz w:val="24"/>
          <w:szCs w:val="24"/>
          <w:lang w:bidi="ar"/>
        </w:rPr>
        <w:t>存储方式 ： USB</w:t>
      </w:r>
    </w:p>
    <w:p>
      <w:pPr>
        <w:spacing w:line="360" w:lineRule="auto"/>
        <w:ind w:firstLine="240" w:firstLineChars="100"/>
        <w:rPr>
          <w:rFonts w:hint="eastAsia" w:ascii="宋体" w:hAnsi="宋体" w:eastAsia="宋体" w:cs="宋体"/>
          <w:szCs w:val="21"/>
          <w:u w:val="none"/>
          <w:lang w:val="en-US" w:eastAsia="zh-CN"/>
        </w:rPr>
      </w:pPr>
      <w:r>
        <w:rPr>
          <w:rFonts w:hint="eastAsia" w:ascii="宋体" w:hAnsi="宋体" w:cs="宋体"/>
          <w:color w:val="000000"/>
          <w:kern w:val="0"/>
          <w:sz w:val="24"/>
          <w:szCs w:val="24"/>
          <w:lang w:val="en-US" w:eastAsia="zh-CN" w:bidi="ar"/>
        </w:rPr>
        <w:t>32.</w:t>
      </w:r>
      <w:r>
        <w:rPr>
          <w:rFonts w:hint="eastAsia" w:ascii="宋体" w:hAnsi="宋体" w:cs="宋体"/>
          <w:color w:val="000000"/>
          <w:kern w:val="0"/>
          <w:sz w:val="24"/>
          <w:szCs w:val="24"/>
          <w:lang w:bidi="ar"/>
        </w:rPr>
        <w:t>硬盘：500G</w:t>
      </w:r>
      <w:r>
        <w:rPr>
          <w:rFonts w:hint="eastAsia" w:ascii="宋体" w:hAnsi="宋体" w:cs="宋体"/>
          <w:color w:val="000000"/>
          <w:kern w:val="0"/>
          <w:sz w:val="20"/>
          <w:szCs w:val="20"/>
          <w:lang w:bidi="ar"/>
        </w:rPr>
        <w:t xml:space="preserve">                              </w:t>
      </w:r>
    </w:p>
    <w:p>
      <w:pPr>
        <w:pStyle w:val="44"/>
        <w:spacing w:line="360" w:lineRule="auto"/>
        <w:ind w:left="0" w:leftChars="0" w:firstLine="0" w:firstLineChars="0"/>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cs="宋体"/>
          <w:b/>
          <w:kern w:val="0"/>
          <w:sz w:val="32"/>
          <w:szCs w:val="32"/>
          <w:lang w:eastAsia="zh-CN" w:bidi="ar"/>
        </w:rPr>
        <w:t>二、</w:t>
      </w:r>
      <w:r>
        <w:rPr>
          <w:rFonts w:hint="eastAsia" w:ascii="宋体" w:hAnsi="宋体" w:cs="宋体"/>
          <w:b/>
          <w:kern w:val="0"/>
          <w:sz w:val="32"/>
          <w:szCs w:val="32"/>
          <w:lang w:bidi="ar"/>
        </w:rPr>
        <w:t>眼底激光治疗仪</w:t>
      </w:r>
      <w:r>
        <w:rPr>
          <w:rFonts w:hint="eastAsia" w:ascii="宋体" w:hAnsi="宋体" w:cs="宋体"/>
          <w:b/>
          <w:kern w:val="0"/>
          <w:sz w:val="32"/>
          <w:szCs w:val="32"/>
          <w:lang w:eastAsia="zh-CN" w:bidi="ar"/>
        </w:rPr>
        <w:t>参数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sz w:val="24"/>
          <w:szCs w:val="32"/>
        </w:rPr>
      </w:pPr>
      <w:r>
        <w:rPr>
          <w:rFonts w:hint="eastAsia"/>
          <w:sz w:val="24"/>
          <w:szCs w:val="32"/>
          <w:lang w:eastAsia="zh-CN"/>
        </w:rPr>
        <w:t>（一）、</w:t>
      </w:r>
      <w:r>
        <w:rPr>
          <w:rFonts w:hint="eastAsia"/>
          <w:sz w:val="24"/>
          <w:szCs w:val="32"/>
        </w:rPr>
        <w:t>主要技术参数及要求：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1.临床应用：用于视网膜光凝、小梁成形术、虹膜切开术。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2.应用范围：门诊、手术室两用。</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★3.主机要求：裂隙灯与激光原厂一体化，非组装机器。</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4.激光光纤接入裂隙灯采用内耦合方式。</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★5.移动方式：激光和裂隙同步移动，有二级微动器全电伺服控制器。</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6.二级微动器移动范围：眼底≤2°半径移动。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7. 控制面板：可移动控制，倾斜角度可调，触摸屏控制。</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8.用户个性化参数设定：≥3组记忆值。</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9.个性化参数：每组可自定义能量、脉冲间隔和脉冲持续时间。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10. 激光类型：倍频固态激光,半导体泵浦技术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★11.激光波长：纯连续波 ，波长532nm</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12.激光束投射：经由裂隙照明光路</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13.医生保护滤片：原色滤光片，不影响观察</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★14.滤光片控制方式：自动进入和退出显微镜光路，有故障保护装置，当滤光片故障时，锁定激光激发。</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★15.滤光片需拥有指示灯或指示窗观察是否进入。安全保护操作者。</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16.裂隙灯放大：需有5级放大，五档可调，5/8//12/20/32X</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17.裂隙高度：1/3/5/9/14mm，五级调节</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18.裂隙宽度：0-14mm连续可调</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19. 光斑直径：50－1000um可调节</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20.激光光斑采用等焦面设计</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21. 最大脉冲功率：≤1.5 W （到角膜处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22.脉冲间隔：100 - 6000 ms</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23. 瞄准光最大能量：≤1 mW（半导体 635 nm）</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★24. 冷却方式：采用热电冷却技术</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25. 激光束投射路径：经由裂隙照明光路、同轴同焦传输系统</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32"/>
        </w:rPr>
      </w:pPr>
      <w:r>
        <w:rPr>
          <w:rFonts w:hint="eastAsia"/>
          <w:sz w:val="24"/>
          <w:szCs w:val="32"/>
        </w:rPr>
        <w:t>★26. 裂隙灯需采用同一品牌，≥五档变倍，内置自动滤光片</w:t>
      </w:r>
    </w:p>
    <w:p/>
    <w:p>
      <w:pPr>
        <w:pStyle w:val="44"/>
        <w:spacing w:line="360" w:lineRule="auto"/>
        <w:ind w:left="0" w:leftChars="0" w:firstLine="0" w:firstLineChars="0"/>
        <w:rPr>
          <w:rFonts w:hint="eastAsia" w:ascii="宋体" w:hAnsi="宋体" w:eastAsia="宋体" w:cs="宋体"/>
          <w:sz w:val="24"/>
          <w:szCs w:val="24"/>
          <w:lang w:eastAsia="zh-CN"/>
        </w:rPr>
      </w:pPr>
    </w:p>
    <w:p>
      <w:pPr>
        <w:pStyle w:val="44"/>
        <w:spacing w:line="360" w:lineRule="auto"/>
        <w:ind w:left="0" w:leftChars="0" w:firstLine="0" w:firstLineChars="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三、光学生物测量仪技术参数</w:t>
      </w:r>
    </w:p>
    <w:tbl>
      <w:tblPr>
        <w:tblStyle w:val="22"/>
        <w:tblW w:w="8799" w:type="dxa"/>
        <w:tblInd w:w="0" w:type="dxa"/>
        <w:shd w:val="clear" w:color="auto" w:fill="auto"/>
        <w:tblLayout w:type="autofit"/>
        <w:tblCellMar>
          <w:top w:w="0" w:type="dxa"/>
          <w:left w:w="0" w:type="dxa"/>
          <w:bottom w:w="0" w:type="dxa"/>
          <w:right w:w="0" w:type="dxa"/>
        </w:tblCellMar>
      </w:tblPr>
      <w:tblGrid>
        <w:gridCol w:w="1222"/>
        <w:gridCol w:w="7577"/>
      </w:tblGrid>
      <w:tr>
        <w:tblPrEx>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光源</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照明光源：发光二极管</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照明光源波长：880nm</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眼轴长度测量光源: 半导体二极管激光器</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眼轴长度测量光源波长: 780nm</w:t>
            </w:r>
          </w:p>
        </w:tc>
      </w:tr>
      <w:tr>
        <w:tblPrEx>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测量生物参数</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眼轴长度：14-38mm</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角膜曲率半径：5-10mm （角膜曲率33-67D）</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前房深度：1.5-6.5mm</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白-白角膜直径：8-16mm</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测量精确度</w:t>
            </w:r>
          </w:p>
        </w:tc>
      </w:tr>
      <w:tr>
        <w:tblPrEx>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眼轴长度：0.01mm</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角膜曲率半径：0.01mm</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前房深度：0.01mm</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白-白角膜直径：0.1mm</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测量方法</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眼轴长度测量技术：部分相干干涉测量原理</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眼轴长度测量分析软件： 非调和眼轴长度精确测量分析技术</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并行快速自动测量 </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测量方式：非接触式</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左右眼识别方式：自动识别</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对焦方式：辅助对焦</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人工晶体计算公式</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第四代计算公式：SKR II, SRK T, Holladay, Hoffer Q, Haigis</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专有Haigis-L公式（适用于角膜屈光术后）</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角膜屈光手术后历史资料法和角膜接触镜法</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有晶体眼人工晶体植入度数计算</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专用光学人工晶体常数数据库（ULIB）</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个性化光学人工晶体常数优化功能(含多焦、三焦点晶体)</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数据传输</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传输至医院文档管理系统（EMR/PMS）</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传输至Holladay IOL Consultant and HIC.SOAP Pro</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75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传输至USB</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市场占有量</w:t>
            </w:r>
          </w:p>
        </w:tc>
      </w:tr>
      <w:tr>
        <w:tblPrEx>
          <w:shd w:val="clear" w:color="auto" w:fill="auto"/>
          <w:tblCellMar>
            <w:top w:w="0" w:type="dxa"/>
            <w:left w:w="0" w:type="dxa"/>
            <w:bottom w:w="0" w:type="dxa"/>
            <w:right w:w="0" w:type="dxa"/>
          </w:tblCellMar>
        </w:tblPrEx>
        <w:trPr>
          <w:trHeight w:val="360" w:hRule="atLeast"/>
        </w:trPr>
        <w:tc>
          <w:tcPr>
            <w:tcW w:w="12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同品牌型号设备在湖北省内用户≧10家</w:t>
            </w:r>
          </w:p>
        </w:tc>
      </w:tr>
    </w:tbl>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spacing w:line="480" w:lineRule="exact"/>
        <w:ind w:left="0" w:leftChars="0" w:firstLine="0" w:firstLineChars="0"/>
        <w:jc w:val="left"/>
        <w:rPr>
          <w:rFonts w:hint="eastAsia" w:ascii="宋体" w:hAnsi="宋体"/>
          <w:b/>
          <w:bCs/>
          <w:sz w:val="24"/>
          <w:szCs w:val="24"/>
        </w:rPr>
      </w:pPr>
      <w:r>
        <w:rPr>
          <w:rFonts w:hint="eastAsia" w:ascii="华文中宋" w:hAnsi="华文中宋" w:eastAsia="华文中宋"/>
          <w:b/>
          <w:bCs/>
          <w:sz w:val="28"/>
          <w:szCs w:val="32"/>
        </w:rPr>
        <w:t>注</w:t>
      </w:r>
      <w:r>
        <w:rPr>
          <w:rFonts w:hint="eastAsia" w:ascii="宋体" w:hAnsi="宋体"/>
          <w:b/>
          <w:bCs/>
          <w:sz w:val="28"/>
          <w:szCs w:val="28"/>
        </w:rPr>
        <w:t>：(1) 标注“</w:t>
      </w:r>
      <w:r>
        <w:rPr>
          <w:rFonts w:hint="default" w:ascii="宋体" w:hAnsi="宋体"/>
          <w:b/>
          <w:bCs/>
          <w:sz w:val="28"/>
          <w:szCs w:val="28"/>
          <w:lang w:val="en-US"/>
        </w:rPr>
        <w:t>★</w:t>
      </w:r>
      <w:r>
        <w:rPr>
          <w:rFonts w:hint="eastAsia" w:ascii="宋体" w:hAnsi="宋体"/>
          <w:b/>
          <w:bCs/>
          <w:sz w:val="28"/>
          <w:szCs w:val="28"/>
        </w:rPr>
        <w:t>”号的参数为关键性技术参数指标</w:t>
      </w:r>
      <w:r>
        <w:rPr>
          <w:rFonts w:hint="eastAsia" w:ascii="宋体" w:hAnsi="宋体"/>
          <w:b/>
          <w:bCs/>
          <w:sz w:val="24"/>
          <w:szCs w:val="24"/>
        </w:rPr>
        <w:t>。</w:t>
      </w: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240" w:firstLineChars="100"/>
        <w:rPr>
          <w:rFonts w:hint="eastAsia" w:ascii="宋体" w:hAnsi="宋体" w:eastAsia="宋体" w:cs="宋体"/>
          <w:sz w:val="24"/>
          <w:szCs w:val="24"/>
        </w:rPr>
      </w:pPr>
    </w:p>
    <w:p>
      <w:pPr>
        <w:pStyle w:val="44"/>
        <w:spacing w:line="360" w:lineRule="auto"/>
        <w:ind w:firstLine="360" w:firstLineChars="100"/>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三包：</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（一）采购清单</w:t>
      </w:r>
    </w:p>
    <w:tbl>
      <w:tblPr>
        <w:tblStyle w:val="23"/>
        <w:tblpPr w:leftFromText="180" w:rightFromText="180" w:vertAnchor="text" w:horzAnchor="page" w:tblpX="1665" w:tblpY="234"/>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011"/>
        <w:gridCol w:w="1238"/>
        <w:gridCol w:w="1425"/>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31"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序 号</w:t>
            </w:r>
          </w:p>
        </w:tc>
        <w:tc>
          <w:tcPr>
            <w:tcW w:w="4011" w:type="dxa"/>
            <w:vAlign w:val="center"/>
          </w:tcPr>
          <w:p>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1238"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1425"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1271"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1" w:type="dxa"/>
            <w:vAlign w:val="center"/>
          </w:tcPr>
          <w:p>
            <w:pPr>
              <w:ind w:left="0" w:leftChars="0" w:firstLine="240" w:firstLineChars="100"/>
              <w:jc w:val="both"/>
              <w:rPr>
                <w:rFonts w:hint="eastAsia" w:ascii="宋体" w:hAnsi="宋体" w:eastAsia="宋体" w:cs="宋体"/>
                <w:b/>
                <w:sz w:val="24"/>
                <w:szCs w:val="24"/>
                <w:lang w:val="zh-CN"/>
              </w:rPr>
            </w:pPr>
            <w:r>
              <w:rPr>
                <w:rFonts w:hint="eastAsia" w:ascii="宋体" w:hAnsi="宋体" w:eastAsia="宋体" w:cs="宋体"/>
                <w:b/>
                <w:sz w:val="24"/>
                <w:szCs w:val="24"/>
                <w:lang w:val="zh-CN"/>
              </w:rPr>
              <w:t>1</w:t>
            </w:r>
          </w:p>
        </w:tc>
        <w:tc>
          <w:tcPr>
            <w:tcW w:w="4011" w:type="dxa"/>
            <w:vAlign w:val="center"/>
          </w:tcPr>
          <w:p>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光学相干断层血流扫描仪（OCTA)</w:t>
            </w:r>
          </w:p>
        </w:tc>
        <w:tc>
          <w:tcPr>
            <w:tcW w:w="1238" w:type="dxa"/>
            <w:vAlign w:val="center"/>
          </w:tcPr>
          <w:p>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5"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套</w:t>
            </w:r>
          </w:p>
        </w:tc>
        <w:tc>
          <w:tcPr>
            <w:tcW w:w="1271"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货物</w:t>
            </w:r>
          </w:p>
        </w:tc>
      </w:tr>
    </w:tbl>
    <w:p>
      <w:pPr>
        <w:pStyle w:val="44"/>
        <w:numPr>
          <w:ilvl w:val="0"/>
          <w:numId w:val="37"/>
        </w:numPr>
        <w:spacing w:line="360" w:lineRule="auto"/>
        <w:ind w:firstLine="320" w:firstLineChars="100"/>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技术参数</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lang w:eastAsia="zh-CN"/>
        </w:rPr>
        <w:t>★</w:t>
      </w:r>
      <w:r>
        <w:rPr>
          <w:rStyle w:val="50"/>
          <w:rFonts w:ascii="宋体-简" w:hAnsi="宋体-简" w:eastAsia="宋体-简"/>
          <w:b/>
          <w:color w:val="000000"/>
          <w:kern w:val="0"/>
          <w:sz w:val="24"/>
          <w:szCs w:val="24"/>
        </w:rPr>
        <w:t>1</w:t>
      </w:r>
      <w:r>
        <w:rPr>
          <w:rStyle w:val="50"/>
          <w:rFonts w:hint="eastAsia" w:ascii="宋体-简" w:hAnsi="宋体-简" w:eastAsia="宋体-简"/>
          <w:b/>
          <w:color w:val="000000"/>
          <w:kern w:val="0"/>
          <w:sz w:val="24"/>
          <w:szCs w:val="24"/>
        </w:rPr>
        <w:t>、光源</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超级发光二极管之≥870nm光源</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lang w:eastAsia="zh-CN"/>
        </w:rPr>
        <w:t>★</w:t>
      </w:r>
      <w:r>
        <w:rPr>
          <w:rStyle w:val="50"/>
          <w:rFonts w:ascii="宋体-简" w:hAnsi="宋体-简" w:eastAsia="宋体-简"/>
          <w:b/>
          <w:color w:val="000000"/>
          <w:kern w:val="0"/>
          <w:sz w:val="24"/>
          <w:szCs w:val="24"/>
        </w:rPr>
        <w:t>2</w:t>
      </w:r>
      <w:r>
        <w:rPr>
          <w:rStyle w:val="50"/>
          <w:rFonts w:hint="eastAsia" w:ascii="宋体-简" w:hAnsi="宋体-简" w:eastAsia="宋体-简"/>
          <w:b/>
          <w:color w:val="000000"/>
          <w:kern w:val="0"/>
          <w:sz w:val="24"/>
          <w:szCs w:val="24"/>
        </w:rPr>
        <w:t>、扫描速度</w:t>
      </w:r>
      <w:r>
        <w:rPr>
          <w:rStyle w:val="50"/>
          <w:rFonts w:hint="eastAsia" w:ascii="宋体-简" w:hAnsi="宋体-简" w:eastAsia="宋体-简"/>
          <w:b/>
          <w:color w:val="000000"/>
          <w:kern w:val="0"/>
          <w:sz w:val="24"/>
          <w:szCs w:val="24"/>
          <w:lang w:val="en-US" w:eastAsia="zh-CN"/>
        </w:rPr>
        <w:t>：</w:t>
      </w:r>
      <w:r>
        <w:rPr>
          <w:rStyle w:val="50"/>
          <w:rFonts w:hint="eastAsia" w:ascii="宋体-简" w:hAnsi="宋体-简" w:eastAsia="宋体-简"/>
          <w:b/>
          <w:color w:val="000000"/>
          <w:kern w:val="0"/>
          <w:sz w:val="24"/>
          <w:szCs w:val="24"/>
        </w:rPr>
        <w:t>≥85000</w:t>
      </w:r>
      <w:r>
        <w:rPr>
          <w:rStyle w:val="50"/>
          <w:rFonts w:hint="eastAsia" w:ascii="宋体-简" w:hAnsi="宋体-简" w:eastAsia="宋体-简" w:cs="微软雅黑"/>
          <w:bCs/>
          <w:color w:val="000000"/>
          <w:kern w:val="0"/>
          <w:sz w:val="24"/>
          <w:szCs w:val="24"/>
        </w:rPr>
        <w:t xml:space="preserve"> </w:t>
      </w:r>
      <w:r>
        <w:rPr>
          <w:rStyle w:val="50"/>
          <w:rFonts w:hint="eastAsia" w:ascii="宋体-简" w:hAnsi="宋体-简" w:eastAsia="宋体-简"/>
          <w:color w:val="000000"/>
          <w:kern w:val="0"/>
          <w:sz w:val="24"/>
          <w:szCs w:val="24"/>
        </w:rPr>
        <w:t>A-scan/秒</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3、轴向分辨率</w:t>
      </w:r>
      <w:r>
        <w:rPr>
          <w:rStyle w:val="50"/>
          <w:rFonts w:hint="eastAsia" w:ascii="宋体-简" w:hAnsi="宋体-简" w:eastAsia="宋体-简"/>
          <w:b/>
          <w:color w:val="000000"/>
          <w:kern w:val="0"/>
          <w:sz w:val="24"/>
          <w:szCs w:val="24"/>
          <w:lang w:val="en-US" w:eastAsia="zh-CN"/>
        </w:rPr>
        <w:t>：</w:t>
      </w:r>
      <w:r>
        <w:rPr>
          <w:rStyle w:val="50"/>
          <w:rFonts w:hint="eastAsia" w:ascii="宋体-简" w:hAnsi="宋体-简" w:eastAsia="宋体-简"/>
          <w:color w:val="000000"/>
          <w:kern w:val="0"/>
          <w:sz w:val="24"/>
          <w:szCs w:val="24"/>
        </w:rPr>
        <w:t>3.9μm</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4、横向分辨率</w:t>
      </w:r>
      <w:r>
        <w:rPr>
          <w:rStyle w:val="50"/>
          <w:rFonts w:hint="eastAsia" w:ascii="宋体-简" w:hAnsi="宋体-简" w:eastAsia="宋体-简"/>
          <w:b/>
          <w:color w:val="000000"/>
          <w:kern w:val="0"/>
          <w:sz w:val="24"/>
          <w:szCs w:val="24"/>
          <w:lang w:val="en-US" w:eastAsia="zh-CN"/>
        </w:rPr>
        <w:t>：</w:t>
      </w:r>
      <w:r>
        <w:rPr>
          <w:rStyle w:val="50"/>
          <w:rFonts w:hint="eastAsia" w:ascii="宋体-简" w:hAnsi="宋体-简" w:eastAsia="宋体-简"/>
          <w:color w:val="000000"/>
          <w:kern w:val="0"/>
          <w:sz w:val="24"/>
          <w:szCs w:val="24"/>
        </w:rPr>
        <w:t>6μm</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5、每A扫描所含数据点数</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b/>
          <w:color w:val="000000"/>
          <w:kern w:val="0"/>
          <w:sz w:val="24"/>
          <w:szCs w:val="24"/>
        </w:rPr>
        <w:t>≥400</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6、每B扫描所含最大A扫</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1536</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7、扫描模式</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视盘环形扫描，星形扫描，加密精细扫描，青光眼后极部扫描，3D立体扫描，精确随诊扫描模式</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ascii="宋体-简" w:hAnsi="宋体-简" w:eastAsia="宋体-简"/>
          <w:b/>
          <w:color w:val="000000"/>
          <w:kern w:val="0"/>
          <w:sz w:val="24"/>
          <w:szCs w:val="24"/>
        </w:rPr>
        <w:t>8</w:t>
      </w:r>
      <w:r>
        <w:rPr>
          <w:rStyle w:val="50"/>
          <w:rFonts w:hint="eastAsia" w:ascii="宋体-简" w:hAnsi="宋体-简" w:eastAsia="宋体-简"/>
          <w:b/>
          <w:color w:val="000000"/>
          <w:kern w:val="0"/>
          <w:sz w:val="24"/>
          <w:szCs w:val="24"/>
        </w:rPr>
        <w:t>、个性化扫描模式</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扫描线长短3-10mm任意可调，扫描间距11-120微米，扫描线倾斜度5-90度及位置任意可调</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lang w:eastAsia="zh-CN"/>
        </w:rPr>
        <w:t>★</w:t>
      </w:r>
      <w:r>
        <w:rPr>
          <w:rStyle w:val="50"/>
          <w:rFonts w:ascii="宋体-简" w:hAnsi="宋体-简" w:eastAsia="宋体-简"/>
          <w:b/>
          <w:color w:val="000000"/>
          <w:kern w:val="0"/>
          <w:sz w:val="24"/>
          <w:szCs w:val="24"/>
        </w:rPr>
        <w:t>9</w:t>
      </w:r>
      <w:r>
        <w:rPr>
          <w:rStyle w:val="50"/>
          <w:rFonts w:hint="eastAsia" w:ascii="宋体-简" w:hAnsi="宋体-简" w:eastAsia="宋体-简"/>
          <w:b/>
          <w:color w:val="000000"/>
          <w:kern w:val="0"/>
          <w:sz w:val="24"/>
          <w:szCs w:val="24"/>
        </w:rPr>
        <w:t>、实时眼球追踪功能</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采用双光源同时同步进行眼底扫描，导航光源实时自动跟踪眼球移动，引导OCT光源进行位置调整，确保OCT扫描不受眼动影响</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ascii="宋体-简" w:hAnsi="宋体-简" w:eastAsia="宋体-简"/>
          <w:b/>
          <w:color w:val="000000"/>
          <w:kern w:val="0"/>
          <w:sz w:val="24"/>
          <w:szCs w:val="24"/>
        </w:rPr>
        <w:t>10</w:t>
      </w:r>
      <w:r>
        <w:rPr>
          <w:rStyle w:val="50"/>
          <w:rFonts w:hint="eastAsia" w:ascii="宋体-简" w:hAnsi="宋体-简" w:eastAsia="宋体-简"/>
          <w:b/>
          <w:color w:val="000000"/>
          <w:kern w:val="0"/>
          <w:sz w:val="24"/>
          <w:szCs w:val="24"/>
        </w:rPr>
        <w:t>、OCT与眼底图像对位</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OCT与眼底图像同步获得，点对点实时对位</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 xml:space="preserve">精确随诊: </w:t>
      </w:r>
      <w:r>
        <w:rPr>
          <w:rStyle w:val="50"/>
          <w:rFonts w:hint="eastAsia" w:ascii="宋体-简" w:hAnsi="宋体-简" w:eastAsia="宋体-简"/>
          <w:color w:val="000000"/>
          <w:kern w:val="0"/>
          <w:sz w:val="24"/>
          <w:szCs w:val="24"/>
        </w:rPr>
        <w:t>机器自动记忆并导航随访检查，确保随访检查同一位置精确随诊</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1</w:t>
      </w:r>
      <w:r>
        <w:rPr>
          <w:rStyle w:val="50"/>
          <w:rFonts w:ascii="宋体-简" w:hAnsi="宋体-简" w:eastAsia="宋体-简"/>
          <w:b/>
          <w:color w:val="000000"/>
          <w:kern w:val="0"/>
          <w:sz w:val="24"/>
          <w:szCs w:val="24"/>
        </w:rPr>
        <w:t>1</w:t>
      </w:r>
      <w:r>
        <w:rPr>
          <w:rStyle w:val="50"/>
          <w:rFonts w:hint="eastAsia" w:ascii="宋体-简" w:hAnsi="宋体-简" w:eastAsia="宋体-简"/>
          <w:b/>
          <w:color w:val="000000"/>
          <w:kern w:val="0"/>
          <w:sz w:val="24"/>
          <w:szCs w:val="24"/>
        </w:rPr>
        <w:t>、图像显示方式</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伪彩，灰阶（黑白，白黑）</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1</w:t>
      </w:r>
      <w:r>
        <w:rPr>
          <w:rStyle w:val="50"/>
          <w:rFonts w:ascii="宋体-简" w:hAnsi="宋体-简" w:eastAsia="宋体-简"/>
          <w:b/>
          <w:color w:val="000000"/>
          <w:kern w:val="0"/>
          <w:sz w:val="24"/>
          <w:szCs w:val="24"/>
        </w:rPr>
        <w:t>2</w:t>
      </w:r>
      <w:r>
        <w:rPr>
          <w:rStyle w:val="50"/>
          <w:rFonts w:hint="eastAsia" w:ascii="宋体-简" w:hAnsi="宋体-简" w:eastAsia="宋体-简"/>
          <w:b/>
          <w:color w:val="000000"/>
          <w:kern w:val="0"/>
          <w:sz w:val="24"/>
          <w:szCs w:val="24"/>
        </w:rPr>
        <w:t>、实时降噪技术</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同一视网膜位置获取2-100张图像进行实时降噪，提升图像分辨率</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lang w:eastAsia="zh-CN"/>
        </w:rPr>
        <w:t>★</w:t>
      </w:r>
      <w:r>
        <w:rPr>
          <w:rStyle w:val="50"/>
          <w:rFonts w:ascii="宋体-简" w:hAnsi="宋体-简" w:eastAsia="宋体-简"/>
          <w:b/>
          <w:color w:val="000000"/>
          <w:kern w:val="0"/>
          <w:sz w:val="24"/>
          <w:szCs w:val="24"/>
        </w:rPr>
        <w:t>13</w:t>
      </w:r>
      <w:r>
        <w:rPr>
          <w:rStyle w:val="50"/>
          <w:rFonts w:hint="eastAsia" w:ascii="宋体-简" w:hAnsi="宋体-简" w:eastAsia="宋体-简"/>
          <w:b/>
          <w:color w:val="000000"/>
          <w:kern w:val="0"/>
          <w:sz w:val="24"/>
          <w:szCs w:val="24"/>
        </w:rPr>
        <w:t>、光源</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820nm共焦激光光源（CSLO）</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1</w:t>
      </w:r>
      <w:r>
        <w:rPr>
          <w:rStyle w:val="50"/>
          <w:rFonts w:ascii="宋体-简" w:hAnsi="宋体-简" w:eastAsia="宋体-简"/>
          <w:b/>
          <w:color w:val="000000"/>
          <w:kern w:val="0"/>
          <w:sz w:val="24"/>
          <w:szCs w:val="24"/>
        </w:rPr>
        <w:t>4</w:t>
      </w:r>
      <w:r>
        <w:rPr>
          <w:rStyle w:val="50"/>
          <w:rFonts w:hint="eastAsia" w:ascii="宋体-简" w:hAnsi="宋体-简" w:eastAsia="宋体-简"/>
          <w:b/>
          <w:color w:val="000000"/>
          <w:kern w:val="0"/>
          <w:sz w:val="24"/>
          <w:szCs w:val="24"/>
        </w:rPr>
        <w:t>、成像方式</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红外</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1</w:t>
      </w:r>
      <w:r>
        <w:rPr>
          <w:rStyle w:val="50"/>
          <w:rFonts w:ascii="宋体-简" w:hAnsi="宋体-简" w:eastAsia="宋体-简"/>
          <w:b/>
          <w:color w:val="000000"/>
          <w:kern w:val="0"/>
          <w:sz w:val="24"/>
          <w:szCs w:val="24"/>
        </w:rPr>
        <w:t>5</w:t>
      </w:r>
      <w:r>
        <w:rPr>
          <w:rStyle w:val="50"/>
          <w:rFonts w:hint="eastAsia" w:ascii="宋体-简" w:hAnsi="宋体-简" w:eastAsia="宋体-简"/>
          <w:b/>
          <w:color w:val="000000"/>
          <w:kern w:val="0"/>
          <w:sz w:val="24"/>
          <w:szCs w:val="24"/>
        </w:rPr>
        <w:t>、分辨率</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5微米/像素</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1</w:t>
      </w:r>
      <w:r>
        <w:rPr>
          <w:rStyle w:val="50"/>
          <w:rFonts w:ascii="宋体-简" w:hAnsi="宋体-简" w:eastAsia="宋体-简"/>
          <w:b/>
          <w:color w:val="000000"/>
          <w:kern w:val="0"/>
          <w:sz w:val="24"/>
          <w:szCs w:val="24"/>
        </w:rPr>
        <w:t>6</w:t>
      </w:r>
      <w:r>
        <w:rPr>
          <w:rStyle w:val="50"/>
          <w:rFonts w:hint="eastAsia" w:ascii="宋体-简" w:hAnsi="宋体-简" w:eastAsia="宋体-简"/>
          <w:b/>
          <w:color w:val="000000"/>
          <w:kern w:val="0"/>
          <w:sz w:val="24"/>
          <w:szCs w:val="24"/>
        </w:rPr>
        <w:t>、瞳孔要求</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≧2.0mm</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1</w:t>
      </w:r>
      <w:r>
        <w:rPr>
          <w:rStyle w:val="50"/>
          <w:rFonts w:ascii="宋体-简" w:hAnsi="宋体-简" w:eastAsia="宋体-简"/>
          <w:b/>
          <w:color w:val="000000"/>
          <w:kern w:val="0"/>
          <w:sz w:val="24"/>
          <w:szCs w:val="24"/>
        </w:rPr>
        <w:t>7</w:t>
      </w:r>
      <w:r>
        <w:rPr>
          <w:rStyle w:val="50"/>
          <w:rFonts w:hint="eastAsia" w:ascii="宋体-简" w:hAnsi="宋体-简" w:eastAsia="宋体-简"/>
          <w:b/>
          <w:color w:val="000000"/>
          <w:kern w:val="0"/>
          <w:sz w:val="24"/>
          <w:szCs w:val="24"/>
        </w:rPr>
        <w:t xml:space="preserve">、视网膜厚度分析 </w:t>
      </w:r>
      <w:r>
        <w:rPr>
          <w:rStyle w:val="50"/>
          <w:rFonts w:hint="eastAsia" w:ascii="宋体-简" w:hAnsi="宋体-简" w:eastAsia="宋体-简"/>
          <w:color w:val="000000"/>
          <w:kern w:val="0"/>
          <w:sz w:val="24"/>
          <w:szCs w:val="24"/>
        </w:rPr>
        <w:t>视网膜厚度分析（内界膜至Bruchs 膜 ）</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1</w:t>
      </w:r>
      <w:r>
        <w:rPr>
          <w:rStyle w:val="50"/>
          <w:rFonts w:ascii="宋体-简" w:hAnsi="宋体-简" w:eastAsia="宋体-简"/>
          <w:b/>
          <w:color w:val="000000"/>
          <w:kern w:val="0"/>
          <w:sz w:val="24"/>
          <w:szCs w:val="24"/>
        </w:rPr>
        <w:t>8</w:t>
      </w:r>
      <w:r>
        <w:rPr>
          <w:rStyle w:val="50"/>
          <w:rFonts w:hint="eastAsia" w:ascii="宋体-简" w:hAnsi="宋体-简" w:eastAsia="宋体-简"/>
          <w:b/>
          <w:color w:val="000000"/>
          <w:kern w:val="0"/>
          <w:sz w:val="24"/>
          <w:szCs w:val="24"/>
        </w:rPr>
        <w:t>、视网膜各层分层及量化</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可自动进行视网膜十层分层并进行自动测量</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1</w:t>
      </w:r>
      <w:r>
        <w:rPr>
          <w:rStyle w:val="50"/>
          <w:rFonts w:ascii="宋体-简" w:hAnsi="宋体-简" w:eastAsia="宋体-简"/>
          <w:b/>
          <w:color w:val="000000"/>
          <w:kern w:val="0"/>
          <w:sz w:val="24"/>
          <w:szCs w:val="24"/>
        </w:rPr>
        <w:t>9</w:t>
      </w:r>
      <w:r>
        <w:rPr>
          <w:rStyle w:val="50"/>
          <w:rFonts w:hint="eastAsia" w:ascii="宋体-简" w:hAnsi="宋体-简" w:eastAsia="宋体-简"/>
          <w:b/>
          <w:color w:val="000000"/>
          <w:kern w:val="0"/>
          <w:sz w:val="24"/>
          <w:szCs w:val="24"/>
        </w:rPr>
        <w:t>、黄斑区体积厚度测量</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国际标准ETDRS黄斑分区法，精确的黄斑分区体积厚度测量，并可随意拖动，测量任意位置的视网膜厚度和容积</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EDI脉络膜深层成像技术</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EDI脉络膜深层成像技术，可清晰呈现脉络膜，筛板等视网膜深层组织</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2</w:t>
      </w:r>
      <w:r>
        <w:rPr>
          <w:rStyle w:val="50"/>
          <w:rFonts w:ascii="宋体-简" w:hAnsi="宋体-简" w:eastAsia="宋体-简"/>
          <w:b/>
          <w:color w:val="000000"/>
          <w:kern w:val="0"/>
          <w:sz w:val="24"/>
          <w:szCs w:val="24"/>
        </w:rPr>
        <w:t>0</w:t>
      </w:r>
      <w:r>
        <w:rPr>
          <w:rStyle w:val="50"/>
          <w:rFonts w:hint="eastAsia" w:ascii="宋体-简" w:hAnsi="宋体-简" w:eastAsia="宋体-简"/>
          <w:b/>
          <w:color w:val="000000"/>
          <w:kern w:val="0"/>
          <w:sz w:val="24"/>
          <w:szCs w:val="24"/>
        </w:rPr>
        <w:t>、冠状位成像（Enface）</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b/>
          <w:color w:val="000000"/>
          <w:kern w:val="0"/>
          <w:sz w:val="24"/>
          <w:szCs w:val="24"/>
        </w:rPr>
        <w:t xml:space="preserve"> </w:t>
      </w:r>
      <w:r>
        <w:rPr>
          <w:rStyle w:val="50"/>
          <w:rFonts w:hint="eastAsia" w:ascii="宋体-简" w:hAnsi="宋体-简" w:eastAsia="宋体-简"/>
          <w:color w:val="000000"/>
          <w:kern w:val="0"/>
          <w:sz w:val="24"/>
          <w:szCs w:val="24"/>
        </w:rPr>
        <w:t>Enface横向观察视角，可由内界膜至脉络膜观察任意两层间冠状位图像，并可进行量化分析</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2</w:t>
      </w:r>
      <w:r>
        <w:rPr>
          <w:rStyle w:val="50"/>
          <w:rFonts w:ascii="宋体-简" w:hAnsi="宋体-简" w:eastAsia="宋体-简"/>
          <w:b/>
          <w:color w:val="000000"/>
          <w:kern w:val="0"/>
          <w:sz w:val="24"/>
          <w:szCs w:val="24"/>
        </w:rPr>
        <w:t>1</w:t>
      </w:r>
      <w:r>
        <w:rPr>
          <w:rStyle w:val="50"/>
          <w:rFonts w:hint="eastAsia" w:ascii="宋体-简" w:hAnsi="宋体-简" w:eastAsia="宋体-简"/>
          <w:b/>
          <w:color w:val="000000"/>
          <w:kern w:val="0"/>
          <w:sz w:val="24"/>
          <w:szCs w:val="24"/>
        </w:rPr>
        <w:t>、算法</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全频谱概率算法</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ascii="宋体-简" w:hAnsi="宋体-简" w:eastAsia="宋体-简"/>
          <w:b/>
          <w:color w:val="000000"/>
          <w:kern w:val="0"/>
          <w:sz w:val="24"/>
          <w:szCs w:val="24"/>
        </w:rPr>
        <w:t>22</w:t>
      </w:r>
      <w:r>
        <w:rPr>
          <w:rStyle w:val="50"/>
          <w:rFonts w:hint="eastAsia" w:ascii="宋体-简" w:hAnsi="宋体-简" w:eastAsia="宋体-简"/>
          <w:b/>
          <w:color w:val="000000"/>
          <w:kern w:val="0"/>
          <w:sz w:val="24"/>
          <w:szCs w:val="24"/>
        </w:rPr>
        <w:t>、OCT-A图像分辨率</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b/>
          <w:color w:val="000000"/>
          <w:kern w:val="0"/>
          <w:sz w:val="24"/>
          <w:szCs w:val="24"/>
        </w:rPr>
        <w:t xml:space="preserve"> </w:t>
      </w:r>
      <w:r>
        <w:rPr>
          <w:rStyle w:val="50"/>
          <w:rFonts w:hint="eastAsia" w:ascii="宋体-简" w:hAnsi="宋体-简" w:eastAsia="宋体-简"/>
          <w:color w:val="000000"/>
          <w:kern w:val="0"/>
          <w:sz w:val="24"/>
          <w:szCs w:val="24"/>
        </w:rPr>
        <w:t>6μm/像素</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2</w:t>
      </w:r>
      <w:r>
        <w:rPr>
          <w:rStyle w:val="50"/>
          <w:rFonts w:ascii="宋体-简" w:hAnsi="宋体-简" w:eastAsia="宋体-简"/>
          <w:b/>
          <w:color w:val="000000"/>
          <w:kern w:val="0"/>
          <w:sz w:val="24"/>
          <w:szCs w:val="24"/>
        </w:rPr>
        <w:t>3</w:t>
      </w:r>
      <w:r>
        <w:rPr>
          <w:rStyle w:val="50"/>
          <w:rFonts w:hint="eastAsia" w:ascii="宋体-简" w:hAnsi="宋体-简" w:eastAsia="宋体-简"/>
          <w:b/>
          <w:color w:val="000000"/>
          <w:kern w:val="0"/>
          <w:sz w:val="24"/>
          <w:szCs w:val="24"/>
        </w:rPr>
        <w:t>、最小B扫描间距</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b/>
          <w:color w:val="000000"/>
          <w:kern w:val="0"/>
          <w:sz w:val="24"/>
          <w:szCs w:val="24"/>
        </w:rPr>
        <w:t xml:space="preserve"> </w:t>
      </w:r>
      <w:r>
        <w:rPr>
          <w:rStyle w:val="50"/>
          <w:rFonts w:hint="eastAsia" w:ascii="宋体-简" w:hAnsi="宋体-简" w:eastAsia="宋体-简"/>
          <w:color w:val="000000"/>
          <w:kern w:val="0"/>
          <w:sz w:val="24"/>
          <w:szCs w:val="24"/>
        </w:rPr>
        <w:t>6μm</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2</w:t>
      </w:r>
      <w:r>
        <w:rPr>
          <w:rStyle w:val="50"/>
          <w:rFonts w:ascii="宋体-简" w:hAnsi="宋体-简" w:eastAsia="宋体-简"/>
          <w:b/>
          <w:color w:val="000000"/>
          <w:kern w:val="0"/>
          <w:sz w:val="24"/>
          <w:szCs w:val="24"/>
        </w:rPr>
        <w:t>4</w:t>
      </w:r>
      <w:r>
        <w:rPr>
          <w:rStyle w:val="50"/>
          <w:rFonts w:hint="eastAsia" w:ascii="宋体-简" w:hAnsi="宋体-简" w:eastAsia="宋体-简"/>
          <w:b/>
          <w:color w:val="000000"/>
          <w:kern w:val="0"/>
          <w:sz w:val="24"/>
          <w:szCs w:val="24"/>
        </w:rPr>
        <w:t>、同一位置重复扫描次数</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b/>
          <w:color w:val="000000"/>
          <w:kern w:val="0"/>
          <w:sz w:val="24"/>
          <w:szCs w:val="24"/>
        </w:rPr>
        <w:t xml:space="preserve"> </w:t>
      </w:r>
      <w:r>
        <w:rPr>
          <w:rStyle w:val="50"/>
          <w:rFonts w:hint="eastAsia" w:ascii="宋体-简" w:hAnsi="宋体-简" w:eastAsia="宋体-简"/>
          <w:color w:val="000000"/>
          <w:kern w:val="0"/>
          <w:sz w:val="24"/>
          <w:szCs w:val="24"/>
        </w:rPr>
        <w:t>7次</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b/>
          <w:color w:val="000000"/>
          <w:kern w:val="0"/>
          <w:sz w:val="24"/>
          <w:szCs w:val="24"/>
        </w:rPr>
        <w:t xml:space="preserve"> </w:t>
      </w:r>
      <w:r>
        <w:rPr>
          <w:rStyle w:val="50"/>
          <w:rFonts w:ascii="宋体-简" w:hAnsi="宋体-简" w:eastAsia="宋体-简"/>
          <w:b/>
          <w:color w:val="000000"/>
          <w:kern w:val="0"/>
          <w:sz w:val="24"/>
          <w:szCs w:val="24"/>
        </w:rPr>
        <w:t>25</w:t>
      </w:r>
      <w:r>
        <w:rPr>
          <w:rStyle w:val="50"/>
          <w:rFonts w:hint="eastAsia" w:ascii="宋体-简" w:hAnsi="宋体-简" w:eastAsia="宋体-简"/>
          <w:b/>
          <w:color w:val="000000"/>
          <w:kern w:val="0"/>
          <w:sz w:val="24"/>
          <w:szCs w:val="24"/>
        </w:rPr>
        <w:t>、OCTA分层</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自动分为8层——玻璃体视网膜交界面、神经纤维层血管丛、浅层血管丛、中层毛细血管丛、深层毛细血管丛、无血管层、脉络膜毛细血管层、脉络膜层</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2</w:t>
      </w:r>
      <w:r>
        <w:rPr>
          <w:rStyle w:val="50"/>
          <w:rFonts w:ascii="宋体-简" w:hAnsi="宋体-简" w:eastAsia="宋体-简"/>
          <w:b/>
          <w:color w:val="000000"/>
          <w:kern w:val="0"/>
          <w:sz w:val="24"/>
          <w:szCs w:val="24"/>
        </w:rPr>
        <w:t>6</w:t>
      </w:r>
      <w:r>
        <w:rPr>
          <w:rStyle w:val="50"/>
          <w:rFonts w:hint="eastAsia" w:ascii="宋体-简" w:hAnsi="宋体-简" w:eastAsia="宋体-简"/>
          <w:b/>
          <w:color w:val="000000"/>
          <w:kern w:val="0"/>
          <w:sz w:val="24"/>
          <w:szCs w:val="24"/>
        </w:rPr>
        <w:t>、用户自定义功能</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可通过鼠标拖动标线观察任意层次的OCT-A图像；可根据需要设定并保存任意深度和厚度的层次作为快捷选项；可对任意层次的标线形状进行修改</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2</w:t>
      </w:r>
      <w:r>
        <w:rPr>
          <w:rStyle w:val="50"/>
          <w:rFonts w:ascii="宋体-简" w:hAnsi="宋体-简" w:eastAsia="宋体-简"/>
          <w:b/>
          <w:color w:val="000000"/>
          <w:kern w:val="0"/>
          <w:sz w:val="24"/>
          <w:szCs w:val="24"/>
        </w:rPr>
        <w:t>7</w:t>
      </w:r>
      <w:r>
        <w:rPr>
          <w:rStyle w:val="50"/>
          <w:rFonts w:hint="eastAsia" w:ascii="宋体-简" w:hAnsi="宋体-简" w:eastAsia="宋体-简"/>
          <w:b/>
          <w:color w:val="000000"/>
          <w:kern w:val="0"/>
          <w:sz w:val="24"/>
          <w:szCs w:val="24"/>
        </w:rPr>
        <w:t>、智能分层标记线修改</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手动修改1-3个B扫描的分层标记线，整个扫描结果的分层标记线均可自动调整至所需位置</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2</w:t>
      </w:r>
      <w:r>
        <w:rPr>
          <w:rStyle w:val="50"/>
          <w:rFonts w:ascii="宋体-简" w:hAnsi="宋体-简" w:eastAsia="宋体-简"/>
          <w:b/>
          <w:color w:val="000000"/>
          <w:kern w:val="0"/>
          <w:sz w:val="24"/>
          <w:szCs w:val="24"/>
        </w:rPr>
        <w:t>8</w:t>
      </w:r>
      <w:r>
        <w:rPr>
          <w:rStyle w:val="50"/>
          <w:rFonts w:hint="eastAsia" w:ascii="宋体-简" w:hAnsi="宋体-简" w:eastAsia="宋体-简"/>
          <w:b/>
          <w:color w:val="000000"/>
          <w:kern w:val="0"/>
          <w:sz w:val="24"/>
          <w:szCs w:val="24"/>
        </w:rPr>
        <w:t>、量化测量</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OCT-A图像中的距离、面积测量</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2</w:t>
      </w:r>
      <w:r>
        <w:rPr>
          <w:rStyle w:val="50"/>
          <w:rFonts w:ascii="宋体-简" w:hAnsi="宋体-简" w:eastAsia="宋体-简"/>
          <w:b/>
          <w:color w:val="000000"/>
          <w:kern w:val="0"/>
          <w:sz w:val="24"/>
          <w:szCs w:val="24"/>
        </w:rPr>
        <w:t>9</w:t>
      </w:r>
      <w:r>
        <w:rPr>
          <w:rStyle w:val="50"/>
          <w:rFonts w:hint="eastAsia" w:ascii="宋体-简" w:hAnsi="宋体-简" w:eastAsia="宋体-简"/>
          <w:b/>
          <w:color w:val="000000"/>
          <w:kern w:val="0"/>
          <w:sz w:val="24"/>
          <w:szCs w:val="24"/>
        </w:rPr>
        <w:t>、随访功能</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设备自动精准定位同一位置进行OCT-A随访扫描</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ascii="宋体-简" w:hAnsi="宋体-简" w:eastAsia="宋体-简"/>
          <w:b/>
          <w:color w:val="000000"/>
          <w:kern w:val="0"/>
          <w:sz w:val="24"/>
          <w:szCs w:val="24"/>
        </w:rPr>
        <w:t>30</w:t>
      </w:r>
      <w:r>
        <w:rPr>
          <w:rStyle w:val="50"/>
          <w:rFonts w:hint="eastAsia" w:ascii="宋体-简" w:hAnsi="宋体-简" w:eastAsia="宋体-简"/>
          <w:b/>
          <w:color w:val="000000"/>
          <w:kern w:val="0"/>
          <w:sz w:val="24"/>
          <w:szCs w:val="24"/>
        </w:rPr>
        <w:t>、黄斑视盘追踪</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利用黄斑视盘连线校正患者头位，确保神经纤维层厚度测量准确性</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3</w:t>
      </w:r>
      <w:r>
        <w:rPr>
          <w:rStyle w:val="50"/>
          <w:rFonts w:ascii="宋体-简" w:hAnsi="宋体-简" w:eastAsia="宋体-简"/>
          <w:b/>
          <w:color w:val="000000"/>
          <w:kern w:val="0"/>
          <w:sz w:val="24"/>
          <w:szCs w:val="24"/>
        </w:rPr>
        <w:t>1</w:t>
      </w:r>
      <w:r>
        <w:rPr>
          <w:rStyle w:val="50"/>
          <w:rFonts w:hint="eastAsia" w:ascii="宋体-简" w:hAnsi="宋体-简" w:eastAsia="宋体-简"/>
          <w:b/>
          <w:color w:val="000000"/>
          <w:kern w:val="0"/>
          <w:sz w:val="24"/>
          <w:szCs w:val="24"/>
        </w:rPr>
        <w:t>、神经纤维层厚度分析</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国际标准直径3.4mm环形扫描，与正常人数据库进行比对</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rPr>
        <w:t>3</w:t>
      </w:r>
      <w:r>
        <w:rPr>
          <w:rStyle w:val="50"/>
          <w:rFonts w:ascii="宋体-简" w:hAnsi="宋体-简" w:eastAsia="宋体-简"/>
          <w:b/>
          <w:color w:val="000000"/>
          <w:kern w:val="0"/>
          <w:sz w:val="24"/>
          <w:szCs w:val="24"/>
        </w:rPr>
        <w:t>2</w:t>
      </w:r>
      <w:r>
        <w:rPr>
          <w:rStyle w:val="50"/>
          <w:rFonts w:hint="eastAsia" w:ascii="宋体-简" w:hAnsi="宋体-简" w:eastAsia="宋体-简"/>
          <w:b/>
          <w:color w:val="000000"/>
          <w:kern w:val="0"/>
          <w:sz w:val="24"/>
          <w:szCs w:val="24"/>
        </w:rPr>
        <w:t>、双眼后极部非对称性分析</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后极部8.8mm×8.8mm扫描，并进行双眼上下半球，左右眼神经纤维层对称性分析</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ascii="宋体-简" w:hAnsi="宋体-简" w:eastAsia="宋体-简"/>
          <w:b/>
          <w:color w:val="000000"/>
          <w:kern w:val="0"/>
          <w:sz w:val="24"/>
          <w:szCs w:val="24"/>
        </w:rPr>
        <w:t>33</w:t>
      </w:r>
      <w:r>
        <w:rPr>
          <w:rStyle w:val="50"/>
          <w:rFonts w:hint="eastAsia" w:ascii="宋体-简" w:hAnsi="宋体-简" w:eastAsia="宋体-简"/>
          <w:b/>
          <w:color w:val="000000"/>
          <w:kern w:val="0"/>
          <w:sz w:val="24"/>
          <w:szCs w:val="24"/>
        </w:rPr>
        <w:t>、GCL单层厚度分析</w:t>
      </w:r>
      <w:r>
        <w:rPr>
          <w:rStyle w:val="50"/>
          <w:rFonts w:hint="eastAsia" w:ascii="宋体-简" w:hAnsi="宋体-简" w:eastAsia="宋体-简"/>
          <w:b/>
          <w:color w:val="000000"/>
          <w:kern w:val="0"/>
          <w:sz w:val="24"/>
          <w:szCs w:val="24"/>
          <w:lang w:eastAsia="zh-CN"/>
        </w:rPr>
        <w:t>：</w:t>
      </w:r>
      <w:r>
        <w:rPr>
          <w:rStyle w:val="50"/>
          <w:rFonts w:hint="eastAsia" w:ascii="宋体-简" w:hAnsi="宋体-简" w:eastAsia="宋体-简"/>
          <w:color w:val="000000"/>
          <w:kern w:val="0"/>
          <w:sz w:val="24"/>
          <w:szCs w:val="24"/>
        </w:rPr>
        <w:t>对GCL（神经节细胞层）单层进行厚度分析，精确反映早期青光眼</w:t>
      </w:r>
    </w:p>
    <w:p>
      <w:pPr>
        <w:keepNext w:val="0"/>
        <w:keepLines w:val="0"/>
        <w:pageBreakBefore w:val="0"/>
        <w:widowControl/>
        <w:kinsoku/>
        <w:wordWrap/>
        <w:overflowPunct/>
        <w:topLinePunct w:val="0"/>
        <w:autoSpaceDE/>
        <w:autoSpaceDN/>
        <w:bidi w:val="0"/>
        <w:adjustRightInd/>
        <w:snapToGrid/>
        <w:spacing w:line="360" w:lineRule="exact"/>
        <w:textAlignment w:val="baseline"/>
        <w:rPr>
          <w:rStyle w:val="50"/>
          <w:rFonts w:ascii="宋体-简" w:hAnsi="宋体-简" w:eastAsia="宋体-简"/>
          <w:color w:val="000000"/>
          <w:kern w:val="0"/>
          <w:sz w:val="24"/>
          <w:szCs w:val="24"/>
        </w:rPr>
      </w:pPr>
      <w:r>
        <w:rPr>
          <w:rStyle w:val="50"/>
          <w:rFonts w:hint="eastAsia" w:ascii="宋体-简" w:hAnsi="宋体-简" w:eastAsia="宋体-简"/>
          <w:b/>
          <w:color w:val="000000"/>
          <w:kern w:val="0"/>
          <w:sz w:val="24"/>
          <w:szCs w:val="24"/>
          <w:lang w:eastAsia="zh-CN"/>
        </w:rPr>
        <w:t>★</w:t>
      </w:r>
      <w:r>
        <w:rPr>
          <w:rStyle w:val="50"/>
          <w:rFonts w:ascii="宋体-简" w:hAnsi="宋体-简" w:eastAsia="宋体-简"/>
          <w:b/>
          <w:color w:val="000000"/>
          <w:kern w:val="0"/>
          <w:sz w:val="24"/>
          <w:szCs w:val="24"/>
        </w:rPr>
        <w:t>34</w:t>
      </w:r>
      <w:r>
        <w:rPr>
          <w:rStyle w:val="50"/>
          <w:rFonts w:hint="eastAsia" w:ascii="宋体-简" w:hAnsi="宋体-简" w:eastAsia="宋体-简"/>
          <w:b/>
          <w:color w:val="000000"/>
          <w:kern w:val="0"/>
          <w:sz w:val="24"/>
          <w:szCs w:val="24"/>
        </w:rPr>
        <w:t>、</w:t>
      </w:r>
      <w:r>
        <w:rPr>
          <w:rStyle w:val="50"/>
          <w:rFonts w:hint="eastAsia" w:ascii="宋体-简" w:hAnsi="宋体-简" w:eastAsia="宋体-简"/>
          <w:b/>
          <w:bCs/>
          <w:color w:val="000000"/>
          <w:kern w:val="0"/>
          <w:sz w:val="24"/>
          <w:szCs w:val="24"/>
        </w:rPr>
        <w:t>电脑工作站与设备主机分体式设计，方便后期维护与升级</w:t>
      </w:r>
    </w:p>
    <w:p>
      <w:pPr>
        <w:numPr>
          <w:ilvl w:val="0"/>
          <w:numId w:val="0"/>
        </w:numPr>
        <w:spacing w:after="78" w:line="320" w:lineRule="exact"/>
        <w:jc w:val="center"/>
        <w:rPr>
          <w:rFonts w:hint="eastAsia" w:ascii="宋体" w:hAnsi="宋体" w:eastAsia="宋体" w:cs="宋体"/>
          <w:b/>
          <w:bCs/>
          <w:sz w:val="24"/>
          <w:szCs w:val="24"/>
          <w:lang w:val="en-US" w:eastAsia="zh-CN"/>
        </w:rPr>
      </w:pPr>
    </w:p>
    <w:p>
      <w:pPr>
        <w:numPr>
          <w:ilvl w:val="0"/>
          <w:numId w:val="0"/>
        </w:numPr>
        <w:spacing w:after="78" w:line="320" w:lineRule="exact"/>
        <w:jc w:val="center"/>
        <w:rPr>
          <w:rFonts w:hint="eastAsia" w:ascii="宋体" w:hAnsi="宋体" w:eastAsia="宋体" w:cs="宋体"/>
          <w:b/>
          <w:bCs/>
          <w:sz w:val="24"/>
          <w:szCs w:val="24"/>
          <w:lang w:val="en-US" w:eastAsia="zh-CN"/>
        </w:rPr>
      </w:pPr>
    </w:p>
    <w:p>
      <w:pPr>
        <w:spacing w:line="480" w:lineRule="exact"/>
        <w:ind w:left="0" w:leftChars="0" w:firstLine="0" w:firstLineChars="0"/>
        <w:jc w:val="left"/>
        <w:rPr>
          <w:rFonts w:hint="eastAsia" w:ascii="宋体" w:hAnsi="宋体"/>
          <w:b/>
          <w:bCs/>
          <w:sz w:val="24"/>
          <w:szCs w:val="24"/>
        </w:rPr>
      </w:pPr>
      <w:r>
        <w:rPr>
          <w:rFonts w:hint="eastAsia" w:ascii="华文中宋" w:hAnsi="华文中宋" w:eastAsia="华文中宋"/>
          <w:b/>
          <w:bCs/>
          <w:sz w:val="28"/>
          <w:szCs w:val="32"/>
        </w:rPr>
        <w:t>注</w:t>
      </w:r>
      <w:r>
        <w:rPr>
          <w:rFonts w:hint="eastAsia" w:ascii="宋体" w:hAnsi="宋体"/>
          <w:b/>
          <w:bCs/>
          <w:sz w:val="28"/>
          <w:szCs w:val="28"/>
        </w:rPr>
        <w:t>：(1) 标注“</w:t>
      </w:r>
      <w:r>
        <w:rPr>
          <w:rFonts w:hint="default" w:ascii="宋体" w:hAnsi="宋体"/>
          <w:b/>
          <w:bCs/>
          <w:sz w:val="28"/>
          <w:szCs w:val="28"/>
          <w:lang w:val="en-US"/>
        </w:rPr>
        <w:t>★</w:t>
      </w:r>
      <w:r>
        <w:rPr>
          <w:rFonts w:hint="eastAsia" w:ascii="宋体" w:hAnsi="宋体"/>
          <w:b/>
          <w:bCs/>
          <w:sz w:val="28"/>
          <w:szCs w:val="28"/>
        </w:rPr>
        <w:t>”号的参数为关键性技术参数指标</w:t>
      </w:r>
      <w:r>
        <w:rPr>
          <w:rFonts w:hint="eastAsia" w:ascii="宋体" w:hAnsi="宋体"/>
          <w:b/>
          <w:bCs/>
          <w:sz w:val="24"/>
          <w:szCs w:val="24"/>
        </w:rPr>
        <w:t>。</w:t>
      </w:r>
    </w:p>
    <w:p>
      <w:pPr>
        <w:numPr>
          <w:ilvl w:val="0"/>
          <w:numId w:val="0"/>
        </w:numPr>
        <w:spacing w:after="78" w:line="320" w:lineRule="exact"/>
        <w:jc w:val="center"/>
        <w:rPr>
          <w:rFonts w:hint="eastAsia" w:ascii="宋体" w:hAnsi="宋体" w:eastAsia="宋体" w:cs="宋体"/>
          <w:b/>
          <w:bCs/>
          <w:sz w:val="24"/>
          <w:szCs w:val="24"/>
          <w:lang w:val="en-US" w:eastAsia="zh-CN"/>
        </w:rPr>
      </w:pPr>
    </w:p>
    <w:p>
      <w:pPr>
        <w:pStyle w:val="2"/>
        <w:rPr>
          <w:rFonts w:hint="eastAsia" w:ascii="宋体" w:hAnsi="宋体" w:eastAsia="宋体" w:cs="宋体"/>
          <w:b/>
          <w:bCs/>
          <w:sz w:val="24"/>
          <w:szCs w:val="24"/>
          <w:lang w:val="en-US" w:eastAsia="zh-CN"/>
        </w:rPr>
      </w:pPr>
    </w:p>
    <w:p>
      <w:pPr>
        <w:rPr>
          <w:rFonts w:hint="eastAsia"/>
          <w:lang w:val="en-US" w:eastAsia="zh-CN"/>
        </w:rPr>
      </w:pPr>
    </w:p>
    <w:p>
      <w:pPr>
        <w:numPr>
          <w:ilvl w:val="0"/>
          <w:numId w:val="0"/>
        </w:numPr>
        <w:spacing w:after="78" w:line="320" w:lineRule="exact"/>
        <w:jc w:val="center"/>
        <w:rPr>
          <w:rFonts w:hint="eastAsia" w:ascii="宋体" w:hAnsi="宋体" w:eastAsia="宋体" w:cs="宋体"/>
          <w:b/>
          <w:bCs/>
          <w:sz w:val="24"/>
          <w:szCs w:val="24"/>
          <w:lang w:val="en-US" w:eastAsia="zh-CN"/>
        </w:rPr>
      </w:pPr>
    </w:p>
    <w:p>
      <w:pPr>
        <w:numPr>
          <w:ilvl w:val="0"/>
          <w:numId w:val="0"/>
        </w:numPr>
        <w:spacing w:after="78" w:line="320" w:lineRule="exact"/>
        <w:jc w:val="center"/>
        <w:rPr>
          <w:rFonts w:hint="eastAsia" w:ascii="宋体" w:hAnsi="宋体" w:eastAsia="宋体" w:cs="宋体"/>
          <w:b/>
          <w:bCs/>
          <w:sz w:val="24"/>
          <w:szCs w:val="24"/>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44"/>
        <w:spacing w:line="360" w:lineRule="auto"/>
        <w:ind w:firstLine="360" w:firstLineChars="100"/>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四包：</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（一）采购清单</w:t>
      </w:r>
    </w:p>
    <w:tbl>
      <w:tblPr>
        <w:tblStyle w:val="23"/>
        <w:tblpPr w:leftFromText="180" w:rightFromText="180" w:vertAnchor="text" w:horzAnchor="page" w:tblpX="1665" w:tblpY="234"/>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011"/>
        <w:gridCol w:w="1238"/>
        <w:gridCol w:w="1425"/>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31"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序 号</w:t>
            </w:r>
          </w:p>
        </w:tc>
        <w:tc>
          <w:tcPr>
            <w:tcW w:w="4011" w:type="dxa"/>
            <w:vAlign w:val="center"/>
          </w:tcPr>
          <w:p>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1238"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1425"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1271"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1" w:type="dxa"/>
            <w:vAlign w:val="center"/>
          </w:tcPr>
          <w:p>
            <w:pPr>
              <w:ind w:left="0" w:leftChars="0" w:firstLine="240" w:firstLineChars="100"/>
              <w:jc w:val="both"/>
              <w:rPr>
                <w:rFonts w:hint="eastAsia" w:ascii="宋体" w:hAnsi="宋体" w:eastAsia="宋体" w:cs="宋体"/>
                <w:b/>
                <w:sz w:val="24"/>
                <w:szCs w:val="24"/>
                <w:lang w:val="zh-CN"/>
              </w:rPr>
            </w:pPr>
            <w:r>
              <w:rPr>
                <w:rFonts w:hint="eastAsia" w:ascii="宋体" w:hAnsi="宋体" w:eastAsia="宋体" w:cs="宋体"/>
                <w:b/>
                <w:sz w:val="24"/>
                <w:szCs w:val="24"/>
                <w:lang w:val="zh-CN"/>
              </w:rPr>
              <w:t>1</w:t>
            </w:r>
          </w:p>
        </w:tc>
        <w:tc>
          <w:tcPr>
            <w:tcW w:w="4011" w:type="dxa"/>
            <w:vAlign w:val="center"/>
          </w:tcPr>
          <w:p>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显微镜</w:t>
            </w:r>
          </w:p>
        </w:tc>
        <w:tc>
          <w:tcPr>
            <w:tcW w:w="1238" w:type="dxa"/>
            <w:vAlign w:val="center"/>
          </w:tcPr>
          <w:p>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5"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套</w:t>
            </w:r>
          </w:p>
        </w:tc>
        <w:tc>
          <w:tcPr>
            <w:tcW w:w="1271"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货物</w:t>
            </w:r>
          </w:p>
        </w:tc>
      </w:tr>
    </w:tbl>
    <w:p>
      <w:pPr>
        <w:pStyle w:val="44"/>
        <w:numPr>
          <w:ilvl w:val="0"/>
          <w:numId w:val="0"/>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（二）技术参数</w:t>
      </w:r>
    </w:p>
    <w:tbl>
      <w:tblPr>
        <w:tblStyle w:val="22"/>
        <w:tblW w:w="11445" w:type="dxa"/>
        <w:tblInd w:w="0" w:type="dxa"/>
        <w:shd w:val="clear" w:color="auto" w:fill="auto"/>
        <w:tblLayout w:type="autofit"/>
        <w:tblCellMar>
          <w:top w:w="0" w:type="dxa"/>
          <w:left w:w="0" w:type="dxa"/>
          <w:bottom w:w="0" w:type="dxa"/>
          <w:right w:w="0" w:type="dxa"/>
        </w:tblCellMar>
      </w:tblPr>
      <w:tblGrid>
        <w:gridCol w:w="855"/>
        <w:gridCol w:w="4628"/>
        <w:gridCol w:w="4622"/>
        <w:gridCol w:w="1340"/>
      </w:tblGrid>
      <w:tr>
        <w:tblPrEx>
          <w:shd w:val="clear" w:color="auto" w:fill="auto"/>
          <w:tblCellMar>
            <w:top w:w="0" w:type="dxa"/>
            <w:left w:w="0" w:type="dxa"/>
            <w:bottom w:w="0" w:type="dxa"/>
            <w:right w:w="0" w:type="dxa"/>
          </w:tblCellMar>
        </w:tblPrEx>
        <w:trPr>
          <w:trHeight w:val="420" w:hRule="atLeast"/>
        </w:trPr>
        <w:tc>
          <w:tcPr>
            <w:tcW w:w="11445" w:type="dxa"/>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眼科手术显微镜技术参数</w:t>
            </w:r>
          </w:p>
        </w:tc>
      </w:tr>
      <w:tr>
        <w:tblPrEx>
          <w:shd w:val="clear" w:color="auto" w:fill="auto"/>
          <w:tblCellMar>
            <w:top w:w="0" w:type="dxa"/>
            <w:left w:w="0" w:type="dxa"/>
            <w:bottom w:w="0" w:type="dxa"/>
            <w:right w:w="0" w:type="dxa"/>
          </w:tblCellMar>
        </w:tblPrEx>
        <w:trPr>
          <w:gridAfter w:val="1"/>
          <w:wAfter w:w="2350" w:type="dxa"/>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538DD5"/>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FFFF"/>
                <w:sz w:val="24"/>
                <w:szCs w:val="24"/>
                <w:u w:val="none"/>
              </w:rPr>
            </w:pPr>
            <w:r>
              <w:rPr>
                <w:rFonts w:hint="eastAsia" w:ascii="宋体" w:hAnsi="宋体" w:eastAsia="宋体" w:cs="宋体"/>
                <w:b/>
                <w:i w:val="0"/>
                <w:color w:val="FFFFFF"/>
                <w:kern w:val="0"/>
                <w:sz w:val="24"/>
                <w:szCs w:val="24"/>
                <w:u w:val="none"/>
                <w:lang w:val="en-US" w:eastAsia="zh-CN" w:bidi="ar"/>
              </w:rPr>
              <w:t>序号</w:t>
            </w:r>
          </w:p>
        </w:tc>
        <w:tc>
          <w:tcPr>
            <w:tcW w:w="4060"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FFFF"/>
                <w:sz w:val="24"/>
                <w:szCs w:val="24"/>
                <w:u w:val="none"/>
              </w:rPr>
            </w:pPr>
            <w:r>
              <w:rPr>
                <w:rFonts w:hint="eastAsia" w:ascii="宋体" w:hAnsi="宋体" w:eastAsia="宋体" w:cs="宋体"/>
                <w:b/>
                <w:i w:val="0"/>
                <w:color w:val="FFFFFF"/>
                <w:kern w:val="0"/>
                <w:sz w:val="24"/>
                <w:szCs w:val="24"/>
                <w:u w:val="none"/>
                <w:lang w:val="en-US" w:eastAsia="zh-CN" w:bidi="ar"/>
              </w:rPr>
              <w:t>投标要求</w:t>
            </w:r>
          </w:p>
        </w:tc>
        <w:tc>
          <w:tcPr>
            <w:tcW w:w="4055" w:type="dxa"/>
            <w:tcBorders>
              <w:top w:val="single" w:color="000000" w:sz="4" w:space="0"/>
              <w:left w:val="single" w:color="000000" w:sz="4" w:space="0"/>
              <w:bottom w:val="single" w:color="000000" w:sz="4" w:space="0"/>
              <w:right w:val="single" w:color="000000" w:sz="4" w:space="0"/>
            </w:tcBorders>
            <w:shd w:val="clear" w:color="auto" w:fill="538D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FFFF"/>
                <w:sz w:val="24"/>
                <w:szCs w:val="24"/>
                <w:u w:val="none"/>
              </w:rPr>
            </w:pPr>
            <w:r>
              <w:rPr>
                <w:rFonts w:hint="eastAsia" w:ascii="宋体" w:hAnsi="宋体" w:eastAsia="宋体" w:cs="宋体"/>
                <w:b/>
                <w:i w:val="0"/>
                <w:color w:val="FFFFFF"/>
                <w:kern w:val="0"/>
                <w:sz w:val="24"/>
                <w:szCs w:val="24"/>
                <w:u w:val="none"/>
                <w:lang w:val="en-US" w:eastAsia="zh-CN" w:bidi="ar"/>
              </w:rPr>
              <w:t>说明</w:t>
            </w:r>
          </w:p>
        </w:tc>
      </w:tr>
      <w:tr>
        <w:tblPrEx>
          <w:shd w:val="clear" w:color="auto" w:fill="auto"/>
          <w:tblCellMar>
            <w:top w:w="0" w:type="dxa"/>
            <w:left w:w="0" w:type="dxa"/>
            <w:bottom w:w="0" w:type="dxa"/>
            <w:right w:w="0" w:type="dxa"/>
          </w:tblCellMar>
        </w:tblPrEx>
        <w:trPr>
          <w:gridAfter w:val="1"/>
          <w:wAfter w:w="2350" w:type="dxa"/>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场地要求：原装德国进口</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设备技术要求及配置</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镜体</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光学系统：全部复消色差光学系统（含物镜、变倍和放大系统），T*镀膜</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全部光学系统均为复消色差（含物镜、变倍和放大系统），蔡司独有的T*镀膜，确保高的光通量、高色彩还原度、以及光学系统的耐用性</w:t>
            </w:r>
          </w:p>
        </w:tc>
      </w:tr>
      <w:tr>
        <w:tblPrEx>
          <w:shd w:val="clear" w:color="auto" w:fill="auto"/>
          <w:tblCellMar>
            <w:top w:w="0" w:type="dxa"/>
            <w:left w:w="0" w:type="dxa"/>
            <w:bottom w:w="0" w:type="dxa"/>
            <w:right w:w="0" w:type="dxa"/>
          </w:tblCellMar>
        </w:tblPrEx>
        <w:trPr>
          <w:gridAfter w:val="1"/>
          <w:wAfter w:w="2350" w:type="dxa"/>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电动连续变倍系统，带复消色差光学器件，1：6连续变倍比</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1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变倍系数：γ = 0.4x - 2.4x</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放大倍数：3.4ⅹ-20.4ⅹ（目镜10X）</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视场直径：10.1-60.6mm（目镜10X）</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1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 </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主刀镜双目镜筒：电动全内置倒像镜，110度倾斜角可调， f = 170 mm</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全内置倒像镜，0-110°可调节，配合蔡司眼底观察系统，更符合人体工程学设计的工作距离，保证长时间工作无疲劳感。电动版能根据手术流程切换，自动切换倒像功能，最大可能节省手术时间。</w:t>
            </w:r>
          </w:p>
        </w:tc>
      </w:tr>
      <w:tr>
        <w:tblPrEx>
          <w:shd w:val="clear" w:color="auto" w:fill="auto"/>
          <w:tblCellMar>
            <w:top w:w="0" w:type="dxa"/>
            <w:left w:w="0" w:type="dxa"/>
            <w:bottom w:w="0" w:type="dxa"/>
            <w:right w:w="0" w:type="dxa"/>
          </w:tblCellMar>
        </w:tblPrEx>
        <w:trPr>
          <w:gridAfter w:val="1"/>
          <w:wAfter w:w="2350" w:type="dxa"/>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目镜：10ⅹ、12.5ⅹ（可选）</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目镜屈光补偿：+5D到-8D</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更大的屈光补偿调节范围，满足不同需求</w:t>
            </w:r>
          </w:p>
        </w:tc>
      </w:tr>
      <w:tr>
        <w:tblPrEx>
          <w:shd w:val="clear" w:color="auto" w:fill="auto"/>
          <w:tblCellMar>
            <w:top w:w="0" w:type="dxa"/>
            <w:left w:w="0" w:type="dxa"/>
            <w:bottom w:w="0" w:type="dxa"/>
            <w:right w:w="0" w:type="dxa"/>
          </w:tblCellMar>
        </w:tblPrEx>
        <w:trPr>
          <w:gridAfter w:val="1"/>
          <w:wAfter w:w="2350" w:type="dxa"/>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物镜：f=200毫米</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f=175/225 mm可选</w:t>
            </w:r>
          </w:p>
        </w:tc>
      </w:tr>
      <w:tr>
        <w:tblPrEx>
          <w:shd w:val="clear" w:color="auto" w:fill="auto"/>
          <w:tblCellMar>
            <w:top w:w="0" w:type="dxa"/>
            <w:left w:w="0" w:type="dxa"/>
            <w:bottom w:w="0" w:type="dxa"/>
            <w:right w:w="0" w:type="dxa"/>
          </w:tblCellMar>
        </w:tblPrEx>
        <w:trPr>
          <w:gridAfter w:val="1"/>
          <w:wAfter w:w="2350" w:type="dxa"/>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调焦范围：50mm</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 </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景深增强系统：具有智能景深增强系统（DeepView）</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根据手术不同需要提供最佳景深或通光量</w:t>
            </w:r>
          </w:p>
        </w:tc>
      </w:tr>
      <w:tr>
        <w:tblPrEx>
          <w:shd w:val="clear" w:color="auto" w:fill="auto"/>
          <w:tblCellMar>
            <w:top w:w="0" w:type="dxa"/>
            <w:left w:w="0" w:type="dxa"/>
            <w:bottom w:w="0" w:type="dxa"/>
            <w:right w:w="0" w:type="dxa"/>
          </w:tblCellMar>
        </w:tblPrEx>
        <w:trPr>
          <w:gridAfter w:val="1"/>
          <w:wAfter w:w="2350" w:type="dxa"/>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 </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助手镜系统：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四光路0度助手镜，独立调焦变倍</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独立光路，主刀不受影响，助手镜与主刀相同的立体感效果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可独立调焦变倍，在完全不影响主刀工作下自主调节</w:t>
            </w:r>
          </w:p>
        </w:tc>
      </w:tr>
      <w:tr>
        <w:tblPrEx>
          <w:shd w:val="clear" w:color="auto" w:fill="auto"/>
          <w:tblCellMar>
            <w:top w:w="0" w:type="dxa"/>
            <w:left w:w="0" w:type="dxa"/>
            <w:bottom w:w="0" w:type="dxa"/>
            <w:right w:w="0" w:type="dxa"/>
          </w:tblCellMar>
        </w:tblPrEx>
        <w:trPr>
          <w:gridAfter w:val="1"/>
          <w:wAfter w:w="2350" w:type="dxa"/>
          <w:trHeight w:val="1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助手镜双目镜筒：全内置倒像镜，110度倾斜角可调， f = 170 mm</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全内置倒像镜，0-110°可调节，配合蔡司眼底观察系统，更符合人体工程学设计的工作距离，保证长时间工作无疲劳感。</w:t>
            </w:r>
          </w:p>
        </w:tc>
      </w:tr>
      <w:tr>
        <w:tblPrEx>
          <w:shd w:val="clear" w:color="auto" w:fill="auto"/>
          <w:tblCellMar>
            <w:top w:w="0" w:type="dxa"/>
            <w:left w:w="0" w:type="dxa"/>
            <w:bottom w:w="0" w:type="dxa"/>
            <w:right w:w="0" w:type="dxa"/>
          </w:tblCellMar>
        </w:tblPrEx>
        <w:trPr>
          <w:gridAfter w:val="1"/>
          <w:wAfter w:w="2350" w:type="dxa"/>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镜体倾斜：自动锁定齿轮驱动，使用旋钮手动调节倾斜角度±90 度</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更大的镜体倾斜调节范围，满足不同手术需求</w:t>
            </w:r>
          </w:p>
        </w:tc>
      </w:tr>
      <w:tr>
        <w:tblPrEx>
          <w:shd w:val="clear" w:color="auto" w:fill="auto"/>
          <w:tblCellMar>
            <w:top w:w="0" w:type="dxa"/>
            <w:left w:w="0" w:type="dxa"/>
            <w:bottom w:w="0" w:type="dxa"/>
            <w:right w:w="0" w:type="dxa"/>
          </w:tblCellMar>
        </w:tblPrEx>
        <w:trPr>
          <w:gridAfter w:val="1"/>
          <w:wAfter w:w="2350" w:type="dxa"/>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XY水平移动</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平移范围：40mmx40mm</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复位功能：带有“自动复位”按钮，X-Y水平移动系统自动复位至中心位置</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照明系统</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1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照明方式：SCI</w:t>
            </w:r>
            <w:r>
              <w:rPr>
                <w:rFonts w:hint="eastAsia" w:ascii="宋体" w:hAnsi="宋体" w:eastAsia="宋体" w:cs="宋体"/>
                <w:i w:val="0"/>
                <w:color w:val="000000"/>
                <w:kern w:val="0"/>
                <w:sz w:val="24"/>
                <w:szCs w:val="24"/>
                <w:u w:val="none"/>
                <w:vertAlign w:val="superscript"/>
                <w:lang w:val="en-US" w:eastAsia="zh-CN" w:bidi="ar"/>
              </w:rPr>
              <w:t>TM</w:t>
            </w:r>
            <w:r>
              <w:rPr>
                <w:rFonts w:hint="eastAsia" w:ascii="宋体" w:hAnsi="宋体" w:eastAsia="宋体" w:cs="宋体"/>
                <w:i w:val="0"/>
                <w:color w:val="000000"/>
                <w:kern w:val="0"/>
                <w:sz w:val="24"/>
                <w:szCs w:val="24"/>
                <w:u w:val="none"/>
                <w:lang w:val="en-US" w:eastAsia="zh-CN" w:bidi="ar"/>
              </w:rPr>
              <w:t>（Stereo Coaxial Illumination）立体同轴照明系统</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获得明亮、稳定、均匀的红反射；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呈现高对比度的、精确细节识别的手术视野观察图像</w:t>
            </w:r>
          </w:p>
        </w:tc>
      </w:tr>
      <w:tr>
        <w:tblPrEx>
          <w:shd w:val="clear" w:color="auto" w:fill="auto"/>
          <w:tblCellMar>
            <w:top w:w="0" w:type="dxa"/>
            <w:left w:w="0" w:type="dxa"/>
            <w:bottom w:w="0" w:type="dxa"/>
            <w:right w:w="0" w:type="dxa"/>
          </w:tblCellMar>
        </w:tblPrEx>
        <w:trPr>
          <w:gridAfter w:val="1"/>
          <w:wAfter w:w="2350" w:type="dxa"/>
          <w:trHeight w:val="1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光源：Superlux Eye双氙灯短弧线反射镜灯，180W</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备用灯泡：快速手动切换，几乎不影响手术</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保证手术顺利、安全进行</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氙灯光源，提供色彩还原度更高，更接近自然色的照明光</w:t>
            </w:r>
          </w:p>
        </w:tc>
      </w:tr>
      <w:tr>
        <w:tblPrEx>
          <w:shd w:val="clear" w:color="auto" w:fill="auto"/>
          <w:tblCellMar>
            <w:top w:w="0" w:type="dxa"/>
            <w:left w:w="0" w:type="dxa"/>
            <w:bottom w:w="0" w:type="dxa"/>
            <w:right w:w="0" w:type="dxa"/>
          </w:tblCellMar>
        </w:tblPrEx>
        <w:trPr>
          <w:gridAfter w:val="1"/>
          <w:wAfter w:w="2350" w:type="dxa"/>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冷光源，通过光纤传导</w:t>
            </w:r>
          </w:p>
        </w:tc>
        <w:tc>
          <w:tcPr>
            <w:tcW w:w="40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保护装置：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防紫外线滤光片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防红外线保护装置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旋入式视网膜保护装置</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更少光毒性损伤，更多患者保护</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获得专利的视网膜保护装置，专利号：DE 33 39 17 2 C2</w:t>
            </w:r>
          </w:p>
        </w:tc>
      </w:tr>
      <w:tr>
        <w:tblPrEx>
          <w:shd w:val="clear" w:color="auto" w:fill="auto"/>
          <w:tblCellMar>
            <w:top w:w="0" w:type="dxa"/>
            <w:left w:w="0" w:type="dxa"/>
            <w:bottom w:w="0" w:type="dxa"/>
            <w:right w:w="0" w:type="dxa"/>
          </w:tblCellMar>
        </w:tblPrEx>
        <w:trPr>
          <w:gridAfter w:val="1"/>
          <w:wAfter w:w="2350" w:type="dxa"/>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滤光片</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1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蓝光屏蔽滤光片（视网膜保护滤光片）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KK40增加色温滤光片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HaMode™ 滤波片（氙灯配置专属）</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多种滤光片配置，满足不同手术需求。</w:t>
            </w:r>
          </w:p>
        </w:tc>
      </w:tr>
      <w:tr>
        <w:tblPrEx>
          <w:shd w:val="clear" w:color="auto" w:fill="auto"/>
          <w:tblCellMar>
            <w:top w:w="0" w:type="dxa"/>
            <w:left w:w="0" w:type="dxa"/>
            <w:bottom w:w="0" w:type="dxa"/>
            <w:right w:w="0" w:type="dxa"/>
          </w:tblCellMar>
        </w:tblPrEx>
        <w:trPr>
          <w:gridAfter w:val="1"/>
          <w:wAfter w:w="2350" w:type="dxa"/>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控制单元</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控制面板：</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9组个性化用户参数设置</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便于客户个性化设置显微镜参数及控制设置，优化手术流程</w:t>
            </w:r>
          </w:p>
        </w:tc>
      </w:tr>
      <w:tr>
        <w:tblPrEx>
          <w:shd w:val="clear" w:color="auto" w:fill="auto"/>
          <w:tblCellMar>
            <w:top w:w="0" w:type="dxa"/>
            <w:left w:w="0" w:type="dxa"/>
            <w:bottom w:w="0" w:type="dxa"/>
            <w:right w:w="0" w:type="dxa"/>
          </w:tblCellMar>
        </w:tblPrEx>
        <w:trPr>
          <w:gridAfter w:val="1"/>
          <w:wAfter w:w="2350" w:type="dxa"/>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14功能全封闭防水、无线脚踏</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无线，方便操控，减少空间</w:t>
            </w:r>
          </w:p>
        </w:tc>
      </w:tr>
      <w:tr>
        <w:tblPrEx>
          <w:shd w:val="clear" w:color="auto" w:fill="auto"/>
          <w:tblCellMar>
            <w:top w:w="0" w:type="dxa"/>
            <w:left w:w="0" w:type="dxa"/>
            <w:bottom w:w="0" w:type="dxa"/>
            <w:right w:w="0" w:type="dxa"/>
          </w:tblCellMar>
        </w:tblPrEx>
        <w:trPr>
          <w:gridAfter w:val="1"/>
          <w:wAfter w:w="2350" w:type="dxa"/>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支架系统</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落地式支架，承重20Kg</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超大承重，满足更多功能配置升级</w:t>
            </w:r>
          </w:p>
        </w:tc>
      </w:tr>
      <w:tr>
        <w:tblPrEx>
          <w:shd w:val="clear" w:color="auto" w:fill="auto"/>
          <w:tblCellMar>
            <w:top w:w="0" w:type="dxa"/>
            <w:left w:w="0" w:type="dxa"/>
            <w:bottom w:w="0" w:type="dxa"/>
            <w:right w:w="0" w:type="dxa"/>
          </w:tblCellMar>
        </w:tblPrEx>
        <w:trPr>
          <w:gridAfter w:val="1"/>
          <w:wAfter w:w="2350" w:type="dxa"/>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后节手术观察系统</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非接触广角系统</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电动调焦，解放双手</w:t>
            </w:r>
          </w:p>
        </w:tc>
      </w:tr>
      <w:tr>
        <w:tblPrEx>
          <w:shd w:val="clear" w:color="auto" w:fill="auto"/>
          <w:tblCellMar>
            <w:top w:w="0" w:type="dxa"/>
            <w:left w:w="0" w:type="dxa"/>
            <w:bottom w:w="0" w:type="dxa"/>
            <w:right w:w="0" w:type="dxa"/>
          </w:tblCellMar>
        </w:tblPrEx>
        <w:trPr>
          <w:gridAfter w:val="1"/>
          <w:wAfter w:w="2350" w:type="dxa"/>
          <w:trHeight w:val="10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观察镜：128D，60D</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128D超大广角镜，整体观察眼底，全局把握手术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60D黄斑镜，清晰进行黄斑区精细手术</w:t>
            </w:r>
          </w:p>
        </w:tc>
      </w:tr>
      <w:tr>
        <w:tblPrEx>
          <w:shd w:val="clear" w:color="auto" w:fill="auto"/>
          <w:tblCellMar>
            <w:top w:w="0" w:type="dxa"/>
            <w:left w:w="0" w:type="dxa"/>
            <w:bottom w:w="0" w:type="dxa"/>
            <w:right w:w="0" w:type="dxa"/>
          </w:tblCellMar>
        </w:tblPrEx>
        <w:trPr>
          <w:gridAfter w:val="1"/>
          <w:wAfter w:w="2350" w:type="dxa"/>
          <w:trHeight w:val="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调焦技术：内调焦</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内调焦技术不改变镜子与角膜之间的距离，安全</w:t>
            </w:r>
          </w:p>
        </w:tc>
      </w:tr>
      <w:tr>
        <w:tblPrEx>
          <w:shd w:val="clear" w:color="auto" w:fill="auto"/>
          <w:tblCellMar>
            <w:top w:w="0" w:type="dxa"/>
            <w:left w:w="0" w:type="dxa"/>
            <w:bottom w:w="0" w:type="dxa"/>
            <w:right w:w="0" w:type="dxa"/>
          </w:tblCellMar>
        </w:tblPrEx>
        <w:trPr>
          <w:gridAfter w:val="1"/>
          <w:wAfter w:w="2350" w:type="dxa"/>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倒像功能：内置倒像镜座</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不增加显微镜高度，更符合人体工程学设计的工作距离，保证长时间工作无疲劳感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电动倒像功能，随RESIGHT的切换可智能倒像切换</w:t>
            </w:r>
          </w:p>
        </w:tc>
      </w:tr>
      <w:tr>
        <w:tblPrEx>
          <w:shd w:val="clear" w:color="auto" w:fill="auto"/>
          <w:tblCellMar>
            <w:top w:w="0" w:type="dxa"/>
            <w:left w:w="0" w:type="dxa"/>
            <w:bottom w:w="0" w:type="dxa"/>
            <w:right w:w="0" w:type="dxa"/>
          </w:tblCellMar>
        </w:tblPrEx>
        <w:trPr>
          <w:gridAfter w:val="1"/>
          <w:wAfter w:w="2350" w:type="dxa"/>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预留手术导航系统接口</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r>
      <w:tr>
        <w:tblPrEx>
          <w:shd w:val="clear" w:color="auto" w:fill="auto"/>
          <w:tblCellMar>
            <w:top w:w="0" w:type="dxa"/>
            <w:left w:w="0" w:type="dxa"/>
            <w:bottom w:w="0" w:type="dxa"/>
            <w:right w:w="0" w:type="dxa"/>
          </w:tblCellMar>
        </w:tblPrEx>
        <w:trPr>
          <w:gridAfter w:val="1"/>
          <w:wAfter w:w="2350" w:type="dxa"/>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保修一年</w:t>
            </w:r>
          </w:p>
        </w:tc>
        <w:tc>
          <w:tcPr>
            <w:tcW w:w="40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r>
    </w:tbl>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spacing w:line="480" w:lineRule="exact"/>
        <w:ind w:left="0" w:leftChars="0" w:firstLine="0" w:firstLineChars="0"/>
        <w:jc w:val="left"/>
        <w:rPr>
          <w:rFonts w:hint="eastAsia" w:ascii="宋体" w:hAnsi="宋体"/>
          <w:b/>
          <w:bCs/>
          <w:sz w:val="24"/>
          <w:szCs w:val="24"/>
        </w:rPr>
      </w:pPr>
      <w:r>
        <w:rPr>
          <w:rFonts w:hint="eastAsia" w:ascii="华文中宋" w:hAnsi="华文中宋" w:eastAsia="华文中宋"/>
          <w:b/>
          <w:bCs/>
          <w:sz w:val="28"/>
          <w:szCs w:val="32"/>
        </w:rPr>
        <w:t>注</w:t>
      </w:r>
      <w:r>
        <w:rPr>
          <w:rFonts w:hint="eastAsia" w:ascii="宋体" w:hAnsi="宋体"/>
          <w:b/>
          <w:bCs/>
          <w:sz w:val="28"/>
          <w:szCs w:val="28"/>
        </w:rPr>
        <w:t>：(1) 标注“</w:t>
      </w:r>
      <w:r>
        <w:rPr>
          <w:rFonts w:hint="default" w:ascii="宋体" w:hAnsi="宋体"/>
          <w:b/>
          <w:bCs/>
          <w:sz w:val="28"/>
          <w:szCs w:val="28"/>
          <w:lang w:val="en-US"/>
        </w:rPr>
        <w:t>★</w:t>
      </w:r>
      <w:r>
        <w:rPr>
          <w:rFonts w:hint="eastAsia" w:ascii="宋体" w:hAnsi="宋体"/>
          <w:b/>
          <w:bCs/>
          <w:sz w:val="28"/>
          <w:szCs w:val="28"/>
        </w:rPr>
        <w:t>”号的参数为关键性技术参数指标</w:t>
      </w:r>
      <w:r>
        <w:rPr>
          <w:rFonts w:hint="eastAsia" w:ascii="宋体" w:hAnsi="宋体"/>
          <w:b/>
          <w:bCs/>
          <w:sz w:val="24"/>
          <w:szCs w:val="24"/>
        </w:rPr>
        <w:t>。</w:t>
      </w: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44"/>
        <w:spacing w:line="360" w:lineRule="auto"/>
        <w:ind w:firstLine="360" w:firstLineChars="100"/>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五包：</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（一）采购清单</w:t>
      </w:r>
    </w:p>
    <w:tbl>
      <w:tblPr>
        <w:tblStyle w:val="23"/>
        <w:tblpPr w:leftFromText="180" w:rightFromText="180" w:vertAnchor="text" w:horzAnchor="page" w:tblpX="1665" w:tblpY="234"/>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011"/>
        <w:gridCol w:w="1238"/>
        <w:gridCol w:w="1425"/>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31"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序 号</w:t>
            </w:r>
          </w:p>
        </w:tc>
        <w:tc>
          <w:tcPr>
            <w:tcW w:w="4011" w:type="dxa"/>
            <w:vAlign w:val="center"/>
          </w:tcPr>
          <w:p>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1238"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1425"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1271"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1" w:type="dxa"/>
            <w:vAlign w:val="center"/>
          </w:tcPr>
          <w:p>
            <w:pPr>
              <w:ind w:left="0" w:leftChars="0" w:firstLine="240" w:firstLineChars="100"/>
              <w:jc w:val="both"/>
              <w:rPr>
                <w:rFonts w:hint="eastAsia" w:ascii="宋体" w:hAnsi="宋体" w:eastAsia="宋体" w:cs="宋体"/>
                <w:b/>
                <w:sz w:val="24"/>
                <w:szCs w:val="24"/>
                <w:lang w:val="zh-CN"/>
              </w:rPr>
            </w:pPr>
            <w:r>
              <w:rPr>
                <w:rFonts w:hint="eastAsia" w:ascii="宋体" w:hAnsi="宋体" w:eastAsia="宋体" w:cs="宋体"/>
                <w:b/>
                <w:sz w:val="24"/>
                <w:szCs w:val="24"/>
                <w:lang w:val="zh-CN"/>
              </w:rPr>
              <w:t>1</w:t>
            </w:r>
          </w:p>
        </w:tc>
        <w:tc>
          <w:tcPr>
            <w:tcW w:w="4011" w:type="dxa"/>
            <w:vAlign w:val="center"/>
          </w:tcPr>
          <w:p>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电生理</w:t>
            </w:r>
          </w:p>
        </w:tc>
        <w:tc>
          <w:tcPr>
            <w:tcW w:w="1238" w:type="dxa"/>
            <w:vAlign w:val="center"/>
          </w:tcPr>
          <w:p>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5"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套</w:t>
            </w:r>
          </w:p>
        </w:tc>
        <w:tc>
          <w:tcPr>
            <w:tcW w:w="1271"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货物</w:t>
            </w:r>
          </w:p>
        </w:tc>
      </w:tr>
    </w:tbl>
    <w:p>
      <w:pPr>
        <w:pStyle w:val="44"/>
        <w:numPr>
          <w:ilvl w:val="0"/>
          <w:numId w:val="0"/>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（二）技术参数</w:t>
      </w:r>
    </w:p>
    <w:p>
      <w:pPr>
        <w:spacing w:line="360" w:lineRule="auto"/>
        <w:jc w:val="both"/>
        <w:rPr>
          <w:rFonts w:hint="eastAsia" w:ascii="宋体-简" w:hAnsi="宋体-简" w:eastAsia="宋体-简"/>
          <w:b/>
          <w:color w:val="000000"/>
          <w:sz w:val="28"/>
          <w:szCs w:val="28"/>
          <w:lang w:eastAsia="zh-CN"/>
        </w:rPr>
      </w:pPr>
      <w:r>
        <w:rPr>
          <w:rFonts w:hint="eastAsia" w:ascii="宋体" w:hAnsi="宋体" w:cs="宋体"/>
          <w:b/>
          <w:bCs/>
          <w:sz w:val="28"/>
          <w:szCs w:val="28"/>
          <w:lang w:val="en-US" w:eastAsia="zh-CN"/>
        </w:rPr>
        <w:t>一、</w:t>
      </w:r>
      <w:r>
        <w:rPr>
          <w:rFonts w:hint="eastAsia" w:ascii="宋体-简" w:hAnsi="宋体-简" w:eastAsia="宋体-简"/>
          <w:b/>
          <w:color w:val="000000"/>
          <w:sz w:val="28"/>
          <w:szCs w:val="28"/>
        </w:rPr>
        <w:t>电生理</w:t>
      </w:r>
      <w:r>
        <w:rPr>
          <w:rFonts w:ascii="宋体-简" w:hAnsi="宋体-简" w:eastAsia="宋体-简"/>
          <w:b/>
          <w:color w:val="000000"/>
          <w:sz w:val="28"/>
          <w:szCs w:val="28"/>
        </w:rPr>
        <w:t>具体技术要求如下</w:t>
      </w:r>
      <w:r>
        <w:rPr>
          <w:rFonts w:hint="eastAsia" w:ascii="宋体-简" w:hAnsi="宋体-简" w:eastAsia="宋体-简"/>
          <w:b/>
          <w:color w:val="000000"/>
          <w:sz w:val="28"/>
          <w:szCs w:val="28"/>
          <w:lang w:eastAsia="zh-CN"/>
        </w:rPr>
        <w:t>：</w:t>
      </w:r>
    </w:p>
    <w:p>
      <w:pPr>
        <w:spacing w:line="360" w:lineRule="auto"/>
        <w:ind w:firstLine="480" w:firstLineChars="200"/>
        <w:rPr>
          <w:rFonts w:hint="eastAsia" w:ascii="宋体-简" w:hAnsi="宋体-简" w:eastAsia="宋体-简"/>
          <w:color w:val="000000"/>
          <w:sz w:val="24"/>
          <w:szCs w:val="24"/>
        </w:rPr>
      </w:pPr>
      <w:r>
        <w:rPr>
          <w:rFonts w:hint="eastAsia" w:ascii="宋体-简" w:hAnsi="宋体-简" w:eastAsia="宋体-简"/>
          <w:color w:val="000000"/>
          <w:sz w:val="24"/>
          <w:szCs w:val="24"/>
        </w:rPr>
        <w:t>总体要求：原装进口，具备传统电生理（图形刺激、闪光刺激）功能，可进行视网膜疾病诊断和评估。</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1.放大器要求：</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#1.1通道数≥</w:t>
      </w:r>
      <w:r>
        <w:rPr>
          <w:rFonts w:ascii="宋体-简" w:hAnsi="宋体-简" w:eastAsia="宋体-简"/>
          <w:color w:val="000000"/>
          <w:sz w:val="24"/>
          <w:szCs w:val="24"/>
        </w:rPr>
        <w:t>2</w:t>
      </w:r>
      <w:r>
        <w:rPr>
          <w:rFonts w:hint="eastAsia" w:ascii="宋体-简" w:hAnsi="宋体-简" w:eastAsia="宋体-简"/>
          <w:color w:val="000000"/>
          <w:sz w:val="24"/>
          <w:szCs w:val="24"/>
        </w:rPr>
        <w:t>通道；</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1.2输入阻抗≥100MΩ；</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1.3共模抑制比≥110dB；</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1.4噪声≤4μV；</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1.5曲线采集时间5ms～4000ms；</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1.6通频带采集频率范围：</w:t>
      </w:r>
      <w:r>
        <w:rPr>
          <w:rFonts w:hint="eastAsia" w:ascii="宋体-简" w:hAnsi="宋体-简" w:eastAsia="宋体-简"/>
          <w:color w:val="000000"/>
          <w:sz w:val="24"/>
          <w:szCs w:val="24"/>
        </w:rPr>
        <w:tab/>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1.7低通0.02Hz～1kHz；</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1.8高通30Hz～10kHz；</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2. 图形刺激器要求：1套；</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2.1亮度80～120cd/m</w:t>
      </w:r>
      <w:r>
        <w:rPr>
          <w:rFonts w:hint="eastAsia" w:ascii="宋体-简" w:hAnsi="宋体-简" w:eastAsia="宋体-简"/>
          <w:color w:val="000000"/>
          <w:sz w:val="24"/>
          <w:szCs w:val="24"/>
          <w:vertAlign w:val="superscript"/>
        </w:rPr>
        <w:t>2</w:t>
      </w:r>
      <w:r>
        <w:rPr>
          <w:rFonts w:hint="eastAsia" w:ascii="宋体-简" w:hAnsi="宋体-简" w:eastAsia="宋体-简"/>
          <w:color w:val="000000"/>
          <w:sz w:val="24"/>
          <w:szCs w:val="24"/>
        </w:rPr>
        <w:t>；</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2.2对比度≥90％，可通过软件连续调节；</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2.3传统刺激图形：包括但不限于棋盘格图形；</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lang w:eastAsia="zh-CN"/>
        </w:rPr>
        <w:t>★</w:t>
      </w:r>
      <w:r>
        <w:rPr>
          <w:rFonts w:hint="eastAsia" w:ascii="宋体-简" w:hAnsi="宋体-简" w:eastAsia="宋体-简"/>
          <w:color w:val="000000"/>
          <w:sz w:val="24"/>
          <w:szCs w:val="24"/>
        </w:rPr>
        <w:t>2.</w:t>
      </w:r>
      <w:r>
        <w:rPr>
          <w:rFonts w:ascii="宋体-简" w:hAnsi="宋体-简" w:eastAsia="宋体-简"/>
          <w:color w:val="000000"/>
          <w:sz w:val="24"/>
          <w:szCs w:val="24"/>
        </w:rPr>
        <w:t>4</w:t>
      </w:r>
      <w:r>
        <w:rPr>
          <w:rFonts w:hint="eastAsia" w:ascii="宋体-简" w:hAnsi="宋体-简" w:eastAsia="宋体-简"/>
          <w:color w:val="000000"/>
          <w:sz w:val="24"/>
          <w:szCs w:val="24"/>
        </w:rPr>
        <w:t>具备儿童卡通图形固视图标；</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3.闪光刺激器要求：1套；</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lang w:eastAsia="zh-CN"/>
        </w:rPr>
        <w:t>★</w:t>
      </w:r>
      <w:r>
        <w:rPr>
          <w:rFonts w:hint="eastAsia" w:ascii="宋体-简" w:hAnsi="宋体-简" w:eastAsia="宋体-简"/>
          <w:color w:val="000000"/>
          <w:sz w:val="24"/>
          <w:szCs w:val="24"/>
        </w:rPr>
        <w:t>3.</w:t>
      </w:r>
      <w:r>
        <w:rPr>
          <w:rFonts w:ascii="宋体-简" w:hAnsi="宋体-简" w:eastAsia="宋体-简"/>
          <w:color w:val="000000"/>
          <w:sz w:val="24"/>
          <w:szCs w:val="24"/>
        </w:rPr>
        <w:t>1</w:t>
      </w:r>
      <w:r>
        <w:rPr>
          <w:rFonts w:hint="eastAsia" w:ascii="宋体-简" w:hAnsi="宋体-简" w:eastAsia="宋体-简"/>
          <w:color w:val="000000"/>
          <w:sz w:val="24"/>
          <w:szCs w:val="24"/>
        </w:rPr>
        <w:t>闪光刺激器刺激面积可覆盖任意年龄及体重患者双眼；</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3.</w:t>
      </w:r>
      <w:r>
        <w:rPr>
          <w:rFonts w:ascii="宋体-简" w:hAnsi="宋体-简" w:eastAsia="宋体-简"/>
          <w:color w:val="000000"/>
          <w:sz w:val="24"/>
          <w:szCs w:val="24"/>
        </w:rPr>
        <w:t>2</w:t>
      </w:r>
      <w:r>
        <w:rPr>
          <w:rFonts w:hint="eastAsia" w:ascii="宋体-简" w:hAnsi="宋体-简" w:eastAsia="宋体-简"/>
          <w:color w:val="000000"/>
          <w:sz w:val="24"/>
          <w:szCs w:val="24"/>
        </w:rPr>
        <w:t>闪光刺激器患者头部固定方式包括但不限于上额托及下颌托；</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3.</w:t>
      </w:r>
      <w:r>
        <w:rPr>
          <w:rFonts w:ascii="宋体-简" w:hAnsi="宋体-简" w:eastAsia="宋体-简"/>
          <w:color w:val="000000"/>
          <w:sz w:val="24"/>
          <w:szCs w:val="24"/>
        </w:rPr>
        <w:t>3</w:t>
      </w:r>
      <w:r>
        <w:rPr>
          <w:rFonts w:hint="eastAsia" w:ascii="宋体-简" w:hAnsi="宋体-简" w:eastAsia="宋体-简"/>
          <w:color w:val="000000"/>
          <w:sz w:val="24"/>
          <w:szCs w:val="24"/>
        </w:rPr>
        <w:t>闪光刺激器为全视野反射面；</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3.</w:t>
      </w:r>
      <w:r>
        <w:rPr>
          <w:rFonts w:ascii="宋体-简" w:hAnsi="宋体-简" w:eastAsia="宋体-简"/>
          <w:color w:val="000000"/>
          <w:sz w:val="24"/>
          <w:szCs w:val="24"/>
        </w:rPr>
        <w:t>4</w:t>
      </w:r>
      <w:r>
        <w:rPr>
          <w:rFonts w:hint="eastAsia" w:ascii="宋体-简" w:hAnsi="宋体-简" w:eastAsia="宋体-简"/>
          <w:color w:val="000000"/>
          <w:sz w:val="24"/>
          <w:szCs w:val="24"/>
        </w:rPr>
        <w:t>刺激光和背景光颜色包括不限于白色/红/蓝；</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3.</w:t>
      </w:r>
      <w:r>
        <w:rPr>
          <w:rFonts w:ascii="宋体-简" w:hAnsi="宋体-简" w:eastAsia="宋体-简"/>
          <w:color w:val="000000"/>
          <w:sz w:val="24"/>
          <w:szCs w:val="24"/>
        </w:rPr>
        <w:t>5</w:t>
      </w:r>
      <w:r>
        <w:rPr>
          <w:rFonts w:hint="eastAsia" w:ascii="宋体-简" w:hAnsi="宋体-简" w:eastAsia="宋体-简"/>
          <w:color w:val="000000"/>
          <w:sz w:val="24"/>
          <w:szCs w:val="24"/>
        </w:rPr>
        <w:t>刺激光源：LED(发光二极管)；</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3.</w:t>
      </w:r>
      <w:r>
        <w:rPr>
          <w:rFonts w:ascii="宋体-简" w:hAnsi="宋体-简" w:eastAsia="宋体-简"/>
          <w:color w:val="000000"/>
          <w:sz w:val="24"/>
          <w:szCs w:val="24"/>
        </w:rPr>
        <w:t>6</w:t>
      </w:r>
      <w:r>
        <w:rPr>
          <w:rFonts w:hint="eastAsia" w:ascii="宋体-简" w:hAnsi="宋体-简" w:eastAsia="宋体-简"/>
          <w:color w:val="000000"/>
          <w:sz w:val="24"/>
          <w:szCs w:val="24"/>
        </w:rPr>
        <w:t>闪光强度：10-130cd.s/ m</w:t>
      </w:r>
      <w:r>
        <w:rPr>
          <w:rFonts w:hint="eastAsia" w:ascii="宋体-简" w:hAnsi="宋体-简" w:eastAsia="宋体-简"/>
          <w:color w:val="000000"/>
          <w:sz w:val="24"/>
          <w:szCs w:val="24"/>
          <w:vertAlign w:val="superscript"/>
        </w:rPr>
        <w:t>2</w:t>
      </w:r>
      <w:r>
        <w:rPr>
          <w:rFonts w:hint="eastAsia" w:ascii="宋体-简" w:hAnsi="宋体-简" w:eastAsia="宋体-简"/>
          <w:color w:val="000000"/>
          <w:sz w:val="24"/>
          <w:szCs w:val="24"/>
        </w:rPr>
        <w:t>；</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3.</w:t>
      </w:r>
      <w:r>
        <w:rPr>
          <w:rFonts w:ascii="宋体-简" w:hAnsi="宋体-简" w:eastAsia="宋体-简"/>
          <w:color w:val="000000"/>
          <w:sz w:val="24"/>
          <w:szCs w:val="24"/>
        </w:rPr>
        <w:t>7</w:t>
      </w:r>
      <w:r>
        <w:rPr>
          <w:rFonts w:hint="eastAsia" w:ascii="宋体-简" w:hAnsi="宋体-简" w:eastAsia="宋体-简"/>
          <w:color w:val="000000"/>
          <w:sz w:val="24"/>
          <w:szCs w:val="24"/>
        </w:rPr>
        <w:t>闪光持续时间≤5ms；</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3.</w:t>
      </w:r>
      <w:r>
        <w:rPr>
          <w:rFonts w:ascii="宋体-简" w:hAnsi="宋体-简" w:eastAsia="宋体-简"/>
          <w:color w:val="000000"/>
          <w:sz w:val="24"/>
          <w:szCs w:val="24"/>
        </w:rPr>
        <w:t>8</w:t>
      </w:r>
      <w:r>
        <w:rPr>
          <w:rFonts w:hint="eastAsia" w:ascii="宋体-简" w:hAnsi="宋体-简" w:eastAsia="宋体-简"/>
          <w:color w:val="000000"/>
          <w:sz w:val="24"/>
          <w:szCs w:val="24"/>
        </w:rPr>
        <w:t>刺激频率：</w:t>
      </w:r>
      <w:r>
        <w:rPr>
          <w:rFonts w:hint="eastAsia" w:ascii="宋体-简" w:hAnsi="宋体-简" w:eastAsia="宋体-简"/>
          <w:color w:val="000000"/>
          <w:sz w:val="24"/>
          <w:szCs w:val="24"/>
        </w:rPr>
        <w:tab/>
      </w:r>
      <w:r>
        <w:rPr>
          <w:rFonts w:hint="eastAsia" w:ascii="宋体-简" w:hAnsi="宋体-简" w:eastAsia="宋体-简"/>
          <w:color w:val="000000"/>
          <w:sz w:val="24"/>
          <w:szCs w:val="24"/>
        </w:rPr>
        <w:t>0.1Hz～60Hz；</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3.</w:t>
      </w:r>
      <w:r>
        <w:rPr>
          <w:rFonts w:ascii="宋体-简" w:hAnsi="宋体-简" w:eastAsia="宋体-简"/>
          <w:color w:val="000000"/>
          <w:sz w:val="24"/>
          <w:szCs w:val="24"/>
        </w:rPr>
        <w:t>9</w:t>
      </w:r>
      <w:r>
        <w:rPr>
          <w:rFonts w:hint="eastAsia" w:ascii="宋体-简" w:hAnsi="宋体-简" w:eastAsia="宋体-简"/>
          <w:color w:val="000000"/>
          <w:sz w:val="24"/>
          <w:szCs w:val="24"/>
        </w:rPr>
        <w:t>固视点：红色LED，位于视野中点；</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3.1</w:t>
      </w:r>
      <w:r>
        <w:rPr>
          <w:rFonts w:ascii="宋体-简" w:hAnsi="宋体-简" w:eastAsia="宋体-简"/>
          <w:color w:val="000000"/>
          <w:sz w:val="24"/>
          <w:szCs w:val="24"/>
        </w:rPr>
        <w:t>0</w:t>
      </w:r>
      <w:r>
        <w:rPr>
          <w:rFonts w:hint="eastAsia" w:ascii="宋体-简" w:hAnsi="宋体-简" w:eastAsia="宋体-简"/>
          <w:color w:val="000000"/>
          <w:sz w:val="24"/>
          <w:szCs w:val="24"/>
        </w:rPr>
        <w:t>固视监视：红外摄像头；</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rPr>
        <w:t>3.1</w:t>
      </w:r>
      <w:r>
        <w:rPr>
          <w:rFonts w:ascii="宋体-简" w:hAnsi="宋体-简" w:eastAsia="宋体-简"/>
          <w:color w:val="000000"/>
          <w:sz w:val="24"/>
          <w:szCs w:val="24"/>
        </w:rPr>
        <w:t>1</w:t>
      </w:r>
      <w:r>
        <w:rPr>
          <w:rFonts w:hint="eastAsia" w:ascii="宋体-简" w:hAnsi="宋体-简" w:eastAsia="宋体-简"/>
          <w:color w:val="000000"/>
          <w:sz w:val="24"/>
          <w:szCs w:val="24"/>
        </w:rPr>
        <w:t>具备EOG光源：红色LED≥2个，位于视野两边；</w:t>
      </w:r>
    </w:p>
    <w:p>
      <w:pPr>
        <w:spacing w:line="360" w:lineRule="auto"/>
        <w:rPr>
          <w:rFonts w:hint="eastAsia" w:ascii="宋体-简" w:hAnsi="宋体-简" w:eastAsia="宋体-简"/>
          <w:color w:val="000000"/>
          <w:sz w:val="24"/>
          <w:szCs w:val="24"/>
        </w:rPr>
      </w:pPr>
      <w:r>
        <w:rPr>
          <w:rFonts w:ascii="宋体-简" w:hAnsi="宋体-简" w:eastAsia="宋体-简"/>
          <w:color w:val="000000"/>
          <w:sz w:val="24"/>
          <w:szCs w:val="24"/>
        </w:rPr>
        <w:t>4</w:t>
      </w:r>
      <w:r>
        <w:rPr>
          <w:rFonts w:hint="eastAsia" w:ascii="宋体-简" w:hAnsi="宋体-简" w:eastAsia="宋体-简"/>
          <w:color w:val="000000"/>
          <w:sz w:val="24"/>
          <w:szCs w:val="24"/>
        </w:rPr>
        <w:t>.系统软件要求：</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lang w:eastAsia="zh-CN"/>
        </w:rPr>
        <w:t>★</w:t>
      </w:r>
      <w:r>
        <w:rPr>
          <w:rFonts w:ascii="宋体-简" w:hAnsi="宋体-简" w:eastAsia="宋体-简"/>
          <w:color w:val="000000"/>
          <w:sz w:val="24"/>
          <w:szCs w:val="24"/>
        </w:rPr>
        <w:t>4</w:t>
      </w:r>
      <w:r>
        <w:rPr>
          <w:rFonts w:hint="eastAsia" w:ascii="宋体-简" w:hAnsi="宋体-简" w:eastAsia="宋体-简"/>
          <w:color w:val="000000"/>
          <w:sz w:val="24"/>
          <w:szCs w:val="24"/>
        </w:rPr>
        <w:t>.1工作软件包括但不限于国际标准ISCEV六项ERG,闪光VEP, 图形 VEP(包括彩色)，EOG软件</w:t>
      </w:r>
    </w:p>
    <w:p>
      <w:pPr>
        <w:spacing w:line="360" w:lineRule="auto"/>
        <w:rPr>
          <w:rFonts w:hint="eastAsia" w:ascii="宋体-简" w:hAnsi="宋体-简" w:eastAsia="宋体-简"/>
          <w:color w:val="000000"/>
          <w:sz w:val="24"/>
          <w:szCs w:val="24"/>
        </w:rPr>
      </w:pPr>
      <w:r>
        <w:rPr>
          <w:rFonts w:ascii="宋体-简" w:hAnsi="宋体-简" w:eastAsia="宋体-简"/>
          <w:color w:val="000000"/>
          <w:sz w:val="24"/>
          <w:szCs w:val="24"/>
        </w:rPr>
        <w:t>4</w:t>
      </w:r>
      <w:r>
        <w:rPr>
          <w:rFonts w:hint="eastAsia" w:ascii="宋体-简" w:hAnsi="宋体-简" w:eastAsia="宋体-简"/>
          <w:color w:val="000000"/>
          <w:sz w:val="24"/>
          <w:szCs w:val="24"/>
        </w:rPr>
        <w:t>.2在记录刺激图像过程中，系统自动识别伪迹信号并自动予以剔除，不需要用户确认，提高采集效率，用户能够对伪迹剔除范围以及最大剔除次数进行设置。可自动和手动标记潜时和峰值；</w:t>
      </w:r>
    </w:p>
    <w:p>
      <w:pPr>
        <w:spacing w:line="360" w:lineRule="auto"/>
        <w:rPr>
          <w:rFonts w:hint="eastAsia" w:ascii="宋体-简" w:hAnsi="宋体-简" w:eastAsia="宋体-简"/>
          <w:color w:val="000000"/>
          <w:sz w:val="24"/>
          <w:szCs w:val="24"/>
        </w:rPr>
      </w:pPr>
      <w:r>
        <w:rPr>
          <w:rFonts w:ascii="宋体-简" w:hAnsi="宋体-简" w:eastAsia="宋体-简"/>
          <w:color w:val="000000"/>
          <w:sz w:val="24"/>
          <w:szCs w:val="24"/>
        </w:rPr>
        <w:t>4</w:t>
      </w:r>
      <w:r>
        <w:rPr>
          <w:rFonts w:hint="eastAsia" w:ascii="宋体-简" w:hAnsi="宋体-简" w:eastAsia="宋体-简"/>
          <w:color w:val="000000"/>
          <w:sz w:val="24"/>
          <w:szCs w:val="24"/>
        </w:rPr>
        <w:t>.3对于结果波形用户可进行平滑，滤波等后处理；</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lang w:eastAsia="zh-CN"/>
        </w:rPr>
        <w:t>★</w:t>
      </w:r>
      <w:r>
        <w:rPr>
          <w:rFonts w:ascii="宋体-简" w:hAnsi="宋体-简" w:eastAsia="宋体-简"/>
          <w:color w:val="000000"/>
          <w:sz w:val="24"/>
          <w:szCs w:val="24"/>
        </w:rPr>
        <w:t>4</w:t>
      </w:r>
      <w:r>
        <w:rPr>
          <w:rFonts w:hint="eastAsia" w:ascii="宋体-简" w:hAnsi="宋体-简" w:eastAsia="宋体-简"/>
          <w:color w:val="000000"/>
          <w:sz w:val="24"/>
          <w:szCs w:val="24"/>
        </w:rPr>
        <w:t>.4报告显示正常值功能：全视野ERG、PVEP均具备，可在打印报告中列出正常值，并提示异常结果；</w:t>
      </w:r>
    </w:p>
    <w:p>
      <w:pPr>
        <w:spacing w:line="360" w:lineRule="auto"/>
        <w:rPr>
          <w:rFonts w:hint="eastAsia" w:ascii="宋体-简" w:hAnsi="宋体-简" w:eastAsia="宋体-简"/>
          <w:color w:val="000000"/>
          <w:sz w:val="24"/>
          <w:szCs w:val="24"/>
        </w:rPr>
      </w:pPr>
      <w:r>
        <w:rPr>
          <w:rFonts w:hint="eastAsia" w:ascii="宋体-简" w:hAnsi="宋体-简" w:eastAsia="宋体-简"/>
          <w:color w:val="000000"/>
          <w:sz w:val="24"/>
          <w:szCs w:val="24"/>
          <w:lang w:eastAsia="zh-CN"/>
        </w:rPr>
        <w:t>★</w:t>
      </w:r>
      <w:r>
        <w:rPr>
          <w:rFonts w:ascii="宋体-简" w:hAnsi="宋体-简" w:eastAsia="宋体-简"/>
          <w:color w:val="000000"/>
          <w:sz w:val="24"/>
          <w:szCs w:val="24"/>
        </w:rPr>
        <w:t>5</w:t>
      </w:r>
      <w:r>
        <w:rPr>
          <w:rFonts w:hint="eastAsia" w:ascii="宋体-简" w:hAnsi="宋体-简" w:eastAsia="宋体-简"/>
          <w:color w:val="000000"/>
          <w:sz w:val="24"/>
          <w:szCs w:val="24"/>
        </w:rPr>
        <w:t>.配置要求：</w:t>
      </w:r>
    </w:p>
    <w:p>
      <w:pPr>
        <w:spacing w:line="360" w:lineRule="auto"/>
        <w:rPr>
          <w:rFonts w:hint="eastAsia" w:ascii="宋体-简" w:hAnsi="宋体-简" w:eastAsia="宋体-简"/>
          <w:color w:val="000000"/>
          <w:sz w:val="24"/>
          <w:szCs w:val="24"/>
        </w:rPr>
      </w:pPr>
      <w:r>
        <w:rPr>
          <w:rFonts w:ascii="宋体-简" w:hAnsi="宋体-简" w:eastAsia="宋体-简"/>
          <w:color w:val="000000"/>
          <w:sz w:val="24"/>
          <w:szCs w:val="24"/>
        </w:rPr>
        <w:t>5</w:t>
      </w:r>
      <w:r>
        <w:rPr>
          <w:rFonts w:hint="eastAsia" w:ascii="宋体-简" w:hAnsi="宋体-简" w:eastAsia="宋体-简"/>
          <w:color w:val="000000"/>
          <w:sz w:val="24"/>
          <w:szCs w:val="24"/>
        </w:rPr>
        <w:t>.1 具备隔离电源箱1套，及接地装置1套；</w:t>
      </w:r>
    </w:p>
    <w:p>
      <w:pPr>
        <w:spacing w:line="360" w:lineRule="auto"/>
        <w:rPr>
          <w:rFonts w:hint="eastAsia" w:ascii="宋体-简" w:hAnsi="宋体-简" w:eastAsia="宋体-简"/>
          <w:color w:val="000000"/>
          <w:sz w:val="24"/>
          <w:szCs w:val="24"/>
        </w:rPr>
      </w:pPr>
      <w:r>
        <w:rPr>
          <w:rFonts w:ascii="宋体-简" w:hAnsi="宋体-简" w:eastAsia="宋体-简"/>
          <w:color w:val="000000"/>
          <w:sz w:val="24"/>
          <w:szCs w:val="24"/>
        </w:rPr>
        <w:t>5</w:t>
      </w:r>
      <w:r>
        <w:rPr>
          <w:rFonts w:hint="eastAsia" w:ascii="宋体-简" w:hAnsi="宋体-简" w:eastAsia="宋体-简"/>
          <w:color w:val="000000"/>
          <w:sz w:val="24"/>
          <w:szCs w:val="24"/>
        </w:rPr>
        <w:t>.2 可重复性使用皮肤电极≥1</w:t>
      </w:r>
      <w:r>
        <w:rPr>
          <w:rFonts w:ascii="宋体-简" w:hAnsi="宋体-简" w:eastAsia="宋体-简"/>
          <w:color w:val="000000"/>
          <w:sz w:val="24"/>
          <w:szCs w:val="24"/>
        </w:rPr>
        <w:t>0</w:t>
      </w:r>
      <w:r>
        <w:rPr>
          <w:rFonts w:hint="eastAsia" w:ascii="宋体-简" w:hAnsi="宋体-简" w:eastAsia="宋体-简"/>
          <w:color w:val="000000"/>
          <w:sz w:val="24"/>
          <w:szCs w:val="24"/>
        </w:rPr>
        <w:t>个；</w:t>
      </w:r>
    </w:p>
    <w:p>
      <w:pPr>
        <w:spacing w:line="360" w:lineRule="auto"/>
        <w:rPr>
          <w:rFonts w:hint="eastAsia" w:ascii="宋体-简" w:hAnsi="宋体-简" w:eastAsia="宋体-简"/>
          <w:color w:val="000000"/>
          <w:sz w:val="24"/>
          <w:szCs w:val="24"/>
        </w:rPr>
      </w:pPr>
      <w:r>
        <w:rPr>
          <w:rFonts w:ascii="宋体-简" w:hAnsi="宋体-简" w:eastAsia="宋体-简"/>
          <w:color w:val="000000"/>
          <w:sz w:val="24"/>
          <w:szCs w:val="24"/>
        </w:rPr>
        <w:t>5</w:t>
      </w:r>
      <w:r>
        <w:rPr>
          <w:rFonts w:hint="eastAsia" w:ascii="宋体-简" w:hAnsi="宋体-简" w:eastAsia="宋体-简"/>
          <w:color w:val="000000"/>
          <w:sz w:val="24"/>
          <w:szCs w:val="24"/>
        </w:rPr>
        <w:t>.3</w:t>
      </w:r>
      <w:r>
        <w:rPr>
          <w:rFonts w:ascii="宋体-简" w:hAnsi="宋体-简" w:eastAsia="宋体-简"/>
          <w:color w:val="000000"/>
          <w:sz w:val="24"/>
          <w:szCs w:val="24"/>
        </w:rPr>
        <w:t xml:space="preserve"> </w:t>
      </w:r>
      <w:r>
        <w:rPr>
          <w:rFonts w:hint="eastAsia" w:ascii="宋体-简" w:hAnsi="宋体-简" w:eastAsia="宋体-简"/>
          <w:color w:val="000000"/>
          <w:sz w:val="24"/>
          <w:szCs w:val="24"/>
        </w:rPr>
        <w:t>角膜电极≥10个；</w:t>
      </w:r>
    </w:p>
    <w:p>
      <w:pPr>
        <w:spacing w:line="360" w:lineRule="auto"/>
        <w:rPr>
          <w:rFonts w:hint="eastAsia" w:ascii="宋体-简" w:hAnsi="宋体-简" w:eastAsia="宋体-简"/>
          <w:color w:val="000000"/>
          <w:sz w:val="24"/>
          <w:szCs w:val="24"/>
        </w:rPr>
      </w:pPr>
      <w:r>
        <w:rPr>
          <w:rFonts w:ascii="宋体-简" w:hAnsi="宋体-简" w:eastAsia="宋体-简"/>
          <w:color w:val="000000"/>
          <w:sz w:val="24"/>
          <w:szCs w:val="24"/>
        </w:rPr>
        <w:t>5</w:t>
      </w:r>
      <w:r>
        <w:rPr>
          <w:rFonts w:hint="eastAsia" w:ascii="宋体-简" w:hAnsi="宋体-简" w:eastAsia="宋体-简"/>
          <w:color w:val="000000"/>
          <w:sz w:val="24"/>
          <w:szCs w:val="24"/>
        </w:rPr>
        <w:t>.4</w:t>
      </w:r>
      <w:r>
        <w:rPr>
          <w:rFonts w:ascii="宋体-简" w:hAnsi="宋体-简" w:eastAsia="宋体-简"/>
          <w:color w:val="000000"/>
          <w:sz w:val="24"/>
          <w:szCs w:val="24"/>
        </w:rPr>
        <w:t xml:space="preserve"> </w:t>
      </w:r>
      <w:r>
        <w:rPr>
          <w:rFonts w:hint="eastAsia" w:ascii="宋体-简" w:hAnsi="宋体-简" w:eastAsia="宋体-简"/>
          <w:color w:val="000000"/>
          <w:sz w:val="24"/>
          <w:szCs w:val="24"/>
        </w:rPr>
        <w:t>导电膏≥</w:t>
      </w:r>
      <w:r>
        <w:rPr>
          <w:rFonts w:ascii="宋体-简" w:hAnsi="宋体-简" w:eastAsia="宋体-简"/>
          <w:color w:val="000000"/>
          <w:sz w:val="24"/>
          <w:szCs w:val="24"/>
        </w:rPr>
        <w:t>1</w:t>
      </w:r>
      <w:r>
        <w:rPr>
          <w:rFonts w:hint="eastAsia" w:ascii="宋体-简" w:hAnsi="宋体-简" w:eastAsia="宋体-简"/>
          <w:color w:val="000000"/>
          <w:sz w:val="24"/>
          <w:szCs w:val="24"/>
        </w:rPr>
        <w:t>个；</w:t>
      </w:r>
    </w:p>
    <w:p>
      <w:pPr>
        <w:spacing w:line="360" w:lineRule="auto"/>
        <w:rPr>
          <w:rFonts w:hint="eastAsia" w:ascii="宋体-简" w:hAnsi="宋体-简" w:eastAsia="宋体-简"/>
          <w:color w:val="000000"/>
          <w:sz w:val="24"/>
          <w:szCs w:val="24"/>
        </w:rPr>
      </w:pPr>
      <w:r>
        <w:rPr>
          <w:rFonts w:ascii="宋体-简" w:hAnsi="宋体-简" w:eastAsia="宋体-简"/>
          <w:color w:val="000000"/>
          <w:sz w:val="24"/>
          <w:szCs w:val="24"/>
        </w:rPr>
        <w:t>5</w:t>
      </w:r>
      <w:r>
        <w:rPr>
          <w:rFonts w:hint="eastAsia" w:ascii="宋体-简" w:hAnsi="宋体-简" w:eastAsia="宋体-简"/>
          <w:color w:val="000000"/>
          <w:sz w:val="24"/>
          <w:szCs w:val="24"/>
        </w:rPr>
        <w:t>.5</w:t>
      </w:r>
      <w:r>
        <w:rPr>
          <w:rFonts w:ascii="宋体-简" w:hAnsi="宋体-简" w:eastAsia="宋体-简"/>
          <w:color w:val="000000"/>
          <w:sz w:val="24"/>
          <w:szCs w:val="24"/>
        </w:rPr>
        <w:t xml:space="preserve"> </w:t>
      </w:r>
      <w:r>
        <w:rPr>
          <w:rFonts w:hint="eastAsia" w:ascii="宋体-简" w:hAnsi="宋体-简" w:eastAsia="宋体-简"/>
          <w:color w:val="000000"/>
          <w:sz w:val="24"/>
          <w:szCs w:val="24"/>
        </w:rPr>
        <w:t>眼罩≥5个。</w:t>
      </w:r>
    </w:p>
    <w:p>
      <w:pPr>
        <w:pStyle w:val="8"/>
        <w:rPr>
          <w:rFonts w:hint="eastAsia" w:ascii="宋体" w:hAnsi="宋体" w:eastAsia="宋体" w:cs="宋体"/>
          <w:b/>
          <w:bCs/>
          <w:sz w:val="32"/>
          <w:szCs w:val="32"/>
          <w:lang w:val="en-US" w:eastAsia="zh-CN"/>
        </w:rPr>
      </w:pPr>
    </w:p>
    <w:p>
      <w:pPr>
        <w:spacing w:line="480" w:lineRule="exact"/>
        <w:ind w:left="0" w:leftChars="0" w:firstLine="0" w:firstLineChars="0"/>
        <w:jc w:val="left"/>
        <w:rPr>
          <w:rFonts w:hint="eastAsia" w:ascii="宋体" w:hAnsi="宋体"/>
          <w:b/>
          <w:bCs/>
          <w:sz w:val="24"/>
          <w:szCs w:val="24"/>
        </w:rPr>
      </w:pPr>
      <w:r>
        <w:rPr>
          <w:rFonts w:hint="eastAsia" w:ascii="华文中宋" w:hAnsi="华文中宋" w:eastAsia="华文中宋"/>
          <w:b/>
          <w:bCs/>
          <w:sz w:val="28"/>
          <w:szCs w:val="32"/>
        </w:rPr>
        <w:t>注</w:t>
      </w:r>
      <w:r>
        <w:rPr>
          <w:rFonts w:hint="eastAsia" w:ascii="宋体" w:hAnsi="宋体"/>
          <w:b/>
          <w:bCs/>
          <w:sz w:val="28"/>
          <w:szCs w:val="28"/>
        </w:rPr>
        <w:t>：(1) 标注“</w:t>
      </w:r>
      <w:r>
        <w:rPr>
          <w:rFonts w:hint="default" w:ascii="宋体" w:hAnsi="宋体"/>
          <w:b/>
          <w:bCs/>
          <w:sz w:val="28"/>
          <w:szCs w:val="28"/>
          <w:lang w:val="en-US"/>
        </w:rPr>
        <w:t>★</w:t>
      </w:r>
      <w:r>
        <w:rPr>
          <w:rFonts w:hint="eastAsia" w:ascii="宋体" w:hAnsi="宋体"/>
          <w:b/>
          <w:bCs/>
          <w:sz w:val="28"/>
          <w:szCs w:val="28"/>
        </w:rPr>
        <w:t>”号的参数为关键性技术参数指标</w:t>
      </w:r>
      <w:r>
        <w:rPr>
          <w:rFonts w:hint="eastAsia" w:ascii="宋体" w:hAnsi="宋体"/>
          <w:b/>
          <w:bCs/>
          <w:sz w:val="24"/>
          <w:szCs w:val="24"/>
        </w:rPr>
        <w:t>。</w:t>
      </w: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44"/>
        <w:spacing w:line="360" w:lineRule="auto"/>
        <w:ind w:firstLine="360" w:firstLineChars="100"/>
        <w:rPr>
          <w:rFonts w:hint="eastAsia" w:ascii="微软雅黑" w:hAnsi="微软雅黑" w:eastAsia="微软雅黑" w:cs="微软雅黑"/>
          <w:b/>
          <w:bCs/>
          <w:sz w:val="36"/>
          <w:szCs w:val="36"/>
          <w:lang w:eastAsia="zh-CN"/>
        </w:rPr>
      </w:pPr>
      <w:r>
        <w:rPr>
          <w:rFonts w:hint="eastAsia" w:ascii="微软雅黑" w:hAnsi="微软雅黑" w:eastAsia="微软雅黑" w:cs="微软雅黑"/>
          <w:b/>
          <w:bCs/>
          <w:sz w:val="36"/>
          <w:szCs w:val="36"/>
          <w:lang w:eastAsia="zh-CN"/>
        </w:rPr>
        <w:t>六包：</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Chars="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（一）采购清单</w:t>
      </w:r>
    </w:p>
    <w:tbl>
      <w:tblPr>
        <w:tblStyle w:val="23"/>
        <w:tblpPr w:leftFromText="180" w:rightFromText="180" w:vertAnchor="text" w:horzAnchor="page" w:tblpX="1665" w:tblpY="234"/>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011"/>
        <w:gridCol w:w="1238"/>
        <w:gridCol w:w="1425"/>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31" w:type="dxa"/>
            <w:vAlign w:val="center"/>
          </w:tcPr>
          <w:p>
            <w:pPr>
              <w:ind w:left="0" w:leftChars="0" w:firstLine="0" w:firstLineChars="0"/>
              <w:jc w:val="both"/>
              <w:rPr>
                <w:rFonts w:hint="eastAsia" w:ascii="宋体" w:hAnsi="宋体" w:eastAsia="宋体" w:cs="宋体"/>
                <w:b/>
                <w:sz w:val="24"/>
                <w:szCs w:val="24"/>
                <w:lang w:val="zh-CN"/>
              </w:rPr>
            </w:pPr>
            <w:r>
              <w:rPr>
                <w:rFonts w:hint="eastAsia" w:ascii="宋体" w:hAnsi="宋体" w:eastAsia="宋体" w:cs="宋体"/>
                <w:b/>
                <w:sz w:val="24"/>
                <w:szCs w:val="24"/>
                <w:lang w:val="zh-CN"/>
              </w:rPr>
              <w:t>序 号</w:t>
            </w:r>
          </w:p>
        </w:tc>
        <w:tc>
          <w:tcPr>
            <w:tcW w:w="4011" w:type="dxa"/>
            <w:vAlign w:val="center"/>
          </w:tcPr>
          <w:p>
            <w:pPr>
              <w:jc w:val="center"/>
              <w:rPr>
                <w:rFonts w:hint="eastAsia" w:ascii="宋体" w:hAnsi="宋体" w:eastAsia="宋体" w:cs="宋体"/>
                <w:b/>
                <w:sz w:val="24"/>
                <w:szCs w:val="24"/>
                <w:lang w:val="zh-CN"/>
              </w:rPr>
            </w:pPr>
            <w:r>
              <w:rPr>
                <w:rFonts w:hint="eastAsia" w:ascii="宋体" w:hAnsi="宋体" w:eastAsia="宋体" w:cs="宋体"/>
                <w:b/>
                <w:sz w:val="24"/>
                <w:szCs w:val="24"/>
                <w:lang w:val="zh-CN"/>
              </w:rPr>
              <w:t>名 称</w:t>
            </w:r>
          </w:p>
        </w:tc>
        <w:tc>
          <w:tcPr>
            <w:tcW w:w="1238"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数量</w:t>
            </w:r>
          </w:p>
        </w:tc>
        <w:tc>
          <w:tcPr>
            <w:tcW w:w="1425"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单 位</w:t>
            </w:r>
          </w:p>
        </w:tc>
        <w:tc>
          <w:tcPr>
            <w:tcW w:w="1271" w:type="dxa"/>
            <w:vAlign w:val="center"/>
          </w:tcPr>
          <w:p>
            <w:pPr>
              <w:ind w:left="0" w:leftChars="0" w:firstLine="0" w:firstLineChars="0"/>
              <w:jc w:val="center"/>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31" w:type="dxa"/>
            <w:vAlign w:val="center"/>
          </w:tcPr>
          <w:p>
            <w:pPr>
              <w:ind w:left="0" w:leftChars="0" w:firstLine="240" w:firstLineChars="100"/>
              <w:jc w:val="both"/>
              <w:rPr>
                <w:rFonts w:hint="eastAsia" w:ascii="宋体" w:hAnsi="宋体" w:eastAsia="宋体" w:cs="宋体"/>
                <w:b/>
                <w:sz w:val="24"/>
                <w:szCs w:val="24"/>
                <w:lang w:val="zh-CN"/>
              </w:rPr>
            </w:pPr>
            <w:r>
              <w:rPr>
                <w:rFonts w:hint="eastAsia" w:ascii="宋体" w:hAnsi="宋体" w:eastAsia="宋体" w:cs="宋体"/>
                <w:b/>
                <w:sz w:val="24"/>
                <w:szCs w:val="24"/>
                <w:lang w:val="zh-CN"/>
              </w:rPr>
              <w:t>1</w:t>
            </w:r>
          </w:p>
        </w:tc>
        <w:tc>
          <w:tcPr>
            <w:tcW w:w="4011" w:type="dxa"/>
            <w:vAlign w:val="center"/>
          </w:tcPr>
          <w:p>
            <w:pPr>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电子鼻咽镜</w:t>
            </w:r>
          </w:p>
        </w:tc>
        <w:tc>
          <w:tcPr>
            <w:tcW w:w="1238" w:type="dxa"/>
            <w:vAlign w:val="center"/>
          </w:tcPr>
          <w:p>
            <w:pPr>
              <w:ind w:left="0" w:leftChars="0"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5" w:type="dxa"/>
            <w:vAlign w:val="center"/>
          </w:tcPr>
          <w:p>
            <w:pPr>
              <w:ind w:left="0" w:lef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套</w:t>
            </w:r>
          </w:p>
        </w:tc>
        <w:tc>
          <w:tcPr>
            <w:tcW w:w="1271" w:type="dxa"/>
            <w:vAlign w:val="center"/>
          </w:tcPr>
          <w:p>
            <w:pPr>
              <w:jc w:val="center"/>
              <w:rPr>
                <w:rFonts w:hint="eastAsia" w:ascii="宋体" w:hAnsi="宋体" w:eastAsia="宋体" w:cs="宋体"/>
                <w:sz w:val="24"/>
                <w:szCs w:val="24"/>
                <w:lang w:val="zh-CN"/>
              </w:rPr>
            </w:pPr>
            <w:r>
              <w:rPr>
                <w:rFonts w:hint="eastAsia" w:ascii="宋体" w:hAnsi="宋体" w:eastAsia="宋体" w:cs="宋体"/>
                <w:sz w:val="24"/>
                <w:szCs w:val="24"/>
                <w:lang w:val="zh-CN"/>
              </w:rPr>
              <w:t>货物</w:t>
            </w:r>
          </w:p>
        </w:tc>
      </w:tr>
    </w:tbl>
    <w:p>
      <w:pPr>
        <w:pStyle w:val="44"/>
        <w:numPr>
          <w:ilvl w:val="0"/>
          <w:numId w:val="0"/>
        </w:numPr>
        <w:spacing w:line="360" w:lineRule="auto"/>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（二）技术参数</w:t>
      </w:r>
    </w:p>
    <w:tbl>
      <w:tblPr>
        <w:tblStyle w:val="22"/>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8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8512" w:type="dxa"/>
            <w:noWrap w:val="0"/>
            <w:vAlign w:val="top"/>
          </w:tcPr>
          <w:p>
            <w:pPr>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招标规格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w:t>
            </w:r>
          </w:p>
        </w:tc>
        <w:tc>
          <w:tcPr>
            <w:tcW w:w="8512" w:type="dxa"/>
            <w:noWrap w:val="0"/>
            <w:vAlign w:val="top"/>
          </w:tcPr>
          <w:p>
            <w:pP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用途：耳，鼻，咽，喉部及声带检查及</w:t>
            </w:r>
            <w:r>
              <w:rPr>
                <w:rFonts w:hint="eastAsia" w:ascii="宋体" w:hAnsi="宋体" w:cs="宋体"/>
                <w:color w:val="000000"/>
                <w:sz w:val="24"/>
                <w:szCs w:val="24"/>
                <w:lang w:eastAsia="zh-CN"/>
              </w:rPr>
              <w:t>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ind w:firstLine="120" w:firstLineChars="50"/>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★1.1</w:t>
            </w:r>
          </w:p>
        </w:tc>
        <w:tc>
          <w:tcPr>
            <w:tcW w:w="8512" w:type="dxa"/>
            <w:noWrap w:val="0"/>
            <w:vAlign w:val="top"/>
          </w:tcPr>
          <w:p>
            <w:pPr>
              <w:rPr>
                <w:rFonts w:hint="eastAsia" w:ascii="宋体" w:hAnsi="宋体" w:eastAsia="宋体" w:cs="宋体"/>
                <w:color w:val="000000"/>
                <w:kern w:val="0"/>
                <w:sz w:val="24"/>
                <w:szCs w:val="24"/>
              </w:rPr>
            </w:pPr>
            <w:r>
              <w:rPr>
                <w:rFonts w:hint="eastAsia" w:ascii="宋体" w:hAnsi="宋体" w:eastAsia="宋体" w:cs="宋体"/>
                <w:color w:val="000000"/>
                <w:sz w:val="24"/>
                <w:szCs w:val="24"/>
                <w:lang w:eastAsia="zh-CN"/>
              </w:rPr>
              <w:t>原装进口，</w:t>
            </w:r>
            <w:r>
              <w:rPr>
                <w:rFonts w:hint="eastAsia" w:ascii="宋体" w:hAnsi="宋体" w:eastAsia="宋体" w:cs="宋体"/>
                <w:sz w:val="24"/>
                <w:szCs w:val="24"/>
              </w:rPr>
              <w:t>数字式高清主机，输出分辨率</w:t>
            </w:r>
            <w:r>
              <w:rPr>
                <w:rFonts w:hint="eastAsia" w:ascii="宋体" w:hAnsi="宋体" w:cs="宋体"/>
                <w:sz w:val="24"/>
                <w:szCs w:val="24"/>
                <w:lang w:val="en-US" w:eastAsia="zh-CN"/>
              </w:rPr>
              <w:t>1920*1080</w:t>
            </w:r>
            <w:r>
              <w:rPr>
                <w:rFonts w:hint="eastAsia" w:ascii="宋体" w:hAnsi="宋体" w:eastAsia="宋体" w:cs="宋体"/>
                <w:sz w:val="24"/>
                <w:szCs w:val="24"/>
              </w:rPr>
              <w:t>，具有</w:t>
            </w:r>
            <w:r>
              <w:rPr>
                <w:rFonts w:hint="eastAsia" w:ascii="宋体" w:hAnsi="宋体" w:eastAsia="宋体" w:cs="宋体"/>
                <w:sz w:val="24"/>
                <w:szCs w:val="24"/>
                <w:lang w:eastAsia="zh-CN"/>
              </w:rPr>
              <w:t>电子染色</w:t>
            </w:r>
            <w:r>
              <w:rPr>
                <w:rFonts w:hint="eastAsia" w:ascii="宋体" w:hAnsi="宋体" w:eastAsia="宋体" w:cs="宋体"/>
                <w:sz w:val="24"/>
                <w:szCs w:val="24"/>
              </w:rPr>
              <w:t>功能</w:t>
            </w:r>
            <w:r>
              <w:rPr>
                <w:rFonts w:hint="eastAsia" w:ascii="宋体" w:hAnsi="宋体" w:eastAsia="宋体" w:cs="宋体"/>
                <w:sz w:val="24"/>
                <w:szCs w:val="24"/>
                <w:lang w:eastAsia="zh-CN"/>
              </w:rPr>
              <w:t>，</w:t>
            </w:r>
            <w:r>
              <w:rPr>
                <w:rFonts w:hint="eastAsia" w:ascii="宋体" w:hAnsi="宋体" w:eastAsia="宋体" w:cs="宋体"/>
                <w:color w:val="000000"/>
                <w:sz w:val="24"/>
                <w:szCs w:val="24"/>
              </w:rPr>
              <w:t>配置DVI数字接口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ind w:firstLine="120" w:firstLineChars="50"/>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1.2</w:t>
            </w:r>
          </w:p>
        </w:tc>
        <w:tc>
          <w:tcPr>
            <w:tcW w:w="8512" w:type="dxa"/>
            <w:noWrap w:val="0"/>
            <w:vAlign w:val="top"/>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扫描方式：逐行扫描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ind w:firstLine="120" w:firstLineChars="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摄像头：带两个功能键，并可自定义功能。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ind w:firstLine="120" w:firstLineChars="5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4</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自动和手动白平衡功能。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ind w:firstLine="120" w:firstLineChars="5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5</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一体化光学变焦，可接不同粗细的硬性内窥镜、纤维镜以及电子鼻咽喉镜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ind w:firstLine="120" w:firstLineChars="50"/>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6</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自动曝光亮度控制。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7</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kern w:val="0"/>
                <w:sz w:val="24"/>
                <w:szCs w:val="24"/>
              </w:rPr>
              <w:t>带USB数据传输接口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8</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机身面板配置手动多级亮度、多级清晰度、对焦模式等按钮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9</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三组应用环境模式可选，适应不同镜种使用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1.1</w:t>
            </w:r>
            <w:r>
              <w:rPr>
                <w:rFonts w:hint="eastAsia" w:ascii="宋体" w:hAnsi="宋体" w:cs="宋体"/>
                <w:color w:val="000000"/>
                <w:sz w:val="24"/>
                <w:szCs w:val="24"/>
                <w:lang w:val="en-US" w:eastAsia="zh-CN"/>
              </w:rPr>
              <w:t>0</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配合LED光源可实现自动调光功能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1.1</w:t>
            </w:r>
            <w:r>
              <w:rPr>
                <w:rFonts w:hint="eastAsia" w:ascii="宋体" w:hAnsi="宋体" w:cs="宋体"/>
                <w:color w:val="000000"/>
                <w:sz w:val="24"/>
                <w:szCs w:val="24"/>
                <w:lang w:val="en-US" w:eastAsia="zh-CN"/>
              </w:rPr>
              <w:t>1</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具有外置设备遥控接口，无需图文工作站即可打印报告或录制视频。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1.1</w:t>
            </w:r>
            <w:r>
              <w:rPr>
                <w:rFonts w:hint="eastAsia" w:ascii="宋体" w:hAnsi="宋体" w:cs="宋体"/>
                <w:color w:val="000000"/>
                <w:sz w:val="24"/>
                <w:szCs w:val="24"/>
                <w:lang w:val="en-US" w:eastAsia="zh-CN"/>
              </w:rPr>
              <w:t>2</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带USB接口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1.1</w:t>
            </w:r>
            <w:r>
              <w:rPr>
                <w:rFonts w:hint="eastAsia" w:ascii="宋体" w:hAnsi="宋体" w:cs="宋体"/>
                <w:color w:val="000000"/>
                <w:sz w:val="24"/>
                <w:szCs w:val="24"/>
                <w:lang w:val="en-US" w:eastAsia="zh-CN"/>
              </w:rPr>
              <w:t>3</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带有音频接口，可用于录制病人嗓音数据或检查人员的评论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1.1</w:t>
            </w:r>
            <w:r>
              <w:rPr>
                <w:rFonts w:hint="eastAsia" w:ascii="宋体" w:hAnsi="宋体" w:cs="宋体"/>
                <w:color w:val="000000"/>
                <w:sz w:val="24"/>
                <w:szCs w:val="24"/>
                <w:lang w:val="en-US" w:eastAsia="zh-CN"/>
              </w:rPr>
              <w:t>4</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具有自动光圈控制（iris功能），配合相关光源，可实现自动调光。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2</w:t>
            </w:r>
          </w:p>
        </w:tc>
        <w:tc>
          <w:tcPr>
            <w:tcW w:w="8512" w:type="dxa"/>
            <w:noWrap w:val="0"/>
            <w:vAlign w:val="top"/>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专业</w:t>
            </w:r>
            <w:r>
              <w:rPr>
                <w:rFonts w:hint="eastAsia" w:ascii="宋体" w:hAnsi="宋体" w:cs="宋体"/>
                <w:b/>
                <w:color w:val="000000"/>
                <w:sz w:val="24"/>
                <w:szCs w:val="24"/>
                <w:lang w:eastAsia="zh-CN"/>
              </w:rPr>
              <w:t>国产</w:t>
            </w:r>
            <w:r>
              <w:rPr>
                <w:rFonts w:hint="eastAsia" w:ascii="宋体" w:hAnsi="宋体" w:eastAsia="宋体" w:cs="宋体"/>
                <w:b/>
                <w:color w:val="000000"/>
                <w:sz w:val="24"/>
                <w:szCs w:val="24"/>
              </w:rPr>
              <w:t>医用高清监视器</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24</w:t>
            </w:r>
            <w:r>
              <w:rPr>
                <w:rFonts w:hint="eastAsia" w:ascii="宋体" w:hAnsi="宋体" w:eastAsia="宋体" w:cs="宋体"/>
                <w:b/>
                <w:color w:val="000000"/>
                <w:sz w:val="24"/>
                <w:szCs w:val="24"/>
                <w:lang w:val="en-US" w:eastAsia="zh-CN"/>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3</w:t>
            </w:r>
          </w:p>
        </w:tc>
        <w:tc>
          <w:tcPr>
            <w:tcW w:w="8512" w:type="dxa"/>
            <w:noWrap w:val="0"/>
            <w:vAlign w:val="top"/>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冷光源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3.1</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3.2</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灯泡为LED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单个灯泡使用寿命为1万小时以上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3.4</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色温≥5800K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工作模式：连续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eastAsia="宋体" w:cs="宋体"/>
                <w:color w:val="000000"/>
                <w:sz w:val="24"/>
                <w:szCs w:val="24"/>
              </w:rPr>
              <w:t>3.6</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LED双灯设计，即有2个光纤接口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3.7</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自感应保护功能，拔出光纤，自动切断灯泡电源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3.8</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配合相关摄像，可实现自动调光功能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4</w:t>
            </w:r>
          </w:p>
        </w:tc>
        <w:tc>
          <w:tcPr>
            <w:tcW w:w="8512" w:type="dxa"/>
            <w:noWrap w:val="0"/>
            <w:vAlign w:val="top"/>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电子软性鼻咽喉镜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4.1</w:t>
            </w:r>
          </w:p>
        </w:tc>
        <w:tc>
          <w:tcPr>
            <w:tcW w:w="8512" w:type="dxa"/>
            <w:noWrap w:val="0"/>
            <w:vAlign w:val="top"/>
          </w:tcPr>
          <w:p>
            <w:pPr>
              <w:rPr>
                <w:rFonts w:hint="eastAsia" w:ascii="宋体" w:hAnsi="宋体" w:eastAsia="宋体" w:cs="宋体"/>
                <w:b/>
                <w:color w:val="000000"/>
                <w:sz w:val="24"/>
                <w:szCs w:val="24"/>
              </w:rPr>
            </w:pPr>
            <w:r>
              <w:rPr>
                <w:rFonts w:hint="eastAsia" w:ascii="宋体" w:hAnsi="宋体" w:eastAsia="宋体" w:cs="宋体"/>
                <w:sz w:val="24"/>
                <w:szCs w:val="24"/>
                <w:lang w:val="en-US" w:eastAsia="zh-CN"/>
              </w:rPr>
              <w:t>检查型电子鼻咽喉镜，插入管外径</w:t>
            </w:r>
            <w:r>
              <w:rPr>
                <w:rFonts w:hint="default" w:ascii="宋体" w:hAnsi="宋体" w:eastAsia="宋体" w:cs="宋体"/>
                <w:sz w:val="24"/>
                <w:szCs w:val="24"/>
                <w:lang w:val="en-US" w:eastAsia="zh-CN"/>
              </w:rPr>
              <w:t>≤</w:t>
            </w:r>
            <w:r>
              <w:rPr>
                <w:rFonts w:hint="eastAsia" w:ascii="宋体" w:hAnsi="宋体" w:cs="宋体"/>
                <w:sz w:val="24"/>
                <w:szCs w:val="24"/>
                <w:lang w:val="en-US" w:eastAsia="zh-CN"/>
              </w:rPr>
              <w:t>3.6</w:t>
            </w:r>
            <w:r>
              <w:rPr>
                <w:rFonts w:hint="eastAsia" w:ascii="宋体" w:hAnsi="宋体" w:eastAsia="宋体" w:cs="宋体"/>
                <w:sz w:val="24"/>
                <w:szCs w:val="24"/>
                <w:lang w:val="en-US" w:eastAsia="zh-CN"/>
              </w:rPr>
              <w:t>mm，成人及儿童皆适用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4.2</w:t>
            </w:r>
          </w:p>
        </w:tc>
        <w:tc>
          <w:tcPr>
            <w:tcW w:w="8512"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带钳道的电子镜：插入管最大外径≤5.0mm，钳道直径≥2.0mm，自带活检钳及清洁刷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eastAsia="宋体" w:cs="宋体"/>
                <w:color w:val="000000"/>
                <w:sz w:val="24"/>
                <w:szCs w:val="24"/>
              </w:rPr>
              <w:t>4.</w:t>
            </w:r>
            <w:r>
              <w:rPr>
                <w:rFonts w:hint="eastAsia" w:ascii="宋体" w:hAnsi="宋体" w:cs="宋体"/>
                <w:color w:val="000000"/>
                <w:sz w:val="24"/>
                <w:szCs w:val="24"/>
                <w:lang w:val="en-US" w:eastAsia="zh-CN"/>
              </w:rPr>
              <w:t>3</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CCD位于插入管的前端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w:t>
            </w:r>
            <w:r>
              <w:rPr>
                <w:rFonts w:hint="eastAsia" w:ascii="宋体" w:hAnsi="宋体" w:cs="宋体"/>
                <w:color w:val="000000"/>
                <w:sz w:val="24"/>
                <w:szCs w:val="24"/>
                <w:lang w:val="en-US" w:eastAsia="zh-CN"/>
              </w:rPr>
              <w:t>4</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sz w:val="24"/>
                <w:szCs w:val="24"/>
              </w:rPr>
              <w:t>有效工作长≥320mm</w:t>
            </w:r>
            <w:r>
              <w:rPr>
                <w:rFonts w:hint="eastAsia" w:ascii="宋体" w:hAnsi="宋体" w:eastAsia="宋体" w:cs="宋体"/>
                <w:sz w:val="24"/>
                <w:szCs w:val="24"/>
                <w:lang w:eastAsia="zh-CN"/>
              </w:rPr>
              <w:t>，</w:t>
            </w:r>
            <w:r>
              <w:rPr>
                <w:rFonts w:hint="eastAsia" w:ascii="宋体" w:hAnsi="宋体" w:eastAsia="宋体" w:cs="宋体"/>
                <w:color w:val="000000"/>
                <w:sz w:val="24"/>
                <w:szCs w:val="24"/>
              </w:rPr>
              <w:t>弯曲角度，上130°，下130°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eastAsia="宋体" w:cs="宋体"/>
                <w:color w:val="000000"/>
                <w:sz w:val="24"/>
                <w:szCs w:val="24"/>
              </w:rPr>
              <w:t>4.</w:t>
            </w:r>
            <w:r>
              <w:rPr>
                <w:rFonts w:hint="eastAsia" w:ascii="宋体" w:hAnsi="宋体" w:cs="宋体"/>
                <w:color w:val="000000"/>
                <w:sz w:val="24"/>
                <w:szCs w:val="24"/>
                <w:lang w:val="en-US" w:eastAsia="zh-CN"/>
              </w:rPr>
              <w:t>5</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color w:val="000000"/>
                <w:sz w:val="24"/>
                <w:szCs w:val="24"/>
              </w:rPr>
              <w:t>视野≥85°,景深：2-100mm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4.6</w:t>
            </w:r>
          </w:p>
        </w:tc>
        <w:tc>
          <w:tcPr>
            <w:tcW w:w="8512" w:type="dxa"/>
            <w:noWrap w:val="0"/>
            <w:vAlign w:val="top"/>
          </w:tcPr>
          <w:p>
            <w:pPr>
              <w:rPr>
                <w:rFonts w:hint="eastAsia" w:ascii="宋体" w:hAnsi="宋体" w:eastAsia="宋体" w:cs="宋体"/>
                <w:color w:val="000000"/>
                <w:sz w:val="24"/>
                <w:szCs w:val="24"/>
              </w:rPr>
            </w:pPr>
            <w:r>
              <w:rPr>
                <w:rFonts w:hint="eastAsia" w:ascii="宋体" w:hAnsi="宋体" w:eastAsia="宋体" w:cs="宋体"/>
                <w:sz w:val="24"/>
                <w:szCs w:val="24"/>
              </w:rPr>
              <w:t>枪式手柄，带2个功能按钮，可左右手交替操作，符合人体工程学原理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4.7</w:t>
            </w:r>
          </w:p>
        </w:tc>
        <w:tc>
          <w:tcPr>
            <w:tcW w:w="8512"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内置LED光源，使用寿命</w:t>
            </w:r>
            <w:r>
              <w:rPr>
                <w:rFonts w:hint="eastAsia" w:ascii="宋体" w:hAnsi="宋体" w:eastAsia="宋体" w:cs="宋体"/>
                <w:color w:val="000000"/>
                <w:sz w:val="24"/>
                <w:szCs w:val="24"/>
              </w:rPr>
              <w:t>≥</w:t>
            </w:r>
            <w:r>
              <w:rPr>
                <w:rFonts w:hint="eastAsia" w:ascii="宋体" w:hAnsi="宋体" w:eastAsia="宋体" w:cs="宋体"/>
                <w:sz w:val="24"/>
                <w:szCs w:val="24"/>
                <w:lang w:val="en-US" w:eastAsia="zh-CN"/>
              </w:rPr>
              <w:t>10000小时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4.8</w:t>
            </w:r>
          </w:p>
        </w:tc>
        <w:tc>
          <w:tcPr>
            <w:tcW w:w="8512" w:type="dxa"/>
            <w:noWrap w:val="0"/>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内置麦克风，可用于检查或录制检查中的病人嗓音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5</w:t>
            </w:r>
          </w:p>
        </w:tc>
        <w:tc>
          <w:tcPr>
            <w:tcW w:w="8512" w:type="dxa"/>
            <w:noWrap w:val="0"/>
            <w:vAlign w:val="top"/>
          </w:tcPr>
          <w:p>
            <w:pP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高清摄像头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b/>
                <w:color w:val="000000"/>
                <w:sz w:val="24"/>
                <w:szCs w:val="24"/>
                <w:lang w:val="en-US" w:eastAsia="zh-CN"/>
              </w:rPr>
            </w:pPr>
            <w:r>
              <w:rPr>
                <w:rFonts w:hint="eastAsia" w:ascii="宋体" w:hAnsi="宋体" w:eastAsia="宋体" w:cs="宋体"/>
                <w:b w:val="0"/>
                <w:bCs/>
                <w:color w:val="000000"/>
                <w:sz w:val="24"/>
                <w:szCs w:val="24"/>
                <w:lang w:val="en-US" w:eastAsia="zh-CN"/>
              </w:rPr>
              <w:t>5.1</w:t>
            </w:r>
          </w:p>
        </w:tc>
        <w:tc>
          <w:tcPr>
            <w:tcW w:w="8512" w:type="dxa"/>
            <w:noWrap w:val="0"/>
            <w:vAlign w:val="top"/>
          </w:tcPr>
          <w:p>
            <w:pPr>
              <w:rPr>
                <w:rFonts w:hint="eastAsia" w:ascii="宋体" w:hAnsi="宋体" w:eastAsia="宋体" w:cs="宋体"/>
                <w:b/>
                <w:color w:val="000000"/>
                <w:sz w:val="24"/>
                <w:szCs w:val="24"/>
              </w:rPr>
            </w:pPr>
            <w:r>
              <w:rPr>
                <w:rFonts w:hint="eastAsia" w:ascii="宋体" w:hAnsi="宋体" w:eastAsia="宋体" w:cs="宋体"/>
                <w:color w:val="000000"/>
                <w:kern w:val="0"/>
                <w:sz w:val="24"/>
                <w:szCs w:val="24"/>
              </w:rPr>
              <w:t>即插即用摄像头，3米线，2个功能键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5.2</w:t>
            </w:r>
          </w:p>
        </w:tc>
        <w:tc>
          <w:tcPr>
            <w:tcW w:w="8512" w:type="dxa"/>
            <w:noWrap w:val="0"/>
            <w:vAlign w:val="top"/>
          </w:tcPr>
          <w:p>
            <w:pPr>
              <w:rPr>
                <w:rFonts w:hint="eastAsia" w:ascii="宋体" w:hAnsi="宋体" w:eastAsia="宋体" w:cs="宋体"/>
                <w:color w:val="000000"/>
                <w:kern w:val="0"/>
                <w:sz w:val="24"/>
                <w:szCs w:val="24"/>
              </w:rPr>
            </w:pPr>
            <w:r>
              <w:rPr>
                <w:rFonts w:hint="eastAsia" w:ascii="宋体" w:hAnsi="宋体" w:cs="宋体"/>
                <w:sz w:val="24"/>
                <w:szCs w:val="24"/>
                <w:lang w:val="en-US" w:eastAsia="zh-CN"/>
              </w:rPr>
              <w:t>可连接各种光学镜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6</w:t>
            </w:r>
          </w:p>
        </w:tc>
        <w:tc>
          <w:tcPr>
            <w:tcW w:w="8512" w:type="dxa"/>
            <w:noWrap w:val="0"/>
            <w:vAlign w:val="top"/>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配置专用五官科内窥镜工作站,台车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default"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7</w:t>
            </w:r>
          </w:p>
        </w:tc>
        <w:tc>
          <w:tcPr>
            <w:tcW w:w="8512" w:type="dxa"/>
            <w:noWrap w:val="0"/>
            <w:vAlign w:val="top"/>
          </w:tcPr>
          <w:p>
            <w:pPr>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内窥镜消毒槽</w:t>
            </w:r>
            <w:r>
              <w:rPr>
                <w:rFonts w:hint="eastAsia" w:ascii="宋体" w:hAnsi="宋体" w:eastAsia="宋体" w:cs="宋体"/>
                <w:b/>
                <w:color w:val="000000"/>
                <w:sz w:val="24"/>
                <w:szCs w:val="24"/>
              </w:rPr>
              <w:t>主体配置与材质要求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1107" w:type="dxa"/>
            <w:noWrap w:val="0"/>
            <w:vAlign w:val="top"/>
          </w:tcPr>
          <w:p>
            <w:pPr>
              <w:jc w:val="center"/>
              <w:rPr>
                <w:rFonts w:hint="default" w:ascii="宋体" w:hAnsi="宋体" w:eastAsia="宋体" w:cs="宋体"/>
                <w:b/>
                <w:color w:val="000000"/>
                <w:sz w:val="24"/>
                <w:szCs w:val="24"/>
                <w:lang w:val="en-US" w:eastAsia="zh-CN"/>
              </w:rPr>
            </w:pPr>
            <w:r>
              <w:rPr>
                <w:rFonts w:hint="eastAsia" w:ascii="宋体" w:hAnsi="宋体" w:eastAsia="宋体" w:cs="宋体"/>
                <w:color w:val="000000"/>
                <w:sz w:val="24"/>
                <w:szCs w:val="24"/>
                <w:lang w:val="en-US" w:eastAsia="zh-CN"/>
              </w:rPr>
              <w:t>7.1</w:t>
            </w:r>
          </w:p>
        </w:tc>
        <w:tc>
          <w:tcPr>
            <w:tcW w:w="8512" w:type="dxa"/>
            <w:noWrap w:val="0"/>
            <w:vAlign w:val="top"/>
          </w:tcPr>
          <w:p>
            <w:pPr>
              <w:widowControl/>
              <w:jc w:val="left"/>
              <w:rPr>
                <w:rFonts w:hint="eastAsia" w:ascii="宋体" w:hAnsi="宋体" w:eastAsia="宋体" w:cs="宋体"/>
                <w:b/>
                <w:color w:val="000000"/>
                <w:sz w:val="24"/>
                <w:szCs w:val="24"/>
              </w:rPr>
            </w:pPr>
            <w:r>
              <w:rPr>
                <w:rFonts w:hint="eastAsia" w:ascii="宋体" w:hAnsi="宋体" w:eastAsia="宋体" w:cs="宋体"/>
                <w:color w:val="000000"/>
                <w:kern w:val="0"/>
                <w:sz w:val="24"/>
                <w:szCs w:val="24"/>
              </w:rPr>
              <w:t>内镜清洗工作站的：清洗槽、台面、干燥台、功能背板；清洗消毒槽及功能背板使用进口高分子复合材料（AKL）一次压铸而成，表面附杜邦抗菌材料，表面平整光滑，无锋角接缝，抗菌，耐酸碱腐蚀，容易清洁；单个槽体可承受超过60KG的压力，可进行内镜的全浸泡，质地柔软,能最大限度的保护内镜免受硬冲击造成的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07" w:type="dxa"/>
            <w:noWrap w:val="0"/>
            <w:vAlign w:val="top"/>
          </w:tcPr>
          <w:p>
            <w:pPr>
              <w:jc w:val="center"/>
              <w:rPr>
                <w:rFonts w:hint="default" w:ascii="宋体" w:hAnsi="宋体" w:eastAsia="宋体" w:cs="宋体"/>
                <w:b/>
                <w:color w:val="000000"/>
                <w:sz w:val="24"/>
                <w:szCs w:val="24"/>
                <w:lang w:val="en-US" w:eastAsia="zh-CN"/>
              </w:rPr>
            </w:pPr>
            <w:r>
              <w:rPr>
                <w:rFonts w:hint="eastAsia" w:ascii="宋体" w:hAnsi="宋体" w:cs="宋体"/>
                <w:b w:val="0"/>
                <w:bCs/>
                <w:color w:val="000000"/>
                <w:sz w:val="24"/>
                <w:szCs w:val="24"/>
                <w:lang w:val="en-US" w:eastAsia="zh-CN"/>
              </w:rPr>
              <w:t>7.2</w:t>
            </w:r>
          </w:p>
        </w:tc>
        <w:tc>
          <w:tcPr>
            <w:tcW w:w="8512" w:type="dxa"/>
            <w:noWrap w:val="0"/>
            <w:vAlign w:val="top"/>
          </w:tcPr>
          <w:p>
            <w:pPr>
              <w:rPr>
                <w:rFonts w:hint="eastAsia" w:ascii="宋体" w:hAnsi="宋体" w:eastAsia="宋体" w:cs="宋体"/>
                <w:b/>
                <w:color w:val="000000"/>
                <w:sz w:val="24"/>
                <w:szCs w:val="24"/>
              </w:rPr>
            </w:pPr>
            <w:r>
              <w:rPr>
                <w:rFonts w:hint="eastAsia" w:ascii="宋体" w:hAnsi="宋体" w:eastAsia="宋体" w:cs="宋体"/>
                <w:color w:val="000000"/>
                <w:kern w:val="0"/>
                <w:sz w:val="24"/>
                <w:szCs w:val="24"/>
              </w:rPr>
              <w:t xml:space="preserve">内镜清洗消毒槽设计要求： </w:t>
            </w:r>
            <w:r>
              <w:rPr>
                <w:rFonts w:hint="eastAsia" w:ascii="宋体" w:hAnsi="宋体" w:eastAsia="宋体" w:cs="宋体"/>
                <w:color w:val="000000"/>
                <w:kern w:val="0"/>
                <w:sz w:val="24"/>
                <w:szCs w:val="24"/>
                <w:lang w:eastAsia="zh-CN"/>
              </w:rPr>
              <w:t>四</w:t>
            </w:r>
            <w:r>
              <w:rPr>
                <w:rFonts w:hint="eastAsia" w:ascii="宋体" w:hAnsi="宋体" w:eastAsia="宋体" w:cs="宋体"/>
                <w:color w:val="000000"/>
                <w:kern w:val="0"/>
                <w:sz w:val="24"/>
                <w:szCs w:val="24"/>
              </w:rPr>
              <w:t>方槽清洗工作站1套，干燥台1个，清洗槽及背板总高度为1.60m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default"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8</w:t>
            </w:r>
          </w:p>
        </w:tc>
        <w:tc>
          <w:tcPr>
            <w:tcW w:w="8512" w:type="dxa"/>
            <w:noWrap w:val="0"/>
            <w:vAlign w:val="top"/>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台面、清洗消毒槽、功能背板及一体化干燥台的规格要求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07" w:type="dxa"/>
            <w:noWrap w:val="0"/>
            <w:vAlign w:val="top"/>
          </w:tcPr>
          <w:p>
            <w:pPr>
              <w:jc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8.1</w:t>
            </w:r>
          </w:p>
        </w:tc>
        <w:tc>
          <w:tcPr>
            <w:tcW w:w="8512" w:type="dxa"/>
            <w:noWrap w:val="0"/>
            <w:vAlign w:val="top"/>
          </w:tcPr>
          <w:p>
            <w:pP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内镜清洗槽设计规格为：2个双槽规格为：</w:t>
            </w:r>
            <w:r>
              <w:rPr>
                <w:rFonts w:hint="eastAsia" w:ascii="宋体" w:hAnsi="宋体" w:eastAsia="宋体" w:cs="宋体"/>
                <w:b w:val="0"/>
                <w:bCs/>
                <w:color w:val="000000"/>
                <w:kern w:val="0"/>
                <w:sz w:val="24"/>
                <w:szCs w:val="24"/>
                <w:lang w:val="en-US" w:eastAsia="zh-CN"/>
              </w:rPr>
              <w:t>72</w:t>
            </w:r>
            <w:r>
              <w:rPr>
                <w:rFonts w:hint="eastAsia" w:ascii="宋体" w:hAnsi="宋体" w:eastAsia="宋体" w:cs="宋体"/>
                <w:b w:val="0"/>
                <w:bCs/>
                <w:color w:val="000000"/>
                <w:kern w:val="0"/>
                <w:sz w:val="24"/>
                <w:szCs w:val="24"/>
              </w:rPr>
              <w:t>0mm×</w:t>
            </w:r>
            <w:r>
              <w:rPr>
                <w:rFonts w:hint="eastAsia" w:ascii="宋体" w:hAnsi="宋体" w:eastAsia="宋体" w:cs="宋体"/>
                <w:b w:val="0"/>
                <w:bCs/>
                <w:color w:val="000000"/>
                <w:kern w:val="0"/>
                <w:sz w:val="24"/>
                <w:szCs w:val="24"/>
                <w:lang w:val="en-US" w:eastAsia="zh-CN"/>
              </w:rPr>
              <w:t>82</w:t>
            </w:r>
            <w:r>
              <w:rPr>
                <w:rFonts w:hint="eastAsia" w:ascii="宋体" w:hAnsi="宋体" w:eastAsia="宋体" w:cs="宋体"/>
                <w:b w:val="0"/>
                <w:bCs/>
                <w:color w:val="000000"/>
                <w:kern w:val="0"/>
                <w:sz w:val="24"/>
                <w:szCs w:val="24"/>
              </w:rPr>
              <w:t>0mm,1个干燥台规格为：1</w:t>
            </w:r>
            <w:r>
              <w:rPr>
                <w:rFonts w:hint="eastAsia" w:ascii="宋体" w:hAnsi="宋体" w:eastAsia="宋体" w:cs="宋体"/>
                <w:b w:val="0"/>
                <w:bCs/>
                <w:color w:val="000000"/>
                <w:kern w:val="0"/>
                <w:sz w:val="24"/>
                <w:szCs w:val="24"/>
                <w:lang w:val="en-US" w:eastAsia="zh-CN"/>
              </w:rPr>
              <w:t>0</w:t>
            </w:r>
            <w:r>
              <w:rPr>
                <w:rFonts w:hint="eastAsia" w:ascii="宋体" w:hAnsi="宋体" w:eastAsia="宋体" w:cs="宋体"/>
                <w:b w:val="0"/>
                <w:bCs/>
                <w:color w:val="000000"/>
                <w:kern w:val="0"/>
                <w:sz w:val="24"/>
                <w:szCs w:val="24"/>
              </w:rPr>
              <w:t>00mm×</w:t>
            </w:r>
            <w:r>
              <w:rPr>
                <w:rFonts w:hint="eastAsia" w:ascii="宋体" w:hAnsi="宋体" w:eastAsia="宋体" w:cs="宋体"/>
                <w:b w:val="0"/>
                <w:bCs/>
                <w:color w:val="000000"/>
                <w:kern w:val="0"/>
                <w:sz w:val="24"/>
                <w:szCs w:val="24"/>
                <w:lang w:val="en-US" w:eastAsia="zh-CN"/>
              </w:rPr>
              <w:t>82</w:t>
            </w:r>
            <w:r>
              <w:rPr>
                <w:rFonts w:hint="eastAsia" w:ascii="宋体" w:hAnsi="宋体" w:eastAsia="宋体" w:cs="宋体"/>
                <w:b w:val="0"/>
                <w:bCs/>
                <w:color w:val="000000"/>
                <w:kern w:val="0"/>
                <w:sz w:val="24"/>
                <w:szCs w:val="24"/>
              </w:rPr>
              <w:t>0mm。（以实际图纸尺寸为主）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107" w:type="dxa"/>
            <w:noWrap w:val="0"/>
            <w:vAlign w:val="top"/>
          </w:tcPr>
          <w:p>
            <w:pPr>
              <w:jc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8.2</w:t>
            </w:r>
          </w:p>
        </w:tc>
        <w:tc>
          <w:tcPr>
            <w:tcW w:w="8512" w:type="dxa"/>
            <w:noWrap w:val="0"/>
            <w:vAlign w:val="top"/>
          </w:tcPr>
          <w:p>
            <w:pP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功能背板材质要求：使用与清洗槽相同的进口高分子复合材料一次压铸而成，表面附杜邦抗菌材料，表面平整光滑，无锋角，抗菌，容易清洁。遇酸碱腐蚀不褪色、不变形，如出现褪色现象三年内免费更换。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107" w:type="dxa"/>
            <w:noWrap w:val="0"/>
            <w:vAlign w:val="top"/>
          </w:tcPr>
          <w:p>
            <w:pPr>
              <w:jc w:val="center"/>
              <w:rPr>
                <w:rFonts w:hint="default"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8.3</w:t>
            </w:r>
          </w:p>
        </w:tc>
        <w:tc>
          <w:tcPr>
            <w:tcW w:w="8512" w:type="dxa"/>
            <w:noWrap w:val="0"/>
            <w:vAlign w:val="top"/>
          </w:tcPr>
          <w:p>
            <w:pP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一体化干燥台材质要求：使用与清洗槽相同的进口高分子复合材料一次压铸而成，表面附杜邦抗菌材料，表面平整光滑，无锋角，抗菌，容易清洁。遇酸碱腐蚀不褪色、不变形，质地柔软能最大限度的保护内镜免受硬冲击造成的损害，台面有点状凸起，增加表面的摩擦度，防止内镜或附件滑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default"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9</w:t>
            </w:r>
          </w:p>
        </w:tc>
        <w:tc>
          <w:tcPr>
            <w:tcW w:w="8512" w:type="dxa"/>
            <w:noWrap w:val="0"/>
            <w:vAlign w:val="top"/>
          </w:tcPr>
          <w:p>
            <w:pPr>
              <w:rPr>
                <w:rFonts w:hint="eastAsia" w:ascii="宋体" w:hAnsi="宋体" w:eastAsia="宋体" w:cs="宋体"/>
                <w:b/>
                <w:color w:val="000000"/>
                <w:sz w:val="24"/>
                <w:szCs w:val="24"/>
              </w:rPr>
            </w:pPr>
            <w:r>
              <w:rPr>
                <w:rFonts w:hint="eastAsia" w:ascii="宋体" w:hAnsi="宋体" w:eastAsia="宋体" w:cs="宋体"/>
                <w:b/>
                <w:bCs/>
                <w:color w:val="000000"/>
                <w:kern w:val="0"/>
                <w:sz w:val="24"/>
                <w:szCs w:val="24"/>
              </w:rPr>
              <w:t>清洗消毒槽柜体的规格要求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7" w:type="dxa"/>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9.1</w:t>
            </w:r>
          </w:p>
        </w:tc>
        <w:tc>
          <w:tcPr>
            <w:tcW w:w="8512" w:type="dxa"/>
            <w:noWrap w:val="0"/>
            <w:vAlign w:val="top"/>
          </w:tcPr>
          <w:p>
            <w:pP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清洗消毒槽底柜尺寸：与清洗槽实际总长度相配套。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107" w:type="dxa"/>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9.2</w:t>
            </w:r>
          </w:p>
        </w:tc>
        <w:tc>
          <w:tcPr>
            <w:tcW w:w="8512" w:type="dxa"/>
            <w:noWrap w:val="0"/>
            <w:vAlign w:val="top"/>
          </w:tcPr>
          <w:p>
            <w:pP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柜体框架全部采用 USU304 不锈钢材质，底部放置加强型PVC 底板，可有效防止因潮 湿或溅水而引起的变形现象发生。柜门采用彩色钢化玻璃,防水溅且不易破裂。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10</w:t>
            </w:r>
          </w:p>
        </w:tc>
        <w:tc>
          <w:tcPr>
            <w:tcW w:w="8512" w:type="dxa"/>
            <w:noWrap w:val="0"/>
            <w:vAlign w:val="top"/>
          </w:tcPr>
          <w:p>
            <w:pPr>
              <w:rPr>
                <w:rFonts w:hint="eastAsia" w:ascii="宋体" w:hAnsi="宋体" w:eastAsia="宋体" w:cs="宋体"/>
                <w:b/>
                <w:bCs w:val="0"/>
                <w:color w:val="000000"/>
                <w:sz w:val="24"/>
                <w:szCs w:val="24"/>
              </w:rPr>
            </w:pPr>
            <w:r>
              <w:rPr>
                <w:rFonts w:hint="eastAsia" w:ascii="宋体" w:hAnsi="宋体" w:eastAsia="宋体" w:cs="宋体"/>
                <w:b/>
                <w:bCs w:val="0"/>
                <w:color w:val="000000"/>
                <w:kern w:val="0"/>
                <w:sz w:val="24"/>
                <w:szCs w:val="24"/>
              </w:rPr>
              <w:t>高压清洗枪的数量及材质性能要求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10.1</w:t>
            </w:r>
          </w:p>
        </w:tc>
        <w:tc>
          <w:tcPr>
            <w:tcW w:w="8512" w:type="dxa"/>
            <w:noWrap w:val="0"/>
            <w:vAlign w:val="top"/>
          </w:tcPr>
          <w:p>
            <w:pP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高压清洗枪数量≥</w:t>
            </w:r>
            <w:r>
              <w:rPr>
                <w:rFonts w:hint="eastAsia" w:ascii="宋体" w:hAnsi="宋体" w:eastAsia="宋体" w:cs="宋体"/>
                <w:b w:val="0"/>
                <w:bCs/>
                <w:color w:val="000000"/>
                <w:kern w:val="0"/>
                <w:sz w:val="24"/>
                <w:szCs w:val="24"/>
                <w:lang w:val="en-US" w:eastAsia="zh-CN"/>
              </w:rPr>
              <w:t>1</w:t>
            </w:r>
            <w:r>
              <w:rPr>
                <w:rFonts w:hint="eastAsia" w:ascii="宋体" w:hAnsi="宋体" w:eastAsia="宋体" w:cs="宋体"/>
                <w:b w:val="0"/>
                <w:bCs/>
                <w:color w:val="000000"/>
                <w:kern w:val="0"/>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07" w:type="dxa"/>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10.2</w:t>
            </w:r>
          </w:p>
        </w:tc>
        <w:tc>
          <w:tcPr>
            <w:tcW w:w="8512" w:type="dxa"/>
            <w:noWrap w:val="0"/>
            <w:vAlign w:val="top"/>
          </w:tcPr>
          <w:p>
            <w:pP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材质采用</w:t>
            </w:r>
            <w:r>
              <w:rPr>
                <w:rFonts w:hint="eastAsia" w:ascii="宋体" w:hAnsi="宋体" w:eastAsia="宋体" w:cs="宋体"/>
                <w:b w:val="0"/>
                <w:bCs/>
                <w:color w:val="000000"/>
                <w:kern w:val="0"/>
                <w:sz w:val="24"/>
                <w:szCs w:val="24"/>
              </w:rPr>
              <w:t>优质304#不锈钢，防止枪体腔道腐蚀，杜绝纯净空气通过枪体腔道的二次污染。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107" w:type="dxa"/>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10.3</w:t>
            </w:r>
          </w:p>
        </w:tc>
        <w:tc>
          <w:tcPr>
            <w:tcW w:w="8512" w:type="dxa"/>
            <w:noWrap w:val="0"/>
            <w:vAlign w:val="top"/>
          </w:tcPr>
          <w:p>
            <w:pP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技术要求：采用日本原装进口产品，配八个(a混合型b深锥型c尖嘴型d硅胶盖口型e粗堵型f短锥型g花洒型h细堵口型)快接式喷嘴，需在彩页中有所体现，各类喷嘴名称及用途在彩页中有文字说明，高压清洗枪与供水管连接部使用螺纹旋转接口，非快接插头，有效防止漏水现象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11</w:t>
            </w:r>
          </w:p>
        </w:tc>
        <w:tc>
          <w:tcPr>
            <w:tcW w:w="8512" w:type="dxa"/>
            <w:noWrap w:val="0"/>
            <w:vAlign w:val="top"/>
          </w:tcPr>
          <w:p>
            <w:pPr>
              <w:rPr>
                <w:rFonts w:hint="eastAsia" w:ascii="宋体" w:hAnsi="宋体" w:eastAsia="宋体" w:cs="宋体"/>
                <w:b/>
                <w:bCs w:val="0"/>
                <w:color w:val="000000"/>
                <w:sz w:val="24"/>
                <w:szCs w:val="24"/>
              </w:rPr>
            </w:pPr>
            <w:r>
              <w:rPr>
                <w:rFonts w:hint="eastAsia" w:ascii="宋体" w:hAnsi="宋体" w:eastAsia="宋体" w:cs="宋体"/>
                <w:b/>
                <w:bCs w:val="0"/>
                <w:color w:val="000000"/>
                <w:kern w:val="0"/>
                <w:sz w:val="24"/>
                <w:szCs w:val="24"/>
              </w:rPr>
              <w:t>高压气枪的数量及材质性能要求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11.1</w:t>
            </w:r>
          </w:p>
        </w:tc>
        <w:tc>
          <w:tcPr>
            <w:tcW w:w="8512" w:type="dxa"/>
            <w:noWrap w:val="0"/>
            <w:vAlign w:val="top"/>
          </w:tcPr>
          <w:p>
            <w:pP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高压气枪数量≥</w:t>
            </w:r>
            <w:r>
              <w:rPr>
                <w:rFonts w:hint="eastAsia" w:ascii="宋体" w:hAnsi="宋体" w:eastAsia="宋体" w:cs="宋体"/>
                <w:b w:val="0"/>
                <w:bCs/>
                <w:color w:val="000000"/>
                <w:kern w:val="0"/>
                <w:sz w:val="24"/>
                <w:szCs w:val="24"/>
                <w:lang w:val="en-US" w:eastAsia="zh-CN"/>
              </w:rPr>
              <w:t>3</w:t>
            </w:r>
            <w:r>
              <w:rPr>
                <w:rFonts w:hint="eastAsia" w:ascii="宋体" w:hAnsi="宋体" w:eastAsia="宋体" w:cs="宋体"/>
                <w:b w:val="0"/>
                <w:bCs/>
                <w:color w:val="000000"/>
                <w:kern w:val="0"/>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07" w:type="dxa"/>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11.2</w:t>
            </w:r>
          </w:p>
        </w:tc>
        <w:tc>
          <w:tcPr>
            <w:tcW w:w="8512" w:type="dxa"/>
            <w:noWrap w:val="0"/>
            <w:vAlign w:val="top"/>
          </w:tcPr>
          <w:p>
            <w:pP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材质采用</w:t>
            </w:r>
            <w:r>
              <w:rPr>
                <w:rFonts w:hint="eastAsia" w:ascii="宋体" w:hAnsi="宋体" w:eastAsia="宋体" w:cs="宋体"/>
                <w:b w:val="0"/>
                <w:bCs/>
                <w:color w:val="000000"/>
                <w:kern w:val="0"/>
                <w:sz w:val="24"/>
                <w:szCs w:val="24"/>
              </w:rPr>
              <w:t>优质304#不锈钢，防止枪体腔道腐蚀，杜绝纯净空气通过枪体腔道的二次污染。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107" w:type="dxa"/>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11.3</w:t>
            </w:r>
          </w:p>
        </w:tc>
        <w:tc>
          <w:tcPr>
            <w:tcW w:w="8512" w:type="dxa"/>
            <w:noWrap w:val="0"/>
            <w:vAlign w:val="top"/>
          </w:tcPr>
          <w:p>
            <w:pP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技术要求：采用日本原装进口产品，配八个(a混合型b深锥型c尖嘴型d硅胶盖口型e粗堵型f短锥型g花洒型h细堵口型)快接式喷嘴，需在彩页中有所体现，各类喷嘴名称及用途在彩页中有文字说明，高压气枪与供气管连接部使用螺纹旋转接口，非快接插头，有效防止漏气现象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12</w:t>
            </w:r>
          </w:p>
        </w:tc>
        <w:tc>
          <w:tcPr>
            <w:tcW w:w="8512" w:type="dxa"/>
            <w:noWrap w:val="0"/>
            <w:vAlign w:val="top"/>
          </w:tcPr>
          <w:p>
            <w:pPr>
              <w:rPr>
                <w:rFonts w:hint="eastAsia" w:ascii="宋体" w:hAnsi="宋体" w:eastAsia="宋体" w:cs="宋体"/>
                <w:b/>
                <w:bCs w:val="0"/>
                <w:color w:val="000000"/>
                <w:sz w:val="24"/>
                <w:szCs w:val="24"/>
              </w:rPr>
            </w:pPr>
            <w:r>
              <w:rPr>
                <w:rFonts w:hint="eastAsia" w:ascii="宋体" w:hAnsi="宋体" w:eastAsia="宋体" w:cs="宋体"/>
                <w:b/>
                <w:bCs w:val="0"/>
                <w:color w:val="000000"/>
                <w:kern w:val="0"/>
                <w:sz w:val="24"/>
                <w:szCs w:val="24"/>
              </w:rPr>
              <w:t>水汽灌注装置的数量及材质、技术要求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12.1</w:t>
            </w:r>
          </w:p>
        </w:tc>
        <w:tc>
          <w:tcPr>
            <w:tcW w:w="8512" w:type="dxa"/>
            <w:noWrap w:val="0"/>
            <w:vAlign w:val="top"/>
          </w:tcPr>
          <w:p>
            <w:pPr>
              <w:widowControl/>
              <w:ind w:firstLine="120" w:firstLineChars="50"/>
              <w:jc w:val="left"/>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水汽灌注装置≥2套。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07" w:type="dxa"/>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12.2</w:t>
            </w:r>
          </w:p>
        </w:tc>
        <w:tc>
          <w:tcPr>
            <w:tcW w:w="8512" w:type="dxa"/>
            <w:noWrap w:val="0"/>
            <w:vAlign w:val="top"/>
          </w:tcPr>
          <w:p>
            <w:pP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材质要求：平板玻璃液晶触摸感应开关，蓝色液晶显示时间控制，分别控制注水与注气。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1107" w:type="dxa"/>
            <w:noWrap w:val="0"/>
            <w:vAlign w:val="top"/>
          </w:tcPr>
          <w:p>
            <w:pPr>
              <w:jc w:val="center"/>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12.3</w:t>
            </w:r>
          </w:p>
        </w:tc>
        <w:tc>
          <w:tcPr>
            <w:tcW w:w="8512" w:type="dxa"/>
            <w:noWrap w:val="0"/>
            <w:vAlign w:val="top"/>
          </w:tcPr>
          <w:p>
            <w:pPr>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技术要求：主机为非外挂式，主机与控制部分分离设计，注水时间可控范围大于等于99分钟，注气时间可控范围小于99秒,灌水途中或注液完毕可进行注气或单独注气、注水。电压12V，注水量5.0L/min,最大压力:0.42MPa.注气压力小于0.5 Mpa，按卫生部消毒规范标准采用流动水灌注，按卫生部消毒规范标准不可从槽内使用循环水或其他位置的未处理的水进行灌注。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default"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13</w:t>
            </w:r>
          </w:p>
        </w:tc>
        <w:tc>
          <w:tcPr>
            <w:tcW w:w="8512" w:type="dxa"/>
            <w:noWrap w:val="0"/>
            <w:vAlign w:val="top"/>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提供软件说明书，提供系统重装的全部软件备份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7" w:type="dxa"/>
            <w:noWrap w:val="0"/>
            <w:vAlign w:val="top"/>
          </w:tcPr>
          <w:p>
            <w:pPr>
              <w:jc w:val="center"/>
              <w:rPr>
                <w:rFonts w:hint="default" w:ascii="宋体" w:hAnsi="宋体" w:eastAsia="宋体" w:cs="宋体"/>
                <w:b/>
                <w:color w:val="000000"/>
                <w:sz w:val="24"/>
                <w:szCs w:val="24"/>
                <w:lang w:val="en-US" w:eastAsia="zh-CN"/>
              </w:rPr>
            </w:pPr>
            <w:r>
              <w:rPr>
                <w:rFonts w:hint="eastAsia" w:ascii="宋体" w:hAnsi="宋体" w:cs="宋体"/>
                <w:b/>
                <w:color w:val="000000"/>
                <w:sz w:val="24"/>
                <w:szCs w:val="24"/>
                <w:lang w:eastAsia="zh-CN"/>
              </w:rPr>
              <w:t>★</w:t>
            </w:r>
            <w:r>
              <w:rPr>
                <w:rFonts w:hint="eastAsia" w:ascii="宋体" w:hAnsi="宋体" w:cs="宋体"/>
                <w:b/>
                <w:color w:val="000000"/>
                <w:sz w:val="24"/>
                <w:szCs w:val="24"/>
                <w:lang w:val="en-US" w:eastAsia="zh-CN"/>
              </w:rPr>
              <w:t>14</w:t>
            </w:r>
          </w:p>
        </w:tc>
        <w:tc>
          <w:tcPr>
            <w:tcW w:w="8512" w:type="dxa"/>
            <w:noWrap w:val="0"/>
            <w:vAlign w:val="top"/>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要求摄像系统、光源</w:t>
            </w:r>
            <w:r>
              <w:rPr>
                <w:rFonts w:hint="eastAsia" w:ascii="宋体" w:hAnsi="宋体" w:eastAsia="宋体" w:cs="宋体"/>
                <w:b/>
                <w:color w:val="000000"/>
                <w:sz w:val="24"/>
                <w:szCs w:val="24"/>
                <w:lang w:eastAsia="zh-CN"/>
              </w:rPr>
              <w:t>、摄像头、</w:t>
            </w:r>
            <w:r>
              <w:rPr>
                <w:rFonts w:hint="eastAsia" w:ascii="宋体" w:hAnsi="宋体" w:eastAsia="宋体" w:cs="宋体"/>
                <w:b/>
                <w:color w:val="000000"/>
                <w:sz w:val="24"/>
                <w:szCs w:val="24"/>
              </w:rPr>
              <w:t>以及电子鼻咽喉镜均为同一品牌。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07" w:type="dxa"/>
            <w:noWrap w:val="0"/>
            <w:vAlign w:val="top"/>
          </w:tcPr>
          <w:p>
            <w:pPr>
              <w:jc w:val="center"/>
              <w:rPr>
                <w:rFonts w:hint="default"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15</w:t>
            </w:r>
          </w:p>
        </w:tc>
        <w:tc>
          <w:tcPr>
            <w:tcW w:w="8512" w:type="dxa"/>
            <w:noWrap w:val="0"/>
            <w:vAlign w:val="top"/>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提供设备原生产厂商的DATASHEET、配置清单及分项报价；提供易损件及消耗品市场报价及成交价。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07" w:type="dxa"/>
            <w:noWrap w:val="0"/>
            <w:vAlign w:val="top"/>
          </w:tcPr>
          <w:p>
            <w:pPr>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1</w:t>
            </w:r>
            <w:r>
              <w:rPr>
                <w:rFonts w:hint="eastAsia" w:ascii="宋体" w:hAnsi="宋体" w:cs="宋体"/>
                <w:b/>
                <w:color w:val="000000"/>
                <w:sz w:val="24"/>
                <w:szCs w:val="24"/>
                <w:lang w:val="en-US" w:eastAsia="zh-CN"/>
              </w:rPr>
              <w:t>6</w:t>
            </w:r>
          </w:p>
        </w:tc>
        <w:tc>
          <w:tcPr>
            <w:tcW w:w="8512" w:type="dxa"/>
            <w:noWrap w:val="0"/>
            <w:vAlign w:val="top"/>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整机保修一年，提供详细售后服务计划。</w:t>
            </w:r>
          </w:p>
        </w:tc>
      </w:tr>
    </w:tbl>
    <w:p>
      <w:pPr>
        <w:pStyle w:val="44"/>
        <w:numPr>
          <w:ilvl w:val="0"/>
          <w:numId w:val="0"/>
        </w:numPr>
        <w:spacing w:line="360" w:lineRule="auto"/>
        <w:ind w:leftChars="100"/>
        <w:jc w:val="both"/>
        <w:rPr>
          <w:rFonts w:hint="eastAsia" w:ascii="宋体" w:hAnsi="宋体" w:cs="宋体"/>
          <w:b/>
          <w:bCs/>
          <w:sz w:val="32"/>
          <w:szCs w:val="32"/>
          <w:lang w:val="en-US" w:eastAsia="zh-CN"/>
        </w:rPr>
      </w:pPr>
    </w:p>
    <w:p>
      <w:pPr>
        <w:pStyle w:val="8"/>
        <w:rPr>
          <w:rFonts w:hint="eastAsia" w:ascii="宋体" w:hAnsi="宋体" w:eastAsia="宋体" w:cs="宋体"/>
          <w:b/>
          <w:bCs/>
          <w:sz w:val="32"/>
          <w:szCs w:val="32"/>
          <w:lang w:val="en-US" w:eastAsia="zh-CN"/>
        </w:rPr>
      </w:pPr>
    </w:p>
    <w:p>
      <w:pPr>
        <w:spacing w:line="480" w:lineRule="exact"/>
        <w:ind w:left="0" w:leftChars="0" w:firstLine="0" w:firstLineChars="0"/>
        <w:jc w:val="left"/>
        <w:rPr>
          <w:rFonts w:hint="eastAsia" w:ascii="宋体" w:hAnsi="宋体"/>
          <w:b/>
          <w:bCs/>
          <w:sz w:val="24"/>
          <w:szCs w:val="24"/>
        </w:rPr>
      </w:pPr>
      <w:r>
        <w:rPr>
          <w:rFonts w:hint="eastAsia" w:ascii="华文中宋" w:hAnsi="华文中宋" w:eastAsia="华文中宋"/>
          <w:b/>
          <w:bCs/>
          <w:sz w:val="28"/>
          <w:szCs w:val="32"/>
        </w:rPr>
        <w:t>注</w:t>
      </w:r>
      <w:r>
        <w:rPr>
          <w:rFonts w:hint="eastAsia" w:ascii="宋体" w:hAnsi="宋体"/>
          <w:b/>
          <w:bCs/>
          <w:sz w:val="28"/>
          <w:szCs w:val="28"/>
        </w:rPr>
        <w:t>：(1) 标注“</w:t>
      </w:r>
      <w:r>
        <w:rPr>
          <w:rFonts w:hint="default" w:ascii="宋体" w:hAnsi="宋体"/>
          <w:b/>
          <w:bCs/>
          <w:sz w:val="28"/>
          <w:szCs w:val="28"/>
          <w:lang w:val="en-US"/>
        </w:rPr>
        <w:t>★</w:t>
      </w:r>
      <w:r>
        <w:rPr>
          <w:rFonts w:hint="eastAsia" w:ascii="宋体" w:hAnsi="宋体"/>
          <w:b/>
          <w:bCs/>
          <w:sz w:val="28"/>
          <w:szCs w:val="28"/>
        </w:rPr>
        <w:t>”号的参数为关键性技术参数指标</w:t>
      </w:r>
      <w:r>
        <w:rPr>
          <w:rFonts w:hint="eastAsia" w:ascii="宋体" w:hAnsi="宋体"/>
          <w:b/>
          <w:bCs/>
          <w:sz w:val="24"/>
          <w:szCs w:val="24"/>
        </w:rPr>
        <w:t>。</w:t>
      </w: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pStyle w:val="8"/>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一至六包商务要求：</w:t>
      </w:r>
    </w:p>
    <w:p>
      <w:pPr>
        <w:pStyle w:val="44"/>
        <w:numPr>
          <w:ilvl w:val="0"/>
          <w:numId w:val="38"/>
        </w:numPr>
        <w:spacing w:line="360" w:lineRule="auto"/>
        <w:ind w:firstLineChars="0"/>
        <w:rPr>
          <w:rFonts w:hint="eastAsia" w:ascii="宋体" w:hAnsi="宋体" w:eastAsia="宋体" w:cs="宋体"/>
          <w:sz w:val="24"/>
          <w:highlight w:val="none"/>
        </w:rPr>
      </w:pPr>
      <w:r>
        <w:rPr>
          <w:rFonts w:hint="eastAsia" w:ascii="宋体" w:hAnsi="宋体" w:eastAsia="宋体" w:cs="宋体"/>
          <w:b/>
          <w:color w:val="000000"/>
          <w:sz w:val="24"/>
          <w:szCs w:val="24"/>
          <w:highlight w:val="none"/>
        </w:rPr>
        <w:t>交货验收与工期：</w:t>
      </w:r>
      <w:r>
        <w:rPr>
          <w:rFonts w:hint="eastAsia" w:ascii="宋体" w:hAnsi="宋体" w:eastAsia="宋体" w:cs="宋体"/>
          <w:sz w:val="24"/>
          <w:highlight w:val="none"/>
        </w:rPr>
        <w:t>签定合同后按合同和招标、投标文件约定的要求和标准进行交货验收，交货期为签定合同后</w:t>
      </w:r>
      <w:r>
        <w:rPr>
          <w:rFonts w:hint="eastAsia" w:ascii="宋体" w:hAnsi="宋体" w:eastAsia="宋体" w:cs="宋体"/>
          <w:b/>
          <w:color w:val="000000"/>
          <w:sz w:val="24"/>
          <w:highlight w:val="none"/>
          <w:lang w:val="en-US" w:eastAsia="zh-CN"/>
        </w:rPr>
        <w:t>30</w:t>
      </w:r>
      <w:r>
        <w:rPr>
          <w:rFonts w:hint="eastAsia" w:ascii="宋体" w:hAnsi="宋体" w:eastAsia="宋体" w:cs="宋体"/>
          <w:b/>
          <w:color w:val="000000"/>
          <w:sz w:val="24"/>
          <w:highlight w:val="none"/>
        </w:rPr>
        <w:t>天内（日历</w:t>
      </w:r>
      <w:r>
        <w:rPr>
          <w:rFonts w:hint="eastAsia" w:ascii="宋体" w:hAnsi="宋体" w:eastAsia="宋体" w:cs="宋体"/>
          <w:b/>
          <w:color w:val="000000"/>
          <w:sz w:val="24"/>
          <w:highlight w:val="none"/>
          <w:lang w:eastAsia="zh-CN"/>
        </w:rPr>
        <w:t>天</w:t>
      </w:r>
      <w:r>
        <w:rPr>
          <w:rFonts w:hint="eastAsia" w:ascii="宋体" w:hAnsi="宋体" w:eastAsia="宋体" w:cs="宋体"/>
          <w:b/>
          <w:color w:val="000000"/>
          <w:sz w:val="24"/>
          <w:highlight w:val="none"/>
        </w:rPr>
        <w:t>）</w:t>
      </w:r>
      <w:r>
        <w:rPr>
          <w:rFonts w:hint="eastAsia" w:ascii="宋体" w:hAnsi="宋体" w:eastAsia="宋体" w:cs="宋体"/>
          <w:color w:val="000000"/>
          <w:sz w:val="24"/>
          <w:highlight w:val="none"/>
        </w:rPr>
        <w:t>。“交货</w:t>
      </w:r>
      <w:r>
        <w:rPr>
          <w:rFonts w:hint="eastAsia" w:ascii="宋体" w:hAnsi="宋体" w:eastAsia="宋体" w:cs="宋体"/>
          <w:sz w:val="24"/>
          <w:highlight w:val="none"/>
        </w:rPr>
        <w:t>期”指所有货物运抵现场安装调试完毕后交付用户验收的日期。</w:t>
      </w:r>
    </w:p>
    <w:p>
      <w:pPr>
        <w:pStyle w:val="44"/>
        <w:numPr>
          <w:ilvl w:val="0"/>
          <w:numId w:val="38"/>
        </w:numPr>
        <w:spacing w:line="360" w:lineRule="auto"/>
        <w:ind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交货地点：阳新县人民医院指定地点。</w:t>
      </w:r>
    </w:p>
    <w:p>
      <w:pPr>
        <w:keepNext w:val="0"/>
        <w:keepLines w:val="0"/>
        <w:pageBreakBefore w:val="0"/>
        <w:widowControl w:val="0"/>
        <w:numPr>
          <w:ilvl w:val="0"/>
          <w:numId w:val="38"/>
        </w:numPr>
        <w:kinsoku/>
        <w:wordWrap/>
        <w:overflowPunct/>
        <w:topLinePunct w:val="0"/>
        <w:autoSpaceDE/>
        <w:autoSpaceDN/>
        <w:bidi w:val="0"/>
        <w:adjustRightInd/>
        <w:snapToGrid/>
        <w:spacing w:line="400" w:lineRule="exact"/>
        <w:ind w:left="420" w:leftChars="0" w:hanging="420" w:firstLineChars="0"/>
        <w:textAlignment w:val="auto"/>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eastAsia="zh-CN"/>
        </w:rPr>
        <w:t>质保期：</w:t>
      </w:r>
      <w:r>
        <w:rPr>
          <w:rFonts w:hint="eastAsia" w:ascii="宋体" w:hAnsi="宋体" w:eastAsia="宋体" w:cs="宋体"/>
          <w:b/>
          <w:color w:val="000000"/>
          <w:sz w:val="24"/>
          <w:szCs w:val="24"/>
          <w:highlight w:val="none"/>
          <w:lang w:val="en-US" w:eastAsia="zh-CN"/>
        </w:rPr>
        <w:t>1年。</w:t>
      </w:r>
    </w:p>
    <w:p>
      <w:pPr>
        <w:keepNext w:val="0"/>
        <w:keepLines w:val="0"/>
        <w:pageBreakBefore w:val="0"/>
        <w:widowControl w:val="0"/>
        <w:numPr>
          <w:ilvl w:val="0"/>
          <w:numId w:val="38"/>
        </w:numPr>
        <w:kinsoku/>
        <w:wordWrap/>
        <w:overflowPunct/>
        <w:topLinePunct w:val="0"/>
        <w:autoSpaceDE/>
        <w:autoSpaceDN/>
        <w:bidi w:val="0"/>
        <w:adjustRightInd/>
        <w:snapToGrid/>
        <w:spacing w:line="400" w:lineRule="exact"/>
        <w:ind w:left="420" w:leftChars="0" w:hanging="42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售后服务要求：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  开机率≥98%，仪器故障要求12小时内应答，24小时形成解决方案。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 投标人需要在中国大陆地区设有售后服务机构和设施，并配备受过专业培训的售后服务人员。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 为保证设备正常运行，投标人应在中国境内方便的地方设置备件库，存入所有必须的备件，并保证5年以上的供应期，提供400全国免费电话。</w:t>
      </w:r>
    </w:p>
    <w:p>
      <w:pPr>
        <w:pStyle w:val="44"/>
        <w:numPr>
          <w:ilvl w:val="0"/>
          <w:numId w:val="0"/>
        </w:numPr>
        <w:spacing w:line="360" w:lineRule="auto"/>
        <w:ind w:leftChars="0"/>
        <w:rPr>
          <w:rFonts w:hint="eastAsia" w:ascii="宋体" w:hAnsi="宋体" w:eastAsia="宋体" w:cs="宋体"/>
          <w:b/>
          <w:color w:val="000000"/>
          <w:sz w:val="24"/>
          <w:szCs w:val="24"/>
          <w:highlight w:val="none"/>
        </w:rPr>
      </w:pPr>
      <w:r>
        <w:rPr>
          <w:rFonts w:hint="eastAsia" w:ascii="宋体" w:hAnsi="宋体" w:eastAsia="宋体" w:cs="宋体"/>
          <w:b w:val="0"/>
          <w:bCs w:val="0"/>
          <w:sz w:val="24"/>
          <w:szCs w:val="24"/>
          <w:lang w:val="en-US" w:eastAsia="zh-CN"/>
        </w:rPr>
        <w:t>4.4现场培训：投标人提供现场技术培训，保证使用人员能够正确操作设备的各项功能。</w:t>
      </w:r>
    </w:p>
    <w:p>
      <w:pPr>
        <w:pStyle w:val="44"/>
        <w:numPr>
          <w:ilvl w:val="0"/>
          <w:numId w:val="38"/>
        </w:numPr>
        <w:spacing w:line="360" w:lineRule="auto"/>
        <w:ind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付款方式：</w:t>
      </w:r>
      <w:r>
        <w:rPr>
          <w:rFonts w:hint="eastAsia" w:ascii="宋体" w:hAnsi="宋体" w:eastAsia="宋体" w:cs="宋体"/>
          <w:b/>
          <w:color w:val="000000"/>
          <w:sz w:val="24"/>
          <w:szCs w:val="24"/>
          <w:highlight w:val="none"/>
          <w:lang w:val="en-US" w:eastAsia="zh-CN"/>
        </w:rPr>
        <w:t>验收合格</w:t>
      </w:r>
      <w:r>
        <w:rPr>
          <w:rFonts w:hint="eastAsia" w:ascii="宋体" w:hAnsi="宋体" w:eastAsia="宋体" w:cs="宋体"/>
          <w:b/>
          <w:color w:val="000000"/>
          <w:sz w:val="24"/>
          <w:szCs w:val="24"/>
          <w:highlight w:val="none"/>
        </w:rPr>
        <w:t>后付全款的90%，余下10%质保期结束后付清。</w:t>
      </w:r>
    </w:p>
    <w:p>
      <w:pPr>
        <w:pStyle w:val="44"/>
        <w:numPr>
          <w:ilvl w:val="0"/>
          <w:numId w:val="38"/>
        </w:numPr>
        <w:spacing w:line="360" w:lineRule="auto"/>
        <w:ind w:firstLineChars="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其他要求：</w:t>
      </w:r>
    </w:p>
    <w:p>
      <w:pPr>
        <w:pStyle w:val="44"/>
        <w:numPr>
          <w:ilvl w:val="0"/>
          <w:numId w:val="0"/>
        </w:numPr>
        <w:tabs>
          <w:tab w:val="left" w:pos="426"/>
        </w:tabs>
        <w:spacing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rPr>
        <w:t>本项目采购预算控制总金额为</w:t>
      </w:r>
      <w:r>
        <w:rPr>
          <w:rFonts w:hint="eastAsia" w:ascii="宋体" w:hAnsi="宋体" w:eastAsia="宋体" w:cs="宋体"/>
          <w:b/>
          <w:sz w:val="24"/>
          <w:szCs w:val="24"/>
          <w:highlight w:val="none"/>
          <w:lang w:val="en-US" w:eastAsia="zh-CN"/>
        </w:rPr>
        <w:t>：</w:t>
      </w:r>
      <w:r>
        <w:rPr>
          <w:rFonts w:hint="eastAsia" w:ascii="宋体" w:hAnsi="宋体" w:cs="宋体"/>
          <w:b/>
          <w:bCs/>
          <w:color w:val="auto"/>
          <w:sz w:val="24"/>
          <w:szCs w:val="24"/>
          <w:shd w:val="clear" w:fill="FFFFFF"/>
          <w:lang w:val="en-US" w:eastAsia="zh-CN"/>
        </w:rPr>
        <w:t>一</w:t>
      </w:r>
      <w:r>
        <w:rPr>
          <w:rFonts w:hint="default" w:ascii="宋体" w:hAnsi="宋体" w:eastAsia="宋体" w:cs="宋体"/>
          <w:b/>
          <w:bCs/>
          <w:color w:val="auto"/>
          <w:sz w:val="24"/>
          <w:szCs w:val="24"/>
          <w:shd w:val="clear" w:fill="FFFFFF"/>
          <w:lang w:val="en-US" w:eastAsia="zh-CN"/>
        </w:rPr>
        <w:t>包：</w:t>
      </w:r>
      <w:r>
        <w:rPr>
          <w:rFonts w:hint="eastAsia" w:ascii="宋体" w:hAnsi="宋体" w:eastAsia="宋体" w:cs="宋体"/>
          <w:b/>
          <w:bCs/>
          <w:color w:val="auto"/>
          <w:sz w:val="24"/>
          <w:szCs w:val="24"/>
          <w:shd w:val="clear" w:fill="FFFFFF"/>
          <w:lang w:val="en-US" w:eastAsia="zh-CN"/>
        </w:rPr>
        <w:t>145万元，</w:t>
      </w:r>
      <w:r>
        <w:rPr>
          <w:rFonts w:hint="eastAsia" w:ascii="宋体" w:hAnsi="宋体" w:cs="宋体"/>
          <w:b/>
          <w:bCs/>
          <w:color w:val="auto"/>
          <w:sz w:val="24"/>
          <w:szCs w:val="24"/>
          <w:shd w:val="clear" w:fill="FFFFFF"/>
          <w:lang w:val="en-US" w:eastAsia="zh-CN"/>
        </w:rPr>
        <w:t>二包：140万元；三包：175万元；四包：175万元；五包：48万元；六包：115万元。</w:t>
      </w:r>
      <w:r>
        <w:rPr>
          <w:rFonts w:hint="eastAsia" w:ascii="宋体" w:hAnsi="宋体" w:eastAsia="宋体" w:cs="宋体"/>
          <w:sz w:val="24"/>
          <w:szCs w:val="24"/>
          <w:highlight w:val="none"/>
        </w:rPr>
        <w:t>超出预算控制金额将导致其报价无效。</w:t>
      </w:r>
    </w:p>
    <w:p>
      <w:pPr>
        <w:pStyle w:val="44"/>
        <w:numPr>
          <w:ilvl w:val="0"/>
          <w:numId w:val="0"/>
        </w:numPr>
        <w:tabs>
          <w:tab w:val="left" w:pos="426"/>
        </w:tabs>
        <w:spacing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6.2</w:t>
      </w:r>
      <w:r>
        <w:rPr>
          <w:rFonts w:hint="eastAsia" w:ascii="宋体" w:hAnsi="宋体" w:eastAsia="宋体" w:cs="宋体"/>
          <w:sz w:val="24"/>
          <w:szCs w:val="24"/>
          <w:highlight w:val="none"/>
        </w:rPr>
        <w:t>投标人不得以低于成本的报价进行投标，低于成本价的将导致其投标无效。</w:t>
      </w:r>
    </w:p>
    <w:p>
      <w:pPr>
        <w:pStyle w:val="44"/>
        <w:numPr>
          <w:ilvl w:val="0"/>
          <w:numId w:val="0"/>
        </w:numPr>
        <w:tabs>
          <w:tab w:val="left" w:pos="426"/>
        </w:tabs>
        <w:spacing w:line="36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6.3本</w:t>
      </w:r>
      <w:r>
        <w:rPr>
          <w:rFonts w:hint="eastAsia" w:ascii="宋体" w:hAnsi="宋体" w:eastAsia="宋体" w:cs="宋体"/>
          <w:sz w:val="24"/>
          <w:szCs w:val="24"/>
          <w:highlight w:val="none"/>
        </w:rPr>
        <w:t>项目已经政府采购主管部门审核同意，可以采购进口产品，但不限制符合招标要求的国内产品参与采购竞争。采购进口产品时评标委员会将优先考虑向我国企业转让技术、与我国企业签订消化吸收再创新方案的供应商的进口产品。</w:t>
      </w:r>
    </w:p>
    <w:p>
      <w:pPr>
        <w:pStyle w:val="44"/>
        <w:numPr>
          <w:ilvl w:val="0"/>
          <w:numId w:val="0"/>
        </w:numPr>
        <w:tabs>
          <w:tab w:val="left" w:pos="426"/>
        </w:tabs>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6.4</w:t>
      </w:r>
      <w:r>
        <w:rPr>
          <w:rFonts w:hint="eastAsia" w:ascii="宋体" w:hAnsi="宋体" w:eastAsia="宋体" w:cs="宋体"/>
          <w:sz w:val="24"/>
          <w:szCs w:val="24"/>
        </w:rPr>
        <w:t>本项目投标报价包含但不限于：设备价（包括硬件、软件）、运至合同指定地点的运输费、安装费（包括损耗、额外材料等）、保险费、安装、技术培训费、各种税费等。</w:t>
      </w:r>
    </w:p>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pStyle w:val="2"/>
        <w:rPr>
          <w:rFonts w:hint="eastAsia" w:ascii="宋体" w:hAnsi="宋体" w:eastAsia="宋体" w:cs="宋体"/>
          <w:b/>
          <w:bCs/>
          <w:sz w:val="32"/>
          <w:szCs w:val="32"/>
          <w:lang w:val="en-US" w:eastAsia="zh-CN"/>
        </w:rPr>
      </w:pPr>
    </w:p>
    <w:p>
      <w:pPr>
        <w:pStyle w:val="3"/>
        <w:spacing w:before="0" w:after="0" w:line="360" w:lineRule="auto"/>
        <w:jc w:val="center"/>
        <w:rPr>
          <w:rFonts w:ascii="黑体" w:hAnsi="黑体" w:eastAsia="黑体"/>
          <w:color w:val="auto"/>
          <w:highlight w:val="none"/>
        </w:rPr>
      </w:pPr>
      <w:bookmarkStart w:id="41" w:name="_Toc495861541"/>
      <w:r>
        <w:rPr>
          <w:rFonts w:hint="eastAsia" w:ascii="黑体" w:hAnsi="黑体" w:eastAsia="黑体"/>
          <w:color w:val="auto"/>
          <w:highlight w:val="none"/>
        </w:rPr>
        <w:t>第四章 资格审查方法及标准</w:t>
      </w:r>
    </w:p>
    <w:p>
      <w:pPr>
        <w:spacing w:line="360" w:lineRule="auto"/>
        <w:ind w:firstLine="420"/>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根据《政府采购法》、《政府采购法实施条例》、《政府采购货物和服务招标投标管理办法》等相关法律法规确定以下资格审查方法及标准。</w:t>
      </w:r>
    </w:p>
    <w:p>
      <w:pPr>
        <w:pStyle w:val="4"/>
        <w:numPr>
          <w:ilvl w:val="0"/>
          <w:numId w:val="39"/>
        </w:numPr>
        <w:spacing w:before="0" w:after="0" w:line="360" w:lineRule="auto"/>
        <w:ind w:left="616" w:hanging="616"/>
        <w:jc w:val="left"/>
        <w:rPr>
          <w:rFonts w:ascii="宋体" w:hAnsi="宋体" w:cs="Times New Roman"/>
          <w:bCs w:val="0"/>
          <w:color w:val="auto"/>
          <w:sz w:val="30"/>
          <w:szCs w:val="30"/>
          <w:highlight w:val="none"/>
        </w:rPr>
      </w:pPr>
      <w:bookmarkStart w:id="42" w:name="_Toc511894514"/>
      <w:bookmarkStart w:id="43" w:name="_Toc18092"/>
      <w:bookmarkStart w:id="44" w:name="_Toc494561958"/>
      <w:r>
        <w:rPr>
          <w:rFonts w:hint="eastAsia" w:ascii="宋体" w:hAnsi="宋体" w:cs="Times New Roman"/>
          <w:bCs w:val="0"/>
          <w:color w:val="auto"/>
          <w:sz w:val="30"/>
          <w:szCs w:val="30"/>
          <w:highlight w:val="none"/>
        </w:rPr>
        <w:t>资格审查方法</w:t>
      </w:r>
      <w:bookmarkEnd w:id="42"/>
      <w:bookmarkEnd w:id="43"/>
      <w:bookmarkEnd w:id="44"/>
    </w:p>
    <w:p>
      <w:pPr>
        <w:spacing w:line="360" w:lineRule="auto"/>
        <w:ind w:firstLine="420"/>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公开招标采购项目开标结束后，采购人成立资格审查小组，依据法律、法规及招标文件的规定，对投标人的资格进行审查，以确定投标人资格是否合格。</w:t>
      </w:r>
    </w:p>
    <w:p>
      <w:pPr>
        <w:pStyle w:val="4"/>
        <w:numPr>
          <w:ilvl w:val="0"/>
          <w:numId w:val="39"/>
        </w:numPr>
        <w:spacing w:before="0" w:after="0" w:line="360" w:lineRule="auto"/>
        <w:ind w:left="616" w:hanging="616"/>
        <w:jc w:val="left"/>
        <w:rPr>
          <w:rFonts w:ascii="宋体" w:hAnsi="宋体" w:cs="Times New Roman"/>
          <w:bCs w:val="0"/>
          <w:color w:val="auto"/>
          <w:sz w:val="30"/>
          <w:szCs w:val="30"/>
          <w:highlight w:val="none"/>
        </w:rPr>
      </w:pPr>
      <w:bookmarkStart w:id="45" w:name="_Toc7531"/>
      <w:bookmarkStart w:id="46" w:name="_Toc494561959"/>
      <w:bookmarkStart w:id="47" w:name="_Toc511894515"/>
      <w:r>
        <w:rPr>
          <w:rFonts w:hint="eastAsia" w:ascii="宋体" w:hAnsi="宋体" w:cs="Times New Roman"/>
          <w:bCs w:val="0"/>
          <w:color w:val="auto"/>
          <w:sz w:val="30"/>
          <w:szCs w:val="30"/>
          <w:highlight w:val="none"/>
        </w:rPr>
        <w:t>资格审查标准</w:t>
      </w:r>
      <w:bookmarkEnd w:id="45"/>
      <w:bookmarkEnd w:id="46"/>
      <w:bookmarkEnd w:id="47"/>
    </w:p>
    <w:p>
      <w:pPr>
        <w:numPr>
          <w:ilvl w:val="0"/>
          <w:numId w:val="40"/>
        </w:numPr>
        <w:tabs>
          <w:tab w:val="left" w:pos="1098"/>
        </w:tabs>
        <w:spacing w:line="360" w:lineRule="auto"/>
        <w:ind w:left="14" w:firstLine="238"/>
        <w:rPr>
          <w:rFonts w:ascii="宋体" w:hAnsi="宋体" w:cs="Times New Roman"/>
          <w:b/>
          <w:color w:val="auto"/>
          <w:sz w:val="24"/>
          <w:szCs w:val="24"/>
          <w:highlight w:val="none"/>
        </w:rPr>
      </w:pPr>
      <w:r>
        <w:rPr>
          <w:rFonts w:hint="eastAsia" w:ascii="宋体" w:hAnsi="宋体" w:cs="Times New Roman"/>
          <w:b/>
          <w:color w:val="auto"/>
          <w:sz w:val="24"/>
          <w:szCs w:val="24"/>
          <w:highlight w:val="none"/>
        </w:rPr>
        <w:t>资格证明文件审查</w:t>
      </w:r>
    </w:p>
    <w:p>
      <w:pPr>
        <w:tabs>
          <w:tab w:val="left" w:pos="616"/>
        </w:tabs>
        <w:spacing w:line="360" w:lineRule="auto"/>
        <w:ind w:firstLine="420"/>
        <w:rPr>
          <w:rFonts w:ascii="Helvetica" w:hAnsi="Helvetica" w:cs="Helvetica"/>
          <w:b/>
          <w:color w:val="auto"/>
          <w:kern w:val="0"/>
          <w:sz w:val="24"/>
          <w:szCs w:val="24"/>
          <w:highlight w:val="none"/>
        </w:rPr>
      </w:pPr>
      <w:r>
        <w:rPr>
          <w:rFonts w:hint="eastAsia" w:ascii="Helvetica" w:hAnsi="Helvetica" w:cs="Helvetica"/>
          <w:color w:val="auto"/>
          <w:kern w:val="0"/>
          <w:sz w:val="24"/>
          <w:szCs w:val="24"/>
          <w:highlight w:val="none"/>
        </w:rPr>
        <w:t>所递交的资格证明文件出现不符合下列情形之一或不足以证明其符合下列情形之一的，应视为资格审查不合格，并按照</w:t>
      </w:r>
      <w:r>
        <w:rPr>
          <w:rFonts w:hint="eastAsia" w:ascii="Helvetica" w:hAnsi="Helvetica" w:cs="Helvetica"/>
          <w:b/>
          <w:color w:val="auto"/>
          <w:kern w:val="0"/>
          <w:sz w:val="24"/>
          <w:szCs w:val="24"/>
          <w:highlight w:val="none"/>
        </w:rPr>
        <w:t>无效投标处理：</w:t>
      </w:r>
    </w:p>
    <w:p>
      <w:pPr>
        <w:pStyle w:val="44"/>
        <w:numPr>
          <w:ilvl w:val="0"/>
          <w:numId w:val="41"/>
        </w:numPr>
        <w:spacing w:line="360" w:lineRule="auto"/>
        <w:ind w:left="840" w:hanging="364" w:firstLineChars="0"/>
        <w:rPr>
          <w:rFonts w:ascii="宋体" w:hAnsi="宋体" w:cs="Times New Roman"/>
          <w:b/>
          <w:color w:val="auto"/>
          <w:sz w:val="24"/>
          <w:szCs w:val="24"/>
          <w:highlight w:val="none"/>
        </w:rPr>
      </w:pPr>
      <w:r>
        <w:rPr>
          <w:rFonts w:hint="eastAsia" w:ascii="宋体" w:hAnsi="宋体" w:cs="Times New Roman"/>
          <w:b/>
          <w:color w:val="auto"/>
          <w:sz w:val="24"/>
          <w:szCs w:val="24"/>
          <w:highlight w:val="none"/>
        </w:rPr>
        <w:t>应具备《政府采购法》第二十二条第一款规定的条件，</w:t>
      </w:r>
      <w:r>
        <w:rPr>
          <w:rFonts w:hint="eastAsia" w:hAnsi="宋体"/>
          <w:b/>
          <w:color w:val="auto"/>
          <w:sz w:val="24"/>
          <w:szCs w:val="24"/>
          <w:highlight w:val="none"/>
        </w:rPr>
        <w:t>提供下列材料</w:t>
      </w:r>
      <w:r>
        <w:rPr>
          <w:rFonts w:hint="eastAsia" w:ascii="宋体" w:hAnsi="宋体" w:cs="Times New Roman"/>
          <w:b/>
          <w:color w:val="auto"/>
          <w:sz w:val="24"/>
          <w:szCs w:val="24"/>
          <w:highlight w:val="none"/>
        </w:rPr>
        <w:t>：</w:t>
      </w:r>
    </w:p>
    <w:p>
      <w:pPr>
        <w:pStyle w:val="44"/>
        <w:numPr>
          <w:ilvl w:val="0"/>
          <w:numId w:val="42"/>
        </w:numPr>
        <w:spacing w:line="360" w:lineRule="auto"/>
        <w:ind w:left="958"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法人或者其他组织的营业执照等证明文件，自然人的身份证明</w:t>
      </w:r>
      <w:r>
        <w:rPr>
          <w:rFonts w:hint="eastAsia" w:ascii="宋体" w:hAnsi="宋体"/>
          <w:color w:val="auto"/>
          <w:sz w:val="24"/>
          <w:szCs w:val="24"/>
          <w:highlight w:val="none"/>
        </w:rPr>
        <w:t>（投标人根据自身情况提供对应的证明材料）</w:t>
      </w:r>
      <w:r>
        <w:rPr>
          <w:rFonts w:hint="eastAsia" w:ascii="宋体" w:hAnsi="宋体" w:cs="Times New Roman"/>
          <w:color w:val="auto"/>
          <w:sz w:val="24"/>
          <w:szCs w:val="24"/>
          <w:highlight w:val="none"/>
        </w:rPr>
        <w:t>：</w:t>
      </w:r>
    </w:p>
    <w:p>
      <w:pPr>
        <w:numPr>
          <w:ilvl w:val="0"/>
          <w:numId w:val="43"/>
        </w:numPr>
        <w:spacing w:line="360" w:lineRule="auto"/>
        <w:ind w:left="1321"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法人</w:t>
      </w:r>
    </w:p>
    <w:p>
      <w:pPr>
        <w:pStyle w:val="44"/>
        <w:numPr>
          <w:ilvl w:val="1"/>
          <w:numId w:val="44"/>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企业法人（包括合伙企业）：</w:t>
      </w:r>
      <w:r>
        <w:rPr>
          <w:rFonts w:hint="eastAsia" w:ascii="宋体" w:hAnsi="宋体"/>
          <w:color w:val="auto"/>
          <w:sz w:val="24"/>
          <w:szCs w:val="24"/>
          <w:highlight w:val="none"/>
        </w:rPr>
        <w:t>提供工商部门注册的有效“企业法人营业执照”或“营业执照”；</w:t>
      </w:r>
    </w:p>
    <w:p>
      <w:pPr>
        <w:pStyle w:val="44"/>
        <w:numPr>
          <w:ilvl w:val="1"/>
          <w:numId w:val="44"/>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事业单位法人：</w:t>
      </w:r>
      <w:r>
        <w:rPr>
          <w:rFonts w:hint="eastAsia" w:ascii="宋体" w:hAnsi="宋体"/>
          <w:color w:val="auto"/>
          <w:sz w:val="24"/>
          <w:szCs w:val="24"/>
          <w:highlight w:val="none"/>
        </w:rPr>
        <w:t>提供有效的“事业单位法人证书”。</w:t>
      </w:r>
    </w:p>
    <w:p>
      <w:pPr>
        <w:numPr>
          <w:ilvl w:val="0"/>
          <w:numId w:val="43"/>
        </w:numPr>
        <w:spacing w:line="360" w:lineRule="auto"/>
        <w:ind w:left="1321"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其他组织</w:t>
      </w:r>
    </w:p>
    <w:p>
      <w:pPr>
        <w:pStyle w:val="44"/>
        <w:numPr>
          <w:ilvl w:val="0"/>
          <w:numId w:val="45"/>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非企业专业服务机构：</w:t>
      </w:r>
      <w:r>
        <w:rPr>
          <w:rFonts w:hint="eastAsia" w:ascii="宋体" w:hAnsi="宋体"/>
          <w:color w:val="auto"/>
          <w:sz w:val="24"/>
          <w:szCs w:val="24"/>
          <w:highlight w:val="none"/>
        </w:rPr>
        <w:t>提供执业许可证等证明文件；</w:t>
      </w:r>
    </w:p>
    <w:p>
      <w:pPr>
        <w:pStyle w:val="44"/>
        <w:numPr>
          <w:ilvl w:val="0"/>
          <w:numId w:val="45"/>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个体工商户：</w:t>
      </w:r>
      <w:r>
        <w:rPr>
          <w:rFonts w:hint="eastAsia" w:ascii="宋体" w:hAnsi="宋体"/>
          <w:color w:val="auto"/>
          <w:sz w:val="24"/>
          <w:szCs w:val="24"/>
          <w:highlight w:val="none"/>
        </w:rPr>
        <w:t>提供有效的“个体工商户营业执照”。</w:t>
      </w:r>
    </w:p>
    <w:p>
      <w:pPr>
        <w:numPr>
          <w:ilvl w:val="0"/>
          <w:numId w:val="43"/>
        </w:numPr>
        <w:spacing w:line="360" w:lineRule="auto"/>
        <w:ind w:left="1321" w:hanging="720"/>
        <w:rPr>
          <w:rFonts w:ascii="宋体" w:hAnsi="宋体" w:cs="Times New Roman"/>
          <w:color w:val="auto"/>
          <w:sz w:val="24"/>
          <w:szCs w:val="20"/>
          <w:highlight w:val="none"/>
        </w:rPr>
      </w:pPr>
      <w:r>
        <w:rPr>
          <w:rFonts w:hint="eastAsia" w:ascii="仿宋" w:hAnsi="仿宋" w:eastAsia="仿宋" w:cs="Times New Roman"/>
          <w:b/>
          <w:color w:val="auto"/>
          <w:sz w:val="24"/>
          <w:szCs w:val="20"/>
          <w:highlight w:val="none"/>
        </w:rPr>
        <w:t>自然人：</w:t>
      </w:r>
      <w:r>
        <w:rPr>
          <w:rFonts w:hint="eastAsia" w:ascii="宋体" w:hAnsi="宋体" w:cs="Times New Roman"/>
          <w:color w:val="auto"/>
          <w:sz w:val="24"/>
          <w:szCs w:val="20"/>
          <w:highlight w:val="none"/>
        </w:rPr>
        <w:t>提供有效的自然人身份证明。（仅限中国公民）</w:t>
      </w:r>
    </w:p>
    <w:p>
      <w:pPr>
        <w:pStyle w:val="44"/>
        <w:numPr>
          <w:ilvl w:val="0"/>
          <w:numId w:val="42"/>
        </w:numPr>
        <w:spacing w:line="360" w:lineRule="auto"/>
        <w:ind w:left="958"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财务状况报告，依法缴纳税收和社会保障资金的相关材料（投标人根据自身情况提供对应的证明材料）：</w:t>
      </w:r>
    </w:p>
    <w:p>
      <w:pPr>
        <w:numPr>
          <w:ilvl w:val="0"/>
          <w:numId w:val="46"/>
        </w:numPr>
        <w:spacing w:line="360" w:lineRule="auto"/>
        <w:ind w:left="1321"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财务状况报告</w:t>
      </w:r>
    </w:p>
    <w:p>
      <w:pPr>
        <w:pStyle w:val="44"/>
        <w:numPr>
          <w:ilvl w:val="0"/>
          <w:numId w:val="47"/>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法人：</w:t>
      </w:r>
      <w:r>
        <w:rPr>
          <w:rFonts w:hint="eastAsia" w:ascii="宋体" w:hAnsi="宋体"/>
          <w:color w:val="auto"/>
          <w:sz w:val="24"/>
          <w:szCs w:val="24"/>
          <w:highlight w:val="none"/>
        </w:rPr>
        <w:t>提供经第三方审计的财务报告（完整的财务报告，包括“四表一注”，即资产负债表、利润表、现金流量表、所有者权益变动表及其附注），或其基本开户银行出具的资信证明；</w:t>
      </w:r>
    </w:p>
    <w:p>
      <w:pPr>
        <w:pStyle w:val="44"/>
        <w:numPr>
          <w:ilvl w:val="0"/>
          <w:numId w:val="47"/>
        </w:numPr>
        <w:spacing w:line="360" w:lineRule="auto"/>
        <w:ind w:left="1435" w:hanging="482" w:firstLineChars="0"/>
        <w:rPr>
          <w:rFonts w:ascii="宋体" w:hAnsi="宋体"/>
          <w:color w:val="auto"/>
          <w:sz w:val="24"/>
          <w:szCs w:val="24"/>
          <w:highlight w:val="none"/>
        </w:rPr>
      </w:pPr>
      <w:r>
        <w:rPr>
          <w:rFonts w:hint="eastAsia" w:ascii="楷体" w:hAnsi="楷体" w:eastAsia="楷体"/>
          <w:b/>
          <w:color w:val="auto"/>
          <w:sz w:val="24"/>
          <w:szCs w:val="24"/>
          <w:highlight w:val="none"/>
        </w:rPr>
        <w:t>部分其他组织和自然人：</w:t>
      </w:r>
      <w:r>
        <w:rPr>
          <w:rFonts w:hint="eastAsia" w:ascii="宋体" w:hAnsi="宋体"/>
          <w:color w:val="auto"/>
          <w:sz w:val="24"/>
          <w:szCs w:val="24"/>
          <w:highlight w:val="none"/>
        </w:rPr>
        <w:t>没有经第三方审计的财务报告的，可以提供银行出具的资信证明；</w:t>
      </w:r>
    </w:p>
    <w:p>
      <w:pPr>
        <w:pStyle w:val="44"/>
        <w:numPr>
          <w:ilvl w:val="0"/>
          <w:numId w:val="47"/>
        </w:numPr>
        <w:spacing w:line="360" w:lineRule="auto"/>
        <w:ind w:left="1435" w:hanging="482" w:firstLineChars="0"/>
        <w:rPr>
          <w:rFonts w:ascii="宋体" w:hAnsi="宋体"/>
          <w:color w:val="auto"/>
          <w:sz w:val="24"/>
          <w:szCs w:val="24"/>
          <w:highlight w:val="none"/>
        </w:rPr>
      </w:pPr>
      <w:r>
        <w:rPr>
          <w:rFonts w:hint="eastAsia" w:ascii="宋体" w:hAnsi="宋体"/>
          <w:color w:val="auto"/>
          <w:sz w:val="24"/>
          <w:szCs w:val="24"/>
          <w:highlight w:val="none"/>
        </w:rPr>
        <w:t>投标人没有经第三方审计的财务报告和资信证明时，也可以提供财政部门认可的政府采购专业担保机构出具的投标担保函。</w:t>
      </w:r>
    </w:p>
    <w:p>
      <w:pPr>
        <w:numPr>
          <w:ilvl w:val="0"/>
          <w:numId w:val="46"/>
        </w:numPr>
        <w:spacing w:line="360" w:lineRule="auto"/>
        <w:ind w:left="1321" w:hanging="720"/>
        <w:rPr>
          <w:rFonts w:ascii="仿宋" w:hAnsi="仿宋" w:eastAsia="仿宋" w:cs="Times New Roman"/>
          <w:b/>
          <w:color w:val="auto"/>
          <w:sz w:val="24"/>
          <w:szCs w:val="20"/>
          <w:highlight w:val="none"/>
        </w:rPr>
      </w:pPr>
      <w:r>
        <w:rPr>
          <w:rFonts w:hint="eastAsia" w:ascii="仿宋" w:hAnsi="仿宋" w:eastAsia="仿宋" w:cs="Times New Roman"/>
          <w:b/>
          <w:color w:val="auto"/>
          <w:sz w:val="24"/>
          <w:szCs w:val="20"/>
          <w:highlight w:val="none"/>
        </w:rPr>
        <w:t>依法缴纳税收和社会保障资金的证明材料</w:t>
      </w:r>
    </w:p>
    <w:p>
      <w:pPr>
        <w:pStyle w:val="44"/>
        <w:numPr>
          <w:ilvl w:val="0"/>
          <w:numId w:val="48"/>
        </w:numPr>
        <w:spacing w:line="360" w:lineRule="auto"/>
        <w:ind w:left="1441" w:hanging="488" w:firstLineChars="0"/>
        <w:rPr>
          <w:rFonts w:ascii="宋体" w:hAnsi="宋体"/>
          <w:color w:val="auto"/>
          <w:sz w:val="24"/>
          <w:szCs w:val="24"/>
          <w:highlight w:val="none"/>
        </w:rPr>
      </w:pPr>
      <w:r>
        <w:rPr>
          <w:rFonts w:hint="eastAsia" w:ascii="宋体" w:hAnsi="宋体"/>
          <w:color w:val="auto"/>
          <w:sz w:val="24"/>
          <w:szCs w:val="24"/>
          <w:highlight w:val="none"/>
        </w:rPr>
        <w:t>法人</w:t>
      </w:r>
    </w:p>
    <w:p>
      <w:pPr>
        <w:pStyle w:val="44"/>
        <w:numPr>
          <w:ilvl w:val="0"/>
          <w:numId w:val="49"/>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税务登记证（国税、地税或多证合一）；</w:t>
      </w:r>
    </w:p>
    <w:p>
      <w:pPr>
        <w:pStyle w:val="44"/>
        <w:numPr>
          <w:ilvl w:val="0"/>
          <w:numId w:val="49"/>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参加政府采购活动前一段时间内缴纳增值税、营业税和企业所得税的凭据；</w:t>
      </w:r>
    </w:p>
    <w:p>
      <w:pPr>
        <w:pStyle w:val="44"/>
        <w:numPr>
          <w:ilvl w:val="0"/>
          <w:numId w:val="49"/>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社会保险登记证（或多证合一）；</w:t>
      </w:r>
    </w:p>
    <w:p>
      <w:pPr>
        <w:pStyle w:val="44"/>
        <w:numPr>
          <w:ilvl w:val="0"/>
          <w:numId w:val="49"/>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参加政府采购活动前一段时间内缴纳社会保险的凭据（专用收据或社会保险缴纳清单）。</w:t>
      </w:r>
    </w:p>
    <w:p>
      <w:pPr>
        <w:pStyle w:val="44"/>
        <w:numPr>
          <w:ilvl w:val="0"/>
          <w:numId w:val="48"/>
        </w:numPr>
        <w:spacing w:line="360" w:lineRule="auto"/>
        <w:ind w:left="1441" w:hanging="488" w:firstLineChars="0"/>
        <w:rPr>
          <w:rFonts w:ascii="宋体" w:hAnsi="宋体"/>
          <w:color w:val="auto"/>
          <w:sz w:val="24"/>
          <w:szCs w:val="24"/>
          <w:highlight w:val="none"/>
        </w:rPr>
      </w:pPr>
      <w:r>
        <w:rPr>
          <w:rFonts w:hint="eastAsia" w:ascii="宋体" w:hAnsi="宋体"/>
          <w:color w:val="auto"/>
          <w:sz w:val="24"/>
          <w:szCs w:val="24"/>
          <w:highlight w:val="none"/>
        </w:rPr>
        <w:t>其他组织和自然人</w:t>
      </w:r>
    </w:p>
    <w:p>
      <w:pPr>
        <w:pStyle w:val="44"/>
        <w:numPr>
          <w:ilvl w:val="0"/>
          <w:numId w:val="50"/>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参加政府采购活动前一段时间内缴纳税收的凭据；</w:t>
      </w:r>
    </w:p>
    <w:p>
      <w:pPr>
        <w:pStyle w:val="44"/>
        <w:numPr>
          <w:ilvl w:val="0"/>
          <w:numId w:val="50"/>
        </w:numPr>
        <w:spacing w:line="360" w:lineRule="auto"/>
        <w:ind w:left="1571" w:hanging="369" w:firstLineChars="0"/>
        <w:rPr>
          <w:rFonts w:ascii="Helvetica" w:hAnsi="Helvetica" w:cs="Helvetica"/>
          <w:color w:val="auto"/>
          <w:kern w:val="0"/>
          <w:sz w:val="24"/>
          <w:szCs w:val="24"/>
          <w:highlight w:val="none"/>
        </w:rPr>
      </w:pPr>
      <w:r>
        <w:rPr>
          <w:rFonts w:hint="eastAsia" w:ascii="Helvetica" w:hAnsi="Helvetica" w:cs="Helvetica"/>
          <w:color w:val="auto"/>
          <w:kern w:val="0"/>
          <w:sz w:val="24"/>
          <w:szCs w:val="24"/>
          <w:highlight w:val="none"/>
        </w:rPr>
        <w:t>参加政府采购活动前一段时间内缴纳社会保险的凭据(专用收据或社会保险缴纳清单)。</w:t>
      </w:r>
    </w:p>
    <w:p>
      <w:pPr>
        <w:pStyle w:val="44"/>
        <w:numPr>
          <w:ilvl w:val="0"/>
          <w:numId w:val="48"/>
        </w:numPr>
        <w:spacing w:line="360" w:lineRule="auto"/>
        <w:ind w:left="1441" w:hanging="488" w:firstLineChars="0"/>
        <w:rPr>
          <w:rFonts w:ascii="宋体" w:hAnsi="宋体"/>
          <w:color w:val="auto"/>
          <w:sz w:val="24"/>
          <w:szCs w:val="24"/>
          <w:highlight w:val="none"/>
        </w:rPr>
      </w:pPr>
      <w:r>
        <w:rPr>
          <w:rFonts w:hint="eastAsia" w:ascii="宋体" w:hAnsi="宋体"/>
          <w:color w:val="auto"/>
          <w:sz w:val="24"/>
          <w:szCs w:val="24"/>
          <w:highlight w:val="none"/>
        </w:rPr>
        <w:t>依法免税或不需要缴纳社会保险资金的投标人</w:t>
      </w:r>
    </w:p>
    <w:p>
      <w:pPr>
        <w:pStyle w:val="44"/>
        <w:spacing w:line="360" w:lineRule="auto"/>
        <w:ind w:left="1441" w:firstLine="0" w:firstLineChars="0"/>
        <w:rPr>
          <w:rFonts w:ascii="宋体" w:hAnsi="宋体"/>
          <w:color w:val="auto"/>
          <w:sz w:val="24"/>
          <w:szCs w:val="24"/>
          <w:highlight w:val="none"/>
        </w:rPr>
      </w:pPr>
      <w:r>
        <w:rPr>
          <w:rFonts w:hint="eastAsia" w:ascii="宋体" w:hAnsi="宋体"/>
          <w:color w:val="auto"/>
          <w:sz w:val="24"/>
          <w:szCs w:val="24"/>
          <w:highlight w:val="none"/>
        </w:rPr>
        <w:t>提供其依法免税或不需要缴纳社会保险资金的相关证明文件。</w:t>
      </w:r>
    </w:p>
    <w:p>
      <w:pPr>
        <w:pStyle w:val="44"/>
        <w:numPr>
          <w:ilvl w:val="0"/>
          <w:numId w:val="42"/>
        </w:numPr>
        <w:spacing w:line="360" w:lineRule="auto"/>
        <w:ind w:left="958"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具备履行合同所必需的设备和专业技术能力的证明材料：</w:t>
      </w:r>
    </w:p>
    <w:p>
      <w:pPr>
        <w:numPr>
          <w:ilvl w:val="0"/>
          <w:numId w:val="51"/>
        </w:numPr>
        <w:spacing w:line="360" w:lineRule="auto"/>
        <w:ind w:left="1321" w:hanging="720"/>
        <w:rPr>
          <w:rFonts w:ascii="宋体" w:hAnsi="宋体" w:cs="Arial"/>
          <w:b/>
          <w:color w:val="auto"/>
          <w:sz w:val="24"/>
          <w:szCs w:val="20"/>
          <w:highlight w:val="none"/>
        </w:rPr>
      </w:pPr>
      <w:r>
        <w:rPr>
          <w:rFonts w:ascii="宋体" w:hAnsi="宋体" w:cs="Arial"/>
          <w:color w:val="auto"/>
          <w:sz w:val="24"/>
          <w:szCs w:val="20"/>
          <w:highlight w:val="none"/>
        </w:rPr>
        <w:t>提供具备足够数量的设施设备的证明材料；</w:t>
      </w:r>
    </w:p>
    <w:p>
      <w:pPr>
        <w:numPr>
          <w:ilvl w:val="0"/>
          <w:numId w:val="51"/>
        </w:numPr>
        <w:spacing w:line="360" w:lineRule="auto"/>
        <w:ind w:left="1321" w:hanging="720"/>
        <w:rPr>
          <w:rFonts w:ascii="宋体" w:hAnsi="宋体" w:cs="Arial"/>
          <w:color w:val="auto"/>
          <w:sz w:val="24"/>
          <w:szCs w:val="20"/>
          <w:highlight w:val="none"/>
        </w:rPr>
      </w:pPr>
      <w:r>
        <w:rPr>
          <w:rFonts w:ascii="宋体" w:hAnsi="宋体" w:cs="Arial"/>
          <w:color w:val="auto"/>
          <w:sz w:val="24"/>
          <w:szCs w:val="20"/>
          <w:highlight w:val="none"/>
        </w:rPr>
        <w:t>提供具备足够数量的技术人员的证明材料。</w:t>
      </w:r>
    </w:p>
    <w:p>
      <w:pPr>
        <w:pStyle w:val="44"/>
        <w:numPr>
          <w:ilvl w:val="0"/>
          <w:numId w:val="42"/>
        </w:numPr>
        <w:spacing w:line="360" w:lineRule="auto"/>
        <w:ind w:left="958"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参加政府采购活动前3年内在经营活动中没有重大违法记录的书面声明：</w:t>
      </w:r>
    </w:p>
    <w:p>
      <w:pPr>
        <w:numPr>
          <w:ilvl w:val="0"/>
          <w:numId w:val="52"/>
        </w:numPr>
        <w:spacing w:line="360" w:lineRule="auto"/>
        <w:ind w:left="1321" w:hanging="720"/>
        <w:rPr>
          <w:rFonts w:ascii="宋体" w:hAnsi="宋体" w:cs="Times New Roman"/>
          <w:color w:val="auto"/>
          <w:sz w:val="24"/>
          <w:szCs w:val="20"/>
          <w:highlight w:val="none"/>
        </w:rPr>
      </w:pPr>
      <w:r>
        <w:rPr>
          <w:rFonts w:hint="eastAsia" w:ascii="宋体" w:hAnsi="宋体" w:cs="Times New Roman"/>
          <w:color w:val="auto"/>
          <w:sz w:val="24"/>
          <w:szCs w:val="20"/>
          <w:highlight w:val="none"/>
        </w:rPr>
        <w:t>应严格按照附件格式提交“参加政府采购活动前三年内在经营活动中没有重大违法记录的书面声明函”；</w:t>
      </w:r>
    </w:p>
    <w:p>
      <w:pPr>
        <w:numPr>
          <w:ilvl w:val="0"/>
          <w:numId w:val="52"/>
        </w:numPr>
        <w:spacing w:line="360" w:lineRule="auto"/>
        <w:ind w:left="1321" w:hanging="720"/>
        <w:rPr>
          <w:rFonts w:ascii="宋体" w:hAnsi="宋体" w:cs="Times New Roman"/>
          <w:color w:val="auto"/>
          <w:sz w:val="24"/>
          <w:szCs w:val="20"/>
          <w:highlight w:val="none"/>
        </w:rPr>
      </w:pPr>
      <w:r>
        <w:rPr>
          <w:rFonts w:hint="eastAsia" w:ascii="宋体" w:hAnsi="宋体" w:cs="Times New Roman"/>
          <w:color w:val="auto"/>
          <w:sz w:val="24"/>
          <w:szCs w:val="20"/>
          <w:highlight w:val="none"/>
        </w:rPr>
        <w:t>政府采购法第二十二条第一款第五项所称重大违法记录，是指供应商因违法经营受到刑事处罚或者责令停产停业、吊销许可证或者执照、较大数额罚款等行政处罚；</w:t>
      </w:r>
    </w:p>
    <w:p>
      <w:pPr>
        <w:numPr>
          <w:ilvl w:val="0"/>
          <w:numId w:val="52"/>
        </w:numPr>
        <w:spacing w:line="360" w:lineRule="auto"/>
        <w:ind w:left="1321" w:hanging="720"/>
        <w:rPr>
          <w:rFonts w:ascii="仿宋" w:hAnsi="仿宋" w:eastAsia="仿宋" w:cs="Times New Roman"/>
          <w:color w:val="auto"/>
          <w:sz w:val="24"/>
          <w:szCs w:val="20"/>
          <w:highlight w:val="none"/>
        </w:rPr>
      </w:pPr>
      <w:r>
        <w:rPr>
          <w:rFonts w:hint="eastAsia" w:ascii="宋体" w:hAnsi="宋体" w:cs="Times New Roman"/>
          <w:color w:val="auto"/>
          <w:sz w:val="24"/>
          <w:szCs w:val="20"/>
          <w:highlight w:val="none"/>
        </w:rPr>
        <w:t>按照财政部《关于规范政府采购行政处罚有关问题的通知》的规定，</w:t>
      </w:r>
      <w:r>
        <w:rPr>
          <w:rFonts w:ascii="宋体" w:hAnsi="宋体" w:cs="Times New Roman"/>
          <w:color w:val="auto"/>
          <w:sz w:val="24"/>
          <w:szCs w:val="20"/>
          <w:highlight w:val="none"/>
        </w:rPr>
        <w:t>各级人民政府财政部门依法对参加政府采购活动的供应商作出的禁止参加政府采购活动等行政处罚决定在全国范围内生效。</w:t>
      </w:r>
    </w:p>
    <w:p>
      <w:pPr>
        <w:pStyle w:val="44"/>
        <w:numPr>
          <w:ilvl w:val="0"/>
          <w:numId w:val="42"/>
        </w:numPr>
        <w:spacing w:line="360" w:lineRule="auto"/>
        <w:ind w:left="958" w:hanging="482"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具备法律、行政法规规定的其他条件的证明材料：</w:t>
      </w:r>
    </w:p>
    <w:p>
      <w:pPr>
        <w:numPr>
          <w:ilvl w:val="0"/>
          <w:numId w:val="53"/>
        </w:numPr>
        <w:spacing w:line="360" w:lineRule="auto"/>
        <w:ind w:left="1321" w:hanging="720"/>
        <w:rPr>
          <w:rFonts w:ascii="宋体" w:hAnsi="宋体" w:cs="Times New Roman"/>
          <w:color w:val="auto"/>
          <w:sz w:val="24"/>
          <w:szCs w:val="20"/>
          <w:highlight w:val="none"/>
        </w:rPr>
      </w:pPr>
      <w:r>
        <w:rPr>
          <w:rFonts w:hint="eastAsia" w:ascii="宋体" w:hAnsi="宋体" w:cs="Times New Roman"/>
          <w:color w:val="auto"/>
          <w:sz w:val="24"/>
          <w:szCs w:val="20"/>
          <w:highlight w:val="none"/>
        </w:rPr>
        <w:t>国家对生产和销售相关产品或提供相关服务有专门法律、行政法规规定的，则必须提供取得国家有关主管部门行政许可的证明材料。</w:t>
      </w:r>
    </w:p>
    <w:p>
      <w:pPr>
        <w:pStyle w:val="44"/>
        <w:numPr>
          <w:ilvl w:val="0"/>
          <w:numId w:val="41"/>
        </w:numPr>
        <w:spacing w:line="360" w:lineRule="auto"/>
        <w:ind w:left="840" w:hanging="364" w:firstLineChars="0"/>
        <w:rPr>
          <w:rFonts w:ascii="宋体" w:hAnsi="宋体" w:cs="Times New Roman"/>
          <w:color w:val="auto"/>
          <w:sz w:val="24"/>
          <w:szCs w:val="24"/>
          <w:highlight w:val="none"/>
        </w:rPr>
      </w:pPr>
      <w:r>
        <w:rPr>
          <w:rFonts w:hint="eastAsia" w:ascii="宋体" w:hAnsi="宋体" w:cs="Times New Roman"/>
          <w:b/>
          <w:color w:val="auto"/>
          <w:sz w:val="24"/>
          <w:szCs w:val="24"/>
          <w:highlight w:val="none"/>
        </w:rPr>
        <w:t>未被“信用中国”网站(www.creditchina.gov.cn)列入失信被执行人、重大税收违法案件当事人名单，未被“中国政府采购网”(www.ccgp.gov.cn)列入政府采购严重违法失信行为记录名单的书面申明及该网站查询结果页面截图；</w:t>
      </w:r>
    </w:p>
    <w:p>
      <w:pPr>
        <w:pStyle w:val="44"/>
        <w:numPr>
          <w:ilvl w:val="0"/>
          <w:numId w:val="41"/>
        </w:numPr>
        <w:spacing w:line="360" w:lineRule="auto"/>
        <w:ind w:left="840" w:hanging="364" w:firstLineChars="0"/>
        <w:rPr>
          <w:rFonts w:ascii="宋体" w:hAnsi="宋体" w:cs="Times New Roman"/>
          <w:b/>
          <w:color w:val="auto"/>
          <w:sz w:val="24"/>
          <w:szCs w:val="24"/>
          <w:highlight w:val="none"/>
        </w:rPr>
      </w:pPr>
      <w:r>
        <w:rPr>
          <w:rFonts w:hint="eastAsia" w:ascii="宋体" w:hAnsi="宋体" w:cs="Times New Roman"/>
          <w:b/>
          <w:color w:val="auto"/>
          <w:sz w:val="24"/>
          <w:szCs w:val="24"/>
          <w:highlight w:val="none"/>
        </w:rPr>
        <w:t>招标文件第一章“投标人资格要求”中有特殊要求的，投标人应提供其符合特殊要求的证明材料或者情况说明；</w:t>
      </w:r>
    </w:p>
    <w:p>
      <w:pPr>
        <w:pStyle w:val="44"/>
        <w:numPr>
          <w:ilvl w:val="0"/>
          <w:numId w:val="41"/>
        </w:numPr>
        <w:spacing w:line="360" w:lineRule="auto"/>
        <w:ind w:left="840" w:hanging="364" w:firstLineChars="0"/>
        <w:rPr>
          <w:rFonts w:ascii="宋体" w:hAnsi="宋体" w:cs="Times New Roman"/>
          <w:b/>
          <w:color w:val="auto"/>
          <w:sz w:val="24"/>
          <w:szCs w:val="24"/>
          <w:highlight w:val="none"/>
        </w:rPr>
      </w:pPr>
      <w:r>
        <w:rPr>
          <w:rFonts w:hint="eastAsia" w:ascii="宋体" w:hAnsi="宋体" w:cs="Times New Roman"/>
          <w:b/>
          <w:color w:val="auto"/>
          <w:sz w:val="24"/>
          <w:szCs w:val="24"/>
          <w:highlight w:val="none"/>
        </w:rPr>
        <w:t>不符合联合体投标相关规定和要求的；</w:t>
      </w:r>
    </w:p>
    <w:p>
      <w:pPr>
        <w:pStyle w:val="44"/>
        <w:numPr>
          <w:ilvl w:val="0"/>
          <w:numId w:val="41"/>
        </w:numPr>
        <w:spacing w:line="360" w:lineRule="auto"/>
        <w:ind w:left="840" w:hanging="364" w:firstLineChars="0"/>
        <w:rPr>
          <w:rFonts w:ascii="宋体" w:hAnsi="宋体" w:cs="Times New Roman"/>
          <w:b/>
          <w:color w:val="auto"/>
          <w:sz w:val="24"/>
          <w:szCs w:val="24"/>
          <w:highlight w:val="none"/>
        </w:rPr>
      </w:pPr>
      <w:r>
        <w:rPr>
          <w:rFonts w:hint="eastAsia" w:ascii="宋体" w:hAnsi="宋体" w:cs="Times New Roman"/>
          <w:b/>
          <w:color w:val="auto"/>
          <w:sz w:val="24"/>
          <w:szCs w:val="24"/>
          <w:highlight w:val="none"/>
        </w:rPr>
        <w:t>投标人认为需提供的其它相关资格证明材料；</w:t>
      </w:r>
    </w:p>
    <w:p>
      <w:pPr>
        <w:pStyle w:val="44"/>
        <w:numPr>
          <w:ilvl w:val="0"/>
          <w:numId w:val="41"/>
        </w:numPr>
        <w:spacing w:line="360" w:lineRule="auto"/>
        <w:ind w:left="964" w:hanging="488" w:firstLineChars="0"/>
        <w:rPr>
          <w:rFonts w:ascii="宋体" w:hAnsi="宋体" w:cs="Times New Roman"/>
          <w:b/>
          <w:color w:val="auto"/>
          <w:sz w:val="24"/>
          <w:szCs w:val="24"/>
          <w:highlight w:val="none"/>
        </w:rPr>
      </w:pPr>
      <w:r>
        <w:rPr>
          <w:rFonts w:hint="eastAsia" w:ascii="宋体" w:hAnsi="宋体" w:cs="Times New Roman"/>
          <w:b/>
          <w:color w:val="auto"/>
          <w:sz w:val="24"/>
          <w:szCs w:val="24"/>
          <w:highlight w:val="none"/>
        </w:rPr>
        <w:t>资格证明文件正本应为清晰彩色影印件且加盖单位公章。</w:t>
      </w:r>
    </w:p>
    <w:p>
      <w:pPr>
        <w:numPr>
          <w:ilvl w:val="0"/>
          <w:numId w:val="40"/>
        </w:numPr>
        <w:tabs>
          <w:tab w:val="left" w:pos="1098"/>
        </w:tabs>
        <w:spacing w:line="360" w:lineRule="auto"/>
        <w:ind w:left="14" w:firstLine="238"/>
        <w:rPr>
          <w:rFonts w:ascii="宋体" w:hAnsi="宋体" w:cs="Times New Roman"/>
          <w:b/>
          <w:color w:val="auto"/>
          <w:sz w:val="24"/>
          <w:szCs w:val="24"/>
          <w:highlight w:val="none"/>
        </w:rPr>
      </w:pPr>
      <w:r>
        <w:rPr>
          <w:rFonts w:hint="eastAsia" w:ascii="宋体" w:hAnsi="宋体" w:cs="Times New Roman"/>
          <w:b/>
          <w:color w:val="auto"/>
          <w:sz w:val="24"/>
          <w:szCs w:val="24"/>
          <w:highlight w:val="none"/>
        </w:rPr>
        <w:t>确定资格审查合格投标人</w:t>
      </w:r>
    </w:p>
    <w:p>
      <w:pPr>
        <w:pStyle w:val="44"/>
        <w:numPr>
          <w:ilvl w:val="0"/>
          <w:numId w:val="54"/>
        </w:numPr>
        <w:spacing w:line="360" w:lineRule="auto"/>
        <w:ind w:left="840" w:hanging="364"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44"/>
        <w:numPr>
          <w:ilvl w:val="0"/>
          <w:numId w:val="54"/>
        </w:numPr>
        <w:spacing w:line="360" w:lineRule="auto"/>
        <w:ind w:left="840" w:hanging="364"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资格审查合格投标人不足3家的，不进行评标。</w:t>
      </w:r>
    </w:p>
    <w:p>
      <w:pPr>
        <w:pStyle w:val="44"/>
        <w:numPr>
          <w:ilvl w:val="0"/>
          <w:numId w:val="54"/>
        </w:numPr>
        <w:spacing w:line="360" w:lineRule="auto"/>
        <w:ind w:left="840" w:hanging="364" w:firstLineChars="0"/>
        <w:rPr>
          <w:rFonts w:ascii="宋体" w:hAnsi="宋体" w:cs="Times New Roman"/>
          <w:color w:val="auto"/>
          <w:sz w:val="24"/>
          <w:szCs w:val="24"/>
          <w:highlight w:val="none"/>
        </w:rPr>
      </w:pPr>
      <w:r>
        <w:rPr>
          <w:rFonts w:hint="eastAsia" w:ascii="宋体" w:hAnsi="宋体" w:cs="Times New Roman"/>
          <w:color w:val="auto"/>
          <w:sz w:val="24"/>
          <w:szCs w:val="24"/>
          <w:highlight w:val="none"/>
        </w:rPr>
        <w:t>资格审查未通过的投标人可在结果公告质疑有效期内按公告中的联系方式获知</w:t>
      </w:r>
      <w:r>
        <w:rPr>
          <w:rFonts w:ascii="宋体" w:hAnsi="宋体" w:cs="Times New Roman"/>
          <w:color w:val="auto"/>
          <w:sz w:val="24"/>
          <w:szCs w:val="24"/>
          <w:highlight w:val="none"/>
        </w:rPr>
        <w:t>本</w:t>
      </w:r>
      <w:r>
        <w:rPr>
          <w:rFonts w:hint="eastAsia" w:ascii="宋体" w:hAnsi="宋体" w:cs="Times New Roman"/>
          <w:color w:val="auto"/>
          <w:sz w:val="24"/>
          <w:szCs w:val="24"/>
          <w:highlight w:val="none"/>
        </w:rPr>
        <w:t>单位</w:t>
      </w:r>
      <w:r>
        <w:rPr>
          <w:rFonts w:ascii="宋体" w:hAnsi="宋体" w:cs="Times New Roman"/>
          <w:color w:val="auto"/>
          <w:sz w:val="24"/>
          <w:szCs w:val="24"/>
          <w:highlight w:val="none"/>
        </w:rPr>
        <w:t>的</w:t>
      </w:r>
      <w:r>
        <w:rPr>
          <w:rFonts w:hint="eastAsia" w:ascii="宋体" w:hAnsi="宋体" w:cs="Times New Roman"/>
          <w:color w:val="auto"/>
          <w:sz w:val="24"/>
          <w:szCs w:val="24"/>
          <w:highlight w:val="none"/>
        </w:rPr>
        <w:t>资格审查情况。</w:t>
      </w:r>
    </w:p>
    <w:p>
      <w:pPr>
        <w:pStyle w:val="44"/>
        <w:numPr>
          <w:ilvl w:val="0"/>
          <w:numId w:val="54"/>
        </w:numPr>
        <w:spacing w:line="360" w:lineRule="auto"/>
        <w:ind w:left="840" w:hanging="364" w:firstLineChars="0"/>
        <w:rPr>
          <w:rFonts w:ascii="宋体" w:hAnsi="宋体" w:cs="Times New Roman"/>
          <w:b/>
          <w:color w:val="auto"/>
          <w:sz w:val="24"/>
          <w:szCs w:val="24"/>
          <w:highlight w:val="none"/>
        </w:rPr>
      </w:pPr>
      <w:r>
        <w:rPr>
          <w:rFonts w:hint="eastAsia" w:ascii="宋体" w:hAnsi="宋体" w:cs="Times New Roman"/>
          <w:color w:val="auto"/>
          <w:sz w:val="24"/>
          <w:szCs w:val="24"/>
          <w:highlight w:val="none"/>
        </w:rPr>
        <w:t>采购人已进行资格预审的，不再进行资格审查。未通过资格预审的投标人采购代理机构</w:t>
      </w:r>
      <w:r>
        <w:rPr>
          <w:rFonts w:hint="eastAsia" w:ascii="宋体" w:hAnsi="宋体" w:cs="Times New Roman"/>
          <w:b/>
          <w:color w:val="auto"/>
          <w:sz w:val="24"/>
          <w:szCs w:val="24"/>
          <w:highlight w:val="none"/>
        </w:rPr>
        <w:t>拒绝</w:t>
      </w:r>
      <w:r>
        <w:rPr>
          <w:rFonts w:hint="eastAsia" w:ascii="宋体" w:hAnsi="宋体" w:cs="Times New Roman"/>
          <w:color w:val="auto"/>
          <w:sz w:val="24"/>
          <w:szCs w:val="24"/>
          <w:highlight w:val="none"/>
        </w:rPr>
        <w:t>其投标。</w:t>
      </w: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44"/>
        <w:widowControl w:val="0"/>
        <w:numPr>
          <w:ilvl w:val="0"/>
          <w:numId w:val="0"/>
        </w:numPr>
        <w:spacing w:line="360" w:lineRule="auto"/>
        <w:jc w:val="both"/>
        <w:rPr>
          <w:rFonts w:hint="eastAsia" w:ascii="宋体" w:hAnsi="宋体" w:cs="Times New Roman"/>
          <w:color w:val="auto"/>
          <w:sz w:val="24"/>
          <w:szCs w:val="24"/>
          <w:highlight w:val="none"/>
        </w:rPr>
      </w:pPr>
    </w:p>
    <w:p>
      <w:pPr>
        <w:pStyle w:val="3"/>
        <w:numPr>
          <w:ilvl w:val="0"/>
          <w:numId w:val="0"/>
        </w:numPr>
        <w:ind w:leftChars="0"/>
        <w:jc w:val="center"/>
        <w:rPr>
          <w:rFonts w:ascii="黑体" w:hAnsi="黑体" w:eastAsia="黑体"/>
        </w:rPr>
      </w:pPr>
      <w:r>
        <w:rPr>
          <w:rFonts w:hint="eastAsia" w:ascii="黑体" w:hAnsi="黑体" w:eastAsia="黑体"/>
          <w:lang w:eastAsia="zh-CN"/>
        </w:rPr>
        <w:t>第五章</w:t>
      </w:r>
      <w:r>
        <w:rPr>
          <w:rFonts w:hint="eastAsia" w:ascii="黑体" w:hAnsi="黑体" w:eastAsia="黑体"/>
          <w:lang w:val="en-US" w:eastAsia="zh-CN"/>
        </w:rPr>
        <w:t xml:space="preserve">  </w:t>
      </w:r>
      <w:r>
        <w:rPr>
          <w:rFonts w:hint="eastAsia" w:ascii="黑体" w:hAnsi="黑体" w:eastAsia="黑体"/>
        </w:rPr>
        <w:t>评标方法、程序及标准</w:t>
      </w:r>
      <w:bookmarkEnd w:id="41"/>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4"/>
        <w:numPr>
          <w:ilvl w:val="0"/>
          <w:numId w:val="55"/>
        </w:numPr>
        <w:spacing w:before="0" w:after="0" w:line="360" w:lineRule="auto"/>
        <w:ind w:left="616" w:hanging="616"/>
        <w:jc w:val="left"/>
        <w:rPr>
          <w:rFonts w:cs="Times New Roman" w:asciiTheme="majorEastAsia" w:hAnsiTheme="majorEastAsia"/>
          <w:bCs w:val="0"/>
          <w:sz w:val="30"/>
          <w:szCs w:val="30"/>
          <w:lang w:val="zh-CN"/>
        </w:rPr>
      </w:pPr>
      <w:bookmarkStart w:id="48" w:name="_Toc272247708"/>
      <w:bookmarkStart w:id="49" w:name="_Toc278891605"/>
      <w:bookmarkStart w:id="50" w:name="_Toc495861542"/>
      <w:bookmarkStart w:id="51" w:name="_Toc494561961"/>
      <w:r>
        <w:rPr>
          <w:rFonts w:hint="eastAsia" w:cs="Times New Roman" w:asciiTheme="majorEastAsia" w:hAnsiTheme="majorEastAsia"/>
          <w:bCs w:val="0"/>
          <w:sz w:val="30"/>
          <w:szCs w:val="30"/>
          <w:lang w:val="zh-CN"/>
        </w:rPr>
        <w:t>评标</w:t>
      </w:r>
      <w:bookmarkEnd w:id="48"/>
      <w:bookmarkEnd w:id="49"/>
      <w:r>
        <w:rPr>
          <w:rFonts w:hint="eastAsia" w:cs="Times New Roman" w:asciiTheme="majorEastAsia" w:hAnsiTheme="majorEastAsia"/>
          <w:bCs w:val="0"/>
          <w:sz w:val="30"/>
          <w:szCs w:val="30"/>
          <w:lang w:val="zh-CN"/>
        </w:rPr>
        <w:t>方法</w:t>
      </w:r>
      <w:bookmarkEnd w:id="50"/>
      <w:bookmarkEnd w:id="51"/>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4"/>
        <w:numPr>
          <w:ilvl w:val="0"/>
          <w:numId w:val="55"/>
        </w:numPr>
        <w:spacing w:before="0" w:after="0" w:line="360" w:lineRule="auto"/>
        <w:ind w:left="616" w:hanging="616"/>
        <w:jc w:val="left"/>
        <w:rPr>
          <w:rFonts w:cs="Times New Roman" w:asciiTheme="majorEastAsia" w:hAnsiTheme="majorEastAsia"/>
          <w:bCs w:val="0"/>
          <w:sz w:val="30"/>
          <w:szCs w:val="30"/>
          <w:lang w:val="zh-CN"/>
        </w:rPr>
      </w:pPr>
      <w:bookmarkStart w:id="52" w:name="_Toc272247709"/>
      <w:bookmarkStart w:id="53" w:name="_Toc278891606"/>
      <w:bookmarkStart w:id="54" w:name="_Toc494561962"/>
      <w:bookmarkStart w:id="55" w:name="_Toc495861543"/>
      <w:r>
        <w:rPr>
          <w:rFonts w:hint="eastAsia" w:cs="Times New Roman" w:asciiTheme="majorEastAsia" w:hAnsiTheme="majorEastAsia"/>
          <w:bCs w:val="0"/>
          <w:sz w:val="30"/>
          <w:szCs w:val="30"/>
          <w:lang w:val="zh-CN"/>
        </w:rPr>
        <w:t>评标程序</w:t>
      </w:r>
      <w:bookmarkEnd w:id="52"/>
      <w:bookmarkEnd w:id="53"/>
      <w:r>
        <w:rPr>
          <w:rFonts w:hint="eastAsia" w:cs="Times New Roman" w:asciiTheme="majorEastAsia" w:hAnsiTheme="majorEastAsia"/>
          <w:bCs w:val="0"/>
          <w:sz w:val="30"/>
          <w:szCs w:val="30"/>
          <w:lang w:val="zh-CN"/>
        </w:rPr>
        <w:t>及标准</w:t>
      </w:r>
      <w:bookmarkEnd w:id="54"/>
      <w:bookmarkEnd w:id="55"/>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56"/>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5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5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5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5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5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5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5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5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57"/>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57"/>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5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5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5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5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5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5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57"/>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56"/>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58"/>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58"/>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58"/>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5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5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5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5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5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59"/>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58"/>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56"/>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6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6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6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61"/>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61"/>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62"/>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62"/>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62"/>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62"/>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62"/>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6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63"/>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63"/>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60"/>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64"/>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64"/>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56"/>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6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6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6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6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65"/>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2"/>
        <w:rPr>
          <w:rFonts w:hint="eastAsia" w:ascii="Helvetica" w:hAnsi="Helvetica" w:eastAsia="宋体" w:cs="Helvetica"/>
          <w:kern w:val="0"/>
          <w:sz w:val="24"/>
          <w:szCs w:val="24"/>
          <w:lang w:val="zh-CN"/>
        </w:rPr>
      </w:pPr>
    </w:p>
    <w:p>
      <w:pPr>
        <w:rPr>
          <w:rFonts w:hint="eastAsia"/>
          <w:lang w:val="zh-CN"/>
        </w:rPr>
      </w:pPr>
    </w:p>
    <w:p>
      <w:pPr>
        <w:rPr>
          <w:rFonts w:hint="eastAsia" w:ascii="Helvetica" w:hAnsi="Helvetica" w:eastAsia="宋体" w:cs="Helvetica"/>
          <w:kern w:val="0"/>
          <w:sz w:val="24"/>
          <w:szCs w:val="24"/>
          <w:lang w:val="zh-CN"/>
        </w:rPr>
      </w:pPr>
    </w:p>
    <w:p>
      <w:pPr>
        <w:pStyle w:val="2"/>
        <w:rPr>
          <w:lang w:val="zh-CN"/>
        </w:rPr>
      </w:pPr>
    </w:p>
    <w:p>
      <w:pPr>
        <w:pStyle w:val="4"/>
        <w:numPr>
          <w:ilvl w:val="0"/>
          <w:numId w:val="55"/>
        </w:numPr>
        <w:spacing w:before="0" w:after="0" w:line="360" w:lineRule="auto"/>
        <w:ind w:left="616" w:hanging="616"/>
        <w:jc w:val="left"/>
        <w:rPr>
          <w:rFonts w:cs="Times New Roman" w:asciiTheme="majorEastAsia" w:hAnsiTheme="majorEastAsia"/>
          <w:bCs w:val="0"/>
          <w:sz w:val="30"/>
          <w:szCs w:val="30"/>
          <w:lang w:val="zh-CN"/>
        </w:rPr>
      </w:pPr>
      <w:bookmarkStart w:id="56" w:name="_Toc494561963"/>
      <w:bookmarkStart w:id="57" w:name="_Toc495861544"/>
      <w:r>
        <w:rPr>
          <w:rFonts w:hint="eastAsia" w:cs="Times New Roman" w:asciiTheme="majorEastAsia" w:hAnsiTheme="majorEastAsia"/>
          <w:bCs w:val="0"/>
          <w:sz w:val="30"/>
          <w:szCs w:val="30"/>
          <w:lang w:val="zh-CN"/>
        </w:rPr>
        <w:t>评审因素及评分标准</w:t>
      </w:r>
      <w:bookmarkEnd w:id="56"/>
      <w:bookmarkEnd w:id="57"/>
    </w:p>
    <w:tbl>
      <w:tblPr>
        <w:tblStyle w:val="22"/>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677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分值细则</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6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 评议</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8190" w:type="dxa"/>
            <w:gridSpan w:val="2"/>
            <w:tcBorders>
              <w:top w:val="single" w:color="auto" w:sz="4" w:space="0"/>
              <w:left w:val="single" w:color="auto" w:sz="4" w:space="0"/>
              <w:bottom w:val="single" w:color="auto" w:sz="4" w:space="0"/>
              <w:right w:val="single" w:color="auto" w:sz="4" w:space="0"/>
            </w:tcBorders>
            <w:noWrap/>
            <w:vAlign w:val="center"/>
          </w:tcPr>
          <w:p>
            <w:pPr>
              <w:pStyle w:val="45"/>
              <w:ind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投标报价)×价格分。计算时保留两位小数。为保证产品质量，投标报价低于采购预算80%时，评标委员会将对其进行成本分析，评标委员会认为报价低于成本价时将否决其投标。</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61" w:type="dxa"/>
            <w:tcBorders>
              <w:top w:val="single" w:color="auto" w:sz="4" w:space="0"/>
              <w:left w:val="single" w:color="auto" w:sz="4" w:space="0"/>
              <w:right w:val="single" w:color="auto" w:sz="4" w:space="0"/>
            </w:tcBorders>
            <w:noWrap/>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eastAsia="zh-CN"/>
              </w:rPr>
              <w:t>议</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141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设备技术参数响应</w:t>
            </w:r>
          </w:p>
        </w:tc>
        <w:tc>
          <w:tcPr>
            <w:tcW w:w="6777" w:type="dxa"/>
            <w:tcBorders>
              <w:top w:val="single" w:color="auto" w:sz="4" w:space="0"/>
              <w:left w:val="single" w:color="auto" w:sz="4" w:space="0"/>
              <w:bottom w:val="single" w:color="auto" w:sz="4" w:space="0"/>
              <w:right w:val="single" w:color="auto" w:sz="4" w:space="0"/>
            </w:tcBorders>
            <w:noWrap/>
            <w:vAlign w:val="center"/>
          </w:tcPr>
          <w:p>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kern w:val="0"/>
                <w:sz w:val="24"/>
                <w:szCs w:val="24"/>
                <w:highlight w:val="none"/>
              </w:rPr>
              <w:t>完全满足用户的要求，或有优于用户的技术参数（投标人需提供所投产品的彩页样本或检验报告，如投标人技术响应内容与产品彩页样本或检验报告不一致的本项得0分），且能详细描述，综合评价最优的得</w:t>
            </w:r>
            <w:r>
              <w:rPr>
                <w:rFonts w:hint="eastAsia" w:asciiTheme="minorEastAsia" w:hAnsiTheme="minorEastAsia" w:eastAsiaTheme="minorEastAsia" w:cstheme="minorEastAsia"/>
                <w:kern w:val="0"/>
                <w:sz w:val="24"/>
                <w:szCs w:val="24"/>
                <w:highlight w:val="none"/>
                <w:lang w:val="en-US" w:eastAsia="zh-CN"/>
              </w:rPr>
              <w:t>50</w:t>
            </w:r>
            <w:r>
              <w:rPr>
                <w:rFonts w:hint="eastAsia" w:asciiTheme="minorEastAsia" w:hAnsiTheme="minorEastAsia" w:eastAsiaTheme="minorEastAsia" w:cstheme="minorEastAsia"/>
                <w:kern w:val="0"/>
                <w:sz w:val="24"/>
                <w:szCs w:val="24"/>
                <w:highlight w:val="none"/>
              </w:rPr>
              <w:t>分。</w:t>
            </w:r>
          </w:p>
          <w:p>
            <w:pPr>
              <w:numPr>
                <w:ilvl w:val="0"/>
                <w:numId w:val="0"/>
              </w:numPr>
              <w:jc w:val="left"/>
              <w:rPr>
                <w:rFonts w:hint="eastAsia" w:ascii="宋体" w:hAnsi="宋体" w:eastAsia="宋体" w:cs="宋体"/>
                <w:bCs/>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2.“</w:t>
            </w:r>
            <w:r>
              <w:rPr>
                <w:rFonts w:hint="eastAsia" w:ascii="宋体" w:hAnsi="宋体" w:eastAsia="宋体" w:cs="宋体"/>
                <w:b/>
                <w:color w:val="000000"/>
                <w:sz w:val="24"/>
                <w:szCs w:val="24"/>
                <w:highlight w:val="none"/>
              </w:rPr>
              <w:t>★</w:t>
            </w:r>
            <w:r>
              <w:rPr>
                <w:rFonts w:hint="eastAsia" w:asciiTheme="minorEastAsia" w:hAnsiTheme="minorEastAsia" w:eastAsiaTheme="minorEastAsia" w:cstheme="minorEastAsia"/>
                <w:sz w:val="24"/>
                <w:szCs w:val="24"/>
                <w:highlight w:val="none"/>
              </w:rPr>
              <w:t>”号标识的条款，为重要技术参数，每一项负偏离，扣5分；其他参数，每一项负偏离，扣2分，</w:t>
            </w:r>
            <w:r>
              <w:rPr>
                <w:rFonts w:hint="eastAsia" w:asciiTheme="minorEastAsia" w:hAnsiTheme="minorEastAsia" w:cstheme="minorEastAsia"/>
                <w:sz w:val="24"/>
                <w:szCs w:val="24"/>
                <w:highlight w:val="none"/>
                <w:lang w:eastAsia="zh-CN"/>
              </w:rPr>
              <w:t>累计</w:t>
            </w:r>
            <w:r>
              <w:rPr>
                <w:rFonts w:hint="eastAsia" w:asciiTheme="minorEastAsia" w:hAnsiTheme="minorEastAsia" w:eastAsiaTheme="minorEastAsia" w:cstheme="minorEastAsia"/>
                <w:sz w:val="24"/>
                <w:szCs w:val="24"/>
                <w:highlight w:val="none"/>
              </w:rPr>
              <w:t>扣完</w:t>
            </w:r>
            <w:r>
              <w:rPr>
                <w:rFonts w:hint="eastAsia" w:asciiTheme="minorEastAsia" w:hAnsiTheme="minorEastAsia" w:eastAsiaTheme="minorEastAsia" w:cstheme="minorEastAsia"/>
                <w:sz w:val="24"/>
                <w:szCs w:val="24"/>
                <w:highlight w:val="none"/>
                <w:lang w:val="en-US" w:eastAsia="zh-CN"/>
              </w:rPr>
              <w:t>50</w:t>
            </w:r>
            <w:r>
              <w:rPr>
                <w:rFonts w:hint="eastAsia" w:asciiTheme="minorEastAsia" w:hAnsiTheme="minorEastAsia" w:eastAsiaTheme="minorEastAsia" w:cstheme="minorEastAsia"/>
                <w:sz w:val="24"/>
                <w:szCs w:val="24"/>
                <w:highlight w:val="none"/>
              </w:rPr>
              <w:t>分为止。</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61" w:type="dxa"/>
            <w:vMerge w:val="restart"/>
            <w:tcBorders>
              <w:top w:val="single" w:color="auto" w:sz="4" w:space="0"/>
              <w:left w:val="single" w:color="auto" w:sz="4" w:space="0"/>
              <w:right w:val="single" w:color="auto" w:sz="4" w:space="0"/>
            </w:tcBorders>
            <w:noWrap/>
            <w:vAlign w:val="center"/>
          </w:tcPr>
          <w:p>
            <w:pPr>
              <w:widowControl/>
              <w:ind w:left="240" w:hanging="240" w:hanging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w:t>
            </w:r>
            <w:r>
              <w:rPr>
                <w:rFonts w:hint="eastAsia" w:ascii="宋体" w:hAnsi="宋体" w:eastAsia="宋体" w:cs="宋体"/>
                <w:color w:val="auto"/>
                <w:sz w:val="24"/>
                <w:szCs w:val="24"/>
                <w:highlight w:val="none"/>
                <w:lang w:eastAsia="zh-CN"/>
              </w:rPr>
              <w:t>务</w:t>
            </w:r>
          </w:p>
          <w:p>
            <w:pPr>
              <w:widowControl/>
              <w:ind w:left="240" w:hanging="240" w:hanging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投标文件编制规范</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cs="宋体"/>
                <w:kern w:val="0"/>
                <w:sz w:val="24"/>
                <w:szCs w:val="24"/>
              </w:rPr>
            </w:pPr>
            <w:r>
              <w:rPr>
                <w:rFonts w:hint="eastAsia" w:asciiTheme="minorEastAsia" w:hAnsiTheme="minorEastAsia" w:eastAsiaTheme="minorEastAsia" w:cstheme="minorEastAsia"/>
                <w:kern w:val="0"/>
                <w:sz w:val="24"/>
                <w:szCs w:val="24"/>
                <w:highlight w:val="none"/>
              </w:rPr>
              <w:t>投标文件全面响应招标文件要求，编制完整、非活页装订，且有详细目录、连续页码、目录与有关材料装订顺序对应清晰、查阅方便得</w:t>
            </w:r>
            <w:r>
              <w:rPr>
                <w:rFonts w:hint="eastAsia" w:asciiTheme="minorEastAsia" w:hAnsi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分。编排杂乱无章、叙述答非所问、资料残缺不全、资料模糊不清、前后不一致等，每处扣</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分，扣完为止，活页装订不得分。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Cs/>
                <w:color w:val="auto"/>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类似成功案例</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月至今）的类似成功案例进行评分，每提供一份得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分，最高得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分。（提供合同</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中标通知书复印件并加盖公章）</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bCs/>
                <w:color w:val="auto"/>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售后服务服务方案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投标人提供的售后服务方案安排合理，备品备件供应措施合理，售后服务网点分布广，针对性强得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分；方案基本合理，有一定针对性，有售后服务网点得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分；方案简单，售后服务网点较少得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right w:val="single" w:color="auto" w:sz="4" w:space="0"/>
            </w:tcBorders>
            <w:noWrap/>
            <w:vAlign w:val="center"/>
          </w:tcPr>
          <w:p>
            <w:pPr>
              <w:widowControl/>
              <w:jc w:val="left"/>
              <w:rPr>
                <w:rFonts w:hint="eastAsia" w:ascii="宋体" w:hAnsi="宋体" w:eastAsia="宋体" w:cs="宋体"/>
                <w:bCs/>
                <w:color w:val="auto"/>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培训方案</w:t>
            </w:r>
          </w:p>
        </w:tc>
        <w:tc>
          <w:tcPr>
            <w:tcW w:w="6777" w:type="dxa"/>
            <w:tcBorders>
              <w:top w:val="single" w:color="auto" w:sz="4" w:space="0"/>
              <w:left w:val="single" w:color="auto" w:sz="4" w:space="0"/>
              <w:right w:val="single" w:color="auto" w:sz="4" w:space="0"/>
            </w:tcBorders>
            <w:noWrap/>
            <w:vAlign w:val="center"/>
          </w:tcPr>
          <w:p>
            <w:pPr>
              <w:keepNext w:val="0"/>
              <w:keepLines w:val="0"/>
              <w:widowControl/>
              <w:suppressLineNumbers w:val="0"/>
              <w:jc w:val="left"/>
              <w:rPr>
                <w:rFonts w:hint="eastAsia" w:ascii="宋体" w:hAnsi="宋体" w:cs="宋体" w:eastAsiaTheme="minorEastAsia"/>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投标人提供的培训方案</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包括</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专业技术情况</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培训计划等方面</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内容完整、合理、针对性强得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分；方案内容完整、计划可行符合项目需求得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分；方案内容完整基本符合项目需求得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，未提供则不得分。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right w:val="single" w:color="auto" w:sz="4" w:space="0"/>
            </w:tcBorders>
            <w:noWrap/>
            <w:vAlign w:val="center"/>
          </w:tcPr>
          <w:p>
            <w:pPr>
              <w:widowControl/>
              <w:jc w:val="left"/>
              <w:rPr>
                <w:rFonts w:hint="eastAsia" w:ascii="宋体" w:hAnsi="宋体" w:eastAsia="宋体" w:cs="宋体"/>
                <w:bCs/>
                <w:color w:val="auto"/>
                <w:kern w:val="0"/>
                <w:sz w:val="24"/>
                <w:szCs w:val="24"/>
                <w:highlight w:val="none"/>
                <w:lang w:eastAsia="zh-CN"/>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交货期保障计划措施</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为确保交货期而采取的保障措施,计划最完善得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分，计划较详细的得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分，计划较简单的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分，未提供则不得分。</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left w:val="single" w:color="auto" w:sz="4" w:space="0"/>
              <w:right w:val="single" w:color="auto" w:sz="4" w:space="0"/>
            </w:tcBorders>
            <w:noWrap/>
            <w:vAlign w:val="center"/>
          </w:tcPr>
          <w:p>
            <w:pPr>
              <w:widowControl/>
              <w:jc w:val="left"/>
              <w:rPr>
                <w:rFonts w:hint="eastAsia" w:ascii="宋体" w:hAnsi="宋体" w:eastAsia="宋体" w:cs="宋体"/>
                <w:bCs/>
                <w:color w:val="auto"/>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实施</w:t>
            </w:r>
            <w:r>
              <w:rPr>
                <w:rFonts w:hint="eastAsia" w:asciiTheme="minorEastAsia" w:hAnsiTheme="minorEastAsia" w:eastAsiaTheme="minorEastAsia" w:cstheme="minorEastAsia"/>
                <w:kern w:val="0"/>
                <w:sz w:val="24"/>
                <w:szCs w:val="24"/>
                <w:highlight w:val="none"/>
              </w:rPr>
              <w:t>方案</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投标人提供的实施方案（包括安装、调试计划、验收方案）非常完整且合理、可操作性</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基本完整、有可操作性得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简单欠妥、可操作性不高得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1分，未提供则不得分。 </w:t>
            </w:r>
          </w:p>
        </w:tc>
        <w:tc>
          <w:tcPr>
            <w:tcW w:w="81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61" w:type="dxa"/>
            <w:vMerge w:val="continue"/>
            <w:tcBorders>
              <w:left w:val="single" w:color="auto" w:sz="4" w:space="0"/>
              <w:right w:val="single" w:color="auto" w:sz="4" w:space="0"/>
            </w:tcBorders>
            <w:noWrap/>
            <w:vAlign w:val="center"/>
          </w:tcPr>
          <w:p>
            <w:pPr>
              <w:widowControl/>
              <w:jc w:val="left"/>
              <w:rPr>
                <w:rFonts w:hint="eastAsia" w:ascii="宋体" w:hAnsi="宋体" w:eastAsia="宋体" w:cs="宋体"/>
                <w:color w:val="auto"/>
                <w:sz w:val="24"/>
                <w:szCs w:val="24"/>
                <w:highlight w:val="none"/>
              </w:rPr>
            </w:pPr>
          </w:p>
        </w:tc>
        <w:tc>
          <w:tcPr>
            <w:tcW w:w="1413" w:type="dxa"/>
            <w:tcBorders>
              <w:left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其他</w:t>
            </w:r>
          </w:p>
        </w:tc>
        <w:tc>
          <w:tcPr>
            <w:tcW w:w="677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生产企业</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向我国企业转让技术、与我国企业签订消化吸收再创新方案的供应商的进口产品</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2分。</w:t>
            </w:r>
          </w:p>
        </w:tc>
        <w:tc>
          <w:tcPr>
            <w:tcW w:w="811" w:type="dxa"/>
            <w:tcBorders>
              <w:top w:val="single" w:color="auto" w:sz="4" w:space="0"/>
              <w:left w:val="single" w:color="auto" w:sz="4" w:space="0"/>
              <w:right w:val="single" w:color="auto" w:sz="4" w:space="0"/>
            </w:tcBorders>
            <w:noWrap/>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bl>
    <w:p/>
    <w:p>
      <w:r>
        <w:br w:type="page"/>
      </w:r>
    </w:p>
    <w:p>
      <w:pPr>
        <w:pStyle w:val="3"/>
        <w:numPr>
          <w:ilvl w:val="0"/>
          <w:numId w:val="1"/>
        </w:numPr>
        <w:jc w:val="center"/>
        <w:rPr>
          <w:rFonts w:ascii="黑体" w:hAnsi="黑体" w:eastAsia="黑体"/>
        </w:rPr>
      </w:pPr>
      <w:bookmarkStart w:id="58" w:name="_Toc494665943"/>
      <w:bookmarkStart w:id="59" w:name="_Toc494665546"/>
      <w:bookmarkStart w:id="60" w:name="_Toc494745310"/>
      <w:bookmarkStart w:id="61" w:name="_Toc494702263"/>
      <w:bookmarkStart w:id="62" w:name="_Toc495861545"/>
      <w:bookmarkStart w:id="63" w:name="_Toc494721093"/>
      <w:bookmarkStart w:id="64" w:name="_Toc494664993"/>
      <w:r>
        <w:rPr>
          <w:rFonts w:hint="eastAsia" w:ascii="黑体" w:hAnsi="黑体" w:eastAsia="黑体"/>
        </w:rPr>
        <w:t>合同书格式（参考）</w:t>
      </w:r>
      <w:bookmarkEnd w:id="58"/>
      <w:bookmarkEnd w:id="59"/>
      <w:bookmarkEnd w:id="60"/>
      <w:bookmarkEnd w:id="61"/>
      <w:bookmarkEnd w:id="62"/>
      <w:bookmarkEnd w:id="63"/>
      <w:bookmarkEnd w:id="64"/>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6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6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6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6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6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67"/>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68"/>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w:t>
      </w:r>
      <w:bookmarkStart w:id="274" w:name="_GoBack"/>
      <w:bookmarkEnd w:id="274"/>
      <w:r>
        <w:rPr>
          <w:rFonts w:hint="eastAsia" w:ascii="宋体" w:hAnsi="宋体" w:eastAsia="宋体" w:cs="Times New Roman"/>
          <w:sz w:val="24"/>
          <w:szCs w:val="20"/>
          <w:lang w:val="zh-CN"/>
        </w:rPr>
        <w:t>补充通知；</w:t>
      </w:r>
    </w:p>
    <w:p>
      <w:pPr>
        <w:numPr>
          <w:ilvl w:val="0"/>
          <w:numId w:val="6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6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68"/>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66"/>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6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6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66"/>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3"/>
        <w:numPr>
          <w:ilvl w:val="0"/>
          <w:numId w:val="1"/>
        </w:numPr>
        <w:jc w:val="center"/>
        <w:rPr>
          <w:rFonts w:ascii="黑体" w:hAnsi="黑体" w:eastAsia="黑体"/>
        </w:rPr>
      </w:pPr>
      <w:bookmarkStart w:id="65" w:name="_Toc494702264"/>
      <w:bookmarkStart w:id="66" w:name="_Toc495861546"/>
      <w:bookmarkStart w:id="67" w:name="_Toc494664994"/>
      <w:bookmarkStart w:id="68" w:name="_Toc494665547"/>
      <w:bookmarkStart w:id="69" w:name="_Toc494721094"/>
      <w:bookmarkStart w:id="70" w:name="_Toc494745311"/>
      <w:bookmarkStart w:id="71" w:name="_Toc494665944"/>
      <w:r>
        <w:rPr>
          <w:rFonts w:hint="eastAsia" w:ascii="黑体" w:hAnsi="黑体" w:eastAsia="黑体"/>
        </w:rPr>
        <w:t>投标文件格式（参考）</w:t>
      </w:r>
      <w:bookmarkEnd w:id="65"/>
      <w:bookmarkEnd w:id="66"/>
      <w:bookmarkEnd w:id="67"/>
      <w:bookmarkEnd w:id="68"/>
      <w:bookmarkEnd w:id="69"/>
      <w:bookmarkEnd w:id="70"/>
      <w:bookmarkEnd w:id="71"/>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4"/>
        <w:spacing w:before="340" w:after="480" w:line="360" w:lineRule="auto"/>
        <w:jc w:val="center"/>
        <w:rPr>
          <w:rFonts w:cs="Times New Roman" w:asciiTheme="majorEastAsia" w:hAnsiTheme="majorEastAsia"/>
          <w:bCs w:val="0"/>
          <w:sz w:val="44"/>
          <w:szCs w:val="44"/>
          <w:lang w:val="zh-CN"/>
        </w:rPr>
      </w:pPr>
      <w:bookmarkStart w:id="72" w:name="_Toc494721095"/>
      <w:bookmarkStart w:id="73" w:name="_Toc494745312"/>
      <w:bookmarkStart w:id="74" w:name="_Toc494665945"/>
      <w:bookmarkStart w:id="75" w:name="_Toc494664995"/>
      <w:bookmarkStart w:id="76" w:name="_Toc495861547"/>
      <w:bookmarkStart w:id="77" w:name="_Toc494665548"/>
      <w:bookmarkStart w:id="78" w:name="_Toc494702265"/>
      <w:r>
        <w:rPr>
          <w:rFonts w:hint="eastAsia" w:cs="Times New Roman" w:asciiTheme="majorEastAsia" w:hAnsiTheme="majorEastAsia"/>
          <w:bCs w:val="0"/>
          <w:sz w:val="44"/>
          <w:szCs w:val="44"/>
          <w:lang w:val="zh-CN"/>
        </w:rPr>
        <w:t>第一部分 资格证明文件</w:t>
      </w:r>
      <w:bookmarkEnd w:id="72"/>
      <w:bookmarkEnd w:id="73"/>
      <w:bookmarkEnd w:id="74"/>
      <w:bookmarkEnd w:id="75"/>
      <w:bookmarkEnd w:id="76"/>
      <w:bookmarkEnd w:id="77"/>
      <w:bookmarkEnd w:id="78"/>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79" w:name="_Toc494721096"/>
      <w:bookmarkStart w:id="80" w:name="_Toc494665549"/>
      <w:bookmarkStart w:id="81" w:name="_Toc494702266"/>
      <w:bookmarkStart w:id="82" w:name="_Toc494664996"/>
      <w:bookmarkStart w:id="83" w:name="_Toc494665946"/>
      <w:bookmarkStart w:id="84" w:name="_Toc494745313"/>
      <w:r>
        <w:rPr>
          <w:rFonts w:hint="eastAsia" w:ascii="黑体" w:hAnsi="黑体" w:eastAsia="黑体" w:cs="Times New Roman"/>
          <w:b/>
          <w:sz w:val="36"/>
          <w:szCs w:val="36"/>
        </w:rPr>
        <w:t>资格证明文件组成</w:t>
      </w:r>
      <w:bookmarkEnd w:id="79"/>
      <w:bookmarkEnd w:id="80"/>
      <w:bookmarkEnd w:id="81"/>
      <w:bookmarkEnd w:id="82"/>
      <w:bookmarkEnd w:id="83"/>
      <w:bookmarkEnd w:id="84"/>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69"/>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9"/>
        </w:numPr>
        <w:autoSpaceDE w:val="0"/>
        <w:autoSpaceDN w:val="0"/>
        <w:adjustRightInd w:val="0"/>
        <w:spacing w:line="360" w:lineRule="auto"/>
        <w:ind w:left="490" w:hanging="370"/>
        <w:rPr>
          <w:rFonts w:ascii="宋体" w:hAnsi="宋体" w:eastAsia="宋体" w:cs="Times New Roman"/>
          <w:b/>
          <w:color w:val="0D0D0D" w:themeColor="text1" w:themeTint="F2"/>
          <w:kern w:val="0"/>
          <w:sz w:val="24"/>
          <w:szCs w:val="32"/>
          <w14:textFill>
            <w14:solidFill>
              <w14:schemeClr w14:val="tx1">
                <w14:lumMod w14:val="95000"/>
                <w14:lumOff w14:val="5000"/>
              </w14:schemeClr>
            </w14:solidFill>
          </w14:textFill>
        </w:rPr>
      </w:pPr>
      <w:r>
        <w:rPr>
          <w:rFonts w:hint="eastAsia" w:ascii="宋体" w:hAnsi="宋体"/>
          <w:color w:val="0D0D0D" w:themeColor="text1" w:themeTint="F2"/>
          <w:kern w:val="0"/>
          <w:sz w:val="24"/>
          <w:szCs w:val="32"/>
          <w14:textFill>
            <w14:solidFill>
              <w14:schemeClr w14:val="tx1">
                <w14:lumMod w14:val="95000"/>
                <w14:lumOff w14:val="5000"/>
              </w14:schemeClr>
            </w14:solidFill>
          </w14:textFill>
        </w:rPr>
        <w:t>应具备《政府采购法》第二十二条第一款规定的条件，提供下列材料：</w:t>
      </w:r>
    </w:p>
    <w:p>
      <w:pPr>
        <w:pStyle w:val="33"/>
        <w:numPr>
          <w:ilvl w:val="0"/>
          <w:numId w:val="7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3"/>
        <w:numPr>
          <w:ilvl w:val="0"/>
          <w:numId w:val="7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color w:val="000000"/>
          <w:sz w:val="24"/>
          <w:szCs w:val="24"/>
          <w:lang w:val="zh-CN"/>
        </w:rPr>
        <w:t>财务状况报告，依法缴纳税收和社会保障资金的相关材料；</w:t>
      </w:r>
    </w:p>
    <w:p>
      <w:pPr>
        <w:pStyle w:val="33"/>
        <w:numPr>
          <w:ilvl w:val="0"/>
          <w:numId w:val="7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3"/>
        <w:numPr>
          <w:ilvl w:val="0"/>
          <w:numId w:val="7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3"/>
        <w:numPr>
          <w:ilvl w:val="0"/>
          <w:numId w:val="70"/>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69"/>
        </w:numPr>
        <w:autoSpaceDE w:val="0"/>
        <w:autoSpaceDN w:val="0"/>
        <w:adjustRightInd w:val="0"/>
        <w:spacing w:line="360" w:lineRule="auto"/>
        <w:ind w:left="490" w:hanging="370"/>
        <w:rPr>
          <w:rFonts w:ascii="宋体" w:hAnsi="宋体" w:eastAsia="宋体" w:cs="Courier New"/>
          <w:color w:val="0D0D0D"/>
          <w:sz w:val="24"/>
          <w:szCs w:val="24"/>
          <w:highlight w:val="none"/>
        </w:rPr>
      </w:pPr>
      <w:r>
        <w:rPr>
          <w:rFonts w:hint="eastAsia" w:ascii="宋体" w:hAnsi="宋体" w:eastAsia="宋体" w:cs="Courier New"/>
          <w:color w:val="0D0D0D"/>
          <w:sz w:val="24"/>
          <w:szCs w:val="24"/>
          <w:highlight w:val="none"/>
        </w:rPr>
        <w:t>未被“信用中国”网站(www.creditchina.gov.cn)列入失信被执行人、重大税收违法案件当事人名单</w:t>
      </w:r>
      <w:r>
        <w:rPr>
          <w:rFonts w:hint="eastAsia" w:ascii="宋体" w:hAnsi="宋体" w:eastAsia="宋体" w:cs="Times New Roman"/>
          <w:sz w:val="24"/>
          <w:szCs w:val="24"/>
          <w:highlight w:val="none"/>
        </w:rPr>
        <w:t>和“中国政府采购”网站（www.ccgp.gov.cn）政府采购严重违法失信行为记录名单的网页截图</w:t>
      </w:r>
      <w:r>
        <w:rPr>
          <w:rFonts w:hint="eastAsia" w:ascii="宋体" w:hAnsi="宋体" w:eastAsia="宋体" w:cs="Courier New"/>
          <w:color w:val="0D0D0D"/>
          <w:sz w:val="24"/>
          <w:szCs w:val="24"/>
          <w:highlight w:val="none"/>
        </w:rPr>
        <w:t>；</w:t>
      </w:r>
    </w:p>
    <w:p>
      <w:pPr>
        <w:numPr>
          <w:ilvl w:val="0"/>
          <w:numId w:val="6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69"/>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69"/>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85" w:name="_Toc494721097"/>
      <w:bookmarkStart w:id="86" w:name="_Toc494665550"/>
      <w:bookmarkStart w:id="87" w:name="_Toc495861548"/>
      <w:bookmarkStart w:id="88" w:name="_Toc494664997"/>
      <w:bookmarkStart w:id="89" w:name="_Toc494665947"/>
      <w:bookmarkStart w:id="90" w:name="_Toc494702267"/>
      <w:bookmarkStart w:id="91" w:name="_Toc494745314"/>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85"/>
      <w:bookmarkEnd w:id="86"/>
      <w:bookmarkEnd w:id="87"/>
      <w:bookmarkEnd w:id="88"/>
      <w:bookmarkEnd w:id="89"/>
      <w:bookmarkEnd w:id="90"/>
      <w:bookmarkEnd w:id="91"/>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2" w:name="_Toc494745315"/>
      <w:bookmarkStart w:id="93" w:name="_Toc494665948"/>
      <w:bookmarkStart w:id="94" w:name="_Toc494721098"/>
      <w:bookmarkStart w:id="95" w:name="_Toc494702268"/>
      <w:bookmarkStart w:id="96" w:name="_Toc494665551"/>
      <w:bookmarkStart w:id="97" w:name="_Toc494664998"/>
      <w:r>
        <w:rPr>
          <w:rFonts w:hint="eastAsia" w:ascii="黑体" w:hAnsi="黑体" w:eastAsia="黑体" w:cs="Times New Roman"/>
          <w:b/>
          <w:sz w:val="36"/>
          <w:szCs w:val="36"/>
        </w:rPr>
        <w:t>商务文件组成</w:t>
      </w:r>
      <w:bookmarkEnd w:id="92"/>
      <w:bookmarkEnd w:id="93"/>
      <w:bookmarkEnd w:id="94"/>
      <w:bookmarkEnd w:id="95"/>
      <w:bookmarkEnd w:id="96"/>
      <w:bookmarkEnd w:id="97"/>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7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7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71"/>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7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71"/>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98" w:name="_Toc494702269"/>
      <w:bookmarkStart w:id="99" w:name="_Toc494664999"/>
      <w:bookmarkStart w:id="100" w:name="_Toc494665552"/>
      <w:bookmarkStart w:id="101" w:name="_Toc494721099"/>
      <w:bookmarkStart w:id="102" w:name="_Toc495861549"/>
      <w:bookmarkStart w:id="103" w:name="_Toc494745316"/>
      <w:bookmarkStart w:id="104" w:name="_Toc494665949"/>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98"/>
      <w:bookmarkEnd w:id="99"/>
      <w:bookmarkEnd w:id="100"/>
      <w:bookmarkEnd w:id="101"/>
      <w:bookmarkEnd w:id="102"/>
      <w:bookmarkEnd w:id="103"/>
      <w:bookmarkEnd w:id="104"/>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5" w:name="_Toc494665000"/>
      <w:bookmarkStart w:id="106" w:name="_Toc494665553"/>
      <w:bookmarkStart w:id="107" w:name="_Toc494745317"/>
      <w:bookmarkStart w:id="108" w:name="_Toc494721100"/>
      <w:bookmarkStart w:id="109" w:name="_Toc494665950"/>
      <w:bookmarkStart w:id="110" w:name="_Toc49470227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05"/>
      <w:bookmarkEnd w:id="106"/>
      <w:bookmarkEnd w:id="107"/>
      <w:bookmarkEnd w:id="108"/>
      <w:bookmarkEnd w:id="109"/>
      <w:bookmarkEnd w:id="110"/>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7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72"/>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7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7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7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72"/>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11" w:name="_Toc236473298"/>
      <w:bookmarkStart w:id="112" w:name="_Toc494721101"/>
      <w:bookmarkStart w:id="113" w:name="_Toc494665554"/>
      <w:bookmarkStart w:id="114" w:name="_Toc494745318"/>
      <w:bookmarkStart w:id="115" w:name="_Toc494665951"/>
      <w:bookmarkStart w:id="116" w:name="_Toc494665001"/>
      <w:bookmarkStart w:id="117" w:name="_Toc238276242"/>
      <w:bookmarkStart w:id="118" w:name="_Toc495861550"/>
      <w:bookmarkStart w:id="119" w:name="_Toc494702271"/>
      <w:r>
        <w:rPr>
          <w:rFonts w:hint="eastAsia" w:ascii="宋体" w:hAnsi="宋体" w:eastAsia="宋体"/>
        </w:rPr>
        <w:t>投标书</w:t>
      </w:r>
      <w:bookmarkEnd w:id="111"/>
      <w:bookmarkEnd w:id="112"/>
      <w:bookmarkEnd w:id="113"/>
      <w:bookmarkEnd w:id="114"/>
      <w:bookmarkEnd w:id="115"/>
      <w:bookmarkEnd w:id="116"/>
      <w:bookmarkEnd w:id="117"/>
      <w:bookmarkEnd w:id="118"/>
      <w:bookmarkEnd w:id="119"/>
    </w:p>
    <w:p>
      <w:pPr>
        <w:spacing w:line="360" w:lineRule="auto"/>
        <w:rPr>
          <w:b/>
          <w:sz w:val="28"/>
          <w:szCs w:val="28"/>
        </w:rPr>
      </w:pPr>
      <w:r>
        <w:rPr>
          <w:rFonts w:hint="eastAsia"/>
          <w:b/>
          <w:sz w:val="28"/>
          <w:szCs w:val="28"/>
        </w:rPr>
        <w:t>采购</w:t>
      </w:r>
      <w:r>
        <w:rPr>
          <w:rFonts w:hint="eastAsia"/>
          <w:b/>
          <w:color w:val="auto"/>
          <w:sz w:val="28"/>
          <w:szCs w:val="28"/>
        </w:rPr>
        <w:t>人（或采购代理公司）</w:t>
      </w:r>
      <w:r>
        <w:rPr>
          <w:rFonts w:hint="eastAsia"/>
          <w:b/>
          <w:sz w:val="28"/>
          <w:szCs w:val="28"/>
        </w:rPr>
        <w:t>：</w:t>
      </w:r>
    </w:p>
    <w:p>
      <w:pPr>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依据贵方___</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 xml:space="preserve">  _</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（姓名、职务）</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提交</w:t>
      </w:r>
      <w:r>
        <w:rPr>
          <w:rFonts w:hint="eastAsia" w:ascii="宋体" w:hAnsi="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自</w:t>
      </w:r>
      <w:r>
        <w:rPr>
          <w:rFonts w:hint="eastAsia" w:ascii="宋体" w:hAnsi="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20" w:name="_Toc494665555"/>
      <w:bookmarkStart w:id="121" w:name="_Toc495861551"/>
      <w:bookmarkStart w:id="122" w:name="_Toc494665002"/>
      <w:bookmarkStart w:id="123" w:name="_Toc494745319"/>
      <w:bookmarkStart w:id="124" w:name="_Toc494665952"/>
      <w:bookmarkStart w:id="125" w:name="_Toc494721102"/>
      <w:bookmarkStart w:id="126" w:name="_Toc494702272"/>
      <w:r>
        <w:rPr>
          <w:rFonts w:hint="eastAsia" w:ascii="宋体" w:hAnsi="宋体" w:eastAsia="宋体"/>
        </w:rPr>
        <w:t>制造商中小企业声明函</w:t>
      </w:r>
      <w:bookmarkEnd w:id="120"/>
      <w:bookmarkEnd w:id="121"/>
      <w:bookmarkEnd w:id="122"/>
      <w:bookmarkEnd w:id="123"/>
      <w:bookmarkEnd w:id="124"/>
      <w:bookmarkEnd w:id="125"/>
      <w:bookmarkEnd w:id="126"/>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auto"/>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12"/>
        <w:spacing w:line="360" w:lineRule="auto"/>
        <w:ind w:left="960" w:hanging="960" w:hangingChars="400"/>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D0D0D" w:themeColor="text1" w:themeTint="F2"/>
          <w:sz w:val="24"/>
          <w14:textFill>
            <w14:solidFill>
              <w14:schemeClr w14:val="tx1">
                <w14:lumMod w14:val="95000"/>
                <w14:lumOff w14:val="5000"/>
              </w14:schemeClr>
            </w14:solidFill>
          </w14:textFill>
        </w:rPr>
        <w:t>货物为自己制造的，也应按本声明函格式填写。</w:t>
      </w:r>
    </w:p>
    <w:p>
      <w:pPr>
        <w:pStyle w:val="12"/>
        <w:spacing w:line="360" w:lineRule="auto"/>
        <w:ind w:left="958" w:leftChars="342" w:hanging="240" w:hangingChars="10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2、组成联合体的大中型企业和其他自然人、法人或者其他组织，与小型、微型企业之间不得存在投资关系。</w:t>
      </w:r>
    </w:p>
    <w:p>
      <w:pPr>
        <w:pStyle w:val="12"/>
        <w:spacing w:line="360" w:lineRule="auto"/>
        <w:ind w:left="958" w:leftChars="342" w:hanging="240" w:hangingChars="100"/>
        <w:jc w:val="left"/>
        <w:rPr>
          <w:rFonts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27" w:name="_Toc494745320"/>
      <w:bookmarkStart w:id="128" w:name="_Toc456264006"/>
      <w:bookmarkStart w:id="129" w:name="_Toc494702273"/>
      <w:bookmarkStart w:id="130" w:name="_Toc494721103"/>
      <w:bookmarkStart w:id="131" w:name="_Toc495861552"/>
      <w:bookmarkStart w:id="132" w:name="_Toc494665003"/>
      <w:bookmarkStart w:id="133" w:name="_Toc494665953"/>
      <w:bookmarkStart w:id="134" w:name="_Toc494665556"/>
      <w:r>
        <w:rPr>
          <w:rFonts w:hint="eastAsia" w:ascii="宋体" w:hAnsi="宋体" w:eastAsia="宋体"/>
        </w:rPr>
        <w:t>中小企业声明函</w:t>
      </w:r>
      <w:bookmarkEnd w:id="127"/>
      <w:bookmarkEnd w:id="128"/>
      <w:bookmarkEnd w:id="129"/>
      <w:bookmarkEnd w:id="130"/>
      <w:bookmarkEnd w:id="131"/>
      <w:bookmarkEnd w:id="132"/>
      <w:bookmarkEnd w:id="133"/>
      <w:bookmarkEnd w:id="134"/>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auto"/>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2.以联合体方式参与本项目投标的投标人，应由联合体双方签字盖章。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p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br w:type="page"/>
      </w:r>
    </w:p>
    <w:p>
      <w:pPr>
        <w:spacing w:line="240" w:lineRule="atLeast"/>
        <w:ind w:right="-65" w:rightChars="-31"/>
        <w:jc w:val="center"/>
        <w:rPr>
          <w:rFonts w:ascii="宋体" w:hAnsi="宋体" w:eastAsia="宋体" w:cs="Times New Roman"/>
          <w:b/>
          <w:sz w:val="30"/>
          <w:szCs w:val="30"/>
          <w:lang w:val="zh-CN"/>
        </w:rPr>
      </w:pPr>
      <w:bookmarkStart w:id="135" w:name="_Toc476153619"/>
      <w:r>
        <w:rPr>
          <w:rFonts w:hint="eastAsia" w:ascii="宋体" w:hAnsi="宋体" w:eastAsia="宋体" w:cs="Times New Roman"/>
          <w:b/>
          <w:sz w:val="30"/>
          <w:szCs w:val="30"/>
          <w:lang w:val="zh-CN"/>
        </w:rPr>
        <w:t>中小企业划型标准</w:t>
      </w:r>
      <w:bookmarkEnd w:id="135"/>
    </w:p>
    <w:tbl>
      <w:tblPr>
        <w:tblStyle w:val="22"/>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sectPr>
          <w:pgSz w:w="16838" w:h="11906" w:orient="landscape"/>
          <w:pgMar w:top="1191" w:right="1134" w:bottom="1191" w:left="1134" w:header="851" w:footer="851" w:gutter="0"/>
          <w:cols w:space="425" w:num="1"/>
          <w:docGrid w:type="lines" w:linePitch="312" w:charSpace="0"/>
        </w:sectPr>
      </w:pPr>
      <w:r>
        <w:br w:type="page"/>
      </w:r>
    </w:p>
    <w:p>
      <w:pPr>
        <w:pStyle w:val="4"/>
        <w:numPr>
          <w:ilvl w:val="0"/>
          <w:numId w:val="73"/>
        </w:numPr>
        <w:spacing w:before="100" w:beforeAutospacing="1" w:afterLines="50" w:line="360" w:lineRule="auto"/>
        <w:ind w:left="1288" w:hanging="1288"/>
        <w:rPr>
          <w:rFonts w:ascii="宋体" w:hAnsi="宋体" w:eastAsia="宋体"/>
        </w:rPr>
      </w:pPr>
      <w:bookmarkStart w:id="136" w:name="_Toc494665004"/>
      <w:bookmarkStart w:id="137" w:name="_Toc494745321"/>
      <w:bookmarkStart w:id="138" w:name="_Toc494665954"/>
      <w:bookmarkStart w:id="139" w:name="_Toc494721104"/>
      <w:bookmarkStart w:id="140" w:name="_Toc494665557"/>
      <w:bookmarkStart w:id="141" w:name="_Toc494702274"/>
      <w:bookmarkStart w:id="142" w:name="_Toc495861553"/>
      <w:r>
        <w:rPr>
          <w:rFonts w:hint="eastAsia" w:ascii="宋体" w:hAnsi="宋体" w:eastAsia="宋体"/>
        </w:rPr>
        <w:t>残疾人福利性单位声明函</w:t>
      </w:r>
      <w:bookmarkEnd w:id="136"/>
      <w:bookmarkEnd w:id="137"/>
      <w:bookmarkEnd w:id="138"/>
      <w:bookmarkEnd w:id="139"/>
      <w:bookmarkEnd w:id="140"/>
      <w:bookmarkEnd w:id="141"/>
      <w:bookmarkEnd w:id="142"/>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auto"/>
          <w:sz w:val="28"/>
          <w:szCs w:val="28"/>
        </w:rPr>
        <w:t>（或采购代理公司）</w:t>
      </w:r>
      <w:r>
        <w:rPr>
          <w:rFonts w:hint="eastAsia"/>
          <w:b/>
          <w:sz w:val="28"/>
          <w:szCs w:val="28"/>
        </w:rPr>
        <w:t>：</w:t>
      </w:r>
    </w:p>
    <w:p>
      <w:pPr>
        <w:pStyle w:val="12"/>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D0D0D" w:themeColor="text1" w:themeTint="F2"/>
          <w:sz w:val="24"/>
          <w14:textFill>
            <w14:solidFill>
              <w14:schemeClr w14:val="tx1">
                <w14:lumMod w14:val="95000"/>
                <w14:lumOff w14:val="5000"/>
              </w14:schemeClr>
            </w14:solidFill>
          </w14:textFill>
        </w:rPr>
        <w:t>单位为符合条件的残疾人福利性单位（详见“残疾人福利性单位应当满足的条件”）。</w:t>
      </w:r>
    </w:p>
    <w:p>
      <w:pPr>
        <w:pStyle w:val="12"/>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p>
    <w:p>
      <w:pPr>
        <w:pStyle w:val="12"/>
        <w:spacing w:line="360" w:lineRule="auto"/>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color w:val="0D0D0D" w:themeColor="text1" w:themeTint="F2"/>
          <w:sz w:val="24"/>
          <w:szCs w:val="24"/>
          <w14:textFill>
            <w14:solidFill>
              <w14:schemeClr w14:val="tx1">
                <w14:lumMod w14:val="95000"/>
                <w14:lumOff w14:val="5000"/>
              </w14:schemeClr>
            </w14:solidFill>
          </w14:textFill>
        </w:rPr>
        <w:t>说明：</w:t>
      </w:r>
      <w:r>
        <w:rPr>
          <w:rFonts w:hint="eastAsia" w:hAnsi="宋体" w:cs="Corbel"/>
          <w:color w:val="0D0D0D" w:themeColor="text1" w:themeTint="F2"/>
          <w:sz w:val="24"/>
          <w14:textFill>
            <w14:solidFill>
              <w14:schemeClr w14:val="tx1">
                <w14:lumMod w14:val="95000"/>
                <w14:lumOff w14:val="5000"/>
              </w14:schemeClr>
            </w14:solidFill>
          </w14:textFill>
        </w:rPr>
        <w:t>1、投标人所投货物为自己制造的，也应按本声明函格式填写。</w:t>
      </w:r>
    </w:p>
    <w:p>
      <w:pPr>
        <w:pStyle w:val="12"/>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2、组成联合体的大中型企业和其他自然人、法人或者其他组织，与残疾人福利性单位之间不得存在投资关系。</w:t>
      </w:r>
    </w:p>
    <w:p>
      <w:pPr>
        <w:pStyle w:val="12"/>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color w:val="auto"/>
          <w:sz w:val="28"/>
          <w:szCs w:val="28"/>
        </w:rPr>
      </w:pPr>
      <w:r>
        <w:rPr>
          <w:rFonts w:hint="eastAsia"/>
          <w:b/>
          <w:sz w:val="28"/>
          <w:szCs w:val="28"/>
        </w:rPr>
        <w:t>采</w:t>
      </w:r>
      <w:r>
        <w:rPr>
          <w:rFonts w:hint="eastAsia"/>
          <w:b/>
          <w:color w:val="auto"/>
          <w:sz w:val="28"/>
          <w:szCs w:val="28"/>
        </w:rPr>
        <w:t>购人（或采购代理公司）：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部 民政部 中国残疾人联合会关于促进残疾人就业政府采购政策的通知》（财库〔2017〕141号）的规定，本单位为符合条件的残疾人福利性单位</w:t>
      </w:r>
      <w:r>
        <w:rPr>
          <w:rFonts w:hint="eastAsia" w:hAnsi="宋体"/>
          <w:color w:val="0D0D0D" w:themeColor="text1" w:themeTint="F2"/>
          <w:sz w:val="24"/>
          <w14:textFill>
            <w14:solidFill>
              <w14:schemeClr w14:val="tx1">
                <w14:lumMod w14:val="95000"/>
                <w14:lumOff w14:val="5000"/>
              </w14:schemeClr>
            </w14:solidFill>
          </w14:textFill>
        </w:rPr>
        <w:t>（详见“残疾人福利性单位应当满足的条件”）</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D0D0D" w:themeColor="text1" w:themeTint="F2"/>
          <w:sz w:val="24"/>
          <w:szCs w:val="21"/>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2、以联合体方式参与本项目投标的投标人，应由联合体双方签字盖章。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43" w:name="_Toc494665005"/>
      <w:bookmarkStart w:id="144" w:name="_Toc494665955"/>
      <w:bookmarkStart w:id="145" w:name="_Toc495861554"/>
      <w:bookmarkStart w:id="146" w:name="_Toc494577410"/>
      <w:bookmarkStart w:id="147" w:name="_Toc494702275"/>
      <w:bookmarkStart w:id="148" w:name="_Toc494745322"/>
      <w:bookmarkStart w:id="149" w:name="_Toc494721105"/>
      <w:bookmarkStart w:id="150" w:name="_Toc494665558"/>
      <w:r>
        <w:rPr>
          <w:rFonts w:hint="eastAsia" w:ascii="宋体" w:hAnsi="宋体" w:eastAsia="宋体"/>
        </w:rPr>
        <w:t>开标一览表</w:t>
      </w:r>
      <w:bookmarkEnd w:id="143"/>
      <w:bookmarkEnd w:id="144"/>
      <w:bookmarkEnd w:id="145"/>
      <w:bookmarkEnd w:id="146"/>
      <w:bookmarkEnd w:id="147"/>
      <w:bookmarkEnd w:id="148"/>
      <w:bookmarkEnd w:id="149"/>
      <w:bookmarkEnd w:id="150"/>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w:t>
            </w:r>
            <w:r>
              <w:rPr>
                <w:rFonts w:hint="eastAsia" w:ascii="宋体" w:hAnsi="宋体" w:eastAsia="宋体" w:cs="宋体"/>
                <w:kern w:val="0"/>
                <w:sz w:val="24"/>
                <w:szCs w:val="24"/>
                <w:lang w:eastAsia="zh-CN"/>
              </w:rPr>
              <w:t>拾</w:t>
            </w:r>
            <w:r>
              <w:rPr>
                <w:rFonts w:hint="eastAsia" w:ascii="宋体" w:hAnsi="宋体" w:eastAsia="宋体" w:cs="宋体"/>
                <w:kern w:val="0"/>
                <w:sz w:val="24"/>
                <w:szCs w:val="24"/>
              </w:rPr>
              <w:t>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51" w:name="_Toc494745323"/>
      <w:bookmarkStart w:id="152" w:name="_Toc494577411"/>
      <w:bookmarkStart w:id="153" w:name="_Toc494702276"/>
      <w:bookmarkStart w:id="154" w:name="_Toc494665956"/>
      <w:bookmarkStart w:id="155" w:name="_Toc494721106"/>
      <w:bookmarkStart w:id="156" w:name="_Toc495861555"/>
      <w:bookmarkStart w:id="157" w:name="_Toc494665559"/>
      <w:bookmarkStart w:id="158" w:name="_Toc494665006"/>
      <w:r>
        <w:rPr>
          <w:rFonts w:hint="eastAsia" w:ascii="宋体" w:hAnsi="宋体" w:eastAsia="宋体"/>
        </w:rPr>
        <w:t>投标报价明细表</w:t>
      </w:r>
      <w:bookmarkEnd w:id="151"/>
      <w:bookmarkEnd w:id="152"/>
      <w:bookmarkEnd w:id="153"/>
      <w:bookmarkEnd w:id="154"/>
      <w:bookmarkEnd w:id="155"/>
      <w:bookmarkEnd w:id="156"/>
      <w:bookmarkEnd w:id="157"/>
      <w:bookmarkEnd w:id="158"/>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D0D0D" w:themeColor="text1" w:themeTint="F2"/>
                <w:sz w:val="24"/>
                <w14:textFill>
                  <w14:solidFill>
                    <w14:schemeClr w14:val="tx1">
                      <w14:lumMod w14:val="95000"/>
                      <w14:lumOff w14:val="5000"/>
                    </w14:schemeClr>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6"/>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288" w:hanging="1288"/>
        <w:rPr>
          <w:rFonts w:ascii="宋体" w:hAnsi="宋体" w:eastAsia="宋体"/>
          <w:sz w:val="31"/>
          <w:szCs w:val="31"/>
        </w:rPr>
      </w:pPr>
      <w:bookmarkStart w:id="159" w:name="_Toc494577412"/>
      <w:bookmarkStart w:id="160" w:name="_Toc494702277"/>
      <w:bookmarkStart w:id="161" w:name="_Toc494721107"/>
      <w:bookmarkStart w:id="162" w:name="_Toc495861556"/>
      <w:bookmarkStart w:id="163" w:name="_Toc494665957"/>
      <w:bookmarkStart w:id="164" w:name="_Toc494745324"/>
      <w:bookmarkStart w:id="165" w:name="_Toc494665007"/>
      <w:bookmarkStart w:id="166" w:name="_Toc494665560"/>
      <w:r>
        <w:rPr>
          <w:rFonts w:hint="eastAsia" w:ascii="宋体" w:hAnsi="宋体" w:eastAsia="宋体"/>
          <w:sz w:val="31"/>
          <w:szCs w:val="31"/>
        </w:rPr>
        <w:t>小型和微型企业、监狱企业、残疾人福利性单位货物汇总表</w:t>
      </w:r>
      <w:bookmarkEnd w:id="159"/>
      <w:bookmarkEnd w:id="160"/>
      <w:bookmarkEnd w:id="161"/>
      <w:bookmarkEnd w:id="162"/>
      <w:bookmarkEnd w:id="163"/>
      <w:bookmarkEnd w:id="164"/>
      <w:bookmarkEnd w:id="165"/>
      <w:bookmarkEnd w:id="16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67" w:name="_Toc494665561"/>
      <w:bookmarkStart w:id="168" w:name="_Toc494665958"/>
      <w:bookmarkStart w:id="169" w:name="_Toc494702278"/>
      <w:bookmarkStart w:id="170" w:name="_Toc494745325"/>
      <w:bookmarkStart w:id="171" w:name="_Toc494721108"/>
      <w:bookmarkStart w:id="172" w:name="_Toc495861557"/>
      <w:bookmarkStart w:id="173" w:name="_Toc494665008"/>
      <w:r>
        <w:rPr>
          <w:rFonts w:hint="eastAsia" w:ascii="宋体" w:hAnsi="宋体" w:eastAsia="宋体"/>
        </w:rPr>
        <w:t>投标货物（工程或服务）清单</w:t>
      </w:r>
      <w:bookmarkEnd w:id="167"/>
      <w:bookmarkEnd w:id="168"/>
      <w:bookmarkEnd w:id="169"/>
      <w:bookmarkEnd w:id="170"/>
      <w:bookmarkEnd w:id="171"/>
      <w:bookmarkEnd w:id="172"/>
      <w:bookmarkEnd w:id="173"/>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74" w:name="_Toc494721109"/>
      <w:bookmarkStart w:id="175" w:name="_Toc494665562"/>
      <w:bookmarkStart w:id="176" w:name="_Toc494665959"/>
      <w:bookmarkStart w:id="177" w:name="_Toc494665009"/>
      <w:bookmarkStart w:id="178" w:name="_Toc495861558"/>
      <w:bookmarkStart w:id="179" w:name="_Toc494745326"/>
      <w:bookmarkStart w:id="180" w:name="_Toc494702279"/>
      <w:r>
        <w:rPr>
          <w:rFonts w:hint="eastAsia" w:ascii="宋体" w:hAnsi="宋体" w:eastAsia="宋体"/>
        </w:rPr>
        <w:t>交纳投标保证金的银行凭证</w:t>
      </w:r>
      <w:bookmarkEnd w:id="174"/>
      <w:bookmarkEnd w:id="175"/>
      <w:bookmarkEnd w:id="176"/>
      <w:bookmarkEnd w:id="177"/>
      <w:bookmarkEnd w:id="178"/>
      <w:bookmarkEnd w:id="179"/>
      <w:bookmarkEnd w:id="180"/>
    </w:p>
    <w:p>
      <w:pPr>
        <w:spacing w:line="480" w:lineRule="auto"/>
        <w:rPr>
          <w:rFonts w:ascii="宋体" w:hAnsi="宋体" w:cs="Courier New"/>
          <w:b/>
          <w:color w:val="auto"/>
          <w:sz w:val="28"/>
          <w:szCs w:val="28"/>
        </w:rPr>
      </w:pPr>
      <w:r>
        <w:rPr>
          <w:rFonts w:hint="eastAsia"/>
          <w:b/>
          <w:sz w:val="28"/>
          <w:szCs w:val="28"/>
        </w:rPr>
        <w:t>采购人</w:t>
      </w:r>
      <w:r>
        <w:rPr>
          <w:rFonts w:hint="eastAsia"/>
          <w:b/>
          <w:color w:val="auto"/>
          <w:sz w:val="28"/>
          <w:szCs w:val="28"/>
        </w:rPr>
        <w:t>（或代理公司）</w:t>
      </w:r>
      <w:r>
        <w:rPr>
          <w:rFonts w:hint="eastAsia" w:ascii="宋体" w:hAnsi="宋体" w:cs="Courier New"/>
          <w:b/>
          <w:color w:val="auto"/>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22"/>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2"/>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4"/>
        <w:numPr>
          <w:ilvl w:val="0"/>
          <w:numId w:val="73"/>
        </w:numPr>
        <w:spacing w:before="100" w:beforeAutospacing="1" w:afterLines="50" w:line="360" w:lineRule="auto"/>
        <w:ind w:left="1288" w:hanging="1288"/>
        <w:rPr>
          <w:rFonts w:ascii="宋体" w:hAnsi="宋体" w:eastAsia="宋体"/>
        </w:rPr>
      </w:pPr>
      <w:bookmarkStart w:id="181" w:name="_Toc236473303"/>
      <w:bookmarkStart w:id="182" w:name="_Toc238276247"/>
      <w:bookmarkStart w:id="183" w:name="_Toc494665563"/>
      <w:bookmarkStart w:id="184" w:name="_Toc495861559"/>
      <w:bookmarkStart w:id="185" w:name="_Toc494665960"/>
      <w:bookmarkStart w:id="186" w:name="_Toc494721110"/>
      <w:bookmarkStart w:id="187" w:name="_Toc494665010"/>
      <w:bookmarkStart w:id="188" w:name="_Toc494702280"/>
      <w:bookmarkStart w:id="189" w:name="_Toc494745327"/>
      <w:r>
        <w:rPr>
          <w:rFonts w:hint="eastAsia" w:ascii="宋体" w:hAnsi="宋体" w:eastAsia="宋体"/>
        </w:rPr>
        <w:t>法定代表人授权书</w:t>
      </w:r>
      <w:bookmarkEnd w:id="181"/>
      <w:bookmarkEnd w:id="182"/>
      <w:bookmarkEnd w:id="183"/>
      <w:bookmarkEnd w:id="184"/>
      <w:bookmarkEnd w:id="185"/>
      <w:bookmarkEnd w:id="186"/>
      <w:bookmarkEnd w:id="187"/>
      <w:bookmarkEnd w:id="188"/>
      <w:bookmarkEnd w:id="189"/>
    </w:p>
    <w:p>
      <w:pPr>
        <w:spacing w:line="480" w:lineRule="auto"/>
        <w:rPr>
          <w:rFonts w:ascii="宋体" w:hAnsi="宋体" w:eastAsia="宋体" w:cs="Times New Roman"/>
          <w:b/>
          <w:sz w:val="24"/>
          <w:szCs w:val="24"/>
        </w:rPr>
      </w:pPr>
      <w:r>
        <w:rPr>
          <w:rFonts w:hint="eastAsia"/>
          <w:b/>
          <w:color w:val="auto"/>
          <w:sz w:val="28"/>
          <w:szCs w:val="28"/>
        </w:rPr>
        <w:t>采购人（或代理公司）</w:t>
      </w:r>
      <w:r>
        <w:rPr>
          <w:rFonts w:hint="eastAsia" w:ascii="宋体" w:hAnsi="宋体" w:cs="Courier New"/>
          <w:b/>
          <w:color w:val="auto"/>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2"/>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4"/>
        <w:numPr>
          <w:ilvl w:val="0"/>
          <w:numId w:val="73"/>
        </w:numPr>
        <w:spacing w:before="100" w:beforeAutospacing="1" w:afterLines="50" w:line="360" w:lineRule="auto"/>
        <w:ind w:left="1610" w:hanging="1610"/>
        <w:rPr>
          <w:rFonts w:ascii="宋体" w:hAnsi="宋体" w:eastAsia="宋体"/>
        </w:rPr>
      </w:pPr>
      <w:bookmarkStart w:id="190" w:name="_Toc494745328"/>
      <w:bookmarkStart w:id="191" w:name="_Toc494665961"/>
      <w:bookmarkStart w:id="192" w:name="_Toc494721111"/>
      <w:bookmarkStart w:id="193" w:name="_Toc494665564"/>
      <w:bookmarkStart w:id="194" w:name="_Toc494702281"/>
      <w:bookmarkStart w:id="195" w:name="_Toc495861560"/>
      <w:bookmarkStart w:id="196" w:name="_Toc236473304"/>
      <w:bookmarkStart w:id="197" w:name="_Toc494665011"/>
      <w:bookmarkStart w:id="198" w:name="_Toc238276248"/>
      <w:r>
        <w:rPr>
          <w:rFonts w:hint="eastAsia" w:ascii="宋体" w:hAnsi="宋体" w:eastAsia="宋体"/>
        </w:rPr>
        <w:t>投标人的资格声明</w:t>
      </w:r>
      <w:bookmarkEnd w:id="190"/>
      <w:bookmarkEnd w:id="191"/>
      <w:bookmarkEnd w:id="192"/>
      <w:bookmarkEnd w:id="193"/>
      <w:bookmarkEnd w:id="194"/>
      <w:bookmarkEnd w:id="195"/>
      <w:bookmarkEnd w:id="196"/>
      <w:bookmarkEnd w:id="197"/>
      <w:bookmarkEnd w:id="198"/>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2"/>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4"/>
        <w:numPr>
          <w:ilvl w:val="0"/>
          <w:numId w:val="73"/>
        </w:numPr>
        <w:spacing w:before="100" w:beforeAutospacing="1" w:afterLines="50" w:line="360" w:lineRule="auto"/>
        <w:ind w:left="1610" w:hanging="1610"/>
        <w:rPr>
          <w:rFonts w:ascii="宋体" w:hAnsi="宋体" w:eastAsia="宋体"/>
        </w:rPr>
      </w:pPr>
      <w:bookmarkStart w:id="199" w:name="_Toc494665565"/>
      <w:bookmarkStart w:id="200" w:name="_Toc494665962"/>
      <w:bookmarkStart w:id="201" w:name="_Toc494721112"/>
      <w:bookmarkStart w:id="202" w:name="_Toc494745329"/>
      <w:bookmarkStart w:id="203" w:name="_Toc494665012"/>
      <w:bookmarkStart w:id="204" w:name="_Toc494702282"/>
      <w:bookmarkStart w:id="205" w:name="_Toc495861561"/>
      <w:r>
        <w:rPr>
          <w:rFonts w:hint="eastAsia" w:ascii="宋体" w:hAnsi="宋体" w:eastAsia="宋体"/>
        </w:rPr>
        <w:t>项目负责人、技术负责人简历表</w:t>
      </w:r>
      <w:bookmarkEnd w:id="199"/>
      <w:bookmarkEnd w:id="200"/>
      <w:bookmarkEnd w:id="201"/>
      <w:bookmarkEnd w:id="202"/>
      <w:bookmarkEnd w:id="203"/>
      <w:bookmarkEnd w:id="204"/>
      <w:bookmarkEnd w:id="20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06" w:name="_Toc494665566"/>
      <w:bookmarkStart w:id="207" w:name="_Toc495861562"/>
      <w:bookmarkStart w:id="208" w:name="_Toc236473307"/>
      <w:bookmarkStart w:id="209" w:name="_Toc494721113"/>
      <w:bookmarkStart w:id="210" w:name="_Toc494665963"/>
      <w:bookmarkStart w:id="211" w:name="_Toc494745330"/>
      <w:bookmarkStart w:id="212" w:name="_Toc238276251"/>
      <w:bookmarkStart w:id="213" w:name="_Toc494665013"/>
      <w:bookmarkStart w:id="214" w:name="_Toc494702283"/>
      <w:r>
        <w:rPr>
          <w:rFonts w:hint="eastAsia" w:ascii="宋体" w:hAnsi="宋体" w:eastAsia="宋体"/>
        </w:rPr>
        <w:t>项目班子成员情况表</w:t>
      </w:r>
      <w:bookmarkEnd w:id="206"/>
      <w:bookmarkEnd w:id="207"/>
      <w:bookmarkEnd w:id="208"/>
      <w:bookmarkEnd w:id="209"/>
      <w:bookmarkEnd w:id="210"/>
      <w:bookmarkEnd w:id="211"/>
      <w:bookmarkEnd w:id="212"/>
      <w:bookmarkEnd w:id="213"/>
      <w:bookmarkEnd w:id="21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15" w:name="_Toc495861563"/>
      <w:bookmarkStart w:id="216" w:name="_Toc494665567"/>
      <w:bookmarkStart w:id="217" w:name="_Toc494665964"/>
      <w:bookmarkStart w:id="218" w:name="_Toc236473312"/>
      <w:bookmarkStart w:id="219" w:name="_Toc494702284"/>
      <w:bookmarkStart w:id="220" w:name="_Toc238276256"/>
      <w:bookmarkStart w:id="221" w:name="_Toc494745331"/>
      <w:bookmarkStart w:id="222" w:name="_Toc494665014"/>
      <w:bookmarkStart w:id="223" w:name="_Toc494721114"/>
      <w:r>
        <w:rPr>
          <w:rFonts w:hint="eastAsia" w:ascii="宋体" w:hAnsi="宋体" w:eastAsia="宋体"/>
        </w:rPr>
        <w:t>投标人类似项目业绩表</w:t>
      </w:r>
      <w:bookmarkEnd w:id="215"/>
      <w:bookmarkEnd w:id="216"/>
      <w:bookmarkEnd w:id="217"/>
      <w:bookmarkEnd w:id="218"/>
      <w:bookmarkEnd w:id="219"/>
      <w:bookmarkEnd w:id="220"/>
      <w:bookmarkEnd w:id="221"/>
      <w:bookmarkEnd w:id="222"/>
      <w:bookmarkEnd w:id="22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24" w:name="_Toc494745332"/>
      <w:bookmarkStart w:id="225" w:name="_Toc494665965"/>
      <w:bookmarkStart w:id="226" w:name="_Toc494721115"/>
      <w:bookmarkStart w:id="227" w:name="_Toc494702285"/>
      <w:bookmarkStart w:id="228" w:name="_Toc494665015"/>
      <w:bookmarkStart w:id="229" w:name="_Toc495861564"/>
      <w:bookmarkStart w:id="230" w:name="_Toc494665568"/>
      <w:r>
        <w:rPr>
          <w:rFonts w:hint="eastAsia" w:ascii="宋体" w:hAnsi="宋体" w:eastAsia="宋体"/>
        </w:rPr>
        <w:t>符合性审查对照表</w:t>
      </w:r>
      <w:bookmarkEnd w:id="224"/>
      <w:bookmarkEnd w:id="225"/>
      <w:bookmarkEnd w:id="226"/>
      <w:bookmarkEnd w:id="227"/>
      <w:bookmarkEnd w:id="228"/>
      <w:bookmarkEnd w:id="229"/>
      <w:bookmarkEnd w:id="23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31" w:name="_Toc494721116"/>
      <w:bookmarkStart w:id="232" w:name="_Toc494665016"/>
      <w:bookmarkStart w:id="233" w:name="_Toc495861565"/>
      <w:bookmarkStart w:id="234" w:name="_Toc494745333"/>
      <w:bookmarkStart w:id="235" w:name="_Toc494665569"/>
      <w:bookmarkStart w:id="236" w:name="_Toc494702286"/>
      <w:bookmarkStart w:id="237" w:name="_Toc494665966"/>
      <w:r>
        <w:rPr>
          <w:rFonts w:hint="eastAsia" w:ascii="宋体" w:hAnsi="宋体" w:eastAsia="宋体"/>
        </w:rPr>
        <w:t>商务要求响应、偏离说明表</w:t>
      </w:r>
      <w:bookmarkEnd w:id="231"/>
      <w:bookmarkEnd w:id="232"/>
      <w:bookmarkEnd w:id="233"/>
      <w:bookmarkEnd w:id="234"/>
      <w:bookmarkEnd w:id="235"/>
      <w:bookmarkEnd w:id="236"/>
      <w:bookmarkEnd w:id="237"/>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38" w:name="_Toc494721117"/>
      <w:bookmarkStart w:id="239" w:name="_Toc494665967"/>
      <w:bookmarkStart w:id="240" w:name="_Toc494665017"/>
      <w:bookmarkStart w:id="241" w:name="_Toc494665570"/>
      <w:bookmarkStart w:id="242" w:name="_Toc495861566"/>
      <w:bookmarkStart w:id="243" w:name="_Toc494702287"/>
      <w:bookmarkStart w:id="244" w:name="_Toc494745334"/>
      <w:r>
        <w:rPr>
          <w:rFonts w:hint="eastAsia" w:ascii="宋体" w:hAnsi="宋体" w:eastAsia="宋体"/>
        </w:rPr>
        <w:t>商务要求“★”号条款响应、偏离说明表</w:t>
      </w:r>
      <w:bookmarkEnd w:id="238"/>
      <w:bookmarkEnd w:id="239"/>
      <w:bookmarkEnd w:id="240"/>
      <w:bookmarkEnd w:id="241"/>
      <w:bookmarkEnd w:id="242"/>
      <w:bookmarkEnd w:id="243"/>
      <w:bookmarkEnd w:id="244"/>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45" w:name="_Toc494702288"/>
      <w:bookmarkStart w:id="246" w:name="_Toc494721118"/>
      <w:bookmarkStart w:id="247" w:name="_Toc494665571"/>
      <w:bookmarkStart w:id="248" w:name="_Toc494665018"/>
      <w:bookmarkStart w:id="249" w:name="_Toc494745335"/>
      <w:bookmarkStart w:id="250" w:name="_Toc495861567"/>
      <w:bookmarkStart w:id="251" w:name="_Toc494665968"/>
      <w:r>
        <w:rPr>
          <w:rFonts w:hint="eastAsia" w:ascii="宋体" w:hAnsi="宋体" w:eastAsia="宋体"/>
        </w:rPr>
        <w:t>商务评议对照表</w:t>
      </w:r>
      <w:bookmarkEnd w:id="245"/>
      <w:bookmarkEnd w:id="246"/>
      <w:bookmarkEnd w:id="247"/>
      <w:bookmarkEnd w:id="248"/>
      <w:bookmarkEnd w:id="249"/>
      <w:bookmarkEnd w:id="250"/>
      <w:bookmarkEnd w:id="25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7"/>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52" w:name="_Toc494702289"/>
      <w:bookmarkStart w:id="253" w:name="_Toc494665969"/>
      <w:bookmarkStart w:id="254" w:name="_Toc494745336"/>
      <w:bookmarkStart w:id="255" w:name="_Toc494721119"/>
      <w:bookmarkStart w:id="256" w:name="_Toc494665572"/>
      <w:bookmarkStart w:id="257" w:name="_Toc494665019"/>
      <w:bookmarkStart w:id="258" w:name="_Toc495861568"/>
      <w:r>
        <w:rPr>
          <w:rFonts w:hint="eastAsia" w:ascii="宋体" w:hAnsi="宋体" w:eastAsia="宋体"/>
        </w:rPr>
        <w:t>技术、服务要求响应、偏离说明表</w:t>
      </w:r>
      <w:bookmarkEnd w:id="252"/>
      <w:bookmarkEnd w:id="253"/>
      <w:bookmarkEnd w:id="254"/>
      <w:bookmarkEnd w:id="255"/>
      <w:bookmarkEnd w:id="256"/>
      <w:bookmarkEnd w:id="257"/>
      <w:bookmarkEnd w:id="25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59" w:name="_Toc494721120"/>
      <w:bookmarkStart w:id="260" w:name="_Toc494665573"/>
      <w:bookmarkStart w:id="261" w:name="_Toc494745337"/>
      <w:bookmarkStart w:id="262" w:name="_Toc494702290"/>
      <w:bookmarkStart w:id="263" w:name="_Toc494665970"/>
      <w:bookmarkStart w:id="264" w:name="_Toc495861569"/>
      <w:bookmarkStart w:id="265" w:name="_Toc494665020"/>
      <w:bookmarkStart w:id="266" w:name="_Toc329859066"/>
      <w:r>
        <w:rPr>
          <w:rFonts w:hint="eastAsia" w:ascii="宋体" w:hAnsi="宋体" w:eastAsia="宋体"/>
        </w:rPr>
        <w:t>技术、服务要求“★”号条款响应、偏离说明表</w:t>
      </w:r>
      <w:bookmarkEnd w:id="259"/>
      <w:bookmarkEnd w:id="260"/>
      <w:bookmarkEnd w:id="261"/>
      <w:bookmarkEnd w:id="262"/>
      <w:bookmarkEnd w:id="263"/>
      <w:bookmarkEnd w:id="264"/>
      <w:bookmarkEnd w:id="26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66"/>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3"/>
        </w:numPr>
        <w:spacing w:before="100" w:beforeAutospacing="1" w:afterLines="50" w:line="360" w:lineRule="auto"/>
        <w:ind w:left="1610" w:hanging="1610"/>
        <w:rPr>
          <w:rFonts w:ascii="宋体" w:hAnsi="宋体" w:eastAsia="宋体"/>
        </w:rPr>
      </w:pPr>
      <w:bookmarkStart w:id="267" w:name="_Toc495861570"/>
      <w:bookmarkStart w:id="268" w:name="_Toc494721121"/>
      <w:bookmarkStart w:id="269" w:name="_Toc494665574"/>
      <w:bookmarkStart w:id="270" w:name="_Toc494745338"/>
      <w:bookmarkStart w:id="271" w:name="_Toc494665971"/>
      <w:bookmarkStart w:id="272" w:name="_Toc494665021"/>
      <w:bookmarkStart w:id="273" w:name="_Toc494702291"/>
      <w:r>
        <w:rPr>
          <w:rFonts w:hint="eastAsia" w:ascii="宋体" w:hAnsi="宋体" w:eastAsia="宋体"/>
        </w:rPr>
        <w:t>技术、服务评议对照表</w:t>
      </w:r>
      <w:bookmarkEnd w:id="267"/>
      <w:bookmarkEnd w:id="268"/>
      <w:bookmarkEnd w:id="269"/>
      <w:bookmarkEnd w:id="270"/>
      <w:bookmarkEnd w:id="271"/>
      <w:bookmarkEnd w:id="272"/>
      <w:bookmarkEnd w:id="27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2"/>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8"/>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宋体-简">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6"/>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 xml:space="preserve">                                                                    </w:t>
    </w:r>
    <w:r>
      <w:rPr>
        <w:rFonts w:hint="eastAsia" w:asciiTheme="minorEastAsia" w:hAnsiTheme="minorEastAsia"/>
        <w:u w:val="single"/>
        <w:lang w:eastAsia="zh-CN"/>
      </w:rPr>
      <w:t>广州穗科建设管理有限公司</w:t>
    </w:r>
    <w:r>
      <w:rPr>
        <w:rFonts w:hint="eastAsia" w:asciiTheme="minorEastAsia" w:hAnsiTheme="minorEastAsia"/>
      </w:rPr>
      <w:t>制</w:t>
    </w:r>
  </w:p>
  <w:p>
    <w:pPr>
      <w:pStyle w:val="16"/>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33</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tabs>
        <w:tab w:val="clear" w:pos="4153"/>
      </w:tabs>
      <w:jc w:val="left"/>
      <w:rPr>
        <w:rFonts w:hint="eastAsia" w:eastAsiaTheme="minorEastAsia"/>
        <w:b/>
        <w:u w:val="none"/>
        <w:lang w:eastAsia="zh-CN"/>
      </w:rPr>
    </w:pPr>
    <w:r>
      <w:rPr>
        <w:rFonts w:hint="eastAsia"/>
        <w:b/>
        <w:u w:val="none"/>
      </w:rPr>
      <w:t>项目名称</w:t>
    </w:r>
    <w:r>
      <w:rPr>
        <w:rFonts w:hint="eastAsia" w:asciiTheme="minorEastAsia" w:hAnsiTheme="minorEastAsia"/>
        <w:b/>
        <w:u w:val="none"/>
      </w:rPr>
      <w:t>：</w:t>
    </w:r>
    <w:r>
      <w:rPr>
        <w:rFonts w:hint="eastAsia"/>
        <w:b/>
        <w:u w:val="none"/>
        <w:lang w:eastAsia="zh-CN"/>
      </w:rPr>
      <w:t>阳新县人民医院医疗设备采购项目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BF3715"/>
    <w:multiLevelType w:val="singleLevel"/>
    <w:tmpl w:val="97BF3715"/>
    <w:lvl w:ilvl="0" w:tentative="0">
      <w:start w:val="2"/>
      <w:numFmt w:val="chineseCounting"/>
      <w:suff w:val="nothing"/>
      <w:lvlText w:val="（%1）"/>
      <w:lvlJc w:val="left"/>
      <w:rPr>
        <w:rFonts w:hint="eastAsia"/>
      </w:rPr>
    </w:lvl>
  </w:abstractNum>
  <w:abstractNum w:abstractNumId="1">
    <w:nsid w:val="00000018"/>
    <w:multiLevelType w:val="multilevel"/>
    <w:tmpl w:val="0000001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2">
    <w:nsid w:val="00000020"/>
    <w:multiLevelType w:val="multilevel"/>
    <w:tmpl w:val="00000020"/>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21"/>
    <w:multiLevelType w:val="multilevel"/>
    <w:tmpl w:val="00000021"/>
    <w:lvl w:ilvl="0" w:tentative="0">
      <w:start w:val="1"/>
      <w:numFmt w:val="decimal"/>
      <w:lvlText w:val="1.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4">
    <w:nsid w:val="0000002C"/>
    <w:multiLevelType w:val="multilevel"/>
    <w:tmpl w:val="0000002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34"/>
    <w:multiLevelType w:val="multilevel"/>
    <w:tmpl w:val="00000034"/>
    <w:lvl w:ilvl="0" w:tentative="0">
      <w:start w:val="1"/>
      <w:numFmt w:val="decimal"/>
      <w:lvlText w:val="1.3.%1 "/>
      <w:lvlJc w:val="left"/>
      <w:pPr>
        <w:ind w:left="988" w:hanging="420"/>
      </w:pPr>
      <w:rPr>
        <w:rFonts w:hint="default" w:ascii="楷体" w:hAnsi="楷体" w:eastAsia="楷体"/>
        <w:b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00000057"/>
    <w:multiLevelType w:val="multilevel"/>
    <w:tmpl w:val="00000057"/>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58"/>
    <w:multiLevelType w:val="multilevel"/>
    <w:tmpl w:val="00000058"/>
    <w:lvl w:ilvl="0" w:tentative="0">
      <w:start w:val="1"/>
      <w:numFmt w:val="decimal"/>
      <w:lvlText w:val="%1. "/>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5C"/>
    <w:multiLevelType w:val="multilevel"/>
    <w:tmpl w:val="0000005C"/>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0000061"/>
    <w:multiLevelType w:val="multilevel"/>
    <w:tmpl w:val="00000061"/>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0000063"/>
    <w:multiLevelType w:val="multilevel"/>
    <w:tmpl w:val="00000063"/>
    <w:lvl w:ilvl="0" w:tentative="0">
      <w:start w:val="1"/>
      <w:numFmt w:val="decimal"/>
      <w:lvlText w:val="1.4.%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1">
    <w:nsid w:val="0000006E"/>
    <w:multiLevelType w:val="multilevel"/>
    <w:tmpl w:val="0000006E"/>
    <w:lvl w:ilvl="0" w:tentative="0">
      <w:start w:val="1"/>
      <w:numFmt w:val="decimal"/>
      <w:lvlText w:val="%1 "/>
      <w:lvlJc w:val="left"/>
      <w:pPr>
        <w:ind w:left="643" w:hanging="420"/>
      </w:pPr>
      <w:rPr>
        <w:rFonts w:hint="default" w:ascii="楷体" w:hAnsi="楷体" w:eastAsia="楷体"/>
        <w:b w:val="0"/>
        <w:strike w:val="0"/>
        <w:color w:val="auto"/>
      </w:rPr>
    </w:lvl>
    <w:lvl w:ilvl="1" w:tentative="0">
      <w:start w:val="1"/>
      <w:numFmt w:val="decimal"/>
      <w:lvlText w:val="(%2) "/>
      <w:lvlJc w:val="left"/>
      <w:pPr>
        <w:ind w:left="840" w:hanging="420"/>
      </w:pPr>
      <w:rPr>
        <w:rFonts w:hint="eastAsia"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7A"/>
    <w:multiLevelType w:val="multilevel"/>
    <w:tmpl w:val="0000007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7C"/>
    <w:multiLevelType w:val="multilevel"/>
    <w:tmpl w:val="0000007C"/>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86"/>
    <w:multiLevelType w:val="multilevel"/>
    <w:tmpl w:val="00000086"/>
    <w:lvl w:ilvl="0" w:tentative="0">
      <w:start w:val="1"/>
      <w:numFmt w:val="decimal"/>
      <w:lvlText w:val="1.2.%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5">
    <w:nsid w:val="00000088"/>
    <w:multiLevelType w:val="multilevel"/>
    <w:tmpl w:val="0000008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6">
    <w:nsid w:val="00000090"/>
    <w:multiLevelType w:val="multilevel"/>
    <w:tmpl w:val="00000090"/>
    <w:lvl w:ilvl="0" w:tentative="0">
      <w:start w:val="1"/>
      <w:numFmt w:val="decimal"/>
      <w:lvlText w:val="%1. "/>
      <w:lvlJc w:val="left"/>
      <w:pPr>
        <w:ind w:left="1130"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8">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4CC2663"/>
    <w:multiLevelType w:val="multilevel"/>
    <w:tmpl w:val="04CC2663"/>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3">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7">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0">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1">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4">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5">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6">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7">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9">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3">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6">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0">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1">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2">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CD946C1"/>
    <w:multiLevelType w:val="singleLevel"/>
    <w:tmpl w:val="4CD946C1"/>
    <w:lvl w:ilvl="0" w:tentative="0">
      <w:start w:val="2"/>
      <w:numFmt w:val="chineseCounting"/>
      <w:suff w:val="nothing"/>
      <w:lvlText w:val="（%1）"/>
      <w:lvlJc w:val="left"/>
      <w:rPr>
        <w:rFonts w:hint="eastAsia"/>
      </w:rPr>
    </w:lvl>
  </w:abstractNum>
  <w:abstractNum w:abstractNumId="54">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5">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0">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1">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2">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4">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B81BFFD"/>
    <w:multiLevelType w:val="singleLevel"/>
    <w:tmpl w:val="6B81BFFD"/>
    <w:lvl w:ilvl="0" w:tentative="0">
      <w:start w:val="4"/>
      <w:numFmt w:val="chineseCounting"/>
      <w:suff w:val="nothing"/>
      <w:lvlText w:val="%1、"/>
      <w:lvlJc w:val="left"/>
      <w:rPr>
        <w:rFonts w:hint="eastAsia"/>
      </w:rPr>
    </w:lvl>
  </w:abstractNum>
  <w:abstractNum w:abstractNumId="67">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69">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2">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73">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76">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55"/>
  </w:num>
  <w:num w:numId="2">
    <w:abstractNumId w:val="66"/>
  </w:num>
  <w:num w:numId="3">
    <w:abstractNumId w:val="46"/>
  </w:num>
  <w:num w:numId="4">
    <w:abstractNumId w:val="57"/>
  </w:num>
  <w:num w:numId="5">
    <w:abstractNumId w:val="19"/>
  </w:num>
  <w:num w:numId="6">
    <w:abstractNumId w:val="52"/>
  </w:num>
  <w:num w:numId="7">
    <w:abstractNumId w:val="32"/>
  </w:num>
  <w:num w:numId="8">
    <w:abstractNumId w:val="23"/>
  </w:num>
  <w:num w:numId="9">
    <w:abstractNumId w:val="63"/>
  </w:num>
  <w:num w:numId="10">
    <w:abstractNumId w:val="47"/>
  </w:num>
  <w:num w:numId="11">
    <w:abstractNumId w:val="59"/>
  </w:num>
  <w:num w:numId="12">
    <w:abstractNumId w:val="45"/>
  </w:num>
  <w:num w:numId="13">
    <w:abstractNumId w:val="22"/>
  </w:num>
  <w:num w:numId="14">
    <w:abstractNumId w:val="39"/>
  </w:num>
  <w:num w:numId="15">
    <w:abstractNumId w:val="40"/>
  </w:num>
  <w:num w:numId="16">
    <w:abstractNumId w:val="26"/>
  </w:num>
  <w:num w:numId="17">
    <w:abstractNumId w:val="25"/>
  </w:num>
  <w:num w:numId="18">
    <w:abstractNumId w:val="73"/>
  </w:num>
  <w:num w:numId="19">
    <w:abstractNumId w:val="27"/>
  </w:num>
  <w:num w:numId="20">
    <w:abstractNumId w:val="44"/>
  </w:num>
  <w:num w:numId="21">
    <w:abstractNumId w:val="51"/>
  </w:num>
  <w:num w:numId="22">
    <w:abstractNumId w:val="76"/>
  </w:num>
  <w:num w:numId="23">
    <w:abstractNumId w:val="58"/>
  </w:num>
  <w:num w:numId="24">
    <w:abstractNumId w:val="69"/>
  </w:num>
  <w:num w:numId="25">
    <w:abstractNumId w:val="74"/>
  </w:num>
  <w:num w:numId="26">
    <w:abstractNumId w:val="56"/>
  </w:num>
  <w:num w:numId="27">
    <w:abstractNumId w:val="24"/>
  </w:num>
  <w:num w:numId="28">
    <w:abstractNumId w:val="36"/>
  </w:num>
  <w:num w:numId="29">
    <w:abstractNumId w:val="70"/>
  </w:num>
  <w:num w:numId="30">
    <w:abstractNumId w:val="64"/>
  </w:num>
  <w:num w:numId="31">
    <w:abstractNumId w:val="50"/>
  </w:num>
  <w:num w:numId="32">
    <w:abstractNumId w:val="62"/>
  </w:num>
  <w:num w:numId="33">
    <w:abstractNumId w:val="41"/>
  </w:num>
  <w:num w:numId="34">
    <w:abstractNumId w:val="65"/>
  </w:num>
  <w:num w:numId="35">
    <w:abstractNumId w:val="18"/>
  </w:num>
  <w:num w:numId="36">
    <w:abstractNumId w:val="0"/>
  </w:num>
  <w:num w:numId="37">
    <w:abstractNumId w:val="53"/>
  </w:num>
  <w:num w:numId="38">
    <w:abstractNumId w:val="21"/>
  </w:num>
  <w:num w:numId="39">
    <w:abstractNumId w:val="12"/>
  </w:num>
  <w:num w:numId="40">
    <w:abstractNumId w:val="8"/>
  </w:num>
  <w:num w:numId="41">
    <w:abstractNumId w:val="7"/>
  </w:num>
  <w:num w:numId="42">
    <w:abstractNumId w:val="13"/>
  </w:num>
  <w:num w:numId="43">
    <w:abstractNumId w:val="3"/>
  </w:num>
  <w:num w:numId="44">
    <w:abstractNumId w:val="11"/>
  </w:num>
  <w:num w:numId="45">
    <w:abstractNumId w:val="4"/>
  </w:num>
  <w:num w:numId="46">
    <w:abstractNumId w:val="14"/>
  </w:num>
  <w:num w:numId="47">
    <w:abstractNumId w:val="2"/>
  </w:num>
  <w:num w:numId="48">
    <w:abstractNumId w:val="6"/>
  </w:num>
  <w:num w:numId="49">
    <w:abstractNumId w:val="1"/>
  </w:num>
  <w:num w:numId="50">
    <w:abstractNumId w:val="15"/>
  </w:num>
  <w:num w:numId="51">
    <w:abstractNumId w:val="5"/>
  </w:num>
  <w:num w:numId="52">
    <w:abstractNumId w:val="10"/>
  </w:num>
  <w:num w:numId="53">
    <w:abstractNumId w:val="9"/>
  </w:num>
  <w:num w:numId="54">
    <w:abstractNumId w:val="16"/>
  </w:num>
  <w:num w:numId="55">
    <w:abstractNumId w:val="48"/>
  </w:num>
  <w:num w:numId="56">
    <w:abstractNumId w:val="34"/>
  </w:num>
  <w:num w:numId="57">
    <w:abstractNumId w:val="61"/>
  </w:num>
  <w:num w:numId="58">
    <w:abstractNumId w:val="77"/>
  </w:num>
  <w:num w:numId="59">
    <w:abstractNumId w:val="35"/>
  </w:num>
  <w:num w:numId="60">
    <w:abstractNumId w:val="33"/>
  </w:num>
  <w:num w:numId="61">
    <w:abstractNumId w:val="17"/>
  </w:num>
  <w:num w:numId="62">
    <w:abstractNumId w:val="60"/>
    <w:lvlOverride w:ilvl="0">
      <w:startOverride w:val="1"/>
    </w:lvlOverride>
  </w:num>
  <w:num w:numId="63">
    <w:abstractNumId w:val="30"/>
  </w:num>
  <w:num w:numId="64">
    <w:abstractNumId w:val="42"/>
  </w:num>
  <w:num w:numId="65">
    <w:abstractNumId w:val="75"/>
  </w:num>
  <w:num w:numId="66">
    <w:abstractNumId w:val="68"/>
  </w:num>
  <w:num w:numId="67">
    <w:abstractNumId w:val="54"/>
  </w:num>
  <w:num w:numId="68">
    <w:abstractNumId w:val="29"/>
  </w:num>
  <w:num w:numId="69">
    <w:abstractNumId w:val="38"/>
  </w:num>
  <w:num w:numId="70">
    <w:abstractNumId w:val="71"/>
  </w:num>
  <w:num w:numId="71">
    <w:abstractNumId w:val="49"/>
  </w:num>
  <w:num w:numId="72">
    <w:abstractNumId w:val="72"/>
  </w:num>
  <w:num w:numId="73">
    <w:abstractNumId w:val="28"/>
  </w:num>
  <w:num w:numId="74">
    <w:abstractNumId w:val="67"/>
  </w:num>
  <w:num w:numId="75">
    <w:abstractNumId w:val="37"/>
  </w:num>
  <w:num w:numId="76">
    <w:abstractNumId w:val="20"/>
  </w:num>
  <w:num w:numId="77">
    <w:abstractNumId w:val="31"/>
  </w:num>
  <w:num w:numId="7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16562"/>
    <w:rsid w:val="00017BE8"/>
    <w:rsid w:val="00020344"/>
    <w:rsid w:val="00033032"/>
    <w:rsid w:val="00036A8C"/>
    <w:rsid w:val="00040B72"/>
    <w:rsid w:val="00042640"/>
    <w:rsid w:val="00046CAA"/>
    <w:rsid w:val="000658A4"/>
    <w:rsid w:val="00075213"/>
    <w:rsid w:val="0007595C"/>
    <w:rsid w:val="00077E85"/>
    <w:rsid w:val="000812D6"/>
    <w:rsid w:val="00081EFC"/>
    <w:rsid w:val="000855FE"/>
    <w:rsid w:val="0008587E"/>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2CDB"/>
    <w:rsid w:val="00105BC5"/>
    <w:rsid w:val="00107608"/>
    <w:rsid w:val="00122C84"/>
    <w:rsid w:val="00131900"/>
    <w:rsid w:val="00133220"/>
    <w:rsid w:val="001338E8"/>
    <w:rsid w:val="001641C9"/>
    <w:rsid w:val="00173975"/>
    <w:rsid w:val="00177C62"/>
    <w:rsid w:val="00185E9A"/>
    <w:rsid w:val="001A0AB1"/>
    <w:rsid w:val="001A1335"/>
    <w:rsid w:val="001A2B2A"/>
    <w:rsid w:val="001A54E8"/>
    <w:rsid w:val="001B03BB"/>
    <w:rsid w:val="001B38CD"/>
    <w:rsid w:val="001B6C3D"/>
    <w:rsid w:val="001C1A58"/>
    <w:rsid w:val="001C7B23"/>
    <w:rsid w:val="001D2460"/>
    <w:rsid w:val="001D3EE7"/>
    <w:rsid w:val="001D4BF5"/>
    <w:rsid w:val="001D6085"/>
    <w:rsid w:val="001D7598"/>
    <w:rsid w:val="001E157C"/>
    <w:rsid w:val="001E5D69"/>
    <w:rsid w:val="001E7CEA"/>
    <w:rsid w:val="001F002C"/>
    <w:rsid w:val="002002B5"/>
    <w:rsid w:val="00211625"/>
    <w:rsid w:val="00220470"/>
    <w:rsid w:val="00222B0D"/>
    <w:rsid w:val="00223408"/>
    <w:rsid w:val="002234E8"/>
    <w:rsid w:val="002334D5"/>
    <w:rsid w:val="00236772"/>
    <w:rsid w:val="002426EA"/>
    <w:rsid w:val="002446C6"/>
    <w:rsid w:val="0026342E"/>
    <w:rsid w:val="00265D6A"/>
    <w:rsid w:val="00273CC3"/>
    <w:rsid w:val="00276CFD"/>
    <w:rsid w:val="002774C0"/>
    <w:rsid w:val="00277541"/>
    <w:rsid w:val="00282BB3"/>
    <w:rsid w:val="00293211"/>
    <w:rsid w:val="002949F9"/>
    <w:rsid w:val="00295F64"/>
    <w:rsid w:val="002B3F35"/>
    <w:rsid w:val="002B5D25"/>
    <w:rsid w:val="002B7581"/>
    <w:rsid w:val="002C38E4"/>
    <w:rsid w:val="002C7FA6"/>
    <w:rsid w:val="002D07BB"/>
    <w:rsid w:val="002D3BCA"/>
    <w:rsid w:val="002D412B"/>
    <w:rsid w:val="002E09C6"/>
    <w:rsid w:val="002E2DBD"/>
    <w:rsid w:val="002E46D6"/>
    <w:rsid w:val="002F7703"/>
    <w:rsid w:val="003108ED"/>
    <w:rsid w:val="00310B7E"/>
    <w:rsid w:val="00310F98"/>
    <w:rsid w:val="00314B08"/>
    <w:rsid w:val="00315B2B"/>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21F4"/>
    <w:rsid w:val="00383221"/>
    <w:rsid w:val="00386E0E"/>
    <w:rsid w:val="00393E94"/>
    <w:rsid w:val="003A1DED"/>
    <w:rsid w:val="003B0D5A"/>
    <w:rsid w:val="003B4F8E"/>
    <w:rsid w:val="003B718F"/>
    <w:rsid w:val="003B7A0D"/>
    <w:rsid w:val="003C2008"/>
    <w:rsid w:val="003C2241"/>
    <w:rsid w:val="003C6083"/>
    <w:rsid w:val="003D1759"/>
    <w:rsid w:val="003D5E80"/>
    <w:rsid w:val="003E0B35"/>
    <w:rsid w:val="003E5643"/>
    <w:rsid w:val="003F076C"/>
    <w:rsid w:val="003F2B92"/>
    <w:rsid w:val="003F3007"/>
    <w:rsid w:val="0040329E"/>
    <w:rsid w:val="0040679C"/>
    <w:rsid w:val="00406BC4"/>
    <w:rsid w:val="004110F8"/>
    <w:rsid w:val="00413D71"/>
    <w:rsid w:val="00414A80"/>
    <w:rsid w:val="004161BA"/>
    <w:rsid w:val="0042169F"/>
    <w:rsid w:val="004349F3"/>
    <w:rsid w:val="0043503C"/>
    <w:rsid w:val="00436CC2"/>
    <w:rsid w:val="004475F1"/>
    <w:rsid w:val="00451751"/>
    <w:rsid w:val="00456E3D"/>
    <w:rsid w:val="00457308"/>
    <w:rsid w:val="004605F3"/>
    <w:rsid w:val="00461DFE"/>
    <w:rsid w:val="00476E59"/>
    <w:rsid w:val="00484C57"/>
    <w:rsid w:val="004871A8"/>
    <w:rsid w:val="004912A5"/>
    <w:rsid w:val="004A4F81"/>
    <w:rsid w:val="004B0CC2"/>
    <w:rsid w:val="004B118F"/>
    <w:rsid w:val="004B4BED"/>
    <w:rsid w:val="004C1027"/>
    <w:rsid w:val="004C214B"/>
    <w:rsid w:val="004C62F7"/>
    <w:rsid w:val="004C750B"/>
    <w:rsid w:val="004D548F"/>
    <w:rsid w:val="004E00F2"/>
    <w:rsid w:val="004E3B18"/>
    <w:rsid w:val="004E40B4"/>
    <w:rsid w:val="004E48AF"/>
    <w:rsid w:val="004E5A44"/>
    <w:rsid w:val="004F21F4"/>
    <w:rsid w:val="004F3B73"/>
    <w:rsid w:val="004F43AD"/>
    <w:rsid w:val="005025B6"/>
    <w:rsid w:val="00511E96"/>
    <w:rsid w:val="0051229B"/>
    <w:rsid w:val="005130B9"/>
    <w:rsid w:val="0051781B"/>
    <w:rsid w:val="00522A02"/>
    <w:rsid w:val="00522D80"/>
    <w:rsid w:val="00525A93"/>
    <w:rsid w:val="005343DA"/>
    <w:rsid w:val="005437D7"/>
    <w:rsid w:val="005445A9"/>
    <w:rsid w:val="00545B0F"/>
    <w:rsid w:val="00545EDA"/>
    <w:rsid w:val="00552BFE"/>
    <w:rsid w:val="00556850"/>
    <w:rsid w:val="00557511"/>
    <w:rsid w:val="00560FA5"/>
    <w:rsid w:val="00566563"/>
    <w:rsid w:val="00573437"/>
    <w:rsid w:val="0057573F"/>
    <w:rsid w:val="00580FFF"/>
    <w:rsid w:val="005813AA"/>
    <w:rsid w:val="0058585A"/>
    <w:rsid w:val="005865A5"/>
    <w:rsid w:val="005967BA"/>
    <w:rsid w:val="005A58A0"/>
    <w:rsid w:val="005A7923"/>
    <w:rsid w:val="005A7CA7"/>
    <w:rsid w:val="005B12FC"/>
    <w:rsid w:val="005B3EB5"/>
    <w:rsid w:val="005B6D3E"/>
    <w:rsid w:val="005B713A"/>
    <w:rsid w:val="005C31D8"/>
    <w:rsid w:val="005D6632"/>
    <w:rsid w:val="005D6D24"/>
    <w:rsid w:val="005E2664"/>
    <w:rsid w:val="005E3CD4"/>
    <w:rsid w:val="005F1528"/>
    <w:rsid w:val="005F1588"/>
    <w:rsid w:val="005F2449"/>
    <w:rsid w:val="00601112"/>
    <w:rsid w:val="00601990"/>
    <w:rsid w:val="00605C0D"/>
    <w:rsid w:val="00614821"/>
    <w:rsid w:val="00617E7B"/>
    <w:rsid w:val="00623CBB"/>
    <w:rsid w:val="006302AC"/>
    <w:rsid w:val="0063362D"/>
    <w:rsid w:val="00640D44"/>
    <w:rsid w:val="006440C5"/>
    <w:rsid w:val="0064700C"/>
    <w:rsid w:val="00651541"/>
    <w:rsid w:val="00663B35"/>
    <w:rsid w:val="00666B23"/>
    <w:rsid w:val="0067786F"/>
    <w:rsid w:val="00680A96"/>
    <w:rsid w:val="006854AE"/>
    <w:rsid w:val="00690659"/>
    <w:rsid w:val="006A2B14"/>
    <w:rsid w:val="006A6A07"/>
    <w:rsid w:val="006A6C1D"/>
    <w:rsid w:val="006A6C51"/>
    <w:rsid w:val="006A7A3D"/>
    <w:rsid w:val="006C00CA"/>
    <w:rsid w:val="006C0B5F"/>
    <w:rsid w:val="006C0B7B"/>
    <w:rsid w:val="006C1AF1"/>
    <w:rsid w:val="006C6FDC"/>
    <w:rsid w:val="006D1D6E"/>
    <w:rsid w:val="006F0D07"/>
    <w:rsid w:val="00702F6F"/>
    <w:rsid w:val="007135DD"/>
    <w:rsid w:val="007158A1"/>
    <w:rsid w:val="00715E44"/>
    <w:rsid w:val="00722075"/>
    <w:rsid w:val="00723103"/>
    <w:rsid w:val="00725899"/>
    <w:rsid w:val="00725F67"/>
    <w:rsid w:val="007308BA"/>
    <w:rsid w:val="007318D6"/>
    <w:rsid w:val="00731B1A"/>
    <w:rsid w:val="00732E91"/>
    <w:rsid w:val="00737211"/>
    <w:rsid w:val="00742DD3"/>
    <w:rsid w:val="007575FF"/>
    <w:rsid w:val="0077270B"/>
    <w:rsid w:val="00773A2C"/>
    <w:rsid w:val="00774EB7"/>
    <w:rsid w:val="00775A96"/>
    <w:rsid w:val="00780DBA"/>
    <w:rsid w:val="00782541"/>
    <w:rsid w:val="00784AEB"/>
    <w:rsid w:val="00784ED7"/>
    <w:rsid w:val="00786E84"/>
    <w:rsid w:val="00787DAB"/>
    <w:rsid w:val="007A27DA"/>
    <w:rsid w:val="007A2D91"/>
    <w:rsid w:val="007A427D"/>
    <w:rsid w:val="007A4F23"/>
    <w:rsid w:val="007A6B84"/>
    <w:rsid w:val="007A6F5F"/>
    <w:rsid w:val="007C0DA7"/>
    <w:rsid w:val="007C132C"/>
    <w:rsid w:val="007C1D03"/>
    <w:rsid w:val="007D053D"/>
    <w:rsid w:val="007D72CF"/>
    <w:rsid w:val="007E3D3C"/>
    <w:rsid w:val="007F504A"/>
    <w:rsid w:val="007F6863"/>
    <w:rsid w:val="007F6F97"/>
    <w:rsid w:val="00802536"/>
    <w:rsid w:val="00804419"/>
    <w:rsid w:val="0081114F"/>
    <w:rsid w:val="008166C4"/>
    <w:rsid w:val="00816910"/>
    <w:rsid w:val="00820E08"/>
    <w:rsid w:val="00821E3D"/>
    <w:rsid w:val="0082486D"/>
    <w:rsid w:val="00835FDE"/>
    <w:rsid w:val="008456E3"/>
    <w:rsid w:val="00845DF8"/>
    <w:rsid w:val="00852604"/>
    <w:rsid w:val="00863EDD"/>
    <w:rsid w:val="00866FCC"/>
    <w:rsid w:val="00876E59"/>
    <w:rsid w:val="00877211"/>
    <w:rsid w:val="0088586B"/>
    <w:rsid w:val="008879F9"/>
    <w:rsid w:val="008906B3"/>
    <w:rsid w:val="008966BE"/>
    <w:rsid w:val="008A30BA"/>
    <w:rsid w:val="008B4F32"/>
    <w:rsid w:val="008B5601"/>
    <w:rsid w:val="008B6529"/>
    <w:rsid w:val="008C23E3"/>
    <w:rsid w:val="008D35F1"/>
    <w:rsid w:val="008D3612"/>
    <w:rsid w:val="008D5777"/>
    <w:rsid w:val="008D7D59"/>
    <w:rsid w:val="008E2203"/>
    <w:rsid w:val="008F1B81"/>
    <w:rsid w:val="008F3383"/>
    <w:rsid w:val="009020C7"/>
    <w:rsid w:val="0090240A"/>
    <w:rsid w:val="00903A2D"/>
    <w:rsid w:val="00907388"/>
    <w:rsid w:val="00914F14"/>
    <w:rsid w:val="009166FD"/>
    <w:rsid w:val="00930734"/>
    <w:rsid w:val="009334F9"/>
    <w:rsid w:val="00933750"/>
    <w:rsid w:val="00935E05"/>
    <w:rsid w:val="0093723A"/>
    <w:rsid w:val="009402E6"/>
    <w:rsid w:val="00943F98"/>
    <w:rsid w:val="00947542"/>
    <w:rsid w:val="00954A2F"/>
    <w:rsid w:val="00955AC9"/>
    <w:rsid w:val="00956AAC"/>
    <w:rsid w:val="00967D22"/>
    <w:rsid w:val="0097080D"/>
    <w:rsid w:val="009714FE"/>
    <w:rsid w:val="00973398"/>
    <w:rsid w:val="00982AD3"/>
    <w:rsid w:val="009849C0"/>
    <w:rsid w:val="00985CFC"/>
    <w:rsid w:val="0098774A"/>
    <w:rsid w:val="00990D0C"/>
    <w:rsid w:val="009944A9"/>
    <w:rsid w:val="00996DEE"/>
    <w:rsid w:val="009A0C8D"/>
    <w:rsid w:val="009B11C0"/>
    <w:rsid w:val="009B3048"/>
    <w:rsid w:val="009B3424"/>
    <w:rsid w:val="009D33F8"/>
    <w:rsid w:val="009D36C0"/>
    <w:rsid w:val="009E04AF"/>
    <w:rsid w:val="009E2B86"/>
    <w:rsid w:val="009E6D3C"/>
    <w:rsid w:val="009F522E"/>
    <w:rsid w:val="009F5327"/>
    <w:rsid w:val="00A013C3"/>
    <w:rsid w:val="00A0172F"/>
    <w:rsid w:val="00A0485B"/>
    <w:rsid w:val="00A05AF5"/>
    <w:rsid w:val="00A0777C"/>
    <w:rsid w:val="00A116CE"/>
    <w:rsid w:val="00A1585C"/>
    <w:rsid w:val="00A16E33"/>
    <w:rsid w:val="00A27BC0"/>
    <w:rsid w:val="00A30AE5"/>
    <w:rsid w:val="00A30DFD"/>
    <w:rsid w:val="00A33A80"/>
    <w:rsid w:val="00A3568F"/>
    <w:rsid w:val="00A36FFA"/>
    <w:rsid w:val="00A40BC9"/>
    <w:rsid w:val="00A46DEF"/>
    <w:rsid w:val="00A5026C"/>
    <w:rsid w:val="00A51D8F"/>
    <w:rsid w:val="00A52A2B"/>
    <w:rsid w:val="00A62860"/>
    <w:rsid w:val="00A678FB"/>
    <w:rsid w:val="00A813D2"/>
    <w:rsid w:val="00A837A7"/>
    <w:rsid w:val="00A879DB"/>
    <w:rsid w:val="00A92A55"/>
    <w:rsid w:val="00AB2B17"/>
    <w:rsid w:val="00AB3343"/>
    <w:rsid w:val="00AC1ADB"/>
    <w:rsid w:val="00AC399F"/>
    <w:rsid w:val="00AC584B"/>
    <w:rsid w:val="00AD18FC"/>
    <w:rsid w:val="00AD52A3"/>
    <w:rsid w:val="00AD634F"/>
    <w:rsid w:val="00AE02A5"/>
    <w:rsid w:val="00AF18BF"/>
    <w:rsid w:val="00B002B6"/>
    <w:rsid w:val="00B0070A"/>
    <w:rsid w:val="00B161F2"/>
    <w:rsid w:val="00B20FD9"/>
    <w:rsid w:val="00B36D9B"/>
    <w:rsid w:val="00B37F1F"/>
    <w:rsid w:val="00B4413E"/>
    <w:rsid w:val="00B52520"/>
    <w:rsid w:val="00B67CCB"/>
    <w:rsid w:val="00B73233"/>
    <w:rsid w:val="00B73CD6"/>
    <w:rsid w:val="00B80369"/>
    <w:rsid w:val="00B84A3B"/>
    <w:rsid w:val="00B93416"/>
    <w:rsid w:val="00B956F2"/>
    <w:rsid w:val="00B96DE4"/>
    <w:rsid w:val="00BA438A"/>
    <w:rsid w:val="00BA4681"/>
    <w:rsid w:val="00BB5021"/>
    <w:rsid w:val="00BB78CC"/>
    <w:rsid w:val="00BC2268"/>
    <w:rsid w:val="00BC386C"/>
    <w:rsid w:val="00BC3AA1"/>
    <w:rsid w:val="00BC3C81"/>
    <w:rsid w:val="00BC6967"/>
    <w:rsid w:val="00BD0C54"/>
    <w:rsid w:val="00BD2144"/>
    <w:rsid w:val="00BD62C1"/>
    <w:rsid w:val="00BD681B"/>
    <w:rsid w:val="00BE3563"/>
    <w:rsid w:val="00BF5732"/>
    <w:rsid w:val="00C0257A"/>
    <w:rsid w:val="00C040D1"/>
    <w:rsid w:val="00C05B9A"/>
    <w:rsid w:val="00C139A6"/>
    <w:rsid w:val="00C1592E"/>
    <w:rsid w:val="00C37FEA"/>
    <w:rsid w:val="00C4038F"/>
    <w:rsid w:val="00C404FE"/>
    <w:rsid w:val="00C43620"/>
    <w:rsid w:val="00C469B0"/>
    <w:rsid w:val="00C52140"/>
    <w:rsid w:val="00C64D3E"/>
    <w:rsid w:val="00C6612A"/>
    <w:rsid w:val="00C6643D"/>
    <w:rsid w:val="00C6680F"/>
    <w:rsid w:val="00C66ACC"/>
    <w:rsid w:val="00C72415"/>
    <w:rsid w:val="00C77E82"/>
    <w:rsid w:val="00C8468C"/>
    <w:rsid w:val="00C90E37"/>
    <w:rsid w:val="00C9289E"/>
    <w:rsid w:val="00C92F51"/>
    <w:rsid w:val="00CA0EE5"/>
    <w:rsid w:val="00CA0F95"/>
    <w:rsid w:val="00CB10F9"/>
    <w:rsid w:val="00CB3DF8"/>
    <w:rsid w:val="00CB413B"/>
    <w:rsid w:val="00CE2A32"/>
    <w:rsid w:val="00CF76A5"/>
    <w:rsid w:val="00D04EB4"/>
    <w:rsid w:val="00D123DC"/>
    <w:rsid w:val="00D13A17"/>
    <w:rsid w:val="00D14987"/>
    <w:rsid w:val="00D14E3A"/>
    <w:rsid w:val="00D204F5"/>
    <w:rsid w:val="00D32F66"/>
    <w:rsid w:val="00D47930"/>
    <w:rsid w:val="00D5042D"/>
    <w:rsid w:val="00D64AB9"/>
    <w:rsid w:val="00D65037"/>
    <w:rsid w:val="00D7177A"/>
    <w:rsid w:val="00D90694"/>
    <w:rsid w:val="00D9318A"/>
    <w:rsid w:val="00D94CD4"/>
    <w:rsid w:val="00DA4143"/>
    <w:rsid w:val="00DB00B6"/>
    <w:rsid w:val="00DB3C8A"/>
    <w:rsid w:val="00DB45E8"/>
    <w:rsid w:val="00DB6984"/>
    <w:rsid w:val="00DC0D68"/>
    <w:rsid w:val="00DC4938"/>
    <w:rsid w:val="00DD25CD"/>
    <w:rsid w:val="00DD6657"/>
    <w:rsid w:val="00DD69C1"/>
    <w:rsid w:val="00DE4A9E"/>
    <w:rsid w:val="00DF77F1"/>
    <w:rsid w:val="00E02B75"/>
    <w:rsid w:val="00E05B42"/>
    <w:rsid w:val="00E14D3C"/>
    <w:rsid w:val="00E15A50"/>
    <w:rsid w:val="00E22388"/>
    <w:rsid w:val="00E23510"/>
    <w:rsid w:val="00E2369D"/>
    <w:rsid w:val="00E32C21"/>
    <w:rsid w:val="00E34D2C"/>
    <w:rsid w:val="00E3763E"/>
    <w:rsid w:val="00E41743"/>
    <w:rsid w:val="00E45675"/>
    <w:rsid w:val="00E46441"/>
    <w:rsid w:val="00E516C0"/>
    <w:rsid w:val="00E54453"/>
    <w:rsid w:val="00E54FFA"/>
    <w:rsid w:val="00E71EB0"/>
    <w:rsid w:val="00E76F1B"/>
    <w:rsid w:val="00E85CC4"/>
    <w:rsid w:val="00E951DF"/>
    <w:rsid w:val="00E971BC"/>
    <w:rsid w:val="00EA0C6D"/>
    <w:rsid w:val="00EB1E3A"/>
    <w:rsid w:val="00EB4033"/>
    <w:rsid w:val="00EB482A"/>
    <w:rsid w:val="00ED0545"/>
    <w:rsid w:val="00ED53B7"/>
    <w:rsid w:val="00EE3C83"/>
    <w:rsid w:val="00EE715C"/>
    <w:rsid w:val="00EF7BF0"/>
    <w:rsid w:val="00F04B4C"/>
    <w:rsid w:val="00F05FC4"/>
    <w:rsid w:val="00F152FA"/>
    <w:rsid w:val="00F17360"/>
    <w:rsid w:val="00F22E40"/>
    <w:rsid w:val="00F242DA"/>
    <w:rsid w:val="00F24BF3"/>
    <w:rsid w:val="00F25A4D"/>
    <w:rsid w:val="00F30B5D"/>
    <w:rsid w:val="00F36746"/>
    <w:rsid w:val="00F403DB"/>
    <w:rsid w:val="00F42684"/>
    <w:rsid w:val="00F47226"/>
    <w:rsid w:val="00F54AE6"/>
    <w:rsid w:val="00F5567D"/>
    <w:rsid w:val="00F56CC3"/>
    <w:rsid w:val="00F63420"/>
    <w:rsid w:val="00F71D83"/>
    <w:rsid w:val="00F7567B"/>
    <w:rsid w:val="00F95486"/>
    <w:rsid w:val="00FB2B31"/>
    <w:rsid w:val="00FC2E73"/>
    <w:rsid w:val="00FC492E"/>
    <w:rsid w:val="00FD11DF"/>
    <w:rsid w:val="00FD30DA"/>
    <w:rsid w:val="00FD44A8"/>
    <w:rsid w:val="00FE2024"/>
    <w:rsid w:val="00FE51C1"/>
    <w:rsid w:val="00FE74BE"/>
    <w:rsid w:val="00FF0213"/>
    <w:rsid w:val="00FF328A"/>
    <w:rsid w:val="00FF37FD"/>
    <w:rsid w:val="00FF3C6D"/>
    <w:rsid w:val="00FF4FBA"/>
    <w:rsid w:val="00FF6E00"/>
    <w:rsid w:val="03A73CF4"/>
    <w:rsid w:val="04753635"/>
    <w:rsid w:val="05321762"/>
    <w:rsid w:val="06E775AC"/>
    <w:rsid w:val="0A6722A5"/>
    <w:rsid w:val="0D6F5C11"/>
    <w:rsid w:val="0EF80799"/>
    <w:rsid w:val="0F094BCA"/>
    <w:rsid w:val="0F1858A5"/>
    <w:rsid w:val="10E27459"/>
    <w:rsid w:val="10E55AF8"/>
    <w:rsid w:val="11923040"/>
    <w:rsid w:val="11957B06"/>
    <w:rsid w:val="12CD1E3A"/>
    <w:rsid w:val="14A94CF4"/>
    <w:rsid w:val="159A33B0"/>
    <w:rsid w:val="167F0D15"/>
    <w:rsid w:val="196041C6"/>
    <w:rsid w:val="1CBF58E5"/>
    <w:rsid w:val="209A783A"/>
    <w:rsid w:val="21301669"/>
    <w:rsid w:val="22AD30BD"/>
    <w:rsid w:val="22E72707"/>
    <w:rsid w:val="236061AB"/>
    <w:rsid w:val="23FD7B71"/>
    <w:rsid w:val="24F63638"/>
    <w:rsid w:val="26F855C1"/>
    <w:rsid w:val="288276C8"/>
    <w:rsid w:val="28EC18A1"/>
    <w:rsid w:val="295E2013"/>
    <w:rsid w:val="2965017D"/>
    <w:rsid w:val="2C177BE4"/>
    <w:rsid w:val="2C312DD5"/>
    <w:rsid w:val="2DC5093D"/>
    <w:rsid w:val="304A6516"/>
    <w:rsid w:val="30E54079"/>
    <w:rsid w:val="31614F93"/>
    <w:rsid w:val="31782EB3"/>
    <w:rsid w:val="31FC5DB5"/>
    <w:rsid w:val="34D428EB"/>
    <w:rsid w:val="350B2553"/>
    <w:rsid w:val="35697647"/>
    <w:rsid w:val="365A1F4A"/>
    <w:rsid w:val="3D955D30"/>
    <w:rsid w:val="3DC650B7"/>
    <w:rsid w:val="3E2063AB"/>
    <w:rsid w:val="3F8E7518"/>
    <w:rsid w:val="404F533F"/>
    <w:rsid w:val="41C32F69"/>
    <w:rsid w:val="4213428A"/>
    <w:rsid w:val="425732F6"/>
    <w:rsid w:val="44950120"/>
    <w:rsid w:val="45805AFC"/>
    <w:rsid w:val="493A18C5"/>
    <w:rsid w:val="4B3F4111"/>
    <w:rsid w:val="4C2D33F0"/>
    <w:rsid w:val="4CEB4BB9"/>
    <w:rsid w:val="4F10670E"/>
    <w:rsid w:val="517A21E4"/>
    <w:rsid w:val="51C24008"/>
    <w:rsid w:val="527F3B83"/>
    <w:rsid w:val="534C13AF"/>
    <w:rsid w:val="5F01496B"/>
    <w:rsid w:val="615B2B13"/>
    <w:rsid w:val="61FC1355"/>
    <w:rsid w:val="625D4F5F"/>
    <w:rsid w:val="628C48D0"/>
    <w:rsid w:val="63BF1EF6"/>
    <w:rsid w:val="668C644E"/>
    <w:rsid w:val="677E0586"/>
    <w:rsid w:val="68713C99"/>
    <w:rsid w:val="69222A26"/>
    <w:rsid w:val="6D001766"/>
    <w:rsid w:val="6D1E19C3"/>
    <w:rsid w:val="6DEA08AB"/>
    <w:rsid w:val="740F4333"/>
    <w:rsid w:val="794842A6"/>
    <w:rsid w:val="7BC0350F"/>
    <w:rsid w:val="7C202697"/>
    <w:rsid w:val="7C2D6501"/>
    <w:rsid w:val="7D883202"/>
    <w:rsid w:val="7E4C1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spacing w:line="440" w:lineRule="exact"/>
      <w:jc w:val="left"/>
    </w:pPr>
    <w:rPr>
      <w:rFonts w:eastAsia="黑体"/>
      <w:b/>
      <w:kern w:val="0"/>
      <w:sz w:val="28"/>
    </w:rPr>
  </w:style>
  <w:style w:type="paragraph" w:styleId="6">
    <w:name w:val="Normal Indent"/>
    <w:basedOn w:val="1"/>
    <w:link w:val="42"/>
    <w:qFormat/>
    <w:uiPriority w:val="0"/>
    <w:pPr>
      <w:ind w:firstLine="420"/>
    </w:pPr>
  </w:style>
  <w:style w:type="paragraph" w:styleId="7">
    <w:name w:val="annotation text"/>
    <w:basedOn w:val="1"/>
    <w:link w:val="36"/>
    <w:unhideWhenUsed/>
    <w:qFormat/>
    <w:uiPriority w:val="99"/>
    <w:pPr>
      <w:jc w:val="left"/>
    </w:pPr>
  </w:style>
  <w:style w:type="paragraph" w:styleId="8">
    <w:name w:val="Body Text"/>
    <w:basedOn w:val="1"/>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styleId="9">
    <w:name w:val="Body Text Indent"/>
    <w:basedOn w:val="1"/>
    <w:next w:val="10"/>
    <w:semiHidden/>
    <w:qFormat/>
    <w:uiPriority w:val="0"/>
    <w:pPr>
      <w:spacing w:line="360" w:lineRule="auto"/>
      <w:ind w:left="720" w:hanging="720" w:hangingChars="300"/>
    </w:pPr>
    <w:rPr>
      <w:sz w:val="24"/>
      <w:szCs w:val="20"/>
    </w:rPr>
  </w:style>
  <w:style w:type="paragraph" w:styleId="10">
    <w:name w:val="Body Text First Indent 2"/>
    <w:basedOn w:val="9"/>
    <w:next w:val="1"/>
    <w:qFormat/>
    <w:uiPriority w:val="0"/>
    <w:pPr>
      <w:widowControl w:val="0"/>
      <w:spacing w:after="120"/>
      <w:ind w:left="420" w:leftChars="200" w:firstLine="420" w:firstLineChars="200"/>
    </w:pPr>
    <w:rPr>
      <w:color w:val="auto"/>
      <w:sz w:val="21"/>
      <w:szCs w:val="24"/>
    </w:rPr>
  </w:style>
  <w:style w:type="paragraph" w:styleId="11">
    <w:name w:val="toc 3"/>
    <w:basedOn w:val="1"/>
    <w:next w:val="1"/>
    <w:unhideWhenUsed/>
    <w:qFormat/>
    <w:uiPriority w:val="39"/>
    <w:pPr>
      <w:widowControl/>
      <w:spacing w:after="100" w:line="276" w:lineRule="auto"/>
      <w:ind w:left="440"/>
      <w:jc w:val="left"/>
    </w:pPr>
    <w:rPr>
      <w:kern w:val="0"/>
      <w:sz w:val="22"/>
    </w:rPr>
  </w:style>
  <w:style w:type="paragraph" w:styleId="12">
    <w:name w:val="Plain Text"/>
    <w:basedOn w:val="1"/>
    <w:link w:val="39"/>
    <w:qFormat/>
    <w:uiPriority w:val="0"/>
    <w:rPr>
      <w:rFonts w:ascii="宋体" w:hAnsi="Courier New" w:cs="Courier New"/>
      <w:szCs w:val="21"/>
    </w:rPr>
  </w:style>
  <w:style w:type="paragraph" w:styleId="13">
    <w:name w:val="Date"/>
    <w:basedOn w:val="1"/>
    <w:next w:val="1"/>
    <w:qFormat/>
    <w:uiPriority w:val="0"/>
    <w:pPr>
      <w:ind w:left="100" w:leftChars="2500"/>
    </w:pPr>
    <w:rPr>
      <w:rFonts w:ascii="楷体_GB2312" w:eastAsia="楷体_GB2312"/>
      <w:b/>
      <w:bCs/>
      <w:sz w:val="32"/>
    </w:rPr>
  </w:style>
  <w:style w:type="paragraph" w:styleId="14">
    <w:name w:val="endnote text"/>
    <w:basedOn w:val="1"/>
    <w:link w:val="38"/>
    <w:unhideWhenUsed/>
    <w:qFormat/>
    <w:uiPriority w:val="99"/>
    <w:pPr>
      <w:snapToGrid w:val="0"/>
      <w:jc w:val="left"/>
    </w:pPr>
  </w:style>
  <w:style w:type="paragraph" w:styleId="15">
    <w:name w:val="Balloon Text"/>
    <w:basedOn w:val="1"/>
    <w:link w:val="32"/>
    <w:unhideWhenUsed/>
    <w:qFormat/>
    <w:uiPriority w:val="99"/>
    <w:rPr>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2"/>
    <w:basedOn w:val="19"/>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9">
    <w:name w:val="引用1"/>
    <w:basedOn w:val="1"/>
    <w:next w:val="1"/>
    <w:link w:val="41"/>
    <w:qFormat/>
    <w:uiPriority w:val="29"/>
    <w:rPr>
      <w:i/>
      <w:iCs/>
      <w:color w:val="000000" w:themeColor="text1"/>
      <w14:textFill>
        <w14:solidFill>
          <w14:schemeClr w14:val="tx1"/>
        </w14:solidFill>
      </w14:textFill>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annotation subject"/>
    <w:basedOn w:val="7"/>
    <w:next w:val="7"/>
    <w:link w:val="43"/>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endnote reference"/>
    <w:basedOn w:val="24"/>
    <w:unhideWhenUsed/>
    <w:qFormat/>
    <w:uiPriority w:val="99"/>
    <w:rPr>
      <w:vertAlign w:val="superscript"/>
    </w:rPr>
  </w:style>
  <w:style w:type="character" w:styleId="27">
    <w:name w:val="Hyperlink"/>
    <w:basedOn w:val="24"/>
    <w:unhideWhenUsed/>
    <w:qFormat/>
    <w:uiPriority w:val="99"/>
    <w:rPr>
      <w:color w:val="0000FF" w:themeColor="hyperlink"/>
      <w:u w:val="single"/>
      <w14:textFill>
        <w14:solidFill>
          <w14:schemeClr w14:val="hlink"/>
        </w14:solidFill>
      </w14:textFill>
    </w:rPr>
  </w:style>
  <w:style w:type="character" w:styleId="28">
    <w:name w:val="annotation reference"/>
    <w:qFormat/>
    <w:uiPriority w:val="99"/>
    <w:rPr>
      <w:sz w:val="21"/>
    </w:rPr>
  </w:style>
  <w:style w:type="paragraph" w:customStyle="1" w:styleId="29">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30">
    <w:name w:val="页眉 Char"/>
    <w:basedOn w:val="24"/>
    <w:link w:val="17"/>
    <w:qFormat/>
    <w:uiPriority w:val="99"/>
    <w:rPr>
      <w:sz w:val="18"/>
      <w:szCs w:val="18"/>
    </w:rPr>
  </w:style>
  <w:style w:type="character" w:customStyle="1" w:styleId="31">
    <w:name w:val="页脚 Char"/>
    <w:basedOn w:val="24"/>
    <w:link w:val="16"/>
    <w:qFormat/>
    <w:uiPriority w:val="99"/>
    <w:rPr>
      <w:sz w:val="18"/>
      <w:szCs w:val="18"/>
    </w:rPr>
  </w:style>
  <w:style w:type="character" w:customStyle="1" w:styleId="32">
    <w:name w:val="批注框文本 Char"/>
    <w:basedOn w:val="24"/>
    <w:link w:val="15"/>
    <w:semiHidden/>
    <w:qFormat/>
    <w:uiPriority w:val="99"/>
    <w:rPr>
      <w:sz w:val="18"/>
      <w:szCs w:val="18"/>
    </w:rPr>
  </w:style>
  <w:style w:type="paragraph" w:customStyle="1" w:styleId="33">
    <w:name w:val="列出段落1"/>
    <w:basedOn w:val="1"/>
    <w:qFormat/>
    <w:uiPriority w:val="34"/>
    <w:pPr>
      <w:ind w:firstLine="420" w:firstLineChars="200"/>
    </w:pPr>
  </w:style>
  <w:style w:type="character" w:customStyle="1" w:styleId="34">
    <w:name w:val="标题 1 Char"/>
    <w:basedOn w:val="24"/>
    <w:link w:val="3"/>
    <w:qFormat/>
    <w:uiPriority w:val="9"/>
    <w:rPr>
      <w:b/>
      <w:bCs/>
      <w:kern w:val="44"/>
      <w:sz w:val="44"/>
      <w:szCs w:val="44"/>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文字 Char"/>
    <w:basedOn w:val="24"/>
    <w:link w:val="7"/>
    <w:qFormat/>
    <w:uiPriority w:val="99"/>
  </w:style>
  <w:style w:type="character" w:customStyle="1" w:styleId="37">
    <w:name w:val="标题 2 Char"/>
    <w:basedOn w:val="24"/>
    <w:link w:val="4"/>
    <w:qFormat/>
    <w:uiPriority w:val="9"/>
    <w:rPr>
      <w:rFonts w:asciiTheme="majorHAnsi" w:hAnsiTheme="majorHAnsi" w:eastAsiaTheme="majorEastAsia" w:cstheme="majorBidi"/>
      <w:b/>
      <w:bCs/>
      <w:sz w:val="32"/>
      <w:szCs w:val="32"/>
    </w:rPr>
  </w:style>
  <w:style w:type="character" w:customStyle="1" w:styleId="38">
    <w:name w:val="尾注文本 Char"/>
    <w:basedOn w:val="24"/>
    <w:link w:val="14"/>
    <w:semiHidden/>
    <w:qFormat/>
    <w:uiPriority w:val="99"/>
  </w:style>
  <w:style w:type="character" w:customStyle="1" w:styleId="39">
    <w:name w:val="纯文本 Char"/>
    <w:link w:val="12"/>
    <w:qFormat/>
    <w:uiPriority w:val="0"/>
    <w:rPr>
      <w:rFonts w:ascii="宋体" w:hAnsi="Courier New" w:cs="Courier New"/>
      <w:szCs w:val="21"/>
    </w:rPr>
  </w:style>
  <w:style w:type="character" w:customStyle="1" w:styleId="40">
    <w:name w:val="纯文本 Char1"/>
    <w:basedOn w:val="24"/>
    <w:semiHidden/>
    <w:qFormat/>
    <w:uiPriority w:val="99"/>
    <w:rPr>
      <w:rFonts w:ascii="宋体" w:hAnsi="Courier New" w:eastAsia="宋体" w:cs="Courier New"/>
      <w:szCs w:val="21"/>
    </w:rPr>
  </w:style>
  <w:style w:type="character" w:customStyle="1" w:styleId="41">
    <w:name w:val="引用 Char"/>
    <w:basedOn w:val="24"/>
    <w:link w:val="19"/>
    <w:qFormat/>
    <w:uiPriority w:val="29"/>
    <w:rPr>
      <w:i/>
      <w:iCs/>
      <w:color w:val="000000" w:themeColor="text1"/>
      <w14:textFill>
        <w14:solidFill>
          <w14:schemeClr w14:val="tx1"/>
        </w14:solidFill>
      </w14:textFill>
    </w:rPr>
  </w:style>
  <w:style w:type="character" w:customStyle="1" w:styleId="42">
    <w:name w:val="正文缩进 Char"/>
    <w:link w:val="6"/>
    <w:qFormat/>
    <w:uiPriority w:val="0"/>
  </w:style>
  <w:style w:type="character" w:customStyle="1" w:styleId="43">
    <w:name w:val="批注主题 Char"/>
    <w:basedOn w:val="36"/>
    <w:link w:val="21"/>
    <w:semiHidden/>
    <w:qFormat/>
    <w:uiPriority w:val="99"/>
    <w:rPr>
      <w:b/>
      <w:bCs/>
    </w:rPr>
  </w:style>
  <w:style w:type="paragraph" w:styleId="44">
    <w:name w:val="List Paragraph"/>
    <w:basedOn w:val="1"/>
    <w:unhideWhenUsed/>
    <w:qFormat/>
    <w:uiPriority w:val="99"/>
    <w:pPr>
      <w:ind w:firstLine="420" w:firstLineChars="200"/>
    </w:pPr>
  </w:style>
  <w:style w:type="paragraph" w:customStyle="1" w:styleId="45">
    <w:name w:val="列出段落3"/>
    <w:basedOn w:val="1"/>
    <w:qFormat/>
    <w:uiPriority w:val="0"/>
    <w:pPr>
      <w:ind w:firstLine="420" w:firstLineChars="200"/>
    </w:pPr>
  </w:style>
  <w:style w:type="paragraph" w:customStyle="1" w:styleId="46">
    <w:name w:val="表头黑体三号加粗"/>
    <w:basedOn w:val="1"/>
    <w:qFormat/>
    <w:uiPriority w:val="0"/>
    <w:pPr>
      <w:jc w:val="center"/>
    </w:pPr>
    <w:rPr>
      <w:rFonts w:ascii="黑体" w:hAnsi="黑体" w:eastAsia="黑体"/>
      <w:sz w:val="32"/>
      <w:szCs w:val="32"/>
    </w:rPr>
  </w:style>
  <w:style w:type="character" w:customStyle="1" w:styleId="47">
    <w:name w:val="font21"/>
    <w:basedOn w:val="24"/>
    <w:qFormat/>
    <w:uiPriority w:val="0"/>
    <w:rPr>
      <w:rFonts w:hint="eastAsia" w:ascii="宋体" w:hAnsi="宋体" w:eastAsia="宋体" w:cs="宋体"/>
      <w:color w:val="000000"/>
      <w:sz w:val="20"/>
      <w:szCs w:val="20"/>
      <w:u w:val="none"/>
    </w:rPr>
  </w:style>
  <w:style w:type="character" w:customStyle="1" w:styleId="48">
    <w:name w:val="font01"/>
    <w:basedOn w:val="24"/>
    <w:qFormat/>
    <w:uiPriority w:val="0"/>
    <w:rPr>
      <w:rFonts w:hint="eastAsia" w:ascii="宋体" w:hAnsi="宋体" w:eastAsia="宋体" w:cs="宋体"/>
      <w:color w:val="000000"/>
      <w:sz w:val="20"/>
      <w:szCs w:val="20"/>
      <w:u w:val="none"/>
      <w:vertAlign w:val="superscript"/>
    </w:rPr>
  </w:style>
  <w:style w:type="character" w:customStyle="1" w:styleId="49">
    <w:name w:val="font41"/>
    <w:basedOn w:val="24"/>
    <w:qFormat/>
    <w:uiPriority w:val="0"/>
    <w:rPr>
      <w:rFonts w:hint="eastAsia" w:ascii="宋体" w:hAnsi="宋体" w:eastAsia="宋体" w:cs="宋体"/>
      <w:color w:val="000000"/>
      <w:sz w:val="20"/>
      <w:szCs w:val="20"/>
      <w:u w:val="none"/>
    </w:rPr>
  </w:style>
  <w:style w:type="character" w:customStyle="1" w:styleId="50">
    <w:name w:val="UserStyle_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E78A5-AC87-4CD3-97F1-243E8649722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6694</Words>
  <Characters>38162</Characters>
  <Lines>318</Lines>
  <Paragraphs>89</Paragraphs>
  <TotalTime>5</TotalTime>
  <ScaleCrop>false</ScaleCrop>
  <LinksUpToDate>false</LinksUpToDate>
  <CharactersWithSpaces>44767</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2020-08-05T08:29:00Z</dcterms:created>
  <dc:creator>502-2</dc:creator>
  <cp:lastModifiedBy>阿伍珂</cp:lastModifiedBy>
  <cp:lastPrinted>2020-12-03T03:29:00Z</cp:lastPrinted>
  <dcterms:modified xsi:type="dcterms:W3CDTF">2020-12-04T08:29:38Z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