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2"/>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sz w:val="32"/>
          <w:szCs w:val="32"/>
          <w:u w:val="single"/>
          <w:lang w:val="en-US" w:eastAsia="zh-CN"/>
        </w:rPr>
        <w:t xml:space="preserve">131-2020CG- 282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u w:val="single"/>
          <w14:textFill>
            <w14:solidFill>
              <w14:schemeClr w14:val="tx1"/>
            </w14:solidFill>
          </w14:textFill>
        </w:rPr>
        <w:t>阳新县人民医院</w:t>
      </w:r>
    </w:p>
    <w:p>
      <w:pPr>
        <w:spacing w:line="480" w:lineRule="auto"/>
        <w:ind w:left="3156" w:leftChars="761" w:hanging="1558" w:hangingChars="487"/>
        <w:rPr>
          <w:rFonts w:hint="eastAsia" w:eastAsiaTheme="minorEastAsia"/>
          <w:bCs/>
          <w:color w:val="000000" w:themeColor="text1"/>
          <w:sz w:val="30"/>
          <w:szCs w:val="30"/>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u w:val="single"/>
          <w:lang w:eastAsia="zh-CN"/>
          <w14:textFill>
            <w14:solidFill>
              <w14:schemeClr w14:val="tx1"/>
            </w14:solidFill>
          </w14:textFill>
        </w:rPr>
        <w:t>阳新县人民医院医疗设备采购项目</w:t>
      </w:r>
    </w:p>
    <w:p>
      <w:pPr>
        <w:spacing w:line="480" w:lineRule="auto"/>
        <w:ind w:firstLine="1600" w:firstLineChars="500"/>
        <w:rPr>
          <w:rFonts w:hint="eastAsia" w:eastAsiaTheme="minorEastAsia"/>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u w:val="single"/>
          <w:lang w:val="en-US" w:eastAsia="zh-CN"/>
          <w14:textFill>
            <w14:solidFill>
              <w14:schemeClr w14:val="tx1"/>
            </w14:solidFill>
          </w14:textFill>
        </w:rPr>
        <w:t>心电监护仪、高频电刀</w:t>
      </w:r>
      <w:r>
        <w:rPr>
          <w:rFonts w:hint="eastAsia"/>
          <w:bCs/>
          <w:color w:val="000000" w:themeColor="text1"/>
          <w:spacing w:val="-6"/>
          <w:sz w:val="30"/>
          <w:szCs w:val="30"/>
          <w:u w:val="single"/>
          <w:lang w:eastAsia="zh-CN"/>
          <w14:textFill>
            <w14:solidFill>
              <w14:schemeClr w14:val="tx1"/>
            </w14:solidFill>
          </w14:textFill>
        </w:rPr>
        <w:t>等医疗设备采购</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rFonts w:hint="eastAsia"/>
          <w:bCs/>
          <w:snapToGrid w:val="0"/>
          <w:color w:val="000000" w:themeColor="text1"/>
          <w:kern w:val="0"/>
          <w:position w:val="-98"/>
          <w:sz w:val="56"/>
          <w:szCs w:val="56"/>
          <w:lang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广州穗科建设管理有限公司</w:t>
      </w:r>
    </w:p>
    <w:p>
      <w:pPr>
        <w:adjustRightInd w:val="0"/>
        <w:snapToGrid w:val="0"/>
        <w:jc w:val="center"/>
        <w:rPr>
          <w:rFonts w:hint="default"/>
          <w:bCs/>
          <w:snapToGrid w:val="0"/>
          <w:color w:val="000000" w:themeColor="text1"/>
          <w:kern w:val="0"/>
          <w:position w:val="-98"/>
          <w:sz w:val="56"/>
          <w:szCs w:val="56"/>
          <w:lang w:val="en-US" w:eastAsia="zh-CN"/>
          <w14:textFill>
            <w14:solidFill>
              <w14:schemeClr w14:val="tx1"/>
            </w14:solidFill>
          </w14:textFill>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lang w:val="en-US" w:eastAsia="zh-CN"/>
          <w14:textFill>
            <w14:solidFill>
              <w14:schemeClr w14:val="tx1"/>
            </w14:solidFill>
          </w14:textFill>
        </w:rPr>
        <w:t>二0二0年十二月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7"/>
              <w:rFonts w:hint="eastAsia" w:ascii="黑体" w:hAnsi="黑体"/>
            </w:rPr>
            <w:t>第一章</w:t>
          </w:r>
          <w:r>
            <w:rPr>
              <w:rFonts w:eastAsiaTheme="minorEastAsia"/>
              <w:b w:val="0"/>
              <w:iCs w:val="0"/>
              <w:color w:val="auto"/>
              <w:kern w:val="2"/>
              <w:sz w:val="21"/>
            </w:rPr>
            <w:tab/>
          </w:r>
          <w:r>
            <w:rPr>
              <w:rStyle w:val="27"/>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7"/>
              <w:rFonts w:hint="eastAsia" w:ascii="黑体" w:hAnsi="黑体"/>
            </w:rPr>
            <w:t>第二章</w:t>
          </w:r>
          <w:r>
            <w:rPr>
              <w:rFonts w:eastAsiaTheme="minorEastAsia"/>
              <w:b w:val="0"/>
              <w:iCs w:val="0"/>
              <w:color w:val="auto"/>
              <w:kern w:val="2"/>
              <w:sz w:val="21"/>
            </w:rPr>
            <w:tab/>
          </w:r>
          <w:r>
            <w:rPr>
              <w:rStyle w:val="27"/>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"_Toc495861519" </w:instrText>
          </w:r>
          <w:r>
            <w:fldChar w:fldCharType="separate"/>
          </w:r>
          <w:r>
            <w:rPr>
              <w:rStyle w:val="27"/>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"_Toc495861520"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说明</w:t>
          </w:r>
          <w:r>
            <w:tab/>
          </w:r>
          <w:r>
            <w:t>……………………………………………………………………………………</w:t>
          </w:r>
          <w:r>
            <w:rPr>
              <w:rFonts w:hint="eastAsia"/>
            </w:rPr>
            <w:t>.</w:t>
          </w:r>
          <w:r>
            <w:fldChar w:fldCharType="begin"/>
          </w:r>
          <w:r>
            <w:instrText xml:space="preserve"> PAGEREF _Toc495861520 \h </w:instrText>
          </w:r>
          <w:r>
            <w:fldChar w:fldCharType="separate"/>
          </w:r>
          <w:r>
            <w:t>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"_Toc495861521"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"_Toc495861522"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"_Toc495861523" </w:instrText>
          </w:r>
          <w:r>
            <w:fldChar w:fldCharType="separate"/>
          </w:r>
          <w:r>
            <w:rPr>
              <w:rStyle w:val="27"/>
              <w:rFonts w:hint="eastAsia" w:cs="Times New Roman" w:asciiTheme="majorEastAsia" w:hAnsiTheme="majorEastAsia"/>
              <w:lang w:val="zh-CN"/>
            </w:rPr>
            <w:t>四、</w:t>
          </w:r>
          <w:r>
            <w:rPr>
              <w:rFonts w:asciiTheme="minorHAnsi" w:hAnsiTheme="minorHAnsi"/>
              <w:iCs w:val="0"/>
              <w:color w:val="auto"/>
              <w:kern w:val="2"/>
              <w:sz w:val="21"/>
            </w:rPr>
            <w:tab/>
          </w:r>
          <w:r>
            <w:rPr>
              <w:rStyle w:val="27"/>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"_Toc495861524" </w:instrText>
          </w:r>
          <w:r>
            <w:fldChar w:fldCharType="separate"/>
          </w:r>
          <w:r>
            <w:rPr>
              <w:rStyle w:val="27"/>
              <w:rFonts w:hint="eastAsia" w:cs="Times New Roman" w:asciiTheme="majorEastAsia" w:hAnsiTheme="majorEastAsia"/>
              <w:lang w:val="zh-CN"/>
            </w:rPr>
            <w:t>五、</w:t>
          </w:r>
          <w:r>
            <w:rPr>
              <w:rFonts w:asciiTheme="minorHAnsi" w:hAnsiTheme="minorHAnsi"/>
              <w:iCs w:val="0"/>
              <w:color w:val="auto"/>
              <w:kern w:val="2"/>
              <w:sz w:val="21"/>
            </w:rPr>
            <w:tab/>
          </w:r>
          <w:r>
            <w:rPr>
              <w:rStyle w:val="27"/>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"_Toc495861525" </w:instrText>
          </w:r>
          <w:r>
            <w:fldChar w:fldCharType="separate"/>
          </w:r>
          <w:r>
            <w:rPr>
              <w:rStyle w:val="27"/>
              <w:rFonts w:hint="eastAsia" w:cs="Times New Roman" w:asciiTheme="majorEastAsia" w:hAnsiTheme="majorEastAsia"/>
              <w:lang w:val="zh-CN"/>
            </w:rPr>
            <w:t>六、</w:t>
          </w:r>
          <w:r>
            <w:rPr>
              <w:rFonts w:asciiTheme="minorHAnsi" w:hAnsiTheme="minorHAnsi"/>
              <w:iCs w:val="0"/>
              <w:color w:val="auto"/>
              <w:kern w:val="2"/>
              <w:sz w:val="21"/>
            </w:rPr>
            <w:tab/>
          </w:r>
          <w:r>
            <w:rPr>
              <w:rStyle w:val="27"/>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"_Toc495861526" </w:instrText>
          </w:r>
          <w:r>
            <w:fldChar w:fldCharType="separate"/>
          </w:r>
          <w:r>
            <w:rPr>
              <w:rStyle w:val="27"/>
              <w:rFonts w:hint="eastAsia" w:cs="Times New Roman" w:asciiTheme="majorEastAsia" w:hAnsiTheme="majorEastAsia"/>
              <w:lang w:val="zh-CN"/>
            </w:rPr>
            <w:t>七、</w:t>
          </w:r>
          <w:r>
            <w:rPr>
              <w:rFonts w:asciiTheme="minorHAnsi" w:hAnsiTheme="minorHAnsi"/>
              <w:iCs w:val="0"/>
              <w:color w:val="auto"/>
              <w:kern w:val="2"/>
              <w:sz w:val="21"/>
            </w:rPr>
            <w:tab/>
          </w:r>
          <w:r>
            <w:rPr>
              <w:rStyle w:val="27"/>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"_Toc495861527" </w:instrText>
          </w:r>
          <w:r>
            <w:fldChar w:fldCharType="separate"/>
          </w:r>
          <w:r>
            <w:rPr>
              <w:rStyle w:val="27"/>
              <w:rFonts w:hint="eastAsia" w:cs="Times New Roman" w:asciiTheme="majorEastAsia" w:hAnsiTheme="majorEastAsia"/>
              <w:lang w:val="zh-CN"/>
            </w:rPr>
            <w:t>八、</w:t>
          </w:r>
          <w:r>
            <w:rPr>
              <w:rFonts w:asciiTheme="minorHAnsi" w:hAnsiTheme="minorHAnsi"/>
              <w:iCs w:val="0"/>
              <w:color w:val="auto"/>
              <w:kern w:val="2"/>
              <w:sz w:val="21"/>
            </w:rPr>
            <w:tab/>
          </w:r>
          <w:r>
            <w:rPr>
              <w:rStyle w:val="27"/>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"_Toc495861528" </w:instrText>
          </w:r>
          <w:r>
            <w:fldChar w:fldCharType="separate"/>
          </w:r>
          <w:r>
            <w:rPr>
              <w:rStyle w:val="27"/>
              <w:rFonts w:hint="eastAsia" w:cs="Times New Roman" w:asciiTheme="majorEastAsia" w:hAnsiTheme="majorEastAsia"/>
              <w:lang w:val="zh-CN"/>
            </w:rPr>
            <w:t>九、</w:t>
          </w:r>
          <w:r>
            <w:rPr>
              <w:rFonts w:asciiTheme="minorHAnsi" w:hAnsiTheme="minorHAnsi"/>
              <w:iCs w:val="0"/>
              <w:color w:val="auto"/>
              <w:kern w:val="2"/>
              <w:sz w:val="21"/>
            </w:rPr>
            <w:tab/>
          </w:r>
          <w:r>
            <w:rPr>
              <w:rStyle w:val="27"/>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"_Toc495861529" </w:instrText>
          </w:r>
          <w:r>
            <w:fldChar w:fldCharType="separate"/>
          </w:r>
          <w:r>
            <w:rPr>
              <w:rStyle w:val="27"/>
              <w:rFonts w:hint="eastAsia" w:cs="Times New Roman" w:asciiTheme="majorEastAsia" w:hAnsiTheme="majorEastAsia"/>
              <w:lang w:val="zh-CN"/>
            </w:rPr>
            <w:t>十、</w:t>
          </w:r>
          <w:r>
            <w:rPr>
              <w:rFonts w:asciiTheme="minorHAnsi" w:hAnsiTheme="minorHAnsi"/>
              <w:iCs w:val="0"/>
              <w:color w:val="auto"/>
              <w:kern w:val="2"/>
              <w:sz w:val="21"/>
            </w:rPr>
            <w:tab/>
          </w:r>
          <w:r>
            <w:rPr>
              <w:rStyle w:val="27"/>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"_Toc495861530" </w:instrText>
          </w:r>
          <w:r>
            <w:fldChar w:fldCharType="separate"/>
          </w:r>
          <w:r>
            <w:rPr>
              <w:rStyle w:val="27"/>
              <w:rFonts w:hint="eastAsia" w:cs="Times New Roman" w:asciiTheme="majorEastAsia" w:hAnsiTheme="majorEastAsia"/>
              <w:lang w:val="zh-CN"/>
            </w:rPr>
            <w:t>十一、</w:t>
          </w:r>
          <w:r>
            <w:rPr>
              <w:rFonts w:asciiTheme="minorHAnsi" w:hAnsiTheme="minorHAnsi"/>
              <w:iCs w:val="0"/>
              <w:color w:val="auto"/>
              <w:kern w:val="2"/>
              <w:sz w:val="21"/>
            </w:rPr>
            <w:tab/>
          </w:r>
          <w:r>
            <w:rPr>
              <w:rStyle w:val="27"/>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"_Toc495861531" </w:instrText>
          </w:r>
          <w:r>
            <w:fldChar w:fldCharType="separate"/>
          </w:r>
          <w:r>
            <w:rPr>
              <w:rStyle w:val="27"/>
              <w:rFonts w:hint="eastAsia" w:cs="Times New Roman" w:asciiTheme="majorEastAsia" w:hAnsiTheme="majorEastAsia"/>
              <w:lang w:val="zh-CN"/>
            </w:rPr>
            <w:t>十二、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7"/>
              <w:rFonts w:hint="eastAsia" w:ascii="黑体" w:hAnsi="黑体"/>
            </w:rPr>
            <w:t>第三章</w:t>
          </w:r>
          <w:r>
            <w:rPr>
              <w:rFonts w:eastAsiaTheme="minorEastAsia"/>
              <w:b w:val="0"/>
              <w:iCs w:val="0"/>
              <w:color w:val="auto"/>
              <w:kern w:val="2"/>
              <w:sz w:val="21"/>
            </w:rPr>
            <w:tab/>
          </w:r>
          <w:r>
            <w:rPr>
              <w:rStyle w:val="27"/>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"_Toc495861533"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采购清单</w:t>
          </w:r>
          <w:r>
            <w:tab/>
          </w:r>
          <w:r>
            <w:fldChar w:fldCharType="begin"/>
          </w:r>
          <w:r>
            <w:instrText xml:space="preserve"> PAGEREF _Toc495861533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"_Toc495861536"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技术、服务要求</w:t>
          </w:r>
          <w:r>
            <w:tab/>
          </w:r>
          <w:r>
            <w:fldChar w:fldCharType="begin"/>
          </w:r>
          <w:r>
            <w:instrText xml:space="preserve"> PAGEREF _Toc495861536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"_Toc495861537"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商务要求</w:t>
          </w:r>
          <w:r>
            <w:tab/>
          </w:r>
          <w:r>
            <w:fldChar w:fldCharType="begin"/>
          </w:r>
          <w:r>
            <w:instrText xml:space="preserve"> PAGEREF _Toc495861537 \h </w:instrText>
          </w:r>
          <w:r>
            <w:fldChar w:fldCharType="separate"/>
          </w:r>
          <w:r>
            <w:rPr>
              <w:b/>
            </w:rPr>
            <w:t>错误！未定义书签。</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7"/>
              <w:rFonts w:hint="eastAsia" w:ascii="黑体" w:hAnsi="黑体"/>
            </w:rPr>
            <w:t>第四章</w:t>
          </w:r>
          <w:r>
            <w:rPr>
              <w:rFonts w:eastAsiaTheme="minorEastAsia"/>
              <w:b w:val="0"/>
              <w:iCs w:val="0"/>
              <w:color w:val="auto"/>
              <w:kern w:val="2"/>
              <w:sz w:val="21"/>
            </w:rPr>
            <w:tab/>
          </w:r>
          <w:r>
            <w:rPr>
              <w:rStyle w:val="27"/>
              <w:rFonts w:hint="eastAsia" w:ascii="黑体" w:hAnsi="黑体"/>
            </w:rPr>
            <w:t>资格审查方法及标准</w:t>
          </w:r>
          <w:r>
            <w:tab/>
          </w:r>
          <w:r>
            <w:fldChar w:fldCharType="begin"/>
          </w:r>
          <w:r>
            <w:instrText xml:space="preserve"> PAGEREF _Toc495861538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"_Toc495861539"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"_Toc495861540"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rPr>
              <w:b/>
            </w:rPr>
            <w:t>错误！未定义书签。</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7"/>
              <w:rFonts w:hint="eastAsia" w:ascii="黑体" w:hAnsi="黑体"/>
            </w:rPr>
            <w:t>第五章</w:t>
          </w:r>
          <w:r>
            <w:rPr>
              <w:rFonts w:eastAsiaTheme="minorEastAsia"/>
              <w:b w:val="0"/>
              <w:iCs w:val="0"/>
              <w:color w:val="auto"/>
              <w:kern w:val="2"/>
              <w:sz w:val="21"/>
            </w:rPr>
            <w:tab/>
          </w:r>
          <w:r>
            <w:rPr>
              <w:rStyle w:val="27"/>
              <w:rFonts w:hint="eastAsia" w:ascii="黑体" w:hAnsi="黑体"/>
            </w:rPr>
            <w:t>评标方法、程序及标准</w:t>
          </w:r>
          <w:r>
            <w:tab/>
          </w:r>
          <w:r>
            <w:fldChar w:fldCharType="begin"/>
          </w:r>
          <w:r>
            <w:instrText xml:space="preserve"> PAGEREF _Toc495861541 \h </w:instrText>
          </w:r>
          <w:r>
            <w:fldChar w:fldCharType="separate"/>
          </w:r>
          <w:r>
            <w:t>37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"_Toc495861542"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40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"_Toc495861543"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40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"_Toc495861544"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44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7"/>
              <w:rFonts w:hint="eastAsia" w:ascii="黑体" w:hAnsi="黑体"/>
            </w:rPr>
            <w:t>第六章</w:t>
          </w:r>
          <w:r>
            <w:rPr>
              <w:rFonts w:eastAsiaTheme="minorEastAsia"/>
              <w:b w:val="0"/>
              <w:iCs w:val="0"/>
              <w:color w:val="auto"/>
              <w:kern w:val="2"/>
              <w:sz w:val="21"/>
            </w:rPr>
            <w:tab/>
          </w:r>
          <w:r>
            <w:rPr>
              <w:rStyle w:val="27"/>
              <w:rFonts w:hint="eastAsia" w:ascii="黑体" w:hAnsi="黑体"/>
            </w:rPr>
            <w:t>合同书格式（参考）</w:t>
          </w:r>
          <w:r>
            <w:tab/>
          </w:r>
          <w:r>
            <w:fldChar w:fldCharType="begin"/>
          </w:r>
          <w:r>
            <w:instrText xml:space="preserve"> PAGEREF _Toc495861545 \h </w:instrText>
          </w:r>
          <w:r>
            <w:fldChar w:fldCharType="separate"/>
          </w:r>
          <w:r>
            <w:t>45</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7"/>
              <w:rFonts w:hint="eastAsia" w:ascii="黑体" w:hAnsi="黑体"/>
            </w:rPr>
            <w:t>第七章</w:t>
          </w:r>
          <w:r>
            <w:rPr>
              <w:rFonts w:eastAsiaTheme="minorEastAsia"/>
              <w:b w:val="0"/>
              <w:iCs w:val="0"/>
              <w:color w:val="auto"/>
              <w:kern w:val="2"/>
              <w:sz w:val="21"/>
            </w:rPr>
            <w:tab/>
          </w:r>
          <w:r>
            <w:rPr>
              <w:rStyle w:val="27"/>
              <w:rFonts w:hint="eastAsia" w:ascii="黑体" w:hAnsi="黑体"/>
            </w:rPr>
            <w:t>投标文件格式（参考）</w:t>
          </w:r>
          <w:r>
            <w:tab/>
          </w:r>
          <w:r>
            <w:fldChar w:fldCharType="begin"/>
          </w:r>
          <w:r>
            <w:instrText xml:space="preserve"> PAGEREF _Toc495861546 \h </w:instrText>
          </w:r>
          <w:r>
            <w:fldChar w:fldCharType="separate"/>
          </w:r>
          <w:r>
            <w:t>47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"_Toc495861547" </w:instrText>
          </w:r>
          <w:r>
            <w:fldChar w:fldCharType="separate"/>
          </w:r>
          <w:r>
            <w:rPr>
              <w:rStyle w:val="27"/>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"_Toc495861548" </w:instrText>
          </w:r>
          <w:r>
            <w:fldChar w:fldCharType="separate"/>
          </w:r>
          <w:r>
            <w:rPr>
              <w:rStyle w:val="27"/>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"_Toc495861549" </w:instrText>
          </w:r>
          <w:r>
            <w:fldChar w:fldCharType="separate"/>
          </w:r>
          <w:r>
            <w:rPr>
              <w:rStyle w:val="27"/>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51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"_Toc495861550" </w:instrText>
          </w:r>
          <w:r>
            <w:fldChar w:fldCharType="separate"/>
          </w:r>
          <w:r>
            <w:rPr>
              <w:rStyle w:val="27"/>
              <w:rFonts w:hint="eastAsia" w:eastAsia="宋体"/>
            </w:rPr>
            <w:t>附件一、</w:t>
          </w:r>
          <w:r>
            <w:rPr>
              <w:rFonts w:asciiTheme="minorHAnsi" w:hAnsiTheme="minorHAnsi"/>
              <w:iCs w:val="0"/>
              <w:color w:val="auto"/>
              <w:kern w:val="2"/>
              <w:sz w:val="21"/>
            </w:rPr>
            <w:tab/>
          </w:r>
          <w:r>
            <w:rPr>
              <w:rStyle w:val="27"/>
              <w:rFonts w:hint="eastAsia" w:eastAsia="宋体"/>
            </w:rPr>
            <w:t>投标书</w:t>
          </w:r>
          <w:r>
            <w:tab/>
          </w:r>
          <w:r>
            <w:fldChar w:fldCharType="begin"/>
          </w:r>
          <w:r>
            <w:instrText xml:space="preserve"> PAGEREF _Toc495861550 \h </w:instrText>
          </w:r>
          <w:r>
            <w:fldChar w:fldCharType="separate"/>
          </w:r>
          <w:r>
            <w:t>53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"_Toc495861551" </w:instrText>
          </w:r>
          <w:r>
            <w:fldChar w:fldCharType="separate"/>
          </w:r>
          <w:r>
            <w:rPr>
              <w:rStyle w:val="27"/>
              <w:rFonts w:hint="eastAsia" w:eastAsia="宋体"/>
            </w:rPr>
            <w:t>附件二、</w:t>
          </w:r>
          <w:r>
            <w:rPr>
              <w:rFonts w:asciiTheme="minorHAnsi" w:hAnsiTheme="minorHAnsi"/>
              <w:iCs w:val="0"/>
              <w:color w:val="auto"/>
              <w:kern w:val="2"/>
              <w:sz w:val="21"/>
            </w:rPr>
            <w:tab/>
          </w:r>
          <w:r>
            <w:rPr>
              <w:rStyle w:val="27"/>
              <w:rFonts w:hint="eastAsia" w:eastAsia="宋体"/>
            </w:rPr>
            <w:t>制造商中小企业声明函</w:t>
          </w:r>
          <w:r>
            <w:tab/>
          </w:r>
          <w:r>
            <w:fldChar w:fldCharType="begin"/>
          </w:r>
          <w:r>
            <w:instrText xml:space="preserve"> PAGEREF _Toc495861551 \h </w:instrText>
          </w:r>
          <w:r>
            <w:fldChar w:fldCharType="separate"/>
          </w:r>
          <w:r>
            <w:t>54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"_Toc495861552" </w:instrText>
          </w:r>
          <w:r>
            <w:fldChar w:fldCharType="separate"/>
          </w:r>
          <w:r>
            <w:rPr>
              <w:rStyle w:val="27"/>
              <w:rFonts w:hint="eastAsia" w:eastAsia="宋体"/>
            </w:rPr>
            <w:t>附件三、</w:t>
          </w:r>
          <w:r>
            <w:rPr>
              <w:rFonts w:asciiTheme="minorHAnsi" w:hAnsiTheme="minorHAnsi"/>
              <w:iCs w:val="0"/>
              <w:color w:val="auto"/>
              <w:kern w:val="2"/>
              <w:sz w:val="21"/>
            </w:rPr>
            <w:tab/>
          </w:r>
          <w:r>
            <w:rPr>
              <w:rStyle w:val="27"/>
              <w:rFonts w:hint="eastAsia" w:eastAsia="宋体"/>
            </w:rPr>
            <w:t>中小企业声明函</w:t>
          </w:r>
          <w:r>
            <w:tab/>
          </w:r>
          <w:r>
            <w:fldChar w:fldCharType="begin"/>
          </w:r>
          <w:r>
            <w:instrText xml:space="preserve"> PAGEREF _Toc495861552 \h </w:instrText>
          </w:r>
          <w:r>
            <w:fldChar w:fldCharType="separate"/>
          </w:r>
          <w:r>
            <w:t>55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"_Toc495861553" </w:instrText>
          </w:r>
          <w:r>
            <w:fldChar w:fldCharType="separate"/>
          </w:r>
          <w:r>
            <w:rPr>
              <w:rStyle w:val="27"/>
              <w:rFonts w:hint="eastAsia" w:eastAsia="宋体"/>
            </w:rPr>
            <w:t>附件四、</w:t>
          </w:r>
          <w:r>
            <w:rPr>
              <w:rFonts w:asciiTheme="minorHAnsi" w:hAnsiTheme="minorHAnsi"/>
              <w:iCs w:val="0"/>
              <w:color w:val="auto"/>
              <w:kern w:val="2"/>
              <w:sz w:val="21"/>
            </w:rPr>
            <w:tab/>
          </w:r>
          <w:r>
            <w:rPr>
              <w:rStyle w:val="27"/>
              <w:rFonts w:hint="eastAsia" w:eastAsia="宋体"/>
            </w:rPr>
            <w:t>残疾人福利性单位声明函</w:t>
          </w:r>
          <w:r>
            <w:tab/>
          </w:r>
          <w:r>
            <w:fldChar w:fldCharType="begin"/>
          </w:r>
          <w:r>
            <w:instrText xml:space="preserve"> PAGEREF _Toc495861553 \h </w:instrText>
          </w:r>
          <w:r>
            <w:fldChar w:fldCharType="separate"/>
          </w:r>
          <w:r>
            <w:t>57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"_Toc495861554" </w:instrText>
          </w:r>
          <w:r>
            <w:fldChar w:fldCharType="separate"/>
          </w:r>
          <w:r>
            <w:rPr>
              <w:rStyle w:val="27"/>
              <w:rFonts w:hint="eastAsia" w:eastAsia="宋体"/>
            </w:rPr>
            <w:t>附件五、</w:t>
          </w:r>
          <w:r>
            <w:rPr>
              <w:rFonts w:asciiTheme="minorHAnsi" w:hAnsiTheme="minorHAnsi"/>
              <w:iCs w:val="0"/>
              <w:color w:val="auto"/>
              <w:kern w:val="2"/>
              <w:sz w:val="21"/>
            </w:rPr>
            <w:tab/>
          </w:r>
          <w:r>
            <w:rPr>
              <w:rStyle w:val="27"/>
              <w:rFonts w:hint="eastAsia" w:eastAsia="宋体"/>
            </w:rPr>
            <w:t>开标一览表</w:t>
          </w:r>
          <w:r>
            <w:tab/>
          </w:r>
          <w:r>
            <w:fldChar w:fldCharType="begin"/>
          </w:r>
          <w:r>
            <w:instrText xml:space="preserve"> PAGEREF _Toc495861554 \h </w:instrText>
          </w:r>
          <w:r>
            <w:fldChar w:fldCharType="separate"/>
          </w:r>
          <w:r>
            <w:t>60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"_Toc495861555" </w:instrText>
          </w:r>
          <w:r>
            <w:fldChar w:fldCharType="separate"/>
          </w:r>
          <w:r>
            <w:rPr>
              <w:rStyle w:val="27"/>
              <w:rFonts w:hint="eastAsia" w:eastAsia="宋体"/>
            </w:rPr>
            <w:t>附件六、</w:t>
          </w:r>
          <w:r>
            <w:rPr>
              <w:rFonts w:asciiTheme="minorHAnsi" w:hAnsiTheme="minorHAnsi"/>
              <w:iCs w:val="0"/>
              <w:color w:val="auto"/>
              <w:kern w:val="2"/>
              <w:sz w:val="21"/>
            </w:rPr>
            <w:tab/>
          </w:r>
          <w:r>
            <w:rPr>
              <w:rStyle w:val="27"/>
              <w:rFonts w:hint="eastAsia" w:eastAsia="宋体"/>
            </w:rPr>
            <w:t>投标报价明细表</w:t>
          </w:r>
          <w:r>
            <w:tab/>
          </w:r>
          <w:r>
            <w:fldChar w:fldCharType="begin"/>
          </w:r>
          <w:r>
            <w:instrText xml:space="preserve"> PAGEREF _Toc495861555 \h </w:instrText>
          </w:r>
          <w:r>
            <w:fldChar w:fldCharType="separate"/>
          </w:r>
          <w:r>
            <w:t>61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"_Toc495861556" </w:instrText>
          </w:r>
          <w:r>
            <w:fldChar w:fldCharType="separate"/>
          </w:r>
          <w:r>
            <w:rPr>
              <w:rStyle w:val="27"/>
              <w:rFonts w:hint="eastAsia" w:eastAsia="宋体"/>
            </w:rPr>
            <w:t>附件七、</w:t>
          </w:r>
          <w:r>
            <w:rPr>
              <w:rFonts w:asciiTheme="minorHAnsi" w:hAnsiTheme="minorHAnsi"/>
              <w:iCs w:val="0"/>
              <w:color w:val="auto"/>
              <w:kern w:val="2"/>
              <w:sz w:val="21"/>
            </w:rPr>
            <w:tab/>
          </w:r>
          <w:r>
            <w:rPr>
              <w:rStyle w:val="27"/>
              <w:rFonts w:hint="eastAsia" w:eastAsia="宋体"/>
            </w:rPr>
            <w:t>小型和微型企业、监狱企业、残疾人福利性单位货物汇总表</w:t>
          </w:r>
          <w:r>
            <w:tab/>
          </w:r>
          <w:r>
            <w:fldChar w:fldCharType="begin"/>
          </w:r>
          <w:r>
            <w:instrText xml:space="preserve"> PAGEREF _Toc495861556 \h </w:instrText>
          </w:r>
          <w:r>
            <w:fldChar w:fldCharType="separate"/>
          </w:r>
          <w:r>
            <w:t>62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"_Toc495861557" </w:instrText>
          </w:r>
          <w:r>
            <w:fldChar w:fldCharType="separate"/>
          </w:r>
          <w:r>
            <w:rPr>
              <w:rStyle w:val="27"/>
              <w:rFonts w:hint="eastAsia" w:eastAsia="宋体"/>
            </w:rPr>
            <w:t>附件八、</w:t>
          </w:r>
          <w:r>
            <w:rPr>
              <w:rFonts w:asciiTheme="minorHAnsi" w:hAnsiTheme="minorHAnsi"/>
              <w:iCs w:val="0"/>
              <w:color w:val="auto"/>
              <w:kern w:val="2"/>
              <w:sz w:val="21"/>
            </w:rPr>
            <w:tab/>
          </w:r>
          <w:r>
            <w:rPr>
              <w:rStyle w:val="27"/>
              <w:rFonts w:hint="eastAsia" w:eastAsia="宋体"/>
            </w:rPr>
            <w:t>投标货物（工程或服务）清单</w:t>
          </w:r>
          <w:r>
            <w:tab/>
          </w:r>
          <w:r>
            <w:fldChar w:fldCharType="begin"/>
          </w:r>
          <w:r>
            <w:instrText xml:space="preserve"> PAGEREF _Toc495861557 \h </w:instrText>
          </w:r>
          <w:r>
            <w:fldChar w:fldCharType="separate"/>
          </w:r>
          <w:r>
            <w:t>63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"_Toc495861558" </w:instrText>
          </w:r>
          <w:r>
            <w:fldChar w:fldCharType="separate"/>
          </w:r>
          <w:r>
            <w:rPr>
              <w:rStyle w:val="27"/>
              <w:rFonts w:hint="eastAsia" w:eastAsia="宋体"/>
            </w:rPr>
            <w:t>附件九、</w:t>
          </w:r>
          <w:r>
            <w:rPr>
              <w:rFonts w:asciiTheme="minorHAnsi" w:hAnsiTheme="minorHAnsi"/>
              <w:iCs w:val="0"/>
              <w:color w:val="auto"/>
              <w:kern w:val="2"/>
              <w:sz w:val="21"/>
            </w:rPr>
            <w:tab/>
          </w:r>
          <w:r>
            <w:rPr>
              <w:rStyle w:val="27"/>
              <w:rFonts w:hint="eastAsia" w:eastAsia="宋体"/>
            </w:rPr>
            <w:t>交纳投标保证金的银行凭证</w:t>
          </w:r>
          <w:r>
            <w:tab/>
          </w:r>
          <w:r>
            <w:fldChar w:fldCharType="begin"/>
          </w:r>
          <w:r>
            <w:instrText xml:space="preserve"> PAGEREF _Toc495861558 \h </w:instrText>
          </w:r>
          <w:r>
            <w:fldChar w:fldCharType="separate"/>
          </w:r>
          <w:r>
            <w:t>64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"_Toc495861559" </w:instrText>
          </w:r>
          <w:r>
            <w:fldChar w:fldCharType="separate"/>
          </w:r>
          <w:r>
            <w:rPr>
              <w:rStyle w:val="27"/>
              <w:rFonts w:hint="eastAsia" w:eastAsia="宋体"/>
            </w:rPr>
            <w:t>附件十、</w:t>
          </w:r>
          <w:r>
            <w:rPr>
              <w:rFonts w:asciiTheme="minorHAnsi" w:hAnsiTheme="minorHAnsi"/>
              <w:iCs w:val="0"/>
              <w:color w:val="auto"/>
              <w:kern w:val="2"/>
              <w:sz w:val="21"/>
            </w:rPr>
            <w:tab/>
          </w:r>
          <w:r>
            <w:rPr>
              <w:rStyle w:val="27"/>
              <w:rFonts w:hint="eastAsia" w:eastAsia="宋体"/>
            </w:rPr>
            <w:t>法定代表人授权书</w:t>
          </w:r>
          <w:r>
            <w:tab/>
          </w:r>
          <w:r>
            <w:fldChar w:fldCharType="begin"/>
          </w:r>
          <w:r>
            <w:instrText xml:space="preserve"> PAGEREF _Toc495861559 \h </w:instrText>
          </w:r>
          <w:r>
            <w:fldChar w:fldCharType="separate"/>
          </w:r>
          <w:r>
            <w:t>65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"_Toc495861560" </w:instrText>
          </w:r>
          <w:r>
            <w:fldChar w:fldCharType="separate"/>
          </w:r>
          <w:r>
            <w:rPr>
              <w:rStyle w:val="27"/>
              <w:rFonts w:hint="eastAsia" w:eastAsia="宋体"/>
            </w:rPr>
            <w:t>附件十一、</w:t>
          </w:r>
          <w:r>
            <w:rPr>
              <w:rFonts w:asciiTheme="minorHAnsi" w:hAnsiTheme="minorHAnsi"/>
              <w:iCs w:val="0"/>
              <w:color w:val="auto"/>
              <w:kern w:val="2"/>
              <w:sz w:val="21"/>
            </w:rPr>
            <w:tab/>
          </w:r>
          <w:r>
            <w:rPr>
              <w:rStyle w:val="27"/>
              <w:rFonts w:hint="eastAsia" w:eastAsia="宋体"/>
            </w:rPr>
            <w:t>投标人的资格声明</w:t>
          </w:r>
          <w:r>
            <w:tab/>
          </w:r>
          <w:r>
            <w:fldChar w:fldCharType="begin"/>
          </w:r>
          <w:r>
            <w:instrText xml:space="preserve"> PAGEREF _Toc495861560 \h </w:instrText>
          </w:r>
          <w:r>
            <w:fldChar w:fldCharType="separate"/>
          </w:r>
          <w:r>
            <w:t>66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"_Toc495861561" </w:instrText>
          </w:r>
          <w:r>
            <w:fldChar w:fldCharType="separate"/>
          </w:r>
          <w:r>
            <w:rPr>
              <w:rStyle w:val="27"/>
              <w:rFonts w:hint="eastAsia" w:eastAsia="宋体"/>
            </w:rPr>
            <w:t>附件十二、</w:t>
          </w:r>
          <w:r>
            <w:rPr>
              <w:rFonts w:asciiTheme="minorHAnsi" w:hAnsiTheme="minorHAnsi"/>
              <w:iCs w:val="0"/>
              <w:color w:val="auto"/>
              <w:kern w:val="2"/>
              <w:sz w:val="21"/>
            </w:rPr>
            <w:tab/>
          </w:r>
          <w:r>
            <w:rPr>
              <w:rStyle w:val="27"/>
              <w:rFonts w:hint="eastAsia" w:eastAsia="宋体"/>
            </w:rPr>
            <w:t>项目负责人、技术负责人简历表</w:t>
          </w:r>
          <w:r>
            <w:tab/>
          </w:r>
          <w:r>
            <w:fldChar w:fldCharType="begin"/>
          </w:r>
          <w:r>
            <w:instrText xml:space="preserve"> PAGEREF _Toc495861561 \h </w:instrText>
          </w:r>
          <w:r>
            <w:fldChar w:fldCharType="separate"/>
          </w:r>
          <w:r>
            <w:t>67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"_Toc495861562" </w:instrText>
          </w:r>
          <w:r>
            <w:fldChar w:fldCharType="separate"/>
          </w:r>
          <w:r>
            <w:rPr>
              <w:rStyle w:val="27"/>
              <w:rFonts w:hint="eastAsia" w:eastAsia="宋体"/>
            </w:rPr>
            <w:t>附件十三、</w:t>
          </w:r>
          <w:r>
            <w:rPr>
              <w:rFonts w:asciiTheme="minorHAnsi" w:hAnsiTheme="minorHAnsi"/>
              <w:iCs w:val="0"/>
              <w:color w:val="auto"/>
              <w:kern w:val="2"/>
              <w:sz w:val="21"/>
            </w:rPr>
            <w:tab/>
          </w:r>
          <w:r>
            <w:rPr>
              <w:rStyle w:val="27"/>
              <w:rFonts w:hint="eastAsia" w:eastAsia="宋体"/>
            </w:rPr>
            <w:t>项目班子成员情况表</w:t>
          </w:r>
          <w:r>
            <w:tab/>
          </w:r>
          <w:r>
            <w:fldChar w:fldCharType="begin"/>
          </w:r>
          <w:r>
            <w:instrText xml:space="preserve"> PAGEREF _Toc495861562 \h </w:instrText>
          </w:r>
          <w:r>
            <w:fldChar w:fldCharType="separate"/>
          </w:r>
          <w:r>
            <w:t>68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"_Toc495861563" </w:instrText>
          </w:r>
          <w:r>
            <w:fldChar w:fldCharType="separate"/>
          </w:r>
          <w:r>
            <w:rPr>
              <w:rStyle w:val="27"/>
              <w:rFonts w:hint="eastAsia" w:eastAsia="宋体"/>
            </w:rPr>
            <w:t>附件十四、</w:t>
          </w:r>
          <w:r>
            <w:rPr>
              <w:rFonts w:asciiTheme="minorHAnsi" w:hAnsiTheme="minorHAnsi"/>
              <w:iCs w:val="0"/>
              <w:color w:val="auto"/>
              <w:kern w:val="2"/>
              <w:sz w:val="21"/>
            </w:rPr>
            <w:tab/>
          </w:r>
          <w:r>
            <w:rPr>
              <w:rStyle w:val="27"/>
              <w:rFonts w:hint="eastAsia" w:eastAsia="宋体"/>
            </w:rPr>
            <w:t>投标人类似项目业绩表</w:t>
          </w:r>
          <w:r>
            <w:tab/>
          </w:r>
          <w:r>
            <w:fldChar w:fldCharType="begin"/>
          </w:r>
          <w:r>
            <w:instrText xml:space="preserve"> PAGEREF _Toc495861563 \h </w:instrText>
          </w:r>
          <w:r>
            <w:fldChar w:fldCharType="separate"/>
          </w:r>
          <w:r>
            <w:t>69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"_Toc495861564" </w:instrText>
          </w:r>
          <w:r>
            <w:fldChar w:fldCharType="separate"/>
          </w:r>
          <w:r>
            <w:rPr>
              <w:rStyle w:val="27"/>
              <w:rFonts w:hint="eastAsia" w:eastAsia="宋体"/>
            </w:rPr>
            <w:t>附件十五、</w:t>
          </w:r>
          <w:r>
            <w:rPr>
              <w:rFonts w:asciiTheme="minorHAnsi" w:hAnsiTheme="minorHAnsi"/>
              <w:iCs w:val="0"/>
              <w:color w:val="auto"/>
              <w:kern w:val="2"/>
              <w:sz w:val="21"/>
            </w:rPr>
            <w:tab/>
          </w:r>
          <w:r>
            <w:rPr>
              <w:rStyle w:val="27"/>
              <w:rFonts w:hint="eastAsia" w:eastAsia="宋体"/>
            </w:rPr>
            <w:t>符合性审查对照表</w:t>
          </w:r>
          <w:r>
            <w:tab/>
          </w:r>
          <w:r>
            <w:fldChar w:fldCharType="begin"/>
          </w:r>
          <w:r>
            <w:instrText xml:space="preserve"> PAGEREF _Toc495861564 \h </w:instrText>
          </w:r>
          <w:r>
            <w:fldChar w:fldCharType="separate"/>
          </w:r>
          <w:r>
            <w:t>70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"_Toc495861565" </w:instrText>
          </w:r>
          <w:r>
            <w:fldChar w:fldCharType="separate"/>
          </w:r>
          <w:r>
            <w:rPr>
              <w:rStyle w:val="27"/>
              <w:rFonts w:hint="eastAsia" w:eastAsia="宋体"/>
            </w:rPr>
            <w:t>附件十六、</w:t>
          </w:r>
          <w:r>
            <w:rPr>
              <w:rFonts w:asciiTheme="minorHAnsi" w:hAnsiTheme="minorHAnsi"/>
              <w:iCs w:val="0"/>
              <w:color w:val="auto"/>
              <w:kern w:val="2"/>
              <w:sz w:val="21"/>
            </w:rPr>
            <w:tab/>
          </w:r>
          <w:r>
            <w:rPr>
              <w:rStyle w:val="27"/>
              <w:rFonts w:hint="eastAsia" w:eastAsia="宋体"/>
            </w:rPr>
            <w:t>商务要求响应、偏离说明表</w:t>
          </w:r>
          <w:r>
            <w:tab/>
          </w:r>
          <w:r>
            <w:fldChar w:fldCharType="begin"/>
          </w:r>
          <w:r>
            <w:instrText xml:space="preserve"> PAGEREF _Toc495861565 \h </w:instrText>
          </w:r>
          <w:r>
            <w:fldChar w:fldCharType="separate"/>
          </w:r>
          <w:r>
            <w:t>71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"_Toc495861566" </w:instrText>
          </w:r>
          <w:r>
            <w:fldChar w:fldCharType="separate"/>
          </w:r>
          <w:r>
            <w:rPr>
              <w:rStyle w:val="27"/>
              <w:rFonts w:hint="eastAsia" w:eastAsia="宋体"/>
            </w:rPr>
            <w:t>附件十七、</w:t>
          </w:r>
          <w:r>
            <w:rPr>
              <w:rFonts w:asciiTheme="minorHAnsi" w:hAnsiTheme="minorHAnsi"/>
              <w:iCs w:val="0"/>
              <w:color w:val="auto"/>
              <w:kern w:val="2"/>
              <w:sz w:val="21"/>
            </w:rPr>
            <w:tab/>
          </w:r>
          <w:r>
            <w:rPr>
              <w:rStyle w:val="27"/>
              <w:rFonts w:hint="eastAsia" w:eastAsia="宋体"/>
            </w:rPr>
            <w:t>商务要求“★”号条款响应、偏离说明表</w:t>
          </w:r>
          <w:r>
            <w:tab/>
          </w:r>
          <w:r>
            <w:fldChar w:fldCharType="begin"/>
          </w:r>
          <w:r>
            <w:instrText xml:space="preserve"> PAGEREF _Toc495861566 \h </w:instrText>
          </w:r>
          <w:r>
            <w:fldChar w:fldCharType="separate"/>
          </w:r>
          <w:r>
            <w:t>72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"_Toc495861567" </w:instrText>
          </w:r>
          <w:r>
            <w:fldChar w:fldCharType="separate"/>
          </w:r>
          <w:r>
            <w:rPr>
              <w:rStyle w:val="27"/>
              <w:rFonts w:hint="eastAsia" w:eastAsia="宋体"/>
            </w:rPr>
            <w:t>附件十八、</w:t>
          </w:r>
          <w:r>
            <w:rPr>
              <w:rFonts w:asciiTheme="minorHAnsi" w:hAnsiTheme="minorHAnsi"/>
              <w:iCs w:val="0"/>
              <w:color w:val="auto"/>
              <w:kern w:val="2"/>
              <w:sz w:val="21"/>
            </w:rPr>
            <w:tab/>
          </w:r>
          <w:r>
            <w:rPr>
              <w:rStyle w:val="27"/>
              <w:rFonts w:hint="eastAsia" w:eastAsia="宋体"/>
            </w:rPr>
            <w:t>商务评议对照表</w:t>
          </w:r>
          <w:r>
            <w:tab/>
          </w:r>
          <w:r>
            <w:fldChar w:fldCharType="begin"/>
          </w:r>
          <w:r>
            <w:instrText xml:space="preserve"> PAGEREF _Toc495861567 \h </w:instrText>
          </w:r>
          <w:r>
            <w:fldChar w:fldCharType="separate"/>
          </w:r>
          <w:r>
            <w:t>73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"_Toc495861568" </w:instrText>
          </w:r>
          <w:r>
            <w:fldChar w:fldCharType="separate"/>
          </w:r>
          <w:r>
            <w:rPr>
              <w:rStyle w:val="27"/>
              <w:rFonts w:hint="eastAsia" w:eastAsia="宋体"/>
            </w:rPr>
            <w:t>附件十九、</w:t>
          </w:r>
          <w:r>
            <w:rPr>
              <w:rFonts w:asciiTheme="minorHAnsi" w:hAnsiTheme="minorHAnsi"/>
              <w:iCs w:val="0"/>
              <w:color w:val="auto"/>
              <w:kern w:val="2"/>
              <w:sz w:val="21"/>
            </w:rPr>
            <w:tab/>
          </w:r>
          <w:r>
            <w:rPr>
              <w:rStyle w:val="27"/>
              <w:rFonts w:hint="eastAsia" w:eastAsia="宋体"/>
            </w:rPr>
            <w:t>技术、服务要求响应、偏离说明表</w:t>
          </w:r>
          <w:r>
            <w:tab/>
          </w:r>
          <w:r>
            <w:fldChar w:fldCharType="begin"/>
          </w:r>
          <w:r>
            <w:instrText xml:space="preserve"> PAGEREF _Toc495861568 \h </w:instrText>
          </w:r>
          <w:r>
            <w:fldChar w:fldCharType="separate"/>
          </w:r>
          <w:r>
            <w:t>74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"_Toc495861569" </w:instrText>
          </w:r>
          <w:r>
            <w:fldChar w:fldCharType="separate"/>
          </w:r>
          <w:r>
            <w:rPr>
              <w:rStyle w:val="27"/>
              <w:rFonts w:hint="eastAsia" w:eastAsia="宋体"/>
            </w:rPr>
            <w:t>附件二十、</w:t>
          </w:r>
          <w:r>
            <w:rPr>
              <w:rFonts w:asciiTheme="minorHAnsi" w:hAnsiTheme="minorHAnsi"/>
              <w:iCs w:val="0"/>
              <w:color w:val="auto"/>
              <w:kern w:val="2"/>
              <w:sz w:val="21"/>
            </w:rPr>
            <w:tab/>
          </w:r>
          <w:r>
            <w:rPr>
              <w:rStyle w:val="27"/>
              <w:rFonts w:hint="eastAsia" w:eastAsia="宋体"/>
            </w:rPr>
            <w:t>技术、服务要求“★”号条款响应、偏离说明表</w:t>
          </w:r>
          <w:r>
            <w:tab/>
          </w:r>
          <w:r>
            <w:fldChar w:fldCharType="begin"/>
          </w:r>
          <w:r>
            <w:instrText xml:space="preserve"> PAGEREF _Toc495861569 \h </w:instrText>
          </w:r>
          <w:r>
            <w:fldChar w:fldCharType="separate"/>
          </w:r>
          <w:r>
            <w:t>75</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7"/>
              <w:rFonts w:hint="eastAsia" w:eastAsia="宋体"/>
            </w:rPr>
            <w:t>附件二十一、</w:t>
          </w:r>
          <w:r>
            <w:rPr>
              <w:rFonts w:asciiTheme="minorHAnsi" w:hAnsiTheme="minorHAnsi"/>
              <w:iCs w:val="0"/>
              <w:color w:val="auto"/>
              <w:kern w:val="2"/>
              <w:sz w:val="21"/>
            </w:rPr>
            <w:tab/>
          </w:r>
          <w:r>
            <w:rPr>
              <w:rStyle w:val="27"/>
              <w:rFonts w:hint="eastAsia" w:eastAsia="宋体"/>
            </w:rPr>
            <w:t>技术、服务评议对照表</w:t>
          </w:r>
          <w:r>
            <w:tab/>
          </w:r>
          <w:r>
            <w:fldChar w:fldCharType="begin"/>
          </w:r>
          <w:r>
            <w:instrText xml:space="preserve"> PAGEREF _Toc495861570 \h </w:instrText>
          </w:r>
          <w:r>
            <w:fldChar w:fldCharType="separate"/>
          </w:r>
          <w:r>
            <w:t>76</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20"/>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right="0" w:firstLine="480" w:firstLineChars="200"/>
        <w:rPr>
          <w:color w:val="auto"/>
        </w:rPr>
      </w:pPr>
      <w:bookmarkStart w:id="1" w:name="_Toc495861518"/>
      <w:r>
        <w:rPr>
          <w:rFonts w:hint="eastAsia" w:ascii="宋体" w:hAnsi="宋体" w:cs="宋体"/>
          <w:color w:val="auto"/>
          <w:sz w:val="24"/>
          <w:szCs w:val="24"/>
          <w:shd w:val="clear" w:fill="FFFFFF"/>
          <w:lang w:eastAsia="zh-CN"/>
        </w:rPr>
        <w:t>阳新县人民医院医疗设备采购项目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w:t>
      </w:r>
      <w:r>
        <w:rPr>
          <w:rFonts w:hint="eastAsia" w:ascii="宋体" w:hAnsi="宋体" w:eastAsia="宋体" w:cs="宋体"/>
          <w:color w:val="auto"/>
          <w:spacing w:val="0"/>
          <w:sz w:val="24"/>
          <w:szCs w:val="24"/>
          <w:u w:val="single"/>
          <w:shd w:val="clear" w:fill="FFFFFF"/>
          <w:lang w:val="en-US" w:eastAsia="zh-CN"/>
        </w:rPr>
        <w:t>1</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1 </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4 </w:t>
      </w:r>
      <w:r>
        <w:rPr>
          <w:rFonts w:hint="eastAsia" w:ascii="宋体" w:hAnsi="宋体" w:eastAsia="宋体" w:cs="宋体"/>
          <w:color w:val="auto"/>
          <w:spacing w:val="0"/>
          <w:sz w:val="24"/>
          <w:szCs w:val="24"/>
          <w:shd w:val="clear" w:fill="FFFFFF"/>
        </w:rPr>
        <w:t>日</w:t>
      </w:r>
      <w:r>
        <w:rPr>
          <w:rFonts w:hint="eastAsia" w:ascii="宋体" w:hAnsi="宋体" w:cs="宋体"/>
          <w:color w:val="auto"/>
          <w:spacing w:val="0"/>
          <w:sz w:val="24"/>
          <w:szCs w:val="24"/>
          <w:u w:val="single"/>
          <w:shd w:val="clear" w:fill="FFFFFF"/>
          <w:lang w:val="en-US" w:eastAsia="zh-CN"/>
        </w:rPr>
        <w:t xml:space="preserve"> 9 </w:t>
      </w:r>
      <w:r>
        <w:rPr>
          <w:rFonts w:hint="eastAsia" w:ascii="宋体" w:hAnsi="宋体" w:eastAsia="宋体" w:cs="宋体"/>
          <w:color w:val="auto"/>
          <w:spacing w:val="0"/>
          <w:sz w:val="24"/>
          <w:szCs w:val="24"/>
          <w:shd w:val="clear" w:fill="FFFFFF"/>
        </w:rPr>
        <w:t>点00分(</w:t>
      </w:r>
      <w:r>
        <w:rPr>
          <w:rFonts w:hint="eastAsia" w:ascii="宋体" w:hAnsi="宋体" w:eastAsia="宋体" w:cs="宋体"/>
          <w:color w:val="auto"/>
          <w:sz w:val="24"/>
          <w:szCs w:val="24"/>
          <w:shd w:val="clear" w:fill="FFFFFF"/>
        </w:rPr>
        <w:t>北京时间）前递交投标文件。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w:t>
      </w:r>
      <w:r>
        <w:rPr>
          <w:rFonts w:hint="eastAsia" w:ascii="宋体" w:hAnsi="宋体" w:eastAsia="宋体" w:cs="宋体"/>
          <w:color w:val="auto"/>
          <w:sz w:val="24"/>
          <w:szCs w:val="24"/>
          <w:shd w:val="clear" w:fill="FFFFFF"/>
          <w:lang w:eastAsia="zh-CN"/>
        </w:rPr>
        <w:t>131-2020CG-</w:t>
      </w:r>
      <w:r>
        <w:rPr>
          <w:rFonts w:hint="eastAsia" w:ascii="宋体" w:hAnsi="宋体" w:cs="宋体"/>
          <w:color w:val="auto"/>
          <w:sz w:val="24"/>
          <w:szCs w:val="24"/>
          <w:u w:val="single"/>
          <w:shd w:val="clear" w:fill="FFFFFF"/>
          <w:lang w:val="en-US" w:eastAsia="zh-CN"/>
        </w:rPr>
        <w:t xml:space="preserve"> 282  </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（政府采购备案号：阳财采计备[2020]A</w:t>
      </w:r>
      <w:r>
        <w:rPr>
          <w:rFonts w:hint="eastAsia" w:ascii="宋体" w:hAnsi="宋体" w:cs="宋体"/>
          <w:i w:val="0"/>
          <w:caps w:val="0"/>
          <w:color w:val="auto"/>
          <w:spacing w:val="0"/>
          <w:kern w:val="0"/>
          <w:sz w:val="24"/>
          <w:szCs w:val="24"/>
          <w:u w:val="single"/>
          <w:shd w:val="clear" w:fill="FFFFFF"/>
          <w:lang w:val="en-US" w:eastAsia="zh-CN" w:bidi="ar"/>
        </w:rPr>
        <w:t xml:space="preserve"> 229</w:t>
      </w:r>
      <w:r>
        <w:rPr>
          <w:rFonts w:hint="eastAsia" w:ascii="宋体" w:hAnsi="宋体" w:eastAsia="宋体" w:cs="宋体"/>
          <w:i w:val="0"/>
          <w:caps w:val="0"/>
          <w:color w:val="auto"/>
          <w:spacing w:val="0"/>
          <w:kern w:val="0"/>
          <w:sz w:val="24"/>
          <w:szCs w:val="24"/>
          <w:u w:val="single"/>
          <w:shd w:val="clear" w:fill="FFFFFF"/>
          <w:lang w:val="en-US" w:eastAsia="zh-CN" w:bidi="ar"/>
        </w:rPr>
        <w:t xml:space="preserve"> </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eastAsia="zh-CN"/>
        </w:rPr>
      </w:pPr>
      <w:r>
        <w:rPr>
          <w:rFonts w:hint="eastAsia" w:ascii="宋体" w:hAnsi="宋体" w:eastAsia="宋体" w:cs="宋体"/>
          <w:color w:val="auto"/>
          <w:sz w:val="24"/>
          <w:szCs w:val="24"/>
          <w:shd w:val="clear" w:fill="FFFFFF"/>
        </w:rPr>
        <w:t>项目名称：</w:t>
      </w:r>
      <w:r>
        <w:rPr>
          <w:rFonts w:hint="eastAsia" w:ascii="宋体" w:hAnsi="宋体" w:eastAsia="宋体" w:cs="宋体"/>
          <w:color w:val="auto"/>
          <w:sz w:val="24"/>
          <w:szCs w:val="24"/>
          <w:shd w:val="clear" w:fill="FFFFFF"/>
          <w:lang w:eastAsia="zh-CN"/>
        </w:rPr>
        <w:t>阳新县人民医院医疗设备采购项目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lang w:val="en-US" w:eastAsia="zh-CN"/>
        </w:rPr>
      </w:pPr>
      <w:r>
        <w:rPr>
          <w:rFonts w:hint="eastAsia" w:ascii="宋体" w:hAnsi="宋体" w:eastAsia="宋体" w:cs="宋体"/>
          <w:color w:val="auto"/>
          <w:sz w:val="24"/>
          <w:szCs w:val="24"/>
          <w:shd w:val="clear" w:fill="FFFFFF"/>
        </w:rPr>
        <w:t>预算金额</w:t>
      </w:r>
      <w:r>
        <w:rPr>
          <w:rFonts w:hint="eastAsia" w:ascii="宋体" w:hAnsi="宋体" w:eastAsia="宋体" w:cs="宋体"/>
          <w:color w:val="auto"/>
          <w:sz w:val="24"/>
          <w:szCs w:val="24"/>
          <w:shd w:val="clear" w:fill="FFFFFF"/>
          <w:lang w:eastAsia="zh-CN"/>
        </w:rPr>
        <w:t>：</w:t>
      </w:r>
      <w:r>
        <w:rPr>
          <w:rFonts w:hint="eastAsia" w:ascii="宋体" w:hAnsi="宋体" w:cs="宋体"/>
          <w:b/>
          <w:bCs/>
          <w:kern w:val="0"/>
          <w:sz w:val="24"/>
          <w:lang w:val="en-US" w:eastAsia="zh-CN"/>
        </w:rPr>
        <w:t>一</w:t>
      </w:r>
      <w:r>
        <w:rPr>
          <w:rFonts w:hint="default" w:ascii="宋体" w:hAnsi="宋体" w:cs="宋体"/>
          <w:b/>
          <w:bCs/>
          <w:kern w:val="0"/>
          <w:sz w:val="24"/>
          <w:lang w:val="en-US" w:eastAsia="zh-CN"/>
        </w:rPr>
        <w:t>包：</w:t>
      </w:r>
      <w:r>
        <w:rPr>
          <w:rFonts w:hint="eastAsia" w:ascii="宋体" w:hAnsi="宋体" w:cs="宋体"/>
          <w:kern w:val="0"/>
          <w:sz w:val="24"/>
          <w:lang w:val="en-US" w:eastAsia="zh-CN"/>
        </w:rPr>
        <w:t>143万元；</w:t>
      </w:r>
      <w:r>
        <w:rPr>
          <w:rFonts w:hint="eastAsia" w:ascii="宋体" w:hAnsi="宋体" w:cs="宋体"/>
          <w:b/>
          <w:bCs/>
          <w:kern w:val="0"/>
          <w:sz w:val="24"/>
          <w:lang w:val="en-US" w:eastAsia="zh-CN"/>
        </w:rPr>
        <w:t>二包：</w:t>
      </w:r>
      <w:r>
        <w:rPr>
          <w:rFonts w:hint="eastAsia" w:ascii="宋体" w:hAnsi="宋体" w:cs="宋体"/>
          <w:kern w:val="0"/>
          <w:sz w:val="24"/>
          <w:lang w:val="en-US" w:eastAsia="zh-CN"/>
        </w:rPr>
        <w:t>180万元；</w:t>
      </w:r>
      <w:r>
        <w:rPr>
          <w:rFonts w:hint="eastAsia" w:ascii="宋体" w:hAnsi="宋体" w:cs="宋体"/>
          <w:b/>
          <w:bCs/>
          <w:kern w:val="0"/>
          <w:sz w:val="24"/>
          <w:lang w:val="en-US" w:eastAsia="zh-CN"/>
        </w:rPr>
        <w:t>三包：</w:t>
      </w:r>
      <w:r>
        <w:rPr>
          <w:rFonts w:hint="eastAsia" w:ascii="宋体" w:hAnsi="宋体" w:cs="宋体"/>
          <w:kern w:val="0"/>
          <w:sz w:val="24"/>
          <w:lang w:val="en-US" w:eastAsia="zh-CN"/>
        </w:rPr>
        <w:t>160万元；</w:t>
      </w:r>
      <w:r>
        <w:rPr>
          <w:rFonts w:hint="eastAsia" w:ascii="宋体" w:hAnsi="宋体" w:cs="宋体"/>
          <w:b/>
          <w:bCs/>
          <w:kern w:val="0"/>
          <w:sz w:val="24"/>
          <w:lang w:val="en-US" w:eastAsia="zh-CN"/>
        </w:rPr>
        <w:t>四包：</w:t>
      </w:r>
      <w:r>
        <w:rPr>
          <w:rFonts w:hint="eastAsia" w:ascii="宋体" w:hAnsi="宋体" w:cs="宋体"/>
          <w:kern w:val="0"/>
          <w:sz w:val="24"/>
          <w:lang w:val="en-US" w:eastAsia="zh-CN"/>
        </w:rPr>
        <w:t>110万元；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五包：</w:t>
      </w:r>
      <w:r>
        <w:rPr>
          <w:rFonts w:hint="eastAsia" w:ascii="宋体" w:hAnsi="宋体" w:cs="宋体"/>
          <w:kern w:val="0"/>
          <w:sz w:val="24"/>
          <w:lang w:val="en-US" w:eastAsia="zh-CN"/>
        </w:rPr>
        <w:t>160万元；</w:t>
      </w:r>
      <w:r>
        <w:rPr>
          <w:rFonts w:hint="eastAsia" w:ascii="宋体" w:hAnsi="宋体" w:cs="宋体"/>
          <w:b/>
          <w:bCs/>
          <w:kern w:val="0"/>
          <w:sz w:val="24"/>
          <w:lang w:val="en-US" w:eastAsia="zh-CN"/>
        </w:rPr>
        <w:t>六包：</w:t>
      </w:r>
      <w:r>
        <w:rPr>
          <w:rFonts w:hint="eastAsia" w:ascii="宋体" w:hAnsi="宋体" w:cs="宋体"/>
          <w:kern w:val="0"/>
          <w:sz w:val="24"/>
          <w:lang w:val="en-US" w:eastAsia="zh-CN"/>
        </w:rPr>
        <w:t>137万元（超过预算金额作为无效投标）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采购需求：</w:t>
      </w:r>
      <w:r>
        <w:rPr>
          <w:rFonts w:hint="eastAsia" w:ascii="宋体" w:hAnsi="宋体" w:eastAsia="宋体" w:cs="宋体"/>
          <w:color w:val="auto"/>
          <w:sz w:val="24"/>
          <w:szCs w:val="24"/>
          <w:shd w:val="clear" w:fill="FFFFFF"/>
          <w:lang w:eastAsia="zh-CN"/>
        </w:rPr>
        <w:t>采购一批医疗设备</w:t>
      </w:r>
      <w:r>
        <w:rPr>
          <w:rFonts w:hint="eastAsia" w:ascii="宋体" w:hAnsi="宋体" w:eastAsia="宋体" w:cs="宋体"/>
          <w:color w:val="auto"/>
          <w:sz w:val="24"/>
          <w:szCs w:val="24"/>
          <w:shd w:val="clear" w:fill="FFFFFF"/>
        </w:rPr>
        <w:t>（详见招标文件）</w:t>
      </w:r>
      <w:r>
        <w:rPr>
          <w:rFonts w:hint="eastAsia" w:ascii="宋体" w:hAnsi="宋体" w:eastAsia="宋体" w:cs="宋体"/>
          <w:color w:val="auto"/>
          <w:sz w:val="24"/>
          <w:szCs w:val="24"/>
          <w:shd w:val="clear" w:fill="FFFFFF"/>
          <w:lang w:val="en-US" w:eastAsia="zh-CN"/>
        </w:rPr>
        <w:t>,</w:t>
      </w:r>
      <w:r>
        <w:rPr>
          <w:rFonts w:hint="eastAsia" w:ascii="宋体" w:hAnsi="宋体" w:eastAsia="宋体" w:cs="宋体"/>
          <w:color w:val="auto"/>
          <w:sz w:val="24"/>
          <w:szCs w:val="24"/>
          <w:shd w:val="clear" w:fill="FFFFFF"/>
        </w:rPr>
        <w:t>本</w:t>
      </w:r>
      <w:r>
        <w:rPr>
          <w:rFonts w:hint="eastAsia" w:ascii="宋体" w:hAnsi="宋体" w:eastAsia="宋体" w:cs="宋体"/>
          <w:color w:val="0C0C0C"/>
          <w:sz w:val="24"/>
          <w:szCs w:val="24"/>
          <w:shd w:val="clear" w:fill="FFFFFF"/>
        </w:rPr>
        <w:t>项目已办理进口产品审批手续</w:t>
      </w:r>
      <w:r>
        <w:rPr>
          <w:rFonts w:hint="eastAsia" w:ascii="宋体" w:hAnsi="宋体" w:cs="宋体"/>
          <w:color w:val="0C0C0C"/>
          <w:sz w:val="24"/>
          <w:szCs w:val="24"/>
          <w:shd w:val="clear" w:fill="FFFFFF"/>
          <w:lang w:eastAsia="zh-CN"/>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sz w:val="24"/>
          <w:szCs w:val="24"/>
          <w:u w:val="none"/>
          <w:lang w:eastAsia="zh-CN"/>
        </w:rPr>
        <w:t>合同签定后</w:t>
      </w:r>
      <w:r>
        <w:rPr>
          <w:rFonts w:hint="eastAsia" w:ascii="宋体" w:hAnsi="宋体" w:cs="宋体"/>
          <w:sz w:val="24"/>
          <w:szCs w:val="24"/>
          <w:u w:val="none"/>
          <w:lang w:val="en-US" w:eastAsia="zh-CN"/>
        </w:rPr>
        <w:t>30</w:t>
      </w:r>
      <w:r>
        <w:rPr>
          <w:rFonts w:hint="eastAsia" w:ascii="宋体" w:hAnsi="宋体" w:eastAsia="宋体" w:cs="宋体"/>
          <w:sz w:val="24"/>
          <w:szCs w:val="24"/>
          <w:u w:val="none"/>
          <w:lang w:val="en-US" w:eastAsia="zh-CN"/>
        </w:rPr>
        <w:t>个工作日内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3、特定条件：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4、本项目不接受联合体形式的投标。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三、获取招标文件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12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4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12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11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日17:30(北京时间)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2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5"/>
          <w:rFonts w:hint="eastAsia" w:ascii="宋体" w:hAnsi="宋体" w:eastAsia="宋体" w:cs="宋体"/>
          <w:color w:val="auto"/>
          <w:sz w:val="24"/>
          <w:szCs w:val="24"/>
          <w:shd w:val="clear" w:fill="FFFFFF"/>
        </w:rPr>
      </w:pPr>
      <w:r>
        <w:rPr>
          <w:rStyle w:val="25"/>
          <w:rFonts w:hint="eastAsia" w:ascii="宋体" w:hAnsi="宋体" w:eastAsia="宋体" w:cs="宋体"/>
          <w:color w:val="auto"/>
          <w:sz w:val="24"/>
          <w:szCs w:val="24"/>
          <w:shd w:val="clear" w:fill="FFFFFF"/>
        </w:rPr>
        <w:t>提交投标文件截止时间、开标时间和地点</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w:t>
      </w:r>
      <w:r>
        <w:rPr>
          <w:rFonts w:hint="eastAsia" w:ascii="宋体" w:hAnsi="宋体" w:eastAsia="宋体" w:cs="宋体"/>
          <w:color w:val="auto"/>
          <w:sz w:val="24"/>
          <w:szCs w:val="24"/>
          <w:u w:val="single"/>
          <w:shd w:val="clear" w:fill="FFFFFF"/>
          <w:lang w:val="en-US" w:eastAsia="zh-CN"/>
        </w:rPr>
        <w:t>1</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4</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r>
        <w:rPr>
          <w:rFonts w:hint="eastAsia" w:ascii="宋体" w:hAnsi="宋体" w:cs="宋体"/>
          <w:color w:val="auto"/>
          <w:sz w:val="24"/>
          <w:szCs w:val="24"/>
          <w:u w:val="single"/>
          <w:shd w:val="clear" w:fill="FFFFFF"/>
          <w:lang w:val="en-US" w:eastAsia="zh-CN"/>
        </w:rPr>
        <w:t xml:space="preserve"> 09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00分</w:t>
      </w:r>
      <w:r>
        <w:rPr>
          <w:rFonts w:hint="eastAsia" w:ascii="宋体" w:hAnsi="宋体" w:eastAsia="宋体" w:cs="宋体"/>
          <w:color w:val="auto"/>
          <w:sz w:val="24"/>
          <w:szCs w:val="24"/>
          <w:shd w:val="clear" w:fill="FFFFFF"/>
        </w:rPr>
        <w:t>（</w:t>
      </w:r>
      <w:r>
        <w:rPr>
          <w:rFonts w:hint="eastAsia" w:ascii="宋体" w:hAnsi="宋体" w:cs="宋体"/>
          <w:color w:val="auto"/>
          <w:sz w:val="24"/>
          <w:szCs w:val="24"/>
          <w:u w:val="single"/>
          <w:shd w:val="clear" w:fill="FFFFFF"/>
          <w:lang w:val="en-US" w:eastAsia="zh-CN"/>
        </w:rPr>
        <w:t xml:space="preserve"> 08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0分开始接收投标文件，拒收逾期送达或者未按招标文件要求密封的投标文件）</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二</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五、公告期限</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六、其他补充事宜</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七、对本次招标提出询问，请按以下方式联系。</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1.采购人信息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eastAsia="宋体" w:cs="宋体"/>
          <w:b/>
          <w:color w:val="000000"/>
          <w:sz w:val="24"/>
          <w:szCs w:val="24"/>
          <w:u w:val="single"/>
          <w:lang w:eastAsia="zh-CN"/>
        </w:rPr>
        <w:t>阳新县人民医院</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地   址：</w:t>
      </w:r>
      <w:r>
        <w:rPr>
          <w:rFonts w:hint="eastAsia" w:ascii="宋体" w:hAnsi="宋体" w:eastAsia="宋体" w:cs="宋体"/>
          <w:b/>
          <w:bCs/>
          <w:kern w:val="0"/>
          <w:sz w:val="24"/>
          <w:u w:val="single"/>
          <w:lang w:eastAsia="zh-CN"/>
        </w:rPr>
        <w:t>阳新县兴国镇儒学垴路</w:t>
      </w:r>
      <w:r>
        <w:rPr>
          <w:rFonts w:hint="eastAsia" w:ascii="宋体" w:hAnsi="宋体" w:eastAsia="宋体" w:cs="宋体"/>
          <w:b/>
          <w:bCs/>
          <w:kern w:val="0"/>
          <w:sz w:val="24"/>
          <w:u w:val="single"/>
          <w:lang w:val="en-US" w:eastAsia="zh-CN"/>
        </w:rPr>
        <w:t>81</w:t>
      </w:r>
      <w:r>
        <w:rPr>
          <w:rFonts w:hint="eastAsia" w:ascii="宋体" w:hAnsi="宋体" w:eastAsia="宋体" w:cs="宋体"/>
          <w:b/>
          <w:bCs/>
          <w:kern w:val="0"/>
          <w:sz w:val="24"/>
          <w:u w:val="single"/>
          <w:lang w:eastAsia="zh-CN"/>
        </w:rPr>
        <w:t>号</w:t>
      </w:r>
    </w:p>
    <w:p>
      <w:pPr>
        <w:pStyle w:val="20"/>
        <w:keepNext w:val="0"/>
        <w:keepLines w:val="0"/>
        <w:widowControl/>
        <w:suppressLineNumbers w:val="0"/>
        <w:spacing w:before="0" w:beforeAutospacing="0" w:after="0" w:afterAutospacing="0" w:line="360" w:lineRule="auto"/>
        <w:ind w:left="0" w:right="0" w:firstLine="480"/>
        <w:rPr>
          <w:rFonts w:hint="default" w:eastAsia="宋体"/>
          <w:color w:val="auto"/>
          <w:lang w:val="en-US" w:eastAsia="zh-CN"/>
        </w:rPr>
      </w:pPr>
      <w:r>
        <w:rPr>
          <w:rFonts w:hint="eastAsia" w:ascii="宋体" w:hAnsi="宋体" w:eastAsia="宋体" w:cs="宋体"/>
          <w:color w:val="auto"/>
          <w:sz w:val="24"/>
          <w:szCs w:val="24"/>
          <w:shd w:val="clear" w:fill="FFFFFF"/>
        </w:rPr>
        <w:t>联系方式：</w:t>
      </w:r>
      <w:r>
        <w:rPr>
          <w:rFonts w:hint="eastAsia" w:ascii="宋体" w:hAnsi="宋体" w:cs="宋体"/>
          <w:b/>
          <w:bCs w:val="0"/>
          <w:color w:val="000000"/>
          <w:kern w:val="0"/>
          <w:sz w:val="24"/>
          <w:szCs w:val="24"/>
          <w:u w:val="single"/>
          <w:lang w:val="en-US" w:eastAsia="zh-CN"/>
        </w:rPr>
        <w:t>0714-7314409</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2.采购代理机构信息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cs="宋体"/>
          <w:b/>
          <w:color w:val="000000"/>
          <w:sz w:val="24"/>
          <w:szCs w:val="24"/>
          <w:u w:val="single"/>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地   址：</w:t>
      </w:r>
      <w:r>
        <w:rPr>
          <w:rFonts w:hint="eastAsia" w:ascii="宋体" w:hAnsi="宋体" w:cs="宋体"/>
          <w:b/>
          <w:color w:val="000000"/>
          <w:sz w:val="24"/>
          <w:szCs w:val="24"/>
          <w:u w:val="single"/>
          <w:lang w:eastAsia="zh-CN"/>
        </w:rPr>
        <w:t>阳新县兴国镇惠美家超市后面青山小区</w:t>
      </w:r>
      <w:r>
        <w:rPr>
          <w:rFonts w:hint="eastAsia" w:ascii="宋体" w:hAnsi="宋体" w:cs="宋体"/>
          <w:b/>
          <w:color w:val="000000"/>
          <w:sz w:val="24"/>
          <w:szCs w:val="24"/>
          <w:u w:val="single"/>
          <w:lang w:val="en-US" w:eastAsia="zh-CN"/>
        </w:rPr>
        <w:t>1号楼402室</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联系方式：</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3.项目联系方式</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项目联系人：</w:t>
      </w:r>
      <w:r>
        <w:rPr>
          <w:rFonts w:hint="eastAsia" w:ascii="宋体" w:hAnsi="宋体" w:cs="宋体"/>
          <w:b/>
          <w:bCs/>
          <w:color w:val="auto"/>
          <w:sz w:val="24"/>
          <w:szCs w:val="24"/>
          <w:u w:val="single"/>
          <w:shd w:val="clear" w:fill="FFFFFF"/>
          <w:lang w:eastAsia="zh-CN"/>
        </w:rPr>
        <w:t>姚锦花</w:t>
      </w: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电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 xml:space="preserve"> 话：</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jc w:val="right"/>
        <w:rPr>
          <w:rFonts w:hint="eastAsia" w:eastAsiaTheme="minorEastAsia"/>
          <w:color w:val="auto"/>
          <w:lang w:eastAsia="zh-CN"/>
        </w:rPr>
      </w:pPr>
      <w:r>
        <w:rPr>
          <w:rFonts w:hint="eastAsia" w:ascii="宋体" w:hAnsi="宋体" w:cs="宋体"/>
          <w:color w:val="auto"/>
          <w:sz w:val="24"/>
          <w:szCs w:val="24"/>
          <w:shd w:val="clear" w:fill="FFFFFF"/>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jc w:val="right"/>
      </w:pP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12</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cs="宋体"/>
          <w:color w:val="auto"/>
          <w:sz w:val="24"/>
          <w:szCs w:val="24"/>
          <w:u w:val="single"/>
          <w:shd w:val="clear" w:fill="FFFFFF"/>
          <w:lang w:val="en-US" w:eastAsia="zh-CN"/>
        </w:rPr>
        <w:t xml:space="preserve"> 4</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p>
    <w:p>
      <w:pPr>
        <w:pStyle w:val="3"/>
        <w:numPr>
          <w:ilvl w:val="0"/>
          <w:numId w:val="1"/>
        </w:numPr>
        <w:spacing w:before="240" w:after="120"/>
        <w:ind w:left="883" w:hanging="880" w:hangingChars="200"/>
        <w:jc w:val="center"/>
        <w:rPr>
          <w:rFonts w:ascii="黑体" w:hAnsi="黑体" w:eastAsia="黑体"/>
          <w:highlight w:val="none"/>
        </w:rPr>
      </w:pPr>
      <w:r>
        <w:rPr>
          <w:rFonts w:hint="eastAsia" w:ascii="黑体" w:hAnsi="黑体" w:eastAsia="黑体"/>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2" w:name="_Toc494561937"/>
      <w:bookmarkStart w:id="3" w:name="_Toc495861519"/>
      <w:r>
        <w:rPr>
          <w:rFonts w:cs="Times New Roman" w:asciiTheme="majorEastAsia" w:hAnsiTheme="majorEastAsia" w:eastAsiaTheme="majorEastAsia"/>
          <w:b/>
          <w:bCs/>
          <w:sz w:val="32"/>
          <w:szCs w:val="32"/>
          <w:highlight w:val="none"/>
          <w:lang w:val="zh-CN"/>
        </w:rPr>
        <w:t>投标须知前附表</w:t>
      </w:r>
      <w:bookmarkEnd w:id="2"/>
      <w:bookmarkEnd w:id="3"/>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 xml:space="preserve">131-2020CG- 282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阳新县人民医院医疗设备采购项目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宋体" w:hAnsi="宋体" w:eastAsia="宋体" w:cs="宋体"/>
                <w:bCs/>
                <w:color w:val="auto"/>
                <w:kern w:val="0"/>
                <w:sz w:val="24"/>
                <w:szCs w:val="24"/>
                <w:highlight w:val="none"/>
                <w:u w:val="non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保证金</w:t>
            </w:r>
            <w:r>
              <w:rPr>
                <w:rFonts w:hint="eastAsia" w:ascii="Times New Roman" w:hAnsi="宋体" w:eastAsia="宋体" w:cs="Times New Roman"/>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正本</w:t>
            </w:r>
            <w:r>
              <w:rPr>
                <w:rFonts w:hint="eastAsia" w:ascii="Times New Roman" w:hAnsi="Times New Roman" w:eastAsia="宋体" w:cs="Times New Roman"/>
                <w:color w:val="0D0D0D"/>
                <w:sz w:val="24"/>
                <w:szCs w:val="24"/>
                <w:highlight w:val="none"/>
              </w:rPr>
              <w:t>一</w:t>
            </w:r>
            <w:r>
              <w:rPr>
                <w:rFonts w:ascii="Times New Roman" w:hAnsi="Times New Roman" w:eastAsia="宋体" w:cs="Times New Roman"/>
                <w:color w:val="0D0D0D"/>
                <w:sz w:val="24"/>
                <w:szCs w:val="24"/>
                <w:highlight w:val="none"/>
              </w:rPr>
              <w:t>份</w:t>
            </w:r>
            <w:r>
              <w:rPr>
                <w:rFonts w:hint="eastAsia" w:ascii="Times New Roman" w:hAnsi="Times New Roman" w:eastAsia="宋体" w:cs="Times New Roman"/>
                <w:color w:val="0D0D0D"/>
                <w:sz w:val="24"/>
                <w:szCs w:val="24"/>
                <w:highlight w:val="none"/>
              </w:rPr>
              <w:t>，</w:t>
            </w:r>
            <w:r>
              <w:rPr>
                <w:rFonts w:ascii="Times New Roman" w:hAnsi="Times New Roman" w:eastAsia="宋体" w:cs="Times New Roman"/>
                <w:color w:val="0D0D0D"/>
                <w:sz w:val="24"/>
                <w:szCs w:val="24"/>
                <w:highlight w:val="none"/>
              </w:rPr>
              <w:t>副本</w:t>
            </w:r>
            <w:r>
              <w:rPr>
                <w:rFonts w:hint="eastAsia" w:ascii="Times New Roman" w:hAnsi="Times New Roman" w:eastAsia="宋体" w:cs="Times New Roman"/>
                <w:color w:val="0D0D0D"/>
                <w:sz w:val="24"/>
                <w:szCs w:val="24"/>
                <w:highlight w:val="none"/>
                <w:lang w:eastAsia="zh-CN"/>
              </w:rPr>
              <w:t>四</w:t>
            </w:r>
            <w:r>
              <w:rPr>
                <w:rFonts w:ascii="Times New Roman" w:hAnsi="Times New Roman" w:eastAsia="宋体" w:cs="Times New Roman"/>
                <w:color w:val="0D0D0D"/>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宋体" w:hAnsi="宋体" w:eastAsia="宋体" w:cs="宋体"/>
                <w:color w:val="0D0D0D"/>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FF0000"/>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不提交</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color w:val="000000"/>
                <w:sz w:val="24"/>
                <w:szCs w:val="24"/>
                <w:highlight w:val="none"/>
              </w:rPr>
              <w:t>现</w:t>
            </w:r>
            <w:r>
              <w:rPr>
                <w:rFonts w:hint="eastAsia" w:ascii="宋体" w:hAnsi="宋体" w:eastAsia="宋体" w:cs="宋体"/>
                <w:sz w:val="24"/>
                <w:szCs w:val="24"/>
                <w:highlight w:val="none"/>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不组织</w:t>
            </w:r>
          </w:p>
          <w:p>
            <w:pPr>
              <w:ind w:right="-105" w:rightChars="-50"/>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综合评分法</w:t>
            </w:r>
          </w:p>
          <w:p>
            <w:pPr>
              <w:rPr>
                <w:rFonts w:ascii="Times New Roman" w:hAnsi="Times New Roman" w:eastAsia="宋体" w:cs="Times New Roman"/>
                <w:color w:val="0D0D0D"/>
                <w:sz w:val="24"/>
                <w:szCs w:val="24"/>
                <w:highlight w:val="none"/>
                <w:lang w:val="zh-CN"/>
              </w:rPr>
            </w:pPr>
            <w:r>
              <w:rPr>
                <w:rFonts w:hint="eastAsia" w:ascii="Times New Roman" w:hAnsi="Times New Roman" w:eastAsia="宋体" w:cs="Times New Roman"/>
                <w:color w:val="0D0D0D"/>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highlight w:val="none"/>
              </w:rPr>
            </w:pPr>
            <w:r>
              <w:rPr>
                <w:rFonts w:hint="eastAsia" w:cs="Times New Roman" w:asciiTheme="minorEastAsia" w:hAnsiTheme="minorEastAsia"/>
                <w:color w:val="0D0D0D"/>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4" w:name="_Toc494561938"/>
      <w:r>
        <w:rPr>
          <w:rFonts w:ascii="黑体" w:hAnsi="黑体" w:eastAsia="黑体" w:cs="Times New Roman"/>
          <w:b/>
          <w:bCs/>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广州穗科建设管理有限公司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sz w:val="24"/>
          <w:szCs w:val="24"/>
        </w:rPr>
      </w:pPr>
      <w:r>
        <w:rPr>
          <w:rFonts w:hint="eastAsia" w:ascii="宋体" w:hAnsi="宋体"/>
          <w:sz w:val="24"/>
          <w:szCs w:val="24"/>
        </w:rPr>
        <w:t>采购代理服务费</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r>
        <w:rPr>
          <w:rFonts w:hint="eastAsia" w:ascii="宋体" w:hAnsi="宋体"/>
          <w:b/>
          <w:sz w:val="24"/>
          <w:szCs w:val="24"/>
          <w:lang w:val="en-US" w:eastAsia="zh-CN"/>
        </w:rPr>
        <w:t>4.2.1</w:t>
      </w:r>
      <w:r>
        <w:rPr>
          <w:rFonts w:hint="eastAsia" w:ascii="宋体" w:hAnsi="宋体"/>
          <w:b/>
          <w:sz w:val="24"/>
          <w:szCs w:val="24"/>
        </w:rPr>
        <w:t>经过采购代理机构与采购人协议，规定由中标单位支付。采购代理服务费收费标准如下：</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2DvWT7gEAAPMDAAAOAAAAZHJzL2Uyb0RvYy54bWytU02P0zAQvSPx&#10;HyzfaZKKlm3UdA9bFg4rqATs3fVHYslf8rhN++8ZO90Cu5ceyCEae8Zv3nser+9P1pCjjKC962gz&#10;qymRjnuhXd/RXz8fP9xRAok5wYx3sqNnCfR+8/7degytnPvBGyEjQRAH7Rg6OqQU2qoCPkjLYOaD&#10;dJhUPlqWcBn7SkQ2Iro11byul9XoowjRcwmAu9spSS+I8RZAr5Tmcuv5wUqXJtQoDUsoCQYdgG4K&#10;W6UkT9+VApmI6SgqTeWPTTDe53+1WbO2jywMml8osFsovNJkmXbY9Aq1ZYmRQ9RvoKzm0YNXaca9&#10;rSYhxRFU0dSvvPkxsCCLFrQawtV0+H+w/NtxF4kWHZ1T4pjFC3/STpJmma0ZA7RY8eB28bKCsItZ&#10;50lFS5TR4SvOEC3Rc45yDlWRU7H4fLVYnhLhuNl8bOrVJ3SfY+5uuVotyh1UE2I+HSKkL9JbkoOO&#10;GmRTUNnxCRKywNKXklxuHBk7ulrMF4jJcB4VzgGGNqAmcH05C95o8aiNyScg9vsHE8mR5ZkoX9aK&#10;uP+U5SZbBsNUV1LTtAySic9OkHQO6JbDR0IzBSsFJUbim8oRArI2MW1uqcTWxiGDbPdkcI72Xpzx&#10;bg4h6n5AJ5rCMmdwFgrfy9zmYft7XZD+vNX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Gc6zR&#10;AAAACQEAAA8AAAAAAAAAAQAgAAAAIgAAAGRycy9kb3ducmV2LnhtbFBLAQIUABQAAAAIAIdO4kC2&#10;DvWT7gEAAPMDAAAOAAAAAAAAAAEAIAAAACA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7dheoBAADzAwAADgAAAGRycy9lMm9Eb2MueG1srVNNj9Mw&#10;EL0j8R8s32mSQlk2arqHLQuHFVSC5e76I7HkL3ncpv33jJ1sgeXSw+ZgjT3Pb+a9jNd3J2vIUUbQ&#10;3nW0WdSUSMe90K7v6NPPh3efKIHEnGDGO9nRswR6t3n7Zj2GVi794I2QkSCJg3YMHR1SCm1VAR+k&#10;ZbDwQTpMKh8tS7iNfSUiG5HdmmpZ1x+r0UcRoucSAE+3U5LOjPEaQq+U5nLr+cFKlybWKA1LKAkG&#10;HYBuSrdKSZ6+KwUyEdNRVJrKikUw3ue12qxZ20cWBs3nFtg1LbzQZJl2WPRCtWWJkUPU/1FZzaMH&#10;r9KCe1tNQoojqKKpX3jzY2BBFi1oNYSL6fB6tPzbcReJFh19T4ljFn/4o3aSNDfZmjFAi4h7t4vz&#10;DsIuZp0nFS1RRoevOEO0RL9ylHOoipyKxeeLxfKUCMfDZnV7Uy9XlHDMfVg2db3KhaqJMd8OEdIX&#10;6S3JQUcNdlNY2fER0gR9hmS4cWTs6O2qcDKcR4VzgPQ2oCZwfbkL3mjxoI3JNyD2+3sTyZHlmSjf&#10;3MI/sFxky2CYcCWVYawdJBOfnSDpHNAth4+E5hasFJQYiW8qRwWZmDbXIFG9cWhCtnsyOEd7L874&#10;bw4h6n5AJ5rSZc7gLBTL5rnNw/b3vjD9eau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uAobV&#10;AAAACAEAAA8AAAAAAAAAAQAgAAAAIgAAAGRycy9kb3ducmV2LnhtbFBLAQIUABQAAAAIAIdO4kB8&#10;jt2F6gEAAPMDAAAOAAAAAAAAAAEAIAAAACQ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8</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sz w:val="24"/>
          <w:szCs w:val="24"/>
        </w:rPr>
      </w:pPr>
      <w:r>
        <w:rPr>
          <w:rFonts w:hint="eastAsia" w:ascii="宋体" w:hAnsi="宋体"/>
          <w:b/>
          <w:sz w:val="24"/>
          <w:szCs w:val="24"/>
          <w:lang w:val="en-US" w:eastAsia="zh-CN"/>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272247695"/>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2247696"/>
      <w:bookmarkStart w:id="11" w:name="_Toc278891593"/>
      <w:bookmarkStart w:id="12" w:name="_Toc494561940"/>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color w:val="FF0000"/>
          <w:sz w:val="24"/>
          <w:szCs w:val="24"/>
          <w:lang w:val="zh-CN"/>
        </w:rPr>
      </w:pPr>
      <w:r>
        <w:rPr>
          <w:rFonts w:hint="eastAsia" w:cs="Times New Roman" w:asciiTheme="minorEastAsia" w:hAnsiTheme="minorEastAsia"/>
          <w:b w:val="0"/>
          <w:bCs w:val="0"/>
          <w:color w:val="auto"/>
          <w:sz w:val="24"/>
          <w:szCs w:val="24"/>
          <w:lang w:val="zh-CN"/>
        </w:rPr>
        <w:t>招标文件有分包要求，投标人对招标文件中多个包进行投标的，其投标文件的编制应按每包要求分别装订和封装，并</w:t>
      </w:r>
      <w:r>
        <w:rPr>
          <w:rFonts w:hint="eastAsia" w:cs="Times New Roman" w:asciiTheme="minorEastAsia" w:hAnsiTheme="minorEastAsia"/>
          <w:b/>
          <w:bCs/>
          <w:color w:val="FF0000"/>
          <w:sz w:val="24"/>
          <w:szCs w:val="24"/>
          <w:lang w:val="zh-CN"/>
        </w:rPr>
        <w:t>注明对应包号</w:t>
      </w:r>
      <w:r>
        <w:rPr>
          <w:rFonts w:hint="eastAsia" w:cs="Times New Roman" w:asciiTheme="minorEastAsia" w:hAnsiTheme="minorEastAsia"/>
          <w:b w:val="0"/>
          <w:bCs w:val="0"/>
          <w:color w:val="auto"/>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en-US" w:eastAsia="zh-CN"/>
        </w:rPr>
        <w:t xml:space="preserve"> </w:t>
      </w:r>
      <w:r>
        <w:rPr>
          <w:rFonts w:hint="eastAsia" w:cs="Times New Roman"/>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cs="Times New Roman"/>
          <w:b/>
          <w:color w:val="FF0000"/>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FF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20.1</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投标人应将投标文件第一部分资格证明文件、第二部分商务文件、第三部分技术、服</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务文件</w:t>
      </w:r>
      <w:r>
        <w:rPr>
          <w:rFonts w:hint="eastAsia" w:ascii="宋体" w:hAnsi="宋体" w:cs="Times New Roman"/>
          <w:b/>
          <w:color w:val="auto"/>
          <w:sz w:val="24"/>
          <w:szCs w:val="20"/>
          <w:lang w:val="zh-CN"/>
        </w:rPr>
        <w:t>一起合并装订成一本投标文件（</w:t>
      </w:r>
      <w:r>
        <w:rPr>
          <w:rFonts w:hint="eastAsia" w:ascii="宋体" w:hAnsi="宋体" w:cs="Times New Roman"/>
          <w:b/>
          <w:color w:val="FF0000"/>
          <w:sz w:val="24"/>
          <w:szCs w:val="20"/>
          <w:lang w:val="zh-CN"/>
        </w:rPr>
        <w:t>标注对应包号</w:t>
      </w:r>
      <w:r>
        <w:rPr>
          <w:rFonts w:hint="eastAsia" w:ascii="宋体" w:hAnsi="宋体" w:cs="Times New Roman"/>
          <w:b/>
          <w:color w:val="auto"/>
          <w:sz w:val="24"/>
          <w:szCs w:val="20"/>
          <w:lang w:val="zh-CN"/>
        </w:rPr>
        <w:t>），一起封装。</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20.2</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w:t>
      </w:r>
      <w:r>
        <w:rPr>
          <w:rFonts w:hint="eastAsia" w:ascii="宋体" w:hAnsi="宋体" w:cs="Times New Roman"/>
          <w:b/>
          <w:color w:val="auto"/>
          <w:sz w:val="24"/>
          <w:szCs w:val="20"/>
          <w:lang w:val="zh-CN"/>
        </w:rPr>
        <w:t>正本和副本</w:t>
      </w:r>
      <w:r>
        <w:rPr>
          <w:rFonts w:hint="eastAsia" w:ascii="宋体" w:hAnsi="宋体" w:cs="Times New Roman"/>
          <w:color w:val="auto"/>
          <w:sz w:val="24"/>
          <w:szCs w:val="20"/>
          <w:lang w:val="zh-CN"/>
        </w:rPr>
        <w:t>分开密封装在单独的封包中，并在封包上标明“正</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本”、“副本”字样。</w:t>
      </w:r>
    </w:p>
    <w:p>
      <w:pPr>
        <w:spacing w:line="360" w:lineRule="auto"/>
        <w:ind w:left="720" w:hanging="720" w:hangingChars="300"/>
        <w:rPr>
          <w:rFonts w:ascii="宋体" w:hAnsi="宋体" w:cs="Times New Roman"/>
          <w:color w:val="auto"/>
          <w:sz w:val="24"/>
          <w:szCs w:val="20"/>
          <w:lang w:val="zh-CN"/>
        </w:rPr>
      </w:pPr>
      <w:r>
        <w:rPr>
          <w:rFonts w:ascii="宋体" w:hAnsi="宋体" w:cs="Times New Roman"/>
          <w:color w:val="auto"/>
          <w:sz w:val="24"/>
          <w:szCs w:val="20"/>
        </w:rPr>
        <w:t>20.3</w:t>
      </w:r>
      <w:r>
        <w:rPr>
          <w:rFonts w:hint="eastAsia" w:ascii="宋体" w:hAnsi="宋体" w:cs="Times New Roman" w:eastAsiaTheme="minorEastAsia"/>
          <w:color w:val="auto"/>
          <w:spacing w:val="-6"/>
          <w:sz w:val="24"/>
          <w:szCs w:val="20"/>
          <w:lang w:val="zh-CN"/>
        </w:rPr>
        <w:t>如果未按要求加写密封、标记或存在错误，采购代理机构对其误投或提前启封概不负责。</w:t>
      </w:r>
    </w:p>
    <w:p>
      <w:pPr>
        <w:spacing w:line="360" w:lineRule="auto"/>
        <w:ind w:left="720" w:hanging="720" w:hangingChars="300"/>
        <w:rPr>
          <w:rFonts w:hint="eastAsia"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0.4</w:t>
      </w:r>
      <w:r>
        <w:rPr>
          <w:rFonts w:hint="eastAsia" w:ascii="宋体" w:hAnsi="宋体" w:cs="Times New Roman"/>
          <w:color w:val="auto"/>
          <w:sz w:val="24"/>
          <w:szCs w:val="20"/>
        </w:rPr>
        <w:t>为方便开标时唱标，投标人应将《开标一览表》原件一份</w:t>
      </w:r>
      <w:r>
        <w:rPr>
          <w:rFonts w:hint="eastAsia" w:ascii="宋体" w:hAnsi="宋体" w:cs="Times New Roman"/>
          <w:color w:val="auto"/>
          <w:spacing w:val="-6"/>
          <w:kern w:val="0"/>
          <w:sz w:val="24"/>
          <w:szCs w:val="20"/>
        </w:rPr>
        <w:t>装入一个信封，单独密封提交</w:t>
      </w:r>
      <w:r>
        <w:rPr>
          <w:rFonts w:hint="eastAsia" w:ascii="宋体" w:hAnsi="宋体" w:cs="Times New Roman"/>
          <w:color w:val="auto"/>
          <w:sz w:val="24"/>
          <w:szCs w:val="20"/>
        </w:rPr>
        <w:t>，</w:t>
      </w:r>
    </w:p>
    <w:p>
      <w:pPr>
        <w:spacing w:line="360" w:lineRule="auto"/>
        <w:ind w:left="718" w:leftChars="342" w:firstLine="0" w:firstLineChars="0"/>
        <w:rPr>
          <w:rFonts w:ascii="宋体" w:hAnsi="宋体" w:cs="Times New Roman"/>
          <w:b/>
          <w:color w:val="auto"/>
          <w:sz w:val="24"/>
          <w:szCs w:val="20"/>
        </w:rPr>
      </w:pPr>
      <w:r>
        <w:rPr>
          <w:rFonts w:hint="eastAsia" w:ascii="宋体" w:hAnsi="宋体" w:cs="Times New Roman"/>
          <w:color w:val="auto"/>
          <w:sz w:val="24"/>
          <w:szCs w:val="20"/>
        </w:rPr>
        <w:t>并在信封上注明“开标一览表”字样。未单独提交或单独提交的上述资料未按照招标文件规定的格式填写完整并签字、盖章的采购代理机构</w:t>
      </w:r>
      <w:r>
        <w:rPr>
          <w:rFonts w:hint="eastAsia" w:ascii="宋体" w:hAnsi="宋体" w:cs="Times New Roman"/>
          <w:b/>
          <w:color w:val="auto"/>
          <w:sz w:val="24"/>
          <w:szCs w:val="20"/>
        </w:rPr>
        <w:t>拒绝</w:t>
      </w:r>
      <w:r>
        <w:rPr>
          <w:rFonts w:hint="eastAsia" w:ascii="宋体" w:hAnsi="宋体" w:cs="Times New Roman"/>
          <w:color w:val="auto"/>
          <w:sz w:val="24"/>
          <w:szCs w:val="20"/>
        </w:rPr>
        <w:t>其投标。</w:t>
      </w:r>
    </w:p>
    <w:p>
      <w:pPr>
        <w:spacing w:line="360" w:lineRule="auto"/>
        <w:ind w:left="720" w:hanging="720" w:hangingChars="300"/>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0.5</w:t>
      </w:r>
      <w:r>
        <w:rPr>
          <w:rFonts w:hint="eastAsia" w:ascii="宋体" w:hAnsi="宋体" w:cs="Times New Roman"/>
          <w:color w:val="auto"/>
          <w:sz w:val="24"/>
          <w:szCs w:val="20"/>
        </w:rPr>
        <w:t>“开标一览表”信封和投标文件各部分的封包上还应注明采购项目编号、项目名称、</w:t>
      </w:r>
      <w:r>
        <w:rPr>
          <w:rFonts w:hint="eastAsia" w:ascii="宋体" w:hAnsi="宋体" w:cs="Times New Roman"/>
          <w:color w:val="auto"/>
          <w:sz w:val="24"/>
          <w:szCs w:val="20"/>
          <w:lang w:eastAsia="zh-CN"/>
        </w:rPr>
        <w:t>包号、</w:t>
      </w:r>
      <w:r>
        <w:rPr>
          <w:rFonts w:hint="eastAsia" w:ascii="宋体" w:hAnsi="宋体" w:cs="Times New Roman"/>
          <w:color w:val="auto"/>
          <w:sz w:val="24"/>
          <w:szCs w:val="20"/>
        </w:rPr>
        <w:t>投标内容和有“在（招标文件中规定的开标日期和时间）之前不得启封”的字样，封口处加盖投标人公章。</w:t>
      </w:r>
    </w:p>
    <w:p>
      <w:pPr>
        <w:spacing w:line="360" w:lineRule="auto"/>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0.6</w:t>
      </w:r>
      <w:r>
        <w:rPr>
          <w:rFonts w:hint="eastAsia" w:ascii="宋体" w:hAnsi="宋体" w:cs="Times New Roman"/>
          <w:color w:val="auto"/>
          <w:sz w:val="24"/>
          <w:szCs w:val="20"/>
        </w:rPr>
        <w:t>未按要求密封、标记或存在错误，采购代理机构对其误投或提前启封概不负责。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auto"/>
          <w:kern w:val="0"/>
          <w:sz w:val="24"/>
          <w:szCs w:val="24"/>
          <w:lang w:val="zh-CN"/>
        </w:rPr>
        <w:t>采购代理机构规定的投标地点。</w:t>
      </w:r>
    </w:p>
    <w:p>
      <w:pPr>
        <w:numPr>
          <w:ilvl w:val="0"/>
          <w:numId w:val="21"/>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w:t>
      </w:r>
      <w:r>
        <w:rPr>
          <w:rFonts w:ascii="Helvetica" w:hAnsi="Helvetica" w:eastAsia="宋体" w:cs="Helvetica"/>
          <w:kern w:val="0"/>
          <w:sz w:val="24"/>
          <w:szCs w:val="24"/>
          <w:lang w:val="zh-CN"/>
        </w:rPr>
        <w:t>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2247698"/>
      <w:bookmarkStart w:id="16" w:name="_Toc495861523"/>
      <w:bookmarkStart w:id="17" w:name="_Toc278891595"/>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w:t>
      </w:r>
      <w:r>
        <w:rPr>
          <w:rFonts w:hint="eastAsia" w:ascii="宋体" w:hAnsi="宋体" w:eastAsia="宋体" w:cs="Times New Roman"/>
          <w:b/>
          <w:bCs/>
          <w:sz w:val="24"/>
          <w:szCs w:val="20"/>
          <w:lang w:val="zh-CN"/>
        </w:rPr>
        <w:t>身份证明（</w:t>
      </w:r>
      <w:r>
        <w:rPr>
          <w:rFonts w:hint="eastAsia" w:ascii="宋体" w:hAnsi="宋体" w:eastAsia="宋体" w:cs="Times New Roman"/>
          <w:b/>
          <w:bCs/>
          <w:color w:val="FF0000"/>
          <w:sz w:val="24"/>
          <w:szCs w:val="20"/>
          <w:lang w:val="zh-CN"/>
        </w:rPr>
        <w:t>法人身份证明书或法人授权委托书及有效身份证</w:t>
      </w:r>
      <w:r>
        <w:rPr>
          <w:rFonts w:hint="eastAsia" w:ascii="宋体" w:hAnsi="宋体" w:eastAsia="宋体" w:cs="Times New Roman"/>
          <w:b/>
          <w:bCs/>
          <w:sz w:val="24"/>
          <w:szCs w:val="20"/>
          <w:lang w:val="zh-CN"/>
        </w:rPr>
        <w:t>）</w:t>
      </w:r>
      <w:r>
        <w:rPr>
          <w:rFonts w:hint="eastAsia" w:ascii="宋体" w:hAnsi="宋体" w:eastAsia="宋体" w:cs="Times New Roman"/>
          <w:sz w:val="24"/>
          <w:szCs w:val="20"/>
          <w:lang w:val="zh-CN"/>
        </w:rPr>
        <w:t>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sz w:val="24"/>
          <w:szCs w:val="20"/>
          <w:lang w:val="zh-CN"/>
        </w:rPr>
        <w:t>开标时，由投标人或其推选的代表检查投标文件的密封情况，经确</w:t>
      </w:r>
      <w:r>
        <w:rPr>
          <w:rFonts w:hint="eastAsia" w:ascii="宋体" w:hAnsi="宋体" w:eastAsia="宋体" w:cs="Times New Roman"/>
          <w:color w:val="auto"/>
          <w:sz w:val="24"/>
          <w:szCs w:val="20"/>
          <w:lang w:val="zh-CN"/>
        </w:rPr>
        <w:t>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w:t>
      </w:r>
      <w:r>
        <w:rPr>
          <w:rFonts w:ascii="宋体" w:hAnsi="宋体" w:eastAsia="宋体" w:cs="Times New Roman"/>
          <w:sz w:val="24"/>
          <w:szCs w:val="20"/>
          <w:lang w:val="zh-CN"/>
        </w:rPr>
        <w:t>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sz w:val="24"/>
          <w:szCs w:val="20"/>
          <w:lang w:val="zh-CN"/>
        </w:rPr>
        <w:t>投标人代表对开标过程和开标记录有疑义，</w:t>
      </w:r>
      <w:r>
        <w:rPr>
          <w:rFonts w:ascii="宋体" w:hAnsi="宋体" w:eastAsia="宋体" w:cs="Times New Roman"/>
          <w:color w:val="auto"/>
          <w:sz w:val="24"/>
          <w:szCs w:val="20"/>
          <w:lang w:val="zh-CN"/>
        </w:rPr>
        <w:t>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w:t>
      </w:r>
      <w:r>
        <w:rPr>
          <w:rFonts w:hint="eastAsia" w:cs="Helvetica" w:asciiTheme="minorEastAsia" w:hAnsiTheme="minorEastAsia"/>
          <w:color w:val="auto"/>
          <w:kern w:val="0"/>
          <w:sz w:val="24"/>
          <w:szCs w:val="24"/>
          <w:lang w:val="zh-CN"/>
        </w:rPr>
        <w:t>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w:t>
      </w:r>
      <w:r>
        <w:rPr>
          <w:rFonts w:hint="eastAsia" w:cs="Helvetica" w:asciiTheme="minorEastAsia" w:hAnsiTheme="minorEastAsia"/>
          <w:kern w:val="0"/>
          <w:sz w:val="24"/>
          <w:szCs w:val="24"/>
          <w:lang w:val="zh-CN"/>
        </w:rPr>
        <w:t>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w:t>
      </w:r>
      <w:r>
        <w:rPr>
          <w:rFonts w:hint="eastAsia" w:ascii="宋体" w:hAnsi="宋体" w:eastAsia="宋体" w:cs="Times New Roman"/>
          <w:color w:val="auto"/>
          <w:sz w:val="24"/>
          <w:szCs w:val="20"/>
          <w:lang w:val="zh-CN"/>
        </w:rPr>
        <w:t>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auto"/>
          <w:sz w:val="24"/>
          <w:szCs w:val="20"/>
          <w:lang w:val="zh-CN"/>
        </w:rPr>
        <w:t>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494561949"/>
      <w:bookmarkStart w:id="34" w:name="_Toc495861530"/>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272247702"/>
      <w:bookmarkStart w:id="38" w:name="_Toc495861531"/>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w:t>
      </w:r>
      <w:r>
        <w:rPr>
          <w:rFonts w:hint="eastAsia" w:ascii="宋体" w:hAnsi="宋体" w:eastAsia="宋体" w:cs="Times New Roman"/>
          <w:color w:val="auto"/>
          <w:sz w:val="24"/>
          <w:szCs w:val="20"/>
          <w:lang w:val="zh-CN"/>
        </w:rPr>
        <w:t>权为采购人、采购代理机构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心电监护仪</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（二）、技术参数</w:t>
      </w:r>
    </w:p>
    <w:p>
      <w:pPr>
        <w:snapToGrid w:val="0"/>
        <w:spacing w:line="360" w:lineRule="atLeast"/>
        <w:jc w:val="left"/>
        <w:rPr>
          <w:rFonts w:hint="eastAsia" w:ascii="宋体" w:hAnsi="宋体"/>
          <w:b/>
          <w:bCs/>
          <w:kern w:val="0"/>
          <w:szCs w:val="21"/>
        </w:rPr>
      </w:pPr>
      <w:r>
        <w:rPr>
          <w:rFonts w:hint="eastAsia" w:ascii="宋体" w:hAnsi="宋体"/>
          <w:b/>
          <w:bCs/>
          <w:kern w:val="0"/>
          <w:szCs w:val="21"/>
        </w:rPr>
        <w:t>一、基本配置要求：</w:t>
      </w:r>
    </w:p>
    <w:p>
      <w:pPr>
        <w:snapToGrid w:val="0"/>
        <w:spacing w:line="360" w:lineRule="atLeast"/>
        <w:jc w:val="left"/>
        <w:rPr>
          <w:rFonts w:hint="eastAsia" w:ascii="宋体" w:hAnsi="宋体"/>
          <w:kern w:val="0"/>
          <w:szCs w:val="21"/>
        </w:rPr>
      </w:pPr>
      <w:r>
        <w:rPr>
          <w:rFonts w:hint="eastAsia" w:ascii="宋体" w:hAnsi="宋体"/>
          <w:kern w:val="0"/>
          <w:szCs w:val="21"/>
        </w:rPr>
        <w:t xml:space="preserve"> 1  12导心电，呼吸，无创血压，血氧饱和度、脉搏、双有创压力及体温模块、主流呼吸末二氧化碳模块</w:t>
      </w:r>
    </w:p>
    <w:p>
      <w:pPr>
        <w:snapToGrid w:val="0"/>
        <w:spacing w:line="360" w:lineRule="atLeast"/>
        <w:jc w:val="left"/>
        <w:rPr>
          <w:rFonts w:hint="eastAsia" w:ascii="宋体" w:hAnsi="宋体"/>
          <w:kern w:val="0"/>
          <w:szCs w:val="21"/>
        </w:rPr>
      </w:pPr>
      <w:r>
        <w:rPr>
          <w:rFonts w:hint="eastAsia" w:ascii="宋体" w:hAnsi="宋体"/>
          <w:b/>
          <w:bCs/>
          <w:kern w:val="0"/>
          <w:szCs w:val="21"/>
        </w:rPr>
        <w:t>二、主机部分：</w:t>
      </w:r>
    </w:p>
    <w:p>
      <w:pPr>
        <w:snapToGrid w:val="0"/>
        <w:spacing w:line="360" w:lineRule="atLeast"/>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rPr>
        <w:t>2.1 原装进口高档智能监护仪</w:t>
      </w:r>
    </w:p>
    <w:p>
      <w:pPr>
        <w:snapToGrid w:val="0"/>
        <w:spacing w:line="360" w:lineRule="atLeast"/>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rPr>
        <w:t>2.2 主机显示器一体化设计，触摸屏操作</w:t>
      </w:r>
    </w:p>
    <w:p>
      <w:pPr>
        <w:snapToGrid w:val="0"/>
        <w:spacing w:line="360" w:lineRule="atLeast"/>
        <w:jc w:val="left"/>
        <w:rPr>
          <w:rFonts w:hint="eastAsia" w:ascii="宋体" w:hAnsi="宋体"/>
          <w:kern w:val="0"/>
          <w:szCs w:val="21"/>
        </w:rPr>
      </w:pPr>
      <w:r>
        <w:rPr>
          <w:rFonts w:hint="eastAsia" w:ascii="宋体" w:hAnsi="宋体"/>
          <w:kern w:val="0"/>
          <w:szCs w:val="21"/>
        </w:rPr>
        <w:t>2.3无风扇设计，采用被动散热功能，无噪音无尘，避免散布灰尘和病原体</w:t>
      </w:r>
    </w:p>
    <w:p>
      <w:pPr>
        <w:snapToGrid w:val="0"/>
        <w:spacing w:line="360" w:lineRule="atLeast"/>
        <w:jc w:val="left"/>
        <w:rPr>
          <w:rFonts w:hint="eastAsia" w:ascii="宋体" w:hAnsi="宋体"/>
          <w:kern w:val="0"/>
          <w:szCs w:val="21"/>
        </w:rPr>
      </w:pPr>
      <w:r>
        <w:rPr>
          <w:rFonts w:hint="eastAsia" w:ascii="宋体" w:hAnsi="宋体"/>
          <w:kern w:val="0"/>
          <w:szCs w:val="21"/>
        </w:rPr>
        <w:t>2.4 医用专业显示器：≥12’彩色WSXGA+ TFT显示器, 分辨率1280</w:t>
      </w:r>
      <w:r>
        <w:rPr>
          <w:rFonts w:hint="eastAsia" w:ascii="宋体" w:hAnsi="宋体"/>
          <w:kern w:val="0"/>
          <w:szCs w:val="21"/>
          <w:lang w:val="en-US" w:eastAsia="zh-CN"/>
        </w:rPr>
        <w:t>*</w:t>
      </w:r>
      <w:r>
        <w:rPr>
          <w:rFonts w:hint="eastAsia" w:ascii="宋体" w:hAnsi="宋体"/>
          <w:kern w:val="0"/>
          <w:szCs w:val="21"/>
        </w:rPr>
        <w:t>768</w:t>
      </w:r>
    </w:p>
    <w:p>
      <w:pPr>
        <w:snapToGrid w:val="0"/>
        <w:spacing w:line="360" w:lineRule="atLeast"/>
        <w:jc w:val="left"/>
        <w:rPr>
          <w:rFonts w:hint="eastAsia" w:ascii="宋体" w:hAnsi="宋体"/>
          <w:kern w:val="0"/>
          <w:szCs w:val="21"/>
        </w:rPr>
      </w:pPr>
      <w:r>
        <w:rPr>
          <w:rFonts w:hint="eastAsia" w:ascii="宋体" w:hAnsi="宋体"/>
          <w:kern w:val="0"/>
          <w:szCs w:val="21"/>
        </w:rPr>
        <w:t>2.5 支持6通道波形显示</w:t>
      </w:r>
    </w:p>
    <w:p>
      <w:pPr>
        <w:snapToGrid w:val="0"/>
        <w:spacing w:line="360" w:lineRule="atLeast"/>
        <w:jc w:val="left"/>
        <w:rPr>
          <w:rFonts w:hint="eastAsia" w:ascii="宋体" w:hAnsi="宋体"/>
          <w:kern w:val="0"/>
          <w:szCs w:val="21"/>
        </w:rPr>
      </w:pPr>
      <w:r>
        <w:rPr>
          <w:rFonts w:hint="eastAsia" w:ascii="宋体" w:hAnsi="宋体"/>
          <w:kern w:val="0"/>
          <w:szCs w:val="21"/>
        </w:rPr>
        <w:t>2.6 整合式电源，无需电源适配器</w:t>
      </w:r>
    </w:p>
    <w:p>
      <w:pPr>
        <w:snapToGrid w:val="0"/>
        <w:spacing w:line="360" w:lineRule="atLeast"/>
        <w:jc w:val="left"/>
        <w:rPr>
          <w:rFonts w:hint="eastAsia" w:ascii="宋体" w:hAnsi="宋体"/>
          <w:kern w:val="0"/>
          <w:szCs w:val="21"/>
        </w:rPr>
      </w:pPr>
      <w:r>
        <w:rPr>
          <w:rFonts w:hint="eastAsia" w:ascii="宋体" w:hAnsi="宋体"/>
          <w:kern w:val="0"/>
          <w:szCs w:val="21"/>
        </w:rPr>
        <w:t>2.7 三色报警显示灯独立于显示屏幕之外，适合于远距离观察</w:t>
      </w:r>
    </w:p>
    <w:p>
      <w:pPr>
        <w:snapToGrid w:val="0"/>
        <w:spacing w:line="360" w:lineRule="atLeast"/>
        <w:jc w:val="left"/>
        <w:rPr>
          <w:rFonts w:hint="eastAsia" w:ascii="宋体" w:hAnsi="宋体"/>
          <w:kern w:val="0"/>
          <w:szCs w:val="21"/>
        </w:rPr>
      </w:pPr>
      <w:r>
        <w:rPr>
          <w:rFonts w:hint="eastAsia" w:ascii="宋体" w:hAnsi="宋体"/>
          <w:kern w:val="0"/>
          <w:szCs w:val="21"/>
        </w:rPr>
        <w:t>2.8 支持监护和医院信息双网络接口及联网功能</w:t>
      </w:r>
    </w:p>
    <w:p>
      <w:pPr>
        <w:snapToGrid w:val="0"/>
        <w:spacing w:line="360" w:lineRule="atLeast"/>
        <w:jc w:val="left"/>
        <w:rPr>
          <w:rFonts w:hint="eastAsia" w:ascii="宋体" w:hAnsi="宋体"/>
          <w:kern w:val="0"/>
          <w:szCs w:val="21"/>
        </w:rPr>
      </w:pPr>
      <w:r>
        <w:rPr>
          <w:rFonts w:hint="eastAsia" w:ascii="宋体" w:hAnsi="宋体"/>
          <w:kern w:val="0"/>
          <w:szCs w:val="21"/>
        </w:rPr>
        <w:t>2.9 DVI接口输出</w:t>
      </w:r>
    </w:p>
    <w:p>
      <w:pPr>
        <w:snapToGrid w:val="0"/>
        <w:spacing w:line="360" w:lineRule="atLeast"/>
        <w:jc w:val="left"/>
        <w:rPr>
          <w:rFonts w:hint="eastAsia" w:ascii="宋体" w:hAnsi="宋体"/>
          <w:kern w:val="0"/>
          <w:szCs w:val="21"/>
        </w:rPr>
      </w:pPr>
      <w:r>
        <w:rPr>
          <w:rFonts w:hint="eastAsia" w:ascii="宋体" w:hAnsi="宋体"/>
          <w:kern w:val="0"/>
          <w:szCs w:val="21"/>
        </w:rPr>
        <w:t>2.10 配置USB 2.0 接口</w:t>
      </w:r>
    </w:p>
    <w:p>
      <w:pPr>
        <w:snapToGrid w:val="0"/>
        <w:spacing w:line="360" w:lineRule="atLeast"/>
        <w:jc w:val="left"/>
        <w:rPr>
          <w:rFonts w:hint="eastAsia" w:ascii="宋体" w:hAnsi="宋体"/>
          <w:kern w:val="0"/>
          <w:szCs w:val="21"/>
        </w:rPr>
      </w:pPr>
      <w:r>
        <w:rPr>
          <w:rFonts w:hint="eastAsia" w:ascii="宋体" w:hAnsi="宋体"/>
          <w:kern w:val="0"/>
          <w:szCs w:val="21"/>
        </w:rPr>
        <w:t>2.11 支持第二独立显示屏，并可实现两个屏幕显示不同内容，并可独立操作</w:t>
      </w:r>
    </w:p>
    <w:p>
      <w:pPr>
        <w:snapToGrid w:val="0"/>
        <w:spacing w:line="360" w:lineRule="atLeast"/>
        <w:jc w:val="left"/>
        <w:rPr>
          <w:rFonts w:hint="eastAsia" w:ascii="宋体" w:hAnsi="宋体"/>
          <w:kern w:val="0"/>
          <w:szCs w:val="21"/>
        </w:rPr>
      </w:pPr>
      <w:r>
        <w:rPr>
          <w:rFonts w:hint="eastAsia" w:ascii="宋体" w:hAnsi="宋体"/>
          <w:kern w:val="0"/>
          <w:szCs w:val="21"/>
        </w:rPr>
        <w:t>2.12 监护仪搭载Windows智能操作系统，支持第三方软件应用显示及操作</w:t>
      </w:r>
    </w:p>
    <w:p>
      <w:pPr>
        <w:snapToGrid w:val="0"/>
        <w:spacing w:line="360" w:lineRule="atLeast"/>
        <w:jc w:val="left"/>
        <w:rPr>
          <w:rFonts w:hint="eastAsia" w:ascii="宋体" w:hAnsi="宋体"/>
          <w:kern w:val="0"/>
          <w:szCs w:val="21"/>
        </w:rPr>
      </w:pPr>
      <w:r>
        <w:rPr>
          <w:rFonts w:hint="eastAsia" w:ascii="宋体" w:hAnsi="宋体"/>
          <w:kern w:val="0"/>
          <w:szCs w:val="21"/>
        </w:rPr>
        <w:t>2.13 监护可支持1000M带宽接入院内网络进行病人信息的调阅与整合</w:t>
      </w:r>
    </w:p>
    <w:p>
      <w:pPr>
        <w:snapToGrid w:val="0"/>
        <w:spacing w:line="360" w:lineRule="atLeast"/>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rPr>
        <w:t>2.14 监护可支持显示动态超声及放射影像</w:t>
      </w:r>
    </w:p>
    <w:p>
      <w:pPr>
        <w:snapToGrid w:val="0"/>
        <w:spacing w:line="360" w:lineRule="atLeast"/>
        <w:jc w:val="left"/>
        <w:rPr>
          <w:rFonts w:hint="eastAsia" w:ascii="宋体" w:hAnsi="宋体"/>
          <w:kern w:val="0"/>
          <w:szCs w:val="21"/>
        </w:rPr>
      </w:pPr>
      <w:r>
        <w:rPr>
          <w:rFonts w:hint="eastAsia" w:ascii="宋体" w:hAnsi="宋体"/>
          <w:kern w:val="0"/>
          <w:szCs w:val="21"/>
        </w:rPr>
        <w:t>2.15 主机做工精良，表面光滑，接缝紧密，采用坚固材料制造，该材料可使用众多消毒剂进行清洁消毒，有效控制交叉感染</w:t>
      </w:r>
    </w:p>
    <w:p>
      <w:pPr>
        <w:snapToGrid w:val="0"/>
        <w:spacing w:line="360" w:lineRule="atLeast"/>
        <w:jc w:val="left"/>
        <w:rPr>
          <w:rFonts w:hint="eastAsia" w:ascii="宋体" w:hAnsi="宋体"/>
          <w:kern w:val="0"/>
          <w:szCs w:val="21"/>
        </w:rPr>
      </w:pPr>
      <w:r>
        <w:rPr>
          <w:rFonts w:hint="eastAsia" w:ascii="宋体" w:hAnsi="宋体"/>
          <w:b/>
          <w:bCs/>
          <w:kern w:val="0"/>
          <w:szCs w:val="21"/>
        </w:rPr>
        <w:t>三、模块化设计</w:t>
      </w:r>
    </w:p>
    <w:p>
      <w:pPr>
        <w:snapToGrid w:val="0"/>
        <w:spacing w:line="360" w:lineRule="atLeast"/>
        <w:jc w:val="left"/>
        <w:rPr>
          <w:rFonts w:hint="eastAsia" w:ascii="宋体" w:hAnsi="宋体"/>
          <w:kern w:val="0"/>
          <w:szCs w:val="21"/>
        </w:rPr>
      </w:pPr>
      <w:r>
        <w:rPr>
          <w:rFonts w:hint="eastAsia" w:ascii="宋体" w:hAnsi="宋体"/>
          <w:kern w:val="0"/>
          <w:szCs w:val="21"/>
        </w:rPr>
        <w:t xml:space="preserve"> 3.1  基本参数测量模块：通用于所有监护仪，可储存8小时监护数据（监护数据、报警设置、病人信息等），并且断电情况下存储的数据可至少保存6小时不丢失，实现数据转运</w:t>
      </w:r>
    </w:p>
    <w:p>
      <w:pPr>
        <w:snapToGrid w:val="0"/>
        <w:spacing w:line="360" w:lineRule="atLeast"/>
        <w:jc w:val="left"/>
        <w:rPr>
          <w:rFonts w:hint="eastAsia" w:ascii="宋体" w:hAnsi="宋体"/>
          <w:kern w:val="0"/>
          <w:szCs w:val="21"/>
        </w:rPr>
      </w:pPr>
      <w:r>
        <w:rPr>
          <w:rFonts w:hint="eastAsia" w:ascii="宋体" w:hAnsi="宋体"/>
          <w:b/>
          <w:bCs/>
          <w:kern w:val="0"/>
          <w:szCs w:val="21"/>
        </w:rPr>
        <w:t>四、 用户界面</w:t>
      </w:r>
    </w:p>
    <w:p>
      <w:pPr>
        <w:snapToGrid w:val="0"/>
        <w:spacing w:line="360" w:lineRule="atLeast"/>
        <w:jc w:val="left"/>
        <w:rPr>
          <w:rFonts w:hint="eastAsia" w:ascii="宋体" w:hAnsi="宋体"/>
          <w:kern w:val="0"/>
          <w:szCs w:val="21"/>
        </w:rPr>
      </w:pPr>
      <w:r>
        <w:rPr>
          <w:rFonts w:hint="eastAsia" w:ascii="宋体" w:hAnsi="宋体"/>
          <w:kern w:val="0"/>
          <w:szCs w:val="21"/>
        </w:rPr>
        <w:t xml:space="preserve"> 4.1内置麻醉、ICU、新生儿、心脏专科显示界面≥8种</w:t>
      </w:r>
    </w:p>
    <w:p>
      <w:pPr>
        <w:snapToGrid w:val="0"/>
        <w:spacing w:line="360" w:lineRule="atLeast"/>
        <w:jc w:val="left"/>
        <w:rPr>
          <w:rFonts w:hint="eastAsia" w:ascii="宋体" w:hAnsi="宋体"/>
          <w:kern w:val="0"/>
          <w:szCs w:val="21"/>
        </w:rPr>
      </w:pPr>
      <w:r>
        <w:rPr>
          <w:rFonts w:hint="eastAsia" w:ascii="宋体" w:hAnsi="宋体"/>
          <w:kern w:val="0"/>
          <w:szCs w:val="21"/>
        </w:rPr>
        <w:t xml:space="preserve"> 4.2波形冻结功能，可分别冻结单个波形，不影响其他实时波形的显示和全部参数的报警</w:t>
      </w:r>
    </w:p>
    <w:p>
      <w:pPr>
        <w:snapToGrid w:val="0"/>
        <w:spacing w:line="360" w:lineRule="atLeast"/>
        <w:jc w:val="left"/>
        <w:rPr>
          <w:rFonts w:hint="eastAsia" w:ascii="宋体" w:hAnsi="宋体"/>
          <w:kern w:val="0"/>
          <w:szCs w:val="21"/>
        </w:rPr>
      </w:pPr>
      <w:r>
        <w:rPr>
          <w:rFonts w:hint="eastAsia" w:ascii="宋体" w:hAnsi="宋体"/>
          <w:kern w:val="0"/>
          <w:szCs w:val="21"/>
        </w:rPr>
        <w:t xml:space="preserve"> 4.3（联网情况下）可在任意床边机上显示至少2个其他床位的隔床跨视窗口，包括实时波形＆数值</w:t>
      </w:r>
    </w:p>
    <w:p>
      <w:pPr>
        <w:snapToGrid w:val="0"/>
        <w:spacing w:line="360" w:lineRule="atLeast"/>
        <w:jc w:val="left"/>
        <w:rPr>
          <w:rFonts w:hint="eastAsia" w:ascii="宋体" w:hAnsi="宋体"/>
          <w:kern w:val="0"/>
          <w:szCs w:val="21"/>
        </w:rPr>
      </w:pPr>
      <w:r>
        <w:rPr>
          <w:rFonts w:hint="eastAsia" w:ascii="宋体" w:hAnsi="宋体"/>
          <w:kern w:val="0"/>
          <w:szCs w:val="21"/>
        </w:rPr>
        <w:t xml:space="preserve"> 4.4动态波形大小调整，除了固定大小的波形，屏幕现在包含“动态波形”区域，在此区域中，波形将自动根据可用空间调整其大小</w:t>
      </w:r>
    </w:p>
    <w:p>
      <w:pPr>
        <w:snapToGrid w:val="0"/>
        <w:spacing w:line="360" w:lineRule="atLeast"/>
        <w:jc w:val="left"/>
        <w:rPr>
          <w:rFonts w:hint="eastAsia" w:ascii="宋体" w:hAnsi="宋体"/>
          <w:b/>
          <w:bCs/>
          <w:kern w:val="0"/>
          <w:szCs w:val="21"/>
        </w:rPr>
      </w:pPr>
      <w:r>
        <w:rPr>
          <w:rFonts w:hint="eastAsia" w:ascii="宋体" w:hAnsi="宋体"/>
          <w:b/>
          <w:bCs/>
          <w:kern w:val="0"/>
          <w:szCs w:val="21"/>
        </w:rPr>
        <w:t>五、测量性能及软件</w:t>
      </w:r>
    </w:p>
    <w:p>
      <w:pPr>
        <w:snapToGrid w:val="0"/>
        <w:spacing w:line="360" w:lineRule="atLeast"/>
        <w:jc w:val="left"/>
        <w:rPr>
          <w:rFonts w:hint="eastAsia" w:ascii="宋体" w:hAnsi="宋体"/>
          <w:kern w:val="0"/>
          <w:szCs w:val="21"/>
        </w:rPr>
      </w:pPr>
      <w:r>
        <w:rPr>
          <w:rFonts w:hint="eastAsia" w:ascii="宋体" w:hAnsi="宋体"/>
          <w:kern w:val="0"/>
          <w:szCs w:val="21"/>
        </w:rPr>
        <w:t xml:space="preserve"> 5.1    心电</w:t>
      </w:r>
    </w:p>
    <w:p>
      <w:pPr>
        <w:snapToGrid w:val="0"/>
        <w:spacing w:line="360" w:lineRule="atLeast"/>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rPr>
        <w:t>5.1.1  配置术中抗电刀干扰功能,保证使用电刀的情况下心电图的稳定</w:t>
      </w:r>
    </w:p>
    <w:p>
      <w:pPr>
        <w:snapToGrid w:val="0"/>
        <w:spacing w:line="360" w:lineRule="atLeast"/>
        <w:jc w:val="left"/>
        <w:rPr>
          <w:rFonts w:hint="eastAsia" w:ascii="宋体" w:hAnsi="宋体"/>
          <w:kern w:val="0"/>
          <w:szCs w:val="21"/>
        </w:rPr>
      </w:pPr>
      <w:r>
        <w:rPr>
          <w:rFonts w:hint="eastAsia" w:ascii="宋体" w:hAnsi="宋体"/>
          <w:kern w:val="0"/>
          <w:szCs w:val="21"/>
        </w:rPr>
        <w:t xml:space="preserve"> 5.1.2  标配12导联心电监护</w:t>
      </w:r>
    </w:p>
    <w:p>
      <w:pPr>
        <w:snapToGrid w:val="0"/>
        <w:spacing w:line="360" w:lineRule="atLeast"/>
        <w:jc w:val="left"/>
        <w:rPr>
          <w:rFonts w:hint="eastAsia" w:ascii="宋体" w:hAnsi="宋体"/>
          <w:kern w:val="0"/>
          <w:szCs w:val="21"/>
        </w:rPr>
      </w:pPr>
      <w:r>
        <w:rPr>
          <w:rFonts w:hint="eastAsia" w:ascii="宋体" w:hAnsi="宋体"/>
          <w:kern w:val="0"/>
          <w:szCs w:val="21"/>
        </w:rPr>
        <w:t xml:space="preserve"> 5.1.3  可支持诊断级心电监护带宽 0.05-150Hz</w:t>
      </w:r>
    </w:p>
    <w:p>
      <w:pPr>
        <w:snapToGrid w:val="0"/>
        <w:spacing w:line="360" w:lineRule="atLeast"/>
        <w:jc w:val="left"/>
        <w:rPr>
          <w:rFonts w:hint="eastAsia" w:ascii="宋体" w:hAnsi="宋体"/>
          <w:kern w:val="0"/>
          <w:szCs w:val="21"/>
        </w:rPr>
      </w:pPr>
      <w:r>
        <w:rPr>
          <w:rFonts w:hint="eastAsia" w:ascii="宋体" w:hAnsi="宋体"/>
          <w:kern w:val="0"/>
          <w:szCs w:val="21"/>
        </w:rPr>
        <w:t xml:space="preserve"> 5.1.4  标配≥20种心律失常分析，含房颤分析</w:t>
      </w:r>
    </w:p>
    <w:p>
      <w:pPr>
        <w:snapToGrid w:val="0"/>
        <w:spacing w:line="360" w:lineRule="atLeast"/>
        <w:jc w:val="left"/>
        <w:rPr>
          <w:rFonts w:hint="eastAsia" w:ascii="宋体" w:hAnsi="宋体"/>
          <w:kern w:val="0"/>
          <w:szCs w:val="21"/>
        </w:rPr>
      </w:pPr>
      <w:r>
        <w:rPr>
          <w:rFonts w:hint="eastAsia" w:ascii="宋体" w:hAnsi="宋体"/>
          <w:kern w:val="0"/>
          <w:szCs w:val="21"/>
        </w:rPr>
        <w:t xml:space="preserve"> 5.1.5  12导联实时ECG和12导联ST值同屏显示，实时更新</w:t>
      </w:r>
    </w:p>
    <w:p>
      <w:pPr>
        <w:snapToGrid w:val="0"/>
        <w:spacing w:line="360" w:lineRule="atLeast"/>
        <w:jc w:val="left"/>
        <w:rPr>
          <w:rFonts w:hint="eastAsia" w:ascii="宋体" w:hAnsi="宋体"/>
          <w:kern w:val="0"/>
          <w:szCs w:val="21"/>
        </w:rPr>
      </w:pPr>
      <w:r>
        <w:rPr>
          <w:rFonts w:hint="eastAsia" w:ascii="宋体" w:hAnsi="宋体"/>
          <w:kern w:val="0"/>
          <w:szCs w:val="21"/>
        </w:rPr>
        <w:t xml:space="preserve"> 5.1.6  12导联ST 数值可以图形形式标记，实时更新，并可显示趋势</w:t>
      </w:r>
    </w:p>
    <w:p>
      <w:pPr>
        <w:snapToGrid w:val="0"/>
        <w:spacing w:line="360" w:lineRule="atLeast"/>
        <w:jc w:val="left"/>
        <w:rPr>
          <w:rFonts w:hint="eastAsia" w:ascii="宋体" w:hAnsi="宋体"/>
          <w:kern w:val="0"/>
          <w:szCs w:val="21"/>
        </w:rPr>
      </w:pPr>
      <w:r>
        <w:rPr>
          <w:rFonts w:hint="eastAsia" w:ascii="宋体" w:hAnsi="宋体"/>
          <w:kern w:val="0"/>
          <w:szCs w:val="21"/>
        </w:rPr>
        <w:t xml:space="preserve"> 5.1.7  QT及QTc分析，实时显示数值</w:t>
      </w:r>
    </w:p>
    <w:p>
      <w:pPr>
        <w:snapToGrid w:val="0"/>
        <w:spacing w:line="360" w:lineRule="atLeast"/>
        <w:jc w:val="left"/>
        <w:rPr>
          <w:rFonts w:hint="eastAsia" w:ascii="宋体" w:hAnsi="宋体"/>
          <w:kern w:val="0"/>
          <w:szCs w:val="21"/>
        </w:rPr>
      </w:pPr>
      <w:r>
        <w:rPr>
          <w:rFonts w:hint="eastAsia" w:ascii="宋体" w:hAnsi="宋体"/>
          <w:kern w:val="0"/>
          <w:szCs w:val="21"/>
        </w:rPr>
        <w:t xml:space="preserve"> 5.1.8  除颤后波形恢复时间小于2秒钟</w:t>
      </w:r>
    </w:p>
    <w:p>
      <w:pPr>
        <w:snapToGrid w:val="0"/>
        <w:spacing w:line="360" w:lineRule="atLeast"/>
        <w:jc w:val="left"/>
        <w:rPr>
          <w:rFonts w:hint="eastAsia" w:ascii="宋体" w:hAnsi="宋体"/>
          <w:kern w:val="0"/>
          <w:szCs w:val="21"/>
        </w:rPr>
      </w:pPr>
      <w:r>
        <w:rPr>
          <w:rFonts w:hint="eastAsia" w:ascii="宋体" w:hAnsi="宋体"/>
          <w:kern w:val="0"/>
          <w:szCs w:val="21"/>
        </w:rPr>
        <w:t xml:space="preserve"> </w:t>
      </w:r>
      <w:r>
        <w:rPr>
          <w:rFonts w:hint="eastAsia" w:ascii="宋体" w:hAnsi="宋体"/>
          <w:kern w:val="0"/>
          <w:szCs w:val="21"/>
          <w:lang w:eastAsia="zh-CN"/>
        </w:rPr>
        <w:t>★</w:t>
      </w:r>
      <w:r>
        <w:rPr>
          <w:rFonts w:hint="eastAsia" w:ascii="宋体" w:hAnsi="宋体"/>
          <w:kern w:val="0"/>
          <w:szCs w:val="21"/>
        </w:rPr>
        <w:t>5.1.9  可用5根导联线监测12导联心电</w:t>
      </w:r>
    </w:p>
    <w:p>
      <w:pPr>
        <w:snapToGrid w:val="0"/>
        <w:spacing w:line="360" w:lineRule="atLeast"/>
        <w:jc w:val="left"/>
        <w:rPr>
          <w:rFonts w:hint="eastAsia" w:ascii="宋体" w:hAnsi="宋体"/>
          <w:kern w:val="0"/>
          <w:szCs w:val="21"/>
        </w:rPr>
      </w:pPr>
      <w:r>
        <w:rPr>
          <w:rFonts w:hint="eastAsia" w:ascii="宋体" w:hAnsi="宋体"/>
          <w:kern w:val="0"/>
          <w:szCs w:val="21"/>
        </w:rPr>
        <w:t xml:space="preserve"> 5.2  呼吸：阻抗法</w:t>
      </w:r>
    </w:p>
    <w:p>
      <w:pPr>
        <w:snapToGrid w:val="0"/>
        <w:spacing w:line="360" w:lineRule="atLeast"/>
        <w:jc w:val="left"/>
        <w:rPr>
          <w:rFonts w:hint="eastAsia" w:ascii="宋体" w:hAnsi="宋体"/>
          <w:kern w:val="0"/>
          <w:szCs w:val="21"/>
        </w:rPr>
      </w:pPr>
      <w:r>
        <w:rPr>
          <w:rFonts w:hint="eastAsia" w:ascii="宋体" w:hAnsi="宋体"/>
          <w:kern w:val="0"/>
          <w:szCs w:val="21"/>
        </w:rPr>
        <w:t xml:space="preserve"> 5.3  无创血压</w:t>
      </w:r>
    </w:p>
    <w:p>
      <w:pPr>
        <w:snapToGrid w:val="0"/>
        <w:spacing w:line="360" w:lineRule="atLeast"/>
        <w:jc w:val="left"/>
        <w:rPr>
          <w:rFonts w:hint="eastAsia" w:ascii="宋体" w:hAnsi="宋体"/>
          <w:kern w:val="0"/>
          <w:szCs w:val="21"/>
        </w:rPr>
      </w:pPr>
      <w:r>
        <w:rPr>
          <w:rFonts w:hint="eastAsia" w:ascii="宋体" w:hAnsi="宋体"/>
          <w:kern w:val="0"/>
          <w:szCs w:val="21"/>
        </w:rPr>
        <w:t xml:space="preserve"> 5.3.1  双参考点校正：血管内测量法和水银柱测量法</w:t>
      </w:r>
    </w:p>
    <w:p>
      <w:pPr>
        <w:snapToGrid w:val="0"/>
        <w:spacing w:line="360" w:lineRule="atLeast"/>
        <w:jc w:val="left"/>
        <w:rPr>
          <w:rFonts w:hint="eastAsia" w:ascii="宋体" w:hAnsi="宋体"/>
          <w:kern w:val="0"/>
          <w:szCs w:val="21"/>
        </w:rPr>
      </w:pPr>
      <w:r>
        <w:rPr>
          <w:rFonts w:hint="eastAsia" w:ascii="宋体" w:hAnsi="宋体"/>
          <w:kern w:val="0"/>
          <w:szCs w:val="21"/>
        </w:rPr>
        <w:t xml:space="preserve"> 5.4  脉搏血氧饱和度</w:t>
      </w:r>
    </w:p>
    <w:p>
      <w:pPr>
        <w:snapToGrid w:val="0"/>
        <w:spacing w:line="360" w:lineRule="atLeast"/>
        <w:jc w:val="left"/>
        <w:rPr>
          <w:rFonts w:hint="eastAsia" w:ascii="宋体" w:hAnsi="宋体"/>
          <w:kern w:val="0"/>
          <w:szCs w:val="21"/>
        </w:rPr>
      </w:pPr>
      <w:r>
        <w:rPr>
          <w:rFonts w:hint="eastAsia" w:ascii="宋体" w:hAnsi="宋体"/>
          <w:kern w:val="0"/>
          <w:szCs w:val="21"/>
        </w:rPr>
        <w:t xml:space="preserve"> 5.4.1  指套式传感器</w:t>
      </w:r>
    </w:p>
    <w:p>
      <w:pPr>
        <w:snapToGrid w:val="0"/>
        <w:spacing w:line="360" w:lineRule="atLeast"/>
        <w:jc w:val="left"/>
        <w:rPr>
          <w:rFonts w:hint="eastAsia" w:ascii="宋体" w:hAnsi="宋体"/>
          <w:kern w:val="0"/>
          <w:szCs w:val="21"/>
        </w:rPr>
      </w:pPr>
      <w:r>
        <w:rPr>
          <w:rFonts w:hint="eastAsia" w:ascii="宋体" w:hAnsi="宋体"/>
          <w:kern w:val="0"/>
          <w:szCs w:val="21"/>
        </w:rPr>
        <w:t xml:space="preserve"> 5.4.2  灌注指数显示，指示外周小动脉充盈状态</w:t>
      </w:r>
    </w:p>
    <w:p>
      <w:pPr>
        <w:snapToGrid w:val="0"/>
        <w:spacing w:line="360" w:lineRule="atLeast"/>
        <w:jc w:val="left"/>
        <w:rPr>
          <w:rFonts w:hint="eastAsia" w:ascii="宋体" w:hAnsi="宋体"/>
          <w:kern w:val="0"/>
          <w:szCs w:val="21"/>
        </w:rPr>
      </w:pPr>
      <w:r>
        <w:rPr>
          <w:rFonts w:hint="eastAsia" w:ascii="宋体" w:hAnsi="宋体"/>
          <w:kern w:val="0"/>
          <w:szCs w:val="21"/>
        </w:rPr>
        <w:t xml:space="preserve"> 5.4.3  可计算并屏幕显示双SpO2 差值</w:t>
      </w:r>
    </w:p>
    <w:p>
      <w:pPr>
        <w:snapToGrid w:val="0"/>
        <w:spacing w:line="360" w:lineRule="atLeast"/>
        <w:jc w:val="left"/>
        <w:rPr>
          <w:rFonts w:hint="eastAsia" w:ascii="宋体" w:hAnsi="宋体"/>
          <w:kern w:val="0"/>
          <w:szCs w:val="21"/>
        </w:rPr>
      </w:pPr>
      <w:r>
        <w:rPr>
          <w:rFonts w:hint="eastAsia" w:ascii="宋体" w:hAnsi="宋体"/>
          <w:kern w:val="0"/>
          <w:szCs w:val="21"/>
        </w:rPr>
        <w:t xml:space="preserve"> 5.5  双有创压力</w:t>
      </w:r>
    </w:p>
    <w:p>
      <w:pPr>
        <w:snapToGrid w:val="0"/>
        <w:spacing w:line="360" w:lineRule="atLeast"/>
        <w:jc w:val="left"/>
        <w:rPr>
          <w:rFonts w:hint="eastAsia" w:ascii="宋体" w:hAnsi="宋体"/>
          <w:kern w:val="0"/>
          <w:szCs w:val="21"/>
        </w:rPr>
      </w:pPr>
      <w:r>
        <w:rPr>
          <w:rFonts w:hint="eastAsia" w:ascii="宋体" w:hAnsi="宋体"/>
          <w:kern w:val="0"/>
          <w:szCs w:val="21"/>
        </w:rPr>
        <w:t xml:space="preserve"> 5.5.1  测压范围： -40至360mmHg</w:t>
      </w:r>
    </w:p>
    <w:p>
      <w:pPr>
        <w:snapToGrid w:val="0"/>
        <w:spacing w:line="360" w:lineRule="atLeast"/>
        <w:jc w:val="left"/>
        <w:rPr>
          <w:rFonts w:hint="eastAsia" w:ascii="宋体" w:hAnsi="宋体"/>
          <w:kern w:val="0"/>
          <w:szCs w:val="21"/>
        </w:rPr>
      </w:pPr>
      <w:r>
        <w:rPr>
          <w:rFonts w:hint="eastAsia" w:ascii="宋体" w:hAnsi="宋体"/>
          <w:kern w:val="0"/>
          <w:szCs w:val="21"/>
        </w:rPr>
        <w:t xml:space="preserve"> 5.5.2  可提供每搏压力变异(PPV)实时显示</w:t>
      </w:r>
    </w:p>
    <w:p>
      <w:pPr>
        <w:snapToGrid w:val="0"/>
        <w:spacing w:line="360" w:lineRule="atLeast"/>
        <w:jc w:val="left"/>
        <w:rPr>
          <w:rFonts w:hint="eastAsia" w:ascii="宋体" w:hAnsi="宋体"/>
          <w:kern w:val="0"/>
          <w:szCs w:val="21"/>
        </w:rPr>
      </w:pPr>
      <w:r>
        <w:rPr>
          <w:rFonts w:hint="eastAsia" w:ascii="宋体" w:hAnsi="宋体"/>
          <w:kern w:val="0"/>
          <w:szCs w:val="21"/>
        </w:rPr>
        <w:t xml:space="preserve"> 5.6  体温：可监测各类体温，标配腔内体温探头</w:t>
      </w:r>
    </w:p>
    <w:p>
      <w:pPr>
        <w:snapToGrid w:val="0"/>
        <w:spacing w:line="360" w:lineRule="atLeast"/>
        <w:jc w:val="left"/>
        <w:rPr>
          <w:rFonts w:hint="eastAsia" w:ascii="宋体" w:hAnsi="宋体"/>
          <w:kern w:val="0"/>
          <w:szCs w:val="21"/>
        </w:rPr>
      </w:pPr>
      <w:r>
        <w:rPr>
          <w:rFonts w:hint="eastAsia" w:ascii="宋体" w:hAnsi="宋体"/>
          <w:kern w:val="0"/>
          <w:szCs w:val="21"/>
        </w:rPr>
        <w:t xml:space="preserve"> 5.7  潮气末二氧化碳</w:t>
      </w:r>
    </w:p>
    <w:p>
      <w:pPr>
        <w:snapToGrid w:val="0"/>
        <w:spacing w:line="360" w:lineRule="atLeast"/>
        <w:jc w:val="left"/>
        <w:rPr>
          <w:rFonts w:hint="eastAsia" w:ascii="宋体" w:hAnsi="宋体"/>
          <w:kern w:val="0"/>
          <w:szCs w:val="21"/>
        </w:rPr>
      </w:pPr>
      <w:r>
        <w:rPr>
          <w:rFonts w:hint="eastAsia" w:ascii="宋体" w:hAnsi="宋体"/>
          <w:kern w:val="0"/>
          <w:szCs w:val="21"/>
        </w:rPr>
        <w:t xml:space="preserve"> 5.7.1  主流二氧化碳监测，采样速率≤50ml/分钟。</w:t>
      </w:r>
    </w:p>
    <w:p>
      <w:pPr>
        <w:snapToGrid w:val="0"/>
        <w:spacing w:line="360" w:lineRule="atLeast"/>
        <w:jc w:val="left"/>
        <w:rPr>
          <w:rFonts w:hint="eastAsia" w:ascii="宋体" w:hAnsi="宋体"/>
          <w:kern w:val="0"/>
          <w:szCs w:val="21"/>
        </w:rPr>
      </w:pPr>
      <w:r>
        <w:rPr>
          <w:rFonts w:hint="eastAsia" w:ascii="宋体" w:hAnsi="宋体"/>
          <w:kern w:val="0"/>
          <w:szCs w:val="21"/>
        </w:rPr>
        <w:t xml:space="preserve"> 5.7.2  测量范围： 0 至 150 mmHg</w:t>
      </w:r>
    </w:p>
    <w:p>
      <w:pPr>
        <w:snapToGrid w:val="0"/>
        <w:spacing w:line="360" w:lineRule="atLeast"/>
        <w:jc w:val="left"/>
        <w:rPr>
          <w:rFonts w:hint="eastAsia" w:ascii="宋体" w:hAnsi="宋体"/>
          <w:kern w:val="0"/>
          <w:szCs w:val="21"/>
        </w:rPr>
      </w:pPr>
      <w:r>
        <w:rPr>
          <w:rFonts w:hint="eastAsia" w:ascii="宋体" w:hAnsi="宋体"/>
          <w:b/>
          <w:bCs/>
          <w:kern w:val="0"/>
          <w:szCs w:val="21"/>
        </w:rPr>
        <w:t>六、 临床决策支持和第三方软件功能</w:t>
      </w:r>
    </w:p>
    <w:p>
      <w:pPr>
        <w:snapToGrid w:val="0"/>
        <w:spacing w:line="360" w:lineRule="atLeast"/>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rPr>
        <w:t>6.1可使用环状图显示ST段抬高和压低趋势</w:t>
      </w:r>
    </w:p>
    <w:p>
      <w:pPr>
        <w:snapToGrid w:val="0"/>
        <w:spacing w:line="360" w:lineRule="atLeast"/>
        <w:jc w:val="left"/>
        <w:rPr>
          <w:rFonts w:ascii="宋体" w:hAnsi="宋体" w:cs="宋体"/>
          <w:color w:val="000000"/>
          <w:szCs w:val="21"/>
        </w:rPr>
      </w:pPr>
      <w:r>
        <w:rPr>
          <w:rFonts w:hint="eastAsia" w:ascii="宋体" w:hAnsi="宋体"/>
          <w:kern w:val="0"/>
          <w:szCs w:val="21"/>
          <w:lang w:eastAsia="zh-CN"/>
        </w:rPr>
        <w:t>★</w:t>
      </w:r>
      <w:r>
        <w:rPr>
          <w:rFonts w:hint="eastAsia" w:ascii="宋体" w:hAnsi="宋体"/>
          <w:kern w:val="0"/>
          <w:szCs w:val="21"/>
        </w:rPr>
        <w:t>6.2可使用箭头方式显示监测参数变化趋势</w:t>
      </w:r>
    </w:p>
    <w:p/>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
    <w:p/>
    <w:p/>
    <w:p/>
    <w:p/>
    <w:p/>
    <w:p/>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二包：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高频电刀</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8"/>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（二）技术参数</w:t>
      </w:r>
    </w:p>
    <w:tbl>
      <w:tblPr>
        <w:tblStyle w:val="22"/>
        <w:tblW w:w="9615" w:type="dxa"/>
        <w:tblInd w:w="0" w:type="dxa"/>
        <w:shd w:val="clear" w:color="auto" w:fill="auto"/>
        <w:tblLayout w:type="autofit"/>
        <w:tblCellMar>
          <w:top w:w="0" w:type="dxa"/>
          <w:left w:w="0" w:type="dxa"/>
          <w:bottom w:w="0" w:type="dxa"/>
          <w:right w:w="0" w:type="dxa"/>
        </w:tblCellMar>
      </w:tblPr>
      <w:tblGrid>
        <w:gridCol w:w="1080"/>
        <w:gridCol w:w="2055"/>
        <w:gridCol w:w="6480"/>
      </w:tblGrid>
      <w:tr>
        <w:tblPrEx>
          <w:shd w:val="clear" w:color="auto" w:fill="auto"/>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55"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技术规格</w:t>
            </w:r>
          </w:p>
        </w:tc>
        <w:tc>
          <w:tcPr>
            <w:tcW w:w="6480" w:type="dxa"/>
            <w:tcBorders>
              <w:top w:val="single" w:color="000000" w:sz="8"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招标参数</w:t>
            </w:r>
          </w:p>
        </w:tc>
      </w:tr>
      <w:tr>
        <w:tblPrEx>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基本参数</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原装进口</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提供原产地证明</w:t>
            </w:r>
          </w:p>
        </w:tc>
      </w:tr>
      <w:tr>
        <w:tblPrEx>
          <w:shd w:val="clear" w:color="auto" w:fill="auto"/>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基准频率</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≤400KHz</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20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用户数量</w:t>
            </w:r>
          </w:p>
        </w:tc>
        <w:tc>
          <w:tcPr>
            <w:tcW w:w="6480"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省内用户不少于10家(提供用户名单）</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电刀输出</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输出功率补偿</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可根据探测组织电阻自动对为最大功率实施补偿，提供额外功率输出 </w:t>
            </w:r>
          </w:p>
        </w:tc>
      </w:tr>
      <w:tr>
        <w:tblPrEx>
          <w:shd w:val="clear" w:color="auto" w:fill="auto"/>
          <w:tblCellMar>
            <w:top w:w="0" w:type="dxa"/>
            <w:left w:w="0" w:type="dxa"/>
            <w:bottom w:w="0" w:type="dxa"/>
            <w:right w:w="0" w:type="dxa"/>
          </w:tblCellMar>
        </w:tblPrEx>
        <w:trPr>
          <w:trHeight w:val="6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最小输出功率自动调整</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可根据探测组织电阻自动控制为最小功率输出 </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输出接口</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具有双路电刀笔输出、腔镜单极输出、双极输出以及氩气输出接口</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升级功能</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可升级氩气模块，冲洗模块，吸烟模块</w:t>
            </w:r>
          </w:p>
        </w:tc>
      </w:tr>
      <w:tr>
        <w:tblPrEx>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操作界面</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显示界面</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操作语言</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中文</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软件版本</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可实现软件版本升级</w:t>
            </w:r>
          </w:p>
        </w:tc>
      </w:tr>
      <w:tr>
        <w:tblPrEx>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脚踏开关</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单、双极功能切换</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可通过主机切换控制单、双极功能</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第二脚踏开关</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可增加第二脚踏开关</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双极自动启动</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w:t>
            </w:r>
          </w:p>
        </w:tc>
      </w:tr>
      <w:tr>
        <w:tblPrEx>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负极板</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负极板接触质量监测系统</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实时监测接触电阻</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负极板安全系统</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能检测负极板上的电流分布，具有小儿检测设置</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负极板</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专用负极板</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新生儿负极板</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具备新生儿负极板</w:t>
            </w:r>
          </w:p>
        </w:tc>
      </w:tr>
      <w:tr>
        <w:tblPrEx>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程序控制</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程序储存</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可存贮9组以上程序</w:t>
            </w:r>
          </w:p>
        </w:tc>
      </w:tr>
      <w:tr>
        <w:tblPrEx>
          <w:shd w:val="clear" w:color="auto" w:fill="auto"/>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切割模式</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不少于4种电切模式</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单极自动切割</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最大峰值电压≤800Vp，最大输出功率≥300W，≥8档电凝效果</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单极高能电切</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最大峰值电压≤1200Vp，最大输出功率≥300W，≥8档电凝效果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单极无血电切</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最大峰值电压≤1500Vp，最大输出功率≥200W，≥8档电凝效果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单极无血°电切</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最大峰值电压≤1600Vp，最大输出功率≥200W，≥8档电凝效果</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双极电切</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最大峰值电压≤800Vp，最大输出功率≥100W，≥8档电凝效果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电凝模式</w:t>
            </w:r>
          </w:p>
        </w:tc>
        <w:tc>
          <w:tcPr>
            <w:tcW w:w="64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不少于5种电凝模式</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单极强力电凝 </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最大峰值电压≤1800Vp，最大输出功率≥120W，≥4档电凝效果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单极喷射电凝 </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最大峰值电压≤4500Vp，最大输出功率≥120W，≥2档电凝效果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单极经典电凝</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最大峰值电压≤1500Vp，最大输出功率≥60W，≥2档电凝效果</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单极柔和电凝 </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最大峰值电压≤200Vp，最大输出功率≥200W，≥8档电凝效果</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单极快速电凝 </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最高峰值电压≤2500Vp，最大输出功率≥200W，≥8档电凝效果</w:t>
            </w:r>
          </w:p>
        </w:tc>
      </w:tr>
      <w:tr>
        <w:tblPrEx>
          <w:shd w:val="clear" w:color="auto" w:fill="auto"/>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单极快速°电凝 </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最高峰值电压≤1600Vp，最大输出功率≥200W，≥8档电凝效果</w:t>
            </w:r>
          </w:p>
        </w:tc>
      </w:tr>
      <w:tr>
        <w:tblPrEx>
          <w:tblCellMar>
            <w:top w:w="0" w:type="dxa"/>
            <w:left w:w="0" w:type="dxa"/>
            <w:bottom w:w="0" w:type="dxa"/>
            <w:right w:w="0" w:type="dxa"/>
          </w:tblCellMar>
        </w:tblPrEx>
        <w:trPr>
          <w:trHeight w:val="6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0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单极双路电凝</w:t>
            </w:r>
          </w:p>
        </w:tc>
        <w:tc>
          <w:tcPr>
            <w:tcW w:w="64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最大峰值电压≤2000Vp，最大输出功率≥200W，≥8档电凝效果，功率平均分配，互不干扰</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0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双极柔和电凝</w:t>
            </w:r>
          </w:p>
        </w:tc>
        <w:tc>
          <w:tcPr>
            <w:tcW w:w="648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最大峰值电压≤200Vp，最大输出功率≥120W，≥8档电凝效果</w:t>
            </w:r>
          </w:p>
        </w:tc>
      </w:tr>
    </w:tbl>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bookmarkStart w:id="274" w:name="_GoBack"/>
      <w:bookmarkEnd w:id="274"/>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三包：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低温等离子灭菌器</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36"/>
        </w:numPr>
        <w:spacing w:line="360" w:lineRule="auto"/>
        <w:ind w:firstLine="320" w:firstLineChars="1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技术参数</w:t>
      </w:r>
    </w:p>
    <w:tbl>
      <w:tblPr>
        <w:tblStyle w:val="22"/>
        <w:tblW w:w="9525" w:type="dxa"/>
        <w:tblInd w:w="0" w:type="dxa"/>
        <w:shd w:val="clear" w:color="auto" w:fill="auto"/>
        <w:tblLayout w:type="autofit"/>
        <w:tblCellMar>
          <w:top w:w="0" w:type="dxa"/>
          <w:left w:w="0" w:type="dxa"/>
          <w:bottom w:w="0" w:type="dxa"/>
          <w:right w:w="0" w:type="dxa"/>
        </w:tblCellMar>
      </w:tblPr>
      <w:tblGrid>
        <w:gridCol w:w="669"/>
        <w:gridCol w:w="2184"/>
        <w:gridCol w:w="6678"/>
      </w:tblGrid>
      <w:tr>
        <w:tblPrEx>
          <w:tblCellMar>
            <w:top w:w="0" w:type="dxa"/>
            <w:left w:w="0" w:type="dxa"/>
            <w:bottom w:w="0" w:type="dxa"/>
            <w:right w:w="0" w:type="dxa"/>
          </w:tblCellMar>
        </w:tblPrEx>
        <w:trPr>
          <w:trHeight w:val="300" w:hRule="atLeast"/>
        </w:trPr>
        <w:tc>
          <w:tcPr>
            <w:tcW w:w="9531" w:type="dxa"/>
            <w:gridSpan w:val="3"/>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低温过氧化氢灭菌器招标技术规格</w:t>
            </w:r>
          </w:p>
        </w:tc>
      </w:tr>
      <w:tr>
        <w:tblPrEx>
          <w:shd w:val="clear" w:color="auto" w:fill="auto"/>
          <w:tblCellMar>
            <w:top w:w="0" w:type="dxa"/>
            <w:left w:w="0" w:type="dxa"/>
            <w:bottom w:w="0" w:type="dxa"/>
            <w:right w:w="0" w:type="dxa"/>
          </w:tblCellMar>
        </w:tblPrEx>
        <w:trPr>
          <w:trHeight w:val="300" w:hRule="atLeast"/>
        </w:trPr>
        <w:tc>
          <w:tcPr>
            <w:tcW w:w="9531" w:type="dxa"/>
            <w:gridSpan w:val="3"/>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技术指标</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招标规格</w:t>
            </w:r>
          </w:p>
        </w:tc>
      </w:tr>
      <w:tr>
        <w:tblPrEx>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产品型号</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请说明</w:t>
            </w:r>
          </w:p>
        </w:tc>
      </w:tr>
      <w:tr>
        <w:tblPrEx>
          <w:shd w:val="clear" w:color="auto" w:fill="auto"/>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产品品牌</w:t>
            </w:r>
          </w:p>
        </w:tc>
        <w:tc>
          <w:tcPr>
            <w:tcW w:w="69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原装进口并提供厂方ISO13485、ISO9001及FDA 510k证书</w:t>
            </w:r>
          </w:p>
        </w:tc>
      </w:tr>
      <w:tr>
        <w:tblPrEx>
          <w:tblCellMar>
            <w:top w:w="0" w:type="dxa"/>
            <w:left w:w="0" w:type="dxa"/>
            <w:bottom w:w="0" w:type="dxa"/>
            <w:right w:w="0"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适用范围</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用于不能采用湿热法灭菌的腔镜、管路及软式内镜等器械的灭菌</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外形尺寸 (宽×高×深)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840 x 1910 x 1100mm</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内腔有效容积</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≥120L 有效容积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数据来源提供厂家技术白皮书证明</w:t>
            </w:r>
          </w:p>
        </w:tc>
      </w:tr>
      <w:tr>
        <w:tblPrEx>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腔体构造</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采用矩形设计，最大程度满足可装载空间</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52°C</w:t>
            </w:r>
          </w:p>
        </w:tc>
      </w:tr>
      <w:tr>
        <w:tblPrEx>
          <w:tblCellMar>
            <w:top w:w="0" w:type="dxa"/>
            <w:left w:w="0" w:type="dxa"/>
            <w:bottom w:w="0" w:type="dxa"/>
            <w:right w:w="0"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开门方式</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采用简易、方便、易维修的开门方式</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灭菌过程</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采用液态过氧化氢进行加温并注入灭菌腔后产生雾态过氧化氢气体进行器械灭菌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整个灭菌过程中无等离子介入</w:t>
            </w:r>
          </w:p>
        </w:tc>
      </w:tr>
      <w:tr>
        <w:tblPrEx>
          <w:shd w:val="clear" w:color="auto" w:fill="auto"/>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去残留过程</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采用抽真空及快速催化器帮助过氧化氢气体的去除及分解，形成水分子及氧气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或采用抽真空及等离子帮助过氧化氢气体的去除及分解，形成水分子及氧气</w:t>
            </w:r>
          </w:p>
        </w:tc>
      </w:tr>
      <w:tr>
        <w:tblPrEx>
          <w:shd w:val="clear" w:color="auto" w:fill="auto"/>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灭菌剂浓度</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灭菌剂（过氧化氢液体）浓度不超过60%</w:t>
            </w:r>
          </w:p>
        </w:tc>
      </w:tr>
      <w:tr>
        <w:tblPrEx>
          <w:shd w:val="clear" w:color="auto" w:fill="auto"/>
          <w:tblCellMar>
            <w:top w:w="0" w:type="dxa"/>
            <w:left w:w="0" w:type="dxa"/>
            <w:bottom w:w="0" w:type="dxa"/>
            <w:right w:w="0"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灭菌循环浓度</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在达到SAL10-6灭菌要求的前提下（提供证明）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灭菌循环浓度必须固定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如灭菌循环浓度不一致，设备必须显示每个循环的灭菌浓度以保障灭菌的有效性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设备必须配备浓度报警装置</w:t>
            </w:r>
          </w:p>
        </w:tc>
      </w:tr>
      <w:tr>
        <w:tblPrEx>
          <w:tblCellMar>
            <w:top w:w="0" w:type="dxa"/>
            <w:left w:w="0" w:type="dxa"/>
            <w:bottom w:w="0" w:type="dxa"/>
            <w:right w:w="0"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灭菌循环及规范</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可达到不少于以下3个灭菌循环（提供FDA 510k证明）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非管腔循环 或 实体器械灭菌循环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灭菌时间 ≤ 30分钟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上或下层装载 ≥  10kg非管腔或实体器械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软镜循环 或 软式内镜灭菌程序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灭菌时间 ≤ 45分钟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可装载 ≥ 2根单或双通道软镜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可混合装载其他实体器械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管腔循环 或 标准灭菌程序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灭菌时间 ≤ 60分钟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可装载 ≥15根管腔内镜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可处理单、双或三通道管腔镜</w:t>
            </w:r>
          </w:p>
        </w:tc>
      </w:tr>
      <w:tr>
        <w:tblPrEx>
          <w:shd w:val="clear" w:color="auto" w:fill="auto"/>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硬式管腔内镜需求</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至少可达到以下单通道管腔镜需求（提供FDA 510k证明）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单通道管腔直径 ≤1mm、长度≥400mm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双通道管腔镜直径≤1mm、长度≥427mm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三通道管腔镜直径≤ 2mm、长度 ≥ 175mm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直径≤2mm、长度≥210mm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直径≤3mm、长度≥217mm</w:t>
            </w:r>
          </w:p>
        </w:tc>
      </w:tr>
      <w:tr>
        <w:tblPrEx>
          <w:shd w:val="clear" w:color="auto" w:fill="auto"/>
          <w:tblCellMar>
            <w:top w:w="0" w:type="dxa"/>
            <w:left w:w="0" w:type="dxa"/>
            <w:bottom w:w="0" w:type="dxa"/>
            <w:right w:w="0"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软式内镜需求</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必须达到以下单通道软式内镜需求（提供FDA 510k证明）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软镜（带有光纤）符合以下条件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单通道软镜直径≤1mm、长度≥850mm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双通道软镜直径≤1mm、长度≥900mm 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直径≤1mm、长度≥800mm</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灭菌剂及包装</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一次加载可最少使用 5次循环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采用透明可视包装，人体无接触、无挥发；常温保存，无需其他特殊保存条件；标签包含但不限于包装效期、制造商、插入时间、余量状态、完成循环数等信息</w:t>
            </w:r>
          </w:p>
        </w:tc>
      </w:tr>
      <w:tr>
        <w:tblPrEx>
          <w:shd w:val="clear" w:color="auto" w:fill="auto"/>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操作及显示系统</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PC控制系统，≥ 5" 触摸彩色显示屏，可实时显示当前循环模式及剩余时间和相关灭菌参数</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灭菌剂注射装置</w:t>
            </w:r>
          </w:p>
        </w:tc>
        <w:tc>
          <w:tcPr>
            <w:tcW w:w="6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精确释放装置，注入量精确</w:t>
            </w:r>
          </w:p>
        </w:tc>
      </w:tr>
      <w:tr>
        <w:tblPrEx>
          <w:shd w:val="clear" w:color="auto" w:fill="auto"/>
          <w:tblCellMar>
            <w:top w:w="0" w:type="dxa"/>
            <w:left w:w="0" w:type="dxa"/>
            <w:bottom w:w="0" w:type="dxa"/>
            <w:right w:w="0" w:type="dxa"/>
          </w:tblCellMar>
        </w:tblPrEx>
        <w:trPr>
          <w:trHeight w:val="80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3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灭菌周期</w:t>
            </w:r>
          </w:p>
        </w:tc>
        <w:tc>
          <w:tcPr>
            <w:tcW w:w="69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采用双循环或四循环加强型灭菌技术，并采用半周期检测（提供卫生部认定的国家级消毒产品检验机构出具的半周期检测报告）</w:t>
            </w:r>
          </w:p>
        </w:tc>
      </w:tr>
      <w:tr>
        <w:tblPrEx>
          <w:tblCellMar>
            <w:top w:w="0" w:type="dxa"/>
            <w:left w:w="0" w:type="dxa"/>
            <w:bottom w:w="0" w:type="dxa"/>
            <w:right w:w="0" w:type="dxa"/>
          </w:tblCellMar>
        </w:tblPrEx>
        <w:trPr>
          <w:trHeight w:val="108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数字网络化技术 </w:t>
            </w:r>
          </w:p>
        </w:tc>
        <w:tc>
          <w:tcPr>
            <w:tcW w:w="6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将具体装载物品信息输入设备，灭菌终端可与医院HIS系统、个人电脑及器械追溯系统实现无缝连接、数据网络化共享与传输实时监控设备运转情况，并具备提供任何灭菌批次的可追溯信息的网络、USB上传及下载功能</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打印记录</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可自动电脑打印提供每个灭菌周期的实时（≤30秒一次）临界参数如舱内压、温度和灭菌时间等灭菌参数和故障显示的信息记录（提供打印条为证）</w:t>
            </w:r>
          </w:p>
        </w:tc>
      </w:tr>
      <w:tr>
        <w:tblPrEx>
          <w:shd w:val="clear" w:color="auto" w:fill="auto"/>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提供中华人民共和国卫生部颁发的消毒产品卫生许可证及医疗器械注册证</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设备检测报告</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提供具有CMA检测资质的设备检测报告，检测项目包括《模拟现场实验》、《金属腐蚀性实验》、《毒理学安全性检测》等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灭菌兼容证明</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提供设备与不少于三家进口品牌器械的灭菌兼容证明文件</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提供FDA和CE认证文件</w:t>
            </w:r>
          </w:p>
        </w:tc>
      </w:tr>
    </w:tbl>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四包：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电子支气管镜</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p>
      <w:pPr>
        <w:spacing w:line="360" w:lineRule="auto"/>
        <w:jc w:val="center"/>
        <w:rPr>
          <w:rFonts w:ascii="宋体" w:hAnsi="宋体" w:eastAsia="宋体"/>
          <w:b/>
          <w:bCs/>
          <w:sz w:val="24"/>
          <w:szCs w:val="24"/>
        </w:rPr>
      </w:pPr>
      <w:r>
        <w:rPr>
          <w:rFonts w:hint="eastAsia" w:ascii="宋体" w:hAnsi="宋体" w:eastAsia="宋体"/>
          <w:b/>
          <w:bCs/>
          <w:sz w:val="24"/>
          <w:szCs w:val="24"/>
        </w:rPr>
        <w:t>一、高清电子支气管镜诊断系统组成要求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5308"/>
        <w:gridCol w:w="1108"/>
        <w:gridCol w:w="110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BFBFBF"/>
            <w:vAlign w:val="center"/>
          </w:tcPr>
          <w:p>
            <w:pPr>
              <w:jc w:val="center"/>
              <w:rPr>
                <w:rFonts w:ascii="宋体" w:hAnsi="宋体"/>
                <w:sz w:val="24"/>
              </w:rPr>
            </w:pPr>
            <w:r>
              <w:rPr>
                <w:rFonts w:hint="eastAsia" w:ascii="宋体" w:hAnsi="宋体"/>
                <w:sz w:val="24"/>
              </w:rPr>
              <w:t>序号</w:t>
            </w:r>
          </w:p>
        </w:tc>
        <w:tc>
          <w:tcPr>
            <w:tcW w:w="2725" w:type="pct"/>
            <w:shd w:val="clear" w:color="auto" w:fill="BFBFBF"/>
            <w:vAlign w:val="center"/>
          </w:tcPr>
          <w:p>
            <w:pPr>
              <w:jc w:val="center"/>
              <w:rPr>
                <w:rFonts w:ascii="宋体" w:hAnsi="宋体"/>
                <w:sz w:val="24"/>
              </w:rPr>
            </w:pPr>
            <w:r>
              <w:rPr>
                <w:rFonts w:hint="eastAsia" w:ascii="宋体" w:hAnsi="宋体"/>
                <w:sz w:val="24"/>
              </w:rPr>
              <w:t>组件名称</w:t>
            </w:r>
          </w:p>
        </w:tc>
        <w:tc>
          <w:tcPr>
            <w:tcW w:w="569" w:type="pct"/>
            <w:shd w:val="clear" w:color="auto" w:fill="BFBFBF"/>
            <w:vAlign w:val="center"/>
          </w:tcPr>
          <w:p>
            <w:pPr>
              <w:jc w:val="center"/>
              <w:rPr>
                <w:rFonts w:ascii="宋体" w:hAnsi="宋体"/>
                <w:sz w:val="24"/>
              </w:rPr>
            </w:pPr>
            <w:r>
              <w:rPr>
                <w:rFonts w:hint="eastAsia" w:ascii="宋体" w:hAnsi="宋体"/>
                <w:sz w:val="24"/>
              </w:rPr>
              <w:t>单位</w:t>
            </w:r>
          </w:p>
        </w:tc>
        <w:tc>
          <w:tcPr>
            <w:tcW w:w="569" w:type="pct"/>
            <w:shd w:val="clear" w:color="auto" w:fill="BFBFBF"/>
            <w:vAlign w:val="center"/>
          </w:tcPr>
          <w:p>
            <w:pPr>
              <w:jc w:val="center"/>
              <w:rPr>
                <w:rFonts w:ascii="宋体" w:hAnsi="宋体"/>
                <w:sz w:val="24"/>
              </w:rPr>
            </w:pPr>
            <w:r>
              <w:rPr>
                <w:rFonts w:hint="eastAsia" w:ascii="宋体" w:hAnsi="宋体"/>
                <w:sz w:val="24"/>
              </w:rPr>
              <w:t>数量</w:t>
            </w:r>
          </w:p>
        </w:tc>
        <w:tc>
          <w:tcPr>
            <w:tcW w:w="568" w:type="pct"/>
            <w:shd w:val="clear" w:color="auto" w:fill="BFBFBF"/>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auto"/>
            <w:vAlign w:val="center"/>
          </w:tcPr>
          <w:p>
            <w:pPr>
              <w:jc w:val="center"/>
              <w:rPr>
                <w:rFonts w:ascii="宋体" w:hAnsi="宋体"/>
                <w:sz w:val="24"/>
              </w:rPr>
            </w:pPr>
            <w:r>
              <w:rPr>
                <w:rFonts w:hint="eastAsia" w:ascii="宋体" w:hAnsi="宋体"/>
                <w:sz w:val="24"/>
              </w:rPr>
              <w:t>1</w:t>
            </w:r>
          </w:p>
        </w:tc>
        <w:tc>
          <w:tcPr>
            <w:tcW w:w="2725" w:type="pct"/>
            <w:shd w:val="clear" w:color="auto" w:fill="auto"/>
            <w:vAlign w:val="center"/>
          </w:tcPr>
          <w:p>
            <w:pPr>
              <w:jc w:val="center"/>
              <w:rPr>
                <w:rFonts w:ascii="宋体" w:hAnsi="宋体"/>
                <w:sz w:val="24"/>
              </w:rPr>
            </w:pPr>
            <w:r>
              <w:rPr>
                <w:rFonts w:ascii="宋体" w:hAnsi="宋体"/>
                <w:sz w:val="24"/>
              </w:rPr>
              <w:t>高清内窥镜图像光源处理系统</w:t>
            </w:r>
          </w:p>
        </w:tc>
        <w:tc>
          <w:tcPr>
            <w:tcW w:w="569" w:type="pct"/>
            <w:shd w:val="clear" w:color="auto" w:fill="auto"/>
            <w:vAlign w:val="center"/>
          </w:tcPr>
          <w:p>
            <w:pPr>
              <w:jc w:val="center"/>
              <w:rPr>
                <w:rFonts w:ascii="宋体" w:hAnsi="宋体"/>
                <w:sz w:val="24"/>
              </w:rPr>
            </w:pPr>
            <w:r>
              <w:rPr>
                <w:rFonts w:ascii="宋体" w:hAnsi="宋体"/>
                <w:sz w:val="24"/>
              </w:rPr>
              <w:t>套</w:t>
            </w:r>
          </w:p>
        </w:tc>
        <w:tc>
          <w:tcPr>
            <w:tcW w:w="569" w:type="pct"/>
            <w:shd w:val="clear" w:color="auto" w:fill="auto"/>
            <w:vAlign w:val="center"/>
          </w:tcPr>
          <w:p>
            <w:pPr>
              <w:jc w:val="center"/>
              <w:rPr>
                <w:rFonts w:ascii="宋体" w:hAnsi="宋体"/>
                <w:sz w:val="24"/>
              </w:rPr>
            </w:pPr>
            <w:r>
              <w:rPr>
                <w:rFonts w:ascii="宋体" w:hAnsi="宋体"/>
                <w:sz w:val="24"/>
              </w:rPr>
              <w:t>1</w:t>
            </w:r>
          </w:p>
        </w:tc>
        <w:tc>
          <w:tcPr>
            <w:tcW w:w="568" w:type="pct"/>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auto"/>
            <w:vAlign w:val="center"/>
          </w:tcPr>
          <w:p>
            <w:pPr>
              <w:jc w:val="center"/>
              <w:rPr>
                <w:rFonts w:ascii="宋体" w:hAnsi="宋体"/>
                <w:sz w:val="24"/>
              </w:rPr>
            </w:pPr>
            <w:r>
              <w:rPr>
                <w:rFonts w:hint="eastAsia" w:ascii="宋体" w:hAnsi="宋体"/>
                <w:sz w:val="24"/>
              </w:rPr>
              <w:t>2</w:t>
            </w:r>
          </w:p>
        </w:tc>
        <w:tc>
          <w:tcPr>
            <w:tcW w:w="2725" w:type="pct"/>
            <w:shd w:val="clear" w:color="auto" w:fill="auto"/>
            <w:vAlign w:val="center"/>
          </w:tcPr>
          <w:p>
            <w:pPr>
              <w:jc w:val="center"/>
              <w:rPr>
                <w:rFonts w:ascii="宋体" w:hAnsi="宋体"/>
                <w:sz w:val="24"/>
              </w:rPr>
            </w:pPr>
            <w:r>
              <w:rPr>
                <w:rFonts w:ascii="宋体" w:hAnsi="宋体"/>
                <w:sz w:val="24"/>
              </w:rPr>
              <w:t>高清医用监视器</w:t>
            </w:r>
          </w:p>
        </w:tc>
        <w:tc>
          <w:tcPr>
            <w:tcW w:w="569" w:type="pct"/>
            <w:shd w:val="clear" w:color="auto" w:fill="auto"/>
            <w:vAlign w:val="center"/>
          </w:tcPr>
          <w:p>
            <w:pPr>
              <w:jc w:val="center"/>
              <w:rPr>
                <w:rFonts w:ascii="宋体" w:hAnsi="宋体"/>
                <w:sz w:val="24"/>
              </w:rPr>
            </w:pPr>
            <w:r>
              <w:rPr>
                <w:rFonts w:ascii="宋体" w:hAnsi="宋体"/>
                <w:sz w:val="24"/>
              </w:rPr>
              <w:t>台</w:t>
            </w:r>
          </w:p>
        </w:tc>
        <w:tc>
          <w:tcPr>
            <w:tcW w:w="569" w:type="pct"/>
            <w:shd w:val="clear" w:color="auto" w:fill="auto"/>
            <w:vAlign w:val="center"/>
          </w:tcPr>
          <w:p>
            <w:pPr>
              <w:jc w:val="center"/>
              <w:rPr>
                <w:rFonts w:ascii="宋体" w:hAnsi="宋体"/>
                <w:sz w:val="24"/>
              </w:rPr>
            </w:pPr>
            <w:r>
              <w:rPr>
                <w:rFonts w:ascii="宋体" w:hAnsi="宋体"/>
                <w:sz w:val="24"/>
              </w:rPr>
              <w:t>1</w:t>
            </w:r>
          </w:p>
        </w:tc>
        <w:tc>
          <w:tcPr>
            <w:tcW w:w="568" w:type="pct"/>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auto"/>
            <w:vAlign w:val="center"/>
          </w:tcPr>
          <w:p>
            <w:pPr>
              <w:jc w:val="center"/>
              <w:rPr>
                <w:rFonts w:ascii="宋体" w:hAnsi="宋体"/>
                <w:sz w:val="24"/>
              </w:rPr>
            </w:pPr>
            <w:r>
              <w:rPr>
                <w:rFonts w:hint="eastAsia" w:ascii="宋体" w:hAnsi="宋体"/>
                <w:sz w:val="24"/>
              </w:rPr>
              <w:t>3</w:t>
            </w:r>
          </w:p>
        </w:tc>
        <w:tc>
          <w:tcPr>
            <w:tcW w:w="2725" w:type="pct"/>
            <w:shd w:val="clear" w:color="auto" w:fill="auto"/>
            <w:vAlign w:val="center"/>
          </w:tcPr>
          <w:p>
            <w:pPr>
              <w:jc w:val="center"/>
              <w:rPr>
                <w:rFonts w:ascii="宋体" w:hAnsi="宋体"/>
                <w:sz w:val="24"/>
              </w:rPr>
            </w:pPr>
            <w:r>
              <w:rPr>
                <w:rFonts w:ascii="宋体" w:hAnsi="宋体"/>
                <w:sz w:val="24"/>
              </w:rPr>
              <w:t>检查型高清电子支气管镜</w:t>
            </w:r>
          </w:p>
        </w:tc>
        <w:tc>
          <w:tcPr>
            <w:tcW w:w="569" w:type="pct"/>
            <w:shd w:val="clear" w:color="auto" w:fill="auto"/>
            <w:vAlign w:val="center"/>
          </w:tcPr>
          <w:p>
            <w:pPr>
              <w:jc w:val="center"/>
              <w:rPr>
                <w:rFonts w:ascii="宋体" w:hAnsi="宋体"/>
                <w:sz w:val="24"/>
              </w:rPr>
            </w:pPr>
            <w:r>
              <w:rPr>
                <w:rFonts w:ascii="宋体" w:hAnsi="宋体"/>
                <w:sz w:val="24"/>
              </w:rPr>
              <w:t>条</w:t>
            </w:r>
          </w:p>
        </w:tc>
        <w:tc>
          <w:tcPr>
            <w:tcW w:w="569" w:type="pct"/>
            <w:shd w:val="clear" w:color="auto" w:fill="auto"/>
            <w:vAlign w:val="center"/>
          </w:tcPr>
          <w:p>
            <w:pPr>
              <w:jc w:val="center"/>
              <w:rPr>
                <w:rFonts w:ascii="宋体" w:hAnsi="宋体"/>
                <w:sz w:val="24"/>
              </w:rPr>
            </w:pPr>
            <w:r>
              <w:rPr>
                <w:rFonts w:ascii="宋体" w:hAnsi="宋体"/>
                <w:sz w:val="24"/>
              </w:rPr>
              <w:t>1</w:t>
            </w:r>
          </w:p>
        </w:tc>
        <w:tc>
          <w:tcPr>
            <w:tcW w:w="568" w:type="pct"/>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auto"/>
            <w:vAlign w:val="center"/>
          </w:tcPr>
          <w:p>
            <w:pPr>
              <w:jc w:val="center"/>
              <w:rPr>
                <w:rFonts w:ascii="宋体" w:hAnsi="宋体"/>
                <w:sz w:val="24"/>
              </w:rPr>
            </w:pPr>
            <w:r>
              <w:rPr>
                <w:rFonts w:hint="eastAsia" w:ascii="宋体" w:hAnsi="宋体"/>
                <w:sz w:val="24"/>
              </w:rPr>
              <w:t>4</w:t>
            </w:r>
          </w:p>
        </w:tc>
        <w:tc>
          <w:tcPr>
            <w:tcW w:w="2725" w:type="pct"/>
            <w:shd w:val="clear" w:color="auto" w:fill="auto"/>
            <w:vAlign w:val="center"/>
          </w:tcPr>
          <w:p>
            <w:pPr>
              <w:jc w:val="center"/>
              <w:rPr>
                <w:rFonts w:ascii="宋体" w:hAnsi="宋体"/>
                <w:sz w:val="24"/>
              </w:rPr>
            </w:pPr>
            <w:r>
              <w:rPr>
                <w:rFonts w:ascii="宋体" w:hAnsi="宋体"/>
                <w:sz w:val="24"/>
              </w:rPr>
              <w:t>治疗型高清电子支气管镜</w:t>
            </w:r>
          </w:p>
        </w:tc>
        <w:tc>
          <w:tcPr>
            <w:tcW w:w="569" w:type="pct"/>
            <w:shd w:val="clear" w:color="auto" w:fill="auto"/>
            <w:vAlign w:val="center"/>
          </w:tcPr>
          <w:p>
            <w:pPr>
              <w:jc w:val="center"/>
              <w:rPr>
                <w:rFonts w:ascii="宋体" w:hAnsi="宋体"/>
                <w:sz w:val="24"/>
              </w:rPr>
            </w:pPr>
            <w:r>
              <w:rPr>
                <w:rFonts w:ascii="宋体" w:hAnsi="宋体"/>
                <w:sz w:val="24"/>
              </w:rPr>
              <w:t>条</w:t>
            </w:r>
          </w:p>
        </w:tc>
        <w:tc>
          <w:tcPr>
            <w:tcW w:w="569" w:type="pct"/>
            <w:shd w:val="clear" w:color="auto" w:fill="auto"/>
            <w:vAlign w:val="center"/>
          </w:tcPr>
          <w:p>
            <w:pPr>
              <w:jc w:val="center"/>
              <w:rPr>
                <w:rFonts w:ascii="宋体" w:hAnsi="宋体"/>
                <w:sz w:val="24"/>
              </w:rPr>
            </w:pPr>
            <w:r>
              <w:rPr>
                <w:rFonts w:ascii="宋体" w:hAnsi="宋体"/>
                <w:sz w:val="24"/>
              </w:rPr>
              <w:t>1</w:t>
            </w:r>
          </w:p>
        </w:tc>
        <w:tc>
          <w:tcPr>
            <w:tcW w:w="568" w:type="pct"/>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9" w:type="pct"/>
            <w:shd w:val="clear" w:color="auto" w:fill="auto"/>
            <w:vAlign w:val="center"/>
          </w:tcPr>
          <w:p>
            <w:pPr>
              <w:jc w:val="center"/>
              <w:rPr>
                <w:rFonts w:ascii="宋体" w:hAnsi="宋体"/>
                <w:sz w:val="24"/>
              </w:rPr>
            </w:pPr>
            <w:r>
              <w:rPr>
                <w:rFonts w:hint="eastAsia" w:ascii="宋体" w:hAnsi="宋体"/>
                <w:sz w:val="24"/>
              </w:rPr>
              <w:t>5</w:t>
            </w:r>
          </w:p>
        </w:tc>
        <w:tc>
          <w:tcPr>
            <w:tcW w:w="2725" w:type="pct"/>
            <w:shd w:val="clear" w:color="auto" w:fill="auto"/>
            <w:vAlign w:val="center"/>
          </w:tcPr>
          <w:p>
            <w:pPr>
              <w:jc w:val="center"/>
              <w:rPr>
                <w:rFonts w:ascii="宋体" w:hAnsi="宋体"/>
                <w:sz w:val="24"/>
              </w:rPr>
            </w:pPr>
            <w:r>
              <w:rPr>
                <w:rFonts w:ascii="宋体" w:hAnsi="宋体"/>
                <w:sz w:val="24"/>
              </w:rPr>
              <w:t>高清图文工作站</w:t>
            </w:r>
          </w:p>
        </w:tc>
        <w:tc>
          <w:tcPr>
            <w:tcW w:w="569" w:type="pct"/>
            <w:shd w:val="clear" w:color="auto" w:fill="auto"/>
            <w:vAlign w:val="center"/>
          </w:tcPr>
          <w:p>
            <w:pPr>
              <w:jc w:val="center"/>
              <w:rPr>
                <w:rFonts w:ascii="宋体" w:hAnsi="宋体"/>
                <w:sz w:val="24"/>
              </w:rPr>
            </w:pPr>
            <w:r>
              <w:rPr>
                <w:rFonts w:ascii="宋体" w:hAnsi="宋体"/>
                <w:sz w:val="24"/>
              </w:rPr>
              <w:t>套</w:t>
            </w:r>
          </w:p>
        </w:tc>
        <w:tc>
          <w:tcPr>
            <w:tcW w:w="569" w:type="pct"/>
            <w:shd w:val="clear" w:color="auto" w:fill="auto"/>
            <w:vAlign w:val="center"/>
          </w:tcPr>
          <w:p>
            <w:pPr>
              <w:jc w:val="center"/>
              <w:rPr>
                <w:rFonts w:ascii="宋体" w:hAnsi="宋体"/>
                <w:sz w:val="24"/>
              </w:rPr>
            </w:pPr>
            <w:r>
              <w:rPr>
                <w:rFonts w:ascii="宋体" w:hAnsi="宋体"/>
                <w:sz w:val="24"/>
              </w:rPr>
              <w:t>1</w:t>
            </w:r>
          </w:p>
        </w:tc>
        <w:tc>
          <w:tcPr>
            <w:tcW w:w="568" w:type="pct"/>
            <w:shd w:val="clear" w:color="auto" w:fill="auto"/>
            <w:vAlign w:val="center"/>
          </w:tcPr>
          <w:p>
            <w:pPr>
              <w:jc w:val="center"/>
              <w:rPr>
                <w:rFonts w:ascii="宋体" w:hAnsi="宋体"/>
                <w:sz w:val="24"/>
              </w:rPr>
            </w:pPr>
          </w:p>
        </w:tc>
      </w:tr>
    </w:tbl>
    <w:p/>
    <w:p>
      <w:pPr>
        <w:spacing w:line="360" w:lineRule="auto"/>
        <w:jc w:val="center"/>
        <w:rPr>
          <w:rFonts w:ascii="宋体" w:hAnsi="宋体" w:eastAsia="宋体"/>
          <w:b/>
          <w:bCs/>
          <w:sz w:val="24"/>
          <w:szCs w:val="24"/>
        </w:rPr>
      </w:pPr>
      <w:r>
        <w:rPr>
          <w:rFonts w:hint="eastAsia" w:ascii="宋体" w:hAnsi="宋体" w:eastAsia="宋体"/>
          <w:b/>
          <w:bCs/>
          <w:sz w:val="24"/>
          <w:szCs w:val="24"/>
        </w:rPr>
        <w:t>二、高清内窥镜图像光源处理系统</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1.主机光源分体或一体化设计。</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2.可匹配全数字彩色CCD成像内镜实现高清图像效果</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3.全数字图像拾取、处理、传输、显示，数字内镜+数字主机+数字监视器</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4.图像可达1280x1024线甚至以上的分辨率</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5.数码图像轮廓增强</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6.数码图像降噪功能</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7.可开放式升级平台。</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8.红、绿、蓝全光谱实现特殊图像显示，没有缺色现象，画面真实、准确</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9.具备电子/光学染色功能</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10.提供网络接口，可与院内网络连接</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11.★光源采用≥300W氙灯</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12.★具备应急灯，双灯自动切换。</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13.多档调节的高流量新型低噪气泵</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14.控制预设，可在面板和内镜手柄按键上设置所有主机的控制及调节功能</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15.可选择高清、标准两种图像质量输出，以满足不同监视器的匹配性</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16.预约数据存储功能、操作者数据存储功能、病人数据存储功能</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17.具有内镜动态图像录像存储功能</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18.★可兼容常规电子支气管镜及电子超声支气管镜、电子胃肠镜、电子鼻咽喉镜、光学放大内镜</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19.多种、多组常规输出方式RGBS、Y/C、VIDEO</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20.DVI-D数字图像输出接口</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21.测光方式：平均测光/峰值测光方式，自动、手动调光方式</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22.自动白平衡及多档颜色调节功能，颜色数据自动记忆</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23.全新照明系统扩大了照射角度，边缘图像亮度提高，整幅图像照射均匀，近、远端图像明暗对降低，极大程度的抑制了粘膜、液体反光现象</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24.提供多组标准USB接口，可直接存储镜下图片及相关数据</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25.恢复出厂设置功能，主机误操作后可直接恢复到正常状态</w:t>
      </w:r>
    </w:p>
    <w:p/>
    <w:p>
      <w:pPr>
        <w:spacing w:line="360" w:lineRule="auto"/>
        <w:jc w:val="center"/>
        <w:rPr>
          <w:rFonts w:ascii="宋体" w:hAnsi="宋体" w:eastAsia="宋体"/>
          <w:b/>
          <w:bCs/>
          <w:sz w:val="24"/>
          <w:szCs w:val="24"/>
        </w:rPr>
      </w:pPr>
      <w:r>
        <w:rPr>
          <w:rFonts w:hint="eastAsia" w:ascii="宋体" w:hAnsi="宋体" w:eastAsia="宋体"/>
          <w:b/>
          <w:bCs/>
          <w:sz w:val="24"/>
          <w:szCs w:val="24"/>
        </w:rPr>
        <w:t>三、检查型高清电子支气管镜</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1.★高清彩色CCD摄像元件</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2.视野角度:≥120°</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3.观察深度:3—100mm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4.弯曲角度:上下≥</w:t>
      </w:r>
      <w:r>
        <w:rPr>
          <w:rFonts w:hint="eastAsia" w:ascii="宋体" w:hAnsi="宋体" w:eastAsia="宋体"/>
          <w:sz w:val="24"/>
          <w:szCs w:val="24"/>
          <w:lang w:val="en-US" w:eastAsia="zh-CN"/>
        </w:rPr>
        <w:t>21</w:t>
      </w:r>
      <w:r>
        <w:rPr>
          <w:rFonts w:hint="eastAsia" w:ascii="宋体" w:hAnsi="宋体" w:eastAsia="宋体"/>
          <w:sz w:val="24"/>
          <w:szCs w:val="24"/>
        </w:rPr>
        <w:t>0°/130°</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5.插入部外径:≤5.2mm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6.内镜管道:≥</w:t>
      </w:r>
      <w:r>
        <w:rPr>
          <w:rFonts w:hint="eastAsia" w:ascii="宋体" w:hAnsi="宋体" w:eastAsia="宋体"/>
          <w:sz w:val="24"/>
          <w:szCs w:val="24"/>
          <w:lang w:val="en-US" w:eastAsia="zh-CN"/>
        </w:rPr>
        <w:t>2.0</w:t>
      </w:r>
      <w:r>
        <w:rPr>
          <w:rFonts w:hint="eastAsia" w:ascii="宋体" w:hAnsi="宋体" w:eastAsia="宋体"/>
          <w:sz w:val="24"/>
          <w:szCs w:val="24"/>
        </w:rPr>
        <w:t>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7.有效长度:≥600mm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9.可以全防水，全浸泡消毒，内镜按钮可以进行高温灭菌消毒。</w:t>
      </w:r>
    </w:p>
    <w:p/>
    <w:p>
      <w:pPr>
        <w:spacing w:line="360" w:lineRule="auto"/>
        <w:jc w:val="center"/>
        <w:rPr>
          <w:rFonts w:ascii="宋体" w:hAnsi="宋体" w:eastAsia="宋体"/>
          <w:b/>
          <w:bCs/>
          <w:sz w:val="24"/>
          <w:szCs w:val="24"/>
        </w:rPr>
      </w:pPr>
      <w:r>
        <w:rPr>
          <w:rFonts w:hint="eastAsia" w:ascii="宋体" w:hAnsi="宋体" w:eastAsia="宋体"/>
          <w:b/>
          <w:bCs/>
          <w:sz w:val="24"/>
          <w:szCs w:val="24"/>
        </w:rPr>
        <w:t>四、治疗型高清电子支气管镜（数量：1条）</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1.★高清彩色CCD摄像元件</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2.视野角度:≥120°</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3.观察深度:3—100mm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4.弯曲角度:上/下≥180°/130°</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5.插入部外径:≤6.4mm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6.先端部外径:≤6.1mm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7．钳子管道内径：≥2.</w:t>
      </w:r>
      <w:r>
        <w:rPr>
          <w:rFonts w:hint="eastAsia" w:ascii="宋体" w:hAnsi="宋体" w:eastAsia="宋体"/>
          <w:sz w:val="24"/>
          <w:szCs w:val="24"/>
          <w:lang w:val="en-US" w:eastAsia="zh-CN"/>
        </w:rPr>
        <w:t>8</w:t>
      </w:r>
      <w:r>
        <w:rPr>
          <w:rFonts w:hint="eastAsia" w:ascii="宋体" w:hAnsi="宋体" w:eastAsia="宋体"/>
          <w:sz w:val="24"/>
          <w:szCs w:val="24"/>
        </w:rPr>
        <w:t>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8.有效长度:≥600mm</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9.可以全防水，全浸泡消毒，内镜按钮可以进行高温灭菌消毒。</w:t>
      </w:r>
    </w:p>
    <w:p/>
    <w:p>
      <w:pPr>
        <w:spacing w:line="360" w:lineRule="auto"/>
        <w:jc w:val="center"/>
        <w:rPr>
          <w:rFonts w:ascii="宋体" w:hAnsi="宋体" w:eastAsia="宋体"/>
          <w:b/>
          <w:bCs/>
          <w:sz w:val="24"/>
          <w:szCs w:val="24"/>
        </w:rPr>
      </w:pPr>
      <w:r>
        <w:rPr>
          <w:rFonts w:hint="eastAsia" w:ascii="宋体" w:hAnsi="宋体" w:eastAsia="宋体"/>
          <w:b/>
          <w:bCs/>
          <w:sz w:val="24"/>
          <w:szCs w:val="24"/>
        </w:rPr>
        <w:t>五、高清液晶监视器</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1．专业医用级高分辨率液晶监视器</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2．屏幕尺寸≥2</w:t>
      </w:r>
      <w:r>
        <w:rPr>
          <w:rFonts w:hint="eastAsia" w:ascii="宋体" w:hAnsi="宋体" w:eastAsia="宋体"/>
          <w:sz w:val="24"/>
          <w:szCs w:val="24"/>
          <w:lang w:val="en-US" w:eastAsia="zh-CN"/>
        </w:rPr>
        <w:t>4</w:t>
      </w:r>
      <w:r>
        <w:rPr>
          <w:rFonts w:hint="eastAsia" w:ascii="宋体" w:hAnsi="宋体" w:eastAsia="宋体"/>
          <w:sz w:val="24"/>
          <w:szCs w:val="24"/>
        </w:rPr>
        <w:t>英寸</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3．提供DVI接口以便输出高清视频信号</w:t>
      </w:r>
    </w:p>
    <w:p/>
    <w:p>
      <w:pPr>
        <w:spacing w:line="360" w:lineRule="auto"/>
        <w:jc w:val="center"/>
        <w:rPr>
          <w:rFonts w:ascii="宋体" w:hAnsi="宋体" w:eastAsia="宋体"/>
          <w:b/>
          <w:bCs/>
          <w:sz w:val="24"/>
          <w:szCs w:val="24"/>
        </w:rPr>
      </w:pPr>
      <w:r>
        <w:rPr>
          <w:rFonts w:hint="eastAsia" w:ascii="宋体" w:hAnsi="宋体" w:eastAsia="宋体"/>
          <w:b/>
          <w:bCs/>
          <w:sz w:val="24"/>
          <w:szCs w:val="24"/>
        </w:rPr>
        <w:t>六、图文工作站</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1.主机硬件配置CPU≥</w:t>
      </w:r>
      <w:r>
        <w:rPr>
          <w:rFonts w:hint="eastAsia" w:ascii="宋体" w:hAnsi="宋体" w:eastAsia="宋体"/>
          <w:sz w:val="24"/>
          <w:szCs w:val="24"/>
          <w:lang w:val="en-US" w:eastAsia="zh-CN"/>
        </w:rPr>
        <w:t>i5</w:t>
      </w:r>
      <w:r>
        <w:rPr>
          <w:rFonts w:hint="eastAsia" w:ascii="宋体" w:hAnsi="宋体" w:eastAsia="宋体"/>
          <w:sz w:val="24"/>
          <w:szCs w:val="24"/>
        </w:rPr>
        <w:t>；</w:t>
      </w:r>
      <w:r>
        <w:rPr>
          <w:rFonts w:hint="eastAsia" w:ascii="宋体" w:hAnsi="宋体" w:eastAsia="宋体"/>
          <w:sz w:val="24"/>
          <w:szCs w:val="24"/>
          <w:lang w:val="en-US" w:eastAsia="zh-CN"/>
        </w:rPr>
        <w:t>1TB</w:t>
      </w:r>
      <w:r>
        <w:rPr>
          <w:rFonts w:hint="eastAsia" w:ascii="宋体" w:hAnsi="宋体" w:eastAsia="宋体"/>
          <w:sz w:val="24"/>
          <w:szCs w:val="24"/>
        </w:rPr>
        <w:t>硬盘；</w:t>
      </w:r>
      <w:r>
        <w:rPr>
          <w:rFonts w:hint="eastAsia" w:ascii="宋体" w:hAnsi="宋体" w:eastAsia="宋体"/>
          <w:sz w:val="24"/>
          <w:szCs w:val="24"/>
          <w:lang w:val="en-US" w:eastAsia="zh-CN"/>
        </w:rPr>
        <w:t>4</w:t>
      </w:r>
      <w:r>
        <w:rPr>
          <w:rFonts w:hint="eastAsia" w:ascii="宋体" w:hAnsi="宋体" w:eastAsia="宋体"/>
          <w:sz w:val="24"/>
          <w:szCs w:val="24"/>
        </w:rPr>
        <w:t>G内存；</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2.专业静态动态图像采集卡；内窥镜医学影像信息管理系统；动态视频录像及回放系统</w:t>
      </w:r>
    </w:p>
    <w:p>
      <w:pPr>
        <w:spacing w:line="360" w:lineRule="auto"/>
        <w:ind w:left="0" w:leftChars="0" w:firstLine="0" w:firstLineChars="0"/>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22</w:t>
      </w:r>
      <w:r>
        <w:rPr>
          <w:rFonts w:hint="eastAsia" w:ascii="宋体" w:hAnsi="宋体" w:eastAsia="宋体"/>
          <w:sz w:val="24"/>
          <w:szCs w:val="24"/>
        </w:rPr>
        <w:t>寸液晶显示器，彩色喷墨打印机，脚踏。</w:t>
      </w:r>
    </w:p>
    <w:p/>
    <w:p>
      <w:pPr>
        <w:pStyle w:val="8"/>
        <w:rPr>
          <w:rFonts w:hint="eastAsia" w:ascii="宋体" w:hAnsi="宋体" w:eastAsia="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五包：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809"/>
        <w:gridCol w:w="1245"/>
        <w:gridCol w:w="130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3809"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4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30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586"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3809"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有创高端监护仪</w:t>
            </w:r>
          </w:p>
        </w:tc>
        <w:tc>
          <w:tcPr>
            <w:tcW w:w="1245"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30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586"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非进口产口</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p>
      <w:pPr>
        <w:jc w:val="left"/>
        <w:rPr>
          <w:rFonts w:asciiTheme="minorEastAsia" w:hAnsiTheme="minorEastAsia"/>
          <w:b/>
          <w:sz w:val="24"/>
          <w:szCs w:val="24"/>
        </w:rPr>
      </w:pPr>
      <w:r>
        <w:rPr>
          <w:rFonts w:hint="eastAsia" w:asciiTheme="minorEastAsia" w:hAnsiTheme="minorEastAsia"/>
          <w:b/>
          <w:sz w:val="24"/>
          <w:szCs w:val="24"/>
          <w:lang w:eastAsia="zh-CN"/>
        </w:rPr>
        <w:t>一、</w:t>
      </w:r>
      <w:r>
        <w:rPr>
          <w:rFonts w:hint="eastAsia" w:asciiTheme="minorEastAsia" w:hAnsiTheme="minorEastAsia"/>
          <w:b/>
          <w:sz w:val="24"/>
          <w:szCs w:val="24"/>
        </w:rPr>
        <w:t>高端麻醉插件式监护仪技术参数</w:t>
      </w:r>
    </w:p>
    <w:p>
      <w:pPr>
        <w:autoSpaceDE w:val="0"/>
        <w:autoSpaceDN w:val="0"/>
        <w:adjustRightInd w:val="0"/>
        <w:spacing w:line="360" w:lineRule="auto"/>
        <w:ind w:firstLine="480" w:firstLineChars="200"/>
        <w:rPr>
          <w:rFonts w:cs="宋体" w:asciiTheme="minorEastAsia" w:hAnsiTheme="minorEastAsia"/>
          <w:b/>
          <w:sz w:val="24"/>
          <w:szCs w:val="24"/>
        </w:rPr>
      </w:pPr>
      <w:r>
        <w:rPr>
          <w:rFonts w:hint="eastAsia" w:cs="宋体" w:asciiTheme="minorEastAsia" w:hAnsiTheme="minorEastAsia"/>
          <w:b/>
          <w:sz w:val="24"/>
          <w:szCs w:val="24"/>
        </w:rPr>
        <w:t>监护仪结构：</w:t>
      </w:r>
    </w:p>
    <w:p>
      <w:pPr>
        <w:widowControl w:val="0"/>
        <w:numPr>
          <w:ilvl w:val="0"/>
          <w:numId w:val="37"/>
        </w:numPr>
        <w:autoSpaceDE w:val="0"/>
        <w:autoSpaceDN w:val="0"/>
        <w:adjustRightInd w:val="0"/>
        <w:spacing w:after="0" w:line="360" w:lineRule="auto"/>
        <w:rPr>
          <w:rFonts w:cs="宋体"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模块化插件式床边监护仪，主机插槽位数&gt;=6个，并可外接8槽位辅助插件箱方便升级</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&gt;=15英寸彩色触摸屏，高分辨率达1</w:t>
      </w:r>
      <w:r>
        <w:rPr>
          <w:rFonts w:asciiTheme="minorEastAsia" w:hAnsiTheme="minorEastAsia"/>
          <w:sz w:val="24"/>
          <w:szCs w:val="24"/>
        </w:rPr>
        <w:t>920</w:t>
      </w:r>
      <w:r>
        <w:rPr>
          <w:rFonts w:hint="eastAsia" w:asciiTheme="minorEastAsia" w:hAnsiTheme="minorEastAsia"/>
          <w:sz w:val="24"/>
          <w:szCs w:val="24"/>
        </w:rPr>
        <w:t>x</w:t>
      </w:r>
      <w:r>
        <w:rPr>
          <w:rFonts w:asciiTheme="minorEastAsia" w:hAnsiTheme="minorEastAsia"/>
          <w:sz w:val="24"/>
          <w:szCs w:val="24"/>
        </w:rPr>
        <w:t>1080</w:t>
      </w:r>
      <w:r>
        <w:rPr>
          <w:rFonts w:hint="eastAsia" w:asciiTheme="minorEastAsia" w:hAnsiTheme="minorEastAsia"/>
          <w:sz w:val="24"/>
          <w:szCs w:val="24"/>
        </w:rPr>
        <w:t>像素高清显示，</w:t>
      </w:r>
      <w:r>
        <w:rPr>
          <w:rFonts w:asciiTheme="minorEastAsia" w:hAnsiTheme="minorEastAsia"/>
          <w:sz w:val="24"/>
          <w:szCs w:val="24"/>
        </w:rPr>
        <w:t>显示屏亮度</w:t>
      </w:r>
      <w:r>
        <w:rPr>
          <w:rFonts w:hint="eastAsia" w:asciiTheme="minorEastAsia" w:hAnsiTheme="minorEastAsia"/>
          <w:sz w:val="24"/>
          <w:szCs w:val="24"/>
        </w:rPr>
        <w:t>支持根据环境光</w:t>
      </w:r>
      <w:r>
        <w:rPr>
          <w:rFonts w:asciiTheme="minorEastAsia" w:hAnsiTheme="minorEastAsia"/>
          <w:sz w:val="24"/>
          <w:szCs w:val="24"/>
        </w:rPr>
        <w:t>自动调节</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采用无风扇设计</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标配内置高能锂电池，供电时间&gt;=2小时</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配置&gt;=4个USB接口，支持连接存储介质、鼠标、键盘、条码扫描枪等USB设备</w:t>
      </w:r>
    </w:p>
    <w:p>
      <w:pPr>
        <w:autoSpaceDE w:val="0"/>
        <w:autoSpaceDN w:val="0"/>
        <w:adjustRightInd w:val="0"/>
        <w:spacing w:line="360" w:lineRule="auto"/>
        <w:rPr>
          <w:rFonts w:cs="宋体" w:asciiTheme="minorEastAsia" w:hAnsiTheme="minorEastAsia"/>
          <w:b/>
          <w:color w:val="FF0000"/>
          <w:sz w:val="24"/>
          <w:szCs w:val="24"/>
        </w:rPr>
      </w:pPr>
    </w:p>
    <w:p>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监测参数：</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基本功能模块插入主机插槽支持心电（HR，心律失常，ST分析和QT/QTc），呼吸，无创血压，血氧饱和度，脉率，双通道体温和双通道有创血压的同时监测</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基本功能模块从监护仪拔出后作为一个独立的监护仪支持病人的无缝转运监护，具有彩色液晶显示屏，屏幕尺寸&gt;=5英寸，内置锂电池供电&gt;=4小时，无风扇设计</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支持3/5导心电监测,支持升级6导/12导心电测量</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心电电缆配置抗电刀电缆，满足手术过程中电刀环境下患者心电的正常监护</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支持房颤心律失常分析功能，支持&gt;=20种实时心律失常分析,并提供监护截图证明材料</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提供ST段分析功能，</w:t>
      </w:r>
      <w:r>
        <w:rPr>
          <w:rFonts w:hint="eastAsia" w:asciiTheme="minorEastAsia" w:hAnsiTheme="minorEastAsia"/>
          <w:color w:val="000000" w:themeColor="text1"/>
          <w:sz w:val="24"/>
          <w:szCs w:val="24"/>
          <w14:textFill>
            <w14:solidFill>
              <w14:schemeClr w14:val="tx1"/>
            </w14:solidFill>
          </w14:textFill>
        </w:rPr>
        <w:t>支持在专门的窗口中分组显示心脏前壁，下壁和侧壁的ST实时片段和参考片段，并提供监护截图证明材料</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sz w:val="24"/>
          <w:szCs w:val="24"/>
        </w:rPr>
        <w:t>具有</w:t>
      </w:r>
      <w:r>
        <w:rPr>
          <w:rFonts w:hint="eastAsia" w:asciiTheme="minorEastAsia" w:hAnsiTheme="minorEastAsia"/>
          <w:sz w:val="24"/>
          <w:szCs w:val="24"/>
        </w:rPr>
        <w:t>QT/QTc实时测量功能，提供QT，QTc和ΔQTc参数值，并提供QTc参数的报警功能</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提供手动、自动间隔、连续</w:t>
      </w:r>
      <w:r>
        <w:rPr>
          <w:rFonts w:hint="eastAsia" w:asciiTheme="minorEastAsia" w:hAnsiTheme="minorEastAsia"/>
          <w:sz w:val="24"/>
          <w:szCs w:val="24"/>
        </w:rPr>
        <w:t>、</w:t>
      </w:r>
      <w:r>
        <w:rPr>
          <w:rFonts w:asciiTheme="minorEastAsia" w:hAnsiTheme="minorEastAsia"/>
          <w:sz w:val="24"/>
          <w:szCs w:val="24"/>
        </w:rPr>
        <w:t>序列</w:t>
      </w:r>
      <w:r>
        <w:rPr>
          <w:rFonts w:hint="eastAsia" w:asciiTheme="minorEastAsia" w:hAnsiTheme="minorEastAsia"/>
          <w:sz w:val="24"/>
          <w:szCs w:val="24"/>
        </w:rPr>
        <w:t>四</w:t>
      </w:r>
      <w:r>
        <w:rPr>
          <w:rFonts w:asciiTheme="minorEastAsia" w:hAnsiTheme="minorEastAsia"/>
          <w:sz w:val="24"/>
          <w:szCs w:val="24"/>
        </w:rPr>
        <w:t>种测量模式</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血氧监测提供灌注指数（PI）的监测</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配置指套式血氧探头，支持浸泡清洁与消毒，防水等级IPx7</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标配双通道有创压IBP监测，支持升级多达8通道有创压监测</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支持Art动脉压监测时，同步提供PPV参数监测</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支持提供PAWP测量界面，进行PAWP的测量</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支持升级EtCO2监测模块，支持CO2和O2的监测，采用旁流技术，水槽要求易用快速更换</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CO2波形提供填充和线条两种方式显示，满足不同临床使用习惯</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CO2波形最小走速为3mm/s,满足同屏查看更多呼吸周期</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支持升级AG监测模块，满足5种麻醉气体，笑气，CO2和O2的监测，提供MAC值的实时监测和显示。</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支持升级BISx4监测模块或者单机，提供不少于4通道EEG，双频指数（</w:t>
      </w:r>
      <w:r>
        <w:rPr>
          <w:rFonts w:asciiTheme="minorEastAsia" w:hAnsiTheme="minorEastAsia"/>
          <w:sz w:val="24"/>
          <w:szCs w:val="24"/>
        </w:rPr>
        <w:t>BIS</w:t>
      </w:r>
      <w:r>
        <w:rPr>
          <w:rFonts w:hint="eastAsia" w:asciiTheme="minorEastAsia" w:hAnsiTheme="minorEastAsia"/>
          <w:sz w:val="24"/>
          <w:szCs w:val="24"/>
        </w:rPr>
        <w:t>），肌电活动（</w:t>
      </w:r>
      <w:r>
        <w:rPr>
          <w:rFonts w:asciiTheme="minorEastAsia" w:hAnsiTheme="minorEastAsia"/>
          <w:sz w:val="24"/>
          <w:szCs w:val="24"/>
        </w:rPr>
        <w:t>EMG</w:t>
      </w:r>
      <w:r>
        <w:rPr>
          <w:rFonts w:hint="eastAsia" w:asciiTheme="minorEastAsia" w:hAnsiTheme="minorEastAsia"/>
          <w:sz w:val="24"/>
          <w:szCs w:val="24"/>
        </w:rPr>
        <w:t>）,抑制比（SR），频谱边缘频率（SEF）等参数的监测</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支持升级提供功率谱密度（</w:t>
      </w:r>
      <w:r>
        <w:rPr>
          <w:rFonts w:asciiTheme="minorEastAsia" w:hAnsiTheme="minorEastAsia"/>
          <w:color w:val="000000" w:themeColor="text1"/>
          <w:sz w:val="24"/>
          <w:szCs w:val="24"/>
          <w14:textFill>
            <w14:solidFill>
              <w14:schemeClr w14:val="tx1"/>
            </w14:solidFill>
          </w14:textFill>
        </w:rPr>
        <w:t>DSA</w:t>
      </w:r>
      <w:r>
        <w:rPr>
          <w:rFonts w:hint="eastAsia" w:asciiTheme="minorEastAsia" w:hAnsiTheme="minorEastAsia"/>
          <w:color w:val="000000" w:themeColor="text1"/>
          <w:sz w:val="24"/>
          <w:szCs w:val="24"/>
          <w14:textFill>
            <w14:solidFill>
              <w14:schemeClr w14:val="tx1"/>
            </w14:solidFill>
          </w14:textFill>
        </w:rPr>
        <w:t>）显示界面，可以直观地显示一段时间内的双侧功率谱分布变化的情况。</w:t>
      </w:r>
    </w:p>
    <w:p>
      <w:pPr>
        <w:widowControl w:val="0"/>
        <w:numPr>
          <w:ilvl w:val="0"/>
          <w:numId w:val="37"/>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sz w:val="24"/>
          <w:szCs w:val="24"/>
        </w:rPr>
        <w:t>支持升级PiCCO监测模块或者单机，</w:t>
      </w:r>
      <w:r>
        <w:rPr>
          <w:rFonts w:asciiTheme="minorEastAsia" w:hAnsiTheme="minorEastAsia"/>
          <w:sz w:val="24"/>
          <w:szCs w:val="24"/>
        </w:rPr>
        <w:t>采用Pulsion PiCCO技术</w:t>
      </w:r>
      <w:r>
        <w:rPr>
          <w:rFonts w:hint="eastAsia" w:asciiTheme="minorEastAsia" w:hAnsiTheme="minorEastAsia"/>
          <w:sz w:val="24"/>
          <w:szCs w:val="24"/>
        </w:rPr>
        <w:t>股动脉和中心静脉常规穿刺实现微创CCO等血液动力学监测参数，并提供蛛网图，直观观察病人的变化情况</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支持升级RM呼吸力学监测，监测参数包括FEV1.0，RSBI，WOB等17种参数</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当同时监测RM和主流CO2参数时，提供扩展参数，包括容积CO2（VCO2）参数、通气参数和死腔参数，并提供容积CO2曲线</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当同时监测RM和旁流CO2或AG参数，并配备有O2监测时，提供扩展参数，包括容积CO2，RQ和EE参数。</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支持升级NMT监测参数，采用三轴加速度方向识别技术，支持TOF，ST0.1，ST1.0，DBS3.2，DBS3.3，PTC测量模式。</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支持升级EEG监测参数，支持进行4通道脑电的监测</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支持升级rSO2组织氧饱和度的监测，无创，连续，适用于成人，小儿和新生儿。</w:t>
      </w:r>
    </w:p>
    <w:p>
      <w:pPr>
        <w:widowControl w:val="0"/>
        <w:numPr>
          <w:ilvl w:val="0"/>
          <w:numId w:val="37"/>
        </w:numPr>
        <w:autoSpaceDE w:val="0"/>
        <w:autoSpaceDN w:val="0"/>
        <w:adjustRightInd w:val="0"/>
        <w:spacing w:after="0"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支持升级与主流麻醉机机品牌的麻醉机相连，实现麻醉机设备的信息在监护仪上显示、存储、记录、打印或者用于参与计算。</w:t>
      </w:r>
    </w:p>
    <w:p>
      <w:pPr>
        <w:spacing w:line="360" w:lineRule="auto"/>
        <w:ind w:right="-512" w:rightChars="-244"/>
        <w:rPr>
          <w:rFonts w:asciiTheme="minorEastAsia" w:hAnsiTheme="minorEastAsia"/>
          <w:b/>
          <w:sz w:val="24"/>
          <w:szCs w:val="24"/>
        </w:rPr>
      </w:pPr>
      <w:r>
        <w:rPr>
          <w:rFonts w:hint="eastAsia" w:asciiTheme="minorEastAsia" w:hAnsiTheme="minorEastAsia"/>
          <w:b/>
          <w:sz w:val="24"/>
          <w:szCs w:val="24"/>
        </w:rPr>
        <w:t>系统功能：</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所有参数报警限</w:t>
      </w:r>
      <w:r>
        <w:rPr>
          <w:rFonts w:hint="eastAsia" w:asciiTheme="minorEastAsia" w:hAnsiTheme="minorEastAsia"/>
          <w:sz w:val="24"/>
          <w:szCs w:val="24"/>
        </w:rPr>
        <w:t>提供一键操作支持</w:t>
      </w:r>
      <w:r>
        <w:rPr>
          <w:rFonts w:asciiTheme="minorEastAsia" w:hAnsiTheme="minorEastAsia"/>
          <w:sz w:val="24"/>
          <w:szCs w:val="24"/>
        </w:rPr>
        <w:t>自动设置</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能够设置护理组，一个护理组能够设置6-12</w:t>
      </w:r>
      <w:r>
        <w:rPr>
          <w:rFonts w:hint="eastAsia" w:asciiTheme="minorEastAsia" w:hAnsiTheme="minorEastAsia"/>
          <w:sz w:val="24"/>
          <w:szCs w:val="24"/>
        </w:rPr>
        <w:t>个病人。这些病人之间能够互相进行它床观察。</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sz w:val="24"/>
          <w:szCs w:val="24"/>
        </w:rPr>
        <w:t>界面参数区提供专门的计时器功能区，提供正计时和倒计时两种计时方式，满足临床麻醉过程中计时的需求。</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★标配具备血液动力学，药物计算，氧合计算，通气计算和肾功能计算功能，并提供截图证明材料</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40</w:t>
      </w:r>
      <w:r>
        <w:rPr>
          <w:rFonts w:hint="eastAsia" w:asciiTheme="minorEastAsia" w:hAnsiTheme="minorEastAsia"/>
          <w:sz w:val="24"/>
          <w:szCs w:val="24"/>
        </w:rPr>
        <w:t>个</w:t>
      </w:r>
      <w:r>
        <w:rPr>
          <w:rFonts w:asciiTheme="minorEastAsia" w:hAnsiTheme="minorEastAsia"/>
          <w:sz w:val="24"/>
          <w:szCs w:val="24"/>
        </w:rPr>
        <w:t>及以上</w:t>
      </w:r>
      <w:r>
        <w:rPr>
          <w:rFonts w:hint="eastAsia" w:asciiTheme="minorEastAsia" w:hAnsiTheme="minorEastAsia"/>
          <w:sz w:val="24"/>
          <w:szCs w:val="24"/>
        </w:rPr>
        <w:t>参数的120小时（分辨率1分钟）趋势表、趋势图回顾，4小时（分辨率5秒）趋势表、趋势图回顾。</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1000条事件回顾。每条报警事件至少能够存储</w:t>
      </w:r>
      <w:r>
        <w:rPr>
          <w:rFonts w:hint="eastAsia" w:asciiTheme="minorEastAsia" w:hAnsiTheme="minorEastAsia"/>
          <w:sz w:val="24"/>
          <w:szCs w:val="24"/>
        </w:rPr>
        <w:t>32秒三道相关波形，以及报警触发时所有测量参数值。</w:t>
      </w:r>
    </w:p>
    <w:p>
      <w:pPr>
        <w:widowControl w:val="0"/>
        <w:numPr>
          <w:ilvl w:val="0"/>
          <w:numId w:val="37"/>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事件回顾时能够提供报警事件列表。能够根据时间、报警优先级、报警类型和参数组对事件进行筛选。</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★具备&gt;=48小时全息波形的存储与回顾功能</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sz w:val="24"/>
          <w:szCs w:val="24"/>
        </w:rPr>
        <w:t>支持&gt;=120小时ST片段回顾。</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支持升级24小时</w:t>
      </w:r>
      <w:r>
        <w:rPr>
          <w:rFonts w:asciiTheme="minorEastAsia" w:hAnsiTheme="minorEastAsia"/>
          <w:sz w:val="24"/>
          <w:szCs w:val="24"/>
        </w:rPr>
        <w:t>心律失常统计</w:t>
      </w:r>
      <w:r>
        <w:rPr>
          <w:rFonts w:hint="eastAsia" w:asciiTheme="minorEastAsia" w:hAnsiTheme="minorEastAsia"/>
          <w:sz w:val="24"/>
          <w:szCs w:val="24"/>
        </w:rPr>
        <w:t>，具有24小时</w:t>
      </w:r>
      <w:r>
        <w:rPr>
          <w:rFonts w:asciiTheme="minorEastAsia" w:hAnsiTheme="minorEastAsia"/>
          <w:sz w:val="24"/>
          <w:szCs w:val="24"/>
        </w:rPr>
        <w:t>心电综合分析概览</w:t>
      </w:r>
      <w:r>
        <w:rPr>
          <w:rFonts w:hint="eastAsia" w:asciiTheme="minorEastAsia" w:hAnsiTheme="minorEastAsia"/>
          <w:sz w:val="24"/>
          <w:szCs w:val="24"/>
        </w:rPr>
        <w:t>（24</w:t>
      </w:r>
      <w:r>
        <w:rPr>
          <w:rFonts w:asciiTheme="minorEastAsia" w:hAnsiTheme="minorEastAsia"/>
          <w:sz w:val="24"/>
          <w:szCs w:val="24"/>
        </w:rPr>
        <w:t>h ECG综合分析报告</w:t>
      </w:r>
      <w:r>
        <w:rPr>
          <w:rFonts w:hint="eastAsia" w:asciiTheme="minorEastAsia" w:hAnsiTheme="minorEastAsia"/>
          <w:sz w:val="24"/>
          <w:szCs w:val="24"/>
        </w:rPr>
        <w:t>），</w:t>
      </w:r>
      <w:r>
        <w:rPr>
          <w:rFonts w:asciiTheme="minorEastAsia" w:hAnsiTheme="minorEastAsia"/>
          <w:sz w:val="24"/>
          <w:szCs w:val="24"/>
        </w:rPr>
        <w:t>能够提供HR、ST、QT/QTc</w:t>
      </w:r>
      <w:r>
        <w:rPr>
          <w:rFonts w:hint="eastAsia" w:asciiTheme="minorEastAsia" w:hAnsiTheme="minorEastAsia"/>
          <w:sz w:val="24"/>
          <w:szCs w:val="24"/>
        </w:rPr>
        <w:t>、</w:t>
      </w:r>
      <w:r>
        <w:rPr>
          <w:rFonts w:asciiTheme="minorEastAsia" w:hAnsiTheme="minorEastAsia"/>
          <w:sz w:val="24"/>
          <w:szCs w:val="24"/>
        </w:rPr>
        <w:t>心律失常、起搏的统计结果</w:t>
      </w:r>
      <w:r>
        <w:rPr>
          <w:rFonts w:hint="eastAsia" w:asciiTheme="minorEastAsia" w:hAnsiTheme="minorEastAsia"/>
          <w:sz w:val="24"/>
          <w:szCs w:val="24"/>
        </w:rPr>
        <w:t>，</w:t>
      </w:r>
      <w:r>
        <w:rPr>
          <w:rFonts w:asciiTheme="minorEastAsia" w:hAnsiTheme="minorEastAsia"/>
          <w:sz w:val="24"/>
          <w:szCs w:val="24"/>
        </w:rPr>
        <w:t>并能够查看细节。</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sz w:val="24"/>
          <w:szCs w:val="24"/>
        </w:rPr>
        <w:t>工作模式提供：监护模式、待机模式、</w:t>
      </w:r>
      <w:r>
        <w:rPr>
          <w:rFonts w:asciiTheme="minorEastAsia" w:hAnsiTheme="minorEastAsia"/>
          <w:sz w:val="24"/>
          <w:szCs w:val="24"/>
        </w:rPr>
        <w:t>体外循环模式模式、插管模式，夜间模式、隐私模式、演示模式。</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sz w:val="24"/>
          <w:szCs w:val="24"/>
        </w:rPr>
        <w:t>提供专业</w:t>
      </w:r>
      <w:r>
        <w:rPr>
          <w:rFonts w:asciiTheme="minorEastAsia" w:hAnsiTheme="minorEastAsia"/>
          <w:sz w:val="24"/>
          <w:szCs w:val="24"/>
        </w:rPr>
        <w:t>的</w:t>
      </w:r>
      <w:r>
        <w:rPr>
          <w:rFonts w:hint="eastAsia" w:asciiTheme="minorEastAsia" w:hAnsiTheme="minorEastAsia"/>
          <w:sz w:val="24"/>
          <w:szCs w:val="24"/>
        </w:rPr>
        <w:t>血流动力学</w:t>
      </w:r>
      <w:r>
        <w:rPr>
          <w:rFonts w:asciiTheme="minorEastAsia" w:hAnsiTheme="minorEastAsia"/>
          <w:sz w:val="24"/>
          <w:szCs w:val="24"/>
        </w:rPr>
        <w:t>辅助应用，能够图形化显示监测参数</w:t>
      </w:r>
      <w:r>
        <w:rPr>
          <w:rFonts w:hint="eastAsia" w:asciiTheme="minorEastAsia" w:hAnsiTheme="minorEastAsia"/>
          <w:sz w:val="24"/>
          <w:szCs w:val="24"/>
        </w:rPr>
        <w:t>，</w:t>
      </w:r>
      <w:r>
        <w:rPr>
          <w:rFonts w:asciiTheme="minorEastAsia" w:hAnsiTheme="minorEastAsia"/>
          <w:sz w:val="24"/>
          <w:szCs w:val="24"/>
        </w:rPr>
        <w:t>体现参数</w:t>
      </w:r>
      <w:r>
        <w:rPr>
          <w:rFonts w:hint="eastAsia" w:asciiTheme="minorEastAsia" w:hAnsiTheme="minorEastAsia"/>
          <w:sz w:val="24"/>
          <w:szCs w:val="24"/>
        </w:rPr>
        <w:t>之间</w:t>
      </w:r>
      <w:r>
        <w:rPr>
          <w:rFonts w:asciiTheme="minorEastAsia" w:hAnsiTheme="minorEastAsia"/>
          <w:sz w:val="24"/>
          <w:szCs w:val="24"/>
        </w:rPr>
        <w:t>的关系</w:t>
      </w:r>
      <w:r>
        <w:rPr>
          <w:rFonts w:hint="eastAsia" w:asciiTheme="minorEastAsia" w:hAnsiTheme="minorEastAsia"/>
          <w:sz w:val="24"/>
          <w:szCs w:val="24"/>
        </w:rPr>
        <w:t>，</w:t>
      </w:r>
      <w:r>
        <w:rPr>
          <w:rFonts w:asciiTheme="minorEastAsia" w:hAnsiTheme="minorEastAsia"/>
          <w:sz w:val="24"/>
          <w:szCs w:val="24"/>
        </w:rPr>
        <w:t>提供目标治疗决策建议，提供抬腿试验辅助工具，提供</w:t>
      </w:r>
      <w:r>
        <w:rPr>
          <w:rFonts w:hint="eastAsia" w:asciiTheme="minorEastAsia" w:hAnsiTheme="minorEastAsia"/>
          <w:sz w:val="24"/>
          <w:szCs w:val="24"/>
        </w:rPr>
        <w:t>心</w:t>
      </w:r>
      <w:r>
        <w:rPr>
          <w:rFonts w:asciiTheme="minorEastAsia" w:hAnsiTheme="minorEastAsia"/>
          <w:sz w:val="24"/>
          <w:szCs w:val="24"/>
        </w:rPr>
        <w:t>功能图</w:t>
      </w:r>
      <w:r>
        <w:rPr>
          <w:rFonts w:hint="eastAsia" w:asciiTheme="minorEastAsia" w:hAnsiTheme="minorEastAsia"/>
          <w:sz w:val="24"/>
          <w:szCs w:val="24"/>
        </w:rPr>
        <w:t>指示</w:t>
      </w:r>
      <w:r>
        <w:rPr>
          <w:rFonts w:asciiTheme="minorEastAsia" w:hAnsiTheme="minorEastAsia"/>
          <w:sz w:val="24"/>
          <w:szCs w:val="24"/>
        </w:rPr>
        <w:t>，提供蛛网图参数跟踪</w:t>
      </w:r>
      <w:r>
        <w:rPr>
          <w:rFonts w:hint="eastAsia" w:asciiTheme="minorEastAsia" w:hAnsiTheme="minorEastAsia"/>
          <w:sz w:val="24"/>
          <w:szCs w:val="24"/>
        </w:rPr>
        <w:t>。</w:t>
      </w:r>
    </w:p>
    <w:p>
      <w:pPr>
        <w:widowControl w:val="0"/>
        <w:numPr>
          <w:ilvl w:val="0"/>
          <w:numId w:val="37"/>
        </w:numPr>
        <w:spacing w:after="0" w:line="360" w:lineRule="auto"/>
        <w:jc w:val="both"/>
        <w:rPr>
          <w:rFonts w:asciiTheme="minorEastAsia" w:hAnsiTheme="minorEastAsia"/>
          <w:sz w:val="24"/>
          <w:szCs w:val="24"/>
        </w:rPr>
      </w:pPr>
      <w:r>
        <w:rPr>
          <w:rFonts w:hint="eastAsia" w:asciiTheme="minorEastAsia" w:hAnsiTheme="minorEastAsia"/>
          <w:sz w:val="24"/>
          <w:szCs w:val="24"/>
        </w:rPr>
        <w:t>提供麻醉平衡指示界面，对于患者满足麻醉诱导，麻醉维持和麻醉复苏三个阶段进行专业界面显示，并提供麻醉复苏评分系统。</w:t>
      </w:r>
    </w:p>
    <w:p>
      <w:pPr>
        <w:widowControl w:val="0"/>
        <w:numPr>
          <w:ilvl w:val="0"/>
          <w:numId w:val="37"/>
        </w:numPr>
        <w:spacing w:after="0" w:line="360" w:lineRule="auto"/>
        <w:jc w:val="both"/>
        <w:rPr>
          <w:rFonts w:hint="eastAsia" w:asciiTheme="minorEastAsia" w:hAnsiTheme="minorEastAsia"/>
          <w:sz w:val="24"/>
          <w:szCs w:val="24"/>
        </w:rPr>
      </w:pPr>
      <w:r>
        <w:rPr>
          <w:rFonts w:hint="eastAsia" w:asciiTheme="minorEastAsia" w:hAnsiTheme="minorEastAsia"/>
          <w:sz w:val="24"/>
          <w:szCs w:val="24"/>
        </w:rPr>
        <w:t>支持选择麻醉机固定支架方案，保证监护仪和麻醉机的协调稳定安装。</w:t>
      </w:r>
    </w:p>
    <w:p>
      <w:pPr>
        <w:widowControl w:val="0"/>
        <w:numPr>
          <w:ilvl w:val="0"/>
          <w:numId w:val="37"/>
        </w:numPr>
        <w:spacing w:after="0" w:line="360" w:lineRule="auto"/>
        <w:jc w:val="both"/>
        <w:rPr>
          <w:rFonts w:hint="eastAsia" w:asciiTheme="minorEastAsia" w:hAnsiTheme="minorEastAsia"/>
          <w:sz w:val="24"/>
          <w:szCs w:val="24"/>
        </w:rPr>
      </w:pPr>
      <w:r>
        <w:rPr>
          <w:rFonts w:hint="eastAsia" w:asciiTheme="minorEastAsia" w:hAnsiTheme="minorEastAsia"/>
          <w:sz w:val="24"/>
          <w:szCs w:val="24"/>
        </w:rPr>
        <w:t>★产品型号入选优秀国产医疗设备产品目录，提供证明材料。</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六包：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有创呼吸机</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4011" w:type="dxa"/>
            <w:vAlign w:val="center"/>
          </w:tcPr>
          <w:p>
            <w:pPr>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氩气工作站</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p>
      <w:pPr>
        <w:jc w:val="both"/>
        <w:rPr>
          <w:rFonts w:ascii="宋体" w:hAnsi="宋体"/>
          <w:b/>
          <w:sz w:val="24"/>
          <w:szCs w:val="24"/>
        </w:rPr>
      </w:pPr>
      <w:r>
        <w:rPr>
          <w:rFonts w:hint="eastAsia" w:ascii="宋体" w:hAnsi="宋体"/>
          <w:b/>
          <w:sz w:val="24"/>
          <w:szCs w:val="24"/>
          <w:lang w:eastAsia="zh-CN"/>
        </w:rPr>
        <w:t>一、</w:t>
      </w:r>
      <w:r>
        <w:rPr>
          <w:rFonts w:hint="eastAsia" w:ascii="宋体" w:hAnsi="宋体"/>
          <w:b/>
          <w:sz w:val="24"/>
          <w:szCs w:val="24"/>
        </w:rPr>
        <w:t>有创呼吸机招标要求</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（一）</w:t>
      </w:r>
      <w:r>
        <w:rPr>
          <w:rFonts w:hint="eastAsia" w:ascii="宋体" w:hAnsi="宋体" w:cs="宋体"/>
          <w:kern w:val="0"/>
          <w:sz w:val="24"/>
          <w:szCs w:val="24"/>
        </w:rPr>
        <w:t>基本要求：</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1.原装进口，国际知名品牌，需提供湖北省至少10家三级甲等医院客户名单</w:t>
      </w:r>
    </w:p>
    <w:p>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．适用于儿童到成人在</w:t>
      </w:r>
      <w:r>
        <w:rPr>
          <w:rFonts w:ascii="宋体" w:hAnsi="宋体"/>
          <w:kern w:val="0"/>
          <w:sz w:val="24"/>
          <w:szCs w:val="24"/>
        </w:rPr>
        <w:t>ICU</w:t>
      </w:r>
      <w:r>
        <w:rPr>
          <w:rFonts w:hint="eastAsia" w:ascii="宋体" w:hAnsi="宋体" w:cs="宋体"/>
          <w:kern w:val="0"/>
          <w:sz w:val="24"/>
          <w:szCs w:val="24"/>
        </w:rPr>
        <w:t>进行的抢救和手术后的恢复治疗</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3．具备自检功能</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4．具备自动系统顺应性补偿功能</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5．具备智能吸痰功能</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6．具备事件日志、维护日志功能</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7．具备全参数趋势图</w:t>
      </w:r>
    </w:p>
    <w:p>
      <w:pPr>
        <w:autoSpaceDE w:val="0"/>
        <w:autoSpaceDN w:val="0"/>
        <w:adjustRightInd w:val="0"/>
        <w:jc w:val="left"/>
        <w:rPr>
          <w:rFonts w:ascii="宋体" w:hAnsi="宋体" w:cs="宋体"/>
          <w:kern w:val="0"/>
          <w:sz w:val="24"/>
          <w:szCs w:val="24"/>
        </w:rPr>
      </w:pP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（二）</w:t>
      </w:r>
      <w:r>
        <w:rPr>
          <w:rFonts w:hint="eastAsia" w:ascii="宋体" w:hAnsi="宋体" w:cs="宋体"/>
          <w:kern w:val="0"/>
          <w:sz w:val="24"/>
          <w:szCs w:val="24"/>
        </w:rPr>
        <w:t>通气模式：</w:t>
      </w:r>
    </w:p>
    <w:p>
      <w:pPr>
        <w:spacing w:line="320" w:lineRule="exact"/>
        <w:rPr>
          <w:rFonts w:ascii="宋体" w:hAnsi="宋体"/>
          <w:sz w:val="24"/>
          <w:szCs w:val="24"/>
          <w:lang w:val="fr-FR"/>
        </w:rPr>
      </w:pPr>
      <w:r>
        <w:rPr>
          <w:rFonts w:hint="eastAsia" w:ascii="宋体" w:hAnsi="宋体"/>
          <w:sz w:val="24"/>
          <w:szCs w:val="24"/>
        </w:rPr>
        <w:t>1. 压力控制</w:t>
      </w:r>
    </w:p>
    <w:p>
      <w:pPr>
        <w:spacing w:line="320" w:lineRule="exact"/>
        <w:rPr>
          <w:rFonts w:ascii="宋体" w:hAnsi="宋体"/>
          <w:sz w:val="24"/>
          <w:szCs w:val="24"/>
        </w:rPr>
      </w:pPr>
      <w:r>
        <w:rPr>
          <w:rFonts w:hint="eastAsia" w:ascii="宋体" w:hAnsi="宋体"/>
          <w:sz w:val="24"/>
          <w:szCs w:val="24"/>
          <w:lang w:val="fr-FR"/>
        </w:rPr>
        <w:t xml:space="preserve">2. </w:t>
      </w:r>
      <w:r>
        <w:rPr>
          <w:rFonts w:hint="eastAsia" w:ascii="宋体" w:hAnsi="宋体"/>
          <w:sz w:val="24"/>
          <w:szCs w:val="24"/>
        </w:rPr>
        <w:t>容量控制</w:t>
      </w:r>
    </w:p>
    <w:p>
      <w:pPr>
        <w:spacing w:line="320" w:lineRule="exact"/>
        <w:rPr>
          <w:rFonts w:ascii="宋体" w:hAnsi="宋体"/>
          <w:sz w:val="24"/>
          <w:szCs w:val="24"/>
          <w:lang w:val="fr-FR"/>
        </w:rPr>
      </w:pPr>
      <w:r>
        <w:rPr>
          <w:rFonts w:hint="eastAsia" w:ascii="宋体" w:hAnsi="宋体" w:eastAsia="宋体" w:cs="宋体"/>
          <w:sz w:val="24"/>
          <w:szCs w:val="24"/>
        </w:rPr>
        <w:t>★</w:t>
      </w:r>
      <w:r>
        <w:rPr>
          <w:rFonts w:hint="eastAsia" w:ascii="宋体" w:hAnsi="宋体"/>
          <w:sz w:val="24"/>
          <w:szCs w:val="24"/>
        </w:rPr>
        <w:t>3.</w:t>
      </w:r>
      <w:r>
        <w:rPr>
          <w:rFonts w:hint="eastAsia" w:ascii="宋体" w:hAnsi="宋体"/>
          <w:sz w:val="24"/>
          <w:szCs w:val="24"/>
          <w:lang w:val="fr-FR"/>
        </w:rPr>
        <w:t xml:space="preserve"> 压力调节容量控制</w:t>
      </w:r>
    </w:p>
    <w:p>
      <w:pPr>
        <w:spacing w:line="320" w:lineRule="exact"/>
        <w:rPr>
          <w:rFonts w:ascii="宋体" w:hAnsi="宋体"/>
          <w:sz w:val="24"/>
          <w:szCs w:val="24"/>
          <w:lang w:val="fr-FR"/>
        </w:rPr>
      </w:pPr>
      <w:r>
        <w:rPr>
          <w:rFonts w:hint="eastAsia" w:ascii="宋体" w:hAnsi="宋体"/>
          <w:sz w:val="24"/>
          <w:szCs w:val="24"/>
        </w:rPr>
        <w:t>4. 持续性正压通气</w:t>
      </w:r>
    </w:p>
    <w:p>
      <w:pPr>
        <w:spacing w:line="320" w:lineRule="exact"/>
        <w:rPr>
          <w:rFonts w:ascii="宋体" w:hAnsi="宋体"/>
          <w:sz w:val="24"/>
          <w:szCs w:val="24"/>
          <w:lang w:val="fr-FR"/>
        </w:rPr>
      </w:pPr>
      <w:r>
        <w:rPr>
          <w:rFonts w:hint="eastAsia" w:ascii="宋体" w:hAnsi="宋体"/>
          <w:sz w:val="24"/>
          <w:szCs w:val="24"/>
        </w:rPr>
        <w:t>5. 压力支持</w:t>
      </w:r>
    </w:p>
    <w:p>
      <w:pPr>
        <w:spacing w:line="320" w:lineRule="exact"/>
        <w:rPr>
          <w:rFonts w:ascii="宋体" w:hAnsi="宋体"/>
          <w:sz w:val="24"/>
          <w:szCs w:val="24"/>
          <w:lang w:val="fr-FR"/>
        </w:rPr>
      </w:pPr>
      <w:r>
        <w:rPr>
          <w:rFonts w:hint="eastAsia" w:ascii="宋体" w:hAnsi="宋体"/>
          <w:sz w:val="24"/>
          <w:szCs w:val="24"/>
          <w:lang w:val="fr-FR"/>
        </w:rPr>
        <w:t xml:space="preserve">6. </w:t>
      </w:r>
      <w:r>
        <w:rPr>
          <w:rFonts w:hint="eastAsia" w:ascii="宋体" w:hAnsi="宋体"/>
          <w:sz w:val="24"/>
          <w:szCs w:val="24"/>
        </w:rPr>
        <w:t>同步间歇指令通气</w:t>
      </w:r>
    </w:p>
    <w:p>
      <w:pPr>
        <w:spacing w:line="320" w:lineRule="exact"/>
        <w:rPr>
          <w:rFonts w:ascii="宋体" w:hAnsi="宋体"/>
          <w:sz w:val="24"/>
          <w:szCs w:val="24"/>
          <w:lang w:val="fr-FR"/>
        </w:rPr>
      </w:pPr>
      <w:r>
        <w:rPr>
          <w:rFonts w:hint="eastAsia" w:ascii="宋体" w:hAnsi="宋体"/>
          <w:sz w:val="24"/>
          <w:szCs w:val="24"/>
          <w:lang w:val="fr-FR"/>
        </w:rPr>
        <w:t xml:space="preserve">7. </w:t>
      </w:r>
      <w:r>
        <w:rPr>
          <w:rFonts w:hint="eastAsia" w:ascii="宋体" w:hAnsi="宋体"/>
          <w:sz w:val="24"/>
          <w:szCs w:val="24"/>
        </w:rPr>
        <w:t>窒息后备通气模式</w:t>
      </w:r>
      <w:r>
        <w:rPr>
          <w:rFonts w:hint="eastAsia" w:ascii="宋体" w:hAnsi="宋体"/>
          <w:sz w:val="24"/>
          <w:szCs w:val="24"/>
          <w:lang w:val="fr-FR"/>
        </w:rPr>
        <w:t>(Back-up)</w:t>
      </w:r>
    </w:p>
    <w:p>
      <w:pPr>
        <w:spacing w:line="320" w:lineRule="exact"/>
        <w:rPr>
          <w:rFonts w:ascii="宋体" w:hAnsi="宋体"/>
          <w:sz w:val="24"/>
          <w:szCs w:val="24"/>
          <w:lang w:val="fr-FR"/>
        </w:rPr>
      </w:pPr>
    </w:p>
    <w:p>
      <w:pPr>
        <w:autoSpaceDE w:val="0"/>
        <w:autoSpaceDN w:val="0"/>
        <w:adjustRightInd w:val="0"/>
        <w:jc w:val="left"/>
        <w:rPr>
          <w:rFonts w:ascii="宋体" w:hAnsi="宋体" w:cs="宋体"/>
          <w:kern w:val="0"/>
          <w:sz w:val="24"/>
          <w:szCs w:val="24"/>
          <w:lang w:val="fr-FR"/>
        </w:rPr>
      </w:pPr>
      <w:r>
        <w:rPr>
          <w:rFonts w:hint="eastAsia" w:ascii="宋体" w:hAnsi="宋体" w:cs="宋体"/>
          <w:kern w:val="0"/>
          <w:sz w:val="24"/>
          <w:szCs w:val="24"/>
          <w:lang w:eastAsia="zh-CN"/>
        </w:rPr>
        <w:t>（三）</w:t>
      </w:r>
      <w:r>
        <w:rPr>
          <w:rFonts w:hint="eastAsia" w:ascii="宋体" w:hAnsi="宋体" w:cs="宋体"/>
          <w:kern w:val="0"/>
          <w:sz w:val="24"/>
          <w:szCs w:val="24"/>
        </w:rPr>
        <w:t>参数设置</w:t>
      </w:r>
      <w:r>
        <w:rPr>
          <w:rFonts w:hint="eastAsia" w:ascii="宋体" w:hAnsi="宋体" w:cs="宋体"/>
          <w:kern w:val="0"/>
          <w:sz w:val="24"/>
          <w:szCs w:val="24"/>
          <w:lang w:val="fr-FR"/>
        </w:rPr>
        <w:t>：</w:t>
      </w:r>
    </w:p>
    <w:p>
      <w:pPr>
        <w:autoSpaceDE w:val="0"/>
        <w:autoSpaceDN w:val="0"/>
        <w:adjustRightInd w:val="0"/>
        <w:jc w:val="left"/>
        <w:rPr>
          <w:rFonts w:hint="eastAsia" w:ascii="宋体" w:hAnsi="宋体"/>
          <w:kern w:val="0"/>
          <w:sz w:val="24"/>
          <w:szCs w:val="24"/>
          <w:lang w:val="fr-FR"/>
        </w:rPr>
      </w:pPr>
      <w:r>
        <w:rPr>
          <w:rFonts w:ascii="宋体" w:hAnsi="宋体"/>
          <w:kern w:val="0"/>
          <w:sz w:val="24"/>
          <w:szCs w:val="24"/>
          <w:lang w:val="fr-FR"/>
        </w:rPr>
        <w:t>1</w:t>
      </w:r>
      <w:r>
        <w:rPr>
          <w:rFonts w:hint="eastAsia" w:ascii="宋体" w:hAnsi="宋体" w:cs="宋体"/>
          <w:kern w:val="0"/>
          <w:sz w:val="24"/>
          <w:szCs w:val="24"/>
          <w:lang w:val="fr-FR"/>
        </w:rPr>
        <w:t>．</w:t>
      </w:r>
      <w:r>
        <w:rPr>
          <w:rFonts w:hint="eastAsia" w:ascii="宋体" w:hAnsi="宋体" w:cs="宋体"/>
          <w:kern w:val="0"/>
          <w:sz w:val="24"/>
          <w:szCs w:val="24"/>
        </w:rPr>
        <w:t>潮气量</w:t>
      </w:r>
      <w:r>
        <w:rPr>
          <w:rFonts w:hint="eastAsia" w:ascii="宋体" w:hAnsi="宋体" w:cs="宋体"/>
          <w:kern w:val="0"/>
          <w:sz w:val="24"/>
          <w:szCs w:val="24"/>
          <w:lang w:val="fr-FR"/>
        </w:rPr>
        <w:t>：</w:t>
      </w:r>
      <w:r>
        <w:rPr>
          <w:rFonts w:ascii="宋体" w:hAnsi="宋体"/>
          <w:kern w:val="0"/>
          <w:sz w:val="24"/>
          <w:szCs w:val="24"/>
          <w:lang w:val="fr-FR"/>
        </w:rPr>
        <w:t>100~2000毫升</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2. 吸气分钟通气量：0.5</w:t>
      </w:r>
      <w:r>
        <w:rPr>
          <w:rFonts w:ascii="宋体" w:hAnsi="宋体"/>
          <w:kern w:val="0"/>
          <w:sz w:val="24"/>
          <w:szCs w:val="24"/>
          <w:lang w:val="fr-FR"/>
        </w:rPr>
        <w:t>~</w:t>
      </w:r>
      <w:r>
        <w:rPr>
          <w:rFonts w:hint="eastAsia" w:ascii="宋体" w:hAnsi="宋体"/>
          <w:kern w:val="0"/>
          <w:sz w:val="24"/>
          <w:szCs w:val="24"/>
          <w:lang w:val="fr-FR"/>
        </w:rPr>
        <w:t>60</w:t>
      </w:r>
      <w:r>
        <w:rPr>
          <w:rFonts w:ascii="宋体" w:hAnsi="宋体"/>
          <w:kern w:val="0"/>
          <w:sz w:val="24"/>
          <w:szCs w:val="24"/>
          <w:lang w:val="fr-FR"/>
        </w:rPr>
        <w:t xml:space="preserve"> L/min</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 xml:space="preserve">3. </w:t>
      </w:r>
      <w:r>
        <w:rPr>
          <w:rFonts w:hint="eastAsia" w:ascii="宋体" w:hAnsi="宋体" w:cs="宋体"/>
          <w:kern w:val="0"/>
          <w:sz w:val="24"/>
          <w:szCs w:val="24"/>
        </w:rPr>
        <w:t>气道压力控制</w:t>
      </w:r>
      <w:r>
        <w:rPr>
          <w:rFonts w:hint="eastAsia" w:ascii="宋体" w:hAnsi="宋体" w:cs="宋体"/>
          <w:kern w:val="0"/>
          <w:sz w:val="24"/>
          <w:szCs w:val="24"/>
          <w:lang w:val="fr-FR"/>
        </w:rPr>
        <w:t>：</w:t>
      </w:r>
      <w:r>
        <w:rPr>
          <w:rFonts w:ascii="宋体" w:hAnsi="宋体"/>
          <w:kern w:val="0"/>
          <w:sz w:val="24"/>
          <w:szCs w:val="24"/>
          <w:lang w:val="fr-FR"/>
        </w:rPr>
        <w:t>0~1</w:t>
      </w:r>
      <w:r>
        <w:rPr>
          <w:rFonts w:hint="eastAsia" w:ascii="宋体" w:hAnsi="宋体"/>
          <w:kern w:val="0"/>
          <w:sz w:val="24"/>
          <w:szCs w:val="24"/>
          <w:lang w:val="fr-FR"/>
        </w:rPr>
        <w:t>2</w:t>
      </w:r>
      <w:r>
        <w:rPr>
          <w:rFonts w:ascii="宋体" w:hAnsi="宋体"/>
          <w:kern w:val="0"/>
          <w:sz w:val="24"/>
          <w:szCs w:val="24"/>
          <w:lang w:val="fr-FR"/>
        </w:rPr>
        <w:t>0cmH2O</w:t>
      </w:r>
    </w:p>
    <w:p>
      <w:pPr>
        <w:autoSpaceDE w:val="0"/>
        <w:autoSpaceDN w:val="0"/>
        <w:adjustRightInd w:val="0"/>
        <w:jc w:val="left"/>
        <w:rPr>
          <w:rFonts w:hint="eastAsia" w:ascii="宋体" w:hAnsi="宋体"/>
          <w:kern w:val="0"/>
          <w:sz w:val="24"/>
          <w:szCs w:val="24"/>
        </w:rPr>
      </w:pPr>
      <w:r>
        <w:rPr>
          <w:rFonts w:hint="eastAsia" w:ascii="宋体" w:hAnsi="宋体"/>
          <w:kern w:val="0"/>
          <w:sz w:val="24"/>
          <w:szCs w:val="24"/>
          <w:lang w:val="fr-FR"/>
        </w:rPr>
        <w:t>4.</w:t>
      </w:r>
      <w:r>
        <w:rPr>
          <w:rFonts w:hint="eastAsia" w:ascii="宋体" w:hAnsi="宋体" w:cs="宋体"/>
          <w:kern w:val="0"/>
          <w:sz w:val="24"/>
          <w:szCs w:val="24"/>
        </w:rPr>
        <w:t xml:space="preserve"> 压力支持：</w:t>
      </w:r>
      <w:r>
        <w:rPr>
          <w:rFonts w:ascii="宋体" w:hAnsi="宋体"/>
          <w:kern w:val="0"/>
          <w:sz w:val="24"/>
          <w:szCs w:val="24"/>
        </w:rPr>
        <w:t>0~</w:t>
      </w:r>
      <w:r>
        <w:rPr>
          <w:rFonts w:hint="eastAsia" w:ascii="宋体" w:hAnsi="宋体"/>
          <w:kern w:val="0"/>
          <w:sz w:val="24"/>
          <w:szCs w:val="24"/>
        </w:rPr>
        <w:t>12</w:t>
      </w:r>
      <w:r>
        <w:rPr>
          <w:rFonts w:ascii="宋体" w:hAnsi="宋体"/>
          <w:kern w:val="0"/>
          <w:sz w:val="24"/>
          <w:szCs w:val="24"/>
        </w:rPr>
        <w:t>0cmH2O</w:t>
      </w:r>
    </w:p>
    <w:p>
      <w:pPr>
        <w:autoSpaceDE w:val="0"/>
        <w:autoSpaceDN w:val="0"/>
        <w:adjustRightInd w:val="0"/>
        <w:jc w:val="left"/>
        <w:rPr>
          <w:rFonts w:hint="eastAsia" w:ascii="宋体" w:hAnsi="宋体"/>
          <w:kern w:val="0"/>
          <w:sz w:val="24"/>
          <w:szCs w:val="24"/>
          <w:lang w:val="fr-FR"/>
        </w:rPr>
      </w:pPr>
      <w:r>
        <w:rPr>
          <w:rFonts w:hint="eastAsia" w:ascii="宋体" w:hAnsi="宋体" w:cs="宋体"/>
          <w:kern w:val="0"/>
          <w:sz w:val="24"/>
          <w:szCs w:val="24"/>
        </w:rPr>
        <w:t>5．呼气末正压通气</w:t>
      </w:r>
      <w:r>
        <w:rPr>
          <w:rFonts w:hint="eastAsia" w:ascii="宋体" w:hAnsi="宋体" w:cs="宋体"/>
          <w:kern w:val="0"/>
          <w:sz w:val="24"/>
          <w:szCs w:val="24"/>
          <w:lang w:val="fr-FR"/>
        </w:rPr>
        <w:t>（</w:t>
      </w:r>
      <w:r>
        <w:rPr>
          <w:rFonts w:ascii="宋体" w:hAnsi="宋体"/>
          <w:kern w:val="0"/>
          <w:sz w:val="24"/>
          <w:szCs w:val="24"/>
          <w:lang w:val="fr-FR"/>
        </w:rPr>
        <w:t>PEEP</w:t>
      </w:r>
      <w:r>
        <w:rPr>
          <w:rFonts w:hint="eastAsia" w:ascii="宋体" w:hAnsi="宋体" w:cs="宋体"/>
          <w:kern w:val="0"/>
          <w:sz w:val="24"/>
          <w:szCs w:val="24"/>
          <w:lang w:val="fr-FR"/>
        </w:rPr>
        <w:t>）：</w:t>
      </w:r>
      <w:r>
        <w:rPr>
          <w:rFonts w:ascii="宋体" w:hAnsi="宋体"/>
          <w:kern w:val="0"/>
          <w:sz w:val="24"/>
          <w:szCs w:val="24"/>
          <w:lang w:val="fr-FR"/>
        </w:rPr>
        <w:t>0~50cmH2O</w:t>
      </w:r>
    </w:p>
    <w:p>
      <w:pPr>
        <w:autoSpaceDE w:val="0"/>
        <w:autoSpaceDN w:val="0"/>
        <w:adjustRightInd w:val="0"/>
        <w:jc w:val="left"/>
        <w:rPr>
          <w:rFonts w:ascii="宋体" w:hAnsi="宋体"/>
          <w:kern w:val="0"/>
          <w:sz w:val="24"/>
          <w:szCs w:val="24"/>
          <w:lang w:val="fr-FR"/>
        </w:rPr>
      </w:pPr>
      <w:r>
        <w:rPr>
          <w:rFonts w:hint="eastAsia" w:ascii="宋体" w:hAnsi="宋体"/>
          <w:kern w:val="0"/>
          <w:sz w:val="24"/>
          <w:szCs w:val="24"/>
          <w:lang w:val="fr-FR"/>
        </w:rPr>
        <w:t>6</w:t>
      </w:r>
      <w:r>
        <w:rPr>
          <w:rFonts w:hint="eastAsia" w:ascii="宋体" w:hAnsi="宋体" w:cs="宋体"/>
          <w:kern w:val="0"/>
          <w:sz w:val="24"/>
          <w:szCs w:val="24"/>
          <w:lang w:val="fr-FR"/>
        </w:rPr>
        <w:t>．</w:t>
      </w:r>
      <w:r>
        <w:rPr>
          <w:rFonts w:hint="eastAsia" w:ascii="宋体" w:hAnsi="宋体" w:cs="宋体"/>
          <w:kern w:val="0"/>
          <w:sz w:val="24"/>
          <w:szCs w:val="24"/>
        </w:rPr>
        <w:t>呼吸频率</w:t>
      </w:r>
      <w:r>
        <w:rPr>
          <w:rFonts w:hint="eastAsia" w:ascii="宋体" w:hAnsi="宋体" w:cs="宋体"/>
          <w:kern w:val="0"/>
          <w:sz w:val="24"/>
          <w:szCs w:val="24"/>
          <w:lang w:val="fr-FR"/>
        </w:rPr>
        <w:t xml:space="preserve">：CMV模式下  </w:t>
      </w:r>
      <w:r>
        <w:rPr>
          <w:rFonts w:ascii="宋体" w:hAnsi="宋体"/>
          <w:kern w:val="0"/>
          <w:sz w:val="24"/>
          <w:szCs w:val="24"/>
          <w:lang w:val="fr-FR"/>
        </w:rPr>
        <w:t>5~100</w:t>
      </w:r>
      <w:r>
        <w:rPr>
          <w:rFonts w:hint="eastAsia" w:ascii="宋体" w:hAnsi="宋体" w:cs="宋体"/>
          <w:kern w:val="0"/>
          <w:sz w:val="24"/>
          <w:szCs w:val="24"/>
        </w:rPr>
        <w:t>次</w:t>
      </w:r>
      <w:r>
        <w:rPr>
          <w:rFonts w:ascii="宋体" w:hAnsi="宋体"/>
          <w:kern w:val="0"/>
          <w:sz w:val="24"/>
          <w:szCs w:val="24"/>
          <w:lang w:val="fr-FR"/>
        </w:rPr>
        <w:t>/min</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7</w:t>
      </w:r>
      <w:r>
        <w:rPr>
          <w:rFonts w:hint="eastAsia" w:ascii="宋体" w:hAnsi="宋体" w:cs="宋体"/>
          <w:kern w:val="0"/>
          <w:sz w:val="24"/>
          <w:szCs w:val="24"/>
          <w:lang w:val="fr-FR"/>
        </w:rPr>
        <w:t>．</w:t>
      </w:r>
      <w:r>
        <w:rPr>
          <w:rFonts w:hint="eastAsia" w:ascii="宋体" w:hAnsi="宋体" w:cs="宋体"/>
          <w:kern w:val="0"/>
          <w:sz w:val="24"/>
          <w:szCs w:val="24"/>
        </w:rPr>
        <w:t>呼吸循环时间</w:t>
      </w:r>
      <w:r>
        <w:rPr>
          <w:rFonts w:hint="eastAsia" w:ascii="宋体" w:hAnsi="宋体" w:cs="宋体"/>
          <w:kern w:val="0"/>
          <w:sz w:val="24"/>
          <w:szCs w:val="24"/>
          <w:lang w:val="fr-FR"/>
        </w:rPr>
        <w:t>（SIMV）：1</w:t>
      </w:r>
      <w:r>
        <w:rPr>
          <w:rFonts w:ascii="宋体" w:hAnsi="宋体"/>
          <w:kern w:val="0"/>
          <w:sz w:val="24"/>
          <w:szCs w:val="24"/>
          <w:lang w:val="fr-FR"/>
        </w:rPr>
        <w:t>~</w:t>
      </w:r>
      <w:r>
        <w:rPr>
          <w:rFonts w:hint="eastAsia" w:ascii="宋体" w:hAnsi="宋体"/>
          <w:kern w:val="0"/>
          <w:sz w:val="24"/>
          <w:szCs w:val="24"/>
          <w:lang w:val="fr-FR"/>
        </w:rPr>
        <w:t>15s</w:t>
      </w:r>
    </w:p>
    <w:p>
      <w:pPr>
        <w:autoSpaceDE w:val="0"/>
        <w:autoSpaceDN w:val="0"/>
        <w:adjustRightInd w:val="0"/>
        <w:jc w:val="left"/>
        <w:rPr>
          <w:rFonts w:ascii="宋体" w:hAnsi="宋体"/>
          <w:kern w:val="0"/>
          <w:sz w:val="24"/>
          <w:szCs w:val="24"/>
          <w:lang w:val="fr-FR"/>
        </w:rPr>
      </w:pPr>
      <w:r>
        <w:rPr>
          <w:rFonts w:hint="eastAsia" w:ascii="宋体" w:hAnsi="宋体"/>
          <w:kern w:val="0"/>
          <w:sz w:val="24"/>
          <w:szCs w:val="24"/>
          <w:lang w:val="fr-FR"/>
        </w:rPr>
        <w:t>8</w:t>
      </w:r>
      <w:r>
        <w:rPr>
          <w:rFonts w:hint="eastAsia" w:ascii="宋体" w:hAnsi="宋体" w:cs="宋体"/>
          <w:kern w:val="0"/>
          <w:sz w:val="24"/>
          <w:szCs w:val="24"/>
          <w:lang w:val="fr-FR"/>
        </w:rPr>
        <w:t>．</w:t>
      </w:r>
      <w:r>
        <w:rPr>
          <w:rFonts w:hint="eastAsia" w:ascii="宋体" w:hAnsi="宋体" w:cs="宋体"/>
          <w:kern w:val="0"/>
          <w:sz w:val="24"/>
          <w:szCs w:val="24"/>
        </w:rPr>
        <w:t>吸入气氧浓度</w:t>
      </w:r>
      <w:r>
        <w:rPr>
          <w:rFonts w:hint="eastAsia" w:ascii="宋体" w:hAnsi="宋体" w:cs="宋体"/>
          <w:kern w:val="0"/>
          <w:sz w:val="24"/>
          <w:szCs w:val="24"/>
          <w:lang w:val="fr-FR"/>
        </w:rPr>
        <w:t>：</w:t>
      </w:r>
      <w:r>
        <w:rPr>
          <w:rFonts w:ascii="宋体" w:hAnsi="宋体"/>
          <w:kern w:val="0"/>
          <w:sz w:val="24"/>
          <w:szCs w:val="24"/>
          <w:lang w:val="fr-FR"/>
        </w:rPr>
        <w:t>21~100Vol%</w:t>
      </w:r>
    </w:p>
    <w:p>
      <w:pPr>
        <w:autoSpaceDE w:val="0"/>
        <w:autoSpaceDN w:val="0"/>
        <w:adjustRightInd w:val="0"/>
        <w:jc w:val="left"/>
        <w:rPr>
          <w:rFonts w:hint="eastAsia" w:ascii="宋体" w:hAnsi="宋体" w:cs="宋体"/>
          <w:kern w:val="0"/>
          <w:sz w:val="24"/>
          <w:szCs w:val="24"/>
          <w:lang w:val="fr-FR"/>
        </w:rPr>
      </w:pPr>
      <w:r>
        <w:rPr>
          <w:rFonts w:hint="eastAsia" w:ascii="宋体" w:hAnsi="宋体" w:cs="宋体"/>
          <w:kern w:val="0"/>
          <w:sz w:val="24"/>
          <w:szCs w:val="24"/>
          <w:lang w:val="fr-FR"/>
        </w:rPr>
        <w:t>9．</w:t>
      </w:r>
      <w:r>
        <w:rPr>
          <w:rFonts w:hint="eastAsia" w:ascii="宋体" w:hAnsi="宋体" w:cs="宋体"/>
          <w:kern w:val="0"/>
          <w:sz w:val="24"/>
          <w:szCs w:val="24"/>
        </w:rPr>
        <w:t>吸呼比</w:t>
      </w:r>
      <w:r>
        <w:rPr>
          <w:rFonts w:hint="eastAsia" w:ascii="宋体" w:hAnsi="宋体" w:cs="宋体"/>
          <w:kern w:val="0"/>
          <w:sz w:val="24"/>
          <w:szCs w:val="24"/>
          <w:lang w:val="fr-FR"/>
        </w:rPr>
        <w:t>：</w:t>
      </w:r>
      <w:r>
        <w:rPr>
          <w:rFonts w:ascii="宋体" w:hAnsi="宋体"/>
          <w:kern w:val="0"/>
          <w:sz w:val="24"/>
          <w:szCs w:val="24"/>
          <w:lang w:val="fr-FR"/>
        </w:rPr>
        <w:t>1</w:t>
      </w:r>
      <w:r>
        <w:rPr>
          <w:rFonts w:hint="eastAsia" w:ascii="宋体" w:hAnsi="宋体" w:cs="宋体"/>
          <w:kern w:val="0"/>
          <w:sz w:val="24"/>
          <w:szCs w:val="24"/>
          <w:lang w:val="fr-FR"/>
        </w:rPr>
        <w:t>：</w:t>
      </w:r>
      <w:r>
        <w:rPr>
          <w:rFonts w:ascii="宋体" w:hAnsi="宋体"/>
          <w:kern w:val="0"/>
          <w:sz w:val="24"/>
          <w:szCs w:val="24"/>
          <w:lang w:val="fr-FR"/>
        </w:rPr>
        <w:t>10~4</w:t>
      </w:r>
      <w:r>
        <w:rPr>
          <w:rFonts w:hint="eastAsia" w:ascii="宋体" w:hAnsi="宋体" w:cs="宋体"/>
          <w:kern w:val="0"/>
          <w:sz w:val="24"/>
          <w:szCs w:val="24"/>
          <w:lang w:val="fr-FR"/>
        </w:rPr>
        <w:t>：</w:t>
      </w:r>
      <w:r>
        <w:rPr>
          <w:rFonts w:ascii="宋体" w:hAnsi="宋体"/>
          <w:kern w:val="0"/>
          <w:sz w:val="24"/>
          <w:szCs w:val="24"/>
          <w:lang w:val="fr-FR"/>
        </w:rPr>
        <w:t xml:space="preserve">1 </w:t>
      </w:r>
      <w:r>
        <w:rPr>
          <w:rFonts w:hint="eastAsia" w:ascii="宋体" w:hAnsi="宋体" w:cs="宋体"/>
          <w:kern w:val="0"/>
          <w:sz w:val="24"/>
          <w:szCs w:val="24"/>
          <w:lang w:val="fr-FR"/>
        </w:rPr>
        <w:t xml:space="preserve"> </w:t>
      </w:r>
      <w:r>
        <w:rPr>
          <w:rFonts w:hint="eastAsia" w:ascii="宋体" w:hAnsi="宋体" w:cs="宋体"/>
          <w:kern w:val="0"/>
          <w:sz w:val="24"/>
          <w:szCs w:val="24"/>
        </w:rPr>
        <w:t>可调</w:t>
      </w:r>
    </w:p>
    <w:p>
      <w:pPr>
        <w:autoSpaceDE w:val="0"/>
        <w:autoSpaceDN w:val="0"/>
        <w:adjustRightInd w:val="0"/>
        <w:jc w:val="left"/>
        <w:rPr>
          <w:rFonts w:hint="eastAsia" w:ascii="宋体" w:hAnsi="宋体"/>
          <w:kern w:val="0"/>
          <w:sz w:val="24"/>
          <w:szCs w:val="24"/>
          <w:lang w:val="fr-FR"/>
        </w:rPr>
      </w:pPr>
      <w:r>
        <w:rPr>
          <w:rFonts w:hint="eastAsia" w:ascii="宋体" w:hAnsi="宋体" w:cs="宋体"/>
          <w:kern w:val="0"/>
          <w:sz w:val="24"/>
          <w:szCs w:val="24"/>
          <w:lang w:val="fr-FR"/>
        </w:rPr>
        <w:t>10.</w:t>
      </w:r>
      <w:r>
        <w:rPr>
          <w:rFonts w:hint="eastAsia" w:ascii="宋体" w:hAnsi="宋体" w:cs="宋体"/>
          <w:kern w:val="0"/>
          <w:sz w:val="24"/>
          <w:szCs w:val="24"/>
        </w:rPr>
        <w:t>吸气时间</w:t>
      </w:r>
      <w:r>
        <w:rPr>
          <w:rFonts w:hint="eastAsia" w:ascii="宋体" w:hAnsi="宋体" w:cs="宋体"/>
          <w:kern w:val="0"/>
          <w:sz w:val="24"/>
          <w:szCs w:val="24"/>
          <w:lang w:val="fr-FR"/>
        </w:rPr>
        <w:t>：</w:t>
      </w:r>
      <w:r>
        <w:rPr>
          <w:rFonts w:ascii="宋体" w:hAnsi="宋体"/>
          <w:kern w:val="0"/>
          <w:sz w:val="24"/>
          <w:szCs w:val="24"/>
          <w:lang w:val="fr-FR"/>
        </w:rPr>
        <w:t>0</w:t>
      </w:r>
      <w:r>
        <w:rPr>
          <w:rFonts w:hint="eastAsia" w:ascii="宋体" w:hAnsi="宋体"/>
          <w:kern w:val="0"/>
          <w:sz w:val="24"/>
          <w:szCs w:val="24"/>
          <w:lang w:val="fr-FR"/>
        </w:rPr>
        <w:t>.1</w:t>
      </w:r>
      <w:r>
        <w:rPr>
          <w:rFonts w:ascii="宋体" w:hAnsi="宋体"/>
          <w:kern w:val="0"/>
          <w:sz w:val="24"/>
          <w:szCs w:val="24"/>
          <w:lang w:val="fr-FR"/>
        </w:rPr>
        <w:t>~</w:t>
      </w:r>
      <w:r>
        <w:rPr>
          <w:rFonts w:hint="eastAsia" w:ascii="宋体" w:hAnsi="宋体"/>
          <w:kern w:val="0"/>
          <w:sz w:val="24"/>
          <w:szCs w:val="24"/>
          <w:lang w:val="fr-FR"/>
        </w:rPr>
        <w:t>5.0 s</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11. 吸气上升时间：0</w:t>
      </w:r>
      <w:r>
        <w:rPr>
          <w:rFonts w:ascii="宋体" w:hAnsi="宋体"/>
          <w:kern w:val="0"/>
          <w:sz w:val="24"/>
          <w:szCs w:val="24"/>
          <w:lang w:val="fr-FR"/>
        </w:rPr>
        <w:t>~</w:t>
      </w:r>
      <w:r>
        <w:rPr>
          <w:rFonts w:hint="eastAsia" w:ascii="宋体" w:hAnsi="宋体"/>
          <w:kern w:val="0"/>
          <w:sz w:val="24"/>
          <w:szCs w:val="24"/>
          <w:lang w:val="fr-FR"/>
        </w:rPr>
        <w:t>0.4 s</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12.呼气上升时间：流量为0.05</w:t>
      </w:r>
      <w:r>
        <w:rPr>
          <w:rFonts w:ascii="宋体" w:hAnsi="宋体"/>
          <w:kern w:val="0"/>
          <w:sz w:val="24"/>
          <w:szCs w:val="24"/>
          <w:lang w:val="fr-FR"/>
        </w:rPr>
        <w:t>~</w:t>
      </w:r>
      <w:r>
        <w:rPr>
          <w:rFonts w:hint="eastAsia" w:ascii="宋体" w:hAnsi="宋体"/>
          <w:kern w:val="0"/>
          <w:sz w:val="24"/>
          <w:szCs w:val="24"/>
          <w:lang w:val="fr-FR"/>
        </w:rPr>
        <w:t>3.2 L/s，,10%</w:t>
      </w:r>
      <w:r>
        <w:rPr>
          <w:rFonts w:ascii="宋体" w:hAnsi="宋体"/>
          <w:kern w:val="0"/>
          <w:sz w:val="24"/>
          <w:szCs w:val="24"/>
          <w:lang w:val="fr-FR"/>
        </w:rPr>
        <w:t>~</w:t>
      </w:r>
      <w:r>
        <w:rPr>
          <w:rFonts w:hint="eastAsia" w:ascii="宋体" w:hAnsi="宋体"/>
          <w:kern w:val="0"/>
          <w:sz w:val="24"/>
          <w:szCs w:val="24"/>
          <w:lang w:val="fr-FR"/>
        </w:rPr>
        <w:t>90%响应用时〈12ms</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13.吸气暂停：0</w:t>
      </w:r>
      <w:r>
        <w:rPr>
          <w:rFonts w:ascii="宋体" w:hAnsi="宋体"/>
          <w:kern w:val="0"/>
          <w:sz w:val="24"/>
          <w:szCs w:val="24"/>
          <w:lang w:val="fr-FR"/>
        </w:rPr>
        <w:t>~</w:t>
      </w:r>
      <w:r>
        <w:rPr>
          <w:rFonts w:hint="eastAsia" w:ascii="宋体" w:hAnsi="宋体"/>
          <w:kern w:val="0"/>
          <w:sz w:val="24"/>
          <w:szCs w:val="24"/>
          <w:lang w:val="fr-FR"/>
        </w:rPr>
        <w:t>1.5s</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14.吸气流速：0</w:t>
      </w:r>
      <w:r>
        <w:rPr>
          <w:rFonts w:ascii="宋体" w:hAnsi="宋体"/>
          <w:kern w:val="0"/>
          <w:sz w:val="24"/>
          <w:szCs w:val="24"/>
          <w:lang w:val="fr-FR"/>
        </w:rPr>
        <w:t>~</w:t>
      </w:r>
      <w:r>
        <w:rPr>
          <w:rFonts w:hint="eastAsia" w:ascii="宋体" w:hAnsi="宋体"/>
          <w:kern w:val="0"/>
          <w:sz w:val="24"/>
          <w:szCs w:val="24"/>
          <w:lang w:val="fr-FR"/>
        </w:rPr>
        <w:t>3.3L/s</w:t>
      </w:r>
    </w:p>
    <w:p>
      <w:pPr>
        <w:autoSpaceDE w:val="0"/>
        <w:autoSpaceDN w:val="0"/>
        <w:adjustRightInd w:val="0"/>
        <w:jc w:val="left"/>
        <w:rPr>
          <w:rFonts w:ascii="宋体" w:hAnsi="宋体"/>
          <w:kern w:val="0"/>
          <w:sz w:val="24"/>
          <w:szCs w:val="24"/>
          <w:lang w:val="fr-FR"/>
        </w:rPr>
      </w:pPr>
      <w:r>
        <w:rPr>
          <w:rFonts w:hint="eastAsia" w:ascii="宋体" w:hAnsi="宋体"/>
          <w:kern w:val="0"/>
          <w:sz w:val="24"/>
          <w:szCs w:val="24"/>
          <w:lang w:val="fr-FR"/>
        </w:rPr>
        <w:t>15.呼气流量：0</w:t>
      </w:r>
      <w:r>
        <w:rPr>
          <w:rFonts w:ascii="宋体" w:hAnsi="宋体"/>
          <w:kern w:val="0"/>
          <w:sz w:val="24"/>
          <w:szCs w:val="24"/>
          <w:lang w:val="fr-FR"/>
        </w:rPr>
        <w:t>~</w:t>
      </w:r>
      <w:r>
        <w:rPr>
          <w:rFonts w:hint="eastAsia" w:ascii="宋体" w:hAnsi="宋体"/>
          <w:kern w:val="0"/>
          <w:sz w:val="24"/>
          <w:szCs w:val="24"/>
          <w:lang w:val="fr-FR"/>
        </w:rPr>
        <w:t>3.2 L/s</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lang w:val="fr-FR"/>
        </w:rPr>
        <w:t>16</w:t>
      </w:r>
      <w:r>
        <w:rPr>
          <w:rFonts w:hint="eastAsia" w:ascii="宋体" w:hAnsi="宋体" w:cs="宋体"/>
          <w:kern w:val="0"/>
          <w:sz w:val="24"/>
          <w:szCs w:val="24"/>
          <w:lang w:val="fr-FR"/>
        </w:rPr>
        <w:t>．</w:t>
      </w:r>
      <w:r>
        <w:rPr>
          <w:rFonts w:hint="eastAsia" w:ascii="宋体" w:hAnsi="宋体" w:cs="宋体"/>
          <w:kern w:val="0"/>
          <w:sz w:val="24"/>
          <w:szCs w:val="24"/>
        </w:rPr>
        <w:t>具备流量触发方式</w:t>
      </w:r>
      <w:r>
        <w:rPr>
          <w:rFonts w:hint="eastAsia" w:ascii="宋体" w:hAnsi="宋体" w:cs="宋体"/>
          <w:kern w:val="0"/>
          <w:sz w:val="24"/>
          <w:szCs w:val="24"/>
          <w:lang w:val="fr-FR"/>
        </w:rPr>
        <w:t>:0-10</w:t>
      </w:r>
      <w:r>
        <w:rPr>
          <w:rFonts w:ascii="宋体" w:hAnsi="宋体"/>
          <w:kern w:val="0"/>
          <w:sz w:val="24"/>
          <w:szCs w:val="24"/>
          <w:lang w:val="fr-FR"/>
        </w:rPr>
        <w:t xml:space="preserve"> </w:t>
      </w:r>
      <w:r>
        <w:rPr>
          <w:rFonts w:hint="eastAsia" w:ascii="宋体" w:hAnsi="宋体"/>
          <w:kern w:val="0"/>
          <w:sz w:val="24"/>
          <w:szCs w:val="24"/>
          <w:lang w:val="fr-FR"/>
        </w:rPr>
        <w:t>（</w:t>
      </w:r>
      <w:r>
        <w:rPr>
          <w:rFonts w:hint="eastAsia" w:ascii="宋体" w:hAnsi="宋体"/>
          <w:kern w:val="0"/>
          <w:sz w:val="24"/>
          <w:szCs w:val="24"/>
        </w:rPr>
        <w:t>相当于基础流量的</w:t>
      </w:r>
      <w:r>
        <w:rPr>
          <w:rFonts w:hint="eastAsia" w:ascii="宋体" w:hAnsi="宋体"/>
          <w:kern w:val="0"/>
          <w:sz w:val="24"/>
          <w:szCs w:val="24"/>
          <w:lang w:val="fr-FR"/>
        </w:rPr>
        <w:t>0%</w:t>
      </w:r>
      <w:r>
        <w:rPr>
          <w:rFonts w:ascii="宋体" w:hAnsi="宋体"/>
          <w:kern w:val="0"/>
          <w:sz w:val="24"/>
          <w:szCs w:val="24"/>
          <w:lang w:val="fr-FR"/>
        </w:rPr>
        <w:t>~</w:t>
      </w:r>
      <w:r>
        <w:rPr>
          <w:rFonts w:hint="eastAsia" w:ascii="宋体" w:hAnsi="宋体"/>
          <w:kern w:val="0"/>
          <w:sz w:val="24"/>
          <w:szCs w:val="24"/>
          <w:lang w:val="fr-FR"/>
        </w:rPr>
        <w:t>100%），</w:t>
      </w:r>
      <w:r>
        <w:rPr>
          <w:rFonts w:hint="eastAsia" w:ascii="宋体" w:hAnsi="宋体" w:cs="宋体"/>
          <w:kern w:val="0"/>
          <w:sz w:val="24"/>
          <w:szCs w:val="24"/>
        </w:rPr>
        <w:t>压力触发方式:</w:t>
      </w:r>
      <w:r>
        <w:rPr>
          <w:rFonts w:ascii="宋体" w:hAnsi="宋体"/>
          <w:kern w:val="0"/>
          <w:sz w:val="24"/>
          <w:szCs w:val="24"/>
        </w:rPr>
        <w:t xml:space="preserve"> </w:t>
      </w:r>
      <w:r>
        <w:rPr>
          <w:rFonts w:hint="eastAsia" w:ascii="宋体" w:hAnsi="宋体"/>
          <w:kern w:val="0"/>
          <w:sz w:val="24"/>
          <w:szCs w:val="24"/>
        </w:rPr>
        <w:t>-20</w:t>
      </w:r>
      <w:r>
        <w:rPr>
          <w:rFonts w:ascii="宋体" w:hAnsi="宋体"/>
          <w:kern w:val="0"/>
          <w:sz w:val="24"/>
          <w:szCs w:val="24"/>
        </w:rPr>
        <w:t>~0</w:t>
      </w:r>
      <w:r>
        <w:rPr>
          <w:rFonts w:hint="eastAsia" w:ascii="宋体" w:hAnsi="宋体"/>
          <w:kern w:val="0"/>
          <w:sz w:val="24"/>
          <w:szCs w:val="24"/>
        </w:rPr>
        <w:t xml:space="preserve"> </w:t>
      </w:r>
      <w:r>
        <w:rPr>
          <w:rFonts w:ascii="宋体" w:hAnsi="宋体"/>
          <w:kern w:val="0"/>
          <w:sz w:val="24"/>
          <w:szCs w:val="24"/>
        </w:rPr>
        <w:t>cmH2O</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17.</w:t>
      </w:r>
      <w:r>
        <w:rPr>
          <w:rFonts w:ascii="宋体" w:hAnsi="宋体" w:cs="宋体"/>
          <w:kern w:val="0"/>
          <w:sz w:val="24"/>
          <w:szCs w:val="24"/>
        </w:rPr>
        <w:t xml:space="preserve"> </w:t>
      </w:r>
      <w:r>
        <w:rPr>
          <w:rFonts w:hint="eastAsia" w:ascii="宋体" w:hAnsi="宋体" w:cs="宋体"/>
          <w:kern w:val="0"/>
          <w:sz w:val="24"/>
          <w:szCs w:val="24"/>
        </w:rPr>
        <w:t>偏流量: 2L/min</w:t>
      </w:r>
    </w:p>
    <w:p>
      <w:pPr>
        <w:autoSpaceDE w:val="0"/>
        <w:autoSpaceDN w:val="0"/>
        <w:adjustRightInd w:val="0"/>
        <w:jc w:val="left"/>
        <w:rPr>
          <w:rFonts w:hint="eastAsia" w:ascii="宋体" w:hAnsi="宋体"/>
          <w:kern w:val="0"/>
          <w:sz w:val="24"/>
          <w:szCs w:val="24"/>
        </w:rPr>
      </w:pPr>
      <w:r>
        <w:rPr>
          <w:rFonts w:hint="eastAsia" w:ascii="宋体" w:hAnsi="宋体" w:cs="宋体"/>
          <w:kern w:val="0"/>
          <w:sz w:val="24"/>
          <w:szCs w:val="24"/>
        </w:rPr>
        <w:t>18.吸气终止：可调，占吸气峰流速的</w:t>
      </w:r>
      <w:r>
        <w:rPr>
          <w:rFonts w:ascii="宋体" w:hAnsi="宋体"/>
          <w:kern w:val="0"/>
          <w:sz w:val="24"/>
          <w:szCs w:val="24"/>
        </w:rPr>
        <w:t>1~70%</w:t>
      </w:r>
    </w:p>
    <w:p>
      <w:pPr>
        <w:autoSpaceDE w:val="0"/>
        <w:autoSpaceDN w:val="0"/>
        <w:adjustRightInd w:val="0"/>
        <w:jc w:val="left"/>
        <w:rPr>
          <w:rFonts w:hint="eastAsia" w:ascii="宋体" w:hAnsi="宋体"/>
          <w:kern w:val="0"/>
          <w:sz w:val="24"/>
          <w:szCs w:val="24"/>
          <w:lang w:val="fr-FR"/>
        </w:rPr>
      </w:pPr>
      <w:r>
        <w:rPr>
          <w:rFonts w:hint="eastAsia" w:ascii="宋体" w:hAnsi="宋体"/>
          <w:kern w:val="0"/>
          <w:sz w:val="24"/>
          <w:szCs w:val="24"/>
        </w:rPr>
        <w:t>19.最大允许绝对气压：</w:t>
      </w:r>
      <w:r>
        <w:rPr>
          <w:rFonts w:ascii="宋体" w:hAnsi="宋体"/>
          <w:kern w:val="0"/>
          <w:sz w:val="24"/>
          <w:szCs w:val="24"/>
          <w:lang w:val="fr-FR"/>
        </w:rPr>
        <w:t>1</w:t>
      </w:r>
      <w:r>
        <w:rPr>
          <w:rFonts w:hint="eastAsia" w:ascii="宋体" w:hAnsi="宋体"/>
          <w:kern w:val="0"/>
          <w:sz w:val="24"/>
          <w:szCs w:val="24"/>
          <w:lang w:val="fr-FR"/>
        </w:rPr>
        <w:t>2</w:t>
      </w:r>
      <w:r>
        <w:rPr>
          <w:rFonts w:ascii="宋体" w:hAnsi="宋体"/>
          <w:kern w:val="0"/>
          <w:sz w:val="24"/>
          <w:szCs w:val="24"/>
          <w:lang w:val="fr-FR"/>
        </w:rPr>
        <w:t>0cmH2O</w:t>
      </w:r>
    </w:p>
    <w:p>
      <w:pPr>
        <w:autoSpaceDE w:val="0"/>
        <w:autoSpaceDN w:val="0"/>
        <w:adjustRightInd w:val="0"/>
        <w:jc w:val="left"/>
        <w:rPr>
          <w:rFonts w:ascii="宋体" w:hAnsi="宋体" w:cs="宋体"/>
          <w:kern w:val="0"/>
          <w:sz w:val="24"/>
          <w:szCs w:val="24"/>
        </w:rPr>
      </w:pP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（四）</w:t>
      </w:r>
      <w:r>
        <w:rPr>
          <w:rFonts w:hint="eastAsia" w:ascii="宋体" w:hAnsi="宋体" w:cs="宋体"/>
          <w:kern w:val="0"/>
          <w:sz w:val="24"/>
          <w:szCs w:val="24"/>
        </w:rPr>
        <w:t>普通监测功能：</w:t>
      </w:r>
    </w:p>
    <w:p>
      <w:pPr>
        <w:autoSpaceDE w:val="0"/>
        <w:autoSpaceDN w:val="0"/>
        <w:adjustRightInd w:val="0"/>
        <w:jc w:val="left"/>
        <w:rPr>
          <w:rFonts w:ascii="宋体" w:hAnsi="宋体" w:cs="宋体"/>
          <w:kern w:val="0"/>
          <w:sz w:val="24"/>
          <w:szCs w:val="24"/>
        </w:rPr>
      </w:pPr>
      <w:r>
        <w:rPr>
          <w:rFonts w:ascii="宋体" w:hAnsi="宋体"/>
          <w:kern w:val="0"/>
          <w:sz w:val="24"/>
          <w:szCs w:val="24"/>
        </w:rPr>
        <w:t>1</w:t>
      </w:r>
      <w:r>
        <w:rPr>
          <w:rFonts w:hint="eastAsia" w:ascii="宋体" w:hAnsi="宋体" w:cs="宋体"/>
          <w:kern w:val="0"/>
          <w:sz w:val="24"/>
          <w:szCs w:val="24"/>
        </w:rPr>
        <w:t>．屏幕监测：可同屏同时显示三条曲线（压力</w:t>
      </w:r>
      <w:r>
        <w:rPr>
          <w:rFonts w:hint="eastAsia" w:ascii="宋体" w:hAnsi="宋体"/>
          <w:kern w:val="0"/>
          <w:sz w:val="24"/>
          <w:szCs w:val="24"/>
        </w:rPr>
        <w:t>-</w:t>
      </w:r>
      <w:r>
        <w:rPr>
          <w:rFonts w:hint="eastAsia" w:ascii="宋体" w:hAnsi="宋体" w:cs="宋体"/>
          <w:kern w:val="0"/>
          <w:sz w:val="24"/>
          <w:szCs w:val="24"/>
        </w:rPr>
        <w:t>时间曲线、流速</w:t>
      </w:r>
      <w:r>
        <w:rPr>
          <w:rFonts w:hint="eastAsia" w:ascii="宋体" w:hAnsi="宋体"/>
          <w:kern w:val="0"/>
          <w:sz w:val="24"/>
          <w:szCs w:val="24"/>
        </w:rPr>
        <w:t>-</w:t>
      </w:r>
      <w:r>
        <w:rPr>
          <w:rFonts w:hint="eastAsia" w:ascii="宋体" w:hAnsi="宋体" w:cs="宋体"/>
          <w:kern w:val="0"/>
          <w:sz w:val="24"/>
          <w:szCs w:val="24"/>
        </w:rPr>
        <w:t>时间曲线、容量</w:t>
      </w:r>
      <w:r>
        <w:rPr>
          <w:rFonts w:hint="eastAsia" w:ascii="宋体" w:hAnsi="宋体"/>
          <w:kern w:val="0"/>
          <w:sz w:val="24"/>
          <w:szCs w:val="24"/>
        </w:rPr>
        <w:t>-</w:t>
      </w:r>
      <w:r>
        <w:rPr>
          <w:rFonts w:hint="eastAsia" w:ascii="宋体" w:hAnsi="宋体" w:cs="宋体"/>
          <w:kern w:val="0"/>
          <w:sz w:val="24"/>
          <w:szCs w:val="24"/>
        </w:rPr>
        <w:t>时间曲线）和两个环（压力-容量环，流量-容量环）</w:t>
      </w:r>
    </w:p>
    <w:p>
      <w:pPr>
        <w:autoSpaceDE w:val="0"/>
        <w:autoSpaceDN w:val="0"/>
        <w:adjustRightInd w:val="0"/>
        <w:jc w:val="left"/>
        <w:rPr>
          <w:rFonts w:hint="eastAsia" w:ascii="宋体" w:hAnsi="宋体" w:cs="宋体"/>
          <w:kern w:val="0"/>
          <w:sz w:val="24"/>
          <w:szCs w:val="24"/>
        </w:rPr>
      </w:pPr>
      <w:r>
        <w:rPr>
          <w:rFonts w:ascii="宋体" w:hAnsi="宋体"/>
          <w:kern w:val="0"/>
          <w:sz w:val="24"/>
          <w:szCs w:val="24"/>
        </w:rPr>
        <w:t>2</w:t>
      </w:r>
      <w:r>
        <w:rPr>
          <w:rFonts w:hint="eastAsia" w:ascii="宋体" w:hAnsi="宋体" w:cs="宋体"/>
          <w:kern w:val="0"/>
          <w:sz w:val="24"/>
          <w:szCs w:val="24"/>
        </w:rPr>
        <w:t>．参数监测：峰值压力、平台压力、平均气道压力、呼气末正压、吸入每分钟通气量、呼出每分钟通气量、吸入潮气量、呼出潮气量、呼气末流量、呼吸频率、自主呼吸频率、输送氧气浓度、吸呼比</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3.可监测空气压力、氧气压力、电池容量</w:t>
      </w:r>
    </w:p>
    <w:p>
      <w:pPr>
        <w:autoSpaceDE w:val="0"/>
        <w:autoSpaceDN w:val="0"/>
        <w:adjustRightInd w:val="0"/>
        <w:jc w:val="left"/>
        <w:rPr>
          <w:rFonts w:ascii="宋体" w:hAnsi="宋体"/>
          <w:sz w:val="24"/>
          <w:szCs w:val="24"/>
        </w:rPr>
      </w:pPr>
    </w:p>
    <w:p>
      <w:pPr>
        <w:autoSpaceDE w:val="0"/>
        <w:autoSpaceDN w:val="0"/>
        <w:adjustRightInd w:val="0"/>
        <w:jc w:val="left"/>
        <w:rPr>
          <w:rFonts w:ascii="宋体" w:hAnsi="宋体"/>
          <w:sz w:val="24"/>
          <w:szCs w:val="24"/>
        </w:rPr>
      </w:pPr>
      <w:r>
        <w:rPr>
          <w:rFonts w:hint="eastAsia" w:ascii="宋体" w:hAnsi="宋体"/>
          <w:sz w:val="24"/>
          <w:szCs w:val="24"/>
          <w:lang w:eastAsia="zh-CN"/>
        </w:rPr>
        <w:t>（五）</w:t>
      </w:r>
      <w:r>
        <w:rPr>
          <w:rFonts w:hint="eastAsia" w:ascii="宋体" w:hAnsi="宋体"/>
          <w:sz w:val="24"/>
          <w:szCs w:val="24"/>
        </w:rPr>
        <w:t>特殊监测参数：</w:t>
      </w:r>
    </w:p>
    <w:p>
      <w:pPr>
        <w:autoSpaceDE w:val="0"/>
        <w:autoSpaceDN w:val="0"/>
        <w:adjustRightInd w:val="0"/>
        <w:jc w:val="left"/>
        <w:rPr>
          <w:rFonts w:ascii="宋体" w:hAnsi="宋体"/>
          <w:sz w:val="24"/>
          <w:szCs w:val="24"/>
        </w:rPr>
      </w:pPr>
      <w:r>
        <w:rPr>
          <w:rFonts w:hint="eastAsia" w:ascii="宋体" w:hAnsi="宋体"/>
          <w:sz w:val="24"/>
          <w:szCs w:val="24"/>
        </w:rPr>
        <w:t>1．具备静态顺应性、动态特征监测</w:t>
      </w:r>
    </w:p>
    <w:p>
      <w:pPr>
        <w:autoSpaceDE w:val="0"/>
        <w:autoSpaceDN w:val="0"/>
        <w:adjustRightInd w:val="0"/>
        <w:jc w:val="left"/>
        <w:rPr>
          <w:rFonts w:ascii="宋体" w:hAnsi="宋体"/>
          <w:sz w:val="24"/>
          <w:szCs w:val="24"/>
        </w:rPr>
      </w:pPr>
      <w:r>
        <w:rPr>
          <w:rFonts w:hint="eastAsia" w:ascii="宋体" w:hAnsi="宋体"/>
          <w:sz w:val="24"/>
          <w:szCs w:val="24"/>
        </w:rPr>
        <w:t>2．具备吸气阻力、呼气阻力监测</w:t>
      </w:r>
    </w:p>
    <w:p>
      <w:pPr>
        <w:autoSpaceDE w:val="0"/>
        <w:autoSpaceDN w:val="0"/>
        <w:adjustRightInd w:val="0"/>
        <w:jc w:val="left"/>
        <w:rPr>
          <w:rFonts w:ascii="宋体" w:hAnsi="宋体"/>
          <w:sz w:val="24"/>
          <w:szCs w:val="24"/>
        </w:rPr>
      </w:pPr>
      <w:r>
        <w:rPr>
          <w:rFonts w:hint="eastAsia" w:ascii="宋体" w:hAnsi="宋体"/>
          <w:sz w:val="24"/>
          <w:szCs w:val="24"/>
        </w:rPr>
        <w:t>3．具备呼吸作功（呼吸机、病人）监测</w:t>
      </w:r>
    </w:p>
    <w:p>
      <w:pPr>
        <w:autoSpaceDE w:val="0"/>
        <w:autoSpaceDN w:val="0"/>
        <w:adjustRightInd w:val="0"/>
        <w:jc w:val="left"/>
        <w:rPr>
          <w:rFonts w:hint="eastAsia" w:ascii="宋体" w:hAnsi="宋体"/>
          <w:sz w:val="24"/>
          <w:szCs w:val="24"/>
        </w:rPr>
      </w:pPr>
      <w:r>
        <w:rPr>
          <w:rFonts w:hint="eastAsia" w:ascii="宋体" w:hAnsi="宋体"/>
          <w:sz w:val="24"/>
          <w:szCs w:val="24"/>
        </w:rPr>
        <w:t>4．具备弹回率监测</w:t>
      </w:r>
    </w:p>
    <w:p>
      <w:pPr>
        <w:autoSpaceDE w:val="0"/>
        <w:autoSpaceDN w:val="0"/>
        <w:adjustRightInd w:val="0"/>
        <w:jc w:val="left"/>
        <w:rPr>
          <w:rFonts w:ascii="宋体" w:hAnsi="宋体"/>
          <w:sz w:val="24"/>
          <w:szCs w:val="24"/>
        </w:rPr>
      </w:pPr>
      <w:r>
        <w:rPr>
          <w:rFonts w:hint="eastAsia" w:ascii="宋体" w:hAnsi="宋体"/>
          <w:sz w:val="24"/>
          <w:szCs w:val="24"/>
        </w:rPr>
        <w:t>5. 具备浅快呼吸指数监测</w:t>
      </w:r>
    </w:p>
    <w:p>
      <w:pPr>
        <w:autoSpaceDE w:val="0"/>
        <w:autoSpaceDN w:val="0"/>
        <w:adjustRightInd w:val="0"/>
        <w:jc w:val="left"/>
        <w:rPr>
          <w:rFonts w:hint="eastAsia" w:ascii="宋体" w:hAnsi="宋体"/>
          <w:sz w:val="24"/>
          <w:szCs w:val="24"/>
        </w:rPr>
      </w:pPr>
      <w:r>
        <w:rPr>
          <w:rFonts w:hint="eastAsia" w:ascii="宋体" w:hAnsi="宋体"/>
          <w:sz w:val="24"/>
          <w:szCs w:val="24"/>
        </w:rPr>
        <w:t>6、具备P0.1监测</w:t>
      </w:r>
    </w:p>
    <w:p>
      <w:pPr>
        <w:autoSpaceDE w:val="0"/>
        <w:autoSpaceDN w:val="0"/>
        <w:adjustRightInd w:val="0"/>
        <w:jc w:val="left"/>
        <w:rPr>
          <w:rFonts w:ascii="宋体" w:hAnsi="宋体"/>
          <w:sz w:val="24"/>
          <w:szCs w:val="24"/>
        </w:rPr>
      </w:pPr>
    </w:p>
    <w:p>
      <w:pPr>
        <w:autoSpaceDE w:val="0"/>
        <w:autoSpaceDN w:val="0"/>
        <w:adjustRightInd w:val="0"/>
        <w:jc w:val="left"/>
        <w:rPr>
          <w:rFonts w:ascii="宋体" w:hAnsi="宋体"/>
          <w:sz w:val="24"/>
          <w:szCs w:val="24"/>
        </w:rPr>
      </w:pPr>
      <w:r>
        <w:rPr>
          <w:rFonts w:hint="eastAsia" w:ascii="宋体" w:hAnsi="宋体"/>
          <w:sz w:val="24"/>
          <w:szCs w:val="24"/>
          <w:lang w:eastAsia="zh-CN"/>
        </w:rPr>
        <w:t>（六）</w:t>
      </w:r>
      <w:r>
        <w:rPr>
          <w:rFonts w:hint="eastAsia" w:ascii="宋体" w:hAnsi="宋体"/>
          <w:sz w:val="24"/>
          <w:szCs w:val="24"/>
        </w:rPr>
        <w:t>特殊功能</w:t>
      </w:r>
    </w:p>
    <w:p>
      <w:pPr>
        <w:autoSpaceDE w:val="0"/>
        <w:autoSpaceDN w:val="0"/>
        <w:adjustRightInd w:val="0"/>
        <w:jc w:val="left"/>
        <w:rPr>
          <w:rFonts w:ascii="宋体" w:hAnsi="宋体"/>
          <w:sz w:val="24"/>
          <w:szCs w:val="24"/>
        </w:rPr>
      </w:pPr>
      <w:r>
        <w:rPr>
          <w:rFonts w:hint="eastAsia" w:ascii="宋体" w:hAnsi="宋体"/>
          <w:sz w:val="24"/>
          <w:szCs w:val="24"/>
        </w:rPr>
        <w:t>1．纯氧呼吸：快捷功能键，一键式为病人提供100%纯氧一分钟</w:t>
      </w:r>
    </w:p>
    <w:p>
      <w:pPr>
        <w:autoSpaceDE w:val="0"/>
        <w:autoSpaceDN w:val="0"/>
        <w:adjustRightInd w:val="0"/>
        <w:jc w:val="left"/>
        <w:rPr>
          <w:rFonts w:ascii="宋体" w:hAnsi="宋体"/>
          <w:sz w:val="24"/>
          <w:szCs w:val="24"/>
        </w:rPr>
      </w:pPr>
      <w:r>
        <w:rPr>
          <w:rFonts w:hint="eastAsia" w:ascii="宋体" w:hAnsi="宋体"/>
          <w:sz w:val="24"/>
          <w:szCs w:val="24"/>
        </w:rPr>
        <w:t>2．开始呼吸：快捷功能键，所有模式下促发一次新的呼吸循环（在SIMV模式下促发一次强制性呼吸）</w:t>
      </w:r>
    </w:p>
    <w:p>
      <w:pPr>
        <w:autoSpaceDE w:val="0"/>
        <w:autoSpaceDN w:val="0"/>
        <w:adjustRightInd w:val="0"/>
        <w:jc w:val="left"/>
        <w:rPr>
          <w:rFonts w:ascii="宋体" w:hAnsi="宋体"/>
          <w:sz w:val="24"/>
          <w:szCs w:val="24"/>
        </w:rPr>
      </w:pPr>
      <w:r>
        <w:rPr>
          <w:rFonts w:hint="eastAsia" w:ascii="宋体" w:hAnsi="宋体"/>
          <w:sz w:val="24"/>
          <w:szCs w:val="24"/>
        </w:rPr>
        <w:t>3．呼气性屏气：快捷功能键，在呼气过程完成后，呼气和吸气阀均关闭，最长时间可达30秒</w:t>
      </w:r>
    </w:p>
    <w:p>
      <w:pPr>
        <w:autoSpaceDE w:val="0"/>
        <w:autoSpaceDN w:val="0"/>
        <w:adjustRightInd w:val="0"/>
        <w:jc w:val="left"/>
        <w:rPr>
          <w:rFonts w:ascii="宋体" w:hAnsi="宋体"/>
          <w:sz w:val="24"/>
          <w:szCs w:val="24"/>
        </w:rPr>
      </w:pPr>
      <w:r>
        <w:rPr>
          <w:rFonts w:hint="eastAsia" w:ascii="宋体" w:hAnsi="宋体"/>
          <w:sz w:val="24"/>
          <w:szCs w:val="24"/>
        </w:rPr>
        <w:t>4．吸气性屏气：快捷功能键，可激活吸气性屏气，呼气和吸气阀均关闭，屏气最长时间可达30秒</w:t>
      </w:r>
    </w:p>
    <w:p>
      <w:pPr>
        <w:autoSpaceDE w:val="0"/>
        <w:autoSpaceDN w:val="0"/>
        <w:adjustRightInd w:val="0"/>
        <w:jc w:val="left"/>
        <w:rPr>
          <w:rFonts w:ascii="宋体" w:hAnsi="宋体" w:cs="宋体"/>
          <w:kern w:val="0"/>
          <w:sz w:val="24"/>
          <w:szCs w:val="24"/>
        </w:rPr>
      </w:pP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（七）</w:t>
      </w:r>
      <w:r>
        <w:rPr>
          <w:rFonts w:hint="eastAsia" w:ascii="宋体" w:hAnsi="宋体" w:cs="宋体"/>
          <w:kern w:val="0"/>
          <w:sz w:val="24"/>
          <w:szCs w:val="24"/>
        </w:rPr>
        <w:t>报警功能</w:t>
      </w:r>
    </w:p>
    <w:p>
      <w:pPr>
        <w:autoSpaceDE w:val="0"/>
        <w:autoSpaceDN w:val="0"/>
        <w:adjustRightInd w:val="0"/>
        <w:jc w:val="left"/>
        <w:rPr>
          <w:rFonts w:ascii="宋体" w:hAnsi="宋体" w:cs="宋体"/>
          <w:kern w:val="0"/>
          <w:sz w:val="24"/>
          <w:szCs w:val="24"/>
        </w:rPr>
      </w:pPr>
      <w:r>
        <w:rPr>
          <w:rFonts w:ascii="宋体" w:hAnsi="宋体"/>
          <w:kern w:val="0"/>
          <w:sz w:val="24"/>
          <w:szCs w:val="24"/>
        </w:rPr>
        <w:t>1</w:t>
      </w:r>
      <w:r>
        <w:rPr>
          <w:rFonts w:hint="eastAsia" w:ascii="宋体" w:hAnsi="宋体" w:cs="宋体"/>
          <w:kern w:val="0"/>
          <w:sz w:val="24"/>
          <w:szCs w:val="24"/>
        </w:rPr>
        <w:t>．分级报警，中文提示报警信息</w:t>
      </w:r>
    </w:p>
    <w:p>
      <w:pPr>
        <w:autoSpaceDE w:val="0"/>
        <w:autoSpaceDN w:val="0"/>
        <w:adjustRightInd w:val="0"/>
        <w:jc w:val="left"/>
        <w:rPr>
          <w:rFonts w:ascii="宋体" w:hAnsi="宋体" w:cs="宋体"/>
          <w:kern w:val="0"/>
          <w:sz w:val="24"/>
          <w:szCs w:val="24"/>
        </w:rPr>
      </w:pPr>
      <w:r>
        <w:rPr>
          <w:rFonts w:ascii="宋体" w:hAnsi="宋体"/>
          <w:kern w:val="0"/>
          <w:sz w:val="24"/>
          <w:szCs w:val="24"/>
        </w:rPr>
        <w:t>2</w:t>
      </w:r>
      <w:r>
        <w:rPr>
          <w:rFonts w:hint="eastAsia" w:ascii="宋体" w:hAnsi="宋体" w:cs="宋体"/>
          <w:kern w:val="0"/>
          <w:sz w:val="24"/>
          <w:szCs w:val="24"/>
        </w:rPr>
        <w:t>．有中文报警事件记录</w:t>
      </w:r>
    </w:p>
    <w:p>
      <w:pPr>
        <w:autoSpaceDE w:val="0"/>
        <w:autoSpaceDN w:val="0"/>
        <w:adjustRightInd w:val="0"/>
        <w:jc w:val="left"/>
        <w:rPr>
          <w:rFonts w:ascii="宋体" w:hAnsi="宋体" w:cs="宋体"/>
          <w:kern w:val="0"/>
          <w:sz w:val="24"/>
          <w:szCs w:val="24"/>
        </w:rPr>
      </w:pPr>
      <w:r>
        <w:rPr>
          <w:rFonts w:ascii="宋体" w:hAnsi="宋体"/>
          <w:kern w:val="0"/>
          <w:sz w:val="24"/>
          <w:szCs w:val="24"/>
        </w:rPr>
        <w:t>3</w:t>
      </w:r>
      <w:r>
        <w:rPr>
          <w:rFonts w:hint="eastAsia" w:ascii="宋体" w:hAnsi="宋体" w:cs="宋体"/>
          <w:kern w:val="0"/>
          <w:sz w:val="24"/>
          <w:szCs w:val="24"/>
        </w:rPr>
        <w:t>．气道压力高、低报警：16-120</w:t>
      </w:r>
      <w:r>
        <w:rPr>
          <w:rFonts w:ascii="宋体" w:hAnsi="宋体"/>
          <w:kern w:val="0"/>
          <w:sz w:val="24"/>
          <w:szCs w:val="24"/>
        </w:rPr>
        <w:t>cmH2O</w:t>
      </w:r>
    </w:p>
    <w:p>
      <w:pPr>
        <w:autoSpaceDE w:val="0"/>
        <w:autoSpaceDN w:val="0"/>
        <w:adjustRightInd w:val="0"/>
        <w:jc w:val="left"/>
        <w:rPr>
          <w:rFonts w:ascii="宋体" w:hAnsi="宋体" w:cs="宋体"/>
          <w:kern w:val="0"/>
          <w:sz w:val="24"/>
          <w:szCs w:val="24"/>
        </w:rPr>
      </w:pPr>
      <w:r>
        <w:rPr>
          <w:rFonts w:ascii="宋体" w:hAnsi="宋体"/>
          <w:kern w:val="0"/>
          <w:sz w:val="24"/>
          <w:szCs w:val="24"/>
        </w:rPr>
        <w:t>4</w:t>
      </w:r>
      <w:r>
        <w:rPr>
          <w:rFonts w:hint="eastAsia" w:ascii="宋体" w:hAnsi="宋体" w:cs="宋体"/>
          <w:kern w:val="0"/>
          <w:sz w:val="24"/>
          <w:szCs w:val="24"/>
        </w:rPr>
        <w:t>．呼出潮气量过高过低报警</w:t>
      </w:r>
    </w:p>
    <w:p>
      <w:pPr>
        <w:autoSpaceDE w:val="0"/>
        <w:autoSpaceDN w:val="0"/>
        <w:adjustRightInd w:val="0"/>
        <w:jc w:val="left"/>
        <w:rPr>
          <w:rFonts w:ascii="宋体" w:hAnsi="宋体" w:cs="宋体"/>
          <w:kern w:val="0"/>
          <w:sz w:val="24"/>
          <w:szCs w:val="24"/>
        </w:rPr>
      </w:pPr>
      <w:r>
        <w:rPr>
          <w:rFonts w:ascii="宋体" w:hAnsi="宋体"/>
          <w:kern w:val="0"/>
          <w:sz w:val="24"/>
          <w:szCs w:val="24"/>
        </w:rPr>
        <w:t>5</w:t>
      </w:r>
      <w:r>
        <w:rPr>
          <w:rFonts w:hint="eastAsia" w:ascii="宋体" w:hAnsi="宋体" w:cs="宋体"/>
          <w:kern w:val="0"/>
          <w:sz w:val="24"/>
          <w:szCs w:val="24"/>
        </w:rPr>
        <w:t>．呼吸频率过高过低报警:1次/分-160次/分</w:t>
      </w:r>
    </w:p>
    <w:p>
      <w:pPr>
        <w:autoSpaceDE w:val="0"/>
        <w:autoSpaceDN w:val="0"/>
        <w:adjustRightInd w:val="0"/>
        <w:jc w:val="left"/>
        <w:rPr>
          <w:rFonts w:ascii="宋体" w:hAnsi="宋体" w:cs="宋体"/>
          <w:kern w:val="0"/>
          <w:sz w:val="24"/>
          <w:szCs w:val="24"/>
        </w:rPr>
      </w:pPr>
      <w:r>
        <w:rPr>
          <w:rFonts w:ascii="宋体" w:hAnsi="宋体"/>
          <w:kern w:val="0"/>
          <w:sz w:val="24"/>
          <w:szCs w:val="24"/>
        </w:rPr>
        <w:t>6</w:t>
      </w:r>
      <w:r>
        <w:rPr>
          <w:rFonts w:hint="eastAsia" w:ascii="宋体" w:hAnsi="宋体" w:cs="宋体"/>
          <w:kern w:val="0"/>
          <w:sz w:val="24"/>
          <w:szCs w:val="24"/>
        </w:rPr>
        <w:t>．呼气分钟通气量高、低报警：0.5L/min-40L/min</w:t>
      </w:r>
    </w:p>
    <w:p>
      <w:pPr>
        <w:autoSpaceDE w:val="0"/>
        <w:autoSpaceDN w:val="0"/>
        <w:adjustRightInd w:val="0"/>
        <w:jc w:val="left"/>
        <w:rPr>
          <w:rFonts w:ascii="宋体" w:hAnsi="宋体" w:cs="宋体"/>
          <w:kern w:val="0"/>
          <w:sz w:val="24"/>
          <w:szCs w:val="24"/>
        </w:rPr>
      </w:pPr>
      <w:r>
        <w:rPr>
          <w:rFonts w:ascii="宋体" w:hAnsi="宋体"/>
          <w:kern w:val="0"/>
          <w:sz w:val="24"/>
          <w:szCs w:val="24"/>
        </w:rPr>
        <w:t>7</w:t>
      </w:r>
      <w:r>
        <w:rPr>
          <w:rFonts w:hint="eastAsia" w:ascii="宋体" w:hAnsi="宋体" w:cs="宋体"/>
          <w:kern w:val="0"/>
          <w:sz w:val="24"/>
          <w:szCs w:val="24"/>
        </w:rPr>
        <w:t>．呼气末正压低报警：上限：0-55</w:t>
      </w:r>
      <w:r>
        <w:rPr>
          <w:rFonts w:ascii="宋体" w:hAnsi="宋体"/>
          <w:kern w:val="0"/>
          <w:sz w:val="24"/>
          <w:szCs w:val="24"/>
        </w:rPr>
        <w:t xml:space="preserve"> cmH2O</w:t>
      </w:r>
      <w:r>
        <w:rPr>
          <w:rFonts w:hint="eastAsia" w:ascii="宋体" w:hAnsi="宋体"/>
          <w:kern w:val="0"/>
          <w:sz w:val="24"/>
          <w:szCs w:val="24"/>
        </w:rPr>
        <w:t xml:space="preserve">  下限：</w:t>
      </w:r>
      <w:r>
        <w:rPr>
          <w:rFonts w:hint="eastAsia" w:ascii="宋体" w:hAnsi="宋体" w:cs="宋体"/>
          <w:kern w:val="0"/>
          <w:sz w:val="24"/>
          <w:szCs w:val="24"/>
        </w:rPr>
        <w:t>0-47</w:t>
      </w:r>
      <w:r>
        <w:rPr>
          <w:rFonts w:ascii="宋体" w:hAnsi="宋体"/>
          <w:kern w:val="0"/>
          <w:sz w:val="24"/>
          <w:szCs w:val="24"/>
        </w:rPr>
        <w:t xml:space="preserve"> cmH2O</w:t>
      </w:r>
    </w:p>
    <w:p>
      <w:pPr>
        <w:numPr>
          <w:ilvl w:val="0"/>
          <w:numId w:val="38"/>
        </w:num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窒息报警</w:t>
      </w:r>
    </w:p>
    <w:p>
      <w:pPr>
        <w:pStyle w:val="44"/>
        <w:autoSpaceDE w:val="0"/>
        <w:autoSpaceDN w:val="0"/>
        <w:adjustRightInd w:val="0"/>
        <w:ind w:firstLine="0" w:firstLineChars="0"/>
        <w:jc w:val="left"/>
        <w:rPr>
          <w:rFonts w:ascii="宋体" w:hAnsi="宋体" w:cs="宋体"/>
          <w:kern w:val="0"/>
          <w:sz w:val="24"/>
          <w:szCs w:val="24"/>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机器自身故障技术性报警等</w:t>
      </w:r>
    </w:p>
    <w:p>
      <w:pPr>
        <w:autoSpaceDE w:val="0"/>
        <w:autoSpaceDN w:val="0"/>
        <w:adjustRightInd w:val="0"/>
        <w:jc w:val="left"/>
        <w:rPr>
          <w:rFonts w:ascii="宋体" w:hAnsi="宋体" w:cs="宋体"/>
          <w:kern w:val="0"/>
          <w:sz w:val="24"/>
          <w:szCs w:val="24"/>
        </w:rPr>
      </w:pP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（八）</w:t>
      </w:r>
      <w:r>
        <w:rPr>
          <w:rFonts w:hint="eastAsia" w:ascii="宋体" w:hAnsi="宋体" w:cs="宋体"/>
          <w:kern w:val="0"/>
          <w:sz w:val="24"/>
          <w:szCs w:val="24"/>
        </w:rPr>
        <w:t>主要配置要求</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1.主机必须可外接压缩空气和高压氧气两个气源</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2.主机操作屏: 为</w:t>
      </w:r>
      <w:r>
        <w:rPr>
          <w:rFonts w:hint="eastAsia" w:ascii="宋体" w:hAnsi="宋体" w:cs="TimesNewRoman"/>
          <w:kern w:val="0"/>
          <w:sz w:val="24"/>
          <w:szCs w:val="24"/>
        </w:rPr>
        <w:t>≥</w:t>
      </w:r>
      <w:r>
        <w:rPr>
          <w:rFonts w:ascii="宋体" w:hAnsi="宋体"/>
          <w:kern w:val="0"/>
          <w:sz w:val="24"/>
          <w:szCs w:val="24"/>
        </w:rPr>
        <w:t xml:space="preserve">12 </w:t>
      </w:r>
      <w:r>
        <w:rPr>
          <w:rFonts w:hint="eastAsia" w:ascii="宋体" w:hAnsi="宋体" w:cs="宋体"/>
          <w:kern w:val="0"/>
          <w:sz w:val="24"/>
          <w:szCs w:val="24"/>
        </w:rPr>
        <w:t>寸彩色触摸屏，非加配显示屏，中文界面，可直接触摸操作</w:t>
      </w:r>
    </w:p>
    <w:p>
      <w:pPr>
        <w:autoSpaceDE w:val="0"/>
        <w:autoSpaceDN w:val="0"/>
        <w:adjustRightInd w:val="0"/>
        <w:jc w:val="left"/>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3.流量传感器：内置，超声，非耗品</w:t>
      </w:r>
    </w:p>
    <w:p>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4. 湿化系统：全套配备费雪派克产品</w:t>
      </w:r>
    </w:p>
    <w:p>
      <w:pPr>
        <w:autoSpaceDE w:val="0"/>
        <w:autoSpaceDN w:val="0"/>
        <w:adjustRightInd w:val="0"/>
        <w:jc w:val="left"/>
        <w:rPr>
          <w:rFonts w:hint="eastAsia"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蓄电池：内置，工作时间</w:t>
      </w:r>
      <w:r>
        <w:rPr>
          <w:rFonts w:hint="eastAsia" w:ascii="宋体" w:hAnsi="宋体" w:cs="TimesNewRoman"/>
          <w:kern w:val="0"/>
          <w:sz w:val="24"/>
          <w:szCs w:val="24"/>
        </w:rPr>
        <w:t>≥</w:t>
      </w:r>
      <w:r>
        <w:rPr>
          <w:rFonts w:ascii="宋体" w:hAnsi="宋体"/>
          <w:kern w:val="0"/>
          <w:sz w:val="24"/>
          <w:szCs w:val="24"/>
        </w:rPr>
        <w:t xml:space="preserve">60 </w:t>
      </w:r>
      <w:r>
        <w:rPr>
          <w:rFonts w:hint="eastAsia" w:ascii="宋体" w:hAnsi="宋体" w:cs="宋体"/>
          <w:kern w:val="0"/>
          <w:sz w:val="24"/>
          <w:szCs w:val="24"/>
        </w:rPr>
        <w:t>分钟</w:t>
      </w:r>
    </w:p>
    <w:p>
      <w:pPr>
        <w:autoSpaceDE w:val="0"/>
        <w:autoSpaceDN w:val="0"/>
        <w:adjustRightInd w:val="0"/>
        <w:jc w:val="left"/>
        <w:rPr>
          <w:rFonts w:ascii="宋体" w:hAnsi="宋体" w:cs="宋体"/>
          <w:kern w:val="0"/>
          <w:szCs w:val="21"/>
        </w:rPr>
      </w:pPr>
    </w:p>
    <w:p>
      <w:pPr>
        <w:pStyle w:val="8"/>
        <w:numPr>
          <w:ilvl w:val="0"/>
          <w:numId w:val="39"/>
        </w:numPr>
        <w:rPr>
          <w:rFonts w:hint="eastAsia" w:ascii="宋体" w:hAnsi="宋体" w:cs="宋体"/>
          <w:b/>
          <w:bCs/>
          <w:sz w:val="32"/>
          <w:szCs w:val="32"/>
          <w:lang w:val="en-US" w:eastAsia="zh-CN"/>
        </w:rPr>
      </w:pPr>
      <w:r>
        <w:rPr>
          <w:rFonts w:hint="eastAsia" w:ascii="宋体" w:hAnsi="宋体" w:cs="宋体"/>
          <w:b/>
          <w:bCs/>
          <w:sz w:val="28"/>
          <w:szCs w:val="28"/>
          <w:lang w:val="en-US" w:eastAsia="zh-CN"/>
        </w:rPr>
        <w:t>氩气工作站技术参数</w:t>
      </w:r>
    </w:p>
    <w:tbl>
      <w:tblPr>
        <w:tblStyle w:val="22"/>
        <w:tblW w:w="9465" w:type="dxa"/>
        <w:tblInd w:w="0" w:type="dxa"/>
        <w:shd w:val="clear" w:color="auto" w:fill="auto"/>
        <w:tblLayout w:type="fixed"/>
        <w:tblCellMar>
          <w:top w:w="0" w:type="dxa"/>
          <w:left w:w="0" w:type="dxa"/>
          <w:bottom w:w="0" w:type="dxa"/>
          <w:right w:w="0" w:type="dxa"/>
        </w:tblCellMar>
      </w:tblPr>
      <w:tblGrid>
        <w:gridCol w:w="734"/>
        <w:gridCol w:w="2243"/>
        <w:gridCol w:w="6488"/>
      </w:tblGrid>
      <w:tr>
        <w:tblPrEx>
          <w:tblCellMar>
            <w:top w:w="0" w:type="dxa"/>
            <w:left w:w="0" w:type="dxa"/>
            <w:bottom w:w="0" w:type="dxa"/>
            <w:right w:w="0" w:type="dxa"/>
          </w:tblCellMar>
        </w:tblPrEx>
        <w:trPr>
          <w:trHeight w:val="285" w:hRule="atLeast"/>
        </w:trPr>
        <w:tc>
          <w:tcPr>
            <w:tcW w:w="73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43" w:type="dxa"/>
            <w:tcBorders>
              <w:top w:val="single" w:color="000000" w:sz="8"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技术规格</w:t>
            </w:r>
          </w:p>
        </w:tc>
        <w:tc>
          <w:tcPr>
            <w:tcW w:w="6488" w:type="dxa"/>
            <w:tcBorders>
              <w:top w:val="single" w:color="000000" w:sz="8"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r>
      <w:tr>
        <w:tblPrEx>
          <w:tblCellMar>
            <w:top w:w="0" w:type="dxa"/>
            <w:left w:w="0" w:type="dxa"/>
            <w:bottom w:w="0" w:type="dxa"/>
            <w:right w:w="0" w:type="dxa"/>
          </w:tblCellMar>
        </w:tblPrEx>
        <w:trPr>
          <w:trHeight w:val="270" w:hRule="atLeast"/>
        </w:trPr>
        <w:tc>
          <w:tcPr>
            <w:tcW w:w="7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4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基本参数</w:t>
            </w:r>
          </w:p>
        </w:tc>
        <w:tc>
          <w:tcPr>
            <w:tcW w:w="648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原装进口</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原产地为德国</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基准频率</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350KHz</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电刀输出</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输出功率补偿</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PPS功率峰值补偿系统可根据探测组织电阻自动对为最大功率实施补偿，提供额外功率输出，以支持初始切割</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最小输出功率自动调整</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最小功率输出控制系统可根据探测组织电阻自动控制为最小功率输出 </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输出接口</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具有双路电刀笔输出、腔镜单极输出、双极输出以及氩气输出接口</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功率输出显示</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可实时显示实际输出功率，自动计算平均、最高输出功率</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硬件升级</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可升级氩气模块，冲洗模块，水刀模块</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功能升级</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可升级无血电切，精细电切，精细电凝，双极精细电切</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操作界面</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显示界面</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彩色液晶</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操作语言</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中文</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软件版本</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可实现软件版本及功能升级</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脚踏开关</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单、双极功能切换</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可通过主机切换控制单、双极功能</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第二脚踏开关</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可增加第二脚踏开关</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双极自动启动</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具备双极自动启动功能</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负极板</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负极板接触质量监测系统</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实时显示接触电阻</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负极板安全系统</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NESSY系统检测负极板上的电流分布，具有小儿功率监控功能</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负极板</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Ω型负极板不受方向限制，减少边缘热效应</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新生儿负极板</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具备新生儿负极板</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程序控制</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程序储存</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可存贮99组以上程序,每组可附加1个子程序</w:t>
            </w:r>
          </w:p>
        </w:tc>
      </w:tr>
      <w:tr>
        <w:tblPrEx>
          <w:tblCellMar>
            <w:top w:w="0" w:type="dxa"/>
            <w:left w:w="0" w:type="dxa"/>
            <w:bottom w:w="0" w:type="dxa"/>
            <w:right w:w="0" w:type="dxa"/>
          </w:tblCellMar>
        </w:tblPrEx>
        <w:trPr>
          <w:trHeight w:val="285" w:hRule="atLeast"/>
        </w:trPr>
        <w:tc>
          <w:tcPr>
            <w:tcW w:w="734"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4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子程序切换</w:t>
            </w:r>
          </w:p>
        </w:tc>
        <w:tc>
          <w:tcPr>
            <w:tcW w:w="6488"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可通过带遥控切换按钮的附件实现子程序设置切换</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4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切割方式</w:t>
            </w:r>
          </w:p>
        </w:tc>
        <w:tc>
          <w:tcPr>
            <w:tcW w:w="648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3种电切模式可升级3种电切模式</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单极自动切割</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最高峰值电压740Vp，最大输出功率200W，8档电切效果</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可升级单极无血切割</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最高峰值电压1450Vp，最大输出功率200W，8档电切效果</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专用于ERCP的电切</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最高峰值电压550Vp，最大输出功率170W，4档电切效果</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专用于EMR的电切</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最高峰值电压770Vp，最大输出功率400W，4档电切效果</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切割宽度调整</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1－4档可调</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时间间隔调节</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1－10档可调</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可升级精细电切模式</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最高峰值电压390Vp，最大输出功率50W，8档电切效果</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双极电切模式   </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最高峰值电压740Vp，最大输出功率100W，8档电切效果</w:t>
            </w:r>
          </w:p>
        </w:tc>
      </w:tr>
      <w:tr>
        <w:tblPrEx>
          <w:shd w:val="clear" w:color="auto" w:fill="auto"/>
          <w:tblCellMar>
            <w:top w:w="0" w:type="dxa"/>
            <w:left w:w="0" w:type="dxa"/>
            <w:bottom w:w="0" w:type="dxa"/>
            <w:right w:w="0" w:type="dxa"/>
          </w:tblCellMar>
        </w:tblPrEx>
        <w:trPr>
          <w:trHeight w:val="255" w:hRule="atLeast"/>
        </w:trPr>
        <w:tc>
          <w:tcPr>
            <w:tcW w:w="734"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24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可升级双极精细电切</w:t>
            </w:r>
          </w:p>
        </w:tc>
        <w:tc>
          <w:tcPr>
            <w:tcW w:w="6488"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最高峰值电压390Vp，最大输出功率50W，8档电切效果</w:t>
            </w:r>
          </w:p>
        </w:tc>
      </w:tr>
      <w:tr>
        <w:tblPrEx>
          <w:tblCellMar>
            <w:top w:w="0" w:type="dxa"/>
            <w:left w:w="0" w:type="dxa"/>
            <w:bottom w:w="0" w:type="dxa"/>
            <w:right w:w="0" w:type="dxa"/>
          </w:tblCellMar>
        </w:tblPrEx>
        <w:trPr>
          <w:trHeight w:val="240" w:hRule="atLeast"/>
        </w:trPr>
        <w:tc>
          <w:tcPr>
            <w:tcW w:w="7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4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凝血方式</w:t>
            </w:r>
          </w:p>
        </w:tc>
        <w:tc>
          <w:tcPr>
            <w:tcW w:w="648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5种电凝模式，可升级2种电凝模式</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单极强力电凝 </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最高峰值电压1800Vp，最大输出功率120W，4档电凝效果</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单极柔和电凝 </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最高峰值电压≤190Vp，最大输出功率120W，8档电凝效果</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单极快速电凝</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最高峰值电压2500Vp，最大输出功率200W，8档电凝效果</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可升级单极精细电凝</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最高峰值电压110Vp，最大输出功率200W，8档电凝效果</w:t>
            </w:r>
          </w:p>
        </w:tc>
      </w:tr>
      <w:tr>
        <w:tblPrEx>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双极柔和电凝 </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最高峰值电压190Vp，最大输出功率120W，8档电凝效果</w:t>
            </w:r>
          </w:p>
        </w:tc>
      </w:tr>
      <w:tr>
        <w:tblPrEx>
          <w:shd w:val="clear" w:color="auto" w:fill="auto"/>
          <w:tblCellMar>
            <w:top w:w="0" w:type="dxa"/>
            <w:left w:w="0" w:type="dxa"/>
            <w:bottom w:w="0" w:type="dxa"/>
            <w:right w:w="0" w:type="dxa"/>
          </w:tblCellMar>
        </w:tblPrEx>
        <w:trPr>
          <w:trHeight w:val="24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双极强力电凝</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最高峰值电压330Vp，最大输出功率90W ，2档电凝效果</w:t>
            </w:r>
          </w:p>
        </w:tc>
      </w:tr>
      <w:tr>
        <w:tblPrEx>
          <w:shd w:val="clear" w:color="auto" w:fill="auto"/>
          <w:tblCellMar>
            <w:top w:w="0" w:type="dxa"/>
            <w:left w:w="0" w:type="dxa"/>
            <w:bottom w:w="0" w:type="dxa"/>
            <w:right w:w="0" w:type="dxa"/>
          </w:tblCellMar>
        </w:tblPrEx>
        <w:trPr>
          <w:trHeight w:val="255" w:hRule="atLeast"/>
        </w:trPr>
        <w:tc>
          <w:tcPr>
            <w:tcW w:w="734"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4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可升级双极精细电凝</w:t>
            </w:r>
          </w:p>
        </w:tc>
        <w:tc>
          <w:tcPr>
            <w:tcW w:w="6488"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最高峰值电压110Vp，最大输出功率50W，8档电切效果</w:t>
            </w:r>
          </w:p>
        </w:tc>
      </w:tr>
      <w:tr>
        <w:tblPrEx>
          <w:tblCellMar>
            <w:top w:w="0" w:type="dxa"/>
            <w:left w:w="0" w:type="dxa"/>
            <w:bottom w:w="0" w:type="dxa"/>
            <w:right w:w="0" w:type="dxa"/>
          </w:tblCellMar>
        </w:tblPrEx>
        <w:trPr>
          <w:trHeight w:val="270" w:hRule="atLeast"/>
        </w:trPr>
        <w:tc>
          <w:tcPr>
            <w:tcW w:w="7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4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氩气功能</w:t>
            </w:r>
          </w:p>
        </w:tc>
        <w:tc>
          <w:tcPr>
            <w:tcW w:w="648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氩气来源</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钢瓶及中心供气</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氩等离子工作模式</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具有强力、脉冲和精细三种氩离子工作模式</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强力氩等离子电凝 </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最大输出功率120W，最大灭活深度≤3mm，由主机自动设定</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脉冲氩等离子电凝</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最大输出功率120w, 2档效果，可设置脉冲频率</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精细氩等离子电凝</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最大输出功率120w,8档效果调节，极为精细地凝固调节，最大灭活深度≤1mm，由主机自动设定</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氩气流量控制</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47"/>
                <w:lang w:val="en-US" w:eastAsia="zh-CN" w:bidi="ar"/>
              </w:rPr>
              <w:t>氩气流量</w:t>
            </w:r>
            <w:r>
              <w:rPr>
                <w:rStyle w:val="48"/>
                <w:rFonts w:eastAsia="宋体"/>
                <w:lang w:val="en-US" w:eastAsia="zh-CN" w:bidi="ar"/>
              </w:rPr>
              <w:t>0.1</w:t>
            </w:r>
            <w:r>
              <w:rPr>
                <w:rStyle w:val="47"/>
                <w:lang w:val="en-US" w:eastAsia="zh-CN" w:bidi="ar"/>
              </w:rPr>
              <w:t>～</w:t>
            </w:r>
            <w:r>
              <w:rPr>
                <w:rStyle w:val="48"/>
                <w:rFonts w:eastAsia="宋体"/>
                <w:lang w:val="en-US" w:eastAsia="zh-CN" w:bidi="ar"/>
              </w:rPr>
              <w:t>2.4</w:t>
            </w:r>
            <w:r>
              <w:rPr>
                <w:rStyle w:val="47"/>
                <w:lang w:val="en-US" w:eastAsia="zh-CN" w:bidi="ar"/>
              </w:rPr>
              <w:t>升／分钟可调</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流量检测</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具有氩气流量输出的监测系统及电极末端压力自动恒定系统</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氩等离子低电压设计</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峰值电压4300V</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喷射方向</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具有直喷，环喷，侧喷三种喷射模式，具有一次性和可高温高压消毒的氩气电极</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氩气电极</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有消化，呼吸内镜用氩气电极</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小肠镜电极</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具有长度为3000mm的小肠镜用氩气电极</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色环指示</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氩气电极上具有色环标识，具有陶瓷头设计，保证病人及内镜的安全</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器械识别</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自动识别器械，自动调整初始流量</w:t>
            </w:r>
          </w:p>
        </w:tc>
      </w:tr>
      <w:tr>
        <w:tblPrEx>
          <w:shd w:val="clear" w:color="auto" w:fill="auto"/>
          <w:tblCellMar>
            <w:top w:w="0" w:type="dxa"/>
            <w:left w:w="0" w:type="dxa"/>
            <w:bottom w:w="0" w:type="dxa"/>
            <w:right w:w="0" w:type="dxa"/>
          </w:tblCellMar>
        </w:tblPrEx>
        <w:trPr>
          <w:trHeight w:val="285" w:hRule="atLeast"/>
        </w:trPr>
        <w:tc>
          <w:tcPr>
            <w:tcW w:w="734"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224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氩离子控制</w:t>
            </w:r>
          </w:p>
        </w:tc>
        <w:tc>
          <w:tcPr>
            <w:tcW w:w="6488"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通过数据线与高频发生器通信,实施氩离子控制</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冲洗模块</w:t>
            </w:r>
          </w:p>
        </w:tc>
        <w:tc>
          <w:tcPr>
            <w:tcW w:w="648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工作模式</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蠕动泵式，流量稳定</w:t>
            </w:r>
          </w:p>
        </w:tc>
      </w:tr>
      <w:tr>
        <w:tblPrEx>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流量设定</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有20％，50％和80％三种预设流量</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流量控制</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可手动设置流量，直至100％</w:t>
            </w:r>
          </w:p>
        </w:tc>
      </w:tr>
      <w:tr>
        <w:tblPrEx>
          <w:shd w:val="clear" w:color="auto" w:fill="auto"/>
          <w:tblCellMar>
            <w:top w:w="0" w:type="dxa"/>
            <w:left w:w="0" w:type="dxa"/>
            <w:bottom w:w="0" w:type="dxa"/>
            <w:right w:w="0" w:type="dxa"/>
          </w:tblCellMar>
        </w:tblPrEx>
        <w:trPr>
          <w:trHeight w:val="270" w:hRule="atLeast"/>
        </w:trPr>
        <w:tc>
          <w:tcPr>
            <w:tcW w:w="7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内镜接口</w:t>
            </w:r>
          </w:p>
        </w:tc>
        <w:tc>
          <w:tcPr>
            <w:tcW w:w="648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具有连接所有品牌内镜接口以及三通，不需更换器械即能实施注水冲洗，保证了手术视野，缩短手术时间</w:t>
            </w:r>
          </w:p>
        </w:tc>
      </w:tr>
      <w:tr>
        <w:tblPrEx>
          <w:shd w:val="clear" w:color="auto" w:fill="auto"/>
          <w:tblCellMar>
            <w:top w:w="0" w:type="dxa"/>
            <w:left w:w="0" w:type="dxa"/>
            <w:bottom w:w="0" w:type="dxa"/>
            <w:right w:w="0" w:type="dxa"/>
          </w:tblCellMar>
        </w:tblPrEx>
        <w:trPr>
          <w:trHeight w:val="285" w:hRule="atLeast"/>
        </w:trPr>
        <w:tc>
          <w:tcPr>
            <w:tcW w:w="734"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4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操作控制</w:t>
            </w:r>
          </w:p>
        </w:tc>
        <w:tc>
          <w:tcPr>
            <w:tcW w:w="6488"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具有独立脚踏，也可通过电刀的脚踏来实施遥控操作</w:t>
            </w:r>
          </w:p>
        </w:tc>
      </w:tr>
    </w:tbl>
    <w:p>
      <w:pPr>
        <w:pStyle w:val="8"/>
        <w:numPr>
          <w:ilvl w:val="0"/>
          <w:numId w:val="0"/>
        </w:numPr>
        <w:ind w:right="0" w:rightChars="0"/>
        <w:rPr>
          <w:rFonts w:hint="eastAsia" w:ascii="宋体" w:hAnsi="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cs="宋体"/>
          <w:b/>
          <w:bCs/>
          <w:sz w:val="32"/>
          <w:szCs w:val="32"/>
          <w:lang w:val="en-US" w:eastAsia="zh-CN"/>
        </w:rPr>
      </w:pPr>
    </w:p>
    <w:p>
      <w:pPr>
        <w:pStyle w:val="8"/>
        <w:rPr>
          <w:rFonts w:hint="eastAsia" w:ascii="宋体" w:hAnsi="宋体" w:cs="宋体"/>
          <w:b/>
          <w:bCs/>
          <w:sz w:val="32"/>
          <w:szCs w:val="32"/>
          <w:lang w:val="en-US" w:eastAsia="zh-CN"/>
        </w:rPr>
      </w:pPr>
    </w:p>
    <w:p>
      <w:pPr>
        <w:pStyle w:val="8"/>
        <w:rPr>
          <w:rFonts w:hint="eastAsia" w:ascii="宋体" w:hAnsi="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一至六包商务要求：</w:t>
      </w:r>
    </w:p>
    <w:p>
      <w:pPr>
        <w:pStyle w:val="44"/>
        <w:numPr>
          <w:ilvl w:val="0"/>
          <w:numId w:val="40"/>
        </w:numPr>
        <w:spacing w:line="360" w:lineRule="auto"/>
        <w:ind w:firstLineChars="0"/>
        <w:rPr>
          <w:rFonts w:hint="eastAsia" w:ascii="宋体" w:hAnsi="宋体" w:eastAsia="宋体" w:cs="宋体"/>
          <w:sz w:val="24"/>
          <w:highlight w:val="none"/>
        </w:rPr>
      </w:pPr>
      <w:r>
        <w:rPr>
          <w:rFonts w:hint="eastAsia" w:ascii="宋体" w:hAnsi="宋体" w:eastAsia="宋体" w:cs="宋体"/>
          <w:b/>
          <w:color w:val="000000"/>
          <w:sz w:val="24"/>
          <w:szCs w:val="24"/>
          <w:highlight w:val="none"/>
        </w:rPr>
        <w:t>交货验收与工期：</w:t>
      </w:r>
      <w:r>
        <w:rPr>
          <w:rFonts w:hint="eastAsia" w:ascii="宋体" w:hAnsi="宋体" w:eastAsia="宋体" w:cs="宋体"/>
          <w:sz w:val="24"/>
          <w:highlight w:val="none"/>
        </w:rPr>
        <w:t>签定合同后按合同和招标、投标文件约定的要求和标准进行交货验收，交货期为签定合同后</w:t>
      </w:r>
      <w:r>
        <w:rPr>
          <w:rFonts w:hint="eastAsia" w:ascii="宋体" w:hAnsi="宋体" w:eastAsia="宋体" w:cs="宋体"/>
          <w:b/>
          <w:color w:val="000000"/>
          <w:sz w:val="24"/>
          <w:highlight w:val="none"/>
          <w:lang w:val="en-US" w:eastAsia="zh-CN"/>
        </w:rPr>
        <w:t>30</w:t>
      </w:r>
      <w:r>
        <w:rPr>
          <w:rFonts w:hint="eastAsia" w:ascii="宋体" w:hAnsi="宋体" w:eastAsia="宋体" w:cs="宋体"/>
          <w:b/>
          <w:color w:val="000000"/>
          <w:sz w:val="24"/>
          <w:highlight w:val="none"/>
        </w:rPr>
        <w:t>天内（日历</w:t>
      </w:r>
      <w:r>
        <w:rPr>
          <w:rFonts w:hint="eastAsia" w:ascii="宋体" w:hAnsi="宋体" w:eastAsia="宋体" w:cs="宋体"/>
          <w:b/>
          <w:color w:val="000000"/>
          <w:sz w:val="24"/>
          <w:highlight w:val="none"/>
          <w:lang w:eastAsia="zh-CN"/>
        </w:rPr>
        <w:t>天</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。“交货</w:t>
      </w:r>
      <w:r>
        <w:rPr>
          <w:rFonts w:hint="eastAsia" w:ascii="宋体" w:hAnsi="宋体" w:eastAsia="宋体" w:cs="宋体"/>
          <w:sz w:val="24"/>
          <w:highlight w:val="none"/>
        </w:rPr>
        <w:t>期”指所有货物运抵现场安装调试完毕后交付用户验收的日期。</w:t>
      </w:r>
    </w:p>
    <w:p>
      <w:pPr>
        <w:pStyle w:val="44"/>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交货地点：阳新县人民医院指定地点。</w:t>
      </w:r>
    </w:p>
    <w:p>
      <w:pPr>
        <w:keepNext w:val="0"/>
        <w:keepLines w:val="0"/>
        <w:pageBreakBefore w:val="0"/>
        <w:widowControl w:val="0"/>
        <w:numPr>
          <w:ilvl w:val="0"/>
          <w:numId w:val="40"/>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t>质保期：</w:t>
      </w:r>
      <w:r>
        <w:rPr>
          <w:rFonts w:hint="eastAsia" w:ascii="宋体" w:hAnsi="宋体" w:eastAsia="宋体" w:cs="宋体"/>
          <w:b/>
          <w:color w:val="000000"/>
          <w:sz w:val="24"/>
          <w:szCs w:val="24"/>
          <w:highlight w:val="none"/>
          <w:lang w:val="en-US" w:eastAsia="zh-CN"/>
        </w:rPr>
        <w:t>1年。</w:t>
      </w:r>
    </w:p>
    <w:p>
      <w:pPr>
        <w:keepNext w:val="0"/>
        <w:keepLines w:val="0"/>
        <w:pageBreakBefore w:val="0"/>
        <w:widowControl w:val="0"/>
        <w:numPr>
          <w:ilvl w:val="0"/>
          <w:numId w:val="40"/>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  开机率≥98%，仪器故障要求12小时内应答，24小时形成解决方案。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 投标人需要在中国大陆地区设有售后服务机构和设施，并配备受过专业培训的售后服务人员。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 为保证设备正常运行，投标人应在中国境内方便的地方设置备件库，存入所有必须的备件，并保证5年以上的供应期，提供400全国免费电话。</w:t>
      </w:r>
    </w:p>
    <w:p>
      <w:pPr>
        <w:pStyle w:val="44"/>
        <w:numPr>
          <w:ilvl w:val="0"/>
          <w:numId w:val="0"/>
        </w:numPr>
        <w:spacing w:line="360" w:lineRule="auto"/>
        <w:ind w:leftChars="0"/>
        <w:rPr>
          <w:rFonts w:hint="eastAsia" w:ascii="宋体" w:hAnsi="宋体" w:eastAsia="宋体" w:cs="宋体"/>
          <w:b/>
          <w:color w:val="000000"/>
          <w:sz w:val="24"/>
          <w:szCs w:val="24"/>
          <w:highlight w:val="none"/>
        </w:rPr>
      </w:pPr>
      <w:r>
        <w:rPr>
          <w:rFonts w:hint="eastAsia" w:ascii="宋体" w:hAnsi="宋体" w:eastAsia="宋体" w:cs="宋体"/>
          <w:b w:val="0"/>
          <w:bCs w:val="0"/>
          <w:sz w:val="24"/>
          <w:szCs w:val="24"/>
          <w:lang w:val="en-US" w:eastAsia="zh-CN"/>
        </w:rPr>
        <w:t>4.4现场培训：投标人提供现场技术培训，保证使用人员能够正确操作设备的各项功能。</w:t>
      </w:r>
    </w:p>
    <w:p>
      <w:pPr>
        <w:pStyle w:val="44"/>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w:t>
      </w:r>
      <w:r>
        <w:rPr>
          <w:rFonts w:hint="eastAsia" w:ascii="宋体" w:hAnsi="宋体" w:eastAsia="宋体" w:cs="宋体"/>
          <w:b/>
          <w:color w:val="000000"/>
          <w:sz w:val="24"/>
          <w:szCs w:val="24"/>
          <w:highlight w:val="none"/>
          <w:lang w:val="en-US" w:eastAsia="zh-CN"/>
        </w:rPr>
        <w:t>验收合格</w:t>
      </w:r>
      <w:r>
        <w:rPr>
          <w:rFonts w:hint="eastAsia" w:ascii="宋体" w:hAnsi="宋体" w:eastAsia="宋体" w:cs="宋体"/>
          <w:b/>
          <w:color w:val="000000"/>
          <w:sz w:val="24"/>
          <w:szCs w:val="24"/>
          <w:highlight w:val="none"/>
        </w:rPr>
        <w:t>后付全款的90%，余下10%质保期结束后付清。</w:t>
      </w:r>
    </w:p>
    <w:p>
      <w:pPr>
        <w:pStyle w:val="44"/>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其他要求：</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本项目采购预算控制总金额为</w:t>
      </w:r>
      <w:r>
        <w:rPr>
          <w:rFonts w:hint="eastAsia" w:ascii="宋体" w:hAnsi="宋体" w:eastAsia="宋体" w:cs="宋体"/>
          <w:b/>
          <w:sz w:val="24"/>
          <w:szCs w:val="24"/>
          <w:highlight w:val="none"/>
          <w:lang w:val="en-US" w:eastAsia="zh-CN"/>
        </w:rPr>
        <w:t>：</w:t>
      </w:r>
      <w:r>
        <w:rPr>
          <w:rFonts w:hint="eastAsia" w:ascii="宋体" w:hAnsi="宋体" w:eastAsia="宋体" w:cs="宋体"/>
          <w:b/>
          <w:bCs w:val="0"/>
          <w:spacing w:val="-6"/>
          <w:sz w:val="24"/>
          <w:szCs w:val="24"/>
          <w:highlight w:val="none"/>
          <w:lang w:val="en-US" w:eastAsia="zh-CN"/>
        </w:rPr>
        <w:t>一包：143万元；二包：180万元；三包：160万元；四包：110万元；五包：160万元；六包：137万元。</w:t>
      </w:r>
      <w:r>
        <w:rPr>
          <w:rFonts w:hint="eastAsia" w:ascii="宋体" w:hAnsi="宋体" w:eastAsia="宋体" w:cs="宋体"/>
          <w:sz w:val="24"/>
          <w:szCs w:val="24"/>
          <w:highlight w:val="none"/>
        </w:rPr>
        <w:t>超出预算控制金额将导致其报价无效。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投标人不得以低于成本的报价进行投标，低于成本价的将导致其投标无效。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6.3本</w:t>
      </w:r>
      <w:r>
        <w:rPr>
          <w:rFonts w:hint="eastAsia" w:ascii="宋体" w:hAnsi="宋体" w:eastAsia="宋体" w:cs="宋体"/>
          <w:sz w:val="24"/>
          <w:szCs w:val="24"/>
          <w:highlight w:val="none"/>
        </w:rPr>
        <w:t>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pStyle w:val="44"/>
        <w:numPr>
          <w:ilvl w:val="0"/>
          <w:numId w:val="0"/>
        </w:numPr>
        <w:tabs>
          <w:tab w:val="left" w:pos="426"/>
        </w:tabs>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本项目投标报价包含但不限于：设备价（包括硬件、软件）、运至合同指定地点的运输费、安装费（包括损耗、额外材料等）、保险费、安装、技术培训费、各种税费等。</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pStyle w:val="3"/>
        <w:spacing w:before="0" w:after="0" w:line="360" w:lineRule="auto"/>
        <w:jc w:val="center"/>
        <w:rPr>
          <w:rFonts w:ascii="黑体" w:hAnsi="黑体" w:eastAsia="黑体"/>
          <w:color w:val="auto"/>
          <w:highlight w:val="none"/>
        </w:rPr>
      </w:pPr>
      <w:bookmarkStart w:id="41" w:name="_Toc495861541"/>
      <w:r>
        <w:rPr>
          <w:rFonts w:hint="eastAsia" w:ascii="黑体" w:hAnsi="黑体" w:eastAsia="黑体"/>
          <w:color w:val="auto"/>
          <w:highlight w:val="none"/>
        </w:rPr>
        <w:t>第四章 资格审查方法及标准</w:t>
      </w:r>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根据《政府采购法》、《政府采购法实施条例》、《政府采购货物和服务招标投标管理办法》等相关法律法规确定以下资格审查方法及标准。</w:t>
      </w:r>
    </w:p>
    <w:p>
      <w:pPr>
        <w:pStyle w:val="4"/>
        <w:numPr>
          <w:ilvl w:val="0"/>
          <w:numId w:val="41"/>
        </w:numPr>
        <w:spacing w:before="0" w:after="0" w:line="360" w:lineRule="auto"/>
        <w:ind w:left="616" w:hanging="616"/>
        <w:jc w:val="left"/>
        <w:rPr>
          <w:rFonts w:ascii="宋体" w:hAnsi="宋体" w:cs="Times New Roman"/>
          <w:bCs w:val="0"/>
          <w:color w:val="auto"/>
          <w:sz w:val="30"/>
          <w:szCs w:val="30"/>
          <w:highlight w:val="none"/>
        </w:rPr>
      </w:pPr>
      <w:bookmarkStart w:id="42" w:name="_Toc18092"/>
      <w:bookmarkStart w:id="43" w:name="_Toc494561958"/>
      <w:bookmarkStart w:id="44" w:name="_Toc511894514"/>
      <w:r>
        <w:rPr>
          <w:rFonts w:hint="eastAsia" w:ascii="宋体" w:hAnsi="宋体" w:cs="Times New Roman"/>
          <w:bCs w:val="0"/>
          <w:color w:val="auto"/>
          <w:sz w:val="30"/>
          <w:szCs w:val="30"/>
          <w:highlight w:val="none"/>
        </w:rPr>
        <w:t>资格审查方法</w:t>
      </w:r>
      <w:bookmarkEnd w:id="42"/>
      <w:bookmarkEnd w:id="43"/>
      <w:bookmarkEnd w:id="44"/>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公开招标采购项目开标结束后，采购人成立资格审查小组，依据法律、法规及招标文件的规定，对投标人的资格进行审查，以确定投标人资格是否合格。</w:t>
      </w:r>
    </w:p>
    <w:p>
      <w:pPr>
        <w:pStyle w:val="4"/>
        <w:numPr>
          <w:ilvl w:val="0"/>
          <w:numId w:val="41"/>
        </w:numPr>
        <w:spacing w:before="0" w:after="0" w:line="360" w:lineRule="auto"/>
        <w:ind w:left="616" w:hanging="616"/>
        <w:jc w:val="left"/>
        <w:rPr>
          <w:rFonts w:ascii="宋体" w:hAnsi="宋体" w:cs="Times New Roman"/>
          <w:bCs w:val="0"/>
          <w:color w:val="auto"/>
          <w:sz w:val="30"/>
          <w:szCs w:val="30"/>
          <w:highlight w:val="none"/>
        </w:rPr>
      </w:pPr>
      <w:bookmarkStart w:id="45" w:name="_Toc511894515"/>
      <w:bookmarkStart w:id="46" w:name="_Toc494561959"/>
      <w:bookmarkStart w:id="47" w:name="_Toc7531"/>
      <w:r>
        <w:rPr>
          <w:rFonts w:hint="eastAsia" w:ascii="宋体" w:hAnsi="宋体" w:cs="Times New Roman"/>
          <w:bCs w:val="0"/>
          <w:color w:val="auto"/>
          <w:sz w:val="30"/>
          <w:szCs w:val="30"/>
          <w:highlight w:val="none"/>
        </w:rPr>
        <w:t>资格审查标准</w:t>
      </w:r>
      <w:bookmarkEnd w:id="45"/>
      <w:bookmarkEnd w:id="46"/>
      <w:bookmarkEnd w:id="47"/>
    </w:p>
    <w:p>
      <w:pPr>
        <w:numPr>
          <w:ilvl w:val="0"/>
          <w:numId w:val="42"/>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资格证明文件审查</w:t>
      </w:r>
    </w:p>
    <w:p>
      <w:pPr>
        <w:tabs>
          <w:tab w:val="left" w:pos="616"/>
        </w:tabs>
        <w:spacing w:line="360" w:lineRule="auto"/>
        <w:ind w:firstLine="420"/>
        <w:rPr>
          <w:rFonts w:ascii="Helvetica" w:hAnsi="Helvetica" w:cs="Helvetica"/>
          <w:b/>
          <w:color w:val="auto"/>
          <w:kern w:val="0"/>
          <w:sz w:val="24"/>
          <w:szCs w:val="24"/>
          <w:highlight w:val="none"/>
        </w:rPr>
      </w:pPr>
      <w:r>
        <w:rPr>
          <w:rFonts w:hint="eastAsia" w:ascii="Helvetica" w:hAnsi="Helvetica" w:cs="Helvetica"/>
          <w:color w:val="auto"/>
          <w:kern w:val="0"/>
          <w:sz w:val="24"/>
          <w:szCs w:val="24"/>
          <w:highlight w:val="none"/>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highlight w:val="none"/>
        </w:rPr>
        <w:t>无效投标处理：</w:t>
      </w:r>
    </w:p>
    <w:p>
      <w:pPr>
        <w:pStyle w:val="44"/>
        <w:numPr>
          <w:ilvl w:val="0"/>
          <w:numId w:val="43"/>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应具备《政府采购法》第二十二条第一款规定的条件，</w:t>
      </w:r>
      <w:r>
        <w:rPr>
          <w:rFonts w:hint="eastAsia" w:hAnsi="宋体"/>
          <w:b/>
          <w:color w:val="auto"/>
          <w:sz w:val="24"/>
          <w:szCs w:val="24"/>
          <w:highlight w:val="none"/>
        </w:rPr>
        <w:t>提供下列材料</w:t>
      </w:r>
      <w:r>
        <w:rPr>
          <w:rFonts w:hint="eastAsia" w:ascii="宋体" w:hAnsi="宋体" w:cs="Times New Roman"/>
          <w:b/>
          <w:color w:val="auto"/>
          <w:sz w:val="24"/>
          <w:szCs w:val="24"/>
          <w:highlight w:val="none"/>
        </w:rPr>
        <w:t>：</w:t>
      </w:r>
    </w:p>
    <w:p>
      <w:pPr>
        <w:pStyle w:val="44"/>
        <w:numPr>
          <w:ilvl w:val="0"/>
          <w:numId w:val="44"/>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法人或者其他组织的营业执照等证明文件，自然人的身份证明</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sz w:val="24"/>
          <w:szCs w:val="24"/>
          <w:highlight w:val="none"/>
        </w:rPr>
        <w:t>：</w:t>
      </w:r>
    </w:p>
    <w:p>
      <w:pPr>
        <w:numPr>
          <w:ilvl w:val="0"/>
          <w:numId w:val="45"/>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法人</w:t>
      </w:r>
    </w:p>
    <w:p>
      <w:pPr>
        <w:pStyle w:val="44"/>
        <w:numPr>
          <w:ilvl w:val="1"/>
          <w:numId w:val="46"/>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企业法人（包括合伙企业）：</w:t>
      </w:r>
      <w:r>
        <w:rPr>
          <w:rFonts w:hint="eastAsia" w:ascii="宋体" w:hAnsi="宋体"/>
          <w:color w:val="auto"/>
          <w:sz w:val="24"/>
          <w:szCs w:val="24"/>
          <w:highlight w:val="none"/>
        </w:rPr>
        <w:t>提供工商部门注册的有效“企业法人营业执照”或“营业执照”；</w:t>
      </w:r>
    </w:p>
    <w:p>
      <w:pPr>
        <w:pStyle w:val="44"/>
        <w:numPr>
          <w:ilvl w:val="1"/>
          <w:numId w:val="46"/>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事业单位法人：</w:t>
      </w:r>
      <w:r>
        <w:rPr>
          <w:rFonts w:hint="eastAsia" w:ascii="宋体" w:hAnsi="宋体"/>
          <w:color w:val="auto"/>
          <w:sz w:val="24"/>
          <w:szCs w:val="24"/>
          <w:highlight w:val="none"/>
        </w:rPr>
        <w:t>提供有效的“事业单位法人证书”。</w:t>
      </w:r>
    </w:p>
    <w:p>
      <w:pPr>
        <w:numPr>
          <w:ilvl w:val="0"/>
          <w:numId w:val="45"/>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其他组织</w:t>
      </w:r>
    </w:p>
    <w:p>
      <w:pPr>
        <w:pStyle w:val="44"/>
        <w:numPr>
          <w:ilvl w:val="0"/>
          <w:numId w:val="47"/>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非企业专业服务机构：</w:t>
      </w:r>
      <w:r>
        <w:rPr>
          <w:rFonts w:hint="eastAsia" w:ascii="宋体" w:hAnsi="宋体"/>
          <w:color w:val="auto"/>
          <w:sz w:val="24"/>
          <w:szCs w:val="24"/>
          <w:highlight w:val="none"/>
        </w:rPr>
        <w:t>提供执业许可证等证明文件；</w:t>
      </w:r>
    </w:p>
    <w:p>
      <w:pPr>
        <w:pStyle w:val="44"/>
        <w:numPr>
          <w:ilvl w:val="0"/>
          <w:numId w:val="47"/>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个体工商户：</w:t>
      </w:r>
      <w:r>
        <w:rPr>
          <w:rFonts w:hint="eastAsia" w:ascii="宋体" w:hAnsi="宋体"/>
          <w:color w:val="auto"/>
          <w:sz w:val="24"/>
          <w:szCs w:val="24"/>
          <w:highlight w:val="none"/>
        </w:rPr>
        <w:t>提供有效的“个体工商户营业执照”。</w:t>
      </w:r>
    </w:p>
    <w:p>
      <w:pPr>
        <w:numPr>
          <w:ilvl w:val="0"/>
          <w:numId w:val="45"/>
        </w:numPr>
        <w:spacing w:line="360" w:lineRule="auto"/>
        <w:ind w:left="1321" w:hanging="720"/>
        <w:rPr>
          <w:rFonts w:ascii="宋体" w:hAnsi="宋体" w:cs="Times New Roman"/>
          <w:color w:val="auto"/>
          <w:sz w:val="24"/>
          <w:szCs w:val="20"/>
          <w:highlight w:val="none"/>
        </w:rPr>
      </w:pPr>
      <w:r>
        <w:rPr>
          <w:rFonts w:hint="eastAsia" w:ascii="仿宋" w:hAnsi="仿宋" w:eastAsia="仿宋" w:cs="Times New Roman"/>
          <w:b/>
          <w:color w:val="auto"/>
          <w:sz w:val="24"/>
          <w:szCs w:val="20"/>
          <w:highlight w:val="none"/>
        </w:rPr>
        <w:t>自然人：</w:t>
      </w:r>
      <w:r>
        <w:rPr>
          <w:rFonts w:hint="eastAsia" w:ascii="宋体" w:hAnsi="宋体" w:cs="Times New Roman"/>
          <w:color w:val="auto"/>
          <w:sz w:val="24"/>
          <w:szCs w:val="20"/>
          <w:highlight w:val="none"/>
        </w:rPr>
        <w:t>提供有效的自然人身份证明。（仅限中国公民）</w:t>
      </w:r>
    </w:p>
    <w:p>
      <w:pPr>
        <w:pStyle w:val="44"/>
        <w:numPr>
          <w:ilvl w:val="0"/>
          <w:numId w:val="44"/>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财务状况报告，依法缴纳税收和社会保障资金的相关材料（投标人根据自身情况提供对应的证明材料）：</w:t>
      </w:r>
    </w:p>
    <w:p>
      <w:pPr>
        <w:numPr>
          <w:ilvl w:val="0"/>
          <w:numId w:val="48"/>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财务状况报告</w:t>
      </w:r>
    </w:p>
    <w:p>
      <w:pPr>
        <w:pStyle w:val="44"/>
        <w:numPr>
          <w:ilvl w:val="0"/>
          <w:numId w:val="49"/>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法人：</w:t>
      </w:r>
      <w:r>
        <w:rPr>
          <w:rFonts w:hint="eastAsia" w:ascii="宋体" w:hAnsi="宋体"/>
          <w:color w:val="auto"/>
          <w:sz w:val="24"/>
          <w:szCs w:val="24"/>
          <w:highlight w:val="none"/>
        </w:rPr>
        <w:t>提供经第三方审计的财务报告（完整的财务报告，包括“四表一注”，即资产负债表、利润表、现金流量表、所有者权益变动表及其附注），或其基本开户银行出具的资信证明；</w:t>
      </w:r>
    </w:p>
    <w:p>
      <w:pPr>
        <w:pStyle w:val="44"/>
        <w:numPr>
          <w:ilvl w:val="0"/>
          <w:numId w:val="49"/>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部分其他组织和自然人：</w:t>
      </w:r>
      <w:r>
        <w:rPr>
          <w:rFonts w:hint="eastAsia" w:ascii="宋体" w:hAnsi="宋体"/>
          <w:color w:val="auto"/>
          <w:sz w:val="24"/>
          <w:szCs w:val="24"/>
          <w:highlight w:val="none"/>
        </w:rPr>
        <w:t>没有经第三方审计的财务报告的，可以提供银行出具的资信证明；</w:t>
      </w:r>
    </w:p>
    <w:p>
      <w:pPr>
        <w:pStyle w:val="44"/>
        <w:numPr>
          <w:ilvl w:val="0"/>
          <w:numId w:val="49"/>
        </w:numPr>
        <w:spacing w:line="360" w:lineRule="auto"/>
        <w:ind w:left="1435" w:hanging="482" w:firstLineChars="0"/>
        <w:rPr>
          <w:rFonts w:ascii="宋体" w:hAnsi="宋体"/>
          <w:color w:val="auto"/>
          <w:sz w:val="24"/>
          <w:szCs w:val="24"/>
          <w:highlight w:val="none"/>
        </w:rPr>
      </w:pPr>
      <w:r>
        <w:rPr>
          <w:rFonts w:hint="eastAsia" w:ascii="宋体" w:hAnsi="宋体"/>
          <w:color w:val="auto"/>
          <w:sz w:val="24"/>
          <w:szCs w:val="24"/>
          <w:highlight w:val="none"/>
        </w:rPr>
        <w:t>投标人没有经第三方审计的财务报告和资信证明时，也可以提供财政部门认可的政府采购专业担保机构出具的投标担保函。</w:t>
      </w:r>
    </w:p>
    <w:p>
      <w:pPr>
        <w:numPr>
          <w:ilvl w:val="0"/>
          <w:numId w:val="48"/>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依法缴纳税收和社会保障资金的证明材料</w:t>
      </w:r>
    </w:p>
    <w:p>
      <w:pPr>
        <w:pStyle w:val="44"/>
        <w:numPr>
          <w:ilvl w:val="0"/>
          <w:numId w:val="50"/>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法人</w:t>
      </w:r>
    </w:p>
    <w:p>
      <w:pPr>
        <w:pStyle w:val="44"/>
        <w:numPr>
          <w:ilvl w:val="0"/>
          <w:numId w:val="51"/>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税务登记证（国税、地税或多证合一）；</w:t>
      </w:r>
    </w:p>
    <w:p>
      <w:pPr>
        <w:pStyle w:val="44"/>
        <w:numPr>
          <w:ilvl w:val="0"/>
          <w:numId w:val="51"/>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参加政府采购活动前一段时间内缴纳增值税、营业税和企业所得税的凭据；</w:t>
      </w:r>
    </w:p>
    <w:p>
      <w:pPr>
        <w:pStyle w:val="44"/>
        <w:numPr>
          <w:ilvl w:val="0"/>
          <w:numId w:val="51"/>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社会保险登记证（或多证合一）；</w:t>
      </w:r>
    </w:p>
    <w:p>
      <w:pPr>
        <w:pStyle w:val="44"/>
        <w:numPr>
          <w:ilvl w:val="0"/>
          <w:numId w:val="51"/>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50"/>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其他组织和自然人</w:t>
      </w:r>
    </w:p>
    <w:p>
      <w:pPr>
        <w:pStyle w:val="44"/>
        <w:numPr>
          <w:ilvl w:val="0"/>
          <w:numId w:val="52"/>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参加政府采购活动前一段时间内缴纳税收的凭据；</w:t>
      </w:r>
    </w:p>
    <w:p>
      <w:pPr>
        <w:pStyle w:val="44"/>
        <w:numPr>
          <w:ilvl w:val="0"/>
          <w:numId w:val="52"/>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50"/>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依法免税或不需要缴纳社会保险资金的投标人</w:t>
      </w:r>
    </w:p>
    <w:p>
      <w:pPr>
        <w:pStyle w:val="44"/>
        <w:spacing w:line="360" w:lineRule="auto"/>
        <w:ind w:left="1441" w:firstLine="0" w:firstLineChars="0"/>
        <w:rPr>
          <w:rFonts w:ascii="宋体" w:hAnsi="宋体"/>
          <w:color w:val="auto"/>
          <w:sz w:val="24"/>
          <w:szCs w:val="24"/>
          <w:highlight w:val="none"/>
        </w:rPr>
      </w:pPr>
      <w:r>
        <w:rPr>
          <w:rFonts w:hint="eastAsia" w:ascii="宋体" w:hAnsi="宋体"/>
          <w:color w:val="auto"/>
          <w:sz w:val="24"/>
          <w:szCs w:val="24"/>
          <w:highlight w:val="none"/>
        </w:rPr>
        <w:t>提供其依法免税或不需要缴纳社会保险资金的相关证明文件。</w:t>
      </w:r>
    </w:p>
    <w:p>
      <w:pPr>
        <w:pStyle w:val="44"/>
        <w:numPr>
          <w:ilvl w:val="0"/>
          <w:numId w:val="44"/>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具备履行合同所必需的设备和专业技术能力的证明材料：</w:t>
      </w:r>
    </w:p>
    <w:p>
      <w:pPr>
        <w:numPr>
          <w:ilvl w:val="0"/>
          <w:numId w:val="53"/>
        </w:numPr>
        <w:spacing w:line="360" w:lineRule="auto"/>
        <w:ind w:left="1321" w:hanging="720"/>
        <w:rPr>
          <w:rFonts w:ascii="宋体" w:hAnsi="宋体" w:cs="Arial"/>
          <w:b/>
          <w:color w:val="auto"/>
          <w:sz w:val="24"/>
          <w:szCs w:val="20"/>
          <w:highlight w:val="none"/>
        </w:rPr>
      </w:pPr>
      <w:r>
        <w:rPr>
          <w:rFonts w:ascii="宋体" w:hAnsi="宋体" w:cs="Arial"/>
          <w:color w:val="auto"/>
          <w:sz w:val="24"/>
          <w:szCs w:val="20"/>
          <w:highlight w:val="none"/>
        </w:rPr>
        <w:t>提供具备足够数量的设施设备的证明材料；</w:t>
      </w:r>
    </w:p>
    <w:p>
      <w:pPr>
        <w:numPr>
          <w:ilvl w:val="0"/>
          <w:numId w:val="53"/>
        </w:numPr>
        <w:spacing w:line="360" w:lineRule="auto"/>
        <w:ind w:left="1321" w:hanging="720"/>
        <w:rPr>
          <w:rFonts w:ascii="宋体" w:hAnsi="宋体" w:cs="Arial"/>
          <w:color w:val="auto"/>
          <w:sz w:val="24"/>
          <w:szCs w:val="20"/>
          <w:highlight w:val="none"/>
        </w:rPr>
      </w:pPr>
      <w:r>
        <w:rPr>
          <w:rFonts w:ascii="宋体" w:hAnsi="宋体" w:cs="Arial"/>
          <w:color w:val="auto"/>
          <w:sz w:val="24"/>
          <w:szCs w:val="20"/>
          <w:highlight w:val="none"/>
        </w:rPr>
        <w:t>提供具备足够数量的技术人员的证明材料。</w:t>
      </w:r>
    </w:p>
    <w:p>
      <w:pPr>
        <w:pStyle w:val="44"/>
        <w:numPr>
          <w:ilvl w:val="0"/>
          <w:numId w:val="44"/>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参加政府采购活动前3年内在经营活动中没有重大违法记录的书面声明：</w:t>
      </w:r>
    </w:p>
    <w:p>
      <w:pPr>
        <w:numPr>
          <w:ilvl w:val="0"/>
          <w:numId w:val="54"/>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应严格按照附件格式提交“参加政府采购活动前三年内在经营活动中没有重大违法记录的书面声明函”；</w:t>
      </w:r>
    </w:p>
    <w:p>
      <w:pPr>
        <w:numPr>
          <w:ilvl w:val="0"/>
          <w:numId w:val="54"/>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政府采购法第二十二条第一款第五项所称重大违法记录，是指供应商因违法经营受到刑事处罚或者责令停产停业、吊销许可证或者执照、较大数额罚款等行政处罚；</w:t>
      </w:r>
    </w:p>
    <w:p>
      <w:pPr>
        <w:numPr>
          <w:ilvl w:val="0"/>
          <w:numId w:val="54"/>
        </w:numPr>
        <w:spacing w:line="360" w:lineRule="auto"/>
        <w:ind w:left="1321"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按照财政部《关于规范政府采购行政处罚有关问题的通知》的规定，</w:t>
      </w:r>
      <w:r>
        <w:rPr>
          <w:rFonts w:ascii="宋体" w:hAnsi="宋体" w:cs="Times New Roman"/>
          <w:color w:val="auto"/>
          <w:sz w:val="24"/>
          <w:szCs w:val="20"/>
          <w:highlight w:val="none"/>
        </w:rPr>
        <w:t>各级人民政府财政部门依法对参加政府采购活动的供应商作出的禁止参加政府采购活动等行政处罚决定在全国范围内生效。</w:t>
      </w:r>
    </w:p>
    <w:p>
      <w:pPr>
        <w:pStyle w:val="44"/>
        <w:numPr>
          <w:ilvl w:val="0"/>
          <w:numId w:val="44"/>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具备法律、行政法规规定的其他条件的证明材料：</w:t>
      </w:r>
    </w:p>
    <w:p>
      <w:pPr>
        <w:numPr>
          <w:ilvl w:val="0"/>
          <w:numId w:val="55"/>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国家对生产和销售相关产品或提供相关服务有专门法律、行政法规规定的，则必须提供取得国家有关主管部门行政许可的证明材料。</w:t>
      </w:r>
    </w:p>
    <w:p>
      <w:pPr>
        <w:pStyle w:val="44"/>
        <w:numPr>
          <w:ilvl w:val="0"/>
          <w:numId w:val="43"/>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b/>
          <w:color w:val="auto"/>
          <w:sz w:val="24"/>
          <w:szCs w:val="24"/>
          <w:highlight w:val="none"/>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4"/>
        <w:numPr>
          <w:ilvl w:val="0"/>
          <w:numId w:val="43"/>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招标文件第一章“投标人资格要求”中有特殊要求的，投标人应提供其符合特殊要求的证明材料或者情况说明；</w:t>
      </w:r>
    </w:p>
    <w:p>
      <w:pPr>
        <w:pStyle w:val="44"/>
        <w:numPr>
          <w:ilvl w:val="0"/>
          <w:numId w:val="43"/>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不符合联合体投标相关规定和要求的；</w:t>
      </w:r>
    </w:p>
    <w:p>
      <w:pPr>
        <w:pStyle w:val="44"/>
        <w:numPr>
          <w:ilvl w:val="0"/>
          <w:numId w:val="43"/>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投标人认为需提供的其它相关资格证明材料；</w:t>
      </w:r>
    </w:p>
    <w:p>
      <w:pPr>
        <w:pStyle w:val="44"/>
        <w:numPr>
          <w:ilvl w:val="0"/>
          <w:numId w:val="43"/>
        </w:numPr>
        <w:spacing w:line="360" w:lineRule="auto"/>
        <w:ind w:left="964" w:hanging="488"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资格证明文件正本应为清晰彩色影印件且加盖单位公章。</w:t>
      </w:r>
    </w:p>
    <w:p>
      <w:pPr>
        <w:numPr>
          <w:ilvl w:val="0"/>
          <w:numId w:val="42"/>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确定资格审查合格投标人</w:t>
      </w:r>
    </w:p>
    <w:p>
      <w:pPr>
        <w:pStyle w:val="44"/>
        <w:numPr>
          <w:ilvl w:val="0"/>
          <w:numId w:val="56"/>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4"/>
        <w:numPr>
          <w:ilvl w:val="0"/>
          <w:numId w:val="56"/>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资格审查合格投标人不足3家的，不进行评标。</w:t>
      </w:r>
    </w:p>
    <w:p>
      <w:pPr>
        <w:pStyle w:val="44"/>
        <w:numPr>
          <w:ilvl w:val="0"/>
          <w:numId w:val="56"/>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资格审查未通过的投标人可在结果公告质疑有效期内按公告中的联系方式获知</w:t>
      </w:r>
      <w:r>
        <w:rPr>
          <w:rFonts w:ascii="宋体" w:hAnsi="宋体" w:cs="Times New Roman"/>
          <w:color w:val="auto"/>
          <w:sz w:val="24"/>
          <w:szCs w:val="24"/>
          <w:highlight w:val="none"/>
        </w:rPr>
        <w:t>本</w:t>
      </w:r>
      <w:r>
        <w:rPr>
          <w:rFonts w:hint="eastAsia" w:ascii="宋体" w:hAnsi="宋体" w:cs="Times New Roman"/>
          <w:color w:val="auto"/>
          <w:sz w:val="24"/>
          <w:szCs w:val="24"/>
          <w:highlight w:val="none"/>
        </w:rPr>
        <w:t>单位</w:t>
      </w:r>
      <w:r>
        <w:rPr>
          <w:rFonts w:ascii="宋体" w:hAnsi="宋体" w:cs="Times New Roman"/>
          <w:color w:val="auto"/>
          <w:sz w:val="24"/>
          <w:szCs w:val="24"/>
          <w:highlight w:val="none"/>
        </w:rPr>
        <w:t>的</w:t>
      </w:r>
      <w:r>
        <w:rPr>
          <w:rFonts w:hint="eastAsia" w:ascii="宋体" w:hAnsi="宋体" w:cs="Times New Roman"/>
          <w:color w:val="auto"/>
          <w:sz w:val="24"/>
          <w:szCs w:val="24"/>
          <w:highlight w:val="none"/>
        </w:rPr>
        <w:t>资格审查情况。</w:t>
      </w:r>
    </w:p>
    <w:p>
      <w:pPr>
        <w:pStyle w:val="44"/>
        <w:numPr>
          <w:ilvl w:val="0"/>
          <w:numId w:val="56"/>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color w:val="auto"/>
          <w:sz w:val="24"/>
          <w:szCs w:val="24"/>
          <w:highlight w:val="none"/>
        </w:rPr>
        <w:t>采购人已进行资格预审的，不再进行资格审查。未通过资格预审的投标人采购代理机构</w:t>
      </w:r>
      <w:r>
        <w:rPr>
          <w:rFonts w:hint="eastAsia" w:ascii="宋体" w:hAnsi="宋体" w:cs="Times New Roman"/>
          <w:b/>
          <w:color w:val="auto"/>
          <w:sz w:val="24"/>
          <w:szCs w:val="24"/>
          <w:highlight w:val="none"/>
        </w:rPr>
        <w:t>拒绝</w:t>
      </w:r>
      <w:r>
        <w:rPr>
          <w:rFonts w:hint="eastAsia" w:ascii="宋体" w:hAnsi="宋体" w:cs="Times New Roman"/>
          <w:color w:val="auto"/>
          <w:sz w:val="24"/>
          <w:szCs w:val="24"/>
          <w:highlight w:val="none"/>
        </w:rPr>
        <w:t>其投标。</w:t>
      </w: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3"/>
        <w:numPr>
          <w:ilvl w:val="0"/>
          <w:numId w:val="0"/>
        </w:numPr>
        <w:ind w:leftChars="0"/>
        <w:jc w:val="center"/>
        <w:rPr>
          <w:rFonts w:ascii="黑体" w:hAnsi="黑体" w:eastAsia="黑体"/>
        </w:rPr>
      </w:pPr>
      <w:r>
        <w:rPr>
          <w:rFonts w:hint="eastAsia" w:ascii="黑体" w:hAnsi="黑体" w:eastAsia="黑体"/>
          <w:lang w:eastAsia="zh-CN"/>
        </w:rPr>
        <w:t>第五章</w:t>
      </w:r>
      <w:r>
        <w:rPr>
          <w:rFonts w:hint="eastAsia" w:ascii="黑体" w:hAnsi="黑体" w:eastAsia="黑体"/>
          <w:lang w:val="en-US" w:eastAsia="zh-CN"/>
        </w:rPr>
        <w:t xml:space="preserve">  </w:t>
      </w:r>
      <w:r>
        <w:rPr>
          <w:rFonts w:hint="eastAsia" w:ascii="黑体" w:hAnsi="黑体" w:eastAsia="黑体"/>
        </w:rPr>
        <w:t>评标方法、程序及标准</w:t>
      </w:r>
      <w:bookmarkEnd w:id="4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48" w:name="_Toc278891605"/>
      <w:bookmarkStart w:id="49" w:name="_Toc272247708"/>
      <w:bookmarkStart w:id="50" w:name="_Toc494561961"/>
      <w:bookmarkStart w:id="51" w:name="_Toc495861542"/>
      <w:r>
        <w:rPr>
          <w:rFonts w:hint="eastAsia" w:cs="Times New Roman" w:asciiTheme="majorEastAsia" w:hAnsiTheme="majorEastAsia"/>
          <w:bCs w:val="0"/>
          <w:sz w:val="30"/>
          <w:szCs w:val="30"/>
          <w:lang w:val="zh-CN"/>
        </w:rPr>
        <w:t>评标</w:t>
      </w:r>
      <w:bookmarkEnd w:id="48"/>
      <w:bookmarkEnd w:id="49"/>
      <w:r>
        <w:rPr>
          <w:rFonts w:hint="eastAsia" w:cs="Times New Roman" w:asciiTheme="majorEastAsia" w:hAnsiTheme="majorEastAsia"/>
          <w:bCs w:val="0"/>
          <w:sz w:val="30"/>
          <w:szCs w:val="30"/>
          <w:lang w:val="zh-CN"/>
        </w:rPr>
        <w:t>方法</w:t>
      </w:r>
      <w:bookmarkEnd w:id="50"/>
      <w:bookmarkEnd w:id="5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52" w:name="_Toc272247709"/>
      <w:bookmarkStart w:id="53" w:name="_Toc278891606"/>
      <w:bookmarkStart w:id="54" w:name="_Toc495861543"/>
      <w:bookmarkStart w:id="55" w:name="_Toc494561962"/>
      <w:r>
        <w:rPr>
          <w:rFonts w:hint="eastAsia" w:cs="Times New Roman" w:asciiTheme="majorEastAsia" w:hAnsiTheme="majorEastAsia"/>
          <w:bCs w:val="0"/>
          <w:sz w:val="30"/>
          <w:szCs w:val="30"/>
          <w:lang w:val="zh-CN"/>
        </w:rPr>
        <w:t>评标程序</w:t>
      </w:r>
      <w:bookmarkEnd w:id="52"/>
      <w:bookmarkEnd w:id="53"/>
      <w:r>
        <w:rPr>
          <w:rFonts w:hint="eastAsia" w:cs="Times New Roman" w:asciiTheme="majorEastAsia" w:hAnsiTheme="majorEastAsia"/>
          <w:bCs w:val="0"/>
          <w:sz w:val="30"/>
          <w:szCs w:val="30"/>
          <w:lang w:val="zh-CN"/>
        </w:rPr>
        <w:t>及标准</w:t>
      </w:r>
      <w:bookmarkEnd w:id="54"/>
      <w:bookmarkEnd w:id="55"/>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8"/>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9"/>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60"/>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60"/>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60"/>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3"/>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3"/>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5"/>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5"/>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lang w:val="zh-CN"/>
        </w:rPr>
      </w:pPr>
    </w:p>
    <w:p>
      <w:pPr>
        <w:rPr>
          <w:rFonts w:hint="eastAsia" w:ascii="Helvetica" w:hAnsi="Helvetica" w:eastAsia="宋体" w:cs="Helvetica"/>
          <w:kern w:val="0"/>
          <w:sz w:val="24"/>
          <w:szCs w:val="24"/>
          <w:lang w:val="zh-CN"/>
        </w:rPr>
      </w:pPr>
    </w:p>
    <w:p>
      <w:pPr>
        <w:pStyle w:val="2"/>
        <w:rPr>
          <w:lang w:val="zh-CN"/>
        </w:rPr>
      </w:pPr>
    </w:p>
    <w:p>
      <w:pPr>
        <w:pStyle w:val="4"/>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56" w:name="_Toc494561963"/>
      <w:bookmarkStart w:id="57" w:name="_Toc495861544"/>
      <w:r>
        <w:rPr>
          <w:rFonts w:hint="eastAsia" w:cs="Times New Roman" w:asciiTheme="majorEastAsia" w:hAnsiTheme="majorEastAsia"/>
          <w:bCs w:val="0"/>
          <w:sz w:val="30"/>
          <w:szCs w:val="30"/>
          <w:lang w:val="zh-CN"/>
        </w:rPr>
        <w:t>评审因素及评分标准</w:t>
      </w:r>
      <w:bookmarkEnd w:id="56"/>
      <w:bookmarkEnd w:id="57"/>
    </w:p>
    <w:tbl>
      <w:tblPr>
        <w:tblStyle w:val="2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 评议</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5"/>
              <w:ind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kern w:val="0"/>
                <w:sz w:val="24"/>
                <w:szCs w:val="24"/>
                <w:highlight w:val="none"/>
                <w:lang w:val="en-US" w:eastAsia="zh-CN"/>
              </w:rPr>
              <w:t>50</w:t>
            </w:r>
            <w:r>
              <w:rPr>
                <w:rFonts w:hint="eastAsia" w:asciiTheme="minorEastAsia" w:hAnsiTheme="minorEastAsia" w:eastAsiaTheme="minorEastAsia" w:cstheme="minorEastAsia"/>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宋体" w:hAnsi="宋体" w:eastAsia="宋体" w:cs="宋体"/>
                <w:b/>
                <w:color w:val="000000"/>
                <w:sz w:val="24"/>
                <w:szCs w:val="24"/>
                <w:highlight w:val="none"/>
              </w:rPr>
              <w:t>★</w:t>
            </w:r>
            <w:r>
              <w:rPr>
                <w:rFonts w:hint="eastAsia" w:asciiTheme="minorEastAsia" w:hAnsiTheme="minorEastAsia" w:eastAsiaTheme="minorEastAsia" w:cstheme="minorEastAsia"/>
                <w:sz w:val="24"/>
                <w:szCs w:val="24"/>
                <w:highlight w:val="none"/>
              </w:rPr>
              <w:t>”号标识的条款，为重要技术参数，每一项负偏离，扣5分；其他参数，每一项负偏离，扣2分，</w:t>
            </w:r>
            <w:r>
              <w:rPr>
                <w:rFonts w:hint="eastAsia" w:asciiTheme="minorEastAsia" w:hAnsiTheme="minorEastAsia" w:cstheme="minorEastAsia"/>
                <w:sz w:val="24"/>
                <w:szCs w:val="24"/>
                <w:highlight w:val="none"/>
                <w:lang w:eastAsia="zh-CN"/>
              </w:rPr>
              <w:t>累计</w:t>
            </w:r>
            <w:r>
              <w:rPr>
                <w:rFonts w:hint="eastAsia" w:asciiTheme="minorEastAsia" w:hAnsiTheme="minorEastAsia" w:eastAsiaTheme="minorEastAsia" w:cstheme="minorEastAsia"/>
                <w:sz w:val="24"/>
                <w:szCs w:val="24"/>
                <w:highlight w:val="none"/>
              </w:rPr>
              <w:t>扣完</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kern w:val="0"/>
                <w:sz w:val="24"/>
                <w:szCs w:val="24"/>
              </w:rPr>
            </w:pPr>
            <w:r>
              <w:rPr>
                <w:rFonts w:hint="eastAsia" w:asciiTheme="minorEastAsia" w:hAnsiTheme="minorEastAsia" w:eastAsiaTheme="minorEastAsia" w:cstheme="minorEastAsia"/>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月至今）的类似成功案例进行评分，每提供一份得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分。（提供合同</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分；方案简单，售后服务网点较少得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投标人提供的培训方案</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专业技术情况</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培训计划等方面</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内容完整、合理、针对性强得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分；方案内容完整、计划可行符合项目需求得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分；方案内容完整基本符合项目需求得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为确保交货期而采取的保障措施,计划最完善得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分，计划较详细的得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分，计划较简单的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实施</w:t>
            </w:r>
            <w:r>
              <w:rPr>
                <w:rFonts w:hint="eastAsia" w:asciiTheme="minorEastAsia" w:hAnsiTheme="minorEastAsia" w:eastAsiaTheme="minorEastAsia" w:cstheme="minorEastAsia"/>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投标人提供的实施方案（包括安装、调试计划、验收方案）非常完整且合理、可操作性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基本完整、有可操作性得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简单欠妥、可操作性不高得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1分，未提供则不得分。 </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其他</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生产企业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向我国企业转让技术、与我国企业签订消化吸收再创新方案的供应商的进口产品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bl>
    <w:p/>
    <w:p>
      <w:r>
        <w:br w:type="page"/>
      </w:r>
    </w:p>
    <w:p>
      <w:pPr>
        <w:pStyle w:val="3"/>
        <w:numPr>
          <w:ilvl w:val="0"/>
          <w:numId w:val="1"/>
        </w:numPr>
        <w:jc w:val="center"/>
        <w:rPr>
          <w:rFonts w:ascii="黑体" w:hAnsi="黑体" w:eastAsia="黑体"/>
        </w:rPr>
      </w:pPr>
      <w:bookmarkStart w:id="58" w:name="_Toc494721093"/>
      <w:bookmarkStart w:id="59" w:name="_Toc495861545"/>
      <w:bookmarkStart w:id="60" w:name="_Toc494702263"/>
      <w:bookmarkStart w:id="61" w:name="_Toc494664993"/>
      <w:bookmarkStart w:id="62" w:name="_Toc494745310"/>
      <w:bookmarkStart w:id="63" w:name="_Toc494665943"/>
      <w:bookmarkStart w:id="64" w:name="_Toc494665546"/>
      <w:r>
        <w:rPr>
          <w:rFonts w:hint="eastAsia" w:ascii="黑体" w:hAnsi="黑体" w:eastAsia="黑体"/>
        </w:rPr>
        <w:t>合同书格式（参考）</w:t>
      </w:r>
      <w:bookmarkEnd w:id="58"/>
      <w:bookmarkEnd w:id="59"/>
      <w:bookmarkEnd w:id="60"/>
      <w:bookmarkEnd w:id="61"/>
      <w:bookmarkEnd w:id="62"/>
      <w:bookmarkEnd w:id="63"/>
      <w:bookmarkEnd w:id="64"/>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70"/>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7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5" w:name="_Toc495861546"/>
      <w:bookmarkStart w:id="66" w:name="_Toc494721094"/>
      <w:bookmarkStart w:id="67" w:name="_Toc494702264"/>
      <w:bookmarkStart w:id="68" w:name="_Toc494664994"/>
      <w:bookmarkStart w:id="69" w:name="_Toc494745311"/>
      <w:bookmarkStart w:id="70" w:name="_Toc494665944"/>
      <w:bookmarkStart w:id="71" w:name="_Toc494665547"/>
      <w:r>
        <w:rPr>
          <w:rFonts w:hint="eastAsia" w:ascii="黑体" w:hAnsi="黑体" w:eastAsia="黑体"/>
        </w:rPr>
        <w:t>投标文件格式（参考）</w:t>
      </w:r>
      <w:bookmarkEnd w:id="65"/>
      <w:bookmarkEnd w:id="66"/>
      <w:bookmarkEnd w:id="67"/>
      <w:bookmarkEnd w:id="68"/>
      <w:bookmarkEnd w:id="69"/>
      <w:bookmarkEnd w:id="70"/>
      <w:bookmarkEnd w:id="71"/>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2" w:name="_Toc494702265"/>
      <w:bookmarkStart w:id="73" w:name="_Toc494665945"/>
      <w:bookmarkStart w:id="74" w:name="_Toc495861547"/>
      <w:bookmarkStart w:id="75" w:name="_Toc494665548"/>
      <w:bookmarkStart w:id="76" w:name="_Toc494721095"/>
      <w:bookmarkStart w:id="77" w:name="_Toc494745312"/>
      <w:bookmarkStart w:id="78" w:name="_Toc494664995"/>
      <w:r>
        <w:rPr>
          <w:rFonts w:hint="eastAsia" w:cs="Times New Roman" w:asciiTheme="majorEastAsia" w:hAnsiTheme="majorEastAsia"/>
          <w:bCs w:val="0"/>
          <w:sz w:val="44"/>
          <w:szCs w:val="44"/>
          <w:lang w:val="zh-CN"/>
        </w:rPr>
        <w:t>第一部分 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9" w:name="_Toc494702266"/>
      <w:bookmarkStart w:id="80" w:name="_Toc494721096"/>
      <w:bookmarkStart w:id="81" w:name="_Toc494665549"/>
      <w:bookmarkStart w:id="82" w:name="_Toc494665946"/>
      <w:bookmarkStart w:id="83" w:name="_Toc494745313"/>
      <w:bookmarkStart w:id="84" w:name="_Toc494664996"/>
      <w:r>
        <w:rPr>
          <w:rFonts w:hint="eastAsia" w:ascii="黑体" w:hAnsi="黑体" w:eastAsia="黑体" w:cs="Times New Roman"/>
          <w:b/>
          <w:sz w:val="36"/>
          <w:szCs w:val="36"/>
        </w:rPr>
        <w:t>资格证明文件组成</w:t>
      </w:r>
      <w:bookmarkEnd w:id="79"/>
      <w:bookmarkEnd w:id="80"/>
      <w:bookmarkEnd w:id="81"/>
      <w:bookmarkEnd w:id="82"/>
      <w:bookmarkEnd w:id="83"/>
      <w:bookmarkEnd w:id="84"/>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3"/>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3"/>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7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71"/>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5" w:name="_Toc494665550"/>
      <w:bookmarkStart w:id="86" w:name="_Toc494665947"/>
      <w:bookmarkStart w:id="87" w:name="_Toc495861548"/>
      <w:bookmarkStart w:id="88" w:name="_Toc494721097"/>
      <w:bookmarkStart w:id="89" w:name="_Toc494745314"/>
      <w:bookmarkStart w:id="90" w:name="_Toc494664997"/>
      <w:bookmarkStart w:id="91" w:name="_Toc49470226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2" w:name="_Toc494745315"/>
      <w:bookmarkStart w:id="93" w:name="_Toc494702268"/>
      <w:bookmarkStart w:id="94" w:name="_Toc494721098"/>
      <w:bookmarkStart w:id="95" w:name="_Toc494664998"/>
      <w:bookmarkStart w:id="96" w:name="_Toc494665551"/>
      <w:bookmarkStart w:id="97" w:name="_Toc494665948"/>
      <w:r>
        <w:rPr>
          <w:rFonts w:hint="eastAsia" w:ascii="黑体" w:hAnsi="黑体" w:eastAsia="黑体" w:cs="Times New Roman"/>
          <w:b/>
          <w:sz w:val="36"/>
          <w:szCs w:val="36"/>
        </w:rPr>
        <w:t>商务文件组成</w:t>
      </w:r>
      <w:bookmarkEnd w:id="92"/>
      <w:bookmarkEnd w:id="93"/>
      <w:bookmarkEnd w:id="94"/>
      <w:bookmarkEnd w:id="95"/>
      <w:bookmarkEnd w:id="96"/>
      <w:bookmarkEnd w:id="97"/>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8" w:name="_Toc494702269"/>
      <w:bookmarkStart w:id="99" w:name="_Toc495861549"/>
      <w:bookmarkStart w:id="100" w:name="_Toc494745316"/>
      <w:bookmarkStart w:id="101" w:name="_Toc494721099"/>
      <w:bookmarkStart w:id="102" w:name="_Toc494665949"/>
      <w:bookmarkStart w:id="103" w:name="_Toc494664999"/>
      <w:bookmarkStart w:id="104" w:name="_Toc494665552"/>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5" w:name="_Toc494702270"/>
      <w:bookmarkStart w:id="106" w:name="_Toc494665553"/>
      <w:bookmarkStart w:id="107" w:name="_Toc494665000"/>
      <w:bookmarkStart w:id="108" w:name="_Toc494721100"/>
      <w:bookmarkStart w:id="109" w:name="_Toc494665950"/>
      <w:bookmarkStart w:id="110"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4"/>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7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11" w:name="_Toc494721101"/>
      <w:bookmarkStart w:id="112" w:name="_Toc495861550"/>
      <w:bookmarkStart w:id="113" w:name="_Toc494702271"/>
      <w:bookmarkStart w:id="114" w:name="_Toc238276242"/>
      <w:bookmarkStart w:id="115" w:name="_Toc494665001"/>
      <w:bookmarkStart w:id="116" w:name="_Toc494665951"/>
      <w:bookmarkStart w:id="117" w:name="_Toc494745318"/>
      <w:bookmarkStart w:id="118" w:name="_Toc236473298"/>
      <w:bookmarkStart w:id="119" w:name="_Toc494665554"/>
      <w:r>
        <w:rPr>
          <w:rFonts w:hint="eastAsia" w:ascii="宋体" w:hAnsi="宋体" w:eastAsia="宋体"/>
        </w:rPr>
        <w:t>投标书</w:t>
      </w:r>
      <w:bookmarkEnd w:id="111"/>
      <w:bookmarkEnd w:id="112"/>
      <w:bookmarkEnd w:id="113"/>
      <w:bookmarkEnd w:id="114"/>
      <w:bookmarkEnd w:id="115"/>
      <w:bookmarkEnd w:id="116"/>
      <w:bookmarkEnd w:id="117"/>
      <w:bookmarkEnd w:id="118"/>
      <w:bookmarkEnd w:id="119"/>
    </w:p>
    <w:p>
      <w:pPr>
        <w:spacing w:line="360" w:lineRule="auto"/>
        <w:rPr>
          <w:b/>
          <w:sz w:val="28"/>
          <w:szCs w:val="28"/>
        </w:rPr>
      </w:pPr>
      <w:r>
        <w:rPr>
          <w:rFonts w:hint="eastAsia"/>
          <w:b/>
          <w:sz w:val="28"/>
          <w:szCs w:val="28"/>
        </w:rPr>
        <w:t>采购</w:t>
      </w:r>
      <w:r>
        <w:rPr>
          <w:rFonts w:hint="eastAsia"/>
          <w:b/>
          <w:color w:val="auto"/>
          <w:sz w:val="28"/>
          <w:szCs w:val="28"/>
        </w:rPr>
        <w:t>人（或采购代理公司）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20" w:name="_Toc494665002"/>
      <w:bookmarkStart w:id="121" w:name="_Toc494745319"/>
      <w:bookmarkStart w:id="122" w:name="_Toc494702272"/>
      <w:bookmarkStart w:id="123" w:name="_Toc494721102"/>
      <w:bookmarkStart w:id="124" w:name="_Toc495861551"/>
      <w:bookmarkStart w:id="125" w:name="_Toc494665555"/>
      <w:bookmarkStart w:id="126" w:name="_Toc494665952"/>
      <w:r>
        <w:rPr>
          <w:rFonts w:hint="eastAsia" w:ascii="宋体" w:hAnsi="宋体" w:eastAsia="宋体"/>
        </w:rPr>
        <w:t>制造商中小企业声明函</w:t>
      </w:r>
      <w:bookmarkEnd w:id="120"/>
      <w:bookmarkEnd w:id="121"/>
      <w:bookmarkEnd w:id="122"/>
      <w:bookmarkEnd w:id="123"/>
      <w:bookmarkEnd w:id="124"/>
      <w:bookmarkEnd w:id="125"/>
      <w:bookmarkEnd w:id="12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2"/>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2"/>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2"/>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27" w:name="_Toc494721103"/>
      <w:bookmarkStart w:id="128" w:name="_Toc494702273"/>
      <w:bookmarkStart w:id="129" w:name="_Toc456264006"/>
      <w:bookmarkStart w:id="130" w:name="_Toc494665953"/>
      <w:bookmarkStart w:id="131" w:name="_Toc494745320"/>
      <w:bookmarkStart w:id="132" w:name="_Toc494665003"/>
      <w:bookmarkStart w:id="133" w:name="_Toc494665556"/>
      <w:bookmarkStart w:id="134" w:name="_Toc495861552"/>
      <w:r>
        <w:rPr>
          <w:rFonts w:hint="eastAsia" w:ascii="宋体" w:hAnsi="宋体" w:eastAsia="宋体"/>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5" w:name="_Toc476153619"/>
      <w:r>
        <w:rPr>
          <w:rFonts w:hint="eastAsia" w:ascii="宋体" w:hAnsi="宋体" w:eastAsia="宋体" w:cs="Times New Roman"/>
          <w:b/>
          <w:sz w:val="30"/>
          <w:szCs w:val="30"/>
          <w:lang w:val="zh-CN"/>
        </w:rPr>
        <w:t>中小企业划型标准</w:t>
      </w:r>
      <w:bookmarkEnd w:id="135"/>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5"/>
        </w:numPr>
        <w:spacing w:before="100" w:beforeAutospacing="1" w:afterLines="50" w:line="360" w:lineRule="auto"/>
        <w:ind w:left="1288" w:hanging="1288"/>
        <w:rPr>
          <w:rFonts w:ascii="宋体" w:hAnsi="宋体" w:eastAsia="宋体"/>
        </w:rPr>
      </w:pPr>
      <w:bookmarkStart w:id="136" w:name="_Toc495861553"/>
      <w:bookmarkStart w:id="137" w:name="_Toc494702274"/>
      <w:bookmarkStart w:id="138" w:name="_Toc494665557"/>
      <w:bookmarkStart w:id="139" w:name="_Toc494721104"/>
      <w:bookmarkStart w:id="140" w:name="_Toc494665004"/>
      <w:bookmarkStart w:id="141" w:name="_Toc494665954"/>
      <w:bookmarkStart w:id="142" w:name="_Toc494745321"/>
      <w:r>
        <w:rPr>
          <w:rFonts w:hint="eastAsia" w:ascii="宋体" w:hAnsi="宋体" w:eastAsia="宋体"/>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pStyle w:val="12"/>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2"/>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7"/>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2"/>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color w:val="auto"/>
          <w:sz w:val="28"/>
          <w:szCs w:val="28"/>
        </w:rPr>
      </w:pPr>
      <w:r>
        <w:rPr>
          <w:rFonts w:hint="eastAsia"/>
          <w:b/>
          <w:sz w:val="28"/>
          <w:szCs w:val="28"/>
        </w:rPr>
        <w:t>采</w:t>
      </w:r>
      <w:r>
        <w:rPr>
          <w:rFonts w:hint="eastAsia"/>
          <w:b/>
          <w:color w:val="auto"/>
          <w:sz w:val="28"/>
          <w:szCs w:val="28"/>
        </w:rPr>
        <w:t>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43" w:name="_Toc494745322"/>
      <w:bookmarkStart w:id="144" w:name="_Toc494665955"/>
      <w:bookmarkStart w:id="145" w:name="_Toc494702275"/>
      <w:bookmarkStart w:id="146" w:name="_Toc494665558"/>
      <w:bookmarkStart w:id="147" w:name="_Toc494665005"/>
      <w:bookmarkStart w:id="148" w:name="_Toc494721105"/>
      <w:bookmarkStart w:id="149" w:name="_Toc495861554"/>
      <w:bookmarkStart w:id="150" w:name="_Toc494577410"/>
      <w:r>
        <w:rPr>
          <w:rFonts w:hint="eastAsia" w:ascii="宋体" w:hAnsi="宋体" w:eastAsia="宋体"/>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w:t>
            </w:r>
            <w:r>
              <w:rPr>
                <w:rFonts w:hint="eastAsia" w:ascii="宋体" w:hAnsi="宋体" w:eastAsia="宋体" w:cs="宋体"/>
                <w:kern w:val="0"/>
                <w:sz w:val="24"/>
                <w:szCs w:val="24"/>
                <w:lang w:eastAsia="zh-CN"/>
              </w:rPr>
              <w:t>拾</w:t>
            </w:r>
            <w:r>
              <w:rPr>
                <w:rFonts w:hint="eastAsia" w:ascii="宋体" w:hAnsi="宋体" w:eastAsia="宋体" w:cs="宋体"/>
                <w:kern w:val="0"/>
                <w:sz w:val="24"/>
                <w:szCs w:val="24"/>
              </w:rPr>
              <w:t>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51" w:name="_Toc494665559"/>
      <w:bookmarkStart w:id="152" w:name="_Toc494665956"/>
      <w:bookmarkStart w:id="153" w:name="_Toc494702276"/>
      <w:bookmarkStart w:id="154" w:name="_Toc494665006"/>
      <w:bookmarkStart w:id="155" w:name="_Toc495861555"/>
      <w:bookmarkStart w:id="156" w:name="_Toc494577411"/>
      <w:bookmarkStart w:id="157" w:name="_Toc494721106"/>
      <w:bookmarkStart w:id="158" w:name="_Toc494745323"/>
      <w:r>
        <w:rPr>
          <w:rFonts w:hint="eastAsia" w:ascii="宋体" w:hAnsi="宋体" w:eastAsia="宋体"/>
        </w:rPr>
        <w:t>投标报价明细表</w:t>
      </w:r>
      <w:bookmarkEnd w:id="151"/>
      <w:bookmarkEnd w:id="152"/>
      <w:bookmarkEnd w:id="153"/>
      <w:bookmarkEnd w:id="154"/>
      <w:bookmarkEnd w:id="155"/>
      <w:bookmarkEnd w:id="156"/>
      <w:bookmarkEnd w:id="157"/>
      <w:bookmarkEnd w:id="15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288" w:hanging="1288"/>
        <w:rPr>
          <w:rFonts w:ascii="宋体" w:hAnsi="宋体" w:eastAsia="宋体"/>
          <w:sz w:val="31"/>
          <w:szCs w:val="31"/>
        </w:rPr>
      </w:pPr>
      <w:bookmarkStart w:id="159" w:name="_Toc495861556"/>
      <w:bookmarkStart w:id="160" w:name="_Toc494577412"/>
      <w:bookmarkStart w:id="161" w:name="_Toc494702277"/>
      <w:bookmarkStart w:id="162" w:name="_Toc494721107"/>
      <w:bookmarkStart w:id="163" w:name="_Toc494745324"/>
      <w:bookmarkStart w:id="164" w:name="_Toc494665007"/>
      <w:bookmarkStart w:id="165" w:name="_Toc494665957"/>
      <w:bookmarkStart w:id="166" w:name="_Toc494665560"/>
      <w:r>
        <w:rPr>
          <w:rFonts w:hint="eastAsia" w:ascii="宋体" w:hAnsi="宋体" w:eastAsia="宋体"/>
          <w:sz w:val="31"/>
          <w:szCs w:val="31"/>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67" w:name="_Toc495861557"/>
      <w:bookmarkStart w:id="168" w:name="_Toc494702278"/>
      <w:bookmarkStart w:id="169" w:name="_Toc494665008"/>
      <w:bookmarkStart w:id="170" w:name="_Toc494745325"/>
      <w:bookmarkStart w:id="171" w:name="_Toc494721108"/>
      <w:bookmarkStart w:id="172" w:name="_Toc494665561"/>
      <w:bookmarkStart w:id="173" w:name="_Toc494665958"/>
      <w:r>
        <w:rPr>
          <w:rFonts w:hint="eastAsia" w:ascii="宋体" w:hAnsi="宋体" w:eastAsia="宋体"/>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74" w:name="_Toc494665562"/>
      <w:bookmarkStart w:id="175" w:name="_Toc494665959"/>
      <w:bookmarkStart w:id="176" w:name="_Toc494721109"/>
      <w:bookmarkStart w:id="177" w:name="_Toc494702279"/>
      <w:bookmarkStart w:id="178" w:name="_Toc494745326"/>
      <w:bookmarkStart w:id="179" w:name="_Toc494665009"/>
      <w:bookmarkStart w:id="180" w:name="_Toc495861558"/>
      <w:r>
        <w:rPr>
          <w:rFonts w:hint="eastAsia" w:ascii="宋体" w:hAnsi="宋体" w:eastAsia="宋体"/>
        </w:rPr>
        <w:t>交纳投标保证金的银行凭证</w:t>
      </w:r>
      <w:bookmarkEnd w:id="174"/>
      <w:bookmarkEnd w:id="175"/>
      <w:bookmarkEnd w:id="176"/>
      <w:bookmarkEnd w:id="177"/>
      <w:bookmarkEnd w:id="178"/>
      <w:bookmarkEnd w:id="179"/>
      <w:bookmarkEnd w:id="180"/>
    </w:p>
    <w:p>
      <w:pPr>
        <w:spacing w:line="480" w:lineRule="auto"/>
        <w:rPr>
          <w:rFonts w:ascii="宋体" w:hAnsi="宋体" w:cs="Courier New"/>
          <w:b/>
          <w:color w:val="auto"/>
          <w:sz w:val="28"/>
          <w:szCs w:val="28"/>
        </w:rPr>
      </w:pPr>
      <w:r>
        <w:rPr>
          <w:rFonts w:hint="eastAsia"/>
          <w:b/>
          <w:sz w:val="28"/>
          <w:szCs w:val="28"/>
        </w:rPr>
        <w:t>采购人</w:t>
      </w:r>
      <w:r>
        <w:rPr>
          <w:rFonts w:hint="eastAsia"/>
          <w:b/>
          <w:color w:val="auto"/>
          <w:sz w:val="28"/>
          <w:szCs w:val="28"/>
        </w:rPr>
        <w:t>（或代理公司）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5"/>
        </w:numPr>
        <w:spacing w:before="100" w:beforeAutospacing="1" w:afterLines="50" w:line="360" w:lineRule="auto"/>
        <w:ind w:left="1288" w:hanging="1288"/>
        <w:rPr>
          <w:rFonts w:ascii="宋体" w:hAnsi="宋体" w:eastAsia="宋体"/>
        </w:rPr>
      </w:pPr>
      <w:bookmarkStart w:id="181" w:name="_Toc236473303"/>
      <w:bookmarkStart w:id="182" w:name="_Toc494665010"/>
      <w:bookmarkStart w:id="183" w:name="_Toc494702280"/>
      <w:bookmarkStart w:id="184" w:name="_Toc238276247"/>
      <w:bookmarkStart w:id="185" w:name="_Toc494665563"/>
      <w:bookmarkStart w:id="186" w:name="_Toc494745327"/>
      <w:bookmarkStart w:id="187" w:name="_Toc495861559"/>
      <w:bookmarkStart w:id="188" w:name="_Toc494665960"/>
      <w:bookmarkStart w:id="189" w:name="_Toc494721110"/>
      <w:r>
        <w:rPr>
          <w:rFonts w:hint="eastAsia" w:ascii="宋体" w:hAnsi="宋体" w:eastAsia="宋体"/>
        </w:rPr>
        <w:t>法定代表人授权书</w:t>
      </w:r>
      <w:bookmarkEnd w:id="181"/>
      <w:bookmarkEnd w:id="182"/>
      <w:bookmarkEnd w:id="183"/>
      <w:bookmarkEnd w:id="184"/>
      <w:bookmarkEnd w:id="185"/>
      <w:bookmarkEnd w:id="186"/>
      <w:bookmarkEnd w:id="187"/>
      <w:bookmarkEnd w:id="188"/>
      <w:bookmarkEnd w:id="189"/>
    </w:p>
    <w:p>
      <w:pPr>
        <w:spacing w:line="480" w:lineRule="auto"/>
        <w:rPr>
          <w:rFonts w:ascii="宋体" w:hAnsi="宋体" w:eastAsia="宋体" w:cs="Times New Roman"/>
          <w:b/>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5"/>
        </w:numPr>
        <w:spacing w:before="100" w:beforeAutospacing="1" w:afterLines="50" w:line="360" w:lineRule="auto"/>
        <w:ind w:left="1610" w:hanging="1610"/>
        <w:rPr>
          <w:rFonts w:ascii="宋体" w:hAnsi="宋体" w:eastAsia="宋体"/>
        </w:rPr>
      </w:pPr>
      <w:bookmarkStart w:id="190" w:name="_Toc238276248"/>
      <w:bookmarkStart w:id="191" w:name="_Toc494665564"/>
      <w:bookmarkStart w:id="192" w:name="_Toc494745328"/>
      <w:bookmarkStart w:id="193" w:name="_Toc494665011"/>
      <w:bookmarkStart w:id="194" w:name="_Toc495861560"/>
      <w:bookmarkStart w:id="195" w:name="_Toc494721111"/>
      <w:bookmarkStart w:id="196" w:name="_Toc236473304"/>
      <w:bookmarkStart w:id="197" w:name="_Toc494702281"/>
      <w:bookmarkStart w:id="198" w:name="_Toc494665961"/>
      <w:r>
        <w:rPr>
          <w:rFonts w:hint="eastAsia" w:ascii="宋体" w:hAnsi="宋体" w:eastAsia="宋体"/>
        </w:rPr>
        <w:t>投标人的资格声明</w:t>
      </w:r>
      <w:bookmarkEnd w:id="190"/>
      <w:bookmarkEnd w:id="191"/>
      <w:bookmarkEnd w:id="192"/>
      <w:bookmarkEnd w:id="193"/>
      <w:bookmarkEnd w:id="194"/>
      <w:bookmarkEnd w:id="195"/>
      <w:bookmarkEnd w:id="196"/>
      <w:bookmarkEnd w:id="197"/>
      <w:bookmarkEnd w:id="198"/>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5"/>
        </w:numPr>
        <w:spacing w:before="100" w:beforeAutospacing="1" w:afterLines="50" w:line="360" w:lineRule="auto"/>
        <w:ind w:left="1610" w:hanging="1610"/>
        <w:rPr>
          <w:rFonts w:ascii="宋体" w:hAnsi="宋体" w:eastAsia="宋体"/>
        </w:rPr>
      </w:pPr>
      <w:bookmarkStart w:id="199" w:name="_Toc494721112"/>
      <w:bookmarkStart w:id="200" w:name="_Toc495861561"/>
      <w:bookmarkStart w:id="201" w:name="_Toc494745329"/>
      <w:bookmarkStart w:id="202" w:name="_Toc494665565"/>
      <w:bookmarkStart w:id="203" w:name="_Toc494665962"/>
      <w:bookmarkStart w:id="204" w:name="_Toc494665012"/>
      <w:bookmarkStart w:id="205" w:name="_Toc494702282"/>
      <w:r>
        <w:rPr>
          <w:rFonts w:hint="eastAsia" w:ascii="宋体" w:hAnsi="宋体" w:eastAsia="宋体"/>
        </w:rPr>
        <w:t>项目负责人、技术负责人简历表</w:t>
      </w:r>
      <w:bookmarkEnd w:id="199"/>
      <w:bookmarkEnd w:id="200"/>
      <w:bookmarkEnd w:id="201"/>
      <w:bookmarkEnd w:id="202"/>
      <w:bookmarkEnd w:id="203"/>
      <w:bookmarkEnd w:id="204"/>
      <w:bookmarkEnd w:id="20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06" w:name="_Toc494665566"/>
      <w:bookmarkStart w:id="207" w:name="_Toc494702283"/>
      <w:bookmarkStart w:id="208" w:name="_Toc494745330"/>
      <w:bookmarkStart w:id="209" w:name="_Toc494665963"/>
      <w:bookmarkStart w:id="210" w:name="_Toc238276251"/>
      <w:bookmarkStart w:id="211" w:name="_Toc236473307"/>
      <w:bookmarkStart w:id="212" w:name="_Toc495861562"/>
      <w:bookmarkStart w:id="213" w:name="_Toc494665013"/>
      <w:bookmarkStart w:id="214" w:name="_Toc494721113"/>
      <w:r>
        <w:rPr>
          <w:rFonts w:hint="eastAsia" w:ascii="宋体" w:hAnsi="宋体" w:eastAsia="宋体"/>
        </w:rPr>
        <w:t>项目班子成员情况表</w:t>
      </w:r>
      <w:bookmarkEnd w:id="206"/>
      <w:bookmarkEnd w:id="207"/>
      <w:bookmarkEnd w:id="208"/>
      <w:bookmarkEnd w:id="209"/>
      <w:bookmarkEnd w:id="210"/>
      <w:bookmarkEnd w:id="211"/>
      <w:bookmarkEnd w:id="212"/>
      <w:bookmarkEnd w:id="213"/>
      <w:bookmarkEnd w:id="21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15" w:name="_Toc236473312"/>
      <w:bookmarkStart w:id="216" w:name="_Toc238276256"/>
      <w:bookmarkStart w:id="217" w:name="_Toc494665567"/>
      <w:bookmarkStart w:id="218" w:name="_Toc494721114"/>
      <w:bookmarkStart w:id="219" w:name="_Toc494702284"/>
      <w:bookmarkStart w:id="220" w:name="_Toc494745331"/>
      <w:bookmarkStart w:id="221" w:name="_Toc495861563"/>
      <w:bookmarkStart w:id="222" w:name="_Toc494665014"/>
      <w:bookmarkStart w:id="223" w:name="_Toc494665964"/>
      <w:r>
        <w:rPr>
          <w:rFonts w:hint="eastAsia" w:ascii="宋体" w:hAnsi="宋体" w:eastAsia="宋体"/>
        </w:rPr>
        <w:t>投标人类似项目业绩表</w:t>
      </w:r>
      <w:bookmarkEnd w:id="215"/>
      <w:bookmarkEnd w:id="216"/>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24" w:name="_Toc494702285"/>
      <w:bookmarkStart w:id="225" w:name="_Toc494665965"/>
      <w:bookmarkStart w:id="226" w:name="_Toc494665568"/>
      <w:bookmarkStart w:id="227" w:name="_Toc494721115"/>
      <w:bookmarkStart w:id="228" w:name="_Toc495861564"/>
      <w:bookmarkStart w:id="229" w:name="_Toc494745332"/>
      <w:bookmarkStart w:id="230" w:name="_Toc494665015"/>
      <w:r>
        <w:rPr>
          <w:rFonts w:hint="eastAsia" w:ascii="宋体" w:hAnsi="宋体" w:eastAsia="宋体"/>
        </w:rPr>
        <w:t>符合性审查对照表</w:t>
      </w:r>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31" w:name="_Toc494665016"/>
      <w:bookmarkStart w:id="232" w:name="_Toc495861565"/>
      <w:bookmarkStart w:id="233" w:name="_Toc494745333"/>
      <w:bookmarkStart w:id="234" w:name="_Toc494665569"/>
      <w:bookmarkStart w:id="235" w:name="_Toc494702286"/>
      <w:bookmarkStart w:id="236" w:name="_Toc494665966"/>
      <w:bookmarkStart w:id="237" w:name="_Toc494721116"/>
      <w:r>
        <w:rPr>
          <w:rFonts w:hint="eastAsia" w:ascii="宋体" w:hAnsi="宋体" w:eastAsia="宋体"/>
        </w:rPr>
        <w:t>商务要求响应、偏离说明表</w:t>
      </w:r>
      <w:bookmarkEnd w:id="231"/>
      <w:bookmarkEnd w:id="232"/>
      <w:bookmarkEnd w:id="233"/>
      <w:bookmarkEnd w:id="234"/>
      <w:bookmarkEnd w:id="235"/>
      <w:bookmarkEnd w:id="236"/>
      <w:bookmarkEnd w:id="23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38" w:name="_Toc495861566"/>
      <w:bookmarkStart w:id="239" w:name="_Toc494745334"/>
      <w:bookmarkStart w:id="240" w:name="_Toc494721117"/>
      <w:bookmarkStart w:id="241" w:name="_Toc494665017"/>
      <w:bookmarkStart w:id="242" w:name="_Toc494702287"/>
      <w:bookmarkStart w:id="243" w:name="_Toc494665570"/>
      <w:bookmarkStart w:id="244" w:name="_Toc494665967"/>
      <w:r>
        <w:rPr>
          <w:rFonts w:hint="eastAsia" w:ascii="宋体" w:hAnsi="宋体" w:eastAsia="宋体"/>
        </w:rPr>
        <w:t>商务要求“★”号条款响应、偏离说明表</w:t>
      </w:r>
      <w:bookmarkEnd w:id="238"/>
      <w:bookmarkEnd w:id="239"/>
      <w:bookmarkEnd w:id="240"/>
      <w:bookmarkEnd w:id="241"/>
      <w:bookmarkEnd w:id="242"/>
      <w:bookmarkEnd w:id="243"/>
      <w:bookmarkEnd w:id="24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45" w:name="_Toc495861567"/>
      <w:bookmarkStart w:id="246" w:name="_Toc494665968"/>
      <w:bookmarkStart w:id="247" w:name="_Toc494745335"/>
      <w:bookmarkStart w:id="248" w:name="_Toc494702288"/>
      <w:bookmarkStart w:id="249" w:name="_Toc494665018"/>
      <w:bookmarkStart w:id="250" w:name="_Toc494721118"/>
      <w:bookmarkStart w:id="251" w:name="_Toc494665571"/>
      <w:r>
        <w:rPr>
          <w:rFonts w:hint="eastAsia" w:ascii="宋体" w:hAnsi="宋体" w:eastAsia="宋体"/>
        </w:rPr>
        <w:t>商务评议对照表</w:t>
      </w:r>
      <w:bookmarkEnd w:id="245"/>
      <w:bookmarkEnd w:id="246"/>
      <w:bookmarkEnd w:id="247"/>
      <w:bookmarkEnd w:id="248"/>
      <w:bookmarkEnd w:id="249"/>
      <w:bookmarkEnd w:id="250"/>
      <w:bookmarkEnd w:id="25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52" w:name="_Toc494702289"/>
      <w:bookmarkStart w:id="253" w:name="_Toc494745336"/>
      <w:bookmarkStart w:id="254" w:name="_Toc494721119"/>
      <w:bookmarkStart w:id="255" w:name="_Toc495861568"/>
      <w:bookmarkStart w:id="256" w:name="_Toc494665969"/>
      <w:bookmarkStart w:id="257" w:name="_Toc494665572"/>
      <w:bookmarkStart w:id="258" w:name="_Toc494665019"/>
      <w:r>
        <w:rPr>
          <w:rFonts w:hint="eastAsia" w:ascii="宋体" w:hAnsi="宋体" w:eastAsia="宋体"/>
        </w:rPr>
        <w:t>技术、服务要求响应、偏离说明表</w:t>
      </w:r>
      <w:bookmarkEnd w:id="252"/>
      <w:bookmarkEnd w:id="253"/>
      <w:bookmarkEnd w:id="254"/>
      <w:bookmarkEnd w:id="255"/>
      <w:bookmarkEnd w:id="256"/>
      <w:bookmarkEnd w:id="257"/>
      <w:bookmarkEnd w:id="25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59" w:name="_Toc494665573"/>
      <w:bookmarkStart w:id="260" w:name="_Toc494745337"/>
      <w:bookmarkStart w:id="261" w:name="_Toc494721120"/>
      <w:bookmarkStart w:id="262" w:name="_Toc495861569"/>
      <w:bookmarkStart w:id="263" w:name="_Toc494665020"/>
      <w:bookmarkStart w:id="264" w:name="_Toc494665970"/>
      <w:bookmarkStart w:id="265" w:name="_Toc494702290"/>
      <w:bookmarkStart w:id="266" w:name="_Toc329859066"/>
      <w:r>
        <w:rPr>
          <w:rFonts w:hint="eastAsia" w:ascii="宋体" w:hAnsi="宋体" w:eastAsia="宋体"/>
        </w:rPr>
        <w:t>技术、服务要求“★”号条款响应、偏离说明表</w:t>
      </w:r>
      <w:bookmarkEnd w:id="259"/>
      <w:bookmarkEnd w:id="260"/>
      <w:bookmarkEnd w:id="261"/>
      <w:bookmarkEnd w:id="262"/>
      <w:bookmarkEnd w:id="263"/>
      <w:bookmarkEnd w:id="264"/>
      <w:bookmarkEnd w:id="2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6"/>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5"/>
        </w:numPr>
        <w:spacing w:before="100" w:beforeAutospacing="1" w:afterLines="50" w:line="360" w:lineRule="auto"/>
        <w:ind w:left="1610" w:hanging="1610"/>
        <w:rPr>
          <w:rFonts w:ascii="宋体" w:hAnsi="宋体" w:eastAsia="宋体"/>
        </w:rPr>
      </w:pPr>
      <w:bookmarkStart w:id="267" w:name="_Toc494665574"/>
      <w:bookmarkStart w:id="268" w:name="_Toc494721121"/>
      <w:bookmarkStart w:id="269" w:name="_Toc494745338"/>
      <w:bookmarkStart w:id="270" w:name="_Toc494665971"/>
      <w:bookmarkStart w:id="271" w:name="_Toc494665021"/>
      <w:bookmarkStart w:id="272" w:name="_Toc494702291"/>
      <w:bookmarkStart w:id="273" w:name="_Toc495861570"/>
      <w:r>
        <w:rPr>
          <w:rFonts w:hint="eastAsia" w:ascii="宋体" w:hAnsi="宋体" w:eastAsia="宋体"/>
        </w:rPr>
        <w:t>技术、服务评议对照表</w:t>
      </w:r>
      <w:bookmarkEnd w:id="267"/>
      <w:bookmarkEnd w:id="268"/>
      <w:bookmarkEnd w:id="269"/>
      <w:bookmarkEnd w:id="270"/>
      <w:bookmarkEnd w:id="271"/>
      <w:bookmarkEnd w:id="272"/>
      <w:bookmarkEnd w:id="27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8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sNewRoman">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广州穗科建设管理有限公司</w:t>
    </w:r>
    <w:r>
      <w:rPr>
        <w:rFonts w:hint="eastAsia" w:asciiTheme="minorEastAsia" w:hAnsiTheme="minorEastAsia"/>
      </w:rPr>
      <w:t>制</w:t>
    </w:r>
  </w:p>
  <w:p>
    <w:pPr>
      <w:pStyle w:val="16"/>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lear" w:pos="4153"/>
      </w:tabs>
      <w:jc w:val="left"/>
      <w:rPr>
        <w:rFonts w:hint="eastAsia" w:eastAsiaTheme="minorEastAsia"/>
        <w:b/>
        <w:u w:val="none"/>
        <w:lang w:eastAsia="zh-CN"/>
      </w:rPr>
    </w:pPr>
    <w:r>
      <w:rPr>
        <w:rFonts w:hint="eastAsia"/>
        <w:b/>
        <w:u w:val="none"/>
      </w:rPr>
      <w:t>项目名称</w:t>
    </w:r>
    <w:r>
      <w:rPr>
        <w:rFonts w:hint="eastAsia" w:asciiTheme="minorEastAsia" w:hAnsiTheme="minorEastAsia"/>
        <w:b/>
        <w:u w:val="none"/>
      </w:rPr>
      <w:t>：</w:t>
    </w:r>
    <w:r>
      <w:rPr>
        <w:rFonts w:hint="eastAsia"/>
        <w:b/>
        <w:u w:val="none"/>
        <w:lang w:eastAsia="zh-CN"/>
      </w:rPr>
      <w:t>阳新县人民医院医疗设备采购项目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ED31B"/>
    <w:multiLevelType w:val="singleLevel"/>
    <w:tmpl w:val="D04ED31B"/>
    <w:lvl w:ilvl="0" w:tentative="0">
      <w:start w:val="2"/>
      <w:numFmt w:val="chineseCounting"/>
      <w:suff w:val="nothing"/>
      <w:lvlText w:val="%1、"/>
      <w:lvlJc w:val="left"/>
      <w:rPr>
        <w:rFonts w:hint="eastAsia"/>
      </w:rPr>
    </w:lvl>
  </w:abstractNum>
  <w:abstractNum w:abstractNumId="1">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1"/>
    <w:multiLevelType w:val="multilevel"/>
    <w:tmpl w:val="00000021"/>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2C"/>
    <w:multiLevelType w:val="multilevel"/>
    <w:tmpl w:val="0000002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0000006E"/>
    <w:multiLevelType w:val="multilevel"/>
    <w:tmpl w:val="0000006E"/>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3">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93028FD"/>
    <w:multiLevelType w:val="multilevel"/>
    <w:tmpl w:val="093028FD"/>
    <w:lvl w:ilvl="0" w:tentative="0">
      <w:start w:val="8"/>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8">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5">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7">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0">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4">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1">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3">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4CD946C1"/>
    <w:multiLevelType w:val="singleLevel"/>
    <w:tmpl w:val="4CD946C1"/>
    <w:lvl w:ilvl="0" w:tentative="0">
      <w:start w:val="2"/>
      <w:numFmt w:val="chineseCounting"/>
      <w:suff w:val="nothing"/>
      <w:lvlText w:val="（%1）"/>
      <w:lvlJc w:val="left"/>
      <w:rPr>
        <w:rFonts w:hint="eastAsia"/>
      </w:rPr>
    </w:lvl>
  </w:abstractNum>
  <w:abstractNum w:abstractNumId="56">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7">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2">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3">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6">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B81BFFD"/>
    <w:multiLevelType w:val="singleLevel"/>
    <w:tmpl w:val="6B81BFFD"/>
    <w:lvl w:ilvl="0" w:tentative="0">
      <w:start w:val="4"/>
      <w:numFmt w:val="chineseCounting"/>
      <w:suff w:val="nothing"/>
      <w:lvlText w:val="%1、"/>
      <w:lvlJc w:val="left"/>
      <w:rPr>
        <w:rFonts w:hint="eastAsia"/>
      </w:rPr>
    </w:lvl>
  </w:abstractNum>
  <w:abstractNum w:abstractNumId="69">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71">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4">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5">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8">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7"/>
  </w:num>
  <w:num w:numId="2">
    <w:abstractNumId w:val="68"/>
  </w:num>
  <w:num w:numId="3">
    <w:abstractNumId w:val="47"/>
  </w:num>
  <w:num w:numId="4">
    <w:abstractNumId w:val="59"/>
  </w:num>
  <w:num w:numId="5">
    <w:abstractNumId w:val="19"/>
  </w:num>
  <w:num w:numId="6">
    <w:abstractNumId w:val="53"/>
  </w:num>
  <w:num w:numId="7">
    <w:abstractNumId w:val="33"/>
  </w:num>
  <w:num w:numId="8">
    <w:abstractNumId w:val="23"/>
  </w:num>
  <w:num w:numId="9">
    <w:abstractNumId w:val="65"/>
  </w:num>
  <w:num w:numId="10">
    <w:abstractNumId w:val="48"/>
  </w:num>
  <w:num w:numId="11">
    <w:abstractNumId w:val="61"/>
  </w:num>
  <w:num w:numId="12">
    <w:abstractNumId w:val="46"/>
  </w:num>
  <w:num w:numId="13">
    <w:abstractNumId w:val="22"/>
  </w:num>
  <w:num w:numId="14">
    <w:abstractNumId w:val="40"/>
  </w:num>
  <w:num w:numId="15">
    <w:abstractNumId w:val="41"/>
  </w:num>
  <w:num w:numId="16">
    <w:abstractNumId w:val="27"/>
  </w:num>
  <w:num w:numId="17">
    <w:abstractNumId w:val="26"/>
  </w:num>
  <w:num w:numId="18">
    <w:abstractNumId w:val="75"/>
  </w:num>
  <w:num w:numId="19">
    <w:abstractNumId w:val="28"/>
  </w:num>
  <w:num w:numId="20">
    <w:abstractNumId w:val="45"/>
  </w:num>
  <w:num w:numId="21">
    <w:abstractNumId w:val="52"/>
  </w:num>
  <w:num w:numId="22">
    <w:abstractNumId w:val="78"/>
  </w:num>
  <w:num w:numId="23">
    <w:abstractNumId w:val="60"/>
  </w:num>
  <w:num w:numId="24">
    <w:abstractNumId w:val="71"/>
  </w:num>
  <w:num w:numId="25">
    <w:abstractNumId w:val="76"/>
  </w:num>
  <w:num w:numId="26">
    <w:abstractNumId w:val="58"/>
  </w:num>
  <w:num w:numId="27">
    <w:abstractNumId w:val="25"/>
  </w:num>
  <w:num w:numId="28">
    <w:abstractNumId w:val="37"/>
  </w:num>
  <w:num w:numId="29">
    <w:abstractNumId w:val="72"/>
  </w:num>
  <w:num w:numId="30">
    <w:abstractNumId w:val="66"/>
  </w:num>
  <w:num w:numId="31">
    <w:abstractNumId w:val="51"/>
  </w:num>
  <w:num w:numId="32">
    <w:abstractNumId w:val="64"/>
  </w:num>
  <w:num w:numId="33">
    <w:abstractNumId w:val="42"/>
  </w:num>
  <w:num w:numId="34">
    <w:abstractNumId w:val="67"/>
  </w:num>
  <w:num w:numId="35">
    <w:abstractNumId w:val="18"/>
  </w:num>
  <w:num w:numId="36">
    <w:abstractNumId w:val="55"/>
  </w:num>
  <w:num w:numId="37">
    <w:abstractNumId w:val="54"/>
  </w:num>
  <w:num w:numId="38">
    <w:abstractNumId w:val="24"/>
  </w:num>
  <w:num w:numId="39">
    <w:abstractNumId w:val="0"/>
  </w:num>
  <w:num w:numId="40">
    <w:abstractNumId w:val="21"/>
  </w:num>
  <w:num w:numId="41">
    <w:abstractNumId w:val="12"/>
  </w:num>
  <w:num w:numId="42">
    <w:abstractNumId w:val="8"/>
  </w:num>
  <w:num w:numId="43">
    <w:abstractNumId w:val="7"/>
  </w:num>
  <w:num w:numId="44">
    <w:abstractNumId w:val="13"/>
  </w:num>
  <w:num w:numId="45">
    <w:abstractNumId w:val="3"/>
  </w:num>
  <w:num w:numId="46">
    <w:abstractNumId w:val="11"/>
  </w:num>
  <w:num w:numId="47">
    <w:abstractNumId w:val="4"/>
  </w:num>
  <w:num w:numId="48">
    <w:abstractNumId w:val="14"/>
  </w:num>
  <w:num w:numId="49">
    <w:abstractNumId w:val="2"/>
  </w:num>
  <w:num w:numId="50">
    <w:abstractNumId w:val="6"/>
  </w:num>
  <w:num w:numId="51">
    <w:abstractNumId w:val="1"/>
  </w:num>
  <w:num w:numId="52">
    <w:abstractNumId w:val="15"/>
  </w:num>
  <w:num w:numId="53">
    <w:abstractNumId w:val="5"/>
  </w:num>
  <w:num w:numId="54">
    <w:abstractNumId w:val="10"/>
  </w:num>
  <w:num w:numId="55">
    <w:abstractNumId w:val="9"/>
  </w:num>
  <w:num w:numId="56">
    <w:abstractNumId w:val="16"/>
  </w:num>
  <w:num w:numId="57">
    <w:abstractNumId w:val="49"/>
  </w:num>
  <w:num w:numId="58">
    <w:abstractNumId w:val="35"/>
  </w:num>
  <w:num w:numId="59">
    <w:abstractNumId w:val="63"/>
  </w:num>
  <w:num w:numId="60">
    <w:abstractNumId w:val="79"/>
  </w:num>
  <w:num w:numId="61">
    <w:abstractNumId w:val="36"/>
  </w:num>
  <w:num w:numId="62">
    <w:abstractNumId w:val="34"/>
  </w:num>
  <w:num w:numId="63">
    <w:abstractNumId w:val="17"/>
  </w:num>
  <w:num w:numId="64">
    <w:abstractNumId w:val="62"/>
    <w:lvlOverride w:ilvl="0">
      <w:startOverride w:val="1"/>
    </w:lvlOverride>
  </w:num>
  <w:num w:numId="65">
    <w:abstractNumId w:val="31"/>
  </w:num>
  <w:num w:numId="66">
    <w:abstractNumId w:val="43"/>
  </w:num>
  <w:num w:numId="67">
    <w:abstractNumId w:val="77"/>
  </w:num>
  <w:num w:numId="68">
    <w:abstractNumId w:val="70"/>
  </w:num>
  <w:num w:numId="69">
    <w:abstractNumId w:val="56"/>
  </w:num>
  <w:num w:numId="70">
    <w:abstractNumId w:val="30"/>
  </w:num>
  <w:num w:numId="71">
    <w:abstractNumId w:val="39"/>
  </w:num>
  <w:num w:numId="72">
    <w:abstractNumId w:val="73"/>
  </w:num>
  <w:num w:numId="73">
    <w:abstractNumId w:val="50"/>
  </w:num>
  <w:num w:numId="74">
    <w:abstractNumId w:val="74"/>
  </w:num>
  <w:num w:numId="75">
    <w:abstractNumId w:val="29"/>
  </w:num>
  <w:num w:numId="76">
    <w:abstractNumId w:val="69"/>
  </w:num>
  <w:num w:numId="77">
    <w:abstractNumId w:val="38"/>
  </w:num>
  <w:num w:numId="78">
    <w:abstractNumId w:val="20"/>
  </w:num>
  <w:num w:numId="79">
    <w:abstractNumId w:val="32"/>
  </w:num>
  <w:num w:numId="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6E775AC"/>
    <w:rsid w:val="0A6722A5"/>
    <w:rsid w:val="0D6F5C11"/>
    <w:rsid w:val="0EF80799"/>
    <w:rsid w:val="0F094BCA"/>
    <w:rsid w:val="0F1858A5"/>
    <w:rsid w:val="10E27459"/>
    <w:rsid w:val="10E55AF8"/>
    <w:rsid w:val="11923040"/>
    <w:rsid w:val="11957B06"/>
    <w:rsid w:val="12CD1E3A"/>
    <w:rsid w:val="14A94CF4"/>
    <w:rsid w:val="159A33B0"/>
    <w:rsid w:val="167F0D15"/>
    <w:rsid w:val="196041C6"/>
    <w:rsid w:val="1C0C6565"/>
    <w:rsid w:val="209A783A"/>
    <w:rsid w:val="21301669"/>
    <w:rsid w:val="22AD30BD"/>
    <w:rsid w:val="22E72707"/>
    <w:rsid w:val="236061AB"/>
    <w:rsid w:val="23FD7B71"/>
    <w:rsid w:val="24F63638"/>
    <w:rsid w:val="26F855C1"/>
    <w:rsid w:val="288276C8"/>
    <w:rsid w:val="28EC18A1"/>
    <w:rsid w:val="295E2013"/>
    <w:rsid w:val="2965017D"/>
    <w:rsid w:val="2C177BE4"/>
    <w:rsid w:val="2C312DD5"/>
    <w:rsid w:val="2DC5093D"/>
    <w:rsid w:val="2EFF44B0"/>
    <w:rsid w:val="304A6516"/>
    <w:rsid w:val="31614F93"/>
    <w:rsid w:val="31782EB3"/>
    <w:rsid w:val="31FC5DB5"/>
    <w:rsid w:val="350B2553"/>
    <w:rsid w:val="35697647"/>
    <w:rsid w:val="365A1F4A"/>
    <w:rsid w:val="3D955D30"/>
    <w:rsid w:val="3F8E7518"/>
    <w:rsid w:val="404F533F"/>
    <w:rsid w:val="41C32F69"/>
    <w:rsid w:val="4213428A"/>
    <w:rsid w:val="425732F6"/>
    <w:rsid w:val="44950120"/>
    <w:rsid w:val="45805AFC"/>
    <w:rsid w:val="493A18C5"/>
    <w:rsid w:val="4B3F4111"/>
    <w:rsid w:val="4C2D33F0"/>
    <w:rsid w:val="4CEB4BB9"/>
    <w:rsid w:val="4F10670E"/>
    <w:rsid w:val="517A21E4"/>
    <w:rsid w:val="51C24008"/>
    <w:rsid w:val="527F3B83"/>
    <w:rsid w:val="5F01496B"/>
    <w:rsid w:val="615B2B13"/>
    <w:rsid w:val="61FC1355"/>
    <w:rsid w:val="625D4F5F"/>
    <w:rsid w:val="628C48D0"/>
    <w:rsid w:val="63BF1EF6"/>
    <w:rsid w:val="668C644E"/>
    <w:rsid w:val="677E0586"/>
    <w:rsid w:val="68713C99"/>
    <w:rsid w:val="69222A26"/>
    <w:rsid w:val="6D001766"/>
    <w:rsid w:val="6D1E19C3"/>
    <w:rsid w:val="6DEA08AB"/>
    <w:rsid w:val="740F4333"/>
    <w:rsid w:val="77B23AD0"/>
    <w:rsid w:val="794842A6"/>
    <w:rsid w:val="7BC0350F"/>
    <w:rsid w:val="7C202697"/>
    <w:rsid w:val="7C2D6501"/>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9">
    <w:name w:val="Body Text Indent"/>
    <w:basedOn w:val="1"/>
    <w:next w:val="10"/>
    <w:semiHidden/>
    <w:qFormat/>
    <w:uiPriority w:val="0"/>
    <w:pPr>
      <w:spacing w:line="360" w:lineRule="auto"/>
      <w:ind w:left="720" w:hanging="720" w:hangingChars="300"/>
    </w:pPr>
    <w:rPr>
      <w:sz w:val="24"/>
      <w:szCs w:val="20"/>
    </w:rPr>
  </w:style>
  <w:style w:type="paragraph" w:styleId="10">
    <w:name w:val="Body Text First Indent 2"/>
    <w:basedOn w:val="9"/>
    <w:next w:val="1"/>
    <w:qFormat/>
    <w:uiPriority w:val="0"/>
    <w:pPr>
      <w:widowControl w:val="0"/>
      <w:spacing w:after="120"/>
      <w:ind w:left="420" w:leftChars="200" w:firstLine="420" w:firstLineChars="200"/>
    </w:pPr>
    <w:rPr>
      <w:color w:val="auto"/>
      <w:sz w:val="21"/>
      <w:szCs w:val="24"/>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39"/>
    <w:qFormat/>
    <w:uiPriority w:val="0"/>
    <w:rPr>
      <w:rFonts w:ascii="宋体" w:hAnsi="Courier New" w:cs="Courier New"/>
      <w:szCs w:val="21"/>
    </w:rPr>
  </w:style>
  <w:style w:type="paragraph" w:styleId="13">
    <w:name w:val="Date"/>
    <w:basedOn w:val="1"/>
    <w:next w:val="1"/>
    <w:qFormat/>
    <w:uiPriority w:val="0"/>
    <w:pPr>
      <w:ind w:left="100" w:leftChars="2500"/>
    </w:pPr>
    <w:rPr>
      <w:rFonts w:ascii="楷体_GB2312" w:eastAsia="楷体_GB2312"/>
      <w:b/>
      <w:bCs/>
      <w:sz w:val="32"/>
    </w:rPr>
  </w:style>
  <w:style w:type="paragraph" w:styleId="14">
    <w:name w:val="endnote text"/>
    <w:basedOn w:val="1"/>
    <w:link w:val="38"/>
    <w:unhideWhenUsed/>
    <w:qFormat/>
    <w:uiPriority w:val="99"/>
    <w:pPr>
      <w:snapToGrid w:val="0"/>
      <w:jc w:val="left"/>
    </w:pPr>
  </w:style>
  <w:style w:type="paragraph" w:styleId="15">
    <w:name w:val="Balloon Text"/>
    <w:basedOn w:val="1"/>
    <w:link w:val="32"/>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1"/>
    <w:qFormat/>
    <w:uiPriority w:val="29"/>
    <w:rPr>
      <w:i/>
      <w:iCs/>
      <w:color w:val="000000" w:themeColor="text1"/>
      <w14:textFill>
        <w14:solidFill>
          <w14:schemeClr w14:val="tx1"/>
        </w14:solidFill>
      </w14:textFill>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43"/>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qFormat/>
    <w:uiPriority w:val="99"/>
    <w:rPr>
      <w:sz w:val="21"/>
    </w:rPr>
  </w:style>
  <w:style w:type="paragraph" w:customStyle="1" w:styleId="2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0">
    <w:name w:val="页眉 Char"/>
    <w:basedOn w:val="24"/>
    <w:link w:val="17"/>
    <w:qFormat/>
    <w:uiPriority w:val="99"/>
    <w:rPr>
      <w:sz w:val="18"/>
      <w:szCs w:val="18"/>
    </w:rPr>
  </w:style>
  <w:style w:type="character" w:customStyle="1" w:styleId="31">
    <w:name w:val="页脚 Char"/>
    <w:basedOn w:val="24"/>
    <w:link w:val="16"/>
    <w:qFormat/>
    <w:uiPriority w:val="99"/>
    <w:rPr>
      <w:sz w:val="18"/>
      <w:szCs w:val="18"/>
    </w:rPr>
  </w:style>
  <w:style w:type="character" w:customStyle="1" w:styleId="32">
    <w:name w:val="批注框文本 Char"/>
    <w:basedOn w:val="24"/>
    <w:link w:val="15"/>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4"/>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Char"/>
    <w:basedOn w:val="24"/>
    <w:link w:val="7"/>
    <w:qFormat/>
    <w:uiPriority w:val="99"/>
  </w:style>
  <w:style w:type="character" w:customStyle="1" w:styleId="37">
    <w:name w:val="标题 2 Char"/>
    <w:basedOn w:val="24"/>
    <w:link w:val="4"/>
    <w:qFormat/>
    <w:uiPriority w:val="9"/>
    <w:rPr>
      <w:rFonts w:asciiTheme="majorHAnsi" w:hAnsiTheme="majorHAnsi" w:eastAsiaTheme="majorEastAsia" w:cstheme="majorBidi"/>
      <w:b/>
      <w:bCs/>
      <w:sz w:val="32"/>
      <w:szCs w:val="32"/>
    </w:rPr>
  </w:style>
  <w:style w:type="character" w:customStyle="1" w:styleId="38">
    <w:name w:val="尾注文本 Char"/>
    <w:basedOn w:val="24"/>
    <w:link w:val="14"/>
    <w:semiHidden/>
    <w:qFormat/>
    <w:uiPriority w:val="99"/>
  </w:style>
  <w:style w:type="character" w:customStyle="1" w:styleId="39">
    <w:name w:val="纯文本 Char"/>
    <w:link w:val="12"/>
    <w:qFormat/>
    <w:uiPriority w:val="0"/>
    <w:rPr>
      <w:rFonts w:ascii="宋体" w:hAnsi="Courier New" w:cs="Courier New"/>
      <w:szCs w:val="21"/>
    </w:rPr>
  </w:style>
  <w:style w:type="character" w:customStyle="1" w:styleId="40">
    <w:name w:val="纯文本 Char1"/>
    <w:basedOn w:val="24"/>
    <w:semiHidden/>
    <w:qFormat/>
    <w:uiPriority w:val="99"/>
    <w:rPr>
      <w:rFonts w:ascii="宋体" w:hAnsi="Courier New" w:eastAsia="宋体" w:cs="Courier New"/>
      <w:szCs w:val="21"/>
    </w:rPr>
  </w:style>
  <w:style w:type="character" w:customStyle="1" w:styleId="41">
    <w:name w:val="引用 Char"/>
    <w:basedOn w:val="24"/>
    <w:link w:val="19"/>
    <w:qFormat/>
    <w:uiPriority w:val="29"/>
    <w:rPr>
      <w:i/>
      <w:iCs/>
      <w:color w:val="000000" w:themeColor="text1"/>
      <w14:textFill>
        <w14:solidFill>
          <w14:schemeClr w14:val="tx1"/>
        </w14:solidFill>
      </w14:textFill>
    </w:rPr>
  </w:style>
  <w:style w:type="character" w:customStyle="1" w:styleId="42">
    <w:name w:val="正文缩进 Char"/>
    <w:link w:val="6"/>
    <w:qFormat/>
    <w:uiPriority w:val="0"/>
  </w:style>
  <w:style w:type="character" w:customStyle="1" w:styleId="43">
    <w:name w:val="批注主题 Char"/>
    <w:basedOn w:val="36"/>
    <w:link w:val="21"/>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表头黑体三号加粗"/>
    <w:basedOn w:val="1"/>
    <w:qFormat/>
    <w:uiPriority w:val="0"/>
    <w:pPr>
      <w:jc w:val="center"/>
    </w:pPr>
    <w:rPr>
      <w:rFonts w:ascii="黑体" w:hAnsi="黑体" w:eastAsia="黑体"/>
      <w:sz w:val="32"/>
      <w:szCs w:val="32"/>
    </w:rPr>
  </w:style>
  <w:style w:type="character" w:customStyle="1" w:styleId="47">
    <w:name w:val="font31"/>
    <w:basedOn w:val="24"/>
    <w:uiPriority w:val="0"/>
    <w:rPr>
      <w:rFonts w:hint="eastAsia" w:ascii="宋体" w:hAnsi="宋体" w:eastAsia="宋体" w:cs="宋体"/>
      <w:color w:val="000000"/>
      <w:sz w:val="20"/>
      <w:szCs w:val="20"/>
      <w:u w:val="none"/>
    </w:rPr>
  </w:style>
  <w:style w:type="character" w:customStyle="1" w:styleId="48">
    <w:name w:val="font01"/>
    <w:basedOn w:val="24"/>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29</TotalTime>
  <ScaleCrop>false</ScaleCrop>
  <LinksUpToDate>false</LinksUpToDate>
  <CharactersWithSpaces>44767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阿伍珂</cp:lastModifiedBy>
  <cp:lastPrinted>2020-12-02T07:14:00Z</cp:lastPrinted>
  <dcterms:modified xsi:type="dcterms:W3CDTF">2020-12-04T08:33:46Z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