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936" w:afterLines="300"/>
        <w:jc w:val="center"/>
        <w:rPr>
          <w:rFonts w:ascii="黑体" w:hAnsi="黑体" w:eastAsia="黑体"/>
          <w:b/>
          <w:color w:val="000000" w:themeColor="text1"/>
          <w:sz w:val="52"/>
          <w:szCs w:val="52"/>
          <w14:textFill>
            <w14:solidFill>
              <w14:schemeClr w14:val="tx1"/>
            </w14:solidFill>
          </w14:textFill>
        </w:rPr>
      </w:pPr>
      <w:bookmarkStart w:id="272" w:name="_GoBack"/>
      <w:bookmarkEnd w:id="272"/>
    </w:p>
    <w:p>
      <w:pPr>
        <w:spacing w:after="936" w:afterLines="300"/>
        <w:jc w:val="center"/>
        <w:rPr>
          <w:rFonts w:ascii="黑体" w:hAnsi="黑体" w:eastAsia="黑体"/>
          <w:b/>
          <w:color w:val="000000" w:themeColor="text1"/>
          <w:sz w:val="52"/>
          <w:szCs w:val="52"/>
          <w14:textFill>
            <w14:solidFill>
              <w14:schemeClr w14:val="tx1"/>
            </w14:solidFill>
          </w14:textFill>
        </w:rPr>
      </w:pPr>
      <w:r>
        <w:rPr>
          <w:rFonts w:hint="eastAsia" w:ascii="黑体" w:hAnsi="黑体" w:eastAsia="黑体"/>
          <w:b/>
          <w:color w:val="000000" w:themeColor="text1"/>
          <w:sz w:val="52"/>
          <w:szCs w:val="52"/>
          <w14:textFill>
            <w14:solidFill>
              <w14:schemeClr w14:val="tx1"/>
            </w14:solidFill>
          </w14:textFill>
        </w:rPr>
        <w:t>阳新县县级政府采购</w:t>
      </w:r>
    </w:p>
    <w:p>
      <w:pPr>
        <w:spacing w:after="936" w:afterLines="300"/>
        <w:jc w:val="center"/>
        <w:rPr>
          <w:rFonts w:ascii="黑体" w:hAnsi="黑体" w:eastAsia="黑体"/>
          <w:b/>
          <w:color w:val="000000" w:themeColor="text1"/>
          <w:sz w:val="144"/>
          <w:szCs w:val="144"/>
          <w14:textFill>
            <w14:solidFill>
              <w14:schemeClr w14:val="tx1"/>
            </w14:solidFill>
          </w14:textFill>
        </w:rPr>
      </w:pPr>
      <w:r>
        <w:rPr>
          <w:rFonts w:hint="eastAsia" w:ascii="黑体" w:hAnsi="黑体" w:eastAsia="黑体"/>
          <w:b/>
          <w:color w:val="000000" w:themeColor="text1"/>
          <w:sz w:val="144"/>
          <w:szCs w:val="144"/>
          <w14:textFill>
            <w14:solidFill>
              <w14:schemeClr w14:val="tx1"/>
            </w14:solidFill>
          </w14:textFill>
        </w:rPr>
        <w:t>招 标 文 件</w:t>
      </w:r>
    </w:p>
    <w:p>
      <w:pPr>
        <w:pStyle w:val="21"/>
      </w:pPr>
    </w:p>
    <w:p>
      <w:pPr>
        <w:spacing w:line="360" w:lineRule="auto"/>
        <w:ind w:left="2055" w:leftChars="619" w:right="1306" w:rightChars="622" w:hanging="755" w:hangingChars="209"/>
        <w:rPr>
          <w:rFonts w:ascii="黑体" w:hAnsi="黑体" w:eastAsia="黑体" w:cs="Times New Roman"/>
          <w:b/>
          <w:bCs/>
          <w:color w:val="000000" w:themeColor="text1"/>
          <w:sz w:val="36"/>
          <w:szCs w:val="24"/>
          <w14:textFill>
            <w14:solidFill>
              <w14:schemeClr w14:val="tx1"/>
            </w14:solidFill>
          </w14:textFill>
        </w:rPr>
      </w:pPr>
    </w:p>
    <w:p>
      <w:pPr>
        <w:spacing w:line="360" w:lineRule="auto"/>
        <w:ind w:left="2055" w:leftChars="619" w:right="1306" w:rightChars="622" w:hanging="755" w:hangingChars="209"/>
        <w:rPr>
          <w:rFonts w:ascii="黑体" w:hAnsi="黑体" w:eastAsia="黑体" w:cs="Times New Roman"/>
          <w:b/>
          <w:bCs/>
          <w:color w:val="000000" w:themeColor="text1"/>
          <w:sz w:val="36"/>
          <w:szCs w:val="24"/>
          <w14:textFill>
            <w14:solidFill>
              <w14:schemeClr w14:val="tx1"/>
            </w14:solidFill>
          </w14:textFill>
        </w:rPr>
      </w:pPr>
    </w:p>
    <w:p>
      <w:pPr>
        <w:spacing w:line="360" w:lineRule="auto"/>
        <w:ind w:right="1306" w:rightChars="622" w:firstLine="1084" w:firstLineChars="300"/>
        <w:rPr>
          <w:rFonts w:hint="default" w:ascii="华文中宋" w:hAnsi="华文中宋" w:eastAsia="黑体"/>
          <w:color w:val="000000" w:themeColor="text1"/>
          <w:sz w:val="32"/>
          <w:u w:val="single"/>
          <w:lang w:val="en-US" w:eastAsia="zh-CN"/>
          <w14:textFill>
            <w14:solidFill>
              <w14:schemeClr w14:val="tx1"/>
            </w14:solidFill>
          </w14:textFill>
        </w:rPr>
      </w:pPr>
      <w:r>
        <w:rPr>
          <w:rFonts w:hint="eastAsia" w:ascii="黑体" w:hAnsi="黑体" w:eastAsia="黑体" w:cs="Times New Roman"/>
          <w:b/>
          <w:bCs/>
          <w:color w:val="000000" w:themeColor="text1"/>
          <w:sz w:val="36"/>
          <w:szCs w:val="24"/>
          <w14:textFill>
            <w14:solidFill>
              <w14:schemeClr w14:val="tx1"/>
            </w14:solidFill>
          </w14:textFill>
        </w:rPr>
        <w:t>项目编号：131-202</w:t>
      </w:r>
      <w:r>
        <w:rPr>
          <w:rFonts w:hint="eastAsia" w:ascii="黑体" w:hAnsi="黑体" w:eastAsia="黑体" w:cs="Times New Roman"/>
          <w:b/>
          <w:bCs/>
          <w:color w:val="000000" w:themeColor="text1"/>
          <w:sz w:val="36"/>
          <w:szCs w:val="24"/>
          <w:lang w:val="en-US" w:eastAsia="zh-CN"/>
          <w14:textFill>
            <w14:solidFill>
              <w14:schemeClr w14:val="tx1"/>
            </w14:solidFill>
          </w14:textFill>
        </w:rPr>
        <w:t>1</w:t>
      </w:r>
      <w:r>
        <w:rPr>
          <w:rFonts w:hint="eastAsia" w:ascii="黑体" w:hAnsi="黑体" w:eastAsia="黑体" w:cs="Times New Roman"/>
          <w:b/>
          <w:bCs/>
          <w:color w:val="000000" w:themeColor="text1"/>
          <w:sz w:val="36"/>
          <w:szCs w:val="24"/>
          <w14:textFill>
            <w14:solidFill>
              <w14:schemeClr w14:val="tx1"/>
            </w14:solidFill>
          </w14:textFill>
        </w:rPr>
        <w:t>CG-</w:t>
      </w:r>
      <w:r>
        <w:rPr>
          <w:rFonts w:hint="eastAsia" w:ascii="黑体" w:hAnsi="黑体" w:eastAsia="黑体" w:cs="Times New Roman"/>
          <w:b/>
          <w:bCs/>
          <w:color w:val="000000" w:themeColor="text1"/>
          <w:sz w:val="36"/>
          <w:szCs w:val="24"/>
          <w:lang w:val="en-US" w:eastAsia="zh-CN"/>
          <w14:textFill>
            <w14:solidFill>
              <w14:schemeClr w14:val="tx1"/>
            </w14:solidFill>
          </w14:textFill>
        </w:rPr>
        <w:t xml:space="preserve">20 </w:t>
      </w:r>
    </w:p>
    <w:p>
      <w:pPr>
        <w:spacing w:line="360" w:lineRule="auto"/>
        <w:ind w:right="1306" w:rightChars="622" w:firstLine="1084" w:firstLineChars="300"/>
        <w:rPr>
          <w:rFonts w:hint="eastAsia" w:ascii="宋体" w:hAnsi="宋体" w:eastAsia="黑体" w:cs="Times New Roman"/>
          <w:bCs/>
          <w:color w:val="000000" w:themeColor="text1"/>
          <w:sz w:val="36"/>
          <w:szCs w:val="24"/>
          <w:lang w:eastAsia="zh-CN"/>
          <w14:textFill>
            <w14:solidFill>
              <w14:schemeClr w14:val="tx1"/>
            </w14:solidFill>
          </w14:textFill>
        </w:rPr>
      </w:pPr>
      <w:r>
        <w:rPr>
          <w:rFonts w:hint="eastAsia" w:ascii="黑体" w:hAnsi="黑体" w:eastAsia="黑体" w:cs="Times New Roman"/>
          <w:b/>
          <w:bCs/>
          <w:color w:val="000000" w:themeColor="text1"/>
          <w:sz w:val="36"/>
          <w:szCs w:val="24"/>
          <w14:textFill>
            <w14:solidFill>
              <w14:schemeClr w14:val="tx1"/>
            </w14:solidFill>
          </w14:textFill>
        </w:rPr>
        <w:t>采购人：</w:t>
      </w:r>
      <w:r>
        <w:rPr>
          <w:rFonts w:hint="eastAsia" w:ascii="宋体" w:hAnsi="宋体" w:eastAsia="黑体" w:cs="宋体"/>
          <w:color w:val="000000" w:themeColor="text1"/>
          <w:kern w:val="0"/>
          <w:sz w:val="32"/>
          <w:szCs w:val="32"/>
          <w:u w:val="single"/>
          <w:lang w:eastAsia="zh-CN"/>
          <w14:textFill>
            <w14:solidFill>
              <w14:schemeClr w14:val="tx1"/>
            </w14:solidFill>
          </w14:textFill>
        </w:rPr>
        <w:t>阳新县农业农村局</w:t>
      </w:r>
    </w:p>
    <w:p>
      <w:pPr>
        <w:spacing w:line="360" w:lineRule="auto"/>
        <w:ind w:right="1306" w:rightChars="622" w:firstLine="1084" w:firstLineChars="300"/>
        <w:rPr>
          <w:rFonts w:ascii="宋体" w:hAnsi="宋体" w:eastAsia="黑体" w:cs="宋体"/>
          <w:color w:val="000000" w:themeColor="text1"/>
          <w:kern w:val="0"/>
          <w:sz w:val="32"/>
          <w:szCs w:val="32"/>
          <w:u w:val="single"/>
          <w14:textFill>
            <w14:solidFill>
              <w14:schemeClr w14:val="tx1"/>
            </w14:solidFill>
          </w14:textFill>
        </w:rPr>
      </w:pPr>
      <w:r>
        <w:rPr>
          <w:rFonts w:hint="eastAsia" w:ascii="黑体" w:hAnsi="黑体" w:eastAsia="黑体" w:cs="Times New Roman"/>
          <w:b/>
          <w:bCs/>
          <w:color w:val="000000" w:themeColor="text1"/>
          <w:sz w:val="36"/>
          <w:szCs w:val="24"/>
          <w14:textFill>
            <w14:solidFill>
              <w14:schemeClr w14:val="tx1"/>
            </w14:solidFill>
          </w14:textFill>
        </w:rPr>
        <w:t>项目名称：</w:t>
      </w:r>
      <w:r>
        <w:rPr>
          <w:rFonts w:hint="eastAsia" w:ascii="宋体" w:hAnsi="宋体" w:eastAsia="黑体" w:cs="宋体"/>
          <w:color w:val="000000" w:themeColor="text1"/>
          <w:kern w:val="0"/>
          <w:sz w:val="32"/>
          <w:szCs w:val="32"/>
          <w:u w:val="single"/>
          <w:lang w:eastAsia="zh-CN"/>
          <w14:textFill>
            <w14:solidFill>
              <w14:schemeClr w14:val="tx1"/>
            </w14:solidFill>
          </w14:textFill>
        </w:rPr>
        <w:t>阳新县长江禁捕监控设备采购项目</w:t>
      </w:r>
    </w:p>
    <w:p>
      <w:pPr>
        <w:spacing w:line="360" w:lineRule="auto"/>
        <w:ind w:right="1306" w:rightChars="622" w:firstLine="1084" w:firstLineChars="300"/>
        <w:rPr>
          <w:rFonts w:ascii="宋体" w:hAnsi="宋体" w:eastAsia="黑体" w:cs="宋体"/>
          <w:color w:val="000000" w:themeColor="text1"/>
          <w:kern w:val="0"/>
          <w:sz w:val="32"/>
          <w:szCs w:val="32"/>
          <w:u w:val="single"/>
          <w14:textFill>
            <w14:solidFill>
              <w14:schemeClr w14:val="tx1"/>
            </w14:solidFill>
          </w14:textFill>
        </w:rPr>
      </w:pPr>
      <w:r>
        <w:rPr>
          <w:rFonts w:hint="eastAsia" w:ascii="黑体" w:hAnsi="黑体" w:eastAsia="黑体" w:cs="Times New Roman"/>
          <w:b/>
          <w:bCs/>
          <w:color w:val="000000" w:themeColor="text1"/>
          <w:sz w:val="36"/>
          <w:szCs w:val="24"/>
          <w14:textFill>
            <w14:solidFill>
              <w14:schemeClr w14:val="tx1"/>
            </w14:solidFill>
          </w14:textFill>
        </w:rPr>
        <w:t>采购内容：</w:t>
      </w:r>
      <w:r>
        <w:rPr>
          <w:rFonts w:hint="eastAsia" w:ascii="宋体" w:hAnsi="宋体" w:eastAsia="黑体" w:cs="宋体"/>
          <w:color w:val="000000" w:themeColor="text1"/>
          <w:kern w:val="0"/>
          <w:sz w:val="32"/>
          <w:szCs w:val="32"/>
          <w:u w:val="single"/>
          <w:lang w:eastAsia="zh-CN"/>
          <w14:textFill>
            <w14:solidFill>
              <w14:schemeClr w14:val="tx1"/>
            </w14:solidFill>
          </w14:textFill>
        </w:rPr>
        <w:t>监控设备</w:t>
      </w:r>
      <w:r>
        <w:rPr>
          <w:rFonts w:hint="eastAsia" w:ascii="宋体" w:hAnsi="宋体" w:eastAsia="黑体" w:cs="宋体"/>
          <w:color w:val="000000" w:themeColor="text1"/>
          <w:kern w:val="0"/>
          <w:sz w:val="32"/>
          <w:szCs w:val="32"/>
          <w:u w:val="single"/>
          <w14:textFill>
            <w14:solidFill>
              <w14:schemeClr w14:val="tx1"/>
            </w14:solidFill>
          </w14:textFill>
        </w:rPr>
        <w:t>采购</w:t>
      </w:r>
    </w:p>
    <w:p>
      <w:pPr>
        <w:pStyle w:val="21"/>
      </w:pPr>
    </w:p>
    <w:p>
      <w:pPr>
        <w:jc w:val="center"/>
        <w:rPr>
          <w:rFonts w:ascii="黑体" w:hAnsi="黑体" w:eastAsia="黑体"/>
          <w:b/>
          <w:color w:val="000000" w:themeColor="text1"/>
          <w:sz w:val="72"/>
          <w:szCs w:val="72"/>
          <w14:textFill>
            <w14:solidFill>
              <w14:schemeClr w14:val="tx1"/>
            </w14:solidFill>
          </w14:textFill>
        </w:rPr>
      </w:pPr>
      <w:r>
        <w:rPr>
          <w:rFonts w:hint="eastAsia" w:ascii="黑体" w:hAnsi="黑体" w:eastAsia="黑体"/>
          <w:b/>
          <w:color w:val="000000" w:themeColor="text1"/>
          <w:sz w:val="72"/>
          <w:szCs w:val="72"/>
          <w14:textFill>
            <w14:solidFill>
              <w14:schemeClr w14:val="tx1"/>
            </w14:solidFill>
          </w14:textFill>
        </w:rPr>
        <w:t>衡正国际工程咨询有限公司</w:t>
      </w:r>
    </w:p>
    <w:p>
      <w:pPr>
        <w:jc w:val="center"/>
        <w:rPr>
          <w:rFonts w:ascii="黑体" w:hAnsi="黑体" w:eastAsia="黑体"/>
          <w:b/>
          <w:color w:val="000000" w:themeColor="text1"/>
          <w:sz w:val="44"/>
          <w14:textFill>
            <w14:solidFill>
              <w14:schemeClr w14:val="tx1"/>
            </w14:solidFill>
          </w14:textFill>
        </w:rPr>
      </w:pPr>
      <w:r>
        <w:rPr>
          <w:rFonts w:hint="eastAsia" w:ascii="黑体" w:hAnsi="黑体" w:eastAsia="黑体"/>
          <w:b/>
          <w:color w:val="000000" w:themeColor="text1"/>
          <w:sz w:val="44"/>
          <w14:textFill>
            <w14:solidFill>
              <w14:schemeClr w14:val="tx1"/>
            </w14:solidFill>
          </w14:textFill>
        </w:rPr>
        <w:t>202</w:t>
      </w:r>
      <w:r>
        <w:rPr>
          <w:rFonts w:hint="eastAsia" w:ascii="黑体" w:hAnsi="黑体" w:eastAsia="黑体"/>
          <w:b/>
          <w:color w:val="000000" w:themeColor="text1"/>
          <w:sz w:val="44"/>
          <w:lang w:val="en-US" w:eastAsia="zh-CN"/>
          <w14:textFill>
            <w14:solidFill>
              <w14:schemeClr w14:val="tx1"/>
            </w14:solidFill>
          </w14:textFill>
        </w:rPr>
        <w:t>1</w:t>
      </w:r>
      <w:r>
        <w:rPr>
          <w:rFonts w:hint="eastAsia" w:ascii="黑体" w:hAnsi="黑体" w:eastAsia="黑体"/>
          <w:b/>
          <w:color w:val="000000" w:themeColor="text1"/>
          <w:sz w:val="44"/>
          <w14:textFill>
            <w14:solidFill>
              <w14:schemeClr w14:val="tx1"/>
            </w14:solidFill>
          </w14:textFill>
        </w:rPr>
        <w:t>年</w:t>
      </w:r>
      <w:r>
        <w:rPr>
          <w:rFonts w:hint="eastAsia" w:ascii="黑体" w:hAnsi="黑体" w:eastAsia="黑体"/>
          <w:b/>
          <w:color w:val="000000" w:themeColor="text1"/>
          <w:sz w:val="44"/>
          <w:lang w:val="en-US" w:eastAsia="zh-CN"/>
          <w14:textFill>
            <w14:solidFill>
              <w14:schemeClr w14:val="tx1"/>
            </w14:solidFill>
          </w14:textFill>
        </w:rPr>
        <w:t>2</w:t>
      </w:r>
      <w:r>
        <w:rPr>
          <w:rFonts w:hint="eastAsia" w:ascii="黑体" w:hAnsi="黑体" w:eastAsia="黑体"/>
          <w:b/>
          <w:color w:val="000000" w:themeColor="text1"/>
          <w:sz w:val="44"/>
          <w14:textFill>
            <w14:solidFill>
              <w14:schemeClr w14:val="tx1"/>
            </w14:solidFill>
          </w14:textFill>
        </w:rPr>
        <w:t>月</w:t>
      </w:r>
    </w:p>
    <w:p>
      <w:pPr>
        <w:rPr>
          <w:color w:val="000000" w:themeColor="text1"/>
          <w14:textFill>
            <w14:solidFill>
              <w14:schemeClr w14:val="tx1"/>
            </w14:solidFill>
          </w14:textFill>
        </w:rPr>
        <w:sectPr>
          <w:headerReference r:id="rId3" w:type="default"/>
          <w:footerReference r:id="rId5" w:type="default"/>
          <w:headerReference r:id="rId4" w:type="even"/>
          <w:footerReference r:id="rId6" w:type="even"/>
          <w:pgSz w:w="11906" w:h="16838"/>
          <w:pgMar w:top="1522" w:right="1035" w:bottom="1134" w:left="991" w:header="680" w:footer="680" w:gutter="0"/>
          <w:cols w:space="425" w:num="1"/>
          <w:docGrid w:type="lines" w:linePitch="312" w:charSpace="0"/>
        </w:sectPr>
      </w:pPr>
    </w:p>
    <w:p>
      <w:pPr>
        <w:spacing w:before="312" w:beforeLines="100"/>
        <w:jc w:val="center"/>
        <w:rPr>
          <w:rFonts w:ascii="黑体" w:hAnsi="黑体" w:eastAsia="黑体"/>
          <w:color w:val="000000" w:themeColor="text1"/>
          <w:sz w:val="44"/>
          <w:szCs w:val="44"/>
          <w14:textFill>
            <w14:solidFill>
              <w14:schemeClr w14:val="tx1"/>
            </w14:solidFill>
          </w14:textFill>
        </w:rPr>
      </w:pPr>
      <w:r>
        <w:rPr>
          <w:rFonts w:hint="eastAsia" w:ascii="黑体" w:hAnsi="黑体" w:eastAsia="黑体"/>
          <w:color w:val="000000" w:themeColor="text1"/>
          <w:sz w:val="44"/>
          <w:szCs w:val="44"/>
          <w14:textFill>
            <w14:solidFill>
              <w14:schemeClr w14:val="tx1"/>
            </w14:solidFill>
          </w14:textFill>
        </w:rPr>
        <w:t>目   录</w:t>
      </w:r>
    </w:p>
    <w:sdt>
      <w:sdtPr>
        <w:rPr>
          <w:lang w:val="zh-CN"/>
        </w:rPr>
        <w:id w:val="1482579200"/>
      </w:sdtPr>
      <w:sdtEndPr>
        <w:rPr>
          <w:b w:val="0"/>
          <w:bCs/>
          <w:lang w:val="zh-CN"/>
        </w:rPr>
      </w:sdtEndPr>
      <w:sdtContent>
        <w:p>
          <w:pPr>
            <w:pStyle w:val="12"/>
            <w:tabs>
              <w:tab w:val="left" w:pos="1260"/>
              <w:tab w:val="right" w:leader="dot" w:pos="9514"/>
            </w:tabs>
            <w:rPr>
              <w:rFonts w:eastAsia="黑体" w:asciiTheme="minorHAnsi" w:hAnsiTheme="minorHAnsi" w:cstheme="minorBidi"/>
              <w:b/>
              <w:kern w:val="0"/>
              <w:sz w:val="28"/>
              <w:szCs w:val="22"/>
              <w:lang w:val="en-US" w:eastAsia="zh-CN" w:bidi="ar-SA"/>
            </w:rPr>
          </w:pPr>
          <w:r>
            <w:fldChar w:fldCharType="begin"/>
          </w:r>
          <w:r>
            <w:instrText xml:space="preserve"> TOC \o "1-2" \h \z \u </w:instrText>
          </w:r>
          <w:r>
            <w:fldChar w:fldCharType="separate"/>
          </w:r>
        </w:p>
        <w:p>
          <w:pPr>
            <w:pStyle w:val="12"/>
            <w:tabs>
              <w:tab w:val="right" w:leader="dot" w:pos="9524"/>
            </w:tabs>
          </w:pPr>
          <w:r>
            <w:fldChar w:fldCharType="begin"/>
          </w:r>
          <w:r>
            <w:instrText xml:space="preserve"> HYPERLINK \l _Toc22494 </w:instrText>
          </w:r>
          <w:r>
            <w:fldChar w:fldCharType="separate"/>
          </w:r>
          <w:r>
            <w:rPr>
              <w:rFonts w:hint="eastAsia" w:ascii="黑体" w:hAnsi="黑体" w:eastAsia="黑体"/>
            </w:rPr>
            <w:t>第一章 投标邀请书</w:t>
          </w:r>
          <w:r>
            <w:tab/>
          </w:r>
          <w:r>
            <w:fldChar w:fldCharType="begin"/>
          </w:r>
          <w:r>
            <w:instrText xml:space="preserve"> PAGEREF _Toc22494 </w:instrText>
          </w:r>
          <w:r>
            <w:fldChar w:fldCharType="separate"/>
          </w:r>
          <w:r>
            <w:t>4</w:t>
          </w:r>
          <w:r>
            <w:fldChar w:fldCharType="end"/>
          </w:r>
          <w:r>
            <w:fldChar w:fldCharType="end"/>
          </w:r>
        </w:p>
        <w:p>
          <w:pPr>
            <w:pStyle w:val="12"/>
            <w:tabs>
              <w:tab w:val="right" w:leader="dot" w:pos="9524"/>
            </w:tabs>
          </w:pPr>
          <w:r>
            <w:fldChar w:fldCharType="begin"/>
          </w:r>
          <w:r>
            <w:instrText xml:space="preserve"> HYPERLINK \l _Toc1742 </w:instrText>
          </w:r>
          <w:r>
            <w:fldChar w:fldCharType="separate"/>
          </w:r>
          <w:r>
            <w:rPr>
              <w:rFonts w:hint="eastAsia" w:ascii="黑体" w:hAnsi="黑体" w:eastAsia="黑体"/>
            </w:rPr>
            <w:t>第二章 投标人须知</w:t>
          </w:r>
          <w:r>
            <w:tab/>
          </w:r>
          <w:r>
            <w:fldChar w:fldCharType="begin"/>
          </w:r>
          <w:r>
            <w:instrText xml:space="preserve"> PAGEREF _Toc1742 </w:instrText>
          </w:r>
          <w:r>
            <w:fldChar w:fldCharType="separate"/>
          </w:r>
          <w:r>
            <w:t>6</w:t>
          </w:r>
          <w:r>
            <w:fldChar w:fldCharType="end"/>
          </w:r>
          <w:r>
            <w:fldChar w:fldCharType="end"/>
          </w:r>
        </w:p>
        <w:p>
          <w:pPr>
            <w:pStyle w:val="13"/>
            <w:tabs>
              <w:tab w:val="right" w:leader="dot" w:pos="9524"/>
              <w:tab w:val="clear" w:pos="756"/>
              <w:tab w:val="clear" w:pos="966"/>
              <w:tab w:val="clear" w:pos="1204"/>
              <w:tab w:val="clear" w:pos="1442"/>
              <w:tab w:val="clear" w:pos="9514"/>
            </w:tabs>
          </w:pPr>
          <w:r>
            <w:fldChar w:fldCharType="begin"/>
          </w:r>
          <w:r>
            <w:instrText xml:space="preserve"> HYPERLINK \l _Toc21841 </w:instrText>
          </w:r>
          <w:r>
            <w:fldChar w:fldCharType="separate"/>
          </w:r>
          <w:r>
            <w:rPr>
              <w:rFonts w:cs="Times New Roman" w:asciiTheme="majorEastAsia" w:hAnsiTheme="majorEastAsia" w:eastAsiaTheme="majorEastAsia"/>
              <w:bCs/>
              <w:szCs w:val="32"/>
              <w:lang w:val="zh-CN"/>
            </w:rPr>
            <w:t>投标须知前附表</w:t>
          </w:r>
          <w:r>
            <w:tab/>
          </w:r>
          <w:r>
            <w:fldChar w:fldCharType="begin"/>
          </w:r>
          <w:r>
            <w:instrText xml:space="preserve"> PAGEREF _Toc21841 </w:instrText>
          </w:r>
          <w:r>
            <w:fldChar w:fldCharType="separate"/>
          </w:r>
          <w:r>
            <w:t>6</w:t>
          </w:r>
          <w:r>
            <w:fldChar w:fldCharType="end"/>
          </w:r>
          <w:r>
            <w:fldChar w:fldCharType="end"/>
          </w:r>
        </w:p>
        <w:p>
          <w:pPr>
            <w:pStyle w:val="13"/>
            <w:tabs>
              <w:tab w:val="right" w:leader="dot" w:pos="9524"/>
              <w:tab w:val="clear" w:pos="756"/>
              <w:tab w:val="clear" w:pos="966"/>
              <w:tab w:val="clear" w:pos="1204"/>
              <w:tab w:val="clear" w:pos="1442"/>
              <w:tab w:val="clear" w:pos="9514"/>
            </w:tabs>
          </w:pPr>
          <w:r>
            <w:fldChar w:fldCharType="begin"/>
          </w:r>
          <w:r>
            <w:instrText xml:space="preserve"> HYPERLINK \l _Toc10818 </w:instrText>
          </w:r>
          <w:r>
            <w:fldChar w:fldCharType="separate"/>
          </w:r>
          <w:r>
            <w:rPr>
              <w:rFonts w:hint="eastAsia" w:cs="Times New Roman" w:asciiTheme="majorEastAsia" w:hAnsiTheme="majorEastAsia"/>
              <w:bCs w:val="0"/>
              <w:szCs w:val="30"/>
              <w:lang w:val="zh-CN"/>
            </w:rPr>
            <w:t xml:space="preserve">一、 </w:t>
          </w:r>
          <w:r>
            <w:rPr>
              <w:rFonts w:hint="eastAsia" w:cs="Times New Roman" w:asciiTheme="majorEastAsia" w:hAnsiTheme="majorEastAsia"/>
              <w:bCs w:val="0"/>
              <w:lang w:val="zh-CN"/>
            </w:rPr>
            <w:t>说  明</w:t>
          </w:r>
          <w:r>
            <w:tab/>
          </w:r>
          <w:r>
            <w:fldChar w:fldCharType="begin"/>
          </w:r>
          <w:r>
            <w:instrText xml:space="preserve"> PAGEREF _Toc10818 </w:instrText>
          </w:r>
          <w:r>
            <w:fldChar w:fldCharType="separate"/>
          </w:r>
          <w:r>
            <w:t>7</w:t>
          </w:r>
          <w:r>
            <w:fldChar w:fldCharType="end"/>
          </w:r>
          <w:r>
            <w:fldChar w:fldCharType="end"/>
          </w:r>
        </w:p>
        <w:p>
          <w:pPr>
            <w:pStyle w:val="13"/>
            <w:tabs>
              <w:tab w:val="right" w:leader="dot" w:pos="9524"/>
              <w:tab w:val="clear" w:pos="756"/>
              <w:tab w:val="clear" w:pos="966"/>
              <w:tab w:val="clear" w:pos="1204"/>
              <w:tab w:val="clear" w:pos="1442"/>
              <w:tab w:val="clear" w:pos="9514"/>
            </w:tabs>
          </w:pPr>
          <w:r>
            <w:fldChar w:fldCharType="begin"/>
          </w:r>
          <w:r>
            <w:instrText xml:space="preserve"> HYPERLINK \l _Toc12976 </w:instrText>
          </w:r>
          <w:r>
            <w:fldChar w:fldCharType="separate"/>
          </w:r>
          <w:r>
            <w:rPr>
              <w:rFonts w:hint="eastAsia" w:cs="Times New Roman" w:asciiTheme="majorEastAsia" w:hAnsiTheme="majorEastAsia"/>
              <w:bCs w:val="0"/>
              <w:szCs w:val="30"/>
              <w:lang w:val="zh-CN"/>
            </w:rPr>
            <w:t xml:space="preserve">二、 </w:t>
          </w:r>
          <w:r>
            <w:rPr>
              <w:rFonts w:hint="eastAsia" w:cs="Times New Roman" w:asciiTheme="majorEastAsia" w:hAnsiTheme="majorEastAsia"/>
              <w:bCs w:val="0"/>
              <w:lang w:val="zh-CN"/>
            </w:rPr>
            <w:t>招标文件</w:t>
          </w:r>
          <w:r>
            <w:tab/>
          </w:r>
          <w:r>
            <w:fldChar w:fldCharType="begin"/>
          </w:r>
          <w:r>
            <w:instrText xml:space="preserve"> PAGEREF _Toc12976 </w:instrText>
          </w:r>
          <w:r>
            <w:fldChar w:fldCharType="separate"/>
          </w:r>
          <w:r>
            <w:t>8</w:t>
          </w:r>
          <w:r>
            <w:fldChar w:fldCharType="end"/>
          </w:r>
          <w:r>
            <w:fldChar w:fldCharType="end"/>
          </w:r>
        </w:p>
        <w:p>
          <w:pPr>
            <w:pStyle w:val="13"/>
            <w:tabs>
              <w:tab w:val="right" w:leader="dot" w:pos="9524"/>
              <w:tab w:val="clear" w:pos="756"/>
              <w:tab w:val="clear" w:pos="966"/>
              <w:tab w:val="clear" w:pos="1204"/>
              <w:tab w:val="clear" w:pos="1442"/>
              <w:tab w:val="clear" w:pos="9514"/>
            </w:tabs>
          </w:pPr>
          <w:r>
            <w:fldChar w:fldCharType="begin"/>
          </w:r>
          <w:r>
            <w:instrText xml:space="preserve"> HYPERLINK \l _Toc27029 </w:instrText>
          </w:r>
          <w:r>
            <w:fldChar w:fldCharType="separate"/>
          </w:r>
          <w:r>
            <w:rPr>
              <w:rFonts w:hint="eastAsia" w:cs="Times New Roman" w:asciiTheme="majorEastAsia" w:hAnsiTheme="majorEastAsia"/>
              <w:bCs w:val="0"/>
              <w:szCs w:val="30"/>
              <w:lang w:val="zh-CN"/>
            </w:rPr>
            <w:t xml:space="preserve">三、 </w:t>
          </w:r>
          <w:r>
            <w:rPr>
              <w:rFonts w:hint="eastAsia" w:cs="Times New Roman" w:asciiTheme="majorEastAsia" w:hAnsiTheme="majorEastAsia"/>
              <w:bCs w:val="0"/>
              <w:lang w:val="zh-CN"/>
            </w:rPr>
            <w:t>投标文件</w:t>
          </w:r>
          <w:r>
            <w:tab/>
          </w:r>
          <w:r>
            <w:fldChar w:fldCharType="begin"/>
          </w:r>
          <w:r>
            <w:instrText xml:space="preserve"> PAGEREF _Toc27029 </w:instrText>
          </w:r>
          <w:r>
            <w:fldChar w:fldCharType="separate"/>
          </w:r>
          <w:r>
            <w:t>9</w:t>
          </w:r>
          <w:r>
            <w:fldChar w:fldCharType="end"/>
          </w:r>
          <w:r>
            <w:fldChar w:fldCharType="end"/>
          </w:r>
        </w:p>
        <w:p>
          <w:pPr>
            <w:pStyle w:val="13"/>
            <w:tabs>
              <w:tab w:val="right" w:leader="dot" w:pos="9524"/>
              <w:tab w:val="clear" w:pos="756"/>
              <w:tab w:val="clear" w:pos="966"/>
              <w:tab w:val="clear" w:pos="1204"/>
              <w:tab w:val="clear" w:pos="1442"/>
              <w:tab w:val="clear" w:pos="9514"/>
            </w:tabs>
          </w:pPr>
          <w:r>
            <w:fldChar w:fldCharType="begin"/>
          </w:r>
          <w:r>
            <w:instrText xml:space="preserve"> HYPERLINK \l _Toc25229 </w:instrText>
          </w:r>
          <w:r>
            <w:fldChar w:fldCharType="separate"/>
          </w:r>
          <w:r>
            <w:rPr>
              <w:rFonts w:hint="eastAsia" w:cs="Times New Roman" w:asciiTheme="majorEastAsia" w:hAnsiTheme="majorEastAsia"/>
              <w:bCs w:val="0"/>
              <w:szCs w:val="30"/>
              <w:lang w:val="zh-CN"/>
            </w:rPr>
            <w:t xml:space="preserve">四、 </w:t>
          </w:r>
          <w:r>
            <w:rPr>
              <w:rFonts w:hint="eastAsia" w:cs="Times New Roman" w:asciiTheme="majorEastAsia" w:hAnsiTheme="majorEastAsia"/>
              <w:bCs w:val="0"/>
              <w:lang w:val="zh-CN"/>
            </w:rPr>
            <w:t>开标与评标</w:t>
          </w:r>
          <w:r>
            <w:tab/>
          </w:r>
          <w:r>
            <w:fldChar w:fldCharType="begin"/>
          </w:r>
          <w:r>
            <w:instrText xml:space="preserve"> PAGEREF _Toc25229 </w:instrText>
          </w:r>
          <w:r>
            <w:fldChar w:fldCharType="separate"/>
          </w:r>
          <w:r>
            <w:t>13</w:t>
          </w:r>
          <w:r>
            <w:fldChar w:fldCharType="end"/>
          </w:r>
          <w:r>
            <w:fldChar w:fldCharType="end"/>
          </w:r>
        </w:p>
        <w:p>
          <w:pPr>
            <w:pStyle w:val="13"/>
            <w:tabs>
              <w:tab w:val="right" w:leader="dot" w:pos="9524"/>
              <w:tab w:val="clear" w:pos="756"/>
              <w:tab w:val="clear" w:pos="966"/>
              <w:tab w:val="clear" w:pos="1204"/>
              <w:tab w:val="clear" w:pos="1442"/>
              <w:tab w:val="clear" w:pos="9514"/>
            </w:tabs>
          </w:pPr>
          <w:r>
            <w:fldChar w:fldCharType="begin"/>
          </w:r>
          <w:r>
            <w:instrText xml:space="preserve"> HYPERLINK \l _Toc13343 </w:instrText>
          </w:r>
          <w:r>
            <w:fldChar w:fldCharType="separate"/>
          </w:r>
          <w:r>
            <w:rPr>
              <w:rFonts w:hint="eastAsia" w:cs="Times New Roman" w:asciiTheme="majorEastAsia" w:hAnsiTheme="majorEastAsia"/>
              <w:bCs w:val="0"/>
              <w:szCs w:val="30"/>
              <w:lang w:val="zh-CN"/>
            </w:rPr>
            <w:t xml:space="preserve">五、 </w:t>
          </w:r>
          <w:r>
            <w:rPr>
              <w:rFonts w:hint="eastAsia" w:cs="Times New Roman" w:asciiTheme="majorEastAsia" w:hAnsiTheme="majorEastAsia"/>
              <w:bCs w:val="0"/>
              <w:lang w:val="zh-CN"/>
            </w:rPr>
            <w:t>投标人信用信息及查询</w:t>
          </w:r>
          <w:r>
            <w:tab/>
          </w:r>
          <w:r>
            <w:fldChar w:fldCharType="begin"/>
          </w:r>
          <w:r>
            <w:instrText xml:space="preserve"> PAGEREF _Toc13343 </w:instrText>
          </w:r>
          <w:r>
            <w:fldChar w:fldCharType="separate"/>
          </w:r>
          <w:r>
            <w:t>15</w:t>
          </w:r>
          <w:r>
            <w:fldChar w:fldCharType="end"/>
          </w:r>
          <w:r>
            <w:fldChar w:fldCharType="end"/>
          </w:r>
        </w:p>
        <w:p>
          <w:pPr>
            <w:pStyle w:val="13"/>
            <w:tabs>
              <w:tab w:val="right" w:leader="dot" w:pos="9524"/>
              <w:tab w:val="clear" w:pos="756"/>
              <w:tab w:val="clear" w:pos="966"/>
              <w:tab w:val="clear" w:pos="1204"/>
              <w:tab w:val="clear" w:pos="1442"/>
              <w:tab w:val="clear" w:pos="9514"/>
            </w:tabs>
          </w:pPr>
          <w:r>
            <w:fldChar w:fldCharType="begin"/>
          </w:r>
          <w:r>
            <w:instrText xml:space="preserve"> HYPERLINK \l _Toc2469 </w:instrText>
          </w:r>
          <w:r>
            <w:fldChar w:fldCharType="separate"/>
          </w:r>
          <w:r>
            <w:rPr>
              <w:rFonts w:hint="eastAsia" w:cs="Times New Roman" w:asciiTheme="majorEastAsia" w:hAnsiTheme="majorEastAsia"/>
              <w:bCs w:val="0"/>
              <w:szCs w:val="30"/>
              <w:lang w:val="zh-CN"/>
            </w:rPr>
            <w:t xml:space="preserve">六、 </w:t>
          </w:r>
          <w:r>
            <w:rPr>
              <w:rFonts w:cs="Times New Roman" w:asciiTheme="majorEastAsia" w:hAnsiTheme="majorEastAsia"/>
              <w:bCs w:val="0"/>
              <w:lang w:val="zh-CN"/>
            </w:rPr>
            <w:t>中标</w:t>
          </w:r>
          <w:r>
            <w:rPr>
              <w:rFonts w:hint="eastAsia" w:cs="Times New Roman" w:asciiTheme="majorEastAsia" w:hAnsiTheme="majorEastAsia"/>
              <w:bCs w:val="0"/>
              <w:lang w:val="zh-CN"/>
            </w:rPr>
            <w:t>与</w:t>
          </w:r>
          <w:r>
            <w:rPr>
              <w:rFonts w:cs="Times New Roman" w:asciiTheme="majorEastAsia" w:hAnsiTheme="majorEastAsia"/>
              <w:bCs w:val="0"/>
              <w:lang w:val="zh-CN"/>
            </w:rPr>
            <w:t>合同</w:t>
          </w:r>
          <w:r>
            <w:tab/>
          </w:r>
          <w:r>
            <w:fldChar w:fldCharType="begin"/>
          </w:r>
          <w:r>
            <w:instrText xml:space="preserve"> PAGEREF _Toc2469 </w:instrText>
          </w:r>
          <w:r>
            <w:fldChar w:fldCharType="separate"/>
          </w:r>
          <w:r>
            <w:t>15</w:t>
          </w:r>
          <w:r>
            <w:fldChar w:fldCharType="end"/>
          </w:r>
          <w:r>
            <w:fldChar w:fldCharType="end"/>
          </w:r>
        </w:p>
        <w:p>
          <w:pPr>
            <w:pStyle w:val="13"/>
            <w:tabs>
              <w:tab w:val="right" w:leader="dot" w:pos="9524"/>
              <w:tab w:val="clear" w:pos="756"/>
              <w:tab w:val="clear" w:pos="966"/>
              <w:tab w:val="clear" w:pos="1204"/>
              <w:tab w:val="clear" w:pos="1442"/>
              <w:tab w:val="clear" w:pos="9514"/>
            </w:tabs>
          </w:pPr>
          <w:r>
            <w:fldChar w:fldCharType="begin"/>
          </w:r>
          <w:r>
            <w:instrText xml:space="preserve"> HYPERLINK \l _Toc27474 </w:instrText>
          </w:r>
          <w:r>
            <w:fldChar w:fldCharType="separate"/>
          </w:r>
          <w:r>
            <w:rPr>
              <w:rFonts w:hint="eastAsia" w:cs="Times New Roman" w:asciiTheme="majorEastAsia" w:hAnsiTheme="majorEastAsia"/>
              <w:bCs w:val="0"/>
              <w:szCs w:val="30"/>
              <w:lang w:val="zh-CN"/>
            </w:rPr>
            <w:t xml:space="preserve">七、 </w:t>
          </w:r>
          <w:r>
            <w:rPr>
              <w:rFonts w:hint="eastAsia" w:cs="Times New Roman" w:asciiTheme="majorEastAsia" w:hAnsiTheme="majorEastAsia"/>
              <w:bCs w:val="0"/>
              <w:lang w:val="zh-CN"/>
            </w:rPr>
            <w:t>采购信息公告</w:t>
          </w:r>
          <w:r>
            <w:tab/>
          </w:r>
          <w:r>
            <w:fldChar w:fldCharType="begin"/>
          </w:r>
          <w:r>
            <w:instrText xml:space="preserve"> PAGEREF _Toc27474 </w:instrText>
          </w:r>
          <w:r>
            <w:fldChar w:fldCharType="separate"/>
          </w:r>
          <w:r>
            <w:t>16</w:t>
          </w:r>
          <w:r>
            <w:fldChar w:fldCharType="end"/>
          </w:r>
          <w:r>
            <w:fldChar w:fldCharType="end"/>
          </w:r>
        </w:p>
        <w:p>
          <w:pPr>
            <w:pStyle w:val="13"/>
            <w:tabs>
              <w:tab w:val="right" w:leader="dot" w:pos="9524"/>
              <w:tab w:val="clear" w:pos="756"/>
              <w:tab w:val="clear" w:pos="966"/>
              <w:tab w:val="clear" w:pos="1204"/>
              <w:tab w:val="clear" w:pos="1442"/>
              <w:tab w:val="clear" w:pos="9514"/>
            </w:tabs>
          </w:pPr>
          <w:r>
            <w:fldChar w:fldCharType="begin"/>
          </w:r>
          <w:r>
            <w:instrText xml:space="preserve"> HYPERLINK \l _Toc7362 </w:instrText>
          </w:r>
          <w:r>
            <w:fldChar w:fldCharType="separate"/>
          </w:r>
          <w:r>
            <w:rPr>
              <w:rFonts w:hint="eastAsia" w:cs="Times New Roman" w:asciiTheme="majorEastAsia" w:hAnsiTheme="majorEastAsia"/>
              <w:bCs w:val="0"/>
              <w:szCs w:val="30"/>
              <w:lang w:val="zh-CN"/>
            </w:rPr>
            <w:t xml:space="preserve">八、 </w:t>
          </w:r>
          <w:r>
            <w:rPr>
              <w:rFonts w:hint="eastAsia" w:cs="Times New Roman" w:asciiTheme="majorEastAsia" w:hAnsiTheme="majorEastAsia"/>
              <w:bCs w:val="0"/>
              <w:lang w:val="zh-CN"/>
            </w:rPr>
            <w:t>质疑及提交</w:t>
          </w:r>
          <w:r>
            <w:tab/>
          </w:r>
          <w:r>
            <w:fldChar w:fldCharType="begin"/>
          </w:r>
          <w:r>
            <w:instrText xml:space="preserve"> PAGEREF _Toc7362 </w:instrText>
          </w:r>
          <w:r>
            <w:fldChar w:fldCharType="separate"/>
          </w:r>
          <w:r>
            <w:t>17</w:t>
          </w:r>
          <w:r>
            <w:fldChar w:fldCharType="end"/>
          </w:r>
          <w:r>
            <w:fldChar w:fldCharType="end"/>
          </w:r>
        </w:p>
        <w:p>
          <w:pPr>
            <w:pStyle w:val="13"/>
            <w:tabs>
              <w:tab w:val="right" w:leader="dot" w:pos="9524"/>
              <w:tab w:val="clear" w:pos="756"/>
              <w:tab w:val="clear" w:pos="966"/>
              <w:tab w:val="clear" w:pos="1204"/>
              <w:tab w:val="clear" w:pos="1442"/>
              <w:tab w:val="clear" w:pos="9514"/>
            </w:tabs>
          </w:pPr>
          <w:r>
            <w:fldChar w:fldCharType="begin"/>
          </w:r>
          <w:r>
            <w:instrText xml:space="preserve"> HYPERLINK \l _Toc19836 </w:instrText>
          </w:r>
          <w:r>
            <w:fldChar w:fldCharType="separate"/>
          </w:r>
          <w:r>
            <w:rPr>
              <w:rFonts w:hint="eastAsia" w:cs="Times New Roman" w:asciiTheme="majorEastAsia" w:hAnsiTheme="majorEastAsia"/>
              <w:bCs w:val="0"/>
              <w:szCs w:val="30"/>
              <w:lang w:val="zh-CN"/>
            </w:rPr>
            <w:t xml:space="preserve">九、 </w:t>
          </w:r>
          <w:r>
            <w:rPr>
              <w:rFonts w:hint="eastAsia" w:cs="Times New Roman" w:asciiTheme="majorEastAsia" w:hAnsiTheme="majorEastAsia"/>
              <w:bCs w:val="0"/>
              <w:lang w:val="zh-CN"/>
            </w:rPr>
            <w:t>相关条文解读</w:t>
          </w:r>
          <w:r>
            <w:tab/>
          </w:r>
          <w:r>
            <w:fldChar w:fldCharType="begin"/>
          </w:r>
          <w:r>
            <w:instrText xml:space="preserve"> PAGEREF _Toc19836 </w:instrText>
          </w:r>
          <w:r>
            <w:fldChar w:fldCharType="separate"/>
          </w:r>
          <w:r>
            <w:t>17</w:t>
          </w:r>
          <w:r>
            <w:fldChar w:fldCharType="end"/>
          </w:r>
          <w:r>
            <w:fldChar w:fldCharType="end"/>
          </w:r>
        </w:p>
        <w:p>
          <w:pPr>
            <w:pStyle w:val="13"/>
            <w:tabs>
              <w:tab w:val="right" w:leader="dot" w:pos="9524"/>
              <w:tab w:val="clear" w:pos="756"/>
              <w:tab w:val="clear" w:pos="966"/>
              <w:tab w:val="clear" w:pos="1204"/>
              <w:tab w:val="clear" w:pos="1442"/>
              <w:tab w:val="clear" w:pos="9514"/>
            </w:tabs>
          </w:pPr>
          <w:r>
            <w:fldChar w:fldCharType="begin"/>
          </w:r>
          <w:r>
            <w:instrText xml:space="preserve"> HYPERLINK \l _Toc21216 </w:instrText>
          </w:r>
          <w:r>
            <w:fldChar w:fldCharType="separate"/>
          </w:r>
          <w:r>
            <w:rPr>
              <w:rFonts w:hint="eastAsia" w:cs="Times New Roman" w:asciiTheme="majorEastAsia" w:hAnsiTheme="majorEastAsia"/>
              <w:bCs w:val="0"/>
              <w:szCs w:val="30"/>
              <w:lang w:val="zh-CN"/>
            </w:rPr>
            <w:t xml:space="preserve">十、 </w:t>
          </w:r>
          <w:r>
            <w:rPr>
              <w:rFonts w:hint="eastAsia" w:cs="Times New Roman" w:asciiTheme="majorEastAsia" w:hAnsiTheme="majorEastAsia"/>
              <w:bCs w:val="0"/>
              <w:lang w:val="zh-CN"/>
            </w:rPr>
            <w:t>其他注意事项</w:t>
          </w:r>
          <w:r>
            <w:tab/>
          </w:r>
          <w:r>
            <w:fldChar w:fldCharType="begin"/>
          </w:r>
          <w:r>
            <w:instrText xml:space="preserve"> PAGEREF _Toc21216 </w:instrText>
          </w:r>
          <w:r>
            <w:fldChar w:fldCharType="separate"/>
          </w:r>
          <w:r>
            <w:t>18</w:t>
          </w:r>
          <w:r>
            <w:fldChar w:fldCharType="end"/>
          </w:r>
          <w:r>
            <w:fldChar w:fldCharType="end"/>
          </w:r>
        </w:p>
        <w:p>
          <w:pPr>
            <w:pStyle w:val="13"/>
            <w:tabs>
              <w:tab w:val="right" w:leader="dot" w:pos="9524"/>
              <w:tab w:val="clear" w:pos="756"/>
              <w:tab w:val="clear" w:pos="966"/>
              <w:tab w:val="clear" w:pos="1204"/>
              <w:tab w:val="clear" w:pos="1442"/>
              <w:tab w:val="clear" w:pos="9514"/>
            </w:tabs>
          </w:pPr>
          <w:r>
            <w:fldChar w:fldCharType="begin"/>
          </w:r>
          <w:r>
            <w:instrText xml:space="preserve"> HYPERLINK \l _Toc2028 </w:instrText>
          </w:r>
          <w:r>
            <w:fldChar w:fldCharType="separate"/>
          </w:r>
          <w:r>
            <w:rPr>
              <w:rFonts w:hint="eastAsia" w:cs="Times New Roman" w:asciiTheme="majorEastAsia" w:hAnsiTheme="majorEastAsia"/>
              <w:bCs w:val="0"/>
              <w:szCs w:val="30"/>
              <w:lang w:val="zh-CN"/>
            </w:rPr>
            <w:t xml:space="preserve">十一、 </w:t>
          </w:r>
          <w:r>
            <w:rPr>
              <w:rFonts w:hint="eastAsia" w:cs="Times New Roman" w:asciiTheme="majorEastAsia" w:hAnsiTheme="majorEastAsia"/>
              <w:bCs w:val="0"/>
              <w:lang w:val="zh-CN"/>
            </w:rPr>
            <w:t>适用法律</w:t>
          </w:r>
          <w:r>
            <w:tab/>
          </w:r>
          <w:r>
            <w:fldChar w:fldCharType="begin"/>
          </w:r>
          <w:r>
            <w:instrText xml:space="preserve"> PAGEREF _Toc2028 </w:instrText>
          </w:r>
          <w:r>
            <w:fldChar w:fldCharType="separate"/>
          </w:r>
          <w:r>
            <w:t>18</w:t>
          </w:r>
          <w:r>
            <w:fldChar w:fldCharType="end"/>
          </w:r>
          <w:r>
            <w:fldChar w:fldCharType="end"/>
          </w:r>
        </w:p>
        <w:p>
          <w:pPr>
            <w:pStyle w:val="13"/>
            <w:tabs>
              <w:tab w:val="right" w:leader="dot" w:pos="9524"/>
              <w:tab w:val="clear" w:pos="756"/>
              <w:tab w:val="clear" w:pos="966"/>
              <w:tab w:val="clear" w:pos="1204"/>
              <w:tab w:val="clear" w:pos="1442"/>
              <w:tab w:val="clear" w:pos="9514"/>
            </w:tabs>
          </w:pPr>
          <w:r>
            <w:fldChar w:fldCharType="begin"/>
          </w:r>
          <w:r>
            <w:instrText xml:space="preserve"> HYPERLINK \l _Toc13645 </w:instrText>
          </w:r>
          <w:r>
            <w:fldChar w:fldCharType="separate"/>
          </w:r>
          <w:r>
            <w:rPr>
              <w:rFonts w:hint="eastAsia" w:cs="Times New Roman" w:asciiTheme="majorEastAsia" w:hAnsiTheme="majorEastAsia"/>
              <w:bCs w:val="0"/>
              <w:szCs w:val="30"/>
              <w:lang w:val="zh-CN"/>
            </w:rPr>
            <w:t xml:space="preserve">十二、 </w:t>
          </w:r>
          <w:r>
            <w:rPr>
              <w:rFonts w:hint="eastAsia" w:cs="Times New Roman" w:asciiTheme="majorEastAsia" w:hAnsiTheme="majorEastAsia"/>
              <w:bCs w:val="0"/>
              <w:lang w:val="zh-CN"/>
            </w:rPr>
            <w:t>招标文件的解释权</w:t>
          </w:r>
          <w:r>
            <w:tab/>
          </w:r>
          <w:r>
            <w:fldChar w:fldCharType="begin"/>
          </w:r>
          <w:r>
            <w:instrText xml:space="preserve"> PAGEREF _Toc13645 </w:instrText>
          </w:r>
          <w:r>
            <w:fldChar w:fldCharType="separate"/>
          </w:r>
          <w:r>
            <w:t>18</w:t>
          </w:r>
          <w:r>
            <w:fldChar w:fldCharType="end"/>
          </w:r>
          <w:r>
            <w:fldChar w:fldCharType="end"/>
          </w:r>
        </w:p>
        <w:p>
          <w:pPr>
            <w:pStyle w:val="12"/>
            <w:tabs>
              <w:tab w:val="right" w:leader="dot" w:pos="9524"/>
            </w:tabs>
          </w:pPr>
          <w:r>
            <w:fldChar w:fldCharType="begin"/>
          </w:r>
          <w:r>
            <w:instrText xml:space="preserve"> HYPERLINK \l _Toc13070 </w:instrText>
          </w:r>
          <w:r>
            <w:fldChar w:fldCharType="separate"/>
          </w:r>
          <w:r>
            <w:rPr>
              <w:rFonts w:hint="eastAsia"/>
              <w:szCs w:val="36"/>
            </w:rPr>
            <w:t xml:space="preserve">第三章 </w:t>
          </w:r>
          <w:r>
            <w:rPr>
              <w:rFonts w:hint="eastAsia" w:ascii="黑体" w:hAnsi="黑体" w:eastAsia="黑体"/>
              <w:szCs w:val="36"/>
            </w:rPr>
            <w:t>项目技术、服务及商务要求</w:t>
          </w:r>
          <w:r>
            <w:tab/>
          </w:r>
          <w:r>
            <w:fldChar w:fldCharType="begin"/>
          </w:r>
          <w:r>
            <w:instrText xml:space="preserve"> PAGEREF _Toc13070 </w:instrText>
          </w:r>
          <w:r>
            <w:fldChar w:fldCharType="separate"/>
          </w:r>
          <w:r>
            <w:t>19</w:t>
          </w:r>
          <w:r>
            <w:fldChar w:fldCharType="end"/>
          </w:r>
          <w:r>
            <w:fldChar w:fldCharType="end"/>
          </w:r>
        </w:p>
        <w:p>
          <w:pPr>
            <w:pStyle w:val="13"/>
            <w:tabs>
              <w:tab w:val="right" w:leader="dot" w:pos="9524"/>
              <w:tab w:val="clear" w:pos="756"/>
              <w:tab w:val="clear" w:pos="966"/>
              <w:tab w:val="clear" w:pos="1204"/>
              <w:tab w:val="clear" w:pos="1442"/>
              <w:tab w:val="clear" w:pos="9514"/>
            </w:tabs>
          </w:pPr>
          <w:r>
            <w:fldChar w:fldCharType="begin"/>
          </w:r>
          <w:r>
            <w:instrText xml:space="preserve"> HYPERLINK \l _Toc9680 </w:instrText>
          </w:r>
          <w:r>
            <w:fldChar w:fldCharType="separate"/>
          </w:r>
          <w:r>
            <w:rPr>
              <w:rFonts w:hint="default" w:ascii="宋体" w:hAnsi="宋体"/>
              <w:szCs w:val="24"/>
            </w:rPr>
            <w:t xml:space="preserve">一． </w:t>
          </w:r>
          <w:r>
            <w:rPr>
              <w:rFonts w:hint="eastAsia" w:ascii="宋体" w:hAnsi="宋体"/>
              <w:szCs w:val="28"/>
              <w:lang w:val="zh-CN"/>
            </w:rPr>
            <w:t>商务要求</w:t>
          </w:r>
          <w:r>
            <w:tab/>
          </w:r>
          <w:r>
            <w:fldChar w:fldCharType="begin"/>
          </w:r>
          <w:r>
            <w:instrText xml:space="preserve"> PAGEREF _Toc9680 </w:instrText>
          </w:r>
          <w:r>
            <w:fldChar w:fldCharType="separate"/>
          </w:r>
          <w:r>
            <w:t>45</w:t>
          </w:r>
          <w:r>
            <w:fldChar w:fldCharType="end"/>
          </w:r>
          <w:r>
            <w:fldChar w:fldCharType="end"/>
          </w:r>
        </w:p>
        <w:p>
          <w:pPr>
            <w:pStyle w:val="12"/>
            <w:tabs>
              <w:tab w:val="right" w:leader="dot" w:pos="9524"/>
            </w:tabs>
          </w:pPr>
          <w:r>
            <w:fldChar w:fldCharType="begin"/>
          </w:r>
          <w:r>
            <w:instrText xml:space="preserve"> HYPERLINK \l _Toc20586 </w:instrText>
          </w:r>
          <w:r>
            <w:fldChar w:fldCharType="separate"/>
          </w:r>
          <w:r>
            <w:rPr>
              <w:rFonts w:hint="eastAsia" w:ascii="黑体" w:hAnsi="黑体" w:eastAsia="黑体"/>
            </w:rPr>
            <w:t>第四章 资格审查方法及标准</w:t>
          </w:r>
          <w:r>
            <w:tab/>
          </w:r>
          <w:r>
            <w:fldChar w:fldCharType="begin"/>
          </w:r>
          <w:r>
            <w:instrText xml:space="preserve"> PAGEREF _Toc20586 </w:instrText>
          </w:r>
          <w:r>
            <w:fldChar w:fldCharType="separate"/>
          </w:r>
          <w:r>
            <w:t>46</w:t>
          </w:r>
          <w:r>
            <w:fldChar w:fldCharType="end"/>
          </w:r>
          <w:r>
            <w:fldChar w:fldCharType="end"/>
          </w:r>
        </w:p>
        <w:p>
          <w:pPr>
            <w:pStyle w:val="13"/>
            <w:tabs>
              <w:tab w:val="right" w:leader="dot" w:pos="9524"/>
              <w:tab w:val="clear" w:pos="756"/>
              <w:tab w:val="clear" w:pos="966"/>
              <w:tab w:val="clear" w:pos="1204"/>
              <w:tab w:val="clear" w:pos="1442"/>
              <w:tab w:val="clear" w:pos="9514"/>
            </w:tabs>
          </w:pPr>
          <w:r>
            <w:fldChar w:fldCharType="begin"/>
          </w:r>
          <w:r>
            <w:instrText xml:space="preserve"> HYPERLINK \l _Toc13097 </w:instrText>
          </w:r>
          <w:r>
            <w:fldChar w:fldCharType="separate"/>
          </w:r>
          <w:r>
            <w:rPr>
              <w:rFonts w:hint="eastAsia" w:cs="Times New Roman" w:asciiTheme="majorEastAsia" w:hAnsiTheme="majorEastAsia"/>
              <w:bCs w:val="0"/>
              <w:szCs w:val="30"/>
              <w:lang w:val="zh-CN"/>
            </w:rPr>
            <w:t>一、 资格审查方法</w:t>
          </w:r>
          <w:r>
            <w:tab/>
          </w:r>
          <w:r>
            <w:fldChar w:fldCharType="begin"/>
          </w:r>
          <w:r>
            <w:instrText xml:space="preserve"> PAGEREF _Toc13097 </w:instrText>
          </w:r>
          <w:r>
            <w:fldChar w:fldCharType="separate"/>
          </w:r>
          <w:r>
            <w:t>46</w:t>
          </w:r>
          <w:r>
            <w:fldChar w:fldCharType="end"/>
          </w:r>
          <w:r>
            <w:fldChar w:fldCharType="end"/>
          </w:r>
        </w:p>
        <w:p>
          <w:pPr>
            <w:pStyle w:val="13"/>
            <w:tabs>
              <w:tab w:val="right" w:leader="dot" w:pos="9524"/>
              <w:tab w:val="clear" w:pos="756"/>
              <w:tab w:val="clear" w:pos="966"/>
              <w:tab w:val="clear" w:pos="1204"/>
              <w:tab w:val="clear" w:pos="1442"/>
              <w:tab w:val="clear" w:pos="9514"/>
            </w:tabs>
          </w:pPr>
          <w:r>
            <w:fldChar w:fldCharType="begin"/>
          </w:r>
          <w:r>
            <w:instrText xml:space="preserve"> HYPERLINK \l _Toc25015 </w:instrText>
          </w:r>
          <w:r>
            <w:fldChar w:fldCharType="separate"/>
          </w:r>
          <w:r>
            <w:rPr>
              <w:rFonts w:hint="eastAsia" w:cs="Times New Roman" w:asciiTheme="majorEastAsia" w:hAnsiTheme="majorEastAsia"/>
              <w:bCs w:val="0"/>
              <w:szCs w:val="30"/>
              <w:lang w:val="zh-CN"/>
            </w:rPr>
            <w:t>二、 资格审查标准</w:t>
          </w:r>
          <w:r>
            <w:tab/>
          </w:r>
          <w:r>
            <w:fldChar w:fldCharType="begin"/>
          </w:r>
          <w:r>
            <w:instrText xml:space="preserve"> PAGEREF _Toc25015 </w:instrText>
          </w:r>
          <w:r>
            <w:fldChar w:fldCharType="separate"/>
          </w:r>
          <w:r>
            <w:t>46</w:t>
          </w:r>
          <w:r>
            <w:fldChar w:fldCharType="end"/>
          </w:r>
          <w:r>
            <w:fldChar w:fldCharType="end"/>
          </w:r>
        </w:p>
        <w:p>
          <w:pPr>
            <w:pStyle w:val="12"/>
            <w:tabs>
              <w:tab w:val="right" w:leader="dot" w:pos="9524"/>
            </w:tabs>
          </w:pPr>
          <w:r>
            <w:fldChar w:fldCharType="begin"/>
          </w:r>
          <w:r>
            <w:instrText xml:space="preserve"> HYPERLINK \l _Toc5728 </w:instrText>
          </w:r>
          <w:r>
            <w:fldChar w:fldCharType="separate"/>
          </w:r>
          <w:r>
            <w:rPr>
              <w:rFonts w:hint="eastAsia" w:ascii="黑体" w:hAnsi="黑体" w:eastAsia="黑体"/>
            </w:rPr>
            <w:t>第五章 评标方法、程序及标准</w:t>
          </w:r>
          <w:r>
            <w:tab/>
          </w:r>
          <w:r>
            <w:fldChar w:fldCharType="begin"/>
          </w:r>
          <w:r>
            <w:instrText xml:space="preserve"> PAGEREF _Toc5728 </w:instrText>
          </w:r>
          <w:r>
            <w:fldChar w:fldCharType="separate"/>
          </w:r>
          <w:r>
            <w:t>48</w:t>
          </w:r>
          <w:r>
            <w:fldChar w:fldCharType="end"/>
          </w:r>
          <w:r>
            <w:fldChar w:fldCharType="end"/>
          </w:r>
        </w:p>
        <w:p>
          <w:pPr>
            <w:pStyle w:val="13"/>
            <w:tabs>
              <w:tab w:val="right" w:leader="dot" w:pos="9524"/>
              <w:tab w:val="clear" w:pos="756"/>
              <w:tab w:val="clear" w:pos="966"/>
              <w:tab w:val="clear" w:pos="1204"/>
              <w:tab w:val="clear" w:pos="1442"/>
              <w:tab w:val="clear" w:pos="9514"/>
            </w:tabs>
          </w:pPr>
          <w:r>
            <w:fldChar w:fldCharType="begin"/>
          </w:r>
          <w:r>
            <w:instrText xml:space="preserve"> HYPERLINK \l _Toc10585 </w:instrText>
          </w:r>
          <w:r>
            <w:fldChar w:fldCharType="separate"/>
          </w:r>
          <w:r>
            <w:rPr>
              <w:rFonts w:hint="eastAsia" w:cs="Times New Roman" w:asciiTheme="majorEastAsia" w:hAnsiTheme="majorEastAsia"/>
              <w:bCs w:val="0"/>
              <w:szCs w:val="30"/>
              <w:lang w:val="zh-CN"/>
            </w:rPr>
            <w:t>一、 评标方法</w:t>
          </w:r>
          <w:r>
            <w:tab/>
          </w:r>
          <w:r>
            <w:fldChar w:fldCharType="begin"/>
          </w:r>
          <w:r>
            <w:instrText xml:space="preserve"> PAGEREF _Toc10585 </w:instrText>
          </w:r>
          <w:r>
            <w:fldChar w:fldCharType="separate"/>
          </w:r>
          <w:r>
            <w:t>48</w:t>
          </w:r>
          <w:r>
            <w:fldChar w:fldCharType="end"/>
          </w:r>
          <w:r>
            <w:fldChar w:fldCharType="end"/>
          </w:r>
        </w:p>
        <w:p>
          <w:pPr>
            <w:pStyle w:val="13"/>
            <w:tabs>
              <w:tab w:val="right" w:leader="dot" w:pos="9524"/>
              <w:tab w:val="clear" w:pos="756"/>
              <w:tab w:val="clear" w:pos="966"/>
              <w:tab w:val="clear" w:pos="1204"/>
              <w:tab w:val="clear" w:pos="1442"/>
              <w:tab w:val="clear" w:pos="9514"/>
            </w:tabs>
          </w:pPr>
          <w:r>
            <w:fldChar w:fldCharType="begin"/>
          </w:r>
          <w:r>
            <w:instrText xml:space="preserve"> HYPERLINK \l _Toc18368 </w:instrText>
          </w:r>
          <w:r>
            <w:fldChar w:fldCharType="separate"/>
          </w:r>
          <w:r>
            <w:rPr>
              <w:rFonts w:hint="eastAsia" w:cs="Times New Roman" w:asciiTheme="majorEastAsia" w:hAnsiTheme="majorEastAsia"/>
              <w:bCs w:val="0"/>
              <w:szCs w:val="30"/>
              <w:lang w:val="zh-CN"/>
            </w:rPr>
            <w:t>二、 评标程序及标准</w:t>
          </w:r>
          <w:r>
            <w:tab/>
          </w:r>
          <w:r>
            <w:fldChar w:fldCharType="begin"/>
          </w:r>
          <w:r>
            <w:instrText xml:space="preserve"> PAGEREF _Toc18368 </w:instrText>
          </w:r>
          <w:r>
            <w:fldChar w:fldCharType="separate"/>
          </w:r>
          <w:r>
            <w:t>48</w:t>
          </w:r>
          <w:r>
            <w:fldChar w:fldCharType="end"/>
          </w:r>
          <w:r>
            <w:fldChar w:fldCharType="end"/>
          </w:r>
        </w:p>
        <w:p>
          <w:pPr>
            <w:pStyle w:val="13"/>
            <w:tabs>
              <w:tab w:val="right" w:leader="dot" w:pos="9524"/>
              <w:tab w:val="clear" w:pos="756"/>
              <w:tab w:val="clear" w:pos="966"/>
              <w:tab w:val="clear" w:pos="1204"/>
              <w:tab w:val="clear" w:pos="1442"/>
              <w:tab w:val="clear" w:pos="9514"/>
            </w:tabs>
          </w:pPr>
          <w:r>
            <w:fldChar w:fldCharType="begin"/>
          </w:r>
          <w:r>
            <w:instrText xml:space="preserve"> HYPERLINK \l _Toc26631 </w:instrText>
          </w:r>
          <w:r>
            <w:fldChar w:fldCharType="separate"/>
          </w:r>
          <w:r>
            <w:rPr>
              <w:rFonts w:hint="eastAsia" w:cs="Times New Roman" w:asciiTheme="majorEastAsia" w:hAnsiTheme="majorEastAsia"/>
              <w:bCs w:val="0"/>
              <w:szCs w:val="30"/>
              <w:lang w:val="zh-CN"/>
            </w:rPr>
            <w:t>三、评审因素及评分标准</w:t>
          </w:r>
          <w:r>
            <w:tab/>
          </w:r>
          <w:r>
            <w:fldChar w:fldCharType="begin"/>
          </w:r>
          <w:r>
            <w:instrText xml:space="preserve"> PAGEREF _Toc26631 </w:instrText>
          </w:r>
          <w:r>
            <w:fldChar w:fldCharType="separate"/>
          </w:r>
          <w:r>
            <w:t>52</w:t>
          </w:r>
          <w:r>
            <w:fldChar w:fldCharType="end"/>
          </w:r>
          <w:r>
            <w:fldChar w:fldCharType="end"/>
          </w:r>
        </w:p>
        <w:p>
          <w:pPr>
            <w:pStyle w:val="12"/>
            <w:tabs>
              <w:tab w:val="right" w:leader="dot" w:pos="9524"/>
            </w:tabs>
          </w:pPr>
          <w:r>
            <w:fldChar w:fldCharType="begin"/>
          </w:r>
          <w:r>
            <w:instrText xml:space="preserve"> HYPERLINK \l _Toc20590 </w:instrText>
          </w:r>
          <w:r>
            <w:fldChar w:fldCharType="separate"/>
          </w:r>
          <w:r>
            <w:rPr>
              <w:rFonts w:hint="eastAsia" w:ascii="黑体" w:hAnsi="黑体" w:eastAsia="黑体"/>
            </w:rPr>
            <w:t>第六章 合同书格式（参考）</w:t>
          </w:r>
          <w:r>
            <w:tab/>
          </w:r>
          <w:r>
            <w:fldChar w:fldCharType="begin"/>
          </w:r>
          <w:r>
            <w:instrText xml:space="preserve"> PAGEREF _Toc20590 </w:instrText>
          </w:r>
          <w:r>
            <w:fldChar w:fldCharType="separate"/>
          </w:r>
          <w:r>
            <w:t>54</w:t>
          </w:r>
          <w:r>
            <w:fldChar w:fldCharType="end"/>
          </w:r>
          <w:r>
            <w:fldChar w:fldCharType="end"/>
          </w:r>
        </w:p>
        <w:p>
          <w:pPr>
            <w:pStyle w:val="12"/>
            <w:tabs>
              <w:tab w:val="right" w:leader="dot" w:pos="9524"/>
            </w:tabs>
          </w:pPr>
          <w:r>
            <w:fldChar w:fldCharType="begin"/>
          </w:r>
          <w:r>
            <w:instrText xml:space="preserve"> HYPERLINK \l _Toc18542 </w:instrText>
          </w:r>
          <w:r>
            <w:fldChar w:fldCharType="separate"/>
          </w:r>
          <w:r>
            <w:rPr>
              <w:rFonts w:hint="eastAsia" w:ascii="黑体" w:hAnsi="黑体" w:eastAsia="黑体"/>
            </w:rPr>
            <w:t>第七章 投标文件格式（参考）</w:t>
          </w:r>
          <w:r>
            <w:tab/>
          </w:r>
          <w:r>
            <w:fldChar w:fldCharType="begin"/>
          </w:r>
          <w:r>
            <w:instrText xml:space="preserve"> PAGEREF _Toc18542 </w:instrText>
          </w:r>
          <w:r>
            <w:fldChar w:fldCharType="separate"/>
          </w:r>
          <w:r>
            <w:t>56</w:t>
          </w:r>
          <w:r>
            <w:fldChar w:fldCharType="end"/>
          </w:r>
          <w:r>
            <w:fldChar w:fldCharType="end"/>
          </w:r>
        </w:p>
        <w:p>
          <w:pPr>
            <w:pStyle w:val="13"/>
            <w:tabs>
              <w:tab w:val="right" w:leader="dot" w:pos="9524"/>
              <w:tab w:val="clear" w:pos="756"/>
              <w:tab w:val="clear" w:pos="966"/>
              <w:tab w:val="clear" w:pos="1204"/>
              <w:tab w:val="clear" w:pos="1442"/>
              <w:tab w:val="clear" w:pos="9514"/>
            </w:tabs>
          </w:pPr>
          <w:r>
            <w:fldChar w:fldCharType="begin"/>
          </w:r>
          <w:r>
            <w:instrText xml:space="preserve"> HYPERLINK \l _Toc26112 </w:instrText>
          </w:r>
          <w:r>
            <w:fldChar w:fldCharType="separate"/>
          </w:r>
          <w:r>
            <w:rPr>
              <w:rFonts w:hint="eastAsia" w:cs="Times New Roman" w:asciiTheme="majorEastAsia" w:hAnsiTheme="majorEastAsia"/>
              <w:bCs w:val="0"/>
              <w:szCs w:val="44"/>
              <w:lang w:val="zh-CN"/>
            </w:rPr>
            <w:t>第一部分 资格证明文件</w:t>
          </w:r>
          <w:r>
            <w:tab/>
          </w:r>
          <w:r>
            <w:fldChar w:fldCharType="begin"/>
          </w:r>
          <w:r>
            <w:instrText xml:space="preserve"> PAGEREF _Toc26112 </w:instrText>
          </w:r>
          <w:r>
            <w:fldChar w:fldCharType="separate"/>
          </w:r>
          <w:r>
            <w:t>56</w:t>
          </w:r>
          <w:r>
            <w:fldChar w:fldCharType="end"/>
          </w:r>
          <w:r>
            <w:fldChar w:fldCharType="end"/>
          </w:r>
        </w:p>
        <w:p>
          <w:pPr>
            <w:pStyle w:val="13"/>
            <w:tabs>
              <w:tab w:val="right" w:leader="dot" w:pos="9524"/>
              <w:tab w:val="clear" w:pos="756"/>
              <w:tab w:val="clear" w:pos="966"/>
              <w:tab w:val="clear" w:pos="1204"/>
              <w:tab w:val="clear" w:pos="1442"/>
              <w:tab w:val="clear" w:pos="9514"/>
            </w:tabs>
          </w:pPr>
          <w:r>
            <w:fldChar w:fldCharType="begin"/>
          </w:r>
          <w:r>
            <w:instrText xml:space="preserve"> HYPERLINK \l _Toc28932 </w:instrText>
          </w:r>
          <w:r>
            <w:fldChar w:fldCharType="separate"/>
          </w:r>
          <w:r>
            <w:rPr>
              <w:rFonts w:hint="eastAsia" w:cs="Times New Roman" w:asciiTheme="majorEastAsia" w:hAnsiTheme="majorEastAsia"/>
              <w:bCs w:val="0"/>
              <w:szCs w:val="44"/>
              <w:lang w:val="zh-CN"/>
            </w:rPr>
            <w:t>第二部分 商务文件</w:t>
          </w:r>
          <w:r>
            <w:tab/>
          </w:r>
          <w:r>
            <w:fldChar w:fldCharType="begin"/>
          </w:r>
          <w:r>
            <w:instrText xml:space="preserve"> PAGEREF _Toc28932 </w:instrText>
          </w:r>
          <w:r>
            <w:fldChar w:fldCharType="separate"/>
          </w:r>
          <w:r>
            <w:t>58</w:t>
          </w:r>
          <w:r>
            <w:fldChar w:fldCharType="end"/>
          </w:r>
          <w:r>
            <w:fldChar w:fldCharType="end"/>
          </w:r>
        </w:p>
        <w:p>
          <w:pPr>
            <w:pStyle w:val="13"/>
            <w:tabs>
              <w:tab w:val="right" w:leader="dot" w:pos="9524"/>
              <w:tab w:val="clear" w:pos="756"/>
              <w:tab w:val="clear" w:pos="966"/>
              <w:tab w:val="clear" w:pos="1204"/>
              <w:tab w:val="clear" w:pos="1442"/>
              <w:tab w:val="clear" w:pos="9514"/>
            </w:tabs>
          </w:pPr>
          <w:r>
            <w:fldChar w:fldCharType="begin"/>
          </w:r>
          <w:r>
            <w:instrText xml:space="preserve"> HYPERLINK \l _Toc1919 </w:instrText>
          </w:r>
          <w:r>
            <w:fldChar w:fldCharType="separate"/>
          </w:r>
          <w:r>
            <w:rPr>
              <w:rFonts w:hint="eastAsia" w:cs="Times New Roman" w:asciiTheme="majorEastAsia" w:hAnsiTheme="majorEastAsia"/>
              <w:bCs w:val="0"/>
              <w:szCs w:val="44"/>
              <w:lang w:val="zh-CN"/>
            </w:rPr>
            <w:t>第三部分 技术、服务文件</w:t>
          </w:r>
          <w:r>
            <w:tab/>
          </w:r>
          <w:r>
            <w:fldChar w:fldCharType="begin"/>
          </w:r>
          <w:r>
            <w:instrText xml:space="preserve"> PAGEREF _Toc1919 </w:instrText>
          </w:r>
          <w:r>
            <w:fldChar w:fldCharType="separate"/>
          </w:r>
          <w:r>
            <w:t>60</w:t>
          </w:r>
          <w:r>
            <w:fldChar w:fldCharType="end"/>
          </w:r>
          <w:r>
            <w:fldChar w:fldCharType="end"/>
          </w:r>
        </w:p>
        <w:p>
          <w:pPr>
            <w:pStyle w:val="13"/>
            <w:tabs>
              <w:tab w:val="right" w:leader="dot" w:pos="9524"/>
              <w:tab w:val="clear" w:pos="756"/>
              <w:tab w:val="clear" w:pos="966"/>
              <w:tab w:val="clear" w:pos="1204"/>
              <w:tab w:val="clear" w:pos="1442"/>
              <w:tab w:val="clear" w:pos="9514"/>
            </w:tabs>
          </w:pPr>
          <w:r>
            <w:fldChar w:fldCharType="begin"/>
          </w:r>
          <w:r>
            <w:instrText xml:space="preserve"> HYPERLINK \l _Toc13677 </w:instrText>
          </w:r>
          <w:r>
            <w:fldChar w:fldCharType="separate"/>
          </w:r>
          <w:r>
            <w:rPr>
              <w:rFonts w:hint="eastAsia" w:ascii="宋体" w:hAnsi="宋体" w:eastAsia="宋体"/>
              <w:i w:val="0"/>
            </w:rPr>
            <w:t xml:space="preserve">附件一、 </w:t>
          </w:r>
          <w:r>
            <w:rPr>
              <w:rFonts w:hint="eastAsia" w:ascii="宋体" w:hAnsi="宋体" w:eastAsia="宋体"/>
            </w:rPr>
            <w:t>投标书</w:t>
          </w:r>
          <w:r>
            <w:tab/>
          </w:r>
          <w:r>
            <w:fldChar w:fldCharType="begin"/>
          </w:r>
          <w:r>
            <w:instrText xml:space="preserve"> PAGEREF _Toc13677 </w:instrText>
          </w:r>
          <w:r>
            <w:fldChar w:fldCharType="separate"/>
          </w:r>
          <w:r>
            <w:t>62</w:t>
          </w:r>
          <w:r>
            <w:fldChar w:fldCharType="end"/>
          </w:r>
          <w:r>
            <w:fldChar w:fldCharType="end"/>
          </w:r>
        </w:p>
        <w:p>
          <w:pPr>
            <w:pStyle w:val="13"/>
            <w:tabs>
              <w:tab w:val="right" w:leader="dot" w:pos="9524"/>
              <w:tab w:val="clear" w:pos="756"/>
              <w:tab w:val="clear" w:pos="966"/>
              <w:tab w:val="clear" w:pos="1204"/>
              <w:tab w:val="clear" w:pos="1442"/>
              <w:tab w:val="clear" w:pos="9514"/>
            </w:tabs>
          </w:pPr>
          <w:r>
            <w:fldChar w:fldCharType="begin"/>
          </w:r>
          <w:r>
            <w:instrText xml:space="preserve"> HYPERLINK \l _Toc20402 </w:instrText>
          </w:r>
          <w:r>
            <w:fldChar w:fldCharType="separate"/>
          </w:r>
          <w:r>
            <w:rPr>
              <w:rFonts w:hint="eastAsia" w:ascii="宋体" w:hAnsi="宋体" w:eastAsia="宋体"/>
              <w:i w:val="0"/>
            </w:rPr>
            <w:t xml:space="preserve">附件二、 </w:t>
          </w:r>
          <w:r>
            <w:rPr>
              <w:rFonts w:hint="eastAsia" w:ascii="宋体" w:hAnsi="宋体" w:eastAsia="宋体"/>
            </w:rPr>
            <w:t>制造商中小企业声明函</w:t>
          </w:r>
          <w:r>
            <w:tab/>
          </w:r>
          <w:r>
            <w:fldChar w:fldCharType="begin"/>
          </w:r>
          <w:r>
            <w:instrText xml:space="preserve"> PAGEREF _Toc20402 </w:instrText>
          </w:r>
          <w:r>
            <w:fldChar w:fldCharType="separate"/>
          </w:r>
          <w:r>
            <w:t>63</w:t>
          </w:r>
          <w:r>
            <w:fldChar w:fldCharType="end"/>
          </w:r>
          <w:r>
            <w:fldChar w:fldCharType="end"/>
          </w:r>
        </w:p>
        <w:p>
          <w:pPr>
            <w:pStyle w:val="13"/>
            <w:tabs>
              <w:tab w:val="right" w:leader="dot" w:pos="9524"/>
              <w:tab w:val="clear" w:pos="756"/>
              <w:tab w:val="clear" w:pos="966"/>
              <w:tab w:val="clear" w:pos="1204"/>
              <w:tab w:val="clear" w:pos="1442"/>
              <w:tab w:val="clear" w:pos="9514"/>
            </w:tabs>
          </w:pPr>
          <w:r>
            <w:fldChar w:fldCharType="begin"/>
          </w:r>
          <w:r>
            <w:instrText xml:space="preserve"> HYPERLINK \l _Toc27686 </w:instrText>
          </w:r>
          <w:r>
            <w:fldChar w:fldCharType="separate"/>
          </w:r>
          <w:r>
            <w:rPr>
              <w:rFonts w:hint="eastAsia" w:ascii="宋体" w:hAnsi="宋体" w:eastAsia="宋体"/>
              <w:i w:val="0"/>
            </w:rPr>
            <w:t xml:space="preserve">附件三、 </w:t>
          </w:r>
          <w:r>
            <w:rPr>
              <w:rFonts w:hint="eastAsia" w:ascii="宋体" w:hAnsi="宋体" w:eastAsia="宋体"/>
            </w:rPr>
            <w:t>中小企业声明函</w:t>
          </w:r>
          <w:r>
            <w:tab/>
          </w:r>
          <w:r>
            <w:fldChar w:fldCharType="begin"/>
          </w:r>
          <w:r>
            <w:instrText xml:space="preserve"> PAGEREF _Toc27686 </w:instrText>
          </w:r>
          <w:r>
            <w:fldChar w:fldCharType="separate"/>
          </w:r>
          <w:r>
            <w:t>64</w:t>
          </w:r>
          <w:r>
            <w:fldChar w:fldCharType="end"/>
          </w:r>
          <w:r>
            <w:fldChar w:fldCharType="end"/>
          </w:r>
        </w:p>
        <w:p>
          <w:pPr>
            <w:pStyle w:val="13"/>
            <w:tabs>
              <w:tab w:val="right" w:leader="dot" w:pos="9524"/>
              <w:tab w:val="clear" w:pos="756"/>
              <w:tab w:val="clear" w:pos="966"/>
              <w:tab w:val="clear" w:pos="1204"/>
              <w:tab w:val="clear" w:pos="1442"/>
              <w:tab w:val="clear" w:pos="9514"/>
            </w:tabs>
          </w:pPr>
          <w:r>
            <w:fldChar w:fldCharType="begin"/>
          </w:r>
          <w:r>
            <w:instrText xml:space="preserve"> HYPERLINK \l _Toc3761 </w:instrText>
          </w:r>
          <w:r>
            <w:fldChar w:fldCharType="separate"/>
          </w:r>
          <w:r>
            <w:rPr>
              <w:rFonts w:hint="eastAsia" w:ascii="宋体" w:hAnsi="宋体" w:eastAsia="宋体"/>
              <w:i w:val="0"/>
            </w:rPr>
            <w:t xml:space="preserve">附件四、 </w:t>
          </w:r>
          <w:r>
            <w:rPr>
              <w:rFonts w:hint="eastAsia" w:ascii="宋体" w:hAnsi="宋体" w:eastAsia="宋体"/>
            </w:rPr>
            <w:t>残疾人福利性单位声明函</w:t>
          </w:r>
          <w:r>
            <w:tab/>
          </w:r>
          <w:r>
            <w:fldChar w:fldCharType="begin"/>
          </w:r>
          <w:r>
            <w:instrText xml:space="preserve"> PAGEREF _Toc3761 </w:instrText>
          </w:r>
          <w:r>
            <w:fldChar w:fldCharType="separate"/>
          </w:r>
          <w:r>
            <w:t>66</w:t>
          </w:r>
          <w:r>
            <w:fldChar w:fldCharType="end"/>
          </w:r>
          <w:r>
            <w:fldChar w:fldCharType="end"/>
          </w:r>
        </w:p>
        <w:p>
          <w:pPr>
            <w:pStyle w:val="13"/>
            <w:tabs>
              <w:tab w:val="right" w:leader="dot" w:pos="9524"/>
              <w:tab w:val="clear" w:pos="756"/>
              <w:tab w:val="clear" w:pos="966"/>
              <w:tab w:val="clear" w:pos="1204"/>
              <w:tab w:val="clear" w:pos="1442"/>
              <w:tab w:val="clear" w:pos="9514"/>
            </w:tabs>
          </w:pPr>
          <w:r>
            <w:fldChar w:fldCharType="begin"/>
          </w:r>
          <w:r>
            <w:instrText xml:space="preserve"> HYPERLINK \l _Toc21065 </w:instrText>
          </w:r>
          <w:r>
            <w:fldChar w:fldCharType="separate"/>
          </w:r>
          <w:r>
            <w:rPr>
              <w:rFonts w:hint="eastAsia" w:ascii="宋体" w:hAnsi="宋体" w:eastAsia="宋体"/>
              <w:i w:val="0"/>
            </w:rPr>
            <w:t xml:space="preserve">附件五、 </w:t>
          </w:r>
          <w:r>
            <w:rPr>
              <w:rFonts w:hint="eastAsia" w:ascii="宋体" w:hAnsi="宋体" w:eastAsia="宋体"/>
            </w:rPr>
            <w:t>开标一览表</w:t>
          </w:r>
          <w:r>
            <w:tab/>
          </w:r>
          <w:r>
            <w:fldChar w:fldCharType="begin"/>
          </w:r>
          <w:r>
            <w:instrText xml:space="preserve"> PAGEREF _Toc21065 </w:instrText>
          </w:r>
          <w:r>
            <w:fldChar w:fldCharType="separate"/>
          </w:r>
          <w:r>
            <w:t>69</w:t>
          </w:r>
          <w:r>
            <w:fldChar w:fldCharType="end"/>
          </w:r>
          <w:r>
            <w:fldChar w:fldCharType="end"/>
          </w:r>
        </w:p>
        <w:p>
          <w:pPr>
            <w:pStyle w:val="13"/>
            <w:tabs>
              <w:tab w:val="right" w:leader="dot" w:pos="9524"/>
              <w:tab w:val="clear" w:pos="756"/>
              <w:tab w:val="clear" w:pos="966"/>
              <w:tab w:val="clear" w:pos="1204"/>
              <w:tab w:val="clear" w:pos="1442"/>
              <w:tab w:val="clear" w:pos="9514"/>
            </w:tabs>
          </w:pPr>
          <w:r>
            <w:fldChar w:fldCharType="begin"/>
          </w:r>
          <w:r>
            <w:instrText xml:space="preserve"> HYPERLINK \l _Toc3335 </w:instrText>
          </w:r>
          <w:r>
            <w:fldChar w:fldCharType="separate"/>
          </w:r>
          <w:r>
            <w:rPr>
              <w:rFonts w:hint="eastAsia" w:ascii="宋体" w:hAnsi="宋体" w:eastAsia="宋体"/>
              <w:i w:val="0"/>
            </w:rPr>
            <w:t xml:space="preserve">附件六、 </w:t>
          </w:r>
          <w:r>
            <w:rPr>
              <w:rFonts w:hint="eastAsia" w:ascii="宋体" w:hAnsi="宋体" w:eastAsia="宋体"/>
            </w:rPr>
            <w:t>投标报价明细表</w:t>
          </w:r>
          <w:r>
            <w:tab/>
          </w:r>
          <w:r>
            <w:fldChar w:fldCharType="begin"/>
          </w:r>
          <w:r>
            <w:instrText xml:space="preserve"> PAGEREF _Toc3335 </w:instrText>
          </w:r>
          <w:r>
            <w:fldChar w:fldCharType="separate"/>
          </w:r>
          <w:r>
            <w:t>70</w:t>
          </w:r>
          <w:r>
            <w:fldChar w:fldCharType="end"/>
          </w:r>
          <w:r>
            <w:fldChar w:fldCharType="end"/>
          </w:r>
        </w:p>
        <w:p>
          <w:pPr>
            <w:pStyle w:val="13"/>
            <w:tabs>
              <w:tab w:val="right" w:leader="dot" w:pos="9524"/>
              <w:tab w:val="clear" w:pos="756"/>
              <w:tab w:val="clear" w:pos="966"/>
              <w:tab w:val="clear" w:pos="1204"/>
              <w:tab w:val="clear" w:pos="1442"/>
              <w:tab w:val="clear" w:pos="9514"/>
            </w:tabs>
          </w:pPr>
          <w:r>
            <w:fldChar w:fldCharType="begin"/>
          </w:r>
          <w:r>
            <w:instrText xml:space="preserve"> HYPERLINK \l _Toc30374 </w:instrText>
          </w:r>
          <w:r>
            <w:fldChar w:fldCharType="separate"/>
          </w:r>
          <w:r>
            <w:rPr>
              <w:rFonts w:hint="eastAsia" w:ascii="宋体" w:hAnsi="宋体" w:eastAsia="宋体"/>
              <w:i w:val="0"/>
              <w:szCs w:val="31"/>
            </w:rPr>
            <w:t xml:space="preserve">附件七、 </w:t>
          </w:r>
          <w:r>
            <w:rPr>
              <w:rFonts w:hint="eastAsia" w:ascii="宋体" w:hAnsi="宋体" w:eastAsia="宋体"/>
              <w:szCs w:val="31"/>
            </w:rPr>
            <w:t>小型和微型企业、监狱企业、残疾人福利性单位货物汇总表</w:t>
          </w:r>
          <w:r>
            <w:tab/>
          </w:r>
          <w:r>
            <w:fldChar w:fldCharType="begin"/>
          </w:r>
          <w:r>
            <w:instrText xml:space="preserve"> PAGEREF _Toc30374 </w:instrText>
          </w:r>
          <w:r>
            <w:fldChar w:fldCharType="separate"/>
          </w:r>
          <w:r>
            <w:t>71</w:t>
          </w:r>
          <w:r>
            <w:fldChar w:fldCharType="end"/>
          </w:r>
          <w:r>
            <w:fldChar w:fldCharType="end"/>
          </w:r>
        </w:p>
        <w:p>
          <w:pPr>
            <w:pStyle w:val="13"/>
            <w:tabs>
              <w:tab w:val="right" w:leader="dot" w:pos="9524"/>
              <w:tab w:val="clear" w:pos="756"/>
              <w:tab w:val="clear" w:pos="966"/>
              <w:tab w:val="clear" w:pos="1204"/>
              <w:tab w:val="clear" w:pos="1442"/>
              <w:tab w:val="clear" w:pos="9514"/>
            </w:tabs>
          </w:pPr>
          <w:r>
            <w:fldChar w:fldCharType="begin"/>
          </w:r>
          <w:r>
            <w:instrText xml:space="preserve"> HYPERLINK \l _Toc11505 </w:instrText>
          </w:r>
          <w:r>
            <w:fldChar w:fldCharType="separate"/>
          </w:r>
          <w:r>
            <w:rPr>
              <w:rFonts w:hint="eastAsia" w:ascii="宋体" w:hAnsi="宋体" w:eastAsia="宋体"/>
              <w:i w:val="0"/>
            </w:rPr>
            <w:t xml:space="preserve">附件八、 </w:t>
          </w:r>
          <w:r>
            <w:rPr>
              <w:rFonts w:hint="eastAsia" w:ascii="宋体" w:hAnsi="宋体" w:eastAsia="宋体"/>
            </w:rPr>
            <w:t>投标货物（工程或服务）清单</w:t>
          </w:r>
          <w:r>
            <w:tab/>
          </w:r>
          <w:r>
            <w:fldChar w:fldCharType="begin"/>
          </w:r>
          <w:r>
            <w:instrText xml:space="preserve"> PAGEREF _Toc11505 </w:instrText>
          </w:r>
          <w:r>
            <w:fldChar w:fldCharType="separate"/>
          </w:r>
          <w:r>
            <w:t>72</w:t>
          </w:r>
          <w:r>
            <w:fldChar w:fldCharType="end"/>
          </w:r>
          <w:r>
            <w:fldChar w:fldCharType="end"/>
          </w:r>
        </w:p>
        <w:p>
          <w:pPr>
            <w:pStyle w:val="13"/>
            <w:tabs>
              <w:tab w:val="right" w:leader="dot" w:pos="9524"/>
              <w:tab w:val="clear" w:pos="756"/>
              <w:tab w:val="clear" w:pos="966"/>
              <w:tab w:val="clear" w:pos="1204"/>
              <w:tab w:val="clear" w:pos="1442"/>
              <w:tab w:val="clear" w:pos="9514"/>
            </w:tabs>
          </w:pPr>
          <w:r>
            <w:fldChar w:fldCharType="begin"/>
          </w:r>
          <w:r>
            <w:instrText xml:space="preserve"> HYPERLINK \l _Toc11917 </w:instrText>
          </w:r>
          <w:r>
            <w:fldChar w:fldCharType="separate"/>
          </w:r>
          <w:r>
            <w:rPr>
              <w:rFonts w:hint="eastAsia" w:ascii="宋体" w:hAnsi="宋体" w:eastAsia="宋体"/>
              <w:i w:val="0"/>
            </w:rPr>
            <w:t xml:space="preserve">附件九、 </w:t>
          </w:r>
          <w:r>
            <w:rPr>
              <w:rFonts w:hint="eastAsia" w:ascii="宋体" w:hAnsi="宋体" w:eastAsia="宋体"/>
            </w:rPr>
            <w:t>法定代表人授权书</w:t>
          </w:r>
          <w:r>
            <w:tab/>
          </w:r>
          <w:r>
            <w:fldChar w:fldCharType="begin"/>
          </w:r>
          <w:r>
            <w:instrText xml:space="preserve"> PAGEREF _Toc11917 </w:instrText>
          </w:r>
          <w:r>
            <w:fldChar w:fldCharType="separate"/>
          </w:r>
          <w:r>
            <w:t>73</w:t>
          </w:r>
          <w:r>
            <w:fldChar w:fldCharType="end"/>
          </w:r>
          <w:r>
            <w:fldChar w:fldCharType="end"/>
          </w:r>
        </w:p>
        <w:p>
          <w:pPr>
            <w:pStyle w:val="13"/>
            <w:tabs>
              <w:tab w:val="right" w:leader="dot" w:pos="9524"/>
              <w:tab w:val="clear" w:pos="756"/>
              <w:tab w:val="clear" w:pos="966"/>
              <w:tab w:val="clear" w:pos="1204"/>
              <w:tab w:val="clear" w:pos="1442"/>
              <w:tab w:val="clear" w:pos="9514"/>
            </w:tabs>
          </w:pPr>
          <w:r>
            <w:fldChar w:fldCharType="begin"/>
          </w:r>
          <w:r>
            <w:instrText xml:space="preserve"> HYPERLINK \l _Toc628 </w:instrText>
          </w:r>
          <w:r>
            <w:fldChar w:fldCharType="separate"/>
          </w:r>
          <w:r>
            <w:rPr>
              <w:rFonts w:hint="eastAsia" w:ascii="宋体" w:hAnsi="宋体" w:eastAsia="宋体"/>
              <w:i w:val="0"/>
            </w:rPr>
            <w:t xml:space="preserve">附件十、 </w:t>
          </w:r>
          <w:r>
            <w:rPr>
              <w:rFonts w:hint="eastAsia" w:ascii="宋体" w:hAnsi="宋体" w:eastAsia="宋体"/>
            </w:rPr>
            <w:t>投标人的资格声明</w:t>
          </w:r>
          <w:r>
            <w:tab/>
          </w:r>
          <w:r>
            <w:fldChar w:fldCharType="begin"/>
          </w:r>
          <w:r>
            <w:instrText xml:space="preserve"> PAGEREF _Toc628 </w:instrText>
          </w:r>
          <w:r>
            <w:fldChar w:fldCharType="separate"/>
          </w:r>
          <w:r>
            <w:t>74</w:t>
          </w:r>
          <w:r>
            <w:fldChar w:fldCharType="end"/>
          </w:r>
          <w:r>
            <w:fldChar w:fldCharType="end"/>
          </w:r>
        </w:p>
        <w:p>
          <w:pPr>
            <w:pStyle w:val="13"/>
            <w:tabs>
              <w:tab w:val="right" w:leader="dot" w:pos="9524"/>
              <w:tab w:val="clear" w:pos="756"/>
              <w:tab w:val="clear" w:pos="966"/>
              <w:tab w:val="clear" w:pos="1204"/>
              <w:tab w:val="clear" w:pos="1442"/>
              <w:tab w:val="clear" w:pos="9514"/>
            </w:tabs>
          </w:pPr>
          <w:r>
            <w:fldChar w:fldCharType="begin"/>
          </w:r>
          <w:r>
            <w:instrText xml:space="preserve"> HYPERLINK \l _Toc27129 </w:instrText>
          </w:r>
          <w:r>
            <w:fldChar w:fldCharType="separate"/>
          </w:r>
          <w:r>
            <w:rPr>
              <w:rFonts w:hint="eastAsia" w:ascii="宋体" w:hAnsi="宋体" w:eastAsia="宋体"/>
              <w:i w:val="0"/>
            </w:rPr>
            <w:t xml:space="preserve">附件十一、 </w:t>
          </w:r>
          <w:r>
            <w:rPr>
              <w:rFonts w:hint="eastAsia" w:ascii="宋体" w:hAnsi="宋体" w:eastAsia="宋体"/>
            </w:rPr>
            <w:t>项目负责人、技术负责人简历表</w:t>
          </w:r>
          <w:r>
            <w:tab/>
          </w:r>
          <w:r>
            <w:fldChar w:fldCharType="begin"/>
          </w:r>
          <w:r>
            <w:instrText xml:space="preserve"> PAGEREF _Toc27129 </w:instrText>
          </w:r>
          <w:r>
            <w:fldChar w:fldCharType="separate"/>
          </w:r>
          <w:r>
            <w:t>75</w:t>
          </w:r>
          <w:r>
            <w:fldChar w:fldCharType="end"/>
          </w:r>
          <w:r>
            <w:fldChar w:fldCharType="end"/>
          </w:r>
        </w:p>
        <w:p>
          <w:pPr>
            <w:pStyle w:val="13"/>
            <w:tabs>
              <w:tab w:val="right" w:leader="dot" w:pos="9524"/>
              <w:tab w:val="clear" w:pos="756"/>
              <w:tab w:val="clear" w:pos="966"/>
              <w:tab w:val="clear" w:pos="1204"/>
              <w:tab w:val="clear" w:pos="1442"/>
              <w:tab w:val="clear" w:pos="9514"/>
            </w:tabs>
          </w:pPr>
          <w:r>
            <w:fldChar w:fldCharType="begin"/>
          </w:r>
          <w:r>
            <w:instrText xml:space="preserve"> HYPERLINK \l _Toc365 </w:instrText>
          </w:r>
          <w:r>
            <w:fldChar w:fldCharType="separate"/>
          </w:r>
          <w:r>
            <w:rPr>
              <w:rFonts w:hint="eastAsia" w:ascii="宋体" w:hAnsi="宋体" w:eastAsia="宋体"/>
              <w:i w:val="0"/>
            </w:rPr>
            <w:t xml:space="preserve">附件十二、 </w:t>
          </w:r>
          <w:r>
            <w:rPr>
              <w:rFonts w:hint="eastAsia" w:ascii="宋体" w:hAnsi="宋体" w:eastAsia="宋体"/>
            </w:rPr>
            <w:t>项目班子成员情况表</w:t>
          </w:r>
          <w:r>
            <w:tab/>
          </w:r>
          <w:r>
            <w:fldChar w:fldCharType="begin"/>
          </w:r>
          <w:r>
            <w:instrText xml:space="preserve"> PAGEREF _Toc365 </w:instrText>
          </w:r>
          <w:r>
            <w:fldChar w:fldCharType="separate"/>
          </w:r>
          <w:r>
            <w:t>76</w:t>
          </w:r>
          <w:r>
            <w:fldChar w:fldCharType="end"/>
          </w:r>
          <w:r>
            <w:fldChar w:fldCharType="end"/>
          </w:r>
        </w:p>
        <w:p>
          <w:pPr>
            <w:pStyle w:val="13"/>
            <w:tabs>
              <w:tab w:val="right" w:leader="dot" w:pos="9524"/>
              <w:tab w:val="clear" w:pos="756"/>
              <w:tab w:val="clear" w:pos="966"/>
              <w:tab w:val="clear" w:pos="1204"/>
              <w:tab w:val="clear" w:pos="1442"/>
              <w:tab w:val="clear" w:pos="9514"/>
            </w:tabs>
          </w:pPr>
          <w:r>
            <w:fldChar w:fldCharType="begin"/>
          </w:r>
          <w:r>
            <w:instrText xml:space="preserve"> HYPERLINK \l _Toc10746 </w:instrText>
          </w:r>
          <w:r>
            <w:fldChar w:fldCharType="separate"/>
          </w:r>
          <w:r>
            <w:rPr>
              <w:rFonts w:hint="eastAsia" w:ascii="宋体" w:hAnsi="宋体" w:eastAsia="宋体"/>
              <w:i w:val="0"/>
            </w:rPr>
            <w:t xml:space="preserve">附件十三、 </w:t>
          </w:r>
          <w:r>
            <w:rPr>
              <w:rFonts w:hint="eastAsia" w:ascii="宋体" w:hAnsi="宋体" w:eastAsia="宋体"/>
            </w:rPr>
            <w:t>投标人类似项目业绩表</w:t>
          </w:r>
          <w:r>
            <w:tab/>
          </w:r>
          <w:r>
            <w:fldChar w:fldCharType="begin"/>
          </w:r>
          <w:r>
            <w:instrText xml:space="preserve"> PAGEREF _Toc10746 </w:instrText>
          </w:r>
          <w:r>
            <w:fldChar w:fldCharType="separate"/>
          </w:r>
          <w:r>
            <w:t>77</w:t>
          </w:r>
          <w:r>
            <w:fldChar w:fldCharType="end"/>
          </w:r>
          <w:r>
            <w:fldChar w:fldCharType="end"/>
          </w:r>
        </w:p>
        <w:p>
          <w:pPr>
            <w:pStyle w:val="13"/>
            <w:tabs>
              <w:tab w:val="right" w:leader="dot" w:pos="9524"/>
              <w:tab w:val="clear" w:pos="756"/>
              <w:tab w:val="clear" w:pos="966"/>
              <w:tab w:val="clear" w:pos="1204"/>
              <w:tab w:val="clear" w:pos="1442"/>
              <w:tab w:val="clear" w:pos="9514"/>
            </w:tabs>
          </w:pPr>
          <w:r>
            <w:fldChar w:fldCharType="begin"/>
          </w:r>
          <w:r>
            <w:instrText xml:space="preserve"> HYPERLINK \l _Toc6336 </w:instrText>
          </w:r>
          <w:r>
            <w:fldChar w:fldCharType="separate"/>
          </w:r>
          <w:r>
            <w:rPr>
              <w:rFonts w:hint="eastAsia" w:ascii="宋体" w:hAnsi="宋体" w:eastAsia="宋体"/>
              <w:i w:val="0"/>
            </w:rPr>
            <w:t xml:space="preserve">附件十四、 </w:t>
          </w:r>
          <w:r>
            <w:rPr>
              <w:rFonts w:hint="eastAsia" w:ascii="宋体" w:hAnsi="宋体" w:eastAsia="宋体"/>
            </w:rPr>
            <w:t>符合性审查对照表</w:t>
          </w:r>
          <w:r>
            <w:tab/>
          </w:r>
          <w:r>
            <w:fldChar w:fldCharType="begin"/>
          </w:r>
          <w:r>
            <w:instrText xml:space="preserve"> PAGEREF _Toc6336 </w:instrText>
          </w:r>
          <w:r>
            <w:fldChar w:fldCharType="separate"/>
          </w:r>
          <w:r>
            <w:t>78</w:t>
          </w:r>
          <w:r>
            <w:fldChar w:fldCharType="end"/>
          </w:r>
          <w:r>
            <w:fldChar w:fldCharType="end"/>
          </w:r>
        </w:p>
        <w:p>
          <w:pPr>
            <w:pStyle w:val="13"/>
            <w:tabs>
              <w:tab w:val="right" w:leader="dot" w:pos="9524"/>
              <w:tab w:val="clear" w:pos="756"/>
              <w:tab w:val="clear" w:pos="966"/>
              <w:tab w:val="clear" w:pos="1204"/>
              <w:tab w:val="clear" w:pos="1442"/>
              <w:tab w:val="clear" w:pos="9514"/>
            </w:tabs>
          </w:pPr>
          <w:r>
            <w:fldChar w:fldCharType="begin"/>
          </w:r>
          <w:r>
            <w:instrText xml:space="preserve"> HYPERLINK \l _Toc13207 </w:instrText>
          </w:r>
          <w:r>
            <w:fldChar w:fldCharType="separate"/>
          </w:r>
          <w:r>
            <w:rPr>
              <w:rFonts w:hint="eastAsia" w:ascii="宋体" w:hAnsi="宋体" w:eastAsia="宋体"/>
              <w:i w:val="0"/>
            </w:rPr>
            <w:t xml:space="preserve">附件十五、 </w:t>
          </w:r>
          <w:r>
            <w:rPr>
              <w:rFonts w:hint="eastAsia" w:ascii="宋体" w:hAnsi="宋体" w:eastAsia="宋体"/>
            </w:rPr>
            <w:t>商务要求响应、偏离说明表</w:t>
          </w:r>
          <w:r>
            <w:tab/>
          </w:r>
          <w:r>
            <w:fldChar w:fldCharType="begin"/>
          </w:r>
          <w:r>
            <w:instrText xml:space="preserve"> PAGEREF _Toc13207 </w:instrText>
          </w:r>
          <w:r>
            <w:fldChar w:fldCharType="separate"/>
          </w:r>
          <w:r>
            <w:t>79</w:t>
          </w:r>
          <w:r>
            <w:fldChar w:fldCharType="end"/>
          </w:r>
          <w:r>
            <w:fldChar w:fldCharType="end"/>
          </w:r>
        </w:p>
        <w:p>
          <w:pPr>
            <w:pStyle w:val="13"/>
            <w:tabs>
              <w:tab w:val="right" w:leader="dot" w:pos="9524"/>
              <w:tab w:val="clear" w:pos="756"/>
              <w:tab w:val="clear" w:pos="966"/>
              <w:tab w:val="clear" w:pos="1204"/>
              <w:tab w:val="clear" w:pos="1442"/>
              <w:tab w:val="clear" w:pos="9514"/>
            </w:tabs>
          </w:pPr>
          <w:r>
            <w:fldChar w:fldCharType="begin"/>
          </w:r>
          <w:r>
            <w:instrText xml:space="preserve"> HYPERLINK \l _Toc3148 </w:instrText>
          </w:r>
          <w:r>
            <w:fldChar w:fldCharType="separate"/>
          </w:r>
          <w:r>
            <w:rPr>
              <w:rFonts w:hint="eastAsia" w:ascii="宋体" w:hAnsi="宋体" w:eastAsia="宋体"/>
              <w:i w:val="0"/>
            </w:rPr>
            <w:t xml:space="preserve">附件十六、 </w:t>
          </w:r>
          <w:r>
            <w:rPr>
              <w:rFonts w:hint="eastAsia" w:ascii="宋体" w:hAnsi="宋体" w:eastAsia="宋体"/>
            </w:rPr>
            <w:t>商务要求“★”号条款响应、偏离说明表</w:t>
          </w:r>
          <w:r>
            <w:tab/>
          </w:r>
          <w:r>
            <w:fldChar w:fldCharType="begin"/>
          </w:r>
          <w:r>
            <w:instrText xml:space="preserve"> PAGEREF _Toc3148 </w:instrText>
          </w:r>
          <w:r>
            <w:fldChar w:fldCharType="separate"/>
          </w:r>
          <w:r>
            <w:t>80</w:t>
          </w:r>
          <w:r>
            <w:fldChar w:fldCharType="end"/>
          </w:r>
          <w:r>
            <w:fldChar w:fldCharType="end"/>
          </w:r>
        </w:p>
        <w:p>
          <w:pPr>
            <w:pStyle w:val="13"/>
            <w:tabs>
              <w:tab w:val="right" w:leader="dot" w:pos="9524"/>
              <w:tab w:val="clear" w:pos="756"/>
              <w:tab w:val="clear" w:pos="966"/>
              <w:tab w:val="clear" w:pos="1204"/>
              <w:tab w:val="clear" w:pos="1442"/>
              <w:tab w:val="clear" w:pos="9514"/>
            </w:tabs>
          </w:pPr>
          <w:r>
            <w:fldChar w:fldCharType="begin"/>
          </w:r>
          <w:r>
            <w:instrText xml:space="preserve"> HYPERLINK \l _Toc10866 </w:instrText>
          </w:r>
          <w:r>
            <w:fldChar w:fldCharType="separate"/>
          </w:r>
          <w:r>
            <w:rPr>
              <w:rFonts w:hint="eastAsia" w:ascii="宋体" w:hAnsi="宋体" w:eastAsia="宋体"/>
              <w:i w:val="0"/>
            </w:rPr>
            <w:t xml:space="preserve">附件十七、 </w:t>
          </w:r>
          <w:r>
            <w:rPr>
              <w:rFonts w:hint="eastAsia" w:ascii="宋体" w:hAnsi="宋体" w:eastAsia="宋体"/>
            </w:rPr>
            <w:t>商务评议对照表</w:t>
          </w:r>
          <w:r>
            <w:tab/>
          </w:r>
          <w:r>
            <w:fldChar w:fldCharType="begin"/>
          </w:r>
          <w:r>
            <w:instrText xml:space="preserve"> PAGEREF _Toc10866 </w:instrText>
          </w:r>
          <w:r>
            <w:fldChar w:fldCharType="separate"/>
          </w:r>
          <w:r>
            <w:t>81</w:t>
          </w:r>
          <w:r>
            <w:fldChar w:fldCharType="end"/>
          </w:r>
          <w:r>
            <w:fldChar w:fldCharType="end"/>
          </w:r>
        </w:p>
        <w:p>
          <w:pPr>
            <w:pStyle w:val="13"/>
            <w:tabs>
              <w:tab w:val="right" w:leader="dot" w:pos="9524"/>
              <w:tab w:val="clear" w:pos="756"/>
              <w:tab w:val="clear" w:pos="966"/>
              <w:tab w:val="clear" w:pos="1204"/>
              <w:tab w:val="clear" w:pos="1442"/>
              <w:tab w:val="clear" w:pos="9514"/>
            </w:tabs>
          </w:pPr>
          <w:r>
            <w:fldChar w:fldCharType="begin"/>
          </w:r>
          <w:r>
            <w:instrText xml:space="preserve"> HYPERLINK \l _Toc11100 </w:instrText>
          </w:r>
          <w:r>
            <w:fldChar w:fldCharType="separate"/>
          </w:r>
          <w:r>
            <w:rPr>
              <w:rFonts w:hint="eastAsia" w:ascii="宋体" w:hAnsi="宋体" w:eastAsia="宋体"/>
              <w:i w:val="0"/>
            </w:rPr>
            <w:t xml:space="preserve">附件十八、 </w:t>
          </w:r>
          <w:r>
            <w:rPr>
              <w:rFonts w:hint="eastAsia" w:ascii="宋体" w:hAnsi="宋体" w:eastAsia="宋体"/>
            </w:rPr>
            <w:t>技术、服务要求响应、偏离说明表</w:t>
          </w:r>
          <w:r>
            <w:tab/>
          </w:r>
          <w:r>
            <w:fldChar w:fldCharType="begin"/>
          </w:r>
          <w:r>
            <w:instrText xml:space="preserve"> PAGEREF _Toc11100 </w:instrText>
          </w:r>
          <w:r>
            <w:fldChar w:fldCharType="separate"/>
          </w:r>
          <w:r>
            <w:t>82</w:t>
          </w:r>
          <w:r>
            <w:fldChar w:fldCharType="end"/>
          </w:r>
          <w:r>
            <w:fldChar w:fldCharType="end"/>
          </w:r>
        </w:p>
        <w:p>
          <w:pPr>
            <w:pStyle w:val="13"/>
            <w:tabs>
              <w:tab w:val="right" w:leader="dot" w:pos="9524"/>
              <w:tab w:val="clear" w:pos="756"/>
              <w:tab w:val="clear" w:pos="966"/>
              <w:tab w:val="clear" w:pos="1204"/>
              <w:tab w:val="clear" w:pos="1442"/>
              <w:tab w:val="clear" w:pos="9514"/>
            </w:tabs>
          </w:pPr>
          <w:r>
            <w:fldChar w:fldCharType="begin"/>
          </w:r>
          <w:r>
            <w:instrText xml:space="preserve"> HYPERLINK \l _Toc23040 </w:instrText>
          </w:r>
          <w:r>
            <w:fldChar w:fldCharType="separate"/>
          </w:r>
          <w:r>
            <w:rPr>
              <w:rFonts w:hint="eastAsia" w:ascii="宋体" w:hAnsi="宋体" w:eastAsia="宋体"/>
              <w:i w:val="0"/>
            </w:rPr>
            <w:t xml:space="preserve">附件十九、 </w:t>
          </w:r>
          <w:r>
            <w:rPr>
              <w:rFonts w:hint="eastAsia" w:ascii="宋体" w:hAnsi="宋体" w:eastAsia="宋体"/>
            </w:rPr>
            <w:t>技术、服务要求“★”号条款响应、偏离说明表</w:t>
          </w:r>
          <w:r>
            <w:tab/>
          </w:r>
          <w:r>
            <w:fldChar w:fldCharType="begin"/>
          </w:r>
          <w:r>
            <w:instrText xml:space="preserve"> PAGEREF _Toc23040 </w:instrText>
          </w:r>
          <w:r>
            <w:fldChar w:fldCharType="separate"/>
          </w:r>
          <w:r>
            <w:t>83</w:t>
          </w:r>
          <w:r>
            <w:fldChar w:fldCharType="end"/>
          </w:r>
          <w:r>
            <w:fldChar w:fldCharType="end"/>
          </w:r>
        </w:p>
        <w:p>
          <w:pPr>
            <w:pStyle w:val="13"/>
            <w:tabs>
              <w:tab w:val="right" w:leader="dot" w:pos="9524"/>
              <w:tab w:val="clear" w:pos="756"/>
              <w:tab w:val="clear" w:pos="966"/>
              <w:tab w:val="clear" w:pos="1204"/>
              <w:tab w:val="clear" w:pos="1442"/>
              <w:tab w:val="clear" w:pos="9514"/>
            </w:tabs>
          </w:pPr>
          <w:r>
            <w:fldChar w:fldCharType="begin"/>
          </w:r>
          <w:r>
            <w:instrText xml:space="preserve"> HYPERLINK \l _Toc12189 </w:instrText>
          </w:r>
          <w:r>
            <w:fldChar w:fldCharType="separate"/>
          </w:r>
          <w:r>
            <w:rPr>
              <w:rFonts w:hint="eastAsia" w:ascii="宋体" w:hAnsi="宋体" w:eastAsia="宋体"/>
              <w:i w:val="0"/>
            </w:rPr>
            <w:t xml:space="preserve">附件二十、 </w:t>
          </w:r>
          <w:r>
            <w:rPr>
              <w:rFonts w:hint="eastAsia" w:ascii="宋体" w:hAnsi="宋体" w:eastAsia="宋体"/>
            </w:rPr>
            <w:t>技术、服务评议对照表</w:t>
          </w:r>
          <w:r>
            <w:tab/>
          </w:r>
          <w:r>
            <w:fldChar w:fldCharType="begin"/>
          </w:r>
          <w:r>
            <w:instrText xml:space="preserve"> PAGEREF _Toc12189 </w:instrText>
          </w:r>
          <w:r>
            <w:fldChar w:fldCharType="separate"/>
          </w:r>
          <w:r>
            <w:t>84</w:t>
          </w:r>
          <w:r>
            <w:fldChar w:fldCharType="end"/>
          </w:r>
          <w:r>
            <w:fldChar w:fldCharType="end"/>
          </w:r>
        </w:p>
        <w:p>
          <w:pPr>
            <w:pStyle w:val="12"/>
            <w:tabs>
              <w:tab w:val="left" w:pos="1260"/>
              <w:tab w:val="right" w:leader="dot" w:pos="9514"/>
            </w:tabs>
          </w:pPr>
          <w:r>
            <w:fldChar w:fldCharType="end"/>
          </w:r>
          <w:r>
            <w:rPr>
              <w:b w:val="0"/>
              <w:bCs/>
              <w:lang w:val="zh-CN"/>
            </w:rPr>
            <w:tab/>
          </w:r>
        </w:p>
      </w:sdtContent>
    </w:sdt>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1"/>
        </w:numPr>
        <w:spacing w:before="240" w:after="120"/>
        <w:ind w:left="883" w:hanging="880" w:hangingChars="200"/>
        <w:jc w:val="center"/>
        <w:rPr>
          <w:rFonts w:ascii="黑体" w:hAnsi="黑体" w:eastAsia="黑体"/>
          <w:color w:val="000000" w:themeColor="text1"/>
          <w14:textFill>
            <w14:solidFill>
              <w14:schemeClr w14:val="tx1"/>
            </w14:solidFill>
          </w14:textFill>
        </w:rPr>
      </w:pPr>
      <w:bookmarkStart w:id="0" w:name="_Toc22494"/>
      <w:r>
        <w:rPr>
          <w:rFonts w:hint="eastAsia" w:ascii="黑体" w:hAnsi="黑体" w:eastAsia="黑体"/>
          <w:color w:val="000000" w:themeColor="text1"/>
          <w14:textFill>
            <w14:solidFill>
              <w14:schemeClr w14:val="tx1"/>
            </w14:solidFill>
          </w14:textFill>
        </w:rPr>
        <w:t>投标邀请书</w:t>
      </w:r>
      <w:bookmarkEnd w:id="0"/>
    </w:p>
    <w:p>
      <w:pPr>
        <w:pStyle w:val="15"/>
        <w:widowControl/>
        <w:pBdr>
          <w:top w:val="single" w:color="auto" w:sz="6" w:space="0"/>
          <w:left w:val="single" w:color="auto" w:sz="6" w:space="3"/>
          <w:bottom w:val="single" w:color="auto" w:sz="6" w:space="0"/>
          <w:right w:val="single" w:color="auto" w:sz="6" w:space="3"/>
        </w:pBdr>
        <w:spacing w:beforeAutospacing="0" w:afterAutospacing="0" w:line="360" w:lineRule="auto"/>
        <w:ind w:firstLine="720"/>
        <w:rPr>
          <w:rFonts w:ascii="宋体" w:hAnsi="宋体" w:eastAsia="宋体"/>
          <w:color w:val="000000" w:themeColor="text1"/>
          <w:szCs w:val="24"/>
          <w14:textFill>
            <w14:solidFill>
              <w14:schemeClr w14:val="tx1"/>
            </w14:solidFill>
          </w14:textFill>
        </w:rPr>
      </w:pPr>
      <w:r>
        <w:rPr>
          <w:rFonts w:hint="eastAsia" w:ascii="宋体" w:hAnsi="宋体" w:cs="宋体"/>
          <w:szCs w:val="24"/>
          <w:shd w:val="clear" w:color="auto" w:fill="FFFFFF"/>
          <w:lang w:eastAsia="zh-CN"/>
        </w:rPr>
        <w:t>阳新县长江禁捕监控设备采购项目</w:t>
      </w:r>
      <w:r>
        <w:rPr>
          <w:rFonts w:hint="eastAsia" w:ascii="宋体" w:hAnsi="宋体" w:eastAsia="宋体" w:cs="宋体"/>
          <w:szCs w:val="24"/>
          <w:shd w:val="clear" w:color="auto" w:fill="FFFFFF"/>
        </w:rPr>
        <w:t>的潜在投标人应在“湖北省政府采购网”、“黄石市公共资源交易信息网”及“阳新县人民政府网”获取招标文件，并于</w:t>
      </w:r>
      <w:r>
        <w:rPr>
          <w:rFonts w:hint="eastAsia" w:ascii="宋体" w:hAnsi="宋体" w:eastAsia="宋体" w:cs="宋体"/>
          <w:szCs w:val="24"/>
          <w:u w:val="single"/>
          <w:shd w:val="clear" w:color="auto" w:fill="FFFFFF"/>
        </w:rPr>
        <w:t>202</w:t>
      </w:r>
      <w:r>
        <w:rPr>
          <w:rFonts w:hint="eastAsia" w:ascii="宋体" w:hAnsi="宋体" w:eastAsia="宋体" w:cs="宋体"/>
          <w:szCs w:val="24"/>
          <w:u w:val="single"/>
          <w:shd w:val="clear" w:color="auto" w:fill="FFFFFF"/>
          <w:lang w:val="en-US" w:eastAsia="zh-CN"/>
        </w:rPr>
        <w:t>1</w:t>
      </w:r>
      <w:r>
        <w:rPr>
          <w:rFonts w:hint="eastAsia" w:ascii="宋体" w:hAnsi="宋体" w:eastAsia="宋体" w:cs="宋体"/>
          <w:szCs w:val="24"/>
          <w:shd w:val="clear" w:color="auto" w:fill="FFFFFF"/>
        </w:rPr>
        <w:t>年</w:t>
      </w:r>
      <w:r>
        <w:rPr>
          <w:rFonts w:hint="eastAsia" w:ascii="宋体" w:hAnsi="宋体" w:eastAsia="宋体" w:cs="宋体"/>
          <w:szCs w:val="24"/>
          <w:u w:val="single"/>
          <w:shd w:val="clear" w:color="auto" w:fill="FFFFFF"/>
        </w:rPr>
        <w:t xml:space="preserve"> </w:t>
      </w:r>
      <w:r>
        <w:rPr>
          <w:rFonts w:hint="eastAsia" w:ascii="宋体" w:hAnsi="宋体" w:eastAsia="宋体" w:cs="宋体"/>
          <w:szCs w:val="24"/>
          <w:u w:val="single"/>
          <w:shd w:val="clear" w:color="auto" w:fill="FFFFFF"/>
          <w:lang w:val="en-US" w:eastAsia="zh-CN"/>
        </w:rPr>
        <w:t>3</w:t>
      </w:r>
      <w:r>
        <w:rPr>
          <w:rFonts w:hint="eastAsia" w:ascii="宋体" w:hAnsi="宋体" w:cs="宋体"/>
          <w:szCs w:val="24"/>
          <w:u w:val="single"/>
          <w:shd w:val="clear" w:color="auto" w:fill="FFFFFF"/>
        </w:rPr>
        <w:t xml:space="preserve"> </w:t>
      </w:r>
      <w:r>
        <w:rPr>
          <w:rFonts w:hint="eastAsia" w:ascii="宋体" w:hAnsi="宋体" w:eastAsia="宋体" w:cs="宋体"/>
          <w:szCs w:val="24"/>
          <w:shd w:val="clear" w:color="auto" w:fill="FFFFFF"/>
        </w:rPr>
        <w:t>月</w:t>
      </w:r>
      <w:r>
        <w:rPr>
          <w:rFonts w:hint="eastAsia" w:ascii="宋体" w:hAnsi="宋体" w:eastAsia="宋体" w:cs="宋体"/>
          <w:szCs w:val="24"/>
          <w:u w:val="single"/>
          <w:shd w:val="clear" w:color="auto" w:fill="FFFFFF"/>
          <w:lang w:val="en-US" w:eastAsia="zh-CN"/>
        </w:rPr>
        <w:t>3</w:t>
      </w:r>
      <w:r>
        <w:rPr>
          <w:rFonts w:hint="eastAsia" w:ascii="宋体" w:hAnsi="宋体" w:eastAsia="宋体" w:cs="宋体"/>
          <w:szCs w:val="24"/>
          <w:shd w:val="clear" w:color="auto" w:fill="FFFFFF"/>
          <w:lang w:val="en-US" w:eastAsia="zh-CN"/>
        </w:rPr>
        <w:t>日</w:t>
      </w:r>
      <w:r>
        <w:rPr>
          <w:rFonts w:hint="eastAsia" w:ascii="宋体" w:hAnsi="宋体" w:eastAsia="宋体" w:cs="宋体"/>
          <w:szCs w:val="24"/>
          <w:u w:val="single"/>
          <w:shd w:val="clear" w:color="auto" w:fill="FFFFFF"/>
          <w:lang w:val="en-US" w:eastAsia="zh-CN"/>
        </w:rPr>
        <w:t xml:space="preserve"> 15 </w:t>
      </w:r>
      <w:r>
        <w:rPr>
          <w:rFonts w:hint="eastAsia" w:ascii="宋体" w:hAnsi="宋体" w:eastAsia="宋体" w:cs="宋体"/>
          <w:szCs w:val="24"/>
          <w:shd w:val="clear" w:color="auto" w:fill="FFFFFF"/>
        </w:rPr>
        <w:t>点</w:t>
      </w:r>
      <w:r>
        <w:rPr>
          <w:rFonts w:hint="eastAsia" w:ascii="宋体" w:hAnsi="宋体" w:eastAsia="宋体" w:cs="宋体"/>
          <w:szCs w:val="24"/>
          <w:shd w:val="clear" w:color="auto" w:fill="FFFFFF"/>
          <w:lang w:val="en-US" w:eastAsia="zh-CN"/>
        </w:rPr>
        <w:t>00</w:t>
      </w:r>
      <w:r>
        <w:rPr>
          <w:rFonts w:hint="eastAsia" w:ascii="宋体" w:hAnsi="宋体" w:eastAsia="宋体" w:cs="宋体"/>
          <w:szCs w:val="24"/>
          <w:shd w:val="clear" w:color="auto" w:fill="FFFFFF"/>
        </w:rPr>
        <w:t>分(北京时间）前递交投标文件。</w:t>
      </w:r>
    </w:p>
    <w:p>
      <w:pPr>
        <w:pStyle w:val="15"/>
        <w:widowControl/>
        <w:spacing w:beforeAutospacing="0" w:afterAutospacing="0" w:line="500" w:lineRule="exact"/>
        <w:ind w:firstLine="420"/>
      </w:pPr>
      <w:r>
        <w:rPr>
          <w:rStyle w:val="19"/>
          <w:rFonts w:hint="eastAsia" w:ascii="宋体" w:hAnsi="宋体" w:eastAsia="宋体" w:cs="宋体"/>
          <w:szCs w:val="24"/>
          <w:shd w:val="clear" w:color="auto" w:fill="FFFFFF"/>
        </w:rPr>
        <w:t>一、项目基本情况</w:t>
      </w:r>
    </w:p>
    <w:p>
      <w:pPr>
        <w:spacing w:line="500" w:lineRule="exact"/>
        <w:ind w:firstLine="480" w:firstLineChars="200"/>
        <w:rPr>
          <w:rFonts w:eastAsia="宋体"/>
        </w:rPr>
      </w:pPr>
      <w:r>
        <w:rPr>
          <w:rFonts w:hint="eastAsia" w:ascii="宋体" w:hAnsi="宋体" w:eastAsia="宋体" w:cs="宋体"/>
          <w:sz w:val="24"/>
          <w:szCs w:val="24"/>
          <w:shd w:val="clear" w:color="auto" w:fill="FFFFFF"/>
          <w:lang w:val="en-US" w:eastAsia="zh-CN"/>
        </w:rPr>
        <w:t>1.</w:t>
      </w:r>
      <w:r>
        <w:rPr>
          <w:rFonts w:hint="eastAsia" w:ascii="宋体" w:hAnsi="宋体" w:eastAsia="宋体" w:cs="宋体"/>
          <w:sz w:val="24"/>
          <w:szCs w:val="24"/>
          <w:shd w:val="clear" w:color="auto" w:fill="FFFFFF"/>
        </w:rPr>
        <w:t>项目编号：131-202</w:t>
      </w:r>
      <w:r>
        <w:rPr>
          <w:rFonts w:hint="eastAsia" w:ascii="宋体" w:hAnsi="宋体" w:eastAsia="宋体" w:cs="宋体"/>
          <w:sz w:val="24"/>
          <w:szCs w:val="24"/>
          <w:shd w:val="clear" w:color="auto" w:fill="FFFFFF"/>
          <w:lang w:val="en-US" w:eastAsia="zh-CN"/>
        </w:rPr>
        <w:t>1</w:t>
      </w:r>
      <w:r>
        <w:rPr>
          <w:rFonts w:hint="eastAsia" w:ascii="宋体" w:hAnsi="宋体" w:eastAsia="宋体" w:cs="宋体"/>
          <w:sz w:val="24"/>
          <w:szCs w:val="24"/>
          <w:shd w:val="clear" w:color="auto" w:fill="FFFFFF"/>
        </w:rPr>
        <w:t>CG-</w:t>
      </w:r>
      <w:r>
        <w:rPr>
          <w:rFonts w:hint="eastAsia" w:ascii="宋体" w:hAnsi="宋体" w:eastAsia="宋体" w:cs="宋体"/>
          <w:sz w:val="24"/>
          <w:szCs w:val="24"/>
          <w:shd w:val="clear" w:color="auto" w:fill="FFFFFF"/>
          <w:lang w:val="en-US" w:eastAsia="zh-CN"/>
        </w:rPr>
        <w:t>20</w:t>
      </w:r>
      <w:r>
        <w:rPr>
          <w:rFonts w:hint="eastAsia" w:ascii="宋体" w:hAnsi="宋体" w:eastAsia="宋体" w:cs="宋体"/>
          <w:kern w:val="0"/>
          <w:sz w:val="24"/>
          <w:szCs w:val="24"/>
          <w:shd w:val="clear" w:color="auto" w:fill="FFFFFF"/>
        </w:rPr>
        <w:t>（政府采购备案号：阳财采计备[202</w:t>
      </w:r>
      <w:r>
        <w:rPr>
          <w:rFonts w:hint="eastAsia" w:ascii="宋体" w:hAnsi="宋体" w:eastAsia="宋体" w:cs="宋体"/>
          <w:kern w:val="0"/>
          <w:sz w:val="24"/>
          <w:szCs w:val="24"/>
          <w:shd w:val="clear" w:color="auto" w:fill="FFFFFF"/>
          <w:lang w:val="en-US" w:eastAsia="zh-CN"/>
        </w:rPr>
        <w:t>1</w:t>
      </w:r>
      <w:r>
        <w:rPr>
          <w:rFonts w:hint="eastAsia" w:ascii="宋体" w:hAnsi="宋体" w:eastAsia="宋体" w:cs="宋体"/>
          <w:kern w:val="0"/>
          <w:sz w:val="24"/>
          <w:szCs w:val="24"/>
          <w:shd w:val="clear" w:color="auto" w:fill="FFFFFF"/>
        </w:rPr>
        <w:t>]A</w:t>
      </w:r>
      <w:r>
        <w:rPr>
          <w:rFonts w:hint="eastAsia" w:ascii="宋体" w:hAnsi="宋体" w:eastAsia="宋体" w:cs="宋体"/>
          <w:kern w:val="0"/>
          <w:sz w:val="24"/>
          <w:szCs w:val="24"/>
          <w:u w:val="single"/>
          <w:shd w:val="clear" w:color="auto" w:fill="FFFFFF"/>
          <w:lang w:val="en-US" w:eastAsia="zh-CN"/>
        </w:rPr>
        <w:t xml:space="preserve"> 24 </w:t>
      </w:r>
      <w:r>
        <w:rPr>
          <w:rFonts w:hint="eastAsia" w:ascii="宋体" w:hAnsi="宋体" w:eastAsia="宋体" w:cs="宋体"/>
          <w:kern w:val="0"/>
          <w:sz w:val="24"/>
          <w:szCs w:val="24"/>
          <w:shd w:val="clear" w:color="auto" w:fill="FFFFFF"/>
        </w:rPr>
        <w:t>号）</w:t>
      </w:r>
    </w:p>
    <w:p>
      <w:pPr>
        <w:pStyle w:val="15"/>
        <w:widowControl/>
        <w:spacing w:beforeAutospacing="0" w:afterAutospacing="0" w:line="500" w:lineRule="exact"/>
        <w:ind w:firstLine="480"/>
        <w:rPr>
          <w:rFonts w:eastAsia="宋体"/>
        </w:rPr>
      </w:pPr>
      <w:r>
        <w:rPr>
          <w:rFonts w:hint="eastAsia" w:ascii="宋体" w:hAnsi="宋体" w:eastAsia="宋体" w:cs="宋体"/>
          <w:szCs w:val="24"/>
          <w:shd w:val="clear" w:color="auto" w:fill="FFFFFF"/>
          <w:lang w:val="en-US" w:eastAsia="zh-CN"/>
        </w:rPr>
        <w:t>2.</w:t>
      </w:r>
      <w:r>
        <w:rPr>
          <w:rFonts w:hint="eastAsia" w:ascii="宋体" w:hAnsi="宋体" w:eastAsia="宋体" w:cs="宋体"/>
          <w:szCs w:val="24"/>
          <w:shd w:val="clear" w:color="auto" w:fill="FFFFFF"/>
        </w:rPr>
        <w:t>项目名称：</w:t>
      </w:r>
      <w:r>
        <w:rPr>
          <w:rFonts w:hint="eastAsia" w:ascii="宋体" w:hAnsi="宋体" w:eastAsia="宋体" w:cs="宋体"/>
          <w:szCs w:val="24"/>
          <w:shd w:val="clear" w:color="auto" w:fill="FFFFFF"/>
          <w:lang w:eastAsia="zh-CN"/>
        </w:rPr>
        <w:t>阳新县长江禁捕监控设备采购项目</w:t>
      </w:r>
    </w:p>
    <w:p>
      <w:pPr>
        <w:pStyle w:val="15"/>
        <w:widowControl/>
        <w:spacing w:beforeAutospacing="0" w:afterAutospacing="0" w:line="360" w:lineRule="auto"/>
        <w:ind w:firstLine="480"/>
        <w:rPr>
          <w:rFonts w:hint="eastAsia" w:ascii="宋体" w:hAnsi="宋体" w:eastAsia="宋体" w:cs="宋体"/>
          <w:szCs w:val="24"/>
          <w:shd w:val="clear" w:color="auto" w:fill="FFFFFF"/>
        </w:rPr>
      </w:pPr>
      <w:r>
        <w:rPr>
          <w:rFonts w:hint="eastAsia" w:ascii="宋体" w:hAnsi="宋体" w:eastAsia="宋体" w:cs="宋体"/>
          <w:szCs w:val="24"/>
          <w:shd w:val="clear" w:color="auto" w:fill="FFFFFF"/>
          <w:lang w:val="en-US" w:eastAsia="zh-CN"/>
        </w:rPr>
        <w:t>3.</w:t>
      </w:r>
      <w:r>
        <w:rPr>
          <w:rFonts w:hint="eastAsia" w:ascii="宋体" w:hAnsi="宋体" w:eastAsia="宋体" w:cs="宋体"/>
          <w:szCs w:val="24"/>
          <w:shd w:val="clear" w:color="auto" w:fill="FFFFFF"/>
        </w:rPr>
        <w:t>预算金额：</w:t>
      </w:r>
      <w:r>
        <w:rPr>
          <w:rFonts w:hint="eastAsia" w:ascii="宋体" w:hAnsi="宋体" w:eastAsia="宋体" w:cs="宋体"/>
          <w:szCs w:val="24"/>
          <w:shd w:val="clear" w:color="auto" w:fill="FFFFFF"/>
          <w:lang w:val="en-US" w:eastAsia="zh-CN"/>
        </w:rPr>
        <w:t>220</w:t>
      </w:r>
      <w:r>
        <w:rPr>
          <w:rFonts w:hint="eastAsia" w:ascii="宋体" w:hAnsi="宋体" w:eastAsia="宋体" w:cs="宋体"/>
          <w:szCs w:val="24"/>
          <w:shd w:val="clear" w:color="auto" w:fill="FFFFFF"/>
        </w:rPr>
        <w:t>万</w:t>
      </w:r>
    </w:p>
    <w:p>
      <w:pPr>
        <w:pStyle w:val="15"/>
        <w:widowControl/>
        <w:spacing w:beforeAutospacing="0" w:afterAutospacing="0" w:line="360" w:lineRule="auto"/>
        <w:ind w:firstLine="480"/>
      </w:pPr>
      <w:r>
        <w:rPr>
          <w:rFonts w:hint="eastAsia" w:ascii="宋体" w:hAnsi="宋体" w:eastAsia="宋体" w:cs="宋体"/>
          <w:szCs w:val="24"/>
          <w:shd w:val="clear" w:color="auto" w:fill="FFFFFF"/>
          <w:lang w:val="en-US" w:eastAsia="zh-CN"/>
        </w:rPr>
        <w:t>4.</w:t>
      </w:r>
      <w:r>
        <w:rPr>
          <w:rFonts w:hint="eastAsia" w:ascii="宋体" w:hAnsi="宋体" w:eastAsia="宋体" w:cs="宋体"/>
          <w:szCs w:val="24"/>
          <w:shd w:val="clear" w:color="auto" w:fill="FFFFFF"/>
        </w:rPr>
        <w:t>采购需求：</w:t>
      </w:r>
      <w:r>
        <w:rPr>
          <w:rFonts w:hint="eastAsia" w:ascii="宋体" w:hAnsi="宋体" w:eastAsia="宋体" w:cs="宋体"/>
          <w:szCs w:val="24"/>
          <w:shd w:val="clear" w:color="auto" w:fill="FFFFFF"/>
          <w:lang w:eastAsia="zh-CN"/>
        </w:rPr>
        <w:t>禁捕监控</w:t>
      </w:r>
      <w:r>
        <w:rPr>
          <w:rFonts w:hint="eastAsia" w:ascii="宋体" w:hAnsi="宋体" w:eastAsia="宋体" w:cs="宋体"/>
          <w:szCs w:val="24"/>
          <w:shd w:val="clear" w:color="auto" w:fill="FFFFFF"/>
        </w:rPr>
        <w:t>设备采购</w:t>
      </w:r>
      <w:r>
        <w:rPr>
          <w:rFonts w:hint="eastAsia" w:ascii="宋体" w:hAnsi="宋体" w:eastAsia="宋体" w:cs="宋体"/>
          <w:szCs w:val="24"/>
          <w:shd w:val="clear" w:color="auto" w:fill="FFFFFF"/>
          <w:lang w:eastAsia="zh-CN"/>
        </w:rPr>
        <w:t>，共计</w:t>
      </w:r>
      <w:r>
        <w:rPr>
          <w:rFonts w:hint="eastAsia" w:ascii="宋体" w:hAnsi="宋体" w:eastAsia="宋体" w:cs="宋体"/>
          <w:szCs w:val="24"/>
          <w:shd w:val="clear" w:color="auto" w:fill="FFFFFF"/>
          <w:lang w:val="en-US" w:eastAsia="zh-CN"/>
        </w:rPr>
        <w:t>14套</w:t>
      </w:r>
      <w:r>
        <w:rPr>
          <w:rFonts w:hint="eastAsia" w:ascii="宋体" w:hAnsi="宋体" w:eastAsia="宋体" w:cs="宋体"/>
          <w:color w:val="0C0C0C"/>
          <w:szCs w:val="24"/>
          <w:shd w:val="clear" w:color="auto" w:fill="FFFFFF"/>
        </w:rPr>
        <w:t>（详见招标文件</w:t>
      </w:r>
      <w:r>
        <w:rPr>
          <w:rFonts w:hint="eastAsia" w:ascii="宋体" w:hAnsi="宋体" w:eastAsia="宋体" w:cs="宋体"/>
          <w:color w:val="0C0C0C"/>
          <w:szCs w:val="24"/>
          <w:shd w:val="clear" w:color="auto" w:fill="FFFFFF"/>
          <w:lang w:eastAsia="zh-CN"/>
        </w:rPr>
        <w:t>采购参数</w:t>
      </w:r>
      <w:r>
        <w:rPr>
          <w:rFonts w:hint="eastAsia" w:ascii="宋体" w:hAnsi="宋体" w:eastAsia="宋体" w:cs="宋体"/>
          <w:color w:val="0C0C0C"/>
          <w:szCs w:val="24"/>
          <w:shd w:val="clear" w:color="auto" w:fill="FFFFFF"/>
        </w:rPr>
        <w:t>）</w:t>
      </w:r>
    </w:p>
    <w:p>
      <w:pPr>
        <w:pStyle w:val="15"/>
        <w:widowControl/>
        <w:spacing w:beforeAutospacing="0" w:afterAutospacing="0" w:line="500" w:lineRule="exact"/>
        <w:ind w:firstLine="480"/>
        <w:rPr>
          <w:rFonts w:eastAsia="宋体"/>
        </w:rPr>
      </w:pPr>
      <w:r>
        <w:rPr>
          <w:rFonts w:hint="eastAsia" w:ascii="宋体" w:hAnsi="宋体" w:eastAsia="宋体" w:cs="宋体"/>
          <w:szCs w:val="24"/>
          <w:shd w:val="clear" w:color="auto" w:fill="FFFFFF"/>
          <w:lang w:val="en-US" w:eastAsia="zh-CN"/>
        </w:rPr>
        <w:t>5.</w:t>
      </w:r>
      <w:r>
        <w:rPr>
          <w:rFonts w:hint="eastAsia" w:ascii="宋体" w:hAnsi="宋体" w:eastAsia="宋体" w:cs="宋体"/>
          <w:szCs w:val="24"/>
          <w:shd w:val="clear" w:color="auto" w:fill="FFFFFF"/>
        </w:rPr>
        <w:t>合同履行期限：</w:t>
      </w:r>
      <w:r>
        <w:rPr>
          <w:rFonts w:hint="eastAsia" w:ascii="宋体" w:hAnsi="宋体" w:eastAsia="宋体" w:cs="宋体"/>
          <w:szCs w:val="24"/>
        </w:rPr>
        <w:t>合同签定后</w:t>
      </w:r>
      <w:r>
        <w:rPr>
          <w:rFonts w:hint="eastAsia" w:ascii="宋体" w:hAnsi="宋体" w:eastAsia="宋体" w:cs="宋体"/>
          <w:szCs w:val="24"/>
          <w:lang w:val="en-US" w:eastAsia="zh-CN"/>
        </w:rPr>
        <w:t>90日历</w:t>
      </w:r>
      <w:r>
        <w:rPr>
          <w:rFonts w:hint="eastAsia" w:ascii="宋体" w:hAnsi="宋体" w:cs="宋体"/>
          <w:szCs w:val="24"/>
        </w:rPr>
        <w:t>天</w:t>
      </w:r>
    </w:p>
    <w:p>
      <w:pPr>
        <w:pStyle w:val="15"/>
        <w:widowControl/>
        <w:spacing w:beforeAutospacing="0" w:afterAutospacing="0" w:line="500" w:lineRule="exact"/>
        <w:ind w:firstLine="480"/>
        <w:rPr>
          <w:rFonts w:hint="eastAsia" w:ascii="宋体" w:hAnsi="宋体" w:eastAsia="宋体" w:cs="宋体"/>
          <w:szCs w:val="24"/>
          <w:shd w:val="clear" w:color="auto" w:fill="FFFFFF"/>
        </w:rPr>
      </w:pPr>
      <w:r>
        <w:rPr>
          <w:rFonts w:hint="eastAsia" w:ascii="宋体" w:hAnsi="宋体" w:eastAsia="宋体" w:cs="宋体"/>
          <w:szCs w:val="24"/>
          <w:shd w:val="clear" w:color="auto" w:fill="FFFFFF"/>
          <w:lang w:val="en-US" w:eastAsia="zh-CN"/>
        </w:rPr>
        <w:t>6.</w:t>
      </w:r>
      <w:r>
        <w:rPr>
          <w:rFonts w:hint="eastAsia" w:ascii="宋体" w:hAnsi="宋体" w:eastAsia="宋体" w:cs="宋体"/>
          <w:szCs w:val="24"/>
          <w:shd w:val="clear" w:color="auto" w:fill="FFFFFF"/>
        </w:rPr>
        <w:t>本项目不接受联合体投标。</w:t>
      </w:r>
    </w:p>
    <w:p>
      <w:pPr>
        <w:pStyle w:val="15"/>
        <w:widowControl/>
        <w:spacing w:beforeAutospacing="0" w:afterAutospacing="0" w:line="500" w:lineRule="exact"/>
        <w:ind w:firstLine="420"/>
      </w:pPr>
      <w:r>
        <w:rPr>
          <w:rStyle w:val="19"/>
          <w:rFonts w:hint="eastAsia" w:ascii="宋体" w:hAnsi="宋体" w:eastAsia="宋体" w:cs="宋体"/>
          <w:szCs w:val="24"/>
          <w:shd w:val="clear" w:color="auto" w:fill="FFFFFF"/>
        </w:rPr>
        <w:t>二、申请人的资格要求：</w:t>
      </w:r>
    </w:p>
    <w:p>
      <w:pPr>
        <w:pStyle w:val="15"/>
        <w:widowControl/>
        <w:spacing w:beforeAutospacing="0" w:afterAutospacing="0" w:line="500" w:lineRule="exact"/>
        <w:ind w:firstLine="480"/>
      </w:pPr>
      <w:r>
        <w:rPr>
          <w:rFonts w:hint="eastAsia" w:ascii="宋体" w:hAnsi="宋体" w:eastAsia="宋体" w:cs="宋体"/>
          <w:szCs w:val="24"/>
          <w:shd w:val="clear" w:color="auto" w:fill="FFFFFF"/>
        </w:rPr>
        <w:t>1、应具备《政府采购法》第二十二条第一款规定的条件；</w:t>
      </w:r>
    </w:p>
    <w:p>
      <w:pPr>
        <w:pStyle w:val="15"/>
        <w:widowControl/>
        <w:spacing w:beforeAutospacing="0" w:afterAutospacing="0" w:line="500" w:lineRule="exact"/>
        <w:ind w:firstLine="480"/>
        <w:rPr>
          <w:rFonts w:ascii="宋体" w:hAnsi="宋体" w:eastAsia="宋体" w:cs="宋体"/>
          <w:szCs w:val="24"/>
          <w:shd w:val="clear" w:color="auto" w:fill="FFFFFF"/>
        </w:rPr>
      </w:pPr>
      <w:r>
        <w:rPr>
          <w:rFonts w:hint="eastAsia" w:ascii="宋体" w:hAnsi="宋体" w:eastAsia="宋体" w:cs="宋体"/>
          <w:szCs w:val="24"/>
          <w:shd w:val="clear" w:color="auto" w:fill="FFFFFF"/>
        </w:rPr>
        <w:t>2、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pPr>
        <w:tabs>
          <w:tab w:val="left" w:pos="896"/>
        </w:tabs>
        <w:spacing w:line="360" w:lineRule="auto"/>
        <w:ind w:left="482"/>
        <w:rPr>
          <w:sz w:val="24"/>
          <w:szCs w:val="24"/>
        </w:rPr>
      </w:pPr>
      <w:r>
        <w:rPr>
          <w:rFonts w:hint="eastAsia" w:ascii="宋体" w:hAnsi="宋体" w:cs="Times New Roman"/>
          <w:bCs/>
          <w:color w:val="0D0D0D" w:themeColor="text1" w:themeTint="F2"/>
          <w:sz w:val="24"/>
          <w:szCs w:val="24"/>
          <w14:textFill>
            <w14:solidFill>
              <w14:schemeClr w14:val="tx1">
                <w14:lumMod w14:val="95000"/>
                <w14:lumOff w14:val="5000"/>
              </w14:schemeClr>
            </w14:solidFill>
          </w14:textFill>
        </w:rPr>
        <w:t>3、</w:t>
      </w:r>
      <w:r>
        <w:rPr>
          <w:rFonts w:hint="eastAsia" w:ascii="宋体" w:hAnsi="宋体" w:eastAsia="宋体" w:cs="Times New Roman"/>
          <w:bCs/>
          <w:color w:val="0D0D0D" w:themeColor="text1" w:themeTint="F2"/>
          <w:sz w:val="24"/>
          <w:szCs w:val="24"/>
          <w14:textFill>
            <w14:solidFill>
              <w14:schemeClr w14:val="tx1">
                <w14:lumMod w14:val="95000"/>
                <w14:lumOff w14:val="5000"/>
              </w14:schemeClr>
            </w14:solidFill>
          </w14:textFill>
        </w:rPr>
        <w:t>特定条件：</w:t>
      </w:r>
      <w:r>
        <w:rPr>
          <w:rFonts w:hint="eastAsia" w:ascii="宋体" w:hAnsi="宋体" w:eastAsia="宋体" w:cs="Times New Roman"/>
          <w:bCs/>
          <w:color w:val="FF0000"/>
          <w:sz w:val="24"/>
          <w:szCs w:val="24"/>
        </w:rPr>
        <w:t>无</w:t>
      </w:r>
    </w:p>
    <w:p>
      <w:pPr>
        <w:tabs>
          <w:tab w:val="left" w:pos="896"/>
        </w:tabs>
        <w:spacing w:line="360" w:lineRule="auto"/>
        <w:ind w:left="482"/>
        <w:rPr>
          <w:rFonts w:ascii="宋体" w:hAnsi="宋体" w:eastAsia="宋体" w:cs="Times New Roman"/>
          <w:bCs/>
          <w:color w:val="0D0D0D" w:themeColor="text1" w:themeTint="F2"/>
          <w:sz w:val="24"/>
          <w:szCs w:val="24"/>
          <w14:textFill>
            <w14:solidFill>
              <w14:schemeClr w14:val="tx1">
                <w14:lumMod w14:val="95000"/>
                <w14:lumOff w14:val="5000"/>
              </w14:schemeClr>
            </w14:solidFill>
          </w14:textFill>
        </w:rPr>
      </w:pPr>
      <w:r>
        <w:rPr>
          <w:rFonts w:hint="eastAsia" w:ascii="宋体" w:hAnsi="宋体" w:cs="Times New Roman"/>
          <w:bCs/>
          <w:color w:val="0D0D0D" w:themeColor="text1" w:themeTint="F2"/>
          <w:sz w:val="24"/>
          <w:szCs w:val="24"/>
          <w14:textFill>
            <w14:solidFill>
              <w14:schemeClr w14:val="tx1">
                <w14:lumMod w14:val="95000"/>
                <w14:lumOff w14:val="5000"/>
              </w14:schemeClr>
            </w14:solidFill>
          </w14:textFill>
        </w:rPr>
        <w:t>4、</w:t>
      </w:r>
      <w:r>
        <w:rPr>
          <w:rFonts w:hint="eastAsia" w:ascii="宋体" w:hAnsi="宋体" w:eastAsia="宋体" w:cs="Times New Roman"/>
          <w:bCs/>
          <w:color w:val="0D0D0D" w:themeColor="text1" w:themeTint="F2"/>
          <w:sz w:val="24"/>
          <w:szCs w:val="24"/>
          <w14:textFill>
            <w14:solidFill>
              <w14:schemeClr w14:val="tx1">
                <w14:lumMod w14:val="95000"/>
                <w14:lumOff w14:val="5000"/>
              </w14:schemeClr>
            </w14:solidFill>
          </w14:textFill>
        </w:rPr>
        <w:t>本项目不接受联合体形式的投标。</w:t>
      </w:r>
    </w:p>
    <w:p>
      <w:pPr>
        <w:pStyle w:val="15"/>
        <w:widowControl/>
        <w:spacing w:beforeAutospacing="0" w:afterAutospacing="0" w:line="500" w:lineRule="exact"/>
        <w:ind w:firstLine="420"/>
      </w:pPr>
      <w:r>
        <w:rPr>
          <w:rStyle w:val="19"/>
          <w:rFonts w:hint="eastAsia" w:ascii="宋体" w:hAnsi="宋体" w:eastAsia="宋体" w:cs="宋体"/>
          <w:szCs w:val="24"/>
          <w:shd w:val="clear" w:color="auto" w:fill="FFFFFF"/>
        </w:rPr>
        <w:t>三、获取招标文件</w:t>
      </w:r>
    </w:p>
    <w:p>
      <w:pPr>
        <w:pStyle w:val="15"/>
        <w:widowControl/>
        <w:spacing w:beforeAutospacing="0" w:afterAutospacing="0" w:line="500" w:lineRule="exact"/>
        <w:ind w:firstLine="480"/>
      </w:pPr>
      <w:r>
        <w:rPr>
          <w:rFonts w:hint="eastAsia" w:ascii="宋体" w:hAnsi="宋体" w:eastAsia="宋体" w:cs="宋体"/>
          <w:szCs w:val="24"/>
          <w:shd w:val="clear" w:color="auto" w:fill="FFFFFF"/>
        </w:rPr>
        <w:t>时间：</w:t>
      </w:r>
      <w:r>
        <w:rPr>
          <w:rFonts w:hint="eastAsia" w:ascii="宋体" w:hAnsi="宋体" w:eastAsia="宋体" w:cs="宋体"/>
          <w:szCs w:val="24"/>
          <w:u w:val="single"/>
          <w:shd w:val="clear" w:color="auto" w:fill="FFFFFF"/>
        </w:rPr>
        <w:t>202</w:t>
      </w:r>
      <w:r>
        <w:rPr>
          <w:rFonts w:hint="eastAsia" w:ascii="宋体" w:hAnsi="宋体" w:eastAsia="宋体" w:cs="宋体"/>
          <w:szCs w:val="24"/>
          <w:u w:val="single"/>
          <w:shd w:val="clear" w:color="auto" w:fill="FFFFFF"/>
          <w:lang w:val="en-US" w:eastAsia="zh-CN"/>
        </w:rPr>
        <w:t>1</w:t>
      </w:r>
      <w:r>
        <w:rPr>
          <w:rFonts w:hint="eastAsia" w:ascii="宋体" w:hAnsi="宋体" w:eastAsia="宋体" w:cs="宋体"/>
          <w:szCs w:val="24"/>
          <w:shd w:val="clear" w:color="auto" w:fill="FFFFFF"/>
        </w:rPr>
        <w:t>年</w:t>
      </w:r>
      <w:r>
        <w:rPr>
          <w:rFonts w:hint="eastAsia" w:ascii="宋体" w:hAnsi="宋体" w:eastAsia="宋体" w:cs="宋体"/>
          <w:szCs w:val="24"/>
          <w:u w:val="single"/>
          <w:shd w:val="clear" w:color="auto" w:fill="FFFFFF"/>
        </w:rPr>
        <w:t xml:space="preserve"> </w:t>
      </w:r>
      <w:r>
        <w:rPr>
          <w:rFonts w:hint="eastAsia" w:ascii="宋体" w:hAnsi="宋体" w:eastAsia="宋体" w:cs="宋体"/>
          <w:szCs w:val="24"/>
          <w:u w:val="single"/>
          <w:shd w:val="clear" w:color="auto" w:fill="FFFFFF"/>
          <w:lang w:val="en-US" w:eastAsia="zh-CN"/>
        </w:rPr>
        <w:t xml:space="preserve"> 2 </w:t>
      </w:r>
      <w:r>
        <w:rPr>
          <w:rFonts w:hint="eastAsia" w:ascii="宋体" w:hAnsi="宋体" w:eastAsia="宋体" w:cs="宋体"/>
          <w:szCs w:val="24"/>
          <w:shd w:val="clear" w:color="auto" w:fill="FFFFFF"/>
        </w:rPr>
        <w:t>月</w:t>
      </w:r>
      <w:r>
        <w:rPr>
          <w:rFonts w:hint="eastAsia" w:ascii="宋体" w:hAnsi="宋体" w:eastAsia="宋体" w:cs="宋体"/>
          <w:szCs w:val="24"/>
          <w:u w:val="single"/>
          <w:shd w:val="clear" w:color="auto" w:fill="FFFFFF"/>
        </w:rPr>
        <w:t xml:space="preserve">  </w:t>
      </w:r>
      <w:r>
        <w:rPr>
          <w:rFonts w:hint="eastAsia" w:ascii="宋体" w:hAnsi="宋体" w:eastAsia="宋体" w:cs="宋体"/>
          <w:szCs w:val="24"/>
          <w:u w:val="single"/>
          <w:shd w:val="clear" w:color="auto" w:fill="FFFFFF"/>
          <w:lang w:val="en-US" w:eastAsia="zh-CN"/>
        </w:rPr>
        <w:t xml:space="preserve">3 </w:t>
      </w:r>
      <w:r>
        <w:rPr>
          <w:rFonts w:hint="eastAsia" w:ascii="宋体" w:hAnsi="宋体" w:eastAsia="宋体" w:cs="宋体"/>
          <w:szCs w:val="24"/>
          <w:u w:val="single"/>
          <w:shd w:val="clear" w:color="auto" w:fill="FFFFFF"/>
        </w:rPr>
        <w:t xml:space="preserve"> </w:t>
      </w:r>
      <w:r>
        <w:rPr>
          <w:rFonts w:hint="eastAsia" w:ascii="宋体" w:hAnsi="宋体" w:eastAsia="宋体" w:cs="宋体"/>
          <w:szCs w:val="24"/>
          <w:shd w:val="clear" w:color="auto" w:fill="FFFFFF"/>
        </w:rPr>
        <w:t>日至</w:t>
      </w:r>
      <w:r>
        <w:rPr>
          <w:rFonts w:hint="eastAsia" w:ascii="宋体" w:hAnsi="宋体" w:eastAsia="宋体" w:cs="宋体"/>
          <w:szCs w:val="24"/>
          <w:u w:val="single"/>
          <w:shd w:val="clear" w:color="auto" w:fill="FFFFFF"/>
        </w:rPr>
        <w:t>202</w:t>
      </w:r>
      <w:r>
        <w:rPr>
          <w:rFonts w:hint="eastAsia" w:ascii="宋体" w:hAnsi="宋体" w:eastAsia="宋体" w:cs="宋体"/>
          <w:szCs w:val="24"/>
          <w:u w:val="single"/>
          <w:shd w:val="clear" w:color="auto" w:fill="FFFFFF"/>
          <w:lang w:val="en-US" w:eastAsia="zh-CN"/>
        </w:rPr>
        <w:t>1</w:t>
      </w:r>
      <w:r>
        <w:rPr>
          <w:rFonts w:hint="eastAsia" w:ascii="宋体" w:hAnsi="宋体" w:eastAsia="宋体" w:cs="宋体"/>
          <w:szCs w:val="24"/>
          <w:shd w:val="clear" w:color="auto" w:fill="FFFFFF"/>
        </w:rPr>
        <w:t>年</w:t>
      </w:r>
      <w:r>
        <w:rPr>
          <w:rFonts w:hint="eastAsia" w:ascii="宋体" w:hAnsi="宋体" w:eastAsia="宋体" w:cs="宋体"/>
          <w:szCs w:val="24"/>
          <w:u w:val="single"/>
          <w:shd w:val="clear" w:color="auto" w:fill="FFFFFF"/>
        </w:rPr>
        <w:t xml:space="preserve">  </w:t>
      </w:r>
      <w:r>
        <w:rPr>
          <w:rFonts w:hint="eastAsia" w:ascii="宋体" w:hAnsi="宋体" w:eastAsia="宋体" w:cs="宋体"/>
          <w:szCs w:val="24"/>
          <w:u w:val="single"/>
          <w:shd w:val="clear" w:color="auto" w:fill="FFFFFF"/>
          <w:lang w:val="en-US" w:eastAsia="zh-CN"/>
        </w:rPr>
        <w:t xml:space="preserve">2 </w:t>
      </w:r>
      <w:r>
        <w:rPr>
          <w:rFonts w:hint="eastAsia" w:ascii="宋体" w:hAnsi="宋体" w:eastAsia="宋体" w:cs="宋体"/>
          <w:szCs w:val="24"/>
          <w:u w:val="single"/>
          <w:shd w:val="clear" w:color="auto" w:fill="FFFFFF"/>
        </w:rPr>
        <w:t xml:space="preserve"> </w:t>
      </w:r>
      <w:r>
        <w:rPr>
          <w:rFonts w:hint="eastAsia" w:ascii="宋体" w:hAnsi="宋体" w:eastAsia="宋体" w:cs="宋体"/>
          <w:szCs w:val="24"/>
          <w:shd w:val="clear" w:color="auto" w:fill="FFFFFF"/>
        </w:rPr>
        <w:t>月</w:t>
      </w:r>
      <w:r>
        <w:rPr>
          <w:rFonts w:hint="eastAsia" w:ascii="宋体" w:hAnsi="宋体" w:eastAsia="宋体" w:cs="宋体"/>
          <w:szCs w:val="24"/>
          <w:u w:val="single"/>
          <w:shd w:val="clear" w:color="auto" w:fill="FFFFFF"/>
        </w:rPr>
        <w:t xml:space="preserve">  </w:t>
      </w:r>
      <w:r>
        <w:rPr>
          <w:rFonts w:hint="eastAsia" w:ascii="宋体" w:hAnsi="宋体" w:eastAsia="宋体" w:cs="宋体"/>
          <w:szCs w:val="24"/>
          <w:u w:val="single"/>
          <w:shd w:val="clear" w:color="auto" w:fill="FFFFFF"/>
          <w:lang w:val="en-US" w:eastAsia="zh-CN"/>
        </w:rPr>
        <w:t xml:space="preserve">10 </w:t>
      </w:r>
      <w:r>
        <w:rPr>
          <w:rFonts w:hint="eastAsia" w:ascii="宋体" w:hAnsi="宋体" w:eastAsia="宋体" w:cs="宋体"/>
          <w:szCs w:val="24"/>
          <w:shd w:val="clear" w:color="auto" w:fill="FFFFFF"/>
        </w:rPr>
        <w:t>日17:30(北京时间)</w:t>
      </w:r>
    </w:p>
    <w:p>
      <w:pPr>
        <w:pStyle w:val="15"/>
        <w:widowControl/>
        <w:spacing w:beforeAutospacing="0" w:afterAutospacing="0" w:line="500" w:lineRule="exact"/>
        <w:ind w:firstLine="480"/>
      </w:pPr>
      <w:r>
        <w:rPr>
          <w:rFonts w:hint="eastAsia" w:ascii="宋体" w:hAnsi="宋体" w:eastAsia="宋体" w:cs="宋体"/>
          <w:szCs w:val="24"/>
          <w:shd w:val="clear" w:color="auto" w:fill="FFFFFF"/>
        </w:rPr>
        <w:t>招标文件下载：见附件</w:t>
      </w:r>
    </w:p>
    <w:p>
      <w:pPr>
        <w:pStyle w:val="15"/>
        <w:widowControl/>
        <w:numPr>
          <w:ilvl w:val="0"/>
          <w:numId w:val="2"/>
        </w:numPr>
        <w:spacing w:beforeAutospacing="0" w:afterAutospacing="0" w:line="500" w:lineRule="exact"/>
        <w:ind w:firstLine="420"/>
        <w:rPr>
          <w:rStyle w:val="19"/>
          <w:rFonts w:ascii="宋体" w:hAnsi="宋体" w:eastAsia="宋体" w:cs="宋体"/>
          <w:szCs w:val="24"/>
          <w:shd w:val="clear" w:color="auto" w:fill="FFFFFF"/>
        </w:rPr>
      </w:pPr>
      <w:r>
        <w:rPr>
          <w:rStyle w:val="19"/>
          <w:rFonts w:hint="eastAsia" w:ascii="宋体" w:hAnsi="宋体" w:eastAsia="宋体" w:cs="宋体"/>
          <w:szCs w:val="24"/>
          <w:shd w:val="clear" w:color="auto" w:fill="FFFFFF"/>
        </w:rPr>
        <w:t>提交投标文件截止时间、开标时间和地点</w:t>
      </w:r>
    </w:p>
    <w:p>
      <w:pPr>
        <w:pStyle w:val="15"/>
        <w:widowControl/>
        <w:spacing w:beforeAutospacing="0" w:afterAutospacing="0" w:line="360" w:lineRule="auto"/>
        <w:ind w:firstLine="480"/>
        <w:rPr>
          <w:rFonts w:ascii="宋体" w:hAnsi="宋体" w:eastAsia="宋体" w:cs="宋体"/>
          <w:szCs w:val="24"/>
          <w:shd w:val="clear" w:color="auto" w:fill="FFFFFF"/>
        </w:rPr>
      </w:pPr>
      <w:r>
        <w:rPr>
          <w:rFonts w:hint="eastAsia" w:ascii="宋体" w:hAnsi="宋体" w:eastAsia="宋体" w:cs="宋体"/>
          <w:szCs w:val="24"/>
        </w:rPr>
        <w:t>提交投标文件截止时间、开标时间</w:t>
      </w:r>
      <w:r>
        <w:rPr>
          <w:rFonts w:hint="eastAsia" w:ascii="宋体" w:hAnsi="宋体" w:eastAsia="宋体" w:cs="宋体"/>
          <w:szCs w:val="24"/>
          <w:shd w:val="clear" w:color="auto" w:fill="FFFFFF"/>
        </w:rPr>
        <w:t>：</w:t>
      </w:r>
      <w:r>
        <w:rPr>
          <w:rFonts w:hint="eastAsia" w:ascii="宋体" w:hAnsi="宋体" w:eastAsia="宋体" w:cs="宋体"/>
          <w:szCs w:val="24"/>
          <w:u w:val="single"/>
          <w:shd w:val="clear" w:color="auto" w:fill="FFFFFF"/>
        </w:rPr>
        <w:t>202</w:t>
      </w:r>
      <w:r>
        <w:rPr>
          <w:rFonts w:hint="eastAsia" w:ascii="宋体" w:hAnsi="宋体" w:eastAsia="宋体" w:cs="宋体"/>
          <w:szCs w:val="24"/>
          <w:u w:val="single"/>
          <w:shd w:val="clear" w:color="auto" w:fill="FFFFFF"/>
          <w:lang w:val="en-US" w:eastAsia="zh-CN"/>
        </w:rPr>
        <w:t>1</w:t>
      </w:r>
      <w:r>
        <w:rPr>
          <w:rFonts w:hint="eastAsia" w:ascii="宋体" w:hAnsi="宋体" w:eastAsia="宋体" w:cs="宋体"/>
          <w:szCs w:val="24"/>
          <w:shd w:val="clear" w:color="auto" w:fill="FFFFFF"/>
        </w:rPr>
        <w:t>年</w:t>
      </w:r>
      <w:r>
        <w:rPr>
          <w:rFonts w:hint="eastAsia" w:ascii="宋体" w:hAnsi="宋体" w:eastAsia="宋体" w:cs="宋体"/>
          <w:szCs w:val="24"/>
          <w:u w:val="single"/>
          <w:shd w:val="clear" w:color="auto" w:fill="FFFFFF"/>
        </w:rPr>
        <w:t xml:space="preserve">  </w:t>
      </w:r>
      <w:r>
        <w:rPr>
          <w:rFonts w:hint="eastAsia" w:ascii="宋体" w:hAnsi="宋体" w:eastAsia="宋体" w:cs="宋体"/>
          <w:szCs w:val="24"/>
          <w:u w:val="single"/>
          <w:shd w:val="clear" w:color="auto" w:fill="FFFFFF"/>
          <w:lang w:val="en-US" w:eastAsia="zh-CN"/>
        </w:rPr>
        <w:t xml:space="preserve"> 3 </w:t>
      </w:r>
      <w:r>
        <w:rPr>
          <w:rFonts w:hint="eastAsia" w:ascii="宋体" w:hAnsi="宋体" w:cs="宋体"/>
          <w:szCs w:val="24"/>
          <w:u w:val="single"/>
          <w:shd w:val="clear" w:color="auto" w:fill="FFFFFF"/>
        </w:rPr>
        <w:t xml:space="preserve"> </w:t>
      </w:r>
      <w:r>
        <w:rPr>
          <w:rFonts w:hint="eastAsia" w:ascii="宋体" w:hAnsi="宋体" w:eastAsia="宋体" w:cs="宋体"/>
          <w:szCs w:val="24"/>
          <w:u w:val="single"/>
          <w:shd w:val="clear" w:color="auto" w:fill="FFFFFF"/>
        </w:rPr>
        <w:t xml:space="preserve"> </w:t>
      </w:r>
      <w:r>
        <w:rPr>
          <w:rFonts w:hint="eastAsia" w:ascii="宋体" w:hAnsi="宋体" w:eastAsia="宋体" w:cs="宋体"/>
          <w:szCs w:val="24"/>
          <w:shd w:val="clear" w:color="auto" w:fill="FFFFFF"/>
        </w:rPr>
        <w:t>月</w:t>
      </w:r>
      <w:r>
        <w:rPr>
          <w:rFonts w:hint="eastAsia" w:ascii="宋体" w:hAnsi="宋体" w:eastAsia="宋体" w:cs="宋体"/>
          <w:szCs w:val="24"/>
          <w:u w:val="single"/>
          <w:shd w:val="clear" w:color="auto" w:fill="FFFFFF"/>
        </w:rPr>
        <w:t xml:space="preserve"> </w:t>
      </w:r>
      <w:r>
        <w:rPr>
          <w:rFonts w:hint="eastAsia" w:ascii="宋体" w:hAnsi="宋体" w:cs="宋体"/>
          <w:szCs w:val="24"/>
          <w:u w:val="single"/>
          <w:shd w:val="clear" w:color="auto" w:fill="FFFFFF"/>
        </w:rPr>
        <w:t xml:space="preserve"> </w:t>
      </w:r>
      <w:r>
        <w:rPr>
          <w:rFonts w:hint="eastAsia" w:ascii="宋体" w:hAnsi="宋体" w:cs="宋体"/>
          <w:szCs w:val="24"/>
          <w:u w:val="single"/>
          <w:shd w:val="clear" w:color="auto" w:fill="FFFFFF"/>
          <w:lang w:val="en-US" w:eastAsia="zh-CN"/>
        </w:rPr>
        <w:t xml:space="preserve">3  </w:t>
      </w:r>
      <w:r>
        <w:rPr>
          <w:rFonts w:hint="eastAsia" w:ascii="宋体" w:hAnsi="宋体" w:eastAsia="宋体" w:cs="宋体"/>
          <w:szCs w:val="24"/>
          <w:shd w:val="clear" w:color="auto" w:fill="FFFFFF"/>
        </w:rPr>
        <w:t>日</w:t>
      </w:r>
      <w:r>
        <w:rPr>
          <w:rFonts w:hint="eastAsia" w:ascii="宋体" w:hAnsi="宋体" w:eastAsia="宋体" w:cs="宋体"/>
          <w:szCs w:val="24"/>
          <w:u w:val="single"/>
          <w:shd w:val="clear" w:color="auto" w:fill="FFFFFF"/>
          <w:lang w:val="en-US" w:eastAsia="zh-CN"/>
        </w:rPr>
        <w:t xml:space="preserve">15  </w:t>
      </w:r>
      <w:r>
        <w:rPr>
          <w:rFonts w:hint="eastAsia" w:ascii="宋体" w:hAnsi="宋体" w:eastAsia="宋体" w:cs="宋体"/>
          <w:szCs w:val="24"/>
          <w:shd w:val="clear" w:color="auto" w:fill="FFFFFF"/>
        </w:rPr>
        <w:t>时00分（</w:t>
      </w:r>
      <w:r>
        <w:rPr>
          <w:rFonts w:hint="eastAsia" w:ascii="宋体" w:hAnsi="宋体" w:eastAsia="宋体" w:cs="宋体"/>
          <w:szCs w:val="24"/>
          <w:shd w:val="clear" w:color="auto" w:fill="FFFFFF"/>
          <w:lang w:val="en-US" w:eastAsia="zh-CN"/>
        </w:rPr>
        <w:t xml:space="preserve">14 </w:t>
      </w:r>
      <w:r>
        <w:rPr>
          <w:rFonts w:hint="eastAsia" w:ascii="宋体" w:hAnsi="宋体" w:eastAsia="宋体" w:cs="宋体"/>
          <w:szCs w:val="24"/>
          <w:shd w:val="clear" w:color="auto" w:fill="FFFFFF"/>
        </w:rPr>
        <w:t>时</w:t>
      </w:r>
      <w:r>
        <w:rPr>
          <w:rFonts w:hint="eastAsia" w:ascii="宋体" w:hAnsi="宋体" w:eastAsia="宋体" w:cs="宋体"/>
          <w:szCs w:val="24"/>
          <w:shd w:val="clear" w:color="auto" w:fill="FFFFFF"/>
          <w:lang w:val="en-US" w:eastAsia="zh-CN"/>
        </w:rPr>
        <w:t xml:space="preserve">30  </w:t>
      </w:r>
      <w:r>
        <w:rPr>
          <w:rFonts w:hint="eastAsia" w:ascii="宋体" w:hAnsi="宋体" w:eastAsia="宋体" w:cs="宋体"/>
          <w:szCs w:val="24"/>
          <w:shd w:val="clear" w:color="auto" w:fill="FFFFFF"/>
        </w:rPr>
        <w:t>分开始接收投标文件，拒收逾期送达或者未按招标文件要求密封的投标文件）</w:t>
      </w:r>
    </w:p>
    <w:p>
      <w:pPr>
        <w:pStyle w:val="15"/>
        <w:widowControl/>
        <w:spacing w:beforeAutospacing="0" w:afterAutospacing="0" w:line="360" w:lineRule="auto"/>
        <w:ind w:firstLine="480"/>
      </w:pPr>
      <w:r>
        <w:rPr>
          <w:rFonts w:hint="eastAsia" w:ascii="宋体" w:hAnsi="宋体" w:eastAsia="宋体" w:cs="宋体"/>
          <w:szCs w:val="24"/>
        </w:rPr>
        <w:t>提交投标文件地点</w:t>
      </w:r>
      <w:r>
        <w:rPr>
          <w:rFonts w:hint="eastAsia" w:ascii="宋体" w:hAnsi="宋体" w:eastAsia="宋体" w:cs="宋体"/>
          <w:szCs w:val="24"/>
          <w:shd w:val="clear" w:color="auto" w:fill="FFFFFF"/>
        </w:rPr>
        <w:t>：阳新县公共资源交易中心</w:t>
      </w:r>
      <w:r>
        <w:rPr>
          <w:rFonts w:hint="eastAsia" w:ascii="宋体" w:hAnsi="宋体" w:eastAsia="宋体" w:cs="宋体"/>
          <w:szCs w:val="24"/>
          <w:u w:val="single"/>
          <w:shd w:val="clear" w:color="auto" w:fill="FFFFFF"/>
        </w:rPr>
        <w:t xml:space="preserve">  </w:t>
      </w:r>
      <w:r>
        <w:rPr>
          <w:rFonts w:hint="eastAsia" w:ascii="宋体" w:hAnsi="宋体" w:eastAsia="宋体" w:cs="宋体"/>
          <w:szCs w:val="24"/>
          <w:u w:val="single"/>
          <w:shd w:val="clear" w:color="auto" w:fill="FFFFFF"/>
          <w:lang w:eastAsia="zh-CN"/>
        </w:rPr>
        <w:t>二</w:t>
      </w:r>
      <w:r>
        <w:rPr>
          <w:rFonts w:hint="eastAsia" w:ascii="宋体" w:hAnsi="宋体" w:eastAsia="宋体" w:cs="宋体"/>
          <w:szCs w:val="24"/>
          <w:u w:val="single"/>
          <w:shd w:val="clear" w:color="auto" w:fill="FFFFFF"/>
          <w:lang w:val="en-US" w:eastAsia="zh-CN"/>
        </w:rPr>
        <w:t xml:space="preserve">  </w:t>
      </w:r>
      <w:r>
        <w:rPr>
          <w:rFonts w:hint="eastAsia" w:ascii="宋体" w:hAnsi="宋体" w:eastAsia="宋体" w:cs="宋体"/>
          <w:szCs w:val="24"/>
          <w:u w:val="single"/>
          <w:shd w:val="clear" w:color="auto" w:fill="FFFFFF"/>
        </w:rPr>
        <w:t xml:space="preserve"> </w:t>
      </w:r>
      <w:r>
        <w:rPr>
          <w:rFonts w:hint="eastAsia" w:ascii="宋体" w:hAnsi="宋体" w:eastAsia="宋体" w:cs="宋体"/>
          <w:szCs w:val="24"/>
          <w:shd w:val="clear" w:color="auto" w:fill="FFFFFF"/>
        </w:rPr>
        <w:t>楼开标大厅（阳新县熊家垴安置小区东侧）</w:t>
      </w:r>
    </w:p>
    <w:p>
      <w:pPr>
        <w:pStyle w:val="15"/>
        <w:widowControl/>
        <w:spacing w:beforeAutospacing="0" w:afterAutospacing="0" w:line="360" w:lineRule="auto"/>
        <w:ind w:firstLine="420"/>
      </w:pPr>
      <w:r>
        <w:rPr>
          <w:rStyle w:val="19"/>
          <w:rFonts w:hint="eastAsia" w:ascii="宋体" w:hAnsi="宋体" w:eastAsia="宋体" w:cs="宋体"/>
          <w:szCs w:val="24"/>
          <w:shd w:val="clear" w:color="auto" w:fill="FFFFFF"/>
        </w:rPr>
        <w:t>五、公告期限</w:t>
      </w:r>
    </w:p>
    <w:p>
      <w:pPr>
        <w:pStyle w:val="15"/>
        <w:widowControl/>
        <w:spacing w:beforeAutospacing="0" w:afterAutospacing="0" w:line="360" w:lineRule="auto"/>
        <w:ind w:firstLine="480"/>
      </w:pPr>
      <w:r>
        <w:rPr>
          <w:rFonts w:hint="eastAsia" w:ascii="宋体" w:hAnsi="宋体" w:eastAsia="宋体" w:cs="宋体"/>
          <w:szCs w:val="24"/>
          <w:shd w:val="clear" w:color="auto" w:fill="FFFFFF"/>
        </w:rPr>
        <w:t>自本公告发布之日起5个工作日。</w:t>
      </w:r>
    </w:p>
    <w:p>
      <w:pPr>
        <w:pStyle w:val="15"/>
        <w:widowControl/>
        <w:spacing w:beforeAutospacing="0" w:afterAutospacing="0" w:line="360" w:lineRule="auto"/>
        <w:ind w:firstLine="420"/>
      </w:pPr>
      <w:r>
        <w:rPr>
          <w:rStyle w:val="19"/>
          <w:rFonts w:hint="eastAsia" w:ascii="宋体" w:hAnsi="宋体" w:eastAsia="宋体" w:cs="宋体"/>
          <w:szCs w:val="24"/>
          <w:shd w:val="clear" w:color="auto" w:fill="FFFFFF"/>
        </w:rPr>
        <w:t>六、其他补充事宜</w:t>
      </w:r>
    </w:p>
    <w:p>
      <w:pPr>
        <w:pStyle w:val="15"/>
        <w:widowControl/>
        <w:spacing w:beforeAutospacing="0" w:afterAutospacing="0" w:line="360" w:lineRule="auto"/>
        <w:ind w:firstLine="480"/>
      </w:pPr>
      <w:r>
        <w:rPr>
          <w:rFonts w:hint="eastAsia" w:ascii="宋体" w:hAnsi="宋体" w:eastAsia="宋体" w:cs="宋体"/>
          <w:szCs w:val="24"/>
          <w:shd w:val="clear" w:color="auto" w:fill="FFFFFF"/>
        </w:rPr>
        <w:t>1、落实政府采购强制、优先采购节能产品政策；政府采购优先采购环保产品政策；政府采购促进中小企业发展（监狱企业、残疾人福利性单位视同小微企业）等政策。</w:t>
      </w:r>
    </w:p>
    <w:p>
      <w:pPr>
        <w:pStyle w:val="15"/>
        <w:widowControl/>
        <w:spacing w:beforeAutospacing="0" w:afterAutospacing="0" w:line="360" w:lineRule="auto"/>
        <w:ind w:firstLine="480"/>
        <w:rPr>
          <w:rFonts w:ascii="宋体" w:hAnsi="宋体" w:eastAsia="宋体" w:cs="宋体"/>
          <w:szCs w:val="24"/>
          <w:shd w:val="clear" w:color="auto" w:fill="FFFFFF"/>
        </w:rPr>
      </w:pPr>
      <w:r>
        <w:rPr>
          <w:rFonts w:hint="eastAsia" w:ascii="宋体" w:hAnsi="宋体" w:eastAsia="宋体" w:cs="宋体"/>
          <w:szCs w:val="24"/>
          <w:shd w:val="clear" w:color="auto" w:fill="FFFFFF"/>
        </w:rPr>
        <w:t>2、是否专门面向中小企业、监狱企业、残疾人福利性单位：否。</w:t>
      </w:r>
    </w:p>
    <w:p>
      <w:pPr>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zh-CN"/>
        </w:rPr>
        <w:t>投标人认为招标文件、招标过程和中标结果使自己的权益受到损害的，可以在知道或者应知其权益受到损害之日起7个工作日内，向采购人或代理公司提出质疑。</w:t>
      </w:r>
      <w:r>
        <w:rPr>
          <w:rFonts w:hint="eastAsia" w:ascii="宋体" w:hAnsi="宋体" w:eastAsia="宋体" w:cs="宋体"/>
          <w:kern w:val="0"/>
          <w:sz w:val="24"/>
          <w:szCs w:val="24"/>
        </w:rPr>
        <w:t>质疑时请提交书面质疑函一份（法人代表签字、加盖单位公章。具体要求详见本招标文件“第二章 投标人须知”中的第八条之规定），并附相关证据材料。</w:t>
      </w:r>
    </w:p>
    <w:p>
      <w:pPr>
        <w:pStyle w:val="15"/>
        <w:widowControl/>
        <w:spacing w:beforeAutospacing="0" w:afterAutospacing="0" w:line="360" w:lineRule="auto"/>
        <w:ind w:firstLine="420"/>
      </w:pPr>
      <w:r>
        <w:rPr>
          <w:rStyle w:val="19"/>
          <w:rFonts w:hint="eastAsia" w:ascii="宋体" w:hAnsi="宋体" w:eastAsia="宋体" w:cs="宋体"/>
          <w:szCs w:val="24"/>
          <w:shd w:val="clear" w:color="auto" w:fill="FFFFFF"/>
        </w:rPr>
        <w:t>七、对本次招标提出询问，请按以下方式联系。</w:t>
      </w:r>
    </w:p>
    <w:p>
      <w:pPr>
        <w:pStyle w:val="15"/>
        <w:widowControl/>
        <w:spacing w:beforeAutospacing="0" w:afterAutospacing="0" w:line="360" w:lineRule="auto"/>
        <w:ind w:firstLine="320"/>
        <w:rPr>
          <w:rFonts w:ascii="宋体" w:hAnsi="宋体" w:eastAsia="宋体" w:cs="宋体"/>
          <w:szCs w:val="24"/>
        </w:rPr>
      </w:pPr>
      <w:r>
        <w:rPr>
          <w:rFonts w:hint="eastAsia" w:ascii="宋体" w:hAnsi="宋体" w:eastAsia="宋体" w:cs="宋体"/>
          <w:szCs w:val="24"/>
        </w:rPr>
        <w:t>1.采购人信息</w:t>
      </w:r>
    </w:p>
    <w:p>
      <w:pPr>
        <w:pStyle w:val="15"/>
        <w:widowControl/>
        <w:spacing w:beforeAutospacing="0" w:afterAutospacing="0" w:line="360" w:lineRule="auto"/>
        <w:ind w:firstLine="320"/>
        <w:rPr>
          <w:rFonts w:hint="eastAsia" w:ascii="宋体" w:hAnsi="宋体" w:eastAsia="宋体" w:cs="宋体"/>
          <w:szCs w:val="24"/>
          <w:lang w:eastAsia="zh-CN"/>
        </w:rPr>
      </w:pPr>
      <w:r>
        <w:rPr>
          <w:rFonts w:hint="eastAsia" w:ascii="宋体" w:hAnsi="宋体" w:eastAsia="宋体" w:cs="宋体"/>
          <w:szCs w:val="24"/>
        </w:rPr>
        <w:t>名    称：</w:t>
      </w:r>
      <w:r>
        <w:rPr>
          <w:rFonts w:hint="eastAsia" w:ascii="宋体" w:hAnsi="宋体" w:eastAsia="宋体" w:cs="宋体"/>
          <w:szCs w:val="24"/>
          <w:lang w:eastAsia="zh-CN"/>
        </w:rPr>
        <w:t>阳新县农业农村局</w:t>
      </w:r>
    </w:p>
    <w:p>
      <w:pPr>
        <w:pStyle w:val="15"/>
        <w:widowControl/>
        <w:spacing w:beforeAutospacing="0" w:afterAutospacing="0" w:line="360" w:lineRule="auto"/>
        <w:ind w:firstLine="320"/>
        <w:rPr>
          <w:rFonts w:ascii="宋体" w:hAnsi="宋体" w:eastAsia="宋体" w:cs="宋体"/>
          <w:szCs w:val="24"/>
        </w:rPr>
      </w:pPr>
      <w:r>
        <w:rPr>
          <w:rFonts w:hint="eastAsia" w:ascii="宋体" w:hAnsi="宋体" w:eastAsia="宋体" w:cs="宋体"/>
          <w:szCs w:val="24"/>
        </w:rPr>
        <w:t>地    址：</w:t>
      </w:r>
      <w:r>
        <w:rPr>
          <w:rFonts w:hint="eastAsia" w:ascii="宋体" w:hAnsi="宋体" w:eastAsia="宋体" w:cs="宋体"/>
          <w:szCs w:val="24"/>
          <w:lang w:eastAsia="zh-CN"/>
        </w:rPr>
        <w:t>阳新县兴国镇</w:t>
      </w:r>
      <w:r>
        <w:rPr>
          <w:rFonts w:hint="eastAsia" w:eastAsia="宋体"/>
          <w:color w:val="000000" w:themeColor="text1"/>
          <w:szCs w:val="24"/>
          <w:lang w:val="en-US" w:eastAsia="zh-CN"/>
          <w14:textFill>
            <w14:solidFill>
              <w14:schemeClr w14:val="tx1"/>
            </w14:solidFill>
          </w14:textFill>
        </w:rPr>
        <w:t xml:space="preserve"> </w:t>
      </w:r>
      <w:r>
        <w:rPr>
          <w:rFonts w:hint="eastAsia" w:ascii="宋体" w:hAnsi="宋体" w:eastAsia="宋体" w:cs="宋体"/>
          <w:szCs w:val="24"/>
        </w:rPr>
        <w:t xml:space="preserve"> </w:t>
      </w:r>
    </w:p>
    <w:p>
      <w:pPr>
        <w:pStyle w:val="15"/>
        <w:widowControl/>
        <w:spacing w:beforeAutospacing="0" w:afterAutospacing="0" w:line="360" w:lineRule="auto"/>
        <w:ind w:firstLine="320"/>
        <w:rPr>
          <w:rFonts w:hint="eastAsia" w:ascii="宋体" w:hAnsi="宋体" w:eastAsia="宋体" w:cs="宋体"/>
          <w:szCs w:val="24"/>
          <w:lang w:eastAsia="zh-CN"/>
        </w:rPr>
      </w:pPr>
      <w:r>
        <w:rPr>
          <w:rFonts w:hint="eastAsia" w:ascii="宋体" w:hAnsi="宋体" w:eastAsia="宋体" w:cs="宋体"/>
          <w:szCs w:val="24"/>
        </w:rPr>
        <w:t>联</w:t>
      </w:r>
      <w:r>
        <w:rPr>
          <w:rFonts w:hint="eastAsia" w:ascii="宋体" w:hAnsi="宋体" w:eastAsia="宋体" w:cs="宋体"/>
          <w:szCs w:val="24"/>
          <w:lang w:val="en-US" w:eastAsia="zh-CN"/>
        </w:rPr>
        <w:t xml:space="preserve"> </w:t>
      </w:r>
      <w:r>
        <w:rPr>
          <w:rFonts w:hint="eastAsia" w:ascii="宋体" w:hAnsi="宋体" w:eastAsia="宋体" w:cs="宋体"/>
          <w:szCs w:val="24"/>
        </w:rPr>
        <w:t>系</w:t>
      </w:r>
      <w:r>
        <w:rPr>
          <w:rFonts w:hint="eastAsia" w:ascii="宋体" w:hAnsi="宋体" w:eastAsia="宋体" w:cs="宋体"/>
          <w:szCs w:val="24"/>
          <w:lang w:val="en-US" w:eastAsia="zh-CN"/>
        </w:rPr>
        <w:t xml:space="preserve"> </w:t>
      </w:r>
      <w:r>
        <w:rPr>
          <w:rFonts w:hint="eastAsia" w:ascii="宋体" w:hAnsi="宋体" w:eastAsia="宋体" w:cs="宋体"/>
          <w:szCs w:val="24"/>
        </w:rPr>
        <w:t>方</w:t>
      </w:r>
      <w:r>
        <w:rPr>
          <w:rFonts w:hint="eastAsia" w:ascii="宋体" w:hAnsi="宋体" w:eastAsia="宋体" w:cs="宋体"/>
          <w:szCs w:val="24"/>
          <w:lang w:val="en-US" w:eastAsia="zh-CN"/>
        </w:rPr>
        <w:t xml:space="preserve"> </w:t>
      </w:r>
      <w:r>
        <w:rPr>
          <w:rFonts w:hint="eastAsia" w:ascii="宋体" w:hAnsi="宋体" w:eastAsia="宋体" w:cs="宋体"/>
          <w:szCs w:val="24"/>
        </w:rPr>
        <w:t>式：</w:t>
      </w:r>
      <w:r>
        <w:rPr>
          <w:rFonts w:hint="eastAsia" w:ascii="宋体" w:hAnsi="宋体" w:eastAsia="宋体" w:cs="宋体"/>
          <w:szCs w:val="24"/>
          <w:lang w:val="en-US" w:eastAsia="zh-CN"/>
        </w:rPr>
        <w:t xml:space="preserve">13872137137 </w:t>
      </w:r>
      <w:r>
        <w:rPr>
          <w:rFonts w:hint="eastAsia" w:ascii="宋体" w:hAnsi="宋体" w:eastAsia="宋体" w:cs="宋体"/>
          <w:szCs w:val="24"/>
        </w:rPr>
        <w:t>   </w:t>
      </w:r>
      <w:r>
        <w:rPr>
          <w:rFonts w:hint="eastAsia" w:eastAsia="宋体"/>
          <w:szCs w:val="24"/>
          <w:lang w:val="en-US" w:eastAsia="zh-CN"/>
        </w:rPr>
        <w:t xml:space="preserve"> </w:t>
      </w:r>
    </w:p>
    <w:p>
      <w:pPr>
        <w:pStyle w:val="15"/>
        <w:widowControl/>
        <w:spacing w:beforeAutospacing="0" w:afterAutospacing="0" w:line="360" w:lineRule="auto"/>
        <w:ind w:firstLine="320"/>
        <w:rPr>
          <w:rFonts w:ascii="宋体" w:hAnsi="宋体" w:eastAsia="宋体" w:cs="宋体"/>
          <w:szCs w:val="24"/>
        </w:rPr>
      </w:pPr>
      <w:r>
        <w:rPr>
          <w:rFonts w:hint="eastAsia" w:ascii="宋体" w:hAnsi="宋体" w:eastAsia="宋体" w:cs="宋体"/>
          <w:szCs w:val="24"/>
        </w:rPr>
        <w:t>2.采购代理机构信息</w:t>
      </w:r>
    </w:p>
    <w:p>
      <w:pPr>
        <w:pStyle w:val="15"/>
        <w:widowControl/>
        <w:spacing w:beforeAutospacing="0" w:afterAutospacing="0" w:line="360" w:lineRule="auto"/>
        <w:ind w:firstLine="320"/>
        <w:rPr>
          <w:rFonts w:ascii="宋体" w:hAnsi="宋体" w:eastAsia="宋体" w:cs="宋体"/>
          <w:szCs w:val="24"/>
        </w:rPr>
      </w:pPr>
      <w:r>
        <w:rPr>
          <w:rFonts w:hint="eastAsia" w:ascii="宋体" w:hAnsi="宋体" w:eastAsia="宋体" w:cs="宋体"/>
          <w:szCs w:val="24"/>
        </w:rPr>
        <w:t>名  称：衡正国际工程咨询有限公司</w:t>
      </w:r>
    </w:p>
    <w:p>
      <w:pPr>
        <w:pStyle w:val="15"/>
        <w:widowControl/>
        <w:spacing w:beforeAutospacing="0" w:afterAutospacing="0" w:line="360" w:lineRule="auto"/>
        <w:ind w:firstLine="320"/>
        <w:rPr>
          <w:rFonts w:ascii="宋体" w:hAnsi="宋体" w:eastAsia="宋体" w:cs="宋体"/>
          <w:szCs w:val="24"/>
        </w:rPr>
      </w:pPr>
      <w:r>
        <w:rPr>
          <w:rFonts w:hint="eastAsia" w:ascii="宋体" w:hAnsi="宋体" w:eastAsia="宋体" w:cs="宋体"/>
          <w:szCs w:val="24"/>
        </w:rPr>
        <w:t>地　　址：阳新县兴国镇山景城小区二期1栋113商铺</w:t>
      </w:r>
    </w:p>
    <w:p>
      <w:pPr>
        <w:pStyle w:val="15"/>
        <w:widowControl/>
        <w:spacing w:beforeAutospacing="0" w:afterAutospacing="0" w:line="360" w:lineRule="auto"/>
        <w:ind w:firstLine="320"/>
        <w:rPr>
          <w:rFonts w:hint="eastAsia" w:ascii="宋体" w:hAnsi="宋体" w:eastAsia="宋体" w:cs="宋体"/>
          <w:szCs w:val="24"/>
          <w:lang w:eastAsia="zh-CN"/>
        </w:rPr>
      </w:pPr>
      <w:r>
        <w:rPr>
          <w:rFonts w:hint="eastAsia" w:ascii="宋体" w:hAnsi="宋体" w:eastAsia="宋体" w:cs="宋体"/>
          <w:szCs w:val="24"/>
        </w:rPr>
        <w:t>联系方式：</w:t>
      </w:r>
      <w:r>
        <w:rPr>
          <w:rFonts w:hint="eastAsia" w:ascii="宋体" w:hAnsi="宋体" w:eastAsia="宋体" w:cs="宋体"/>
          <w:szCs w:val="24"/>
          <w:lang w:eastAsia="zh-CN"/>
        </w:rPr>
        <w:t>袁帅</w:t>
      </w:r>
      <w:r>
        <w:rPr>
          <w:rFonts w:hint="eastAsia" w:ascii="宋体" w:hAnsi="宋体" w:eastAsia="宋体" w:cs="宋体"/>
          <w:szCs w:val="24"/>
        </w:rPr>
        <w:t>   </w:t>
      </w:r>
      <w:r>
        <w:rPr>
          <w:rFonts w:hint="eastAsia" w:ascii="宋体" w:hAnsi="宋体" w:eastAsia="宋体" w:cs="宋体"/>
          <w:szCs w:val="24"/>
          <w:lang w:eastAsia="zh-CN"/>
        </w:rPr>
        <w:t>18064186009</w:t>
      </w:r>
    </w:p>
    <w:p>
      <w:pPr>
        <w:pStyle w:val="15"/>
        <w:widowControl/>
        <w:spacing w:beforeAutospacing="0" w:afterAutospacing="0" w:line="360" w:lineRule="auto"/>
        <w:ind w:firstLine="320"/>
        <w:rPr>
          <w:rFonts w:ascii="宋体" w:hAnsi="宋体" w:eastAsia="宋体" w:cs="宋体"/>
          <w:szCs w:val="24"/>
        </w:rPr>
      </w:pPr>
      <w:r>
        <w:rPr>
          <w:rFonts w:hint="eastAsia" w:ascii="宋体" w:hAnsi="宋体" w:eastAsia="宋体" w:cs="宋体"/>
          <w:szCs w:val="24"/>
        </w:rPr>
        <w:t>3.项目联系方式</w:t>
      </w:r>
    </w:p>
    <w:p>
      <w:pPr>
        <w:pStyle w:val="15"/>
        <w:widowControl/>
        <w:spacing w:beforeAutospacing="0" w:afterAutospacing="0" w:line="360" w:lineRule="auto"/>
        <w:ind w:firstLine="320"/>
        <w:rPr>
          <w:rFonts w:hint="eastAsia" w:ascii="宋体" w:hAnsi="宋体" w:eastAsia="宋体" w:cs="宋体"/>
          <w:szCs w:val="24"/>
          <w:lang w:eastAsia="zh-CN"/>
        </w:rPr>
      </w:pPr>
      <w:r>
        <w:rPr>
          <w:rFonts w:hint="eastAsia" w:ascii="宋体" w:hAnsi="宋体" w:eastAsia="宋体" w:cs="宋体"/>
          <w:szCs w:val="24"/>
        </w:rPr>
        <w:t>项目联系人：</w:t>
      </w:r>
      <w:r>
        <w:rPr>
          <w:rFonts w:hint="eastAsia" w:ascii="宋体" w:hAnsi="宋体" w:eastAsia="宋体" w:cs="宋体"/>
          <w:szCs w:val="24"/>
          <w:lang w:eastAsia="zh-CN"/>
        </w:rPr>
        <w:t>袁帅</w:t>
      </w:r>
    </w:p>
    <w:p>
      <w:pPr>
        <w:pStyle w:val="15"/>
        <w:widowControl/>
        <w:spacing w:beforeAutospacing="0" w:afterAutospacing="0" w:line="360" w:lineRule="auto"/>
        <w:ind w:firstLine="320"/>
        <w:rPr>
          <w:rFonts w:hint="eastAsia" w:ascii="宋体" w:hAnsi="宋体" w:eastAsia="宋体" w:cs="宋体"/>
          <w:szCs w:val="24"/>
          <w:lang w:eastAsia="zh-CN"/>
        </w:rPr>
      </w:pPr>
      <w:r>
        <w:rPr>
          <w:rFonts w:hint="eastAsia" w:ascii="宋体" w:hAnsi="宋体" w:eastAsia="宋体" w:cs="宋体"/>
          <w:szCs w:val="24"/>
        </w:rPr>
        <w:t>电　　 话：</w:t>
      </w:r>
      <w:r>
        <w:rPr>
          <w:rFonts w:hint="eastAsia" w:ascii="宋体" w:hAnsi="宋体" w:eastAsia="宋体" w:cs="宋体"/>
          <w:szCs w:val="24"/>
          <w:lang w:eastAsia="zh-CN"/>
        </w:rPr>
        <w:t>18064186009</w:t>
      </w:r>
    </w:p>
    <w:p>
      <w:pPr>
        <w:pStyle w:val="15"/>
        <w:widowControl/>
        <w:spacing w:beforeAutospacing="0" w:afterAutospacing="0" w:line="360" w:lineRule="auto"/>
        <w:ind w:firstLine="480"/>
      </w:pPr>
      <w:r>
        <w:rPr>
          <w:rFonts w:hint="eastAsia" w:ascii="宋体" w:hAnsi="宋体" w:eastAsia="宋体" w:cs="宋体"/>
          <w:szCs w:val="24"/>
          <w:shd w:val="clear" w:color="auto" w:fill="FFFFFF"/>
        </w:rPr>
        <w:t> </w:t>
      </w:r>
    </w:p>
    <w:p>
      <w:pPr>
        <w:pStyle w:val="15"/>
        <w:widowControl/>
        <w:spacing w:beforeAutospacing="0" w:afterAutospacing="0" w:line="360" w:lineRule="auto"/>
        <w:ind w:firstLine="480"/>
        <w:jc w:val="right"/>
        <w:rPr>
          <w:rFonts w:ascii="宋体" w:hAnsi="宋体" w:cs="宋体"/>
          <w:szCs w:val="24"/>
          <w:shd w:val="clear" w:color="auto" w:fill="FFFFFF"/>
        </w:rPr>
      </w:pPr>
      <w:r>
        <w:rPr>
          <w:rFonts w:hint="eastAsia" w:ascii="宋体" w:hAnsi="宋体" w:cs="宋体"/>
          <w:szCs w:val="24"/>
          <w:shd w:val="clear" w:color="auto" w:fill="FFFFFF"/>
        </w:rPr>
        <w:t>衡正国际工程咨询有限公司</w:t>
      </w:r>
    </w:p>
    <w:p>
      <w:pPr>
        <w:pStyle w:val="15"/>
        <w:widowControl/>
        <w:spacing w:beforeAutospacing="0" w:afterAutospacing="0" w:line="360" w:lineRule="auto"/>
        <w:ind w:firstLine="480"/>
        <w:jc w:val="right"/>
      </w:pPr>
      <w:r>
        <w:rPr>
          <w:rFonts w:hint="eastAsia" w:ascii="宋体" w:hAnsi="宋体" w:eastAsia="宋体" w:cs="宋体"/>
          <w:szCs w:val="24"/>
          <w:u w:val="single"/>
          <w:shd w:val="clear" w:color="auto" w:fill="FFFFFF"/>
        </w:rPr>
        <w:t>202</w:t>
      </w:r>
      <w:r>
        <w:rPr>
          <w:rFonts w:hint="eastAsia" w:ascii="宋体" w:hAnsi="宋体" w:eastAsia="宋体" w:cs="宋体"/>
          <w:szCs w:val="24"/>
          <w:u w:val="single"/>
          <w:shd w:val="clear" w:color="auto" w:fill="FFFFFF"/>
          <w:lang w:val="en-US" w:eastAsia="zh-CN"/>
        </w:rPr>
        <w:t>1</w:t>
      </w:r>
      <w:r>
        <w:rPr>
          <w:rFonts w:hint="eastAsia" w:ascii="宋体" w:hAnsi="宋体" w:eastAsia="宋体" w:cs="宋体"/>
          <w:szCs w:val="24"/>
          <w:shd w:val="clear" w:color="auto" w:fill="FFFFFF"/>
        </w:rPr>
        <w:t>年</w:t>
      </w:r>
      <w:r>
        <w:rPr>
          <w:rFonts w:hint="eastAsia" w:ascii="宋体" w:hAnsi="宋体" w:eastAsia="宋体" w:cs="宋体"/>
          <w:szCs w:val="24"/>
          <w:u w:val="single"/>
          <w:shd w:val="clear" w:color="auto" w:fill="FFFFFF"/>
        </w:rPr>
        <w:t xml:space="preserve">  </w:t>
      </w:r>
      <w:r>
        <w:rPr>
          <w:rFonts w:hint="eastAsia" w:ascii="宋体" w:hAnsi="宋体" w:eastAsia="宋体" w:cs="宋体"/>
          <w:szCs w:val="24"/>
          <w:u w:val="single"/>
          <w:shd w:val="clear" w:color="auto" w:fill="FFFFFF"/>
          <w:lang w:val="en-US" w:eastAsia="zh-CN"/>
        </w:rPr>
        <w:t>2</w:t>
      </w:r>
      <w:r>
        <w:rPr>
          <w:rFonts w:hint="eastAsia" w:ascii="宋体" w:hAnsi="宋体" w:eastAsia="宋体" w:cs="宋体"/>
          <w:szCs w:val="24"/>
          <w:u w:val="single"/>
          <w:shd w:val="clear" w:color="auto" w:fill="FFFFFF"/>
        </w:rPr>
        <w:t xml:space="preserve"> </w:t>
      </w:r>
      <w:r>
        <w:rPr>
          <w:rFonts w:hint="eastAsia" w:ascii="宋体" w:hAnsi="宋体" w:eastAsia="宋体" w:cs="宋体"/>
          <w:szCs w:val="24"/>
          <w:shd w:val="clear" w:color="auto" w:fill="FFFFFF"/>
        </w:rPr>
        <w:t>月</w:t>
      </w:r>
      <w:r>
        <w:rPr>
          <w:rFonts w:hint="eastAsia" w:ascii="宋体" w:hAnsi="宋体" w:cs="宋体"/>
          <w:szCs w:val="24"/>
          <w:u w:val="single"/>
          <w:shd w:val="clear" w:color="auto" w:fill="FFFFFF"/>
        </w:rPr>
        <w:t xml:space="preserve"> </w:t>
      </w:r>
      <w:r>
        <w:rPr>
          <w:rFonts w:hint="eastAsia" w:ascii="宋体" w:hAnsi="宋体" w:cs="宋体"/>
          <w:szCs w:val="24"/>
          <w:u w:val="single"/>
          <w:shd w:val="clear" w:color="auto" w:fill="FFFFFF"/>
          <w:lang w:val="en-US" w:eastAsia="zh-CN"/>
        </w:rPr>
        <w:t xml:space="preserve"> 3 </w:t>
      </w:r>
      <w:r>
        <w:rPr>
          <w:rFonts w:hint="eastAsia" w:ascii="宋体" w:hAnsi="宋体" w:cs="宋体"/>
          <w:szCs w:val="24"/>
          <w:u w:val="single"/>
          <w:shd w:val="clear" w:color="auto" w:fill="FFFFFF"/>
        </w:rPr>
        <w:t xml:space="preserve">  </w:t>
      </w:r>
      <w:r>
        <w:rPr>
          <w:rFonts w:hint="eastAsia" w:ascii="宋体" w:hAnsi="宋体" w:eastAsia="宋体" w:cs="宋体"/>
          <w:szCs w:val="24"/>
          <w:shd w:val="clear" w:color="auto" w:fill="FFFFFF"/>
        </w:rPr>
        <w:t>日</w:t>
      </w:r>
    </w:p>
    <w:p>
      <w:pPr>
        <w:spacing w:line="360" w:lineRule="auto"/>
        <w:ind w:firstLine="560" w:firstLineChars="200"/>
        <w:jc w:val="right"/>
        <w:rPr>
          <w:color w:val="000000" w:themeColor="text1"/>
          <w14:textFill>
            <w14:solidFill>
              <w14:schemeClr w14:val="tx1"/>
            </w14:solidFill>
          </w14:textFill>
        </w:rPr>
      </w:pPr>
      <w:r>
        <w:rPr>
          <w:rFonts w:hint="eastAsia" w:ascii="宋体" w:hAnsi="宋体" w:eastAsia="宋体" w:cs="Times New Roman"/>
          <w:b/>
          <w:color w:val="000000" w:themeColor="text1"/>
          <w:sz w:val="28"/>
          <w:szCs w:val="28"/>
          <w:lang w:val="zh-CN"/>
          <w14:textFill>
            <w14:solidFill>
              <w14:schemeClr w14:val="tx1"/>
            </w14:solidFill>
          </w14:textFill>
        </w:rPr>
        <w:br w:type="page"/>
      </w:r>
    </w:p>
    <w:p>
      <w:pPr>
        <w:pStyle w:val="4"/>
        <w:numPr>
          <w:ilvl w:val="0"/>
          <w:numId w:val="1"/>
        </w:numPr>
        <w:spacing w:before="240" w:after="120"/>
        <w:ind w:left="883" w:hanging="880" w:hangingChars="200"/>
        <w:jc w:val="center"/>
        <w:rPr>
          <w:rFonts w:ascii="黑体" w:hAnsi="黑体" w:eastAsia="黑体"/>
          <w:color w:val="000000" w:themeColor="text1"/>
          <w14:textFill>
            <w14:solidFill>
              <w14:schemeClr w14:val="tx1"/>
            </w14:solidFill>
          </w14:textFill>
        </w:rPr>
      </w:pPr>
      <w:bookmarkStart w:id="1" w:name="_Toc1742"/>
      <w:r>
        <w:rPr>
          <w:rFonts w:hint="eastAsia" w:ascii="黑体" w:hAnsi="黑体" w:eastAsia="黑体"/>
          <w:color w:val="000000" w:themeColor="text1"/>
          <w14:textFill>
            <w14:solidFill>
              <w14:schemeClr w14:val="tx1"/>
            </w14:solidFill>
          </w14:textFill>
        </w:rPr>
        <w:t>投标人须知</w:t>
      </w:r>
      <w:bookmarkEnd w:id="1"/>
    </w:p>
    <w:p>
      <w:pPr>
        <w:keepNext/>
        <w:keepLines/>
        <w:spacing w:line="360" w:lineRule="auto"/>
        <w:jc w:val="center"/>
        <w:outlineLvl w:val="1"/>
        <w:rPr>
          <w:rFonts w:cs="Times New Roman" w:asciiTheme="majorEastAsia" w:hAnsiTheme="majorEastAsia" w:eastAsiaTheme="majorEastAsia"/>
          <w:b/>
          <w:bCs/>
          <w:color w:val="000000" w:themeColor="text1"/>
          <w:sz w:val="32"/>
          <w:szCs w:val="32"/>
          <w:lang w:val="zh-CN"/>
          <w14:textFill>
            <w14:solidFill>
              <w14:schemeClr w14:val="tx1"/>
            </w14:solidFill>
          </w14:textFill>
        </w:rPr>
      </w:pPr>
      <w:bookmarkStart w:id="2" w:name="_Toc494561937"/>
      <w:bookmarkStart w:id="3" w:name="_Toc21841"/>
      <w:r>
        <w:rPr>
          <w:rFonts w:cs="Times New Roman" w:asciiTheme="majorEastAsia" w:hAnsiTheme="majorEastAsia" w:eastAsiaTheme="majorEastAsia"/>
          <w:b/>
          <w:bCs/>
          <w:color w:val="000000" w:themeColor="text1"/>
          <w:sz w:val="32"/>
          <w:szCs w:val="32"/>
          <w:lang w:val="zh-CN"/>
          <w14:textFill>
            <w14:solidFill>
              <w14:schemeClr w14:val="tx1"/>
            </w14:solidFill>
          </w14:textFill>
        </w:rPr>
        <w:t>投标须知前附表</w:t>
      </w:r>
      <w:bookmarkEnd w:id="2"/>
      <w:bookmarkEnd w:id="3"/>
    </w:p>
    <w:tbl>
      <w:tblPr>
        <w:tblStyle w:val="16"/>
        <w:tblW w:w="9354"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2208"/>
        <w:gridCol w:w="6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spacing w:line="276" w:lineRule="auto"/>
              <w:ind w:left="-52" w:leftChars="-25" w:right="-27" w:rightChars="-13"/>
              <w:jc w:val="center"/>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序号</w:t>
            </w:r>
          </w:p>
        </w:tc>
        <w:tc>
          <w:tcPr>
            <w:tcW w:w="2208"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宋体" w:eastAsia="宋体" w:cs="Times New Roman"/>
                <w:b/>
                <w:color w:val="000000" w:themeColor="text1"/>
                <w:sz w:val="24"/>
                <w:szCs w:val="24"/>
                <w14:textFill>
                  <w14:solidFill>
                    <w14:schemeClr w14:val="tx1"/>
                  </w14:solidFill>
                </w14:textFill>
              </w:rPr>
              <w:t>名  称</w:t>
            </w:r>
          </w:p>
        </w:tc>
        <w:tc>
          <w:tcPr>
            <w:tcW w:w="6470" w:type="dxa"/>
            <w:tcBorders>
              <w:top w:val="single" w:color="auto" w:sz="4" w:space="0"/>
              <w:left w:val="single" w:color="auto" w:sz="4" w:space="0"/>
              <w:bottom w:val="single" w:color="auto" w:sz="4" w:space="0"/>
            </w:tcBorders>
            <w:vAlign w:val="center"/>
          </w:tcPr>
          <w:p>
            <w:pPr>
              <w:spacing w:line="276" w:lineRule="auto"/>
              <w:ind w:left="57" w:right="57" w:firstLine="482" w:firstLineChars="201"/>
              <w:jc w:val="center"/>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宋体" w:eastAsia="宋体" w:cs="Times New Roman"/>
                <w:b/>
                <w:color w:val="000000" w:themeColor="text1"/>
                <w:sz w:val="24"/>
                <w:szCs w:val="24"/>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宋体" w:eastAsia="宋体" w:cs="Times New Roman"/>
                <w:color w:val="000000" w:themeColor="text1"/>
                <w:sz w:val="24"/>
                <w:szCs w:val="24"/>
                <w14:textFill>
                  <w14:solidFill>
                    <w14:schemeClr w14:val="tx1"/>
                  </w14:solidFill>
                </w14:textFill>
              </w:rPr>
              <w:t>项目编号</w:t>
            </w:r>
          </w:p>
        </w:tc>
        <w:tc>
          <w:tcPr>
            <w:tcW w:w="6470" w:type="dxa"/>
            <w:tcBorders>
              <w:top w:val="single" w:color="auto" w:sz="4" w:space="0"/>
              <w:left w:val="single" w:color="auto" w:sz="4" w:space="0"/>
              <w:bottom w:val="single" w:color="auto" w:sz="4" w:space="0"/>
            </w:tcBorders>
            <w:vAlign w:val="center"/>
          </w:tcPr>
          <w:p>
            <w:pP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kern w:val="0"/>
                <w:sz w:val="24"/>
                <w:szCs w:val="24"/>
                <w:u w:val="single"/>
                <w14:textFill>
                  <w14:solidFill>
                    <w14:schemeClr w14:val="tx1"/>
                  </w14:solidFill>
                </w14:textFill>
              </w:rPr>
              <w:t>131-202</w:t>
            </w:r>
            <w:r>
              <w:rPr>
                <w:rFonts w:hint="eastAsia" w:ascii="宋体" w:hAnsi="宋体" w:eastAsia="宋体" w:cs="宋体"/>
                <w:b/>
                <w:bCs/>
                <w:color w:val="000000" w:themeColor="text1"/>
                <w:kern w:val="0"/>
                <w:sz w:val="24"/>
                <w:szCs w:val="24"/>
                <w:u w:val="single"/>
                <w:lang w:val="en-US" w:eastAsia="zh-CN"/>
                <w14:textFill>
                  <w14:solidFill>
                    <w14:schemeClr w14:val="tx1"/>
                  </w14:solidFill>
                </w14:textFill>
              </w:rPr>
              <w:t>1</w:t>
            </w:r>
            <w:r>
              <w:rPr>
                <w:rFonts w:hint="eastAsia" w:ascii="宋体" w:hAnsi="宋体" w:eastAsia="宋体" w:cs="宋体"/>
                <w:b/>
                <w:bCs/>
                <w:color w:val="000000" w:themeColor="text1"/>
                <w:kern w:val="0"/>
                <w:sz w:val="24"/>
                <w:szCs w:val="24"/>
                <w:u w:val="single"/>
                <w14:textFill>
                  <w14:solidFill>
                    <w14:schemeClr w14:val="tx1"/>
                  </w14:solidFill>
                </w14:textFill>
              </w:rPr>
              <w:t>CG-</w:t>
            </w:r>
            <w:r>
              <w:rPr>
                <w:rFonts w:hint="eastAsia" w:ascii="宋体" w:hAnsi="宋体" w:eastAsia="宋体" w:cs="宋体"/>
                <w:b/>
                <w:bCs/>
                <w:color w:val="000000" w:themeColor="text1"/>
                <w:kern w:val="0"/>
                <w:sz w:val="24"/>
                <w:szCs w:val="24"/>
                <w:u w:val="single"/>
                <w:lang w:val="en-US" w:eastAsia="zh-CN"/>
                <w14:textFill>
                  <w14:solidFill>
                    <w14:schemeClr w14:val="tx1"/>
                  </w14:solidFill>
                </w14:textFill>
              </w:rPr>
              <w:t xml:space="preserve">20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00000" w:themeColor="text1"/>
                <w:sz w:val="24"/>
                <w:szCs w:val="24"/>
                <w14:textFill>
                  <w14:solidFill>
                    <w14:schemeClr w14:val="tx1"/>
                  </w14:solidFill>
                </w14:textFill>
              </w:rPr>
            </w:pPr>
            <w:r>
              <w:rPr>
                <w:rFonts w:ascii="Times New Roman" w:hAnsi="宋体" w:eastAsia="宋体" w:cs="Times New Roman"/>
                <w:color w:val="000000" w:themeColor="text1"/>
                <w:sz w:val="24"/>
                <w:szCs w:val="24"/>
                <w14:textFill>
                  <w14:solidFill>
                    <w14:schemeClr w14:val="tx1"/>
                  </w14:solidFill>
                </w14:textFill>
              </w:rPr>
              <w:t>项目名称</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u w:val="single"/>
                <w:lang w:eastAsia="zh-CN"/>
                <w14:textFill>
                  <w14:solidFill>
                    <w14:schemeClr w14:val="tx1"/>
                  </w14:solidFill>
                </w14:textFill>
              </w:rPr>
              <w:t>阳新县长江禁捕监控设备采购项目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00000" w:themeColor="text1"/>
                <w:sz w:val="24"/>
                <w:szCs w:val="24"/>
                <w14:textFill>
                  <w14:solidFill>
                    <w14:schemeClr w14:val="tx1"/>
                  </w14:solidFill>
                </w14:textFill>
              </w:rPr>
            </w:pPr>
            <w:r>
              <w:rPr>
                <w:rFonts w:hint="eastAsia" w:ascii="Times New Roman" w:hAnsi="宋体" w:eastAsia="宋体" w:cs="Times New Roman"/>
                <w:color w:val="000000" w:themeColor="text1"/>
                <w:sz w:val="24"/>
                <w:szCs w:val="24"/>
                <w14:textFill>
                  <w14:solidFill>
                    <w14:schemeClr w14:val="tx1"/>
                  </w14:solidFill>
                </w14:textFill>
              </w:rPr>
              <w:t>项目属性</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货物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00000" w:themeColor="text1"/>
                <w:sz w:val="24"/>
                <w:szCs w:val="24"/>
                <w14:textFill>
                  <w14:solidFill>
                    <w14:schemeClr w14:val="tx1"/>
                  </w14:solidFill>
                </w14:textFill>
              </w:rPr>
            </w:pPr>
            <w:r>
              <w:rPr>
                <w:rFonts w:ascii="Times New Roman" w:hAnsi="宋体" w:eastAsia="宋体" w:cs="Times New Roman"/>
                <w:color w:val="000000" w:themeColor="text1"/>
                <w:sz w:val="24"/>
                <w:szCs w:val="24"/>
                <w14:textFill>
                  <w14:solidFill>
                    <w14:schemeClr w14:val="tx1"/>
                  </w14:solidFill>
                </w14:textFill>
              </w:rPr>
              <w:t>采购人</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b/>
                <w:bCs/>
                <w:color w:val="000000" w:themeColor="text1"/>
                <w:kern w:val="0"/>
                <w:sz w:val="24"/>
                <w:szCs w:val="24"/>
                <w:u w:val="single"/>
                <w:lang w:eastAsia="zh-CN"/>
                <w14:textFill>
                  <w14:solidFill>
                    <w14:schemeClr w14:val="tx1"/>
                  </w14:solidFill>
                </w14:textFill>
              </w:rPr>
              <w:t>阳新县农业农村局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00000" w:themeColor="text1"/>
                <w:sz w:val="24"/>
                <w:szCs w:val="24"/>
                <w14:textFill>
                  <w14:solidFill>
                    <w14:schemeClr w14:val="tx1"/>
                  </w14:solidFill>
                </w14:textFill>
              </w:rPr>
            </w:pPr>
            <w:r>
              <w:rPr>
                <w:rFonts w:ascii="Times New Roman" w:hAnsi="宋体" w:eastAsia="宋体" w:cs="Times New Roman"/>
                <w:color w:val="000000" w:themeColor="text1"/>
                <w:sz w:val="24"/>
                <w:szCs w:val="24"/>
                <w14:textFill>
                  <w14:solidFill>
                    <w14:schemeClr w14:val="tx1"/>
                  </w14:solidFill>
                </w14:textFill>
              </w:rPr>
              <w:t>投标保证金</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00000" w:themeColor="text1"/>
                <w:sz w:val="24"/>
                <w:szCs w:val="24"/>
                <w14:textFill>
                  <w14:solidFill>
                    <w14:schemeClr w14:val="tx1"/>
                  </w14:solidFill>
                </w14:textFill>
              </w:rPr>
            </w:pPr>
            <w:r>
              <w:rPr>
                <w:rFonts w:ascii="Times New Roman" w:hAnsi="宋体" w:eastAsia="宋体" w:cs="Times New Roman"/>
                <w:color w:val="000000" w:themeColor="text1"/>
                <w:sz w:val="24"/>
                <w:szCs w:val="24"/>
                <w14:textFill>
                  <w14:solidFill>
                    <w14:schemeClr w14:val="tx1"/>
                  </w14:solidFill>
                </w14:textFill>
              </w:rPr>
              <w:t>保证金</w:t>
            </w:r>
            <w:r>
              <w:rPr>
                <w:rFonts w:hint="eastAsia" w:ascii="Times New Roman" w:hAnsi="宋体" w:eastAsia="宋体" w:cs="Times New Roman"/>
                <w:color w:val="000000" w:themeColor="text1"/>
                <w:sz w:val="24"/>
                <w:szCs w:val="24"/>
                <w14:textFill>
                  <w14:solidFill>
                    <w14:schemeClr w14:val="tx1"/>
                  </w14:solidFill>
                </w14:textFill>
              </w:rPr>
              <w:t>账户信息</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宋体" w:eastAsia="宋体" w:cs="Times New Roman"/>
                <w:color w:val="000000" w:themeColor="text1"/>
                <w:sz w:val="24"/>
                <w:szCs w:val="24"/>
                <w14:textFill>
                  <w14:solidFill>
                    <w14:schemeClr w14:val="tx1"/>
                  </w14:solidFill>
                </w14:textFill>
              </w:rPr>
              <w:t>投标文件份数</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正本</w:t>
            </w:r>
            <w:r>
              <w:rPr>
                <w:rFonts w:hint="eastAsia" w:ascii="Times New Roman" w:hAnsi="Times New Roman" w:eastAsia="宋体" w:cs="Times New Roman"/>
                <w:color w:val="000000" w:themeColor="text1"/>
                <w:sz w:val="24"/>
                <w:szCs w:val="24"/>
                <w14:textFill>
                  <w14:solidFill>
                    <w14:schemeClr w14:val="tx1"/>
                  </w14:solidFill>
                </w14:textFill>
              </w:rPr>
              <w:t>一</w:t>
            </w:r>
            <w:r>
              <w:rPr>
                <w:rFonts w:ascii="Times New Roman" w:hAnsi="Times New Roman" w:eastAsia="宋体" w:cs="Times New Roman"/>
                <w:color w:val="000000" w:themeColor="text1"/>
                <w:sz w:val="24"/>
                <w:szCs w:val="24"/>
                <w14:textFill>
                  <w14:solidFill>
                    <w14:schemeClr w14:val="tx1"/>
                  </w14:solidFill>
                </w14:textFill>
              </w:rPr>
              <w:t>份</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副本</w:t>
            </w:r>
            <w:r>
              <w:rPr>
                <w:rFonts w:hint="eastAsia" w:ascii="Times New Roman" w:hAnsi="Times New Roman" w:eastAsia="宋体" w:cs="Times New Roman"/>
                <w:color w:val="000000" w:themeColor="text1"/>
                <w:sz w:val="24"/>
                <w:szCs w:val="24"/>
                <w14:textFill>
                  <w14:solidFill>
                    <w14:schemeClr w14:val="tx1"/>
                  </w14:solidFill>
                </w14:textFill>
              </w:rPr>
              <w:t>四</w:t>
            </w:r>
            <w:r>
              <w:rPr>
                <w:rFonts w:ascii="Times New Roman" w:hAnsi="Times New Roman" w:eastAsia="宋体" w:cs="Times New Roman"/>
                <w:color w:val="000000" w:themeColor="text1"/>
                <w:sz w:val="24"/>
                <w:szCs w:val="24"/>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宋体" w:eastAsia="宋体" w:cs="Times New Roman"/>
                <w:color w:val="000000" w:themeColor="text1"/>
                <w:sz w:val="24"/>
                <w:szCs w:val="24"/>
                <w14:textFill>
                  <w14:solidFill>
                    <w14:schemeClr w14:val="tx1"/>
                  </w14:solidFill>
                </w14:textFill>
              </w:rPr>
              <w:t>投标有效期</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提交投标文件截止之日起90日历日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00000" w:themeColor="text1"/>
                <w:sz w:val="24"/>
                <w:szCs w:val="24"/>
                <w14:textFill>
                  <w14:solidFill>
                    <w14:schemeClr w14:val="tx1"/>
                  </w14:solidFill>
                </w14:textFill>
              </w:rPr>
            </w:pPr>
            <w:r>
              <w:rPr>
                <w:rFonts w:hint="eastAsia" w:ascii="Times New Roman" w:hAnsi="宋体" w:eastAsia="宋体" w:cs="Times New Roman"/>
                <w:color w:val="000000" w:themeColor="text1"/>
                <w:sz w:val="24"/>
                <w:szCs w:val="24"/>
                <w14:textFill>
                  <w14:solidFill>
                    <w14:schemeClr w14:val="tx1"/>
                  </w14:solidFill>
                </w14:textFill>
              </w:rPr>
              <w:t>资格预审</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00000" w:themeColor="text1"/>
                <w:sz w:val="24"/>
                <w:szCs w:val="24"/>
                <w:highlight w:val="yellow"/>
                <w14:textFill>
                  <w14:solidFill>
                    <w14:schemeClr w14:val="tx1"/>
                  </w14:solidFill>
                </w14:textFill>
              </w:rPr>
            </w:pPr>
            <w:r>
              <w:rPr>
                <w:rFonts w:hint="eastAsia" w:ascii="Times New Roman" w:hAnsi="Times New Roman" w:eastAsia="宋体" w:cs="Times New Roman"/>
                <w:color w:val="000000" w:themeColor="text1"/>
                <w:sz w:val="24"/>
                <w:szCs w:val="24"/>
                <w:highlight w:val="yellow"/>
                <w14:textFill>
                  <w14:solidFill>
                    <w14:schemeClr w14:val="tx1"/>
                  </w14:solidFill>
                </w14:textFill>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宋体" w:eastAsia="宋体" w:cs="Times New Roman"/>
                <w:color w:val="000000" w:themeColor="text1"/>
                <w:sz w:val="24"/>
                <w:szCs w:val="24"/>
                <w14:textFill>
                  <w14:solidFill>
                    <w14:schemeClr w14:val="tx1"/>
                  </w14:solidFill>
                </w14:textFill>
              </w:rPr>
              <w:t>投标文件递交时间</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宋体" w:eastAsia="宋体" w:cs="Times New Roman"/>
                <w:color w:val="000000" w:themeColor="text1"/>
                <w:sz w:val="24"/>
                <w:szCs w:val="24"/>
                <w14:textFill>
                  <w14:solidFill>
                    <w14:schemeClr w14:val="tx1"/>
                  </w14:solidFill>
                </w14:textFill>
              </w:rPr>
              <w:t>开标时间</w:t>
            </w:r>
            <w:r>
              <w:rPr>
                <w:rFonts w:hint="eastAsia" w:ascii="Times New Roman" w:hAnsi="宋体" w:eastAsia="宋体" w:cs="Times New Roman"/>
                <w:color w:val="000000" w:themeColor="text1"/>
                <w:sz w:val="24"/>
                <w:szCs w:val="24"/>
                <w14:textFill>
                  <w14:solidFill>
                    <w14:schemeClr w14:val="tx1"/>
                  </w14:solidFill>
                </w14:textFill>
              </w:rPr>
              <w:t>、地点</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00000" w:themeColor="text1"/>
                <w:sz w:val="24"/>
                <w:szCs w:val="24"/>
                <w14:textFill>
                  <w14:solidFill>
                    <w14:schemeClr w14:val="tx1"/>
                  </w14:solidFill>
                </w14:textFill>
              </w:rPr>
            </w:pPr>
            <w:r>
              <w:rPr>
                <w:rFonts w:hint="eastAsia" w:ascii="Times New Roman" w:hAnsi="宋体" w:eastAsia="宋体" w:cs="Times New Roman"/>
                <w:color w:val="000000" w:themeColor="text1"/>
                <w:sz w:val="24"/>
                <w:szCs w:val="24"/>
                <w14:textFill>
                  <w14:solidFill>
                    <w14:schemeClr w14:val="tx1"/>
                  </w14:solidFill>
                </w14:textFill>
              </w:rPr>
              <w:t>备选方案</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不允许</w:t>
            </w:r>
          </w:p>
          <w:p>
            <w:pP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详见第三章“</w:t>
            </w:r>
            <w:r>
              <w:rPr>
                <w:rFonts w:hint="eastAsia" w:ascii="宋体" w:hAnsi="宋体" w:eastAsia="宋体" w:cs="Times New Roman"/>
                <w:color w:val="000000" w:themeColor="text1"/>
                <w:sz w:val="24"/>
                <w:szCs w:val="24"/>
                <w14:textFill>
                  <w14:solidFill>
                    <w14:schemeClr w14:val="tx1"/>
                  </w14:solidFill>
                </w14:textFill>
              </w:rPr>
              <w:t>项目技术、服务及商务要求</w:t>
            </w:r>
            <w:r>
              <w:rPr>
                <w:rFonts w:hint="eastAsia" w:ascii="Times New Roman" w:hAnsi="Times New Roman" w:eastAsia="宋体" w:cs="Times New Roman"/>
                <w:color w:val="000000" w:themeColor="text1"/>
                <w:sz w:val="24"/>
                <w:szCs w:val="24"/>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宋体" w:eastAsia="宋体" w:cs="Times New Roman"/>
                <w:color w:val="000000" w:themeColor="text1"/>
                <w:sz w:val="24"/>
                <w:szCs w:val="24"/>
                <w14:textFill>
                  <w14:solidFill>
                    <w14:schemeClr w14:val="tx1"/>
                  </w14:solidFill>
                </w14:textFill>
              </w:rPr>
              <w:t>实物样品</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highlight w:val="yellow"/>
                <w:lang w:eastAsia="zh-CN"/>
                <w14:textFill>
                  <w14:solidFill>
                    <w14:schemeClr w14:val="tx1"/>
                  </w14:solidFill>
                </w14:textFill>
              </w:rPr>
              <w:t>不</w:t>
            </w:r>
            <w:r>
              <w:rPr>
                <w:rFonts w:hint="eastAsia" w:ascii="Times New Roman" w:hAnsi="Times New Roman" w:eastAsia="宋体" w:cs="Times New Roman"/>
                <w:color w:val="000000" w:themeColor="text1"/>
                <w:sz w:val="24"/>
                <w:szCs w:val="24"/>
                <w:highlight w:val="yellow"/>
                <w14:textFill>
                  <w14:solidFill>
                    <w14:schemeClr w14:val="tx1"/>
                  </w14:solidFill>
                </w14:textFill>
              </w:rPr>
              <w:t>提交</w:t>
            </w:r>
          </w:p>
          <w:p>
            <w:pP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详见第三章“</w:t>
            </w:r>
            <w:r>
              <w:rPr>
                <w:rFonts w:hint="eastAsia" w:ascii="宋体" w:hAnsi="宋体" w:eastAsia="宋体" w:cs="Times New Roman"/>
                <w:color w:val="000000" w:themeColor="text1"/>
                <w:sz w:val="24"/>
                <w:szCs w:val="24"/>
                <w14:textFill>
                  <w14:solidFill>
                    <w14:schemeClr w14:val="tx1"/>
                  </w14:solidFill>
                </w14:textFill>
              </w:rPr>
              <w:t>项目技术、服务及商务要求</w:t>
            </w:r>
            <w:r>
              <w:rPr>
                <w:rFonts w:hint="eastAsia" w:ascii="Times New Roman" w:hAnsi="Times New Roman" w:eastAsia="宋体" w:cs="Times New Roman"/>
                <w:color w:val="000000" w:themeColor="text1"/>
                <w:sz w:val="24"/>
                <w:szCs w:val="24"/>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现场考察</w:t>
            </w:r>
          </w:p>
        </w:tc>
        <w:tc>
          <w:tcPr>
            <w:tcW w:w="6470" w:type="dxa"/>
            <w:tcBorders>
              <w:top w:val="single" w:color="auto" w:sz="4" w:space="0"/>
              <w:left w:val="single" w:color="auto" w:sz="4" w:space="0"/>
              <w:bottom w:val="single" w:color="auto" w:sz="4" w:space="0"/>
            </w:tcBorders>
            <w:vAlign w:val="center"/>
          </w:tcPr>
          <w:p>
            <w:pPr>
              <w:ind w:right="-105" w:rightChars="-5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highlight w:val="yellow"/>
                <w14:textFill>
                  <w14:solidFill>
                    <w14:schemeClr w14:val="tx1"/>
                  </w14:solidFill>
                </w14:textFill>
              </w:rPr>
              <w:t>不组织</w:t>
            </w:r>
          </w:p>
          <w:p>
            <w:pPr>
              <w:ind w:right="-105" w:rightChars="-5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详见第三章“</w:t>
            </w:r>
            <w:r>
              <w:rPr>
                <w:rFonts w:hint="eastAsia" w:ascii="宋体" w:hAnsi="宋体" w:eastAsia="宋体" w:cs="Times New Roman"/>
                <w:color w:val="000000" w:themeColor="text1"/>
                <w:sz w:val="24"/>
                <w:szCs w:val="24"/>
                <w14:textFill>
                  <w14:solidFill>
                    <w14:schemeClr w14:val="tx1"/>
                  </w14:solidFill>
                </w14:textFill>
              </w:rPr>
              <w:t>项目技术、服务及商务要求</w:t>
            </w:r>
            <w:r>
              <w:rPr>
                <w:rFonts w:hint="eastAsia" w:ascii="Times New Roman" w:hAnsi="Times New Roman" w:eastAsia="宋体" w:cs="Times New Roman"/>
                <w:color w:val="000000" w:themeColor="text1"/>
                <w:sz w:val="24"/>
                <w:szCs w:val="24"/>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00000" w:themeColor="text1"/>
                <w:sz w:val="24"/>
                <w:szCs w:val="24"/>
                <w14:textFill>
                  <w14:solidFill>
                    <w14:schemeClr w14:val="tx1"/>
                  </w14:solidFill>
                </w14:textFill>
              </w:rPr>
            </w:pPr>
            <w:r>
              <w:rPr>
                <w:rFonts w:hint="eastAsia" w:ascii="Times New Roman" w:hAnsi="宋体" w:eastAsia="宋体" w:cs="Times New Roman"/>
                <w:color w:val="000000" w:themeColor="text1"/>
                <w:sz w:val="24"/>
                <w:szCs w:val="24"/>
                <w14:textFill>
                  <w14:solidFill>
                    <w14:schemeClr w14:val="tx1"/>
                  </w14:solidFill>
                </w14:textFill>
              </w:rPr>
              <w:t>中标后分包</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不允许</w:t>
            </w:r>
          </w:p>
          <w:p>
            <w:pPr>
              <w:rPr>
                <w:rFonts w:ascii="Times New Roman" w:hAnsi="Times New Roman" w:eastAsia="宋体" w:cs="Times New Roman"/>
                <w:color w:val="000000" w:themeColor="text1"/>
                <w:sz w:val="24"/>
                <w:szCs w:val="24"/>
                <w:highlight w:val="yellow"/>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详见第三章“</w:t>
            </w:r>
            <w:r>
              <w:rPr>
                <w:rFonts w:hint="eastAsia" w:ascii="宋体" w:hAnsi="宋体" w:eastAsia="宋体" w:cs="Times New Roman"/>
                <w:color w:val="000000" w:themeColor="text1"/>
                <w:sz w:val="24"/>
                <w:szCs w:val="24"/>
                <w14:textFill>
                  <w14:solidFill>
                    <w14:schemeClr w14:val="tx1"/>
                  </w14:solidFill>
                </w14:textFill>
              </w:rPr>
              <w:t>项目技术、服务及商务要求</w:t>
            </w:r>
            <w:r>
              <w:rPr>
                <w:rFonts w:hint="eastAsia" w:ascii="Times New Roman" w:hAnsi="Times New Roman" w:eastAsia="宋体" w:cs="Times New Roman"/>
                <w:color w:val="000000" w:themeColor="text1"/>
                <w:sz w:val="24"/>
                <w:szCs w:val="24"/>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00000" w:themeColor="text1"/>
                <w:sz w:val="24"/>
                <w:szCs w:val="24"/>
                <w14:textFill>
                  <w14:solidFill>
                    <w14:schemeClr w14:val="tx1"/>
                  </w14:solidFill>
                </w14:textFill>
              </w:rPr>
            </w:pPr>
            <w:r>
              <w:rPr>
                <w:rFonts w:ascii="Times New Roman" w:hAnsi="宋体" w:eastAsia="宋体" w:cs="Times New Roman"/>
                <w:color w:val="000000" w:themeColor="text1"/>
                <w:sz w:val="24"/>
                <w:szCs w:val="24"/>
                <w14:textFill>
                  <w14:solidFill>
                    <w14:schemeClr w14:val="tx1"/>
                  </w14:solidFill>
                </w14:textFill>
              </w:rPr>
              <w:t>评标办法</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综合评分法</w:t>
            </w:r>
          </w:p>
          <w:p>
            <w:pPr>
              <w:rPr>
                <w:rFonts w:ascii="Times New Roman" w:hAnsi="Times New Roman" w:eastAsia="宋体" w:cs="Times New Roman"/>
                <w:color w:val="000000" w:themeColor="text1"/>
                <w:sz w:val="24"/>
                <w:szCs w:val="24"/>
                <w:lang w:val="zh-CN"/>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00000" w:themeColor="text1"/>
                <w:sz w:val="24"/>
                <w:szCs w:val="24"/>
                <w14:textFill>
                  <w14:solidFill>
                    <w14:schemeClr w14:val="tx1"/>
                  </w14:solidFill>
                </w14:textFill>
              </w:rPr>
            </w:pPr>
            <w:r>
              <w:rPr>
                <w:rFonts w:hint="eastAsia" w:ascii="Times New Roman" w:hAnsi="宋体" w:eastAsia="宋体" w:cs="Times New Roman"/>
                <w:color w:val="000000" w:themeColor="text1"/>
                <w:sz w:val="24"/>
                <w:szCs w:val="24"/>
                <w14:textFill>
                  <w14:solidFill>
                    <w14:schemeClr w14:val="tx1"/>
                  </w14:solidFill>
                </w14:textFill>
              </w:rPr>
              <w:t>中小企业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00000" w:themeColor="text1"/>
                <w:sz w:val="24"/>
                <w:szCs w:val="24"/>
                <w14:textFill>
                  <w14:solidFill>
                    <w14:schemeClr w14:val="tx1"/>
                  </w14:solidFill>
                </w14:textFill>
              </w:rPr>
            </w:pPr>
            <w:r>
              <w:rPr>
                <w:rFonts w:hint="eastAsia" w:ascii="Times New Roman" w:hAnsi="宋体" w:eastAsia="宋体" w:cs="Times New Roman"/>
                <w:color w:val="000000" w:themeColor="text1"/>
                <w:sz w:val="24"/>
                <w:szCs w:val="24"/>
                <w14:textFill>
                  <w14:solidFill>
                    <w14:schemeClr w14:val="tx1"/>
                  </w14:solidFill>
                </w14:textFill>
              </w:rPr>
              <w:t>监狱企业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00000" w:themeColor="text1"/>
                <w:sz w:val="24"/>
                <w:szCs w:val="24"/>
                <w14:textFill>
                  <w14:solidFill>
                    <w14:schemeClr w14:val="tx1"/>
                  </w14:solidFill>
                </w14:textFill>
              </w:rPr>
            </w:pPr>
            <w:r>
              <w:rPr>
                <w:rFonts w:hint="eastAsia" w:ascii="Times New Roman" w:hAnsi="宋体" w:eastAsia="宋体" w:cs="Times New Roman"/>
                <w:color w:val="000000" w:themeColor="text1"/>
                <w:sz w:val="24"/>
                <w:szCs w:val="24"/>
                <w14:textFill>
                  <w14:solidFill>
                    <w14:schemeClr w14:val="tx1"/>
                  </w14:solidFill>
                </w14:textFill>
              </w:rPr>
              <w:t>质疑及提交</w:t>
            </w:r>
          </w:p>
        </w:tc>
        <w:tc>
          <w:tcPr>
            <w:tcW w:w="6470" w:type="dxa"/>
            <w:tcBorders>
              <w:top w:val="single" w:color="auto" w:sz="4" w:space="0"/>
              <w:left w:val="single" w:color="auto" w:sz="4" w:space="0"/>
              <w:bottom w:val="single" w:color="auto" w:sz="4" w:space="0"/>
            </w:tcBorders>
            <w:vAlign w:val="center"/>
          </w:tcPr>
          <w:p>
            <w:pP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详见本章“质疑及提交”要求</w:t>
            </w:r>
          </w:p>
        </w:tc>
      </w:tr>
    </w:tbl>
    <w:p>
      <w:pPr>
        <w:keepNext/>
        <w:keepLines/>
        <w:spacing w:before="100" w:beforeAutospacing="1" w:after="100" w:afterAutospacing="1" w:line="360" w:lineRule="auto"/>
        <w:outlineLvl w:val="1"/>
        <w:rPr>
          <w:rFonts w:ascii="黑体" w:hAnsi="黑体" w:eastAsia="黑体" w:cs="Times New Roman"/>
          <w:b/>
          <w:bCs/>
          <w:color w:val="000000" w:themeColor="text1"/>
          <w:sz w:val="32"/>
          <w:szCs w:val="32"/>
          <w:lang w:val="zh-CN"/>
          <w14:textFill>
            <w14:solidFill>
              <w14:schemeClr w14:val="tx1"/>
            </w14:solidFill>
          </w14:textFill>
        </w:rPr>
      </w:pPr>
      <w:bookmarkStart w:id="4" w:name="_Toc494561938"/>
      <w:r>
        <w:rPr>
          <w:rFonts w:ascii="黑体" w:hAnsi="黑体" w:eastAsia="黑体" w:cs="Times New Roman"/>
          <w:b/>
          <w:bCs/>
          <w:color w:val="000000" w:themeColor="text1"/>
          <w:sz w:val="32"/>
          <w:szCs w:val="32"/>
          <w:lang w:val="zh-CN"/>
          <w14:textFill>
            <w14:solidFill>
              <w14:schemeClr w14:val="tx1"/>
            </w14:solidFill>
          </w14:textFill>
        </w:rPr>
        <w:br w:type="page"/>
      </w:r>
    </w:p>
    <w:p>
      <w:pPr>
        <w:pStyle w:val="5"/>
        <w:numPr>
          <w:ilvl w:val="0"/>
          <w:numId w:val="4"/>
        </w:numPr>
        <w:spacing w:before="40" w:after="40" w:line="360" w:lineRule="auto"/>
        <w:ind w:left="658" w:hanging="658"/>
        <w:jc w:val="left"/>
        <w:rPr>
          <w:rFonts w:cs="Times New Roman" w:asciiTheme="majorEastAsia" w:hAnsiTheme="majorEastAsia"/>
          <w:bCs w:val="0"/>
          <w:color w:val="000000" w:themeColor="text1"/>
          <w:lang w:val="zh-CN"/>
          <w14:textFill>
            <w14:solidFill>
              <w14:schemeClr w14:val="tx1"/>
            </w14:solidFill>
          </w14:textFill>
        </w:rPr>
      </w:pPr>
      <w:bookmarkStart w:id="5" w:name="_Toc10818"/>
      <w:r>
        <w:rPr>
          <w:rFonts w:hint="eastAsia" w:cs="Times New Roman" w:asciiTheme="majorEastAsia" w:hAnsiTheme="majorEastAsia"/>
          <w:bCs w:val="0"/>
          <w:color w:val="000000" w:themeColor="text1"/>
          <w:lang w:val="zh-CN"/>
          <w14:textFill>
            <w14:solidFill>
              <w14:schemeClr w14:val="tx1"/>
            </w14:solidFill>
          </w14:textFill>
        </w:rPr>
        <w:t>说  明</w:t>
      </w:r>
      <w:bookmarkEnd w:id="4"/>
      <w:bookmarkEnd w:id="5"/>
    </w:p>
    <w:p>
      <w:pPr>
        <w:numPr>
          <w:ilvl w:val="0"/>
          <w:numId w:val="5"/>
        </w:numPr>
        <w:spacing w:line="360" w:lineRule="auto"/>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适用范围</w:t>
      </w:r>
    </w:p>
    <w:p>
      <w:pPr>
        <w:spacing w:line="360" w:lineRule="auto"/>
        <w:ind w:firstLine="480" w:firstLineChars="200"/>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招标文件仅适用于第一章“投标邀请书”中所述项目的货物、工程及服务的采购。</w:t>
      </w:r>
    </w:p>
    <w:p>
      <w:pPr>
        <w:numPr>
          <w:ilvl w:val="0"/>
          <w:numId w:val="5"/>
        </w:numPr>
        <w:spacing w:line="360" w:lineRule="auto"/>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当事人定义</w:t>
      </w:r>
    </w:p>
    <w:p>
      <w:pPr>
        <w:numPr>
          <w:ilvl w:val="0"/>
          <w:numId w:val="6"/>
        </w:numPr>
        <w:spacing w:line="360" w:lineRule="auto"/>
        <w:ind w:left="476" w:hanging="47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“采购人”是指：</w:t>
      </w:r>
      <w:r>
        <w:rPr>
          <w:rFonts w:hint="eastAsia" w:cs="Times New Roman" w:asciiTheme="minorEastAsia" w:hAnsiTheme="minorEastAsia"/>
          <w:color w:val="000000" w:themeColor="text1"/>
          <w:sz w:val="24"/>
          <w:szCs w:val="24"/>
          <w:lang w:val="zh-CN"/>
          <w14:textFill>
            <w14:solidFill>
              <w14:schemeClr w14:val="tx1"/>
            </w14:solidFill>
          </w14:textFill>
        </w:rPr>
        <w:t>详见第一章“投标邀请书”。</w:t>
      </w:r>
    </w:p>
    <w:p>
      <w:pPr>
        <w:numPr>
          <w:ilvl w:val="0"/>
          <w:numId w:val="6"/>
        </w:numPr>
        <w:spacing w:line="360" w:lineRule="auto"/>
        <w:ind w:left="476" w:hanging="47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“监管部门”是指：</w:t>
      </w:r>
      <w:r>
        <w:rPr>
          <w:rFonts w:hint="eastAsia" w:cs="Times New Roman" w:asciiTheme="minorEastAsia" w:hAnsiTheme="minorEastAsia"/>
          <w:color w:val="000000" w:themeColor="text1"/>
          <w:sz w:val="24"/>
          <w:szCs w:val="24"/>
          <w:lang w:val="zh-CN"/>
          <w14:textFill>
            <w14:solidFill>
              <w14:schemeClr w14:val="tx1"/>
            </w14:solidFill>
          </w14:textFill>
        </w:rPr>
        <w:t>阳新县政府采购办公室、阳新县公共资源交易监督管理局。</w:t>
      </w:r>
    </w:p>
    <w:p>
      <w:pPr>
        <w:numPr>
          <w:ilvl w:val="0"/>
          <w:numId w:val="6"/>
        </w:numPr>
        <w:spacing w:line="360" w:lineRule="auto"/>
        <w:ind w:left="476" w:hanging="47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“采购机构”是指：</w:t>
      </w:r>
      <w:r>
        <w:rPr>
          <w:rFonts w:hint="eastAsia" w:ascii="宋体" w:hAnsi="宋体" w:cs="宋体"/>
          <w:color w:val="000000" w:themeColor="text1"/>
          <w:kern w:val="0"/>
          <w:sz w:val="24"/>
          <w:szCs w:val="24"/>
          <w:u w:val="single"/>
          <w14:textFill>
            <w14:solidFill>
              <w14:schemeClr w14:val="tx1"/>
            </w14:solidFill>
          </w14:textFill>
        </w:rPr>
        <w:t>衡正国际工程咨询有限公司</w:t>
      </w:r>
      <w:r>
        <w:rPr>
          <w:rFonts w:hint="eastAsia" w:cs="Times New Roman" w:asciiTheme="minorEastAsia" w:hAnsiTheme="minorEastAsia"/>
          <w:color w:val="000000" w:themeColor="text1"/>
          <w:sz w:val="24"/>
          <w:szCs w:val="24"/>
          <w:lang w:val="zh-CN"/>
          <w14:textFill>
            <w14:solidFill>
              <w14:schemeClr w14:val="tx1"/>
            </w14:solidFill>
          </w14:textFill>
        </w:rPr>
        <w:t>。</w:t>
      </w:r>
    </w:p>
    <w:p>
      <w:pPr>
        <w:numPr>
          <w:ilvl w:val="0"/>
          <w:numId w:val="6"/>
        </w:numPr>
        <w:spacing w:line="360" w:lineRule="auto"/>
        <w:ind w:left="476" w:hanging="47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“投标人”是指：</w:t>
      </w:r>
      <w:r>
        <w:rPr>
          <w:rFonts w:cs="Helvetica" w:asciiTheme="minorEastAsia" w:hAnsiTheme="minorEastAsia"/>
          <w:color w:val="000000" w:themeColor="text1"/>
          <w:kern w:val="0"/>
          <w:sz w:val="24"/>
          <w:szCs w:val="24"/>
          <w:lang w:val="zh-CN"/>
          <w14:textFill>
            <w14:solidFill>
              <w14:schemeClr w14:val="tx1"/>
            </w14:solidFill>
          </w14:textFill>
        </w:rPr>
        <w:t>响应招标、参加投标竞争的法人、其他组织或者自然人。</w:t>
      </w:r>
    </w:p>
    <w:p>
      <w:pPr>
        <w:numPr>
          <w:ilvl w:val="0"/>
          <w:numId w:val="6"/>
        </w:numPr>
        <w:spacing w:line="360" w:lineRule="auto"/>
        <w:ind w:left="476" w:hanging="476"/>
        <w:rPr>
          <w:rFonts w:cs="Helvetica" w:asciiTheme="minorEastAsia" w:hAnsiTheme="minorEastAsia"/>
          <w:color w:val="000000" w:themeColor="text1"/>
          <w:kern w:val="0"/>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“合格的投标人”是指：</w:t>
      </w:r>
      <w:r>
        <w:rPr>
          <w:rFonts w:hint="eastAsia" w:cs="Helvetica" w:asciiTheme="minorEastAsia" w:hAnsiTheme="minorEastAsia"/>
          <w:color w:val="000000" w:themeColor="text1"/>
          <w:kern w:val="0"/>
          <w:sz w:val="24"/>
          <w:szCs w:val="24"/>
          <w:lang w:val="zh-CN"/>
          <w14:textFill>
            <w14:solidFill>
              <w14:schemeClr w14:val="tx1"/>
            </w14:solidFill>
          </w14:textFill>
        </w:rPr>
        <w:t>资格审查和符合性审查合格的投标人。</w:t>
      </w:r>
    </w:p>
    <w:p>
      <w:pPr>
        <w:numPr>
          <w:ilvl w:val="0"/>
          <w:numId w:val="6"/>
        </w:numPr>
        <w:spacing w:line="360" w:lineRule="auto"/>
        <w:ind w:left="476" w:hanging="47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“中标人”是指：</w:t>
      </w:r>
      <w:r>
        <w:rPr>
          <w:rFonts w:hint="eastAsia" w:cs="Times New Roman" w:asciiTheme="minorEastAsia" w:hAnsiTheme="minorEastAsia"/>
          <w:color w:val="000000" w:themeColor="text1"/>
          <w:sz w:val="24"/>
          <w:szCs w:val="24"/>
          <w:lang w:val="zh-CN"/>
          <w14:textFill>
            <w14:solidFill>
              <w14:schemeClr w14:val="tx1"/>
            </w14:solidFill>
          </w14:textFill>
        </w:rPr>
        <w:t>经评标委员会评审，授予合同的投标人。</w:t>
      </w:r>
    </w:p>
    <w:p>
      <w:pPr>
        <w:numPr>
          <w:ilvl w:val="0"/>
          <w:numId w:val="5"/>
        </w:numPr>
        <w:spacing w:line="360" w:lineRule="auto"/>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项目属性及定义</w:t>
      </w:r>
    </w:p>
    <w:p>
      <w:pPr>
        <w:numPr>
          <w:ilvl w:val="0"/>
          <w:numId w:val="7"/>
        </w:numPr>
        <w:spacing w:line="360" w:lineRule="auto"/>
        <w:ind w:left="476" w:hanging="47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“货物”是指</w:t>
      </w:r>
      <w:r>
        <w:rPr>
          <w:rFonts w:hint="eastAsia" w:cs="Times New Roman" w:asciiTheme="minorEastAsia" w:hAnsiTheme="minorEastAsia"/>
          <w:color w:val="000000" w:themeColor="text1"/>
          <w:sz w:val="24"/>
          <w:szCs w:val="24"/>
          <w:lang w:val="zh-CN"/>
          <w14:textFill>
            <w14:solidFill>
              <w14:schemeClr w14:val="tx1"/>
            </w14:solidFill>
          </w14:textFill>
        </w:rPr>
        <w:t>：各种形态和种类的物品，包括原材料、燃料、设备、产品等。</w:t>
      </w:r>
    </w:p>
    <w:p>
      <w:pPr>
        <w:numPr>
          <w:ilvl w:val="0"/>
          <w:numId w:val="8"/>
        </w:numPr>
        <w:spacing w:line="360" w:lineRule="auto"/>
        <w:ind w:left="854" w:hanging="728"/>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招标文件中没有提及招标货物来源地的，根据《政府采购法》及相关规定均应是本国货物，另有规定的除外。</w:t>
      </w:r>
    </w:p>
    <w:p>
      <w:pPr>
        <w:numPr>
          <w:ilvl w:val="0"/>
          <w:numId w:val="8"/>
        </w:numPr>
        <w:spacing w:line="360" w:lineRule="auto"/>
        <w:ind w:left="854" w:hanging="728"/>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投标的货物应是合法生产的符合国家有关标准要求的货物，并能够按照合同规定的品牌、产地、质量、价格和有效期等履约。</w:t>
      </w:r>
    </w:p>
    <w:p>
      <w:pPr>
        <w:numPr>
          <w:ilvl w:val="0"/>
          <w:numId w:val="7"/>
        </w:numPr>
        <w:spacing w:line="360" w:lineRule="auto"/>
        <w:ind w:left="476" w:hanging="476"/>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“工程”是指</w:t>
      </w:r>
      <w:r>
        <w:rPr>
          <w:rFonts w:hint="eastAsia" w:cs="Times New Roman" w:asciiTheme="minorEastAsia" w:hAnsiTheme="minorEastAsia"/>
          <w:color w:val="000000" w:themeColor="text1"/>
          <w:sz w:val="24"/>
          <w:szCs w:val="24"/>
          <w:lang w:val="zh-CN"/>
          <w14:textFill>
            <w14:solidFill>
              <w14:schemeClr w14:val="tx1"/>
            </w14:solidFill>
          </w14:textFill>
        </w:rPr>
        <w:t>：与建筑物和构筑物的新建、改建、扩建及其相关的装修、拆除、修缮无关的工程。</w:t>
      </w:r>
    </w:p>
    <w:p>
      <w:pPr>
        <w:numPr>
          <w:ilvl w:val="0"/>
          <w:numId w:val="7"/>
        </w:numPr>
        <w:spacing w:line="360" w:lineRule="auto"/>
        <w:ind w:left="476" w:hanging="47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“服务”是指：</w:t>
      </w:r>
      <w:r>
        <w:rPr>
          <w:rFonts w:hint="eastAsia" w:cs="Times New Roman" w:asciiTheme="minorEastAsia" w:hAnsiTheme="minorEastAsia"/>
          <w:color w:val="000000" w:themeColor="text1"/>
          <w:sz w:val="24"/>
          <w:szCs w:val="24"/>
          <w:lang w:val="zh-CN"/>
          <w14:textFill>
            <w14:solidFill>
              <w14:schemeClr w14:val="tx1"/>
            </w14:solidFill>
          </w14:textFill>
        </w:rPr>
        <w:t>除货物和工程（含本章3.2条所述工程及《招标投标法》所定义工程）以外的其他政府采购对象,包括政府自身需要的服务和政府向社会公众提供的公共服务。</w:t>
      </w:r>
    </w:p>
    <w:p>
      <w:pPr>
        <w:numPr>
          <w:ilvl w:val="0"/>
          <w:numId w:val="7"/>
        </w:numPr>
        <w:spacing w:line="360" w:lineRule="auto"/>
        <w:ind w:left="476" w:hanging="476"/>
        <w:rPr>
          <w:rFonts w:cs="Times New Roman" w:asciiTheme="minorEastAsia" w:hAnsiTheme="minorEastAsia"/>
          <w:color w:val="000000" w:themeColor="text1"/>
          <w:sz w:val="24"/>
          <w:szCs w:val="24"/>
          <w:lang w:val="zh-CN"/>
          <w14:textFill>
            <w14:solidFill>
              <w14:schemeClr w14:val="tx1"/>
            </w14:solidFill>
          </w14:textFill>
        </w:rPr>
      </w:pPr>
      <w:r>
        <w:rPr>
          <w:rFonts w:cs="Times New Roman" w:asciiTheme="minorEastAsia" w:hAnsiTheme="minorEastAsia"/>
          <w:color w:val="000000" w:themeColor="text1"/>
          <w:sz w:val="24"/>
          <w:szCs w:val="24"/>
          <w:lang w:val="zh-CN"/>
          <w14:textFill>
            <w14:solidFill>
              <w14:schemeClr w14:val="tx1"/>
            </w14:solidFill>
          </w14:textFill>
        </w:rPr>
        <w:t>采购人应当按照财政部制定的《政府采购品目分类目录》确定采购项目属性</w:t>
      </w:r>
      <w:r>
        <w:rPr>
          <w:rFonts w:hint="eastAsia" w:cs="Times New Roman" w:asciiTheme="minorEastAsia" w:hAnsiTheme="minorEastAsia"/>
          <w:color w:val="000000" w:themeColor="text1"/>
          <w:sz w:val="24"/>
          <w:szCs w:val="24"/>
          <w:lang w:val="zh-CN"/>
          <w14:textFill>
            <w14:solidFill>
              <w14:schemeClr w14:val="tx1"/>
            </w14:solidFill>
          </w14:textFill>
        </w:rPr>
        <w:t>。</w:t>
      </w:r>
      <w:r>
        <w:rPr>
          <w:rFonts w:cs="Times New Roman" w:asciiTheme="minorEastAsia" w:hAnsiTheme="minorEastAsia"/>
          <w:color w:val="000000" w:themeColor="text1"/>
          <w:sz w:val="24"/>
          <w:szCs w:val="24"/>
          <w:lang w:val="zh-CN"/>
          <w14:textFill>
            <w14:solidFill>
              <w14:schemeClr w14:val="tx1"/>
            </w14:solidFill>
          </w14:textFill>
        </w:rPr>
        <w:t>按照《政府采购品目分类目录》无法确定的，按照有利于采购项目实施的原则确定。</w:t>
      </w:r>
    </w:p>
    <w:p>
      <w:pPr>
        <w:numPr>
          <w:ilvl w:val="0"/>
          <w:numId w:val="5"/>
        </w:numPr>
        <w:spacing w:line="360" w:lineRule="auto"/>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投标费用</w:t>
      </w:r>
    </w:p>
    <w:p>
      <w:pPr>
        <w:numPr>
          <w:ilvl w:val="0"/>
          <w:numId w:val="9"/>
        </w:numPr>
        <w:spacing w:line="360" w:lineRule="auto"/>
        <w:ind w:left="476" w:hanging="47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投标人应承担所有与准备和参加投标有关的费用。不论投标的结果如何，采购代理机构和采购人均无义务和责任承担这些费用。</w:t>
      </w:r>
    </w:p>
    <w:p>
      <w:pPr>
        <w:pStyle w:val="22"/>
        <w:numPr>
          <w:ilvl w:val="0"/>
          <w:numId w:val="9"/>
        </w:numPr>
        <w:adjustRightInd w:val="0"/>
        <w:snapToGrid w:val="0"/>
        <w:spacing w:line="300" w:lineRule="auto"/>
        <w:ind w:firstLineChars="0"/>
        <w:rPr>
          <w:rFonts w:ascii="宋体" w:hAnsi="宋体"/>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采购代理服务费：</w:t>
      </w:r>
    </w:p>
    <w:p>
      <w:pPr>
        <w:pStyle w:val="22"/>
        <w:ind w:left="420" w:firstLine="0" w:firstLineChars="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经过采购代理机构与采购人协议，规定由中标单位支付。采购代理服务费收费标准如下：</w:t>
      </w:r>
    </w:p>
    <w:p>
      <w:pPr>
        <w:pStyle w:val="22"/>
        <w:ind w:left="420" w:firstLine="0" w:firstLineChars="0"/>
        <w:rPr>
          <w:rFonts w:ascii="宋体" w:hAnsi="宋体"/>
          <w:b/>
          <w:color w:val="000000" w:themeColor="text1"/>
          <w:sz w:val="24"/>
          <w:szCs w:val="24"/>
          <w14:textFill>
            <w14:solidFill>
              <w14:schemeClr w14:val="tx1"/>
            </w14:solidFill>
          </w14:textFill>
        </w:rPr>
      </w:pPr>
    </w:p>
    <w:p>
      <w:pPr>
        <w:pStyle w:val="22"/>
        <w:ind w:left="420" w:firstLine="0" w:firstLineChars="0"/>
        <w:rPr>
          <w:rFonts w:ascii="宋体" w:hAnsi="宋体"/>
          <w:b/>
          <w:color w:val="000000" w:themeColor="text1"/>
          <w:sz w:val="24"/>
          <w:szCs w:val="24"/>
          <w14:textFill>
            <w14:solidFill>
              <w14:schemeClr w14:val="tx1"/>
            </w14:solidFill>
          </w14:textFill>
        </w:rPr>
      </w:pPr>
    </w:p>
    <w:tbl>
      <w:tblPr>
        <w:tblStyle w:val="16"/>
        <w:tblW w:w="924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70"/>
        <w:gridCol w:w="214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tcPr>
          <w:p>
            <w:pPr>
              <w:spacing w:line="300" w:lineRule="auto"/>
              <w:ind w:firstLine="998" w:firstLineChars="416"/>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101600</wp:posOffset>
                      </wp:positionV>
                      <wp:extent cx="1410970" cy="869950"/>
                      <wp:effectExtent l="0" t="0" r="0" b="6350"/>
                      <wp:wrapNone/>
                      <wp:docPr id="2" name="直接连接符 2"/>
                      <wp:cNvGraphicFramePr/>
                      <a:graphic xmlns:a="http://schemas.openxmlformats.org/drawingml/2006/main">
                        <a:graphicData uri="http://schemas.microsoft.com/office/word/2010/wordprocessingShape">
                          <wps:wsp>
                            <wps:cNvCnPr/>
                            <wps:spPr>
                              <a:xfrm flipH="1" flipV="1">
                                <a:off x="0" y="0"/>
                                <a:ext cx="1410970" cy="8699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 y;margin-left:-1.05pt;margin-top:8pt;height:68.5pt;width:111.1pt;z-index:251661312;mso-width-relative:page;mso-height-relative:page;" filled="f" stroked="t" coordsize="21600,21600" o:gfxdata="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4EZzrNEAAAAJAQAADwAAAAAAAAABACAAAAAiAAAAZHJzL2Rvd25yZXYueG1s&#10;UEsBAhQAFAAAAAgAh07iQDEx1GX/AQAA8QMAAA4AAAAAAAAAAQAgAAAAIAEAAGRycy9lMm9Eb2Mu&#10;eG1sUEsFBgAAAAAGAAYAWQEAAJEFAAAAAA==&#10;">
                      <v:fill on="f" focussize="0,0"/>
                      <v:stroke color="#000000" joinstyle="round"/>
                      <v:imagedata o:title=""/>
                      <o:lock v:ext="edit" aspectratio="f"/>
                    </v:line>
                  </w:pict>
                </mc:Fallback>
              </mc:AlternateContent>
            </w:r>
            <w:r>
              <w:rPr>
                <w:rFonts w:ascii="宋体" w:hAnsi="宋体" w:cs="宋体"/>
                <w:color w:val="000000" w:themeColor="text1"/>
                <w:sz w:val="24"/>
                <w:szCs w:val="24"/>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-65405</wp:posOffset>
                      </wp:positionH>
                      <wp:positionV relativeFrom="paragraph">
                        <wp:posOffset>54610</wp:posOffset>
                      </wp:positionV>
                      <wp:extent cx="1597025" cy="421005"/>
                      <wp:effectExtent l="0" t="0" r="3175" b="17145"/>
                      <wp:wrapNone/>
                      <wp:docPr id="1" name="直接连接符 1"/>
                      <wp:cNvGraphicFramePr/>
                      <a:graphic xmlns:a="http://schemas.openxmlformats.org/drawingml/2006/main">
                        <a:graphicData uri="http://schemas.microsoft.com/office/word/2010/wordprocessingShape">
                          <wps:wsp>
                            <wps:cNvCnPr/>
                            <wps:spPr>
                              <a:xfrm flipH="1" flipV="1">
                                <a:off x="0" y="0"/>
                                <a:ext cx="1597025" cy="42100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 y;margin-left:-5.15pt;margin-top:4.3pt;height:33.15pt;width:125.75pt;z-index:251662336;mso-width-relative:page;mso-height-relative:page;" filled="f" stroked="t" coordsize="21600,21600" o:gfxdata="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3i4ChtUAAAAIAQAADwAAAAAAAAABACAAAAAiAAAAZHJzL2Rvd25yZXYueG1sUEsB&#10;AhQAFAAAAAgAh07iQFb9SE74AQAA8QMAAA4AAAAAAAAAAQAgAAAAJAEAAGRycy9lMm9Eb2MueG1s&#10;UEsFBgAAAAAGAAYAWQEAAI4FAAAAAA==&#10;">
                      <v:fill on="f" focussize="0,0"/>
                      <v:stroke color="#000000" joinstyle="round"/>
                      <v:imagedata o:title=""/>
                      <o:lock v:ext="edit" aspectratio="f"/>
                    </v:line>
                  </w:pict>
                </mc:Fallback>
              </mc:AlternateContent>
            </w:r>
            <w:r>
              <w:rPr>
                <w:rFonts w:ascii="宋体" w:hAnsi="宋体" w:cs="宋体"/>
                <w:color w:val="000000" w:themeColor="text1"/>
                <w:sz w:val="24"/>
                <w:szCs w:val="24"/>
                <w14:textFill>
                  <w14:solidFill>
                    <w14:schemeClr w14:val="tx1"/>
                  </w14:solidFill>
                </w14:textFill>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pt;margin-top:-0.5pt;height:0pt;width:0.05pt;z-index:251660288;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rkdN+1QAA&#10;AAkBAAAPAAAAAAAAAAEAIAAAACIAAABkcnMvZG93bnJldi54bWxQSwECFAAUAAAACACHTuJA+Znr&#10;dugBAADUAwAADgAAAAAAAAABACAAAAAkAQAAZHJzL2Uyb0RvYy54bWxQSwUGAAAAAAYABgBZAQAA&#10;fgUAAAAA&#10;">
                      <v:fill on="f" focussize="0,0"/>
                      <v:stroke color="#000000" joinstyle="round"/>
                      <v:imagedata o:title=""/>
                      <o:lock v:ext="edit" aspectratio="f"/>
                    </v:line>
                  </w:pict>
                </mc:Fallback>
              </mc:AlternateContent>
            </w:r>
            <w:r>
              <w:rPr>
                <w:rFonts w:hint="eastAsia" w:ascii="宋体" w:hAnsi="宋体" w:cs="宋体"/>
                <w:color w:val="000000" w:themeColor="text1"/>
                <w:sz w:val="24"/>
                <w:szCs w:val="24"/>
                <w14:textFill>
                  <w14:solidFill>
                    <w14:schemeClr w14:val="tx1"/>
                  </w14:solidFill>
                </w14:textFill>
              </w:rPr>
              <w:t>招标类型　　　</w:t>
            </w:r>
          </w:p>
          <w:p>
            <w:pPr>
              <w:spacing w:line="300" w:lineRule="auto"/>
              <w:ind w:firstLine="998" w:firstLineChars="416"/>
              <w:rPr>
                <w:rFonts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中标</w:t>
            </w:r>
            <w:r>
              <w:rPr>
                <w:rFonts w:hint="eastAsia" w:ascii="宋体" w:hAnsi="宋体" w:cs="宋体"/>
                <w:color w:val="000000" w:themeColor="text1"/>
                <w:sz w:val="24"/>
                <w:szCs w:val="24"/>
                <w14:textFill>
                  <w14:solidFill>
                    <w14:schemeClr w14:val="tx1"/>
                  </w14:solidFill>
                </w14:textFill>
              </w:rPr>
              <w:t xml:space="preserve">　　　 </w:t>
            </w:r>
          </w:p>
          <w:p>
            <w:pPr>
              <w:spacing w:line="300" w:lineRule="auto"/>
              <w:ind w:firstLine="1504" w:firstLineChars="627"/>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费率</w:t>
            </w:r>
          </w:p>
          <w:p>
            <w:pPr>
              <w:spacing w:line="30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金额（万元）</w:t>
            </w:r>
          </w:p>
        </w:tc>
        <w:tc>
          <w:tcPr>
            <w:tcW w:w="2470" w:type="dxa"/>
            <w:vAlign w:val="center"/>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货物招标</w:t>
            </w:r>
          </w:p>
        </w:tc>
        <w:tc>
          <w:tcPr>
            <w:tcW w:w="2148" w:type="dxa"/>
            <w:vAlign w:val="center"/>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服务招标</w:t>
            </w:r>
          </w:p>
        </w:tc>
        <w:tc>
          <w:tcPr>
            <w:tcW w:w="2148" w:type="dxa"/>
            <w:vAlign w:val="center"/>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100以下</w:t>
            </w:r>
          </w:p>
        </w:tc>
        <w:tc>
          <w:tcPr>
            <w:tcW w:w="2470" w:type="dxa"/>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w:t>
            </w:r>
          </w:p>
        </w:tc>
        <w:tc>
          <w:tcPr>
            <w:tcW w:w="2148" w:type="dxa"/>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w:t>
            </w:r>
          </w:p>
        </w:tc>
        <w:tc>
          <w:tcPr>
            <w:tcW w:w="2148" w:type="dxa"/>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ind w:firstLine="720" w:firstLineChars="3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100-500</w:t>
            </w:r>
          </w:p>
        </w:tc>
        <w:tc>
          <w:tcPr>
            <w:tcW w:w="2470" w:type="dxa"/>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w:t>
            </w:r>
          </w:p>
        </w:tc>
        <w:tc>
          <w:tcPr>
            <w:tcW w:w="2148" w:type="dxa"/>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0.8%</w:t>
            </w:r>
          </w:p>
        </w:tc>
        <w:tc>
          <w:tcPr>
            <w:tcW w:w="2148" w:type="dxa"/>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500-1000</w:t>
            </w:r>
          </w:p>
        </w:tc>
        <w:tc>
          <w:tcPr>
            <w:tcW w:w="2470" w:type="dxa"/>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0.8%</w:t>
            </w:r>
          </w:p>
        </w:tc>
        <w:tc>
          <w:tcPr>
            <w:tcW w:w="2148" w:type="dxa"/>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0.45%</w:t>
            </w:r>
          </w:p>
        </w:tc>
        <w:tc>
          <w:tcPr>
            <w:tcW w:w="2148" w:type="dxa"/>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0.55％</w:t>
            </w:r>
          </w:p>
        </w:tc>
      </w:tr>
    </w:tbl>
    <w:p>
      <w:pPr>
        <w:pStyle w:val="22"/>
        <w:adjustRightInd w:val="0"/>
        <w:snapToGrid w:val="0"/>
        <w:spacing w:line="300" w:lineRule="auto"/>
        <w:ind w:left="420" w:firstLine="0" w:firstLineChars="0"/>
        <w:rPr>
          <w:rFonts w:ascii="宋体" w:hAnsi="宋体"/>
          <w:color w:val="000000" w:themeColor="text1"/>
          <w:sz w:val="24"/>
          <w:szCs w:val="24"/>
          <w14:textFill>
            <w14:solidFill>
              <w14:schemeClr w14:val="tx1"/>
            </w14:solidFill>
          </w14:textFill>
        </w:rPr>
      </w:pPr>
    </w:p>
    <w:p>
      <w:pPr>
        <w:pStyle w:val="5"/>
        <w:numPr>
          <w:ilvl w:val="0"/>
          <w:numId w:val="4"/>
        </w:numPr>
        <w:spacing w:before="40" w:after="40" w:line="360" w:lineRule="auto"/>
        <w:ind w:left="658" w:hanging="658"/>
        <w:jc w:val="left"/>
        <w:rPr>
          <w:rFonts w:cs="Times New Roman" w:asciiTheme="majorEastAsia" w:hAnsiTheme="majorEastAsia"/>
          <w:bCs w:val="0"/>
          <w:color w:val="000000" w:themeColor="text1"/>
          <w:lang w:val="zh-CN"/>
          <w14:textFill>
            <w14:solidFill>
              <w14:schemeClr w14:val="tx1"/>
            </w14:solidFill>
          </w14:textFill>
        </w:rPr>
      </w:pPr>
      <w:bookmarkStart w:id="6" w:name="_Toc272247695"/>
      <w:bookmarkStart w:id="7" w:name="_Toc12976"/>
      <w:bookmarkStart w:id="8" w:name="_Toc278891592"/>
      <w:bookmarkStart w:id="9" w:name="_Toc494561939"/>
      <w:r>
        <w:rPr>
          <w:rFonts w:hint="eastAsia" w:cs="Times New Roman" w:asciiTheme="majorEastAsia" w:hAnsiTheme="majorEastAsia"/>
          <w:bCs w:val="0"/>
          <w:color w:val="000000" w:themeColor="text1"/>
          <w:lang w:val="zh-CN"/>
          <w14:textFill>
            <w14:solidFill>
              <w14:schemeClr w14:val="tx1"/>
            </w14:solidFill>
          </w14:textFill>
        </w:rPr>
        <w:t>招标文件</w:t>
      </w:r>
      <w:bookmarkEnd w:id="6"/>
      <w:bookmarkEnd w:id="7"/>
      <w:bookmarkEnd w:id="8"/>
      <w:bookmarkEnd w:id="9"/>
    </w:p>
    <w:p>
      <w:pPr>
        <w:numPr>
          <w:ilvl w:val="0"/>
          <w:numId w:val="5"/>
        </w:numPr>
        <w:spacing w:line="360" w:lineRule="auto"/>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招标文件的构成</w:t>
      </w:r>
    </w:p>
    <w:p>
      <w:pPr>
        <w:tabs>
          <w:tab w:val="left" w:pos="476"/>
        </w:tabs>
        <w:spacing w:line="360" w:lineRule="auto"/>
        <w:ind w:left="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第一章 投标邀请书</w:t>
      </w:r>
    </w:p>
    <w:p>
      <w:pPr>
        <w:tabs>
          <w:tab w:val="left" w:pos="476"/>
        </w:tabs>
        <w:spacing w:line="360" w:lineRule="auto"/>
        <w:ind w:left="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第二章 投标人须知</w:t>
      </w:r>
    </w:p>
    <w:p>
      <w:pPr>
        <w:tabs>
          <w:tab w:val="left" w:pos="476"/>
        </w:tabs>
        <w:spacing w:line="360" w:lineRule="auto"/>
        <w:ind w:left="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第三章 项目技术、服务及商务要求</w:t>
      </w:r>
    </w:p>
    <w:p>
      <w:pPr>
        <w:tabs>
          <w:tab w:val="left" w:pos="476"/>
        </w:tabs>
        <w:spacing w:line="360" w:lineRule="auto"/>
        <w:ind w:left="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第四章 资格审查方法及标准</w:t>
      </w:r>
    </w:p>
    <w:p>
      <w:pPr>
        <w:tabs>
          <w:tab w:val="left" w:pos="476"/>
        </w:tabs>
        <w:spacing w:line="360" w:lineRule="auto"/>
        <w:ind w:left="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第五章 评标方法、程序及标准</w:t>
      </w:r>
    </w:p>
    <w:p>
      <w:pPr>
        <w:tabs>
          <w:tab w:val="left" w:pos="476"/>
        </w:tabs>
        <w:spacing w:line="360" w:lineRule="auto"/>
        <w:ind w:left="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第六章 合同书格式（参考）</w:t>
      </w:r>
    </w:p>
    <w:p>
      <w:pPr>
        <w:tabs>
          <w:tab w:val="left" w:pos="476"/>
        </w:tabs>
        <w:spacing w:line="360" w:lineRule="auto"/>
        <w:ind w:left="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第七章 投标文件格式（参考）</w:t>
      </w:r>
    </w:p>
    <w:p>
      <w:pPr>
        <w:tabs>
          <w:tab w:val="left" w:pos="476"/>
        </w:tabs>
        <w:spacing w:line="360" w:lineRule="auto"/>
        <w:ind w:left="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其 他  在招标过程中由集中采购机构发出的修正和补充文件等</w:t>
      </w:r>
    </w:p>
    <w:p>
      <w:pPr>
        <w:numPr>
          <w:ilvl w:val="0"/>
          <w:numId w:val="5"/>
        </w:numPr>
        <w:spacing w:line="360" w:lineRule="auto"/>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招标文件疑问的提交</w:t>
      </w:r>
    </w:p>
    <w:p>
      <w:pPr>
        <w:numPr>
          <w:ilvl w:val="0"/>
          <w:numId w:val="10"/>
        </w:numPr>
        <w:spacing w:line="360" w:lineRule="auto"/>
        <w:ind w:left="476" w:hanging="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潜在投标人对招标文件有疑问的，可以向集中采购机构提出询问，或在6.2规定的时间前以书面的形式向集中采购机构提交疑问函。</w:t>
      </w:r>
    </w:p>
    <w:p>
      <w:pPr>
        <w:numPr>
          <w:ilvl w:val="0"/>
          <w:numId w:val="10"/>
        </w:numPr>
        <w:spacing w:line="360" w:lineRule="auto"/>
        <w:ind w:left="476" w:hanging="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潜在投标人在项目招标公告期限届满之日起7个工作日内未对招标文件提出疑问的，集中采购机构将视其认同招标文件，在规定的时间后就招标文件内容提出的疑问将不予受理。</w:t>
      </w:r>
    </w:p>
    <w:p>
      <w:pPr>
        <w:numPr>
          <w:ilvl w:val="0"/>
          <w:numId w:val="10"/>
        </w:numPr>
        <w:spacing w:line="360" w:lineRule="auto"/>
        <w:ind w:left="476" w:hanging="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集中采购机构将组织采购人对潜在投标人所提交疑问以书面（或网上公告）的形式予以答复。必要时，集中采购机构将组织相关专家召开答疑会，并将会议内容以书面的形式发给每个领取招标文件的潜在投标人（答复中不包括问题的来源）。</w:t>
      </w:r>
    </w:p>
    <w:p>
      <w:pPr>
        <w:numPr>
          <w:ilvl w:val="0"/>
          <w:numId w:val="5"/>
        </w:numPr>
        <w:spacing w:line="360" w:lineRule="auto"/>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招标文件的澄清、修改</w:t>
      </w:r>
    </w:p>
    <w:p>
      <w:pPr>
        <w:numPr>
          <w:ilvl w:val="0"/>
          <w:numId w:val="11"/>
        </w:numPr>
        <w:spacing w:line="360" w:lineRule="auto"/>
        <w:ind w:left="476" w:hanging="476"/>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集中采购机构和采购人可以对已发出的招标文件进行必要的澄清或者修改。</w:t>
      </w:r>
      <w:r>
        <w:rPr>
          <w:rFonts w:hint="eastAsia" w:ascii="Helvetica" w:hAnsi="Helvetica" w:eastAsia="宋体" w:cs="Helvetica"/>
          <w:color w:val="000000" w:themeColor="text1"/>
          <w:kern w:val="0"/>
          <w:sz w:val="24"/>
          <w:szCs w:val="24"/>
          <w:lang w:val="zh-CN"/>
          <w14:textFill>
            <w14:solidFill>
              <w14:schemeClr w14:val="tx1"/>
            </w14:solidFill>
          </w14:textFill>
        </w:rPr>
        <w:t>澄清或者修改将在原公告发布媒体上发布澄清公告。澄清或者修改的内容可能影响投标文件编制的，集中采购机构和采购人将在投标截止时间至少</w:t>
      </w:r>
      <w:r>
        <w:rPr>
          <w:rFonts w:hint="eastAsia" w:ascii="宋体" w:hAnsi="宋体" w:eastAsia="宋体" w:cs="Times New Roman"/>
          <w:color w:val="000000" w:themeColor="text1"/>
          <w:sz w:val="24"/>
          <w:szCs w:val="20"/>
          <w:lang w:val="zh-CN"/>
          <w14:textFill>
            <w14:solidFill>
              <w14:schemeClr w14:val="tx1"/>
            </w14:solidFill>
          </w14:textFill>
        </w:rPr>
        <w:t>15</w:t>
      </w:r>
      <w:r>
        <w:rPr>
          <w:rFonts w:hint="eastAsia" w:ascii="Helvetica" w:hAnsi="Helvetica" w:eastAsia="宋体" w:cs="Helvetica"/>
          <w:color w:val="000000" w:themeColor="text1"/>
          <w:kern w:val="0"/>
          <w:sz w:val="24"/>
          <w:szCs w:val="24"/>
          <w:lang w:val="zh-CN"/>
          <w14:textFill>
            <w14:solidFill>
              <w14:schemeClr w14:val="tx1"/>
            </w14:solidFill>
          </w14:textFill>
        </w:rPr>
        <w:t>日前，以书面</w:t>
      </w:r>
      <w:r>
        <w:rPr>
          <w:rFonts w:hint="eastAsia" w:ascii="宋体" w:hAnsi="宋体" w:eastAsia="宋体" w:cs="Times New Roman"/>
          <w:color w:val="000000" w:themeColor="text1"/>
          <w:sz w:val="24"/>
          <w:szCs w:val="20"/>
          <w:lang w:val="zh-CN"/>
          <w14:textFill>
            <w14:solidFill>
              <w14:schemeClr w14:val="tx1"/>
            </w14:solidFill>
          </w14:textFill>
        </w:rPr>
        <w:t>（或网上公告）</w:t>
      </w:r>
      <w:r>
        <w:rPr>
          <w:rFonts w:hint="eastAsia" w:ascii="Helvetica" w:hAnsi="Helvetica" w:eastAsia="宋体" w:cs="Helvetica"/>
          <w:color w:val="000000" w:themeColor="text1"/>
          <w:kern w:val="0"/>
          <w:sz w:val="24"/>
          <w:szCs w:val="24"/>
          <w:lang w:val="zh-CN"/>
          <w14:textFill>
            <w14:solidFill>
              <w14:schemeClr w14:val="tx1"/>
            </w14:solidFill>
          </w14:textFill>
        </w:rPr>
        <w:t>形式通知所有获取招标文件的潜在投标人。</w:t>
      </w:r>
    </w:p>
    <w:p>
      <w:pPr>
        <w:numPr>
          <w:ilvl w:val="0"/>
          <w:numId w:val="11"/>
        </w:numPr>
        <w:spacing w:line="360" w:lineRule="auto"/>
        <w:ind w:left="476" w:hanging="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为使潜在投标人有充足时间对招标文件的澄清或者修改的内容进行研究和响应，集中采购机构和采购人可适当顺延提交投标文件的截止时间，并以书面（或网上公告）的形式通知所有领取招标文件的潜在投标人。</w:t>
      </w:r>
    </w:p>
    <w:p>
      <w:pPr>
        <w:numPr>
          <w:ilvl w:val="0"/>
          <w:numId w:val="11"/>
        </w:numPr>
        <w:spacing w:line="360" w:lineRule="auto"/>
        <w:ind w:left="476" w:hanging="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澄清或者修改的内容为招标文件的组成部分，并对潜在投标人具有约束力。</w:t>
      </w:r>
    </w:p>
    <w:p>
      <w:pPr>
        <w:numPr>
          <w:ilvl w:val="0"/>
          <w:numId w:val="5"/>
        </w:numPr>
        <w:spacing w:line="360" w:lineRule="auto"/>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现场考察</w:t>
      </w:r>
    </w:p>
    <w:p>
      <w:pPr>
        <w:numPr>
          <w:ilvl w:val="0"/>
          <w:numId w:val="12"/>
        </w:numPr>
        <w:spacing w:line="360" w:lineRule="auto"/>
        <w:ind w:left="476" w:hanging="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2"/>
        </w:numPr>
        <w:spacing w:line="360" w:lineRule="auto"/>
        <w:ind w:left="476" w:hanging="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采购人向潜在投标人提供有关现场的数据和资料。是采购人现有的能被潜在投标人利用的客观资料，采购人对潜在投标人依此作出的任何推论、理解和结论均不负责任。</w:t>
      </w:r>
    </w:p>
    <w:p>
      <w:pPr>
        <w:numPr>
          <w:ilvl w:val="0"/>
          <w:numId w:val="12"/>
        </w:numPr>
        <w:spacing w:line="360" w:lineRule="auto"/>
        <w:ind w:left="476" w:hanging="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经采购人允许，潜在投标人可进入项目现场进行考察，但潜在投标人不得因此使采购人承担有关责任和蒙受损失。潜在投标人应自行承担现场考察的全部费用、责任和风险。</w:t>
      </w:r>
    </w:p>
    <w:p>
      <w:pPr>
        <w:pStyle w:val="5"/>
        <w:numPr>
          <w:ilvl w:val="0"/>
          <w:numId w:val="4"/>
        </w:numPr>
        <w:spacing w:before="40" w:after="40" w:line="360" w:lineRule="auto"/>
        <w:ind w:left="658" w:hanging="658"/>
        <w:jc w:val="left"/>
        <w:rPr>
          <w:rFonts w:cs="Times New Roman" w:asciiTheme="majorEastAsia" w:hAnsiTheme="majorEastAsia"/>
          <w:bCs w:val="0"/>
          <w:color w:val="000000" w:themeColor="text1"/>
          <w:lang w:val="zh-CN"/>
          <w14:textFill>
            <w14:solidFill>
              <w14:schemeClr w14:val="tx1"/>
            </w14:solidFill>
          </w14:textFill>
        </w:rPr>
      </w:pPr>
      <w:bookmarkStart w:id="10" w:name="_Toc278891593"/>
      <w:bookmarkStart w:id="11" w:name="_Toc272247696"/>
      <w:bookmarkStart w:id="12" w:name="_Toc494561940"/>
      <w:bookmarkStart w:id="13" w:name="_Toc27029"/>
      <w:r>
        <w:rPr>
          <w:rFonts w:hint="eastAsia" w:cs="Times New Roman" w:asciiTheme="majorEastAsia" w:hAnsiTheme="majorEastAsia"/>
          <w:bCs w:val="0"/>
          <w:color w:val="000000" w:themeColor="text1"/>
          <w:lang w:val="zh-CN"/>
          <w14:textFill>
            <w14:solidFill>
              <w14:schemeClr w14:val="tx1"/>
            </w14:solidFill>
          </w14:textFill>
        </w:rPr>
        <w:t>投标文件</w:t>
      </w:r>
      <w:bookmarkEnd w:id="10"/>
      <w:bookmarkEnd w:id="11"/>
      <w:bookmarkEnd w:id="12"/>
      <w:bookmarkEnd w:id="13"/>
    </w:p>
    <w:p>
      <w:pPr>
        <w:numPr>
          <w:ilvl w:val="0"/>
          <w:numId w:val="5"/>
        </w:numPr>
        <w:spacing w:line="360" w:lineRule="auto"/>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投标的语言</w:t>
      </w:r>
    </w:p>
    <w:p>
      <w:pPr>
        <w:spacing w:line="360" w:lineRule="auto"/>
        <w:ind w:firstLine="480" w:firstLineChars="200"/>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人提交的投标文件以及投标人与集中采购机构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5"/>
        </w:numPr>
        <w:spacing w:line="360" w:lineRule="auto"/>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投标文件的构成</w:t>
      </w:r>
    </w:p>
    <w:p>
      <w:pPr>
        <w:spacing w:line="360" w:lineRule="auto"/>
        <w:ind w:firstLine="480" w:firstLineChars="200"/>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投标人编制的投标文件应包括但不限于下列内容：</w:t>
      </w:r>
    </w:p>
    <w:p>
      <w:pPr>
        <w:spacing w:line="360" w:lineRule="auto"/>
        <w:ind w:firstLine="480" w:firstLineChars="200"/>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第一部分  资格证明文件（详见第七章“投标文件格式”中资格证明文件组成）</w:t>
      </w:r>
    </w:p>
    <w:p>
      <w:pPr>
        <w:spacing w:line="360" w:lineRule="auto"/>
        <w:ind w:firstLine="480" w:firstLineChars="200"/>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第二部分  商务文件（详见第七章“投标文件格式”中商务文件组成）</w:t>
      </w:r>
    </w:p>
    <w:p>
      <w:pPr>
        <w:spacing w:line="360" w:lineRule="auto"/>
        <w:ind w:firstLine="480" w:firstLineChars="200"/>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第三部分  技术、服务文件（详见第七章“投标文件格式”中技术、服务文件组成）</w:t>
      </w:r>
    </w:p>
    <w:p>
      <w:pPr>
        <w:numPr>
          <w:ilvl w:val="0"/>
          <w:numId w:val="5"/>
        </w:numPr>
        <w:spacing w:line="360" w:lineRule="auto"/>
        <w:ind w:left="560" w:hanging="560"/>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投标文件编制</w:t>
      </w:r>
    </w:p>
    <w:p>
      <w:pPr>
        <w:numPr>
          <w:ilvl w:val="0"/>
          <w:numId w:val="13"/>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如招标文件有分包要求，投标人对招标文件中多个包进行投标的，其投标文件的编制应按每包要求分别装订和封装，并注明对应包号。</w:t>
      </w:r>
    </w:p>
    <w:p>
      <w:pPr>
        <w:numPr>
          <w:ilvl w:val="0"/>
          <w:numId w:val="13"/>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投标人应当对投标文件进行装订，对未经装订的投标书可能发生的文件散落或缺损，由此产生的后果及责任由投标人自行承担。</w:t>
      </w:r>
    </w:p>
    <w:p>
      <w:pPr>
        <w:numPr>
          <w:ilvl w:val="0"/>
          <w:numId w:val="13"/>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投标人应按照招标文件第七章“投标文件格式”提供的《投标书》、《开标一览表》、《投标报价明细表》、《法定代表人授权书》等格式、要求、规定来编制投标文件。</w:t>
      </w:r>
    </w:p>
    <w:p>
      <w:pPr>
        <w:numPr>
          <w:ilvl w:val="0"/>
          <w:numId w:val="13"/>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投标人应对投标文件中所提供资料的真实性负责，如有虚假，将依法承担相应责任。投标人应自觉接受集中采购机构对其中任何资料进一步核实的要求。</w:t>
      </w:r>
    </w:p>
    <w:p>
      <w:pPr>
        <w:numPr>
          <w:ilvl w:val="0"/>
          <w:numId w:val="13"/>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因投标人投标文件填报的内容不详，或没有提供招标文件中所要求的全部资料及数据等，由此产生的后果及责任由投标人自行承担。</w:t>
      </w:r>
    </w:p>
    <w:p>
      <w:pPr>
        <w:numPr>
          <w:ilvl w:val="0"/>
          <w:numId w:val="13"/>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投标文件用纸应统一为A4规格（图纸除外）。</w:t>
      </w:r>
    </w:p>
    <w:p>
      <w:pPr>
        <w:numPr>
          <w:ilvl w:val="0"/>
          <w:numId w:val="13"/>
        </w:numPr>
        <w:spacing w:line="360" w:lineRule="auto"/>
        <w:ind w:left="616" w:hanging="616"/>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投标文件共分为：第一部分资格证明文件、第二部分商务文件和第三部分技术、服务文件。投标人应将投标文件第一部分资格证明文件、第二部分商务文件、第三部分技术、服务文件分别用显著文字说明，统一编制合订成一本投标文件，统一逐页连续标注页码，建立目录索引。各部分文件及内容详见第七章"投标文件格式"要求。</w:t>
      </w:r>
      <w:r>
        <w:rPr>
          <w:rFonts w:hint="eastAsia" w:ascii="宋体" w:hAnsi="宋体" w:eastAsia="宋体" w:cs="Times New Roman"/>
          <w:b/>
          <w:color w:val="000000" w:themeColor="text1"/>
          <w:sz w:val="24"/>
          <w:szCs w:val="20"/>
          <w:lang w:val="zh-CN"/>
          <w14:textFill>
            <w14:solidFill>
              <w14:schemeClr w14:val="tx1"/>
            </w14:solidFill>
          </w14:textFill>
        </w:rPr>
        <w:t>。</w:t>
      </w:r>
    </w:p>
    <w:p>
      <w:pPr>
        <w:numPr>
          <w:ilvl w:val="0"/>
          <w:numId w:val="13"/>
        </w:numPr>
        <w:spacing w:line="360" w:lineRule="auto"/>
        <w:ind w:left="616" w:hanging="616"/>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为方便开标时唱标，投标人应将《开标一览表》一份单独密封提交，并在信封上标明"开标一览表"字样。投标人应将投标文件正本和所有的副本一起密封装在文件袋（或封装袋）中，并在封面上标明"正本"、"副本"字样。未单独提交或单独提交的上述资料未按照招标文件规定的要求填写完整并签字、盖章的其投标将有可能被拒绝。开标一览表必须按要求由投标人法定代表人或法定代表人授权代表签字，并加盖投标单位公章，单独密封提交，否则将被视为非响应性投标，将按照无效投标处理。</w:t>
      </w:r>
    </w:p>
    <w:p>
      <w:pPr>
        <w:numPr>
          <w:ilvl w:val="0"/>
          <w:numId w:val="5"/>
        </w:numPr>
        <w:spacing w:line="360" w:lineRule="auto"/>
        <w:ind w:left="560" w:hanging="560"/>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投标报价</w:t>
      </w:r>
    </w:p>
    <w:p>
      <w:pPr>
        <w:numPr>
          <w:ilvl w:val="0"/>
          <w:numId w:val="14"/>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投标人所提供的货物（工程或服务）均以人民币计价。</w:t>
      </w:r>
    </w:p>
    <w:p>
      <w:pPr>
        <w:numPr>
          <w:ilvl w:val="0"/>
          <w:numId w:val="14"/>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4"/>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《投标报价明细表》填写时应响应下列要求：</w:t>
      </w:r>
    </w:p>
    <w:p>
      <w:pPr>
        <w:numPr>
          <w:ilvl w:val="0"/>
          <w:numId w:val="15"/>
        </w:numPr>
        <w:spacing w:line="360" w:lineRule="auto"/>
        <w:ind w:left="980" w:hanging="854"/>
        <w:rPr>
          <w:rFonts w:cs="Times New Roman" w:asciiTheme="minorEastAsia" w:hAnsiTheme="minorEastAsia"/>
          <w:color w:val="000000" w:themeColor="text1"/>
          <w:sz w:val="24"/>
          <w:szCs w:val="24"/>
          <w:lang w:val="zh-CN"/>
          <w14:textFill>
            <w14:solidFill>
              <w14:schemeClr w14:val="tx1"/>
            </w14:solidFill>
          </w14:textFill>
        </w:rPr>
      </w:pPr>
      <w:r>
        <w:rPr>
          <w:rFonts w:hint="eastAsia" w:ascii="宋体" w:hAnsi="宋体"/>
          <w:color w:val="000000" w:themeColor="text1"/>
          <w:sz w:val="24"/>
          <w14:textFill>
            <w14:solidFill>
              <w14:schemeClr w14:val="tx1"/>
            </w14:solidFill>
          </w14:textFill>
        </w:rPr>
        <w:t>应包括所有根据合同或其他原因由投标人支付的款项、费用</w:t>
      </w:r>
      <w:r>
        <w:rPr>
          <w:rFonts w:hint="eastAsia" w:cs="Times New Roman" w:asciiTheme="minorEastAsia" w:hAnsiTheme="minorEastAsia"/>
          <w:color w:val="000000" w:themeColor="text1"/>
          <w:sz w:val="24"/>
          <w:szCs w:val="24"/>
          <w:lang w:val="zh-CN"/>
          <w14:textFill>
            <w14:solidFill>
              <w14:schemeClr w14:val="tx1"/>
            </w14:solidFill>
          </w14:textFill>
        </w:rPr>
        <w:t>；</w:t>
      </w:r>
    </w:p>
    <w:p>
      <w:pPr>
        <w:numPr>
          <w:ilvl w:val="0"/>
          <w:numId w:val="15"/>
        </w:numPr>
        <w:spacing w:line="360" w:lineRule="auto"/>
        <w:ind w:left="980" w:hanging="854"/>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应包含货物运至最终目的地的运输、保险和伴随货物（工程或服务）的有关费用；</w:t>
      </w:r>
    </w:p>
    <w:p>
      <w:pPr>
        <w:numPr>
          <w:ilvl w:val="0"/>
          <w:numId w:val="15"/>
        </w:numPr>
        <w:spacing w:line="360" w:lineRule="auto"/>
        <w:ind w:left="980" w:hanging="854"/>
        <w:rPr>
          <w:rFonts w:cs="Courier New"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应详细提供《投标报价明细表》和《投标货物、服务清单》等内容，否则按照</w:t>
      </w:r>
      <w:r>
        <w:rPr>
          <w:rFonts w:hint="eastAsia" w:cs="Times New Roman" w:asciiTheme="minorEastAsia" w:hAnsiTheme="minorEastAsia"/>
          <w:b/>
          <w:color w:val="000000" w:themeColor="text1"/>
          <w:sz w:val="24"/>
          <w:szCs w:val="24"/>
          <w:lang w:val="zh-CN"/>
          <w14:textFill>
            <w14:solidFill>
              <w14:schemeClr w14:val="tx1"/>
            </w14:solidFill>
          </w14:textFill>
        </w:rPr>
        <w:t>无效投标处理。</w:t>
      </w:r>
    </w:p>
    <w:p>
      <w:pPr>
        <w:numPr>
          <w:ilvl w:val="0"/>
          <w:numId w:val="14"/>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每一种规格的货物（工程或服务）只允许有一个报价，否则按照</w:t>
      </w:r>
      <w:r>
        <w:rPr>
          <w:rFonts w:hint="eastAsia" w:cs="Times New Roman" w:asciiTheme="minorEastAsia" w:hAnsiTheme="minorEastAsia"/>
          <w:b/>
          <w:color w:val="000000" w:themeColor="text1"/>
          <w:sz w:val="24"/>
          <w:szCs w:val="24"/>
          <w:lang w:val="zh-CN"/>
          <w14:textFill>
            <w14:solidFill>
              <w14:schemeClr w14:val="tx1"/>
            </w14:solidFill>
          </w14:textFill>
        </w:rPr>
        <w:t>无效投标处理</w:t>
      </w:r>
      <w:r>
        <w:rPr>
          <w:rFonts w:hint="eastAsia" w:cs="Times New Roman" w:asciiTheme="minorEastAsia" w:hAnsiTheme="minorEastAsia"/>
          <w:color w:val="000000" w:themeColor="text1"/>
          <w:sz w:val="24"/>
          <w:szCs w:val="24"/>
          <w:lang w:val="zh-CN"/>
          <w14:textFill>
            <w14:solidFill>
              <w14:schemeClr w14:val="tx1"/>
            </w14:solidFill>
          </w14:textFill>
        </w:rPr>
        <w:t>。</w:t>
      </w:r>
    </w:p>
    <w:p>
      <w:pPr>
        <w:numPr>
          <w:ilvl w:val="0"/>
          <w:numId w:val="14"/>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4"/>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对于招标文件未列明，而投标人认为必需的费用也需列入其投标总价。在合同实施时，采购人将不予支付投标人没有列入的项目费用，并认为此项目的费用已包括在其投标总价中。</w:t>
      </w:r>
    </w:p>
    <w:p>
      <w:pPr>
        <w:numPr>
          <w:ilvl w:val="0"/>
          <w:numId w:val="14"/>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投标人应对项目招标范围内的全部内容进行报价，不得缺、漏项或只投其中的部分内容的，否则按照</w:t>
      </w:r>
      <w:r>
        <w:rPr>
          <w:rFonts w:hint="eastAsia" w:cs="Times New Roman" w:asciiTheme="minorEastAsia" w:hAnsiTheme="minorEastAsia"/>
          <w:b/>
          <w:color w:val="000000" w:themeColor="text1"/>
          <w:sz w:val="24"/>
          <w:szCs w:val="24"/>
          <w:lang w:val="zh-CN"/>
          <w14:textFill>
            <w14:solidFill>
              <w14:schemeClr w14:val="tx1"/>
            </w14:solidFill>
          </w14:textFill>
        </w:rPr>
        <w:t>无效投标处理</w:t>
      </w:r>
      <w:r>
        <w:rPr>
          <w:rFonts w:hint="eastAsia" w:cs="Times New Roman" w:asciiTheme="minorEastAsia" w:hAnsiTheme="minorEastAsia"/>
          <w:color w:val="000000" w:themeColor="text1"/>
          <w:sz w:val="24"/>
          <w:szCs w:val="24"/>
          <w:lang w:val="zh-CN"/>
          <w14:textFill>
            <w14:solidFill>
              <w14:schemeClr w14:val="tx1"/>
            </w14:solidFill>
          </w14:textFill>
        </w:rPr>
        <w:t>。</w:t>
      </w:r>
    </w:p>
    <w:p>
      <w:pPr>
        <w:numPr>
          <w:ilvl w:val="0"/>
          <w:numId w:val="5"/>
        </w:numPr>
        <w:spacing w:line="360" w:lineRule="auto"/>
        <w:ind w:left="560" w:hanging="560"/>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备选方案</w:t>
      </w:r>
    </w:p>
    <w:p>
      <w:pPr>
        <w:spacing w:line="360" w:lineRule="auto"/>
        <w:ind w:firstLine="480" w:firstLineChars="200"/>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只允许投标人提供一个投标方案（招标文件中要求提供备选方案的除外），否则按照</w:t>
      </w:r>
      <w:r>
        <w:rPr>
          <w:rFonts w:hint="eastAsia" w:cs="Times New Roman" w:asciiTheme="minorEastAsia" w:hAnsiTheme="minorEastAsia"/>
          <w:b/>
          <w:color w:val="000000" w:themeColor="text1"/>
          <w:sz w:val="24"/>
          <w:szCs w:val="24"/>
          <w:lang w:val="zh-CN"/>
          <w14:textFill>
            <w14:solidFill>
              <w14:schemeClr w14:val="tx1"/>
            </w14:solidFill>
          </w14:textFill>
        </w:rPr>
        <w:t>无效投标处理</w:t>
      </w:r>
      <w:r>
        <w:rPr>
          <w:rFonts w:hint="eastAsia" w:cs="Times New Roman" w:asciiTheme="minorEastAsia" w:hAnsiTheme="minorEastAsia"/>
          <w:color w:val="000000" w:themeColor="text1"/>
          <w:sz w:val="24"/>
          <w:szCs w:val="24"/>
          <w:lang w:val="zh-CN"/>
          <w14:textFill>
            <w14:solidFill>
              <w14:schemeClr w14:val="tx1"/>
            </w14:solidFill>
          </w14:textFill>
        </w:rPr>
        <w:t>。</w:t>
      </w:r>
    </w:p>
    <w:p>
      <w:pPr>
        <w:numPr>
          <w:ilvl w:val="0"/>
          <w:numId w:val="5"/>
        </w:numPr>
        <w:spacing w:line="360" w:lineRule="auto"/>
        <w:ind w:left="560" w:hanging="560"/>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中标后分包</w:t>
      </w:r>
    </w:p>
    <w:p>
      <w:pPr>
        <w:spacing w:line="360" w:lineRule="auto"/>
        <w:ind w:firstLine="480" w:firstLineChars="200"/>
        <w:rPr>
          <w:rFonts w:cs="Times New Roman" w:asciiTheme="minorEastAsia" w:hAnsiTheme="minorEastAsia"/>
          <w:color w:val="000000" w:themeColor="text1"/>
          <w:sz w:val="24"/>
          <w:szCs w:val="24"/>
          <w:lang w:val="zh-CN"/>
          <w14:textFill>
            <w14:solidFill>
              <w14:schemeClr w14:val="tx1"/>
            </w14:solidFill>
          </w14:textFill>
        </w:rPr>
      </w:pPr>
      <w:r>
        <w:rPr>
          <w:rFonts w:cs="Times New Roman" w:asciiTheme="minorEastAsia" w:hAnsiTheme="minorEastAsia"/>
          <w:color w:val="000000" w:themeColor="text1"/>
          <w:sz w:val="24"/>
          <w:szCs w:val="24"/>
          <w:lang w:val="zh-CN"/>
          <w14:textFill>
            <w14:solidFill>
              <w14:schemeClr w14:val="tx1"/>
            </w14:solidFill>
          </w14:textFill>
        </w:rPr>
        <w:t>招标文件规定</w:t>
      </w:r>
      <w:r>
        <w:rPr>
          <w:rFonts w:hint="eastAsia" w:cs="Times New Roman" w:asciiTheme="minorEastAsia" w:hAnsiTheme="minorEastAsia"/>
          <w:color w:val="000000" w:themeColor="text1"/>
          <w:sz w:val="24"/>
          <w:szCs w:val="24"/>
          <w:lang w:val="zh-CN"/>
          <w14:textFill>
            <w14:solidFill>
              <w14:schemeClr w14:val="tx1"/>
            </w14:solidFill>
          </w14:textFill>
        </w:rPr>
        <w:t>项目非主体、非关键性工作中标后可以分包</w:t>
      </w:r>
      <w:r>
        <w:rPr>
          <w:rFonts w:cs="Times New Roman" w:asciiTheme="minorEastAsia" w:hAnsiTheme="minorEastAsia"/>
          <w:color w:val="000000" w:themeColor="text1"/>
          <w:sz w:val="24"/>
          <w:szCs w:val="24"/>
          <w:lang w:val="zh-CN"/>
          <w14:textFill>
            <w14:solidFill>
              <w14:schemeClr w14:val="tx1"/>
            </w14:solidFill>
          </w14:textFill>
        </w:rPr>
        <w:t>的，投标人拟在中标后将项目的非主体、非关键性工作分包，应当在投标文件中载明</w:t>
      </w:r>
      <w:r>
        <w:rPr>
          <w:rFonts w:hint="eastAsia" w:cs="Times New Roman" w:asciiTheme="minorEastAsia" w:hAnsiTheme="minorEastAsia"/>
          <w:color w:val="000000" w:themeColor="text1"/>
          <w:sz w:val="24"/>
          <w:szCs w:val="24"/>
          <w:lang w:val="zh-CN"/>
          <w14:textFill>
            <w14:solidFill>
              <w14:schemeClr w14:val="tx1"/>
            </w14:solidFill>
          </w14:textFill>
        </w:rPr>
        <w:t>具备相应资质条件的</w:t>
      </w:r>
      <w:r>
        <w:rPr>
          <w:rFonts w:cs="Times New Roman" w:asciiTheme="minorEastAsia" w:hAnsiTheme="minorEastAsia"/>
          <w:color w:val="000000" w:themeColor="text1"/>
          <w:sz w:val="24"/>
          <w:szCs w:val="24"/>
          <w:lang w:val="zh-CN"/>
          <w14:textFill>
            <w14:solidFill>
              <w14:schemeClr w14:val="tx1"/>
            </w14:solidFill>
          </w14:textFill>
        </w:rPr>
        <w:t>分包承担主体，分包承担主体不得再次分包。</w:t>
      </w:r>
      <w:r>
        <w:rPr>
          <w:rFonts w:hint="eastAsia" w:cs="Times New Roman" w:asciiTheme="minorEastAsia" w:hAnsiTheme="minorEastAsia"/>
          <w:color w:val="000000" w:themeColor="text1"/>
          <w:sz w:val="24"/>
          <w:szCs w:val="24"/>
          <w:lang w:val="zh-CN"/>
          <w14:textFill>
            <w14:solidFill>
              <w14:schemeClr w14:val="tx1"/>
            </w14:solidFill>
          </w14:textFill>
        </w:rPr>
        <w:t>否则中标后不允许分包。</w:t>
      </w:r>
    </w:p>
    <w:p>
      <w:pPr>
        <w:numPr>
          <w:ilvl w:val="0"/>
          <w:numId w:val="5"/>
        </w:numPr>
        <w:spacing w:line="360" w:lineRule="auto"/>
        <w:ind w:left="560" w:hanging="560"/>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联合体投标</w:t>
      </w:r>
    </w:p>
    <w:p>
      <w:pPr>
        <w:numPr>
          <w:ilvl w:val="0"/>
          <w:numId w:val="16"/>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两个及以上供应商可以组成一个联合体，以一个投标人的身份共同参与投标。</w:t>
      </w:r>
    </w:p>
    <w:p>
      <w:pPr>
        <w:numPr>
          <w:ilvl w:val="0"/>
          <w:numId w:val="16"/>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采取联合体形式投标的，联合体各方均应当符合政府采购法第二十二条第一款规定的条件。联合体的主体应完全满足项目投标人资格要求。</w:t>
      </w:r>
    </w:p>
    <w:p>
      <w:pPr>
        <w:numPr>
          <w:ilvl w:val="0"/>
          <w:numId w:val="16"/>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联合体各方之间应签订联合投标协议，明确约定联合体主体及各方承担的工作和相应的责任，其投标文件中应提供联合投标协议。</w:t>
      </w:r>
    </w:p>
    <w:p>
      <w:pPr>
        <w:numPr>
          <w:ilvl w:val="0"/>
          <w:numId w:val="16"/>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以联合体形式参加政府采购活动的，联合体各方不得再单独参加或者与其他供应商另外组成联合体参加同一合同项下的政府采购活动。</w:t>
      </w:r>
    </w:p>
    <w:p>
      <w:pPr>
        <w:numPr>
          <w:ilvl w:val="0"/>
          <w:numId w:val="16"/>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采取联合体形式投标的，其投标文件应由联合体所有成员或其各自正式书面授权的代表签署（盖章），以便对所有成员作为整体及作为个体均具有法律约束力。</w:t>
      </w:r>
    </w:p>
    <w:p>
      <w:pPr>
        <w:numPr>
          <w:ilvl w:val="0"/>
          <w:numId w:val="16"/>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采取联合体形式投标的，项目评审时只对联合体主体进行评议。</w:t>
      </w:r>
    </w:p>
    <w:p>
      <w:pPr>
        <w:numPr>
          <w:ilvl w:val="0"/>
          <w:numId w:val="16"/>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联合体中标的，联合体各方应当共同与采购人签订采购合同，</w:t>
      </w:r>
      <w:r>
        <w:rPr>
          <w:rFonts w:hint="eastAsia" w:ascii="宋体" w:hAnsi="宋体"/>
          <w:color w:val="000000" w:themeColor="text1"/>
          <w:sz w:val="24"/>
          <w14:textFill>
            <w14:solidFill>
              <w14:schemeClr w14:val="tx1"/>
            </w14:solidFill>
          </w14:textFill>
        </w:rPr>
        <w:t>就采购合同约定的事项对采购人承担连带责任，</w:t>
      </w:r>
      <w:r>
        <w:rPr>
          <w:rFonts w:hint="eastAsia" w:cs="Times New Roman" w:asciiTheme="minorEastAsia" w:hAnsiTheme="minorEastAsia"/>
          <w:color w:val="000000" w:themeColor="text1"/>
          <w:sz w:val="24"/>
          <w:szCs w:val="24"/>
          <w:lang w:val="zh-CN"/>
          <w14:textFill>
            <w14:solidFill>
              <w14:schemeClr w14:val="tx1"/>
            </w14:solidFill>
          </w14:textFill>
        </w:rPr>
        <w:t>联合体主体单位负主要责任。</w:t>
      </w:r>
    </w:p>
    <w:p>
      <w:pPr>
        <w:numPr>
          <w:ilvl w:val="0"/>
          <w:numId w:val="16"/>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联合体中有同类资质的供应商按照联合体分工承担相同工作的，应当按照资质等级较低的供应商确定资质等级。</w:t>
      </w:r>
    </w:p>
    <w:p>
      <w:pPr>
        <w:numPr>
          <w:ilvl w:val="0"/>
          <w:numId w:val="16"/>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招标文件第一章“投标人资格要求”中</w:t>
      </w:r>
      <w:r>
        <w:rPr>
          <w:rFonts w:cs="Times New Roman" w:asciiTheme="minorEastAsia" w:hAnsiTheme="minorEastAsia"/>
          <w:color w:val="000000" w:themeColor="text1"/>
          <w:sz w:val="24"/>
          <w:szCs w:val="24"/>
          <w:lang w:val="zh-CN"/>
          <w14:textFill>
            <w14:solidFill>
              <w14:schemeClr w14:val="tx1"/>
            </w14:solidFill>
          </w14:textFill>
        </w:rPr>
        <w:t>未载明</w:t>
      </w:r>
      <w:r>
        <w:rPr>
          <w:rFonts w:hint="eastAsia" w:cs="Times New Roman" w:asciiTheme="minorEastAsia" w:hAnsiTheme="minorEastAsia"/>
          <w:color w:val="000000" w:themeColor="text1"/>
          <w:sz w:val="24"/>
          <w:szCs w:val="24"/>
          <w:lang w:val="zh-CN"/>
          <w14:textFill>
            <w14:solidFill>
              <w14:schemeClr w14:val="tx1"/>
            </w14:solidFill>
          </w14:textFill>
        </w:rPr>
        <w:t>是否接受联合体投标的</w:t>
      </w:r>
      <w:r>
        <w:rPr>
          <w:rFonts w:cs="Times New Roman" w:asciiTheme="minorEastAsia" w:hAnsiTheme="minorEastAsia"/>
          <w:color w:val="000000" w:themeColor="text1"/>
          <w:sz w:val="24"/>
          <w:szCs w:val="24"/>
          <w:lang w:val="zh-CN"/>
          <w14:textFill>
            <w14:solidFill>
              <w14:schemeClr w14:val="tx1"/>
            </w14:solidFill>
          </w14:textFill>
        </w:rPr>
        <w:t>，</w:t>
      </w:r>
      <w:r>
        <w:rPr>
          <w:rFonts w:hint="eastAsia" w:cs="Times New Roman" w:asciiTheme="minorEastAsia" w:hAnsiTheme="minorEastAsia"/>
          <w:color w:val="000000" w:themeColor="text1"/>
          <w:sz w:val="24"/>
          <w:szCs w:val="24"/>
          <w:lang w:val="zh-CN"/>
          <w14:textFill>
            <w14:solidFill>
              <w14:schemeClr w14:val="tx1"/>
            </w14:solidFill>
          </w14:textFill>
        </w:rPr>
        <w:t>视同接受</w:t>
      </w:r>
      <w:r>
        <w:rPr>
          <w:rFonts w:cs="Times New Roman" w:asciiTheme="minorEastAsia" w:hAnsiTheme="minorEastAsia"/>
          <w:color w:val="000000" w:themeColor="text1"/>
          <w:sz w:val="24"/>
          <w:szCs w:val="24"/>
          <w:lang w:val="zh-CN"/>
          <w14:textFill>
            <w14:solidFill>
              <w14:schemeClr w14:val="tx1"/>
            </w14:solidFill>
          </w14:textFill>
        </w:rPr>
        <w:t>。</w:t>
      </w:r>
    </w:p>
    <w:p>
      <w:pPr>
        <w:numPr>
          <w:ilvl w:val="0"/>
          <w:numId w:val="16"/>
        </w:numPr>
        <w:spacing w:line="360" w:lineRule="auto"/>
        <w:ind w:left="728" w:hanging="728"/>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以联合体形式参与投标的，其价格扣除相关规定详见第五章“评标方法、程序及标准”。</w:t>
      </w:r>
    </w:p>
    <w:p>
      <w:pPr>
        <w:numPr>
          <w:ilvl w:val="0"/>
          <w:numId w:val="5"/>
        </w:numPr>
        <w:spacing w:line="360" w:lineRule="auto"/>
        <w:ind w:left="560" w:hanging="560"/>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资格证明文件</w:t>
      </w:r>
    </w:p>
    <w:p>
      <w:pPr>
        <w:numPr>
          <w:ilvl w:val="0"/>
          <w:numId w:val="17"/>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投标人应按本节及第四章“资格审查方法及标准”的要求，提供足以证明其符合项目“投标人资格要求”且中标后有能力履行合同的文件，并作为其投标文件的组成部分。</w:t>
      </w:r>
    </w:p>
    <w:p>
      <w:pPr>
        <w:numPr>
          <w:ilvl w:val="0"/>
          <w:numId w:val="17"/>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资格证明文件应真实、合法，并就此承担相应法律责任。</w:t>
      </w:r>
    </w:p>
    <w:p>
      <w:pPr>
        <w:numPr>
          <w:ilvl w:val="0"/>
          <w:numId w:val="17"/>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资格证明文件正本应为清晰彩色影印件且加盖单位公章，否则按照</w:t>
      </w:r>
      <w:r>
        <w:rPr>
          <w:rFonts w:hint="eastAsia" w:cs="Times New Roman" w:asciiTheme="minorEastAsia" w:hAnsiTheme="minorEastAsia"/>
          <w:b/>
          <w:color w:val="000000" w:themeColor="text1"/>
          <w:sz w:val="24"/>
          <w:szCs w:val="24"/>
          <w:lang w:val="zh-CN"/>
          <w14:textFill>
            <w14:solidFill>
              <w14:schemeClr w14:val="tx1"/>
            </w14:solidFill>
          </w14:textFill>
        </w:rPr>
        <w:t>无效投标处理</w:t>
      </w:r>
      <w:r>
        <w:rPr>
          <w:rFonts w:hint="eastAsia" w:cs="Times New Roman" w:asciiTheme="minorEastAsia" w:hAnsiTheme="minorEastAsia"/>
          <w:color w:val="000000" w:themeColor="text1"/>
          <w:sz w:val="24"/>
          <w:szCs w:val="24"/>
          <w:lang w:val="zh-CN"/>
          <w14:textFill>
            <w14:solidFill>
              <w14:schemeClr w14:val="tx1"/>
            </w14:solidFill>
          </w14:textFill>
        </w:rPr>
        <w:t>。副本可为正本的复印件,但应在副本封面加盖单位公章。</w:t>
      </w:r>
    </w:p>
    <w:p>
      <w:pPr>
        <w:numPr>
          <w:ilvl w:val="0"/>
          <w:numId w:val="17"/>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Helvetica" w:asciiTheme="minorEastAsia" w:hAnsiTheme="minorEastAsia"/>
          <w:color w:val="000000" w:themeColor="text1"/>
          <w:kern w:val="0"/>
          <w:sz w:val="24"/>
          <w:szCs w:val="24"/>
          <w:lang w:val="zh-CN"/>
          <w14:textFill>
            <w14:solidFill>
              <w14:schemeClr w14:val="tx1"/>
            </w14:solidFill>
          </w14:textFill>
        </w:rPr>
        <w:t>资格证明文件内容详见</w:t>
      </w:r>
      <w:r>
        <w:rPr>
          <w:rFonts w:hint="eastAsia" w:cs="Times New Roman" w:asciiTheme="minorEastAsia" w:hAnsiTheme="minorEastAsia"/>
          <w:color w:val="000000" w:themeColor="text1"/>
          <w:sz w:val="24"/>
          <w:szCs w:val="24"/>
          <w:lang w:val="zh-CN"/>
          <w14:textFill>
            <w14:solidFill>
              <w14:schemeClr w14:val="tx1"/>
            </w14:solidFill>
          </w14:textFill>
        </w:rPr>
        <w:t>第四章“资格审查方法及标准”中资格审查内容</w:t>
      </w:r>
      <w:r>
        <w:rPr>
          <w:rFonts w:hint="eastAsia" w:cs="Helvetica" w:asciiTheme="minorEastAsia" w:hAnsiTheme="minorEastAsia"/>
          <w:color w:val="000000" w:themeColor="text1"/>
          <w:kern w:val="0"/>
          <w:sz w:val="24"/>
          <w:szCs w:val="24"/>
          <w:lang w:val="zh-CN"/>
          <w14:textFill>
            <w14:solidFill>
              <w14:schemeClr w14:val="tx1"/>
            </w14:solidFill>
          </w14:textFill>
        </w:rPr>
        <w:t>。</w:t>
      </w:r>
    </w:p>
    <w:p>
      <w:pPr>
        <w:numPr>
          <w:ilvl w:val="0"/>
          <w:numId w:val="5"/>
        </w:numPr>
        <w:spacing w:line="360" w:lineRule="auto"/>
        <w:ind w:left="560" w:hanging="560"/>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投标保证金</w:t>
      </w:r>
      <w:r>
        <w:rPr>
          <w:rFonts w:hint="eastAsia" w:cs="Times New Roman" w:asciiTheme="minorEastAsia" w:hAnsiTheme="minorEastAsia"/>
          <w:color w:val="000000" w:themeColor="text1"/>
          <w:sz w:val="24"/>
          <w:szCs w:val="24"/>
          <w:lang w:val="zh-CN"/>
          <w14:textFill>
            <w14:solidFill>
              <w14:schemeClr w14:val="tx1"/>
            </w14:solidFill>
          </w14:textFill>
        </w:rPr>
        <w:t>：无。</w:t>
      </w:r>
    </w:p>
    <w:p>
      <w:pPr>
        <w:numPr>
          <w:ilvl w:val="0"/>
          <w:numId w:val="5"/>
        </w:numPr>
        <w:spacing w:line="360" w:lineRule="auto"/>
        <w:ind w:left="560" w:hanging="560"/>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投标有效期</w:t>
      </w:r>
    </w:p>
    <w:p>
      <w:pPr>
        <w:numPr>
          <w:ilvl w:val="0"/>
          <w:numId w:val="18"/>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投标有效期详见本章“投标须知前附表”中规定。</w:t>
      </w:r>
      <w:r>
        <w:rPr>
          <w:rFonts w:cs="Helvetica" w:asciiTheme="minorEastAsia" w:hAnsiTheme="minorEastAsia"/>
          <w:color w:val="000000" w:themeColor="text1"/>
          <w:kern w:val="0"/>
          <w:sz w:val="24"/>
          <w:szCs w:val="24"/>
          <w:lang w:val="zh-CN"/>
          <w14:textFill>
            <w14:solidFill>
              <w14:schemeClr w14:val="tx1"/>
            </w14:solidFill>
          </w14:textFill>
        </w:rPr>
        <w:t>投标文件中承诺的投标有效期应当不少于招标文件中载明的投标有效期</w:t>
      </w:r>
      <w:r>
        <w:rPr>
          <w:rFonts w:hint="eastAsia" w:cs="Helvetica" w:asciiTheme="minorEastAsia" w:hAnsiTheme="minorEastAsia"/>
          <w:color w:val="000000" w:themeColor="text1"/>
          <w:kern w:val="0"/>
          <w:sz w:val="24"/>
          <w:szCs w:val="24"/>
          <w:lang w:val="zh-CN"/>
          <w14:textFill>
            <w14:solidFill>
              <w14:schemeClr w14:val="tx1"/>
            </w14:solidFill>
          </w14:textFill>
        </w:rPr>
        <w:t>。投标有效期不足的，</w:t>
      </w:r>
      <w:r>
        <w:rPr>
          <w:rFonts w:hint="eastAsia" w:cs="Times New Roman" w:asciiTheme="minorEastAsia" w:hAnsiTheme="minorEastAsia"/>
          <w:color w:val="000000" w:themeColor="text1"/>
          <w:sz w:val="24"/>
          <w:szCs w:val="24"/>
          <w:lang w:val="zh-CN"/>
          <w14:textFill>
            <w14:solidFill>
              <w14:schemeClr w14:val="tx1"/>
            </w14:solidFill>
          </w14:textFill>
        </w:rPr>
        <w:t>按照</w:t>
      </w:r>
      <w:r>
        <w:rPr>
          <w:rFonts w:hint="eastAsia" w:cs="Times New Roman" w:asciiTheme="minorEastAsia" w:hAnsiTheme="minorEastAsia"/>
          <w:b/>
          <w:color w:val="000000" w:themeColor="text1"/>
          <w:sz w:val="24"/>
          <w:szCs w:val="24"/>
          <w:lang w:val="zh-CN"/>
          <w14:textFill>
            <w14:solidFill>
              <w14:schemeClr w14:val="tx1"/>
            </w14:solidFill>
          </w14:textFill>
        </w:rPr>
        <w:t>无效投标处理。</w:t>
      </w:r>
    </w:p>
    <w:p>
      <w:pPr>
        <w:numPr>
          <w:ilvl w:val="0"/>
          <w:numId w:val="18"/>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特殊情况下，在原投标有效期截止之前，集中采购机构或采购人可要求投标人延长投标有效期。这种要求与答复均应以书面形式提交。投标人可拒绝集中采购机构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pPr>
        <w:numPr>
          <w:ilvl w:val="0"/>
          <w:numId w:val="5"/>
        </w:numPr>
        <w:spacing w:line="360" w:lineRule="auto"/>
        <w:ind w:left="560" w:hanging="560"/>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投标文件的数量和签署</w:t>
      </w:r>
    </w:p>
    <w:p>
      <w:pPr>
        <w:numPr>
          <w:ilvl w:val="0"/>
          <w:numId w:val="19"/>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人应按本章“投标须知前附表”中规定的份数要求编制投标文件，投标文件的副本可为正本的复印件,但应在副本封面加盖单位公章。每套投标文件应清楚地标明“正本”、“副本”。副本与正本不一致的，以正本为准。</w:t>
      </w:r>
    </w:p>
    <w:p>
      <w:pPr>
        <w:numPr>
          <w:ilvl w:val="0"/>
          <w:numId w:val="19"/>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投标文件的正本应打印或用不褪色墨水书写，应由法定代表人或经其正式授权的代表签字或盖章。由被授权代表签字或盖章的，应以书面形式出具授权证明，其《法定代表人授权书》应附在投标文件中。</w:t>
      </w:r>
    </w:p>
    <w:p>
      <w:pPr>
        <w:numPr>
          <w:ilvl w:val="0"/>
          <w:numId w:val="19"/>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投标文件中任何涂改和增删，应由法定代表人或经其正式授权的代表在旁边签字后方为有效。</w:t>
      </w:r>
    </w:p>
    <w:p>
      <w:pPr>
        <w:numPr>
          <w:ilvl w:val="0"/>
          <w:numId w:val="19"/>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招标文件中要求加盖公章及签字（签章）之处，投标文件正本中应按要求提供加盖公章及签字（签章）的原件，否则按照</w:t>
      </w:r>
      <w:r>
        <w:rPr>
          <w:rFonts w:hint="eastAsia" w:cs="Times New Roman" w:asciiTheme="minorEastAsia" w:hAnsiTheme="minorEastAsia"/>
          <w:b/>
          <w:color w:val="000000" w:themeColor="text1"/>
          <w:sz w:val="24"/>
          <w:szCs w:val="24"/>
          <w:lang w:val="zh-CN"/>
          <w14:textFill>
            <w14:solidFill>
              <w14:schemeClr w14:val="tx1"/>
            </w14:solidFill>
          </w14:textFill>
        </w:rPr>
        <w:t>无效投标处理。</w:t>
      </w:r>
    </w:p>
    <w:p>
      <w:pPr>
        <w:numPr>
          <w:ilvl w:val="0"/>
          <w:numId w:val="5"/>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投标文件的密封和标记</w:t>
      </w:r>
    </w:p>
    <w:p>
      <w:pPr>
        <w:numPr>
          <w:ilvl w:val="0"/>
          <w:numId w:val="20"/>
        </w:numPr>
        <w:spacing w:line="360" w:lineRule="auto"/>
        <w:ind w:left="616" w:hanging="616"/>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投标人应将投标文件第一部分资格证明文件、第二部分商务文件、第三部分技术、服务文件一起合并装订成一本投标文件，一起封装。</w:t>
      </w:r>
    </w:p>
    <w:p>
      <w:pPr>
        <w:numPr>
          <w:ilvl w:val="0"/>
          <w:numId w:val="20"/>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color w:val="FF0000"/>
          <w:sz w:val="24"/>
          <w:szCs w:val="20"/>
          <w:lang w:val="zh-CN"/>
        </w:rPr>
        <w:t>投标人应将投标文件</w:t>
      </w:r>
      <w:r>
        <w:rPr>
          <w:rFonts w:hint="eastAsia" w:ascii="宋体" w:hAnsi="宋体"/>
          <w:b/>
          <w:color w:val="FF0000"/>
          <w:sz w:val="24"/>
          <w:szCs w:val="20"/>
          <w:lang w:val="zh-CN"/>
        </w:rPr>
        <w:t>正本和副本</w:t>
      </w:r>
      <w:r>
        <w:rPr>
          <w:rFonts w:hint="eastAsia" w:ascii="宋体" w:hAnsi="宋体"/>
          <w:color w:val="FF0000"/>
          <w:sz w:val="24"/>
          <w:szCs w:val="20"/>
          <w:lang w:val="zh-CN"/>
        </w:rPr>
        <w:t>密封装在单独的封包中</w:t>
      </w:r>
      <w:r>
        <w:rPr>
          <w:rFonts w:hint="eastAsia" w:ascii="宋体" w:hAnsi="宋体" w:eastAsia="宋体" w:cs="Times New Roman"/>
          <w:color w:val="000000" w:themeColor="text1"/>
          <w:sz w:val="24"/>
          <w:szCs w:val="20"/>
          <w:lang w:val="zh-CN"/>
          <w14:textFill>
            <w14:solidFill>
              <w14:schemeClr w14:val="tx1"/>
            </w14:solidFill>
          </w14:textFill>
        </w:rPr>
        <w:t>。</w:t>
      </w:r>
    </w:p>
    <w:p>
      <w:pPr>
        <w:numPr>
          <w:ilvl w:val="0"/>
          <w:numId w:val="20"/>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如果未按要求加写密封、标记或存在错误，集中采购机构对其误投或提前启封概不负责。</w:t>
      </w:r>
    </w:p>
    <w:p>
      <w:pPr>
        <w:numPr>
          <w:ilvl w:val="0"/>
          <w:numId w:val="20"/>
        </w:numPr>
        <w:spacing w:line="360" w:lineRule="auto"/>
        <w:ind w:left="616" w:hanging="616"/>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为方便开标时唱标，投标人应将《开标一览表》原件及《交纳投标保证金的银行凭证》（若有交纳保证金要求的）各一份一并</w:t>
      </w:r>
      <w:r>
        <w:rPr>
          <w:rFonts w:hint="eastAsia" w:ascii="宋体" w:hAnsi="宋体" w:eastAsia="宋体" w:cs="Times New Roman"/>
          <w:color w:val="000000" w:themeColor="text1"/>
          <w:spacing w:val="-6"/>
          <w:kern w:val="0"/>
          <w:sz w:val="24"/>
          <w:szCs w:val="20"/>
          <w:lang w:val="zh-CN"/>
          <w14:textFill>
            <w14:solidFill>
              <w14:schemeClr w14:val="tx1"/>
            </w14:solidFill>
          </w14:textFill>
        </w:rPr>
        <w:t>装入一个信封，单独密封提交</w:t>
      </w:r>
      <w:r>
        <w:rPr>
          <w:rFonts w:hint="eastAsia" w:ascii="宋体" w:hAnsi="宋体" w:eastAsia="宋体" w:cs="Times New Roman"/>
          <w:color w:val="000000" w:themeColor="text1"/>
          <w:sz w:val="24"/>
          <w:szCs w:val="20"/>
          <w:lang w:val="zh-CN"/>
          <w14:textFill>
            <w14:solidFill>
              <w14:schemeClr w14:val="tx1"/>
            </w14:solidFill>
          </w14:textFill>
        </w:rPr>
        <w:t>，并在信封上标明“开标一览表”字样。未单独提交或单独提交的上述资料未按照招标文件规定的格式填写完整并签字、盖章的采购人</w:t>
      </w:r>
      <w:r>
        <w:rPr>
          <w:rFonts w:hint="eastAsia" w:ascii="宋体" w:hAnsi="宋体" w:eastAsia="宋体" w:cs="Times New Roman"/>
          <w:b/>
          <w:color w:val="000000" w:themeColor="text1"/>
          <w:sz w:val="24"/>
          <w:szCs w:val="20"/>
          <w:lang w:val="zh-CN"/>
          <w14:textFill>
            <w14:solidFill>
              <w14:schemeClr w14:val="tx1"/>
            </w14:solidFill>
          </w14:textFill>
        </w:rPr>
        <w:t>拒绝</w:t>
      </w:r>
      <w:r>
        <w:rPr>
          <w:rFonts w:hint="eastAsia" w:ascii="宋体" w:hAnsi="宋体" w:eastAsia="宋体" w:cs="Times New Roman"/>
          <w:color w:val="000000" w:themeColor="text1"/>
          <w:sz w:val="24"/>
          <w:szCs w:val="20"/>
          <w:lang w:val="zh-CN"/>
          <w14:textFill>
            <w14:solidFill>
              <w14:schemeClr w14:val="tx1"/>
            </w14:solidFill>
          </w14:textFill>
        </w:rPr>
        <w:t>其投标。</w:t>
      </w:r>
    </w:p>
    <w:p>
      <w:pPr>
        <w:numPr>
          <w:ilvl w:val="0"/>
          <w:numId w:val="20"/>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“开标一览表”信封和投标文件的封包上应注明采购项目编号、项目名称、投标内容和有“在（招标文件中规定的开标日期和时间）之前不得启封”的字样，封口处加盖投标人公章。</w:t>
      </w:r>
    </w:p>
    <w:p>
      <w:pPr>
        <w:numPr>
          <w:ilvl w:val="0"/>
          <w:numId w:val="5"/>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投标文件递交</w:t>
      </w:r>
    </w:p>
    <w:p>
      <w:pPr>
        <w:numPr>
          <w:ilvl w:val="0"/>
          <w:numId w:val="21"/>
        </w:numPr>
        <w:spacing w:line="360" w:lineRule="auto"/>
        <w:ind w:left="616" w:hanging="616"/>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投标人应在不迟于投标邀请书中规定的投标截止日期和时间将投标文件密封递交至采购人（或代理公司）规定的投标地点。</w:t>
      </w:r>
    </w:p>
    <w:p>
      <w:pPr>
        <w:numPr>
          <w:ilvl w:val="0"/>
          <w:numId w:val="21"/>
        </w:numPr>
        <w:spacing w:line="360" w:lineRule="auto"/>
        <w:ind w:left="616" w:hanging="616"/>
        <w:rPr>
          <w:rFonts w:ascii="Helvetica" w:hAnsi="Helvetica" w:eastAsia="宋体" w:cs="Helvetica"/>
          <w:b/>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采购人（或代理公司）</w:t>
      </w:r>
      <w:r>
        <w:rPr>
          <w:rFonts w:hint="eastAsia" w:ascii="Helvetica" w:hAnsi="Helvetica" w:eastAsia="宋体" w:cs="Helvetica"/>
          <w:b/>
          <w:color w:val="000000" w:themeColor="text1"/>
          <w:kern w:val="0"/>
          <w:sz w:val="24"/>
          <w:szCs w:val="24"/>
          <w:lang w:val="zh-CN"/>
          <w14:textFill>
            <w14:solidFill>
              <w14:schemeClr w14:val="tx1"/>
            </w14:solidFill>
          </w14:textFill>
        </w:rPr>
        <w:t>拒收逾期送达或者未按招标文件要求密封的投标文件。</w:t>
      </w:r>
    </w:p>
    <w:p>
      <w:pPr>
        <w:numPr>
          <w:ilvl w:val="0"/>
          <w:numId w:val="21"/>
        </w:numPr>
        <w:spacing w:line="360" w:lineRule="auto"/>
        <w:ind w:left="616" w:hanging="616"/>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采购人（或代理公司）</w:t>
      </w:r>
      <w:r>
        <w:rPr>
          <w:rFonts w:ascii="Helvetica" w:hAnsi="Helvetica" w:eastAsia="宋体" w:cs="Helvetica"/>
          <w:color w:val="000000" w:themeColor="text1"/>
          <w:kern w:val="0"/>
          <w:sz w:val="24"/>
          <w:szCs w:val="24"/>
          <w:lang w:val="zh-CN"/>
          <w14:textFill>
            <w14:solidFill>
              <w14:schemeClr w14:val="tx1"/>
            </w14:solidFill>
          </w14:textFill>
        </w:rPr>
        <w:t>收到投标文件后，应当如实记载投标文件的送达时间和密封情况，签收保存，并向投标人出具签收回执。</w:t>
      </w:r>
    </w:p>
    <w:p>
      <w:pPr>
        <w:numPr>
          <w:ilvl w:val="0"/>
          <w:numId w:val="5"/>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投标文件的修改和撤回</w:t>
      </w:r>
    </w:p>
    <w:p>
      <w:pPr>
        <w:numPr>
          <w:ilvl w:val="0"/>
          <w:numId w:val="22"/>
        </w:numPr>
        <w:spacing w:line="360" w:lineRule="auto"/>
        <w:ind w:left="616" w:hanging="616"/>
        <w:rPr>
          <w:rFonts w:ascii="宋体" w:hAnsi="宋体" w:eastAsia="宋体" w:cs="Times New Roman"/>
          <w:strike/>
          <w:color w:val="000000" w:themeColor="text1"/>
          <w:sz w:val="24"/>
          <w:szCs w:val="20"/>
          <w:lang w:val="zh-CN"/>
          <w14:textFill>
            <w14:solidFill>
              <w14:schemeClr w14:val="tx1"/>
            </w14:solidFill>
          </w14:textFill>
        </w:rPr>
      </w:pPr>
      <w:r>
        <w:rPr>
          <w:rFonts w:ascii="宋体" w:hAnsi="宋体" w:eastAsia="宋体" w:cs="Times New Roman"/>
          <w:color w:val="000000" w:themeColor="text1"/>
          <w:sz w:val="24"/>
          <w:szCs w:val="20"/>
          <w:lang w:val="zh-CN"/>
          <w14:textFill>
            <w14:solidFill>
              <w14:schemeClr w14:val="tx1"/>
            </w14:solidFill>
          </w14:textFill>
        </w:rPr>
        <w:t>投标人在投标截止时间前，可以对所递交的投标文件进行补充、修改或者撤回，并书面通知</w:t>
      </w:r>
      <w:r>
        <w:rPr>
          <w:rFonts w:hint="eastAsia" w:ascii="宋体" w:hAnsi="宋体" w:eastAsia="宋体" w:cs="Times New Roman"/>
          <w:color w:val="000000" w:themeColor="text1"/>
          <w:sz w:val="24"/>
          <w:szCs w:val="20"/>
          <w:lang w:val="zh-CN"/>
          <w14:textFill>
            <w14:solidFill>
              <w14:schemeClr w14:val="tx1"/>
            </w14:solidFill>
          </w14:textFill>
        </w:rPr>
        <w:t>集中采购机构</w:t>
      </w:r>
      <w:r>
        <w:rPr>
          <w:rFonts w:ascii="宋体" w:hAnsi="宋体" w:eastAsia="宋体" w:cs="Times New Roman"/>
          <w:color w:val="000000" w:themeColor="text1"/>
          <w:sz w:val="24"/>
          <w:szCs w:val="20"/>
          <w:lang w:val="zh-CN"/>
          <w14:textFill>
            <w14:solidFill>
              <w14:schemeClr w14:val="tx1"/>
            </w14:solidFill>
          </w14:textFill>
        </w:rPr>
        <w:t>。补充、修改的内容应当按照招标文件要求签署、盖章、密封后，作为投标文件的组成部分。</w:t>
      </w:r>
    </w:p>
    <w:p>
      <w:pPr>
        <w:numPr>
          <w:ilvl w:val="0"/>
          <w:numId w:val="22"/>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投标有效期内投标人不得撤销其投标文件，否则按照本章“投标保证金”的规定其投标保证金不予退还。</w:t>
      </w:r>
    </w:p>
    <w:p>
      <w:pPr>
        <w:numPr>
          <w:ilvl w:val="0"/>
          <w:numId w:val="22"/>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投标人所递交的投标文件无论中标与否不予退还。</w:t>
      </w:r>
    </w:p>
    <w:p>
      <w:pPr>
        <w:pStyle w:val="5"/>
        <w:numPr>
          <w:ilvl w:val="0"/>
          <w:numId w:val="4"/>
        </w:numPr>
        <w:spacing w:before="40" w:after="40" w:line="360" w:lineRule="auto"/>
        <w:ind w:left="658" w:hanging="658"/>
        <w:jc w:val="left"/>
        <w:rPr>
          <w:rFonts w:cs="Times New Roman" w:asciiTheme="majorEastAsia" w:hAnsiTheme="majorEastAsia"/>
          <w:bCs w:val="0"/>
          <w:color w:val="000000" w:themeColor="text1"/>
          <w:lang w:val="zh-CN"/>
          <w14:textFill>
            <w14:solidFill>
              <w14:schemeClr w14:val="tx1"/>
            </w14:solidFill>
          </w14:textFill>
        </w:rPr>
      </w:pPr>
      <w:bookmarkStart w:id="14" w:name="_Toc272247698"/>
      <w:bookmarkStart w:id="15" w:name="_Toc278891595"/>
      <w:bookmarkStart w:id="16" w:name="_Toc25229"/>
      <w:bookmarkStart w:id="17" w:name="_Toc494561942"/>
      <w:r>
        <w:rPr>
          <w:rFonts w:hint="eastAsia" w:cs="Times New Roman" w:asciiTheme="majorEastAsia" w:hAnsiTheme="majorEastAsia"/>
          <w:bCs w:val="0"/>
          <w:color w:val="000000" w:themeColor="text1"/>
          <w:lang w:val="zh-CN"/>
          <w14:textFill>
            <w14:solidFill>
              <w14:schemeClr w14:val="tx1"/>
            </w14:solidFill>
          </w14:textFill>
        </w:rPr>
        <w:t>开标与评标</w:t>
      </w:r>
      <w:bookmarkEnd w:id="14"/>
      <w:bookmarkEnd w:id="15"/>
      <w:bookmarkEnd w:id="16"/>
      <w:bookmarkEnd w:id="17"/>
    </w:p>
    <w:p>
      <w:pPr>
        <w:numPr>
          <w:ilvl w:val="0"/>
          <w:numId w:val="5"/>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开标</w:t>
      </w:r>
    </w:p>
    <w:p>
      <w:pPr>
        <w:numPr>
          <w:ilvl w:val="0"/>
          <w:numId w:val="23"/>
        </w:numPr>
        <w:spacing w:line="360" w:lineRule="auto"/>
        <w:ind w:left="616" w:hanging="616"/>
        <w:rPr>
          <w:rFonts w:ascii="宋体" w:hAnsi="宋体" w:eastAsia="宋体" w:cs="Times New Roman"/>
          <w:b/>
          <w:color w:val="000000" w:themeColor="text1"/>
          <w:sz w:val="24"/>
          <w:szCs w:val="20"/>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采购人（或代理公司）</w:t>
      </w:r>
      <w:r>
        <w:rPr>
          <w:rFonts w:hint="eastAsia" w:ascii="宋体" w:hAnsi="宋体" w:eastAsia="宋体" w:cs="Times New Roman"/>
          <w:color w:val="000000" w:themeColor="text1"/>
          <w:sz w:val="24"/>
          <w:szCs w:val="20"/>
          <w:lang w:val="zh-CN"/>
          <w14:textFill>
            <w14:solidFill>
              <w14:schemeClr w14:val="tx1"/>
            </w14:solidFill>
          </w14:textFill>
        </w:rPr>
        <w:t>在第一章“投标邀请书”中约定的日期、时间和地点组织公开开标。开标时采购人和投标人代表（投标人法定代表人或其授权代表）参加,参加开标的代表应签到以证明其出席</w:t>
      </w:r>
      <w:r>
        <w:rPr>
          <w:rFonts w:hint="eastAsia" w:ascii="宋体" w:hAnsi="宋体" w:eastAsia="宋体" w:cs="Times New Roman"/>
          <w:b/>
          <w:color w:val="000000" w:themeColor="text1"/>
          <w:sz w:val="24"/>
          <w:szCs w:val="20"/>
          <w:lang w:val="zh-CN"/>
          <w14:textFill>
            <w14:solidFill>
              <w14:schemeClr w14:val="tx1"/>
            </w14:solidFill>
          </w14:textFill>
        </w:rPr>
        <w:t>，否则视同认可开标结果。</w:t>
      </w:r>
    </w:p>
    <w:p>
      <w:pPr>
        <w:numPr>
          <w:ilvl w:val="0"/>
          <w:numId w:val="23"/>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投标人法定代表人或其授权代表应携带有效身份证明参加项目开标会，</w:t>
      </w:r>
      <w:r>
        <w:rPr>
          <w:rFonts w:ascii="宋体" w:hAnsi="宋体" w:eastAsia="宋体" w:cs="Times New Roman"/>
          <w:color w:val="000000" w:themeColor="text1"/>
          <w:sz w:val="24"/>
          <w:szCs w:val="20"/>
          <w:lang w:val="zh-CN"/>
          <w14:textFill>
            <w14:solidFill>
              <w14:schemeClr w14:val="tx1"/>
            </w14:solidFill>
          </w14:textFill>
        </w:rPr>
        <w:t>投标人未参加开标的，视同认可开标结果。</w:t>
      </w:r>
      <w:r>
        <w:rPr>
          <w:rFonts w:hint="eastAsia" w:ascii="宋体" w:hAnsi="宋体" w:eastAsia="宋体" w:cs="Times New Roman"/>
          <w:color w:val="000000" w:themeColor="text1"/>
          <w:sz w:val="24"/>
          <w:szCs w:val="20"/>
          <w:lang w:val="zh-CN"/>
          <w14:textFill>
            <w14:solidFill>
              <w14:schemeClr w14:val="tx1"/>
            </w14:solidFill>
          </w14:textFill>
        </w:rPr>
        <w:t>截止</w:t>
      </w:r>
      <w:r>
        <w:rPr>
          <w:rFonts w:hint="eastAsia" w:ascii="宋体" w:hAnsi="宋体" w:eastAsia="宋体" w:cs="宋体"/>
          <w:color w:val="000000" w:themeColor="text1"/>
          <w:kern w:val="0"/>
          <w:sz w:val="24"/>
          <w:szCs w:val="24"/>
          <w14:textFill>
            <w14:solidFill>
              <w14:schemeClr w14:val="tx1"/>
            </w14:solidFill>
          </w14:textFill>
        </w:rPr>
        <w:t>投标文件</w:t>
      </w:r>
      <w:r>
        <w:rPr>
          <w:rFonts w:hint="eastAsia" w:ascii="宋体" w:hAnsi="宋体" w:eastAsia="宋体" w:cs="Times New Roman"/>
          <w:color w:val="000000" w:themeColor="text1"/>
          <w:sz w:val="24"/>
          <w:szCs w:val="20"/>
          <w:lang w:val="zh-CN"/>
          <w14:textFill>
            <w14:solidFill>
              <w14:schemeClr w14:val="tx1"/>
            </w14:solidFill>
          </w14:textFill>
        </w:rPr>
        <w:t>递交时间，投标人不足3家的，不进行开标</w:t>
      </w:r>
      <w:r>
        <w:rPr>
          <w:rFonts w:hint="eastAsia" w:ascii="Helvetica" w:hAnsi="Helvetica" w:eastAsia="宋体" w:cs="Helvetica"/>
          <w:color w:val="000000" w:themeColor="text1"/>
          <w:kern w:val="0"/>
          <w:sz w:val="24"/>
          <w:szCs w:val="24"/>
          <w:lang w:val="zh-CN"/>
          <w14:textFill>
            <w14:solidFill>
              <w14:schemeClr w14:val="tx1"/>
            </w14:solidFill>
          </w14:textFill>
        </w:rPr>
        <w:t>。</w:t>
      </w:r>
    </w:p>
    <w:p>
      <w:pPr>
        <w:numPr>
          <w:ilvl w:val="0"/>
          <w:numId w:val="23"/>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开标时，由投标人或其推选的代表检查投标文件的密封情况，经确认无误后由</w:t>
      </w:r>
      <w:r>
        <w:rPr>
          <w:rFonts w:hint="eastAsia" w:ascii="Helvetica" w:hAnsi="Helvetica" w:eastAsia="宋体" w:cs="Helvetica"/>
          <w:color w:val="000000" w:themeColor="text1"/>
          <w:kern w:val="0"/>
          <w:sz w:val="24"/>
          <w:szCs w:val="24"/>
          <w:lang w:val="zh-CN"/>
          <w14:textFill>
            <w14:solidFill>
              <w14:schemeClr w14:val="tx1"/>
            </w14:solidFill>
          </w14:textFill>
        </w:rPr>
        <w:t>采购人（或代理公司）</w:t>
      </w:r>
      <w:r>
        <w:rPr>
          <w:rFonts w:hint="eastAsia" w:ascii="宋体" w:hAnsi="宋体" w:eastAsia="宋体" w:cs="Times New Roman"/>
          <w:color w:val="000000" w:themeColor="text1"/>
          <w:sz w:val="24"/>
          <w:szCs w:val="20"/>
          <w:lang w:val="zh-CN"/>
          <w14:textFill>
            <w14:solidFill>
              <w14:schemeClr w14:val="tx1"/>
            </w14:solidFill>
          </w14:textFill>
        </w:rPr>
        <w:t>工作人员当众拆封，</w:t>
      </w:r>
      <w:r>
        <w:rPr>
          <w:rFonts w:ascii="宋体" w:hAnsi="宋体" w:eastAsia="宋体" w:cs="Times New Roman"/>
          <w:color w:val="000000" w:themeColor="text1"/>
          <w:sz w:val="24"/>
          <w:szCs w:val="20"/>
          <w:lang w:val="zh-CN"/>
          <w14:textFill>
            <w14:solidFill>
              <w14:schemeClr w14:val="tx1"/>
            </w14:solidFill>
          </w14:textFill>
        </w:rPr>
        <w:t>宣布投标人名称、投标价格和招标文件规定的需要宣布的其他内容。</w:t>
      </w:r>
    </w:p>
    <w:p>
      <w:pPr>
        <w:numPr>
          <w:ilvl w:val="0"/>
          <w:numId w:val="23"/>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采购人（或代理公司）</w:t>
      </w:r>
      <w:r>
        <w:rPr>
          <w:rFonts w:ascii="宋体" w:hAnsi="宋体" w:eastAsia="宋体" w:cs="Times New Roman"/>
          <w:color w:val="000000" w:themeColor="text1"/>
          <w:sz w:val="24"/>
          <w:szCs w:val="20"/>
          <w:lang w:val="zh-CN"/>
          <w14:textFill>
            <w14:solidFill>
              <w14:schemeClr w14:val="tx1"/>
            </w14:solidFill>
          </w14:textFill>
        </w:rPr>
        <w:t>负责</w:t>
      </w:r>
      <w:r>
        <w:rPr>
          <w:rFonts w:hint="eastAsia" w:ascii="宋体" w:hAnsi="宋体" w:eastAsia="宋体" w:cs="Times New Roman"/>
          <w:color w:val="000000" w:themeColor="text1"/>
          <w:sz w:val="24"/>
          <w:szCs w:val="20"/>
          <w:lang w:val="zh-CN"/>
          <w14:textFill>
            <w14:solidFill>
              <w14:schemeClr w14:val="tx1"/>
            </w14:solidFill>
          </w14:textFill>
        </w:rPr>
        <w:t>对</w:t>
      </w:r>
      <w:r>
        <w:rPr>
          <w:rFonts w:ascii="宋体" w:hAnsi="宋体" w:eastAsia="宋体" w:cs="Times New Roman"/>
          <w:color w:val="000000" w:themeColor="text1"/>
          <w:sz w:val="24"/>
          <w:szCs w:val="20"/>
          <w:lang w:val="zh-CN"/>
          <w14:textFill>
            <w14:solidFill>
              <w14:schemeClr w14:val="tx1"/>
            </w14:solidFill>
          </w14:textFill>
        </w:rPr>
        <w:t>开标过程</w:t>
      </w:r>
      <w:r>
        <w:rPr>
          <w:rFonts w:hint="eastAsia" w:ascii="宋体" w:hAnsi="宋体" w:eastAsia="宋体" w:cs="Times New Roman"/>
          <w:color w:val="000000" w:themeColor="text1"/>
          <w:sz w:val="24"/>
          <w:szCs w:val="20"/>
          <w:lang w:val="zh-CN"/>
          <w14:textFill>
            <w14:solidFill>
              <w14:schemeClr w14:val="tx1"/>
            </w14:solidFill>
          </w14:textFill>
        </w:rPr>
        <w:t>进行</w:t>
      </w:r>
      <w:r>
        <w:rPr>
          <w:rFonts w:ascii="宋体" w:hAnsi="宋体" w:eastAsia="宋体" w:cs="Times New Roman"/>
          <w:color w:val="000000" w:themeColor="text1"/>
          <w:sz w:val="24"/>
          <w:szCs w:val="20"/>
          <w:lang w:val="zh-CN"/>
          <w14:textFill>
            <w14:solidFill>
              <w14:schemeClr w14:val="tx1"/>
            </w14:solidFill>
          </w14:textFill>
        </w:rPr>
        <w:t>记录，由参加开标的各投标人代表和相关工作人员</w:t>
      </w:r>
      <w:r>
        <w:rPr>
          <w:rFonts w:hint="eastAsia" w:ascii="宋体" w:hAnsi="宋体" w:eastAsia="宋体" w:cs="Times New Roman"/>
          <w:color w:val="000000" w:themeColor="text1"/>
          <w:sz w:val="24"/>
          <w:szCs w:val="20"/>
          <w:lang w:val="zh-CN"/>
          <w14:textFill>
            <w14:solidFill>
              <w14:schemeClr w14:val="tx1"/>
            </w14:solidFill>
          </w14:textFill>
        </w:rPr>
        <w:t>对开标记录进行</w:t>
      </w:r>
      <w:r>
        <w:rPr>
          <w:rFonts w:ascii="宋体" w:hAnsi="宋体" w:eastAsia="宋体" w:cs="Times New Roman"/>
          <w:color w:val="000000" w:themeColor="text1"/>
          <w:sz w:val="24"/>
          <w:szCs w:val="20"/>
          <w:lang w:val="zh-CN"/>
          <w14:textFill>
            <w14:solidFill>
              <w14:schemeClr w14:val="tx1"/>
            </w14:solidFill>
          </w14:textFill>
        </w:rPr>
        <w:t>签字确认。</w:t>
      </w:r>
    </w:p>
    <w:p>
      <w:pPr>
        <w:numPr>
          <w:ilvl w:val="0"/>
          <w:numId w:val="23"/>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ascii="宋体" w:hAnsi="宋体" w:eastAsia="宋体" w:cs="Times New Roman"/>
          <w:color w:val="000000" w:themeColor="text1"/>
          <w:sz w:val="24"/>
          <w:szCs w:val="20"/>
          <w:lang w:val="zh-CN"/>
          <w14:textFill>
            <w14:solidFill>
              <w14:schemeClr w14:val="tx1"/>
            </w14:solidFill>
          </w14:textFill>
        </w:rPr>
        <w:t>投标人代表对开标过程和开标记录有疑义，以及认为采购人、</w:t>
      </w:r>
      <w:r>
        <w:rPr>
          <w:rFonts w:hint="eastAsia" w:ascii="Helvetica" w:hAnsi="Helvetica" w:eastAsia="宋体" w:cs="Helvetica"/>
          <w:color w:val="000000" w:themeColor="text1"/>
          <w:kern w:val="0"/>
          <w:sz w:val="24"/>
          <w:szCs w:val="24"/>
          <w:lang w:val="zh-CN"/>
          <w14:textFill>
            <w14:solidFill>
              <w14:schemeClr w14:val="tx1"/>
            </w14:solidFill>
          </w14:textFill>
        </w:rPr>
        <w:t>代理公司</w:t>
      </w:r>
      <w:r>
        <w:rPr>
          <w:rFonts w:ascii="宋体" w:hAnsi="宋体" w:eastAsia="宋体" w:cs="Times New Roman"/>
          <w:color w:val="000000" w:themeColor="text1"/>
          <w:sz w:val="24"/>
          <w:szCs w:val="20"/>
          <w:lang w:val="zh-CN"/>
          <w14:textFill>
            <w14:solidFill>
              <w14:schemeClr w14:val="tx1"/>
            </w14:solidFill>
          </w14:textFill>
        </w:rPr>
        <w:t>相关工作人员有需要回避的情形的，应当场提出询问或者回避申请。采购人、</w:t>
      </w:r>
      <w:r>
        <w:rPr>
          <w:rFonts w:hint="eastAsia" w:ascii="Helvetica" w:hAnsi="Helvetica" w:eastAsia="宋体" w:cs="Helvetica"/>
          <w:color w:val="000000" w:themeColor="text1"/>
          <w:kern w:val="0"/>
          <w:sz w:val="24"/>
          <w:szCs w:val="24"/>
          <w:lang w:val="zh-CN"/>
          <w14:textFill>
            <w14:solidFill>
              <w14:schemeClr w14:val="tx1"/>
            </w14:solidFill>
          </w14:textFill>
        </w:rPr>
        <w:t>代理公司</w:t>
      </w:r>
      <w:r>
        <w:rPr>
          <w:rFonts w:hint="eastAsia" w:ascii="宋体" w:hAnsi="宋体" w:eastAsia="宋体" w:cs="Times New Roman"/>
          <w:color w:val="000000" w:themeColor="text1"/>
          <w:sz w:val="24"/>
          <w:szCs w:val="20"/>
          <w:lang w:val="zh-CN"/>
          <w14:textFill>
            <w14:solidFill>
              <w14:schemeClr w14:val="tx1"/>
            </w14:solidFill>
          </w14:textFill>
        </w:rPr>
        <w:t>将</w:t>
      </w:r>
      <w:r>
        <w:rPr>
          <w:rFonts w:ascii="宋体" w:hAnsi="宋体" w:eastAsia="宋体" w:cs="Times New Roman"/>
          <w:color w:val="000000" w:themeColor="text1"/>
          <w:sz w:val="24"/>
          <w:szCs w:val="20"/>
          <w:lang w:val="zh-CN"/>
          <w14:textFill>
            <w14:solidFill>
              <w14:schemeClr w14:val="tx1"/>
            </w14:solidFill>
          </w14:textFill>
        </w:rPr>
        <w:t>及时处理投标人代表提出的询问或者回避申请。</w:t>
      </w:r>
    </w:p>
    <w:p>
      <w:pPr>
        <w:numPr>
          <w:ilvl w:val="0"/>
          <w:numId w:val="5"/>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资格审查</w:t>
      </w:r>
    </w:p>
    <w:p>
      <w:pPr>
        <w:numPr>
          <w:ilvl w:val="0"/>
          <w:numId w:val="24"/>
        </w:numPr>
        <w:spacing w:line="360" w:lineRule="auto"/>
        <w:ind w:left="616" w:hanging="616"/>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公开招标采购项目开标结束后，采购人和采购代理公司依据法律、法规及招标文件的规定，对投标人的资格进行审查，以确定投标人资格是否合格。</w:t>
      </w:r>
      <w:r>
        <w:rPr>
          <w:rFonts w:ascii="Helvetica" w:hAnsi="Helvetica" w:eastAsia="宋体" w:cs="Helvetica"/>
          <w:color w:val="000000" w:themeColor="text1"/>
          <w:kern w:val="0"/>
          <w:sz w:val="24"/>
          <w:szCs w:val="24"/>
          <w:lang w:val="zh-CN"/>
          <w14:textFill>
            <w14:solidFill>
              <w14:schemeClr w14:val="tx1"/>
            </w14:solidFill>
          </w14:textFill>
        </w:rPr>
        <w:t>合格投标人不足</w:t>
      </w:r>
      <w:r>
        <w:rPr>
          <w:rFonts w:ascii="宋体" w:hAnsi="宋体" w:eastAsia="宋体" w:cs="Helvetica"/>
          <w:color w:val="000000" w:themeColor="text1"/>
          <w:kern w:val="0"/>
          <w:sz w:val="24"/>
          <w:szCs w:val="24"/>
          <w:lang w:val="zh-CN"/>
          <w14:textFill>
            <w14:solidFill>
              <w14:schemeClr w14:val="tx1"/>
            </w14:solidFill>
          </w14:textFill>
        </w:rPr>
        <w:t>3</w:t>
      </w:r>
      <w:r>
        <w:rPr>
          <w:rFonts w:ascii="Helvetica" w:hAnsi="Helvetica" w:eastAsia="宋体" w:cs="Helvetica"/>
          <w:color w:val="000000" w:themeColor="text1"/>
          <w:kern w:val="0"/>
          <w:sz w:val="24"/>
          <w:szCs w:val="24"/>
          <w:lang w:val="zh-CN"/>
          <w14:textFill>
            <w14:solidFill>
              <w14:schemeClr w14:val="tx1"/>
            </w14:solidFill>
          </w14:textFill>
        </w:rPr>
        <w:t>家的，不</w:t>
      </w:r>
      <w:r>
        <w:rPr>
          <w:rFonts w:hint="eastAsia" w:ascii="Helvetica" w:hAnsi="Helvetica" w:eastAsia="宋体" w:cs="Helvetica"/>
          <w:color w:val="000000" w:themeColor="text1"/>
          <w:kern w:val="0"/>
          <w:sz w:val="24"/>
          <w:szCs w:val="24"/>
          <w:lang w:val="zh-CN"/>
          <w14:textFill>
            <w14:solidFill>
              <w14:schemeClr w14:val="tx1"/>
            </w14:solidFill>
          </w14:textFill>
        </w:rPr>
        <w:t>进行</w:t>
      </w:r>
      <w:r>
        <w:rPr>
          <w:rFonts w:ascii="Helvetica" w:hAnsi="Helvetica" w:eastAsia="宋体" w:cs="Helvetica"/>
          <w:color w:val="000000" w:themeColor="text1"/>
          <w:kern w:val="0"/>
          <w:sz w:val="24"/>
          <w:szCs w:val="24"/>
          <w:lang w:val="zh-CN"/>
          <w14:textFill>
            <w14:solidFill>
              <w14:schemeClr w14:val="tx1"/>
            </w14:solidFill>
          </w14:textFill>
        </w:rPr>
        <w:t>评标</w:t>
      </w:r>
      <w:r>
        <w:rPr>
          <w:rFonts w:hint="eastAsia" w:ascii="Helvetica" w:hAnsi="Helvetica" w:eastAsia="宋体" w:cs="Helvetica"/>
          <w:color w:val="000000" w:themeColor="text1"/>
          <w:kern w:val="0"/>
          <w:sz w:val="24"/>
          <w:szCs w:val="24"/>
          <w:lang w:val="zh-CN"/>
          <w14:textFill>
            <w14:solidFill>
              <w14:schemeClr w14:val="tx1"/>
            </w14:solidFill>
          </w14:textFill>
        </w:rPr>
        <w:t>。</w:t>
      </w:r>
    </w:p>
    <w:p>
      <w:pPr>
        <w:numPr>
          <w:ilvl w:val="0"/>
          <w:numId w:val="24"/>
        </w:numPr>
        <w:spacing w:line="360" w:lineRule="auto"/>
        <w:ind w:left="616" w:hanging="616"/>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资格审查详见第四章“资格审查方法及标准”。</w:t>
      </w:r>
    </w:p>
    <w:p>
      <w:pPr>
        <w:numPr>
          <w:ilvl w:val="0"/>
          <w:numId w:val="5"/>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评标方法</w:t>
      </w:r>
    </w:p>
    <w:p>
      <w:pPr>
        <w:numPr>
          <w:ilvl w:val="0"/>
          <w:numId w:val="25"/>
        </w:numPr>
        <w:spacing w:line="360" w:lineRule="auto"/>
        <w:ind w:left="616" w:hanging="616"/>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最低评标价法。最低评标价法是指投标文件满足招标文件全部实质性要求，且投标报价最低的投标人为中标候选人的评标方法。</w:t>
      </w:r>
    </w:p>
    <w:p>
      <w:pPr>
        <w:numPr>
          <w:ilvl w:val="0"/>
          <w:numId w:val="25"/>
        </w:numPr>
        <w:spacing w:line="360" w:lineRule="auto"/>
        <w:ind w:left="616" w:hanging="616"/>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综合评分法。</w:t>
      </w:r>
      <w:r>
        <w:rPr>
          <w:rFonts w:ascii="宋体" w:hAnsi="宋体" w:eastAsia="宋体" w:cs="Times New Roman"/>
          <w:bCs/>
          <w:color w:val="000000" w:themeColor="text1"/>
          <w:sz w:val="24"/>
          <w:szCs w:val="20"/>
          <w:lang w:val="zh-CN"/>
          <w14:textFill>
            <w14:solidFill>
              <w14:schemeClr w14:val="tx1"/>
            </w14:solidFill>
          </w14:textFill>
        </w:rPr>
        <w:t>综合评分法是指投标文件满足招标文件全部实质性要求，且按照评审因素的量化指标评审得分最高的投标人为中标候选人的评标方法。</w:t>
      </w:r>
    </w:p>
    <w:p>
      <w:pPr>
        <w:numPr>
          <w:ilvl w:val="0"/>
          <w:numId w:val="25"/>
        </w:numPr>
        <w:spacing w:line="360" w:lineRule="auto"/>
        <w:ind w:left="616" w:hanging="616"/>
        <w:rPr>
          <w:rFonts w:ascii="宋体" w:hAnsi="宋体" w:eastAsia="宋体" w:cs="Times New Roman"/>
          <w:bCs/>
          <w:color w:val="000000" w:themeColor="text1"/>
          <w:sz w:val="24"/>
          <w:szCs w:val="20"/>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评标方法详见第五章“评标方法、程序及标准”</w:t>
      </w:r>
      <w:r>
        <w:rPr>
          <w:rFonts w:hint="eastAsia" w:ascii="宋体" w:hAnsi="宋体" w:eastAsia="宋体" w:cs="Times New Roman"/>
          <w:bCs/>
          <w:color w:val="000000" w:themeColor="text1"/>
          <w:sz w:val="24"/>
          <w:szCs w:val="20"/>
          <w:lang w:val="zh-CN"/>
          <w14:textFill>
            <w14:solidFill>
              <w14:schemeClr w14:val="tx1"/>
            </w14:solidFill>
          </w14:textFill>
        </w:rPr>
        <w:t>。</w:t>
      </w:r>
    </w:p>
    <w:p>
      <w:pPr>
        <w:numPr>
          <w:ilvl w:val="0"/>
          <w:numId w:val="5"/>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评标委员会的组成</w:t>
      </w:r>
    </w:p>
    <w:p>
      <w:pPr>
        <w:numPr>
          <w:ilvl w:val="0"/>
          <w:numId w:val="26"/>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ascii="宋体" w:hAnsi="宋体" w:eastAsia="宋体" w:cs="Helvetica"/>
          <w:color w:val="000000" w:themeColor="text1"/>
          <w:kern w:val="0"/>
          <w:sz w:val="24"/>
          <w:szCs w:val="24"/>
          <w:lang w:val="zh-CN"/>
          <w14:textFill>
            <w14:solidFill>
              <w14:schemeClr w14:val="tx1"/>
            </w14:solidFill>
          </w14:textFill>
        </w:rPr>
        <w:t>评标委员会由采购人代表和评审专家组成，成员人数应当为5人</w:t>
      </w:r>
      <w:r>
        <w:rPr>
          <w:rFonts w:hint="eastAsia" w:ascii="宋体" w:hAnsi="宋体" w:eastAsia="宋体" w:cs="Helvetica"/>
          <w:color w:val="000000" w:themeColor="text1"/>
          <w:kern w:val="0"/>
          <w:sz w:val="24"/>
          <w:szCs w:val="24"/>
          <w:lang w:val="zh-CN"/>
          <w14:textFill>
            <w14:solidFill>
              <w14:schemeClr w14:val="tx1"/>
            </w14:solidFill>
          </w14:textFill>
        </w:rPr>
        <w:t>及</w:t>
      </w:r>
      <w:r>
        <w:rPr>
          <w:rFonts w:ascii="宋体" w:hAnsi="宋体" w:eastAsia="宋体" w:cs="Helvetica"/>
          <w:color w:val="000000" w:themeColor="text1"/>
          <w:kern w:val="0"/>
          <w:sz w:val="24"/>
          <w:szCs w:val="24"/>
          <w:lang w:val="zh-CN"/>
          <w14:textFill>
            <w14:solidFill>
              <w14:schemeClr w14:val="tx1"/>
            </w14:solidFill>
          </w14:textFill>
        </w:rPr>
        <w:t>以上单数，其中评审专家不得少于成员总数的三分之二</w:t>
      </w:r>
      <w:r>
        <w:rPr>
          <w:rFonts w:hint="eastAsia" w:ascii="宋体" w:hAnsi="宋体" w:eastAsia="宋体" w:cs="Helvetica"/>
          <w:color w:val="000000" w:themeColor="text1"/>
          <w:kern w:val="0"/>
          <w:sz w:val="24"/>
          <w:szCs w:val="24"/>
          <w:lang w:val="zh-CN"/>
          <w14:textFill>
            <w14:solidFill>
              <w14:schemeClr w14:val="tx1"/>
            </w14:solidFill>
          </w14:textFill>
        </w:rPr>
        <w:t>；</w:t>
      </w:r>
      <w:r>
        <w:rPr>
          <w:rFonts w:ascii="宋体" w:hAnsi="宋体" w:eastAsia="宋体" w:cs="Times New Roman"/>
          <w:color w:val="000000" w:themeColor="text1"/>
          <w:sz w:val="24"/>
          <w:szCs w:val="20"/>
          <w:lang w:val="zh-CN"/>
          <w14:textFill>
            <w14:solidFill>
              <w14:schemeClr w14:val="tx1"/>
            </w14:solidFill>
          </w14:textFill>
        </w:rPr>
        <w:t>采购预算金额在1000万元</w:t>
      </w:r>
      <w:r>
        <w:rPr>
          <w:rFonts w:hint="eastAsia" w:ascii="宋体" w:hAnsi="宋体" w:eastAsia="宋体" w:cs="Times New Roman"/>
          <w:color w:val="000000" w:themeColor="text1"/>
          <w:sz w:val="24"/>
          <w:szCs w:val="20"/>
          <w:lang w:val="zh-CN"/>
          <w14:textFill>
            <w14:solidFill>
              <w14:schemeClr w14:val="tx1"/>
            </w14:solidFill>
          </w14:textFill>
        </w:rPr>
        <w:t>及</w:t>
      </w:r>
      <w:r>
        <w:rPr>
          <w:rFonts w:ascii="宋体" w:hAnsi="宋体" w:eastAsia="宋体" w:cs="Times New Roman"/>
          <w:color w:val="000000" w:themeColor="text1"/>
          <w:sz w:val="24"/>
          <w:szCs w:val="20"/>
          <w:lang w:val="zh-CN"/>
          <w14:textFill>
            <w14:solidFill>
              <w14:schemeClr w14:val="tx1"/>
            </w14:solidFill>
          </w14:textFill>
        </w:rPr>
        <w:t>以上</w:t>
      </w:r>
      <w:r>
        <w:rPr>
          <w:rFonts w:hint="eastAsia" w:ascii="宋体" w:hAnsi="宋体" w:eastAsia="宋体" w:cs="Times New Roman"/>
          <w:color w:val="000000" w:themeColor="text1"/>
          <w:sz w:val="24"/>
          <w:szCs w:val="20"/>
          <w:lang w:val="zh-CN"/>
          <w14:textFill>
            <w14:solidFill>
              <w14:schemeClr w14:val="tx1"/>
            </w14:solidFill>
          </w14:textFill>
        </w:rPr>
        <w:t>、</w:t>
      </w:r>
      <w:r>
        <w:rPr>
          <w:rFonts w:ascii="宋体" w:hAnsi="宋体" w:eastAsia="宋体" w:cs="Times New Roman"/>
          <w:color w:val="000000" w:themeColor="text1"/>
          <w:sz w:val="24"/>
          <w:szCs w:val="20"/>
          <w:lang w:val="zh-CN"/>
          <w14:textFill>
            <w14:solidFill>
              <w14:schemeClr w14:val="tx1"/>
            </w14:solidFill>
          </w14:textFill>
        </w:rPr>
        <w:t>技术复杂</w:t>
      </w:r>
      <w:r>
        <w:rPr>
          <w:rFonts w:hint="eastAsia" w:ascii="宋体" w:hAnsi="宋体" w:eastAsia="宋体" w:cs="Times New Roman"/>
          <w:color w:val="000000" w:themeColor="text1"/>
          <w:sz w:val="24"/>
          <w:szCs w:val="20"/>
          <w:lang w:val="zh-CN"/>
          <w14:textFill>
            <w14:solidFill>
              <w14:schemeClr w14:val="tx1"/>
            </w14:solidFill>
          </w14:textFill>
        </w:rPr>
        <w:t>或</w:t>
      </w:r>
      <w:r>
        <w:rPr>
          <w:rFonts w:ascii="宋体" w:hAnsi="宋体" w:eastAsia="宋体" w:cs="Times New Roman"/>
          <w:color w:val="000000" w:themeColor="text1"/>
          <w:sz w:val="24"/>
          <w:szCs w:val="20"/>
          <w:lang w:val="zh-CN"/>
          <w14:textFill>
            <w14:solidFill>
              <w14:schemeClr w14:val="tx1"/>
            </w14:solidFill>
          </w14:textFill>
        </w:rPr>
        <w:t>社会影响较大</w:t>
      </w:r>
      <w:r>
        <w:rPr>
          <w:rFonts w:hint="eastAsia" w:ascii="宋体" w:hAnsi="宋体" w:eastAsia="宋体" w:cs="Times New Roman"/>
          <w:color w:val="000000" w:themeColor="text1"/>
          <w:sz w:val="24"/>
          <w:szCs w:val="20"/>
          <w:lang w:val="zh-CN"/>
          <w14:textFill>
            <w14:solidFill>
              <w14:schemeClr w14:val="tx1"/>
            </w14:solidFill>
          </w14:textFill>
        </w:rPr>
        <w:t>的项目，</w:t>
      </w:r>
      <w:r>
        <w:rPr>
          <w:rFonts w:ascii="宋体" w:hAnsi="宋体" w:eastAsia="宋体" w:cs="Times New Roman"/>
          <w:color w:val="000000" w:themeColor="text1"/>
          <w:sz w:val="24"/>
          <w:szCs w:val="20"/>
          <w:lang w:val="zh-CN"/>
          <w14:textFill>
            <w14:solidFill>
              <w14:schemeClr w14:val="tx1"/>
            </w14:solidFill>
          </w14:textFill>
        </w:rPr>
        <w:t>评标委员会成员人数应当为7人</w:t>
      </w:r>
      <w:r>
        <w:rPr>
          <w:rFonts w:hint="eastAsia" w:ascii="宋体" w:hAnsi="宋体" w:eastAsia="宋体" w:cs="Times New Roman"/>
          <w:color w:val="000000" w:themeColor="text1"/>
          <w:sz w:val="24"/>
          <w:szCs w:val="20"/>
          <w:lang w:val="zh-CN"/>
          <w14:textFill>
            <w14:solidFill>
              <w14:schemeClr w14:val="tx1"/>
            </w14:solidFill>
          </w14:textFill>
        </w:rPr>
        <w:t>及</w:t>
      </w:r>
      <w:r>
        <w:rPr>
          <w:rFonts w:ascii="宋体" w:hAnsi="宋体" w:eastAsia="宋体" w:cs="Times New Roman"/>
          <w:color w:val="000000" w:themeColor="text1"/>
          <w:sz w:val="24"/>
          <w:szCs w:val="20"/>
          <w:lang w:val="zh-CN"/>
          <w14:textFill>
            <w14:solidFill>
              <w14:schemeClr w14:val="tx1"/>
            </w14:solidFill>
          </w14:textFill>
        </w:rPr>
        <w:t>以上单数</w:t>
      </w:r>
      <w:r>
        <w:rPr>
          <w:rFonts w:hint="eastAsia" w:ascii="宋体" w:hAnsi="宋体" w:eastAsia="宋体" w:cs="Times New Roman"/>
          <w:color w:val="000000" w:themeColor="text1"/>
          <w:sz w:val="24"/>
          <w:szCs w:val="20"/>
          <w:lang w:val="zh-CN"/>
          <w14:textFill>
            <w14:solidFill>
              <w14:schemeClr w14:val="tx1"/>
            </w14:solidFill>
          </w14:textFill>
        </w:rPr>
        <w:t>。</w:t>
      </w:r>
    </w:p>
    <w:p>
      <w:pPr>
        <w:numPr>
          <w:ilvl w:val="0"/>
          <w:numId w:val="26"/>
        </w:numPr>
        <w:spacing w:line="360" w:lineRule="auto"/>
        <w:ind w:left="616" w:hanging="616"/>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评标委员会成员依法从政府采购专家库中随机抽取。</w:t>
      </w:r>
      <w:r>
        <w:rPr>
          <w:rFonts w:ascii="宋体" w:hAnsi="宋体" w:eastAsia="宋体" w:cs="Times New Roman"/>
          <w:b/>
          <w:color w:val="000000" w:themeColor="text1"/>
          <w:sz w:val="24"/>
          <w:szCs w:val="20"/>
          <w:lang w:val="zh-CN"/>
          <w14:textFill>
            <w14:solidFill>
              <w14:schemeClr w14:val="tx1"/>
            </w14:solidFill>
          </w14:textFill>
        </w:rPr>
        <w:t>对技术复杂、专业性强的采购项目，通过随机方式难以确定合适评审专家的，经主管预算单位同意，采购人可以自行选定相应专业领域的评审专家。</w:t>
      </w:r>
    </w:p>
    <w:p>
      <w:pPr>
        <w:numPr>
          <w:ilvl w:val="0"/>
          <w:numId w:val="5"/>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评标程序</w:t>
      </w:r>
    </w:p>
    <w:p>
      <w:pPr>
        <w:numPr>
          <w:ilvl w:val="0"/>
          <w:numId w:val="27"/>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ascii="Helvetica" w:hAnsi="Helvetica" w:eastAsia="宋体" w:cs="Helvetica"/>
          <w:color w:val="000000" w:themeColor="text1"/>
          <w:kern w:val="0"/>
          <w:sz w:val="24"/>
          <w:szCs w:val="24"/>
          <w:lang w:val="zh-CN"/>
          <w14:textFill>
            <w14:solidFill>
              <w14:schemeClr w14:val="tx1"/>
            </w14:solidFill>
          </w14:textFill>
        </w:rPr>
        <w:t>评标委员会负责具体评标事务，并独立履行下列职责：</w:t>
      </w:r>
    </w:p>
    <w:p>
      <w:pPr>
        <w:numPr>
          <w:ilvl w:val="0"/>
          <w:numId w:val="28"/>
        </w:numPr>
        <w:spacing w:line="360" w:lineRule="auto"/>
        <w:ind w:left="980" w:hanging="854"/>
        <w:rPr>
          <w:rFonts w:ascii="宋体" w:hAnsi="宋体" w:eastAsia="宋体" w:cs="Times New Roman"/>
          <w:color w:val="000000" w:themeColor="text1"/>
          <w:sz w:val="24"/>
          <w:szCs w:val="20"/>
          <w:lang w:val="zh-CN"/>
          <w14:textFill>
            <w14:solidFill>
              <w14:schemeClr w14:val="tx1"/>
            </w14:solidFill>
          </w14:textFill>
        </w:rPr>
      </w:pPr>
      <w:r>
        <w:rPr>
          <w:rFonts w:ascii="宋体" w:hAnsi="宋体" w:eastAsia="宋体" w:cs="Times New Roman"/>
          <w:color w:val="000000" w:themeColor="text1"/>
          <w:sz w:val="24"/>
          <w:szCs w:val="20"/>
          <w:lang w:val="zh-CN"/>
          <w14:textFill>
            <w14:solidFill>
              <w14:schemeClr w14:val="tx1"/>
            </w14:solidFill>
          </w14:textFill>
        </w:rPr>
        <w:t>审查、评价投标文件是否符合招标文件的商务、技术等实质性要求；</w:t>
      </w:r>
    </w:p>
    <w:p>
      <w:pPr>
        <w:numPr>
          <w:ilvl w:val="0"/>
          <w:numId w:val="28"/>
        </w:numPr>
        <w:spacing w:line="360" w:lineRule="auto"/>
        <w:ind w:left="980" w:hanging="854"/>
        <w:rPr>
          <w:rFonts w:ascii="宋体" w:hAnsi="宋体" w:eastAsia="宋体" w:cs="Times New Roman"/>
          <w:color w:val="000000" w:themeColor="text1"/>
          <w:sz w:val="24"/>
          <w:szCs w:val="20"/>
          <w:lang w:val="zh-CN"/>
          <w14:textFill>
            <w14:solidFill>
              <w14:schemeClr w14:val="tx1"/>
            </w14:solidFill>
          </w14:textFill>
        </w:rPr>
      </w:pPr>
      <w:r>
        <w:rPr>
          <w:rFonts w:ascii="宋体" w:hAnsi="宋体" w:eastAsia="宋体" w:cs="Times New Roman"/>
          <w:color w:val="000000" w:themeColor="text1"/>
          <w:sz w:val="24"/>
          <w:szCs w:val="20"/>
          <w:lang w:val="zh-CN"/>
          <w14:textFill>
            <w14:solidFill>
              <w14:schemeClr w14:val="tx1"/>
            </w14:solidFill>
          </w14:textFill>
        </w:rPr>
        <w:t>要求投标人对投标文件有关事项作出澄清或者说明；</w:t>
      </w:r>
    </w:p>
    <w:p>
      <w:pPr>
        <w:numPr>
          <w:ilvl w:val="0"/>
          <w:numId w:val="28"/>
        </w:numPr>
        <w:spacing w:line="360" w:lineRule="auto"/>
        <w:ind w:left="980" w:hanging="854"/>
        <w:rPr>
          <w:rFonts w:ascii="宋体" w:hAnsi="宋体" w:eastAsia="宋体" w:cs="Times New Roman"/>
          <w:color w:val="000000" w:themeColor="text1"/>
          <w:sz w:val="24"/>
          <w:szCs w:val="20"/>
          <w:lang w:val="zh-CN"/>
          <w14:textFill>
            <w14:solidFill>
              <w14:schemeClr w14:val="tx1"/>
            </w14:solidFill>
          </w14:textFill>
        </w:rPr>
      </w:pPr>
      <w:r>
        <w:rPr>
          <w:rFonts w:ascii="宋体" w:hAnsi="宋体" w:eastAsia="宋体" w:cs="Times New Roman"/>
          <w:color w:val="000000" w:themeColor="text1"/>
          <w:sz w:val="24"/>
          <w:szCs w:val="20"/>
          <w:lang w:val="zh-CN"/>
          <w14:textFill>
            <w14:solidFill>
              <w14:schemeClr w14:val="tx1"/>
            </w14:solidFill>
          </w14:textFill>
        </w:rPr>
        <w:t>对投标文件进行</w:t>
      </w:r>
      <w:r>
        <w:rPr>
          <w:rFonts w:hint="eastAsia" w:ascii="宋体" w:hAnsi="宋体" w:eastAsia="宋体" w:cs="Times New Roman"/>
          <w:color w:val="000000" w:themeColor="text1"/>
          <w:sz w:val="24"/>
          <w:szCs w:val="20"/>
          <w:lang w:val="zh-CN"/>
          <w14:textFill>
            <w14:solidFill>
              <w14:schemeClr w14:val="tx1"/>
            </w14:solidFill>
          </w14:textFill>
        </w:rPr>
        <w:t>综合</w:t>
      </w:r>
      <w:r>
        <w:rPr>
          <w:rFonts w:ascii="宋体" w:hAnsi="宋体" w:eastAsia="宋体" w:cs="Times New Roman"/>
          <w:color w:val="000000" w:themeColor="text1"/>
          <w:sz w:val="24"/>
          <w:szCs w:val="20"/>
          <w:lang w:val="zh-CN"/>
          <w14:textFill>
            <w14:solidFill>
              <w14:schemeClr w14:val="tx1"/>
            </w14:solidFill>
          </w14:textFill>
        </w:rPr>
        <w:t>比较和评价；</w:t>
      </w:r>
    </w:p>
    <w:p>
      <w:pPr>
        <w:numPr>
          <w:ilvl w:val="0"/>
          <w:numId w:val="28"/>
        </w:numPr>
        <w:spacing w:line="360" w:lineRule="auto"/>
        <w:ind w:left="980" w:hanging="854"/>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确定中标候选人名单或中标人；</w:t>
      </w:r>
    </w:p>
    <w:p>
      <w:pPr>
        <w:numPr>
          <w:ilvl w:val="0"/>
          <w:numId w:val="28"/>
        </w:numPr>
        <w:spacing w:line="360" w:lineRule="auto"/>
        <w:ind w:left="980" w:hanging="854"/>
        <w:rPr>
          <w:rFonts w:ascii="宋体" w:hAnsi="宋体" w:eastAsia="宋体" w:cs="Times New Roman"/>
          <w:color w:val="000000" w:themeColor="text1"/>
          <w:sz w:val="24"/>
          <w:szCs w:val="20"/>
          <w:lang w:val="zh-CN"/>
          <w14:textFill>
            <w14:solidFill>
              <w14:schemeClr w14:val="tx1"/>
            </w14:solidFill>
          </w14:textFill>
        </w:rPr>
      </w:pPr>
      <w:r>
        <w:rPr>
          <w:rFonts w:ascii="宋体" w:hAnsi="宋体" w:eastAsia="宋体" w:cs="Times New Roman"/>
          <w:color w:val="000000" w:themeColor="text1"/>
          <w:sz w:val="24"/>
          <w:szCs w:val="20"/>
          <w:lang w:val="zh-CN"/>
          <w14:textFill>
            <w14:solidFill>
              <w14:schemeClr w14:val="tx1"/>
            </w14:solidFill>
          </w14:textFill>
        </w:rPr>
        <w:t>向采购人、</w:t>
      </w:r>
      <w:r>
        <w:rPr>
          <w:rFonts w:hint="eastAsia" w:ascii="宋体" w:hAnsi="宋体" w:eastAsia="宋体" w:cs="Times New Roman"/>
          <w:color w:val="000000" w:themeColor="text1"/>
          <w:sz w:val="24"/>
          <w:szCs w:val="20"/>
          <w:lang w:val="zh-CN"/>
          <w14:textFill>
            <w14:solidFill>
              <w14:schemeClr w14:val="tx1"/>
            </w14:solidFill>
          </w14:textFill>
        </w:rPr>
        <w:t>集中采购</w:t>
      </w:r>
      <w:r>
        <w:rPr>
          <w:rFonts w:ascii="宋体" w:hAnsi="宋体" w:eastAsia="宋体" w:cs="Times New Roman"/>
          <w:color w:val="000000" w:themeColor="text1"/>
          <w:sz w:val="24"/>
          <w:szCs w:val="20"/>
          <w:lang w:val="zh-CN"/>
          <w14:textFill>
            <w14:solidFill>
              <w14:schemeClr w14:val="tx1"/>
            </w14:solidFill>
          </w14:textFill>
        </w:rPr>
        <w:t>机构或者有关部门报告评标中发现的违法行为。</w:t>
      </w:r>
    </w:p>
    <w:p>
      <w:pPr>
        <w:numPr>
          <w:ilvl w:val="0"/>
          <w:numId w:val="27"/>
        </w:numPr>
        <w:spacing w:line="360" w:lineRule="auto"/>
        <w:ind w:left="616" w:hanging="616"/>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评标程序详见第五章“评标方法、程序及标准”。</w:t>
      </w:r>
    </w:p>
    <w:p>
      <w:pPr>
        <w:pStyle w:val="5"/>
        <w:numPr>
          <w:ilvl w:val="0"/>
          <w:numId w:val="4"/>
        </w:numPr>
        <w:spacing w:before="40" w:after="40" w:line="360" w:lineRule="auto"/>
        <w:ind w:left="658" w:hanging="658"/>
        <w:jc w:val="left"/>
        <w:rPr>
          <w:rFonts w:cs="Times New Roman" w:asciiTheme="majorEastAsia" w:hAnsiTheme="majorEastAsia"/>
          <w:bCs w:val="0"/>
          <w:color w:val="000000" w:themeColor="text1"/>
          <w:lang w:val="zh-CN"/>
          <w14:textFill>
            <w14:solidFill>
              <w14:schemeClr w14:val="tx1"/>
            </w14:solidFill>
          </w14:textFill>
        </w:rPr>
      </w:pPr>
      <w:bookmarkStart w:id="18" w:name="_Toc494561943"/>
      <w:bookmarkStart w:id="19" w:name="_Toc13343"/>
      <w:r>
        <w:rPr>
          <w:rFonts w:hint="eastAsia" w:cs="Times New Roman" w:asciiTheme="majorEastAsia" w:hAnsiTheme="majorEastAsia"/>
          <w:bCs w:val="0"/>
          <w:color w:val="000000" w:themeColor="text1"/>
          <w:lang w:val="zh-CN"/>
          <w14:textFill>
            <w14:solidFill>
              <w14:schemeClr w14:val="tx1"/>
            </w14:solidFill>
          </w14:textFill>
        </w:rPr>
        <w:t>投标人信用信息及查询</w:t>
      </w:r>
      <w:bookmarkEnd w:id="18"/>
      <w:bookmarkEnd w:id="19"/>
    </w:p>
    <w:p>
      <w:pPr>
        <w:numPr>
          <w:ilvl w:val="0"/>
          <w:numId w:val="5"/>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信用信息查询渠道及使用规则</w:t>
      </w:r>
    </w:p>
    <w:p>
      <w:pPr>
        <w:numPr>
          <w:ilvl w:val="0"/>
          <w:numId w:val="29"/>
        </w:numPr>
        <w:spacing w:line="360" w:lineRule="auto"/>
        <w:ind w:left="616" w:hanging="616"/>
        <w:rPr>
          <w:rFonts w:cs="Helvetica" w:asciiTheme="minorEastAsia" w:hAnsiTheme="minorEastAsia"/>
          <w:color w:val="000000" w:themeColor="text1"/>
          <w:kern w:val="0"/>
          <w:sz w:val="24"/>
          <w:szCs w:val="24"/>
          <w:lang w:val="zh-CN"/>
          <w14:textFill>
            <w14:solidFill>
              <w14:schemeClr w14:val="tx1"/>
            </w14:solidFill>
          </w14:textFill>
        </w:rPr>
      </w:pPr>
      <w:r>
        <w:rPr>
          <w:rFonts w:hint="eastAsia" w:cs="Helvetica" w:asciiTheme="minorEastAsia" w:hAnsiTheme="minorEastAsia"/>
          <w:color w:val="000000" w:themeColor="text1"/>
          <w:kern w:val="0"/>
          <w:sz w:val="24"/>
          <w:szCs w:val="24"/>
          <w:lang w:val="zh-CN"/>
          <w14:textFill>
            <w14:solidFill>
              <w14:schemeClr w14:val="tx1"/>
            </w14:solidFill>
          </w14:textFill>
        </w:rPr>
        <w:t>按照《关于在政府采购活动中查询及使用信用记录有关问题的通知》的要求，参与政府采购的投标人，信用记录的查询渠道为“信用中国”网站(www.creditchina.gov.cn)、中国政府采购网(</w:t>
      </w:r>
      <w:r>
        <w:fldChar w:fldCharType="begin"/>
      </w:r>
      <w:r>
        <w:instrText xml:space="preserve"> HYPERLINK "http://www.ccgp.gov.cn" </w:instrText>
      </w:r>
      <w:r>
        <w:fldChar w:fldCharType="separate"/>
      </w:r>
      <w:r>
        <w:rPr>
          <w:rFonts w:hint="eastAsia" w:cs="Helvetica" w:asciiTheme="minorEastAsia" w:hAnsiTheme="minorEastAsia"/>
          <w:color w:val="000000" w:themeColor="text1"/>
          <w:kern w:val="0"/>
          <w:sz w:val="24"/>
          <w:szCs w:val="24"/>
          <w:lang w:val="zh-CN"/>
          <w14:textFill>
            <w14:solidFill>
              <w14:schemeClr w14:val="tx1"/>
            </w14:solidFill>
          </w14:textFill>
        </w:rPr>
        <w:t>www.ccgp.gov.cn</w:t>
      </w:r>
      <w:r>
        <w:rPr>
          <w:rFonts w:hint="eastAsia" w:cs="Helvetica" w:asciiTheme="minorEastAsia" w:hAnsiTheme="minorEastAsia"/>
          <w:color w:val="000000" w:themeColor="text1"/>
          <w:kern w:val="0"/>
          <w:sz w:val="24"/>
          <w:szCs w:val="24"/>
          <w:lang w:val="zh-CN"/>
          <w14:textFill>
            <w14:solidFill>
              <w14:schemeClr w14:val="tx1"/>
            </w14:solidFill>
          </w14:textFill>
        </w:rPr>
        <w:fldChar w:fldCharType="end"/>
      </w:r>
      <w:r>
        <w:rPr>
          <w:rFonts w:hint="eastAsia" w:cs="Helvetica" w:asciiTheme="minorEastAsia" w:hAnsiTheme="minorEastAsia"/>
          <w:color w:val="000000" w:themeColor="text1"/>
          <w:kern w:val="0"/>
          <w:sz w:val="24"/>
          <w:szCs w:val="24"/>
          <w:lang w:val="zh-CN"/>
          <w14:textFill>
            <w14:solidFill>
              <w14:schemeClr w14:val="tx1"/>
            </w14:solidFill>
          </w14:textFill>
        </w:rPr>
        <w:t>)。</w:t>
      </w:r>
    </w:p>
    <w:p>
      <w:pPr>
        <w:numPr>
          <w:ilvl w:val="0"/>
          <w:numId w:val="29"/>
        </w:numPr>
        <w:spacing w:line="360" w:lineRule="auto"/>
        <w:ind w:left="616" w:hanging="616"/>
        <w:rPr>
          <w:rFonts w:cs="Helvetica" w:asciiTheme="minorEastAsia" w:hAnsiTheme="minorEastAsia"/>
          <w:color w:val="000000" w:themeColor="text1"/>
          <w:kern w:val="0"/>
          <w:sz w:val="24"/>
          <w:szCs w:val="24"/>
          <w:lang w:val="zh-CN"/>
          <w14:textFill>
            <w14:solidFill>
              <w14:schemeClr w14:val="tx1"/>
            </w14:solidFill>
          </w14:textFill>
        </w:rPr>
      </w:pPr>
      <w:r>
        <w:rPr>
          <w:rFonts w:hint="eastAsia" w:cs="Helvetica" w:asciiTheme="minorEastAsia" w:hAnsiTheme="minorEastAsia"/>
          <w:color w:val="000000" w:themeColor="text1"/>
          <w:kern w:val="0"/>
          <w:sz w:val="24"/>
          <w:szCs w:val="24"/>
          <w:lang w:val="zh-CN"/>
          <w14:textFill>
            <w14:solidFill>
              <w14:schemeClr w14:val="tx1"/>
            </w14:solidFill>
          </w14:textFill>
        </w:rPr>
        <w:t>列入失信被执行人、重大税收违法案件当事人名单、政府采购严重违法失信行为记录名单的供应商，采购人、采购代理机构</w:t>
      </w:r>
      <w:r>
        <w:rPr>
          <w:rFonts w:hint="eastAsia" w:cs="Helvetica" w:asciiTheme="minorEastAsia" w:hAnsiTheme="minorEastAsia"/>
          <w:b/>
          <w:color w:val="000000" w:themeColor="text1"/>
          <w:kern w:val="0"/>
          <w:sz w:val="24"/>
          <w:szCs w:val="24"/>
          <w:lang w:val="zh-CN"/>
          <w14:textFill>
            <w14:solidFill>
              <w14:schemeClr w14:val="tx1"/>
            </w14:solidFill>
          </w14:textFill>
        </w:rPr>
        <w:t>拒绝</w:t>
      </w:r>
      <w:r>
        <w:rPr>
          <w:rFonts w:hint="eastAsia" w:cs="Helvetica" w:asciiTheme="minorEastAsia" w:hAnsiTheme="minorEastAsia"/>
          <w:color w:val="000000" w:themeColor="text1"/>
          <w:kern w:val="0"/>
          <w:sz w:val="24"/>
          <w:szCs w:val="24"/>
          <w:lang w:val="zh-CN"/>
          <w14:textFill>
            <w14:solidFill>
              <w14:schemeClr w14:val="tx1"/>
            </w14:solidFill>
          </w14:textFill>
        </w:rPr>
        <w:t>其参与政府采购活动。</w:t>
      </w:r>
    </w:p>
    <w:p>
      <w:pPr>
        <w:numPr>
          <w:ilvl w:val="0"/>
          <w:numId w:val="29"/>
        </w:numPr>
        <w:spacing w:line="360" w:lineRule="auto"/>
        <w:ind w:left="616" w:hanging="616"/>
        <w:rPr>
          <w:rFonts w:cs="Helvetica" w:asciiTheme="minorEastAsia" w:hAnsiTheme="minorEastAsia"/>
          <w:color w:val="000000" w:themeColor="text1"/>
          <w:kern w:val="0"/>
          <w:sz w:val="24"/>
          <w:szCs w:val="24"/>
          <w:lang w:val="zh-CN"/>
          <w14:textFill>
            <w14:solidFill>
              <w14:schemeClr w14:val="tx1"/>
            </w14:solidFill>
          </w14:textFill>
        </w:rPr>
      </w:pPr>
      <w:r>
        <w:rPr>
          <w:rFonts w:hint="eastAsia" w:cs="Helvetica" w:asciiTheme="minorEastAsia" w:hAnsiTheme="minorEastAsia"/>
          <w:color w:val="000000" w:themeColor="text1"/>
          <w:kern w:val="0"/>
          <w:sz w:val="24"/>
          <w:szCs w:val="24"/>
          <w:lang w:val="zh-CN"/>
          <w14:textFill>
            <w14:solidFill>
              <w14:schemeClr w14:val="tx1"/>
            </w14:solidFill>
          </w14:textFill>
        </w:rPr>
        <w:t>两个及以上自然人、法人或者其他组织组成联合体，以一个供应商的身份共同参加政府采购活动的，应当对所有联合体成员进行信用记录查询，联合体成员存在不良信用记录的，视同联合体存在不良信用信息。</w:t>
      </w:r>
    </w:p>
    <w:p>
      <w:pPr>
        <w:numPr>
          <w:ilvl w:val="0"/>
          <w:numId w:val="29"/>
        </w:numPr>
        <w:spacing w:line="360" w:lineRule="auto"/>
        <w:ind w:left="616" w:hanging="616"/>
        <w:rPr>
          <w:rFonts w:cs="Helvetica" w:asciiTheme="minorEastAsia" w:hAnsiTheme="minorEastAsia"/>
          <w:color w:val="000000" w:themeColor="text1"/>
          <w:kern w:val="0"/>
          <w:sz w:val="24"/>
          <w:szCs w:val="24"/>
          <w:lang w:val="zh-CN"/>
          <w14:textFill>
            <w14:solidFill>
              <w14:schemeClr w14:val="tx1"/>
            </w14:solidFill>
          </w14:textFill>
        </w:rPr>
      </w:pPr>
      <w:r>
        <w:rPr>
          <w:rFonts w:hint="eastAsia" w:cs="Helvetica" w:asciiTheme="minorEastAsia" w:hAnsiTheme="minorEastAsia"/>
          <w:color w:val="000000" w:themeColor="text1"/>
          <w:kern w:val="0"/>
          <w:sz w:val="24"/>
          <w:szCs w:val="24"/>
          <w:lang w:val="zh-CN"/>
          <w14:textFill>
            <w14:solidFill>
              <w14:schemeClr w14:val="tx1"/>
            </w14:solidFill>
          </w14:textFill>
        </w:rPr>
        <w:t>投标人的信用记录，最终以评标时的“信用中国”网站发布的信息为准。</w:t>
      </w:r>
    </w:p>
    <w:p>
      <w:pPr>
        <w:numPr>
          <w:ilvl w:val="0"/>
          <w:numId w:val="29"/>
        </w:numPr>
        <w:spacing w:line="360" w:lineRule="auto"/>
        <w:ind w:left="616" w:hanging="616"/>
        <w:rPr>
          <w:rFonts w:cs="Helvetica" w:asciiTheme="minorEastAsia" w:hAnsiTheme="minorEastAsia"/>
          <w:color w:val="000000" w:themeColor="text1"/>
          <w:kern w:val="0"/>
          <w:sz w:val="24"/>
          <w:szCs w:val="24"/>
          <w:lang w:val="zh-CN"/>
          <w14:textFill>
            <w14:solidFill>
              <w14:schemeClr w14:val="tx1"/>
            </w14:solidFill>
          </w14:textFill>
        </w:rPr>
      </w:pPr>
      <w:r>
        <w:rPr>
          <w:rFonts w:hint="eastAsia" w:cs="Helvetica" w:asciiTheme="minorEastAsia" w:hAnsiTheme="minorEastAsia"/>
          <w:color w:val="000000" w:themeColor="text1"/>
          <w:kern w:val="0"/>
          <w:sz w:val="24"/>
          <w:szCs w:val="24"/>
          <w:lang w:val="zh-CN"/>
          <w14:textFill>
            <w14:solidFill>
              <w14:schemeClr w14:val="tx1"/>
            </w14:solidFill>
          </w14:textFill>
        </w:rPr>
        <w:t>在资格审查与评标工作未同日进行的特殊情形下，</w:t>
      </w:r>
      <w:r>
        <w:rPr>
          <w:rFonts w:hint="eastAsia" w:ascii="Helvetica" w:hAnsi="Helvetica" w:eastAsia="宋体" w:cs="Helvetica"/>
          <w:color w:val="000000" w:themeColor="text1"/>
          <w:kern w:val="0"/>
          <w:sz w:val="24"/>
          <w:szCs w:val="24"/>
          <w:lang w:val="zh-CN"/>
          <w14:textFill>
            <w14:solidFill>
              <w14:schemeClr w14:val="tx1"/>
            </w14:solidFill>
          </w14:textFill>
        </w:rPr>
        <w:t>采购人（或代理公司）</w:t>
      </w:r>
      <w:r>
        <w:rPr>
          <w:rFonts w:hint="eastAsia" w:cs="Helvetica" w:asciiTheme="minorEastAsia" w:hAnsiTheme="minorEastAsia"/>
          <w:color w:val="000000" w:themeColor="text1"/>
          <w:kern w:val="0"/>
          <w:sz w:val="24"/>
          <w:szCs w:val="24"/>
          <w:lang w:val="zh-CN"/>
          <w14:textFill>
            <w14:solidFill>
              <w14:schemeClr w14:val="tx1"/>
            </w14:solidFill>
          </w14:textFill>
        </w:rPr>
        <w:t>工作人员在评标时对投标人的信用信息进行复核，发现评标当日存在不良信用信息的，由评标委员会按照符合性审查不合格作</w:t>
      </w:r>
      <w:r>
        <w:rPr>
          <w:rFonts w:hint="eastAsia" w:cs="Helvetica" w:asciiTheme="minorEastAsia" w:hAnsiTheme="minorEastAsia"/>
          <w:b/>
          <w:color w:val="000000" w:themeColor="text1"/>
          <w:kern w:val="0"/>
          <w:sz w:val="24"/>
          <w:szCs w:val="24"/>
          <w:lang w:val="zh-CN"/>
          <w14:textFill>
            <w14:solidFill>
              <w14:schemeClr w14:val="tx1"/>
            </w14:solidFill>
          </w14:textFill>
        </w:rPr>
        <w:t>无效投标处理</w:t>
      </w:r>
      <w:r>
        <w:rPr>
          <w:rFonts w:hint="eastAsia" w:cs="Helvetica" w:asciiTheme="minorEastAsia" w:hAnsiTheme="minorEastAsia"/>
          <w:color w:val="000000" w:themeColor="text1"/>
          <w:kern w:val="0"/>
          <w:sz w:val="24"/>
          <w:szCs w:val="24"/>
          <w:lang w:val="zh-CN"/>
          <w14:textFill>
            <w14:solidFill>
              <w14:schemeClr w14:val="tx1"/>
            </w14:solidFill>
          </w14:textFill>
        </w:rPr>
        <w:t>。</w:t>
      </w:r>
    </w:p>
    <w:p>
      <w:pPr>
        <w:pStyle w:val="5"/>
        <w:numPr>
          <w:ilvl w:val="0"/>
          <w:numId w:val="4"/>
        </w:numPr>
        <w:spacing w:before="40" w:after="40" w:line="360" w:lineRule="auto"/>
        <w:ind w:left="658" w:hanging="658"/>
        <w:jc w:val="left"/>
        <w:rPr>
          <w:rFonts w:cs="Times New Roman" w:asciiTheme="majorEastAsia" w:hAnsiTheme="majorEastAsia"/>
          <w:bCs w:val="0"/>
          <w:color w:val="000000" w:themeColor="text1"/>
          <w:lang w:val="zh-CN"/>
          <w14:textFill>
            <w14:solidFill>
              <w14:schemeClr w14:val="tx1"/>
            </w14:solidFill>
          </w14:textFill>
        </w:rPr>
      </w:pPr>
      <w:bookmarkStart w:id="20" w:name="_Toc494561944"/>
      <w:bookmarkStart w:id="21" w:name="_Toc2469"/>
      <w:r>
        <w:rPr>
          <w:rFonts w:cs="Times New Roman" w:asciiTheme="majorEastAsia" w:hAnsiTheme="majorEastAsia"/>
          <w:bCs w:val="0"/>
          <w:color w:val="000000" w:themeColor="text1"/>
          <w:lang w:val="zh-CN"/>
          <w14:textFill>
            <w14:solidFill>
              <w14:schemeClr w14:val="tx1"/>
            </w14:solidFill>
          </w14:textFill>
        </w:rPr>
        <w:t>中标</w:t>
      </w:r>
      <w:r>
        <w:rPr>
          <w:rFonts w:hint="eastAsia" w:cs="Times New Roman" w:asciiTheme="majorEastAsia" w:hAnsiTheme="majorEastAsia"/>
          <w:bCs w:val="0"/>
          <w:color w:val="000000" w:themeColor="text1"/>
          <w:lang w:val="zh-CN"/>
          <w14:textFill>
            <w14:solidFill>
              <w14:schemeClr w14:val="tx1"/>
            </w14:solidFill>
          </w14:textFill>
        </w:rPr>
        <w:t>与</w:t>
      </w:r>
      <w:r>
        <w:rPr>
          <w:rFonts w:cs="Times New Roman" w:asciiTheme="majorEastAsia" w:hAnsiTheme="majorEastAsia"/>
          <w:bCs w:val="0"/>
          <w:color w:val="000000" w:themeColor="text1"/>
          <w:lang w:val="zh-CN"/>
          <w14:textFill>
            <w14:solidFill>
              <w14:schemeClr w14:val="tx1"/>
            </w14:solidFill>
          </w14:textFill>
        </w:rPr>
        <w:t>合同</w:t>
      </w:r>
      <w:bookmarkEnd w:id="20"/>
      <w:bookmarkEnd w:id="21"/>
    </w:p>
    <w:p>
      <w:pPr>
        <w:numPr>
          <w:ilvl w:val="0"/>
          <w:numId w:val="5"/>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确定中标人</w:t>
      </w:r>
    </w:p>
    <w:p>
      <w:pPr>
        <w:numPr>
          <w:ilvl w:val="0"/>
          <w:numId w:val="30"/>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ascii="Helvetica" w:hAnsi="Helvetica" w:eastAsia="宋体" w:cs="Helvetica"/>
          <w:color w:val="000000" w:themeColor="text1"/>
          <w:kern w:val="0"/>
          <w:sz w:val="24"/>
          <w:szCs w:val="24"/>
          <w:lang w:val="zh-CN"/>
          <w14:textFill>
            <w14:solidFill>
              <w14:schemeClr w14:val="tx1"/>
            </w14:solidFill>
          </w14:textFill>
        </w:rPr>
        <w:t>采购人收到评标报告</w:t>
      </w:r>
      <w:r>
        <w:rPr>
          <w:rFonts w:ascii="宋体" w:hAnsi="宋体" w:eastAsia="宋体" w:cs="Helvetica"/>
          <w:color w:val="000000" w:themeColor="text1"/>
          <w:kern w:val="0"/>
          <w:sz w:val="24"/>
          <w:szCs w:val="24"/>
          <w:lang w:val="zh-CN"/>
          <w14:textFill>
            <w14:solidFill>
              <w14:schemeClr w14:val="tx1"/>
            </w14:solidFill>
          </w14:textFill>
        </w:rPr>
        <w:t>5个工作日内，</w:t>
      </w:r>
      <w:r>
        <w:rPr>
          <w:rFonts w:hint="eastAsia" w:ascii="宋体" w:hAnsi="宋体" w:eastAsia="宋体" w:cs="Helvetica"/>
          <w:color w:val="000000" w:themeColor="text1"/>
          <w:kern w:val="0"/>
          <w:sz w:val="24"/>
          <w:szCs w:val="24"/>
          <w:lang w:val="zh-CN"/>
          <w14:textFill>
            <w14:solidFill>
              <w14:schemeClr w14:val="tx1"/>
            </w14:solidFill>
          </w14:textFill>
        </w:rPr>
        <w:t>按</w:t>
      </w:r>
      <w:r>
        <w:rPr>
          <w:rFonts w:ascii="宋体" w:hAnsi="宋体" w:eastAsia="宋体" w:cs="Helvetica"/>
          <w:color w:val="000000" w:themeColor="text1"/>
          <w:kern w:val="0"/>
          <w:sz w:val="24"/>
          <w:szCs w:val="24"/>
          <w:lang w:val="zh-CN"/>
          <w14:textFill>
            <w14:solidFill>
              <w14:schemeClr w14:val="tx1"/>
            </w14:solidFill>
          </w14:textFill>
        </w:rPr>
        <w:t>评标报告推荐的中标候选人顺序确定中标人。</w:t>
      </w:r>
    </w:p>
    <w:p>
      <w:pPr>
        <w:numPr>
          <w:ilvl w:val="0"/>
          <w:numId w:val="30"/>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ascii="Helvetica" w:hAnsi="Helvetica" w:eastAsia="宋体" w:cs="Helvetica"/>
          <w:color w:val="000000" w:themeColor="text1"/>
          <w:kern w:val="0"/>
          <w:sz w:val="24"/>
          <w:szCs w:val="24"/>
          <w:lang w:val="zh-CN"/>
          <w14:textFill>
            <w14:solidFill>
              <w14:schemeClr w14:val="tx1"/>
            </w14:solidFill>
          </w14:textFill>
        </w:rPr>
        <w:t>中标候选人并列的</w:t>
      </w:r>
      <w:r>
        <w:rPr>
          <w:rFonts w:hint="eastAsia" w:ascii="Helvetica" w:hAnsi="Helvetica" w:eastAsia="宋体" w:cs="Helvetica"/>
          <w:color w:val="000000" w:themeColor="text1"/>
          <w:kern w:val="0"/>
          <w:sz w:val="24"/>
          <w:szCs w:val="24"/>
          <w:lang w:val="zh-CN"/>
          <w14:textFill>
            <w14:solidFill>
              <w14:schemeClr w14:val="tx1"/>
            </w14:solidFill>
          </w14:textFill>
        </w:rPr>
        <w:t>：</w:t>
      </w:r>
    </w:p>
    <w:p>
      <w:pPr>
        <w:numPr>
          <w:ilvl w:val="0"/>
          <w:numId w:val="31"/>
        </w:numPr>
        <w:spacing w:line="360" w:lineRule="auto"/>
        <w:ind w:left="980" w:hanging="854"/>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采用最低评标价法的，评标结果按投标报价由低到高顺序排列。投标报价相同的，按技术部分由高到低顺序排列。</w:t>
      </w:r>
    </w:p>
    <w:p>
      <w:pPr>
        <w:numPr>
          <w:ilvl w:val="0"/>
          <w:numId w:val="31"/>
        </w:numPr>
        <w:spacing w:line="360" w:lineRule="auto"/>
        <w:ind w:left="980" w:hanging="854"/>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采用综合评分法的，评标结果按评审后得分由高到低顺序排列。得分相同的，按投标报价由低到高顺序排列。得分且投标报价相同的，按技术部分由高到低顺序排列。</w:t>
      </w:r>
    </w:p>
    <w:p>
      <w:pPr>
        <w:numPr>
          <w:ilvl w:val="0"/>
          <w:numId w:val="30"/>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中标人的数量有其他规定的，按招标文件相关规定执行。</w:t>
      </w:r>
    </w:p>
    <w:p>
      <w:pPr>
        <w:numPr>
          <w:ilvl w:val="0"/>
          <w:numId w:val="30"/>
        </w:numPr>
        <w:spacing w:line="360" w:lineRule="auto"/>
        <w:ind w:left="616" w:hanging="616"/>
        <w:rPr>
          <w:rFonts w:ascii="宋体" w:hAnsi="宋体" w:eastAsia="宋体" w:cs="Times New Roman"/>
          <w:strike/>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中标人确定后，采购人、采购代理机构在政府采购监管部门指定的媒体上发布中标公告，同时向中标人和采购人发出《中标通知书》。《中标通知书》是政府采购合同的组成部分,对中标人和采购人具有同等法律效力。</w:t>
      </w:r>
    </w:p>
    <w:p>
      <w:pPr>
        <w:numPr>
          <w:ilvl w:val="0"/>
          <w:numId w:val="30"/>
        </w:numPr>
        <w:spacing w:line="360" w:lineRule="auto"/>
        <w:ind w:left="616" w:hanging="616"/>
        <w:rPr>
          <w:rFonts w:ascii="宋体" w:hAnsi="宋体" w:eastAsia="宋体" w:cs="Times New Roman"/>
          <w:strike/>
          <w:color w:val="000000" w:themeColor="text1"/>
          <w:sz w:val="24"/>
          <w:szCs w:val="20"/>
          <w:lang w:val="zh-CN"/>
          <w14:textFill>
            <w14:solidFill>
              <w14:schemeClr w14:val="tx1"/>
            </w14:solidFill>
          </w14:textFill>
        </w:rPr>
      </w:pPr>
      <w:r>
        <w:rPr>
          <w:rFonts w:ascii="Helvetica" w:hAnsi="Helvetica" w:eastAsia="宋体" w:cs="Helvetica"/>
          <w:color w:val="000000" w:themeColor="text1"/>
          <w:kern w:val="0"/>
          <w:sz w:val="24"/>
          <w:szCs w:val="24"/>
          <w:lang w:val="zh-CN"/>
          <w14:textFill>
            <w14:solidFill>
              <w14:schemeClr w14:val="tx1"/>
            </w14:solidFill>
          </w14:textFill>
        </w:rPr>
        <w:t>中标通知书发出后，采购人不得违法改变中标结果，中标人无正当理由不得放弃中标。</w:t>
      </w:r>
    </w:p>
    <w:p>
      <w:pPr>
        <w:numPr>
          <w:ilvl w:val="0"/>
          <w:numId w:val="30"/>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中标人拒绝与采购人签订合同的，采购人可以按照评标报告推荐的中标候选人名单排序，确定下一候选人为中标人，也可以重新开展政府采购活动。</w:t>
      </w:r>
    </w:p>
    <w:p>
      <w:pPr>
        <w:numPr>
          <w:ilvl w:val="0"/>
          <w:numId w:val="5"/>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合同授予</w:t>
      </w:r>
    </w:p>
    <w:p>
      <w:pPr>
        <w:spacing w:line="360" w:lineRule="auto"/>
        <w:ind w:firstLine="480" w:firstLineChars="20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除本章“确定中标人”规定及其他法律规定的情形外，采购人把合同授予被确定为实质上响应招标文件要求且排名第一的中标人。</w:t>
      </w:r>
    </w:p>
    <w:p>
      <w:pPr>
        <w:numPr>
          <w:ilvl w:val="0"/>
          <w:numId w:val="5"/>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合同签订</w:t>
      </w:r>
    </w:p>
    <w:p>
      <w:pPr>
        <w:numPr>
          <w:ilvl w:val="0"/>
          <w:numId w:val="32"/>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bookmarkStart w:id="22" w:name="_Toc272247700"/>
      <w:bookmarkStart w:id="23" w:name="_Toc278891597"/>
      <w:r>
        <w:rPr>
          <w:rFonts w:ascii="宋体" w:hAnsi="宋体" w:eastAsia="宋体" w:cs="Times New Roman"/>
          <w:color w:val="000000" w:themeColor="text1"/>
          <w:sz w:val="24"/>
          <w:szCs w:val="20"/>
          <w:lang w:val="zh-CN"/>
          <w14:textFill>
            <w14:solidFill>
              <w14:schemeClr w14:val="tx1"/>
            </w14:solidFill>
          </w14:textFill>
        </w:rPr>
        <w:t>采购人应当自中标通知书发出之日起30日内，按照招标文件</w:t>
      </w:r>
      <w:r>
        <w:rPr>
          <w:rFonts w:hint="eastAsia" w:ascii="宋体" w:hAnsi="宋体" w:eastAsia="宋体" w:cs="Times New Roman"/>
          <w:color w:val="000000" w:themeColor="text1"/>
          <w:sz w:val="24"/>
          <w:szCs w:val="20"/>
          <w:lang w:val="zh-CN"/>
          <w14:textFill>
            <w14:solidFill>
              <w14:schemeClr w14:val="tx1"/>
            </w14:solidFill>
          </w14:textFill>
        </w:rPr>
        <w:t>规定</w:t>
      </w:r>
      <w:r>
        <w:rPr>
          <w:rFonts w:ascii="宋体" w:hAnsi="宋体" w:eastAsia="宋体" w:cs="Times New Roman"/>
          <w:color w:val="000000" w:themeColor="text1"/>
          <w:sz w:val="24"/>
          <w:szCs w:val="20"/>
          <w:lang w:val="zh-CN"/>
          <w14:textFill>
            <w14:solidFill>
              <w14:schemeClr w14:val="tx1"/>
            </w14:solidFill>
          </w14:textFill>
        </w:rPr>
        <w:t>和中标人投标文件的</w:t>
      </w:r>
      <w:r>
        <w:rPr>
          <w:rFonts w:hint="eastAsia" w:ascii="宋体" w:hAnsi="宋体" w:eastAsia="宋体" w:cs="Times New Roman"/>
          <w:color w:val="000000" w:themeColor="text1"/>
          <w:sz w:val="24"/>
          <w:szCs w:val="20"/>
          <w:lang w:val="zh-CN"/>
          <w14:textFill>
            <w14:solidFill>
              <w14:schemeClr w14:val="tx1"/>
            </w14:solidFill>
          </w14:textFill>
        </w:rPr>
        <w:t>承诺</w:t>
      </w:r>
      <w:r>
        <w:rPr>
          <w:rFonts w:ascii="宋体" w:hAnsi="宋体" w:eastAsia="宋体" w:cs="Times New Roman"/>
          <w:color w:val="000000" w:themeColor="text1"/>
          <w:sz w:val="24"/>
          <w:szCs w:val="20"/>
          <w:lang w:val="zh-CN"/>
          <w14:textFill>
            <w14:solidFill>
              <w14:schemeClr w14:val="tx1"/>
            </w14:solidFill>
          </w14:textFill>
        </w:rPr>
        <w:t>，与中标人签订书面合同。所签订的合同不得对招标文件确定的事项和中标人投标文件作实质性修改。</w:t>
      </w:r>
    </w:p>
    <w:p>
      <w:pPr>
        <w:numPr>
          <w:ilvl w:val="0"/>
          <w:numId w:val="32"/>
        </w:numPr>
        <w:tabs>
          <w:tab w:val="left" w:pos="616"/>
        </w:tabs>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ascii="Helvetica" w:hAnsi="Helvetica" w:eastAsia="宋体" w:cs="Helvetica"/>
          <w:color w:val="000000" w:themeColor="text1"/>
          <w:kern w:val="0"/>
          <w:sz w:val="24"/>
          <w:szCs w:val="24"/>
          <w:lang w:val="zh-CN"/>
          <w14:textFill>
            <w14:solidFill>
              <w14:schemeClr w14:val="tx1"/>
            </w14:solidFill>
          </w14:textFill>
        </w:rPr>
        <w:t>采购人不得向中标人提出任何不合理的要求作为签订合同的条件。</w:t>
      </w:r>
    </w:p>
    <w:p>
      <w:pPr>
        <w:numPr>
          <w:ilvl w:val="0"/>
          <w:numId w:val="32"/>
        </w:numPr>
        <w:tabs>
          <w:tab w:val="left" w:pos="616"/>
        </w:tabs>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ascii="宋体" w:hAnsi="宋体" w:eastAsia="宋体" w:cs="Times New Roman"/>
          <w:color w:val="000000" w:themeColor="text1"/>
          <w:sz w:val="24"/>
          <w:szCs w:val="20"/>
          <w:lang w:val="zh-CN"/>
          <w14:textFill>
            <w14:solidFill>
              <w14:schemeClr w14:val="tx1"/>
            </w14:solidFill>
          </w14:textFill>
        </w:rPr>
        <w:t>政府采购合同应当包括采购人与中标人的名称和住所、标的、数量、质量、价款或者报酬、履行期限及地点和方式、验收要求、违约责任、解决争议的方法等内容。</w:t>
      </w:r>
    </w:p>
    <w:p>
      <w:pPr>
        <w:numPr>
          <w:ilvl w:val="0"/>
          <w:numId w:val="32"/>
        </w:numPr>
        <w:tabs>
          <w:tab w:val="left" w:pos="616"/>
        </w:tabs>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ascii="Helvetica" w:hAnsi="Helvetica" w:eastAsia="宋体" w:cs="Helvetica"/>
          <w:color w:val="000000" w:themeColor="text1"/>
          <w:kern w:val="0"/>
          <w:sz w:val="24"/>
          <w:szCs w:val="24"/>
          <w:lang w:val="zh-CN"/>
          <w14:textFill>
            <w14:solidFill>
              <w14:schemeClr w14:val="tx1"/>
            </w14:solidFill>
          </w14:textFill>
        </w:rPr>
        <w:t>采购人与中标人应当根据合同的约定依法履行合同义务。政府采购合同的履行、违约责任和解决争议的方法等适用《中华人民共和国合同法》。</w:t>
      </w:r>
    </w:p>
    <w:p>
      <w:pPr>
        <w:numPr>
          <w:ilvl w:val="0"/>
          <w:numId w:val="32"/>
        </w:numPr>
        <w:tabs>
          <w:tab w:val="left" w:pos="616"/>
        </w:tabs>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14:textFill>
            <w14:solidFill>
              <w14:schemeClr w14:val="tx1"/>
            </w14:solidFill>
          </w14:textFill>
        </w:rPr>
        <w:t>采购人应当自政府采购合同签订之日起2个工作日内，将政府采购合同在省级以上人民政府财政部门指定的媒体上公告，但政府采购合同中涉及国家秘密、商业秘密的内容除外。</w:t>
      </w:r>
    </w:p>
    <w:p>
      <w:pPr>
        <w:numPr>
          <w:ilvl w:val="0"/>
          <w:numId w:val="32"/>
        </w:numPr>
        <w:tabs>
          <w:tab w:val="left" w:pos="616"/>
        </w:tabs>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ascii="Helvetica" w:hAnsi="Helvetica" w:eastAsia="宋体" w:cs="Helvetica"/>
          <w:color w:val="000000" w:themeColor="text1"/>
          <w:kern w:val="0"/>
          <w:sz w:val="24"/>
          <w:szCs w:val="24"/>
          <w:lang w:val="zh-CN"/>
          <w14:textFill>
            <w14:solidFill>
              <w14:schemeClr w14:val="tx1"/>
            </w14:solidFill>
          </w14:textFill>
        </w:rPr>
        <w:t>采购人应当加强对中标人的履约管理，并按照采购合同约定，及时向中标人支付采购资金。对于中标人违反采购合同约定的行为，采购人应当及时处理，依法追究其违约责任。</w:t>
      </w:r>
    </w:p>
    <w:p>
      <w:pPr>
        <w:pStyle w:val="5"/>
        <w:numPr>
          <w:ilvl w:val="0"/>
          <w:numId w:val="4"/>
        </w:numPr>
        <w:spacing w:before="40" w:after="40" w:line="360" w:lineRule="auto"/>
        <w:ind w:left="658" w:hanging="658"/>
        <w:jc w:val="left"/>
        <w:rPr>
          <w:rFonts w:cs="Times New Roman" w:asciiTheme="majorEastAsia" w:hAnsiTheme="majorEastAsia"/>
          <w:bCs w:val="0"/>
          <w:color w:val="000000" w:themeColor="text1"/>
          <w:lang w:val="zh-CN"/>
          <w14:textFill>
            <w14:solidFill>
              <w14:schemeClr w14:val="tx1"/>
            </w14:solidFill>
          </w14:textFill>
        </w:rPr>
      </w:pPr>
      <w:bookmarkStart w:id="24" w:name="_Toc494561945"/>
      <w:bookmarkStart w:id="25" w:name="_Toc27474"/>
      <w:r>
        <w:rPr>
          <w:rFonts w:hint="eastAsia" w:cs="Times New Roman" w:asciiTheme="majorEastAsia" w:hAnsiTheme="majorEastAsia"/>
          <w:bCs w:val="0"/>
          <w:color w:val="000000" w:themeColor="text1"/>
          <w:lang w:val="zh-CN"/>
          <w14:textFill>
            <w14:solidFill>
              <w14:schemeClr w14:val="tx1"/>
            </w14:solidFill>
          </w14:textFill>
        </w:rPr>
        <w:t>采购信息公告</w:t>
      </w:r>
      <w:bookmarkEnd w:id="24"/>
      <w:bookmarkEnd w:id="25"/>
    </w:p>
    <w:p>
      <w:pPr>
        <w:numPr>
          <w:ilvl w:val="0"/>
          <w:numId w:val="5"/>
        </w:numPr>
        <w:spacing w:line="360" w:lineRule="auto"/>
        <w:ind w:left="560" w:hanging="560"/>
        <w:rPr>
          <w:rFonts w:ascii="宋体" w:hAnsi="宋体" w:eastAsia="宋体" w:cs="Helvetica"/>
          <w:b/>
          <w:color w:val="000000" w:themeColor="text1"/>
          <w:kern w:val="0"/>
          <w:sz w:val="24"/>
          <w:szCs w:val="24"/>
          <w:lang w:val="zh-CN"/>
          <w14:textFill>
            <w14:solidFill>
              <w14:schemeClr w14:val="tx1"/>
            </w14:solidFill>
          </w14:textFill>
        </w:rPr>
      </w:pPr>
      <w:r>
        <w:rPr>
          <w:rFonts w:hint="eastAsia" w:ascii="宋体" w:hAnsi="宋体" w:eastAsia="宋体" w:cs="Helvetica"/>
          <w:b/>
          <w:color w:val="000000" w:themeColor="text1"/>
          <w:kern w:val="0"/>
          <w:sz w:val="24"/>
          <w:szCs w:val="24"/>
          <w:lang w:val="zh-CN"/>
          <w14:textFill>
            <w14:solidFill>
              <w14:schemeClr w14:val="tx1"/>
            </w14:solidFill>
          </w14:textFill>
        </w:rPr>
        <w:t>公告的媒体及规定</w:t>
      </w:r>
    </w:p>
    <w:p>
      <w:pPr>
        <w:numPr>
          <w:ilvl w:val="0"/>
          <w:numId w:val="33"/>
        </w:numPr>
        <w:tabs>
          <w:tab w:val="left" w:pos="616"/>
        </w:tabs>
        <w:spacing w:line="360" w:lineRule="auto"/>
        <w:ind w:left="616" w:hanging="616"/>
        <w:rPr>
          <w:rFonts w:cs="Helvetica" w:asciiTheme="minorEastAsia" w:hAnsiTheme="minorEastAsia"/>
          <w:color w:val="000000" w:themeColor="text1"/>
          <w:kern w:val="0"/>
          <w:sz w:val="24"/>
          <w:szCs w:val="24"/>
          <w:lang w:val="zh-CN"/>
          <w14:textFill>
            <w14:solidFill>
              <w14:schemeClr w14:val="tx1"/>
            </w14:solidFill>
          </w14:textFill>
        </w:rPr>
      </w:pPr>
      <w:r>
        <w:rPr>
          <w:rFonts w:hint="eastAsia" w:cs="Helvetica" w:asciiTheme="minorEastAsia" w:hAnsiTheme="minorEastAsia"/>
          <w:color w:val="000000" w:themeColor="text1"/>
          <w:kern w:val="0"/>
          <w:sz w:val="24"/>
          <w:szCs w:val="24"/>
          <w:lang w:val="zh-CN"/>
          <w14:textFill>
            <w14:solidFill>
              <w14:schemeClr w14:val="tx1"/>
            </w14:solidFill>
          </w14:textFill>
        </w:rPr>
        <w:t>集中采购机构在招标活动中的公告、补充、更正、结果等采购信息均依法在政府采购监管部门指定媒体上（中国湖北政府采购网http://www.ccgp-hubei.gov.cn/）发布。</w:t>
      </w:r>
    </w:p>
    <w:p>
      <w:pPr>
        <w:numPr>
          <w:ilvl w:val="0"/>
          <w:numId w:val="33"/>
        </w:numPr>
        <w:tabs>
          <w:tab w:val="left" w:pos="616"/>
        </w:tabs>
        <w:spacing w:line="360" w:lineRule="auto"/>
        <w:ind w:left="616" w:hanging="616"/>
        <w:rPr>
          <w:rFonts w:cs="Helvetica" w:asciiTheme="minorEastAsia" w:hAnsiTheme="minorEastAsia"/>
          <w:b/>
          <w:color w:val="000000" w:themeColor="text1"/>
          <w:kern w:val="0"/>
          <w:sz w:val="24"/>
          <w:szCs w:val="24"/>
          <w:lang w:val="zh-CN"/>
          <w14:textFill>
            <w14:solidFill>
              <w14:schemeClr w14:val="tx1"/>
            </w14:solidFill>
          </w14:textFill>
        </w:rPr>
      </w:pPr>
      <w:r>
        <w:rPr>
          <w:rFonts w:hint="eastAsia" w:cs="Helvetica" w:asciiTheme="minorEastAsia" w:hAnsiTheme="minorEastAsia"/>
          <w:color w:val="000000" w:themeColor="text1"/>
          <w:kern w:val="0"/>
          <w:sz w:val="24"/>
          <w:szCs w:val="24"/>
          <w:lang w:val="zh-CN"/>
          <w14:textFill>
            <w14:solidFill>
              <w14:schemeClr w14:val="tx1"/>
            </w14:solidFill>
          </w14:textFill>
        </w:rPr>
        <w:t>集中采购机构在自</w:t>
      </w:r>
      <w:r>
        <w:rPr>
          <w:rFonts w:cs="Helvetica" w:asciiTheme="minorEastAsia" w:hAnsiTheme="minorEastAsia"/>
          <w:color w:val="000000" w:themeColor="text1"/>
          <w:kern w:val="0"/>
          <w:sz w:val="24"/>
          <w:szCs w:val="24"/>
          <w:lang w:val="zh-CN"/>
          <w14:textFill>
            <w14:solidFill>
              <w14:schemeClr w14:val="tx1"/>
            </w14:solidFill>
          </w14:textFill>
        </w:rPr>
        <w:t>中标人确定之日起2个工作日内，</w:t>
      </w:r>
      <w:r>
        <w:rPr>
          <w:rFonts w:hint="eastAsia" w:cs="Helvetica" w:asciiTheme="minorEastAsia" w:hAnsiTheme="minorEastAsia"/>
          <w:color w:val="000000" w:themeColor="text1"/>
          <w:kern w:val="0"/>
          <w:sz w:val="24"/>
          <w:szCs w:val="24"/>
          <w:lang w:val="zh-CN"/>
          <w14:textFill>
            <w14:solidFill>
              <w14:schemeClr w14:val="tx1"/>
            </w14:solidFill>
          </w14:textFill>
        </w:rPr>
        <w:t>在政府采购监管部门指定媒体上</w:t>
      </w:r>
      <w:r>
        <w:rPr>
          <w:rFonts w:cs="Helvetica" w:asciiTheme="minorEastAsia" w:hAnsiTheme="minorEastAsia"/>
          <w:color w:val="000000" w:themeColor="text1"/>
          <w:kern w:val="0"/>
          <w:sz w:val="24"/>
          <w:szCs w:val="24"/>
          <w:lang w:val="zh-CN"/>
          <w14:textFill>
            <w14:solidFill>
              <w14:schemeClr w14:val="tx1"/>
            </w14:solidFill>
          </w14:textFill>
        </w:rPr>
        <w:t>公告中标结果</w:t>
      </w:r>
      <w:r>
        <w:rPr>
          <w:rFonts w:hint="eastAsia" w:cs="Helvetica" w:asciiTheme="minorEastAsia" w:hAnsiTheme="minorEastAsia"/>
          <w:color w:val="000000" w:themeColor="text1"/>
          <w:kern w:val="0"/>
          <w:sz w:val="24"/>
          <w:szCs w:val="24"/>
          <w:lang w:val="zh-CN"/>
          <w14:textFill>
            <w14:solidFill>
              <w14:schemeClr w14:val="tx1"/>
            </w14:solidFill>
          </w14:textFill>
        </w:rPr>
        <w:t>，</w:t>
      </w:r>
      <w:r>
        <w:rPr>
          <w:rFonts w:hint="eastAsia" w:cs="Helvetica" w:asciiTheme="minorEastAsia" w:hAnsiTheme="minorEastAsia"/>
          <w:b/>
          <w:color w:val="000000" w:themeColor="text1"/>
          <w:kern w:val="0"/>
          <w:sz w:val="24"/>
          <w:szCs w:val="24"/>
          <w:lang w:val="zh-CN"/>
          <w14:textFill>
            <w14:solidFill>
              <w14:schemeClr w14:val="tx1"/>
            </w14:solidFill>
          </w14:textFill>
        </w:rPr>
        <w:t>中标公告的公示期为1个工作日。</w:t>
      </w:r>
    </w:p>
    <w:p>
      <w:pPr>
        <w:numPr>
          <w:ilvl w:val="0"/>
          <w:numId w:val="33"/>
        </w:numPr>
        <w:tabs>
          <w:tab w:val="left" w:pos="616"/>
        </w:tabs>
        <w:spacing w:line="360" w:lineRule="auto"/>
        <w:ind w:left="616" w:hanging="616"/>
        <w:rPr>
          <w:rFonts w:cs="Helvetica" w:asciiTheme="minorEastAsia" w:hAnsiTheme="minorEastAsia"/>
          <w:color w:val="000000" w:themeColor="text1"/>
          <w:kern w:val="0"/>
          <w:sz w:val="24"/>
          <w:szCs w:val="24"/>
          <w:lang w:val="zh-CN"/>
          <w14:textFill>
            <w14:solidFill>
              <w14:schemeClr w14:val="tx1"/>
            </w14:solidFill>
          </w14:textFill>
        </w:rPr>
      </w:pPr>
      <w:r>
        <w:rPr>
          <w:rFonts w:hint="eastAsia" w:cs="Helvetica" w:asciiTheme="minorEastAsia" w:hAnsiTheme="minorEastAsia"/>
          <w:color w:val="000000" w:themeColor="text1"/>
          <w:kern w:val="0"/>
          <w:sz w:val="24"/>
          <w:szCs w:val="24"/>
          <w:lang w:val="zh-CN"/>
          <w14:textFill>
            <w14:solidFill>
              <w14:schemeClr w14:val="tx1"/>
            </w14:solidFill>
          </w14:textFill>
        </w:rPr>
        <w:t>资格审查未通过的投标人可在结果公告质疑有效期内按公告中的联系方式获知</w:t>
      </w:r>
      <w:r>
        <w:rPr>
          <w:rFonts w:cs="Helvetica" w:asciiTheme="minorEastAsia" w:hAnsiTheme="minorEastAsia"/>
          <w:color w:val="000000" w:themeColor="text1"/>
          <w:kern w:val="0"/>
          <w:sz w:val="24"/>
          <w:szCs w:val="24"/>
          <w:lang w:val="zh-CN"/>
          <w14:textFill>
            <w14:solidFill>
              <w14:schemeClr w14:val="tx1"/>
            </w14:solidFill>
          </w14:textFill>
        </w:rPr>
        <w:t>本</w:t>
      </w:r>
      <w:r>
        <w:rPr>
          <w:rFonts w:hint="eastAsia" w:cs="Helvetica" w:asciiTheme="minorEastAsia" w:hAnsiTheme="minorEastAsia"/>
          <w:color w:val="000000" w:themeColor="text1"/>
          <w:kern w:val="0"/>
          <w:sz w:val="24"/>
          <w:szCs w:val="24"/>
          <w:lang w:val="zh-CN"/>
          <w14:textFill>
            <w14:solidFill>
              <w14:schemeClr w14:val="tx1"/>
            </w14:solidFill>
          </w14:textFill>
        </w:rPr>
        <w:t>单位</w:t>
      </w:r>
      <w:r>
        <w:rPr>
          <w:rFonts w:cs="Helvetica" w:asciiTheme="minorEastAsia" w:hAnsiTheme="minorEastAsia"/>
          <w:color w:val="000000" w:themeColor="text1"/>
          <w:kern w:val="0"/>
          <w:sz w:val="24"/>
          <w:szCs w:val="24"/>
          <w:lang w:val="zh-CN"/>
          <w14:textFill>
            <w14:solidFill>
              <w14:schemeClr w14:val="tx1"/>
            </w14:solidFill>
          </w14:textFill>
        </w:rPr>
        <w:t>的</w:t>
      </w:r>
      <w:r>
        <w:rPr>
          <w:rFonts w:hint="eastAsia" w:cs="Helvetica" w:asciiTheme="minorEastAsia" w:hAnsiTheme="minorEastAsia"/>
          <w:color w:val="000000" w:themeColor="text1"/>
          <w:kern w:val="0"/>
          <w:sz w:val="24"/>
          <w:szCs w:val="24"/>
          <w:lang w:val="zh-CN"/>
          <w14:textFill>
            <w14:solidFill>
              <w14:schemeClr w14:val="tx1"/>
            </w14:solidFill>
          </w14:textFill>
        </w:rPr>
        <w:t>资格审查情况</w:t>
      </w:r>
      <w:r>
        <w:rPr>
          <w:rFonts w:cs="Helvetica" w:asciiTheme="minorEastAsia" w:hAnsiTheme="minorEastAsia"/>
          <w:color w:val="000000" w:themeColor="text1"/>
          <w:kern w:val="0"/>
          <w:sz w:val="24"/>
          <w:szCs w:val="24"/>
          <w:lang w:val="zh-CN"/>
          <w14:textFill>
            <w14:solidFill>
              <w14:schemeClr w14:val="tx1"/>
            </w14:solidFill>
          </w14:textFill>
        </w:rPr>
        <w:t>。</w:t>
      </w:r>
    </w:p>
    <w:p>
      <w:pPr>
        <w:numPr>
          <w:ilvl w:val="0"/>
          <w:numId w:val="33"/>
        </w:numPr>
        <w:tabs>
          <w:tab w:val="left" w:pos="616"/>
        </w:tabs>
        <w:spacing w:line="360" w:lineRule="auto"/>
        <w:ind w:left="616" w:hanging="616"/>
        <w:rPr>
          <w:rFonts w:cs="Helvetica" w:asciiTheme="minorEastAsia" w:hAnsiTheme="minorEastAsia"/>
          <w:color w:val="000000" w:themeColor="text1"/>
          <w:kern w:val="0"/>
          <w:sz w:val="24"/>
          <w:szCs w:val="24"/>
          <w:lang w:val="zh-CN"/>
          <w14:textFill>
            <w14:solidFill>
              <w14:schemeClr w14:val="tx1"/>
            </w14:solidFill>
          </w14:textFill>
        </w:rPr>
      </w:pPr>
      <w:r>
        <w:rPr>
          <w:rFonts w:cs="Helvetica" w:asciiTheme="minorEastAsia" w:hAnsiTheme="minorEastAsia"/>
          <w:color w:val="000000" w:themeColor="text1"/>
          <w:kern w:val="0"/>
          <w:sz w:val="24"/>
          <w:szCs w:val="24"/>
          <w:lang w:val="zh-CN"/>
          <w14:textFill>
            <w14:solidFill>
              <w14:schemeClr w14:val="tx1"/>
            </w14:solidFill>
          </w14:textFill>
        </w:rPr>
        <w:t>采用综合评分法评审的</w:t>
      </w:r>
      <w:r>
        <w:rPr>
          <w:rFonts w:hint="eastAsia" w:cs="Helvetica" w:asciiTheme="minorEastAsia" w:hAnsiTheme="minorEastAsia"/>
          <w:color w:val="000000" w:themeColor="text1"/>
          <w:kern w:val="0"/>
          <w:sz w:val="24"/>
          <w:szCs w:val="24"/>
          <w:lang w:val="zh-CN"/>
          <w14:textFill>
            <w14:solidFill>
              <w14:schemeClr w14:val="tx1"/>
            </w14:solidFill>
          </w14:textFill>
        </w:rPr>
        <w:t>项目</w:t>
      </w:r>
      <w:r>
        <w:rPr>
          <w:rFonts w:cs="Helvetica" w:asciiTheme="minorEastAsia" w:hAnsiTheme="minorEastAsia"/>
          <w:color w:val="000000" w:themeColor="text1"/>
          <w:kern w:val="0"/>
          <w:sz w:val="24"/>
          <w:szCs w:val="24"/>
          <w:lang w:val="zh-CN"/>
          <w14:textFill>
            <w14:solidFill>
              <w14:schemeClr w14:val="tx1"/>
            </w14:solidFill>
          </w14:textFill>
        </w:rPr>
        <w:t>，</w:t>
      </w:r>
      <w:r>
        <w:rPr>
          <w:rFonts w:hint="eastAsia" w:cs="Helvetica" w:asciiTheme="minorEastAsia" w:hAnsiTheme="minorEastAsia"/>
          <w:color w:val="000000" w:themeColor="text1"/>
          <w:kern w:val="0"/>
          <w:sz w:val="24"/>
          <w:szCs w:val="24"/>
          <w:lang w:val="zh-CN"/>
          <w14:textFill>
            <w14:solidFill>
              <w14:schemeClr w14:val="tx1"/>
            </w14:solidFill>
          </w14:textFill>
        </w:rPr>
        <w:t>未中标人可在结果公告质疑有效期内按公告中的联系方式获知</w:t>
      </w:r>
      <w:r>
        <w:rPr>
          <w:rFonts w:cs="Helvetica" w:asciiTheme="minorEastAsia" w:hAnsiTheme="minorEastAsia"/>
          <w:color w:val="000000" w:themeColor="text1"/>
          <w:kern w:val="0"/>
          <w:sz w:val="24"/>
          <w:szCs w:val="24"/>
          <w:lang w:val="zh-CN"/>
          <w14:textFill>
            <w14:solidFill>
              <w14:schemeClr w14:val="tx1"/>
            </w14:solidFill>
          </w14:textFill>
        </w:rPr>
        <w:t>本</w:t>
      </w:r>
      <w:r>
        <w:rPr>
          <w:rFonts w:hint="eastAsia" w:cs="Helvetica" w:asciiTheme="minorEastAsia" w:hAnsiTheme="minorEastAsia"/>
          <w:color w:val="000000" w:themeColor="text1"/>
          <w:kern w:val="0"/>
          <w:sz w:val="24"/>
          <w:szCs w:val="24"/>
          <w:lang w:val="zh-CN"/>
          <w14:textFill>
            <w14:solidFill>
              <w14:schemeClr w14:val="tx1"/>
            </w14:solidFill>
          </w14:textFill>
        </w:rPr>
        <w:t>单位</w:t>
      </w:r>
      <w:r>
        <w:rPr>
          <w:rFonts w:cs="Helvetica" w:asciiTheme="minorEastAsia" w:hAnsiTheme="minorEastAsia"/>
          <w:color w:val="000000" w:themeColor="text1"/>
          <w:kern w:val="0"/>
          <w:sz w:val="24"/>
          <w:szCs w:val="24"/>
          <w:lang w:val="zh-CN"/>
          <w14:textFill>
            <w14:solidFill>
              <w14:schemeClr w14:val="tx1"/>
            </w14:solidFill>
          </w14:textFill>
        </w:rPr>
        <w:t>的评审得分与排序。</w:t>
      </w:r>
    </w:p>
    <w:p>
      <w:pPr>
        <w:pStyle w:val="5"/>
        <w:numPr>
          <w:ilvl w:val="0"/>
          <w:numId w:val="4"/>
        </w:numPr>
        <w:spacing w:before="40" w:after="40" w:line="360" w:lineRule="auto"/>
        <w:ind w:left="658" w:hanging="658"/>
        <w:jc w:val="left"/>
        <w:rPr>
          <w:rFonts w:cs="Times New Roman" w:asciiTheme="majorEastAsia" w:hAnsiTheme="majorEastAsia"/>
          <w:bCs w:val="0"/>
          <w:color w:val="000000" w:themeColor="text1"/>
          <w:lang w:val="zh-CN"/>
          <w14:textFill>
            <w14:solidFill>
              <w14:schemeClr w14:val="tx1"/>
            </w14:solidFill>
          </w14:textFill>
        </w:rPr>
      </w:pPr>
      <w:bookmarkStart w:id="26" w:name="_Toc7362"/>
      <w:bookmarkStart w:id="27" w:name="_Toc494561946"/>
      <w:r>
        <w:rPr>
          <w:rFonts w:hint="eastAsia" w:cs="Times New Roman" w:asciiTheme="majorEastAsia" w:hAnsiTheme="majorEastAsia"/>
          <w:bCs w:val="0"/>
          <w:color w:val="000000" w:themeColor="text1"/>
          <w:lang w:val="zh-CN"/>
          <w14:textFill>
            <w14:solidFill>
              <w14:schemeClr w14:val="tx1"/>
            </w14:solidFill>
          </w14:textFill>
        </w:rPr>
        <w:t>质疑</w:t>
      </w:r>
      <w:bookmarkEnd w:id="22"/>
      <w:bookmarkEnd w:id="23"/>
      <w:r>
        <w:rPr>
          <w:rFonts w:hint="eastAsia" w:cs="Times New Roman" w:asciiTheme="majorEastAsia" w:hAnsiTheme="majorEastAsia"/>
          <w:bCs w:val="0"/>
          <w:color w:val="000000" w:themeColor="text1"/>
          <w:lang w:val="zh-CN"/>
          <w14:textFill>
            <w14:solidFill>
              <w14:schemeClr w14:val="tx1"/>
            </w14:solidFill>
          </w14:textFill>
        </w:rPr>
        <w:t>及提交</w:t>
      </w:r>
      <w:bookmarkEnd w:id="26"/>
      <w:bookmarkEnd w:id="27"/>
    </w:p>
    <w:p>
      <w:pPr>
        <w:numPr>
          <w:ilvl w:val="0"/>
          <w:numId w:val="5"/>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质疑提交</w:t>
      </w:r>
    </w:p>
    <w:p>
      <w:pPr>
        <w:autoSpaceDE w:val="0"/>
        <w:autoSpaceDN w:val="0"/>
        <w:adjustRightInd w:val="0"/>
        <w:snapToGrid w:val="0"/>
        <w:spacing w:line="300" w:lineRule="auto"/>
        <w:ind w:left="420" w:right="32" w:firstLine="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投标人认为招标文件、招标过程和中标结果使自己的权益受到损害的，可以在知道或者应知其权益受到损害之日起7个工作日内，</w:t>
      </w:r>
      <w:r>
        <w:rPr>
          <w:rFonts w:ascii="宋体" w:hAnsi="宋体" w:eastAsia="宋体" w:cs="Times New Roman"/>
          <w:color w:val="000000" w:themeColor="text1"/>
          <w:sz w:val="24"/>
          <w:szCs w:val="20"/>
          <w:lang w:val="zh-CN"/>
          <w14:textFill>
            <w14:solidFill>
              <w14:schemeClr w14:val="tx1"/>
            </w14:solidFill>
          </w14:textFill>
        </w:rPr>
        <w:t>向</w:t>
      </w:r>
      <w:r>
        <w:rPr>
          <w:rFonts w:hint="eastAsia" w:ascii="宋体" w:hAnsi="宋体" w:eastAsia="宋体" w:cs="Times New Roman"/>
          <w:color w:val="000000" w:themeColor="text1"/>
          <w:sz w:val="24"/>
          <w:szCs w:val="20"/>
          <w:lang w:val="zh-CN"/>
          <w14:textFill>
            <w14:solidFill>
              <w14:schemeClr w14:val="tx1"/>
            </w14:solidFill>
          </w14:textFill>
        </w:rPr>
        <w:t>采购人（或代理公司）</w:t>
      </w:r>
      <w:r>
        <w:rPr>
          <w:rFonts w:ascii="宋体" w:hAnsi="宋体" w:eastAsia="宋体" w:cs="Times New Roman"/>
          <w:color w:val="000000" w:themeColor="text1"/>
          <w:sz w:val="24"/>
          <w:szCs w:val="20"/>
          <w:lang w:val="zh-CN"/>
          <w14:textFill>
            <w14:solidFill>
              <w14:schemeClr w14:val="tx1"/>
            </w14:solidFill>
          </w14:textFill>
        </w:rPr>
        <w:t>提出</w:t>
      </w:r>
      <w:r>
        <w:rPr>
          <w:rFonts w:hint="eastAsia" w:ascii="宋体" w:hAnsi="宋体" w:eastAsia="宋体" w:cs="Times New Roman"/>
          <w:color w:val="000000" w:themeColor="text1"/>
          <w:sz w:val="24"/>
          <w:szCs w:val="20"/>
          <w:lang w:val="zh-CN"/>
          <w14:textFill>
            <w14:solidFill>
              <w14:schemeClr w14:val="tx1"/>
            </w14:solidFill>
          </w14:textFill>
        </w:rPr>
        <w:t>书面</w:t>
      </w:r>
      <w:r>
        <w:rPr>
          <w:rFonts w:ascii="宋体" w:hAnsi="宋体" w:eastAsia="宋体" w:cs="Times New Roman"/>
          <w:color w:val="000000" w:themeColor="text1"/>
          <w:sz w:val="24"/>
          <w:szCs w:val="20"/>
          <w:lang w:val="zh-CN"/>
          <w14:textFill>
            <w14:solidFill>
              <w14:schemeClr w14:val="tx1"/>
            </w14:solidFill>
          </w14:textFill>
        </w:rPr>
        <w:t>质疑</w:t>
      </w:r>
      <w:r>
        <w:rPr>
          <w:rFonts w:hint="eastAsia" w:ascii="宋体" w:hAnsi="宋体" w:eastAsia="宋体" w:cs="Times New Roman"/>
          <w:color w:val="000000" w:themeColor="text1"/>
          <w:sz w:val="24"/>
          <w:szCs w:val="20"/>
          <w:lang w:val="zh-CN"/>
          <w14:textFill>
            <w14:solidFill>
              <w14:schemeClr w14:val="tx1"/>
            </w14:solidFill>
          </w14:textFill>
        </w:rPr>
        <w:t>，质疑提出时间以收到之日为准。</w:t>
      </w:r>
    </w:p>
    <w:p>
      <w:pPr>
        <w:numPr>
          <w:ilvl w:val="0"/>
          <w:numId w:val="5"/>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投标人</w:t>
      </w:r>
      <w:r>
        <w:rPr>
          <w:rFonts w:ascii="宋体" w:hAnsi="宋体" w:eastAsia="宋体" w:cs="Times New Roman"/>
          <w:b/>
          <w:color w:val="000000" w:themeColor="text1"/>
          <w:sz w:val="24"/>
          <w:szCs w:val="20"/>
          <w:lang w:val="zh-CN"/>
          <w14:textFill>
            <w14:solidFill>
              <w14:schemeClr w14:val="tx1"/>
            </w14:solidFill>
          </w14:textFill>
        </w:rPr>
        <w:t>应知其权益受到损害之日是指：</w:t>
      </w:r>
    </w:p>
    <w:p>
      <w:pPr>
        <w:numPr>
          <w:ilvl w:val="0"/>
          <w:numId w:val="34"/>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ascii="宋体" w:hAnsi="宋体" w:eastAsia="宋体" w:cs="Times New Roman"/>
          <w:color w:val="000000" w:themeColor="text1"/>
          <w:sz w:val="24"/>
          <w:szCs w:val="20"/>
          <w:lang w:val="zh-CN"/>
          <w14:textFill>
            <w14:solidFill>
              <w14:schemeClr w14:val="tx1"/>
            </w14:solidFill>
          </w14:textFill>
        </w:rPr>
        <w:t>对可以质疑的</w:t>
      </w:r>
      <w:r>
        <w:rPr>
          <w:rFonts w:hint="eastAsia" w:ascii="宋体" w:hAnsi="宋体" w:eastAsia="宋体" w:cs="Times New Roman"/>
          <w:color w:val="000000" w:themeColor="text1"/>
          <w:sz w:val="24"/>
          <w:szCs w:val="20"/>
          <w:lang w:val="zh-CN"/>
          <w14:textFill>
            <w14:solidFill>
              <w14:schemeClr w14:val="tx1"/>
            </w14:solidFill>
          </w14:textFill>
        </w:rPr>
        <w:t>招标</w:t>
      </w:r>
      <w:r>
        <w:rPr>
          <w:rFonts w:ascii="宋体" w:hAnsi="宋体" w:eastAsia="宋体" w:cs="Times New Roman"/>
          <w:color w:val="000000" w:themeColor="text1"/>
          <w:sz w:val="24"/>
          <w:szCs w:val="20"/>
          <w:lang w:val="zh-CN"/>
          <w14:textFill>
            <w14:solidFill>
              <w14:schemeClr w14:val="tx1"/>
            </w14:solidFill>
          </w14:textFill>
        </w:rPr>
        <w:t>文件提出质疑的，为收到</w:t>
      </w:r>
      <w:r>
        <w:rPr>
          <w:rFonts w:hint="eastAsia" w:ascii="宋体" w:hAnsi="宋体" w:eastAsia="宋体" w:cs="Times New Roman"/>
          <w:color w:val="000000" w:themeColor="text1"/>
          <w:sz w:val="24"/>
          <w:szCs w:val="20"/>
          <w:lang w:val="zh-CN"/>
          <w14:textFill>
            <w14:solidFill>
              <w14:schemeClr w14:val="tx1"/>
            </w14:solidFill>
          </w14:textFill>
        </w:rPr>
        <w:t>招标</w:t>
      </w:r>
      <w:r>
        <w:rPr>
          <w:rFonts w:ascii="宋体" w:hAnsi="宋体" w:eastAsia="宋体" w:cs="Times New Roman"/>
          <w:color w:val="000000" w:themeColor="text1"/>
          <w:sz w:val="24"/>
          <w:szCs w:val="20"/>
          <w:lang w:val="zh-CN"/>
          <w14:textFill>
            <w14:solidFill>
              <w14:schemeClr w14:val="tx1"/>
            </w14:solidFill>
          </w14:textFill>
        </w:rPr>
        <w:t>文件之日或者</w:t>
      </w:r>
      <w:r>
        <w:rPr>
          <w:rFonts w:hint="eastAsia" w:ascii="宋体" w:hAnsi="宋体" w:eastAsia="宋体" w:cs="Times New Roman"/>
          <w:color w:val="000000" w:themeColor="text1"/>
          <w:sz w:val="24"/>
          <w:szCs w:val="20"/>
          <w:lang w:val="zh-CN"/>
          <w14:textFill>
            <w14:solidFill>
              <w14:schemeClr w14:val="tx1"/>
            </w14:solidFill>
          </w14:textFill>
        </w:rPr>
        <w:t>招标</w:t>
      </w:r>
      <w:r>
        <w:rPr>
          <w:rFonts w:ascii="宋体" w:hAnsi="宋体" w:eastAsia="宋体" w:cs="Times New Roman"/>
          <w:color w:val="000000" w:themeColor="text1"/>
          <w:sz w:val="24"/>
          <w:szCs w:val="20"/>
          <w:lang w:val="zh-CN"/>
          <w14:textFill>
            <w14:solidFill>
              <w14:schemeClr w14:val="tx1"/>
            </w14:solidFill>
          </w14:textFill>
        </w:rPr>
        <w:t>文件公告期限届满之日</w:t>
      </w:r>
      <w:r>
        <w:rPr>
          <w:rFonts w:hint="eastAsia" w:ascii="宋体" w:hAnsi="宋体" w:eastAsia="宋体" w:cs="Times New Roman"/>
          <w:color w:val="000000" w:themeColor="text1"/>
          <w:sz w:val="24"/>
          <w:szCs w:val="20"/>
          <w:lang w:val="zh-CN"/>
          <w14:textFill>
            <w14:solidFill>
              <w14:schemeClr w14:val="tx1"/>
            </w14:solidFill>
          </w14:textFill>
        </w:rPr>
        <w:t>；</w:t>
      </w:r>
    </w:p>
    <w:p>
      <w:pPr>
        <w:numPr>
          <w:ilvl w:val="0"/>
          <w:numId w:val="34"/>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ascii="宋体" w:hAnsi="宋体" w:eastAsia="宋体" w:cs="Times New Roman"/>
          <w:color w:val="000000" w:themeColor="text1"/>
          <w:sz w:val="24"/>
          <w:szCs w:val="20"/>
          <w:lang w:val="zh-CN"/>
          <w14:textFill>
            <w14:solidFill>
              <w14:schemeClr w14:val="tx1"/>
            </w14:solidFill>
          </w14:textFill>
        </w:rPr>
        <w:t>对</w:t>
      </w:r>
      <w:r>
        <w:rPr>
          <w:rFonts w:hint="eastAsia" w:ascii="宋体" w:hAnsi="宋体" w:eastAsia="宋体" w:cs="Times New Roman"/>
          <w:color w:val="000000" w:themeColor="text1"/>
          <w:sz w:val="24"/>
          <w:szCs w:val="20"/>
          <w:lang w:val="zh-CN"/>
          <w14:textFill>
            <w14:solidFill>
              <w14:schemeClr w14:val="tx1"/>
            </w14:solidFill>
          </w14:textFill>
        </w:rPr>
        <w:t>招标</w:t>
      </w:r>
      <w:r>
        <w:rPr>
          <w:rFonts w:ascii="宋体" w:hAnsi="宋体" w:eastAsia="宋体" w:cs="Times New Roman"/>
          <w:color w:val="000000" w:themeColor="text1"/>
          <w:sz w:val="24"/>
          <w:szCs w:val="20"/>
          <w:lang w:val="zh-CN"/>
          <w14:textFill>
            <w14:solidFill>
              <w14:schemeClr w14:val="tx1"/>
            </w14:solidFill>
          </w14:textFill>
        </w:rPr>
        <w:t>过程提出质疑的，为各</w:t>
      </w:r>
      <w:r>
        <w:rPr>
          <w:rFonts w:hint="eastAsia" w:ascii="宋体" w:hAnsi="宋体" w:eastAsia="宋体" w:cs="Times New Roman"/>
          <w:color w:val="000000" w:themeColor="text1"/>
          <w:sz w:val="24"/>
          <w:szCs w:val="20"/>
          <w:lang w:val="zh-CN"/>
          <w14:textFill>
            <w14:solidFill>
              <w14:schemeClr w14:val="tx1"/>
            </w14:solidFill>
          </w14:textFill>
        </w:rPr>
        <w:t>招标</w:t>
      </w:r>
      <w:r>
        <w:rPr>
          <w:rFonts w:ascii="宋体" w:hAnsi="宋体" w:eastAsia="宋体" w:cs="Times New Roman"/>
          <w:color w:val="000000" w:themeColor="text1"/>
          <w:sz w:val="24"/>
          <w:szCs w:val="20"/>
          <w:lang w:val="zh-CN"/>
          <w14:textFill>
            <w14:solidFill>
              <w14:schemeClr w14:val="tx1"/>
            </w14:solidFill>
          </w14:textFill>
        </w:rPr>
        <w:t>程序环节结束之日</w:t>
      </w:r>
      <w:r>
        <w:rPr>
          <w:rFonts w:hint="eastAsia" w:ascii="宋体" w:hAnsi="宋体" w:eastAsia="宋体" w:cs="Times New Roman"/>
          <w:color w:val="000000" w:themeColor="text1"/>
          <w:sz w:val="24"/>
          <w:szCs w:val="20"/>
          <w:lang w:val="zh-CN"/>
          <w14:textFill>
            <w14:solidFill>
              <w14:schemeClr w14:val="tx1"/>
            </w14:solidFill>
          </w14:textFill>
        </w:rPr>
        <w:t>；</w:t>
      </w:r>
    </w:p>
    <w:p>
      <w:pPr>
        <w:numPr>
          <w:ilvl w:val="0"/>
          <w:numId w:val="34"/>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ascii="宋体" w:hAnsi="宋体" w:eastAsia="宋体" w:cs="Times New Roman"/>
          <w:color w:val="000000" w:themeColor="text1"/>
          <w:sz w:val="24"/>
          <w:szCs w:val="20"/>
          <w:lang w:val="zh-CN"/>
          <w14:textFill>
            <w14:solidFill>
              <w14:schemeClr w14:val="tx1"/>
            </w14:solidFill>
          </w14:textFill>
        </w:rPr>
        <w:t>对中标结果提出质疑的，为中标公告期限届满之日。</w:t>
      </w:r>
    </w:p>
    <w:p>
      <w:pPr>
        <w:numPr>
          <w:ilvl w:val="0"/>
          <w:numId w:val="5"/>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质疑书应当包括下列主要内容：</w:t>
      </w:r>
    </w:p>
    <w:p>
      <w:pPr>
        <w:numPr>
          <w:ilvl w:val="0"/>
          <w:numId w:val="35"/>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质疑人的名称、地址、联系人及联系电话等；</w:t>
      </w:r>
    </w:p>
    <w:p>
      <w:pPr>
        <w:numPr>
          <w:ilvl w:val="0"/>
          <w:numId w:val="35"/>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被质疑人的名称、地址、联系人及联系电话等；</w:t>
      </w:r>
    </w:p>
    <w:p>
      <w:pPr>
        <w:numPr>
          <w:ilvl w:val="0"/>
          <w:numId w:val="35"/>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质疑项目名称及编号、质疑事项和明确的请求；</w:t>
      </w:r>
    </w:p>
    <w:p>
      <w:pPr>
        <w:numPr>
          <w:ilvl w:val="0"/>
          <w:numId w:val="35"/>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质疑事项的事实根据、法律依据及其他必要的证明材料；</w:t>
      </w:r>
    </w:p>
    <w:p>
      <w:pPr>
        <w:numPr>
          <w:ilvl w:val="0"/>
          <w:numId w:val="35"/>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提出质疑的日期；</w:t>
      </w:r>
    </w:p>
    <w:p>
      <w:pPr>
        <w:numPr>
          <w:ilvl w:val="0"/>
          <w:numId w:val="35"/>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质疑人的署名及签章（质疑人为自然人的，应当由本人签字；质疑人为法人或者其他组织的，应当由法定代表人或者主要负责人签字盖章并加盖公章）；</w:t>
      </w:r>
    </w:p>
    <w:p>
      <w:pPr>
        <w:numPr>
          <w:ilvl w:val="0"/>
          <w:numId w:val="35"/>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法人授权委托书（质疑人或法人委托代理人办理质疑事务的，应当提供授权委托书，授权委托书应当载明委托代理的具体权限和事项）。</w:t>
      </w:r>
    </w:p>
    <w:p>
      <w:pPr>
        <w:numPr>
          <w:ilvl w:val="0"/>
          <w:numId w:val="5"/>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不予受理的情形</w:t>
      </w:r>
    </w:p>
    <w:p>
      <w:pPr>
        <w:spacing w:line="360" w:lineRule="auto"/>
        <w:ind w:firstLine="480" w:firstLineChars="20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投标人未按本章“质疑及提交”规定的时限、内容及方式进行质疑的，采购人（或代理公司）不予受理。</w:t>
      </w:r>
    </w:p>
    <w:p>
      <w:pPr>
        <w:pStyle w:val="5"/>
        <w:numPr>
          <w:ilvl w:val="0"/>
          <w:numId w:val="4"/>
        </w:numPr>
        <w:spacing w:before="40" w:after="40" w:line="360" w:lineRule="auto"/>
        <w:ind w:left="658" w:hanging="658"/>
        <w:jc w:val="left"/>
        <w:rPr>
          <w:rFonts w:cs="Times New Roman" w:asciiTheme="majorEastAsia" w:hAnsiTheme="majorEastAsia"/>
          <w:bCs w:val="0"/>
          <w:color w:val="000000" w:themeColor="text1"/>
          <w:lang w:val="zh-CN"/>
          <w14:textFill>
            <w14:solidFill>
              <w14:schemeClr w14:val="tx1"/>
            </w14:solidFill>
          </w14:textFill>
        </w:rPr>
      </w:pPr>
      <w:bookmarkStart w:id="28" w:name="_Toc19836"/>
      <w:bookmarkStart w:id="29" w:name="_Toc494561947"/>
      <w:r>
        <w:rPr>
          <w:rFonts w:hint="eastAsia" w:cs="Times New Roman" w:asciiTheme="majorEastAsia" w:hAnsiTheme="majorEastAsia"/>
          <w:bCs w:val="0"/>
          <w:color w:val="000000" w:themeColor="text1"/>
          <w:lang w:val="zh-CN"/>
          <w14:textFill>
            <w14:solidFill>
              <w14:schemeClr w14:val="tx1"/>
            </w14:solidFill>
          </w14:textFill>
        </w:rPr>
        <w:t>相关条文解读</w:t>
      </w:r>
      <w:bookmarkEnd w:id="28"/>
      <w:bookmarkEnd w:id="29"/>
    </w:p>
    <w:p>
      <w:pPr>
        <w:numPr>
          <w:ilvl w:val="0"/>
          <w:numId w:val="5"/>
        </w:numPr>
        <w:spacing w:line="360" w:lineRule="auto"/>
        <w:ind w:left="560" w:hanging="56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政府采购法第二十二条第一款第五项所称重大违法记录，是指供应商因违法经营受到刑事处罚或者责令停产停业、吊销许可证或者执照、较大数额罚款等行政处罚。</w:t>
      </w:r>
    </w:p>
    <w:p>
      <w:pPr>
        <w:numPr>
          <w:ilvl w:val="0"/>
          <w:numId w:val="5"/>
        </w:numPr>
        <w:spacing w:line="360" w:lineRule="auto"/>
        <w:ind w:left="560" w:hanging="56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按照财政部《关于规范政府采购行政处罚有关问题的通知》的规定，</w:t>
      </w:r>
      <w:r>
        <w:rPr>
          <w:rFonts w:ascii="宋体" w:hAnsi="宋体" w:eastAsia="宋体" w:cs="Times New Roman"/>
          <w:color w:val="000000" w:themeColor="text1"/>
          <w:sz w:val="24"/>
          <w:szCs w:val="20"/>
          <w:lang w:val="zh-CN"/>
          <w14:textFill>
            <w14:solidFill>
              <w14:schemeClr w14:val="tx1"/>
            </w14:solidFill>
          </w14:textFill>
        </w:rPr>
        <w:t>各级人民政府财政部门依法对参加政府采购活动的供应商作出的禁止参加政府采购活动等行政处罚决定在全国范围内生效。</w:t>
      </w:r>
    </w:p>
    <w:p>
      <w:pPr>
        <w:numPr>
          <w:ilvl w:val="0"/>
          <w:numId w:val="5"/>
        </w:numPr>
        <w:spacing w:line="360" w:lineRule="auto"/>
        <w:ind w:left="560" w:hanging="56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供应商在参加政府采购活动前3年内因违法经营被禁止在一定期限内参加政府采购活动，期限届满的，可以参加政府采购活动。</w:t>
      </w:r>
    </w:p>
    <w:p>
      <w:pPr>
        <w:numPr>
          <w:ilvl w:val="0"/>
          <w:numId w:val="5"/>
        </w:numPr>
        <w:spacing w:line="360" w:lineRule="auto"/>
        <w:ind w:left="560" w:hanging="56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根据财政部《政府采购法实施条例》释义中关于供应商资格条件的解释，对于银行、保险、石油石化、电力、电信等有行业特殊情况的，采购人和集中采购机构允许其分支机构参与投标。</w:t>
      </w:r>
    </w:p>
    <w:p>
      <w:pPr>
        <w:pStyle w:val="5"/>
        <w:numPr>
          <w:ilvl w:val="0"/>
          <w:numId w:val="4"/>
        </w:numPr>
        <w:spacing w:before="40" w:after="40" w:line="360" w:lineRule="auto"/>
        <w:ind w:left="658" w:hanging="658"/>
        <w:jc w:val="left"/>
        <w:rPr>
          <w:rFonts w:cs="Times New Roman" w:asciiTheme="majorEastAsia" w:hAnsiTheme="majorEastAsia"/>
          <w:bCs w:val="0"/>
          <w:color w:val="000000" w:themeColor="text1"/>
          <w:lang w:val="zh-CN"/>
          <w14:textFill>
            <w14:solidFill>
              <w14:schemeClr w14:val="tx1"/>
            </w14:solidFill>
          </w14:textFill>
        </w:rPr>
      </w:pPr>
      <w:bookmarkStart w:id="30" w:name="_Toc494561948"/>
      <w:bookmarkStart w:id="31" w:name="_Toc21216"/>
      <w:r>
        <w:rPr>
          <w:rFonts w:hint="eastAsia" w:cs="Times New Roman" w:asciiTheme="majorEastAsia" w:hAnsiTheme="majorEastAsia"/>
          <w:bCs w:val="0"/>
          <w:color w:val="000000" w:themeColor="text1"/>
          <w:lang w:val="zh-CN"/>
          <w14:textFill>
            <w14:solidFill>
              <w14:schemeClr w14:val="tx1"/>
            </w14:solidFill>
          </w14:textFill>
        </w:rPr>
        <w:t>其他注意事项</w:t>
      </w:r>
      <w:bookmarkEnd w:id="30"/>
      <w:bookmarkEnd w:id="31"/>
    </w:p>
    <w:p>
      <w:pPr>
        <w:numPr>
          <w:ilvl w:val="0"/>
          <w:numId w:val="5"/>
        </w:numPr>
        <w:spacing w:line="360" w:lineRule="auto"/>
        <w:ind w:left="560" w:hanging="56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单位负责人为同一人或者存在直接控股、管理关系的不同供应商，不得参加同一合同项下的政府采购活动。</w:t>
      </w:r>
    </w:p>
    <w:p>
      <w:pPr>
        <w:numPr>
          <w:ilvl w:val="0"/>
          <w:numId w:val="5"/>
        </w:numPr>
        <w:spacing w:line="360" w:lineRule="auto"/>
        <w:ind w:left="560" w:hanging="56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除单一来源采购项目外，为采购项目提供整体设计、规范编制或者项目管理、监理、检测等服务的供应商，不得再参加该采购项目的其他采购活动。</w:t>
      </w:r>
    </w:p>
    <w:p>
      <w:pPr>
        <w:pStyle w:val="5"/>
        <w:numPr>
          <w:ilvl w:val="0"/>
          <w:numId w:val="4"/>
        </w:numPr>
        <w:spacing w:before="40" w:after="40" w:line="360" w:lineRule="auto"/>
        <w:ind w:left="966" w:hanging="966"/>
        <w:jc w:val="left"/>
        <w:rPr>
          <w:rFonts w:cs="Times New Roman" w:asciiTheme="majorEastAsia" w:hAnsiTheme="majorEastAsia"/>
          <w:bCs w:val="0"/>
          <w:color w:val="000000" w:themeColor="text1"/>
          <w:lang w:val="zh-CN"/>
          <w14:textFill>
            <w14:solidFill>
              <w14:schemeClr w14:val="tx1"/>
            </w14:solidFill>
          </w14:textFill>
        </w:rPr>
      </w:pPr>
      <w:bookmarkStart w:id="32" w:name="_Toc2028"/>
      <w:bookmarkStart w:id="33" w:name="_Toc278891598"/>
      <w:bookmarkStart w:id="34" w:name="_Toc272247701"/>
      <w:bookmarkStart w:id="35" w:name="_Toc494561949"/>
      <w:r>
        <w:rPr>
          <w:rFonts w:hint="eastAsia" w:cs="Times New Roman" w:asciiTheme="majorEastAsia" w:hAnsiTheme="majorEastAsia"/>
          <w:bCs w:val="0"/>
          <w:color w:val="000000" w:themeColor="text1"/>
          <w:lang w:val="zh-CN"/>
          <w14:textFill>
            <w14:solidFill>
              <w14:schemeClr w14:val="tx1"/>
            </w14:solidFill>
          </w14:textFill>
        </w:rPr>
        <w:t>适用法律</w:t>
      </w:r>
      <w:bookmarkEnd w:id="32"/>
      <w:bookmarkEnd w:id="33"/>
      <w:bookmarkEnd w:id="34"/>
      <w:bookmarkEnd w:id="35"/>
    </w:p>
    <w:p>
      <w:pPr>
        <w:numPr>
          <w:ilvl w:val="0"/>
          <w:numId w:val="5"/>
        </w:numPr>
        <w:spacing w:line="360" w:lineRule="auto"/>
        <w:ind w:left="560" w:hanging="56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采购人、采购代理机构及投标人的一切招标投标活动均适用《政府采购法》、《政府采购法实施条例》、</w:t>
      </w:r>
      <w:r>
        <w:rPr>
          <w:rFonts w:ascii="宋体" w:hAnsi="宋体" w:eastAsia="宋体" w:cs="Times New Roman"/>
          <w:color w:val="000000" w:themeColor="text1"/>
          <w:sz w:val="24"/>
          <w:szCs w:val="20"/>
          <w:lang w:val="zh-CN"/>
          <w14:textFill>
            <w14:solidFill>
              <w14:schemeClr w14:val="tx1"/>
            </w14:solidFill>
          </w14:textFill>
        </w:rPr>
        <w:t>《政府采购货物和服务招标投标管理办法》</w:t>
      </w:r>
      <w:r>
        <w:rPr>
          <w:rFonts w:hint="eastAsia" w:ascii="宋体" w:hAnsi="宋体" w:eastAsia="宋体" w:cs="Times New Roman"/>
          <w:color w:val="000000" w:themeColor="text1"/>
          <w:sz w:val="24"/>
          <w:szCs w:val="20"/>
          <w:lang w:val="zh-CN"/>
          <w14:textFill>
            <w14:solidFill>
              <w14:schemeClr w14:val="tx1"/>
            </w14:solidFill>
          </w14:textFill>
        </w:rPr>
        <w:t>及相关法律法规。</w:t>
      </w:r>
    </w:p>
    <w:p>
      <w:pPr>
        <w:numPr>
          <w:ilvl w:val="0"/>
          <w:numId w:val="5"/>
        </w:numPr>
        <w:spacing w:line="360" w:lineRule="auto"/>
        <w:ind w:left="560" w:hanging="560"/>
        <w:rPr>
          <w:rFonts w:ascii="宋体" w:hAnsi="宋体" w:eastAsia="宋体" w:cs="Times New Roman"/>
          <w:color w:val="000000" w:themeColor="text1"/>
          <w:sz w:val="24"/>
          <w:szCs w:val="20"/>
          <w:lang w:val="zh-CN"/>
          <w14:textFill>
            <w14:solidFill>
              <w14:schemeClr w14:val="tx1"/>
            </w14:solidFill>
          </w14:textFill>
        </w:rPr>
      </w:pPr>
      <w:r>
        <w:rPr>
          <w:rFonts w:ascii="Helvetica" w:hAnsi="Helvetica" w:eastAsia="宋体" w:cs="Helvetica"/>
          <w:color w:val="000000" w:themeColor="text1"/>
          <w:kern w:val="0"/>
          <w:sz w:val="24"/>
          <w:szCs w:val="24"/>
          <w:lang w:val="zh-CN"/>
          <w14:textFill>
            <w14:solidFill>
              <w14:schemeClr w14:val="tx1"/>
            </w14:solidFill>
          </w14:textFill>
        </w:rPr>
        <w:t>政府采购合同的履行、违约责任和解决争议的方法等适用《合同法》。</w:t>
      </w:r>
    </w:p>
    <w:p>
      <w:pPr>
        <w:pStyle w:val="5"/>
        <w:numPr>
          <w:ilvl w:val="0"/>
          <w:numId w:val="4"/>
        </w:numPr>
        <w:spacing w:before="40" w:after="40" w:line="360" w:lineRule="auto"/>
        <w:ind w:left="966" w:hanging="966"/>
        <w:jc w:val="left"/>
        <w:rPr>
          <w:rFonts w:cs="Times New Roman" w:asciiTheme="majorEastAsia" w:hAnsiTheme="majorEastAsia"/>
          <w:bCs w:val="0"/>
          <w:color w:val="000000" w:themeColor="text1"/>
          <w:lang w:val="zh-CN"/>
          <w14:textFill>
            <w14:solidFill>
              <w14:schemeClr w14:val="tx1"/>
            </w14:solidFill>
          </w14:textFill>
        </w:rPr>
      </w:pPr>
      <w:bookmarkStart w:id="36" w:name="_Toc272247702"/>
      <w:bookmarkStart w:id="37" w:name="_Toc13645"/>
      <w:bookmarkStart w:id="38" w:name="_Toc494561950"/>
      <w:bookmarkStart w:id="39" w:name="_Toc278891599"/>
      <w:r>
        <w:rPr>
          <w:rFonts w:hint="eastAsia" w:cs="Times New Roman" w:asciiTheme="majorEastAsia" w:hAnsiTheme="majorEastAsia"/>
          <w:bCs w:val="0"/>
          <w:color w:val="000000" w:themeColor="text1"/>
          <w:lang w:val="zh-CN"/>
          <w14:textFill>
            <w14:solidFill>
              <w14:schemeClr w14:val="tx1"/>
            </w14:solidFill>
          </w14:textFill>
        </w:rPr>
        <w:t>招标文件的解释权</w:t>
      </w:r>
      <w:bookmarkEnd w:id="36"/>
      <w:bookmarkEnd w:id="37"/>
      <w:bookmarkEnd w:id="38"/>
      <w:bookmarkEnd w:id="39"/>
    </w:p>
    <w:p>
      <w:pPr>
        <w:numPr>
          <w:ilvl w:val="0"/>
          <w:numId w:val="5"/>
        </w:numPr>
        <w:spacing w:line="360" w:lineRule="auto"/>
        <w:ind w:left="560" w:hanging="560"/>
        <w:rPr>
          <w:color w:val="FF0000"/>
        </w:rPr>
        <w:sectPr>
          <w:headerReference r:id="rId7" w:type="default"/>
          <w:footerReference r:id="rId8" w:type="default"/>
          <w:pgSz w:w="11906" w:h="16838"/>
          <w:pgMar w:top="1134" w:right="1191" w:bottom="1134" w:left="1191" w:header="851" w:footer="624" w:gutter="0"/>
          <w:cols w:space="425" w:num="1"/>
          <w:docGrid w:type="linesAndChars" w:linePitch="312" w:charSpace="0"/>
        </w:sectPr>
      </w:pPr>
      <w:r>
        <w:rPr>
          <w:rFonts w:hint="eastAsia" w:ascii="宋体" w:hAnsi="宋体" w:eastAsia="宋体" w:cs="Times New Roman"/>
          <w:color w:val="000000" w:themeColor="text1"/>
          <w:sz w:val="24"/>
          <w:szCs w:val="20"/>
          <w:lang w:val="zh-CN"/>
          <w14:textFill>
            <w14:solidFill>
              <w14:schemeClr w14:val="tx1"/>
            </w14:solidFill>
          </w14:textFill>
        </w:rPr>
        <w:t>招标文件的最终解释权为采购人、采购代理机构所有。</w:t>
      </w:r>
      <w:r>
        <w:rPr>
          <w:color w:val="000000" w:themeColor="text1"/>
          <w14:textFill>
            <w14:solidFill>
              <w14:schemeClr w14:val="tx1"/>
            </w14:solidFill>
          </w14:textFill>
        </w:rPr>
        <w:br w:type="page"/>
      </w:r>
    </w:p>
    <w:p>
      <w:pPr>
        <w:jc w:val="center"/>
        <w:rPr>
          <w:sz w:val="32"/>
          <w:szCs w:val="36"/>
        </w:rPr>
      </w:pPr>
      <w:bookmarkStart w:id="40" w:name="_Toc13070"/>
      <w:r>
        <w:rPr>
          <w:rFonts w:hint="eastAsia"/>
          <w:sz w:val="32"/>
          <w:szCs w:val="36"/>
          <w:lang w:eastAsia="zh-CN"/>
        </w:rPr>
        <w:t>第三章</w:t>
      </w:r>
      <w:r>
        <w:rPr>
          <w:rFonts w:hint="eastAsia"/>
          <w:sz w:val="32"/>
          <w:szCs w:val="36"/>
          <w:lang w:val="en-US" w:eastAsia="zh-CN"/>
        </w:rPr>
        <w:t xml:space="preserve">  </w:t>
      </w:r>
      <w:r>
        <w:rPr>
          <w:rFonts w:hint="eastAsia"/>
          <w:sz w:val="32"/>
          <w:szCs w:val="36"/>
        </w:rPr>
        <w:t>项目技术、服务及商务要求</w:t>
      </w:r>
      <w:bookmarkEnd w:id="40"/>
      <w:bookmarkStart w:id="41" w:name="_Toc494561956"/>
    </w:p>
    <w:tbl>
      <w:tblPr>
        <w:tblStyle w:val="16"/>
        <w:tblW w:w="13305" w:type="dxa"/>
        <w:jc w:val="center"/>
        <w:shd w:val="clear" w:color="auto" w:fill="auto"/>
        <w:tblLayout w:type="autofit"/>
        <w:tblCellMar>
          <w:top w:w="0" w:type="dxa"/>
          <w:left w:w="0" w:type="dxa"/>
          <w:bottom w:w="0" w:type="dxa"/>
          <w:right w:w="0" w:type="dxa"/>
        </w:tblCellMar>
      </w:tblPr>
      <w:tblGrid>
        <w:gridCol w:w="930"/>
        <w:gridCol w:w="2280"/>
        <w:gridCol w:w="8520"/>
        <w:gridCol w:w="780"/>
        <w:gridCol w:w="795"/>
      </w:tblGrid>
      <w:tr>
        <w:tblPrEx>
          <w:shd w:val="clear" w:color="auto" w:fill="auto"/>
          <w:tblCellMar>
            <w:top w:w="0" w:type="dxa"/>
            <w:left w:w="0" w:type="dxa"/>
            <w:bottom w:w="0" w:type="dxa"/>
            <w:right w:w="0" w:type="dxa"/>
          </w:tblCellMar>
        </w:tblPrEx>
        <w:trPr>
          <w:trHeight w:val="489" w:hRule="exact"/>
          <w:jc w:val="center"/>
        </w:trPr>
        <w:tc>
          <w:tcPr>
            <w:tcW w:w="1330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设备清单</w:t>
            </w:r>
          </w:p>
        </w:tc>
      </w:tr>
      <w:tr>
        <w:tblPrEx>
          <w:tblCellMar>
            <w:top w:w="0" w:type="dxa"/>
            <w:left w:w="0" w:type="dxa"/>
            <w:bottom w:w="0" w:type="dxa"/>
            <w:right w:w="0" w:type="dxa"/>
          </w:tblCellMar>
        </w:tblPrEx>
        <w:trPr>
          <w:trHeight w:val="400"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设备名称</w:t>
            </w:r>
          </w:p>
        </w:tc>
        <w:tc>
          <w:tcPr>
            <w:tcW w:w="85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设备描述</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r>
      <w:tr>
        <w:tblPrEx>
          <w:shd w:val="clear" w:color="auto" w:fill="auto"/>
          <w:tblCellMar>
            <w:top w:w="0" w:type="dxa"/>
            <w:left w:w="0" w:type="dxa"/>
            <w:bottom w:w="0" w:type="dxa"/>
            <w:right w:w="0" w:type="dxa"/>
          </w:tblCellMar>
        </w:tblPrEx>
        <w:trPr>
          <w:trHeight w:val="260" w:hRule="atLeast"/>
          <w:jc w:val="center"/>
        </w:trPr>
        <w:tc>
          <w:tcPr>
            <w:tcW w:w="13305"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一、前端设备</w:t>
            </w:r>
          </w:p>
        </w:tc>
      </w:tr>
      <w:tr>
        <w:tblPrEx>
          <w:shd w:val="clear" w:color="auto" w:fill="auto"/>
          <w:tblCellMar>
            <w:top w:w="0" w:type="dxa"/>
            <w:left w:w="0" w:type="dxa"/>
            <w:bottom w:w="0" w:type="dxa"/>
            <w:right w:w="0" w:type="dxa"/>
          </w:tblCellMar>
        </w:tblPrEx>
        <w:trPr>
          <w:trHeight w:val="260"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激光警戒全景球机</w:t>
            </w:r>
          </w:p>
        </w:tc>
        <w:tc>
          <w:tcPr>
            <w:tcW w:w="85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详细要求见技术参数表</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r>
      <w:tr>
        <w:tblPrEx>
          <w:shd w:val="clear" w:color="auto" w:fill="auto"/>
          <w:tblCellMar>
            <w:top w:w="0" w:type="dxa"/>
            <w:left w:w="0" w:type="dxa"/>
            <w:bottom w:w="0" w:type="dxa"/>
            <w:right w:w="0" w:type="dxa"/>
          </w:tblCellMar>
        </w:tblPrEx>
        <w:trPr>
          <w:trHeight w:val="260"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智能水利球机</w:t>
            </w:r>
          </w:p>
        </w:tc>
        <w:tc>
          <w:tcPr>
            <w:tcW w:w="85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详细要求见技术参数表</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r>
      <w:tr>
        <w:tblPrEx>
          <w:tblCellMar>
            <w:top w:w="0" w:type="dxa"/>
            <w:left w:w="0" w:type="dxa"/>
            <w:bottom w:w="0" w:type="dxa"/>
            <w:right w:w="0" w:type="dxa"/>
          </w:tblCellMar>
        </w:tblPrEx>
        <w:trPr>
          <w:trHeight w:val="260"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车辆人脸监测摄像机</w:t>
            </w:r>
          </w:p>
        </w:tc>
        <w:tc>
          <w:tcPr>
            <w:tcW w:w="85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详细要求见技术参数表</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r>
      <w:tr>
        <w:tblPrEx>
          <w:shd w:val="clear" w:color="auto" w:fill="auto"/>
          <w:tblCellMar>
            <w:top w:w="0" w:type="dxa"/>
            <w:left w:w="0" w:type="dxa"/>
            <w:bottom w:w="0" w:type="dxa"/>
            <w:right w:w="0" w:type="dxa"/>
          </w:tblCellMar>
        </w:tblPrEx>
        <w:trPr>
          <w:trHeight w:val="260"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摄像机支架</w:t>
            </w:r>
          </w:p>
        </w:tc>
        <w:tc>
          <w:tcPr>
            <w:tcW w:w="85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r>
      <w:tr>
        <w:tblPrEx>
          <w:shd w:val="clear" w:color="auto" w:fill="auto"/>
          <w:tblCellMar>
            <w:top w:w="0" w:type="dxa"/>
            <w:left w:w="0" w:type="dxa"/>
            <w:bottom w:w="0" w:type="dxa"/>
            <w:right w:w="0" w:type="dxa"/>
          </w:tblCellMar>
        </w:tblPrEx>
        <w:trPr>
          <w:trHeight w:val="260"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球机支架</w:t>
            </w:r>
          </w:p>
        </w:tc>
        <w:tc>
          <w:tcPr>
            <w:tcW w:w="85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r>
      <w:tr>
        <w:tblPrEx>
          <w:tblCellMar>
            <w:top w:w="0" w:type="dxa"/>
            <w:left w:w="0" w:type="dxa"/>
            <w:bottom w:w="0" w:type="dxa"/>
            <w:right w:w="0" w:type="dxa"/>
          </w:tblCellMar>
        </w:tblPrEx>
        <w:trPr>
          <w:trHeight w:val="260"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水尺</w:t>
            </w:r>
          </w:p>
        </w:tc>
        <w:tc>
          <w:tcPr>
            <w:tcW w:w="85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详细要求见技术参数表</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w:t>
            </w:r>
          </w:p>
        </w:tc>
      </w:tr>
      <w:tr>
        <w:tblPrEx>
          <w:shd w:val="clear" w:color="auto" w:fill="auto"/>
          <w:tblCellMar>
            <w:top w:w="0" w:type="dxa"/>
            <w:left w:w="0" w:type="dxa"/>
            <w:bottom w:w="0" w:type="dxa"/>
            <w:right w:w="0" w:type="dxa"/>
          </w:tblCellMar>
        </w:tblPrEx>
        <w:trPr>
          <w:trHeight w:val="260"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翻斗雨量计</w:t>
            </w:r>
          </w:p>
        </w:tc>
        <w:tc>
          <w:tcPr>
            <w:tcW w:w="85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详细要求见技术参数表</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r>
      <w:tr>
        <w:tblPrEx>
          <w:shd w:val="clear" w:color="auto" w:fill="auto"/>
          <w:tblCellMar>
            <w:top w:w="0" w:type="dxa"/>
            <w:left w:w="0" w:type="dxa"/>
            <w:bottom w:w="0" w:type="dxa"/>
            <w:right w:w="0" w:type="dxa"/>
          </w:tblCellMar>
        </w:tblPrEx>
        <w:trPr>
          <w:trHeight w:val="260"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高音喇叭广播</w:t>
            </w:r>
          </w:p>
        </w:tc>
        <w:tc>
          <w:tcPr>
            <w:tcW w:w="85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详细要求见技术参数表</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r>
      <w:tr>
        <w:tblPrEx>
          <w:shd w:val="clear" w:color="auto" w:fill="auto"/>
          <w:tblCellMar>
            <w:top w:w="0" w:type="dxa"/>
            <w:left w:w="0" w:type="dxa"/>
            <w:bottom w:w="0" w:type="dxa"/>
            <w:right w:w="0" w:type="dxa"/>
          </w:tblCellMar>
        </w:tblPrEx>
        <w:trPr>
          <w:trHeight w:val="260"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太阳能电池板</w:t>
            </w:r>
          </w:p>
        </w:tc>
        <w:tc>
          <w:tcPr>
            <w:tcW w:w="85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详细要求见技术参数表</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w:t>
            </w:r>
          </w:p>
        </w:tc>
      </w:tr>
      <w:tr>
        <w:tblPrEx>
          <w:tblCellMar>
            <w:top w:w="0" w:type="dxa"/>
            <w:left w:w="0" w:type="dxa"/>
            <w:bottom w:w="0" w:type="dxa"/>
            <w:right w:w="0" w:type="dxa"/>
          </w:tblCellMar>
        </w:tblPrEx>
        <w:trPr>
          <w:trHeight w:val="260"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胶体电池</w:t>
            </w:r>
          </w:p>
        </w:tc>
        <w:tc>
          <w:tcPr>
            <w:tcW w:w="85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详细要求见技术参数表</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w:t>
            </w:r>
          </w:p>
        </w:tc>
      </w:tr>
      <w:tr>
        <w:tblPrEx>
          <w:shd w:val="clear" w:color="auto" w:fill="auto"/>
          <w:tblCellMar>
            <w:top w:w="0" w:type="dxa"/>
            <w:left w:w="0" w:type="dxa"/>
            <w:bottom w:w="0" w:type="dxa"/>
            <w:right w:w="0" w:type="dxa"/>
          </w:tblCellMar>
        </w:tblPrEx>
        <w:trPr>
          <w:trHeight w:val="260"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正弦波逆变器</w:t>
            </w:r>
          </w:p>
        </w:tc>
        <w:tc>
          <w:tcPr>
            <w:tcW w:w="85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24V，300W正弦波逆变器</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r>
      <w:tr>
        <w:tblPrEx>
          <w:shd w:val="clear" w:color="auto" w:fill="auto"/>
          <w:tblCellMar>
            <w:top w:w="0" w:type="dxa"/>
            <w:left w:w="0" w:type="dxa"/>
            <w:bottom w:w="0" w:type="dxa"/>
            <w:right w:w="0" w:type="dxa"/>
          </w:tblCellMar>
        </w:tblPrEx>
        <w:trPr>
          <w:trHeight w:val="260"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光伏集成配电箱（含辅材）</w:t>
            </w:r>
          </w:p>
        </w:tc>
        <w:tc>
          <w:tcPr>
            <w:tcW w:w="85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详细要求见技术参数表</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r>
      <w:tr>
        <w:tblPrEx>
          <w:shd w:val="clear" w:color="auto" w:fill="auto"/>
          <w:tblCellMar>
            <w:top w:w="0" w:type="dxa"/>
            <w:left w:w="0" w:type="dxa"/>
            <w:bottom w:w="0" w:type="dxa"/>
            <w:right w:w="0" w:type="dxa"/>
          </w:tblCellMar>
        </w:tblPrEx>
        <w:trPr>
          <w:trHeight w:val="260"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设备箱</w:t>
            </w:r>
          </w:p>
        </w:tc>
        <w:tc>
          <w:tcPr>
            <w:tcW w:w="85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详细要求见技术参数表</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r>
      <w:tr>
        <w:tblPrEx>
          <w:shd w:val="clear" w:color="auto" w:fill="auto"/>
          <w:tblCellMar>
            <w:top w:w="0" w:type="dxa"/>
            <w:left w:w="0" w:type="dxa"/>
            <w:bottom w:w="0" w:type="dxa"/>
            <w:right w:w="0" w:type="dxa"/>
          </w:tblCellMar>
        </w:tblPrEx>
        <w:trPr>
          <w:trHeight w:val="260"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光纤收发器</w:t>
            </w:r>
          </w:p>
        </w:tc>
        <w:tc>
          <w:tcPr>
            <w:tcW w:w="85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千兆光纤收发器</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w:t>
            </w:r>
          </w:p>
        </w:tc>
      </w:tr>
      <w:tr>
        <w:tblPrEx>
          <w:shd w:val="clear" w:color="auto" w:fill="auto"/>
          <w:tblCellMar>
            <w:top w:w="0" w:type="dxa"/>
            <w:left w:w="0" w:type="dxa"/>
            <w:bottom w:w="0" w:type="dxa"/>
            <w:right w:w="0" w:type="dxa"/>
          </w:tblCellMar>
        </w:tblPrEx>
        <w:trPr>
          <w:trHeight w:val="260"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接入交换机</w:t>
            </w:r>
          </w:p>
        </w:tc>
        <w:tc>
          <w:tcPr>
            <w:tcW w:w="85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5口百兆交换机</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r>
      <w:tr>
        <w:tblPrEx>
          <w:tblCellMar>
            <w:top w:w="0" w:type="dxa"/>
            <w:left w:w="0" w:type="dxa"/>
            <w:bottom w:w="0" w:type="dxa"/>
            <w:right w:w="0" w:type="dxa"/>
          </w:tblCellMar>
        </w:tblPrEx>
        <w:trPr>
          <w:trHeight w:val="260"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工业网桥</w:t>
            </w:r>
          </w:p>
        </w:tc>
        <w:tc>
          <w:tcPr>
            <w:tcW w:w="85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详细要求见技术参数表</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w:t>
            </w:r>
          </w:p>
        </w:tc>
      </w:tr>
      <w:tr>
        <w:tblPrEx>
          <w:shd w:val="clear" w:color="auto" w:fill="auto"/>
          <w:tblCellMar>
            <w:top w:w="0" w:type="dxa"/>
            <w:left w:w="0" w:type="dxa"/>
            <w:bottom w:w="0" w:type="dxa"/>
            <w:right w:w="0" w:type="dxa"/>
          </w:tblCellMar>
        </w:tblPrEx>
        <w:trPr>
          <w:trHeight w:val="260"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监控立杆</w:t>
            </w:r>
          </w:p>
        </w:tc>
        <w:tc>
          <w:tcPr>
            <w:tcW w:w="85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详细要求见技术参数表</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r>
      <w:tr>
        <w:tblPrEx>
          <w:shd w:val="clear" w:color="auto" w:fill="auto"/>
          <w:tblCellMar>
            <w:top w:w="0" w:type="dxa"/>
            <w:left w:w="0" w:type="dxa"/>
            <w:bottom w:w="0" w:type="dxa"/>
            <w:right w:w="0" w:type="dxa"/>
          </w:tblCellMar>
        </w:tblPrEx>
        <w:trPr>
          <w:trHeight w:val="260"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监控立杆</w:t>
            </w:r>
          </w:p>
        </w:tc>
        <w:tc>
          <w:tcPr>
            <w:tcW w:w="85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详细要求见技术参数表</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r>
      <w:tr>
        <w:tblPrEx>
          <w:shd w:val="clear" w:color="auto" w:fill="auto"/>
          <w:tblCellMar>
            <w:top w:w="0" w:type="dxa"/>
            <w:left w:w="0" w:type="dxa"/>
            <w:bottom w:w="0" w:type="dxa"/>
            <w:right w:w="0" w:type="dxa"/>
          </w:tblCellMar>
        </w:tblPrEx>
        <w:trPr>
          <w:trHeight w:val="260"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立杆基础</w:t>
            </w:r>
          </w:p>
        </w:tc>
        <w:tc>
          <w:tcPr>
            <w:tcW w:w="85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基础开挖+混凝土：1.5×1.5×1，包含基础施工砂石、混凝土材料及搬运</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r>
      <w:tr>
        <w:tblPrEx>
          <w:shd w:val="clear" w:color="auto" w:fill="auto"/>
          <w:tblCellMar>
            <w:top w:w="0" w:type="dxa"/>
            <w:left w:w="0" w:type="dxa"/>
            <w:bottom w:w="0" w:type="dxa"/>
            <w:right w:w="0" w:type="dxa"/>
          </w:tblCellMar>
        </w:tblPrEx>
        <w:trPr>
          <w:trHeight w:val="260"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避雷器、避雷针、接地体</w:t>
            </w:r>
          </w:p>
        </w:tc>
        <w:tc>
          <w:tcPr>
            <w:tcW w:w="85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避雷器、避雷针、接地体</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r>
      <w:tr>
        <w:tblPrEx>
          <w:shd w:val="clear" w:color="auto" w:fill="auto"/>
          <w:tblCellMar>
            <w:top w:w="0" w:type="dxa"/>
            <w:left w:w="0" w:type="dxa"/>
            <w:bottom w:w="0" w:type="dxa"/>
            <w:right w:w="0" w:type="dxa"/>
          </w:tblCellMar>
        </w:tblPrEx>
        <w:trPr>
          <w:trHeight w:val="260"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光缆</w:t>
            </w:r>
          </w:p>
        </w:tc>
        <w:tc>
          <w:tcPr>
            <w:tcW w:w="85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12芯光缆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米</w:t>
            </w:r>
          </w:p>
        </w:tc>
      </w:tr>
      <w:tr>
        <w:tblPrEx>
          <w:shd w:val="clear" w:color="auto" w:fill="auto"/>
          <w:tblCellMar>
            <w:top w:w="0" w:type="dxa"/>
            <w:left w:w="0" w:type="dxa"/>
            <w:bottom w:w="0" w:type="dxa"/>
            <w:right w:w="0" w:type="dxa"/>
          </w:tblCellMar>
        </w:tblPrEx>
        <w:trPr>
          <w:trHeight w:val="260"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光纤熔接盒</w:t>
            </w:r>
          </w:p>
        </w:tc>
        <w:tc>
          <w:tcPr>
            <w:tcW w:w="85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光纤熔接盒</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r>
      <w:tr>
        <w:tblPrEx>
          <w:shd w:val="clear" w:color="auto" w:fill="auto"/>
          <w:tblCellMar>
            <w:top w:w="0" w:type="dxa"/>
            <w:left w:w="0" w:type="dxa"/>
            <w:bottom w:w="0" w:type="dxa"/>
            <w:right w:w="0" w:type="dxa"/>
          </w:tblCellMar>
        </w:tblPrEx>
        <w:trPr>
          <w:trHeight w:val="260"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电源线</w:t>
            </w:r>
          </w:p>
        </w:tc>
        <w:tc>
          <w:tcPr>
            <w:tcW w:w="85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RVV 3*1.0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米</w:t>
            </w:r>
          </w:p>
        </w:tc>
      </w:tr>
      <w:tr>
        <w:tblPrEx>
          <w:shd w:val="clear" w:color="auto" w:fill="auto"/>
          <w:tblCellMar>
            <w:top w:w="0" w:type="dxa"/>
            <w:left w:w="0" w:type="dxa"/>
            <w:bottom w:w="0" w:type="dxa"/>
            <w:right w:w="0" w:type="dxa"/>
          </w:tblCellMar>
        </w:tblPrEx>
        <w:trPr>
          <w:trHeight w:val="260"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网线</w:t>
            </w:r>
          </w:p>
        </w:tc>
        <w:tc>
          <w:tcPr>
            <w:tcW w:w="85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六类CAT6类网线</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米</w:t>
            </w:r>
          </w:p>
        </w:tc>
      </w:tr>
      <w:tr>
        <w:tblPrEx>
          <w:shd w:val="clear" w:color="auto" w:fill="auto"/>
          <w:tblCellMar>
            <w:top w:w="0" w:type="dxa"/>
            <w:left w:w="0" w:type="dxa"/>
            <w:bottom w:w="0" w:type="dxa"/>
            <w:right w:w="0" w:type="dxa"/>
          </w:tblCellMar>
        </w:tblPrEx>
        <w:trPr>
          <w:trHeight w:val="260"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运输费</w:t>
            </w:r>
          </w:p>
        </w:tc>
        <w:tc>
          <w:tcPr>
            <w:tcW w:w="85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包含设备材料（摄像机、立杆，砂石、太阳能系统设备、安装材料）用车辆运输及人工搬运到建设点位</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r>
      <w:tr>
        <w:tblPrEx>
          <w:shd w:val="clear" w:color="auto" w:fill="auto"/>
          <w:tblCellMar>
            <w:top w:w="0" w:type="dxa"/>
            <w:left w:w="0" w:type="dxa"/>
            <w:bottom w:w="0" w:type="dxa"/>
            <w:right w:w="0" w:type="dxa"/>
          </w:tblCellMar>
        </w:tblPrEx>
        <w:trPr>
          <w:trHeight w:val="260"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施工调试</w:t>
            </w:r>
          </w:p>
        </w:tc>
        <w:tc>
          <w:tcPr>
            <w:tcW w:w="85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立杆、设备安装调试、水尺安装调试、辅材安装等</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r>
      <w:tr>
        <w:tblPrEx>
          <w:shd w:val="clear" w:color="auto" w:fill="auto"/>
          <w:tblCellMar>
            <w:top w:w="0" w:type="dxa"/>
            <w:left w:w="0" w:type="dxa"/>
            <w:bottom w:w="0" w:type="dxa"/>
            <w:right w:w="0" w:type="dxa"/>
          </w:tblCellMar>
        </w:tblPrEx>
        <w:trPr>
          <w:trHeight w:val="260" w:hRule="atLeast"/>
          <w:jc w:val="center"/>
        </w:trPr>
        <w:tc>
          <w:tcPr>
            <w:tcW w:w="13305"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二、后端设备</w:t>
            </w:r>
          </w:p>
        </w:tc>
      </w:tr>
      <w:tr>
        <w:tblPrEx>
          <w:shd w:val="clear" w:color="auto" w:fill="auto"/>
          <w:tblCellMar>
            <w:top w:w="0" w:type="dxa"/>
            <w:left w:w="0" w:type="dxa"/>
            <w:bottom w:w="0" w:type="dxa"/>
            <w:right w:w="0" w:type="dxa"/>
          </w:tblCellMar>
        </w:tblPrEx>
        <w:trPr>
          <w:trHeight w:val="260"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核心交换机</w:t>
            </w:r>
          </w:p>
        </w:tc>
        <w:tc>
          <w:tcPr>
            <w:tcW w:w="85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详细要求见技术参数表</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r>
      <w:tr>
        <w:tblPrEx>
          <w:shd w:val="clear" w:color="auto" w:fill="auto"/>
          <w:tblCellMar>
            <w:top w:w="0" w:type="dxa"/>
            <w:left w:w="0" w:type="dxa"/>
            <w:bottom w:w="0" w:type="dxa"/>
            <w:right w:w="0" w:type="dxa"/>
          </w:tblCellMar>
        </w:tblPrEx>
        <w:trPr>
          <w:trHeight w:val="260"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防火墙</w:t>
            </w:r>
          </w:p>
        </w:tc>
        <w:tc>
          <w:tcPr>
            <w:tcW w:w="85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详细要求见技术参数表</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r>
      <w:tr>
        <w:tblPrEx>
          <w:shd w:val="clear" w:color="auto" w:fill="auto"/>
          <w:tblCellMar>
            <w:top w:w="0" w:type="dxa"/>
            <w:left w:w="0" w:type="dxa"/>
            <w:bottom w:w="0" w:type="dxa"/>
            <w:right w:w="0" w:type="dxa"/>
          </w:tblCellMar>
        </w:tblPrEx>
        <w:trPr>
          <w:trHeight w:val="260"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综合管理平台</w:t>
            </w:r>
          </w:p>
        </w:tc>
        <w:tc>
          <w:tcPr>
            <w:tcW w:w="85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详细要求见技术参数表</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r>
      <w:tr>
        <w:tblPrEx>
          <w:shd w:val="clear" w:color="auto" w:fill="auto"/>
          <w:tblCellMar>
            <w:top w:w="0" w:type="dxa"/>
            <w:left w:w="0" w:type="dxa"/>
            <w:bottom w:w="0" w:type="dxa"/>
            <w:right w:w="0" w:type="dxa"/>
          </w:tblCellMar>
        </w:tblPrEx>
        <w:trPr>
          <w:trHeight w:val="260"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流媒体管理终端</w:t>
            </w:r>
          </w:p>
        </w:tc>
        <w:tc>
          <w:tcPr>
            <w:tcW w:w="85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详细要求见技术参数表</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r>
      <w:tr>
        <w:tblPrEx>
          <w:shd w:val="clear" w:color="auto" w:fill="auto"/>
          <w:tblCellMar>
            <w:top w:w="0" w:type="dxa"/>
            <w:left w:w="0" w:type="dxa"/>
            <w:bottom w:w="0" w:type="dxa"/>
            <w:right w:w="0" w:type="dxa"/>
          </w:tblCellMar>
        </w:tblPrEx>
        <w:trPr>
          <w:trHeight w:val="260"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智能分析终端</w:t>
            </w:r>
          </w:p>
        </w:tc>
        <w:tc>
          <w:tcPr>
            <w:tcW w:w="85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详细要求见技术参数表</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r>
      <w:tr>
        <w:tblPrEx>
          <w:shd w:val="clear" w:color="auto" w:fill="auto"/>
          <w:tblCellMar>
            <w:top w:w="0" w:type="dxa"/>
            <w:left w:w="0" w:type="dxa"/>
            <w:bottom w:w="0" w:type="dxa"/>
            <w:right w:w="0" w:type="dxa"/>
          </w:tblCellMar>
        </w:tblPrEx>
        <w:trPr>
          <w:trHeight w:val="260"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信令网关终端</w:t>
            </w:r>
          </w:p>
        </w:tc>
        <w:tc>
          <w:tcPr>
            <w:tcW w:w="85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详细要求见技术参数表</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r>
      <w:tr>
        <w:tblPrEx>
          <w:shd w:val="clear" w:color="auto" w:fill="auto"/>
          <w:tblCellMar>
            <w:top w:w="0" w:type="dxa"/>
            <w:left w:w="0" w:type="dxa"/>
            <w:bottom w:w="0" w:type="dxa"/>
            <w:right w:w="0" w:type="dxa"/>
          </w:tblCellMar>
        </w:tblPrEx>
        <w:trPr>
          <w:trHeight w:val="260"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图片存储终端</w:t>
            </w:r>
          </w:p>
        </w:tc>
        <w:tc>
          <w:tcPr>
            <w:tcW w:w="85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详细要求见技术参数表</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r>
      <w:tr>
        <w:tblPrEx>
          <w:shd w:val="clear" w:color="auto" w:fill="auto"/>
          <w:tblCellMar>
            <w:top w:w="0" w:type="dxa"/>
            <w:left w:w="0" w:type="dxa"/>
            <w:bottom w:w="0" w:type="dxa"/>
            <w:right w:w="0" w:type="dxa"/>
          </w:tblCellMar>
        </w:tblPrEx>
        <w:trPr>
          <w:trHeight w:val="260"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视频存储终端</w:t>
            </w:r>
          </w:p>
        </w:tc>
        <w:tc>
          <w:tcPr>
            <w:tcW w:w="85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详细要求见技术参数表</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r>
      <w:tr>
        <w:tblPrEx>
          <w:shd w:val="clear" w:color="auto" w:fill="auto"/>
          <w:tblCellMar>
            <w:top w:w="0" w:type="dxa"/>
            <w:left w:w="0" w:type="dxa"/>
            <w:bottom w:w="0" w:type="dxa"/>
            <w:right w:w="0" w:type="dxa"/>
          </w:tblCellMar>
        </w:tblPrEx>
        <w:trPr>
          <w:trHeight w:val="260"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企业级硬盘</w:t>
            </w:r>
          </w:p>
        </w:tc>
        <w:tc>
          <w:tcPr>
            <w:tcW w:w="85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详细要求见技术参数表</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w:t>
            </w:r>
          </w:p>
        </w:tc>
      </w:tr>
      <w:tr>
        <w:tblPrEx>
          <w:tblCellMar>
            <w:top w:w="0" w:type="dxa"/>
            <w:left w:w="0" w:type="dxa"/>
            <w:bottom w:w="0" w:type="dxa"/>
            <w:right w:w="0" w:type="dxa"/>
          </w:tblCellMar>
        </w:tblPrEx>
        <w:trPr>
          <w:trHeight w:val="260"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55寸液晶拼接屏</w:t>
            </w:r>
          </w:p>
        </w:tc>
        <w:tc>
          <w:tcPr>
            <w:tcW w:w="85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详细要求见技术参数表</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w:t>
            </w:r>
          </w:p>
        </w:tc>
      </w:tr>
      <w:tr>
        <w:tblPrEx>
          <w:shd w:val="clear" w:color="auto" w:fill="auto"/>
          <w:tblCellMar>
            <w:top w:w="0" w:type="dxa"/>
            <w:left w:w="0" w:type="dxa"/>
            <w:bottom w:w="0" w:type="dxa"/>
            <w:right w:w="0" w:type="dxa"/>
          </w:tblCellMar>
        </w:tblPrEx>
        <w:trPr>
          <w:trHeight w:val="260"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解码拼控主机</w:t>
            </w:r>
          </w:p>
        </w:tc>
        <w:tc>
          <w:tcPr>
            <w:tcW w:w="85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详细要求见技术参数表</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r>
      <w:tr>
        <w:tblPrEx>
          <w:shd w:val="clear" w:color="auto" w:fill="auto"/>
          <w:tblCellMar>
            <w:top w:w="0" w:type="dxa"/>
            <w:left w:w="0" w:type="dxa"/>
            <w:bottom w:w="0" w:type="dxa"/>
            <w:right w:w="0" w:type="dxa"/>
          </w:tblCellMar>
        </w:tblPrEx>
        <w:trPr>
          <w:trHeight w:val="260"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55寸拼接屏支架</w:t>
            </w:r>
          </w:p>
        </w:tc>
        <w:tc>
          <w:tcPr>
            <w:tcW w:w="85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55寸拼接屏支架</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r>
      <w:tr>
        <w:tblPrEx>
          <w:shd w:val="clear" w:color="auto" w:fill="auto"/>
          <w:tblCellMar>
            <w:top w:w="0" w:type="dxa"/>
            <w:left w:w="0" w:type="dxa"/>
            <w:bottom w:w="0" w:type="dxa"/>
            <w:right w:w="0" w:type="dxa"/>
          </w:tblCellMar>
        </w:tblPrEx>
        <w:trPr>
          <w:trHeight w:val="260"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液晶拼接屏调试</w:t>
            </w:r>
          </w:p>
        </w:tc>
        <w:tc>
          <w:tcPr>
            <w:tcW w:w="8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液晶拼接屏调试</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r>
      <w:tr>
        <w:tblPrEx>
          <w:shd w:val="clear" w:color="auto" w:fill="auto"/>
          <w:tblCellMar>
            <w:top w:w="0" w:type="dxa"/>
            <w:left w:w="0" w:type="dxa"/>
            <w:bottom w:w="0" w:type="dxa"/>
            <w:right w:w="0" w:type="dxa"/>
          </w:tblCellMar>
        </w:tblPrEx>
        <w:trPr>
          <w:trHeight w:val="260"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8米HDMI视频线</w:t>
            </w:r>
          </w:p>
        </w:tc>
        <w:tc>
          <w:tcPr>
            <w:tcW w:w="8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8米HDMI视频线</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w:t>
            </w:r>
          </w:p>
        </w:tc>
      </w:tr>
      <w:tr>
        <w:tblPrEx>
          <w:shd w:val="clear" w:color="auto" w:fill="auto"/>
          <w:tblCellMar>
            <w:top w:w="0" w:type="dxa"/>
            <w:left w:w="0" w:type="dxa"/>
            <w:bottom w:w="0" w:type="dxa"/>
            <w:right w:w="0" w:type="dxa"/>
          </w:tblCellMar>
        </w:tblPrEx>
        <w:trPr>
          <w:trHeight w:val="260"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机柜</w:t>
            </w:r>
          </w:p>
        </w:tc>
        <w:tc>
          <w:tcPr>
            <w:tcW w:w="85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42U标准机柜</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r>
      <w:tr>
        <w:tblPrEx>
          <w:shd w:val="clear" w:color="auto" w:fill="auto"/>
          <w:tblCellMar>
            <w:top w:w="0" w:type="dxa"/>
            <w:left w:w="0" w:type="dxa"/>
            <w:bottom w:w="0" w:type="dxa"/>
            <w:right w:w="0" w:type="dxa"/>
          </w:tblCellMar>
        </w:tblPrEx>
        <w:trPr>
          <w:trHeight w:val="260"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操作台</w:t>
            </w:r>
          </w:p>
        </w:tc>
        <w:tc>
          <w:tcPr>
            <w:tcW w:w="85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双联</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r>
      <w:tr>
        <w:tblPrEx>
          <w:shd w:val="clear" w:color="auto" w:fill="auto"/>
          <w:tblCellMar>
            <w:top w:w="0" w:type="dxa"/>
            <w:left w:w="0" w:type="dxa"/>
            <w:bottom w:w="0" w:type="dxa"/>
            <w:right w:w="0" w:type="dxa"/>
          </w:tblCellMar>
        </w:tblPrEx>
        <w:trPr>
          <w:trHeight w:val="260"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管理工作站</w:t>
            </w:r>
          </w:p>
        </w:tc>
        <w:tc>
          <w:tcPr>
            <w:tcW w:w="85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核心数：≥双核，CPU频率：≥2.7GHz，内存容量：≥8GB；硬盘容量：≥1TB</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r>
      <w:tr>
        <w:tblPrEx>
          <w:tblCellMar>
            <w:top w:w="0" w:type="dxa"/>
            <w:left w:w="0" w:type="dxa"/>
            <w:bottom w:w="0" w:type="dxa"/>
            <w:right w:w="0" w:type="dxa"/>
          </w:tblCellMar>
        </w:tblPrEx>
        <w:trPr>
          <w:trHeight w:val="260"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PDU电源</w:t>
            </w:r>
          </w:p>
        </w:tc>
        <w:tc>
          <w:tcPr>
            <w:tcW w:w="85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8位</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r>
      <w:tr>
        <w:tblPrEx>
          <w:shd w:val="clear" w:color="auto" w:fill="auto"/>
          <w:tblCellMar>
            <w:top w:w="0" w:type="dxa"/>
            <w:left w:w="0" w:type="dxa"/>
            <w:bottom w:w="0" w:type="dxa"/>
            <w:right w:w="0" w:type="dxa"/>
          </w:tblCellMar>
        </w:tblPrEx>
        <w:trPr>
          <w:trHeight w:val="260"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理线架</w:t>
            </w:r>
          </w:p>
        </w:tc>
        <w:tc>
          <w:tcPr>
            <w:tcW w:w="85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24位</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r>
      <w:tr>
        <w:tblPrEx>
          <w:shd w:val="clear" w:color="auto" w:fill="auto"/>
          <w:tblCellMar>
            <w:top w:w="0" w:type="dxa"/>
            <w:left w:w="0" w:type="dxa"/>
            <w:bottom w:w="0" w:type="dxa"/>
            <w:right w:w="0" w:type="dxa"/>
          </w:tblCellMar>
        </w:tblPrEx>
        <w:trPr>
          <w:trHeight w:val="260"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不间断电源</w:t>
            </w:r>
          </w:p>
        </w:tc>
        <w:tc>
          <w:tcPr>
            <w:tcW w:w="85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详细要求见技术参数表</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r>
      <w:tr>
        <w:tblPrEx>
          <w:tblCellMar>
            <w:top w:w="0" w:type="dxa"/>
            <w:left w:w="0" w:type="dxa"/>
            <w:bottom w:w="0" w:type="dxa"/>
            <w:right w:w="0" w:type="dxa"/>
          </w:tblCellMar>
        </w:tblPrEx>
        <w:trPr>
          <w:trHeight w:val="260" w:hRule="atLeast"/>
          <w:jc w:val="center"/>
        </w:trPr>
        <w:tc>
          <w:tcPr>
            <w:tcW w:w="13305"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top"/>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三、链路及对接费</w:t>
            </w:r>
          </w:p>
        </w:tc>
      </w:tr>
      <w:tr>
        <w:tblPrEx>
          <w:shd w:val="clear" w:color="auto" w:fill="auto"/>
          <w:tblCellMar>
            <w:top w:w="0" w:type="dxa"/>
            <w:left w:w="0" w:type="dxa"/>
            <w:bottom w:w="0" w:type="dxa"/>
            <w:right w:w="0" w:type="dxa"/>
          </w:tblCellMar>
        </w:tblPrEx>
        <w:trPr>
          <w:trHeight w:val="260"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运营商网络租用费</w:t>
            </w:r>
          </w:p>
        </w:tc>
        <w:tc>
          <w:tcPr>
            <w:tcW w:w="85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eastAsia="zh-CN"/>
              </w:rPr>
              <w:t>专线</w:t>
            </w:r>
            <w:r>
              <w:rPr>
                <w:rFonts w:hint="eastAsia" w:ascii="宋体" w:hAnsi="宋体" w:eastAsia="宋体" w:cs="宋体"/>
                <w:i w:val="0"/>
                <w:color w:val="000000"/>
                <w:sz w:val="18"/>
                <w:szCs w:val="18"/>
                <w:u w:val="none"/>
                <w:lang w:val="en-US" w:eastAsia="zh-CN"/>
              </w:rPr>
              <w:t>10M，10条，20兆1条</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点/三年</w:t>
            </w:r>
          </w:p>
        </w:tc>
      </w:tr>
    </w:tbl>
    <w:p>
      <w:pPr>
        <w:adjustRightInd w:val="0"/>
        <w:snapToGrid w:val="0"/>
        <w:spacing w:line="440" w:lineRule="exact"/>
        <w:jc w:val="center"/>
        <w:outlineLvl w:val="0"/>
        <w:rPr>
          <w:rFonts w:ascii="Times New Roman" w:hAnsi="Times New Roman" w:cs="Times New Roman"/>
          <w:b/>
          <w:sz w:val="24"/>
          <w:szCs w:val="24"/>
        </w:rPr>
      </w:pPr>
    </w:p>
    <w:p/>
    <w:p>
      <w:pPr>
        <w:pStyle w:val="22"/>
        <w:ind w:left="420" w:firstLine="0" w:firstLineChars="0"/>
      </w:pPr>
    </w:p>
    <w:tbl>
      <w:tblPr>
        <w:tblStyle w:val="16"/>
        <w:tblW w:w="14040" w:type="dxa"/>
        <w:tblInd w:w="0" w:type="dxa"/>
        <w:shd w:val="clear" w:color="auto" w:fill="auto"/>
        <w:tblLayout w:type="autofit"/>
        <w:tblCellMar>
          <w:top w:w="0" w:type="dxa"/>
          <w:left w:w="0" w:type="dxa"/>
          <w:bottom w:w="0" w:type="dxa"/>
          <w:right w:w="0" w:type="dxa"/>
        </w:tblCellMar>
      </w:tblPr>
      <w:tblGrid>
        <w:gridCol w:w="585"/>
        <w:gridCol w:w="1159"/>
        <w:gridCol w:w="11136"/>
        <w:gridCol w:w="560"/>
        <w:gridCol w:w="600"/>
      </w:tblGrid>
      <w:tr>
        <w:tblPrEx>
          <w:shd w:val="clear" w:color="auto" w:fill="auto"/>
          <w:tblCellMar>
            <w:top w:w="0" w:type="dxa"/>
            <w:left w:w="0" w:type="dxa"/>
            <w:bottom w:w="0" w:type="dxa"/>
            <w:right w:w="0" w:type="dxa"/>
          </w:tblCellMar>
        </w:tblPrEx>
        <w:trPr>
          <w:trHeight w:val="350" w:hRule="atLeast"/>
        </w:trPr>
        <w:tc>
          <w:tcPr>
            <w:tcW w:w="14040"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技术参数表</w:t>
            </w:r>
          </w:p>
        </w:tc>
      </w:tr>
      <w:tr>
        <w:tblPrEx>
          <w:shd w:val="clear" w:color="auto" w:fill="auto"/>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设备名称</w:t>
            </w:r>
          </w:p>
        </w:tc>
        <w:tc>
          <w:tcPr>
            <w:tcW w:w="111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技术参数</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r>
      <w:tr>
        <w:tblPrEx>
          <w:shd w:val="clear" w:color="auto" w:fill="auto"/>
          <w:tblCellMar>
            <w:top w:w="0" w:type="dxa"/>
            <w:left w:w="0" w:type="dxa"/>
            <w:bottom w:w="0" w:type="dxa"/>
            <w:right w:w="0" w:type="dxa"/>
          </w:tblCellMar>
        </w:tblPrEx>
        <w:trPr>
          <w:trHeight w:val="260" w:hRule="atLeast"/>
        </w:trPr>
        <w:tc>
          <w:tcPr>
            <w:tcW w:w="14040"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一、前端设备</w:t>
            </w:r>
          </w:p>
        </w:tc>
      </w:tr>
      <w:tr>
        <w:tblPrEx>
          <w:shd w:val="clear" w:color="auto" w:fill="auto"/>
          <w:tblCellMar>
            <w:top w:w="0" w:type="dxa"/>
            <w:left w:w="0" w:type="dxa"/>
            <w:bottom w:w="0" w:type="dxa"/>
            <w:right w:w="0" w:type="dxa"/>
          </w:tblCellMar>
        </w:tblPrEx>
        <w:trPr>
          <w:trHeight w:val="187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激光警戒全景球机</w:t>
            </w:r>
          </w:p>
        </w:tc>
        <w:tc>
          <w:tcPr>
            <w:tcW w:w="111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1.★具有2个RJ45网口、1个RS485接口、1个BNC接口、1对音频输入/输出接口、1个TF卡槽、1个复位按钮、内置扬声器；支持8路报警输入、2路报警输出。以第三方权威机构出具的检测报告并加盖制造商公章为准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2.★具有警戒灯，支持白光、红光警戒功能。以第三方权威机构出具的检测报告并加盖制造商公章为准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3.具有H.265、H.264、M-JPEG设置选项。以第三方权威机构出具的检测报告并加盖制造商公章为准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4.具有TCP、UDP、HTTP、HTTPS、UPnP、DHCP、DDNS、NFS、FTP、NTP、RTSP、SMTP、SNMP等网络协议设置.。以第三方权威机构出具的检测报告并加盖制造商公章为准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5.★靶面尺寸：≥1/1.8英寸。以第三方权威机构出具的检测报告并加盖制造商公章为准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6.水平分辨力：≥1600TVL。以第三方权威机构出具的检测报告并加盖制造商公章为准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7.亮度鉴别等级：≥11级。以第三方权威机构出具的检测报告并加盖制造商公章为准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8.云台定位准确度：≤0.1°。以第三方权威机构出具的检测报告并加盖制造商公章为准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9.水平手控最大速度：≥500°/s。以第三方权威机构出具的检测报告并加盖制造商公章为准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10.支持水平360°连续旋转。以第三方权威机构出具的检测报告并加盖制造商公章为准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11.支持垂直方向-45°到90°旋转设置。以第三方权威机构出具的检测报告并加盖制造商公章为准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12.最低照度：0.0009lx（F=1.6，彩色模式），能基本分辨被摄目标的轮廓特征和色彩。0.0007lx（F=1.6，黑白模式），能基本分辨被摄目标的轮廓特征。以第三方权威机构出具的检测报告并加盖制造商公章为准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13.支持32Kbps～16Mbps（H.265，分辨率为1920×1080）视频码率可调。以第三方权威机构出具的检测报告并加盖制造商公章为准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14.支持最大抓拍分辨率为2560×1440。以第三方权威机构出具的检测报告并加盖制造商公章为准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15.★内置扬声器，可播放预录音频，支持远程喊话功能。以第三方权威机构出具的检测报告并加盖制造商公章为准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16.具有G.711a、G.711u、AAC_LC音频编码设置选项。以第三方权威机构出具的检测报告并加盖制造商公章为准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17.★内置警戒激光器,可手动开启/关闭,开启时可以在目标表面看到激光点。以第三方权威机构出具的检测报告并加盖制造商公章为准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18.同一静止场景相同图像质量下，样机在H.264或H.265编码码率为4Mbps时，开启智能编码功能和不开启智能编码相比，码率可降低至少90%。以第三方权威机构出具的检测报告并加盖制造商公章为准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19.★支持红外灯补光，具有11颗红外补光灯。红外灯具有 10 级灯光亮度可调，应具有手动/定时开关的功能。 支持白光灯补光，具有 2 颗白光补光灯。白光灯具有 10 级灯光亮度可调，应具有手动/定时开关的功能。以第三方权威机构出具的检测报告并加盖制造商公章为准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20.可通过IE浏览器在监控画面内框选出聚焦区域，以该区域为参考区域聚焦。以第三方权威机构出具的检测报告并加盖制造商公章为准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21.具有自动、半自动和手动聚焦模式。以第三方权威机构出具的检测报告并加盖制造商公章为准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22.具有五码流。以第三方权威机构出具的检测报告并加盖制造商公章为准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23.★可通过IE浏览器在视频图像上叠加字符，字符可选项包括通道名称、时间、日期、10行自定义字符等信息；字体大小可设置为16×16像素、32×32像素、48×48像素、64×64像素、96×96像素，字体颜色可设置。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24.★可开启或者关闭可视区域信息显示功能，能通过客户端软件显示水平角度、垂直角度、变倍倍数、预置位编号、巡航编号、模式路径编号等信息。以第三方权威机构出具的检测报告并加盖制造商公章为准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25.可以设置录像时段和存储路径；可以对各码流进行手动录像；可设置预录、延录、存储介质写满后循环写入等。以第三方权威机构出具的检测报告并加盖制造商公章为准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26.可添加、删除、查询、更改用户；可为不同用户添加不同的访问权限；管理员用户可管理、查看、修改低权限用户的操作权限。以第三方权威机构出具的检测报告并加盖制造商公章为准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27.支持数字降噪、强光抑制、透雾、电子防抖、音频降噪、镜像等功能。以第三方权威机构出具的检测报告并加盖制造商公章为准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28.支持预置位冻结、虚焦侦测、场景变更侦测、音频异常侦测、移动侦测等功能。以第三方权威机构出具的检测报告并加盖制造商公章为准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29.支持智能分析：a）区域入侵；b）越界入侵；c）进入区域；d）离开区域；e）物品移除；f）物品遗留；g）徘徊；h）快速移动；i）停车；j）人员聚集；k）人脸检测；l）人数统计；m）值岗；n）安全帽检测0）车牌识别。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30.★支持热度图统计，可分别对空间和时间进行热度图统计，并显示成像图或折线图，支持热度图导出。以第三方权威机构出具的检测报告并加盖制造商公章为准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31.当智能分析设置为区域入侵、绊线检测、进入区域侦测、离开区域侦测时，可设置智能行为分析目标为人、车或全部。以第三方权威机构出具的检测报告并加盖制造商公章为准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32.★可对经过设定区域的行人进行人脸检测和人脸跟踪，当检测到人脸后，可联动抓拍人脸图片、聚焦、目标跟踪、报警上传、发送邮件、联动录像、开关量报警输出等。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33.★人脸抓拍功能：最多可设置48个人脸检测区域；样机可根据设定好的抓拍场景进行自动轮巡且轮巡时间可设；支持人脸抓拍距离不小于300米；在每个抓拍场景下，可抓拍人脸宽度大于13像素的人脸；人脸抓拍图片可设置为不小于13×13像素的单人脸部图片；支持人脸抓拍统计功能。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34.可通过IE浏览器或者客户端软件显示检测区域内移动目标的属性信息，包含：人脸属性：性别、年龄、眼镜、口罩；人体属性：性别、年龄、上下衣类型和颜色、帽子类型和颜色、发型。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35.★自动检测雨量感应，当检测到雨量后，可自动开启雨刷功能。以第三方权威机构出具的检测报告并加盖制造商公章为准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36.手动控制：应能响应控制设备发出的水平、垂直和变焦命令。以第三方权威机构出具的检测报告并加盖制造商公章为准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37.★预置位数目应大于等于2500个，存预置位和调取预置位功能应正常。以第三方权威机构出具的检测报告并加盖制造商公章为准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38.自动巡航：可按照所设置的预置位完成640条巡航路径的巡航。以第三方权威机构出具的检测报告并加盖制造商公章为准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39.★模式路径：可记录用户对样机的手动控制运行轨迹，并可重复复现；应可按照所设置的轨迹完成640条模式路径，每条路径的最大记录时间应不小于16min。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40.★守望：当样机静止时长达到预设值时，可自动运行调预置位、自动巡航、自动扫描、模式路径等功能。以第三方权威机构出具的检测报告并加盖制造商公章为准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41.定时启动：可定时运行预置位、自动巡航、自动扫描、模式路径等功能。以第三方权威机构出具的检测报告并加盖制造商公章为准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42.★具备北斗定位和GPS定位功能，并能够在监控画面叠加设备所在的经纬度信息。以第三方权威机构出具的检测报告并加盖制造商公章为准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43.在某一位置停留时间超过设定值后记忆该位置，断电重启后可在规定的时间内恢复到所记忆的最后一个位置。以第三方权威机构出具的检测报告并加盖制造商公章为准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44.应具有恢复出厂设置和重新启动功能，设备掉电或重新启动后，应能保存掉电前或重启前的配置信息。以第三方权威机构出具的检测报告并加盖制造商公章为准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45.样机宜具有报警功能，应满足要求要求：A）当信号量报警输入被触发时应能联动报警输出（抓拍、录像、PTZ、声光报警等），报警参数应可设置；B）应具有移动侦测报警触发功能，能对画面物体的移动进行分析，可设置检测区域，并及时发出报警信息，联动抓拍、录像等；C）宜具有报警信息触发现场视频录像功能，可支持报警触发前大于等于30s的视频预录、报警触发后不少于60s的视频延录。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46.★支持不少于10种预设报警语音功能；支持不少于25种自定义报警音功能；可通过IE浏览器、手机APP、NVR等设置自定义报警语音并上传。以第三方权威机构出具的检测报告并加盖制造商公章为准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47.★1.在光线明亮的室内环境下采用实测方式进行；2.记录通过的人数、测试人脸次数以及捕获的人脸次数（人脸正对摄像机，且人脸尺寸不小于12像素）；3.人脸抓拍捕获率=（捕获的人脸次数/测试人脸次数）×100%；4.人脸错误抓拍率=（错误捕获的人脸次数/测试人脸次数）×100%；5.人脸抓拍捕获率应≥99%；6.人脸错误抓拍率应≤1%。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48.★1.支持在人员奔跑时对人脸进行抓拍；2.在光线明亮的室内环境下采用实测方式进行。3.记录奔跑通过的人数、测试人脸次数以及捕获的人脸次数（奔跑时人脸正对摄像机，且人脸尺寸不小于12像素，人员奔跑速度不大于20km/h）4.奔跑抓拍捕获率=（捕获的人脸次数/测试人脸次数）×100%；5.奔跑抓拍捕获率应≥99%。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49.★支持同一画面可同时检测不少于32张人脸。支持侧脸检测功能，包括人脸俯仰（≤50°）、人脸倾斜（≤50°）、左右偏转（≤50°）等。以第三方权威机构出具的检测报告并加盖制造商公章为准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50.可对人脸图片按人数、人员性别和人员年龄特征信息统计，并选择按日、周、月、年进导出。以第三方权威机构出具的检测报告并加盖制造商公章为准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51.★可对画面中距离样机300m处的移动目标(人或车)进行检测并对该目标跟踪，通过放大变倍、样机转动使目标始终处于图像中心。以第三方权威机构出具的检测报告并加盖制造商公章为准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52.★支持设置警戒区域后可检测进入警戒区域的人或车辆,并放大变倍获取目标细节；支持设置通过白光闪烁、语音警告、激光警戒跟踪实现多级警戒，激光点可以跟随目标移动。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53.支持设置告警区域,最大可包含全部监控画面；可选择是否显示告警目标及告警规则。以第三方权威机构出具的检测报告并加盖制造商公章为准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54.支持三种人车分离模式可选：仅对人进行警戒；仅对车进行警戒；对人、车同时警戒。以第三方权威机构出具的检测报告并加盖制造商公章为准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55.可通过客户端设置16个不同的检测场景，在每个场景内行为分析可设置8个智能分析区域。以第三方权威机构出具的检测报告并加盖制造商公章为准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56.★在天气晴朗无雾的条件下，样机可对设置的检测区域内的单个行人联动抓拍、录像、声音、激光警示、报警输出。以第三方权威机构出具的检测报告并加盖制造商公章为准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57.★在天气晴朗无雾的条件下，样机可对设置的检测区域内的车辆联动抓拍、录像、声音、激光警示、报警输出。以第三方权威机构出具的检测报告并加盖制造商公章为准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58.样机可根据IP地址进行访问控制；在白名单模式中，只有添加在白名单中的IP地址才被允许访问样机，白名单中最多可添加128个IP地址；在黑名单模式中，只有添加在黑名单中的IP地址不被允许访问样机，黑名单中最多可添加128个IP地址。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59.★当环境照度低于一定值时，通过红外灯照射，可基本分辨距离650米处所摄建筑物目标的轮廓和状态。以第三方权威机构出具的检测报告并加盖制造商公章为准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60.★当环境照度低于一定值时，通过白光灯照射，可基本分辨距离60米处所摄车辆或人体目标的轮廓及颜色。当环境照度低于一定值时，通过白光灯照射，应能分辨距离20米处的车牌号码。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61.★当环境照度低于一定值时，通过激光灯照射，可基本分辨距离1000米处所摄建筑物目标的轮廓。以第三方权威机构出具的检测报告并加盖制造商公章为准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62.具有移动侦测、视频遮挡、IP地址冲突、存储器满、非法访问、网络断开等故障报警功能。以第三方权威机构出具的检测报告并加盖制造商公章为准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63.支持手动控制鼠标拖动画面，实现云台方向的转动和镜头变倍。以第三方权威机构出具的检测报告并加盖制造商公章为准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64.单场景跟踪模式：样机可在预设的单个场景内跟踪移动的目标；多场景跟踪模式：样机可在预设的多个场景内跟踪移动的目标。以第三方权威机构出具的检测报告并加盖制造商公章为准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65.支持对图像中的单个目标物体轨迹进行跟踪；支持报警联动跟踪、手动跟踪及混合跟踪功能；支持在跟踪模式下，对跟踪目标进行抓拍；在样机画面中点击或框选移动目标至样机开始转动的时间小于0.5秒；画面中移动目标触发报警至样机开始转动并跟踪的时间小于0.5秒。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66.支持道路监控模式下，对抓拍图片单张上传或多张合成上传，合成图片数量可设置。以第三方权威机构出具的检测报告并加盖制造商公章为准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67.支持将车辆相关数据以OSD方式叠加到图片上，包含监视点编号、设备编号、抓拍时间、车道方向、车牌号、车牌颜色、车身颜色、车辆品牌、防伪码、车道号、车辆类型、车速、上下行、是否系安全带等信息。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68.具备常见车辆品牌及子品牌标志自动识别功能；可识别车辆品牌≥250种。以第三方权威机构出具的检测报告并加盖制造商公章为准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69.应能识别符合GA36规定的各种号牌以及新能源车牌的号牌字符、号牌颜色。以第三方权威机构出具的检测报告并加盖制造商公章为准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70.具备车身颜色识别功能，包括：白、灰、黄、粉、紫、绿、蓝、红、棕、青、黑等颜色。以第三方权威机构出具的检测报告并加盖制造商公章为准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71.应能识别轿车、面包车、大型货车、小型货车、SUV等车辆类型。以第三方权威机构出具的检测报告并加盖制造商公章为准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72.应能对设置的检测区域内的单辆自行车、电瓶车、摩托车、三轮车等非机动车进行抓拍。以第三方权威机构出具的检测报告并加盖制造商公章为准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73.支持对机动车、非机动车、行人进行流量统计；支持设置统计时间间隔。以第三方权威机构出具的检测报告并加盖制造商公章为准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74.★支持通过APP开启语音喊话功能；支持通过APP开启白光；支持通过APP开启激光。以第三方权威机构出具的检测报告并加盖制造商公章为准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75.可将视频图像存储至TF卡或本地；支持断网续传；最大支持512G；支持TF卡热插拔。以第三方权威机构出具的检测报告并加盖制造商公章为准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76.应能在AC24V±30%的供电条件下正常工作。应能在DC24V～DC48V的供电条件下正常工作。以第三方权威机构出具的检测报告并加盖制造商公章为准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77.空气放电8kV；接触放电6kV。以第三方权威机构出具的检测报告并加盖制造商公章为准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78.温度范围：-40℃+70℃。以第三方权威机构出具的检测报告并加盖制造商公章为准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79.外壳防护等级：IP66。以第三方权威机构出具的检测报告并加盖制造商公章为准"</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r>
      <w:tr>
        <w:tblPrEx>
          <w:shd w:val="clear" w:color="auto" w:fill="auto"/>
          <w:tblCellMar>
            <w:top w:w="0" w:type="dxa"/>
            <w:left w:w="0" w:type="dxa"/>
            <w:bottom w:w="0" w:type="dxa"/>
            <w:right w:w="0" w:type="dxa"/>
          </w:tblCellMar>
        </w:tblPrEx>
        <w:trPr>
          <w:trHeight w:val="120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智能水利球机</w:t>
            </w:r>
          </w:p>
        </w:tc>
        <w:tc>
          <w:tcPr>
            <w:tcW w:w="111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numPr>
                <w:ilvl w:val="0"/>
                <w:numId w:val="36"/>
              </w:numPr>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支持最大抓拍分辨率不小于2560×1440。以第三方权威机构出具的检测报告并加盖制造商公章为准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2.★具有不少于1个电源接口、1个RJ45、1个RS485、1个BNC、1个Micro SD卡槽、1对音频输入/输出接口；支持不少于8路报警输入、2路报警输出。以第三方权威机构出具的检测报告并加盖制造商公章为准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3.具有H.265、H.264、M-JPEG设置选项。以第三方权威机构出具的检测报告并加盖制造商公章为准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4.★靶面尺寸：≥1/1.8英寸。以第三方权威机构出具的检测报告并加盖制造商公章为准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5.宽动态：≥100dB。以第三方权威机构出具的检测报告并加盖制造商公章为准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6.水平手控最大速度≥650°/s。以第三方权威机构出具的检测报告并加盖制造商公章为准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7.垂直手控最大速度≥120°/s。以第三方权威机构出具的检测报告并加盖制造商公章为准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8.垂直旋转范围：支持垂直方向-40°到90°旋转设置。以第三方权威机构出具的检测报告并加盖制造商公章为准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9.最低照度：0.001 lx（彩色模式），能基本分辨被摄目标的轮廓特征和色彩；0.0003 lx（黑白模式），能基本分辨被摄目标的轮廓特征。</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10.音频输入模式可设置为Line in和Mic in。以第三方权威机构出具的检测报告并加盖制造商公章为准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11.内置扬声器，可播放预录音频，支持远程喊话功能。以第三方权威机构出具的检测报告并加盖制造商公章为准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12.支持红外灯补光，具有红外补光灯，红外灯灯光亮度可调，具有手动/定时开关的功能。以第三方权威机构出具的检测报告并加盖制造商公章为准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13.支持白光灯补光，具有白光补光灯。支持开启白光灯补光时，样机图像显示彩色画面，白光灯灯光亮度可调，具有手动/定时开关的功能。以第三方权威机构出具的检测报告并加盖制造商公章为准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14.★同一静止场景相同图像质量下，设备在 H.264 或 H.265 编码码率为4Mbps时，开启智能编码功能和不开启智能编码相比，码率可降低 90%。以第三方权威机构出具的检测报告并加盖制造商公章为准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15.可通过IE浏览器在视频图像上叠加字符，字符可选项包括通道名称、时间、日期、自定义字符等信息。以第三方权威机构出具的检测报告并加盖制造商公章为准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16.字体可设置为16×16像素、32×32像素、48×48像素、64×64像素、96×96像素，字体颜色可设置。以第三方权威机构出具的检测报告并加盖制造商公章为准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17.预置位：预置位数目应大于等于1500个，存预置位和调取预置位功能应正常。自动巡航：可按照所设置的预置位完成32条巡航路径的巡航；模式路径：可记录用户对球机的手动控制运行轨迹，并可重复复现；应可按照所设置的轨迹完成16条模式路径，每条路径的最大记录时间应不小于10min。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18.具有自动、半自动和手动聚焦模式。以第三方权威机构出具的检测报告并加盖制造商公章为准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19.★可设置定时抓拍或报警联动抓拍图片，并上传到FTP服务器上；抓图的时间间隔和报警联动抓拍图片数量可设。以第三方权威机构出具的检测报告并加盖制造商公章为准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20.具有水位监测、漂浮物监测、水岸垃圾监测、绊线、区域入侵、进入区域、离开区域、奔跑、徘徊、非法停车、物品遗留、物品丢失、人群聚集功能、车牌识别、人脸检测、人数统计、值岗检测、安全帽检测等智能分析功能，可通过客户端软件或IE浏览器进行报警提示。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21.★支持水位监测功能 ；开启水位监测后，当监测水位超过设定值时可以联动报警输出。以第三方权威机构出具的检测报告并加盖制造商公章为准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22.★开启雨量监测后，当雨量超过设定值时可以联动报警输出（配合外接翻斗雨量计或气象站使用）。以第三方权威机构出具的检测报告并加盖制造商公章为准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23.★支持对桩式水尺、斜式水尺、方块水尺自动识别水位读数的功能（水尺规格均为1m）。以第三方权威机构出具的检测报告并加盖制造商公章为准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24.★在天气晴朗无雾，水尺无遮挡，无污损的情况下，进行水尺水位识别测试，白天测试时环境照度应不小于200lux，夜间不高于50lux。白天：桩式水尺、方块水尺最远识别距离应不小于100米，识别水尺误差范围应≤2cm；夜晚：桩式水尺、方块水尺最远识别距离应不小于100米，识别水尺误差范围应≤2cm。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25.★支持漂浮物检测功能；开启漂浮物检测后，应能对进入目标区域内的大小不小于256×144像素的漂浮物进行检测并加框显示。开启漂浮物检测后，当漂浮物所占画面比例超过设定值时可以联动报警输出。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26.★支持闸门开启检测功能 ；开启闸门开闭检测后，应能对闸门开启状态进行检测。当闸门开启时可联动报警输出。以第三方权威机构出具的检测报告并加盖制造商公章为准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27.★支持检测目标框中出现的船只停留时间超过设定时间后可联动报警输出。以第三方权威机构出具的检测报告并加盖制造商公章为准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28.当设定的侦测区域内有目标移动时，该区域边框将变为红色，并可联动报警，启动录像或抓拍、报警上传中心、发送邮件及上传FPT。以第三方权威机构出具的检测报告并加盖制造商公章为准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29.支持最多设置32个移动侦测区域。以第三方权威机构出具的检测报告并加盖制造商公章为准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30.支持手动或自动开启雨刷。以第三方权威机构出具的检测报告并加盖制造商公章为准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31.球机在某一位置停留时间超过设定值后记忆该位置，断电重启后可在规定的时间内恢复到所记忆的最后一个位置。以第三方权威机构出具的检测报告并加盖制造商公章为准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32.支持软件升级过程中断电，上电后可恢复到升级前的软件版本。以第三方权威机构出具的检测报告并加盖制造商公章为准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33.支持不少于3种预设报警语音功能；支持不少于2种自定义报警音功能；可通过IE浏览器、手机APP、NVR等设置自定义报警语音并上传。以第三方权威机构出具的检测报告并加盖制造商公章为准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34.支持设置告警区域最大可包含全部监控画面。可选择是否显示告警区域边框及告警提示信息。以第三方权威机构出具的检测报告并加盖制造商公章为准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支持通过APP查看摄像机实时视频；支持通过APP开启语音喊话功能；支持通过APP开启白光或激光；支持通过APP查看外接传感器数据；支持通过APP查看历史报警数据；支持通过APP设置警戒，支持进行警戒布防、撤防及报警提示。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36.支持通过APP设置报警推送的开启或关闭。以第三方权威机构出具的检测报告并加盖制造商公章为准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37.支持语音喊话提示功能，可在IE浏览器、客户端、NVR等一键开启对讲。以第三方权威机构出具的检测报告并加盖制造商公章为准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38.具有移动侦测、IP地址冲突、MAC地址冲突、存储器满、FTP服务器异常、网络断开等故障报警功能。以第三方权威机构出具的检测报告并加盖制造商公章为准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39.当环境照度低于一定值时，通过红外灯照射，可基本分辨距离600米处所摄建筑物目标的轮廓和状态。以第三方权威机构出具的检测报告并加盖制造商公章为准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40.当环境照度低于一定值时，通过白光灯照射，可基本分辨距离60米处所摄车辆或人体目标的轮廓及颜色。以第三方权威机构出具的检测报告并加盖制造商公章为准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41.红外灯开启时可根据被摄物的距离自动或手动调节红外灯亮度。以第三方权威机构出具的检测报告并加盖制造商公章为准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42.支持通过手机客户端APP添加摄像机，进行远程实时浏览。以第三方权威机构出具的检测报告并加盖制造商公章为准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43.可将视频图像存储至Micro SD卡或客户端；支持断网续传；支持Micro SD卡热插拔。以第三方权威机构出具的检测报告并加盖制造商公章为准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44.具有GB/T 28181、Onvif平台接入设置选项。以第三方权威机构出具的检测报告并加盖制造商公章为准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45.★内置4G模块；支持通过移动、联通、电信无线网络进行数据传输。以第三方权威机构出具的检测报告并加盖制造商公章为准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46.★支持低功耗休眠节电模式，支持一键休眠、定时休眠；支持一键唤醒功能。在低功耗模式下，样机功率比最大功率降低60%。以第三方权威机构出具的检测报告并加盖制造商公章为准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47.工作温度：-50℃~75℃。以第三方权威机构出具的检测报告并加盖制造商公章为准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48.外壳防护等级：IP67。以第三方权威机构出具的检测报告并加盖制造商公章为准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49.★以上技术参数需提供第三方权威机构出具的检测报告并加盖制造商公章，提供符合SZY206-2016《水资源监测数据传输规约》检测报告等证明文件并加盖制造商公章。</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r>
      <w:tr>
        <w:tblPrEx>
          <w:shd w:val="clear" w:color="auto" w:fill="auto"/>
          <w:tblCellMar>
            <w:top w:w="0" w:type="dxa"/>
            <w:left w:w="0" w:type="dxa"/>
            <w:bottom w:w="0" w:type="dxa"/>
            <w:right w:w="0" w:type="dxa"/>
          </w:tblCellMar>
        </w:tblPrEx>
        <w:trPr>
          <w:trHeight w:val="331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车辆人脸监测摄像机</w:t>
            </w:r>
          </w:p>
        </w:tc>
        <w:tc>
          <w:tcPr>
            <w:tcW w:w="111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1.具有1个RJ45千兆网口、1个RS485接口、1对音频输入/输出接口、1个SD卡槽、1个复位按钮、内置MIC、内置扬声器；支持2路报警输入、1路报警输出。提供第三方权威机构出具的检测报告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2.分辨率：≥2560×1440，12.5～48mm电动变焦镜头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3.具有TCP、UDP、HTTP、MULTICAST、UPnP、DHCP、PPPoE、DDNS、NFS、FTP、NTP、RTP、RTSP、IPv4、IPv6、SNMP、SMTP、802.1X、QoS、HTTPS设置选项。提供第三方权威机构出具的检测报告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4.★靶面尺寸检查：不小于1/1.8英寸。提供第三方权威机构出具的检测报告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5.H.265、H.264（Main Profile，High Profile，Baseline Profile）、M-JPEG。提供第三方权威机构出具的检测报告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6.支持32kbps～16Mbps视频码率可调。提供第三方权威机构出具的检测报告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7.支持G.711A、G.711U、ADPCM_D、AAC_LC音频编码标准。提供第三方权威机构出具的检测报告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8.彩色：≥1600TVL。提供第三方权威机构出具的检测报告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9.亮度（灰度）鉴别等级≥11级。提供第三方权威机构出具的检测报告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10.信噪比≥60dB。提供第三方权威机构出具的检测报告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11.★最低照度：0.0003lx（彩色模式），能基本分辨被摄目标的轮廓特征和色彩。0.0001lx（黑白模式），能基本分辨被摄目标的轮廓特征。提供第三方权威机构出具的检测报告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12.宽动态：≥118dB。提供第三方权威机构出具的检测报告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13.具有电子快门，快门速度1/100000S~1s可调。提供第三方权威机构出具的检测报告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14.★支持三码流同时并发输出。提供第三方权威机构出具的检测报告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15.支持8个场景模式。提供第三方权威机构出具的检测报告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16.具有彩色、黑白模式设置选项，可选择手动、自动、定时或报警触发转换彩色/黑白模式。提供第三方权威机构出具的检测报告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17.具有自动白平衡、自动增益、背光补偿、强光抑制、走廊模式、镜像功能、数字降噪、音频降噪、透雾设置、电子防抖、可伸缩编码（SVC）设置等。提供第三方权威机构出具的检测报告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18.可设置7个感兴趣区域。提供第三方权威机构出具的检测报告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19.★支持ABF自动后焦调节，可通过IE浏览器进行一键聚焦。提供第三方权威机构出具的检测报告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20.支持在视频图像任意位置叠加所上传的图片（200×200像素、BMP格式、24位）。提供第三方权威机构出具的检测报告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21.★字体可设置为16×16像素，24×24像素、32×32像素、48×48像素、64×64像素、96×96像素；支持时间、日期、星期叠加；支持5个区域的附加字符叠加，支持矢量、点阵字库类型设置，支持设置多种字体颜色。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22.最大支持50路分辨率≥2560×1440、码率为4Mbps、帧率为25帧/秒的视频同时进行浏览（配合NVR使用）。提供第三方权威机构出具的检测报告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23.★具有内置时钟功能，支持手动/自动校时、NTP校时；可设置时区、夏令时。提供第三方权威机构出具的检测报告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24.支持远程升级、导入、导出配置信息。提供第三方权威机构出具的检测报告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25.支持实时视频预览、支持手动抓拍、报警抓拍；支持抓拍统计。提供第三方权威机构出具的检测报告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26.断网情况下，抓拍图片自动存储到本地存储卡，网络恢复后自动上传至FTP服务器。提供第三方权威机构出具的检测报告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27.可将视频图像及抓拍图片存储至Micro SD 卡或客户端，最大支持512GB Micro SD卡。提供第三方权威机构出具的检测报告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28.支持移动侦测功能，周界报警功能、虚焦侦测、故障报警、场景变更侦测、声音异常检测等。提供第三方权威机构出具的检测报告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29.支持侧脸检测功能，包括人脸俯仰（≤30°）、人脸倾斜（≤50°）、左右偏转（≤50°）时可以对人脸进行检测并且抓拍。提供第三方权威机构出具的检测报告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30.★具有人脸检测、人脸跟踪、人脸抓拍功能，人脸抓拍数量1~10张可设；具有人脸全景图片抓拍和人脸特写图片抓拍功能；可设置人脸检测区域；支持人脸检测的最小人脸尺寸设置，最小可设置19像素；能对同时出现在静态图片中的至少32个人脸目标进行检测并框出人脸。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31.★支持人脸抓拍照片上报时间不超过2s，支持对人脸以最优策略、最快速度等方式进行抓拍；支持人脸抓拍，可将人脸抓拍图片分别存储为场景大图和人脸小图，场景大图和人脸小图可关联存储；支持遮挡人脸抓拍功能。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32.★人脸抓拍捕获率≥99%（人脸正对摄像机，且人脸尺寸不小于12像素）。提供第三方权威机构出具的检测报告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33.★人员奔跑抓拍捕获率≥99%（奔跑时人脸正对摄像机，且人脸尺寸不小于12像素，人员奔跑速度不大于20km/h）。提供第三方权威机构出具的检测报告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34.可在视频预览界面叠加人脸框；可对抓拍到的人脸的年龄、性别、人员表情，以及是否戴眼镜、墨镜、口罩。提供第三方权威机构出具的检测报告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35.支持人脸曝光功能、人脸ROI功能。提供第三方权威机构出具的检测报告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36.可将抓拍的人脸图片上传至指定的FTP服务器。提供第三方权威机构出具的检测报告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37.★具有人脸抓拍、车辆抓怕、混合抓拍模式。提供第三方权威机构出具的检测报告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38.车辆捕获率≥99%。提供第三方权威机构出具的检测报告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39.★具有混合目标（机动车、非机动车、人体、人脸）抓拍功能，并提供混合目标对应的全景图片抓怕和特写图片抓拍功能。提供第三方权威机构出具的检测报告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40.系统具有双重备份功能，当操作系统文件损坏或异常时，设备重启后仍可正常运行。提供第三方权威机构出具的检测报告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41.★同一静止场景相同图像质量下，在H.265编码方式时，开启智能编码功能和不开启智能编码相比，码率节约90%。提供第三方权威机构出具的检测报告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42.★支持对经过监控画面中的行人进行双向通行的人员进行计数，支持报表统计。提供第三方权威机构出具的检测报告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43.支持白光灯自动开启或定时开启；具有白光灯补光功能，补光距离10米处人脸可辨识；当环境照度低于一定值时，通过白光灯照射，可基本分辨距离50米处所摄车辆或人体目标的轮廓及颜色，支持根据环境亮度智能改变补光灯的亮度。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44.支持28181协议设置选项；支持ONVIF协议设置选项。提供第三方权威机构出具的检测报告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45.电源；DV12V±20%的供电条件下正常工作，支持POE供电。提供第三方权威机构出具的检测报告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46.温度：支持-45℃~70℃下正常工作。提供第三方权威机构出具的检测报告</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r>
      <w:tr>
        <w:tblPrEx>
          <w:shd w:val="clear" w:color="auto" w:fill="auto"/>
          <w:tblCellMar>
            <w:top w:w="0" w:type="dxa"/>
            <w:left w:w="0" w:type="dxa"/>
            <w:bottom w:w="0" w:type="dxa"/>
            <w:right w:w="0" w:type="dxa"/>
          </w:tblCellMar>
        </w:tblPrEx>
        <w:trPr>
          <w:trHeight w:val="2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摄像机支架</w:t>
            </w:r>
          </w:p>
        </w:tc>
        <w:tc>
          <w:tcPr>
            <w:tcW w:w="111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r>
      <w:tr>
        <w:tblPrEx>
          <w:shd w:val="clear" w:color="auto" w:fill="auto"/>
          <w:tblCellMar>
            <w:top w:w="0" w:type="dxa"/>
            <w:left w:w="0" w:type="dxa"/>
            <w:bottom w:w="0" w:type="dxa"/>
            <w:right w:w="0" w:type="dxa"/>
          </w:tblCellMar>
        </w:tblPrEx>
        <w:trPr>
          <w:trHeight w:val="2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球机支架</w:t>
            </w:r>
          </w:p>
        </w:tc>
        <w:tc>
          <w:tcPr>
            <w:tcW w:w="111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定制</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r>
      <w:tr>
        <w:tblPrEx>
          <w:shd w:val="clear" w:color="auto" w:fill="auto"/>
          <w:tblCellMar>
            <w:top w:w="0" w:type="dxa"/>
            <w:left w:w="0" w:type="dxa"/>
            <w:bottom w:w="0" w:type="dxa"/>
            <w:right w:w="0" w:type="dxa"/>
          </w:tblCellMar>
        </w:tblPrEx>
        <w:trPr>
          <w:trHeight w:val="348"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水尺</w:t>
            </w:r>
          </w:p>
        </w:tc>
        <w:tc>
          <w:tcPr>
            <w:tcW w:w="111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一米桩式水尺：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颜色:白色底漆，黑色字体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材质:304不锈钢，腐蚀出槽电泳烤漆的工艺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尺寸:1000mm×80mm×1mm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特点：观测直观，容易辨别、不反光</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w:t>
            </w:r>
          </w:p>
        </w:tc>
      </w:tr>
      <w:tr>
        <w:tblPrEx>
          <w:shd w:val="clear" w:color="auto" w:fill="auto"/>
          <w:tblCellMar>
            <w:top w:w="0" w:type="dxa"/>
            <w:left w:w="0" w:type="dxa"/>
            <w:bottom w:w="0" w:type="dxa"/>
            <w:right w:w="0" w:type="dxa"/>
          </w:tblCellMar>
        </w:tblPrEx>
        <w:trPr>
          <w:trHeight w:val="28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翻斗雨量计</w:t>
            </w:r>
          </w:p>
        </w:tc>
        <w:tc>
          <w:tcPr>
            <w:tcW w:w="111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（1）承水口径：≥Ф200+0.6mm  外刃口角度≥45°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（2）测量降水强度：≤4mm/min在8mm/min可以工作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（3）分辨力：0.2、0.5、1.0mm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（6.28、15.7、31.4ml）</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（4）误差：±3%（室内静态测试，雨强为2mm/min）</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（5）输出信号：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①分辨力为0.2mm时，输出信号为单干式舌簧管通断。</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②分辨力为0.5、1.0mm时输出信号为单、双干式舌簧管通断。</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（6）工作温度：0～50℃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（7）贮存温度：－10℃～50℃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（8）开关容量：DC，V≤12V，I≤500mA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（9）平均无故障工作时间：≥50000小时</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r>
      <w:tr>
        <w:tblPrEx>
          <w:shd w:val="clear" w:color="auto" w:fill="auto"/>
          <w:tblCellMar>
            <w:top w:w="0" w:type="dxa"/>
            <w:left w:w="0" w:type="dxa"/>
            <w:bottom w:w="0" w:type="dxa"/>
            <w:right w:w="0" w:type="dxa"/>
          </w:tblCellMar>
        </w:tblPrEx>
        <w:trPr>
          <w:trHeight w:val="7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高音喇叭广播</w:t>
            </w:r>
          </w:p>
        </w:tc>
        <w:tc>
          <w:tcPr>
            <w:tcW w:w="111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输入：0-110V</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额定功率： 50W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传播直径：不低于100米</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r>
      <w:tr>
        <w:tblPrEx>
          <w:shd w:val="clear" w:color="auto" w:fill="auto"/>
          <w:tblCellMar>
            <w:top w:w="0" w:type="dxa"/>
            <w:left w:w="0" w:type="dxa"/>
            <w:bottom w:w="0" w:type="dxa"/>
            <w:right w:w="0" w:type="dxa"/>
          </w:tblCellMar>
        </w:tblPrEx>
        <w:trPr>
          <w:trHeight w:val="16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太阳能电池板</w:t>
            </w:r>
          </w:p>
        </w:tc>
        <w:tc>
          <w:tcPr>
            <w:tcW w:w="111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1.峰值功率（Pmax）：≥330Wp</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2.峰值电压（Vmp）：33.9V</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3.峰值电流（Imp）：9.7A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4.开路电压（Voc）：41V</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5.短路电流（Isc）：10A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6.最大系统电压：1000VDC</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7.以上技术参数需提供第三方权威机构出具的检测报告</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w:t>
            </w:r>
          </w:p>
        </w:tc>
      </w:tr>
      <w:tr>
        <w:tblPrEx>
          <w:shd w:val="clear" w:color="auto" w:fill="auto"/>
          <w:tblCellMar>
            <w:top w:w="0" w:type="dxa"/>
            <w:left w:w="0" w:type="dxa"/>
            <w:bottom w:w="0" w:type="dxa"/>
            <w:right w:w="0" w:type="dxa"/>
          </w:tblCellMar>
        </w:tblPrEx>
        <w:trPr>
          <w:trHeight w:val="7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胶体电池</w:t>
            </w:r>
          </w:p>
        </w:tc>
        <w:tc>
          <w:tcPr>
            <w:tcW w:w="111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胶体铅酸电池，完全充放电次数200以上，正功差；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输出电压：12V，电池容量：200AH；</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工作温度-10~50℃。</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w:t>
            </w:r>
          </w:p>
        </w:tc>
      </w:tr>
      <w:tr>
        <w:tblPrEx>
          <w:shd w:val="clear" w:color="auto" w:fill="auto"/>
          <w:tblCellMar>
            <w:top w:w="0" w:type="dxa"/>
            <w:left w:w="0" w:type="dxa"/>
            <w:bottom w:w="0" w:type="dxa"/>
            <w:right w:w="0" w:type="dxa"/>
          </w:tblCellMar>
        </w:tblPrEx>
        <w:trPr>
          <w:trHeight w:val="2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正弦波逆变器</w:t>
            </w:r>
          </w:p>
        </w:tc>
        <w:tc>
          <w:tcPr>
            <w:tcW w:w="111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24V，300W正弦波逆变器</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r>
      <w:tr>
        <w:tblPrEx>
          <w:shd w:val="clear" w:color="auto" w:fill="auto"/>
          <w:tblCellMar>
            <w:top w:w="0" w:type="dxa"/>
            <w:left w:w="0" w:type="dxa"/>
            <w:bottom w:w="0" w:type="dxa"/>
            <w:right w:w="0" w:type="dxa"/>
          </w:tblCellMar>
        </w:tblPrEx>
        <w:trPr>
          <w:trHeight w:val="683"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光伏集成配电箱（含辅材）</w:t>
            </w:r>
          </w:p>
        </w:tc>
        <w:tc>
          <w:tcPr>
            <w:tcW w:w="111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1.先进的双波峰或多波峰追踪技术，当电池板有阴影遮挡或是部分电池板有损坏时，I-V 曲线将出现多个波峰，控制器仍然能准确追踪到最大功率点支持接收、存储相机（在线、温度、车检器、线圈）状态功能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2.内建最大功率追踪算法，能显著提高光伏系统的能量利用效率,比传统PWM充电效率高15%~20%左右。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3.多种追踪算法相结合，能在极短的时间之内准确的追踪到I-V 曲线的最佳工作点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4.MPPT追踪效率最高可达99.9%</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5.采用先进的数字电源技术，电路能量转换效率高达98%</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6.支持胶体电池，密封电池，开口电池，锂电池等不同类型电池充电程序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7.具有限流充电模式，当电池板功率过大，充电电流大于额定电流时，控制器自动降低充电功率，使其工作在额定充电电流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8.可支持容性负载瞬间大电流启动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9.支持蓄电池电压自动识别支持图片和违法录像的磁盘策略功能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10.具有故障LED指示、液晶显示异常信息，方便用户确定系统故障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11.支持历史数据存储，存储时间长达1年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12.自带LCD 屏显示功能，可以查看设备运行数据和状态，同时可支持控制器参数的更改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13.支持标准modebus协议，满足不同场合通讯需求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14.内置过温保护机制，当温度超过设备设定值时充电电流随温度线性下降，从而减小控制器的温升，避免控制器高温损坏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15.具有温度补偿功能，自动调整充放电参数，提高蓄电池使用寿命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16.TVS防雷保护</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17.以上技术参数需提供证明材料并加盖制造商公章</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r>
      <w:tr>
        <w:tblPrEx>
          <w:shd w:val="clear" w:color="auto" w:fill="auto"/>
          <w:tblCellMar>
            <w:top w:w="0" w:type="dxa"/>
            <w:left w:w="0" w:type="dxa"/>
            <w:bottom w:w="0" w:type="dxa"/>
            <w:right w:w="0"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设备箱</w:t>
            </w:r>
          </w:p>
        </w:tc>
        <w:tc>
          <w:tcPr>
            <w:tcW w:w="111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1.结构形式:野外防雨型挂式；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2.柜体材料:采用Q235碳素类A级冷轧钢板,厚度≥2m；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3.功能:具有安全防盗,防雨,防潮,防尘、防晒、防虫、防辐射,抗老化,抗冲击等功能，具有接地排和外接地装置，配置漏保空气开关；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4.防护等级：IP55</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r>
      <w:tr>
        <w:tblPrEx>
          <w:shd w:val="clear" w:color="auto" w:fill="auto"/>
          <w:tblCellMar>
            <w:top w:w="0" w:type="dxa"/>
            <w:left w:w="0" w:type="dxa"/>
            <w:bottom w:w="0" w:type="dxa"/>
            <w:right w:w="0" w:type="dxa"/>
          </w:tblCellMar>
        </w:tblPrEx>
        <w:trPr>
          <w:trHeight w:val="2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光纤收发器</w:t>
            </w:r>
          </w:p>
        </w:tc>
        <w:tc>
          <w:tcPr>
            <w:tcW w:w="111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千兆光纤收发器</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w:t>
            </w:r>
          </w:p>
        </w:tc>
      </w:tr>
      <w:tr>
        <w:tblPrEx>
          <w:shd w:val="clear" w:color="auto" w:fill="auto"/>
          <w:tblCellMar>
            <w:top w:w="0" w:type="dxa"/>
            <w:left w:w="0" w:type="dxa"/>
            <w:bottom w:w="0" w:type="dxa"/>
            <w:right w:w="0" w:type="dxa"/>
          </w:tblCellMar>
        </w:tblPrEx>
        <w:trPr>
          <w:trHeight w:val="2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接入交换机</w:t>
            </w:r>
          </w:p>
        </w:tc>
        <w:tc>
          <w:tcPr>
            <w:tcW w:w="111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5口百兆交换机</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r>
      <w:tr>
        <w:tblPrEx>
          <w:shd w:val="clear" w:color="auto" w:fill="auto"/>
          <w:tblCellMar>
            <w:top w:w="0" w:type="dxa"/>
            <w:left w:w="0" w:type="dxa"/>
            <w:bottom w:w="0" w:type="dxa"/>
            <w:right w:w="0" w:type="dxa"/>
          </w:tblCellMar>
        </w:tblPrEx>
        <w:trPr>
          <w:trHeight w:val="999"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工业网桥</w:t>
            </w:r>
          </w:p>
        </w:tc>
        <w:tc>
          <w:tcPr>
            <w:tcW w:w="111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一、无线：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1.WLAN标准：IEEE 802.11 a/n/ac, iPoll 3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2.传输模式：MIMO 2x2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3.无线频段：5 GHz : 5.150 - 5.850 GHz (FCC 5.150 - 5.250 和 5.725 - 5.850 GHz)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4.发射功率 ：Up to 29 dBm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5.接收灵敏度：-95 ~ -75 dBm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6.信道带宽：5,10, 20,40 ,80MHz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7.调制方式：802.11 a/n: OFDM (64-QAM, 16-QAM, QPSK, BPSK)；802.11 ac: OFDM (256-QAM, 64-QAM,  16-QAM, QPSK, BPSK)</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8.数据速率：802.11 ac @ 40 MHz: 400, 360, 300, 270, 240, 180, 120, 90, 60, 30 Mbps；802.11 ac @ 80 MHz: 866, 780, 650, 585, 520, 390, 260, 195, 130, 65 Mbps</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9.纠错方式：FEC，LDPC</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10.双工模式：时分双工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二、天线：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11.类型：一体双极化定向抛物面天线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12.增益：23 dBi</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三、有线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13.接口：10/100/1000 Base-T,RJ45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四、电源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14.电源：24V DC</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15.功耗：5W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五、管理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16.系统监测：SNMP，Syslog，Web UI，WNMS</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17.配置：WebUI，WNMS</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18.以上技术参数需提供证明材料并加盖制造商公章</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w:t>
            </w:r>
          </w:p>
        </w:tc>
      </w:tr>
      <w:tr>
        <w:tblPrEx>
          <w:shd w:val="clear" w:color="auto" w:fill="auto"/>
          <w:tblCellMar>
            <w:top w:w="0" w:type="dxa"/>
            <w:left w:w="0" w:type="dxa"/>
            <w:bottom w:w="0" w:type="dxa"/>
            <w:right w:w="0" w:type="dxa"/>
          </w:tblCellMar>
        </w:tblPrEx>
        <w:trPr>
          <w:trHeight w:val="7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监控立杆</w:t>
            </w:r>
          </w:p>
        </w:tc>
        <w:tc>
          <w:tcPr>
            <w:tcW w:w="111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立杆八角杆，高12米，套接0.8米，对角口径180-280-5mm，法兰500-18，主杆2.5米处开孔，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顶部安装云台长0.5米；横杆圆柱杆，口径89-3mm；拧1.5米避雷针，连接法兰200-8</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杆件内外热镀锌，喷塑白色；配地笼M24*1.2米*8根*对角线400</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r>
      <w:tr>
        <w:tblPrEx>
          <w:shd w:val="clear" w:color="auto" w:fill="auto"/>
          <w:tblCellMar>
            <w:top w:w="0" w:type="dxa"/>
            <w:left w:w="0" w:type="dxa"/>
            <w:bottom w:w="0" w:type="dxa"/>
            <w:right w:w="0" w:type="dxa"/>
          </w:tblCellMar>
        </w:tblPrEx>
        <w:trPr>
          <w:trHeight w:val="7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监控立杆</w:t>
            </w:r>
          </w:p>
        </w:tc>
        <w:tc>
          <w:tcPr>
            <w:tcW w:w="111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立杆八角杆，高8米，套接0.8米，对角口径180-280-5mm，法兰500-18，主杆2.5米处开孔，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顶部安装云台长0.5米；横杆圆柱杆，口径89-3mm；拧1.5米避雷针，连接法兰200-8</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杆件内外热镀锌，喷塑白色；配地笼M24*1.2米*8根*对角线400</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r>
      <w:tr>
        <w:tblPrEx>
          <w:shd w:val="clear" w:color="auto" w:fill="auto"/>
          <w:tblCellMar>
            <w:top w:w="0" w:type="dxa"/>
            <w:left w:w="0" w:type="dxa"/>
            <w:bottom w:w="0" w:type="dxa"/>
            <w:right w:w="0" w:type="dxa"/>
          </w:tblCellMar>
        </w:tblPrEx>
        <w:trPr>
          <w:trHeight w:val="2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立杆基础</w:t>
            </w:r>
          </w:p>
        </w:tc>
        <w:tc>
          <w:tcPr>
            <w:tcW w:w="111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基础开挖+混凝土：1.5×1.5×1，包含基础施工砂石、混凝土材料及搬运</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r>
      <w:tr>
        <w:tblPrEx>
          <w:shd w:val="clear" w:color="auto" w:fill="auto"/>
          <w:tblCellMar>
            <w:top w:w="0" w:type="dxa"/>
            <w:left w:w="0" w:type="dxa"/>
            <w:bottom w:w="0" w:type="dxa"/>
            <w:right w:w="0"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避雷器、避雷针、接地体</w:t>
            </w:r>
          </w:p>
        </w:tc>
        <w:tc>
          <w:tcPr>
            <w:tcW w:w="111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避雷器、避雷针、接地体</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r>
      <w:tr>
        <w:tblPrEx>
          <w:shd w:val="clear" w:color="auto" w:fill="auto"/>
          <w:tblCellMar>
            <w:top w:w="0" w:type="dxa"/>
            <w:left w:w="0" w:type="dxa"/>
            <w:bottom w:w="0" w:type="dxa"/>
            <w:right w:w="0" w:type="dxa"/>
          </w:tblCellMar>
        </w:tblPrEx>
        <w:trPr>
          <w:trHeight w:val="2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光缆</w:t>
            </w:r>
          </w:p>
        </w:tc>
        <w:tc>
          <w:tcPr>
            <w:tcW w:w="111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12芯光缆</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米</w:t>
            </w:r>
          </w:p>
        </w:tc>
      </w:tr>
      <w:tr>
        <w:tblPrEx>
          <w:shd w:val="clear" w:color="auto" w:fill="auto"/>
          <w:tblCellMar>
            <w:top w:w="0" w:type="dxa"/>
            <w:left w:w="0" w:type="dxa"/>
            <w:bottom w:w="0" w:type="dxa"/>
            <w:right w:w="0" w:type="dxa"/>
          </w:tblCellMar>
        </w:tblPrEx>
        <w:trPr>
          <w:trHeight w:val="2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光纤熔接盒</w:t>
            </w:r>
          </w:p>
        </w:tc>
        <w:tc>
          <w:tcPr>
            <w:tcW w:w="111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光纤熔接盒</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r>
      <w:tr>
        <w:tblPrEx>
          <w:shd w:val="clear" w:color="auto" w:fill="auto"/>
          <w:tblCellMar>
            <w:top w:w="0" w:type="dxa"/>
            <w:left w:w="0" w:type="dxa"/>
            <w:bottom w:w="0" w:type="dxa"/>
            <w:right w:w="0" w:type="dxa"/>
          </w:tblCellMar>
        </w:tblPrEx>
        <w:trPr>
          <w:trHeight w:val="2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电源线</w:t>
            </w:r>
          </w:p>
        </w:tc>
        <w:tc>
          <w:tcPr>
            <w:tcW w:w="111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RVV 3*1.0</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米</w:t>
            </w:r>
          </w:p>
        </w:tc>
      </w:tr>
      <w:tr>
        <w:tblPrEx>
          <w:shd w:val="clear" w:color="auto" w:fill="auto"/>
          <w:tblCellMar>
            <w:top w:w="0" w:type="dxa"/>
            <w:left w:w="0" w:type="dxa"/>
            <w:bottom w:w="0" w:type="dxa"/>
            <w:right w:w="0" w:type="dxa"/>
          </w:tblCellMar>
        </w:tblPrEx>
        <w:trPr>
          <w:trHeight w:val="2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网线</w:t>
            </w:r>
          </w:p>
        </w:tc>
        <w:tc>
          <w:tcPr>
            <w:tcW w:w="111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六类CAT6类网线</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米</w:t>
            </w:r>
          </w:p>
        </w:tc>
      </w:tr>
      <w:tr>
        <w:tblPrEx>
          <w:shd w:val="clear" w:color="auto" w:fill="auto"/>
          <w:tblCellMar>
            <w:top w:w="0" w:type="dxa"/>
            <w:left w:w="0" w:type="dxa"/>
            <w:bottom w:w="0" w:type="dxa"/>
            <w:right w:w="0" w:type="dxa"/>
          </w:tblCellMar>
        </w:tblPrEx>
        <w:trPr>
          <w:trHeight w:val="2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运输费</w:t>
            </w:r>
          </w:p>
        </w:tc>
        <w:tc>
          <w:tcPr>
            <w:tcW w:w="111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包含设备材料（摄像机、立杆，砂石、太阳能系统设备、安装材料）用车辆运输及人工搬运到建设点位</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r>
      <w:tr>
        <w:tblPrEx>
          <w:shd w:val="clear" w:color="auto" w:fill="auto"/>
          <w:tblCellMar>
            <w:top w:w="0" w:type="dxa"/>
            <w:left w:w="0" w:type="dxa"/>
            <w:bottom w:w="0" w:type="dxa"/>
            <w:right w:w="0" w:type="dxa"/>
          </w:tblCellMar>
        </w:tblPrEx>
        <w:trPr>
          <w:trHeight w:val="2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施工调试</w:t>
            </w:r>
          </w:p>
        </w:tc>
        <w:tc>
          <w:tcPr>
            <w:tcW w:w="111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立杆、设备安装调试、水尺安装调试、辅材安装等</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r>
      <w:tr>
        <w:tblPrEx>
          <w:shd w:val="clear" w:color="auto" w:fill="auto"/>
          <w:tblCellMar>
            <w:top w:w="0" w:type="dxa"/>
            <w:left w:w="0" w:type="dxa"/>
            <w:bottom w:w="0" w:type="dxa"/>
            <w:right w:w="0" w:type="dxa"/>
          </w:tblCellMar>
        </w:tblPrEx>
        <w:trPr>
          <w:trHeight w:val="260" w:hRule="atLeast"/>
        </w:trPr>
        <w:tc>
          <w:tcPr>
            <w:tcW w:w="14040"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二、后端设备</w:t>
            </w:r>
          </w:p>
        </w:tc>
      </w:tr>
      <w:tr>
        <w:tblPrEx>
          <w:shd w:val="clear" w:color="auto" w:fill="auto"/>
          <w:tblCellMar>
            <w:top w:w="0" w:type="dxa"/>
            <w:left w:w="0" w:type="dxa"/>
            <w:bottom w:w="0" w:type="dxa"/>
            <w:right w:w="0" w:type="dxa"/>
          </w:tblCellMar>
        </w:tblPrEx>
        <w:trPr>
          <w:trHeight w:val="24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核心交换机</w:t>
            </w:r>
          </w:p>
        </w:tc>
        <w:tc>
          <w:tcPr>
            <w:tcW w:w="111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1.★千兆电口≥28，千兆光口≥4个，万兆光口≥4个，冗余电源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2.★交换容量≥590Gbps；转发性能≥220Mpps</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3.★支持RIP，OSPF，BGP，RIPng，OSPFv3，BGP4+</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4.★支持IGMP v1/v2/v3，IGMP v1/v2/v3 Snooping，支持PIM-DM，PIM-SM，PIM-SSM，PIM for IPv6</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5.支持MAC地址过滤</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6.支持4K 802.1Q VLAN、Port based VLAN、MAC based VLAN</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7.支持标准IP ACL、扩展IP ACL、支持MAC扩展ACL</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8.支持SNMP、CLI、RMON、SSH、Syslog、NTP/SNTP等管理功能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9.提供工信部设备进网许可证复印件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10.★为保障系统的兼容性及稳定性，要求所投产品与防火墙统一品牌</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r>
      <w:tr>
        <w:tblPrEx>
          <w:shd w:val="clear" w:color="auto" w:fill="auto"/>
          <w:tblCellMar>
            <w:top w:w="0" w:type="dxa"/>
            <w:left w:w="0" w:type="dxa"/>
            <w:bottom w:w="0" w:type="dxa"/>
            <w:right w:w="0" w:type="dxa"/>
          </w:tblCellMar>
        </w:tblPrEx>
        <w:trPr>
          <w:trHeight w:val="2638"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防火墙</w:t>
            </w:r>
          </w:p>
        </w:tc>
        <w:tc>
          <w:tcPr>
            <w:tcW w:w="111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1.★要求固化千兆电口数量≥10个；为保障接口稳定性，所投产品必须是固化接口，而非板卡接口。提供官网参数截图作为证明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2.★三层网络吞吐≥3Gbps ，IPS吞吐量≥400Mbps，最大并发连接≥50万，最大新建连接≥4000。提供指标参数截图作为证明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3.★IPSEC VPN隧道数≥500，设备本身要求自带500个 IPSec VPN授权；SSL VPN并发用户数≥100，设备本身要求自带100个 SSL VPN授权，提供指标参数截图作为证明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4.支持路由模式、透明（网桥模式）、混合模式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5.要求支持虚拟防火墙，支持同一个网口用于多个虚拟防火墙支持虚拟系统技术，且每个虚拟防火墙独立管理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6.★支持SD-WAN功能，支持基于用户、用户组的SD-WAN策略，包括多种带宽接入、带宽质量监控、链路优化、一键配置上线等，提供产品功能界面截图作为证明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7.支持主-备和主-主HA方案。双机热备要能支持多种组网形式，确保可靠性，并且数据接口和心跳线支持冗余，支持双机会话同步，实现无感知切换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内置高度集成的一体化智能过滤引擎技术，实现在同一条访问控制策略中配置传统的五元组信息、用户/用户组、应用、URL类型、接入类型、地理位置、终端类型、设备组、服务、时间、安全引擎（入侵、URL过滤、病毒过滤、垃圾邮件过滤、SSL代理）的识别与控制，提供产品界面截图作为证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9.支持服务器的负载均衡，提供加权轮询、最小连接数、最小RTT等多种负载均衡方式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10.支持SYN Flood、UDP Flood、ICMP Flood、LAND攻击、Smurf攻击、Fraggle攻击、Winnuke等攻击防护；具备硬件TCP SYN FLOOD防护加速能力</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11.★可自动检测互联设备及连接终端信息，自动生成逻辑拓扑，并基于拓步展示终端指纹信息和网络连接信息，提供功能截图作为证明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12.★为保障语音系统效果，支持VoIP防护，可基于SIP与SCCP协议防护，可限制SIP的注册请求，可限制SCCP的呼叫建立。提供功能截图作为证明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13.支持对HTTP、FTP、SMTP、IMAP、POP3、TELNET、TCP、UDP、DNS、RPC、MSSQL、ORACLE、NNTP、DHCP、LDAP、VoIP、NETBIOS、TFTP、SUNRPC和MSRPC等常用协议及应用的攻击检测和防御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14.支持旁路和在线两种模式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15.★IPsec隧道支持CA数字证书导入认证功能。提供功能截图作为证明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16.★支持对文件类型过滤，至少基于包括doc、docx、exe、ppt、pptx、rar、txt、xls、xlsx、pdf、zip、gzip、tar等40种以上文件类型过滤。提供功能截图作为证明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17.支持Web分类和Web页面过滤，要求URL数量≥2.5亿个</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18.支持对2900 种以上应用的识别和控制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19.★支持ICAP服务器联动，实现对于HTTP请求和应答的自定义处理。提供功能截图作为证明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20.★支持基于应用防御、入侵防御、恶意软件防御的统计结果定义用户的信誉值。提供功能截图作为证明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21.★内置IP威胁域名查询，可直接输入IP或域名查询IP和域名的威胁属性。提供功能截图作为证明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22.支持与云沙箱进行联动，动态分析恶意软件、恶意文件以及威胁URL。提供功能截图作为证明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23.支持云端威胁情报联动功能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24.★支持WAF功能，具备HTTP特征库规则列表，至少包括SQL注入、XSS防护，支持HTTP报头的长度、cookie的个数等参数限制策略对Web服务器进行安全防护并提供功能截图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25.支持0-day恶意软件变种、可疑文件等APT高级可持续威胁的统计功能。提供功能截图作为证明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26.为更好的支持IPv6业务，要求支持基于IPv6的策略设置、内容过滤、IPS检测、代理、流控和VPN功能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27.提供所投产品有效的《IPv6 Ready Phase 2证书》复印件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28.提供中国网络安全审查技术与认证中心颁发的国家信息安全产品认证证书(ISCCC)复印件</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r>
      <w:tr>
        <w:tblPrEx>
          <w:shd w:val="clear" w:color="auto" w:fill="auto"/>
          <w:tblCellMar>
            <w:top w:w="0" w:type="dxa"/>
            <w:left w:w="0" w:type="dxa"/>
            <w:bottom w:w="0" w:type="dxa"/>
            <w:right w:w="0" w:type="dxa"/>
          </w:tblCellMar>
        </w:tblPrEx>
        <w:trPr>
          <w:trHeight w:val="637"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综合管理平台</w:t>
            </w:r>
          </w:p>
        </w:tc>
        <w:tc>
          <w:tcPr>
            <w:tcW w:w="111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技术参数：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1.可通过水利一张图查看地图站点分布情况以及河道情况。提供软件界面截图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2.支持转移报警，水位超警戒报警，提高警惕报警，流量超警戒报警，准备转移报警。提供软件界面截图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3.支持查看实时水情、查看实时报警，图层按钮可切换不同地图图层。提供软件界面截图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4.可查看最新水情，根据组织和站点类型进行查询，支持导出查询出来的水情数据。提供软件界面截图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5.可查看各个站点最新水情图表展示和表格展示。提供软件界面截图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6.可根据时间段查询报警记录列表，查看报警图片，漂浮物图片可放大。提供软件界面截图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7.可根据报警类型、报警级别、设备、报警时间查询和导出报警记录。提供软件界面截图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8.可根据时间段、相似度、报警类型、目标库、目标信息排序类型查询人脸报警信息。提供软件界面截图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9.支持视频浏览、前端控制、录像查看、电子地图、报警联动、权限管理等安防监控功能。提供软件界面截图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10.支持人脸抓拍、人脸识别，能够兼容人脸识别NVR、人脸识别服务器，实现黑名单报警、白名单管理等功能。提供证明材料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11.支持车辆出入口记录管理，根据区域、时间段、车牌号、出入类型、出入方式、车牌号码查询出入口记录。提供证明材料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12.支持过车记录查询，根据过车时间、车牌号码、车牌颜色、车身颜色、车辆类型、过车位置查询过机动车记录；根据时间、车辆类型、过车位置查询过非机动车记录。提供证明材料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13.支持车辆轨迹查询， 根据车牌号码、车辆颜色、开始时间和结束时间查询车辆轨迹在地图中展示。提供证明材料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14.支持车辆布控报警查询，根据车牌号码、布控名称、车辆类型、车牌颜色、过车时间、过车位置、查询布控报警。提供证明材料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15.提供综合管理平台软件著作权并加盖平台厂家公章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硬件指标：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16.标配16GB DDR4内存，4个内存插槽，容量最高支持至64G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17.标配4个千兆网卡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18.支持2个PCIE 3.0插槽，支持2块PCIE 3.0卡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19.标配2*USB3.0（后置）、2*USB2.0（前置）接口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20.标配1*64GB SSD系统盘，支持8个3.5/2.5寸SATA硬盘</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r>
      <w:tr>
        <w:tblPrEx>
          <w:shd w:val="clear" w:color="auto" w:fill="auto"/>
          <w:tblCellMar>
            <w:top w:w="0" w:type="dxa"/>
            <w:left w:w="0" w:type="dxa"/>
            <w:bottom w:w="0" w:type="dxa"/>
            <w:right w:w="0" w:type="dxa"/>
          </w:tblCellMar>
        </w:tblPrEx>
        <w:trPr>
          <w:trHeight w:val="26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流媒体管理终端</w:t>
            </w:r>
          </w:p>
        </w:tc>
        <w:tc>
          <w:tcPr>
            <w:tcW w:w="111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1.可接入IPC、NVR/DVR、解码器、网络矩阵、网络报警主机等多种设备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2.支持高清视频1000路*2Mbps码流的接入和1000路*2Mbps码流的转发，支持多级流媒体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3.支持移动设备的代理服务和主动注册，可接入4G单兵/车载设备的图像预览和语音对讲</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4.支持平台级联服务，支持上下级平台间的信令转分发，支持跨网段/网关传输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5.可被多个上级管理平台级联访问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6.采用中间件技术，可分布式部署，提高存储效率和数据安全性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7.基于平台客户端，录像回放定位准确，支持多路回放、切片快照、录像标签、单帧播放、快放慢放、电子放大、回放抓拍，可实现秒级检索、录像解码上墙、地图回放录像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8.通过转分发机制，最大限度利用现有网络资源，节约网络带宽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9.支持报警联动和报警转发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10.提供证明材料并加盖制造商公章</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r>
      <w:tr>
        <w:tblPrEx>
          <w:shd w:val="clear" w:color="auto" w:fill="auto"/>
          <w:tblCellMar>
            <w:top w:w="0" w:type="dxa"/>
            <w:left w:w="0" w:type="dxa"/>
            <w:bottom w:w="0" w:type="dxa"/>
            <w:right w:w="0" w:type="dxa"/>
          </w:tblCellMar>
        </w:tblPrEx>
        <w:trPr>
          <w:trHeight w:val="143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智能分析终端</w:t>
            </w:r>
          </w:p>
        </w:tc>
        <w:tc>
          <w:tcPr>
            <w:tcW w:w="111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1.具有2个RS-485接口,1个RS-232接口，2个RJ-45以太网接口，3个USB接口，2个HDMI接口，2个VGA接口，16个SATA接口，16路报警输入接口，4路报警输出接口。提供第三方权威机构出具的检测报告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2.可接入32路4K（3840×2160）、1080P的视频信号。提供第三方权威机构出具的检测报告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3.★支持一键添加前端摄像机；支持接入NVR设备，并选择通道进行添加。提供第三方权威机构出具的检测报告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4.支持MJPEG、H.264、H.265编码格式。提供第三方权威机构出具的检测报告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支持JBOD、RAID0、RAID1、RAID5、RAID6、RAID10模式，支持一键创建RAID；支持硬盘热备，当RAID发生坏盘故障时，热备盘自动顶替坏盘重构插入一块新盘，可设置为热备盘；支持硬盘热插拔。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6.支持自动识别硬盘容量，可查看磁盘组的总容量；支持监控硬盘的温度、震动、SATA链路的健康状态。提供第三方权威机构出具的检测报告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7.当触发报警时，可设置联动录像、抓拍并保存图片、单画面显示、声音提示、屏幕显示、文字预案、PTZ、发送邮件并附图片附件、触发报警输出、上传中心。提供第三方权威机构出具的检测报告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8.★支持预录报警触发前60s的音视频，发生报警时，可录制报警停止后10/15/30/60/600秒的视频录像。提供第三方权威机构出具的检测报告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9.★在手机APP端，支持报警输入触发一键撤防功能，撤防的报警类型可选。提供第三方权威机构出具的检测报告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10.支持外部录像文件回放、分时段回放、图片回放、标签回放、智能回放、事件回放、即时回放、报警日志联动录像文件回放功能。提供第三方权威机构出具的检测报告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11.支持对视频录像按智能分析类别进行检索，可自动跳过未满足条件的录像，只播放符合条件的录像。提供第三方权威机构出具的检测报告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12.支持以支持以1/16、1/8、1/4、1/2、1、2、4、8、16、32、64、128、256倍速回放录像。提供第三方权威机构出具的检测报告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13.★当插入USB设备时，界面可自动弹窗提示。提供第三方权威机构出具的检测报告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14.★可对重要的数据进行备份，录像文件支持备份为MP4、SDV、AVI三种格式可选。提供第三方权威机构出具的检测报告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15.★支持将数据备份至采用NTFS文件系统格式的设备。提供第三方权威机构出具的检测报告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16.★启用备份认证功能后，必须输入密码才能进行数据备份。提供第三方权威机构出具的检测报告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17.支持系统备份功能，检测到一个系统异常时，可从另一个系统启动，并恢复异常系统。提供第三方权威机构出具的检测报告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18.支持自定义预览模板并进行手动切换。提供第三方权威机构出具的检测报告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19.在各预览画面下具备快捷键，支持云台控制、对讲、抓拍、录像、电子放大、通道信息、流畅模式、IPC参数、字符叠加、音量调节等功能。提供第三方权威机构出具的检测报告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20.支持将接入的图像以多画面分割方式显示，可分割为1/3/4/6/8/9/10/13/16/25/32/36/40/64个画面。提供第三方权威机构出具的检测报告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21.支持回放预览功能，录像回放时，将鼠标停留在进度条上某时间点，可预览该时间点前后10帧画面，点击其中画面可查看相关录像。提供第三方权威机构出具的检测报告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22.支持定时抓拍、按时段抓拍和报警抓拍，且抓拍张数、时间间隔可设；支持手动抓拍；支持抓拍图片上传邮件或FTP；支持16路抓拍并存储图片；支持按通道、时间同时检索32路图片；。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23.支持在同一界面下同时浏览15张抓拍图片。提供第三方权威机构出具的检测报告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24.★支持检索预览功能，在检索页面中，单击搜索到的录像的图标，可查看该段视频文件起的10秒录像；单击搜索到的图片的图标，可查看该图片抓拍时间起的10秒录像。提供第三方权威机构出具的检测报告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25.★支持录像转码功能，通过IE浏览器下载录像时，可将高分辨率的录像转码为低分辨率的录像。提供第三方权威机构出具的检测报告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26.支持对任一录像文件打标签，支持按标签关键字检索录像文件并回放；当鼠标指向进度条上标签位置时，可显示标签内容。提供第三方权威机构出具的检测报告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27.录像回放时，可进行抓拍、剪辑、电子放大、调节音量、锁定等操作。提供第三方权威机构出具的检测报告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28.★支持定时给前端IPC校时。提供第三方权威机构出具的检测报告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29.设置用户密码时可自动提示密码复杂度为低、中、高。提供第三方权威机构出具的检测报告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30.具有假日录像策略、抽帧录像、冗余录像、纯视频录像、副码流录像、断网补录等功能。提供第三方权威机构出具的检测报告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31.★支持绊线、双绊线、周界、物品遗留、物品丢失、徘徊、奔跑、停车、警戒、音频信号丢失、音频信号异常、视频虚焦、场景变换、人员聚集、人脸检测、违章停车、客流量统计、人脸统计、车牌识别、联动跟踪、全景跟踪等智能分析。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32.可根据热度图、行为分析、客流统计、车牌识别、安全帽检测、警戒信息检索录像文件。提供第三方权威机构出具的检测报告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33.★支持添加、删除、导入、导出、编辑、查找、复制人脸库；可通过U盘、web端、客户端软件或批量导入工具进行单张、批量导入导出人脸图片；支持将人脸库的部分或全部内容复制到另一个人脸库；支持在预览界面将人脸抓拍记录一键入库。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34.★支持人脸底库图片格式JPG、JPEG、PNG。提供第三方权威机构出具的检测报告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35.支持按通道、时间检索人脸抓拍图片；支持按姓名、性别、年龄、戴眼镜、戴口罩等人脸属性检索人脸抓拍图片。提供第三方权威机构出具的检测报告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36.支持按人脸抓拍报警、人脸比对报警、陌生人报警等报警类型检索图片，检索图片包含人脸抓拍图、全景图、布控图。提供第三方权威机构出具的检测报告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37.★支持设置记录保存天数，达到最大保存天数后可循环删除；支持按车牌号、车辆品牌、车身颜色、车辆类型、路口、车道、行驶方向、上传状态、起止时间等条件检索车辆抓拍图片与录像。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38.具有视频加密设置选项。提供第三方权威机构出具的检测报告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39.工作温度：-10℃~+55℃。提供第三方权威机构出具的检测报告</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r>
      <w:tr>
        <w:tblPrEx>
          <w:shd w:val="clear" w:color="auto" w:fill="auto"/>
          <w:tblCellMar>
            <w:top w:w="0" w:type="dxa"/>
            <w:left w:w="0" w:type="dxa"/>
            <w:bottom w:w="0" w:type="dxa"/>
            <w:right w:w="0" w:type="dxa"/>
          </w:tblCellMar>
        </w:tblPrEx>
        <w:trPr>
          <w:trHeight w:val="12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信令网关终端</w:t>
            </w:r>
          </w:p>
        </w:tc>
        <w:tc>
          <w:tcPr>
            <w:tcW w:w="111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1.★码流输入：≥1.5Gbps，码流输出：≥1.5Gbps。提供第三方权威机构出具的检测报告。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2.支持下级正常推送区域；支持上级正常收域信息。提供第三方权威机构出具的检测报告。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3.支持同步下级设备时间；支持同步下级平台时间。提供第三方权威机构出具的检测报告。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4.设备在线状态功能检查：上线状态：支持下级向上级发送上线消息；掉线状态：支持下级向上级发送掉线消息。提供第三方权威机构出具的检测报告。</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r>
      <w:tr>
        <w:tblPrEx>
          <w:shd w:val="clear" w:color="auto" w:fill="auto"/>
          <w:tblCellMar>
            <w:top w:w="0" w:type="dxa"/>
            <w:left w:w="0" w:type="dxa"/>
            <w:bottom w:w="0" w:type="dxa"/>
            <w:right w:w="0" w:type="dxa"/>
          </w:tblCellMar>
        </w:tblPrEx>
        <w:trPr>
          <w:trHeight w:val="6987"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图片存储终端</w:t>
            </w:r>
          </w:p>
        </w:tc>
        <w:tc>
          <w:tcPr>
            <w:tcW w:w="111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1.具有4个RJ-45千兆网络接口、4个USB接口、1个串口、1个VGA接口、2个HDMI接口、24个SATA硬盘接口；支持8路报警输入、4路报警输出。提供第三方权威机构出具的检测报告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2.视音频信号的失步时间≤1s。提供第三方权威机构出具的检测报告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3.当设备探测到视频入侵报警和/或收到报警联动触发信号时，能启动设备相应的通道进行联动记录。设备能预录报警触发前≥5s的视(音)频。提供第三方权威机构出具的检测报告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4.当视频信号丢失时，能发出报警信号，响应时间≤5s。提供第三方权威机构出具的检测报告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5.具有TCP/IP、SIP、RTP、RTCP、RTSP、UDP、HTTP、NTP、SNMP、ISCSI、CIFS（SMB）、NFS、FTP等网络协议设置功能、支持IP组播。提供第三方权威机构出具的检测报告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6.支持多台存储服务器组成一个集群，当其中的工作服务器出现异常，备用服务器自动接管工作服务器的业务，当工作服务器恢复正常后，录像功能自动恢复。提供第三方权威机构出具的检测报告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7.支持视音频、图片直接存入存储服务器。提供第三方权威机构出具的检测报告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8.支持配置不同的磁盘策略，按磁盘容量删除、按磁盘百分比删除、按磁盘警戒值删除；支持磁盘数据循环覆盖；支持磁盘路径设置。提供第三方权威机构出具的检测报告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9.★支持不少于2048Mbps的视频流并发存储，同时支持1024Mbps的视频流并发读取。提供第三方权威机构出具的检测报告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10.★支持不少于800Mbps的图片流并发写入，同时支持800Mbps的图片流并发读取。提供第三方权威机构出具的检测报告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11.支持接入视频编码格式：MJPEG、H.264、H.265。提供第三方权威机构出具的检测报告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12.支持接入符合GB 28181、Onvif协议的摄像机。提供第三方权威机构出具的检测报告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13.支持txt、doc、xls、ppt、docx、xlsx、pptx、pdf等格式的文档存储和下载。提供第三方权威机构出具的检测报告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14.支持bmp、jpg、png、tif、gif、webp等格式的图片存储和下载。提供第三方权威机构出具的检测报告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15.支持报警联动功能:支持前端无源设备开路或闭路信号接入，能实时响应并启动记录和输出联动信号。提供第三方权威机构出具的检测报告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16.支持RAID0、RAID1、RAID3、RAID5、RAID6、RAID10、RAID50、RAID60模式。提供第三方权威机构出具的检测报告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17.支持硬盘热插拔； 支持SATA、SAS、SSD接口硬盘；硬盘容量支持1T、2T、3T、4T、6T、8T、10T。提供第三方权威机构出具的检测报告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18.支持磁盘热备功能，当RAID发生坏盘故障时，热备盘自动顶替坏盘，进行RAID重构，存储的数据不丢失；支持设置全局热备、局部热备。提供第三方权威机构出具的检测报告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19.支持RAID损坏、RAID异常停止时产生报警信息。提供第三方权威机构出具的检测报告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20.当RAID中热备盘转变为阵列盘，进入重建状态会产生热备盘变阵列盘警情信息。提供第三方权威机构出具的检测报告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21.当RAID出现降级状态会产生RAID降级警情信息。提供第三方权威机构出具的检测报告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22.当磁盘温度高于设置阈值，会产生温度过高警情信息。提供第三方权威机构出具的检测报告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23.支持运行状态自检与故障恢复功能。提供第三方权威机构出具的检测报告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24.支持通过浏览器进行视频预览回放下载，支持多画面同步或异步回放。提供第三方权威机构出具的检测报告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25.支持同时对接入摄像机的主、副码流进行录像。提供第三方权威机构出具的检测报告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26.支持对录像的某个时间点添加标签。提供第三方权威机构出具的检测报告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27.支持对关键录像加解锁，支持录像文件解锁后才能被覆盖，支持对加锁录像进行归档。提供第三方权威机构出具的检测报告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28.支持抽帧存储、断网续传、丢帧报警、图片叠加和退播功能。提供第三方权威机构出具的检测报告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29.可查看磁盘SMART信息，包含磁盘温度、磁盘健康评估状态。提供第三方权威机构出具的检测报告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30.可实时获取设备的工作状态信息，包括电源电压、CPU使用率、内存使用率、网络实时流量、风扇状态、CPU温度等。提供第三方权威机构出具的检测报告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31.在所有视音频通道处于满负荷记录的状态下，进行检索及回放操作时，能正常进行且不丢帧。提供第三方权威机构出具的检测报告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32.支持智能分析报警，包括周界、拌线、物品遗留、物品丢失、徘徊、奔跑、非法停车等。提供第三方权威机构出具的检测报告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33.支持对录像中的智能分析结果进行检索，能定位到结果所在的录像并回放。提供第三方权威机构出具的检测报告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34.支持对指定时间段的录像进行等间隔切片，切片结果可查看、保存。提供第三方权威机构出具的检测报告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35.支持自动识别磁盘的剩余空间容量，根据用户的数据存储需求，可划分多个容量不同的分区；支持逻辑卷动态在线扩展。提供第三方权威机构出具的检测报告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36.支持双电源冗余供电。提供第三方权威机构出具的检测报告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37.支持按网口数量配置相应数量不同网段的IP地址，支持多网口冗余绑定，负载均衡，容错模式。提供第三方权威机构出具的检测报告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38.能在AC100V～AC240V的供电条件下正常工作。提供第三方权威机构出具的检测报告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39.接触放电：4kV 空气放电：8kV。提供第三方权威机构出具的检测报告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40.工作温度：0℃~40℃。提供第三方权威机构出具的检测报告</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r>
      <w:tr>
        <w:tblPrEx>
          <w:shd w:val="clear" w:color="auto" w:fill="auto"/>
          <w:tblCellMar>
            <w:top w:w="0" w:type="dxa"/>
            <w:left w:w="0" w:type="dxa"/>
            <w:bottom w:w="0" w:type="dxa"/>
            <w:right w:w="0" w:type="dxa"/>
          </w:tblCellMar>
        </w:tblPrEx>
        <w:trPr>
          <w:trHeight w:val="6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视频存储终端</w:t>
            </w:r>
          </w:p>
        </w:tc>
        <w:tc>
          <w:tcPr>
            <w:tcW w:w="111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1、配置64位多核处理器；8G内存；支持扩展4个光口；具有4个RJ-45网络接口、4个USB接口；1个串口，1个VGA接口、2个HDMI接口；具有24个SATA硬盘接口。提供第三方权威机构出具的检测报告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2、支持安装双系统，主系统出现故障时，备用系统可继续工作。提供第三方权威机构出具的检测报告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3、支持多模式存储功能：支持同时开启SAN、NAS模式；支持视频流存储模式、图片直存模式的配置和管理。提供第三方权威机构出具的检测报告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4、可同时对接入摄像机的主、辅码流进行存储。提供第三方权威机构出具的检测报告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5、★支持主动模式连接平台客户端。提供第三方权威机构出具的检测报告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6、★支持在录像文件目录损坏时重建索引，恢复录像查询。提供第三方权威机构出具的检测报告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7、可计算并显示出剩余存储空间可存储的录像时长。提供第三方权威机构出具的检测报告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8、支持设定存储路径和备份路径。提供第三方权威机构出具的检测报告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9、★支持流媒体协议直接存储功能。提供第三方权威机构出具的检测报告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10、视频接入带宽不小于1536M，支持接入视频编码格式：MJPEG、H.264(MainProfile，HighProfile，BaselineProfile)、H.265；最大支持分辨率4096×2160。提供第三方权威机构出具的检测报告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11、★支持RAID功能，包括RAID0、RAID1、RAID3、RAID4、RAID5、RAID6、RAID7、RAID10、RAID50、RAID60、RAID5EE、RAIDErasingcode模式，并支持RAID即建即用模式。提供第三方权威机构出具的检测报告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12、支持磁盘漫游功能：支持磁盘在同一设备内或两台同样配置的设备间实现磁盘槽位置变更后，磁盘中数据不丢失。提供第三方权威机构出具的检测报告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13、当RAID中某块硬盘被误拔出后，30秒内插回，该硬盘能恢复到RAID中，系统恢复工作，而且会对拔掉的硬盘进行数据恢复。提供第三方权威机构出具的检测报告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14、可对正在录像的视频图像或已存储的录像文件进行锁定并归档，锁定后的录像不能被覆盖，解锁后才会被覆盖。提供第三方权威机构出具的检测报告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15、★支持远程实现每一块硬盘单独断电操作；支持远程实现每一块硬盘指示灯单独点亮操作，定位磁盘位置；支持启动时磁盘按顺序上电，实现交错启动。提供第三方权威机构出具的检测报告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16、BS架构下，能够对视频数据进行本地和异地备份，备份过程中可进行数据的写入与读出功能；可通过USB或SATA接口，将数据备份到移动存储介质中。提供第三方权威机构出具的检测报告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17、支持双电源冗余供电。提供第三方权威机构出具的检测报告</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r>
      <w:tr>
        <w:tblPrEx>
          <w:shd w:val="clear" w:color="auto" w:fill="auto"/>
          <w:tblCellMar>
            <w:top w:w="0" w:type="dxa"/>
            <w:left w:w="0" w:type="dxa"/>
            <w:bottom w:w="0" w:type="dxa"/>
            <w:right w:w="0" w:type="dxa"/>
          </w:tblCellMar>
        </w:tblPrEx>
        <w:trPr>
          <w:trHeight w:val="14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企业级硬盘</w:t>
            </w:r>
          </w:p>
        </w:tc>
        <w:tc>
          <w:tcPr>
            <w:tcW w:w="111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存储容量：4T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支持温度传感器；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256MB缓存；</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转速：7200rpm；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电源+12V和+5V；</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运行时温度 5~60°C。</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w:t>
            </w:r>
          </w:p>
        </w:tc>
      </w:tr>
      <w:tr>
        <w:tblPrEx>
          <w:shd w:val="clear" w:color="auto" w:fill="auto"/>
          <w:tblCellMar>
            <w:top w:w="0" w:type="dxa"/>
            <w:left w:w="0" w:type="dxa"/>
            <w:bottom w:w="0" w:type="dxa"/>
            <w:right w:w="0" w:type="dxa"/>
          </w:tblCellMar>
        </w:tblPrEx>
        <w:trPr>
          <w:trHeight w:val="170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55寸液晶拼接屏</w:t>
            </w:r>
          </w:p>
        </w:tc>
        <w:tc>
          <w:tcPr>
            <w:tcW w:w="111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1.液晶拼接单元的拼接拼缝≤3.5mm ，拼缝整齐，面板平整度小于0.3mm，整体无变形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2.屏幕必须采用一体化设计，严禁分体式设计和飞线屏，屏幕后罩应采用金属结构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3.★亮度（标准值）：≥800cd/㎡。以第三方权威机构出具的检测报告为准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4.液晶拼接单元对比度要求达到5400:1。以第三方权威机构出具的检测报告为准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5.分辨率：1000TVL。以第三方权威机构出具的检测报告为准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6.★亮度等级：≥11。以第三方权威机构出具的检测报告为准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7.可视角度：水平状态下≥170°，垂直状态下≥170°。以第三方权威机构出具的检测报告为准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8.亮度均匀性：≥90%。以第三方权威机构出具的检测报告为准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9.★图像重显率：100%。以第三方权威机构出具的检测报告为准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10.几何失真率：≤3%。以第三方权威机构出具的检测报告为准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11.亮点、暗点或其他坏点的累计数为0。以第三方权威机构出具的检测报告为准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12.色彩还原能力：≥16.7M。以第三方权威机构出具的检测报告为准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13.★屏幕带宽：≥120MHz。以第三方权威机构出具的检测报告为准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14.屏幕漏光度：≤0.2cd/m2 。以第三方权威机构出具的检测报告为准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15.液晶拼接屏支持在选中信号源间轮巡，巡航时间可设。以第三方权威机构出具的检测报告为准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16.屏幕在温度达到设定值时自动启用散热风扇。以第三方权威机构出具的检测报告为准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17.屏幕具有画中画静止功能，可将播放中画面静止。以第三方权威机构出具的检测报告为准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18.★屏幕具有多屏管理系统，可实现多屏幕管理、远程设置的功能。以第三方权威机构出具的检测报告为准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19.★屏幕可根据环境光强度，自动调节画面显示亮度。以第三方权威机构出具的检测报告为准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20.★屏幕具有延时开机功能，防止同时启动产生的大电涌烧毁供电线路。以第三方权威机构出具的检测报告为准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21.★支持自动、16:9、4:3三种图像缩放显示模式。以第三方权威机构出具的检测报告为准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22.★具有字符叠加功能，可实现流动字幕大小、颜色及背景的动态调节。以第三方权威机构出具的检测报告为准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23.★液晶拼接单元需具有在不需要外部图形控制器的情况下，可直接进行画面拼接显示，且拼接能力不小于10×10。以第三方权威机构出具的检测报告为准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24.★支持拼缝补偿功能，可在控制端对显示单元拼接时的缝隙进行屏幕数据补偿，几何修正。以第三方权威机构出具的检测报告为准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25.接触放电4KV，空气放电8KV。以第三方权威机构出具的检测报告为准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26.具有与产品标称相应的数字输入接口，具有复合视频输入输出接口和音频输入输出接口。以第三方权威机构出具的检测报告为准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27.★具有AMC颜色管理软件，支持画面旋转、自动设置屏幕ID功能。以第三方权威机构出具的检测报告为准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28.具有场频转换功能，可将场频为30Hz、59Hz等的输入图像转换为60Hz输出。以第三方权威机构出具的检测报告为准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29.图像质量主观评价达到《民用闭路监视电视系统工程技术规范》（GB50198-2011）规定的五级损伤评分等级四级以上的要求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30.工作温度：0℃～40℃。以第三方权威机构出具的检测报告为准</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w:t>
            </w:r>
          </w:p>
        </w:tc>
      </w:tr>
      <w:tr>
        <w:tblPrEx>
          <w:shd w:val="clear" w:color="auto" w:fill="auto"/>
          <w:tblCellMar>
            <w:top w:w="0" w:type="dxa"/>
            <w:left w:w="0" w:type="dxa"/>
            <w:bottom w:w="0" w:type="dxa"/>
            <w:right w:w="0" w:type="dxa"/>
          </w:tblCellMar>
        </w:tblPrEx>
        <w:trPr>
          <w:trHeight w:val="14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解码拼控主机</w:t>
            </w:r>
          </w:p>
        </w:tc>
        <w:tc>
          <w:tcPr>
            <w:tcW w:w="111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1.支持不少于10个HDMI接口、10个VGA接口和10个音频输出接口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2.支持H.264、H.265、MPEG4等视频编码格式。以第三方权威机构出具的检测报告为准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3.音频解码支持G.711A、G.711U、AAC音频格式。以第三方权威机构出具的检测报告为准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4.支持画面分割功能。以第三方权威机构出具的检测报告为准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5.支持对视频流进行解码，实现分割、拼接、漫游、叠加。以第三方权威机构出具的检测报告为准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6.支持视频接入屏幕窗口的缩放功能。以第三方权威机构出具的检测报告为准</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r>
      <w:tr>
        <w:tblPrEx>
          <w:shd w:val="clear" w:color="auto" w:fill="auto"/>
          <w:tblCellMar>
            <w:top w:w="0" w:type="dxa"/>
            <w:left w:w="0" w:type="dxa"/>
            <w:bottom w:w="0" w:type="dxa"/>
            <w:right w:w="0"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55寸拼接屏支架</w:t>
            </w:r>
          </w:p>
        </w:tc>
        <w:tc>
          <w:tcPr>
            <w:tcW w:w="111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55寸拼接屏支架</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r>
      <w:tr>
        <w:tblPrEx>
          <w:shd w:val="clear" w:color="auto" w:fill="auto"/>
          <w:tblCellMar>
            <w:top w:w="0" w:type="dxa"/>
            <w:left w:w="0" w:type="dxa"/>
            <w:bottom w:w="0" w:type="dxa"/>
            <w:right w:w="0"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液晶拼接屏调试</w:t>
            </w:r>
          </w:p>
        </w:tc>
        <w:tc>
          <w:tcPr>
            <w:tcW w:w="111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液晶拼接屏调试</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r>
      <w:tr>
        <w:tblPrEx>
          <w:shd w:val="clear" w:color="auto" w:fill="auto"/>
          <w:tblCellMar>
            <w:top w:w="0" w:type="dxa"/>
            <w:left w:w="0" w:type="dxa"/>
            <w:bottom w:w="0" w:type="dxa"/>
            <w:right w:w="0"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8米HDMI视频线</w:t>
            </w:r>
          </w:p>
        </w:tc>
        <w:tc>
          <w:tcPr>
            <w:tcW w:w="111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8米HDMI视频线</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w:t>
            </w:r>
          </w:p>
        </w:tc>
      </w:tr>
      <w:tr>
        <w:tblPrEx>
          <w:shd w:val="clear" w:color="auto" w:fill="auto"/>
          <w:tblCellMar>
            <w:top w:w="0" w:type="dxa"/>
            <w:left w:w="0" w:type="dxa"/>
            <w:bottom w:w="0" w:type="dxa"/>
            <w:right w:w="0" w:type="dxa"/>
          </w:tblCellMar>
        </w:tblPrEx>
        <w:trPr>
          <w:trHeight w:val="2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机柜</w:t>
            </w:r>
          </w:p>
        </w:tc>
        <w:tc>
          <w:tcPr>
            <w:tcW w:w="111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42U标准机柜</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r>
      <w:tr>
        <w:tblPrEx>
          <w:shd w:val="clear" w:color="auto" w:fill="auto"/>
          <w:tblCellMar>
            <w:top w:w="0" w:type="dxa"/>
            <w:left w:w="0" w:type="dxa"/>
            <w:bottom w:w="0" w:type="dxa"/>
            <w:right w:w="0" w:type="dxa"/>
          </w:tblCellMar>
        </w:tblPrEx>
        <w:trPr>
          <w:trHeight w:val="2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操作台</w:t>
            </w:r>
          </w:p>
        </w:tc>
        <w:tc>
          <w:tcPr>
            <w:tcW w:w="111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双联</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r>
      <w:tr>
        <w:tblPrEx>
          <w:shd w:val="clear" w:color="auto" w:fill="auto"/>
          <w:tblCellMar>
            <w:top w:w="0" w:type="dxa"/>
            <w:left w:w="0" w:type="dxa"/>
            <w:bottom w:w="0" w:type="dxa"/>
            <w:right w:w="0" w:type="dxa"/>
          </w:tblCellMar>
        </w:tblPrEx>
        <w:trPr>
          <w:trHeight w:val="2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管理工作站</w:t>
            </w:r>
          </w:p>
        </w:tc>
        <w:tc>
          <w:tcPr>
            <w:tcW w:w="111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核心数：≥双核，CPU频率：≥2.7GHz，内存容量：≥8GB；硬盘容量：≥1TB</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r>
      <w:tr>
        <w:tblPrEx>
          <w:shd w:val="clear" w:color="auto" w:fill="auto"/>
          <w:tblCellMar>
            <w:top w:w="0" w:type="dxa"/>
            <w:left w:w="0" w:type="dxa"/>
            <w:bottom w:w="0" w:type="dxa"/>
            <w:right w:w="0" w:type="dxa"/>
          </w:tblCellMar>
        </w:tblPrEx>
        <w:trPr>
          <w:trHeight w:val="2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PDU电源</w:t>
            </w:r>
          </w:p>
        </w:tc>
        <w:tc>
          <w:tcPr>
            <w:tcW w:w="111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8位</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r>
      <w:tr>
        <w:tblPrEx>
          <w:shd w:val="clear" w:color="auto" w:fill="auto"/>
          <w:tblCellMar>
            <w:top w:w="0" w:type="dxa"/>
            <w:left w:w="0" w:type="dxa"/>
            <w:bottom w:w="0" w:type="dxa"/>
            <w:right w:w="0" w:type="dxa"/>
          </w:tblCellMar>
        </w:tblPrEx>
        <w:trPr>
          <w:trHeight w:val="2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理线架</w:t>
            </w:r>
          </w:p>
        </w:tc>
        <w:tc>
          <w:tcPr>
            <w:tcW w:w="111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24位</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r>
      <w:tr>
        <w:tblPrEx>
          <w:shd w:val="clear" w:color="auto" w:fill="auto"/>
          <w:tblCellMar>
            <w:top w:w="0" w:type="dxa"/>
            <w:left w:w="0" w:type="dxa"/>
            <w:bottom w:w="0" w:type="dxa"/>
            <w:right w:w="0" w:type="dxa"/>
          </w:tblCellMar>
        </w:tblPrEx>
        <w:trPr>
          <w:trHeight w:val="24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不间断电源</w:t>
            </w:r>
          </w:p>
        </w:tc>
        <w:tc>
          <w:tcPr>
            <w:tcW w:w="111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机架式不间断电源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输入电压：110-300 VAC</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输入频率：40-70 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输入功率：≥0.99</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输出电压：220×（1±2%）VAC</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输出频率：50±0.05Hz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过载能力：105%-150%，47s-25s；150%-200%，25s-300ms；200%以上200ms</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电池形式：外置电池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电池容量：≥220AH</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以上技术参数需提供产品网站截图佐证</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r>
      <w:tr>
        <w:tblPrEx>
          <w:shd w:val="clear" w:color="auto" w:fill="auto"/>
          <w:tblCellMar>
            <w:top w:w="0" w:type="dxa"/>
            <w:left w:w="0" w:type="dxa"/>
            <w:bottom w:w="0" w:type="dxa"/>
            <w:right w:w="0" w:type="dxa"/>
          </w:tblCellMar>
        </w:tblPrEx>
        <w:trPr>
          <w:trHeight w:val="260" w:hRule="atLeast"/>
        </w:trPr>
        <w:tc>
          <w:tcPr>
            <w:tcW w:w="14040"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三、链路及对接费</w:t>
            </w:r>
          </w:p>
        </w:tc>
      </w:tr>
      <w:tr>
        <w:tblPrEx>
          <w:shd w:val="clear" w:color="auto" w:fill="auto"/>
          <w:tblCellMar>
            <w:top w:w="0" w:type="dxa"/>
            <w:left w:w="0" w:type="dxa"/>
            <w:bottom w:w="0" w:type="dxa"/>
            <w:right w:w="0"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运营商网络租用费</w:t>
            </w:r>
          </w:p>
        </w:tc>
        <w:tc>
          <w:tcPr>
            <w:tcW w:w="111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10M</w:t>
            </w:r>
            <w:r>
              <w:rPr>
                <w:rStyle w:val="32"/>
                <w:lang w:val="en-US" w:eastAsia="zh-CN" w:bidi="ar"/>
              </w:rPr>
              <w:t>专线，</w:t>
            </w:r>
            <w:r>
              <w:rPr>
                <w:rStyle w:val="32"/>
                <w:rFonts w:hint="eastAsia"/>
                <w:lang w:val="en-US" w:eastAsia="zh-CN" w:bidi="ar"/>
              </w:rPr>
              <w:t>10条，20兆1条</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点/三年</w:t>
            </w:r>
          </w:p>
        </w:tc>
      </w:tr>
    </w:tbl>
    <w:p>
      <w:pPr>
        <w:pStyle w:val="22"/>
        <w:ind w:left="420" w:firstLine="0" w:firstLineChars="0"/>
        <w:rPr>
          <w:b/>
        </w:rPr>
      </w:pPr>
    </w:p>
    <w:p>
      <w:pPr>
        <w:pStyle w:val="22"/>
        <w:spacing w:line="360" w:lineRule="auto"/>
        <w:ind w:firstLine="0" w:firstLineChars="0"/>
      </w:pPr>
    </w:p>
    <w:p>
      <w:pPr>
        <w:widowControl/>
        <w:jc w:val="left"/>
        <w:rPr>
          <w:rFonts w:ascii="宋体" w:hAnsi="宋体"/>
          <w:color w:val="000000"/>
          <w:sz w:val="24"/>
          <w:szCs w:val="24"/>
        </w:rPr>
        <w:sectPr>
          <w:pgSz w:w="16838" w:h="11906" w:orient="landscape"/>
          <w:pgMar w:top="1191" w:right="1134" w:bottom="1191" w:left="1134" w:header="851" w:footer="624" w:gutter="0"/>
          <w:cols w:space="425" w:num="1"/>
          <w:docGrid w:type="linesAndChars" w:linePitch="312" w:charSpace="0"/>
        </w:sectPr>
      </w:pPr>
      <w:r>
        <w:br w:type="page"/>
      </w:r>
    </w:p>
    <w:p>
      <w:pPr>
        <w:pStyle w:val="5"/>
        <w:numPr>
          <w:ilvl w:val="0"/>
          <w:numId w:val="37"/>
        </w:numPr>
        <w:spacing w:before="0" w:after="0" w:line="360" w:lineRule="auto"/>
        <w:ind w:left="0"/>
        <w:jc w:val="left"/>
        <w:rPr>
          <w:rFonts w:ascii="宋体" w:hAnsi="宋体"/>
          <w:color w:val="000000"/>
          <w:sz w:val="24"/>
          <w:szCs w:val="24"/>
        </w:rPr>
      </w:pPr>
      <w:bookmarkStart w:id="42" w:name="_Toc9680"/>
      <w:r>
        <w:rPr>
          <w:rFonts w:hint="eastAsia" w:ascii="宋体" w:hAnsi="宋体"/>
          <w:sz w:val="28"/>
          <w:szCs w:val="28"/>
          <w:lang w:val="zh-CN"/>
        </w:rPr>
        <w:t>商务要求</w:t>
      </w:r>
      <w:bookmarkEnd w:id="42"/>
    </w:p>
    <w:p>
      <w:pPr>
        <w:spacing w:line="360" w:lineRule="auto"/>
        <w:ind w:left="716" w:hanging="712" w:hangingChars="297"/>
        <w:rPr>
          <w:rFonts w:ascii="宋体" w:hAnsi="宋体" w:cs="宋体"/>
          <w:b w:val="0"/>
          <w:bCs/>
          <w:color w:val="auto"/>
          <w:sz w:val="24"/>
          <w:szCs w:val="24"/>
        </w:rPr>
      </w:pPr>
      <w:r>
        <w:rPr>
          <w:rFonts w:hint="eastAsia" w:ascii="宋体" w:hAnsi="宋体" w:cs="宋体"/>
          <w:b w:val="0"/>
          <w:bCs/>
          <w:color w:val="auto"/>
          <w:sz w:val="24"/>
          <w:szCs w:val="24"/>
        </w:rPr>
        <w:t>1、</w:t>
      </w:r>
      <w:bookmarkStart w:id="43" w:name="_Hlk28351020"/>
      <w:r>
        <w:rPr>
          <w:rFonts w:hint="eastAsia" w:ascii="宋体" w:hAnsi="宋体" w:cs="宋体"/>
          <w:b w:val="0"/>
          <w:bCs/>
          <w:color w:val="auto"/>
          <w:sz w:val="24"/>
          <w:szCs w:val="24"/>
        </w:rPr>
        <w:t>工期要求：总工期：9</w:t>
      </w:r>
      <w:r>
        <w:rPr>
          <w:rFonts w:ascii="宋体" w:hAnsi="宋体" w:cs="宋体"/>
          <w:b w:val="0"/>
          <w:bCs/>
          <w:color w:val="auto"/>
          <w:sz w:val="24"/>
          <w:szCs w:val="24"/>
        </w:rPr>
        <w:t>0</w:t>
      </w:r>
      <w:r>
        <w:rPr>
          <w:rFonts w:hint="eastAsia" w:ascii="宋体" w:hAnsi="宋体" w:cs="宋体"/>
          <w:b w:val="0"/>
          <w:bCs/>
          <w:color w:val="auto"/>
          <w:sz w:val="24"/>
          <w:szCs w:val="24"/>
        </w:rPr>
        <w:t>日历日</w:t>
      </w:r>
    </w:p>
    <w:bookmarkEnd w:id="43"/>
    <w:p>
      <w:pPr>
        <w:spacing w:line="360" w:lineRule="auto"/>
        <w:ind w:left="716" w:hanging="712" w:hangingChars="297"/>
        <w:rPr>
          <w:rFonts w:ascii="宋体" w:hAnsi="宋体" w:cs="宋体"/>
          <w:b w:val="0"/>
          <w:bCs/>
          <w:color w:val="auto"/>
          <w:sz w:val="24"/>
          <w:szCs w:val="24"/>
        </w:rPr>
      </w:pPr>
      <w:r>
        <w:rPr>
          <w:rFonts w:hint="eastAsia" w:ascii="宋体" w:hAnsi="宋体" w:cs="宋体"/>
          <w:b w:val="0"/>
          <w:bCs/>
          <w:color w:val="auto"/>
          <w:sz w:val="24"/>
          <w:szCs w:val="24"/>
        </w:rPr>
        <w:t>2、</w:t>
      </w:r>
      <w:bookmarkStart w:id="44" w:name="_Hlk28351070"/>
      <w:r>
        <w:rPr>
          <w:rFonts w:hint="eastAsia" w:ascii="宋体" w:hAnsi="宋体" w:cs="宋体"/>
          <w:b w:val="0"/>
          <w:bCs/>
          <w:color w:val="auto"/>
          <w:sz w:val="24"/>
          <w:szCs w:val="24"/>
        </w:rPr>
        <w:t>交付安装地点：</w:t>
      </w:r>
      <w:r>
        <w:rPr>
          <w:rFonts w:hint="eastAsia" w:ascii="宋体" w:hAnsi="宋体" w:cs="宋体"/>
          <w:b w:val="0"/>
          <w:bCs/>
          <w:color w:val="auto"/>
          <w:sz w:val="24"/>
          <w:szCs w:val="24"/>
          <w:lang w:eastAsia="zh-CN"/>
        </w:rPr>
        <w:t>业主提供的设计方案中安装地点</w:t>
      </w:r>
      <w:r>
        <w:rPr>
          <w:rFonts w:hint="eastAsia" w:ascii="宋体" w:hAnsi="宋体" w:cs="宋体"/>
          <w:b w:val="0"/>
          <w:bCs/>
          <w:color w:val="auto"/>
          <w:sz w:val="24"/>
          <w:szCs w:val="24"/>
        </w:rPr>
        <w:t>。</w:t>
      </w:r>
      <w:bookmarkEnd w:id="44"/>
    </w:p>
    <w:p>
      <w:pPr>
        <w:spacing w:line="360" w:lineRule="auto"/>
        <w:ind w:left="716" w:hanging="712" w:hangingChars="297"/>
        <w:rPr>
          <w:rFonts w:ascii="宋体" w:hAnsi="宋体" w:cs="宋体"/>
          <w:b w:val="0"/>
          <w:bCs/>
          <w:color w:val="auto"/>
          <w:sz w:val="24"/>
          <w:szCs w:val="24"/>
        </w:rPr>
      </w:pPr>
      <w:r>
        <w:rPr>
          <w:rFonts w:ascii="宋体" w:hAnsi="宋体" w:cs="宋体"/>
          <w:b w:val="0"/>
          <w:bCs/>
          <w:color w:val="auto"/>
          <w:sz w:val="24"/>
          <w:szCs w:val="24"/>
        </w:rPr>
        <w:t>3</w:t>
      </w:r>
      <w:r>
        <w:rPr>
          <w:rFonts w:hint="eastAsia" w:ascii="宋体" w:hAnsi="宋体" w:cs="宋体"/>
          <w:b w:val="0"/>
          <w:bCs/>
          <w:color w:val="auto"/>
          <w:sz w:val="24"/>
          <w:szCs w:val="24"/>
        </w:rPr>
        <w:t>、</w:t>
      </w:r>
      <w:bookmarkStart w:id="45" w:name="_Hlk28351081"/>
      <w:r>
        <w:rPr>
          <w:rFonts w:hint="eastAsia" w:ascii="宋体" w:hAnsi="宋体" w:cs="宋体"/>
          <w:b w:val="0"/>
          <w:bCs/>
          <w:color w:val="auto"/>
          <w:sz w:val="24"/>
          <w:szCs w:val="24"/>
        </w:rPr>
        <w:t>报价要求：投标人的报价应包含为完成本招标文件提出的服务部署、运输、安装、集成、调试、报检以及售后服务等全部相关工作所有可能发生的费用，即所需的一切人工、物耗、工具、设备、用水、用电、保险和调研、咨询、测试、验收、评审、培训、税金等所有可能发生的一切费用，即投标总报价为“交钥匙”价。对在合同实施过程中可能发生的其他费用（如：增加耗材、材料涨价、人工、运输成本增加等因素），采购人概不负责。</w:t>
      </w:r>
      <w:bookmarkEnd w:id="45"/>
    </w:p>
    <w:p>
      <w:pPr>
        <w:spacing w:line="360" w:lineRule="auto"/>
        <w:ind w:left="716" w:hanging="712" w:hangingChars="297"/>
        <w:rPr>
          <w:rFonts w:ascii="宋体" w:hAnsi="宋体" w:cs="宋体"/>
          <w:b w:val="0"/>
          <w:bCs/>
          <w:color w:val="auto"/>
          <w:sz w:val="24"/>
          <w:szCs w:val="24"/>
        </w:rPr>
      </w:pPr>
      <w:r>
        <w:rPr>
          <w:rFonts w:hint="eastAsia" w:ascii="宋体" w:hAnsi="宋体" w:cs="宋体"/>
          <w:b w:val="0"/>
          <w:bCs/>
          <w:color w:val="auto"/>
          <w:sz w:val="24"/>
          <w:szCs w:val="24"/>
        </w:rPr>
        <w:t>4、</w:t>
      </w:r>
      <w:bookmarkStart w:id="46" w:name="_Hlk28351089"/>
      <w:r>
        <w:rPr>
          <w:rFonts w:hint="eastAsia" w:ascii="宋体" w:hAnsi="宋体" w:cs="宋体"/>
          <w:b w:val="0"/>
          <w:bCs/>
          <w:color w:val="auto"/>
          <w:sz w:val="24"/>
          <w:szCs w:val="24"/>
        </w:rPr>
        <w:t>质保期：自验收合格之日起质保期 三 年。</w:t>
      </w:r>
      <w:bookmarkEnd w:id="46"/>
    </w:p>
    <w:p>
      <w:pPr>
        <w:spacing w:line="360" w:lineRule="auto"/>
        <w:ind w:left="716" w:hanging="712" w:hangingChars="297"/>
        <w:rPr>
          <w:rFonts w:ascii="宋体" w:hAnsi="宋体" w:cs="宋体"/>
          <w:b w:val="0"/>
          <w:bCs/>
          <w:color w:val="auto"/>
          <w:sz w:val="24"/>
          <w:szCs w:val="24"/>
        </w:rPr>
      </w:pPr>
      <w:r>
        <w:rPr>
          <w:rFonts w:ascii="宋体" w:hAnsi="宋体" w:cs="宋体"/>
          <w:b w:val="0"/>
          <w:bCs/>
          <w:color w:val="auto"/>
          <w:sz w:val="24"/>
          <w:szCs w:val="24"/>
        </w:rPr>
        <w:t>5.</w:t>
      </w:r>
      <w:r>
        <w:rPr>
          <w:rFonts w:hint="eastAsia" w:ascii="宋体" w:hAnsi="宋体" w:cs="宋体"/>
          <w:b w:val="0"/>
          <w:bCs/>
          <w:color w:val="auto"/>
          <w:sz w:val="24"/>
          <w:szCs w:val="24"/>
        </w:rPr>
        <w:t xml:space="preserve"> </w:t>
      </w:r>
      <w:bookmarkStart w:id="47" w:name="_Hlk28351103"/>
      <w:r>
        <w:rPr>
          <w:rFonts w:hint="eastAsia" w:ascii="宋体" w:hAnsi="宋体" w:cs="宋体"/>
          <w:b w:val="0"/>
          <w:bCs/>
          <w:color w:val="auto"/>
          <w:sz w:val="24"/>
          <w:szCs w:val="24"/>
        </w:rPr>
        <w:t>售后服务：7天*24小时售后服务，接电话后2小时内排工程技术人员到达现场，8小时内完成故障处理。中标人应提供定期回访，就产品使用情况进行定期检查，便于及时发现故障以及隐患。如中标人公司发生兼并、重组，采购人保修由新组建的公司按投标文件承担相应义务。质保期满后系统出现故障，中标人应本着对项目负责的态度尽快解决相关问题，费用由双方另行协商解决。</w:t>
      </w:r>
      <w:bookmarkEnd w:id="47"/>
    </w:p>
    <w:p>
      <w:pPr>
        <w:spacing w:line="360" w:lineRule="auto"/>
        <w:ind w:firstLine="424" w:firstLineChars="177"/>
        <w:jc w:val="left"/>
        <w:rPr>
          <w:rFonts w:ascii="宋体" w:hAnsi="宋体" w:cs="宋体"/>
          <w:sz w:val="24"/>
          <w:szCs w:val="24"/>
        </w:rPr>
      </w:pPr>
      <w:r>
        <w:rPr>
          <w:rFonts w:hint="eastAsia" w:ascii="宋体" w:hAnsi="宋体" w:cs="宋体"/>
          <w:b w:val="0"/>
          <w:bCs/>
          <w:color w:val="auto"/>
          <w:sz w:val="24"/>
          <w:szCs w:val="24"/>
        </w:rPr>
        <w:t>6、</w:t>
      </w:r>
      <w:bookmarkStart w:id="48" w:name="_Hlk28351172"/>
      <w:r>
        <w:rPr>
          <w:rFonts w:hint="eastAsia" w:ascii="宋体" w:hAnsi="宋体" w:cs="宋体"/>
          <w:b w:val="0"/>
          <w:bCs/>
          <w:color w:val="auto"/>
          <w:sz w:val="24"/>
          <w:szCs w:val="24"/>
        </w:rPr>
        <w:t>付款方式：合同签订生效后，支付项目启动金30%，</w:t>
      </w:r>
      <w:r>
        <w:rPr>
          <w:rFonts w:hint="eastAsia" w:ascii="宋体" w:hAnsi="宋体" w:eastAsia="宋体" w:cs="宋体"/>
          <w:b w:val="0"/>
          <w:bCs/>
          <w:color w:val="auto"/>
          <w:sz w:val="24"/>
          <w:szCs w:val="24"/>
          <w:lang w:val="en-US" w:eastAsia="zh-CN"/>
        </w:rPr>
        <w:t>监控设备</w:t>
      </w:r>
      <w:r>
        <w:rPr>
          <w:rFonts w:hint="eastAsia" w:ascii="宋体" w:hAnsi="宋体" w:cs="宋体"/>
          <w:b w:val="0"/>
          <w:bCs/>
          <w:color w:val="auto"/>
          <w:sz w:val="24"/>
          <w:szCs w:val="24"/>
        </w:rPr>
        <w:t>部署</w:t>
      </w:r>
      <w:r>
        <w:rPr>
          <w:rFonts w:hint="eastAsia" w:ascii="宋体" w:hAnsi="宋体" w:eastAsia="宋体" w:cs="宋体"/>
          <w:b w:val="0"/>
          <w:bCs/>
          <w:color w:val="auto"/>
          <w:sz w:val="24"/>
          <w:szCs w:val="24"/>
          <w:lang w:val="en-US" w:eastAsia="zh-CN"/>
        </w:rPr>
        <w:t>安装</w:t>
      </w:r>
      <w:r>
        <w:rPr>
          <w:rFonts w:hint="eastAsia" w:ascii="宋体" w:hAnsi="宋体" w:cs="宋体"/>
          <w:b w:val="0"/>
          <w:bCs/>
          <w:color w:val="auto"/>
          <w:sz w:val="24"/>
          <w:szCs w:val="24"/>
        </w:rPr>
        <w:t>完毕支付总额30%,验收合格后支付总额3</w:t>
      </w:r>
      <w:r>
        <w:rPr>
          <w:rFonts w:ascii="宋体" w:hAnsi="宋体" w:cs="宋体"/>
          <w:b w:val="0"/>
          <w:bCs/>
          <w:color w:val="auto"/>
          <w:sz w:val="24"/>
          <w:szCs w:val="24"/>
        </w:rPr>
        <w:t>5</w:t>
      </w:r>
      <w:r>
        <w:rPr>
          <w:rFonts w:hint="eastAsia" w:ascii="宋体" w:hAnsi="宋体" w:cs="宋体"/>
          <w:b w:val="0"/>
          <w:bCs/>
          <w:color w:val="auto"/>
          <w:sz w:val="24"/>
          <w:szCs w:val="24"/>
        </w:rPr>
        <w:t>%，验收一年后支付5%。中标人必须按国家有关财税规定开具发票。本项目为“交钥匙工程”投标人所投报价包含系统、运输、安装、调试、培训等费用。</w:t>
      </w:r>
      <w:bookmarkEnd w:id="48"/>
    </w:p>
    <w:p>
      <w:pPr>
        <w:tabs>
          <w:tab w:val="left" w:pos="1209"/>
        </w:tabs>
        <w:spacing w:line="360" w:lineRule="auto"/>
        <w:ind w:right="31" w:firstLine="480"/>
        <w:rPr>
          <w:rFonts w:ascii="宋体" w:hAnsi="宋体" w:eastAsia="宋体"/>
          <w:sz w:val="24"/>
          <w:szCs w:val="24"/>
        </w:rPr>
      </w:pPr>
    </w:p>
    <w:p>
      <w:pPr>
        <w:spacing w:line="360" w:lineRule="auto"/>
        <w:jc w:val="left"/>
        <w:rPr>
          <w:sz w:val="24"/>
          <w:szCs w:val="24"/>
        </w:rPr>
      </w:pPr>
    </w:p>
    <w:p>
      <w:pPr>
        <w:pStyle w:val="7"/>
        <w:rPr>
          <w:b/>
          <w:bCs/>
          <w:color w:val="FF0000"/>
        </w:rPr>
      </w:pPr>
    </w:p>
    <w:p>
      <w:pPr>
        <w:pStyle w:val="7"/>
        <w:rPr>
          <w:b/>
          <w:bCs/>
          <w:color w:val="000000" w:themeColor="text1"/>
          <w14:textFill>
            <w14:solidFill>
              <w14:schemeClr w14:val="tx1"/>
            </w14:solidFill>
          </w14:textFill>
        </w:rPr>
      </w:pPr>
    </w:p>
    <w:p>
      <w:pPr>
        <w:pStyle w:val="7"/>
        <w:rPr>
          <w:b/>
          <w:bCs/>
          <w:color w:val="000000" w:themeColor="text1"/>
          <w:lang w:val="zh-CN"/>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1"/>
        </w:numPr>
        <w:jc w:val="center"/>
        <w:rPr>
          <w:rFonts w:ascii="黑体" w:hAnsi="黑体" w:eastAsia="黑体"/>
          <w:color w:val="000000" w:themeColor="text1"/>
          <w14:textFill>
            <w14:solidFill>
              <w14:schemeClr w14:val="tx1"/>
            </w14:solidFill>
          </w14:textFill>
        </w:rPr>
      </w:pPr>
      <w:bookmarkStart w:id="49" w:name="_Toc20586"/>
      <w:r>
        <w:rPr>
          <w:rFonts w:hint="eastAsia" w:ascii="黑体" w:hAnsi="黑体" w:eastAsia="黑体"/>
          <w:color w:val="000000" w:themeColor="text1"/>
          <w14:textFill>
            <w14:solidFill>
              <w14:schemeClr w14:val="tx1"/>
            </w14:solidFill>
          </w14:textFill>
        </w:rPr>
        <w:t>资格审查方法及标准</w:t>
      </w:r>
      <w:bookmarkEnd w:id="49"/>
    </w:p>
    <w:p>
      <w:pPr>
        <w:spacing w:line="360" w:lineRule="auto"/>
        <w:ind w:firstLine="420"/>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根据《政府采购法》、《政府采购法实施条例》、《政府采购货物和服务招标投标管理办法》等相关法律法规确定以下资格审查方法及标准。</w:t>
      </w:r>
    </w:p>
    <w:p>
      <w:pPr>
        <w:pStyle w:val="5"/>
        <w:numPr>
          <w:ilvl w:val="0"/>
          <w:numId w:val="38"/>
        </w:numPr>
        <w:spacing w:before="0" w:after="0" w:line="360" w:lineRule="auto"/>
        <w:ind w:left="616" w:hanging="616"/>
        <w:jc w:val="left"/>
        <w:rPr>
          <w:rFonts w:cs="Times New Roman" w:asciiTheme="majorEastAsia" w:hAnsiTheme="majorEastAsia"/>
          <w:bCs w:val="0"/>
          <w:color w:val="000000" w:themeColor="text1"/>
          <w:sz w:val="30"/>
          <w:szCs w:val="30"/>
          <w:lang w:val="zh-CN"/>
          <w14:textFill>
            <w14:solidFill>
              <w14:schemeClr w14:val="tx1"/>
            </w14:solidFill>
          </w14:textFill>
        </w:rPr>
      </w:pPr>
      <w:bookmarkStart w:id="50" w:name="_Toc13097"/>
      <w:r>
        <w:rPr>
          <w:rFonts w:hint="eastAsia" w:cs="Times New Roman" w:asciiTheme="majorEastAsia" w:hAnsiTheme="majorEastAsia"/>
          <w:bCs w:val="0"/>
          <w:color w:val="000000" w:themeColor="text1"/>
          <w:sz w:val="30"/>
          <w:szCs w:val="30"/>
          <w:lang w:val="zh-CN"/>
          <w14:textFill>
            <w14:solidFill>
              <w14:schemeClr w14:val="tx1"/>
            </w14:solidFill>
          </w14:textFill>
        </w:rPr>
        <w:t>资格审查方法</w:t>
      </w:r>
      <w:bookmarkEnd w:id="50"/>
    </w:p>
    <w:p>
      <w:pPr>
        <w:spacing w:line="360" w:lineRule="auto"/>
        <w:ind w:firstLine="420"/>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公开招标采购项目开标结束后，采购人、采购代理机构成立资格审查小组，依据法律、法规及招标文件的规定，对投标人的资格进行审查，以确定投标人资格是否合格。</w:t>
      </w:r>
    </w:p>
    <w:p>
      <w:pPr>
        <w:pStyle w:val="5"/>
        <w:numPr>
          <w:ilvl w:val="0"/>
          <w:numId w:val="38"/>
        </w:numPr>
        <w:spacing w:before="0" w:after="0" w:line="360" w:lineRule="auto"/>
        <w:ind w:left="616" w:hanging="616"/>
        <w:jc w:val="left"/>
        <w:rPr>
          <w:rFonts w:cs="Times New Roman" w:asciiTheme="majorEastAsia" w:hAnsiTheme="majorEastAsia"/>
          <w:bCs w:val="0"/>
          <w:color w:val="000000" w:themeColor="text1"/>
          <w:sz w:val="30"/>
          <w:szCs w:val="30"/>
          <w:lang w:val="zh-CN"/>
          <w14:textFill>
            <w14:solidFill>
              <w14:schemeClr w14:val="tx1"/>
            </w14:solidFill>
          </w14:textFill>
        </w:rPr>
      </w:pPr>
      <w:bookmarkStart w:id="51" w:name="_Toc25015"/>
      <w:r>
        <w:rPr>
          <w:rFonts w:hint="eastAsia" w:cs="Times New Roman" w:asciiTheme="majorEastAsia" w:hAnsiTheme="majorEastAsia"/>
          <w:bCs w:val="0"/>
          <w:color w:val="000000" w:themeColor="text1"/>
          <w:sz w:val="30"/>
          <w:szCs w:val="30"/>
          <w:lang w:val="zh-CN"/>
          <w14:textFill>
            <w14:solidFill>
              <w14:schemeClr w14:val="tx1"/>
            </w14:solidFill>
          </w14:textFill>
        </w:rPr>
        <w:t>资格审查标准</w:t>
      </w:r>
      <w:bookmarkEnd w:id="51"/>
    </w:p>
    <w:p>
      <w:pPr>
        <w:numPr>
          <w:ilvl w:val="0"/>
          <w:numId w:val="39"/>
        </w:numPr>
        <w:tabs>
          <w:tab w:val="left" w:pos="616"/>
        </w:tabs>
        <w:spacing w:line="360" w:lineRule="auto"/>
        <w:ind w:left="14" w:firstLine="238"/>
        <w:rPr>
          <w:rFonts w:ascii="宋体" w:hAnsi="宋体" w:eastAsia="宋体" w:cs="Times New Roman"/>
          <w:b/>
          <w:color w:val="000000" w:themeColor="text1"/>
          <w:sz w:val="24"/>
          <w:szCs w:val="24"/>
          <w:lang w:val="zh-CN"/>
          <w14:textFill>
            <w14:solidFill>
              <w14:schemeClr w14:val="tx1"/>
            </w14:solidFill>
          </w14:textFill>
        </w:rPr>
      </w:pPr>
      <w:r>
        <w:rPr>
          <w:rFonts w:hint="eastAsia" w:ascii="宋体" w:hAnsi="宋体" w:eastAsia="宋体" w:cs="Times New Roman"/>
          <w:b/>
          <w:color w:val="000000" w:themeColor="text1"/>
          <w:sz w:val="24"/>
          <w:szCs w:val="24"/>
          <w:lang w:val="zh-CN"/>
          <w14:textFill>
            <w14:solidFill>
              <w14:schemeClr w14:val="tx1"/>
            </w14:solidFill>
          </w14:textFill>
        </w:rPr>
        <w:t>资格证明文件审查</w:t>
      </w:r>
    </w:p>
    <w:p>
      <w:pPr>
        <w:tabs>
          <w:tab w:val="left" w:pos="616"/>
        </w:tabs>
        <w:spacing w:line="360" w:lineRule="auto"/>
        <w:ind w:firstLine="420"/>
        <w:rPr>
          <w:rFonts w:ascii="Helvetica" w:hAnsi="Helvetica" w:eastAsia="宋体" w:cs="Helvetica"/>
          <w:b/>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所递交的资格证明文件出现不符合下列情形之一或不足以证明其符合下列情形之一的，应视为资格审查不合格，并按照</w:t>
      </w:r>
      <w:r>
        <w:rPr>
          <w:rFonts w:hint="eastAsia" w:ascii="Helvetica" w:hAnsi="Helvetica" w:eastAsia="宋体" w:cs="Helvetica"/>
          <w:b/>
          <w:color w:val="000000" w:themeColor="text1"/>
          <w:kern w:val="0"/>
          <w:sz w:val="24"/>
          <w:szCs w:val="24"/>
          <w:lang w:val="zh-CN"/>
          <w14:textFill>
            <w14:solidFill>
              <w14:schemeClr w14:val="tx1"/>
            </w14:solidFill>
          </w14:textFill>
        </w:rPr>
        <w:t>无效投标处理：</w:t>
      </w:r>
    </w:p>
    <w:p>
      <w:pPr>
        <w:pStyle w:val="23"/>
        <w:numPr>
          <w:ilvl w:val="0"/>
          <w:numId w:val="40"/>
        </w:numPr>
        <w:tabs>
          <w:tab w:val="left" w:pos="840"/>
        </w:tabs>
        <w:spacing w:line="360" w:lineRule="auto"/>
        <w:ind w:hanging="602" w:firstLineChars="0"/>
        <w:rPr>
          <w:rFonts w:ascii="宋体" w:hAnsi="宋体" w:eastAsia="宋体" w:cs="Times New Roman"/>
          <w:color w:val="FF0000"/>
          <w:sz w:val="24"/>
          <w:szCs w:val="24"/>
          <w:lang w:val="zh-CN"/>
        </w:rPr>
      </w:pPr>
      <w:r>
        <w:rPr>
          <w:rFonts w:hint="eastAsia" w:ascii="宋体" w:hAnsi="宋体" w:eastAsia="宋体" w:cs="Times New Roman"/>
          <w:color w:val="FF0000"/>
          <w:sz w:val="24"/>
          <w:szCs w:val="24"/>
          <w:lang w:val="zh-CN"/>
        </w:rPr>
        <w:t>应具备《政府采购法》第二十二条第一款规定的条件，</w:t>
      </w:r>
      <w:r>
        <w:rPr>
          <w:rFonts w:hint="eastAsia" w:hAnsi="宋体"/>
          <w:color w:val="FF0000"/>
          <w:sz w:val="24"/>
          <w:szCs w:val="24"/>
        </w:rPr>
        <w:t>提供下列材料</w:t>
      </w:r>
      <w:r>
        <w:rPr>
          <w:rFonts w:hint="eastAsia" w:ascii="宋体" w:hAnsi="宋体" w:eastAsia="宋体" w:cs="Times New Roman"/>
          <w:color w:val="FF0000"/>
          <w:sz w:val="24"/>
          <w:szCs w:val="24"/>
          <w:lang w:val="zh-CN"/>
        </w:rPr>
        <w:t>：</w:t>
      </w:r>
    </w:p>
    <w:p>
      <w:pPr>
        <w:pStyle w:val="23"/>
        <w:numPr>
          <w:ilvl w:val="0"/>
          <w:numId w:val="41"/>
        </w:numPr>
        <w:tabs>
          <w:tab w:val="left" w:pos="1036"/>
        </w:tabs>
        <w:spacing w:line="360" w:lineRule="auto"/>
        <w:ind w:left="1036" w:hanging="616" w:firstLineChars="0"/>
        <w:rPr>
          <w:rFonts w:ascii="宋体" w:hAnsi="宋体" w:eastAsia="宋体" w:cs="Times New Roman"/>
          <w:color w:val="FF0000"/>
          <w:sz w:val="24"/>
          <w:szCs w:val="24"/>
          <w:lang w:val="zh-CN"/>
        </w:rPr>
      </w:pPr>
      <w:r>
        <w:rPr>
          <w:rFonts w:hint="eastAsia" w:ascii="宋体" w:hAnsi="宋体" w:eastAsia="宋体" w:cs="Times New Roman"/>
          <w:color w:val="FF0000"/>
          <w:sz w:val="24"/>
          <w:szCs w:val="24"/>
          <w:lang w:val="zh-CN"/>
        </w:rPr>
        <w:t>法人或者其他组织的营业执照等证明文件，自然人的身份证明；</w:t>
      </w:r>
    </w:p>
    <w:p>
      <w:pPr>
        <w:pStyle w:val="23"/>
        <w:numPr>
          <w:ilvl w:val="0"/>
          <w:numId w:val="41"/>
        </w:numPr>
        <w:tabs>
          <w:tab w:val="left" w:pos="1036"/>
        </w:tabs>
        <w:spacing w:line="360" w:lineRule="auto"/>
        <w:ind w:left="1036" w:hanging="616" w:firstLineChars="0"/>
        <w:rPr>
          <w:rFonts w:ascii="宋体" w:hAnsi="宋体" w:eastAsia="宋体" w:cs="Times New Roman"/>
          <w:color w:val="FF0000"/>
          <w:sz w:val="24"/>
          <w:szCs w:val="24"/>
          <w:lang w:val="zh-CN"/>
        </w:rPr>
      </w:pPr>
      <w:r>
        <w:rPr>
          <w:rFonts w:hint="eastAsia" w:ascii="宋体" w:hAnsi="宋体" w:eastAsia="宋体" w:cs="Times New Roman"/>
          <w:color w:val="FF0000"/>
          <w:sz w:val="24"/>
          <w:szCs w:val="24"/>
          <w:lang w:val="zh-CN"/>
        </w:rPr>
        <w:t>财务状况报告，依法缴纳税收和社会保障资金的相关材料；</w:t>
      </w:r>
    </w:p>
    <w:p>
      <w:pPr>
        <w:pStyle w:val="23"/>
        <w:numPr>
          <w:ilvl w:val="0"/>
          <w:numId w:val="41"/>
        </w:numPr>
        <w:tabs>
          <w:tab w:val="left" w:pos="1036"/>
        </w:tabs>
        <w:spacing w:line="360" w:lineRule="auto"/>
        <w:ind w:left="1036" w:hanging="616" w:firstLineChars="0"/>
        <w:rPr>
          <w:rFonts w:ascii="宋体" w:hAnsi="宋体" w:eastAsia="宋体" w:cs="Times New Roman"/>
          <w:color w:val="FF0000"/>
          <w:sz w:val="24"/>
          <w:szCs w:val="24"/>
          <w:lang w:val="zh-CN"/>
        </w:rPr>
      </w:pPr>
      <w:r>
        <w:rPr>
          <w:rFonts w:hint="eastAsia" w:ascii="宋体" w:hAnsi="宋体" w:eastAsia="宋体" w:cs="Times New Roman"/>
          <w:color w:val="FF0000"/>
          <w:sz w:val="24"/>
          <w:szCs w:val="24"/>
          <w:lang w:val="zh-CN"/>
        </w:rPr>
        <w:t>具备履行合同所必需的设备和专业技术能力的证明材料；</w:t>
      </w:r>
    </w:p>
    <w:p>
      <w:pPr>
        <w:pStyle w:val="23"/>
        <w:numPr>
          <w:ilvl w:val="0"/>
          <w:numId w:val="41"/>
        </w:numPr>
        <w:tabs>
          <w:tab w:val="left" w:pos="1036"/>
        </w:tabs>
        <w:spacing w:line="360" w:lineRule="auto"/>
        <w:ind w:left="1036" w:hanging="616" w:firstLineChars="0"/>
        <w:rPr>
          <w:rFonts w:ascii="宋体" w:hAnsi="宋体" w:eastAsia="宋体" w:cs="Times New Roman"/>
          <w:color w:val="FF0000"/>
          <w:sz w:val="24"/>
          <w:szCs w:val="24"/>
          <w:lang w:val="zh-CN"/>
        </w:rPr>
      </w:pPr>
      <w:r>
        <w:rPr>
          <w:rFonts w:hint="eastAsia" w:ascii="宋体" w:hAnsi="宋体" w:eastAsia="宋体" w:cs="Times New Roman"/>
          <w:color w:val="FF0000"/>
          <w:sz w:val="24"/>
          <w:szCs w:val="24"/>
          <w:lang w:val="zh-CN"/>
        </w:rPr>
        <w:t>参加政府采购活动前3年内在经营活动中没有重大违法记录的书面声明；</w:t>
      </w:r>
    </w:p>
    <w:p>
      <w:pPr>
        <w:pStyle w:val="23"/>
        <w:numPr>
          <w:ilvl w:val="0"/>
          <w:numId w:val="41"/>
        </w:numPr>
        <w:tabs>
          <w:tab w:val="left" w:pos="1036"/>
        </w:tabs>
        <w:spacing w:line="360" w:lineRule="auto"/>
        <w:ind w:left="1036" w:hanging="616" w:firstLineChars="0"/>
        <w:rPr>
          <w:rFonts w:ascii="宋体" w:hAnsi="宋体" w:eastAsia="宋体" w:cs="Times New Roman"/>
          <w:color w:val="FF0000"/>
          <w:sz w:val="24"/>
          <w:szCs w:val="24"/>
          <w:lang w:val="zh-CN"/>
        </w:rPr>
      </w:pPr>
      <w:r>
        <w:rPr>
          <w:rFonts w:hint="eastAsia" w:ascii="宋体" w:hAnsi="宋体" w:eastAsia="宋体" w:cs="Times New Roman"/>
          <w:color w:val="FF0000"/>
          <w:sz w:val="24"/>
          <w:szCs w:val="24"/>
          <w:lang w:val="zh-CN"/>
        </w:rPr>
        <w:t>具备法律、行政法规规定的其他条件的证明材料。</w:t>
      </w:r>
    </w:p>
    <w:p>
      <w:pPr>
        <w:pStyle w:val="23"/>
        <w:numPr>
          <w:ilvl w:val="0"/>
          <w:numId w:val="40"/>
        </w:numPr>
        <w:tabs>
          <w:tab w:val="left" w:pos="840"/>
        </w:tabs>
        <w:spacing w:line="360" w:lineRule="auto"/>
        <w:ind w:hanging="602" w:firstLineChars="0"/>
        <w:rPr>
          <w:rFonts w:ascii="宋体" w:hAnsi="宋体" w:eastAsia="宋体" w:cs="Times New Roman"/>
          <w:color w:val="FF0000"/>
          <w:sz w:val="24"/>
          <w:szCs w:val="24"/>
          <w:lang w:val="zh-CN"/>
        </w:rPr>
      </w:pPr>
      <w:r>
        <w:rPr>
          <w:rFonts w:hint="eastAsia" w:ascii="宋体" w:hAnsi="宋体" w:eastAsia="宋体" w:cs="Times New Roman"/>
          <w:color w:val="FF0000"/>
          <w:sz w:val="24"/>
          <w:szCs w:val="24"/>
          <w:lang w:val="zh-CN"/>
        </w:rPr>
        <w:t>未被“信用中国”网站(www.creditchina.gov.cn)列入失信被执行人、重大税收违法案件当事人名单、政府采购严重违法失信行为记录名单的书面申明及该网站查询结果页面截图；</w:t>
      </w:r>
    </w:p>
    <w:p>
      <w:pPr>
        <w:pStyle w:val="23"/>
        <w:numPr>
          <w:ilvl w:val="0"/>
          <w:numId w:val="40"/>
        </w:numPr>
        <w:tabs>
          <w:tab w:val="left" w:pos="840"/>
        </w:tabs>
        <w:spacing w:line="360" w:lineRule="auto"/>
        <w:ind w:hanging="602"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招标文件第一章“投标人资格要求”中有特殊要求的，投标人应提供其符合特殊要求的证明材料或者情况说明；</w:t>
      </w:r>
    </w:p>
    <w:p>
      <w:pPr>
        <w:pStyle w:val="23"/>
        <w:numPr>
          <w:ilvl w:val="0"/>
          <w:numId w:val="40"/>
        </w:numPr>
        <w:tabs>
          <w:tab w:val="left" w:pos="840"/>
        </w:tabs>
        <w:spacing w:line="360" w:lineRule="auto"/>
        <w:ind w:hanging="602"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不符合联合体投标相关规定和要求的；</w:t>
      </w:r>
    </w:p>
    <w:p>
      <w:pPr>
        <w:pStyle w:val="23"/>
        <w:numPr>
          <w:ilvl w:val="0"/>
          <w:numId w:val="40"/>
        </w:numPr>
        <w:tabs>
          <w:tab w:val="left" w:pos="840"/>
        </w:tabs>
        <w:spacing w:line="360" w:lineRule="auto"/>
        <w:ind w:hanging="602"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投标人认为需提供的其它相关资格证明材料；</w:t>
      </w:r>
    </w:p>
    <w:p>
      <w:pPr>
        <w:pStyle w:val="23"/>
        <w:numPr>
          <w:ilvl w:val="0"/>
          <w:numId w:val="40"/>
        </w:numPr>
        <w:tabs>
          <w:tab w:val="left" w:pos="840"/>
        </w:tabs>
        <w:spacing w:line="360" w:lineRule="auto"/>
        <w:ind w:hanging="602"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资格证明文件正本应为清晰彩色影印件且加盖单位公章。</w:t>
      </w:r>
    </w:p>
    <w:p>
      <w:pPr>
        <w:numPr>
          <w:ilvl w:val="0"/>
          <w:numId w:val="39"/>
        </w:numPr>
        <w:tabs>
          <w:tab w:val="left" w:pos="616"/>
        </w:tabs>
        <w:spacing w:line="360" w:lineRule="auto"/>
        <w:ind w:left="14" w:firstLine="238"/>
        <w:rPr>
          <w:rFonts w:ascii="宋体" w:hAnsi="宋体" w:eastAsia="宋体" w:cs="Times New Roman"/>
          <w:b/>
          <w:color w:val="000000" w:themeColor="text1"/>
          <w:sz w:val="24"/>
          <w:szCs w:val="24"/>
          <w:lang w:val="zh-CN"/>
          <w14:textFill>
            <w14:solidFill>
              <w14:schemeClr w14:val="tx1"/>
            </w14:solidFill>
          </w14:textFill>
        </w:rPr>
      </w:pPr>
      <w:r>
        <w:rPr>
          <w:rFonts w:hint="eastAsia" w:ascii="宋体" w:hAnsi="宋体" w:eastAsia="宋体" w:cs="Times New Roman"/>
          <w:b/>
          <w:color w:val="000000" w:themeColor="text1"/>
          <w:sz w:val="24"/>
          <w:szCs w:val="24"/>
          <w:lang w:val="zh-CN"/>
          <w14:textFill>
            <w14:solidFill>
              <w14:schemeClr w14:val="tx1"/>
            </w14:solidFill>
          </w14:textFill>
        </w:rPr>
        <w:t>确定资格审查合格投标人</w:t>
      </w:r>
    </w:p>
    <w:p>
      <w:pPr>
        <w:pStyle w:val="23"/>
        <w:numPr>
          <w:ilvl w:val="0"/>
          <w:numId w:val="42"/>
        </w:numPr>
        <w:tabs>
          <w:tab w:val="left" w:pos="840"/>
        </w:tabs>
        <w:spacing w:line="360" w:lineRule="auto"/>
        <w:ind w:hanging="602"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资格审查小组按照本章“资格审查方法及标准”，对各投标人资格证明文件进行审查。资格审查小组依据对各投标人资格证明文件的审查结果，确定资格审查合格的投标人，并</w:t>
      </w:r>
      <w:r>
        <w:rPr>
          <w:rFonts w:hint="eastAsia" w:ascii="宋体" w:hAnsi="宋体" w:eastAsia="宋体" w:cs="Times New Roman"/>
          <w:b/>
          <w:color w:val="000000" w:themeColor="text1"/>
          <w:sz w:val="24"/>
          <w:szCs w:val="24"/>
          <w:lang w:val="zh-CN"/>
          <w14:textFill>
            <w14:solidFill>
              <w14:schemeClr w14:val="tx1"/>
            </w14:solidFill>
          </w14:textFill>
        </w:rPr>
        <w:t>形成书面的资格审查报告。</w:t>
      </w:r>
    </w:p>
    <w:p>
      <w:pPr>
        <w:pStyle w:val="23"/>
        <w:numPr>
          <w:ilvl w:val="0"/>
          <w:numId w:val="42"/>
        </w:numPr>
        <w:tabs>
          <w:tab w:val="left" w:pos="840"/>
        </w:tabs>
        <w:spacing w:line="360" w:lineRule="auto"/>
        <w:ind w:hanging="602"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资格审查合格投标人不足3家的，不进行评标。</w:t>
      </w:r>
    </w:p>
    <w:p>
      <w:pPr>
        <w:pStyle w:val="23"/>
        <w:numPr>
          <w:ilvl w:val="0"/>
          <w:numId w:val="42"/>
        </w:numPr>
        <w:tabs>
          <w:tab w:val="left" w:pos="840"/>
        </w:tabs>
        <w:spacing w:line="360" w:lineRule="auto"/>
        <w:ind w:hanging="602"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资格审查未通过的投标人可在结果公告质疑有效期内按公告中的联系方式获知</w:t>
      </w:r>
      <w:r>
        <w:rPr>
          <w:rFonts w:ascii="宋体" w:hAnsi="宋体" w:eastAsia="宋体" w:cs="Times New Roman"/>
          <w:color w:val="000000" w:themeColor="text1"/>
          <w:sz w:val="24"/>
          <w:szCs w:val="24"/>
          <w:lang w:val="zh-CN"/>
          <w14:textFill>
            <w14:solidFill>
              <w14:schemeClr w14:val="tx1"/>
            </w14:solidFill>
          </w14:textFill>
        </w:rPr>
        <w:t>本</w:t>
      </w:r>
      <w:r>
        <w:rPr>
          <w:rFonts w:hint="eastAsia" w:ascii="宋体" w:hAnsi="宋体" w:eastAsia="宋体" w:cs="Times New Roman"/>
          <w:color w:val="000000" w:themeColor="text1"/>
          <w:sz w:val="24"/>
          <w:szCs w:val="24"/>
          <w:lang w:val="zh-CN"/>
          <w14:textFill>
            <w14:solidFill>
              <w14:schemeClr w14:val="tx1"/>
            </w14:solidFill>
          </w14:textFill>
        </w:rPr>
        <w:t>单位</w:t>
      </w:r>
      <w:r>
        <w:rPr>
          <w:rFonts w:ascii="宋体" w:hAnsi="宋体" w:eastAsia="宋体" w:cs="Times New Roman"/>
          <w:color w:val="000000" w:themeColor="text1"/>
          <w:sz w:val="24"/>
          <w:szCs w:val="24"/>
          <w:lang w:val="zh-CN"/>
          <w14:textFill>
            <w14:solidFill>
              <w14:schemeClr w14:val="tx1"/>
            </w14:solidFill>
          </w14:textFill>
        </w:rPr>
        <w:t>的</w:t>
      </w:r>
      <w:r>
        <w:rPr>
          <w:rFonts w:hint="eastAsia" w:ascii="宋体" w:hAnsi="宋体" w:eastAsia="宋体" w:cs="Times New Roman"/>
          <w:color w:val="000000" w:themeColor="text1"/>
          <w:sz w:val="24"/>
          <w:szCs w:val="24"/>
          <w:lang w:val="zh-CN"/>
          <w14:textFill>
            <w14:solidFill>
              <w14:schemeClr w14:val="tx1"/>
            </w14:solidFill>
          </w14:textFill>
        </w:rPr>
        <w:t>资格审查情况。</w:t>
      </w:r>
    </w:p>
    <w:p>
      <w:pPr>
        <w:pStyle w:val="23"/>
        <w:numPr>
          <w:ilvl w:val="0"/>
          <w:numId w:val="42"/>
        </w:numPr>
        <w:tabs>
          <w:tab w:val="left" w:pos="840"/>
        </w:tabs>
        <w:spacing w:line="360" w:lineRule="auto"/>
        <w:ind w:hanging="602"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采购人已进行资格预审的，不再进行资格审查。未通过资格预审的投标人，采购人、采购代理机构</w:t>
      </w:r>
      <w:r>
        <w:rPr>
          <w:rFonts w:hint="eastAsia" w:ascii="宋体" w:hAnsi="宋体" w:eastAsia="宋体" w:cs="Times New Roman"/>
          <w:b/>
          <w:color w:val="000000" w:themeColor="text1"/>
          <w:sz w:val="24"/>
          <w:szCs w:val="24"/>
          <w:lang w:val="zh-CN"/>
          <w14:textFill>
            <w14:solidFill>
              <w14:schemeClr w14:val="tx1"/>
            </w14:solidFill>
          </w14:textFill>
        </w:rPr>
        <w:t>拒绝</w:t>
      </w:r>
      <w:r>
        <w:rPr>
          <w:rFonts w:hint="eastAsia" w:ascii="宋体" w:hAnsi="宋体" w:eastAsia="宋体" w:cs="Times New Roman"/>
          <w:color w:val="000000" w:themeColor="text1"/>
          <w:sz w:val="24"/>
          <w:szCs w:val="24"/>
          <w:lang w:val="zh-CN"/>
          <w14:textFill>
            <w14:solidFill>
              <w14:schemeClr w14:val="tx1"/>
            </w14:solidFill>
          </w14:textFill>
        </w:rPr>
        <w:t>其投标。</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bookmarkEnd w:id="41"/>
    <w:p>
      <w:pPr>
        <w:rPr>
          <w:color w:val="000000" w:themeColor="text1"/>
          <w14:textFill>
            <w14:solidFill>
              <w14:schemeClr w14:val="tx1"/>
            </w14:solidFill>
          </w14:textFill>
        </w:rPr>
      </w:pPr>
    </w:p>
    <w:p>
      <w:pPr>
        <w:pStyle w:val="4"/>
        <w:numPr>
          <w:ilvl w:val="0"/>
          <w:numId w:val="1"/>
        </w:numPr>
        <w:jc w:val="center"/>
        <w:rPr>
          <w:rFonts w:ascii="黑体" w:hAnsi="黑体" w:eastAsia="黑体"/>
          <w:color w:val="000000" w:themeColor="text1"/>
          <w14:textFill>
            <w14:solidFill>
              <w14:schemeClr w14:val="tx1"/>
            </w14:solidFill>
          </w14:textFill>
        </w:rPr>
      </w:pPr>
      <w:bookmarkStart w:id="52" w:name="_Toc5728"/>
      <w:r>
        <w:rPr>
          <w:rFonts w:hint="eastAsia" w:ascii="黑体" w:hAnsi="黑体" w:eastAsia="黑体"/>
          <w:color w:val="000000" w:themeColor="text1"/>
          <w14:textFill>
            <w14:solidFill>
              <w14:schemeClr w14:val="tx1"/>
            </w14:solidFill>
          </w14:textFill>
        </w:rPr>
        <w:t>评标方法、程序及标准</w:t>
      </w:r>
      <w:bookmarkEnd w:id="52"/>
    </w:p>
    <w:p>
      <w:pPr>
        <w:spacing w:line="360" w:lineRule="auto"/>
        <w:ind w:firstLine="480" w:firstLineChars="200"/>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根据《政府采购法》、《政府采购法实施条例》、《政府采购货物和服务招标投标管理办法》等相关法律法规确定以下评标办法、程序及标准。</w:t>
      </w:r>
    </w:p>
    <w:p>
      <w:pPr>
        <w:pStyle w:val="5"/>
        <w:numPr>
          <w:ilvl w:val="0"/>
          <w:numId w:val="43"/>
        </w:numPr>
        <w:spacing w:before="0" w:after="0" w:line="360" w:lineRule="auto"/>
        <w:ind w:left="616" w:hanging="616"/>
        <w:jc w:val="left"/>
        <w:rPr>
          <w:rFonts w:cs="Times New Roman" w:asciiTheme="majorEastAsia" w:hAnsiTheme="majorEastAsia"/>
          <w:bCs w:val="0"/>
          <w:color w:val="000000" w:themeColor="text1"/>
          <w:sz w:val="30"/>
          <w:szCs w:val="30"/>
          <w:lang w:val="zh-CN"/>
          <w14:textFill>
            <w14:solidFill>
              <w14:schemeClr w14:val="tx1"/>
            </w14:solidFill>
          </w14:textFill>
        </w:rPr>
      </w:pPr>
      <w:bookmarkStart w:id="53" w:name="_Toc278891605"/>
      <w:bookmarkStart w:id="54" w:name="_Toc272247708"/>
      <w:bookmarkStart w:id="55" w:name="_Toc10585"/>
      <w:bookmarkStart w:id="56" w:name="_Toc494561961"/>
      <w:r>
        <w:rPr>
          <w:rFonts w:hint="eastAsia" w:cs="Times New Roman" w:asciiTheme="majorEastAsia" w:hAnsiTheme="majorEastAsia"/>
          <w:bCs w:val="0"/>
          <w:color w:val="000000" w:themeColor="text1"/>
          <w:sz w:val="30"/>
          <w:szCs w:val="30"/>
          <w:lang w:val="zh-CN"/>
          <w14:textFill>
            <w14:solidFill>
              <w14:schemeClr w14:val="tx1"/>
            </w14:solidFill>
          </w14:textFill>
        </w:rPr>
        <w:t>评标</w:t>
      </w:r>
      <w:bookmarkEnd w:id="53"/>
      <w:bookmarkEnd w:id="54"/>
      <w:r>
        <w:rPr>
          <w:rFonts w:hint="eastAsia" w:cs="Times New Roman" w:asciiTheme="majorEastAsia" w:hAnsiTheme="majorEastAsia"/>
          <w:bCs w:val="0"/>
          <w:color w:val="000000" w:themeColor="text1"/>
          <w:sz w:val="30"/>
          <w:szCs w:val="30"/>
          <w:lang w:val="zh-CN"/>
          <w14:textFill>
            <w14:solidFill>
              <w14:schemeClr w14:val="tx1"/>
            </w14:solidFill>
          </w14:textFill>
        </w:rPr>
        <w:t>方法</w:t>
      </w:r>
      <w:bookmarkEnd w:id="55"/>
      <w:bookmarkEnd w:id="56"/>
    </w:p>
    <w:p>
      <w:pPr>
        <w:spacing w:line="360" w:lineRule="auto"/>
        <w:ind w:firstLine="480" w:firstLineChars="200"/>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本项目评标采用综合评分法，</w:t>
      </w:r>
      <w:r>
        <w:rPr>
          <w:rFonts w:ascii="宋体" w:hAnsi="宋体" w:eastAsia="宋体" w:cs="Times New Roman"/>
          <w:bCs/>
          <w:color w:val="000000" w:themeColor="text1"/>
          <w:sz w:val="24"/>
          <w:szCs w:val="20"/>
          <w:lang w:val="zh-CN"/>
          <w14:textFill>
            <w14:solidFill>
              <w14:schemeClr w14:val="tx1"/>
            </w14:solidFill>
          </w14:textFill>
        </w:rPr>
        <w:t>是指投标文件满足招标文件全部实质性要求，且按照评审因素的量化指标评审得分最高的投标人为中标候选人的评标方法。</w:t>
      </w:r>
    </w:p>
    <w:p>
      <w:pPr>
        <w:pStyle w:val="5"/>
        <w:numPr>
          <w:ilvl w:val="0"/>
          <w:numId w:val="43"/>
        </w:numPr>
        <w:spacing w:before="0" w:after="0" w:line="360" w:lineRule="auto"/>
        <w:ind w:left="616" w:hanging="616"/>
        <w:jc w:val="left"/>
        <w:rPr>
          <w:rFonts w:cs="Times New Roman" w:asciiTheme="majorEastAsia" w:hAnsiTheme="majorEastAsia"/>
          <w:bCs w:val="0"/>
          <w:color w:val="000000" w:themeColor="text1"/>
          <w:sz w:val="30"/>
          <w:szCs w:val="30"/>
          <w:lang w:val="zh-CN"/>
          <w14:textFill>
            <w14:solidFill>
              <w14:schemeClr w14:val="tx1"/>
            </w14:solidFill>
          </w14:textFill>
        </w:rPr>
      </w:pPr>
      <w:bookmarkStart w:id="57" w:name="_Toc272247709"/>
      <w:bookmarkStart w:id="58" w:name="_Toc278891606"/>
      <w:bookmarkStart w:id="59" w:name="_Toc494561962"/>
      <w:bookmarkStart w:id="60" w:name="_Toc18368"/>
      <w:r>
        <w:rPr>
          <w:rFonts w:hint="eastAsia" w:cs="Times New Roman" w:asciiTheme="majorEastAsia" w:hAnsiTheme="majorEastAsia"/>
          <w:bCs w:val="0"/>
          <w:color w:val="000000" w:themeColor="text1"/>
          <w:sz w:val="30"/>
          <w:szCs w:val="30"/>
          <w:lang w:val="zh-CN"/>
          <w14:textFill>
            <w14:solidFill>
              <w14:schemeClr w14:val="tx1"/>
            </w14:solidFill>
          </w14:textFill>
        </w:rPr>
        <w:t>评标程序</w:t>
      </w:r>
      <w:bookmarkEnd w:id="57"/>
      <w:bookmarkEnd w:id="58"/>
      <w:r>
        <w:rPr>
          <w:rFonts w:hint="eastAsia" w:cs="Times New Roman" w:asciiTheme="majorEastAsia" w:hAnsiTheme="majorEastAsia"/>
          <w:bCs w:val="0"/>
          <w:color w:val="000000" w:themeColor="text1"/>
          <w:sz w:val="30"/>
          <w:szCs w:val="30"/>
          <w:lang w:val="zh-CN"/>
          <w14:textFill>
            <w14:solidFill>
              <w14:schemeClr w14:val="tx1"/>
            </w14:solidFill>
          </w14:textFill>
        </w:rPr>
        <w:t>及标准</w:t>
      </w:r>
      <w:bookmarkEnd w:id="59"/>
      <w:bookmarkEnd w:id="60"/>
    </w:p>
    <w:p>
      <w:pPr>
        <w:spacing w:line="360" w:lineRule="auto"/>
        <w:ind w:firstLine="480" w:firstLineChars="200"/>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评标委员会按以下工作程序进行评标：</w:t>
      </w:r>
      <w:r>
        <w:rPr>
          <w:rFonts w:hint="eastAsia" w:ascii="宋体" w:hAnsi="宋体" w:eastAsia="宋体" w:cs="Times New Roman"/>
          <w:color w:val="000000" w:themeColor="text1"/>
          <w:sz w:val="24"/>
          <w:szCs w:val="20"/>
          <w:lang w:val="zh-CN"/>
          <w14:textFill>
            <w14:solidFill>
              <w14:schemeClr w14:val="tx1"/>
            </w14:solidFill>
          </w14:textFill>
        </w:rPr>
        <w:t>符合性审查、澄清有关问题、综合比较和评价、确定中标候选人名单。</w:t>
      </w:r>
    </w:p>
    <w:p>
      <w:pPr>
        <w:numPr>
          <w:ilvl w:val="0"/>
          <w:numId w:val="44"/>
        </w:numPr>
        <w:ind w:left="1311" w:leftChars="154" w:hanging="988" w:hangingChars="353"/>
        <w:rPr>
          <w:rFonts w:ascii="宋体" w:hAnsi="宋体" w:eastAsia="宋体" w:cs="Times New Roman"/>
          <w:strike/>
          <w:color w:val="000000" w:themeColor="text1"/>
          <w:sz w:val="28"/>
          <w:szCs w:val="28"/>
          <w:lang w:val="zh-CN"/>
          <w14:textFill>
            <w14:solidFill>
              <w14:schemeClr w14:val="tx1"/>
            </w14:solidFill>
          </w14:textFill>
        </w:rPr>
      </w:pPr>
      <w:r>
        <w:rPr>
          <w:rFonts w:hint="eastAsia" w:ascii="宋体" w:hAnsi="宋体" w:eastAsia="宋体" w:cs="Times New Roman"/>
          <w:b/>
          <w:color w:val="000000" w:themeColor="text1"/>
          <w:sz w:val="28"/>
          <w:szCs w:val="28"/>
          <w:lang w:val="zh-CN"/>
          <w14:textFill>
            <w14:solidFill>
              <w14:schemeClr w14:val="tx1"/>
            </w14:solidFill>
          </w14:textFill>
        </w:rPr>
        <w:t>符合性审查</w:t>
      </w:r>
    </w:p>
    <w:p>
      <w:pPr>
        <w:spacing w:line="360" w:lineRule="auto"/>
        <w:ind w:firstLine="470" w:firstLineChars="196"/>
        <w:rPr>
          <w:rFonts w:ascii="宋体" w:hAnsi="宋体" w:eastAsia="宋体" w:cs="Times New Roman"/>
          <w:bCs/>
          <w:color w:val="000000" w:themeColor="text1"/>
          <w:sz w:val="24"/>
          <w:szCs w:val="20"/>
          <w:lang w:val="zh-CN"/>
          <w14:textFill>
            <w14:solidFill>
              <w14:schemeClr w14:val="tx1"/>
            </w14:solidFill>
          </w14:textFill>
        </w:rPr>
      </w:pPr>
      <w:r>
        <w:rPr>
          <w:rFonts w:ascii="Helvetica" w:hAnsi="Helvetica" w:eastAsia="宋体" w:cs="Helvetica"/>
          <w:color w:val="000000" w:themeColor="text1"/>
          <w:kern w:val="0"/>
          <w:sz w:val="24"/>
          <w:szCs w:val="24"/>
          <w:lang w:val="zh-CN"/>
          <w14:textFill>
            <w14:solidFill>
              <w14:schemeClr w14:val="tx1"/>
            </w14:solidFill>
          </w14:textFill>
        </w:rPr>
        <w:t>评标委员会应当对符合资格的投标人的投标文件进行符合性审查，以确定其是否满足招标文件的实质性要求。</w:t>
      </w:r>
      <w:r>
        <w:rPr>
          <w:rFonts w:hint="eastAsia" w:ascii="宋体" w:hAnsi="宋体" w:eastAsia="宋体" w:cs="Times New Roman"/>
          <w:bCs/>
          <w:color w:val="000000" w:themeColor="text1"/>
          <w:sz w:val="24"/>
          <w:szCs w:val="20"/>
          <w:lang w:val="zh-CN"/>
          <w14:textFill>
            <w14:solidFill>
              <w14:schemeClr w14:val="tx1"/>
            </w14:solidFill>
          </w14:textFill>
        </w:rPr>
        <w:t>符合性审查出现下列情形之一的投标按照</w:t>
      </w:r>
      <w:r>
        <w:rPr>
          <w:rFonts w:hint="eastAsia" w:ascii="宋体" w:hAnsi="宋体" w:eastAsia="宋体" w:cs="Times New Roman"/>
          <w:b/>
          <w:bCs/>
          <w:color w:val="000000" w:themeColor="text1"/>
          <w:sz w:val="24"/>
          <w:szCs w:val="20"/>
          <w:lang w:val="zh-CN"/>
          <w14:textFill>
            <w14:solidFill>
              <w14:schemeClr w14:val="tx1"/>
            </w14:solidFill>
          </w14:textFill>
        </w:rPr>
        <w:t>无效投标处理</w:t>
      </w:r>
      <w:r>
        <w:rPr>
          <w:rFonts w:hint="eastAsia" w:ascii="宋体" w:hAnsi="宋体" w:eastAsia="宋体" w:cs="Times New Roman"/>
          <w:bCs/>
          <w:color w:val="000000" w:themeColor="text1"/>
          <w:sz w:val="24"/>
          <w:szCs w:val="20"/>
          <w:lang w:val="zh-CN"/>
          <w14:textFill>
            <w14:solidFill>
              <w14:schemeClr w14:val="tx1"/>
            </w14:solidFill>
          </w14:textFill>
        </w:rPr>
        <w:t>：</w:t>
      </w:r>
    </w:p>
    <w:p>
      <w:pPr>
        <w:numPr>
          <w:ilvl w:val="0"/>
          <w:numId w:val="45"/>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投标总报价超过项目（分包）预算金额或最高限价的；</w:t>
      </w:r>
    </w:p>
    <w:p>
      <w:pPr>
        <w:numPr>
          <w:ilvl w:val="0"/>
          <w:numId w:val="45"/>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《投标书》、《法定代表人授权书》、《开标一览表》、《投标报价明细表》未提供或不符合招标文件要求的；</w:t>
      </w:r>
    </w:p>
    <w:p>
      <w:pPr>
        <w:numPr>
          <w:ilvl w:val="0"/>
          <w:numId w:val="45"/>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工期（服务期限）、质保期不符合招标文件要求的；</w:t>
      </w:r>
    </w:p>
    <w:p>
      <w:pPr>
        <w:numPr>
          <w:ilvl w:val="0"/>
          <w:numId w:val="45"/>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投标保证金的交纳不符合招标文件要求的；</w:t>
      </w:r>
    </w:p>
    <w:p>
      <w:pPr>
        <w:numPr>
          <w:ilvl w:val="0"/>
          <w:numId w:val="45"/>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出现两个或两个以上不同报价的；</w:t>
      </w:r>
    </w:p>
    <w:p>
      <w:pPr>
        <w:numPr>
          <w:ilvl w:val="0"/>
          <w:numId w:val="45"/>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出现两个或两个以上投标方案的（招标文件中要求提供备选方案的除外）；</w:t>
      </w:r>
    </w:p>
    <w:p>
      <w:pPr>
        <w:numPr>
          <w:ilvl w:val="0"/>
          <w:numId w:val="45"/>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投标报价存在缺项、漏项的；</w:t>
      </w:r>
    </w:p>
    <w:p>
      <w:pPr>
        <w:numPr>
          <w:ilvl w:val="0"/>
          <w:numId w:val="45"/>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投标有效期不足的；</w:t>
      </w:r>
    </w:p>
    <w:p>
      <w:pPr>
        <w:numPr>
          <w:ilvl w:val="0"/>
          <w:numId w:val="45"/>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无法定代表人签字（签章）或签字（签章）人无法定代表人有效授权的；</w:t>
      </w:r>
    </w:p>
    <w:p>
      <w:pPr>
        <w:numPr>
          <w:ilvl w:val="0"/>
          <w:numId w:val="45"/>
        </w:numPr>
        <w:tabs>
          <w:tab w:val="left" w:pos="756"/>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正本未按要求提供加盖公章及签字（签章）原件的；</w:t>
      </w:r>
    </w:p>
    <w:p>
      <w:pPr>
        <w:numPr>
          <w:ilvl w:val="0"/>
          <w:numId w:val="45"/>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符合招标文件第二章“投标人须知”中40条中规定情形，以分公司形式参与投标的，法定代表人授权书未由总公司法定代表人签字（盖章）并加盖公章的；</w:t>
      </w:r>
    </w:p>
    <w:p>
      <w:pPr>
        <w:numPr>
          <w:ilvl w:val="0"/>
          <w:numId w:val="45"/>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未按要求提供招标文件第二章“十一 其他注意事项”中规定的书面声明的；</w:t>
      </w:r>
    </w:p>
    <w:p>
      <w:pPr>
        <w:numPr>
          <w:ilvl w:val="0"/>
          <w:numId w:val="45"/>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招标文件中有节能产品强制要求的，投标人未按要求提供最新一期《节能产品政府采购清单》（正式稿）中的产品型号且未附该产品清单所在完整页面；若节能产品中有台式计算机的，未按要求提供最新一期《节能产品政府采购清单台式计算机性能参数》中产品性能参数的所在完整页面且所投型号和所列性能参数不一致的；</w:t>
      </w:r>
    </w:p>
    <w:p>
      <w:pPr>
        <w:numPr>
          <w:ilvl w:val="0"/>
          <w:numId w:val="45"/>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所投货物是通过中国海关报关验放进入中国境内且产自关境外的（招标文件中注明已办理进口产品核准的除外）；</w:t>
      </w:r>
    </w:p>
    <w:p>
      <w:pPr>
        <w:numPr>
          <w:ilvl w:val="0"/>
          <w:numId w:val="45"/>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未提供所投货物（工程或服务）的具体参数值或功能表述，或原文复制招标文件的技术规格相关部分内容作为其投标文件的一部分的；</w:t>
      </w:r>
    </w:p>
    <w:p>
      <w:pPr>
        <w:numPr>
          <w:ilvl w:val="0"/>
          <w:numId w:val="45"/>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ascii="Times New Roman" w:hAnsi="宋体" w:eastAsia="宋体" w:cs="Times New Roman"/>
          <w:color w:val="000000" w:themeColor="text1"/>
          <w:sz w:val="24"/>
          <w:szCs w:val="24"/>
          <w:lang w:val="zh-CN"/>
          <w14:textFill>
            <w14:solidFill>
              <w14:schemeClr w14:val="tx1"/>
            </w14:solidFill>
          </w14:textFill>
        </w:rPr>
        <w:t>含有采购人不能接受的附加条件的</w:t>
      </w:r>
      <w:r>
        <w:rPr>
          <w:rFonts w:hint="eastAsia" w:ascii="Times New Roman" w:hAnsi="宋体" w:eastAsia="宋体" w:cs="Times New Roman"/>
          <w:color w:val="000000" w:themeColor="text1"/>
          <w:sz w:val="24"/>
          <w:szCs w:val="24"/>
          <w:lang w:val="zh-CN"/>
          <w14:textFill>
            <w14:solidFill>
              <w14:schemeClr w14:val="tx1"/>
            </w14:solidFill>
          </w14:textFill>
        </w:rPr>
        <w:t>；</w:t>
      </w:r>
    </w:p>
    <w:p>
      <w:pPr>
        <w:numPr>
          <w:ilvl w:val="0"/>
          <w:numId w:val="45"/>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未按要求提供《符合性审查对照表》、《商务要求响应、偏离说明表》、《商务要求“★”号条款响应、偏离说明表》、《商务评议对照表》和《技术、服务要求响应、偏离说明表》、《技术、服务要求“★”号条款响应、偏离说明表》、《技术、服务评议对照表》的；</w:t>
      </w:r>
    </w:p>
    <w:p>
      <w:pPr>
        <w:numPr>
          <w:ilvl w:val="0"/>
          <w:numId w:val="45"/>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ascii="Times New Roman" w:hAnsi="宋体" w:eastAsia="宋体" w:cs="Times New Roman"/>
          <w:color w:val="000000" w:themeColor="text1"/>
          <w:sz w:val="24"/>
          <w:szCs w:val="24"/>
          <w:lang w:val="zh-CN"/>
          <w14:textFill>
            <w14:solidFill>
              <w14:schemeClr w14:val="tx1"/>
            </w14:solidFill>
          </w14:textFill>
        </w:rPr>
        <w:t>法律、法规</w:t>
      </w:r>
      <w:r>
        <w:rPr>
          <w:rFonts w:hint="eastAsia" w:ascii="Times New Roman" w:hAnsi="宋体" w:eastAsia="宋体" w:cs="Times New Roman"/>
          <w:color w:val="000000" w:themeColor="text1"/>
          <w:sz w:val="24"/>
          <w:szCs w:val="24"/>
          <w:lang w:val="zh-CN"/>
          <w14:textFill>
            <w14:solidFill>
              <w14:schemeClr w14:val="tx1"/>
            </w14:solidFill>
          </w14:textFill>
        </w:rPr>
        <w:t>和招标文件</w:t>
      </w:r>
      <w:r>
        <w:rPr>
          <w:rFonts w:ascii="Times New Roman" w:hAnsi="宋体" w:eastAsia="宋体" w:cs="Times New Roman"/>
          <w:color w:val="000000" w:themeColor="text1"/>
          <w:sz w:val="24"/>
          <w:szCs w:val="24"/>
          <w:lang w:val="zh-CN"/>
          <w14:textFill>
            <w14:solidFill>
              <w14:schemeClr w14:val="tx1"/>
            </w14:solidFill>
          </w14:textFill>
        </w:rPr>
        <w:t>规定的其他</w:t>
      </w:r>
      <w:r>
        <w:rPr>
          <w:rFonts w:hint="eastAsia" w:ascii="Times New Roman" w:hAnsi="宋体" w:eastAsia="宋体" w:cs="Times New Roman"/>
          <w:color w:val="000000" w:themeColor="text1"/>
          <w:sz w:val="24"/>
          <w:szCs w:val="24"/>
          <w:lang w:val="zh-CN"/>
          <w14:textFill>
            <w14:solidFill>
              <w14:schemeClr w14:val="tx1"/>
            </w14:solidFill>
          </w14:textFill>
        </w:rPr>
        <w:t>无效投标</w:t>
      </w:r>
      <w:r>
        <w:rPr>
          <w:rFonts w:ascii="Times New Roman" w:hAnsi="宋体" w:eastAsia="宋体" w:cs="Times New Roman"/>
          <w:color w:val="000000" w:themeColor="text1"/>
          <w:sz w:val="24"/>
          <w:szCs w:val="24"/>
          <w:lang w:val="zh-CN"/>
          <w14:textFill>
            <w14:solidFill>
              <w14:schemeClr w14:val="tx1"/>
            </w14:solidFill>
          </w14:textFill>
        </w:rPr>
        <w:t>情形。</w:t>
      </w:r>
    </w:p>
    <w:p>
      <w:pPr>
        <w:numPr>
          <w:ilvl w:val="0"/>
          <w:numId w:val="44"/>
        </w:numPr>
        <w:ind w:left="1311" w:leftChars="154" w:hanging="988" w:hangingChars="353"/>
        <w:rPr>
          <w:rFonts w:ascii="宋体" w:hAnsi="宋体" w:eastAsia="宋体" w:cs="Times New Roman"/>
          <w:b/>
          <w:color w:val="000000" w:themeColor="text1"/>
          <w:sz w:val="28"/>
          <w:szCs w:val="28"/>
          <w:lang w:val="zh-CN"/>
          <w14:textFill>
            <w14:solidFill>
              <w14:schemeClr w14:val="tx1"/>
            </w14:solidFill>
          </w14:textFill>
        </w:rPr>
      </w:pPr>
      <w:r>
        <w:rPr>
          <w:rFonts w:hint="eastAsia" w:ascii="宋体" w:hAnsi="宋体" w:eastAsia="宋体" w:cs="Times New Roman"/>
          <w:b/>
          <w:color w:val="000000" w:themeColor="text1"/>
          <w:sz w:val="28"/>
          <w:szCs w:val="28"/>
          <w:lang w:val="zh-CN"/>
          <w14:textFill>
            <w14:solidFill>
              <w14:schemeClr w14:val="tx1"/>
            </w14:solidFill>
          </w14:textFill>
        </w:rPr>
        <w:t>澄清有关问题</w:t>
      </w:r>
    </w:p>
    <w:p>
      <w:pPr>
        <w:numPr>
          <w:ilvl w:val="0"/>
          <w:numId w:val="46"/>
        </w:numPr>
        <w:tabs>
          <w:tab w:val="left" w:pos="616"/>
        </w:tabs>
        <w:spacing w:line="360" w:lineRule="auto"/>
        <w:ind w:left="10" w:leftChars="5" w:firstLine="237" w:firstLineChars="99"/>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评标期间，</w:t>
      </w:r>
      <w:r>
        <w:rPr>
          <w:rFonts w:ascii="Helvetica" w:hAnsi="Helvetica" w:eastAsia="宋体" w:cs="Helvetica"/>
          <w:color w:val="000000" w:themeColor="text1"/>
          <w:kern w:val="0"/>
          <w:sz w:val="24"/>
          <w:szCs w:val="24"/>
          <w:lang w:val="zh-CN"/>
          <w14:textFill>
            <w14:solidFill>
              <w14:schemeClr w14:val="tx1"/>
            </w14:solidFill>
          </w14:textFill>
        </w:rPr>
        <w:t>对于投标文件中含义不明确、同类问题表述不一致或者有明显文字和计算错误的内容，评标委员会应当以书面形式要求投标人作出必要的澄清、说明或者补正。</w:t>
      </w:r>
    </w:p>
    <w:p>
      <w:pPr>
        <w:numPr>
          <w:ilvl w:val="0"/>
          <w:numId w:val="46"/>
        </w:numPr>
        <w:tabs>
          <w:tab w:val="left" w:pos="616"/>
        </w:tabs>
        <w:spacing w:line="360" w:lineRule="auto"/>
        <w:ind w:left="10" w:leftChars="5" w:firstLine="237" w:firstLineChars="99"/>
        <w:rPr>
          <w:rFonts w:ascii="宋体" w:hAnsi="宋体" w:eastAsia="宋体" w:cs="Times New Roman"/>
          <w:bCs/>
          <w:strike/>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投标人应按照评标委员会要求的澄清内容在规定时间内做出澄清。</w:t>
      </w:r>
      <w:r>
        <w:rPr>
          <w:rFonts w:ascii="宋体" w:hAnsi="宋体" w:eastAsia="宋体" w:cs="Times New Roman"/>
          <w:color w:val="000000" w:themeColor="text1"/>
          <w:sz w:val="24"/>
          <w:szCs w:val="20"/>
          <w:lang w:val="zh-CN"/>
          <w14:textFill>
            <w14:solidFill>
              <w14:schemeClr w14:val="tx1"/>
            </w14:solidFill>
          </w14:textFill>
        </w:rPr>
        <w:t>投标文件报价出现前后不一致的</w:t>
      </w:r>
      <w:r>
        <w:rPr>
          <w:rFonts w:hint="eastAsia" w:ascii="宋体" w:hAnsi="宋体" w:eastAsia="宋体" w:cs="Times New Roman"/>
          <w:color w:val="000000" w:themeColor="text1"/>
          <w:sz w:val="24"/>
          <w:szCs w:val="20"/>
          <w:lang w:val="zh-CN"/>
          <w14:textFill>
            <w14:solidFill>
              <w14:schemeClr w14:val="tx1"/>
            </w14:solidFill>
          </w14:textFill>
        </w:rPr>
        <w:t>，按照本节第3</w:t>
      </w:r>
      <w:r>
        <w:rPr>
          <w:rFonts w:hint="eastAsia" w:ascii="宋体" w:hAnsi="宋体" w:eastAsia="宋体" w:cs="Times New Roman"/>
          <w:bCs/>
          <w:color w:val="000000" w:themeColor="text1"/>
          <w:sz w:val="24"/>
          <w:szCs w:val="20"/>
          <w:lang w:val="zh-CN"/>
          <w14:textFill>
            <w14:solidFill>
              <w14:schemeClr w14:val="tx1"/>
            </w14:solidFill>
          </w14:textFill>
        </w:rPr>
        <w:t>条规定进行修正，</w:t>
      </w:r>
      <w:r>
        <w:rPr>
          <w:rFonts w:ascii="Helvetica" w:hAnsi="Helvetica" w:eastAsia="宋体" w:cs="Helvetica"/>
          <w:color w:val="000000" w:themeColor="text1"/>
          <w:kern w:val="0"/>
          <w:sz w:val="24"/>
          <w:szCs w:val="24"/>
          <w:lang w:val="zh-CN"/>
          <w14:textFill>
            <w14:solidFill>
              <w14:schemeClr w14:val="tx1"/>
            </w14:solidFill>
          </w14:textFill>
        </w:rPr>
        <w:t>投标人的澄清、说明或者补正不得超出投标文件的范围或者改变投标文件的实质性内容。</w:t>
      </w:r>
    </w:p>
    <w:p>
      <w:pPr>
        <w:numPr>
          <w:ilvl w:val="0"/>
          <w:numId w:val="46"/>
        </w:numPr>
        <w:tabs>
          <w:tab w:val="left" w:pos="616"/>
        </w:tabs>
        <w:spacing w:line="360" w:lineRule="auto"/>
        <w:ind w:left="10" w:leftChars="5" w:firstLine="237" w:firstLineChars="99"/>
        <w:rPr>
          <w:rFonts w:ascii="宋体" w:hAnsi="宋体" w:eastAsia="宋体" w:cs="Times New Roman"/>
          <w:bCs/>
          <w:color w:val="000000" w:themeColor="text1"/>
          <w:sz w:val="24"/>
          <w:szCs w:val="20"/>
          <w:lang w:val="zh-CN"/>
          <w14:textFill>
            <w14:solidFill>
              <w14:schemeClr w14:val="tx1"/>
            </w14:solidFill>
          </w14:textFill>
        </w:rPr>
      </w:pPr>
      <w:r>
        <w:rPr>
          <w:rFonts w:ascii="宋体" w:hAnsi="宋体" w:eastAsia="宋体" w:cs="Times New Roman"/>
          <w:bCs/>
          <w:color w:val="000000" w:themeColor="text1"/>
          <w:sz w:val="24"/>
          <w:szCs w:val="20"/>
          <w:lang w:val="zh-CN"/>
          <w14:textFill>
            <w14:solidFill>
              <w14:schemeClr w14:val="tx1"/>
            </w14:solidFill>
          </w14:textFill>
        </w:rPr>
        <w:t>投标文件报价出现前后不一致的，按照下列规定修正：</w:t>
      </w:r>
    </w:p>
    <w:p>
      <w:pPr>
        <w:numPr>
          <w:ilvl w:val="0"/>
          <w:numId w:val="47"/>
        </w:numPr>
        <w:adjustRightInd w:val="0"/>
        <w:spacing w:line="360" w:lineRule="auto"/>
        <w:ind w:left="742" w:hanging="493"/>
        <w:rPr>
          <w:rFonts w:ascii="宋体" w:hAnsi="宋体" w:eastAsia="宋体" w:cs="Times New Roman"/>
          <w:color w:val="000000" w:themeColor="text1"/>
          <w:sz w:val="24"/>
          <w:szCs w:val="24"/>
          <w:lang w:val="zh-CN"/>
          <w14:textFill>
            <w14:solidFill>
              <w14:schemeClr w14:val="tx1"/>
            </w14:solidFill>
          </w14:textFill>
        </w:rPr>
      </w:pPr>
      <w:r>
        <w:rPr>
          <w:rFonts w:ascii="宋体" w:hAnsi="宋体" w:eastAsia="宋体" w:cs="Times New Roman"/>
          <w:color w:val="000000" w:themeColor="text1"/>
          <w:sz w:val="24"/>
          <w:szCs w:val="24"/>
          <w:lang w:val="zh-CN"/>
          <w14:textFill>
            <w14:solidFill>
              <w14:schemeClr w14:val="tx1"/>
            </w14:solidFill>
          </w14:textFill>
        </w:rPr>
        <w:t>投标文件中开标一览表内容与投标文件中相应内容不一致的，以开标一览表为准</w:t>
      </w:r>
      <w:r>
        <w:rPr>
          <w:rFonts w:hint="eastAsia" w:ascii="宋体" w:hAnsi="宋体" w:eastAsia="宋体" w:cs="Times New Roman"/>
          <w:color w:val="000000" w:themeColor="text1"/>
          <w:sz w:val="24"/>
          <w:szCs w:val="24"/>
          <w:lang w:val="zh-CN"/>
          <w14:textFill>
            <w14:solidFill>
              <w14:schemeClr w14:val="tx1"/>
            </w14:solidFill>
          </w14:textFill>
        </w:rPr>
        <w:t>。</w:t>
      </w:r>
    </w:p>
    <w:p>
      <w:pPr>
        <w:numPr>
          <w:ilvl w:val="0"/>
          <w:numId w:val="47"/>
        </w:numPr>
        <w:adjustRightInd w:val="0"/>
        <w:spacing w:line="360" w:lineRule="auto"/>
        <w:ind w:left="742" w:hanging="493"/>
        <w:rPr>
          <w:rFonts w:ascii="宋体" w:hAnsi="宋体" w:eastAsia="宋体" w:cs="Times New Roman"/>
          <w:color w:val="000000" w:themeColor="text1"/>
          <w:sz w:val="24"/>
          <w:szCs w:val="24"/>
          <w:lang w:val="zh-CN"/>
          <w14:textFill>
            <w14:solidFill>
              <w14:schemeClr w14:val="tx1"/>
            </w14:solidFill>
          </w14:textFill>
        </w:rPr>
      </w:pPr>
      <w:r>
        <w:rPr>
          <w:rFonts w:ascii="宋体" w:hAnsi="宋体" w:eastAsia="宋体" w:cs="Times New Roman"/>
          <w:color w:val="000000" w:themeColor="text1"/>
          <w:sz w:val="24"/>
          <w:szCs w:val="24"/>
          <w:lang w:val="zh-CN"/>
          <w14:textFill>
            <w14:solidFill>
              <w14:schemeClr w14:val="tx1"/>
            </w14:solidFill>
          </w14:textFill>
        </w:rPr>
        <w:t>大写金额和小写金额不一致的，以大写金额为准</w:t>
      </w:r>
      <w:r>
        <w:rPr>
          <w:rFonts w:hint="eastAsia" w:ascii="宋体" w:hAnsi="宋体" w:eastAsia="宋体" w:cs="Times New Roman"/>
          <w:color w:val="000000" w:themeColor="text1"/>
          <w:sz w:val="24"/>
          <w:szCs w:val="24"/>
          <w:lang w:val="zh-CN"/>
          <w14:textFill>
            <w14:solidFill>
              <w14:schemeClr w14:val="tx1"/>
            </w14:solidFill>
          </w14:textFill>
        </w:rPr>
        <w:t>。</w:t>
      </w:r>
    </w:p>
    <w:p>
      <w:pPr>
        <w:numPr>
          <w:ilvl w:val="0"/>
          <w:numId w:val="47"/>
        </w:numPr>
        <w:adjustRightInd w:val="0"/>
        <w:spacing w:line="360" w:lineRule="auto"/>
        <w:ind w:left="742" w:hanging="493"/>
        <w:rPr>
          <w:rFonts w:ascii="宋体" w:hAnsi="宋体" w:eastAsia="宋体" w:cs="Times New Roman"/>
          <w:color w:val="000000" w:themeColor="text1"/>
          <w:sz w:val="24"/>
          <w:szCs w:val="24"/>
          <w:lang w:val="zh-CN"/>
          <w14:textFill>
            <w14:solidFill>
              <w14:schemeClr w14:val="tx1"/>
            </w14:solidFill>
          </w14:textFill>
        </w:rPr>
      </w:pPr>
      <w:r>
        <w:rPr>
          <w:rFonts w:ascii="宋体" w:hAnsi="宋体" w:eastAsia="宋体" w:cs="Times New Roman"/>
          <w:color w:val="000000" w:themeColor="text1"/>
          <w:sz w:val="24"/>
          <w:szCs w:val="24"/>
          <w:lang w:val="zh-CN"/>
          <w14:textFill>
            <w14:solidFill>
              <w14:schemeClr w14:val="tx1"/>
            </w14:solidFill>
          </w14:textFill>
        </w:rPr>
        <w:t>单价金额小数点或者百分比有明显错位的，以开标一览表的总价为准，并修改单价</w:t>
      </w:r>
      <w:r>
        <w:rPr>
          <w:rFonts w:hint="eastAsia" w:ascii="宋体" w:hAnsi="宋体" w:eastAsia="宋体" w:cs="Times New Roman"/>
          <w:color w:val="000000" w:themeColor="text1"/>
          <w:sz w:val="24"/>
          <w:szCs w:val="24"/>
          <w:lang w:val="zh-CN"/>
          <w14:textFill>
            <w14:solidFill>
              <w14:schemeClr w14:val="tx1"/>
            </w14:solidFill>
          </w14:textFill>
        </w:rPr>
        <w:t>。</w:t>
      </w:r>
    </w:p>
    <w:p>
      <w:pPr>
        <w:numPr>
          <w:ilvl w:val="0"/>
          <w:numId w:val="47"/>
        </w:numPr>
        <w:adjustRightInd w:val="0"/>
        <w:spacing w:line="360" w:lineRule="auto"/>
        <w:ind w:left="742" w:hanging="493"/>
        <w:rPr>
          <w:rFonts w:ascii="宋体" w:hAnsi="宋体" w:eastAsia="宋体" w:cs="Times New Roman"/>
          <w:color w:val="000000" w:themeColor="text1"/>
          <w:sz w:val="24"/>
          <w:szCs w:val="24"/>
          <w:lang w:val="zh-CN"/>
          <w14:textFill>
            <w14:solidFill>
              <w14:schemeClr w14:val="tx1"/>
            </w14:solidFill>
          </w14:textFill>
        </w:rPr>
      </w:pPr>
      <w:r>
        <w:rPr>
          <w:rFonts w:ascii="宋体" w:hAnsi="宋体" w:eastAsia="宋体" w:cs="Times New Roman"/>
          <w:color w:val="000000" w:themeColor="text1"/>
          <w:sz w:val="24"/>
          <w:szCs w:val="24"/>
          <w:lang w:val="zh-CN"/>
          <w14:textFill>
            <w14:solidFill>
              <w14:schemeClr w14:val="tx1"/>
            </w14:solidFill>
          </w14:textFill>
        </w:rPr>
        <w:t>总价金额与按单价汇总金额不一致的，以单价金额计算结果为准</w:t>
      </w:r>
      <w:r>
        <w:rPr>
          <w:rFonts w:hint="eastAsia" w:ascii="宋体" w:hAnsi="宋体" w:eastAsia="宋体" w:cs="Times New Roman"/>
          <w:color w:val="000000" w:themeColor="text1"/>
          <w:sz w:val="24"/>
          <w:szCs w:val="24"/>
          <w:lang w:val="zh-CN"/>
          <w14:textFill>
            <w14:solidFill>
              <w14:schemeClr w14:val="tx1"/>
            </w14:solidFill>
          </w14:textFill>
        </w:rPr>
        <w:t>。</w:t>
      </w:r>
    </w:p>
    <w:p>
      <w:pPr>
        <w:numPr>
          <w:ilvl w:val="0"/>
          <w:numId w:val="47"/>
        </w:numPr>
        <w:adjustRightInd w:val="0"/>
        <w:spacing w:line="360" w:lineRule="auto"/>
        <w:ind w:left="742" w:hanging="493"/>
        <w:rPr>
          <w:rFonts w:ascii="宋体" w:hAnsi="宋体" w:eastAsia="宋体" w:cs="Times New Roman"/>
          <w:color w:val="000000" w:themeColor="text1"/>
          <w:sz w:val="24"/>
          <w:szCs w:val="24"/>
          <w:lang w:val="zh-CN"/>
          <w14:textFill>
            <w14:solidFill>
              <w14:schemeClr w14:val="tx1"/>
            </w14:solidFill>
          </w14:textFill>
        </w:rPr>
      </w:pPr>
      <w:r>
        <w:rPr>
          <w:rFonts w:ascii="宋体" w:hAnsi="宋体" w:eastAsia="宋体" w:cs="Times New Roman"/>
          <w:color w:val="000000" w:themeColor="text1"/>
          <w:sz w:val="24"/>
          <w:szCs w:val="24"/>
          <w:lang w:val="zh-CN"/>
          <w14:textFill>
            <w14:solidFill>
              <w14:schemeClr w14:val="tx1"/>
            </w14:solidFill>
          </w14:textFill>
        </w:rPr>
        <w:t>同时出现两种以上不一致的，按照前款规定的顺序修正</w:t>
      </w:r>
      <w:r>
        <w:rPr>
          <w:rFonts w:hint="eastAsia" w:ascii="宋体" w:hAnsi="宋体" w:eastAsia="宋体" w:cs="Times New Roman"/>
          <w:color w:val="000000" w:themeColor="text1"/>
          <w:sz w:val="24"/>
          <w:szCs w:val="24"/>
          <w:lang w:val="zh-CN"/>
          <w14:textFill>
            <w14:solidFill>
              <w14:schemeClr w14:val="tx1"/>
            </w14:solidFill>
          </w14:textFill>
        </w:rPr>
        <w:t>。</w:t>
      </w:r>
    </w:p>
    <w:p>
      <w:pPr>
        <w:numPr>
          <w:ilvl w:val="0"/>
          <w:numId w:val="47"/>
        </w:numPr>
        <w:adjustRightInd w:val="0"/>
        <w:spacing w:line="360" w:lineRule="auto"/>
        <w:ind w:left="742" w:hanging="493"/>
        <w:rPr>
          <w:rFonts w:ascii="宋体" w:hAnsi="宋体" w:eastAsia="宋体" w:cs="Times New Roman"/>
          <w:color w:val="000000" w:themeColor="text1"/>
          <w:sz w:val="24"/>
          <w:szCs w:val="24"/>
          <w:lang w:val="zh-CN"/>
          <w14:textFill>
            <w14:solidFill>
              <w14:schemeClr w14:val="tx1"/>
            </w14:solidFill>
          </w14:textFill>
        </w:rPr>
      </w:pPr>
      <w:r>
        <w:rPr>
          <w:rFonts w:ascii="宋体" w:hAnsi="宋体" w:eastAsia="宋体" w:cs="Times New Roman"/>
          <w:color w:val="000000" w:themeColor="text1"/>
          <w:sz w:val="24"/>
          <w:szCs w:val="24"/>
          <w:lang w:val="zh-CN"/>
          <w14:textFill>
            <w14:solidFill>
              <w14:schemeClr w14:val="tx1"/>
            </w14:solidFill>
          </w14:textFill>
        </w:rPr>
        <w:t>修正后的报价按照</w:t>
      </w:r>
      <w:r>
        <w:rPr>
          <w:rFonts w:hint="eastAsia" w:ascii="宋体" w:hAnsi="宋体" w:eastAsia="宋体" w:cs="Times New Roman"/>
          <w:color w:val="000000" w:themeColor="text1"/>
          <w:sz w:val="24"/>
          <w:szCs w:val="24"/>
          <w:lang w:val="zh-CN"/>
          <w14:textFill>
            <w14:solidFill>
              <w14:schemeClr w14:val="tx1"/>
            </w14:solidFill>
          </w14:textFill>
        </w:rPr>
        <w:t>本节第4条规定</w:t>
      </w:r>
      <w:r>
        <w:rPr>
          <w:rFonts w:ascii="宋体" w:hAnsi="宋体" w:eastAsia="宋体" w:cs="Times New Roman"/>
          <w:color w:val="000000" w:themeColor="text1"/>
          <w:sz w:val="24"/>
          <w:szCs w:val="24"/>
          <w:lang w:val="zh-CN"/>
          <w14:textFill>
            <w14:solidFill>
              <w14:schemeClr w14:val="tx1"/>
            </w14:solidFill>
          </w14:textFill>
        </w:rPr>
        <w:t>经投标人确认后产生约束力，投标人不确认的，</w:t>
      </w:r>
      <w:r>
        <w:rPr>
          <w:rFonts w:hint="eastAsia" w:ascii="宋体" w:hAnsi="宋体" w:eastAsia="宋体" w:cs="Times New Roman"/>
          <w:color w:val="000000" w:themeColor="text1"/>
          <w:sz w:val="24"/>
          <w:szCs w:val="24"/>
          <w:lang w:val="zh-CN"/>
          <w14:textFill>
            <w14:solidFill>
              <w14:schemeClr w14:val="tx1"/>
            </w14:solidFill>
          </w14:textFill>
        </w:rPr>
        <w:t>按照</w:t>
      </w:r>
      <w:r>
        <w:rPr>
          <w:rFonts w:ascii="宋体" w:hAnsi="宋体" w:eastAsia="宋体" w:cs="Times New Roman"/>
          <w:b/>
          <w:color w:val="000000" w:themeColor="text1"/>
          <w:sz w:val="24"/>
          <w:szCs w:val="24"/>
          <w:lang w:val="zh-CN"/>
          <w14:textFill>
            <w14:solidFill>
              <w14:schemeClr w14:val="tx1"/>
            </w14:solidFill>
          </w14:textFill>
        </w:rPr>
        <w:t>无效</w:t>
      </w:r>
      <w:r>
        <w:rPr>
          <w:rFonts w:hint="eastAsia" w:ascii="宋体" w:hAnsi="宋体" w:eastAsia="宋体" w:cs="Times New Roman"/>
          <w:b/>
          <w:color w:val="000000" w:themeColor="text1"/>
          <w:sz w:val="24"/>
          <w:szCs w:val="24"/>
          <w:lang w:val="zh-CN"/>
          <w14:textFill>
            <w14:solidFill>
              <w14:schemeClr w14:val="tx1"/>
            </w14:solidFill>
          </w14:textFill>
        </w:rPr>
        <w:t>投标处理</w:t>
      </w:r>
      <w:r>
        <w:rPr>
          <w:rFonts w:ascii="宋体" w:hAnsi="宋体" w:eastAsia="宋体" w:cs="Times New Roman"/>
          <w:color w:val="000000" w:themeColor="text1"/>
          <w:sz w:val="24"/>
          <w:szCs w:val="24"/>
          <w:lang w:val="zh-CN"/>
          <w14:textFill>
            <w14:solidFill>
              <w14:schemeClr w14:val="tx1"/>
            </w14:solidFill>
          </w14:textFill>
        </w:rPr>
        <w:t>。</w:t>
      </w:r>
    </w:p>
    <w:p>
      <w:pPr>
        <w:numPr>
          <w:ilvl w:val="0"/>
          <w:numId w:val="46"/>
        </w:numPr>
        <w:tabs>
          <w:tab w:val="left" w:pos="616"/>
        </w:tabs>
        <w:spacing w:line="360" w:lineRule="auto"/>
        <w:ind w:left="10" w:leftChars="5" w:firstLine="237" w:firstLineChars="99"/>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投标人的</w:t>
      </w:r>
      <w:r>
        <w:rPr>
          <w:rFonts w:ascii="Helvetica" w:hAnsi="Helvetica" w:eastAsia="宋体" w:cs="Helvetica"/>
          <w:color w:val="000000" w:themeColor="text1"/>
          <w:kern w:val="0"/>
          <w:sz w:val="24"/>
          <w:szCs w:val="24"/>
          <w:lang w:val="zh-CN"/>
          <w14:textFill>
            <w14:solidFill>
              <w14:schemeClr w14:val="tx1"/>
            </w14:solidFill>
          </w14:textFill>
        </w:rPr>
        <w:t>澄清、说明或者补正</w:t>
      </w:r>
      <w:r>
        <w:rPr>
          <w:rFonts w:hint="eastAsia" w:ascii="宋体" w:hAnsi="宋体" w:eastAsia="宋体" w:cs="Times New Roman"/>
          <w:color w:val="000000" w:themeColor="text1"/>
          <w:sz w:val="24"/>
          <w:szCs w:val="20"/>
          <w:lang w:val="zh-CN"/>
          <w14:textFill>
            <w14:solidFill>
              <w14:schemeClr w14:val="tx1"/>
            </w14:solidFill>
          </w14:textFill>
        </w:rPr>
        <w:t>是其投标文件的有效组成部分。</w:t>
      </w:r>
      <w:r>
        <w:rPr>
          <w:rFonts w:ascii="Helvetica" w:hAnsi="Helvetica" w:eastAsia="宋体" w:cs="Helvetica"/>
          <w:color w:val="000000" w:themeColor="text1"/>
          <w:kern w:val="0"/>
          <w:sz w:val="24"/>
          <w:szCs w:val="24"/>
          <w:lang w:val="zh-CN"/>
          <w14:textFill>
            <w14:solidFill>
              <w14:schemeClr w14:val="tx1"/>
            </w14:solidFill>
          </w14:textFill>
        </w:rPr>
        <w:t>投标人的澄清、说明或者补正应当采用书面形式，并加盖公章，或者由法定代表人或其授权的代表签字。</w:t>
      </w:r>
    </w:p>
    <w:p>
      <w:pPr>
        <w:numPr>
          <w:ilvl w:val="0"/>
          <w:numId w:val="44"/>
        </w:numPr>
        <w:ind w:left="1311" w:leftChars="154" w:hanging="988" w:hangingChars="353"/>
        <w:rPr>
          <w:rFonts w:ascii="宋体" w:hAnsi="宋体" w:eastAsia="宋体" w:cs="Times New Roman"/>
          <w:b/>
          <w:color w:val="000000" w:themeColor="text1"/>
          <w:sz w:val="28"/>
          <w:szCs w:val="28"/>
          <w:lang w:val="zh-CN"/>
          <w14:textFill>
            <w14:solidFill>
              <w14:schemeClr w14:val="tx1"/>
            </w14:solidFill>
          </w14:textFill>
        </w:rPr>
      </w:pPr>
      <w:r>
        <w:rPr>
          <w:rFonts w:hint="eastAsia" w:ascii="宋体" w:hAnsi="宋体" w:eastAsia="宋体" w:cs="Times New Roman"/>
          <w:b/>
          <w:color w:val="000000" w:themeColor="text1"/>
          <w:sz w:val="28"/>
          <w:szCs w:val="28"/>
          <w:lang w:val="zh-CN"/>
          <w14:textFill>
            <w14:solidFill>
              <w14:schemeClr w14:val="tx1"/>
            </w14:solidFill>
          </w14:textFill>
        </w:rPr>
        <w:t>综合比较与评价</w:t>
      </w:r>
    </w:p>
    <w:p>
      <w:pPr>
        <w:spacing w:line="360" w:lineRule="auto"/>
        <w:ind w:firstLine="480" w:firstLineChars="200"/>
        <w:rPr>
          <w:rFonts w:ascii="宋体" w:hAnsi="宋体" w:eastAsia="宋体" w:cs="Times New Roman"/>
          <w:bCs/>
          <w:color w:val="000000" w:themeColor="text1"/>
          <w:sz w:val="24"/>
          <w:szCs w:val="20"/>
          <w:lang w:val="zh-CN"/>
          <w14:textFill>
            <w14:solidFill>
              <w14:schemeClr w14:val="tx1"/>
            </w14:solidFill>
          </w14:textFill>
        </w:rPr>
      </w:pPr>
      <w:r>
        <w:rPr>
          <w:rFonts w:ascii="宋体" w:hAnsi="宋体" w:eastAsia="宋体" w:cs="Times New Roman"/>
          <w:bCs/>
          <w:color w:val="000000" w:themeColor="text1"/>
          <w:sz w:val="24"/>
          <w:szCs w:val="20"/>
          <w:lang w:val="zh-CN"/>
          <w14:textFill>
            <w14:solidFill>
              <w14:schemeClr w14:val="tx1"/>
            </w14:solidFill>
          </w14:textFill>
        </w:rPr>
        <w:t>评标委员会应当按照</w:t>
      </w:r>
      <w:r>
        <w:rPr>
          <w:rFonts w:hint="eastAsia" w:ascii="宋体" w:hAnsi="宋体" w:eastAsia="宋体" w:cs="Times New Roman"/>
          <w:bCs/>
          <w:color w:val="000000" w:themeColor="text1"/>
          <w:sz w:val="24"/>
          <w:szCs w:val="20"/>
          <w:lang w:val="zh-CN"/>
          <w14:textFill>
            <w14:solidFill>
              <w14:schemeClr w14:val="tx1"/>
            </w14:solidFill>
          </w14:textFill>
        </w:rPr>
        <w:t>本章</w:t>
      </w:r>
      <w:r>
        <w:rPr>
          <w:rFonts w:ascii="宋体" w:hAnsi="宋体" w:eastAsia="宋体" w:cs="Times New Roman"/>
          <w:bCs/>
          <w:color w:val="000000" w:themeColor="text1"/>
          <w:sz w:val="24"/>
          <w:szCs w:val="20"/>
          <w:lang w:val="zh-CN"/>
          <w14:textFill>
            <w14:solidFill>
              <w14:schemeClr w14:val="tx1"/>
            </w14:solidFill>
          </w14:textFill>
        </w:rPr>
        <w:t>中规定的</w:t>
      </w:r>
      <w:r>
        <w:rPr>
          <w:rFonts w:hint="eastAsia" w:ascii="宋体" w:hAnsi="宋体" w:eastAsia="宋体" w:cs="Times New Roman"/>
          <w:bCs/>
          <w:color w:val="000000" w:themeColor="text1"/>
          <w:sz w:val="24"/>
          <w:szCs w:val="20"/>
          <w:lang w:val="zh-CN"/>
          <w14:textFill>
            <w14:solidFill>
              <w14:schemeClr w14:val="tx1"/>
            </w14:solidFill>
          </w14:textFill>
        </w:rPr>
        <w:t>评标方法和标准</w:t>
      </w:r>
      <w:r>
        <w:rPr>
          <w:rFonts w:ascii="宋体" w:hAnsi="宋体" w:eastAsia="宋体" w:cs="Times New Roman"/>
          <w:bCs/>
          <w:color w:val="000000" w:themeColor="text1"/>
          <w:sz w:val="24"/>
          <w:szCs w:val="20"/>
          <w:lang w:val="zh-CN"/>
          <w14:textFill>
            <w14:solidFill>
              <w14:schemeClr w14:val="tx1"/>
            </w14:solidFill>
          </w14:textFill>
        </w:rPr>
        <w:t>，对符合性审查合格的投标文件进行商务和技术</w:t>
      </w:r>
      <w:r>
        <w:rPr>
          <w:rFonts w:hint="eastAsia" w:ascii="宋体" w:hAnsi="宋体" w:eastAsia="宋体" w:cs="Times New Roman"/>
          <w:bCs/>
          <w:color w:val="000000" w:themeColor="text1"/>
          <w:sz w:val="24"/>
          <w:szCs w:val="20"/>
          <w:lang w:val="zh-CN"/>
          <w14:textFill>
            <w14:solidFill>
              <w14:schemeClr w14:val="tx1"/>
            </w14:solidFill>
          </w14:textFill>
        </w:rPr>
        <w:t>、服务</w:t>
      </w:r>
      <w:r>
        <w:rPr>
          <w:rFonts w:ascii="宋体" w:hAnsi="宋体" w:eastAsia="宋体" w:cs="Times New Roman"/>
          <w:bCs/>
          <w:color w:val="000000" w:themeColor="text1"/>
          <w:sz w:val="24"/>
          <w:szCs w:val="20"/>
          <w:lang w:val="zh-CN"/>
          <w14:textFill>
            <w14:solidFill>
              <w14:schemeClr w14:val="tx1"/>
            </w14:solidFill>
          </w14:textFill>
        </w:rPr>
        <w:t>评估，综合比较与评价。</w:t>
      </w:r>
    </w:p>
    <w:p>
      <w:pPr>
        <w:numPr>
          <w:ilvl w:val="0"/>
          <w:numId w:val="48"/>
        </w:numPr>
        <w:tabs>
          <w:tab w:val="left" w:pos="616"/>
        </w:tabs>
        <w:spacing w:line="360" w:lineRule="auto"/>
        <w:ind w:left="10" w:leftChars="5" w:firstLine="237" w:firstLineChars="99"/>
        <w:rPr>
          <w:rFonts w:ascii="宋体" w:hAnsi="宋体" w:eastAsia="宋体" w:cs="Times New Roman"/>
          <w:b/>
          <w:bCs/>
          <w:color w:val="000000" w:themeColor="text1"/>
          <w:sz w:val="24"/>
          <w:szCs w:val="20"/>
          <w:lang w:val="zh-CN"/>
          <w14:textFill>
            <w14:solidFill>
              <w14:schemeClr w14:val="tx1"/>
            </w14:solidFill>
          </w14:textFill>
        </w:rPr>
      </w:pPr>
      <w:r>
        <w:rPr>
          <w:rFonts w:hint="eastAsia" w:ascii="宋体" w:hAnsi="宋体" w:eastAsia="宋体" w:cs="Times New Roman"/>
          <w:b/>
          <w:bCs/>
          <w:color w:val="000000" w:themeColor="text1"/>
          <w:sz w:val="24"/>
          <w:szCs w:val="20"/>
          <w:lang w:val="zh-CN"/>
          <w14:textFill>
            <w14:solidFill>
              <w14:schemeClr w14:val="tx1"/>
            </w14:solidFill>
          </w14:textFill>
        </w:rPr>
        <w:t>商务评议：</w:t>
      </w:r>
      <w:r>
        <w:rPr>
          <w:rFonts w:hint="eastAsia" w:ascii="宋体" w:hAnsi="宋体" w:eastAsia="宋体" w:cs="Times New Roman"/>
          <w:bCs/>
          <w:color w:val="000000" w:themeColor="text1"/>
          <w:sz w:val="24"/>
          <w:szCs w:val="20"/>
          <w:lang w:val="zh-CN"/>
          <w14:textFill>
            <w14:solidFill>
              <w14:schemeClr w14:val="tx1"/>
            </w14:solidFill>
          </w14:textFill>
        </w:rPr>
        <w:t>评标委员会对符合性审查合格的投标文件进行评议，并依据本章“评审因素及评分标准”中的商务评议进行综合比较和评分。</w:t>
      </w:r>
    </w:p>
    <w:p>
      <w:pPr>
        <w:numPr>
          <w:ilvl w:val="0"/>
          <w:numId w:val="48"/>
        </w:numPr>
        <w:tabs>
          <w:tab w:val="left" w:pos="616"/>
        </w:tabs>
        <w:spacing w:line="360" w:lineRule="auto"/>
        <w:ind w:left="10" w:leftChars="5" w:firstLine="237" w:firstLineChars="99"/>
        <w:rPr>
          <w:rFonts w:ascii="宋体" w:hAnsi="宋体" w:eastAsia="宋体" w:cs="Times New Roman"/>
          <w:b/>
          <w:bCs/>
          <w:color w:val="000000" w:themeColor="text1"/>
          <w:sz w:val="24"/>
          <w:szCs w:val="20"/>
          <w:lang w:val="zh-CN"/>
          <w14:textFill>
            <w14:solidFill>
              <w14:schemeClr w14:val="tx1"/>
            </w14:solidFill>
          </w14:textFill>
        </w:rPr>
      </w:pPr>
      <w:r>
        <w:rPr>
          <w:rFonts w:hint="eastAsia" w:ascii="宋体" w:hAnsi="宋体" w:eastAsia="宋体" w:cs="Times New Roman"/>
          <w:b/>
          <w:bCs/>
          <w:color w:val="000000" w:themeColor="text1"/>
          <w:sz w:val="24"/>
          <w:szCs w:val="20"/>
          <w:lang w:val="zh-CN"/>
          <w14:textFill>
            <w14:solidFill>
              <w14:schemeClr w14:val="tx1"/>
            </w14:solidFill>
          </w14:textFill>
        </w:rPr>
        <w:t>技术、服务评议：</w:t>
      </w:r>
      <w:r>
        <w:rPr>
          <w:rFonts w:hint="eastAsia" w:ascii="宋体" w:hAnsi="宋体" w:eastAsia="宋体" w:cs="Times New Roman"/>
          <w:bCs/>
          <w:color w:val="000000" w:themeColor="text1"/>
          <w:sz w:val="24"/>
          <w:szCs w:val="20"/>
          <w:lang w:val="zh-CN"/>
          <w14:textFill>
            <w14:solidFill>
              <w14:schemeClr w14:val="tx1"/>
            </w14:solidFill>
          </w14:textFill>
        </w:rPr>
        <w:t>评标委员会对符合性审查合格的投标文件进行评议，并依据本章“评审因素及评分标准”中的技术、服务评议进行综合比较和评分。</w:t>
      </w:r>
    </w:p>
    <w:p>
      <w:pPr>
        <w:numPr>
          <w:ilvl w:val="0"/>
          <w:numId w:val="48"/>
        </w:numPr>
        <w:tabs>
          <w:tab w:val="left" w:pos="616"/>
        </w:tabs>
        <w:spacing w:line="360" w:lineRule="auto"/>
        <w:ind w:left="10" w:leftChars="5" w:firstLine="237" w:firstLineChars="99"/>
        <w:rPr>
          <w:rFonts w:ascii="宋体" w:hAnsi="宋体" w:eastAsia="宋体" w:cs="Times New Roman"/>
          <w:b/>
          <w:bCs/>
          <w:color w:val="000000" w:themeColor="text1"/>
          <w:sz w:val="24"/>
          <w:szCs w:val="20"/>
          <w:lang w:val="zh-CN"/>
          <w14:textFill>
            <w14:solidFill>
              <w14:schemeClr w14:val="tx1"/>
            </w14:solidFill>
          </w14:textFill>
        </w:rPr>
      </w:pPr>
      <w:r>
        <w:rPr>
          <w:rFonts w:hint="eastAsia" w:ascii="宋体" w:hAnsi="宋体" w:eastAsia="宋体" w:cs="Times New Roman"/>
          <w:b/>
          <w:bCs/>
          <w:color w:val="000000" w:themeColor="text1"/>
          <w:sz w:val="24"/>
          <w:szCs w:val="20"/>
          <w:lang w:val="zh-CN"/>
          <w14:textFill>
            <w14:solidFill>
              <w14:schemeClr w14:val="tx1"/>
            </w14:solidFill>
          </w14:textFill>
        </w:rPr>
        <w:t>价格评议：</w:t>
      </w:r>
      <w:r>
        <w:rPr>
          <w:rFonts w:hint="eastAsia" w:ascii="宋体" w:hAnsi="宋体" w:eastAsia="宋体" w:cs="Times New Roman"/>
          <w:bCs/>
          <w:color w:val="000000" w:themeColor="text1"/>
          <w:sz w:val="24"/>
          <w:szCs w:val="24"/>
          <w14:textFill>
            <w14:solidFill>
              <w14:schemeClr w14:val="tx1"/>
            </w14:solidFill>
          </w14:textFill>
        </w:rPr>
        <w:t>评标委员会对符合性审查合格的投标文件进行价格评议（</w:t>
      </w:r>
      <w:r>
        <w:rPr>
          <w:rFonts w:hint="eastAsia" w:ascii="宋体" w:hAnsi="宋体" w:eastAsia="宋体" w:cs="Times New Roman"/>
          <w:bCs/>
          <w:color w:val="000000" w:themeColor="text1"/>
          <w:sz w:val="24"/>
          <w:szCs w:val="21"/>
          <w:lang w:val="zh-CN"/>
          <w14:textFill>
            <w14:solidFill>
              <w14:schemeClr w14:val="tx1"/>
            </w14:solidFill>
          </w14:textFill>
        </w:rPr>
        <w:t>执行国家统一定价标准和采用固定价格采购的项目，其价格不列为评审因素</w:t>
      </w:r>
      <w:r>
        <w:rPr>
          <w:rFonts w:hint="eastAsia" w:ascii="宋体" w:hAnsi="宋体" w:eastAsia="宋体" w:cs="Times New Roman"/>
          <w:bCs/>
          <w:color w:val="000000" w:themeColor="text1"/>
          <w:sz w:val="24"/>
          <w:szCs w:val="24"/>
          <w14:textFill>
            <w14:solidFill>
              <w14:schemeClr w14:val="tx1"/>
            </w14:solidFill>
          </w14:textFill>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49"/>
        </w:numPr>
        <w:adjustRightInd w:val="0"/>
        <w:spacing w:line="360" w:lineRule="auto"/>
        <w:ind w:left="742" w:hanging="493"/>
        <w:rPr>
          <w:rFonts w:ascii="宋体" w:hAnsi="宋体" w:eastAsia="宋体" w:cs="Times New Roman"/>
          <w:bCs/>
          <w:color w:val="000000" w:themeColor="text1"/>
          <w:sz w:val="24"/>
          <w:szCs w:val="21"/>
          <w:lang w:val="zh-CN"/>
          <w14:textFill>
            <w14:solidFill>
              <w14:schemeClr w14:val="tx1"/>
            </w14:solidFill>
          </w14:textFill>
        </w:rPr>
      </w:pPr>
      <w:r>
        <w:rPr>
          <w:rFonts w:hint="eastAsia" w:ascii="宋体" w:hAnsi="宋体" w:eastAsia="宋体" w:cs="Times New Roman"/>
          <w:b/>
          <w:color w:val="000000" w:themeColor="text1"/>
          <w:sz w:val="24"/>
          <w:szCs w:val="24"/>
          <w:lang w:val="zh-CN"/>
          <w14:textFill>
            <w14:solidFill>
              <w14:schemeClr w14:val="tx1"/>
            </w14:solidFill>
          </w14:textFill>
        </w:rPr>
        <w:t>报价合理性说明：</w:t>
      </w:r>
      <w:r>
        <w:rPr>
          <w:rFonts w:ascii="宋体" w:hAnsi="宋体" w:eastAsia="宋体" w:cs="Helvetica"/>
          <w:color w:val="000000" w:themeColor="text1"/>
          <w:kern w:val="0"/>
          <w:sz w:val="24"/>
          <w:szCs w:val="24"/>
          <w:lang w:val="zh-CN"/>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hint="eastAsia" w:ascii="宋体" w:hAnsi="宋体" w:eastAsia="宋体" w:cs="Helvetica"/>
          <w:color w:val="000000" w:themeColor="text1"/>
          <w:kern w:val="0"/>
          <w:sz w:val="24"/>
          <w:szCs w:val="24"/>
          <w:lang w:val="zh-CN"/>
          <w14:textFill>
            <w14:solidFill>
              <w14:schemeClr w14:val="tx1"/>
            </w14:solidFill>
          </w14:textFill>
        </w:rPr>
        <w:t>应当将其作为</w:t>
      </w:r>
      <w:r>
        <w:rPr>
          <w:rFonts w:ascii="宋体" w:hAnsi="宋体" w:eastAsia="宋体" w:cs="Helvetica"/>
          <w:b/>
          <w:color w:val="000000" w:themeColor="text1"/>
          <w:kern w:val="0"/>
          <w:sz w:val="24"/>
          <w:szCs w:val="24"/>
          <w:lang w:val="zh-CN"/>
          <w14:textFill>
            <w14:solidFill>
              <w14:schemeClr w14:val="tx1"/>
            </w14:solidFill>
          </w14:textFill>
        </w:rPr>
        <w:t>无效投标处理</w:t>
      </w:r>
      <w:r>
        <w:rPr>
          <w:rFonts w:ascii="宋体" w:hAnsi="宋体" w:eastAsia="宋体" w:cs="Helvetica"/>
          <w:color w:val="000000" w:themeColor="text1"/>
          <w:kern w:val="0"/>
          <w:sz w:val="24"/>
          <w:szCs w:val="24"/>
          <w:lang w:val="zh-CN"/>
          <w14:textFill>
            <w14:solidFill>
              <w14:schemeClr w14:val="tx1"/>
            </w14:solidFill>
          </w14:textFill>
        </w:rPr>
        <w:t>。</w:t>
      </w:r>
    </w:p>
    <w:p>
      <w:pPr>
        <w:numPr>
          <w:ilvl w:val="0"/>
          <w:numId w:val="49"/>
        </w:numPr>
        <w:adjustRightInd w:val="0"/>
        <w:spacing w:line="360" w:lineRule="auto"/>
        <w:ind w:left="742" w:hanging="493"/>
        <w:rPr>
          <w:rFonts w:ascii="宋体" w:hAnsi="宋体" w:eastAsia="宋体" w:cs="Times New Roman"/>
          <w:b/>
          <w:color w:val="000000" w:themeColor="text1"/>
          <w:sz w:val="24"/>
          <w:szCs w:val="24"/>
          <w:lang w:val="zh-CN"/>
          <w14:textFill>
            <w14:solidFill>
              <w14:schemeClr w14:val="tx1"/>
            </w14:solidFill>
          </w14:textFill>
        </w:rPr>
      </w:pPr>
      <w:r>
        <w:rPr>
          <w:rFonts w:hint="eastAsia" w:ascii="宋体" w:hAnsi="宋体" w:eastAsia="宋体" w:cs="Times New Roman"/>
          <w:b/>
          <w:color w:val="000000" w:themeColor="text1"/>
          <w:sz w:val="24"/>
          <w:szCs w:val="24"/>
          <w:lang w:val="zh-CN"/>
          <w14:textFill>
            <w14:solidFill>
              <w14:schemeClr w14:val="tx1"/>
            </w14:solidFill>
          </w14:textFill>
        </w:rPr>
        <w:t>小型和微型企业、监狱企业、残疾人福利性单位价格扣除：</w:t>
      </w:r>
    </w:p>
    <w:p>
      <w:pPr>
        <w:numPr>
          <w:ilvl w:val="0"/>
          <w:numId w:val="50"/>
        </w:numPr>
        <w:spacing w:line="360" w:lineRule="auto"/>
        <w:ind w:left="1134" w:hanging="756"/>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非专门面向中小企业的货物类采购项目，按招标文件中采购清单确定的货物，对小型和微型企业制造的货物价格给予</w:t>
      </w:r>
      <w:r>
        <w:rPr>
          <w:rFonts w:hint="eastAsia" w:ascii="宋体" w:hAnsi="宋体" w:eastAsia="宋体" w:cs="Times New Roman"/>
          <w:b/>
          <w:bCs/>
          <w:color w:val="000000" w:themeColor="text1"/>
          <w:sz w:val="24"/>
          <w:szCs w:val="20"/>
          <w:lang w:val="zh-CN"/>
          <w14:textFill>
            <w14:solidFill>
              <w14:schemeClr w14:val="tx1"/>
            </w14:solidFill>
          </w14:textFill>
        </w:rPr>
        <w:t>6%</w:t>
      </w:r>
      <w:r>
        <w:rPr>
          <w:rFonts w:hint="eastAsia" w:ascii="宋体" w:hAnsi="宋体" w:eastAsia="宋体" w:cs="Times New Roman"/>
          <w:bCs/>
          <w:color w:val="000000" w:themeColor="text1"/>
          <w:sz w:val="24"/>
          <w:szCs w:val="20"/>
          <w:lang w:val="zh-CN"/>
          <w14:textFill>
            <w14:solidFill>
              <w14:schemeClr w14:val="tx1"/>
            </w14:solidFill>
          </w14:textFill>
        </w:rPr>
        <w:t>的扣除，用扣除后的价格参与评审。</w:t>
      </w:r>
    </w:p>
    <w:p>
      <w:pPr>
        <w:numPr>
          <w:ilvl w:val="0"/>
          <w:numId w:val="50"/>
        </w:numPr>
        <w:spacing w:line="360" w:lineRule="auto"/>
        <w:ind w:left="1134" w:hanging="756"/>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非专门面向中小企业的工程、服务类采购项目，投标人是小型和微型企业的价格给予</w:t>
      </w:r>
      <w:r>
        <w:rPr>
          <w:rFonts w:hint="eastAsia" w:ascii="宋体" w:hAnsi="宋体" w:eastAsia="宋体" w:cs="Times New Roman"/>
          <w:b/>
          <w:bCs/>
          <w:color w:val="000000" w:themeColor="text1"/>
          <w:sz w:val="24"/>
          <w:szCs w:val="20"/>
          <w:lang w:val="zh-CN"/>
          <w14:textFill>
            <w14:solidFill>
              <w14:schemeClr w14:val="tx1"/>
            </w14:solidFill>
          </w14:textFill>
        </w:rPr>
        <w:t>6%</w:t>
      </w:r>
      <w:r>
        <w:rPr>
          <w:rFonts w:hint="eastAsia" w:ascii="宋体" w:hAnsi="宋体" w:eastAsia="宋体" w:cs="Times New Roman"/>
          <w:bCs/>
          <w:color w:val="000000" w:themeColor="text1"/>
          <w:sz w:val="24"/>
          <w:szCs w:val="20"/>
          <w:lang w:val="zh-CN"/>
          <w14:textFill>
            <w14:solidFill>
              <w14:schemeClr w14:val="tx1"/>
            </w14:solidFill>
          </w14:textFill>
        </w:rPr>
        <w:t>的扣除，用扣除后的价格参与评审。</w:t>
      </w:r>
    </w:p>
    <w:p>
      <w:pPr>
        <w:numPr>
          <w:ilvl w:val="0"/>
          <w:numId w:val="50"/>
        </w:numPr>
        <w:spacing w:line="360" w:lineRule="auto"/>
        <w:ind w:left="1134" w:hanging="756"/>
        <w:rPr>
          <w:rFonts w:ascii="宋体" w:hAnsi="宋体" w:eastAsia="宋体" w:cs="Times New Roman"/>
          <w:bCs/>
          <w:color w:val="000000" w:themeColor="text1"/>
          <w:sz w:val="24"/>
          <w:szCs w:val="20"/>
          <w:lang w:val="zh-CN"/>
          <w14:textFill>
            <w14:solidFill>
              <w14:schemeClr w14:val="tx1"/>
            </w14:solidFill>
          </w14:textFill>
        </w:rPr>
      </w:pPr>
      <w:r>
        <w:rPr>
          <w:rFonts w:ascii="宋体" w:hAnsi="宋体" w:eastAsia="宋体" w:cs="Times New Roman"/>
          <w:bCs/>
          <w:color w:val="000000" w:themeColor="text1"/>
          <w:sz w:val="24"/>
          <w:szCs w:val="20"/>
          <w:lang w:val="zh-CN"/>
          <w14:textFill>
            <w14:solidFill>
              <w14:schemeClr w14:val="tx1"/>
            </w14:solidFill>
          </w14:textFill>
        </w:rPr>
        <w:t>鼓励大中型企业和其他自然人</w:t>
      </w:r>
      <w:r>
        <w:rPr>
          <w:rFonts w:ascii="宋体" w:hAnsi="宋体" w:eastAsia="宋体" w:cs="Times New Roman"/>
          <w:bCs/>
          <w:color w:val="000000" w:themeColor="text1"/>
          <w:sz w:val="24"/>
          <w:szCs w:val="20"/>
          <w14:textFill>
            <w14:solidFill>
              <w14:schemeClr w14:val="tx1"/>
            </w14:solidFill>
          </w14:textFill>
        </w:rPr>
        <w:t>、法人或者其他组织与小型、微型企业组成联合体共同参加非专门面向中小企业的政府采购活动。联合协议中约定，小型、微型企业的协议合同金额占到联合体协议合同总金额</w:t>
      </w:r>
      <w:r>
        <w:rPr>
          <w:rFonts w:ascii="宋体" w:hAnsi="宋体" w:eastAsia="宋体" w:cs="Times New Roman"/>
          <w:b/>
          <w:bCs/>
          <w:color w:val="000000" w:themeColor="text1"/>
          <w:sz w:val="24"/>
          <w:szCs w:val="20"/>
          <w14:textFill>
            <w14:solidFill>
              <w14:schemeClr w14:val="tx1"/>
            </w14:solidFill>
          </w14:textFill>
        </w:rPr>
        <w:t>30%</w:t>
      </w:r>
      <w:r>
        <w:rPr>
          <w:rFonts w:ascii="宋体" w:hAnsi="宋体" w:eastAsia="宋体" w:cs="Times New Roman"/>
          <w:bCs/>
          <w:color w:val="000000" w:themeColor="text1"/>
          <w:sz w:val="24"/>
          <w:szCs w:val="20"/>
          <w14:textFill>
            <w14:solidFill>
              <w14:schemeClr w14:val="tx1"/>
            </w14:solidFill>
          </w14:textFill>
        </w:rPr>
        <w:t>以上的，可给予联合体</w:t>
      </w:r>
      <w:r>
        <w:rPr>
          <w:rFonts w:ascii="宋体" w:hAnsi="宋体" w:eastAsia="宋体" w:cs="Times New Roman"/>
          <w:b/>
          <w:bCs/>
          <w:color w:val="000000" w:themeColor="text1"/>
          <w:sz w:val="24"/>
          <w:szCs w:val="20"/>
          <w:lang w:val="zh-CN"/>
          <w14:textFill>
            <w14:solidFill>
              <w14:schemeClr w14:val="tx1"/>
            </w14:solidFill>
          </w14:textFill>
        </w:rPr>
        <w:t>3%</w:t>
      </w:r>
      <w:r>
        <w:rPr>
          <w:rFonts w:ascii="宋体" w:hAnsi="宋体" w:eastAsia="宋体" w:cs="Times New Roman"/>
          <w:bCs/>
          <w:color w:val="000000" w:themeColor="text1"/>
          <w:sz w:val="24"/>
          <w:szCs w:val="20"/>
          <w14:textFill>
            <w14:solidFill>
              <w14:schemeClr w14:val="tx1"/>
            </w14:solidFill>
          </w14:textFill>
        </w:rPr>
        <w:t>的价格扣除</w:t>
      </w:r>
      <w:r>
        <w:rPr>
          <w:rFonts w:hint="eastAsia" w:ascii="宋体" w:hAnsi="宋体" w:eastAsia="宋体" w:cs="Times New Roman"/>
          <w:bCs/>
          <w:color w:val="000000" w:themeColor="text1"/>
          <w:sz w:val="24"/>
          <w:szCs w:val="20"/>
          <w14:textFill>
            <w14:solidFill>
              <w14:schemeClr w14:val="tx1"/>
            </w14:solidFill>
          </w14:textFill>
        </w:rPr>
        <w:t>，</w:t>
      </w:r>
      <w:r>
        <w:rPr>
          <w:rFonts w:hint="eastAsia" w:ascii="宋体" w:hAnsi="宋体" w:eastAsia="宋体" w:cs="Times New Roman"/>
          <w:bCs/>
          <w:color w:val="000000" w:themeColor="text1"/>
          <w:sz w:val="24"/>
          <w:szCs w:val="20"/>
          <w:lang w:val="zh-CN"/>
          <w14:textFill>
            <w14:solidFill>
              <w14:schemeClr w14:val="tx1"/>
            </w14:solidFill>
          </w14:textFill>
        </w:rPr>
        <w:t>不重复享受政策。</w:t>
      </w:r>
    </w:p>
    <w:p>
      <w:pPr>
        <w:numPr>
          <w:ilvl w:val="0"/>
          <w:numId w:val="50"/>
        </w:numPr>
        <w:spacing w:line="360" w:lineRule="auto"/>
        <w:ind w:left="1134" w:hanging="756"/>
        <w:rPr>
          <w:rFonts w:ascii="宋体" w:hAnsi="宋体" w:eastAsia="宋体" w:cs="Times New Roman"/>
          <w:bCs/>
          <w:color w:val="000000" w:themeColor="text1"/>
          <w:sz w:val="24"/>
          <w:szCs w:val="20"/>
          <w:lang w:val="zh-CN"/>
          <w14:textFill>
            <w14:solidFill>
              <w14:schemeClr w14:val="tx1"/>
            </w14:solidFill>
          </w14:textFill>
        </w:rPr>
      </w:pPr>
      <w:r>
        <w:rPr>
          <w:rFonts w:ascii="宋体" w:hAnsi="宋体" w:eastAsia="宋体" w:cs="Times New Roman"/>
          <w:bCs/>
          <w:color w:val="000000" w:themeColor="text1"/>
          <w:sz w:val="24"/>
          <w:szCs w:val="20"/>
          <w:lang w:val="zh-CN"/>
          <w14:textFill>
            <w14:solidFill>
              <w14:schemeClr w14:val="tx1"/>
            </w14:solidFill>
          </w14:textFill>
        </w:rPr>
        <w:t>监狱企业</w:t>
      </w:r>
      <w:r>
        <w:rPr>
          <w:rFonts w:hint="eastAsia" w:ascii="宋体" w:hAnsi="宋体" w:eastAsia="宋体" w:cs="Times New Roman"/>
          <w:bCs/>
          <w:color w:val="000000" w:themeColor="text1"/>
          <w:sz w:val="24"/>
          <w:szCs w:val="20"/>
          <w:lang w:val="zh-CN"/>
          <w14:textFill>
            <w14:solidFill>
              <w14:schemeClr w14:val="tx1"/>
            </w14:solidFill>
          </w14:textFill>
        </w:rPr>
        <w:t>、残疾人福利性单位</w:t>
      </w:r>
      <w:r>
        <w:rPr>
          <w:rFonts w:ascii="宋体" w:hAnsi="宋体" w:eastAsia="宋体" w:cs="Times New Roman"/>
          <w:bCs/>
          <w:color w:val="000000" w:themeColor="text1"/>
          <w:sz w:val="24"/>
          <w:szCs w:val="20"/>
          <w:lang w:val="zh-CN"/>
          <w14:textFill>
            <w14:solidFill>
              <w14:schemeClr w14:val="tx1"/>
            </w14:solidFill>
          </w14:textFill>
        </w:rPr>
        <w:t>视同小型、微型企业，享受预留份额、评审中价格扣除等政府采购促进中小企业发展的政府采购政策</w:t>
      </w:r>
      <w:r>
        <w:rPr>
          <w:rFonts w:hint="eastAsia" w:ascii="宋体" w:hAnsi="宋体" w:eastAsia="宋体" w:cs="Times New Roman"/>
          <w:bCs/>
          <w:color w:val="000000" w:themeColor="text1"/>
          <w:sz w:val="24"/>
          <w:szCs w:val="20"/>
          <w:lang w:val="zh-CN"/>
          <w14:textFill>
            <w14:solidFill>
              <w14:schemeClr w14:val="tx1"/>
            </w14:solidFill>
          </w14:textFill>
        </w:rPr>
        <w:t>，残疾人福利性单位属于小型、微型企业的，不重复享受政策。</w:t>
      </w:r>
    </w:p>
    <w:p>
      <w:pPr>
        <w:numPr>
          <w:ilvl w:val="0"/>
          <w:numId w:val="50"/>
        </w:numPr>
        <w:spacing w:line="360" w:lineRule="auto"/>
        <w:ind w:left="1134" w:hanging="756"/>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小型和微型企业应出具《声明函》（附件二、三）；监狱企业应提供由省级监狱局、戒毒局（含新疆生产建设兵团）出具的监狱企业的证明文件；残疾人福利性单位提供《声明函》（附件四）。</w:t>
      </w:r>
    </w:p>
    <w:p>
      <w:pPr>
        <w:numPr>
          <w:ilvl w:val="0"/>
          <w:numId w:val="48"/>
        </w:numPr>
        <w:tabs>
          <w:tab w:val="left" w:pos="616"/>
        </w:tabs>
        <w:spacing w:line="360" w:lineRule="auto"/>
        <w:ind w:left="10" w:leftChars="5" w:firstLine="237" w:firstLineChars="99"/>
        <w:rPr>
          <w:rFonts w:ascii="宋体" w:hAnsi="宋体" w:eastAsia="宋体" w:cs="Times New Roman"/>
          <w:b/>
          <w:bCs/>
          <w:color w:val="000000" w:themeColor="text1"/>
          <w:sz w:val="24"/>
          <w:szCs w:val="20"/>
          <w:lang w:val="zh-CN"/>
          <w14:textFill>
            <w14:solidFill>
              <w14:schemeClr w14:val="tx1"/>
            </w14:solidFill>
          </w14:textFill>
        </w:rPr>
      </w:pPr>
      <w:r>
        <w:rPr>
          <w:rFonts w:hint="eastAsia" w:ascii="宋体" w:hAnsi="宋体" w:eastAsia="宋体" w:cs="Times New Roman"/>
          <w:b/>
          <w:bCs/>
          <w:color w:val="000000" w:themeColor="text1"/>
          <w:sz w:val="24"/>
          <w:szCs w:val="20"/>
          <w:lang w:val="zh-CN"/>
          <w14:textFill>
            <w14:solidFill>
              <w14:schemeClr w14:val="tx1"/>
            </w14:solidFill>
          </w14:textFill>
        </w:rPr>
        <w:t>相同品牌处理原则</w:t>
      </w:r>
    </w:p>
    <w:p>
      <w:pPr>
        <w:numPr>
          <w:ilvl w:val="0"/>
          <w:numId w:val="51"/>
        </w:numPr>
        <w:adjustRightInd w:val="0"/>
        <w:spacing w:line="360" w:lineRule="auto"/>
        <w:ind w:left="756" w:hanging="507"/>
        <w:rPr>
          <w:rFonts w:ascii="Helvetica" w:hAnsi="Helvetica" w:eastAsia="宋体" w:cs="Helvetica"/>
          <w:color w:val="000000" w:themeColor="text1"/>
          <w:kern w:val="0"/>
          <w:sz w:val="24"/>
          <w:szCs w:val="24"/>
          <w:lang w:val="zh-CN"/>
          <w14:textFill>
            <w14:solidFill>
              <w14:schemeClr w14:val="tx1"/>
            </w14:solidFill>
          </w14:textFill>
        </w:rPr>
      </w:pPr>
      <w:r>
        <w:rPr>
          <w:rFonts w:ascii="Helvetica" w:hAnsi="Helvetica" w:eastAsia="宋体" w:cs="Helvetica"/>
          <w:color w:val="000000" w:themeColor="text1"/>
          <w:kern w:val="0"/>
          <w:sz w:val="24"/>
          <w:szCs w:val="24"/>
          <w:lang w:val="zh-CN"/>
          <w14:textFill>
            <w14:solidFill>
              <w14:schemeClr w14:val="tx1"/>
            </w14:solidFill>
          </w14:textFill>
        </w:rPr>
        <w:t>提供相同品牌产品且通过资格审查、符合性审查的不同投标人参加同一合同项下投标的，按一家投标人计算，评审后得分最高的同品牌投标人获得中标人推荐资格；评审得分相同的，由采购人</w:t>
      </w:r>
      <w:r>
        <w:rPr>
          <w:rFonts w:hint="eastAsia" w:ascii="Helvetica" w:hAnsi="Helvetica" w:eastAsia="宋体" w:cs="Helvetica"/>
          <w:color w:val="000000" w:themeColor="text1"/>
          <w:kern w:val="0"/>
          <w:sz w:val="24"/>
          <w:szCs w:val="24"/>
          <w:lang w:val="zh-CN"/>
          <w14:textFill>
            <w14:solidFill>
              <w14:schemeClr w14:val="tx1"/>
            </w14:solidFill>
          </w14:textFill>
        </w:rPr>
        <w:t>确定</w:t>
      </w:r>
      <w:r>
        <w:rPr>
          <w:rFonts w:ascii="Helvetica" w:hAnsi="Helvetica" w:eastAsia="宋体" w:cs="Helvetica"/>
          <w:color w:val="000000" w:themeColor="text1"/>
          <w:kern w:val="0"/>
          <w:sz w:val="24"/>
          <w:szCs w:val="24"/>
          <w:lang w:val="zh-CN"/>
          <w14:textFill>
            <w14:solidFill>
              <w14:schemeClr w14:val="tx1"/>
            </w14:solidFill>
          </w14:textFill>
        </w:rPr>
        <w:t>或者采购人委托评标委员会</w:t>
      </w:r>
      <w:r>
        <w:rPr>
          <w:rFonts w:hint="eastAsia" w:ascii="Helvetica" w:hAnsi="Helvetica" w:eastAsia="宋体" w:cs="Helvetica"/>
          <w:color w:val="000000" w:themeColor="text1"/>
          <w:kern w:val="0"/>
          <w:sz w:val="24"/>
          <w:szCs w:val="24"/>
          <w:lang w:val="zh-CN"/>
          <w14:textFill>
            <w14:solidFill>
              <w14:schemeClr w14:val="tx1"/>
            </w14:solidFill>
          </w14:textFill>
        </w:rPr>
        <w:t>以投票方式</w:t>
      </w:r>
      <w:r>
        <w:rPr>
          <w:rFonts w:ascii="Helvetica" w:hAnsi="Helvetica" w:eastAsia="宋体" w:cs="Helvetica"/>
          <w:color w:val="000000" w:themeColor="text1"/>
          <w:kern w:val="0"/>
          <w:sz w:val="24"/>
          <w:szCs w:val="24"/>
          <w:lang w:val="zh-CN"/>
          <w14:textFill>
            <w14:solidFill>
              <w14:schemeClr w14:val="tx1"/>
            </w14:solidFill>
          </w14:textFill>
        </w:rPr>
        <w:t>确定一个投标人获得中标人推荐资格，其他同品牌投标人不作为中标候选人。</w:t>
      </w:r>
    </w:p>
    <w:p>
      <w:pPr>
        <w:numPr>
          <w:ilvl w:val="0"/>
          <w:numId w:val="51"/>
        </w:numPr>
        <w:adjustRightInd w:val="0"/>
        <w:spacing w:line="360" w:lineRule="auto"/>
        <w:ind w:left="756" w:hanging="507"/>
        <w:rPr>
          <w:rFonts w:ascii="Helvetica" w:hAnsi="Helvetica" w:eastAsia="宋体" w:cs="Helvetica"/>
          <w:color w:val="000000" w:themeColor="text1"/>
          <w:kern w:val="0"/>
          <w:sz w:val="24"/>
          <w:szCs w:val="24"/>
          <w:lang w:val="zh-CN"/>
          <w14:textFill>
            <w14:solidFill>
              <w14:schemeClr w14:val="tx1"/>
            </w14:solidFill>
          </w14:textFill>
        </w:rPr>
      </w:pPr>
      <w:r>
        <w:rPr>
          <w:rFonts w:ascii="Helvetica" w:hAnsi="Helvetica" w:eastAsia="宋体" w:cs="Helvetica"/>
          <w:color w:val="000000" w:themeColor="text1"/>
          <w:kern w:val="0"/>
          <w:sz w:val="24"/>
          <w:szCs w:val="24"/>
          <w:lang w:val="zh-CN"/>
          <w14:textFill>
            <w14:solidFill>
              <w14:schemeClr w14:val="tx1"/>
            </w14:solidFill>
          </w14:textFill>
        </w:rPr>
        <w:t>非单一产品采购项目，采购人应当根据采购项目技术构成、产品价格比重等合理确定</w:t>
      </w:r>
      <w:r>
        <w:rPr>
          <w:rFonts w:hint="eastAsia" w:ascii="Helvetica" w:hAnsi="Helvetica" w:eastAsia="宋体" w:cs="Helvetica"/>
          <w:b/>
          <w:color w:val="000000" w:themeColor="text1"/>
          <w:kern w:val="0"/>
          <w:sz w:val="24"/>
          <w:szCs w:val="24"/>
          <w:lang w:val="zh-CN"/>
          <w14:textFill>
            <w14:solidFill>
              <w14:schemeClr w14:val="tx1"/>
            </w14:solidFill>
          </w14:textFill>
        </w:rPr>
        <w:t>一个</w:t>
      </w:r>
      <w:r>
        <w:rPr>
          <w:rFonts w:ascii="Helvetica" w:hAnsi="Helvetica" w:eastAsia="宋体" w:cs="Helvetica"/>
          <w:b/>
          <w:color w:val="000000" w:themeColor="text1"/>
          <w:kern w:val="0"/>
          <w:sz w:val="24"/>
          <w:szCs w:val="24"/>
          <w:lang w:val="zh-CN"/>
          <w14:textFill>
            <w14:solidFill>
              <w14:schemeClr w14:val="tx1"/>
            </w14:solidFill>
          </w14:textFill>
        </w:rPr>
        <w:t>核心产品</w:t>
      </w:r>
      <w:r>
        <w:rPr>
          <w:rFonts w:hint="eastAsia" w:ascii="Helvetica" w:hAnsi="Helvetica" w:eastAsia="宋体" w:cs="Helvetica"/>
          <w:color w:val="000000" w:themeColor="text1"/>
          <w:kern w:val="0"/>
          <w:sz w:val="24"/>
          <w:szCs w:val="24"/>
          <w:lang w:val="zh-CN"/>
          <w14:textFill>
            <w14:solidFill>
              <w14:schemeClr w14:val="tx1"/>
            </w14:solidFill>
          </w14:textFill>
        </w:rPr>
        <w:t>（采购清单中作“相同〈或同一〉品牌”实质性要求的产品，视为一个核心产品），</w:t>
      </w:r>
      <w:r>
        <w:rPr>
          <w:rFonts w:ascii="Helvetica" w:hAnsi="Helvetica" w:eastAsia="宋体" w:cs="Helvetica"/>
          <w:color w:val="000000" w:themeColor="text1"/>
          <w:kern w:val="0"/>
          <w:sz w:val="24"/>
          <w:szCs w:val="24"/>
          <w:lang w:val="zh-CN"/>
          <w14:textFill>
            <w14:solidFill>
              <w14:schemeClr w14:val="tx1"/>
            </w14:solidFill>
          </w14:textFill>
        </w:rPr>
        <w:t>并</w:t>
      </w:r>
      <w:r>
        <w:rPr>
          <w:rFonts w:hint="eastAsia" w:ascii="Helvetica" w:hAnsi="Helvetica" w:eastAsia="宋体" w:cs="Helvetica"/>
          <w:color w:val="000000" w:themeColor="text1"/>
          <w:kern w:val="0"/>
          <w:sz w:val="24"/>
          <w:szCs w:val="24"/>
          <w:lang w:val="zh-CN"/>
          <w14:textFill>
            <w14:solidFill>
              <w14:schemeClr w14:val="tx1"/>
            </w14:solidFill>
          </w14:textFill>
        </w:rPr>
        <w:t>以</w:t>
      </w:r>
      <w:r>
        <w:rPr>
          <w:rFonts w:hint="eastAsia" w:ascii="Helvetica" w:hAnsi="Helvetica" w:eastAsia="宋体" w:cs="Helvetica"/>
          <w:b/>
          <w:color w:val="000000" w:themeColor="text1"/>
          <w:kern w:val="0"/>
          <w:sz w:val="24"/>
          <w:szCs w:val="24"/>
          <w:lang w:val="zh-CN"/>
          <w14:textFill>
            <w14:solidFill>
              <w14:schemeClr w14:val="tx1"/>
            </w14:solidFill>
          </w14:textFill>
        </w:rPr>
        <w:t>“</w:t>
      </w:r>
      <w:r>
        <w:rPr>
          <w:rFonts w:hint="eastAsia" w:ascii="MS Gothic" w:hAnsi="MS Gothic" w:eastAsia="宋体" w:cs="MS Gothic"/>
          <w:b/>
          <w:color w:val="000000" w:themeColor="text1"/>
          <w:kern w:val="0"/>
          <w:sz w:val="24"/>
          <w:szCs w:val="24"/>
          <w:lang w:val="zh-CN"/>
          <w14:textFill>
            <w14:solidFill>
              <w14:schemeClr w14:val="tx1"/>
            </w14:solidFill>
          </w14:textFill>
        </w:rPr>
        <w:t>核心产品</w:t>
      </w:r>
      <w:r>
        <w:rPr>
          <w:rFonts w:hint="eastAsia" w:ascii="Helvetica" w:hAnsi="Helvetica" w:eastAsia="宋体" w:cs="Helvetica"/>
          <w:b/>
          <w:color w:val="000000" w:themeColor="text1"/>
          <w:kern w:val="0"/>
          <w:sz w:val="24"/>
          <w:szCs w:val="24"/>
          <w:lang w:val="zh-CN"/>
          <w14:textFill>
            <w14:solidFill>
              <w14:schemeClr w14:val="tx1"/>
            </w14:solidFill>
          </w14:textFill>
        </w:rPr>
        <w:t>”</w:t>
      </w:r>
      <w:r>
        <w:rPr>
          <w:rFonts w:ascii="Helvetica" w:hAnsi="Helvetica" w:eastAsia="宋体" w:cs="Helvetica"/>
          <w:color w:val="000000" w:themeColor="text1"/>
          <w:kern w:val="0"/>
          <w:sz w:val="24"/>
          <w:szCs w:val="24"/>
          <w:lang w:val="zh-CN"/>
          <w14:textFill>
            <w14:solidFill>
              <w14:schemeClr w14:val="tx1"/>
            </w14:solidFill>
          </w14:textFill>
        </w:rPr>
        <w:t>在招标文件中</w:t>
      </w:r>
      <w:r>
        <w:rPr>
          <w:rFonts w:hint="eastAsia" w:ascii="Helvetica" w:hAnsi="Helvetica" w:eastAsia="宋体" w:cs="Helvetica"/>
          <w:color w:val="000000" w:themeColor="text1"/>
          <w:kern w:val="0"/>
          <w:sz w:val="24"/>
          <w:szCs w:val="24"/>
          <w:lang w:val="zh-CN"/>
          <w14:textFill>
            <w14:solidFill>
              <w14:schemeClr w14:val="tx1"/>
            </w14:solidFill>
          </w14:textFill>
        </w:rPr>
        <w:t>标注</w:t>
      </w:r>
      <w:r>
        <w:rPr>
          <w:rFonts w:ascii="Helvetica" w:hAnsi="Helvetica" w:eastAsia="宋体" w:cs="Helvetica"/>
          <w:color w:val="000000" w:themeColor="text1"/>
          <w:kern w:val="0"/>
          <w:sz w:val="24"/>
          <w:szCs w:val="24"/>
          <w:lang w:val="zh-CN"/>
          <w14:textFill>
            <w14:solidFill>
              <w14:schemeClr w14:val="tx1"/>
            </w14:solidFill>
          </w14:textFill>
        </w:rPr>
        <w:t>。</w:t>
      </w:r>
    </w:p>
    <w:p>
      <w:pPr>
        <w:numPr>
          <w:ilvl w:val="0"/>
          <w:numId w:val="48"/>
        </w:numPr>
        <w:tabs>
          <w:tab w:val="left" w:pos="616"/>
        </w:tabs>
        <w:spacing w:line="360" w:lineRule="auto"/>
        <w:ind w:left="10" w:leftChars="5" w:firstLine="237" w:firstLineChars="99"/>
        <w:rPr>
          <w:rFonts w:ascii="宋体" w:hAnsi="宋体" w:eastAsia="宋体" w:cs="Times New Roman"/>
          <w:b/>
          <w:bCs/>
          <w:color w:val="000000" w:themeColor="text1"/>
          <w:sz w:val="24"/>
          <w:szCs w:val="20"/>
          <w:lang w:val="zh-CN"/>
          <w14:textFill>
            <w14:solidFill>
              <w14:schemeClr w14:val="tx1"/>
            </w14:solidFill>
          </w14:textFill>
        </w:rPr>
      </w:pPr>
      <w:r>
        <w:rPr>
          <w:rFonts w:hint="eastAsia" w:ascii="宋体" w:hAnsi="宋体" w:eastAsia="宋体" w:cs="Times New Roman"/>
          <w:b/>
          <w:bCs/>
          <w:color w:val="000000" w:themeColor="text1"/>
          <w:sz w:val="24"/>
          <w:szCs w:val="20"/>
          <w:lang w:val="zh-CN"/>
          <w14:textFill>
            <w14:solidFill>
              <w14:schemeClr w14:val="tx1"/>
            </w14:solidFill>
          </w14:textFill>
        </w:rPr>
        <w:t>计分办法</w:t>
      </w:r>
    </w:p>
    <w:p>
      <w:pPr>
        <w:numPr>
          <w:ilvl w:val="0"/>
          <w:numId w:val="52"/>
        </w:numPr>
        <w:adjustRightInd w:val="0"/>
        <w:spacing w:line="360" w:lineRule="auto"/>
        <w:ind w:left="756" w:hanging="507"/>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集中采购机构对各评委的总分进行复核。各项统计结果均精确到小数点后两位。</w:t>
      </w:r>
    </w:p>
    <w:p>
      <w:pPr>
        <w:numPr>
          <w:ilvl w:val="0"/>
          <w:numId w:val="52"/>
        </w:numPr>
        <w:adjustRightInd w:val="0"/>
        <w:spacing w:line="360" w:lineRule="auto"/>
        <w:ind w:left="756" w:hanging="507"/>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各投标人的最终得分为评委所评定分数的算术平均值。</w:t>
      </w:r>
    </w:p>
    <w:p>
      <w:pPr>
        <w:numPr>
          <w:ilvl w:val="0"/>
          <w:numId w:val="44"/>
        </w:numPr>
        <w:ind w:left="1311" w:leftChars="154" w:hanging="988" w:hangingChars="353"/>
        <w:rPr>
          <w:rFonts w:ascii="宋体" w:hAnsi="宋体" w:eastAsia="宋体" w:cs="Times New Roman"/>
          <w:b/>
          <w:color w:val="000000" w:themeColor="text1"/>
          <w:sz w:val="28"/>
          <w:szCs w:val="28"/>
          <w:lang w:val="zh-CN"/>
          <w14:textFill>
            <w14:solidFill>
              <w14:schemeClr w14:val="tx1"/>
            </w14:solidFill>
          </w14:textFill>
        </w:rPr>
      </w:pPr>
      <w:r>
        <w:rPr>
          <w:rFonts w:hint="eastAsia" w:ascii="宋体" w:hAnsi="宋体" w:eastAsia="宋体" w:cs="Times New Roman"/>
          <w:b/>
          <w:color w:val="000000" w:themeColor="text1"/>
          <w:sz w:val="28"/>
          <w:szCs w:val="28"/>
          <w:lang w:val="zh-CN"/>
          <w14:textFill>
            <w14:solidFill>
              <w14:schemeClr w14:val="tx1"/>
            </w14:solidFill>
          </w14:textFill>
        </w:rPr>
        <w:t>推荐中标候选人名单或确定中标人</w:t>
      </w:r>
    </w:p>
    <w:p>
      <w:pPr>
        <w:numPr>
          <w:ilvl w:val="0"/>
          <w:numId w:val="53"/>
        </w:numPr>
        <w:tabs>
          <w:tab w:val="left" w:pos="616"/>
        </w:tabs>
        <w:spacing w:line="360" w:lineRule="auto"/>
        <w:ind w:left="10" w:leftChars="5" w:firstLine="237" w:firstLineChars="99"/>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评标委员会按照招标文件确定的评标方法、程序及标准，对投标文件进行评审。</w:t>
      </w:r>
      <w:r>
        <w:rPr>
          <w:rFonts w:ascii="Helvetica" w:hAnsi="Helvetica" w:eastAsia="宋体" w:cs="Helvetica"/>
          <w:color w:val="000000" w:themeColor="text1"/>
          <w:kern w:val="0"/>
          <w:sz w:val="24"/>
          <w:szCs w:val="24"/>
          <w:lang w:val="zh-CN"/>
          <w14:textFill>
            <w14:solidFill>
              <w14:schemeClr w14:val="tx1"/>
            </w14:solidFill>
          </w14:textFill>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53"/>
        </w:numPr>
        <w:tabs>
          <w:tab w:val="left" w:pos="616"/>
        </w:tabs>
        <w:spacing w:line="360" w:lineRule="auto"/>
        <w:ind w:left="10" w:leftChars="5" w:firstLine="237" w:firstLineChars="99"/>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评标委员会依据评标结果，按各投标人的评审后得分由高到低的顺序向采购人推荐得分前三名的进入中标候选人名单，并形成书面的评标报告。</w:t>
      </w:r>
    </w:p>
    <w:p>
      <w:pPr>
        <w:numPr>
          <w:ilvl w:val="0"/>
          <w:numId w:val="53"/>
        </w:numPr>
        <w:tabs>
          <w:tab w:val="left" w:pos="616"/>
        </w:tabs>
        <w:spacing w:line="360" w:lineRule="auto"/>
        <w:ind w:left="10" w:leftChars="5" w:firstLine="237" w:firstLineChars="99"/>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中标候选人并列的，</w:t>
      </w:r>
      <w:r>
        <w:rPr>
          <w:rFonts w:ascii="Helvetica" w:hAnsi="Helvetica" w:eastAsia="宋体" w:cs="Helvetica"/>
          <w:color w:val="000000" w:themeColor="text1"/>
          <w:kern w:val="0"/>
          <w:sz w:val="24"/>
          <w:szCs w:val="24"/>
          <w:lang w:val="zh-CN"/>
          <w14:textFill>
            <w14:solidFill>
              <w14:schemeClr w14:val="tx1"/>
            </w14:solidFill>
          </w14:textFill>
        </w:rPr>
        <w:t>由采购人</w:t>
      </w:r>
      <w:r>
        <w:rPr>
          <w:rFonts w:hint="eastAsia" w:ascii="Helvetica" w:hAnsi="Helvetica" w:eastAsia="宋体" w:cs="Helvetica"/>
          <w:color w:val="000000" w:themeColor="text1"/>
          <w:kern w:val="0"/>
          <w:sz w:val="24"/>
          <w:szCs w:val="24"/>
          <w:lang w:val="zh-CN"/>
          <w14:textFill>
            <w14:solidFill>
              <w14:schemeClr w14:val="tx1"/>
            </w14:solidFill>
          </w14:textFill>
        </w:rPr>
        <w:t>确定</w:t>
      </w:r>
      <w:r>
        <w:rPr>
          <w:rFonts w:ascii="Helvetica" w:hAnsi="Helvetica" w:eastAsia="宋体" w:cs="Helvetica"/>
          <w:color w:val="000000" w:themeColor="text1"/>
          <w:kern w:val="0"/>
          <w:sz w:val="24"/>
          <w:szCs w:val="24"/>
          <w:lang w:val="zh-CN"/>
          <w14:textFill>
            <w14:solidFill>
              <w14:schemeClr w14:val="tx1"/>
            </w14:solidFill>
          </w14:textFill>
        </w:rPr>
        <w:t>或者采购人委托评标委员会</w:t>
      </w:r>
      <w:r>
        <w:rPr>
          <w:rFonts w:hint="eastAsia" w:ascii="Helvetica" w:hAnsi="Helvetica" w:eastAsia="宋体" w:cs="Helvetica"/>
          <w:color w:val="000000" w:themeColor="text1"/>
          <w:kern w:val="0"/>
          <w:sz w:val="24"/>
          <w:szCs w:val="24"/>
          <w:lang w:val="zh-CN"/>
          <w14:textFill>
            <w14:solidFill>
              <w14:schemeClr w14:val="tx1"/>
            </w14:solidFill>
          </w14:textFill>
        </w:rPr>
        <w:t>以投票方式</w:t>
      </w:r>
      <w:r>
        <w:rPr>
          <w:rFonts w:ascii="Helvetica" w:hAnsi="Helvetica" w:eastAsia="宋体" w:cs="Helvetica"/>
          <w:color w:val="000000" w:themeColor="text1"/>
          <w:kern w:val="0"/>
          <w:sz w:val="24"/>
          <w:szCs w:val="24"/>
          <w:lang w:val="zh-CN"/>
          <w14:textFill>
            <w14:solidFill>
              <w14:schemeClr w14:val="tx1"/>
            </w14:solidFill>
          </w14:textFill>
        </w:rPr>
        <w:t>确定中标人。</w:t>
      </w:r>
    </w:p>
    <w:p>
      <w:pPr>
        <w:numPr>
          <w:ilvl w:val="0"/>
          <w:numId w:val="53"/>
        </w:numPr>
        <w:tabs>
          <w:tab w:val="left" w:pos="616"/>
        </w:tabs>
        <w:spacing w:line="360" w:lineRule="auto"/>
        <w:ind w:left="10" w:leftChars="5" w:firstLine="237" w:firstLineChars="99"/>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评标委员会应当在评标报告上签字，对自己的评审意见承担法律责任。对评标报告有异议的，应当在评标报告上签署不同意见，并说明理由，否则视为同意评标报告。</w:t>
      </w:r>
    </w:p>
    <w:p>
      <w:pPr>
        <w:numPr>
          <w:ilvl w:val="0"/>
          <w:numId w:val="53"/>
        </w:numPr>
        <w:tabs>
          <w:tab w:val="left" w:pos="616"/>
        </w:tabs>
        <w:spacing w:line="360" w:lineRule="auto"/>
        <w:ind w:left="10" w:leftChars="5" w:firstLine="237" w:firstLineChars="99"/>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中标人的数量有其他规定的，应在此处明确方法、中标比例等。</w:t>
      </w:r>
    </w:p>
    <w:p>
      <w:pPr>
        <w:pStyle w:val="21"/>
        <w:rPr>
          <w:lang w:val="zh-CN"/>
        </w:rPr>
      </w:pPr>
    </w:p>
    <w:p>
      <w:pPr>
        <w:rPr>
          <w:lang w:val="zh-CN"/>
        </w:rPr>
      </w:pPr>
    </w:p>
    <w:p>
      <w:pPr>
        <w:pStyle w:val="21"/>
        <w:rPr>
          <w:lang w:val="zh-CN"/>
        </w:rPr>
      </w:pPr>
    </w:p>
    <w:p>
      <w:pPr>
        <w:rPr>
          <w:lang w:val="zh-CN"/>
        </w:rPr>
      </w:pPr>
    </w:p>
    <w:p>
      <w:pPr>
        <w:pStyle w:val="5"/>
        <w:spacing w:before="0" w:after="0" w:line="360" w:lineRule="auto"/>
        <w:jc w:val="left"/>
        <w:rPr>
          <w:rFonts w:cs="Times New Roman" w:asciiTheme="majorEastAsia" w:hAnsiTheme="majorEastAsia"/>
          <w:bCs w:val="0"/>
          <w:color w:val="FF0000"/>
          <w:sz w:val="30"/>
          <w:szCs w:val="30"/>
          <w:lang w:val="zh-CN"/>
        </w:rPr>
      </w:pPr>
      <w:bookmarkStart w:id="61" w:name="_Toc494561963"/>
    </w:p>
    <w:p>
      <w:pPr>
        <w:rPr>
          <w:rFonts w:cs="Times New Roman" w:asciiTheme="majorEastAsia" w:hAnsiTheme="majorEastAsia"/>
          <w:color w:val="FF0000"/>
          <w:sz w:val="30"/>
          <w:szCs w:val="30"/>
          <w:lang w:val="zh-CN"/>
        </w:rPr>
      </w:pPr>
      <w:r>
        <w:rPr>
          <w:rFonts w:hint="eastAsia" w:cs="Times New Roman" w:asciiTheme="majorEastAsia" w:hAnsiTheme="majorEastAsia"/>
          <w:color w:val="FF0000"/>
          <w:sz w:val="30"/>
          <w:szCs w:val="30"/>
          <w:lang w:val="zh-CN"/>
        </w:rPr>
        <w:br w:type="page"/>
      </w:r>
    </w:p>
    <w:p>
      <w:pPr>
        <w:pStyle w:val="5"/>
        <w:spacing w:before="0" w:after="0" w:line="360" w:lineRule="auto"/>
        <w:jc w:val="left"/>
        <w:rPr>
          <w:rFonts w:cs="Times New Roman" w:asciiTheme="majorEastAsia" w:hAnsiTheme="majorEastAsia"/>
          <w:bCs w:val="0"/>
          <w:color w:val="FF0000"/>
          <w:sz w:val="30"/>
          <w:szCs w:val="30"/>
          <w:lang w:val="zh-CN"/>
        </w:rPr>
      </w:pPr>
      <w:bookmarkStart w:id="62" w:name="_Toc26631"/>
      <w:r>
        <w:rPr>
          <w:rFonts w:hint="eastAsia" w:cs="Times New Roman" w:asciiTheme="majorEastAsia" w:hAnsiTheme="majorEastAsia"/>
          <w:bCs w:val="0"/>
          <w:color w:val="FF0000"/>
          <w:sz w:val="30"/>
          <w:szCs w:val="30"/>
          <w:lang w:val="zh-CN"/>
        </w:rPr>
        <w:t>三、评审因素及评分标准</w:t>
      </w:r>
      <w:bookmarkEnd w:id="61"/>
      <w:bookmarkEnd w:id="62"/>
    </w:p>
    <w:tbl>
      <w:tblPr>
        <w:tblStyle w:val="16"/>
        <w:tblpPr w:leftFromText="180" w:rightFromText="180" w:vertAnchor="text" w:horzAnchor="page" w:tblpX="1267" w:tblpY="628"/>
        <w:tblOverlap w:val="never"/>
        <w:tblW w:w="9578" w:type="dxa"/>
        <w:tblInd w:w="0" w:type="dxa"/>
        <w:tblLayout w:type="fixed"/>
        <w:tblCellMar>
          <w:top w:w="0" w:type="dxa"/>
          <w:left w:w="108" w:type="dxa"/>
          <w:bottom w:w="0" w:type="dxa"/>
          <w:right w:w="108" w:type="dxa"/>
        </w:tblCellMar>
      </w:tblPr>
      <w:tblGrid>
        <w:gridCol w:w="698"/>
        <w:gridCol w:w="980"/>
        <w:gridCol w:w="806"/>
        <w:gridCol w:w="7094"/>
      </w:tblGrid>
      <w:tr>
        <w:tblPrEx>
          <w:tblCellMar>
            <w:top w:w="0" w:type="dxa"/>
            <w:left w:w="108" w:type="dxa"/>
            <w:bottom w:w="0" w:type="dxa"/>
            <w:right w:w="108" w:type="dxa"/>
          </w:tblCellMar>
        </w:tblPrEx>
        <w:trPr>
          <w:trHeight w:val="635" w:hRule="atLeast"/>
        </w:trPr>
        <w:tc>
          <w:tcPr>
            <w:tcW w:w="167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val="0"/>
                <w:bCs/>
                <w:color w:val="auto"/>
                <w:kern w:val="0"/>
                <w:sz w:val="20"/>
                <w:szCs w:val="20"/>
                <w:highlight w:val="none"/>
              </w:rPr>
            </w:pPr>
            <w:r>
              <w:rPr>
                <w:rFonts w:hint="eastAsia" w:ascii="宋体" w:hAnsi="宋体" w:cs="宋体"/>
                <w:b w:val="0"/>
                <w:bCs/>
                <w:color w:val="auto"/>
                <w:kern w:val="0"/>
                <w:sz w:val="20"/>
                <w:szCs w:val="20"/>
                <w:highlight w:val="none"/>
              </w:rPr>
              <w:t>评分项目</w:t>
            </w:r>
          </w:p>
        </w:tc>
        <w:tc>
          <w:tcPr>
            <w:tcW w:w="80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b w:val="0"/>
                <w:bCs/>
                <w:color w:val="auto"/>
                <w:kern w:val="0"/>
                <w:sz w:val="20"/>
                <w:szCs w:val="20"/>
                <w:highlight w:val="none"/>
              </w:rPr>
            </w:pPr>
            <w:r>
              <w:rPr>
                <w:rFonts w:hint="eastAsia" w:ascii="宋体" w:hAnsi="宋体" w:cs="宋体"/>
                <w:b w:val="0"/>
                <w:bCs/>
                <w:color w:val="auto"/>
                <w:kern w:val="0"/>
                <w:sz w:val="20"/>
                <w:szCs w:val="20"/>
                <w:highlight w:val="none"/>
              </w:rPr>
              <w:t>分数</w:t>
            </w:r>
          </w:p>
        </w:tc>
        <w:tc>
          <w:tcPr>
            <w:tcW w:w="709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b w:val="0"/>
                <w:bCs/>
                <w:color w:val="auto"/>
                <w:kern w:val="0"/>
                <w:sz w:val="20"/>
                <w:szCs w:val="20"/>
                <w:highlight w:val="none"/>
              </w:rPr>
            </w:pPr>
            <w:r>
              <w:rPr>
                <w:rFonts w:hint="eastAsia" w:ascii="宋体" w:hAnsi="宋体" w:cs="宋体"/>
                <w:b w:val="0"/>
                <w:bCs/>
                <w:color w:val="auto"/>
                <w:kern w:val="0"/>
                <w:sz w:val="20"/>
                <w:szCs w:val="20"/>
                <w:highlight w:val="none"/>
              </w:rPr>
              <w:t>评  分  标  准</w:t>
            </w:r>
          </w:p>
        </w:tc>
      </w:tr>
      <w:tr>
        <w:tblPrEx>
          <w:tblCellMar>
            <w:top w:w="0" w:type="dxa"/>
            <w:left w:w="108" w:type="dxa"/>
            <w:bottom w:w="0" w:type="dxa"/>
            <w:right w:w="108" w:type="dxa"/>
          </w:tblCellMar>
        </w:tblPrEx>
        <w:trPr>
          <w:trHeight w:val="635" w:hRule="atLeast"/>
        </w:trPr>
        <w:tc>
          <w:tcPr>
            <w:tcW w:w="167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val="0"/>
                <w:bCs/>
                <w:color w:val="auto"/>
                <w:kern w:val="0"/>
                <w:sz w:val="20"/>
                <w:szCs w:val="20"/>
                <w:highlight w:val="none"/>
                <w:lang w:val="en-US" w:eastAsia="zh-CN"/>
              </w:rPr>
            </w:pPr>
            <w:r>
              <w:rPr>
                <w:rFonts w:hint="eastAsia" w:ascii="宋体" w:hAnsi="宋体" w:cs="宋体"/>
                <w:b w:val="0"/>
                <w:bCs/>
                <w:color w:val="auto"/>
                <w:kern w:val="0"/>
                <w:sz w:val="20"/>
                <w:szCs w:val="20"/>
                <w:highlight w:val="none"/>
              </w:rPr>
              <w:t>报价部分</w:t>
            </w:r>
            <w:r>
              <w:rPr>
                <w:rFonts w:hint="eastAsia" w:ascii="宋体" w:hAnsi="宋体" w:cs="宋体"/>
                <w:b w:val="0"/>
                <w:bCs/>
                <w:color w:val="auto"/>
                <w:kern w:val="0"/>
                <w:sz w:val="20"/>
                <w:szCs w:val="20"/>
                <w:highlight w:val="none"/>
                <w:lang w:eastAsia="zh-CN"/>
              </w:rPr>
              <w:t>（</w:t>
            </w:r>
            <w:r>
              <w:rPr>
                <w:rFonts w:hint="eastAsia" w:ascii="宋体" w:hAnsi="宋体" w:cs="宋体"/>
                <w:b w:val="0"/>
                <w:bCs/>
                <w:color w:val="auto"/>
                <w:kern w:val="0"/>
                <w:sz w:val="20"/>
                <w:szCs w:val="20"/>
                <w:highlight w:val="none"/>
                <w:lang w:val="en-US" w:eastAsia="zh-CN"/>
              </w:rPr>
              <w:t>30分</w:t>
            </w:r>
            <w:r>
              <w:rPr>
                <w:rFonts w:hint="eastAsia" w:ascii="宋体" w:hAnsi="宋体" w:cs="宋体"/>
                <w:b w:val="0"/>
                <w:bCs/>
                <w:color w:val="auto"/>
                <w:kern w:val="0"/>
                <w:sz w:val="20"/>
                <w:szCs w:val="20"/>
                <w:highlight w:val="none"/>
                <w:lang w:eastAsia="zh-CN"/>
              </w:rPr>
              <w:t>）</w:t>
            </w:r>
          </w:p>
        </w:tc>
        <w:tc>
          <w:tcPr>
            <w:tcW w:w="80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b w:val="0"/>
                <w:bCs/>
                <w:color w:val="auto"/>
                <w:kern w:val="0"/>
                <w:sz w:val="20"/>
                <w:szCs w:val="20"/>
                <w:highlight w:val="none"/>
              </w:rPr>
            </w:pPr>
            <w:r>
              <w:rPr>
                <w:rFonts w:hint="eastAsia" w:ascii="宋体" w:hAnsi="宋体" w:cs="宋体"/>
                <w:b w:val="0"/>
                <w:bCs/>
                <w:color w:val="auto"/>
                <w:kern w:val="0"/>
                <w:sz w:val="20"/>
                <w:szCs w:val="20"/>
                <w:highlight w:val="none"/>
              </w:rPr>
              <w:t>30</w:t>
            </w:r>
          </w:p>
        </w:tc>
        <w:tc>
          <w:tcPr>
            <w:tcW w:w="7094"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b w:val="0"/>
                <w:bCs/>
                <w:color w:val="auto"/>
                <w:kern w:val="0"/>
                <w:sz w:val="20"/>
                <w:szCs w:val="20"/>
                <w:highlight w:val="none"/>
              </w:rPr>
            </w:pPr>
            <w:r>
              <w:rPr>
                <w:rFonts w:hint="eastAsia" w:ascii="宋体" w:hAnsi="宋体" w:cs="Helvetica"/>
                <w:b w:val="0"/>
                <w:bCs/>
                <w:color w:val="auto"/>
                <w:kern w:val="0"/>
                <w:szCs w:val="21"/>
                <w:highlight w:val="none"/>
                <w:lang w:val="zh-CN"/>
              </w:rPr>
              <w:t>评标委员会只对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评标基准价／投标报价)×30  计算时保留两位小数。为保证产品质量，投标报价低于采购预算</w:t>
            </w:r>
            <w:r>
              <w:rPr>
                <w:rFonts w:hint="eastAsia" w:ascii="宋体" w:hAnsi="宋体" w:cs="Helvetica"/>
                <w:b w:val="0"/>
                <w:bCs/>
                <w:color w:val="auto"/>
                <w:kern w:val="0"/>
                <w:szCs w:val="21"/>
                <w:highlight w:val="none"/>
                <w:lang w:val="en-US" w:eastAsia="zh-CN"/>
              </w:rPr>
              <w:t>85</w:t>
            </w:r>
            <w:r>
              <w:rPr>
                <w:rFonts w:hint="eastAsia" w:ascii="宋体" w:hAnsi="宋体" w:cs="Helvetica"/>
                <w:b w:val="0"/>
                <w:bCs/>
                <w:color w:val="auto"/>
                <w:kern w:val="0"/>
                <w:szCs w:val="21"/>
                <w:highlight w:val="none"/>
                <w:lang w:val="zh-CN"/>
              </w:rPr>
              <w:t>%时，评审委员会将对其进行成本分析，评标委员会认为报价低于成本价时将否决其投标。</w:t>
            </w:r>
          </w:p>
        </w:tc>
      </w:tr>
      <w:tr>
        <w:tblPrEx>
          <w:tblCellMar>
            <w:top w:w="0" w:type="dxa"/>
            <w:left w:w="108" w:type="dxa"/>
            <w:bottom w:w="0" w:type="dxa"/>
            <w:right w:w="108" w:type="dxa"/>
          </w:tblCellMar>
        </w:tblPrEx>
        <w:trPr>
          <w:trHeight w:val="1590" w:hRule="atLeast"/>
        </w:trPr>
        <w:tc>
          <w:tcPr>
            <w:tcW w:w="698" w:type="dxa"/>
            <w:vMerge w:val="restart"/>
            <w:tcBorders>
              <w:top w:val="single" w:color="auto" w:sz="4" w:space="0"/>
              <w:left w:val="single" w:color="auto" w:sz="4" w:space="0"/>
              <w:right w:val="single" w:color="auto" w:sz="4" w:space="0"/>
            </w:tcBorders>
            <w:noWrap w:val="0"/>
            <w:vAlign w:val="center"/>
          </w:tcPr>
          <w:p>
            <w:pPr>
              <w:widowControl/>
              <w:jc w:val="left"/>
              <w:textAlignment w:val="center"/>
              <w:rPr>
                <w:rFonts w:hint="eastAsia" w:ascii="宋体" w:hAnsi="宋体" w:cs="宋体"/>
                <w:b w:val="0"/>
                <w:bCs/>
                <w:color w:val="auto"/>
                <w:kern w:val="0"/>
                <w:sz w:val="20"/>
                <w:szCs w:val="20"/>
                <w:highlight w:val="none"/>
              </w:rPr>
            </w:pPr>
            <w:r>
              <w:rPr>
                <w:rFonts w:hint="eastAsia" w:ascii="宋体" w:hAnsi="宋体" w:cs="宋体"/>
                <w:b w:val="0"/>
                <w:bCs/>
                <w:color w:val="auto"/>
                <w:kern w:val="0"/>
                <w:sz w:val="20"/>
                <w:szCs w:val="20"/>
                <w:highlight w:val="none"/>
              </w:rPr>
              <w:t>技术</w:t>
            </w:r>
            <w:r>
              <w:rPr>
                <w:rFonts w:hint="eastAsia" w:ascii="宋体" w:hAnsi="宋体" w:cs="宋体"/>
                <w:b w:val="0"/>
                <w:bCs/>
                <w:color w:val="auto"/>
                <w:kern w:val="0"/>
                <w:sz w:val="20"/>
                <w:szCs w:val="20"/>
                <w:highlight w:val="none"/>
                <w:lang w:val="en-US" w:eastAsia="zh-CN"/>
              </w:rPr>
              <w:t xml:space="preserve"> </w:t>
            </w:r>
            <w:r>
              <w:rPr>
                <w:rFonts w:hint="eastAsia" w:ascii="宋体" w:hAnsi="宋体" w:cs="宋体"/>
                <w:b w:val="0"/>
                <w:bCs/>
                <w:color w:val="auto"/>
                <w:kern w:val="0"/>
                <w:sz w:val="20"/>
                <w:szCs w:val="20"/>
                <w:highlight w:val="none"/>
              </w:rPr>
              <w:t>部分</w:t>
            </w:r>
            <w:r>
              <w:rPr>
                <w:rFonts w:hint="eastAsia" w:ascii="宋体" w:hAnsi="宋体" w:cs="宋体"/>
                <w:b w:val="0"/>
                <w:bCs/>
                <w:color w:val="auto"/>
                <w:kern w:val="0"/>
                <w:sz w:val="20"/>
                <w:szCs w:val="20"/>
                <w:highlight w:val="none"/>
                <w:lang w:eastAsia="zh-CN"/>
              </w:rPr>
              <w:t>（</w:t>
            </w:r>
            <w:r>
              <w:rPr>
                <w:rFonts w:hint="eastAsia" w:ascii="宋体" w:hAnsi="宋体" w:cs="宋体"/>
                <w:b w:val="0"/>
                <w:bCs/>
                <w:color w:val="auto"/>
                <w:kern w:val="0"/>
                <w:sz w:val="20"/>
                <w:szCs w:val="20"/>
                <w:highlight w:val="none"/>
                <w:lang w:val="en-US" w:eastAsia="zh-CN"/>
              </w:rPr>
              <w:t>50</w:t>
            </w:r>
            <w:r>
              <w:rPr>
                <w:rFonts w:hint="eastAsia" w:ascii="宋体" w:hAnsi="宋体" w:cs="宋体"/>
                <w:b w:val="0"/>
                <w:bCs/>
                <w:color w:val="auto"/>
                <w:kern w:val="0"/>
                <w:sz w:val="20"/>
                <w:szCs w:val="20"/>
                <w:highlight w:val="none"/>
              </w:rPr>
              <w:t>分</w:t>
            </w:r>
            <w:r>
              <w:rPr>
                <w:rFonts w:hint="eastAsia" w:ascii="宋体" w:hAnsi="宋体" w:cs="宋体"/>
                <w:b w:val="0"/>
                <w:bCs/>
                <w:color w:val="auto"/>
                <w:kern w:val="0"/>
                <w:sz w:val="20"/>
                <w:szCs w:val="20"/>
                <w:highlight w:val="none"/>
                <w:lang w:eastAsia="zh-CN"/>
              </w:rPr>
              <w:t>）</w:t>
            </w:r>
          </w:p>
        </w:tc>
        <w:tc>
          <w:tcPr>
            <w:tcW w:w="9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val="0"/>
                <w:bCs/>
                <w:color w:val="auto"/>
                <w:kern w:val="0"/>
                <w:sz w:val="20"/>
                <w:szCs w:val="20"/>
                <w:highlight w:val="none"/>
              </w:rPr>
            </w:pPr>
            <w:r>
              <w:rPr>
                <w:rFonts w:hint="eastAsia" w:ascii="宋体" w:hAnsi="宋体" w:cs="宋体"/>
                <w:b w:val="0"/>
                <w:bCs/>
                <w:color w:val="auto"/>
                <w:kern w:val="0"/>
                <w:sz w:val="20"/>
                <w:szCs w:val="20"/>
                <w:highlight w:val="none"/>
              </w:rPr>
              <w:t>产品技术</w:t>
            </w:r>
            <w:r>
              <w:rPr>
                <w:rFonts w:hint="eastAsia" w:ascii="宋体" w:hAnsi="宋体" w:cs="宋体"/>
                <w:b w:val="0"/>
                <w:bCs/>
                <w:color w:val="auto"/>
                <w:kern w:val="0"/>
                <w:sz w:val="20"/>
                <w:szCs w:val="20"/>
                <w:highlight w:val="none"/>
                <w:lang w:eastAsia="zh-CN"/>
              </w:rPr>
              <w:t>参数</w:t>
            </w:r>
            <w:r>
              <w:rPr>
                <w:rFonts w:hint="eastAsia" w:ascii="宋体" w:hAnsi="宋体" w:cs="宋体"/>
                <w:b w:val="0"/>
                <w:bCs/>
                <w:color w:val="auto"/>
                <w:kern w:val="0"/>
                <w:sz w:val="20"/>
                <w:szCs w:val="20"/>
                <w:highlight w:val="none"/>
              </w:rPr>
              <w:t>评分</w:t>
            </w:r>
          </w:p>
        </w:tc>
        <w:tc>
          <w:tcPr>
            <w:tcW w:w="80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b w:val="0"/>
                <w:bCs/>
                <w:color w:val="auto"/>
                <w:kern w:val="0"/>
                <w:sz w:val="20"/>
                <w:szCs w:val="20"/>
                <w:highlight w:val="none"/>
                <w:lang w:val="en-US" w:eastAsia="zh-CN"/>
              </w:rPr>
            </w:pPr>
            <w:r>
              <w:rPr>
                <w:rFonts w:hint="eastAsia" w:ascii="宋体" w:hAnsi="宋体" w:cs="宋体"/>
                <w:b w:val="0"/>
                <w:bCs/>
                <w:color w:val="auto"/>
                <w:kern w:val="0"/>
                <w:sz w:val="20"/>
                <w:szCs w:val="20"/>
                <w:highlight w:val="none"/>
                <w:lang w:val="en-US" w:eastAsia="zh-CN"/>
              </w:rPr>
              <w:t>34</w:t>
            </w:r>
          </w:p>
        </w:tc>
        <w:tc>
          <w:tcPr>
            <w:tcW w:w="709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val="0"/>
                <w:bCs/>
                <w:color w:val="auto"/>
                <w:kern w:val="0"/>
                <w:sz w:val="20"/>
                <w:szCs w:val="20"/>
                <w:highlight w:val="none"/>
                <w:lang w:eastAsia="zh-CN"/>
              </w:rPr>
            </w:pPr>
            <w:r>
              <w:rPr>
                <w:rFonts w:hint="eastAsia" w:ascii="宋体" w:hAnsi="宋体" w:cs="宋体"/>
                <w:b w:val="0"/>
                <w:bCs/>
                <w:color w:val="auto"/>
                <w:kern w:val="0"/>
                <w:sz w:val="20"/>
                <w:szCs w:val="20"/>
                <w:highlight w:val="none"/>
              </w:rPr>
              <w:t>1、招标文件中关键技术参数（带★号）</w:t>
            </w:r>
            <w:r>
              <w:rPr>
                <w:rFonts w:hint="eastAsia" w:ascii="宋体" w:hAnsi="宋体" w:cs="宋体"/>
                <w:b w:val="0"/>
                <w:bCs/>
                <w:color w:val="auto"/>
                <w:kern w:val="0"/>
                <w:sz w:val="20"/>
                <w:szCs w:val="20"/>
                <w:highlight w:val="none"/>
                <w:lang w:eastAsia="zh-CN"/>
              </w:rPr>
              <w:t>应提供第三方权威机构出具的检测报告佐证，并</w:t>
            </w:r>
            <w:r>
              <w:rPr>
                <w:rFonts w:hint="eastAsia" w:ascii="宋体" w:hAnsi="宋体" w:cs="宋体"/>
                <w:b w:val="0"/>
                <w:bCs/>
                <w:color w:val="auto"/>
                <w:kern w:val="0"/>
                <w:sz w:val="20"/>
                <w:szCs w:val="20"/>
                <w:highlight w:val="none"/>
              </w:rPr>
              <w:t>在</w:t>
            </w:r>
            <w:r>
              <w:rPr>
                <w:rFonts w:hint="eastAsia" w:ascii="宋体" w:hAnsi="宋体" w:cs="宋体"/>
                <w:b w:val="0"/>
                <w:bCs/>
                <w:color w:val="auto"/>
                <w:kern w:val="0"/>
                <w:sz w:val="20"/>
                <w:szCs w:val="20"/>
                <w:highlight w:val="none"/>
                <w:lang w:eastAsia="zh-CN"/>
              </w:rPr>
              <w:t>对应</w:t>
            </w:r>
            <w:r>
              <w:rPr>
                <w:rFonts w:hint="eastAsia" w:ascii="宋体" w:hAnsi="宋体" w:cs="宋体"/>
                <w:b w:val="0"/>
                <w:bCs/>
                <w:color w:val="auto"/>
                <w:kern w:val="0"/>
                <w:sz w:val="20"/>
                <w:szCs w:val="20"/>
                <w:highlight w:val="none"/>
              </w:rPr>
              <w:t>检验报告中体现</w:t>
            </w:r>
            <w:r>
              <w:rPr>
                <w:rFonts w:hint="eastAsia" w:ascii="宋体" w:hAnsi="宋体" w:cs="宋体"/>
                <w:b w:val="0"/>
                <w:bCs/>
                <w:color w:val="auto"/>
                <w:kern w:val="0"/>
                <w:sz w:val="20"/>
                <w:szCs w:val="20"/>
                <w:highlight w:val="none"/>
                <w:lang w:eastAsia="zh-CN"/>
              </w:rPr>
              <w:t>且</w:t>
            </w:r>
            <w:r>
              <w:rPr>
                <w:rFonts w:hint="eastAsia" w:ascii="宋体" w:hAnsi="宋体" w:cs="宋体"/>
                <w:b w:val="0"/>
                <w:bCs/>
                <w:color w:val="auto"/>
                <w:kern w:val="0"/>
                <w:sz w:val="20"/>
                <w:szCs w:val="20"/>
                <w:highlight w:val="none"/>
              </w:rPr>
              <w:t>注明检测报告对应检测项，关键技术参数（带★号）每有一项负偏离扣3分；以上项累计扣完</w:t>
            </w:r>
            <w:r>
              <w:rPr>
                <w:rFonts w:hint="eastAsia" w:ascii="宋体" w:hAnsi="宋体" w:eastAsia="宋体" w:cs="宋体"/>
                <w:b w:val="0"/>
                <w:bCs/>
                <w:color w:val="auto"/>
                <w:kern w:val="0"/>
                <w:sz w:val="20"/>
                <w:szCs w:val="20"/>
                <w:highlight w:val="none"/>
                <w:lang w:val="en-US" w:eastAsia="zh-CN"/>
              </w:rPr>
              <w:t>24</w:t>
            </w:r>
            <w:r>
              <w:rPr>
                <w:rFonts w:hint="eastAsia" w:ascii="宋体" w:hAnsi="宋体" w:cs="宋体"/>
                <w:b w:val="0"/>
                <w:bCs/>
                <w:color w:val="auto"/>
                <w:kern w:val="0"/>
                <w:sz w:val="20"/>
                <w:szCs w:val="20"/>
                <w:highlight w:val="none"/>
              </w:rPr>
              <w:t>分为止，不记负分（提供</w:t>
            </w:r>
            <w:r>
              <w:rPr>
                <w:rFonts w:hint="eastAsia" w:ascii="宋体" w:hAnsi="宋体" w:cs="宋体"/>
                <w:b w:val="0"/>
                <w:bCs/>
                <w:color w:val="auto"/>
                <w:kern w:val="0"/>
                <w:sz w:val="20"/>
                <w:szCs w:val="20"/>
                <w:highlight w:val="none"/>
                <w:lang w:eastAsia="zh-CN"/>
              </w:rPr>
              <w:t>第三方权威机构出具的检测报告复印件</w:t>
            </w:r>
            <w:r>
              <w:rPr>
                <w:rFonts w:hint="eastAsia" w:ascii="宋体" w:hAnsi="宋体" w:cs="宋体"/>
                <w:b w:val="0"/>
                <w:bCs/>
                <w:color w:val="auto"/>
                <w:kern w:val="0"/>
                <w:sz w:val="20"/>
                <w:szCs w:val="20"/>
                <w:highlight w:val="none"/>
              </w:rPr>
              <w:t>，</w:t>
            </w:r>
            <w:r>
              <w:rPr>
                <w:rFonts w:hint="eastAsia" w:ascii="宋体" w:hAnsi="宋体" w:eastAsia="宋体" w:cs="宋体"/>
                <w:b w:val="0"/>
                <w:bCs/>
                <w:color w:val="auto"/>
                <w:kern w:val="0"/>
                <w:sz w:val="20"/>
                <w:szCs w:val="20"/>
                <w:highlight w:val="none"/>
                <w:lang w:eastAsia="zh-CN"/>
              </w:rPr>
              <w:t>加盖制造商公章，</w:t>
            </w:r>
            <w:r>
              <w:rPr>
                <w:rFonts w:hint="eastAsia" w:ascii="宋体" w:hAnsi="宋体" w:cs="宋体"/>
                <w:b w:val="0"/>
                <w:bCs/>
                <w:color w:val="auto"/>
                <w:kern w:val="0"/>
                <w:sz w:val="20"/>
                <w:szCs w:val="20"/>
                <w:highlight w:val="none"/>
              </w:rPr>
              <w:t>未提供不得分。招标人保留对此核实并追究虚假响应的权利，由此造成的后果均由投标人独自全责承担）</w:t>
            </w:r>
            <w:r>
              <w:rPr>
                <w:rFonts w:hint="eastAsia" w:ascii="宋体" w:hAnsi="宋体" w:cs="宋体"/>
                <w:b w:val="0"/>
                <w:bCs/>
                <w:color w:val="auto"/>
                <w:kern w:val="0"/>
                <w:sz w:val="20"/>
                <w:szCs w:val="20"/>
                <w:highlight w:val="none"/>
                <w:lang w:eastAsia="zh-CN"/>
              </w:rPr>
              <w:t>。</w:t>
            </w:r>
          </w:p>
        </w:tc>
      </w:tr>
      <w:tr>
        <w:tblPrEx>
          <w:tblCellMar>
            <w:top w:w="0" w:type="dxa"/>
            <w:left w:w="108" w:type="dxa"/>
            <w:bottom w:w="0" w:type="dxa"/>
            <w:right w:w="108" w:type="dxa"/>
          </w:tblCellMar>
        </w:tblPrEx>
        <w:trPr>
          <w:trHeight w:val="1261" w:hRule="atLeast"/>
        </w:trPr>
        <w:tc>
          <w:tcPr>
            <w:tcW w:w="698" w:type="dxa"/>
            <w:vMerge w:val="continue"/>
            <w:tcBorders>
              <w:left w:val="single" w:color="auto" w:sz="4" w:space="0"/>
              <w:right w:val="single" w:color="auto" w:sz="4" w:space="0"/>
            </w:tcBorders>
            <w:noWrap w:val="0"/>
            <w:vAlign w:val="center"/>
          </w:tcPr>
          <w:p>
            <w:pPr>
              <w:widowControl/>
              <w:jc w:val="left"/>
              <w:textAlignment w:val="center"/>
              <w:rPr>
                <w:rFonts w:hint="eastAsia" w:ascii="宋体" w:hAnsi="宋体" w:cs="宋体"/>
                <w:b w:val="0"/>
                <w:bCs/>
                <w:color w:val="auto"/>
                <w:kern w:val="0"/>
                <w:sz w:val="20"/>
                <w:szCs w:val="20"/>
                <w:highlight w:val="none"/>
              </w:rPr>
            </w:pPr>
          </w:p>
        </w:tc>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val="0"/>
                <w:bCs/>
                <w:color w:val="auto"/>
                <w:kern w:val="0"/>
                <w:sz w:val="20"/>
                <w:szCs w:val="20"/>
                <w:highlight w:val="none"/>
              </w:rPr>
            </w:pPr>
          </w:p>
        </w:tc>
        <w:tc>
          <w:tcPr>
            <w:tcW w:w="8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val="0"/>
                <w:bCs/>
                <w:color w:val="auto"/>
                <w:kern w:val="0"/>
                <w:sz w:val="20"/>
                <w:szCs w:val="20"/>
                <w:highlight w:val="none"/>
              </w:rPr>
            </w:pPr>
          </w:p>
        </w:tc>
        <w:tc>
          <w:tcPr>
            <w:tcW w:w="709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val="0"/>
                <w:bCs/>
                <w:color w:val="auto"/>
                <w:kern w:val="0"/>
                <w:sz w:val="20"/>
                <w:szCs w:val="20"/>
                <w:highlight w:val="none"/>
                <w:lang w:eastAsia="zh-CN"/>
              </w:rPr>
            </w:pPr>
            <w:r>
              <w:rPr>
                <w:rFonts w:hint="eastAsia" w:ascii="宋体" w:hAnsi="宋体" w:cs="宋体"/>
                <w:b w:val="0"/>
                <w:bCs/>
                <w:color w:val="auto"/>
                <w:kern w:val="0"/>
                <w:sz w:val="20"/>
                <w:szCs w:val="20"/>
                <w:highlight w:val="none"/>
              </w:rPr>
              <w:t>2、设备不带“★”的技术</w:t>
            </w:r>
            <w:r>
              <w:rPr>
                <w:rFonts w:hint="eastAsia" w:ascii="宋体" w:hAnsi="宋体" w:cs="宋体"/>
                <w:b w:val="0"/>
                <w:bCs/>
                <w:color w:val="auto"/>
                <w:kern w:val="0"/>
                <w:sz w:val="20"/>
                <w:szCs w:val="20"/>
                <w:highlight w:val="none"/>
                <w:lang w:eastAsia="zh-CN"/>
              </w:rPr>
              <w:t>参数</w:t>
            </w:r>
            <w:r>
              <w:rPr>
                <w:rFonts w:hint="eastAsia" w:ascii="宋体" w:hAnsi="宋体" w:cs="宋体"/>
                <w:b w:val="0"/>
                <w:bCs/>
                <w:color w:val="auto"/>
                <w:kern w:val="0"/>
                <w:sz w:val="20"/>
                <w:szCs w:val="20"/>
                <w:highlight w:val="none"/>
              </w:rPr>
              <w:t>，投标人所投产品每有一项负偏离扣1分；以上项累计扣完</w:t>
            </w:r>
            <w:r>
              <w:rPr>
                <w:rFonts w:hint="eastAsia" w:ascii="宋体" w:hAnsi="宋体" w:cs="宋体"/>
                <w:b w:val="0"/>
                <w:bCs/>
                <w:color w:val="auto"/>
                <w:kern w:val="0"/>
                <w:sz w:val="20"/>
                <w:szCs w:val="20"/>
                <w:highlight w:val="none"/>
                <w:lang w:val="en-US" w:eastAsia="zh-CN"/>
              </w:rPr>
              <w:t>10</w:t>
            </w:r>
            <w:r>
              <w:rPr>
                <w:rFonts w:hint="eastAsia" w:ascii="宋体" w:hAnsi="宋体" w:cs="宋体"/>
                <w:b w:val="0"/>
                <w:bCs/>
                <w:color w:val="auto"/>
                <w:kern w:val="0"/>
                <w:sz w:val="20"/>
                <w:szCs w:val="20"/>
                <w:highlight w:val="none"/>
              </w:rPr>
              <w:t>分为止，不记负分（提供证明文件的复印件，未提供不得分。招标人保留对此核实并追究虚假响应的权利，由此造成的后果均由投标人独自全责承担）</w:t>
            </w:r>
            <w:r>
              <w:rPr>
                <w:rFonts w:hint="eastAsia" w:ascii="宋体" w:hAnsi="宋体" w:cs="宋体"/>
                <w:b w:val="0"/>
                <w:bCs/>
                <w:color w:val="auto"/>
                <w:kern w:val="0"/>
                <w:sz w:val="20"/>
                <w:szCs w:val="20"/>
                <w:highlight w:val="none"/>
                <w:lang w:eastAsia="zh-CN"/>
              </w:rPr>
              <w:t>。</w:t>
            </w:r>
          </w:p>
        </w:tc>
      </w:tr>
      <w:tr>
        <w:tblPrEx>
          <w:tblCellMar>
            <w:top w:w="0" w:type="dxa"/>
            <w:left w:w="108" w:type="dxa"/>
            <w:bottom w:w="0" w:type="dxa"/>
            <w:right w:w="108" w:type="dxa"/>
          </w:tblCellMar>
        </w:tblPrEx>
        <w:trPr>
          <w:trHeight w:val="630" w:hRule="atLeast"/>
        </w:trPr>
        <w:tc>
          <w:tcPr>
            <w:tcW w:w="698" w:type="dxa"/>
            <w:vMerge w:val="continue"/>
            <w:tcBorders>
              <w:left w:val="single" w:color="auto" w:sz="4" w:space="0"/>
              <w:right w:val="single" w:color="auto" w:sz="4" w:space="0"/>
            </w:tcBorders>
            <w:noWrap w:val="0"/>
            <w:vAlign w:val="center"/>
          </w:tcPr>
          <w:p>
            <w:pPr>
              <w:widowControl/>
              <w:jc w:val="left"/>
              <w:textAlignment w:val="center"/>
              <w:rPr>
                <w:rFonts w:hint="eastAsia" w:ascii="宋体" w:hAnsi="宋体" w:cs="宋体"/>
                <w:b w:val="0"/>
                <w:bCs/>
                <w:color w:val="auto"/>
                <w:kern w:val="0"/>
                <w:sz w:val="20"/>
                <w:szCs w:val="20"/>
                <w:highlight w:val="none"/>
              </w:rPr>
            </w:pPr>
          </w:p>
        </w:tc>
        <w:tc>
          <w:tcPr>
            <w:tcW w:w="9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color w:val="auto"/>
                <w:kern w:val="0"/>
                <w:sz w:val="20"/>
                <w:szCs w:val="20"/>
                <w:highlight w:val="none"/>
                <w:lang w:eastAsia="zh-CN"/>
              </w:rPr>
            </w:pPr>
            <w:r>
              <w:rPr>
                <w:rFonts w:hint="eastAsia" w:ascii="宋体" w:hAnsi="宋体" w:cs="宋体"/>
                <w:b w:val="0"/>
                <w:bCs/>
                <w:color w:val="auto"/>
                <w:kern w:val="0"/>
                <w:sz w:val="20"/>
                <w:szCs w:val="20"/>
                <w:highlight w:val="none"/>
                <w:lang w:eastAsia="zh-CN"/>
              </w:rPr>
              <w:t>主要施工方案评分</w:t>
            </w:r>
          </w:p>
        </w:tc>
        <w:tc>
          <w:tcPr>
            <w:tcW w:w="80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b w:val="0"/>
                <w:bCs/>
                <w:color w:val="auto"/>
                <w:kern w:val="0"/>
                <w:sz w:val="20"/>
                <w:szCs w:val="20"/>
                <w:highlight w:val="none"/>
                <w:lang w:val="en-US" w:eastAsia="zh-CN"/>
              </w:rPr>
            </w:pPr>
            <w:r>
              <w:rPr>
                <w:rFonts w:hint="eastAsia" w:ascii="宋体" w:hAnsi="宋体" w:cs="宋体"/>
                <w:b w:val="0"/>
                <w:bCs/>
                <w:color w:val="auto"/>
                <w:kern w:val="0"/>
                <w:sz w:val="20"/>
                <w:szCs w:val="20"/>
                <w:highlight w:val="none"/>
                <w:lang w:val="en-US" w:eastAsia="zh-CN"/>
              </w:rPr>
              <w:t>12</w:t>
            </w:r>
          </w:p>
        </w:tc>
        <w:tc>
          <w:tcPr>
            <w:tcW w:w="709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b w:val="0"/>
                <w:bCs/>
                <w:color w:val="auto"/>
                <w:kern w:val="0"/>
                <w:sz w:val="20"/>
                <w:szCs w:val="20"/>
                <w:highlight w:val="none"/>
                <w:lang w:eastAsia="zh-CN"/>
              </w:rPr>
            </w:pPr>
            <w:r>
              <w:rPr>
                <w:rFonts w:hint="eastAsia" w:ascii="宋体" w:hAnsi="宋体" w:cs="宋体"/>
                <w:b w:val="0"/>
                <w:bCs/>
                <w:color w:val="auto"/>
                <w:kern w:val="0"/>
                <w:sz w:val="20"/>
                <w:szCs w:val="20"/>
                <w:highlight w:val="none"/>
              </w:rPr>
              <w:t>施工部署</w:t>
            </w:r>
            <w:r>
              <w:rPr>
                <w:rFonts w:hint="eastAsia" w:ascii="宋体" w:hAnsi="宋体" w:cs="宋体"/>
                <w:b w:val="0"/>
                <w:bCs/>
                <w:color w:val="auto"/>
                <w:kern w:val="0"/>
                <w:sz w:val="20"/>
                <w:szCs w:val="20"/>
                <w:highlight w:val="none"/>
                <w:lang w:eastAsia="zh-CN"/>
              </w:rPr>
              <w:t>：针对本项目的</w:t>
            </w:r>
            <w:r>
              <w:rPr>
                <w:rFonts w:hint="eastAsia" w:ascii="宋体" w:hAnsi="宋体" w:cs="宋体"/>
                <w:b w:val="0"/>
                <w:bCs/>
                <w:color w:val="auto"/>
                <w:kern w:val="0"/>
                <w:sz w:val="20"/>
                <w:szCs w:val="20"/>
                <w:highlight w:val="none"/>
              </w:rPr>
              <w:t>施工部署</w:t>
            </w:r>
            <w:r>
              <w:rPr>
                <w:rFonts w:hint="eastAsia" w:ascii="宋体" w:hAnsi="宋体" w:eastAsia="宋体" w:cs="宋体"/>
                <w:b w:val="0"/>
                <w:bCs/>
                <w:color w:val="auto"/>
                <w:kern w:val="0"/>
                <w:sz w:val="20"/>
                <w:szCs w:val="20"/>
                <w:highlight w:val="none"/>
                <w:lang w:eastAsia="zh-CN"/>
              </w:rPr>
              <w:t>。</w:t>
            </w:r>
          </w:p>
          <w:p>
            <w:pPr>
              <w:widowControl/>
              <w:jc w:val="left"/>
              <w:textAlignment w:val="center"/>
              <w:rPr>
                <w:rFonts w:hint="eastAsia" w:ascii="宋体" w:hAnsi="宋体" w:cs="宋体"/>
                <w:b w:val="0"/>
                <w:bCs/>
                <w:color w:val="auto"/>
                <w:kern w:val="0"/>
                <w:sz w:val="20"/>
                <w:szCs w:val="20"/>
                <w:highlight w:val="none"/>
                <w:lang w:eastAsia="zh-CN"/>
              </w:rPr>
            </w:pPr>
            <w:r>
              <w:rPr>
                <w:rFonts w:hint="eastAsia" w:ascii="宋体" w:hAnsi="宋体" w:cs="宋体"/>
                <w:b w:val="0"/>
                <w:bCs/>
                <w:color w:val="auto"/>
                <w:sz w:val="21"/>
                <w:szCs w:val="21"/>
                <w:highlight w:val="none"/>
                <w:lang w:val="en-US" w:eastAsia="zh-CN"/>
              </w:rPr>
              <w:t>内容完备、科学、合理、针对性强的得3分，内容基本完备、基本合理、可行的得2分，欠合理、基本可行的得1，不可行、不能满足项目需要的不得分。</w:t>
            </w:r>
            <w:r>
              <w:rPr>
                <w:rFonts w:hint="eastAsia" w:ascii="宋体" w:hAnsi="宋体" w:cs="宋体"/>
                <w:b w:val="0"/>
                <w:bCs/>
                <w:color w:val="auto"/>
                <w:kern w:val="0"/>
                <w:sz w:val="20"/>
                <w:szCs w:val="20"/>
                <w:highlight w:val="none"/>
              </w:rPr>
              <w:t xml:space="preserve">  </w:t>
            </w:r>
          </w:p>
        </w:tc>
      </w:tr>
      <w:tr>
        <w:tblPrEx>
          <w:tblCellMar>
            <w:top w:w="0" w:type="dxa"/>
            <w:left w:w="108" w:type="dxa"/>
            <w:bottom w:w="0" w:type="dxa"/>
            <w:right w:w="108" w:type="dxa"/>
          </w:tblCellMar>
        </w:tblPrEx>
        <w:trPr>
          <w:trHeight w:val="527" w:hRule="atLeast"/>
        </w:trPr>
        <w:tc>
          <w:tcPr>
            <w:tcW w:w="698" w:type="dxa"/>
            <w:vMerge w:val="continue"/>
            <w:tcBorders>
              <w:left w:val="single" w:color="auto" w:sz="4" w:space="0"/>
              <w:right w:val="single" w:color="auto" w:sz="4" w:space="0"/>
            </w:tcBorders>
            <w:noWrap w:val="0"/>
            <w:vAlign w:val="center"/>
          </w:tcPr>
          <w:p>
            <w:pPr>
              <w:widowControl/>
              <w:jc w:val="left"/>
              <w:textAlignment w:val="center"/>
              <w:rPr>
                <w:rFonts w:hint="eastAsia" w:ascii="宋体" w:hAnsi="宋体" w:cs="宋体"/>
                <w:b w:val="0"/>
                <w:bCs/>
                <w:color w:val="auto"/>
                <w:kern w:val="0"/>
                <w:sz w:val="20"/>
                <w:szCs w:val="20"/>
                <w:highlight w:val="none"/>
              </w:rPr>
            </w:pPr>
          </w:p>
        </w:tc>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val="0"/>
                <w:bCs/>
                <w:color w:val="auto"/>
                <w:kern w:val="0"/>
                <w:sz w:val="20"/>
                <w:szCs w:val="20"/>
                <w:highlight w:val="none"/>
              </w:rPr>
            </w:pPr>
          </w:p>
        </w:tc>
        <w:tc>
          <w:tcPr>
            <w:tcW w:w="8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val="0"/>
                <w:bCs/>
                <w:color w:val="auto"/>
                <w:kern w:val="0"/>
                <w:sz w:val="20"/>
                <w:szCs w:val="20"/>
                <w:highlight w:val="none"/>
              </w:rPr>
            </w:pPr>
          </w:p>
        </w:tc>
        <w:tc>
          <w:tcPr>
            <w:tcW w:w="709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Calibri" w:cs="宋体"/>
                <w:b w:val="0"/>
                <w:bCs/>
                <w:color w:val="auto"/>
                <w:kern w:val="0"/>
                <w:sz w:val="20"/>
                <w:szCs w:val="20"/>
                <w:highlight w:val="none"/>
                <w:lang w:val="en-US" w:eastAsia="zh-CN"/>
              </w:rPr>
            </w:pPr>
            <w:r>
              <w:rPr>
                <w:rFonts w:hint="eastAsia" w:ascii="宋体" w:hAnsi="宋体" w:eastAsia="Calibri" w:cs="宋体"/>
                <w:b w:val="0"/>
                <w:bCs/>
                <w:color w:val="auto"/>
                <w:kern w:val="0"/>
                <w:sz w:val="20"/>
                <w:szCs w:val="20"/>
                <w:highlight w:val="none"/>
                <w:lang w:eastAsia="zh-CN"/>
              </w:rPr>
              <w:t>施工进度计划：针对本项目的施工进度计划</w:t>
            </w:r>
            <w:r>
              <w:rPr>
                <w:rFonts w:hint="eastAsia" w:ascii="宋体" w:hAnsi="宋体" w:eastAsia="Calibri" w:cs="宋体"/>
                <w:b w:val="0"/>
                <w:bCs/>
                <w:color w:val="auto"/>
                <w:kern w:val="0"/>
                <w:sz w:val="20"/>
                <w:szCs w:val="20"/>
                <w:highlight w:val="none"/>
                <w:lang w:val="en-US" w:eastAsia="zh-CN"/>
              </w:rPr>
              <w:t>。</w:t>
            </w:r>
          </w:p>
          <w:p>
            <w:pPr>
              <w:widowControl/>
              <w:jc w:val="left"/>
              <w:textAlignment w:val="center"/>
              <w:rPr>
                <w:rFonts w:hint="eastAsia"/>
                <w:b w:val="0"/>
                <w:bCs/>
                <w:color w:val="auto"/>
                <w:highlight w:val="none"/>
                <w:lang w:eastAsia="zh-CN"/>
              </w:rPr>
            </w:pPr>
            <w:r>
              <w:rPr>
                <w:rFonts w:hint="eastAsia" w:ascii="宋体" w:hAnsi="宋体" w:cs="宋体"/>
                <w:b w:val="0"/>
                <w:bCs/>
                <w:color w:val="auto"/>
                <w:sz w:val="21"/>
                <w:szCs w:val="21"/>
                <w:highlight w:val="none"/>
                <w:lang w:val="en-US" w:eastAsia="zh-CN"/>
              </w:rPr>
              <w:t>内容完备、科学、合理、针对性强的得3分，内容基本完备、基本合理、可行的得2分，欠合理、基本可行的得1，不可行、不能满足项目需要的不得分。</w:t>
            </w:r>
          </w:p>
        </w:tc>
      </w:tr>
      <w:tr>
        <w:tblPrEx>
          <w:tblCellMar>
            <w:top w:w="0" w:type="dxa"/>
            <w:left w:w="108" w:type="dxa"/>
            <w:bottom w:w="0" w:type="dxa"/>
            <w:right w:w="108" w:type="dxa"/>
          </w:tblCellMar>
        </w:tblPrEx>
        <w:trPr>
          <w:trHeight w:val="655" w:hRule="atLeast"/>
        </w:trPr>
        <w:tc>
          <w:tcPr>
            <w:tcW w:w="698" w:type="dxa"/>
            <w:vMerge w:val="continue"/>
            <w:tcBorders>
              <w:left w:val="single" w:color="auto" w:sz="4" w:space="0"/>
              <w:right w:val="single" w:color="auto" w:sz="4" w:space="0"/>
            </w:tcBorders>
            <w:noWrap w:val="0"/>
            <w:vAlign w:val="center"/>
          </w:tcPr>
          <w:p>
            <w:pPr>
              <w:widowControl/>
              <w:jc w:val="left"/>
              <w:textAlignment w:val="center"/>
              <w:rPr>
                <w:rFonts w:hint="eastAsia" w:ascii="宋体" w:hAnsi="宋体" w:cs="宋体"/>
                <w:b w:val="0"/>
                <w:bCs/>
                <w:color w:val="auto"/>
                <w:kern w:val="0"/>
                <w:sz w:val="20"/>
                <w:szCs w:val="20"/>
                <w:highlight w:val="none"/>
              </w:rPr>
            </w:pPr>
          </w:p>
        </w:tc>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val="0"/>
                <w:bCs/>
                <w:color w:val="auto"/>
                <w:kern w:val="0"/>
                <w:sz w:val="20"/>
                <w:szCs w:val="20"/>
                <w:highlight w:val="none"/>
              </w:rPr>
            </w:pPr>
          </w:p>
        </w:tc>
        <w:tc>
          <w:tcPr>
            <w:tcW w:w="8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val="0"/>
                <w:bCs/>
                <w:color w:val="auto"/>
                <w:kern w:val="0"/>
                <w:sz w:val="20"/>
                <w:szCs w:val="20"/>
                <w:highlight w:val="none"/>
              </w:rPr>
            </w:pPr>
          </w:p>
        </w:tc>
        <w:tc>
          <w:tcPr>
            <w:tcW w:w="709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val="0"/>
                <w:bCs/>
                <w:color w:val="auto"/>
                <w:kern w:val="0"/>
                <w:sz w:val="20"/>
                <w:szCs w:val="20"/>
                <w:highlight w:val="none"/>
                <w:lang w:val="en-US" w:eastAsia="zh-CN"/>
              </w:rPr>
            </w:pPr>
            <w:r>
              <w:rPr>
                <w:rFonts w:hint="eastAsia" w:ascii="宋体" w:hAnsi="宋体" w:cs="宋体"/>
                <w:b w:val="0"/>
                <w:bCs/>
                <w:color w:val="auto"/>
                <w:kern w:val="0"/>
                <w:sz w:val="20"/>
                <w:szCs w:val="20"/>
                <w:highlight w:val="none"/>
              </w:rPr>
              <w:t>施工准备与资源配置计划</w:t>
            </w:r>
            <w:r>
              <w:rPr>
                <w:rFonts w:hint="eastAsia" w:ascii="宋体" w:hAnsi="宋体" w:cs="宋体"/>
                <w:b w:val="0"/>
                <w:bCs/>
                <w:color w:val="auto"/>
                <w:kern w:val="0"/>
                <w:sz w:val="20"/>
                <w:szCs w:val="20"/>
                <w:highlight w:val="none"/>
                <w:lang w:val="en-US" w:eastAsia="zh-CN"/>
              </w:rPr>
              <w:t>。</w:t>
            </w:r>
          </w:p>
          <w:p>
            <w:pPr>
              <w:widowControl/>
              <w:jc w:val="left"/>
              <w:textAlignment w:val="center"/>
              <w:rPr>
                <w:rFonts w:hint="eastAsia" w:ascii="宋体" w:hAnsi="宋体" w:cs="宋体"/>
                <w:b w:val="0"/>
                <w:bCs/>
                <w:color w:val="auto"/>
                <w:kern w:val="0"/>
                <w:sz w:val="20"/>
                <w:szCs w:val="20"/>
                <w:highlight w:val="none"/>
                <w:lang w:eastAsia="zh-CN"/>
              </w:rPr>
            </w:pPr>
            <w:r>
              <w:rPr>
                <w:rFonts w:hint="eastAsia" w:ascii="宋体" w:hAnsi="宋体" w:cs="宋体"/>
                <w:b w:val="0"/>
                <w:bCs/>
                <w:color w:val="auto"/>
                <w:sz w:val="21"/>
                <w:szCs w:val="21"/>
                <w:highlight w:val="none"/>
                <w:lang w:val="en-US" w:eastAsia="zh-CN"/>
              </w:rPr>
              <w:t>内容完备、科学、合理、针对性强的得3分，内容基本完备、基本合理、可行的得2分，欠合理、基本可行的得1，不可行、不能满足项目需要的不得分。</w:t>
            </w:r>
          </w:p>
        </w:tc>
      </w:tr>
      <w:tr>
        <w:tblPrEx>
          <w:tblCellMar>
            <w:top w:w="0" w:type="dxa"/>
            <w:left w:w="108" w:type="dxa"/>
            <w:bottom w:w="0" w:type="dxa"/>
            <w:right w:w="108" w:type="dxa"/>
          </w:tblCellMar>
        </w:tblPrEx>
        <w:trPr>
          <w:trHeight w:val="90" w:hRule="atLeast"/>
        </w:trPr>
        <w:tc>
          <w:tcPr>
            <w:tcW w:w="698" w:type="dxa"/>
            <w:vMerge w:val="continue"/>
            <w:tcBorders>
              <w:left w:val="single" w:color="auto" w:sz="4" w:space="0"/>
              <w:right w:val="single" w:color="auto" w:sz="4" w:space="0"/>
            </w:tcBorders>
            <w:noWrap w:val="0"/>
            <w:vAlign w:val="center"/>
          </w:tcPr>
          <w:p>
            <w:pPr>
              <w:widowControl/>
              <w:jc w:val="left"/>
              <w:textAlignment w:val="center"/>
              <w:rPr>
                <w:rFonts w:hint="eastAsia" w:ascii="宋体" w:hAnsi="宋体" w:cs="宋体"/>
                <w:b w:val="0"/>
                <w:bCs/>
                <w:color w:val="auto"/>
                <w:kern w:val="0"/>
                <w:sz w:val="20"/>
                <w:szCs w:val="20"/>
                <w:highlight w:val="none"/>
              </w:rPr>
            </w:pPr>
          </w:p>
        </w:tc>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val="0"/>
                <w:bCs/>
                <w:color w:val="auto"/>
                <w:kern w:val="0"/>
                <w:sz w:val="20"/>
                <w:szCs w:val="20"/>
                <w:highlight w:val="none"/>
              </w:rPr>
            </w:pPr>
          </w:p>
        </w:tc>
        <w:tc>
          <w:tcPr>
            <w:tcW w:w="8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val="0"/>
                <w:bCs/>
                <w:color w:val="auto"/>
                <w:kern w:val="0"/>
                <w:sz w:val="20"/>
                <w:szCs w:val="20"/>
                <w:highlight w:val="none"/>
              </w:rPr>
            </w:pPr>
          </w:p>
        </w:tc>
        <w:tc>
          <w:tcPr>
            <w:tcW w:w="709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val="0"/>
                <w:bCs/>
                <w:color w:val="auto"/>
                <w:kern w:val="0"/>
                <w:sz w:val="20"/>
                <w:szCs w:val="20"/>
                <w:highlight w:val="none"/>
              </w:rPr>
            </w:pPr>
            <w:r>
              <w:rPr>
                <w:rFonts w:hint="eastAsia" w:ascii="宋体" w:hAnsi="宋体" w:cs="宋体"/>
                <w:b w:val="0"/>
                <w:bCs/>
                <w:color w:val="auto"/>
                <w:kern w:val="0"/>
                <w:sz w:val="20"/>
                <w:szCs w:val="20"/>
                <w:highlight w:val="none"/>
              </w:rPr>
              <w:t>培训方案</w:t>
            </w:r>
            <w:r>
              <w:rPr>
                <w:rFonts w:hint="eastAsia" w:ascii="宋体" w:hAnsi="宋体" w:cs="宋体"/>
                <w:b w:val="0"/>
                <w:bCs/>
                <w:color w:val="auto"/>
                <w:kern w:val="0"/>
                <w:sz w:val="20"/>
                <w:szCs w:val="20"/>
                <w:highlight w:val="none"/>
                <w:lang w:eastAsia="zh-CN"/>
              </w:rPr>
              <w:t>：针对本项目的</w:t>
            </w:r>
            <w:r>
              <w:rPr>
                <w:rFonts w:hint="eastAsia" w:ascii="宋体" w:hAnsi="宋体" w:cs="宋体"/>
                <w:b w:val="0"/>
                <w:bCs/>
                <w:color w:val="auto"/>
                <w:kern w:val="0"/>
                <w:sz w:val="20"/>
                <w:szCs w:val="20"/>
                <w:highlight w:val="none"/>
              </w:rPr>
              <w:t>培训方案。</w:t>
            </w:r>
          </w:p>
          <w:p>
            <w:pPr>
              <w:widowControl/>
              <w:jc w:val="left"/>
              <w:textAlignment w:val="center"/>
              <w:rPr>
                <w:rFonts w:hint="eastAsia" w:ascii="宋体" w:hAnsi="宋体" w:cs="宋体"/>
                <w:b w:val="0"/>
                <w:bCs/>
                <w:color w:val="auto"/>
                <w:kern w:val="0"/>
                <w:sz w:val="20"/>
                <w:szCs w:val="20"/>
                <w:highlight w:val="none"/>
                <w:lang w:eastAsia="zh-CN"/>
              </w:rPr>
            </w:pPr>
            <w:r>
              <w:rPr>
                <w:rFonts w:hint="eastAsia" w:ascii="宋体" w:hAnsi="宋体" w:cs="宋体"/>
                <w:b w:val="0"/>
                <w:bCs/>
                <w:color w:val="auto"/>
                <w:sz w:val="21"/>
                <w:szCs w:val="21"/>
                <w:highlight w:val="none"/>
                <w:lang w:val="en-US" w:eastAsia="zh-CN"/>
              </w:rPr>
              <w:t>内容完备、科学、合理、针对性强的得3分，内容基本完备、基本合理、可行的得2分，欠合理、基本可行的得1，不可行、不能满足项目需要的不得分。</w:t>
            </w:r>
          </w:p>
        </w:tc>
      </w:tr>
      <w:tr>
        <w:tblPrEx>
          <w:tblCellMar>
            <w:top w:w="0" w:type="dxa"/>
            <w:left w:w="108" w:type="dxa"/>
            <w:bottom w:w="0" w:type="dxa"/>
            <w:right w:w="108" w:type="dxa"/>
          </w:tblCellMar>
        </w:tblPrEx>
        <w:trPr>
          <w:trHeight w:val="90" w:hRule="atLeast"/>
        </w:trPr>
        <w:tc>
          <w:tcPr>
            <w:tcW w:w="698" w:type="dxa"/>
            <w:vMerge w:val="continue"/>
            <w:tcBorders>
              <w:left w:val="single" w:color="auto" w:sz="4" w:space="0"/>
              <w:right w:val="single" w:color="auto" w:sz="4" w:space="0"/>
            </w:tcBorders>
            <w:noWrap w:val="0"/>
            <w:vAlign w:val="center"/>
          </w:tcPr>
          <w:p>
            <w:pPr>
              <w:widowControl/>
              <w:jc w:val="left"/>
              <w:textAlignment w:val="center"/>
              <w:rPr>
                <w:rFonts w:hint="eastAsia" w:ascii="宋体" w:hAnsi="宋体" w:cs="宋体"/>
                <w:b w:val="0"/>
                <w:bCs/>
                <w:color w:val="auto"/>
                <w:kern w:val="0"/>
                <w:sz w:val="20"/>
                <w:szCs w:val="20"/>
                <w:highlight w:val="none"/>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val="0"/>
                <w:bCs/>
                <w:color w:val="auto"/>
                <w:kern w:val="0"/>
                <w:sz w:val="20"/>
                <w:szCs w:val="20"/>
                <w:highlight w:val="none"/>
              </w:rPr>
            </w:pPr>
            <w:r>
              <w:rPr>
                <w:rFonts w:hint="eastAsia" w:ascii="宋体" w:hAnsi="宋体" w:cs="宋体"/>
                <w:b w:val="0"/>
                <w:bCs/>
                <w:color w:val="auto"/>
                <w:kern w:val="0"/>
                <w:szCs w:val="21"/>
                <w:highlight w:val="none"/>
              </w:rPr>
              <w:t>售后服务方案</w:t>
            </w: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val="0"/>
                <w:bCs/>
                <w:color w:val="auto"/>
                <w:kern w:val="0"/>
                <w:sz w:val="20"/>
                <w:szCs w:val="20"/>
                <w:highlight w:val="none"/>
              </w:rPr>
            </w:pPr>
            <w:r>
              <w:rPr>
                <w:rFonts w:ascii="宋体" w:hAnsi="宋体" w:cs="宋体"/>
                <w:b w:val="0"/>
                <w:bCs/>
                <w:color w:val="auto"/>
                <w:szCs w:val="21"/>
                <w:highlight w:val="none"/>
              </w:rPr>
              <w:t>2</w:t>
            </w:r>
          </w:p>
        </w:tc>
        <w:tc>
          <w:tcPr>
            <w:tcW w:w="709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val="0"/>
                <w:bCs/>
                <w:color w:val="auto"/>
                <w:sz w:val="21"/>
                <w:szCs w:val="21"/>
                <w:highlight w:val="none"/>
                <w:lang w:val="en-US" w:eastAsia="zh-CN"/>
              </w:rPr>
            </w:pPr>
            <w:r>
              <w:rPr>
                <w:rFonts w:hint="eastAsia"/>
                <w:b w:val="0"/>
                <w:bCs/>
                <w:color w:val="auto"/>
                <w:highlight w:val="none"/>
              </w:rPr>
              <w:t>投标人需保证售后服务方案，方案包含售后服务响应时间得</w:t>
            </w:r>
            <w:r>
              <w:rPr>
                <w:b w:val="0"/>
                <w:bCs/>
                <w:color w:val="auto"/>
                <w:highlight w:val="none"/>
              </w:rPr>
              <w:t>1</w:t>
            </w:r>
            <w:r>
              <w:rPr>
                <w:rFonts w:hint="eastAsia"/>
                <w:b w:val="0"/>
                <w:bCs/>
                <w:color w:val="auto"/>
                <w:highlight w:val="none"/>
              </w:rPr>
              <w:t>分；包含质保期服务承诺、售后服务、违约承诺，提供承诺函并加盖公章得1分，否则不得分。</w:t>
            </w:r>
          </w:p>
        </w:tc>
      </w:tr>
      <w:tr>
        <w:tblPrEx>
          <w:tblCellMar>
            <w:top w:w="0" w:type="dxa"/>
            <w:left w:w="108" w:type="dxa"/>
            <w:bottom w:w="0" w:type="dxa"/>
            <w:right w:w="108" w:type="dxa"/>
          </w:tblCellMar>
        </w:tblPrEx>
        <w:trPr>
          <w:trHeight w:val="90" w:hRule="atLeast"/>
        </w:trPr>
        <w:tc>
          <w:tcPr>
            <w:tcW w:w="698" w:type="dxa"/>
            <w:vMerge w:val="continue"/>
            <w:tcBorders>
              <w:left w:val="single" w:color="auto" w:sz="4" w:space="0"/>
              <w:right w:val="single" w:color="auto" w:sz="4" w:space="0"/>
            </w:tcBorders>
            <w:noWrap w:val="0"/>
            <w:vAlign w:val="center"/>
          </w:tcPr>
          <w:p>
            <w:pPr>
              <w:widowControl/>
              <w:jc w:val="left"/>
              <w:textAlignment w:val="center"/>
              <w:rPr>
                <w:rFonts w:hint="eastAsia" w:ascii="宋体" w:hAnsi="宋体" w:cs="宋体"/>
                <w:b w:val="0"/>
                <w:bCs/>
                <w:color w:val="auto"/>
                <w:kern w:val="0"/>
                <w:sz w:val="20"/>
                <w:szCs w:val="20"/>
                <w:highlight w:val="none"/>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val="0"/>
                <w:bCs/>
                <w:color w:val="auto"/>
                <w:kern w:val="0"/>
                <w:szCs w:val="21"/>
                <w:highlight w:val="none"/>
              </w:rPr>
            </w:pPr>
            <w:r>
              <w:rPr>
                <w:rFonts w:hint="eastAsia" w:ascii="宋体" w:hAnsi="宋体" w:cs="宋体"/>
                <w:b w:val="0"/>
                <w:bCs/>
                <w:color w:val="auto"/>
                <w:kern w:val="0"/>
                <w:sz w:val="20"/>
                <w:szCs w:val="20"/>
                <w:highlight w:val="none"/>
              </w:rPr>
              <w:t>本地服务能力</w:t>
            </w: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b w:val="0"/>
                <w:bCs/>
                <w:color w:val="auto"/>
                <w:szCs w:val="21"/>
                <w:highlight w:val="none"/>
              </w:rPr>
            </w:pPr>
            <w:r>
              <w:rPr>
                <w:rFonts w:hint="eastAsia" w:ascii="宋体" w:hAnsi="宋体" w:cs="宋体"/>
                <w:b w:val="0"/>
                <w:bCs/>
                <w:color w:val="auto"/>
                <w:kern w:val="0"/>
                <w:sz w:val="20"/>
                <w:szCs w:val="20"/>
                <w:highlight w:val="none"/>
                <w:lang w:val="en-US" w:eastAsia="zh-CN"/>
              </w:rPr>
              <w:t>2</w:t>
            </w:r>
          </w:p>
        </w:tc>
        <w:tc>
          <w:tcPr>
            <w:tcW w:w="709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b w:val="0"/>
                <w:bCs/>
                <w:color w:val="auto"/>
                <w:highlight w:val="none"/>
              </w:rPr>
            </w:pPr>
            <w:r>
              <w:rPr>
                <w:rFonts w:hint="eastAsia" w:ascii="宋体" w:hAnsi="宋体" w:cs="宋体"/>
                <w:b w:val="0"/>
                <w:bCs/>
                <w:color w:val="auto"/>
                <w:kern w:val="0"/>
                <w:sz w:val="20"/>
                <w:szCs w:val="20"/>
                <w:highlight w:val="none"/>
              </w:rPr>
              <w:t>投标人须成立针对本项目专门的技术支持售后服务团队。能派驻服务团队至</w:t>
            </w:r>
            <w:r>
              <w:rPr>
                <w:rFonts w:hint="eastAsia" w:ascii="宋体" w:hAnsi="宋体" w:eastAsia="宋体" w:cs="宋体"/>
                <w:b w:val="0"/>
                <w:bCs/>
                <w:color w:val="auto"/>
                <w:kern w:val="0"/>
                <w:sz w:val="20"/>
                <w:szCs w:val="20"/>
                <w:highlight w:val="none"/>
                <w:lang w:eastAsia="zh-CN"/>
              </w:rPr>
              <w:t>阳新</w:t>
            </w:r>
            <w:r>
              <w:rPr>
                <w:rFonts w:hint="eastAsia" w:ascii="宋体" w:hAnsi="宋体" w:cs="宋体"/>
                <w:b w:val="0"/>
                <w:bCs/>
                <w:color w:val="auto"/>
                <w:kern w:val="0"/>
                <w:sz w:val="20"/>
                <w:szCs w:val="20"/>
                <w:highlight w:val="none"/>
              </w:rPr>
              <w:t>人数不少于</w:t>
            </w:r>
            <w:r>
              <w:rPr>
                <w:rFonts w:hint="eastAsia" w:ascii="宋体" w:hAnsi="宋体" w:eastAsia="宋体" w:cs="宋体"/>
                <w:b w:val="0"/>
                <w:bCs/>
                <w:color w:val="auto"/>
                <w:kern w:val="0"/>
                <w:sz w:val="20"/>
                <w:szCs w:val="20"/>
                <w:highlight w:val="none"/>
                <w:lang w:val="en-US" w:eastAsia="zh-CN"/>
              </w:rPr>
              <w:t>5</w:t>
            </w:r>
            <w:r>
              <w:rPr>
                <w:rFonts w:hint="eastAsia" w:ascii="宋体" w:hAnsi="宋体" w:cs="宋体"/>
                <w:b w:val="0"/>
                <w:bCs/>
                <w:color w:val="auto"/>
                <w:kern w:val="0"/>
                <w:sz w:val="20"/>
                <w:szCs w:val="20"/>
                <w:highlight w:val="none"/>
              </w:rPr>
              <w:t>人的得</w:t>
            </w:r>
            <w:r>
              <w:rPr>
                <w:rFonts w:hint="eastAsia" w:ascii="宋体" w:hAnsi="宋体" w:eastAsia="宋体" w:cs="宋体"/>
                <w:b w:val="0"/>
                <w:bCs/>
                <w:color w:val="FF0000"/>
                <w:kern w:val="0"/>
                <w:sz w:val="20"/>
                <w:szCs w:val="20"/>
                <w:highlight w:val="none"/>
                <w:lang w:val="en-US" w:eastAsia="zh-CN"/>
              </w:rPr>
              <w:t>2</w:t>
            </w:r>
            <w:r>
              <w:rPr>
                <w:rFonts w:hint="eastAsia" w:ascii="宋体" w:hAnsi="宋体" w:cs="宋体"/>
                <w:b w:val="0"/>
                <w:bCs/>
                <w:color w:val="FF0000"/>
                <w:kern w:val="0"/>
                <w:sz w:val="20"/>
                <w:szCs w:val="20"/>
                <w:highlight w:val="none"/>
              </w:rPr>
              <w:t>分</w:t>
            </w:r>
            <w:r>
              <w:rPr>
                <w:rFonts w:hint="eastAsia" w:ascii="宋体" w:hAnsi="宋体" w:cs="宋体"/>
                <w:b w:val="0"/>
                <w:bCs/>
                <w:color w:val="auto"/>
                <w:kern w:val="0"/>
                <w:sz w:val="20"/>
                <w:szCs w:val="20"/>
                <w:highlight w:val="none"/>
              </w:rPr>
              <w:t>；能派驻服务团队至</w:t>
            </w:r>
            <w:r>
              <w:rPr>
                <w:rFonts w:hint="eastAsia" w:ascii="宋体" w:hAnsi="宋体" w:eastAsia="宋体" w:cs="宋体"/>
                <w:b w:val="0"/>
                <w:bCs/>
                <w:color w:val="auto"/>
                <w:kern w:val="0"/>
                <w:sz w:val="20"/>
                <w:szCs w:val="20"/>
                <w:highlight w:val="none"/>
                <w:lang w:eastAsia="zh-CN"/>
              </w:rPr>
              <w:t>阳新</w:t>
            </w:r>
            <w:r>
              <w:rPr>
                <w:rFonts w:hint="eastAsia" w:ascii="宋体" w:hAnsi="宋体" w:cs="宋体"/>
                <w:b w:val="0"/>
                <w:bCs/>
                <w:color w:val="auto"/>
                <w:kern w:val="0"/>
                <w:sz w:val="20"/>
                <w:szCs w:val="20"/>
                <w:highlight w:val="none"/>
              </w:rPr>
              <w:t>人数3-5人的得</w:t>
            </w:r>
            <w:r>
              <w:rPr>
                <w:rFonts w:hint="eastAsia" w:ascii="宋体" w:hAnsi="宋体" w:eastAsia="宋体" w:cs="宋体"/>
                <w:b w:val="0"/>
                <w:bCs/>
                <w:color w:val="FF0000"/>
                <w:kern w:val="0"/>
                <w:sz w:val="20"/>
                <w:szCs w:val="20"/>
                <w:highlight w:val="none"/>
                <w:lang w:val="en-US" w:eastAsia="zh-CN"/>
              </w:rPr>
              <w:t>1</w:t>
            </w:r>
            <w:r>
              <w:rPr>
                <w:rFonts w:hint="eastAsia" w:ascii="宋体" w:hAnsi="宋体" w:cs="宋体"/>
                <w:b w:val="0"/>
                <w:bCs/>
                <w:color w:val="auto"/>
                <w:kern w:val="0"/>
                <w:sz w:val="20"/>
                <w:szCs w:val="20"/>
                <w:highlight w:val="none"/>
              </w:rPr>
              <w:t>分；能派驻服务团队至</w:t>
            </w:r>
            <w:r>
              <w:rPr>
                <w:rFonts w:hint="eastAsia" w:ascii="宋体" w:hAnsi="宋体" w:eastAsia="宋体" w:cs="宋体"/>
                <w:b w:val="0"/>
                <w:bCs/>
                <w:color w:val="auto"/>
                <w:kern w:val="0"/>
                <w:sz w:val="20"/>
                <w:szCs w:val="20"/>
                <w:highlight w:val="none"/>
                <w:lang w:eastAsia="zh-CN"/>
              </w:rPr>
              <w:t>阳新</w:t>
            </w:r>
            <w:r>
              <w:rPr>
                <w:rFonts w:hint="eastAsia" w:ascii="宋体" w:hAnsi="宋体" w:cs="宋体"/>
                <w:b w:val="0"/>
                <w:bCs/>
                <w:color w:val="auto"/>
                <w:kern w:val="0"/>
                <w:sz w:val="20"/>
                <w:szCs w:val="20"/>
                <w:highlight w:val="none"/>
              </w:rPr>
              <w:t>人数少于</w:t>
            </w:r>
            <w:r>
              <w:rPr>
                <w:rFonts w:hint="eastAsia" w:ascii="宋体" w:hAnsi="宋体" w:eastAsia="宋体" w:cs="宋体"/>
                <w:b w:val="0"/>
                <w:bCs/>
                <w:color w:val="auto"/>
                <w:kern w:val="0"/>
                <w:sz w:val="20"/>
                <w:szCs w:val="20"/>
                <w:highlight w:val="none"/>
                <w:lang w:val="en-US" w:eastAsia="zh-CN"/>
              </w:rPr>
              <w:t>3</w:t>
            </w:r>
            <w:r>
              <w:rPr>
                <w:rFonts w:hint="eastAsia" w:ascii="宋体" w:hAnsi="宋体" w:cs="宋体"/>
                <w:b w:val="0"/>
                <w:bCs/>
                <w:color w:val="auto"/>
                <w:kern w:val="0"/>
                <w:sz w:val="20"/>
                <w:szCs w:val="20"/>
                <w:highlight w:val="none"/>
              </w:rPr>
              <w:t>人的</w:t>
            </w:r>
            <w:r>
              <w:rPr>
                <w:rFonts w:hint="eastAsia" w:ascii="宋体" w:hAnsi="宋体" w:cs="宋体"/>
                <w:b w:val="0"/>
                <w:bCs/>
                <w:color w:val="FF0000"/>
                <w:kern w:val="0"/>
                <w:sz w:val="20"/>
                <w:szCs w:val="20"/>
                <w:highlight w:val="none"/>
              </w:rPr>
              <w:t xml:space="preserve">得 </w:t>
            </w:r>
            <w:r>
              <w:rPr>
                <w:rFonts w:hint="eastAsia" w:ascii="宋体" w:hAnsi="宋体" w:eastAsia="宋体" w:cs="宋体"/>
                <w:b w:val="0"/>
                <w:bCs/>
                <w:color w:val="FF0000"/>
                <w:kern w:val="0"/>
                <w:sz w:val="20"/>
                <w:szCs w:val="20"/>
                <w:highlight w:val="none"/>
                <w:lang w:val="en-US" w:eastAsia="zh-CN"/>
              </w:rPr>
              <w:t>0.5分</w:t>
            </w:r>
            <w:r>
              <w:rPr>
                <w:rFonts w:hint="eastAsia" w:ascii="宋体" w:hAnsi="宋体" w:cs="宋体"/>
                <w:b w:val="0"/>
                <w:bCs/>
                <w:color w:val="FF0000"/>
                <w:kern w:val="0"/>
                <w:sz w:val="20"/>
                <w:szCs w:val="20"/>
                <w:highlight w:val="none"/>
              </w:rPr>
              <w:t>，</w:t>
            </w:r>
            <w:r>
              <w:rPr>
                <w:rFonts w:hint="eastAsia" w:ascii="宋体" w:hAnsi="宋体" w:cs="宋体"/>
                <w:b w:val="0"/>
                <w:bCs/>
                <w:color w:val="auto"/>
                <w:kern w:val="0"/>
                <w:sz w:val="20"/>
                <w:szCs w:val="20"/>
                <w:highlight w:val="none"/>
              </w:rPr>
              <w:t>否则不得分。（提供上述服务团队人员为投标人正式在册人员的有效证明材料，加盖投标人公章）</w:t>
            </w:r>
          </w:p>
        </w:tc>
      </w:tr>
      <w:tr>
        <w:tblPrEx>
          <w:tblCellMar>
            <w:top w:w="0" w:type="dxa"/>
            <w:left w:w="108" w:type="dxa"/>
            <w:bottom w:w="0" w:type="dxa"/>
            <w:right w:w="108" w:type="dxa"/>
          </w:tblCellMar>
        </w:tblPrEx>
        <w:trPr>
          <w:trHeight w:val="901" w:hRule="atLeast"/>
        </w:trPr>
        <w:tc>
          <w:tcPr>
            <w:tcW w:w="69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val="0"/>
                <w:bCs/>
                <w:color w:val="auto"/>
                <w:kern w:val="0"/>
                <w:sz w:val="20"/>
                <w:szCs w:val="20"/>
                <w:highlight w:val="none"/>
              </w:rPr>
            </w:pPr>
            <w:r>
              <w:rPr>
                <w:rFonts w:hint="eastAsia" w:ascii="宋体" w:hAnsi="宋体" w:cs="宋体"/>
                <w:b w:val="0"/>
                <w:bCs/>
                <w:color w:val="auto"/>
                <w:kern w:val="0"/>
                <w:sz w:val="20"/>
                <w:szCs w:val="20"/>
                <w:highlight w:val="none"/>
              </w:rPr>
              <w:t>商务</w:t>
            </w:r>
            <w:r>
              <w:rPr>
                <w:rFonts w:hint="eastAsia" w:ascii="宋体" w:hAnsi="宋体" w:cs="宋体"/>
                <w:b w:val="0"/>
                <w:bCs/>
                <w:color w:val="auto"/>
                <w:kern w:val="0"/>
                <w:sz w:val="20"/>
                <w:szCs w:val="20"/>
                <w:highlight w:val="none"/>
                <w:lang w:val="en-US" w:eastAsia="zh-CN"/>
              </w:rPr>
              <w:t xml:space="preserve"> </w:t>
            </w:r>
            <w:r>
              <w:rPr>
                <w:rFonts w:hint="eastAsia" w:ascii="宋体" w:hAnsi="宋体" w:cs="宋体"/>
                <w:b w:val="0"/>
                <w:bCs/>
                <w:color w:val="auto"/>
                <w:kern w:val="0"/>
                <w:sz w:val="20"/>
                <w:szCs w:val="20"/>
                <w:highlight w:val="none"/>
              </w:rPr>
              <w:t>部分（</w:t>
            </w:r>
            <w:r>
              <w:rPr>
                <w:rFonts w:hint="eastAsia" w:ascii="宋体" w:hAnsi="宋体" w:eastAsia="宋体" w:cs="宋体"/>
                <w:b w:val="0"/>
                <w:bCs/>
                <w:color w:val="auto"/>
                <w:kern w:val="0"/>
                <w:sz w:val="20"/>
                <w:szCs w:val="20"/>
                <w:highlight w:val="none"/>
                <w:lang w:val="en-US" w:eastAsia="zh-CN"/>
              </w:rPr>
              <w:t>20</w:t>
            </w:r>
            <w:r>
              <w:rPr>
                <w:rFonts w:hint="eastAsia" w:ascii="宋体" w:hAnsi="宋体" w:cs="宋体"/>
                <w:b w:val="0"/>
                <w:bCs/>
                <w:color w:val="auto"/>
                <w:kern w:val="0"/>
                <w:sz w:val="20"/>
                <w:szCs w:val="20"/>
                <w:highlight w:val="none"/>
              </w:rPr>
              <w:t>分）</w:t>
            </w:r>
          </w:p>
        </w:tc>
        <w:tc>
          <w:tcPr>
            <w:tcW w:w="980"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color w:val="auto"/>
                <w:kern w:val="0"/>
                <w:sz w:val="20"/>
                <w:szCs w:val="20"/>
                <w:highlight w:val="none"/>
                <w:lang w:eastAsia="zh-CN"/>
              </w:rPr>
            </w:pPr>
            <w:r>
              <w:rPr>
                <w:rFonts w:hint="eastAsia" w:ascii="宋体" w:hAnsi="宋体" w:cs="宋体"/>
                <w:b w:val="0"/>
                <w:bCs/>
                <w:color w:val="auto"/>
                <w:kern w:val="0"/>
                <w:sz w:val="20"/>
                <w:szCs w:val="20"/>
                <w:highlight w:val="none"/>
                <w:lang w:eastAsia="zh-CN"/>
              </w:rPr>
              <w:t>投标人实力</w:t>
            </w:r>
          </w:p>
        </w:tc>
        <w:tc>
          <w:tcPr>
            <w:tcW w:w="806"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default" w:ascii="宋体" w:hAnsi="宋体" w:eastAsia="宋体" w:cs="宋体"/>
                <w:b w:val="0"/>
                <w:bCs/>
                <w:color w:val="auto"/>
                <w:kern w:val="0"/>
                <w:sz w:val="20"/>
                <w:szCs w:val="20"/>
                <w:highlight w:val="none"/>
                <w:lang w:val="en-US" w:eastAsia="zh-CN"/>
              </w:rPr>
            </w:pPr>
            <w:r>
              <w:rPr>
                <w:rFonts w:hint="eastAsia" w:ascii="宋体" w:hAnsi="宋体" w:eastAsia="宋体" w:cs="宋体"/>
                <w:b w:val="0"/>
                <w:bCs/>
                <w:color w:val="auto"/>
                <w:kern w:val="0"/>
                <w:sz w:val="20"/>
                <w:szCs w:val="20"/>
                <w:highlight w:val="none"/>
                <w:lang w:val="en-US" w:eastAsia="zh-CN"/>
              </w:rPr>
              <w:t>4</w:t>
            </w:r>
          </w:p>
        </w:tc>
        <w:tc>
          <w:tcPr>
            <w:tcW w:w="70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b w:val="0"/>
                <w:bCs/>
                <w:color w:val="auto"/>
                <w:kern w:val="0"/>
                <w:sz w:val="20"/>
                <w:szCs w:val="20"/>
                <w:highlight w:val="none"/>
              </w:rPr>
            </w:pPr>
            <w:r>
              <w:rPr>
                <w:rFonts w:hint="eastAsia" w:ascii="宋体" w:hAnsi="宋体" w:eastAsia="宋体" w:cs="宋体"/>
                <w:b w:val="0"/>
                <w:bCs/>
                <w:i w:val="0"/>
                <w:color w:val="auto"/>
                <w:kern w:val="0"/>
                <w:sz w:val="21"/>
                <w:szCs w:val="21"/>
                <w:u w:val="none"/>
                <w:lang w:val="en-US" w:eastAsia="zh-CN" w:bidi="ar"/>
              </w:rPr>
              <w:t>投标人具有</w:t>
            </w:r>
            <w:r>
              <w:rPr>
                <w:rStyle w:val="30"/>
                <w:b w:val="0"/>
                <w:bCs/>
                <w:color w:val="auto"/>
                <w:lang w:val="en-US" w:eastAsia="zh-CN" w:bidi="ar"/>
              </w:rPr>
              <w:t>CCRC信息系统安全运维服务资质认证资质二级及以上得</w:t>
            </w:r>
            <w:r>
              <w:rPr>
                <w:rStyle w:val="30"/>
                <w:rFonts w:hint="eastAsia"/>
                <w:b w:val="0"/>
                <w:bCs/>
                <w:color w:val="auto"/>
                <w:lang w:val="en-US" w:eastAsia="zh-CN" w:bidi="ar"/>
              </w:rPr>
              <w:t>1</w:t>
            </w:r>
            <w:r>
              <w:rPr>
                <w:rStyle w:val="30"/>
                <w:b w:val="0"/>
                <w:bCs/>
                <w:color w:val="auto"/>
                <w:lang w:val="en-US" w:eastAsia="zh-CN" w:bidi="ar"/>
              </w:rPr>
              <w:t>分，否则不得分。（提供证书复印件并加盖公章）</w:t>
            </w:r>
          </w:p>
        </w:tc>
      </w:tr>
      <w:tr>
        <w:tblPrEx>
          <w:tblCellMar>
            <w:top w:w="0" w:type="dxa"/>
            <w:left w:w="108" w:type="dxa"/>
            <w:bottom w:w="0" w:type="dxa"/>
            <w:right w:w="108" w:type="dxa"/>
          </w:tblCellMar>
        </w:tblPrEx>
        <w:trPr>
          <w:trHeight w:val="746" w:hRule="atLeast"/>
        </w:trPr>
        <w:tc>
          <w:tcPr>
            <w:tcW w:w="698" w:type="dxa"/>
            <w:vMerge w:val="continue"/>
            <w:tcBorders>
              <w:left w:val="single" w:color="auto" w:sz="4" w:space="0"/>
              <w:right w:val="single" w:color="auto" w:sz="4" w:space="0"/>
            </w:tcBorders>
            <w:noWrap w:val="0"/>
            <w:vAlign w:val="center"/>
          </w:tcPr>
          <w:p>
            <w:pPr>
              <w:widowControl/>
              <w:jc w:val="left"/>
              <w:textAlignment w:val="center"/>
              <w:rPr>
                <w:rFonts w:hint="eastAsia" w:ascii="宋体" w:hAnsi="宋体" w:cs="宋体"/>
                <w:b w:val="0"/>
                <w:bCs/>
                <w:color w:val="auto"/>
                <w:kern w:val="0"/>
                <w:sz w:val="20"/>
                <w:szCs w:val="20"/>
                <w:highlight w:val="none"/>
              </w:rPr>
            </w:pPr>
          </w:p>
        </w:tc>
        <w:tc>
          <w:tcPr>
            <w:tcW w:w="980" w:type="dxa"/>
            <w:vMerge w:val="continue"/>
            <w:tcBorders>
              <w:left w:val="single" w:color="auto" w:sz="4" w:space="0"/>
              <w:right w:val="single" w:color="auto" w:sz="4" w:space="0"/>
            </w:tcBorders>
            <w:noWrap w:val="0"/>
            <w:vAlign w:val="center"/>
          </w:tcPr>
          <w:p>
            <w:pPr>
              <w:widowControl/>
              <w:jc w:val="left"/>
              <w:textAlignment w:val="center"/>
              <w:rPr>
                <w:rFonts w:hint="eastAsia" w:ascii="宋体" w:hAnsi="宋体" w:cs="宋体"/>
                <w:b w:val="0"/>
                <w:bCs/>
                <w:color w:val="auto"/>
                <w:kern w:val="0"/>
                <w:sz w:val="20"/>
                <w:szCs w:val="20"/>
                <w:highlight w:val="none"/>
              </w:rPr>
            </w:pPr>
          </w:p>
        </w:tc>
        <w:tc>
          <w:tcPr>
            <w:tcW w:w="806" w:type="dxa"/>
            <w:vMerge w:val="continue"/>
            <w:tcBorders>
              <w:left w:val="single" w:color="auto" w:sz="4" w:space="0"/>
              <w:right w:val="single" w:color="auto" w:sz="4" w:space="0"/>
            </w:tcBorders>
            <w:noWrap w:val="0"/>
            <w:vAlign w:val="center"/>
          </w:tcPr>
          <w:p>
            <w:pPr>
              <w:widowControl/>
              <w:jc w:val="left"/>
              <w:textAlignment w:val="center"/>
              <w:rPr>
                <w:rFonts w:hint="eastAsia" w:ascii="宋体" w:hAnsi="宋体" w:cs="宋体"/>
                <w:b w:val="0"/>
                <w:bCs/>
                <w:color w:val="auto"/>
                <w:kern w:val="0"/>
                <w:sz w:val="20"/>
                <w:szCs w:val="20"/>
                <w:highlight w:val="none"/>
              </w:rPr>
            </w:pPr>
          </w:p>
        </w:tc>
        <w:tc>
          <w:tcPr>
            <w:tcW w:w="709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b w:val="0"/>
                <w:bCs/>
                <w:color w:val="auto"/>
                <w:kern w:val="0"/>
                <w:sz w:val="20"/>
                <w:szCs w:val="20"/>
                <w:highlight w:val="none"/>
                <w:lang w:eastAsia="zh-CN"/>
              </w:rPr>
            </w:pPr>
            <w:r>
              <w:rPr>
                <w:rFonts w:hint="eastAsia" w:ascii="宋体" w:hAnsi="宋体" w:eastAsia="宋体" w:cs="宋体"/>
                <w:b w:val="0"/>
                <w:bCs/>
                <w:color w:val="auto"/>
                <w:kern w:val="0"/>
                <w:sz w:val="20"/>
                <w:szCs w:val="20"/>
                <w:highlight w:val="none"/>
                <w:lang w:val="en-US" w:eastAsia="zh-CN"/>
              </w:rPr>
              <w:t>投标人具备具有CMMI5认证资质得</w:t>
            </w:r>
            <w:r>
              <w:rPr>
                <w:rFonts w:hint="eastAsia" w:ascii="宋体" w:hAnsi="宋体" w:eastAsia="宋体" w:cs="宋体"/>
                <w:b w:val="0"/>
                <w:bCs/>
                <w:color w:val="FF0000"/>
                <w:kern w:val="0"/>
                <w:sz w:val="20"/>
                <w:szCs w:val="20"/>
                <w:highlight w:val="none"/>
                <w:lang w:val="en-US" w:eastAsia="zh-CN"/>
              </w:rPr>
              <w:t>1分</w:t>
            </w:r>
            <w:r>
              <w:rPr>
                <w:rFonts w:hint="eastAsia" w:ascii="宋体" w:hAnsi="宋体" w:eastAsia="宋体" w:cs="宋体"/>
                <w:b w:val="0"/>
                <w:bCs/>
                <w:color w:val="auto"/>
                <w:kern w:val="0"/>
                <w:sz w:val="20"/>
                <w:szCs w:val="20"/>
                <w:highlight w:val="none"/>
                <w:lang w:val="en-US" w:eastAsia="zh-CN"/>
              </w:rPr>
              <w:t>，CMMI4认证资质得0.5分，其他不得分。（提供证书复印件并加盖公章）</w:t>
            </w:r>
          </w:p>
        </w:tc>
      </w:tr>
      <w:tr>
        <w:tblPrEx>
          <w:tblCellMar>
            <w:top w:w="0" w:type="dxa"/>
            <w:left w:w="108" w:type="dxa"/>
            <w:bottom w:w="0" w:type="dxa"/>
            <w:right w:w="108" w:type="dxa"/>
          </w:tblCellMar>
        </w:tblPrEx>
        <w:trPr>
          <w:trHeight w:val="729" w:hRule="atLeast"/>
        </w:trPr>
        <w:tc>
          <w:tcPr>
            <w:tcW w:w="698" w:type="dxa"/>
            <w:vMerge w:val="continue"/>
            <w:tcBorders>
              <w:left w:val="single" w:color="auto" w:sz="4" w:space="0"/>
              <w:right w:val="single" w:color="auto" w:sz="4" w:space="0"/>
            </w:tcBorders>
            <w:noWrap w:val="0"/>
            <w:vAlign w:val="center"/>
          </w:tcPr>
          <w:p>
            <w:pPr>
              <w:widowControl/>
              <w:jc w:val="left"/>
              <w:textAlignment w:val="center"/>
              <w:rPr>
                <w:rFonts w:hint="eastAsia" w:ascii="宋体" w:hAnsi="宋体" w:cs="宋体"/>
                <w:b w:val="0"/>
                <w:bCs/>
                <w:color w:val="auto"/>
                <w:kern w:val="0"/>
                <w:sz w:val="20"/>
                <w:szCs w:val="20"/>
                <w:highlight w:val="none"/>
              </w:rPr>
            </w:pPr>
          </w:p>
        </w:tc>
        <w:tc>
          <w:tcPr>
            <w:tcW w:w="980" w:type="dxa"/>
            <w:vMerge w:val="continue"/>
            <w:tcBorders>
              <w:left w:val="single" w:color="auto" w:sz="4" w:space="0"/>
              <w:right w:val="single" w:color="auto" w:sz="4" w:space="0"/>
            </w:tcBorders>
            <w:noWrap w:val="0"/>
            <w:vAlign w:val="center"/>
          </w:tcPr>
          <w:p>
            <w:pPr>
              <w:widowControl/>
              <w:jc w:val="left"/>
              <w:textAlignment w:val="center"/>
              <w:rPr>
                <w:rFonts w:hint="eastAsia" w:ascii="宋体" w:hAnsi="宋体" w:cs="宋体"/>
                <w:b w:val="0"/>
                <w:bCs/>
                <w:color w:val="auto"/>
                <w:kern w:val="0"/>
                <w:sz w:val="20"/>
                <w:szCs w:val="20"/>
                <w:highlight w:val="none"/>
              </w:rPr>
            </w:pPr>
          </w:p>
        </w:tc>
        <w:tc>
          <w:tcPr>
            <w:tcW w:w="806" w:type="dxa"/>
            <w:vMerge w:val="continue"/>
            <w:tcBorders>
              <w:left w:val="single" w:color="auto" w:sz="4" w:space="0"/>
              <w:right w:val="single" w:color="auto" w:sz="4" w:space="0"/>
            </w:tcBorders>
            <w:noWrap w:val="0"/>
            <w:vAlign w:val="center"/>
          </w:tcPr>
          <w:p>
            <w:pPr>
              <w:widowControl/>
              <w:jc w:val="left"/>
              <w:textAlignment w:val="center"/>
              <w:rPr>
                <w:rFonts w:hint="eastAsia" w:ascii="宋体" w:hAnsi="宋体" w:cs="宋体"/>
                <w:b w:val="0"/>
                <w:bCs/>
                <w:color w:val="auto"/>
                <w:kern w:val="0"/>
                <w:sz w:val="20"/>
                <w:szCs w:val="20"/>
                <w:highlight w:val="none"/>
              </w:rPr>
            </w:pPr>
          </w:p>
        </w:tc>
        <w:tc>
          <w:tcPr>
            <w:tcW w:w="709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b w:val="0"/>
                <w:bCs/>
                <w:color w:val="auto"/>
                <w:kern w:val="0"/>
                <w:sz w:val="20"/>
                <w:szCs w:val="20"/>
                <w:highlight w:val="none"/>
                <w:lang w:eastAsia="zh-CN"/>
              </w:rPr>
            </w:pPr>
            <w:r>
              <w:rPr>
                <w:rFonts w:hint="eastAsia" w:ascii="宋体" w:hAnsi="宋体" w:eastAsia="宋体" w:cs="宋体"/>
                <w:b w:val="0"/>
                <w:bCs/>
                <w:color w:val="auto"/>
                <w:kern w:val="0"/>
                <w:sz w:val="20"/>
                <w:szCs w:val="20"/>
                <w:highlight w:val="none"/>
                <w:lang w:val="en-US" w:eastAsia="zh-CN"/>
              </w:rPr>
              <w:t>投标人具有ISO9001，ISO27001,ISO14001体系认证，每提供一个得0.5分，最高得1分，不提供不得分；（提供证书复印件并加盖公章）</w:t>
            </w:r>
          </w:p>
        </w:tc>
      </w:tr>
      <w:tr>
        <w:tblPrEx>
          <w:tblCellMar>
            <w:top w:w="0" w:type="dxa"/>
            <w:left w:w="108" w:type="dxa"/>
            <w:bottom w:w="0" w:type="dxa"/>
            <w:right w:w="108" w:type="dxa"/>
          </w:tblCellMar>
        </w:tblPrEx>
        <w:trPr>
          <w:trHeight w:val="729" w:hRule="atLeast"/>
        </w:trPr>
        <w:tc>
          <w:tcPr>
            <w:tcW w:w="698" w:type="dxa"/>
            <w:vMerge w:val="continue"/>
            <w:tcBorders>
              <w:left w:val="single" w:color="auto" w:sz="4" w:space="0"/>
              <w:right w:val="single" w:color="auto" w:sz="4" w:space="0"/>
            </w:tcBorders>
            <w:noWrap w:val="0"/>
            <w:vAlign w:val="center"/>
          </w:tcPr>
          <w:p>
            <w:pPr>
              <w:widowControl/>
              <w:jc w:val="left"/>
              <w:textAlignment w:val="center"/>
              <w:rPr>
                <w:rFonts w:hint="eastAsia" w:ascii="宋体" w:hAnsi="宋体" w:cs="宋体"/>
                <w:b w:val="0"/>
                <w:bCs/>
                <w:color w:val="auto"/>
                <w:kern w:val="0"/>
                <w:sz w:val="20"/>
                <w:szCs w:val="20"/>
                <w:highlight w:val="none"/>
              </w:rPr>
            </w:pPr>
          </w:p>
        </w:tc>
        <w:tc>
          <w:tcPr>
            <w:tcW w:w="980" w:type="dxa"/>
            <w:vMerge w:val="continue"/>
            <w:tcBorders>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val="0"/>
                <w:bCs/>
                <w:color w:val="auto"/>
                <w:kern w:val="0"/>
                <w:sz w:val="20"/>
                <w:szCs w:val="20"/>
                <w:highlight w:val="none"/>
              </w:rPr>
            </w:pPr>
          </w:p>
        </w:tc>
        <w:tc>
          <w:tcPr>
            <w:tcW w:w="806" w:type="dxa"/>
            <w:vMerge w:val="continue"/>
            <w:tcBorders>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val="0"/>
                <w:bCs/>
                <w:color w:val="auto"/>
                <w:kern w:val="0"/>
                <w:sz w:val="20"/>
                <w:szCs w:val="20"/>
                <w:highlight w:val="none"/>
              </w:rPr>
            </w:pPr>
          </w:p>
        </w:tc>
        <w:tc>
          <w:tcPr>
            <w:tcW w:w="709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b w:val="0"/>
                <w:bCs/>
                <w:color w:val="auto"/>
                <w:kern w:val="0"/>
                <w:sz w:val="20"/>
                <w:szCs w:val="20"/>
                <w:highlight w:val="none"/>
                <w:lang w:eastAsia="zh-CN"/>
              </w:rPr>
            </w:pPr>
            <w:r>
              <w:rPr>
                <w:rFonts w:hint="eastAsia" w:ascii="宋体" w:hAnsi="宋体" w:eastAsia="宋体" w:cs="宋体"/>
                <w:b w:val="0"/>
                <w:bCs/>
                <w:color w:val="auto"/>
                <w:kern w:val="0"/>
                <w:sz w:val="20"/>
                <w:szCs w:val="20"/>
                <w:highlight w:val="none"/>
                <w:lang w:val="en-US" w:eastAsia="zh-CN"/>
              </w:rPr>
              <w:t>投标人具有ITSS信息技术服务认证证书-运维服务能力成熟度二级及以上资质证书得1分，没有的不得分；（提供证书复印件并加盖公章）</w:t>
            </w:r>
          </w:p>
        </w:tc>
      </w:tr>
      <w:tr>
        <w:tblPrEx>
          <w:tblCellMar>
            <w:top w:w="0" w:type="dxa"/>
            <w:left w:w="108" w:type="dxa"/>
            <w:bottom w:w="0" w:type="dxa"/>
            <w:right w:w="108" w:type="dxa"/>
          </w:tblCellMar>
        </w:tblPrEx>
        <w:trPr>
          <w:trHeight w:val="636" w:hRule="atLeast"/>
        </w:trPr>
        <w:tc>
          <w:tcPr>
            <w:tcW w:w="698" w:type="dxa"/>
            <w:vMerge w:val="continue"/>
            <w:tcBorders>
              <w:left w:val="single" w:color="auto" w:sz="4" w:space="0"/>
              <w:right w:val="single" w:color="auto" w:sz="4" w:space="0"/>
            </w:tcBorders>
            <w:noWrap w:val="0"/>
            <w:vAlign w:val="center"/>
          </w:tcPr>
          <w:p>
            <w:pPr>
              <w:widowControl/>
              <w:jc w:val="left"/>
              <w:textAlignment w:val="center"/>
              <w:rPr>
                <w:rFonts w:hint="eastAsia" w:ascii="宋体" w:hAnsi="宋体" w:cs="宋体"/>
                <w:b w:val="0"/>
                <w:bCs/>
                <w:color w:val="auto"/>
                <w:kern w:val="0"/>
                <w:sz w:val="20"/>
                <w:szCs w:val="20"/>
                <w:highlight w:val="none"/>
              </w:rPr>
            </w:pPr>
          </w:p>
        </w:tc>
        <w:tc>
          <w:tcPr>
            <w:tcW w:w="980" w:type="dxa"/>
            <w:vMerge w:val="restart"/>
            <w:tcBorders>
              <w:top w:val="single" w:color="auto" w:sz="4" w:space="0"/>
              <w:left w:val="single" w:color="auto" w:sz="4" w:space="0"/>
              <w:right w:val="single" w:color="auto" w:sz="4" w:space="0"/>
            </w:tcBorders>
            <w:noWrap w:val="0"/>
            <w:vAlign w:val="center"/>
          </w:tcPr>
          <w:p>
            <w:pPr>
              <w:widowControl/>
              <w:jc w:val="left"/>
              <w:textAlignment w:val="center"/>
              <w:rPr>
                <w:rFonts w:hint="eastAsia" w:ascii="宋体" w:hAnsi="宋体" w:cs="宋体"/>
                <w:b w:val="0"/>
                <w:bCs/>
                <w:color w:val="auto"/>
                <w:kern w:val="0"/>
                <w:sz w:val="20"/>
                <w:szCs w:val="20"/>
                <w:highlight w:val="none"/>
              </w:rPr>
            </w:pPr>
            <w:r>
              <w:rPr>
                <w:rFonts w:hint="eastAsia" w:ascii="宋体" w:hAnsi="宋体" w:eastAsia="宋体" w:cs="宋体"/>
                <w:b w:val="0"/>
                <w:bCs/>
                <w:color w:val="auto"/>
                <w:kern w:val="0"/>
                <w:sz w:val="20"/>
                <w:szCs w:val="20"/>
                <w:highlight w:val="none"/>
                <w:lang w:eastAsia="zh-CN"/>
              </w:rPr>
              <w:t>设备制造商认证评分</w:t>
            </w:r>
          </w:p>
        </w:tc>
        <w:tc>
          <w:tcPr>
            <w:tcW w:w="806"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b w:val="0"/>
                <w:bCs/>
                <w:color w:val="auto"/>
                <w:kern w:val="0"/>
                <w:sz w:val="20"/>
                <w:szCs w:val="20"/>
                <w:highlight w:val="none"/>
              </w:rPr>
            </w:pPr>
            <w:r>
              <w:rPr>
                <w:rFonts w:hint="eastAsia" w:ascii="宋体" w:hAnsi="宋体" w:eastAsia="宋体" w:cs="宋体"/>
                <w:b w:val="0"/>
                <w:bCs/>
                <w:color w:val="auto"/>
                <w:kern w:val="0"/>
                <w:sz w:val="20"/>
                <w:szCs w:val="20"/>
                <w:highlight w:val="none"/>
                <w:lang w:val="en-US" w:eastAsia="zh-CN"/>
              </w:rPr>
              <w:t>8</w:t>
            </w:r>
          </w:p>
        </w:tc>
        <w:tc>
          <w:tcPr>
            <w:tcW w:w="709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b w:val="0"/>
                <w:bCs/>
                <w:color w:val="auto"/>
                <w:kern w:val="0"/>
                <w:sz w:val="20"/>
                <w:szCs w:val="20"/>
                <w:highlight w:val="none"/>
                <w:lang w:val="en-US" w:eastAsia="zh-CN"/>
              </w:rPr>
            </w:pPr>
            <w:r>
              <w:rPr>
                <w:rFonts w:hint="eastAsia" w:ascii="宋体" w:hAnsi="宋体" w:cs="宋体"/>
                <w:b w:val="0"/>
                <w:bCs/>
                <w:color w:val="auto"/>
                <w:kern w:val="0"/>
                <w:sz w:val="20"/>
                <w:szCs w:val="20"/>
                <w:highlight w:val="none"/>
              </w:rPr>
              <w:t>所投主要</w:t>
            </w:r>
            <w:r>
              <w:rPr>
                <w:rFonts w:hint="eastAsia" w:ascii="宋体" w:hAnsi="宋体" w:eastAsia="宋体" w:cs="宋体"/>
                <w:b w:val="0"/>
                <w:bCs/>
                <w:color w:val="auto"/>
                <w:kern w:val="0"/>
                <w:sz w:val="20"/>
                <w:szCs w:val="20"/>
                <w:highlight w:val="none"/>
                <w:lang w:eastAsia="zh-CN"/>
              </w:rPr>
              <w:t>设备</w:t>
            </w:r>
            <w:r>
              <w:rPr>
                <w:rFonts w:hint="eastAsia" w:ascii="宋体" w:hAnsi="宋体" w:cs="宋体"/>
                <w:b w:val="0"/>
                <w:bCs/>
                <w:color w:val="auto"/>
                <w:kern w:val="0"/>
                <w:sz w:val="20"/>
                <w:szCs w:val="20"/>
                <w:highlight w:val="none"/>
              </w:rPr>
              <w:t>制造商具有ISO 20000信息技术服务管理体系认证证书、ISO 14001环境管理体系认证证书、ISO 9001质量管理体系认证证书、ISO 27001信息安全管理体系认证证书、OHSAS18001职业健康安全管理体系认证证书，全部具备</w:t>
            </w:r>
            <w:r>
              <w:rPr>
                <w:rFonts w:hint="eastAsia" w:ascii="宋体" w:hAnsi="宋体" w:cs="宋体"/>
                <w:b w:val="0"/>
                <w:bCs/>
                <w:color w:val="auto"/>
                <w:kern w:val="0"/>
                <w:sz w:val="20"/>
                <w:szCs w:val="20"/>
                <w:highlight w:val="none"/>
                <w:lang w:eastAsia="zh-CN"/>
              </w:rPr>
              <w:t>得</w:t>
            </w:r>
            <w:r>
              <w:rPr>
                <w:rFonts w:hint="eastAsia" w:ascii="宋体" w:hAnsi="宋体" w:eastAsia="宋体" w:cs="宋体"/>
                <w:b w:val="0"/>
                <w:bCs/>
                <w:color w:val="auto"/>
                <w:kern w:val="0"/>
                <w:sz w:val="20"/>
                <w:szCs w:val="20"/>
                <w:highlight w:val="none"/>
                <w:lang w:val="en-US" w:eastAsia="zh-CN"/>
              </w:rPr>
              <w:t>3</w:t>
            </w:r>
            <w:r>
              <w:rPr>
                <w:rFonts w:hint="eastAsia" w:ascii="宋体" w:hAnsi="宋体" w:cs="宋体"/>
                <w:b w:val="0"/>
                <w:bCs/>
                <w:color w:val="auto"/>
                <w:kern w:val="0"/>
                <w:sz w:val="20"/>
                <w:szCs w:val="20"/>
                <w:highlight w:val="none"/>
              </w:rPr>
              <w:t>分，提供不全</w:t>
            </w:r>
            <w:r>
              <w:rPr>
                <w:rFonts w:hint="eastAsia" w:ascii="宋体" w:hAnsi="宋体" w:eastAsia="宋体" w:cs="宋体"/>
                <w:b w:val="0"/>
                <w:bCs/>
                <w:color w:val="auto"/>
                <w:kern w:val="0"/>
                <w:sz w:val="20"/>
                <w:szCs w:val="20"/>
                <w:highlight w:val="none"/>
                <w:lang w:eastAsia="zh-CN"/>
              </w:rPr>
              <w:t>得</w:t>
            </w:r>
            <w:r>
              <w:rPr>
                <w:rFonts w:hint="eastAsia" w:ascii="宋体" w:hAnsi="宋体" w:eastAsia="宋体" w:cs="宋体"/>
                <w:b w:val="0"/>
                <w:bCs/>
                <w:color w:val="auto"/>
                <w:kern w:val="0"/>
                <w:sz w:val="20"/>
                <w:szCs w:val="20"/>
                <w:highlight w:val="none"/>
                <w:lang w:val="en-US" w:eastAsia="zh-CN"/>
              </w:rPr>
              <w:t>1</w:t>
            </w:r>
            <w:r>
              <w:rPr>
                <w:rFonts w:hint="eastAsia" w:ascii="宋体" w:hAnsi="宋体" w:cs="宋体"/>
                <w:b w:val="0"/>
                <w:bCs/>
                <w:color w:val="auto"/>
                <w:kern w:val="0"/>
                <w:sz w:val="20"/>
                <w:szCs w:val="20"/>
                <w:highlight w:val="none"/>
              </w:rPr>
              <w:t>分</w:t>
            </w:r>
            <w:r>
              <w:rPr>
                <w:rFonts w:hint="eastAsia" w:ascii="宋体" w:hAnsi="宋体" w:eastAsia="宋体" w:cs="宋体"/>
                <w:b w:val="0"/>
                <w:bCs/>
                <w:color w:val="auto"/>
                <w:kern w:val="0"/>
                <w:sz w:val="20"/>
                <w:szCs w:val="20"/>
                <w:highlight w:val="none"/>
                <w:lang w:eastAsia="zh-CN"/>
              </w:rPr>
              <w:t>，不提供不得分</w:t>
            </w:r>
            <w:r>
              <w:rPr>
                <w:rFonts w:hint="eastAsia" w:ascii="宋体" w:hAnsi="宋体" w:cs="宋体"/>
                <w:b w:val="0"/>
                <w:bCs/>
                <w:color w:val="auto"/>
                <w:kern w:val="0"/>
                <w:sz w:val="20"/>
                <w:szCs w:val="20"/>
                <w:highlight w:val="none"/>
              </w:rPr>
              <w:t xml:space="preserve">。提供证书复印件加盖制造商公章。 </w:t>
            </w:r>
          </w:p>
        </w:tc>
      </w:tr>
      <w:tr>
        <w:tblPrEx>
          <w:tblCellMar>
            <w:top w:w="0" w:type="dxa"/>
            <w:left w:w="108" w:type="dxa"/>
            <w:bottom w:w="0" w:type="dxa"/>
            <w:right w:w="108" w:type="dxa"/>
          </w:tblCellMar>
        </w:tblPrEx>
        <w:trPr>
          <w:trHeight w:val="780" w:hRule="atLeast"/>
        </w:trPr>
        <w:tc>
          <w:tcPr>
            <w:tcW w:w="698" w:type="dxa"/>
            <w:vMerge w:val="continue"/>
            <w:tcBorders>
              <w:left w:val="single" w:color="auto" w:sz="4" w:space="0"/>
              <w:right w:val="single" w:color="auto" w:sz="4" w:space="0"/>
            </w:tcBorders>
            <w:noWrap w:val="0"/>
            <w:vAlign w:val="center"/>
          </w:tcPr>
          <w:p>
            <w:pPr>
              <w:widowControl/>
              <w:jc w:val="left"/>
              <w:textAlignment w:val="center"/>
              <w:rPr>
                <w:rFonts w:hint="eastAsia" w:ascii="宋体" w:hAnsi="宋体" w:cs="宋体"/>
                <w:b w:val="0"/>
                <w:bCs/>
                <w:color w:val="auto"/>
                <w:kern w:val="0"/>
                <w:sz w:val="20"/>
                <w:szCs w:val="20"/>
                <w:highlight w:val="none"/>
              </w:rPr>
            </w:pPr>
          </w:p>
        </w:tc>
        <w:tc>
          <w:tcPr>
            <w:tcW w:w="980" w:type="dxa"/>
            <w:vMerge w:val="continue"/>
            <w:tcBorders>
              <w:left w:val="single" w:color="auto" w:sz="4" w:space="0"/>
              <w:right w:val="single" w:color="auto" w:sz="4" w:space="0"/>
            </w:tcBorders>
            <w:noWrap w:val="0"/>
            <w:vAlign w:val="center"/>
          </w:tcPr>
          <w:p>
            <w:pPr>
              <w:widowControl/>
              <w:jc w:val="left"/>
              <w:textAlignment w:val="center"/>
              <w:rPr>
                <w:rFonts w:hint="eastAsia" w:ascii="宋体" w:hAnsi="宋体" w:cs="宋体"/>
                <w:b w:val="0"/>
                <w:bCs/>
                <w:color w:val="auto"/>
                <w:kern w:val="0"/>
                <w:sz w:val="20"/>
                <w:szCs w:val="20"/>
                <w:highlight w:val="none"/>
              </w:rPr>
            </w:pPr>
          </w:p>
        </w:tc>
        <w:tc>
          <w:tcPr>
            <w:tcW w:w="806"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b w:val="0"/>
                <w:bCs/>
                <w:color w:val="auto"/>
                <w:kern w:val="0"/>
                <w:sz w:val="20"/>
                <w:szCs w:val="20"/>
                <w:highlight w:val="none"/>
              </w:rPr>
            </w:pPr>
          </w:p>
        </w:tc>
        <w:tc>
          <w:tcPr>
            <w:tcW w:w="709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b w:val="0"/>
                <w:bCs/>
                <w:color w:val="auto"/>
                <w:kern w:val="0"/>
                <w:sz w:val="20"/>
                <w:szCs w:val="20"/>
                <w:highlight w:val="none"/>
                <w:lang w:val="en-US" w:eastAsia="zh-CN"/>
              </w:rPr>
            </w:pPr>
            <w:r>
              <w:rPr>
                <w:rFonts w:hint="eastAsia" w:ascii="宋体" w:hAnsi="宋体" w:cs="宋体"/>
                <w:b w:val="0"/>
                <w:bCs/>
                <w:color w:val="auto"/>
                <w:kern w:val="0"/>
                <w:sz w:val="20"/>
                <w:szCs w:val="20"/>
                <w:highlight w:val="none"/>
              </w:rPr>
              <w:t>所投主要设备制造商具有安防工程企业设计施工维护能力</w:t>
            </w:r>
            <w:r>
              <w:rPr>
                <w:rFonts w:hint="eastAsia" w:ascii="宋体" w:hAnsi="宋体" w:eastAsia="宋体" w:cs="宋体"/>
                <w:b w:val="0"/>
                <w:bCs/>
                <w:color w:val="auto"/>
                <w:kern w:val="0"/>
                <w:sz w:val="20"/>
                <w:szCs w:val="20"/>
                <w:highlight w:val="none"/>
                <w:lang w:eastAsia="zh-CN"/>
              </w:rPr>
              <w:t>一级</w:t>
            </w:r>
            <w:r>
              <w:rPr>
                <w:rFonts w:hint="eastAsia" w:ascii="宋体" w:hAnsi="宋体" w:cs="宋体"/>
                <w:b w:val="0"/>
                <w:bCs/>
                <w:color w:val="auto"/>
                <w:kern w:val="0"/>
                <w:sz w:val="20"/>
                <w:szCs w:val="20"/>
                <w:highlight w:val="none"/>
              </w:rPr>
              <w:t>证书得2分，二级</w:t>
            </w:r>
            <w:r>
              <w:rPr>
                <w:rFonts w:hint="eastAsia" w:ascii="宋体" w:hAnsi="宋体" w:eastAsia="宋体" w:cs="宋体"/>
                <w:b w:val="0"/>
                <w:bCs/>
                <w:color w:val="auto"/>
                <w:kern w:val="0"/>
                <w:sz w:val="20"/>
                <w:szCs w:val="20"/>
                <w:highlight w:val="none"/>
                <w:lang w:eastAsia="zh-CN"/>
              </w:rPr>
              <w:t>证书</w:t>
            </w:r>
            <w:r>
              <w:rPr>
                <w:rFonts w:hint="eastAsia" w:ascii="宋体" w:hAnsi="宋体" w:cs="宋体"/>
                <w:b w:val="0"/>
                <w:bCs/>
                <w:color w:val="auto"/>
                <w:kern w:val="0"/>
                <w:sz w:val="20"/>
                <w:szCs w:val="20"/>
                <w:highlight w:val="none"/>
              </w:rPr>
              <w:t>得1分，</w:t>
            </w:r>
            <w:r>
              <w:rPr>
                <w:rFonts w:hint="eastAsia" w:ascii="宋体" w:hAnsi="宋体" w:eastAsia="宋体" w:cs="宋体"/>
                <w:b w:val="0"/>
                <w:bCs/>
                <w:color w:val="auto"/>
                <w:kern w:val="0"/>
                <w:sz w:val="20"/>
                <w:szCs w:val="20"/>
                <w:highlight w:val="none"/>
                <w:lang w:eastAsia="zh-CN"/>
              </w:rPr>
              <w:t>其余</w:t>
            </w:r>
            <w:r>
              <w:rPr>
                <w:rFonts w:hint="eastAsia" w:ascii="宋体" w:hAnsi="宋体" w:cs="宋体"/>
                <w:b w:val="0"/>
                <w:bCs/>
                <w:color w:val="auto"/>
                <w:kern w:val="0"/>
                <w:sz w:val="20"/>
                <w:szCs w:val="20"/>
                <w:highlight w:val="none"/>
              </w:rPr>
              <w:t>不得分。提供有效复印件并加盖制造商公章</w:t>
            </w:r>
          </w:p>
        </w:tc>
      </w:tr>
      <w:tr>
        <w:tblPrEx>
          <w:tblCellMar>
            <w:top w:w="0" w:type="dxa"/>
            <w:left w:w="108" w:type="dxa"/>
            <w:bottom w:w="0" w:type="dxa"/>
            <w:right w:w="108" w:type="dxa"/>
          </w:tblCellMar>
        </w:tblPrEx>
        <w:trPr>
          <w:trHeight w:val="636" w:hRule="atLeast"/>
        </w:trPr>
        <w:tc>
          <w:tcPr>
            <w:tcW w:w="698" w:type="dxa"/>
            <w:vMerge w:val="continue"/>
            <w:tcBorders>
              <w:left w:val="single" w:color="auto" w:sz="4" w:space="0"/>
              <w:right w:val="single" w:color="auto" w:sz="4" w:space="0"/>
            </w:tcBorders>
            <w:noWrap w:val="0"/>
            <w:vAlign w:val="center"/>
          </w:tcPr>
          <w:p>
            <w:pPr>
              <w:widowControl/>
              <w:jc w:val="left"/>
              <w:textAlignment w:val="center"/>
              <w:rPr>
                <w:rFonts w:hint="eastAsia" w:ascii="宋体" w:hAnsi="宋体" w:cs="宋体"/>
                <w:b w:val="0"/>
                <w:bCs/>
                <w:color w:val="auto"/>
                <w:kern w:val="0"/>
                <w:sz w:val="20"/>
                <w:szCs w:val="20"/>
                <w:highlight w:val="none"/>
              </w:rPr>
            </w:pPr>
          </w:p>
        </w:tc>
        <w:tc>
          <w:tcPr>
            <w:tcW w:w="980" w:type="dxa"/>
            <w:vMerge w:val="continue"/>
            <w:tcBorders>
              <w:left w:val="single" w:color="auto" w:sz="4" w:space="0"/>
              <w:right w:val="single" w:color="auto" w:sz="4" w:space="0"/>
            </w:tcBorders>
            <w:noWrap w:val="0"/>
            <w:vAlign w:val="center"/>
          </w:tcPr>
          <w:p>
            <w:pPr>
              <w:widowControl/>
              <w:jc w:val="left"/>
              <w:textAlignment w:val="center"/>
              <w:rPr>
                <w:rFonts w:hint="eastAsia" w:ascii="宋体" w:hAnsi="宋体" w:cs="宋体"/>
                <w:b w:val="0"/>
                <w:bCs/>
                <w:color w:val="auto"/>
                <w:kern w:val="0"/>
                <w:sz w:val="20"/>
                <w:szCs w:val="20"/>
                <w:highlight w:val="none"/>
              </w:rPr>
            </w:pPr>
          </w:p>
        </w:tc>
        <w:tc>
          <w:tcPr>
            <w:tcW w:w="806"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b w:val="0"/>
                <w:bCs/>
                <w:color w:val="auto"/>
                <w:kern w:val="0"/>
                <w:sz w:val="20"/>
                <w:szCs w:val="20"/>
                <w:highlight w:val="none"/>
              </w:rPr>
            </w:pPr>
          </w:p>
        </w:tc>
        <w:tc>
          <w:tcPr>
            <w:tcW w:w="709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b w:val="0"/>
                <w:bCs/>
                <w:color w:val="auto"/>
                <w:kern w:val="0"/>
                <w:sz w:val="20"/>
                <w:szCs w:val="20"/>
                <w:highlight w:val="none"/>
                <w:lang w:val="en-US" w:eastAsia="zh-CN"/>
              </w:rPr>
            </w:pPr>
            <w:r>
              <w:rPr>
                <w:rFonts w:hint="eastAsia" w:ascii="宋体" w:hAnsi="宋体" w:eastAsia="宋体" w:cs="宋体"/>
                <w:b w:val="0"/>
                <w:bCs/>
                <w:color w:val="auto"/>
                <w:kern w:val="0"/>
                <w:sz w:val="20"/>
                <w:szCs w:val="20"/>
                <w:highlight w:val="none"/>
                <w:lang w:eastAsia="zh-CN"/>
              </w:rPr>
              <w:t>所投设备</w:t>
            </w:r>
            <w:r>
              <w:rPr>
                <w:rFonts w:hint="eastAsia" w:ascii="宋体" w:hAnsi="宋体" w:cs="宋体"/>
                <w:b w:val="0"/>
                <w:bCs/>
                <w:color w:val="auto"/>
                <w:kern w:val="0"/>
                <w:sz w:val="20"/>
                <w:szCs w:val="20"/>
                <w:highlight w:val="none"/>
              </w:rPr>
              <w:t>制造商</w:t>
            </w:r>
            <w:r>
              <w:rPr>
                <w:rFonts w:hint="eastAsia" w:ascii="宋体" w:hAnsi="宋体" w:eastAsia="宋体" w:cs="宋体"/>
                <w:b w:val="0"/>
                <w:bCs/>
                <w:color w:val="auto"/>
                <w:kern w:val="0"/>
                <w:sz w:val="20"/>
                <w:szCs w:val="20"/>
                <w:highlight w:val="none"/>
                <w:lang w:eastAsia="zh-CN"/>
              </w:rPr>
              <w:t>符合GB/T27922-2011标准的售后服务认证（5星级）得</w:t>
            </w:r>
            <w:r>
              <w:rPr>
                <w:rFonts w:hint="eastAsia" w:ascii="宋体" w:hAnsi="宋体" w:eastAsia="宋体" w:cs="宋体"/>
                <w:b w:val="0"/>
                <w:bCs/>
                <w:color w:val="auto"/>
                <w:kern w:val="0"/>
                <w:sz w:val="20"/>
                <w:szCs w:val="20"/>
                <w:highlight w:val="none"/>
                <w:lang w:val="en-US" w:eastAsia="zh-CN"/>
              </w:rPr>
              <w:t>1</w:t>
            </w:r>
            <w:r>
              <w:rPr>
                <w:rFonts w:hint="eastAsia" w:ascii="宋体" w:hAnsi="宋体" w:eastAsia="宋体" w:cs="宋体"/>
                <w:b w:val="0"/>
                <w:bCs/>
                <w:color w:val="auto"/>
                <w:kern w:val="0"/>
                <w:sz w:val="20"/>
                <w:szCs w:val="20"/>
                <w:highlight w:val="none"/>
                <w:lang w:eastAsia="zh-CN"/>
              </w:rPr>
              <w:t>分，不满足不得分。提供证书复印件</w:t>
            </w:r>
            <w:r>
              <w:rPr>
                <w:rFonts w:hint="eastAsia" w:ascii="宋体" w:hAnsi="宋体" w:cs="宋体"/>
                <w:b w:val="0"/>
                <w:bCs/>
                <w:color w:val="auto"/>
                <w:kern w:val="0"/>
                <w:sz w:val="20"/>
                <w:szCs w:val="20"/>
                <w:highlight w:val="none"/>
              </w:rPr>
              <w:t>并加盖制造商公章</w:t>
            </w:r>
            <w:r>
              <w:rPr>
                <w:rFonts w:hint="eastAsia" w:ascii="宋体" w:hAnsi="宋体" w:eastAsia="宋体" w:cs="宋体"/>
                <w:b w:val="0"/>
                <w:bCs/>
                <w:color w:val="auto"/>
                <w:kern w:val="0"/>
                <w:sz w:val="20"/>
                <w:szCs w:val="20"/>
                <w:highlight w:val="none"/>
                <w:lang w:eastAsia="zh-CN"/>
              </w:rPr>
              <w:t>。</w:t>
            </w:r>
          </w:p>
        </w:tc>
      </w:tr>
      <w:tr>
        <w:tblPrEx>
          <w:tblCellMar>
            <w:top w:w="0" w:type="dxa"/>
            <w:left w:w="108" w:type="dxa"/>
            <w:bottom w:w="0" w:type="dxa"/>
            <w:right w:w="108" w:type="dxa"/>
          </w:tblCellMar>
        </w:tblPrEx>
        <w:trPr>
          <w:trHeight w:val="636" w:hRule="atLeast"/>
        </w:trPr>
        <w:tc>
          <w:tcPr>
            <w:tcW w:w="698" w:type="dxa"/>
            <w:vMerge w:val="continue"/>
            <w:tcBorders>
              <w:left w:val="single" w:color="auto" w:sz="4" w:space="0"/>
              <w:right w:val="single" w:color="auto" w:sz="4" w:space="0"/>
            </w:tcBorders>
            <w:noWrap w:val="0"/>
            <w:vAlign w:val="center"/>
          </w:tcPr>
          <w:p>
            <w:pPr>
              <w:widowControl/>
              <w:jc w:val="left"/>
              <w:textAlignment w:val="center"/>
              <w:rPr>
                <w:rFonts w:hint="eastAsia" w:ascii="宋体" w:hAnsi="宋体" w:cs="宋体"/>
                <w:b w:val="0"/>
                <w:bCs/>
                <w:color w:val="auto"/>
                <w:kern w:val="0"/>
                <w:sz w:val="20"/>
                <w:szCs w:val="20"/>
                <w:highlight w:val="none"/>
              </w:rPr>
            </w:pPr>
          </w:p>
        </w:tc>
        <w:tc>
          <w:tcPr>
            <w:tcW w:w="980" w:type="dxa"/>
            <w:vMerge w:val="continue"/>
            <w:tcBorders>
              <w:left w:val="single" w:color="auto" w:sz="4" w:space="0"/>
              <w:right w:val="single" w:color="auto" w:sz="4" w:space="0"/>
            </w:tcBorders>
            <w:noWrap w:val="0"/>
            <w:vAlign w:val="center"/>
          </w:tcPr>
          <w:p>
            <w:pPr>
              <w:widowControl/>
              <w:jc w:val="left"/>
              <w:textAlignment w:val="center"/>
              <w:rPr>
                <w:rFonts w:hint="eastAsia" w:ascii="宋体" w:hAnsi="宋体" w:cs="宋体"/>
                <w:b w:val="0"/>
                <w:bCs/>
                <w:color w:val="auto"/>
                <w:kern w:val="0"/>
                <w:sz w:val="20"/>
                <w:szCs w:val="20"/>
                <w:highlight w:val="none"/>
              </w:rPr>
            </w:pPr>
          </w:p>
        </w:tc>
        <w:tc>
          <w:tcPr>
            <w:tcW w:w="806"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b w:val="0"/>
                <w:bCs/>
                <w:color w:val="auto"/>
                <w:kern w:val="0"/>
                <w:sz w:val="20"/>
                <w:szCs w:val="20"/>
                <w:highlight w:val="none"/>
              </w:rPr>
            </w:pPr>
          </w:p>
        </w:tc>
        <w:tc>
          <w:tcPr>
            <w:tcW w:w="709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b w:val="0"/>
                <w:bCs/>
                <w:color w:val="auto"/>
                <w:kern w:val="0"/>
                <w:sz w:val="20"/>
                <w:szCs w:val="20"/>
                <w:highlight w:val="none"/>
                <w:lang w:val="en-US" w:eastAsia="zh-CN"/>
              </w:rPr>
            </w:pPr>
            <w:r>
              <w:rPr>
                <w:rFonts w:hint="eastAsia" w:ascii="宋体" w:hAnsi="宋体" w:cs="宋体"/>
                <w:b w:val="0"/>
                <w:bCs/>
                <w:color w:val="auto"/>
                <w:kern w:val="0"/>
                <w:sz w:val="20"/>
                <w:szCs w:val="20"/>
                <w:highlight w:val="none"/>
              </w:rPr>
              <w:t>所投主要</w:t>
            </w:r>
            <w:r>
              <w:rPr>
                <w:rFonts w:hint="eastAsia" w:ascii="宋体" w:hAnsi="宋体" w:eastAsia="宋体" w:cs="宋体"/>
                <w:b w:val="0"/>
                <w:bCs/>
                <w:color w:val="auto"/>
                <w:kern w:val="0"/>
                <w:sz w:val="20"/>
                <w:szCs w:val="20"/>
                <w:highlight w:val="none"/>
                <w:lang w:eastAsia="zh-CN"/>
              </w:rPr>
              <w:t>设备</w:t>
            </w:r>
            <w:r>
              <w:rPr>
                <w:rFonts w:hint="eastAsia" w:ascii="宋体" w:hAnsi="宋体" w:cs="宋体"/>
                <w:b w:val="0"/>
                <w:bCs/>
                <w:color w:val="auto"/>
                <w:kern w:val="0"/>
                <w:sz w:val="20"/>
                <w:szCs w:val="20"/>
                <w:highlight w:val="none"/>
              </w:rPr>
              <w:t>制造商通过CMMI5认证（有效期内）</w:t>
            </w:r>
            <w:r>
              <w:rPr>
                <w:rFonts w:hint="eastAsia" w:ascii="宋体" w:hAnsi="宋体" w:cs="宋体"/>
                <w:b w:val="0"/>
                <w:bCs/>
                <w:color w:val="auto"/>
                <w:kern w:val="0"/>
                <w:sz w:val="20"/>
                <w:szCs w:val="20"/>
                <w:highlight w:val="none"/>
                <w:lang w:eastAsia="zh-CN"/>
              </w:rPr>
              <w:t>得</w:t>
            </w:r>
            <w:r>
              <w:rPr>
                <w:rFonts w:hint="eastAsia" w:ascii="宋体" w:hAnsi="宋体" w:eastAsia="宋体" w:cs="宋体"/>
                <w:b w:val="0"/>
                <w:bCs/>
                <w:color w:val="auto"/>
                <w:kern w:val="0"/>
                <w:sz w:val="20"/>
                <w:szCs w:val="20"/>
                <w:highlight w:val="none"/>
                <w:lang w:val="en-US" w:eastAsia="zh-CN"/>
              </w:rPr>
              <w:t>2</w:t>
            </w:r>
            <w:r>
              <w:rPr>
                <w:rFonts w:hint="eastAsia" w:ascii="宋体" w:hAnsi="宋体" w:cs="宋体"/>
                <w:b w:val="0"/>
                <w:bCs/>
                <w:color w:val="auto"/>
                <w:kern w:val="0"/>
                <w:sz w:val="20"/>
                <w:szCs w:val="20"/>
                <w:highlight w:val="none"/>
              </w:rPr>
              <w:t>分，通过CMMI4（有效期内）</w:t>
            </w:r>
            <w:r>
              <w:rPr>
                <w:rFonts w:hint="eastAsia" w:ascii="宋体" w:hAnsi="宋体" w:cs="宋体"/>
                <w:b w:val="0"/>
                <w:bCs/>
                <w:color w:val="auto"/>
                <w:kern w:val="0"/>
                <w:sz w:val="20"/>
                <w:szCs w:val="20"/>
                <w:highlight w:val="none"/>
                <w:lang w:eastAsia="zh-CN"/>
              </w:rPr>
              <w:t>得</w:t>
            </w:r>
            <w:r>
              <w:rPr>
                <w:rFonts w:hint="eastAsia" w:ascii="宋体" w:hAnsi="宋体" w:eastAsia="宋体" w:cs="宋体"/>
                <w:b w:val="0"/>
                <w:bCs/>
                <w:color w:val="auto"/>
                <w:kern w:val="0"/>
                <w:sz w:val="20"/>
                <w:szCs w:val="20"/>
                <w:highlight w:val="none"/>
                <w:lang w:val="en-US" w:eastAsia="zh-CN"/>
              </w:rPr>
              <w:t>1</w:t>
            </w:r>
            <w:r>
              <w:rPr>
                <w:rFonts w:hint="eastAsia" w:ascii="宋体" w:hAnsi="宋体" w:cs="宋体"/>
                <w:b w:val="0"/>
                <w:bCs/>
                <w:color w:val="auto"/>
                <w:kern w:val="0"/>
                <w:sz w:val="20"/>
                <w:szCs w:val="20"/>
                <w:highlight w:val="none"/>
              </w:rPr>
              <w:t>分，其余不得分</w:t>
            </w:r>
            <w:r>
              <w:rPr>
                <w:rFonts w:hint="eastAsia" w:ascii="宋体" w:hAnsi="宋体" w:eastAsia="宋体" w:cs="宋体"/>
                <w:b w:val="0"/>
                <w:bCs/>
                <w:color w:val="auto"/>
                <w:kern w:val="0"/>
                <w:sz w:val="20"/>
                <w:szCs w:val="20"/>
                <w:highlight w:val="none"/>
                <w:lang w:eastAsia="zh-CN"/>
              </w:rPr>
              <w:t>。</w:t>
            </w:r>
            <w:r>
              <w:rPr>
                <w:rFonts w:hint="eastAsia" w:ascii="宋体" w:hAnsi="宋体" w:cs="宋体"/>
                <w:b w:val="0"/>
                <w:bCs/>
                <w:color w:val="auto"/>
                <w:kern w:val="0"/>
                <w:sz w:val="20"/>
                <w:szCs w:val="20"/>
                <w:highlight w:val="none"/>
              </w:rPr>
              <w:t>提供有效复印件并加盖制造商公章</w:t>
            </w:r>
          </w:p>
        </w:tc>
      </w:tr>
      <w:tr>
        <w:tblPrEx>
          <w:tblCellMar>
            <w:top w:w="0" w:type="dxa"/>
            <w:left w:w="108" w:type="dxa"/>
            <w:bottom w:w="0" w:type="dxa"/>
            <w:right w:w="108" w:type="dxa"/>
          </w:tblCellMar>
        </w:tblPrEx>
        <w:trPr>
          <w:trHeight w:val="841" w:hRule="atLeast"/>
        </w:trPr>
        <w:tc>
          <w:tcPr>
            <w:tcW w:w="698" w:type="dxa"/>
            <w:vMerge w:val="continue"/>
            <w:tcBorders>
              <w:left w:val="single" w:color="auto" w:sz="4" w:space="0"/>
              <w:right w:val="single" w:color="auto" w:sz="4" w:space="0"/>
            </w:tcBorders>
            <w:noWrap w:val="0"/>
            <w:vAlign w:val="center"/>
          </w:tcPr>
          <w:p>
            <w:pPr>
              <w:widowControl/>
              <w:jc w:val="left"/>
              <w:textAlignment w:val="center"/>
              <w:rPr>
                <w:rFonts w:hint="eastAsia" w:ascii="宋体" w:hAnsi="宋体" w:cs="宋体"/>
                <w:b w:val="0"/>
                <w:bCs/>
                <w:color w:val="auto"/>
                <w:kern w:val="0"/>
                <w:sz w:val="20"/>
                <w:szCs w:val="20"/>
                <w:highlight w:val="none"/>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val="0"/>
                <w:bCs/>
                <w:color w:val="auto"/>
                <w:kern w:val="0"/>
                <w:sz w:val="20"/>
                <w:szCs w:val="20"/>
                <w:highlight w:val="none"/>
              </w:rPr>
            </w:pPr>
            <w:r>
              <w:rPr>
                <w:rFonts w:hint="eastAsia" w:ascii="宋体" w:hAnsi="宋体" w:cs="宋体"/>
                <w:b w:val="0"/>
                <w:bCs/>
                <w:color w:val="auto"/>
                <w:kern w:val="0"/>
                <w:sz w:val="20"/>
                <w:szCs w:val="20"/>
                <w:highlight w:val="none"/>
              </w:rPr>
              <w:t>类似业绩</w:t>
            </w: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color w:val="auto"/>
                <w:kern w:val="0"/>
                <w:sz w:val="20"/>
                <w:szCs w:val="20"/>
                <w:highlight w:val="none"/>
                <w:lang w:eastAsia="zh-CN"/>
              </w:rPr>
            </w:pPr>
            <w:r>
              <w:rPr>
                <w:rFonts w:hint="eastAsia" w:ascii="宋体" w:hAnsi="宋体" w:cs="宋体"/>
                <w:b w:val="0"/>
                <w:bCs/>
                <w:color w:val="auto"/>
                <w:kern w:val="0"/>
                <w:sz w:val="20"/>
                <w:szCs w:val="20"/>
                <w:highlight w:val="none"/>
                <w:lang w:val="en-US" w:eastAsia="zh-CN"/>
              </w:rPr>
              <w:t>2</w:t>
            </w:r>
          </w:p>
        </w:tc>
        <w:tc>
          <w:tcPr>
            <w:tcW w:w="709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val="0"/>
                <w:bCs/>
                <w:color w:val="auto"/>
                <w:kern w:val="0"/>
                <w:sz w:val="20"/>
                <w:szCs w:val="20"/>
                <w:highlight w:val="none"/>
              </w:rPr>
            </w:pPr>
            <w:r>
              <w:rPr>
                <w:rFonts w:hint="eastAsia" w:ascii="宋体" w:hAnsi="宋体" w:eastAsia="宋体" w:cs="宋体"/>
                <w:b w:val="0"/>
                <w:bCs/>
                <w:color w:val="auto"/>
                <w:kern w:val="0"/>
                <w:sz w:val="20"/>
                <w:szCs w:val="20"/>
                <w:highlight w:val="none"/>
                <w:lang w:eastAsia="zh-CN"/>
              </w:rPr>
              <w:t>投标人拥有类似项目业绩，每份业绩得</w:t>
            </w:r>
            <w:r>
              <w:rPr>
                <w:rFonts w:hint="eastAsia" w:ascii="宋体" w:hAnsi="宋体" w:eastAsia="宋体" w:cs="宋体"/>
                <w:b w:val="0"/>
                <w:bCs/>
                <w:color w:val="auto"/>
                <w:kern w:val="0"/>
                <w:sz w:val="20"/>
                <w:szCs w:val="20"/>
                <w:highlight w:val="none"/>
                <w:lang w:val="en-US" w:eastAsia="zh-CN"/>
              </w:rPr>
              <w:t>1</w:t>
            </w:r>
            <w:r>
              <w:rPr>
                <w:rFonts w:hint="eastAsia" w:ascii="宋体" w:hAnsi="宋体" w:eastAsia="宋体" w:cs="宋体"/>
                <w:b w:val="0"/>
                <w:bCs/>
                <w:color w:val="auto"/>
                <w:kern w:val="0"/>
                <w:sz w:val="20"/>
                <w:szCs w:val="20"/>
                <w:highlight w:val="none"/>
                <w:lang w:eastAsia="zh-CN"/>
              </w:rPr>
              <w:t xml:space="preserve"> 分，最多得</w:t>
            </w:r>
            <w:r>
              <w:rPr>
                <w:rFonts w:hint="eastAsia" w:ascii="宋体" w:hAnsi="宋体" w:eastAsia="宋体" w:cs="宋体"/>
                <w:b w:val="0"/>
                <w:bCs/>
                <w:color w:val="auto"/>
                <w:kern w:val="0"/>
                <w:sz w:val="20"/>
                <w:szCs w:val="20"/>
                <w:highlight w:val="none"/>
                <w:lang w:val="en-US" w:eastAsia="zh-CN"/>
              </w:rPr>
              <w:t>2</w:t>
            </w:r>
            <w:r>
              <w:rPr>
                <w:rFonts w:hint="eastAsia" w:ascii="宋体" w:hAnsi="宋体" w:eastAsia="宋体" w:cs="宋体"/>
                <w:b w:val="0"/>
                <w:bCs/>
                <w:color w:val="auto"/>
                <w:kern w:val="0"/>
                <w:sz w:val="20"/>
                <w:szCs w:val="20"/>
                <w:highlight w:val="none"/>
                <w:lang w:eastAsia="zh-CN"/>
              </w:rPr>
              <w:t>分。 注：（提供合同或中标通知书复印件并加盖公章，业绩证明不齐全不计分）</w:t>
            </w:r>
          </w:p>
        </w:tc>
      </w:tr>
      <w:tr>
        <w:tblPrEx>
          <w:tblCellMar>
            <w:top w:w="0" w:type="dxa"/>
            <w:left w:w="108" w:type="dxa"/>
            <w:bottom w:w="0" w:type="dxa"/>
            <w:right w:w="108" w:type="dxa"/>
          </w:tblCellMar>
        </w:tblPrEx>
        <w:trPr>
          <w:trHeight w:val="841" w:hRule="atLeast"/>
        </w:trPr>
        <w:tc>
          <w:tcPr>
            <w:tcW w:w="698" w:type="dxa"/>
            <w:vMerge w:val="continue"/>
            <w:tcBorders>
              <w:left w:val="single" w:color="auto" w:sz="4" w:space="0"/>
              <w:right w:val="single" w:color="auto" w:sz="4" w:space="0"/>
            </w:tcBorders>
            <w:noWrap w:val="0"/>
            <w:vAlign w:val="center"/>
          </w:tcPr>
          <w:p>
            <w:pPr>
              <w:widowControl/>
              <w:jc w:val="left"/>
              <w:textAlignment w:val="center"/>
              <w:rPr>
                <w:rFonts w:hint="eastAsia" w:ascii="宋体" w:hAnsi="宋体" w:cs="宋体"/>
                <w:b w:val="0"/>
                <w:bCs/>
                <w:color w:val="auto"/>
                <w:kern w:val="0"/>
                <w:sz w:val="20"/>
                <w:szCs w:val="20"/>
                <w:highlight w:val="none"/>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val="0"/>
                <w:bCs/>
                <w:color w:val="auto"/>
                <w:kern w:val="0"/>
                <w:sz w:val="20"/>
                <w:szCs w:val="20"/>
                <w:highlight w:val="none"/>
              </w:rPr>
            </w:pPr>
            <w:r>
              <w:rPr>
                <w:rFonts w:hint="eastAsia" w:ascii="宋体" w:hAnsi="宋体" w:cs="宋体"/>
                <w:b w:val="0"/>
                <w:bCs/>
                <w:color w:val="auto"/>
                <w:kern w:val="0"/>
                <w:sz w:val="20"/>
                <w:szCs w:val="20"/>
                <w:highlight w:val="none"/>
              </w:rPr>
              <w:t>项目团队</w:t>
            </w: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cs="宋体"/>
                <w:b w:val="0"/>
                <w:bCs/>
                <w:color w:val="auto"/>
                <w:kern w:val="0"/>
                <w:sz w:val="20"/>
                <w:szCs w:val="20"/>
                <w:highlight w:val="none"/>
                <w:lang w:val="en-US" w:eastAsia="zh-CN"/>
              </w:rPr>
            </w:pPr>
            <w:r>
              <w:rPr>
                <w:rFonts w:hint="eastAsia" w:ascii="宋体" w:hAnsi="宋体" w:cs="宋体"/>
                <w:b w:val="0"/>
                <w:bCs/>
                <w:color w:val="auto"/>
                <w:kern w:val="0"/>
                <w:sz w:val="20"/>
                <w:szCs w:val="20"/>
                <w:highlight w:val="none"/>
                <w:lang w:val="en-US" w:eastAsia="zh-CN"/>
              </w:rPr>
              <w:t>6</w:t>
            </w:r>
          </w:p>
        </w:tc>
        <w:tc>
          <w:tcPr>
            <w:tcW w:w="709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b w:val="0"/>
                <w:bCs/>
                <w:color w:val="auto"/>
                <w:kern w:val="0"/>
                <w:sz w:val="20"/>
                <w:szCs w:val="20"/>
                <w:highlight w:val="none"/>
                <w:lang w:eastAsia="zh-CN"/>
              </w:rPr>
            </w:pPr>
            <w:r>
              <w:rPr>
                <w:rFonts w:hint="eastAsia" w:ascii="宋体" w:hAnsi="宋体" w:eastAsia="宋体" w:cs="宋体"/>
                <w:b w:val="0"/>
                <w:bCs/>
                <w:color w:val="auto"/>
                <w:kern w:val="0"/>
                <w:sz w:val="20"/>
                <w:szCs w:val="20"/>
                <w:highlight w:val="none"/>
                <w:lang w:eastAsia="zh-CN"/>
              </w:rPr>
              <w:t>1、本项目指派的一名项目负责人需同时满足以下要求：（1）计算机及应用高级工程师；得</w:t>
            </w:r>
            <w:r>
              <w:rPr>
                <w:rFonts w:hint="eastAsia" w:ascii="宋体" w:hAnsi="宋体" w:eastAsia="宋体" w:cs="宋体"/>
                <w:b w:val="0"/>
                <w:bCs/>
                <w:color w:val="auto"/>
                <w:kern w:val="0"/>
                <w:sz w:val="20"/>
                <w:szCs w:val="20"/>
                <w:highlight w:val="none"/>
                <w:lang w:val="en-US" w:eastAsia="zh-CN"/>
              </w:rPr>
              <w:t>1分</w:t>
            </w:r>
            <w:r>
              <w:rPr>
                <w:rFonts w:hint="eastAsia" w:ascii="宋体" w:hAnsi="宋体" w:eastAsia="宋体" w:cs="宋体"/>
                <w:b w:val="0"/>
                <w:bCs/>
                <w:color w:val="auto"/>
                <w:kern w:val="0"/>
                <w:sz w:val="20"/>
                <w:szCs w:val="20"/>
                <w:highlight w:val="none"/>
                <w:lang w:eastAsia="zh-CN"/>
              </w:rPr>
              <w:t>（2）高级项目管理师；得</w:t>
            </w:r>
            <w:r>
              <w:rPr>
                <w:rFonts w:hint="eastAsia" w:ascii="宋体" w:hAnsi="宋体" w:eastAsia="宋体" w:cs="宋体"/>
                <w:b w:val="0"/>
                <w:bCs/>
                <w:color w:val="auto"/>
                <w:kern w:val="0"/>
                <w:sz w:val="20"/>
                <w:szCs w:val="20"/>
                <w:highlight w:val="none"/>
                <w:lang w:val="en-US" w:eastAsia="zh-CN"/>
              </w:rPr>
              <w:t>1分。</w:t>
            </w:r>
          </w:p>
          <w:p>
            <w:pPr>
              <w:widowControl/>
              <w:jc w:val="left"/>
              <w:textAlignment w:val="center"/>
              <w:rPr>
                <w:rFonts w:hint="eastAsia" w:ascii="宋体" w:hAnsi="宋体" w:eastAsia="宋体" w:cs="宋体"/>
                <w:b w:val="0"/>
                <w:bCs/>
                <w:color w:val="auto"/>
                <w:kern w:val="0"/>
                <w:sz w:val="20"/>
                <w:szCs w:val="20"/>
                <w:highlight w:val="none"/>
                <w:lang w:eastAsia="zh-CN"/>
              </w:rPr>
            </w:pPr>
            <w:r>
              <w:rPr>
                <w:rFonts w:hint="eastAsia" w:ascii="宋体" w:hAnsi="宋体" w:eastAsia="宋体" w:cs="宋体"/>
                <w:b w:val="0"/>
                <w:bCs/>
                <w:color w:val="auto"/>
                <w:kern w:val="0"/>
                <w:sz w:val="20"/>
                <w:szCs w:val="20"/>
                <w:highlight w:val="none"/>
                <w:lang w:eastAsia="zh-CN"/>
              </w:rPr>
              <w:t>2、本项目指派的一名项目技术负责人需同时满足以下要求：具有信息系统项目管理师（高级）、ITSS、RHCE、CISP证书。满足得</w:t>
            </w:r>
            <w:r>
              <w:rPr>
                <w:rFonts w:hint="eastAsia" w:ascii="宋体" w:hAnsi="宋体" w:eastAsia="宋体" w:cs="宋体"/>
                <w:b w:val="0"/>
                <w:bCs/>
                <w:color w:val="auto"/>
                <w:kern w:val="0"/>
                <w:sz w:val="20"/>
                <w:szCs w:val="20"/>
                <w:highlight w:val="none"/>
                <w:lang w:val="en-US" w:eastAsia="zh-CN"/>
              </w:rPr>
              <w:t>2</w:t>
            </w:r>
            <w:r>
              <w:rPr>
                <w:rFonts w:hint="eastAsia" w:ascii="宋体" w:hAnsi="宋体" w:eastAsia="宋体" w:cs="宋体"/>
                <w:b w:val="0"/>
                <w:bCs/>
                <w:color w:val="auto"/>
                <w:kern w:val="0"/>
                <w:sz w:val="20"/>
                <w:szCs w:val="20"/>
                <w:highlight w:val="none"/>
                <w:lang w:eastAsia="zh-CN"/>
              </w:rPr>
              <w:t>分，不满足不得分。</w:t>
            </w:r>
          </w:p>
          <w:p>
            <w:pPr>
              <w:widowControl/>
              <w:jc w:val="left"/>
              <w:textAlignment w:val="center"/>
              <w:rPr>
                <w:rFonts w:hint="eastAsia" w:ascii="宋体" w:hAnsi="宋体" w:eastAsia="宋体" w:cs="宋体"/>
                <w:b w:val="0"/>
                <w:bCs/>
                <w:color w:val="auto"/>
                <w:kern w:val="0"/>
                <w:sz w:val="20"/>
                <w:szCs w:val="20"/>
                <w:highlight w:val="none"/>
                <w:lang w:eastAsia="zh-CN"/>
              </w:rPr>
            </w:pPr>
            <w:r>
              <w:rPr>
                <w:rFonts w:hint="eastAsia" w:ascii="宋体" w:hAnsi="宋体" w:eastAsia="宋体" w:cs="宋体"/>
                <w:b w:val="0"/>
                <w:bCs/>
                <w:color w:val="auto"/>
                <w:kern w:val="0"/>
                <w:sz w:val="20"/>
                <w:szCs w:val="20"/>
                <w:highlight w:val="none"/>
                <w:lang w:eastAsia="zh-CN"/>
              </w:rPr>
              <w:t>3、项目班子人员：提供至少3人以上的运维人员，且每位运维成员同时具有PMP、ITSS、CPDA、CISP 证书的，全部具备以上证书的得2分，否则不得分。</w:t>
            </w:r>
          </w:p>
          <w:p>
            <w:pPr>
              <w:widowControl/>
              <w:jc w:val="left"/>
              <w:textAlignment w:val="center"/>
              <w:rPr>
                <w:rFonts w:hint="eastAsia" w:ascii="宋体" w:hAnsi="宋体" w:eastAsia="宋体" w:cs="宋体"/>
                <w:b w:val="0"/>
                <w:bCs/>
                <w:color w:val="auto"/>
                <w:kern w:val="0"/>
                <w:sz w:val="20"/>
                <w:szCs w:val="20"/>
                <w:highlight w:val="none"/>
                <w:lang w:eastAsia="zh-CN"/>
              </w:rPr>
            </w:pPr>
            <w:r>
              <w:rPr>
                <w:rFonts w:hint="eastAsia" w:ascii="宋体" w:hAnsi="宋体" w:eastAsia="宋体" w:cs="宋体"/>
                <w:b w:val="0"/>
                <w:bCs/>
                <w:color w:val="auto"/>
                <w:kern w:val="0"/>
                <w:sz w:val="20"/>
                <w:szCs w:val="20"/>
                <w:highlight w:val="none"/>
                <w:lang w:eastAsia="zh-CN"/>
              </w:rPr>
              <w:t>（提供证书复印件，加盖投标人公章；提供上述技术人员为投标人正式在册人员的有效证明材料，加盖投标人公章）</w:t>
            </w:r>
          </w:p>
        </w:tc>
      </w:tr>
    </w:tbl>
    <w:p>
      <w:pPr>
        <w:pStyle w:val="7"/>
      </w:pPr>
      <w:r>
        <w:rPr>
          <w:rFonts w:hint="eastAsia" w:hAnsi="宋体" w:eastAsia="宋体" w:cs="宋体"/>
          <w:bCs/>
          <w:color w:val="FF0000"/>
          <w:sz w:val="28"/>
          <w:szCs w:val="28"/>
        </w:rPr>
        <w:t>备注：以上所有须提供的证件、证书、有关资料等投标人都须提供原始资料的真彩扫描打印件供专家评委评审，否则不得分。投标人投标时须认真对待、如实应标。凡提供虚假材料谋取中标的，一经查实，根据《政府采购法》第七十七条之规定，将对供应商处以罚款、列入不良行为记录名单、依法追究刑事责任等。</w:t>
      </w:r>
    </w:p>
    <w:p>
      <w:pPr>
        <w:pStyle w:val="4"/>
        <w:numPr>
          <w:ilvl w:val="0"/>
          <w:numId w:val="1"/>
        </w:numPr>
        <w:jc w:val="center"/>
        <w:rPr>
          <w:rFonts w:ascii="黑体" w:hAnsi="黑体" w:eastAsia="黑体"/>
          <w:color w:val="000000" w:themeColor="text1"/>
          <w14:textFill>
            <w14:solidFill>
              <w14:schemeClr w14:val="tx1"/>
            </w14:solidFill>
          </w14:textFill>
        </w:rPr>
      </w:pPr>
      <w:bookmarkStart w:id="63" w:name="_Toc494721093"/>
      <w:bookmarkStart w:id="64" w:name="_Toc494745310"/>
      <w:bookmarkStart w:id="65" w:name="_Toc494664993"/>
      <w:bookmarkStart w:id="66" w:name="_Toc494702263"/>
      <w:bookmarkStart w:id="67" w:name="_Toc494665943"/>
      <w:bookmarkStart w:id="68" w:name="_Toc494665546"/>
      <w:bookmarkStart w:id="69" w:name="_Toc20590"/>
      <w:r>
        <w:rPr>
          <w:rFonts w:hint="eastAsia" w:ascii="黑体" w:hAnsi="黑体" w:eastAsia="黑体"/>
          <w:color w:val="000000" w:themeColor="text1"/>
          <w14:textFill>
            <w14:solidFill>
              <w14:schemeClr w14:val="tx1"/>
            </w14:solidFill>
          </w14:textFill>
        </w:rPr>
        <w:t>合同书格式（参考）</w:t>
      </w:r>
      <w:bookmarkEnd w:id="63"/>
      <w:bookmarkEnd w:id="64"/>
      <w:bookmarkEnd w:id="65"/>
      <w:bookmarkEnd w:id="66"/>
      <w:bookmarkEnd w:id="67"/>
      <w:bookmarkEnd w:id="68"/>
      <w:bookmarkEnd w:id="69"/>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ascii="宋体" w:hAnsi="宋体" w:eastAsia="宋体" w:cs="Times New Roman"/>
          <w:b/>
          <w:color w:val="000000" w:themeColor="text1"/>
          <w:kern w:val="0"/>
          <w:sz w:val="36"/>
          <w:szCs w:val="36"/>
          <w14:textFill>
            <w14:solidFill>
              <w14:schemeClr w14:val="tx1"/>
            </w14:solidFill>
          </w14:textFill>
        </w:rPr>
      </w:pPr>
      <w:r>
        <w:rPr>
          <w:rFonts w:hint="eastAsia" w:ascii="宋体" w:hAnsi="宋体" w:eastAsia="宋体" w:cs="Times New Roman"/>
          <w:b/>
          <w:color w:val="000000" w:themeColor="text1"/>
          <w:kern w:val="0"/>
          <w:sz w:val="36"/>
          <w:szCs w:val="36"/>
          <w14:textFill>
            <w14:solidFill>
              <w14:schemeClr w14:val="tx1"/>
            </w14:solidFill>
          </w14:textFill>
        </w:rPr>
        <w:t>合   同   书</w:t>
      </w:r>
    </w:p>
    <w:p>
      <w:pPr>
        <w:spacing w:before="78" w:beforeLines="25" w:line="360" w:lineRule="auto"/>
        <w:ind w:firstLine="480" w:firstLineChars="200"/>
        <w:rPr>
          <w:rFonts w:ascii="Helvetica" w:hAnsi="Helvetica" w:eastAsia="宋体" w:cs="Helvetica"/>
          <w:b/>
          <w:color w:val="000000" w:themeColor="text1"/>
          <w:kern w:val="0"/>
          <w:sz w:val="24"/>
          <w:szCs w:val="24"/>
          <w:lang w:val="zh-CN"/>
          <w14:textFill>
            <w14:solidFill>
              <w14:schemeClr w14:val="tx1"/>
            </w14:solidFill>
          </w14:textFill>
        </w:rPr>
      </w:pPr>
      <w:r>
        <w:rPr>
          <w:rFonts w:hint="eastAsia" w:ascii="Helvetica" w:hAnsi="Helvetica" w:eastAsia="宋体" w:cs="Helvetica"/>
          <w:b/>
          <w:color w:val="000000" w:themeColor="text1"/>
          <w:kern w:val="0"/>
          <w:sz w:val="24"/>
          <w:szCs w:val="24"/>
          <w:lang w:val="zh-CN"/>
          <w14:textFill>
            <w14:solidFill>
              <w14:schemeClr w14:val="tx1"/>
            </w14:solidFill>
          </w14:textFill>
        </w:rPr>
        <w:t>项目名称：</w:t>
      </w:r>
    </w:p>
    <w:p>
      <w:pPr>
        <w:spacing w:before="78" w:beforeLines="25" w:line="360" w:lineRule="auto"/>
        <w:ind w:firstLine="480" w:firstLineChars="200"/>
        <w:rPr>
          <w:rFonts w:ascii="Helvetica" w:hAnsi="Helvetica" w:eastAsia="宋体" w:cs="Helvetica"/>
          <w:b/>
          <w:color w:val="000000" w:themeColor="text1"/>
          <w:kern w:val="0"/>
          <w:sz w:val="24"/>
          <w:szCs w:val="24"/>
          <w:lang w:val="zh-CN"/>
          <w14:textFill>
            <w14:solidFill>
              <w14:schemeClr w14:val="tx1"/>
            </w14:solidFill>
          </w14:textFill>
        </w:rPr>
      </w:pPr>
      <w:r>
        <w:rPr>
          <w:rFonts w:hint="eastAsia" w:ascii="Helvetica" w:hAnsi="Helvetica" w:eastAsia="宋体" w:cs="Helvetica"/>
          <w:b/>
          <w:color w:val="000000" w:themeColor="text1"/>
          <w:kern w:val="0"/>
          <w:sz w:val="24"/>
          <w:szCs w:val="24"/>
          <w:lang w:val="zh-CN"/>
          <w14:textFill>
            <w14:solidFill>
              <w14:schemeClr w14:val="tx1"/>
            </w14:solidFill>
          </w14:textFill>
        </w:rPr>
        <w:t>合同编号：</w:t>
      </w:r>
    </w:p>
    <w:p>
      <w:pPr>
        <w:spacing w:before="78" w:beforeLines="25" w:line="360" w:lineRule="auto"/>
        <w:ind w:firstLine="480" w:firstLineChars="200"/>
        <w:rPr>
          <w:rFonts w:ascii="Helvetica" w:hAnsi="Helvetica" w:eastAsia="宋体" w:cs="Helvetica"/>
          <w:b/>
          <w:color w:val="000000" w:themeColor="text1"/>
          <w:kern w:val="0"/>
          <w:sz w:val="24"/>
          <w:szCs w:val="24"/>
          <w:lang w:val="zh-CN"/>
          <w14:textFill>
            <w14:solidFill>
              <w14:schemeClr w14:val="tx1"/>
            </w14:solidFill>
          </w14:textFill>
        </w:rPr>
      </w:pPr>
      <w:r>
        <w:rPr>
          <w:rFonts w:hint="eastAsia" w:ascii="Helvetica" w:hAnsi="Helvetica" w:eastAsia="宋体" w:cs="Helvetica"/>
          <w:b/>
          <w:color w:val="000000" w:themeColor="text1"/>
          <w:kern w:val="0"/>
          <w:sz w:val="24"/>
          <w:szCs w:val="24"/>
          <w:lang w:val="zh-CN"/>
          <w14:textFill>
            <w14:solidFill>
              <w14:schemeClr w14:val="tx1"/>
            </w14:solidFill>
          </w14:textFill>
        </w:rPr>
        <w:t>签订日期：</w:t>
      </w:r>
    </w:p>
    <w:p>
      <w:pPr>
        <w:spacing w:before="78" w:beforeLines="25" w:line="360" w:lineRule="auto"/>
        <w:ind w:firstLine="480" w:firstLineChars="200"/>
        <w:rPr>
          <w:rFonts w:ascii="Helvetica" w:hAnsi="Helvetica" w:eastAsia="宋体" w:cs="Helvetica"/>
          <w:b/>
          <w:color w:val="000000" w:themeColor="text1"/>
          <w:kern w:val="0"/>
          <w:sz w:val="24"/>
          <w:szCs w:val="24"/>
          <w:lang w:val="zh-CN"/>
          <w14:textFill>
            <w14:solidFill>
              <w14:schemeClr w14:val="tx1"/>
            </w14:solidFill>
          </w14:textFill>
        </w:rPr>
      </w:pPr>
      <w:r>
        <w:rPr>
          <w:rFonts w:hint="eastAsia" w:ascii="Helvetica" w:hAnsi="Helvetica" w:eastAsia="宋体" w:cs="Helvetica"/>
          <w:b/>
          <w:color w:val="000000" w:themeColor="text1"/>
          <w:kern w:val="0"/>
          <w:sz w:val="24"/>
          <w:szCs w:val="24"/>
          <w:lang w:val="zh-CN"/>
          <w14:textFill>
            <w14:solidFill>
              <w14:schemeClr w14:val="tx1"/>
            </w14:solidFill>
          </w14:textFill>
        </w:rPr>
        <w:t>签订合同地点：</w:t>
      </w:r>
    </w:p>
    <w:p>
      <w:pPr>
        <w:spacing w:before="78" w:beforeLines="25" w:line="360" w:lineRule="auto"/>
        <w:ind w:firstLine="480" w:firstLineChars="200"/>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本合同由</w:t>
      </w:r>
      <w:r>
        <w:rPr>
          <w:rFonts w:hint="eastAsia" w:ascii="Helvetica" w:hAnsi="Helvetica" w:eastAsia="宋体" w:cs="Helvetica"/>
          <w:color w:val="000000" w:themeColor="text1"/>
          <w:kern w:val="0"/>
          <w:sz w:val="24"/>
          <w:szCs w:val="24"/>
          <w:u w:val="single"/>
          <w:lang w:val="zh-CN"/>
          <w14:textFill>
            <w14:solidFill>
              <w14:schemeClr w14:val="tx1"/>
            </w14:solidFill>
          </w14:textFill>
        </w:rPr>
        <w:t>（采购人）</w:t>
      </w:r>
      <w:r>
        <w:rPr>
          <w:rFonts w:hint="eastAsia" w:ascii="Helvetica" w:hAnsi="Helvetica" w:eastAsia="宋体" w:cs="Helvetica"/>
          <w:color w:val="000000" w:themeColor="text1"/>
          <w:kern w:val="0"/>
          <w:sz w:val="24"/>
          <w:szCs w:val="24"/>
          <w:lang w:val="zh-CN"/>
          <w14:textFill>
            <w14:solidFill>
              <w14:schemeClr w14:val="tx1"/>
            </w14:solidFill>
          </w14:textFill>
        </w:rPr>
        <w:t>（以下简称“甲方”）与</w:t>
      </w:r>
      <w:r>
        <w:rPr>
          <w:rFonts w:hint="eastAsia" w:ascii="Helvetica" w:hAnsi="Helvetica" w:eastAsia="宋体" w:cs="Helvetica"/>
          <w:color w:val="000000" w:themeColor="text1"/>
          <w:kern w:val="0"/>
          <w:sz w:val="24"/>
          <w:szCs w:val="24"/>
          <w:u w:val="single"/>
          <w:lang w:val="zh-CN"/>
          <w14:textFill>
            <w14:solidFill>
              <w14:schemeClr w14:val="tx1"/>
            </w14:solidFill>
          </w14:textFill>
        </w:rPr>
        <w:t>（中标人）</w:t>
      </w:r>
      <w:r>
        <w:rPr>
          <w:rFonts w:hint="eastAsia" w:ascii="Helvetica" w:hAnsi="Helvetica" w:eastAsia="宋体" w:cs="Helvetica"/>
          <w:color w:val="000000" w:themeColor="text1"/>
          <w:kern w:val="0"/>
          <w:sz w:val="24"/>
          <w:szCs w:val="24"/>
          <w:lang w:val="zh-CN"/>
          <w14:textFill>
            <w14:solidFill>
              <w14:schemeClr w14:val="tx1"/>
            </w14:solidFill>
          </w14:textFill>
        </w:rPr>
        <w:t>（以下简称“乙方”）签订。乙方以总金额万元人民币（用大写数字书写）向甲方提供如下货物（工程或服务）：</w:t>
      </w:r>
    </w:p>
    <w:p>
      <w:pPr>
        <w:spacing w:before="78" w:beforeLines="25" w:line="360" w:lineRule="auto"/>
        <w:ind w:firstLine="489" w:firstLineChars="204"/>
        <w:contextualSpacing/>
        <w:rPr>
          <w:rFonts w:ascii="宋体" w:hAnsi="宋体" w:eastAsia="宋体" w:cs="Times New Roman"/>
          <w:b/>
          <w:color w:val="000000" w:themeColor="text1"/>
          <w:kern w:val="0"/>
          <w:sz w:val="24"/>
          <w:szCs w:val="20"/>
          <w14:textFill>
            <w14:solidFill>
              <w14:schemeClr w14:val="tx1"/>
            </w14:solidFill>
          </w14:textFill>
        </w:rPr>
      </w:pPr>
      <w:r>
        <w:rPr>
          <w:rFonts w:hint="eastAsia" w:ascii="Helvetica" w:hAnsi="Helvetica" w:eastAsia="宋体" w:cs="Helvetica"/>
          <w:b/>
          <w:color w:val="000000" w:themeColor="text1"/>
          <w:kern w:val="0"/>
          <w:sz w:val="24"/>
          <w:szCs w:val="24"/>
          <w:lang w:val="zh-CN"/>
          <w14:textFill>
            <w14:solidFill>
              <w14:schemeClr w14:val="tx1"/>
            </w14:solidFill>
          </w14:textFill>
        </w:rPr>
        <w:t>经双方协商，同意按下列条文执行：</w:t>
      </w:r>
    </w:p>
    <w:p>
      <w:pPr>
        <w:numPr>
          <w:ilvl w:val="3"/>
          <w:numId w:val="54"/>
        </w:numPr>
        <w:tabs>
          <w:tab w:val="left" w:pos="854"/>
        </w:tabs>
        <w:autoSpaceDE w:val="0"/>
        <w:autoSpaceDN w:val="0"/>
        <w:spacing w:before="78" w:beforeLines="25"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本合同甲、乙双方应遵守国家颁布的《中华人民共和国合同法》、《中华人民共和国政府采购法》，并各自履行应负的全部责任和义务。</w:t>
      </w:r>
    </w:p>
    <w:p>
      <w:pPr>
        <w:numPr>
          <w:ilvl w:val="3"/>
          <w:numId w:val="54"/>
        </w:numPr>
        <w:tabs>
          <w:tab w:val="left" w:pos="854"/>
        </w:tabs>
        <w:autoSpaceDE w:val="0"/>
        <w:autoSpaceDN w:val="0"/>
        <w:spacing w:before="78" w:beforeLines="25"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甲方保证按合同条款规定的时间和方式付给乙方到期应付的合同款，并承担应负的责任和义务。</w:t>
      </w:r>
    </w:p>
    <w:p>
      <w:pPr>
        <w:numPr>
          <w:ilvl w:val="3"/>
          <w:numId w:val="54"/>
        </w:numPr>
        <w:tabs>
          <w:tab w:val="left" w:pos="854"/>
        </w:tabs>
        <w:autoSpaceDE w:val="0"/>
        <w:autoSpaceDN w:val="0"/>
        <w:spacing w:before="78" w:beforeLines="25"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乙方保证按合同条款规定的内容和工期（服务期限）向甲方提供合格的货物（工程或服务），并承担应负的责任和义务。</w:t>
      </w:r>
    </w:p>
    <w:p>
      <w:pPr>
        <w:numPr>
          <w:ilvl w:val="3"/>
          <w:numId w:val="54"/>
        </w:numPr>
        <w:tabs>
          <w:tab w:val="left" w:pos="854"/>
        </w:tabs>
        <w:autoSpaceDE w:val="0"/>
        <w:autoSpaceDN w:val="0"/>
        <w:spacing w:before="78" w:beforeLines="25"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合同文件。下列文件为本合同不可分割的部分：</w:t>
      </w:r>
    </w:p>
    <w:p>
      <w:pPr>
        <w:numPr>
          <w:ilvl w:val="0"/>
          <w:numId w:val="55"/>
        </w:numPr>
        <w:adjustRightInd w:val="0"/>
        <w:spacing w:before="78" w:beforeLines="25" w:line="360" w:lineRule="auto"/>
        <w:ind w:left="1090" w:leftChars="227" w:hanging="614" w:hangingChars="256"/>
        <w:rPr>
          <w:rFonts w:ascii="宋体" w:hAnsi="宋体" w:eastAsia="宋体" w:cs="Times New Roman"/>
          <w:color w:val="000000" w:themeColor="text1"/>
          <w:kern w:val="0"/>
          <w:sz w:val="24"/>
          <w:szCs w:val="20"/>
          <w:lang w:val="zh-CN"/>
          <w14:textFill>
            <w14:solidFill>
              <w14:schemeClr w14:val="tx1"/>
            </w14:solidFill>
          </w14:textFill>
        </w:rPr>
      </w:pPr>
      <w:r>
        <w:rPr>
          <w:rFonts w:hint="eastAsia" w:ascii="宋体" w:hAnsi="宋体" w:eastAsia="宋体" w:cs="Times New Roman"/>
          <w:color w:val="000000" w:themeColor="text1"/>
          <w:kern w:val="0"/>
          <w:sz w:val="24"/>
          <w:szCs w:val="20"/>
          <w:lang w:val="zh-CN"/>
          <w14:textFill>
            <w14:solidFill>
              <w14:schemeClr w14:val="tx1"/>
            </w14:solidFill>
          </w14:textFill>
        </w:rPr>
        <w:t>招标文件（项目编号：</w:t>
      </w:r>
      <w:r>
        <w:rPr>
          <w:rFonts w:hint="eastAsia" w:ascii="宋体" w:hAnsi="宋体" w:eastAsia="宋体" w:cs="Times New Roman"/>
          <w:color w:val="000000" w:themeColor="text1"/>
          <w:kern w:val="0"/>
          <w:sz w:val="24"/>
          <w:szCs w:val="20"/>
          <w:u w:val="single"/>
          <w:lang w:val="zh-CN"/>
          <w14:textFill>
            <w14:solidFill>
              <w14:schemeClr w14:val="tx1"/>
            </w14:solidFill>
          </w14:textFill>
        </w:rPr>
        <w:t>　　            　</w:t>
      </w:r>
      <w:r>
        <w:rPr>
          <w:rFonts w:hint="eastAsia" w:ascii="宋体" w:hAnsi="宋体" w:eastAsia="宋体" w:cs="Times New Roman"/>
          <w:color w:val="000000" w:themeColor="text1"/>
          <w:kern w:val="0"/>
          <w:sz w:val="24"/>
          <w:szCs w:val="20"/>
          <w:lang w:val="zh-CN"/>
          <w14:textFill>
            <w14:solidFill>
              <w14:schemeClr w14:val="tx1"/>
            </w14:solidFill>
          </w14:textFill>
        </w:rPr>
        <w:t>）；</w:t>
      </w:r>
    </w:p>
    <w:p>
      <w:pPr>
        <w:numPr>
          <w:ilvl w:val="0"/>
          <w:numId w:val="55"/>
        </w:numPr>
        <w:adjustRightInd w:val="0"/>
        <w:spacing w:before="78" w:beforeLines="25" w:line="360" w:lineRule="auto"/>
        <w:ind w:left="1090" w:leftChars="227" w:hanging="614" w:hangingChars="256"/>
        <w:rPr>
          <w:rFonts w:ascii="宋体" w:hAnsi="宋体" w:eastAsia="宋体" w:cs="Times New Roman"/>
          <w:color w:val="000000" w:themeColor="text1"/>
          <w:kern w:val="0"/>
          <w:sz w:val="24"/>
          <w:szCs w:val="20"/>
          <w:lang w:val="zh-CN"/>
          <w14:textFill>
            <w14:solidFill>
              <w14:schemeClr w14:val="tx1"/>
            </w14:solidFill>
          </w14:textFill>
        </w:rPr>
      </w:pPr>
      <w:r>
        <w:rPr>
          <w:rFonts w:hint="eastAsia" w:ascii="宋体" w:hAnsi="宋体" w:eastAsia="宋体" w:cs="Times New Roman"/>
          <w:color w:val="000000" w:themeColor="text1"/>
          <w:kern w:val="0"/>
          <w:sz w:val="24"/>
          <w:szCs w:val="20"/>
          <w:lang w:val="zh-CN"/>
          <w14:textFill>
            <w14:solidFill>
              <w14:schemeClr w14:val="tx1"/>
            </w14:solidFill>
          </w14:textFill>
        </w:rPr>
        <w:t>中标的投标文件；</w:t>
      </w:r>
    </w:p>
    <w:p>
      <w:pPr>
        <w:numPr>
          <w:ilvl w:val="0"/>
          <w:numId w:val="55"/>
        </w:numPr>
        <w:adjustRightInd w:val="0"/>
        <w:spacing w:before="78" w:beforeLines="25" w:line="360" w:lineRule="auto"/>
        <w:ind w:left="1090" w:leftChars="227" w:hanging="614" w:hangingChars="256"/>
        <w:rPr>
          <w:rFonts w:ascii="宋体" w:hAnsi="宋体" w:eastAsia="宋体" w:cs="Times New Roman"/>
          <w:color w:val="000000" w:themeColor="text1"/>
          <w:kern w:val="0"/>
          <w:sz w:val="24"/>
          <w:szCs w:val="20"/>
          <w:lang w:val="zh-CN"/>
          <w14:textFill>
            <w14:solidFill>
              <w14:schemeClr w14:val="tx1"/>
            </w14:solidFill>
          </w14:textFill>
        </w:rPr>
      </w:pPr>
      <w:r>
        <w:rPr>
          <w:rFonts w:hint="eastAsia" w:ascii="宋体" w:hAnsi="宋体" w:eastAsia="宋体" w:cs="Times New Roman"/>
          <w:color w:val="000000" w:themeColor="text1"/>
          <w:kern w:val="0"/>
          <w:sz w:val="24"/>
          <w:szCs w:val="20"/>
          <w:lang w:val="zh-CN"/>
          <w14:textFill>
            <w14:solidFill>
              <w14:schemeClr w14:val="tx1"/>
            </w14:solidFill>
          </w14:textFill>
        </w:rPr>
        <w:t>合同书；</w:t>
      </w:r>
    </w:p>
    <w:p>
      <w:pPr>
        <w:numPr>
          <w:ilvl w:val="0"/>
          <w:numId w:val="55"/>
        </w:numPr>
        <w:adjustRightInd w:val="0"/>
        <w:spacing w:before="78" w:beforeLines="25" w:line="360" w:lineRule="auto"/>
        <w:ind w:left="1090" w:leftChars="227" w:hanging="614" w:hangingChars="256"/>
        <w:rPr>
          <w:rFonts w:ascii="宋体" w:hAnsi="宋体" w:eastAsia="宋体" w:cs="Times New Roman"/>
          <w:color w:val="000000" w:themeColor="text1"/>
          <w:kern w:val="0"/>
          <w:sz w:val="24"/>
          <w:szCs w:val="20"/>
          <w:lang w:val="zh-CN"/>
          <w14:textFill>
            <w14:solidFill>
              <w14:schemeClr w14:val="tx1"/>
            </w14:solidFill>
          </w14:textFill>
        </w:rPr>
      </w:pPr>
      <w:r>
        <w:rPr>
          <w:rFonts w:hint="eastAsia" w:ascii="宋体" w:hAnsi="宋体" w:eastAsia="宋体" w:cs="Times New Roman"/>
          <w:color w:val="000000" w:themeColor="text1"/>
          <w:kern w:val="0"/>
          <w:sz w:val="24"/>
          <w:szCs w:val="20"/>
          <w:lang w:val="zh-CN"/>
          <w14:textFill>
            <w14:solidFill>
              <w14:schemeClr w14:val="tx1"/>
            </w14:solidFill>
          </w14:textFill>
        </w:rPr>
        <w:t>合同条款；</w:t>
      </w:r>
    </w:p>
    <w:p>
      <w:pPr>
        <w:numPr>
          <w:ilvl w:val="0"/>
          <w:numId w:val="55"/>
        </w:numPr>
        <w:adjustRightInd w:val="0"/>
        <w:spacing w:before="78" w:beforeLines="25" w:line="360" w:lineRule="auto"/>
        <w:ind w:left="1090" w:leftChars="227" w:hanging="614" w:hangingChars="256"/>
        <w:rPr>
          <w:rFonts w:ascii="宋体" w:hAnsi="宋体" w:eastAsia="宋体" w:cs="Times New Roman"/>
          <w:color w:val="000000" w:themeColor="text1"/>
          <w:kern w:val="0"/>
          <w:sz w:val="24"/>
          <w:szCs w:val="20"/>
          <w:lang w:val="zh-CN"/>
          <w14:textFill>
            <w14:solidFill>
              <w14:schemeClr w14:val="tx1"/>
            </w14:solidFill>
          </w14:textFill>
        </w:rPr>
      </w:pPr>
      <w:r>
        <w:rPr>
          <w:rFonts w:hint="eastAsia" w:ascii="宋体" w:hAnsi="宋体" w:eastAsia="宋体" w:cs="Times New Roman"/>
          <w:color w:val="000000" w:themeColor="text1"/>
          <w:kern w:val="0"/>
          <w:sz w:val="24"/>
          <w:szCs w:val="20"/>
          <w:lang w:val="zh-CN"/>
          <w14:textFill>
            <w14:solidFill>
              <w14:schemeClr w14:val="tx1"/>
            </w14:solidFill>
          </w14:textFill>
        </w:rPr>
        <w:t>集中采购机构发出的中标通知书；</w:t>
      </w:r>
    </w:p>
    <w:p>
      <w:pPr>
        <w:numPr>
          <w:ilvl w:val="0"/>
          <w:numId w:val="55"/>
        </w:numPr>
        <w:adjustRightInd w:val="0"/>
        <w:spacing w:before="78" w:beforeLines="25" w:line="360" w:lineRule="auto"/>
        <w:ind w:left="1090" w:leftChars="227" w:hanging="614" w:hangingChars="256"/>
        <w:rPr>
          <w:rFonts w:ascii="宋体" w:hAnsi="宋体" w:eastAsia="宋体" w:cs="Times New Roman"/>
          <w:color w:val="000000" w:themeColor="text1"/>
          <w:kern w:val="0"/>
          <w:sz w:val="24"/>
          <w:szCs w:val="20"/>
          <w:lang w:val="zh-CN"/>
          <w14:textFill>
            <w14:solidFill>
              <w14:schemeClr w14:val="tx1"/>
            </w14:solidFill>
          </w14:textFill>
        </w:rPr>
      </w:pPr>
      <w:r>
        <w:rPr>
          <w:rFonts w:hint="eastAsia" w:ascii="宋体" w:hAnsi="宋体" w:eastAsia="宋体" w:cs="Times New Roman"/>
          <w:color w:val="000000" w:themeColor="text1"/>
          <w:kern w:val="0"/>
          <w:sz w:val="24"/>
          <w:szCs w:val="20"/>
          <w:lang w:val="zh-CN"/>
          <w14:textFill>
            <w14:solidFill>
              <w14:schemeClr w14:val="tx1"/>
            </w14:solidFill>
          </w14:textFill>
        </w:rPr>
        <w:t>附件；</w:t>
      </w:r>
    </w:p>
    <w:p>
      <w:pPr>
        <w:numPr>
          <w:ilvl w:val="0"/>
          <w:numId w:val="56"/>
        </w:numPr>
        <w:spacing w:before="78" w:beforeLines="25" w:line="360" w:lineRule="auto"/>
        <w:ind w:left="1358" w:hanging="724"/>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kern w:val="0"/>
          <w:sz w:val="24"/>
          <w:szCs w:val="20"/>
          <w:lang w:val="zh-CN"/>
          <w14:textFill>
            <w14:solidFill>
              <w14:schemeClr w14:val="tx1"/>
            </w14:solidFill>
          </w14:textFill>
        </w:rPr>
        <w:t>甲方</w:t>
      </w:r>
      <w:r>
        <w:rPr>
          <w:rFonts w:hint="eastAsia" w:ascii="宋体" w:hAnsi="宋体" w:eastAsia="宋体" w:cs="Times New Roman"/>
          <w:color w:val="000000" w:themeColor="text1"/>
          <w:sz w:val="24"/>
          <w:szCs w:val="20"/>
          <w:lang w:val="zh-CN"/>
          <w14:textFill>
            <w14:solidFill>
              <w14:schemeClr w14:val="tx1"/>
            </w14:solidFill>
          </w14:textFill>
        </w:rPr>
        <w:t>在招标期间发布的所有补充通知；</w:t>
      </w:r>
    </w:p>
    <w:p>
      <w:pPr>
        <w:numPr>
          <w:ilvl w:val="0"/>
          <w:numId w:val="56"/>
        </w:numPr>
        <w:spacing w:before="78" w:beforeLines="25" w:line="360" w:lineRule="auto"/>
        <w:ind w:left="1358" w:hanging="724"/>
        <w:rPr>
          <w:rFonts w:ascii="宋体" w:hAnsi="宋体" w:eastAsia="宋体" w:cs="Times New Roman"/>
          <w:color w:val="000000" w:themeColor="text1"/>
          <w:kern w:val="0"/>
          <w:sz w:val="24"/>
          <w:szCs w:val="20"/>
          <w:lang w:val="zh-CN"/>
          <w14:textFill>
            <w14:solidFill>
              <w14:schemeClr w14:val="tx1"/>
            </w14:solidFill>
          </w14:textFill>
        </w:rPr>
      </w:pPr>
      <w:r>
        <w:rPr>
          <w:rFonts w:hint="eastAsia" w:ascii="宋体" w:hAnsi="宋体" w:eastAsia="宋体" w:cs="Times New Roman"/>
          <w:color w:val="000000" w:themeColor="text1"/>
          <w:kern w:val="0"/>
          <w:sz w:val="24"/>
          <w:szCs w:val="20"/>
          <w:lang w:val="zh-CN"/>
          <w14:textFill>
            <w14:solidFill>
              <w14:schemeClr w14:val="tx1"/>
            </w14:solidFill>
          </w14:textFill>
        </w:rPr>
        <w:t>乙方在投标期内补充的所有书面文件；</w:t>
      </w:r>
    </w:p>
    <w:p>
      <w:pPr>
        <w:numPr>
          <w:ilvl w:val="0"/>
          <w:numId w:val="56"/>
        </w:numPr>
        <w:spacing w:before="78" w:beforeLines="25" w:line="360" w:lineRule="auto"/>
        <w:ind w:left="1358" w:hanging="724"/>
        <w:rPr>
          <w:rFonts w:ascii="宋体" w:hAnsi="宋体" w:eastAsia="宋体" w:cs="Times New Roman"/>
          <w:color w:val="000000" w:themeColor="text1"/>
          <w:kern w:val="0"/>
          <w:sz w:val="24"/>
          <w:szCs w:val="20"/>
          <w:lang w:val="zh-CN"/>
          <w14:textFill>
            <w14:solidFill>
              <w14:schemeClr w14:val="tx1"/>
            </w14:solidFill>
          </w14:textFill>
        </w:rPr>
      </w:pPr>
      <w:r>
        <w:rPr>
          <w:rFonts w:hint="eastAsia" w:ascii="宋体" w:hAnsi="宋体" w:eastAsia="宋体" w:cs="Times New Roman"/>
          <w:color w:val="000000" w:themeColor="text1"/>
          <w:kern w:val="0"/>
          <w:sz w:val="24"/>
          <w:szCs w:val="20"/>
          <w:lang w:val="zh-CN"/>
          <w14:textFill>
            <w14:solidFill>
              <w14:schemeClr w14:val="tx1"/>
            </w14:solidFill>
          </w14:textFill>
        </w:rPr>
        <w:t>乙方在投标时随同投标文件一起递送的资料及附图；</w:t>
      </w:r>
    </w:p>
    <w:p>
      <w:pPr>
        <w:numPr>
          <w:ilvl w:val="0"/>
          <w:numId w:val="56"/>
        </w:numPr>
        <w:spacing w:before="78" w:beforeLines="25" w:line="360" w:lineRule="auto"/>
        <w:ind w:left="1358" w:hanging="724"/>
        <w:rPr>
          <w:rFonts w:ascii="宋体" w:hAnsi="宋体" w:eastAsia="宋体" w:cs="Times New Roman"/>
          <w:color w:val="000000" w:themeColor="text1"/>
          <w:kern w:val="0"/>
          <w:sz w:val="24"/>
          <w:szCs w:val="20"/>
          <w:lang w:val="zh-CN"/>
          <w14:textFill>
            <w14:solidFill>
              <w14:schemeClr w14:val="tx1"/>
            </w14:solidFill>
          </w14:textFill>
        </w:rPr>
      </w:pPr>
      <w:r>
        <w:rPr>
          <w:rFonts w:hint="eastAsia" w:ascii="宋体" w:hAnsi="宋体" w:eastAsia="宋体" w:cs="Times New Roman"/>
          <w:color w:val="000000" w:themeColor="text1"/>
          <w:kern w:val="0"/>
          <w:sz w:val="24"/>
          <w:szCs w:val="20"/>
          <w:lang w:val="zh-CN"/>
          <w14:textFill>
            <w14:solidFill>
              <w14:schemeClr w14:val="tx1"/>
            </w14:solidFill>
          </w14:textFill>
        </w:rPr>
        <w:t>在商洽本合同时，双方澄清、确认并共同签字的补充文件、技术协议。</w:t>
      </w:r>
    </w:p>
    <w:p>
      <w:pPr>
        <w:numPr>
          <w:ilvl w:val="3"/>
          <w:numId w:val="54"/>
        </w:numPr>
        <w:tabs>
          <w:tab w:val="left" w:pos="854"/>
        </w:tabs>
        <w:autoSpaceDE w:val="0"/>
        <w:autoSpaceDN w:val="0"/>
        <w:spacing w:before="78" w:beforeLines="25"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合同范围和条件。本合同的范围和条件应与上述规定的合同文件内容相一致。</w:t>
      </w:r>
    </w:p>
    <w:p>
      <w:pPr>
        <w:numPr>
          <w:ilvl w:val="3"/>
          <w:numId w:val="54"/>
        </w:numPr>
        <w:tabs>
          <w:tab w:val="left" w:pos="854"/>
        </w:tabs>
        <w:autoSpaceDE w:val="0"/>
        <w:autoSpaceDN w:val="0"/>
        <w:spacing w:before="78" w:beforeLines="25"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货物（工程或服务）及数量。本合同所提供的货物（工程或服务）及数量详见招标文件的要求及乙方投标文件中的承诺。</w:t>
      </w:r>
    </w:p>
    <w:p>
      <w:pPr>
        <w:numPr>
          <w:ilvl w:val="3"/>
          <w:numId w:val="54"/>
        </w:numPr>
        <w:tabs>
          <w:tab w:val="left" w:pos="854"/>
        </w:tabs>
        <w:autoSpaceDE w:val="0"/>
        <w:autoSpaceDN w:val="0"/>
        <w:spacing w:before="78" w:beforeLines="25"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付款条件。本合同的付款条件按招标文件规定执行。</w:t>
      </w:r>
    </w:p>
    <w:p>
      <w:pPr>
        <w:numPr>
          <w:ilvl w:val="3"/>
          <w:numId w:val="54"/>
        </w:numPr>
        <w:tabs>
          <w:tab w:val="left" w:pos="854"/>
        </w:tabs>
        <w:autoSpaceDE w:val="0"/>
        <w:autoSpaceDN w:val="0"/>
        <w:spacing w:before="78" w:beforeLines="25"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合同金额。合同总金额见合同书，分项价格在乙方的投标报价表中有明确规定。</w:t>
      </w:r>
    </w:p>
    <w:p>
      <w:pPr>
        <w:numPr>
          <w:ilvl w:val="3"/>
          <w:numId w:val="54"/>
        </w:numPr>
        <w:tabs>
          <w:tab w:val="left" w:pos="854"/>
        </w:tabs>
        <w:autoSpaceDE w:val="0"/>
        <w:autoSpaceDN w:val="0"/>
        <w:spacing w:before="78" w:beforeLines="25"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工期和交货（服务）地点。本合同中货物（工程或服务）的工期、交货（服务）地点在招标文件中有明确规定。</w:t>
      </w:r>
    </w:p>
    <w:p>
      <w:pPr>
        <w:numPr>
          <w:ilvl w:val="3"/>
          <w:numId w:val="54"/>
        </w:numPr>
        <w:tabs>
          <w:tab w:val="left" w:pos="980"/>
        </w:tabs>
        <w:autoSpaceDE w:val="0"/>
        <w:autoSpaceDN w:val="0"/>
        <w:spacing w:before="78" w:beforeLines="25"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合同生效。本合同经甲、乙双方授权代表签字和加盖公章（或合同专用章）后生效。如招标申请公证的，合同需经公证机构公证后生效。</w:t>
      </w:r>
    </w:p>
    <w:p>
      <w:pPr>
        <w:numPr>
          <w:ilvl w:val="3"/>
          <w:numId w:val="54"/>
        </w:numPr>
        <w:tabs>
          <w:tab w:val="left" w:pos="980"/>
        </w:tabs>
        <w:autoSpaceDE w:val="0"/>
        <w:autoSpaceDN w:val="0"/>
        <w:spacing w:before="78" w:beforeLines="25"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合同的份数。本合同正本一式</w:t>
      </w:r>
      <w:r>
        <w:rPr>
          <w:rFonts w:hint="eastAsia" w:ascii="宋体" w:hAnsi="宋体" w:eastAsia="宋体" w:cs="Times New Roman"/>
          <w:color w:val="000000" w:themeColor="text1"/>
          <w:kern w:val="0"/>
          <w:sz w:val="24"/>
          <w:szCs w:val="20"/>
          <w:u w:val="single"/>
          <w14:textFill>
            <w14:solidFill>
              <w14:schemeClr w14:val="tx1"/>
            </w14:solidFill>
          </w14:textFill>
        </w:rPr>
        <w:t>　</w:t>
      </w:r>
      <w:r>
        <w:rPr>
          <w:rFonts w:hint="eastAsia" w:ascii="宋体" w:hAnsi="宋体" w:eastAsia="宋体" w:cs="Times New Roman"/>
          <w:color w:val="000000" w:themeColor="text1"/>
          <w:kern w:val="0"/>
          <w:sz w:val="24"/>
          <w:szCs w:val="20"/>
          <w14:textFill>
            <w14:solidFill>
              <w14:schemeClr w14:val="tx1"/>
            </w14:solidFill>
          </w14:textFill>
        </w:rPr>
        <w:t>份，甲方执</w:t>
      </w:r>
      <w:r>
        <w:rPr>
          <w:rFonts w:hint="eastAsia" w:ascii="宋体" w:hAnsi="宋体" w:eastAsia="宋体" w:cs="Times New Roman"/>
          <w:color w:val="000000" w:themeColor="text1"/>
          <w:kern w:val="0"/>
          <w:sz w:val="24"/>
          <w:szCs w:val="20"/>
          <w:u w:val="single"/>
          <w14:textFill>
            <w14:solidFill>
              <w14:schemeClr w14:val="tx1"/>
            </w14:solidFill>
          </w14:textFill>
        </w:rPr>
        <w:t>　</w:t>
      </w:r>
      <w:r>
        <w:rPr>
          <w:rFonts w:hint="eastAsia" w:ascii="宋体" w:hAnsi="宋体" w:eastAsia="宋体" w:cs="Times New Roman"/>
          <w:color w:val="000000" w:themeColor="text1"/>
          <w:kern w:val="0"/>
          <w:sz w:val="24"/>
          <w:szCs w:val="20"/>
          <w14:textFill>
            <w14:solidFill>
              <w14:schemeClr w14:val="tx1"/>
            </w14:solidFill>
          </w14:textFill>
        </w:rPr>
        <w:t>份，乙方执</w:t>
      </w:r>
      <w:r>
        <w:rPr>
          <w:rFonts w:hint="eastAsia" w:ascii="宋体" w:hAnsi="宋体" w:eastAsia="宋体" w:cs="Times New Roman"/>
          <w:color w:val="000000" w:themeColor="text1"/>
          <w:kern w:val="0"/>
          <w:sz w:val="24"/>
          <w:szCs w:val="20"/>
          <w:u w:val="single"/>
          <w14:textFill>
            <w14:solidFill>
              <w14:schemeClr w14:val="tx1"/>
            </w14:solidFill>
          </w14:textFill>
        </w:rPr>
        <w:t>　</w:t>
      </w:r>
      <w:r>
        <w:rPr>
          <w:rFonts w:hint="eastAsia" w:ascii="宋体" w:hAnsi="宋体" w:eastAsia="宋体" w:cs="Times New Roman"/>
          <w:color w:val="000000" w:themeColor="text1"/>
          <w:kern w:val="0"/>
          <w:sz w:val="24"/>
          <w:szCs w:val="20"/>
          <w14:textFill>
            <w14:solidFill>
              <w14:schemeClr w14:val="tx1"/>
            </w14:solidFill>
          </w14:textFill>
        </w:rPr>
        <w:t>份；副本一式</w:t>
      </w:r>
      <w:r>
        <w:rPr>
          <w:rFonts w:hint="eastAsia" w:ascii="宋体" w:hAnsi="宋体" w:eastAsia="宋体" w:cs="Times New Roman"/>
          <w:color w:val="000000" w:themeColor="text1"/>
          <w:kern w:val="0"/>
          <w:sz w:val="24"/>
          <w:szCs w:val="20"/>
          <w:u w:val="single"/>
          <w14:textFill>
            <w14:solidFill>
              <w14:schemeClr w14:val="tx1"/>
            </w14:solidFill>
          </w14:textFill>
        </w:rPr>
        <w:t>　</w:t>
      </w:r>
      <w:r>
        <w:rPr>
          <w:rFonts w:hint="eastAsia" w:ascii="宋体" w:hAnsi="宋体" w:eastAsia="宋体" w:cs="Times New Roman"/>
          <w:color w:val="000000" w:themeColor="text1"/>
          <w:kern w:val="0"/>
          <w:sz w:val="24"/>
          <w:szCs w:val="20"/>
          <w14:textFill>
            <w14:solidFill>
              <w14:schemeClr w14:val="tx1"/>
            </w14:solidFill>
          </w14:textFill>
        </w:rPr>
        <w:t>份，甲方执</w:t>
      </w:r>
      <w:r>
        <w:rPr>
          <w:rFonts w:hint="eastAsia" w:ascii="宋体" w:hAnsi="宋体" w:eastAsia="宋体" w:cs="Times New Roman"/>
          <w:color w:val="000000" w:themeColor="text1"/>
          <w:kern w:val="0"/>
          <w:sz w:val="24"/>
          <w:szCs w:val="20"/>
          <w:u w:val="single"/>
          <w14:textFill>
            <w14:solidFill>
              <w14:schemeClr w14:val="tx1"/>
            </w14:solidFill>
          </w14:textFill>
        </w:rPr>
        <w:t>　</w:t>
      </w:r>
      <w:r>
        <w:rPr>
          <w:rFonts w:hint="eastAsia" w:ascii="宋体" w:hAnsi="宋体" w:eastAsia="宋体" w:cs="Times New Roman"/>
          <w:color w:val="000000" w:themeColor="text1"/>
          <w:kern w:val="0"/>
          <w:sz w:val="24"/>
          <w:szCs w:val="20"/>
          <w14:textFill>
            <w14:solidFill>
              <w14:schemeClr w14:val="tx1"/>
            </w14:solidFill>
          </w14:textFill>
        </w:rPr>
        <w:t>份，乙方执</w:t>
      </w:r>
      <w:r>
        <w:rPr>
          <w:rFonts w:hint="eastAsia" w:ascii="宋体" w:hAnsi="宋体" w:eastAsia="宋体" w:cs="Times New Roman"/>
          <w:color w:val="000000" w:themeColor="text1"/>
          <w:kern w:val="0"/>
          <w:sz w:val="24"/>
          <w:szCs w:val="20"/>
          <w:u w:val="single"/>
          <w14:textFill>
            <w14:solidFill>
              <w14:schemeClr w14:val="tx1"/>
            </w14:solidFill>
          </w14:textFill>
        </w:rPr>
        <w:t>　</w:t>
      </w:r>
      <w:r>
        <w:rPr>
          <w:rFonts w:hint="eastAsia" w:ascii="宋体" w:hAnsi="宋体" w:eastAsia="宋体" w:cs="Times New Roman"/>
          <w:color w:val="000000" w:themeColor="text1"/>
          <w:kern w:val="0"/>
          <w:sz w:val="24"/>
          <w:szCs w:val="20"/>
          <w14:textFill>
            <w14:solidFill>
              <w14:schemeClr w14:val="tx1"/>
            </w14:solidFill>
          </w14:textFill>
        </w:rPr>
        <w:t>份。</w:t>
      </w:r>
    </w:p>
    <w:p>
      <w:pPr>
        <w:numPr>
          <w:ilvl w:val="3"/>
          <w:numId w:val="54"/>
        </w:numPr>
        <w:tabs>
          <w:tab w:val="left" w:pos="980"/>
        </w:tabs>
        <w:autoSpaceDE w:val="0"/>
        <w:autoSpaceDN w:val="0"/>
        <w:spacing w:before="78" w:beforeLines="25"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合同的失效。本合同在合同价款全部结清后失效。</w:t>
      </w:r>
    </w:p>
    <w:p>
      <w:pPr>
        <w:spacing w:before="78" w:beforeLines="25"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甲　　方：</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 xml:space="preserve">                         乙　　方：</w:t>
      </w:r>
    </w:p>
    <w:p>
      <w:pPr>
        <w:spacing w:before="78" w:beforeLines="25"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单位名称（盖章）：</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 xml:space="preserve">                  单位名称（盖章）：</w:t>
      </w:r>
    </w:p>
    <w:p>
      <w:pPr>
        <w:spacing w:before="78" w:beforeLines="25"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单位地址：</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 xml:space="preserve">                         单位地址：</w:t>
      </w:r>
    </w:p>
    <w:p>
      <w:pPr>
        <w:spacing w:before="78" w:beforeLines="25"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 xml:space="preserve">法人代表授权人(签字)：             </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法人代表授权人(签字)：</w:t>
      </w:r>
    </w:p>
    <w:p>
      <w:pPr>
        <w:spacing w:before="78" w:beforeLines="25"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联 系 人：</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 xml:space="preserve">                         联 系 人：</w:t>
      </w:r>
    </w:p>
    <w:p>
      <w:pPr>
        <w:spacing w:before="78" w:beforeLines="25"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 xml:space="preserve">电　　话：                         </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电　　话：</w:t>
      </w:r>
    </w:p>
    <w:p>
      <w:pPr>
        <w:spacing w:before="78" w:beforeLines="25"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 xml:space="preserve">传　　真：                         </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传　　真：</w:t>
      </w:r>
    </w:p>
    <w:p>
      <w:pPr>
        <w:spacing w:before="78" w:beforeLines="25"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 xml:space="preserve">邮政编码：                         </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邮政编码：</w:t>
      </w:r>
    </w:p>
    <w:p>
      <w:pPr>
        <w:spacing w:before="78" w:beforeLines="25"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 xml:space="preserve">开户银行：                         </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开户银行：</w:t>
      </w:r>
    </w:p>
    <w:p>
      <w:pPr>
        <w:spacing w:before="78" w:beforeLines="25"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 xml:space="preserve">帐　　号：                         </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帐　　号：</w:t>
      </w:r>
    </w:p>
    <w:p>
      <w:pPr>
        <w:spacing w:before="78" w:beforeLines="25"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 xml:space="preserve">税　　号：                         </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税　　号：</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1"/>
        </w:numPr>
        <w:jc w:val="center"/>
        <w:rPr>
          <w:rFonts w:ascii="黑体" w:hAnsi="黑体" w:eastAsia="黑体"/>
          <w:color w:val="000000" w:themeColor="text1"/>
          <w14:textFill>
            <w14:solidFill>
              <w14:schemeClr w14:val="tx1"/>
            </w14:solidFill>
          </w14:textFill>
        </w:rPr>
      </w:pPr>
      <w:bookmarkStart w:id="70" w:name="_Toc494745311"/>
      <w:bookmarkStart w:id="71" w:name="_Toc494721094"/>
      <w:bookmarkStart w:id="72" w:name="_Toc494702264"/>
      <w:bookmarkStart w:id="73" w:name="_Toc494664994"/>
      <w:bookmarkStart w:id="74" w:name="_Toc18542"/>
      <w:bookmarkStart w:id="75" w:name="_Toc494665944"/>
      <w:bookmarkStart w:id="76" w:name="_Toc494665547"/>
      <w:r>
        <w:rPr>
          <w:rFonts w:hint="eastAsia" w:ascii="黑体" w:hAnsi="黑体" w:eastAsia="黑体"/>
          <w:color w:val="000000" w:themeColor="text1"/>
          <w14:textFill>
            <w14:solidFill>
              <w14:schemeClr w14:val="tx1"/>
            </w14:solidFill>
          </w14:textFill>
        </w:rPr>
        <w:t>投标文件格式（参考）</w:t>
      </w:r>
      <w:bookmarkEnd w:id="70"/>
      <w:bookmarkEnd w:id="71"/>
      <w:bookmarkEnd w:id="72"/>
      <w:bookmarkEnd w:id="73"/>
      <w:bookmarkEnd w:id="74"/>
      <w:bookmarkEnd w:id="75"/>
      <w:bookmarkEnd w:id="76"/>
    </w:p>
    <w:p>
      <w:pPr>
        <w:spacing w:after="780" w:afterLines="250"/>
        <w:jc w:val="center"/>
        <w:rPr>
          <w:rFonts w:ascii="黑体" w:hAnsi="黑体" w:eastAsia="黑体"/>
          <w:b/>
          <w:color w:val="000000" w:themeColor="text1"/>
          <w:sz w:val="56"/>
          <w:szCs w:val="56"/>
          <w14:textFill>
            <w14:solidFill>
              <w14:schemeClr w14:val="tx1"/>
            </w14:solidFill>
          </w14:textFill>
        </w:rPr>
      </w:pPr>
      <w:r>
        <w:rPr>
          <w:rFonts w:hint="eastAsia" w:ascii="黑体" w:hAnsi="黑体" w:eastAsia="黑体"/>
          <w:b/>
          <w:color w:val="000000" w:themeColor="text1"/>
          <w:sz w:val="56"/>
          <w:szCs w:val="56"/>
          <w14:textFill>
            <w14:solidFill>
              <w14:schemeClr w14:val="tx1"/>
            </w14:solidFill>
          </w14:textFill>
        </w:rPr>
        <w:t>阳新县县级政府采购</w:t>
      </w:r>
    </w:p>
    <w:p>
      <w:pPr>
        <w:spacing w:after="624" w:afterLines="200"/>
        <w:jc w:val="center"/>
        <w:rPr>
          <w:rFonts w:ascii="黑体" w:hAnsi="黑体" w:eastAsia="黑体"/>
          <w:b/>
          <w:color w:val="000000" w:themeColor="text1"/>
          <w:sz w:val="144"/>
          <w:szCs w:val="144"/>
          <w14:textFill>
            <w14:solidFill>
              <w14:schemeClr w14:val="tx1"/>
            </w14:solidFill>
          </w14:textFill>
        </w:rPr>
      </w:pPr>
      <w:r>
        <w:rPr>
          <w:rFonts w:hint="eastAsia" w:ascii="黑体" w:hAnsi="黑体" w:eastAsia="黑体"/>
          <w:b/>
          <w:color w:val="000000" w:themeColor="text1"/>
          <w:sz w:val="144"/>
          <w:szCs w:val="144"/>
          <w14:textFill>
            <w14:solidFill>
              <w14:schemeClr w14:val="tx1"/>
            </w14:solidFill>
          </w14:textFill>
        </w:rPr>
        <w:t>投 标 文 件</w:t>
      </w:r>
    </w:p>
    <w:p>
      <w:pPr>
        <w:spacing w:after="624" w:afterLines="200"/>
        <w:jc w:val="center"/>
        <w:rPr>
          <w:rFonts w:ascii="黑体" w:hAnsi="黑体" w:eastAsia="黑体"/>
          <w:b/>
          <w:color w:val="000000" w:themeColor="text1"/>
          <w:sz w:val="144"/>
          <w:szCs w:val="144"/>
          <w14:textFill>
            <w14:solidFill>
              <w14:schemeClr w14:val="tx1"/>
            </w14:solidFill>
          </w14:textFill>
        </w:rPr>
      </w:pPr>
    </w:p>
    <w:p>
      <w:pPr>
        <w:pStyle w:val="5"/>
        <w:spacing w:before="340" w:after="480" w:line="360" w:lineRule="auto"/>
        <w:jc w:val="center"/>
        <w:rPr>
          <w:rFonts w:cs="Times New Roman" w:asciiTheme="majorEastAsia" w:hAnsiTheme="majorEastAsia"/>
          <w:bCs w:val="0"/>
          <w:color w:val="000000" w:themeColor="text1"/>
          <w:sz w:val="44"/>
          <w:szCs w:val="44"/>
          <w:lang w:val="zh-CN"/>
          <w14:textFill>
            <w14:solidFill>
              <w14:schemeClr w14:val="tx1"/>
            </w14:solidFill>
          </w14:textFill>
        </w:rPr>
      </w:pPr>
      <w:bookmarkStart w:id="77" w:name="_Toc494664995"/>
      <w:bookmarkStart w:id="78" w:name="_Toc494745312"/>
      <w:bookmarkStart w:id="79" w:name="_Toc494702265"/>
      <w:bookmarkStart w:id="80" w:name="_Toc494665548"/>
      <w:bookmarkStart w:id="81" w:name="_Toc494665945"/>
      <w:bookmarkStart w:id="82" w:name="_Toc26112"/>
      <w:bookmarkStart w:id="83" w:name="_Toc494721095"/>
      <w:r>
        <w:rPr>
          <w:rFonts w:hint="eastAsia" w:cs="Times New Roman" w:asciiTheme="majorEastAsia" w:hAnsiTheme="majorEastAsia"/>
          <w:bCs w:val="0"/>
          <w:color w:val="000000" w:themeColor="text1"/>
          <w:sz w:val="44"/>
          <w:szCs w:val="44"/>
          <w:lang w:val="zh-CN"/>
          <w14:textFill>
            <w14:solidFill>
              <w14:schemeClr w14:val="tx1"/>
            </w14:solidFill>
          </w14:textFill>
        </w:rPr>
        <w:t>第一部分 资格证明文件</w:t>
      </w:r>
      <w:bookmarkEnd w:id="77"/>
      <w:bookmarkEnd w:id="78"/>
      <w:bookmarkEnd w:id="79"/>
      <w:bookmarkEnd w:id="80"/>
      <w:bookmarkEnd w:id="81"/>
      <w:bookmarkEnd w:id="82"/>
      <w:bookmarkEnd w:id="83"/>
    </w:p>
    <w:p>
      <w:pPr>
        <w:spacing w:line="360" w:lineRule="auto"/>
        <w:ind w:left="2051" w:leftChars="619" w:right="1299" w:rightChars="619" w:hanging="752" w:hangingChars="209"/>
        <w:rPr>
          <w:rFonts w:cs="Times New Roman" w:asciiTheme="minorEastAsia" w:hAnsiTheme="minorEastAsia"/>
          <w:bCs/>
          <w:color w:val="000000" w:themeColor="text1"/>
          <w:sz w:val="36"/>
          <w:szCs w:val="24"/>
          <w14:textFill>
            <w14:solidFill>
              <w14:schemeClr w14:val="tx1"/>
            </w14:solidFill>
          </w14:textFill>
        </w:rPr>
      </w:pPr>
      <w:r>
        <w:rPr>
          <w:rFonts w:hint="eastAsia" w:cs="Times New Roman" w:asciiTheme="minorEastAsia" w:hAnsiTheme="minorEastAsia"/>
          <w:b/>
          <w:bCs/>
          <w:color w:val="000000" w:themeColor="text1"/>
          <w:sz w:val="36"/>
          <w:szCs w:val="24"/>
          <w14:textFill>
            <w14:solidFill>
              <w14:schemeClr w14:val="tx1"/>
            </w14:solidFill>
          </w14:textFill>
        </w:rPr>
        <w:t>项目编号：</w:t>
      </w:r>
    </w:p>
    <w:p>
      <w:pPr>
        <w:spacing w:line="360" w:lineRule="auto"/>
        <w:ind w:left="2051" w:leftChars="619" w:right="1299" w:rightChars="619" w:hanging="752" w:hangingChars="209"/>
        <w:rPr>
          <w:rFonts w:cs="Times New Roman" w:asciiTheme="minorEastAsia" w:hAnsiTheme="minorEastAsia"/>
          <w:b/>
          <w:bCs/>
          <w:color w:val="000000" w:themeColor="text1"/>
          <w:sz w:val="36"/>
          <w:szCs w:val="24"/>
          <w14:textFill>
            <w14:solidFill>
              <w14:schemeClr w14:val="tx1"/>
            </w14:solidFill>
          </w14:textFill>
        </w:rPr>
      </w:pPr>
      <w:r>
        <w:rPr>
          <w:rFonts w:hint="eastAsia" w:cs="Times New Roman" w:asciiTheme="minorEastAsia" w:hAnsiTheme="minorEastAsia"/>
          <w:b/>
          <w:bCs/>
          <w:color w:val="000000" w:themeColor="text1"/>
          <w:sz w:val="36"/>
          <w:szCs w:val="24"/>
          <w14:textFill>
            <w14:solidFill>
              <w14:schemeClr w14:val="tx1"/>
            </w14:solidFill>
          </w14:textFill>
        </w:rPr>
        <w:t>项目名称：</w:t>
      </w:r>
    </w:p>
    <w:p>
      <w:pPr>
        <w:spacing w:line="360" w:lineRule="auto"/>
        <w:ind w:left="2051" w:leftChars="619" w:right="1299" w:rightChars="619" w:hanging="752" w:hangingChars="209"/>
        <w:rPr>
          <w:rFonts w:cs="Times New Roman" w:asciiTheme="minorEastAsia" w:hAnsiTheme="minorEastAsia"/>
          <w:bCs/>
          <w:color w:val="000000" w:themeColor="text1"/>
          <w:sz w:val="36"/>
          <w:szCs w:val="24"/>
          <w:lang w:val="zh-CN"/>
          <w14:textFill>
            <w14:solidFill>
              <w14:schemeClr w14:val="tx1"/>
            </w14:solidFill>
          </w14:textFill>
        </w:rPr>
      </w:pPr>
      <w:r>
        <w:rPr>
          <w:rFonts w:hint="eastAsia" w:cs="Times New Roman" w:asciiTheme="minorEastAsia" w:hAnsiTheme="minorEastAsia"/>
          <w:b/>
          <w:bCs/>
          <w:color w:val="000000" w:themeColor="text1"/>
          <w:sz w:val="36"/>
          <w:szCs w:val="24"/>
          <w14:textFill>
            <w14:solidFill>
              <w14:schemeClr w14:val="tx1"/>
            </w14:solidFill>
          </w14:textFill>
        </w:rPr>
        <w:t>采购人：</w:t>
      </w:r>
    </w:p>
    <w:p>
      <w:pPr>
        <w:spacing w:line="360" w:lineRule="auto"/>
        <w:ind w:left="2051" w:leftChars="619" w:right="1299" w:rightChars="619" w:hanging="752" w:hangingChars="209"/>
        <w:rPr>
          <w:rFonts w:cs="Times New Roman" w:asciiTheme="minorEastAsia" w:hAnsiTheme="minorEastAsia"/>
          <w:color w:val="000000" w:themeColor="text1"/>
          <w:sz w:val="36"/>
          <w:szCs w:val="36"/>
          <w14:textFill>
            <w14:solidFill>
              <w14:schemeClr w14:val="tx1"/>
            </w14:solidFill>
          </w14:textFill>
        </w:rPr>
      </w:pPr>
      <w:r>
        <w:rPr>
          <w:rFonts w:hint="eastAsia" w:cs="Times New Roman" w:asciiTheme="minorEastAsia" w:hAnsiTheme="minorEastAsia"/>
          <w:b/>
          <w:bCs/>
          <w:color w:val="000000" w:themeColor="text1"/>
          <w:sz w:val="36"/>
          <w:szCs w:val="24"/>
          <w14:textFill>
            <w14:solidFill>
              <w14:schemeClr w14:val="tx1"/>
            </w14:solidFill>
          </w14:textFill>
        </w:rPr>
        <w:t>采购内容：</w:t>
      </w:r>
    </w:p>
    <w:p>
      <w:pPr>
        <w:spacing w:line="360" w:lineRule="auto"/>
        <w:ind w:right="1287" w:rightChars="613"/>
        <w:jc w:val="center"/>
        <w:rPr>
          <w:rFonts w:cs="Times New Roman" w:asciiTheme="minorEastAsia" w:hAnsiTheme="minorEastAsia"/>
          <w:b/>
          <w:bCs/>
          <w:color w:val="000000" w:themeColor="text1"/>
          <w:sz w:val="96"/>
          <w:szCs w:val="96"/>
          <w14:textFill>
            <w14:solidFill>
              <w14:schemeClr w14:val="tx1"/>
            </w14:solidFill>
          </w14:textFill>
        </w:rPr>
      </w:pPr>
      <w:r>
        <w:rPr>
          <w:rFonts w:hint="eastAsia" w:cs="Times New Roman" w:asciiTheme="minorEastAsia" w:hAnsiTheme="minorEastAsia"/>
          <w:b/>
          <w:bCs/>
          <w:color w:val="000000" w:themeColor="text1"/>
          <w:sz w:val="96"/>
          <w:szCs w:val="96"/>
          <w14:textFill>
            <w14:solidFill>
              <w14:schemeClr w14:val="tx1"/>
            </w14:solidFill>
          </w14:textFill>
        </w:rPr>
        <w:t xml:space="preserve">   投标人（盖章）</w:t>
      </w:r>
    </w:p>
    <w:p>
      <w:pPr>
        <w:spacing w:line="360" w:lineRule="auto"/>
        <w:ind w:left="1971" w:leftChars="939" w:right="1287" w:rightChars="613" w:firstLine="1104" w:firstLineChars="345"/>
        <w:rPr>
          <w:rFonts w:cs="Times New Roman" w:asciiTheme="minorEastAsia" w:hAnsiTheme="minorEastAsia"/>
          <w:b/>
          <w:bCs/>
          <w:color w:val="000000" w:themeColor="text1"/>
          <w:sz w:val="32"/>
          <w:szCs w:val="32"/>
          <w14:textFill>
            <w14:solidFill>
              <w14:schemeClr w14:val="tx1"/>
            </w14:solidFill>
          </w14:textFill>
        </w:rPr>
      </w:pPr>
      <w:r>
        <w:rPr>
          <w:rFonts w:hint="eastAsia" w:cs="Times New Roman" w:asciiTheme="minorEastAsia" w:hAnsiTheme="minorEastAsia"/>
          <w:b/>
          <w:bCs/>
          <w:color w:val="000000" w:themeColor="text1"/>
          <w:sz w:val="32"/>
          <w:szCs w:val="32"/>
          <w14:textFill>
            <w14:solidFill>
              <w14:schemeClr w14:val="tx1"/>
            </w14:solidFill>
          </w14:textFill>
        </w:rPr>
        <w:t>投标人授权代表（签字）：</w:t>
      </w:r>
    </w:p>
    <w:p>
      <w:pPr>
        <w:spacing w:before="312" w:beforeLines="100" w:after="312" w:afterLines="100" w:line="360" w:lineRule="auto"/>
        <w:ind w:left="2256" w:leftChars="466" w:right="466" w:hanging="1278" w:hangingChars="355"/>
        <w:jc w:val="center"/>
        <w:rPr>
          <w:rFonts w:ascii="宋体" w:hAnsi="宋体"/>
          <w:b/>
          <w:color w:val="000000" w:themeColor="text1"/>
          <w:sz w:val="36"/>
          <w:szCs w:val="36"/>
          <w14:textFill>
            <w14:solidFill>
              <w14:schemeClr w14:val="tx1"/>
            </w14:solidFill>
          </w14:textFill>
        </w:rPr>
      </w:pPr>
      <w:r>
        <w:rPr>
          <w:rFonts w:hint="eastAsia" w:ascii="宋体" w:hAnsi="宋体" w:eastAsia="宋体" w:cs="Times New Roman"/>
          <w:b/>
          <w:bCs/>
          <w:color w:val="000000" w:themeColor="text1"/>
          <w:sz w:val="36"/>
          <w:szCs w:val="36"/>
          <w:lang w:eastAsia="zh-CN"/>
          <w14:textFill>
            <w14:solidFill>
              <w14:schemeClr w14:val="tx1"/>
            </w14:solidFill>
          </w14:textFill>
        </w:rPr>
        <w:t>二0二一</w:t>
      </w:r>
      <w:r>
        <w:rPr>
          <w:rFonts w:hint="eastAsia" w:ascii="宋体" w:hAnsi="宋体"/>
          <w:b/>
          <w:color w:val="000000" w:themeColor="text1"/>
          <w:sz w:val="36"/>
          <w:szCs w:val="36"/>
          <w14:textFill>
            <w14:solidFill>
              <w14:schemeClr w14:val="tx1"/>
            </w14:solidFill>
          </w14:textFill>
        </w:rPr>
        <w:t>年 月</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before="312" w:beforeLines="100" w:line="360" w:lineRule="auto"/>
        <w:jc w:val="left"/>
        <w:rPr>
          <w:rFonts w:ascii="宋体" w:hAnsi="宋体" w:eastAsia="宋体" w:cs="Times New Roman"/>
          <w:b/>
          <w:bCs/>
          <w:color w:val="000000" w:themeColor="text1"/>
          <w:sz w:val="30"/>
          <w:szCs w:val="30"/>
          <w:lang w:val="zh-CN"/>
          <w14:textFill>
            <w14:solidFill>
              <w14:schemeClr w14:val="tx1"/>
            </w14:solidFill>
          </w14:textFill>
        </w:rPr>
      </w:pPr>
      <w:r>
        <w:rPr>
          <w:rFonts w:hint="eastAsia" w:ascii="宋体" w:hAnsi="宋体" w:eastAsia="宋体" w:cs="Times New Roman"/>
          <w:b/>
          <w:bCs/>
          <w:color w:val="000000" w:themeColor="text1"/>
          <w:sz w:val="30"/>
          <w:szCs w:val="30"/>
          <w:lang w:val="zh-CN"/>
          <w14:textFill>
            <w14:solidFill>
              <w14:schemeClr w14:val="tx1"/>
            </w14:solidFill>
          </w14:textFill>
        </w:rPr>
        <w:t>格式（参考）说明：</w:t>
      </w:r>
    </w:p>
    <w:p>
      <w:pPr>
        <w:spacing w:before="120" w:after="120" w:line="578" w:lineRule="auto"/>
        <w:jc w:val="center"/>
        <w:rPr>
          <w:rFonts w:ascii="黑体" w:hAnsi="黑体" w:eastAsia="黑体" w:cs="Times New Roman"/>
          <w:b/>
          <w:color w:val="000000" w:themeColor="text1"/>
          <w:sz w:val="36"/>
          <w:szCs w:val="36"/>
          <w14:textFill>
            <w14:solidFill>
              <w14:schemeClr w14:val="tx1"/>
            </w14:solidFill>
          </w14:textFill>
        </w:rPr>
      </w:pPr>
      <w:bookmarkStart w:id="84" w:name="_Toc494664996"/>
      <w:bookmarkStart w:id="85" w:name="_Toc494721096"/>
      <w:bookmarkStart w:id="86" w:name="_Toc494665549"/>
      <w:bookmarkStart w:id="87" w:name="_Toc494702266"/>
      <w:bookmarkStart w:id="88" w:name="_Toc494745313"/>
      <w:bookmarkStart w:id="89" w:name="_Toc494665946"/>
      <w:r>
        <w:rPr>
          <w:rFonts w:hint="eastAsia" w:ascii="黑体" w:hAnsi="黑体" w:eastAsia="黑体" w:cs="Times New Roman"/>
          <w:b/>
          <w:color w:val="000000" w:themeColor="text1"/>
          <w:sz w:val="36"/>
          <w:szCs w:val="36"/>
          <w14:textFill>
            <w14:solidFill>
              <w14:schemeClr w14:val="tx1"/>
            </w14:solidFill>
          </w14:textFill>
        </w:rPr>
        <w:t>资格证明文件组成</w:t>
      </w:r>
      <w:bookmarkEnd w:id="84"/>
      <w:bookmarkEnd w:id="85"/>
      <w:bookmarkEnd w:id="86"/>
      <w:bookmarkEnd w:id="87"/>
      <w:bookmarkEnd w:id="88"/>
      <w:bookmarkEnd w:id="89"/>
    </w:p>
    <w:p>
      <w:pPr>
        <w:autoSpaceDE w:val="0"/>
        <w:autoSpaceDN w:val="0"/>
        <w:adjustRightInd w:val="0"/>
        <w:spacing w:before="156" w:beforeLines="50" w:after="156" w:afterLines="50" w:line="360" w:lineRule="auto"/>
        <w:ind w:firstLine="480" w:firstLineChars="20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由各投标人根据参考格式要求自行编写。目录清晰、内容详尽、易于理解和审查。具体内容应包括但不限于以下内容：</w:t>
      </w:r>
    </w:p>
    <w:p>
      <w:pPr>
        <w:numPr>
          <w:ilvl w:val="0"/>
          <w:numId w:val="57"/>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资格证明文件目录</w:t>
      </w:r>
      <w:r>
        <w:rPr>
          <w:rFonts w:hint="eastAsia" w:ascii="宋体" w:hAnsi="宋体" w:eastAsia="宋体" w:cs="Times New Roman"/>
          <w:b/>
          <w:color w:val="000000" w:themeColor="text1"/>
          <w:kern w:val="0"/>
          <w:sz w:val="24"/>
          <w:szCs w:val="32"/>
          <w14:textFill>
            <w14:solidFill>
              <w14:schemeClr w14:val="tx1"/>
            </w14:solidFill>
          </w14:textFill>
        </w:rPr>
        <w:t>（目录应涵盖下述所有资料，页码清晰以便查阅）</w:t>
      </w:r>
      <w:r>
        <w:rPr>
          <w:rFonts w:hint="eastAsia" w:ascii="宋体" w:hAnsi="宋体" w:eastAsia="宋体" w:cs="Times New Roman"/>
          <w:color w:val="000000" w:themeColor="text1"/>
          <w:kern w:val="0"/>
          <w:sz w:val="24"/>
          <w:szCs w:val="32"/>
          <w14:textFill>
            <w14:solidFill>
              <w14:schemeClr w14:val="tx1"/>
            </w14:solidFill>
          </w14:textFill>
        </w:rPr>
        <w:t>；</w:t>
      </w:r>
    </w:p>
    <w:p>
      <w:pPr>
        <w:numPr>
          <w:ilvl w:val="0"/>
          <w:numId w:val="57"/>
        </w:numPr>
        <w:autoSpaceDE w:val="0"/>
        <w:autoSpaceDN w:val="0"/>
        <w:adjustRightInd w:val="0"/>
        <w:spacing w:line="360" w:lineRule="auto"/>
        <w:ind w:left="490" w:hanging="370"/>
        <w:rPr>
          <w:rFonts w:ascii="宋体" w:hAnsi="宋体" w:eastAsia="宋体" w:cs="Times New Roman"/>
          <w:b/>
          <w:color w:val="000000" w:themeColor="text1"/>
          <w:kern w:val="0"/>
          <w:sz w:val="24"/>
          <w:szCs w:val="32"/>
          <w14:textFill>
            <w14:solidFill>
              <w14:schemeClr w14:val="tx1"/>
            </w14:solidFill>
          </w14:textFill>
        </w:rPr>
      </w:pPr>
      <w:r>
        <w:rPr>
          <w:rFonts w:hint="eastAsia" w:ascii="宋体" w:hAnsi="宋体"/>
          <w:color w:val="000000" w:themeColor="text1"/>
          <w:kern w:val="0"/>
          <w:sz w:val="24"/>
          <w:szCs w:val="32"/>
          <w14:textFill>
            <w14:solidFill>
              <w14:schemeClr w14:val="tx1"/>
            </w14:solidFill>
          </w14:textFill>
        </w:rPr>
        <w:t>应具备《政府采购法》第二十二条第一款规定的条件，提供下列材料：</w:t>
      </w:r>
    </w:p>
    <w:p>
      <w:pPr>
        <w:pStyle w:val="23"/>
        <w:numPr>
          <w:ilvl w:val="0"/>
          <w:numId w:val="58"/>
        </w:numPr>
        <w:autoSpaceDE w:val="0"/>
        <w:autoSpaceDN w:val="0"/>
        <w:adjustRightInd w:val="0"/>
        <w:spacing w:line="360" w:lineRule="auto"/>
        <w:ind w:hanging="260" w:firstLineChars="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法人或者其他组织的营业执照等证明文件，自然人的身份证明；</w:t>
      </w:r>
    </w:p>
    <w:p>
      <w:pPr>
        <w:pStyle w:val="23"/>
        <w:numPr>
          <w:ilvl w:val="0"/>
          <w:numId w:val="58"/>
        </w:numPr>
        <w:autoSpaceDE w:val="0"/>
        <w:autoSpaceDN w:val="0"/>
        <w:adjustRightInd w:val="0"/>
        <w:spacing w:line="360" w:lineRule="auto"/>
        <w:ind w:hanging="260" w:firstLineChars="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财务状况报告，依法缴纳税收和社会保障资金的相关材料；</w:t>
      </w:r>
    </w:p>
    <w:p>
      <w:pPr>
        <w:pStyle w:val="23"/>
        <w:numPr>
          <w:ilvl w:val="0"/>
          <w:numId w:val="58"/>
        </w:numPr>
        <w:autoSpaceDE w:val="0"/>
        <w:autoSpaceDN w:val="0"/>
        <w:adjustRightInd w:val="0"/>
        <w:spacing w:line="360" w:lineRule="auto"/>
        <w:ind w:hanging="260" w:firstLineChars="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具备履行合同所必需的设备和专业技术能力的证明材料；</w:t>
      </w:r>
    </w:p>
    <w:p>
      <w:pPr>
        <w:pStyle w:val="23"/>
        <w:numPr>
          <w:ilvl w:val="0"/>
          <w:numId w:val="58"/>
        </w:numPr>
        <w:autoSpaceDE w:val="0"/>
        <w:autoSpaceDN w:val="0"/>
        <w:adjustRightInd w:val="0"/>
        <w:spacing w:line="360" w:lineRule="auto"/>
        <w:ind w:hanging="260" w:firstLineChars="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参加政府采购活动前3年内在经营活动中没有重大违法记录的书面声明；</w:t>
      </w:r>
    </w:p>
    <w:p>
      <w:pPr>
        <w:pStyle w:val="23"/>
        <w:numPr>
          <w:ilvl w:val="0"/>
          <w:numId w:val="58"/>
        </w:numPr>
        <w:autoSpaceDE w:val="0"/>
        <w:autoSpaceDN w:val="0"/>
        <w:adjustRightInd w:val="0"/>
        <w:spacing w:line="360" w:lineRule="auto"/>
        <w:ind w:hanging="260" w:firstLineChars="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具备法律、行政法规规定的其他条件的证明材料；</w:t>
      </w:r>
    </w:p>
    <w:p>
      <w:pPr>
        <w:numPr>
          <w:ilvl w:val="0"/>
          <w:numId w:val="57"/>
        </w:numPr>
        <w:autoSpaceDE w:val="0"/>
        <w:autoSpaceDN w:val="0"/>
        <w:adjustRightInd w:val="0"/>
        <w:spacing w:line="360" w:lineRule="auto"/>
        <w:ind w:left="490" w:hanging="370"/>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未被“信用中国”网站(www.creditchina.gov.cn)列入失信被执行人、重大税收违法案件当事人名单、政府采购严重违法失信行为记录名单的书面申明及该网站查询结果页面截图；</w:t>
      </w:r>
    </w:p>
    <w:p>
      <w:pPr>
        <w:numPr>
          <w:ilvl w:val="0"/>
          <w:numId w:val="57"/>
        </w:numPr>
        <w:autoSpaceDE w:val="0"/>
        <w:autoSpaceDN w:val="0"/>
        <w:adjustRightInd w:val="0"/>
        <w:spacing w:line="360" w:lineRule="auto"/>
        <w:ind w:left="490" w:hanging="370"/>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招标文件第一章“投标人资格要求”中有特殊要求的，投标人应提供其符合特殊要求的证明材料或者情况说明；</w:t>
      </w:r>
    </w:p>
    <w:p>
      <w:pPr>
        <w:numPr>
          <w:ilvl w:val="0"/>
          <w:numId w:val="57"/>
        </w:numPr>
        <w:autoSpaceDE w:val="0"/>
        <w:autoSpaceDN w:val="0"/>
        <w:adjustRightInd w:val="0"/>
        <w:spacing w:line="360" w:lineRule="auto"/>
        <w:ind w:left="490" w:hanging="370"/>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不符合联合体投标相关规定和要求的（适用于接受联合体投标的项目）；</w:t>
      </w:r>
    </w:p>
    <w:p>
      <w:pPr>
        <w:numPr>
          <w:ilvl w:val="0"/>
          <w:numId w:val="57"/>
        </w:numPr>
        <w:autoSpaceDE w:val="0"/>
        <w:autoSpaceDN w:val="0"/>
        <w:adjustRightInd w:val="0"/>
        <w:spacing w:line="360" w:lineRule="auto"/>
        <w:ind w:left="490" w:hanging="370"/>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投标人认为需提供的其它相关资格证明材料。</w:t>
      </w:r>
    </w:p>
    <w:p>
      <w:pPr>
        <w:autoSpaceDE w:val="0"/>
        <w:autoSpaceDN w:val="0"/>
        <w:adjustRightInd w:val="0"/>
        <w:spacing w:line="400" w:lineRule="exact"/>
        <w:ind w:left="490"/>
        <w:rPr>
          <w:rFonts w:ascii="Calibri" w:hAnsi="宋体" w:eastAsia="宋体" w:cs="Times New Roman"/>
          <w:color w:val="000000" w:themeColor="text1"/>
          <w:sz w:val="24"/>
          <w:szCs w:val="24"/>
          <w14:textFill>
            <w14:solidFill>
              <w14:schemeClr w14:val="tx1"/>
            </w14:solidFill>
          </w14:textFill>
        </w:rPr>
      </w:pPr>
    </w:p>
    <w:p>
      <w:pPr>
        <w:autoSpaceDE w:val="0"/>
        <w:autoSpaceDN w:val="0"/>
        <w:adjustRightInd w:val="0"/>
        <w:spacing w:line="400" w:lineRule="exact"/>
        <w:ind w:left="490"/>
        <w:rPr>
          <w:rFonts w:ascii="Calibri" w:hAnsi="宋体" w:eastAsia="宋体" w:cs="Times New Roman"/>
          <w:color w:val="000000" w:themeColor="text1"/>
          <w:sz w:val="24"/>
          <w:szCs w:val="24"/>
          <w14:textFill>
            <w14:solidFill>
              <w14:schemeClr w14:val="tx1"/>
            </w14:solidFill>
          </w14:textFill>
        </w:rPr>
      </w:pPr>
    </w:p>
    <w:p>
      <w:pPr>
        <w:rPr>
          <w:color w:val="000000" w:themeColor="text1"/>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说明：资格证明文件正本应为清晰彩色影印件且加盖单位公章，否则</w:t>
      </w:r>
      <w:r>
        <w:rPr>
          <w:rFonts w:hint="eastAsia" w:ascii="Helvetica" w:hAnsi="Helvetica" w:eastAsia="宋体" w:cs="Helvetica"/>
          <w:color w:val="000000" w:themeColor="text1"/>
          <w:kern w:val="0"/>
          <w:sz w:val="24"/>
          <w:szCs w:val="24"/>
          <w14:textFill>
            <w14:solidFill>
              <w14:schemeClr w14:val="tx1"/>
            </w14:solidFill>
          </w14:textFill>
        </w:rPr>
        <w:t>按照</w:t>
      </w:r>
      <w:r>
        <w:rPr>
          <w:rFonts w:hint="eastAsia" w:ascii="Helvetica" w:hAnsi="Helvetica" w:eastAsia="宋体" w:cs="Helvetica"/>
          <w:b/>
          <w:color w:val="000000" w:themeColor="text1"/>
          <w:kern w:val="0"/>
          <w:sz w:val="24"/>
          <w:szCs w:val="24"/>
          <w14:textFill>
            <w14:solidFill>
              <w14:schemeClr w14:val="tx1"/>
            </w14:solidFill>
          </w14:textFill>
        </w:rPr>
        <w:t>无效投标处理</w:t>
      </w:r>
      <w:r>
        <w:rPr>
          <w:rFonts w:hint="eastAsia" w:ascii="宋体" w:hAnsi="宋体" w:eastAsia="宋体" w:cs="Times New Roman"/>
          <w:b/>
          <w:color w:val="000000" w:themeColor="text1"/>
          <w:sz w:val="24"/>
          <w:szCs w:val="24"/>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before="312" w:beforeLines="100" w:after="780" w:afterLines="250"/>
        <w:jc w:val="center"/>
        <w:rPr>
          <w:rFonts w:ascii="黑体" w:hAnsi="黑体" w:eastAsia="黑体"/>
          <w:b/>
          <w:color w:val="000000" w:themeColor="text1"/>
          <w:sz w:val="72"/>
          <w:szCs w:val="72"/>
          <w14:textFill>
            <w14:solidFill>
              <w14:schemeClr w14:val="tx1"/>
            </w14:solidFill>
          </w14:textFill>
        </w:rPr>
      </w:pPr>
      <w:r>
        <w:rPr>
          <w:rFonts w:hint="eastAsia" w:ascii="黑体" w:hAnsi="黑体" w:eastAsia="黑体"/>
          <w:b/>
          <w:color w:val="000000" w:themeColor="text1"/>
          <w:sz w:val="72"/>
          <w:szCs w:val="72"/>
          <w14:textFill>
            <w14:solidFill>
              <w14:schemeClr w14:val="tx1"/>
            </w14:solidFill>
          </w14:textFill>
        </w:rPr>
        <w:t>阳新县县级政府采购</w:t>
      </w:r>
    </w:p>
    <w:p>
      <w:pPr>
        <w:spacing w:after="624" w:afterLines="200"/>
        <w:jc w:val="center"/>
        <w:rPr>
          <w:rFonts w:ascii="黑体" w:hAnsi="黑体" w:eastAsia="黑体"/>
          <w:b/>
          <w:color w:val="000000" w:themeColor="text1"/>
          <w:sz w:val="144"/>
          <w:szCs w:val="144"/>
          <w14:textFill>
            <w14:solidFill>
              <w14:schemeClr w14:val="tx1"/>
            </w14:solidFill>
          </w14:textFill>
        </w:rPr>
      </w:pPr>
      <w:r>
        <w:rPr>
          <w:rFonts w:hint="eastAsia" w:ascii="黑体" w:hAnsi="黑体" w:eastAsia="黑体"/>
          <w:b/>
          <w:color w:val="000000" w:themeColor="text1"/>
          <w:sz w:val="144"/>
          <w:szCs w:val="144"/>
          <w14:textFill>
            <w14:solidFill>
              <w14:schemeClr w14:val="tx1"/>
            </w14:solidFill>
          </w14:textFill>
        </w:rPr>
        <w:t>投 标 文 件</w:t>
      </w:r>
    </w:p>
    <w:p>
      <w:pPr>
        <w:pStyle w:val="5"/>
        <w:spacing w:before="340" w:after="480" w:line="360" w:lineRule="auto"/>
        <w:jc w:val="center"/>
        <w:rPr>
          <w:rFonts w:cs="Times New Roman" w:asciiTheme="majorEastAsia" w:hAnsiTheme="majorEastAsia"/>
          <w:bCs w:val="0"/>
          <w:color w:val="000000" w:themeColor="text1"/>
          <w:sz w:val="44"/>
          <w:szCs w:val="44"/>
          <w:lang w:val="zh-CN"/>
          <w14:textFill>
            <w14:solidFill>
              <w14:schemeClr w14:val="tx1"/>
            </w14:solidFill>
          </w14:textFill>
        </w:rPr>
      </w:pPr>
      <w:bookmarkStart w:id="90" w:name="_Toc494745314"/>
      <w:bookmarkStart w:id="91" w:name="_Toc494665947"/>
      <w:bookmarkStart w:id="92" w:name="_Toc494664997"/>
      <w:bookmarkStart w:id="93" w:name="_Toc494721097"/>
      <w:bookmarkStart w:id="94" w:name="_Toc494665550"/>
      <w:bookmarkStart w:id="95" w:name="_Toc494702267"/>
    </w:p>
    <w:p>
      <w:pPr>
        <w:pStyle w:val="5"/>
        <w:spacing w:before="340" w:after="480" w:line="360" w:lineRule="auto"/>
        <w:jc w:val="center"/>
        <w:rPr>
          <w:rFonts w:cs="Times New Roman" w:asciiTheme="majorEastAsia" w:hAnsiTheme="majorEastAsia"/>
          <w:bCs w:val="0"/>
          <w:color w:val="000000" w:themeColor="text1"/>
          <w:sz w:val="44"/>
          <w:szCs w:val="44"/>
          <w:lang w:val="zh-CN"/>
          <w14:textFill>
            <w14:solidFill>
              <w14:schemeClr w14:val="tx1"/>
            </w14:solidFill>
          </w14:textFill>
        </w:rPr>
      </w:pPr>
    </w:p>
    <w:p>
      <w:pPr>
        <w:pStyle w:val="5"/>
        <w:spacing w:before="340" w:after="480" w:line="360" w:lineRule="auto"/>
        <w:jc w:val="center"/>
        <w:rPr>
          <w:rFonts w:cs="Times New Roman" w:asciiTheme="majorEastAsia" w:hAnsiTheme="majorEastAsia"/>
          <w:bCs w:val="0"/>
          <w:color w:val="000000" w:themeColor="text1"/>
          <w:sz w:val="44"/>
          <w:szCs w:val="44"/>
          <w:lang w:val="zh-CN"/>
          <w14:textFill>
            <w14:solidFill>
              <w14:schemeClr w14:val="tx1"/>
            </w14:solidFill>
          </w14:textFill>
        </w:rPr>
      </w:pPr>
      <w:bookmarkStart w:id="96" w:name="_Toc28932"/>
      <w:r>
        <w:rPr>
          <w:rFonts w:hint="eastAsia" w:cs="Times New Roman" w:asciiTheme="majorEastAsia" w:hAnsiTheme="majorEastAsia"/>
          <w:bCs w:val="0"/>
          <w:color w:val="000000" w:themeColor="text1"/>
          <w:sz w:val="44"/>
          <w:szCs w:val="44"/>
          <w:lang w:val="zh-CN"/>
          <w14:textFill>
            <w14:solidFill>
              <w14:schemeClr w14:val="tx1"/>
            </w14:solidFill>
          </w14:textFill>
        </w:rPr>
        <w:t>第二部分 商务文件</w:t>
      </w:r>
      <w:bookmarkEnd w:id="90"/>
      <w:bookmarkEnd w:id="91"/>
      <w:bookmarkEnd w:id="92"/>
      <w:bookmarkEnd w:id="93"/>
      <w:bookmarkEnd w:id="94"/>
      <w:bookmarkEnd w:id="95"/>
      <w:bookmarkEnd w:id="96"/>
    </w:p>
    <w:p>
      <w:pPr>
        <w:spacing w:line="360" w:lineRule="auto"/>
        <w:ind w:left="2051" w:leftChars="619" w:right="1299" w:rightChars="619" w:hanging="752" w:hangingChars="209"/>
        <w:rPr>
          <w:rFonts w:cs="Times New Roman" w:asciiTheme="minorEastAsia" w:hAnsiTheme="minorEastAsia"/>
          <w:bCs/>
          <w:color w:val="000000" w:themeColor="text1"/>
          <w:sz w:val="36"/>
          <w:szCs w:val="24"/>
          <w14:textFill>
            <w14:solidFill>
              <w14:schemeClr w14:val="tx1"/>
            </w14:solidFill>
          </w14:textFill>
        </w:rPr>
      </w:pPr>
      <w:r>
        <w:rPr>
          <w:rFonts w:hint="eastAsia" w:cs="Times New Roman" w:asciiTheme="minorEastAsia" w:hAnsiTheme="minorEastAsia"/>
          <w:b/>
          <w:bCs/>
          <w:color w:val="000000" w:themeColor="text1"/>
          <w:sz w:val="36"/>
          <w:szCs w:val="24"/>
          <w14:textFill>
            <w14:solidFill>
              <w14:schemeClr w14:val="tx1"/>
            </w14:solidFill>
          </w14:textFill>
        </w:rPr>
        <w:t>项目编号：</w:t>
      </w:r>
    </w:p>
    <w:p>
      <w:pPr>
        <w:spacing w:line="360" w:lineRule="auto"/>
        <w:ind w:left="2051" w:leftChars="619" w:right="1299" w:rightChars="619" w:hanging="752" w:hangingChars="209"/>
        <w:rPr>
          <w:rFonts w:cs="Times New Roman" w:asciiTheme="minorEastAsia" w:hAnsiTheme="minorEastAsia"/>
          <w:b/>
          <w:bCs/>
          <w:color w:val="000000" w:themeColor="text1"/>
          <w:sz w:val="36"/>
          <w:szCs w:val="24"/>
          <w14:textFill>
            <w14:solidFill>
              <w14:schemeClr w14:val="tx1"/>
            </w14:solidFill>
          </w14:textFill>
        </w:rPr>
      </w:pPr>
      <w:r>
        <w:rPr>
          <w:rFonts w:hint="eastAsia" w:cs="Times New Roman" w:asciiTheme="minorEastAsia" w:hAnsiTheme="minorEastAsia"/>
          <w:b/>
          <w:bCs/>
          <w:color w:val="000000" w:themeColor="text1"/>
          <w:sz w:val="36"/>
          <w:szCs w:val="24"/>
          <w14:textFill>
            <w14:solidFill>
              <w14:schemeClr w14:val="tx1"/>
            </w14:solidFill>
          </w14:textFill>
        </w:rPr>
        <w:t>项目名称：</w:t>
      </w:r>
    </w:p>
    <w:p>
      <w:pPr>
        <w:spacing w:line="360" w:lineRule="auto"/>
        <w:ind w:left="2051" w:leftChars="619" w:right="1299" w:rightChars="619" w:hanging="752" w:hangingChars="209"/>
        <w:rPr>
          <w:rFonts w:cs="Times New Roman" w:asciiTheme="minorEastAsia" w:hAnsiTheme="minorEastAsia"/>
          <w:bCs/>
          <w:color w:val="000000" w:themeColor="text1"/>
          <w:sz w:val="36"/>
          <w:szCs w:val="24"/>
          <w:lang w:val="zh-CN"/>
          <w14:textFill>
            <w14:solidFill>
              <w14:schemeClr w14:val="tx1"/>
            </w14:solidFill>
          </w14:textFill>
        </w:rPr>
      </w:pPr>
      <w:r>
        <w:rPr>
          <w:rFonts w:hint="eastAsia" w:cs="Times New Roman" w:asciiTheme="minorEastAsia" w:hAnsiTheme="minorEastAsia"/>
          <w:b/>
          <w:bCs/>
          <w:color w:val="000000" w:themeColor="text1"/>
          <w:sz w:val="36"/>
          <w:szCs w:val="24"/>
          <w14:textFill>
            <w14:solidFill>
              <w14:schemeClr w14:val="tx1"/>
            </w14:solidFill>
          </w14:textFill>
        </w:rPr>
        <w:t>采购人：</w:t>
      </w:r>
    </w:p>
    <w:p>
      <w:pPr>
        <w:spacing w:line="360" w:lineRule="auto"/>
        <w:ind w:left="2051" w:leftChars="619" w:right="1299" w:rightChars="619" w:hanging="752" w:hangingChars="209"/>
        <w:rPr>
          <w:rFonts w:cs="Times New Roman" w:asciiTheme="minorEastAsia" w:hAnsiTheme="minorEastAsia"/>
          <w:color w:val="000000" w:themeColor="text1"/>
          <w:sz w:val="36"/>
          <w:szCs w:val="36"/>
          <w14:textFill>
            <w14:solidFill>
              <w14:schemeClr w14:val="tx1"/>
            </w14:solidFill>
          </w14:textFill>
        </w:rPr>
      </w:pPr>
      <w:r>
        <w:rPr>
          <w:rFonts w:hint="eastAsia" w:cs="Times New Roman" w:asciiTheme="minorEastAsia" w:hAnsiTheme="minorEastAsia"/>
          <w:b/>
          <w:bCs/>
          <w:color w:val="000000" w:themeColor="text1"/>
          <w:sz w:val="36"/>
          <w:szCs w:val="24"/>
          <w14:textFill>
            <w14:solidFill>
              <w14:schemeClr w14:val="tx1"/>
            </w14:solidFill>
          </w14:textFill>
        </w:rPr>
        <w:t>采购内容：</w:t>
      </w:r>
    </w:p>
    <w:p>
      <w:pPr>
        <w:spacing w:line="360" w:lineRule="auto"/>
        <w:ind w:left="2057" w:leftChars="613" w:right="1287" w:rightChars="613" w:hanging="770" w:hangingChars="214"/>
        <w:rPr>
          <w:rFonts w:ascii="宋体" w:hAnsi="宋体" w:eastAsia="宋体" w:cs="Times New Roman"/>
          <w:color w:val="000000" w:themeColor="text1"/>
          <w:sz w:val="36"/>
          <w:szCs w:val="36"/>
          <w14:textFill>
            <w14:solidFill>
              <w14:schemeClr w14:val="tx1"/>
            </w14:solidFill>
          </w14:textFill>
        </w:rPr>
      </w:pPr>
    </w:p>
    <w:p>
      <w:pPr>
        <w:spacing w:line="360" w:lineRule="auto"/>
        <w:ind w:left="3341" w:leftChars="613" w:right="1287" w:rightChars="613" w:hanging="2054" w:hangingChars="214"/>
        <w:rPr>
          <w:rFonts w:cs="Times New Roman" w:asciiTheme="minorEastAsia" w:hAnsiTheme="minorEastAsia"/>
          <w:b/>
          <w:bCs/>
          <w:color w:val="000000" w:themeColor="text1"/>
          <w:sz w:val="96"/>
          <w:szCs w:val="96"/>
          <w14:textFill>
            <w14:solidFill>
              <w14:schemeClr w14:val="tx1"/>
            </w14:solidFill>
          </w14:textFill>
        </w:rPr>
      </w:pPr>
      <w:r>
        <w:rPr>
          <w:rFonts w:hint="eastAsia" w:cs="Times New Roman" w:asciiTheme="minorEastAsia" w:hAnsiTheme="minorEastAsia"/>
          <w:b/>
          <w:bCs/>
          <w:color w:val="000000" w:themeColor="text1"/>
          <w:sz w:val="96"/>
          <w:szCs w:val="96"/>
          <w14:textFill>
            <w14:solidFill>
              <w14:schemeClr w14:val="tx1"/>
            </w14:solidFill>
          </w14:textFill>
        </w:rPr>
        <w:t>投标人（盖章）</w:t>
      </w:r>
    </w:p>
    <w:p>
      <w:pPr>
        <w:spacing w:line="360" w:lineRule="auto"/>
        <w:ind w:left="1971" w:leftChars="613" w:right="1287" w:rightChars="613" w:hanging="684" w:hangingChars="214"/>
        <w:rPr>
          <w:rFonts w:cs="Times New Roman" w:asciiTheme="minorEastAsia" w:hAnsiTheme="minorEastAsia"/>
          <w:b/>
          <w:bCs/>
          <w:color w:val="000000" w:themeColor="text1"/>
          <w:sz w:val="32"/>
          <w:szCs w:val="32"/>
          <w14:textFill>
            <w14:solidFill>
              <w14:schemeClr w14:val="tx1"/>
            </w14:solidFill>
          </w14:textFill>
        </w:rPr>
      </w:pPr>
      <w:r>
        <w:rPr>
          <w:rFonts w:hint="eastAsia" w:cs="Times New Roman" w:asciiTheme="minorEastAsia" w:hAnsiTheme="minorEastAsia"/>
          <w:b/>
          <w:bCs/>
          <w:color w:val="000000" w:themeColor="text1"/>
          <w:sz w:val="32"/>
          <w:szCs w:val="32"/>
          <w14:textFill>
            <w14:solidFill>
              <w14:schemeClr w14:val="tx1"/>
            </w14:solidFill>
          </w14:textFill>
        </w:rPr>
        <w:t>投标人授权代表（签字）：</w:t>
      </w:r>
    </w:p>
    <w:p>
      <w:pPr>
        <w:spacing w:before="312" w:beforeLines="100" w:after="312" w:afterLines="100" w:line="360" w:lineRule="auto"/>
        <w:ind w:left="2256" w:leftChars="466" w:right="466" w:hanging="1278" w:hangingChars="355"/>
        <w:jc w:val="center"/>
        <w:rPr>
          <w:rFonts w:ascii="宋体" w:hAnsi="宋体"/>
          <w:b/>
          <w:color w:val="000000" w:themeColor="text1"/>
          <w:sz w:val="36"/>
          <w:szCs w:val="36"/>
          <w14:textFill>
            <w14:solidFill>
              <w14:schemeClr w14:val="tx1"/>
            </w14:solidFill>
          </w14:textFill>
        </w:rPr>
      </w:pPr>
      <w:r>
        <w:rPr>
          <w:rFonts w:hint="eastAsia" w:ascii="宋体" w:hAnsi="宋体" w:eastAsia="宋体" w:cs="Times New Roman"/>
          <w:b/>
          <w:bCs/>
          <w:color w:val="000000" w:themeColor="text1"/>
          <w:sz w:val="36"/>
          <w:szCs w:val="36"/>
          <w:lang w:eastAsia="zh-CN"/>
          <w14:textFill>
            <w14:solidFill>
              <w14:schemeClr w14:val="tx1"/>
            </w14:solidFill>
          </w14:textFill>
        </w:rPr>
        <w:t>二0二一</w:t>
      </w:r>
      <w:r>
        <w:rPr>
          <w:rFonts w:hint="eastAsia" w:ascii="宋体" w:hAnsi="宋体"/>
          <w:b/>
          <w:color w:val="000000" w:themeColor="text1"/>
          <w:sz w:val="36"/>
          <w:szCs w:val="36"/>
          <w14:textFill>
            <w14:solidFill>
              <w14:schemeClr w14:val="tx1"/>
            </w14:solidFill>
          </w14:textFill>
        </w:rPr>
        <w:t>年 月</w:t>
      </w:r>
    </w:p>
    <w:p>
      <w:pPr>
        <w:rPr>
          <w:rFonts w:ascii="宋体" w:hAnsi="宋体" w:eastAsia="宋体" w:cs="Times New Roman"/>
          <w:b/>
          <w:bCs/>
          <w:color w:val="000000" w:themeColor="text1"/>
          <w:sz w:val="30"/>
          <w:szCs w:val="30"/>
          <w:lang w:val="zh-CN"/>
          <w14:textFill>
            <w14:solidFill>
              <w14:schemeClr w14:val="tx1"/>
            </w14:solidFill>
          </w14:textFill>
        </w:rPr>
      </w:pPr>
      <w:r>
        <w:rPr>
          <w:rFonts w:hint="eastAsia" w:ascii="宋体" w:hAnsi="宋体" w:eastAsia="宋体" w:cs="Times New Roman"/>
          <w:b/>
          <w:bCs/>
          <w:color w:val="000000" w:themeColor="text1"/>
          <w:sz w:val="30"/>
          <w:szCs w:val="30"/>
          <w:lang w:val="zh-CN"/>
          <w14:textFill>
            <w14:solidFill>
              <w14:schemeClr w14:val="tx1"/>
            </w14:solidFill>
          </w14:textFill>
        </w:rPr>
        <w:br w:type="page"/>
      </w:r>
    </w:p>
    <w:p>
      <w:pPr>
        <w:rPr>
          <w:rFonts w:ascii="宋体" w:hAnsi="宋体" w:eastAsia="宋体" w:cs="Times New Roman"/>
          <w:b/>
          <w:bCs/>
          <w:color w:val="000000" w:themeColor="text1"/>
          <w:sz w:val="30"/>
          <w:szCs w:val="30"/>
          <w:lang w:val="zh-CN"/>
          <w14:textFill>
            <w14:solidFill>
              <w14:schemeClr w14:val="tx1"/>
            </w14:solidFill>
          </w14:textFill>
        </w:rPr>
      </w:pPr>
      <w:r>
        <w:rPr>
          <w:rFonts w:hint="eastAsia" w:ascii="宋体" w:hAnsi="宋体" w:eastAsia="宋体" w:cs="Times New Roman"/>
          <w:b/>
          <w:bCs/>
          <w:color w:val="000000" w:themeColor="text1"/>
          <w:sz w:val="30"/>
          <w:szCs w:val="30"/>
          <w:lang w:val="zh-CN"/>
          <w14:textFill>
            <w14:solidFill>
              <w14:schemeClr w14:val="tx1"/>
            </w14:solidFill>
          </w14:textFill>
        </w:rPr>
        <w:t>格式（参考）说明：</w:t>
      </w:r>
    </w:p>
    <w:p>
      <w:pPr>
        <w:spacing w:before="120" w:after="120" w:line="578" w:lineRule="auto"/>
        <w:jc w:val="center"/>
        <w:rPr>
          <w:rFonts w:ascii="黑体" w:hAnsi="黑体" w:eastAsia="黑体" w:cs="Times New Roman"/>
          <w:b/>
          <w:color w:val="000000" w:themeColor="text1"/>
          <w:sz w:val="36"/>
          <w:szCs w:val="36"/>
          <w14:textFill>
            <w14:solidFill>
              <w14:schemeClr w14:val="tx1"/>
            </w14:solidFill>
          </w14:textFill>
        </w:rPr>
      </w:pPr>
      <w:bookmarkStart w:id="97" w:name="_Toc494721098"/>
      <w:bookmarkStart w:id="98" w:name="_Toc494665551"/>
      <w:bookmarkStart w:id="99" w:name="_Toc494702268"/>
      <w:bookmarkStart w:id="100" w:name="_Toc494665948"/>
      <w:bookmarkStart w:id="101" w:name="_Toc494664998"/>
      <w:bookmarkStart w:id="102" w:name="_Toc494745315"/>
      <w:r>
        <w:rPr>
          <w:rFonts w:hint="eastAsia" w:ascii="黑体" w:hAnsi="黑体" w:eastAsia="黑体" w:cs="Times New Roman"/>
          <w:b/>
          <w:color w:val="000000" w:themeColor="text1"/>
          <w:sz w:val="36"/>
          <w:szCs w:val="36"/>
          <w14:textFill>
            <w14:solidFill>
              <w14:schemeClr w14:val="tx1"/>
            </w14:solidFill>
          </w14:textFill>
        </w:rPr>
        <w:t>商务文件组成</w:t>
      </w:r>
      <w:bookmarkEnd w:id="97"/>
      <w:bookmarkEnd w:id="98"/>
      <w:bookmarkEnd w:id="99"/>
      <w:bookmarkEnd w:id="100"/>
      <w:bookmarkEnd w:id="101"/>
      <w:bookmarkEnd w:id="102"/>
    </w:p>
    <w:p>
      <w:pPr>
        <w:autoSpaceDE w:val="0"/>
        <w:autoSpaceDN w:val="0"/>
        <w:adjustRightInd w:val="0"/>
        <w:spacing w:before="156" w:beforeLines="50" w:after="156" w:afterLines="50" w:line="360" w:lineRule="auto"/>
        <w:ind w:firstLine="480" w:firstLineChars="20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由各投标人根据参考格式要求自行编写。目录清晰、内容详尽、易于理解和评审并富有建设性的商务方案在评标时具有优势。具体内容应包括但不限于以下内容：</w:t>
      </w:r>
    </w:p>
    <w:p>
      <w:pPr>
        <w:numPr>
          <w:ilvl w:val="0"/>
          <w:numId w:val="59"/>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商务文件目录</w:t>
      </w:r>
      <w:r>
        <w:rPr>
          <w:rFonts w:hint="eastAsia" w:ascii="宋体" w:hAnsi="宋体" w:eastAsia="宋体" w:cs="Times New Roman"/>
          <w:b/>
          <w:color w:val="000000" w:themeColor="text1"/>
          <w:kern w:val="0"/>
          <w:sz w:val="24"/>
          <w:szCs w:val="32"/>
          <w14:textFill>
            <w14:solidFill>
              <w14:schemeClr w14:val="tx1"/>
            </w14:solidFill>
          </w14:textFill>
        </w:rPr>
        <w:t>（目录应涵盖下述所有资料，页码清晰以便查阅）</w:t>
      </w:r>
      <w:r>
        <w:rPr>
          <w:rFonts w:hint="eastAsia" w:ascii="宋体" w:hAnsi="宋体" w:eastAsia="宋体" w:cs="Times New Roman"/>
          <w:color w:val="000000" w:themeColor="text1"/>
          <w:kern w:val="0"/>
          <w:sz w:val="24"/>
          <w:szCs w:val="32"/>
          <w14:textFill>
            <w14:solidFill>
              <w14:schemeClr w14:val="tx1"/>
            </w14:solidFill>
          </w14:textFill>
        </w:rPr>
        <w:t>；</w:t>
      </w:r>
    </w:p>
    <w:p>
      <w:pPr>
        <w:numPr>
          <w:ilvl w:val="0"/>
          <w:numId w:val="59"/>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投标书（附件一）；</w:t>
      </w:r>
    </w:p>
    <w:p>
      <w:pPr>
        <w:numPr>
          <w:ilvl w:val="0"/>
          <w:numId w:val="59"/>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制造商中小企业声明函（附件二）</w:t>
      </w:r>
      <w:r>
        <w:rPr>
          <w:rFonts w:hint="eastAsia" w:ascii="宋体" w:hAnsi="宋体" w:eastAsia="宋体" w:cs="Times New Roman"/>
          <w:color w:val="000000" w:themeColor="text1"/>
          <w:kern w:val="0"/>
          <w:sz w:val="24"/>
          <w:szCs w:val="32"/>
          <w:highlight w:val="yellow"/>
          <w14:textFill>
            <w14:solidFill>
              <w14:schemeClr w14:val="tx1"/>
            </w14:solidFill>
          </w14:textFill>
        </w:rPr>
        <w:t>（如果有的话）</w:t>
      </w:r>
      <w:r>
        <w:rPr>
          <w:rFonts w:hint="eastAsia" w:ascii="宋体" w:hAnsi="宋体" w:eastAsia="宋体" w:cs="Times New Roman"/>
          <w:color w:val="000000" w:themeColor="text1"/>
          <w:kern w:val="0"/>
          <w:sz w:val="24"/>
          <w:szCs w:val="32"/>
          <w14:textFill>
            <w14:solidFill>
              <w14:schemeClr w14:val="tx1"/>
            </w14:solidFill>
          </w14:textFill>
        </w:rPr>
        <w:t>；</w:t>
      </w:r>
      <w:r>
        <w:rPr>
          <w:rFonts w:ascii="宋体" w:hAnsi="宋体" w:eastAsia="宋体" w:cs="Times New Roman"/>
          <w:color w:val="000000" w:themeColor="text1"/>
          <w:kern w:val="0"/>
          <w:sz w:val="24"/>
          <w:szCs w:val="32"/>
          <w14:textFill>
            <w14:solidFill>
              <w14:schemeClr w14:val="tx1"/>
            </w14:solidFill>
          </w14:textFill>
        </w:rPr>
        <w:t xml:space="preserve"> </w:t>
      </w:r>
    </w:p>
    <w:p>
      <w:pPr>
        <w:numPr>
          <w:ilvl w:val="0"/>
          <w:numId w:val="59"/>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中小企业声明函（附件三）</w:t>
      </w:r>
      <w:r>
        <w:rPr>
          <w:rFonts w:hint="eastAsia" w:ascii="宋体" w:hAnsi="宋体" w:eastAsia="宋体" w:cs="Times New Roman"/>
          <w:color w:val="000000" w:themeColor="text1"/>
          <w:kern w:val="0"/>
          <w:sz w:val="24"/>
          <w:szCs w:val="32"/>
          <w:highlight w:val="yellow"/>
          <w14:textFill>
            <w14:solidFill>
              <w14:schemeClr w14:val="tx1"/>
            </w14:solidFill>
          </w14:textFill>
        </w:rPr>
        <w:t>（如果有的话）</w:t>
      </w:r>
      <w:r>
        <w:rPr>
          <w:rFonts w:hint="eastAsia" w:ascii="宋体" w:hAnsi="宋体" w:eastAsia="宋体" w:cs="Times New Roman"/>
          <w:color w:val="000000" w:themeColor="text1"/>
          <w:kern w:val="0"/>
          <w:sz w:val="24"/>
          <w:szCs w:val="32"/>
          <w14:textFill>
            <w14:solidFill>
              <w14:schemeClr w14:val="tx1"/>
            </w14:solidFill>
          </w14:textFill>
        </w:rPr>
        <w:t>；</w:t>
      </w:r>
    </w:p>
    <w:p>
      <w:pPr>
        <w:numPr>
          <w:ilvl w:val="0"/>
          <w:numId w:val="59"/>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残疾人福利性单位声明函（附件四）</w:t>
      </w:r>
      <w:r>
        <w:rPr>
          <w:rFonts w:hint="eastAsia" w:ascii="宋体" w:hAnsi="宋体" w:eastAsia="宋体" w:cs="Times New Roman"/>
          <w:color w:val="000000" w:themeColor="text1"/>
          <w:kern w:val="0"/>
          <w:sz w:val="24"/>
          <w:szCs w:val="32"/>
          <w:highlight w:val="yellow"/>
          <w14:textFill>
            <w14:solidFill>
              <w14:schemeClr w14:val="tx1"/>
            </w14:solidFill>
          </w14:textFill>
        </w:rPr>
        <w:t>（如果有的话）；</w:t>
      </w:r>
    </w:p>
    <w:p>
      <w:pPr>
        <w:numPr>
          <w:ilvl w:val="0"/>
          <w:numId w:val="59"/>
        </w:numPr>
        <w:autoSpaceDE w:val="0"/>
        <w:autoSpaceDN w:val="0"/>
        <w:adjustRightInd w:val="0"/>
        <w:spacing w:line="360" w:lineRule="auto"/>
        <w:ind w:left="490" w:hanging="370"/>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开标一览表（附件五）；</w:t>
      </w:r>
    </w:p>
    <w:p>
      <w:pPr>
        <w:numPr>
          <w:ilvl w:val="0"/>
          <w:numId w:val="59"/>
        </w:numPr>
        <w:autoSpaceDE w:val="0"/>
        <w:autoSpaceDN w:val="0"/>
        <w:adjustRightInd w:val="0"/>
        <w:spacing w:line="360" w:lineRule="auto"/>
        <w:ind w:left="490" w:hanging="370"/>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投标报价明细表（附件六）；</w:t>
      </w:r>
    </w:p>
    <w:p>
      <w:pPr>
        <w:numPr>
          <w:ilvl w:val="0"/>
          <w:numId w:val="59"/>
        </w:numPr>
        <w:autoSpaceDE w:val="0"/>
        <w:autoSpaceDN w:val="0"/>
        <w:adjustRightInd w:val="0"/>
        <w:spacing w:line="360" w:lineRule="auto"/>
        <w:ind w:left="490" w:hanging="370"/>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小型和微型企业、监狱企业、残疾人福利性单位货物汇总表（附件七）</w:t>
      </w:r>
      <w:r>
        <w:rPr>
          <w:rFonts w:hint="eastAsia" w:ascii="宋体" w:hAnsi="宋体" w:eastAsia="宋体" w:cs="Times New Roman"/>
          <w:color w:val="000000" w:themeColor="text1"/>
          <w:kern w:val="0"/>
          <w:sz w:val="24"/>
          <w:szCs w:val="32"/>
          <w:highlight w:val="yellow"/>
          <w14:textFill>
            <w14:solidFill>
              <w14:schemeClr w14:val="tx1"/>
            </w14:solidFill>
          </w14:textFill>
        </w:rPr>
        <w:t>（如果有的话）</w:t>
      </w:r>
      <w:r>
        <w:rPr>
          <w:rFonts w:hint="eastAsia" w:ascii="宋体" w:hAnsi="宋体" w:eastAsia="宋体" w:cs="Courier New"/>
          <w:color w:val="000000" w:themeColor="text1"/>
          <w:sz w:val="24"/>
          <w:szCs w:val="24"/>
          <w14:textFill>
            <w14:solidFill>
              <w14:schemeClr w14:val="tx1"/>
            </w14:solidFill>
          </w14:textFill>
        </w:rPr>
        <w:t>；</w:t>
      </w:r>
    </w:p>
    <w:p>
      <w:pPr>
        <w:numPr>
          <w:ilvl w:val="0"/>
          <w:numId w:val="59"/>
        </w:numPr>
        <w:autoSpaceDE w:val="0"/>
        <w:autoSpaceDN w:val="0"/>
        <w:adjustRightInd w:val="0"/>
        <w:spacing w:line="360" w:lineRule="auto"/>
        <w:ind w:left="490" w:hanging="370"/>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投标货物、服务清单（附件八）；</w:t>
      </w:r>
    </w:p>
    <w:p>
      <w:pPr>
        <w:numPr>
          <w:ilvl w:val="0"/>
          <w:numId w:val="59"/>
        </w:numPr>
        <w:autoSpaceDE w:val="0"/>
        <w:autoSpaceDN w:val="0"/>
        <w:adjustRightInd w:val="0"/>
        <w:spacing w:line="360" w:lineRule="auto"/>
        <w:ind w:left="616" w:hanging="496"/>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法定代表人授权书（附件九）；</w:t>
      </w:r>
    </w:p>
    <w:p>
      <w:pPr>
        <w:numPr>
          <w:ilvl w:val="0"/>
          <w:numId w:val="59"/>
        </w:numPr>
        <w:autoSpaceDE w:val="0"/>
        <w:autoSpaceDN w:val="0"/>
        <w:adjustRightInd w:val="0"/>
        <w:spacing w:line="360" w:lineRule="auto"/>
        <w:ind w:left="616" w:hanging="496"/>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关于不存在招标文件第二章“十一 其他注意事项”中规定禁止情形的书面声明；</w:t>
      </w:r>
    </w:p>
    <w:p>
      <w:pPr>
        <w:numPr>
          <w:ilvl w:val="0"/>
          <w:numId w:val="59"/>
        </w:numPr>
        <w:autoSpaceDE w:val="0"/>
        <w:autoSpaceDN w:val="0"/>
        <w:adjustRightInd w:val="0"/>
        <w:spacing w:line="360" w:lineRule="auto"/>
        <w:ind w:left="616" w:hanging="496"/>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投标人的资格声明（附件十）；</w:t>
      </w:r>
    </w:p>
    <w:p>
      <w:pPr>
        <w:numPr>
          <w:ilvl w:val="0"/>
          <w:numId w:val="59"/>
        </w:numPr>
        <w:autoSpaceDE w:val="0"/>
        <w:autoSpaceDN w:val="0"/>
        <w:adjustRightInd w:val="0"/>
        <w:spacing w:line="360" w:lineRule="auto"/>
        <w:ind w:left="616" w:hanging="496"/>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项目负责人、技术负责人简历表（附件十一）；</w:t>
      </w:r>
    </w:p>
    <w:p>
      <w:pPr>
        <w:numPr>
          <w:ilvl w:val="0"/>
          <w:numId w:val="59"/>
        </w:numPr>
        <w:autoSpaceDE w:val="0"/>
        <w:autoSpaceDN w:val="0"/>
        <w:adjustRightInd w:val="0"/>
        <w:spacing w:line="360" w:lineRule="auto"/>
        <w:ind w:left="616" w:hanging="496"/>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项目班子成员情况表（附件十二）；</w:t>
      </w:r>
    </w:p>
    <w:p>
      <w:pPr>
        <w:numPr>
          <w:ilvl w:val="0"/>
          <w:numId w:val="59"/>
        </w:numPr>
        <w:autoSpaceDE w:val="0"/>
        <w:autoSpaceDN w:val="0"/>
        <w:adjustRightInd w:val="0"/>
        <w:spacing w:line="360" w:lineRule="auto"/>
        <w:ind w:left="616" w:hanging="496"/>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投标人类似项目业绩表（附件十三）；</w:t>
      </w:r>
    </w:p>
    <w:p>
      <w:pPr>
        <w:numPr>
          <w:ilvl w:val="0"/>
          <w:numId w:val="59"/>
        </w:numPr>
        <w:autoSpaceDE w:val="0"/>
        <w:autoSpaceDN w:val="0"/>
        <w:adjustRightInd w:val="0"/>
        <w:spacing w:line="360" w:lineRule="auto"/>
        <w:ind w:left="616" w:hanging="496"/>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招标文件要求提供或投标人认为需提供的其它资料；</w:t>
      </w:r>
    </w:p>
    <w:p>
      <w:pPr>
        <w:numPr>
          <w:ilvl w:val="0"/>
          <w:numId w:val="59"/>
        </w:numPr>
        <w:autoSpaceDE w:val="0"/>
        <w:autoSpaceDN w:val="0"/>
        <w:adjustRightInd w:val="0"/>
        <w:spacing w:line="360" w:lineRule="auto"/>
        <w:ind w:left="616" w:hanging="496"/>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符合性审查对照表（附件十四）；</w:t>
      </w:r>
    </w:p>
    <w:p>
      <w:pPr>
        <w:numPr>
          <w:ilvl w:val="0"/>
          <w:numId w:val="59"/>
        </w:numPr>
        <w:autoSpaceDE w:val="0"/>
        <w:autoSpaceDN w:val="0"/>
        <w:adjustRightInd w:val="0"/>
        <w:spacing w:line="360" w:lineRule="auto"/>
        <w:ind w:left="616" w:hanging="496"/>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商务要求响应、偏离说明表（附件十五）；</w:t>
      </w:r>
    </w:p>
    <w:p>
      <w:pPr>
        <w:numPr>
          <w:ilvl w:val="0"/>
          <w:numId w:val="59"/>
        </w:numPr>
        <w:autoSpaceDE w:val="0"/>
        <w:autoSpaceDN w:val="0"/>
        <w:adjustRightInd w:val="0"/>
        <w:spacing w:line="360" w:lineRule="auto"/>
        <w:ind w:left="616" w:hanging="496"/>
        <w:rPr>
          <w:color w:val="000000" w:themeColor="text1"/>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商务要求“★”号条款响应、偏离说明表（附件十六）</w:t>
      </w:r>
    </w:p>
    <w:p>
      <w:pPr>
        <w:numPr>
          <w:ilvl w:val="0"/>
          <w:numId w:val="59"/>
        </w:numPr>
        <w:autoSpaceDE w:val="0"/>
        <w:autoSpaceDN w:val="0"/>
        <w:adjustRightInd w:val="0"/>
        <w:spacing w:line="360" w:lineRule="auto"/>
        <w:ind w:left="616" w:hanging="496"/>
        <w:rPr>
          <w:color w:val="000000" w:themeColor="text1"/>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商务评议对照表（附件十七）。</w:t>
      </w:r>
      <w:r>
        <w:rPr>
          <w:color w:val="000000" w:themeColor="text1"/>
          <w14:textFill>
            <w14:solidFill>
              <w14:schemeClr w14:val="tx1"/>
            </w14:solidFill>
          </w14:textFill>
        </w:rPr>
        <w:br w:type="page"/>
      </w:r>
    </w:p>
    <w:p>
      <w:pPr>
        <w:spacing w:before="312" w:beforeLines="100" w:after="780" w:afterLines="250"/>
        <w:jc w:val="center"/>
        <w:rPr>
          <w:rFonts w:ascii="黑体" w:hAnsi="黑体" w:eastAsia="黑体"/>
          <w:b/>
          <w:color w:val="000000" w:themeColor="text1"/>
          <w:sz w:val="72"/>
          <w:szCs w:val="72"/>
          <w14:textFill>
            <w14:solidFill>
              <w14:schemeClr w14:val="tx1"/>
            </w14:solidFill>
          </w14:textFill>
        </w:rPr>
      </w:pPr>
      <w:r>
        <w:rPr>
          <w:rFonts w:hint="eastAsia" w:ascii="黑体" w:hAnsi="黑体" w:eastAsia="黑体"/>
          <w:b/>
          <w:color w:val="000000" w:themeColor="text1"/>
          <w:sz w:val="72"/>
          <w:szCs w:val="72"/>
          <w14:textFill>
            <w14:solidFill>
              <w14:schemeClr w14:val="tx1"/>
            </w14:solidFill>
          </w14:textFill>
        </w:rPr>
        <w:t>阳新县县级政府采购</w:t>
      </w:r>
    </w:p>
    <w:p>
      <w:pPr>
        <w:spacing w:after="624" w:afterLines="200"/>
        <w:jc w:val="center"/>
        <w:rPr>
          <w:rFonts w:ascii="黑体" w:hAnsi="黑体" w:eastAsia="黑体"/>
          <w:b/>
          <w:color w:val="000000" w:themeColor="text1"/>
          <w:sz w:val="144"/>
          <w:szCs w:val="144"/>
          <w14:textFill>
            <w14:solidFill>
              <w14:schemeClr w14:val="tx1"/>
            </w14:solidFill>
          </w14:textFill>
        </w:rPr>
      </w:pPr>
      <w:r>
        <w:rPr>
          <w:rFonts w:hint="eastAsia" w:ascii="黑体" w:hAnsi="黑体" w:eastAsia="黑体"/>
          <w:b/>
          <w:color w:val="000000" w:themeColor="text1"/>
          <w:sz w:val="144"/>
          <w:szCs w:val="144"/>
          <w14:textFill>
            <w14:solidFill>
              <w14:schemeClr w14:val="tx1"/>
            </w14:solidFill>
          </w14:textFill>
        </w:rPr>
        <w:t>投 标 文 件</w:t>
      </w:r>
    </w:p>
    <w:p>
      <w:pPr>
        <w:pStyle w:val="5"/>
        <w:spacing w:before="340" w:after="480" w:line="360" w:lineRule="auto"/>
        <w:jc w:val="center"/>
        <w:rPr>
          <w:rFonts w:cs="Times New Roman" w:asciiTheme="majorEastAsia" w:hAnsiTheme="majorEastAsia"/>
          <w:bCs w:val="0"/>
          <w:color w:val="000000" w:themeColor="text1"/>
          <w:sz w:val="44"/>
          <w:szCs w:val="44"/>
          <w:lang w:val="zh-CN"/>
          <w14:textFill>
            <w14:solidFill>
              <w14:schemeClr w14:val="tx1"/>
            </w14:solidFill>
          </w14:textFill>
        </w:rPr>
      </w:pPr>
      <w:bookmarkStart w:id="103" w:name="_Toc494745316"/>
      <w:bookmarkStart w:id="104" w:name="_Toc494664999"/>
      <w:bookmarkStart w:id="105" w:name="_Toc494721099"/>
      <w:bookmarkStart w:id="106" w:name="_Toc494665949"/>
      <w:bookmarkStart w:id="107" w:name="_Toc494665552"/>
      <w:bookmarkStart w:id="108" w:name="_Toc494702269"/>
    </w:p>
    <w:p>
      <w:pPr>
        <w:pStyle w:val="5"/>
        <w:spacing w:before="340" w:after="480" w:line="360" w:lineRule="auto"/>
        <w:jc w:val="center"/>
        <w:rPr>
          <w:rFonts w:cs="Times New Roman" w:asciiTheme="majorEastAsia" w:hAnsiTheme="majorEastAsia"/>
          <w:bCs w:val="0"/>
          <w:color w:val="000000" w:themeColor="text1"/>
          <w:sz w:val="44"/>
          <w:szCs w:val="44"/>
          <w:lang w:val="zh-CN"/>
          <w14:textFill>
            <w14:solidFill>
              <w14:schemeClr w14:val="tx1"/>
            </w14:solidFill>
          </w14:textFill>
        </w:rPr>
      </w:pPr>
    </w:p>
    <w:p>
      <w:pPr>
        <w:pStyle w:val="5"/>
        <w:spacing w:before="340" w:after="480" w:line="360" w:lineRule="auto"/>
        <w:jc w:val="center"/>
        <w:rPr>
          <w:rFonts w:cs="Times New Roman" w:asciiTheme="majorEastAsia" w:hAnsiTheme="majorEastAsia"/>
          <w:bCs w:val="0"/>
          <w:color w:val="000000" w:themeColor="text1"/>
          <w:sz w:val="44"/>
          <w:szCs w:val="44"/>
          <w:lang w:val="zh-CN"/>
          <w14:textFill>
            <w14:solidFill>
              <w14:schemeClr w14:val="tx1"/>
            </w14:solidFill>
          </w14:textFill>
        </w:rPr>
      </w:pPr>
      <w:bookmarkStart w:id="109" w:name="_Toc1919"/>
      <w:r>
        <w:rPr>
          <w:rFonts w:hint="eastAsia" w:cs="Times New Roman" w:asciiTheme="majorEastAsia" w:hAnsiTheme="majorEastAsia"/>
          <w:bCs w:val="0"/>
          <w:color w:val="000000" w:themeColor="text1"/>
          <w:sz w:val="44"/>
          <w:szCs w:val="44"/>
          <w:lang w:val="zh-CN"/>
          <w14:textFill>
            <w14:solidFill>
              <w14:schemeClr w14:val="tx1"/>
            </w14:solidFill>
          </w14:textFill>
        </w:rPr>
        <w:t>第三部分 技术、服务文件</w:t>
      </w:r>
      <w:bookmarkEnd w:id="103"/>
      <w:bookmarkEnd w:id="104"/>
      <w:bookmarkEnd w:id="105"/>
      <w:bookmarkEnd w:id="106"/>
      <w:bookmarkEnd w:id="107"/>
      <w:bookmarkEnd w:id="108"/>
      <w:bookmarkEnd w:id="109"/>
    </w:p>
    <w:p>
      <w:pPr>
        <w:spacing w:line="360" w:lineRule="auto"/>
        <w:ind w:left="2051" w:leftChars="619" w:right="1299" w:rightChars="619" w:hanging="752" w:hangingChars="209"/>
        <w:rPr>
          <w:rFonts w:cs="Times New Roman" w:asciiTheme="minorEastAsia" w:hAnsiTheme="minorEastAsia"/>
          <w:bCs/>
          <w:color w:val="000000" w:themeColor="text1"/>
          <w:sz w:val="36"/>
          <w:szCs w:val="24"/>
          <w14:textFill>
            <w14:solidFill>
              <w14:schemeClr w14:val="tx1"/>
            </w14:solidFill>
          </w14:textFill>
        </w:rPr>
      </w:pPr>
      <w:r>
        <w:rPr>
          <w:rFonts w:hint="eastAsia" w:cs="Times New Roman" w:asciiTheme="minorEastAsia" w:hAnsiTheme="minorEastAsia"/>
          <w:b/>
          <w:bCs/>
          <w:color w:val="000000" w:themeColor="text1"/>
          <w:sz w:val="36"/>
          <w:szCs w:val="24"/>
          <w14:textFill>
            <w14:solidFill>
              <w14:schemeClr w14:val="tx1"/>
            </w14:solidFill>
          </w14:textFill>
        </w:rPr>
        <w:t>项目编号：</w:t>
      </w:r>
    </w:p>
    <w:p>
      <w:pPr>
        <w:spacing w:line="360" w:lineRule="auto"/>
        <w:ind w:left="2051" w:leftChars="619" w:right="1299" w:rightChars="619" w:hanging="752" w:hangingChars="209"/>
        <w:rPr>
          <w:rFonts w:cs="Times New Roman" w:asciiTheme="minorEastAsia" w:hAnsiTheme="minorEastAsia"/>
          <w:b/>
          <w:bCs/>
          <w:color w:val="000000" w:themeColor="text1"/>
          <w:sz w:val="36"/>
          <w:szCs w:val="24"/>
          <w14:textFill>
            <w14:solidFill>
              <w14:schemeClr w14:val="tx1"/>
            </w14:solidFill>
          </w14:textFill>
        </w:rPr>
      </w:pPr>
      <w:r>
        <w:rPr>
          <w:rFonts w:hint="eastAsia" w:cs="Times New Roman" w:asciiTheme="minorEastAsia" w:hAnsiTheme="minorEastAsia"/>
          <w:b/>
          <w:bCs/>
          <w:color w:val="000000" w:themeColor="text1"/>
          <w:sz w:val="36"/>
          <w:szCs w:val="24"/>
          <w14:textFill>
            <w14:solidFill>
              <w14:schemeClr w14:val="tx1"/>
            </w14:solidFill>
          </w14:textFill>
        </w:rPr>
        <w:t>项目名称：</w:t>
      </w:r>
    </w:p>
    <w:p>
      <w:pPr>
        <w:spacing w:line="360" w:lineRule="auto"/>
        <w:ind w:left="2051" w:leftChars="619" w:right="1299" w:rightChars="619" w:hanging="752" w:hangingChars="209"/>
        <w:rPr>
          <w:rFonts w:cs="Times New Roman" w:asciiTheme="minorEastAsia" w:hAnsiTheme="minorEastAsia"/>
          <w:bCs/>
          <w:color w:val="000000" w:themeColor="text1"/>
          <w:sz w:val="36"/>
          <w:szCs w:val="24"/>
          <w:lang w:val="zh-CN"/>
          <w14:textFill>
            <w14:solidFill>
              <w14:schemeClr w14:val="tx1"/>
            </w14:solidFill>
          </w14:textFill>
        </w:rPr>
      </w:pPr>
      <w:r>
        <w:rPr>
          <w:rFonts w:hint="eastAsia" w:cs="Times New Roman" w:asciiTheme="minorEastAsia" w:hAnsiTheme="minorEastAsia"/>
          <w:b/>
          <w:bCs/>
          <w:color w:val="000000" w:themeColor="text1"/>
          <w:sz w:val="36"/>
          <w:szCs w:val="24"/>
          <w14:textFill>
            <w14:solidFill>
              <w14:schemeClr w14:val="tx1"/>
            </w14:solidFill>
          </w14:textFill>
        </w:rPr>
        <w:t>采购人：</w:t>
      </w:r>
    </w:p>
    <w:p>
      <w:pPr>
        <w:spacing w:line="360" w:lineRule="auto"/>
        <w:ind w:left="2051" w:leftChars="619" w:right="1299" w:rightChars="619" w:hanging="752" w:hangingChars="209"/>
        <w:rPr>
          <w:rFonts w:cs="Times New Roman" w:asciiTheme="minorEastAsia" w:hAnsiTheme="minorEastAsia"/>
          <w:color w:val="000000" w:themeColor="text1"/>
          <w:sz w:val="36"/>
          <w:szCs w:val="36"/>
          <w14:textFill>
            <w14:solidFill>
              <w14:schemeClr w14:val="tx1"/>
            </w14:solidFill>
          </w14:textFill>
        </w:rPr>
      </w:pPr>
      <w:r>
        <w:rPr>
          <w:rFonts w:hint="eastAsia" w:cs="Times New Roman" w:asciiTheme="minorEastAsia" w:hAnsiTheme="minorEastAsia"/>
          <w:b/>
          <w:bCs/>
          <w:color w:val="000000" w:themeColor="text1"/>
          <w:sz w:val="36"/>
          <w:szCs w:val="24"/>
          <w14:textFill>
            <w14:solidFill>
              <w14:schemeClr w14:val="tx1"/>
            </w14:solidFill>
          </w14:textFill>
        </w:rPr>
        <w:t>采购内容：</w:t>
      </w:r>
    </w:p>
    <w:p>
      <w:pPr>
        <w:spacing w:line="360" w:lineRule="auto"/>
        <w:ind w:left="2057" w:leftChars="613" w:right="1287" w:rightChars="613" w:hanging="770" w:hangingChars="214"/>
        <w:rPr>
          <w:rFonts w:ascii="宋体" w:hAnsi="宋体" w:eastAsia="宋体" w:cs="Times New Roman"/>
          <w:color w:val="000000" w:themeColor="text1"/>
          <w:sz w:val="36"/>
          <w:szCs w:val="36"/>
          <w14:textFill>
            <w14:solidFill>
              <w14:schemeClr w14:val="tx1"/>
            </w14:solidFill>
          </w14:textFill>
        </w:rPr>
      </w:pPr>
    </w:p>
    <w:p>
      <w:pPr>
        <w:spacing w:line="360" w:lineRule="auto"/>
        <w:ind w:left="3341" w:leftChars="613" w:right="1287" w:rightChars="613" w:hanging="2054" w:hangingChars="214"/>
        <w:rPr>
          <w:rFonts w:cs="Times New Roman" w:asciiTheme="minorEastAsia" w:hAnsiTheme="minorEastAsia"/>
          <w:b/>
          <w:bCs/>
          <w:color w:val="000000" w:themeColor="text1"/>
          <w:sz w:val="96"/>
          <w:szCs w:val="96"/>
          <w14:textFill>
            <w14:solidFill>
              <w14:schemeClr w14:val="tx1"/>
            </w14:solidFill>
          </w14:textFill>
        </w:rPr>
      </w:pPr>
      <w:r>
        <w:rPr>
          <w:rFonts w:hint="eastAsia" w:cs="Times New Roman" w:asciiTheme="minorEastAsia" w:hAnsiTheme="minorEastAsia"/>
          <w:b/>
          <w:bCs/>
          <w:color w:val="000000" w:themeColor="text1"/>
          <w:sz w:val="96"/>
          <w:szCs w:val="96"/>
          <w14:textFill>
            <w14:solidFill>
              <w14:schemeClr w14:val="tx1"/>
            </w14:solidFill>
          </w14:textFill>
        </w:rPr>
        <w:t>投标人（盖章）</w:t>
      </w:r>
    </w:p>
    <w:p>
      <w:pPr>
        <w:spacing w:line="360" w:lineRule="auto"/>
        <w:ind w:left="1971" w:leftChars="613" w:right="1287" w:rightChars="613" w:hanging="684" w:hangingChars="214"/>
        <w:rPr>
          <w:rFonts w:cs="Times New Roman" w:asciiTheme="minorEastAsia" w:hAnsiTheme="minorEastAsia"/>
          <w:b/>
          <w:bCs/>
          <w:color w:val="000000" w:themeColor="text1"/>
          <w:sz w:val="32"/>
          <w:szCs w:val="32"/>
          <w14:textFill>
            <w14:solidFill>
              <w14:schemeClr w14:val="tx1"/>
            </w14:solidFill>
          </w14:textFill>
        </w:rPr>
      </w:pPr>
      <w:r>
        <w:rPr>
          <w:rFonts w:hint="eastAsia" w:cs="Times New Roman" w:asciiTheme="minorEastAsia" w:hAnsiTheme="minorEastAsia"/>
          <w:b/>
          <w:bCs/>
          <w:color w:val="000000" w:themeColor="text1"/>
          <w:sz w:val="32"/>
          <w:szCs w:val="32"/>
          <w14:textFill>
            <w14:solidFill>
              <w14:schemeClr w14:val="tx1"/>
            </w14:solidFill>
          </w14:textFill>
        </w:rPr>
        <w:t>投标人授权代表（签字）：</w:t>
      </w:r>
    </w:p>
    <w:p>
      <w:pPr>
        <w:spacing w:before="312" w:beforeLines="100" w:after="312" w:afterLines="100" w:line="360" w:lineRule="auto"/>
        <w:ind w:left="2256" w:leftChars="466" w:right="466" w:hanging="1278" w:hangingChars="355"/>
        <w:jc w:val="center"/>
        <w:rPr>
          <w:rFonts w:ascii="宋体" w:hAnsi="宋体"/>
          <w:b/>
          <w:color w:val="000000" w:themeColor="text1"/>
          <w:sz w:val="36"/>
          <w:szCs w:val="36"/>
          <w14:textFill>
            <w14:solidFill>
              <w14:schemeClr w14:val="tx1"/>
            </w14:solidFill>
          </w14:textFill>
        </w:rPr>
      </w:pPr>
      <w:r>
        <w:rPr>
          <w:rFonts w:hint="eastAsia" w:ascii="宋体" w:hAnsi="宋体" w:eastAsia="宋体" w:cs="Times New Roman"/>
          <w:b/>
          <w:bCs/>
          <w:color w:val="000000" w:themeColor="text1"/>
          <w:sz w:val="36"/>
          <w:szCs w:val="36"/>
          <w:lang w:eastAsia="zh-CN"/>
          <w14:textFill>
            <w14:solidFill>
              <w14:schemeClr w14:val="tx1"/>
            </w14:solidFill>
          </w14:textFill>
        </w:rPr>
        <w:t>二0二一</w:t>
      </w:r>
      <w:r>
        <w:rPr>
          <w:rFonts w:hint="eastAsia" w:ascii="宋体" w:hAnsi="宋体"/>
          <w:b/>
          <w:color w:val="000000" w:themeColor="text1"/>
          <w:sz w:val="36"/>
          <w:szCs w:val="36"/>
          <w14:textFill>
            <w14:solidFill>
              <w14:schemeClr w14:val="tx1"/>
            </w14:solidFill>
          </w14:textFill>
        </w:rPr>
        <w:t>年 月</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before="312" w:beforeLines="100" w:line="360" w:lineRule="auto"/>
        <w:jc w:val="left"/>
        <w:rPr>
          <w:rFonts w:ascii="宋体" w:hAnsi="宋体" w:eastAsia="宋体" w:cs="Times New Roman"/>
          <w:b/>
          <w:bCs/>
          <w:color w:val="000000" w:themeColor="text1"/>
          <w:sz w:val="30"/>
          <w:szCs w:val="30"/>
          <w:lang w:val="zh-CN"/>
          <w14:textFill>
            <w14:solidFill>
              <w14:schemeClr w14:val="tx1"/>
            </w14:solidFill>
          </w14:textFill>
        </w:rPr>
      </w:pPr>
      <w:r>
        <w:rPr>
          <w:rFonts w:hint="eastAsia" w:ascii="宋体" w:hAnsi="宋体" w:eastAsia="宋体" w:cs="Times New Roman"/>
          <w:b/>
          <w:bCs/>
          <w:color w:val="000000" w:themeColor="text1"/>
          <w:sz w:val="30"/>
          <w:szCs w:val="30"/>
          <w:lang w:val="zh-CN"/>
          <w14:textFill>
            <w14:solidFill>
              <w14:schemeClr w14:val="tx1"/>
            </w14:solidFill>
          </w14:textFill>
        </w:rPr>
        <w:t>格式（参考）说明：</w:t>
      </w:r>
    </w:p>
    <w:p>
      <w:pPr>
        <w:spacing w:before="120" w:after="120" w:line="578" w:lineRule="auto"/>
        <w:jc w:val="center"/>
        <w:rPr>
          <w:rFonts w:ascii="黑体" w:hAnsi="黑体" w:eastAsia="黑体" w:cs="Times New Roman"/>
          <w:b/>
          <w:color w:val="000000" w:themeColor="text1"/>
          <w:sz w:val="36"/>
          <w:szCs w:val="36"/>
          <w14:textFill>
            <w14:solidFill>
              <w14:schemeClr w14:val="tx1"/>
            </w14:solidFill>
          </w14:textFill>
        </w:rPr>
      </w:pPr>
      <w:bookmarkStart w:id="110" w:name="_Toc494745317"/>
      <w:bookmarkStart w:id="111" w:name="_Toc494702270"/>
      <w:bookmarkStart w:id="112" w:name="_Toc494665553"/>
      <w:bookmarkStart w:id="113" w:name="_Toc494721100"/>
      <w:bookmarkStart w:id="114" w:name="_Toc494665000"/>
      <w:bookmarkStart w:id="115" w:name="_Toc494665950"/>
      <w:r>
        <w:rPr>
          <w:rFonts w:hint="eastAsia" w:ascii="黑体" w:hAnsi="黑体" w:eastAsia="黑体" w:cs="Times New Roman"/>
          <w:b/>
          <w:bCs/>
          <w:color w:val="000000" w:themeColor="text1"/>
          <w:sz w:val="36"/>
          <w:szCs w:val="36"/>
          <w:lang w:val="zh-CN"/>
          <w14:textFill>
            <w14:solidFill>
              <w14:schemeClr w14:val="tx1"/>
            </w14:solidFill>
          </w14:textFill>
        </w:rPr>
        <w:t>技术</w:t>
      </w:r>
      <w:r>
        <w:rPr>
          <w:rFonts w:hint="eastAsia" w:ascii="黑体" w:hAnsi="黑体" w:eastAsia="黑体" w:cs="Times New Roman"/>
          <w:b/>
          <w:color w:val="000000" w:themeColor="text1"/>
          <w:sz w:val="36"/>
          <w:szCs w:val="36"/>
          <w14:textFill>
            <w14:solidFill>
              <w14:schemeClr w14:val="tx1"/>
            </w14:solidFill>
          </w14:textFill>
        </w:rPr>
        <w:t>、服务文件组成</w:t>
      </w:r>
      <w:bookmarkEnd w:id="110"/>
      <w:bookmarkEnd w:id="111"/>
      <w:bookmarkEnd w:id="112"/>
      <w:bookmarkEnd w:id="113"/>
      <w:bookmarkEnd w:id="114"/>
      <w:bookmarkEnd w:id="115"/>
    </w:p>
    <w:p>
      <w:pPr>
        <w:autoSpaceDE w:val="0"/>
        <w:autoSpaceDN w:val="0"/>
        <w:adjustRightInd w:val="0"/>
        <w:spacing w:before="156" w:beforeLines="50" w:after="156" w:afterLines="50" w:line="360" w:lineRule="auto"/>
        <w:ind w:firstLine="480" w:firstLineChars="20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由各投标人根据参考格式要求自行编写。目录清晰、内容详尽、易于理解和评审并富有建设性的技术、服务方案在评标时具有优势。具体内容应包括但不限于以下内容：</w:t>
      </w:r>
    </w:p>
    <w:p>
      <w:pPr>
        <w:numPr>
          <w:ilvl w:val="0"/>
          <w:numId w:val="60"/>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技术、服务文件目录（目录应涵盖下述所有资料，页码清晰以便查阅）；</w:t>
      </w:r>
    </w:p>
    <w:p>
      <w:pPr>
        <w:numPr>
          <w:ilvl w:val="0"/>
          <w:numId w:val="60"/>
        </w:numPr>
        <w:autoSpaceDE w:val="0"/>
        <w:autoSpaceDN w:val="0"/>
        <w:adjustRightInd w:val="0"/>
        <w:spacing w:line="360" w:lineRule="auto"/>
        <w:ind w:left="488" w:hanging="369"/>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投标货物（工程或服务）介绍，项目建设（服务）方案；</w:t>
      </w:r>
    </w:p>
    <w:p>
      <w:pPr>
        <w:numPr>
          <w:ilvl w:val="0"/>
          <w:numId w:val="60"/>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技术、服务要求响应、偏离说明表（附件十八）；</w:t>
      </w:r>
    </w:p>
    <w:p>
      <w:pPr>
        <w:numPr>
          <w:ilvl w:val="0"/>
          <w:numId w:val="60"/>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技术、服务要求“★”号条款响应、偏离说明表（附件十九）；</w:t>
      </w:r>
    </w:p>
    <w:p>
      <w:pPr>
        <w:numPr>
          <w:ilvl w:val="0"/>
          <w:numId w:val="60"/>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技术、服务评议对照表（附件二十）；</w:t>
      </w:r>
    </w:p>
    <w:p>
      <w:pPr>
        <w:numPr>
          <w:ilvl w:val="0"/>
          <w:numId w:val="60"/>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招标文件要求提供或投标人认为需提供的其它资料。</w:t>
      </w:r>
    </w:p>
    <w:p>
      <w:pPr>
        <w:autoSpaceDE w:val="0"/>
        <w:autoSpaceDN w:val="0"/>
        <w:adjustRightInd w:val="0"/>
        <w:spacing w:line="360" w:lineRule="auto"/>
        <w:rPr>
          <w:rFonts w:ascii="宋体" w:hAnsi="宋体" w:eastAsia="宋体" w:cs="Times New Roman"/>
          <w:color w:val="000000" w:themeColor="text1"/>
          <w:kern w:val="0"/>
          <w:sz w:val="24"/>
          <w:szCs w:val="32"/>
          <w14:textFill>
            <w14:solidFill>
              <w14:schemeClr w14:val="tx1"/>
            </w14:solidFill>
          </w14:textFill>
        </w:rPr>
      </w:pPr>
    </w:p>
    <w:p>
      <w:pPr>
        <w:autoSpaceDE w:val="0"/>
        <w:autoSpaceDN w:val="0"/>
        <w:adjustRightInd w:val="0"/>
        <w:spacing w:line="360" w:lineRule="auto"/>
        <w:ind w:left="715" w:leftChars="-6" w:hanging="727" w:hangingChars="303"/>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numPr>
          <w:ilvl w:val="0"/>
          <w:numId w:val="61"/>
        </w:numPr>
        <w:spacing w:before="100" w:beforeAutospacing="1" w:after="156" w:afterLines="50" w:line="360" w:lineRule="auto"/>
        <w:ind w:left="1288" w:hanging="1288"/>
        <w:rPr>
          <w:rFonts w:ascii="宋体" w:hAnsi="宋体" w:eastAsia="宋体"/>
          <w:color w:val="000000" w:themeColor="text1"/>
          <w14:textFill>
            <w14:solidFill>
              <w14:schemeClr w14:val="tx1"/>
            </w14:solidFill>
          </w14:textFill>
        </w:rPr>
      </w:pPr>
      <w:bookmarkStart w:id="116" w:name="_Toc494745318"/>
      <w:bookmarkStart w:id="117" w:name="_Toc494665001"/>
      <w:bookmarkStart w:id="118" w:name="_Toc238276242"/>
      <w:bookmarkStart w:id="119" w:name="_Toc13677"/>
      <w:bookmarkStart w:id="120" w:name="_Toc236473298"/>
      <w:bookmarkStart w:id="121" w:name="_Toc494665554"/>
      <w:bookmarkStart w:id="122" w:name="_Toc494721101"/>
      <w:bookmarkStart w:id="123" w:name="_Toc494702271"/>
      <w:bookmarkStart w:id="124" w:name="_Toc494665951"/>
      <w:r>
        <w:rPr>
          <w:rFonts w:hint="eastAsia" w:ascii="宋体" w:hAnsi="宋体" w:eastAsia="宋体"/>
          <w:color w:val="000000" w:themeColor="text1"/>
          <w14:textFill>
            <w14:solidFill>
              <w14:schemeClr w14:val="tx1"/>
            </w14:solidFill>
          </w14:textFill>
        </w:rPr>
        <w:t>投标书</w:t>
      </w:r>
      <w:bookmarkEnd w:id="116"/>
      <w:bookmarkEnd w:id="117"/>
      <w:bookmarkEnd w:id="118"/>
      <w:bookmarkEnd w:id="119"/>
      <w:bookmarkEnd w:id="120"/>
      <w:bookmarkEnd w:id="121"/>
      <w:bookmarkEnd w:id="122"/>
      <w:bookmarkEnd w:id="123"/>
      <w:bookmarkEnd w:id="124"/>
    </w:p>
    <w:p>
      <w:pPr>
        <w:spacing w:line="360" w:lineRule="auto"/>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采购人（或采购代理公司）：</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依据贵方项目（项目编号：）招标的投标邀请，我方代表</w:t>
      </w:r>
      <w:r>
        <w:rPr>
          <w:rFonts w:hint="eastAsia" w:asciiTheme="minorEastAsia" w:hAnsiTheme="minorEastAsia"/>
          <w:color w:val="000000" w:themeColor="text1"/>
          <w:sz w:val="24"/>
          <w:szCs w:val="24"/>
          <w:u w:val="single"/>
          <w14:textFill>
            <w14:solidFill>
              <w14:schemeClr w14:val="tx1"/>
            </w14:solidFill>
          </w14:textFill>
        </w:rPr>
        <w:t>（姓名、职务）</w:t>
      </w:r>
      <w:r>
        <w:rPr>
          <w:rFonts w:hint="eastAsia" w:asciiTheme="minorEastAsia" w:hAnsiTheme="minorEastAsia"/>
          <w:color w:val="000000" w:themeColor="text1"/>
          <w:sz w:val="24"/>
          <w:szCs w:val="24"/>
          <w14:textFill>
            <w14:solidFill>
              <w14:schemeClr w14:val="tx1"/>
            </w14:solidFill>
          </w14:textFill>
        </w:rPr>
        <w:t>经正式授权并代表投标人</w:t>
      </w:r>
      <w:r>
        <w:rPr>
          <w:rFonts w:hint="eastAsia" w:asciiTheme="minorEastAsia" w:hAnsiTheme="minorEastAsia"/>
          <w:color w:val="000000" w:themeColor="text1"/>
          <w:sz w:val="24"/>
          <w:szCs w:val="24"/>
          <w:u w:val="single"/>
          <w14:textFill>
            <w14:solidFill>
              <w14:schemeClr w14:val="tx1"/>
            </w14:solidFill>
          </w14:textFill>
        </w:rPr>
        <w:t>（投标人全称 ）</w:t>
      </w:r>
      <w:r>
        <w:rPr>
          <w:rFonts w:hint="eastAsia" w:asciiTheme="minorEastAsia" w:hAnsiTheme="minorEastAsia"/>
          <w:color w:val="000000" w:themeColor="text1"/>
          <w:sz w:val="24"/>
          <w:szCs w:val="24"/>
          <w14:textFill>
            <w14:solidFill>
              <w14:schemeClr w14:val="tx1"/>
            </w14:solidFill>
          </w14:textFill>
        </w:rPr>
        <w:t>提交</w:t>
      </w:r>
      <w:r>
        <w:rPr>
          <w:rFonts w:hint="eastAsia" w:ascii="宋体" w:hAnsi="宋体"/>
          <w:color w:val="000000" w:themeColor="text1"/>
          <w:kern w:val="0"/>
          <w:sz w:val="24"/>
          <w14:textFill>
            <w14:solidFill>
              <w14:schemeClr w14:val="tx1"/>
            </w14:solidFill>
          </w14:textFill>
        </w:rPr>
        <w:t>“开标一览表”信封和下述文件正本份，副本份。</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1.资格证明文件； </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2.商务文件；</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3.技术、服务文件。</w:t>
      </w:r>
    </w:p>
    <w:p>
      <w:pPr>
        <w:spacing w:line="360" w:lineRule="auto"/>
        <w:rPr>
          <w:rFonts w:ascii="宋体" w:hAnsi="宋体" w:eastAsia="宋体" w:cs="Times New Roman"/>
          <w:b/>
          <w:color w:val="000000" w:themeColor="text1"/>
          <w:kern w:val="0"/>
          <w:sz w:val="24"/>
          <w:szCs w:val="24"/>
          <w14:textFill>
            <w14:solidFill>
              <w14:schemeClr w14:val="tx1"/>
            </w14:solidFill>
          </w14:textFill>
        </w:rPr>
      </w:pPr>
      <w:r>
        <w:rPr>
          <w:rFonts w:hint="eastAsia" w:ascii="宋体" w:hAnsi="宋体" w:eastAsia="宋体" w:cs="Times New Roman"/>
          <w:b/>
          <w:color w:val="000000" w:themeColor="text1"/>
          <w:kern w:val="0"/>
          <w:sz w:val="24"/>
          <w:szCs w:val="24"/>
          <w14:textFill>
            <w14:solidFill>
              <w14:schemeClr w14:val="tx1"/>
            </w14:solidFill>
          </w14:textFill>
        </w:rPr>
        <w:t>在此，我方宣布同意如下：</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1．《开标一览表》中规定的应提交和交付的</w:t>
      </w:r>
      <w:r>
        <w:rPr>
          <w:rFonts w:hint="eastAsia" w:asciiTheme="minorEastAsia" w:hAnsiTheme="minorEastAsia"/>
          <w:color w:val="000000" w:themeColor="text1"/>
          <w:sz w:val="24"/>
          <w:szCs w:val="24"/>
          <w:u w:val="single"/>
          <w14:textFill>
            <w14:solidFill>
              <w14:schemeClr w14:val="tx1"/>
            </w14:solidFill>
          </w14:textFill>
        </w:rPr>
        <w:t xml:space="preserve">  （包号）  </w:t>
      </w:r>
      <w:r>
        <w:rPr>
          <w:rFonts w:hint="eastAsia" w:asciiTheme="minorEastAsia" w:hAnsiTheme="minorEastAsia"/>
          <w:color w:val="000000" w:themeColor="text1"/>
          <w:sz w:val="24"/>
          <w:szCs w:val="24"/>
          <w14:textFill>
            <w14:solidFill>
              <w14:schemeClr w14:val="tx1"/>
            </w14:solidFill>
          </w14:textFill>
        </w:rPr>
        <w:t>货物（工程或服务）投标总价为</w:t>
      </w:r>
      <w:r>
        <w:rPr>
          <w:rFonts w:hint="eastAsia" w:asciiTheme="minorEastAsia" w:hAnsiTheme="minorEastAsia"/>
          <w:color w:val="000000" w:themeColor="text1"/>
          <w:sz w:val="24"/>
          <w:szCs w:val="24"/>
          <w:u w:val="single"/>
          <w14:textFill>
            <w14:solidFill>
              <w14:schemeClr w14:val="tx1"/>
            </w14:solidFill>
          </w14:textFill>
        </w:rPr>
        <w:t>（注明币种，并用大写和小写表述投标总价）</w:t>
      </w:r>
      <w:r>
        <w:rPr>
          <w:rFonts w:hint="eastAsia" w:asciiTheme="minorEastAsia" w:hAnsiTheme="minorEastAsia"/>
          <w:color w:val="000000" w:themeColor="text1"/>
          <w:sz w:val="24"/>
          <w:szCs w:val="24"/>
          <w14:textFill>
            <w14:solidFill>
              <w14:schemeClr w14:val="tx1"/>
            </w14:solidFill>
          </w14:textFill>
        </w:rPr>
        <w:t>；</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2．按招标文件的约定履行合同责任和义务；</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3．已详细审查全部招标文件，包括</w:t>
      </w:r>
      <w:r>
        <w:rPr>
          <w:rFonts w:hint="eastAsia" w:asciiTheme="minorEastAsia" w:hAnsiTheme="minorEastAsia"/>
          <w:color w:val="000000" w:themeColor="text1"/>
          <w:sz w:val="24"/>
          <w:szCs w:val="24"/>
          <w:u w:val="single"/>
          <w14:textFill>
            <w14:solidFill>
              <w14:schemeClr w14:val="tx1"/>
            </w14:solidFill>
          </w14:textFill>
        </w:rPr>
        <w:t>（修正或补充文件）（如果有的话）</w:t>
      </w:r>
      <w:r>
        <w:rPr>
          <w:rFonts w:hint="eastAsia" w:asciiTheme="minorEastAsia" w:hAnsiTheme="minorEastAsia"/>
          <w:color w:val="000000" w:themeColor="text1"/>
          <w:sz w:val="24"/>
          <w:szCs w:val="24"/>
          <w14:textFill>
            <w14:solidFill>
              <w14:schemeClr w14:val="tx1"/>
            </w14:solidFill>
          </w14:textFill>
        </w:rPr>
        <w:t>，对此无异议；</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4．投标有效期为自</w:t>
      </w:r>
      <w:r>
        <w:rPr>
          <w:rFonts w:hint="eastAsia" w:ascii="宋体" w:hAnsi="宋体"/>
          <w:color w:val="000000" w:themeColor="text1"/>
          <w:kern w:val="0"/>
          <w:sz w:val="24"/>
          <w14:textFill>
            <w14:solidFill>
              <w14:schemeClr w14:val="tx1"/>
            </w14:solidFill>
          </w14:textFill>
        </w:rPr>
        <w:t>递交投标文件截止之日</w:t>
      </w:r>
      <w:r>
        <w:rPr>
          <w:rFonts w:hint="eastAsia" w:asciiTheme="minorEastAsia" w:hAnsiTheme="minorEastAsia"/>
          <w:color w:val="000000" w:themeColor="text1"/>
          <w:sz w:val="24"/>
          <w:szCs w:val="24"/>
          <w14:textFill>
            <w14:solidFill>
              <w14:schemeClr w14:val="tx1"/>
            </w14:solidFill>
          </w14:textFill>
        </w:rPr>
        <w:t>起，共个日历日；</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5．接受招标文件关于不予退还投标保证金的约定；</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6．提供按照贵方可能要求的与投标有关的一切数据或资料；</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7．与投标有关的一切正式往来信函请寄：。</w:t>
      </w:r>
    </w:p>
    <w:p>
      <w:pPr>
        <w:autoSpaceDE w:val="0"/>
        <w:autoSpaceDN w:val="0"/>
        <w:adjustRightInd w:val="0"/>
        <w:spacing w:line="400" w:lineRule="exact"/>
        <w:ind w:right="246" w:firstLine="480" w:firstLineChars="200"/>
        <w:rPr>
          <w:rFonts w:ascii="宋体" w:hAnsi="宋体" w:eastAsia="宋体" w:cs="Times New Roman"/>
          <w:color w:val="000000" w:themeColor="text1"/>
          <w:kern w:val="0"/>
          <w:sz w:val="24"/>
          <w:szCs w:val="24"/>
          <w14:textFill>
            <w14:solidFill>
              <w14:schemeClr w14:val="tx1"/>
            </w14:solidFill>
          </w14:textFill>
        </w:rPr>
      </w:pP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投标人：</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地  址：</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电话/传真：</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电子邮件：</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投标人(公章)：</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投标人授权代表（签字）：</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日    期：</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开户银行：</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帐号/行号：</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numPr>
          <w:ilvl w:val="0"/>
          <w:numId w:val="61"/>
        </w:numPr>
        <w:spacing w:before="100" w:beforeAutospacing="1" w:after="156" w:afterLines="50" w:line="360" w:lineRule="auto"/>
        <w:ind w:left="1288" w:hanging="1288"/>
        <w:rPr>
          <w:rFonts w:ascii="宋体" w:hAnsi="宋体" w:eastAsia="宋体"/>
          <w:color w:val="000000" w:themeColor="text1"/>
          <w14:textFill>
            <w14:solidFill>
              <w14:schemeClr w14:val="tx1"/>
            </w14:solidFill>
          </w14:textFill>
        </w:rPr>
      </w:pPr>
      <w:bookmarkStart w:id="125" w:name="_Toc20402"/>
      <w:bookmarkStart w:id="126" w:name="_Toc494721102"/>
      <w:bookmarkStart w:id="127" w:name="_Toc494665002"/>
      <w:bookmarkStart w:id="128" w:name="_Toc494665555"/>
      <w:bookmarkStart w:id="129" w:name="_Toc494665952"/>
      <w:bookmarkStart w:id="130" w:name="_Toc494702272"/>
      <w:bookmarkStart w:id="131" w:name="_Toc494745319"/>
      <w:r>
        <w:rPr>
          <w:rFonts w:hint="eastAsia" w:ascii="宋体" w:hAnsi="宋体" w:eastAsia="宋体"/>
          <w:color w:val="000000" w:themeColor="text1"/>
          <w14:textFill>
            <w14:solidFill>
              <w14:schemeClr w14:val="tx1"/>
            </w14:solidFill>
          </w14:textFill>
        </w:rPr>
        <w:t>制造商中小企业声明函</w:t>
      </w:r>
      <w:bookmarkEnd w:id="125"/>
      <w:bookmarkEnd w:id="126"/>
      <w:bookmarkEnd w:id="127"/>
      <w:bookmarkEnd w:id="128"/>
      <w:bookmarkEnd w:id="129"/>
      <w:bookmarkEnd w:id="130"/>
      <w:bookmarkEnd w:id="131"/>
    </w:p>
    <w:p>
      <w:pPr>
        <w:adjustRightInd w:val="0"/>
        <w:snapToGrid w:val="0"/>
        <w:jc w:val="center"/>
        <w:rPr>
          <w:rFonts w:ascii="宋体" w:hAnsi="宋体" w:eastAsia="宋体" w:cs="Times New Roman"/>
          <w:b/>
          <w:color w:val="000000" w:themeColor="text1"/>
          <w:sz w:val="30"/>
          <w:szCs w:val="30"/>
          <w:lang w:val="zh-CN"/>
          <w14:textFill>
            <w14:solidFill>
              <w14:schemeClr w14:val="tx1"/>
            </w14:solidFill>
          </w14:textFill>
        </w:rPr>
      </w:pPr>
      <w:r>
        <w:rPr>
          <w:rFonts w:hint="eastAsia" w:ascii="宋体" w:hAnsi="宋体" w:eastAsia="宋体" w:cs="Times New Roman"/>
          <w:b/>
          <w:color w:val="000000" w:themeColor="text1"/>
          <w:sz w:val="30"/>
          <w:szCs w:val="30"/>
          <w:lang w:val="zh-CN"/>
          <w14:textFill>
            <w14:solidFill>
              <w14:schemeClr w14:val="tx1"/>
            </w14:solidFill>
          </w14:textFill>
        </w:rPr>
        <w:t>制造商中小企业声明函</w:t>
      </w:r>
    </w:p>
    <w:p>
      <w:pPr>
        <w:adjustRightInd w:val="0"/>
        <w:snapToGrid w:val="0"/>
        <w:spacing w:before="156" w:beforeLines="50" w:after="156" w:afterLines="50"/>
        <w:jc w:val="center"/>
        <w:rPr>
          <w:rFonts w:ascii="宋体" w:hAnsi="Courier New" w:eastAsia="宋体" w:cs="Times New Roman"/>
          <w:color w:val="000000" w:themeColor="text1"/>
          <w:sz w:val="24"/>
          <w:szCs w:val="21"/>
          <w:lang w:val="zh-CN"/>
          <w14:textFill>
            <w14:solidFill>
              <w14:schemeClr w14:val="tx1"/>
            </w14:solidFill>
          </w14:textFill>
        </w:rPr>
      </w:pPr>
      <w:r>
        <w:rPr>
          <w:rFonts w:hint="eastAsia" w:ascii="宋体" w:hAnsi="Courier New" w:eastAsia="宋体" w:cs="Times New Roman"/>
          <w:color w:val="000000" w:themeColor="text1"/>
          <w:sz w:val="24"/>
          <w:szCs w:val="21"/>
          <w:lang w:val="zh-CN"/>
          <w14:textFill>
            <w14:solidFill>
              <w14:schemeClr w14:val="tx1"/>
            </w14:solidFill>
          </w14:textFill>
        </w:rPr>
        <w:t>（适用于货物类项目）</w:t>
      </w:r>
    </w:p>
    <w:p>
      <w:pPr>
        <w:spacing w:line="360" w:lineRule="auto"/>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采购人（或采购代理公司）：</w:t>
      </w:r>
    </w:p>
    <w:p>
      <w:pPr>
        <w:spacing w:line="360" w:lineRule="auto"/>
        <w:ind w:firstLine="475" w:firstLineChars="198"/>
        <w:jc w:val="left"/>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本公司郑重声明，根据《政府采购促进中小企业发展暂行办法》（财库〔2011〕181号）的规定，本公司为______（请填写：中型、小型、微型）企业。本公司同时满足以下条件：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1.根据《工业和信息化部、国家统计局、国家发展和改革委员会、财政部关于印发中小企业划型标准规定的通知》（工信部联企业〔2011〕300号）规定的划分标准</w:t>
      </w:r>
      <w:r>
        <w:rPr>
          <w:rFonts w:hint="eastAsia" w:hAnsi="宋体"/>
          <w:color w:val="000000" w:themeColor="text1"/>
          <w:sz w:val="24"/>
          <w14:textFill>
            <w14:solidFill>
              <w14:schemeClr w14:val="tx1"/>
            </w14:solidFill>
          </w14:textFill>
        </w:rPr>
        <w:t>（详见《中小企业划型标准》）</w:t>
      </w:r>
      <w:r>
        <w:rPr>
          <w:rFonts w:hint="eastAsia" w:ascii="宋体" w:hAnsi="宋体" w:eastAsia="宋体" w:cs="Times New Roman"/>
          <w:color w:val="000000" w:themeColor="text1"/>
          <w:sz w:val="24"/>
          <w:szCs w:val="21"/>
          <w:lang w:val="zh-CN"/>
          <w14:textFill>
            <w14:solidFill>
              <w14:schemeClr w14:val="tx1"/>
            </w14:solidFill>
          </w14:textFill>
        </w:rPr>
        <w:t>，本公司为______（请填写：中型、小型、微型）企业。</w:t>
      </w:r>
    </w:p>
    <w:p>
      <w:pPr>
        <w:spacing w:line="360" w:lineRule="auto"/>
        <w:ind w:firstLine="475" w:firstLineChars="198"/>
        <w:jc w:val="left"/>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2.本公司授权</w:t>
      </w:r>
      <w:r>
        <w:rPr>
          <w:rFonts w:hint="eastAsia" w:ascii="宋体" w:hAnsi="宋体" w:eastAsia="宋体" w:cs="Times New Roman"/>
          <w:color w:val="000000" w:themeColor="text1"/>
          <w:sz w:val="24"/>
          <w:szCs w:val="21"/>
          <w:u w:val="single"/>
          <w:lang w:val="zh-CN"/>
          <w14:textFill>
            <w14:solidFill>
              <w14:schemeClr w14:val="tx1"/>
            </w14:solidFill>
          </w14:textFill>
        </w:rPr>
        <w:t xml:space="preserve">  （投标人）  </w:t>
      </w:r>
      <w:r>
        <w:rPr>
          <w:rFonts w:hint="eastAsia" w:ascii="宋体" w:hAnsi="宋体" w:eastAsia="宋体" w:cs="Times New Roman"/>
          <w:color w:val="000000" w:themeColor="text1"/>
          <w:sz w:val="24"/>
          <w:szCs w:val="21"/>
          <w:lang w:val="zh-CN"/>
          <w14:textFill>
            <w14:solidFill>
              <w14:schemeClr w14:val="tx1"/>
            </w14:solidFill>
          </w14:textFill>
        </w:rPr>
        <w:t>参加</w:t>
      </w:r>
      <w:r>
        <w:rPr>
          <w:rFonts w:hint="eastAsia" w:ascii="宋体" w:hAnsi="宋体" w:eastAsia="宋体" w:cs="Times New Roman"/>
          <w:color w:val="000000" w:themeColor="text1"/>
          <w:sz w:val="24"/>
          <w:szCs w:val="21"/>
          <w:u w:val="single"/>
          <w:lang w:val="zh-CN"/>
          <w14:textFill>
            <w14:solidFill>
              <w14:schemeClr w14:val="tx1"/>
            </w14:solidFill>
          </w14:textFill>
        </w:rPr>
        <w:t>（采购人）</w:t>
      </w:r>
      <w:r>
        <w:rPr>
          <w:rFonts w:hint="eastAsia" w:ascii="宋体" w:hAnsi="宋体" w:eastAsia="宋体" w:cs="Times New Roman"/>
          <w:color w:val="000000" w:themeColor="text1"/>
          <w:sz w:val="24"/>
          <w:szCs w:val="21"/>
          <w:lang w:val="zh-CN"/>
          <w14:textFill>
            <w14:solidFill>
              <w14:schemeClr w14:val="tx1"/>
            </w14:solidFill>
          </w14:textFill>
        </w:rPr>
        <w:t>的__项目（项目编号：_____）采购活动提供本企业制造的货物。本条所称货物不包括使用大型企业注册商标的货物。</w:t>
      </w:r>
    </w:p>
    <w:p>
      <w:pPr>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lang w:val="zh-CN"/>
          <w14:textFill>
            <w14:solidFill>
              <w14:schemeClr w14:val="tx1"/>
            </w14:solidFill>
          </w14:textFill>
        </w:rPr>
        <w:t>3</w:t>
      </w:r>
      <w:r>
        <w:rPr>
          <w:rFonts w:hint="eastAsia" w:ascii="宋体" w:hAnsi="宋体" w:eastAsia="宋体" w:cs="Times New Roman"/>
          <w:bCs/>
          <w:color w:val="000000" w:themeColor="text1"/>
          <w:sz w:val="24"/>
          <w:szCs w:val="24"/>
          <w14:textFill>
            <w14:solidFill>
              <w14:schemeClr w14:val="tx1"/>
            </w14:solidFill>
          </w14:textFill>
        </w:rPr>
        <w:t>.由本公司制造的货物清单见下表：</w:t>
      </w:r>
    </w:p>
    <w:tbl>
      <w:tblPr>
        <w:tblStyle w:val="16"/>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2"/>
              </w:numPr>
              <w:tabs>
                <w:tab w:val="left" w:pos="82"/>
              </w:tabs>
              <w:adjustRightInd w:val="0"/>
              <w:snapToGrid w:val="0"/>
              <w:ind w:left="-2" w:firstLine="2"/>
              <w:jc w:val="center"/>
              <w:rPr>
                <w:rFonts w:ascii="宋体" w:hAnsi="宋体"/>
                <w:color w:val="000000" w:themeColor="text1"/>
                <w:sz w:val="24"/>
                <w14:textFill>
                  <w14:solidFill>
                    <w14:schemeClr w14:val="tx1"/>
                  </w14:solidFill>
                </w14:textFill>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color w:val="000000" w:themeColor="text1"/>
                <w:kern w:val="0"/>
                <w:sz w:val="24"/>
                <w:szCs w:val="24"/>
                <w14:textFill>
                  <w14:solidFill>
                    <w14:schemeClr w14:val="tx1"/>
                  </w14:solidFill>
                </w14:textFill>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2"/>
              </w:numPr>
              <w:tabs>
                <w:tab w:val="left" w:pos="82"/>
              </w:tabs>
              <w:adjustRightInd w:val="0"/>
              <w:snapToGrid w:val="0"/>
              <w:ind w:left="-2" w:firstLine="2"/>
              <w:jc w:val="center"/>
              <w:rPr>
                <w:rFonts w:ascii="宋体" w:hAnsi="宋体"/>
                <w:color w:val="000000" w:themeColor="text1"/>
                <w:sz w:val="24"/>
                <w14:textFill>
                  <w14:solidFill>
                    <w14:schemeClr w14:val="tx1"/>
                  </w14:solidFill>
                </w14:textFill>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r>
    </w:tbl>
    <w:p>
      <w:pPr>
        <w:spacing w:before="156" w:beforeLines="50" w:line="360" w:lineRule="auto"/>
        <w:ind w:firstLine="475" w:firstLineChars="198"/>
        <w:jc w:val="left"/>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本公司对上述声明的真实性负责。如有虚假，将依法承担相应责任。</w:t>
      </w:r>
    </w:p>
    <w:p>
      <w:pPr>
        <w:spacing w:line="360" w:lineRule="auto"/>
        <w:rPr>
          <w:rFonts w:ascii="宋体" w:hAnsi="宋体" w:eastAsia="宋体" w:cs="Times New Roman"/>
          <w:bCs/>
          <w:color w:val="000000" w:themeColor="text1"/>
          <w:sz w:val="24"/>
          <w:szCs w:val="24"/>
          <w14:textFill>
            <w14:solidFill>
              <w14:schemeClr w14:val="tx1"/>
            </w14:solidFill>
          </w14:textFill>
        </w:rPr>
      </w:pPr>
    </w:p>
    <w:p>
      <w:pPr>
        <w:pStyle w:val="8"/>
        <w:spacing w:line="360" w:lineRule="auto"/>
        <w:ind w:left="960" w:hanging="960" w:hangingChars="400"/>
        <w:jc w:val="left"/>
        <w:rPr>
          <w:rFonts w:hAnsi="宋体" w:cs="Corbel"/>
          <w:color w:val="000000" w:themeColor="text1"/>
          <w:sz w:val="24"/>
          <w14:textFill>
            <w14:solidFill>
              <w14:schemeClr w14:val="tx1"/>
            </w14:solidFill>
          </w14:textFill>
        </w:rPr>
      </w:pPr>
      <w:r>
        <w:rPr>
          <w:rFonts w:hint="eastAsia" w:hAnsi="宋体" w:eastAsia="宋体" w:cs="Times New Roman"/>
          <w:bCs/>
          <w:color w:val="000000" w:themeColor="text1"/>
          <w:sz w:val="24"/>
          <w:szCs w:val="24"/>
          <w14:textFill>
            <w14:solidFill>
              <w14:schemeClr w14:val="tx1"/>
            </w14:solidFill>
          </w14:textFill>
        </w:rPr>
        <w:t>说明：</w:t>
      </w:r>
      <w:r>
        <w:rPr>
          <w:rFonts w:hint="eastAsia" w:hAnsi="宋体" w:cs="Corbel"/>
          <w:color w:val="000000" w:themeColor="text1"/>
          <w:sz w:val="24"/>
          <w14:textFill>
            <w14:solidFill>
              <w14:schemeClr w14:val="tx1"/>
            </w14:solidFill>
          </w14:textFill>
        </w:rPr>
        <w:t>1、投标人所投货物为自己制造的，也应按本声明函格式填写。</w:t>
      </w:r>
    </w:p>
    <w:p>
      <w:pPr>
        <w:pStyle w:val="8"/>
        <w:spacing w:line="360" w:lineRule="auto"/>
        <w:ind w:left="958" w:leftChars="342" w:hanging="240" w:hangingChars="1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2、组成联合体的大中型企业和其他自然人、法人或者其他组织，与小型、微型企业之间不得存在投资关系。</w:t>
      </w:r>
    </w:p>
    <w:p>
      <w:pPr>
        <w:pStyle w:val="8"/>
        <w:spacing w:line="360" w:lineRule="auto"/>
        <w:ind w:left="958" w:leftChars="342" w:hanging="240" w:hangingChars="100"/>
        <w:jc w:val="left"/>
        <w:rPr>
          <w:rFonts w:hAnsi="宋体" w:eastAsia="宋体" w:cs="Times New Roman"/>
          <w:bCs/>
          <w:color w:val="000000" w:themeColor="text1"/>
          <w:sz w:val="24"/>
          <w:szCs w:val="24"/>
          <w14:textFill>
            <w14:solidFill>
              <w14:schemeClr w14:val="tx1"/>
            </w14:solidFill>
          </w14:textFill>
        </w:rPr>
      </w:pPr>
      <w:r>
        <w:rPr>
          <w:rFonts w:hint="eastAsia" w:hAnsi="宋体"/>
          <w:color w:val="000000" w:themeColor="text1"/>
          <w:sz w:val="24"/>
          <w14:textFill>
            <w14:solidFill>
              <w14:schemeClr w14:val="tx1"/>
            </w14:solidFill>
          </w14:textFill>
        </w:rPr>
        <w:t>3、如以联合体方式参与本项目投标的供应商，则应由联合体双方签字盖章。</w:t>
      </w: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lang w:val="zh-CN"/>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制造商（公章）：</w:t>
      </w: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lang w:val="zh-CN"/>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制造商法定代表人（</w:t>
      </w:r>
      <w:r>
        <w:rPr>
          <w:rFonts w:hint="eastAsia" w:ascii="宋体" w:hAnsi="宋体" w:eastAsia="宋体" w:cs="Times New Roman"/>
          <w:b/>
          <w:color w:val="000000" w:themeColor="text1"/>
          <w:sz w:val="24"/>
          <w:szCs w:val="21"/>
          <w:lang w:val="zh-CN"/>
          <w14:textFill>
            <w14:solidFill>
              <w14:schemeClr w14:val="tx1"/>
            </w14:solidFill>
          </w14:textFill>
        </w:rPr>
        <w:t>签字或盖章</w:t>
      </w:r>
      <w:r>
        <w:rPr>
          <w:rFonts w:hint="eastAsia" w:ascii="宋体" w:hAnsi="宋体" w:eastAsia="宋体" w:cs="Times New Roman"/>
          <w:b/>
          <w:bCs/>
          <w:color w:val="000000" w:themeColor="text1"/>
          <w:sz w:val="24"/>
          <w:szCs w:val="21"/>
          <w:lang w:val="zh-CN"/>
          <w14:textFill>
            <w14:solidFill>
              <w14:schemeClr w14:val="tx1"/>
            </w14:solidFill>
          </w14:textFill>
        </w:rPr>
        <w:t>）：</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Times New Roman" w:hAnsi="宋体" w:eastAsia="宋体" w:cs="Times New Roman"/>
          <w:b/>
          <w:color w:val="000000" w:themeColor="text1"/>
          <w:sz w:val="24"/>
          <w:szCs w:val="24"/>
          <w14:textFill>
            <w14:solidFill>
              <w14:schemeClr w14:val="tx1"/>
            </w14:solidFill>
          </w14:textFill>
        </w:rPr>
        <w:t>日   期：</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numPr>
          <w:ilvl w:val="0"/>
          <w:numId w:val="61"/>
        </w:numPr>
        <w:spacing w:before="100" w:beforeAutospacing="1" w:after="156" w:afterLines="50" w:line="360" w:lineRule="auto"/>
        <w:ind w:left="1288" w:hanging="1288"/>
        <w:rPr>
          <w:rFonts w:ascii="宋体" w:hAnsi="宋体" w:eastAsia="宋体"/>
          <w:color w:val="000000" w:themeColor="text1"/>
          <w14:textFill>
            <w14:solidFill>
              <w14:schemeClr w14:val="tx1"/>
            </w14:solidFill>
          </w14:textFill>
        </w:rPr>
      </w:pPr>
      <w:bookmarkStart w:id="132" w:name="_Toc494665003"/>
      <w:bookmarkStart w:id="133" w:name="_Toc494745320"/>
      <w:bookmarkStart w:id="134" w:name="_Toc456264006"/>
      <w:bookmarkStart w:id="135" w:name="_Toc494665556"/>
      <w:bookmarkStart w:id="136" w:name="_Toc494665953"/>
      <w:bookmarkStart w:id="137" w:name="_Toc27686"/>
      <w:bookmarkStart w:id="138" w:name="_Toc494721103"/>
      <w:bookmarkStart w:id="139" w:name="_Toc494702273"/>
      <w:r>
        <w:rPr>
          <w:rFonts w:hint="eastAsia" w:ascii="宋体" w:hAnsi="宋体" w:eastAsia="宋体"/>
          <w:color w:val="000000" w:themeColor="text1"/>
          <w14:textFill>
            <w14:solidFill>
              <w14:schemeClr w14:val="tx1"/>
            </w14:solidFill>
          </w14:textFill>
        </w:rPr>
        <w:t>中小企业声明函</w:t>
      </w:r>
      <w:bookmarkEnd w:id="132"/>
      <w:bookmarkEnd w:id="133"/>
      <w:bookmarkEnd w:id="134"/>
      <w:bookmarkEnd w:id="135"/>
      <w:bookmarkEnd w:id="136"/>
      <w:bookmarkEnd w:id="137"/>
      <w:bookmarkEnd w:id="138"/>
      <w:bookmarkEnd w:id="139"/>
    </w:p>
    <w:p>
      <w:pPr>
        <w:adjustRightInd w:val="0"/>
        <w:snapToGrid w:val="0"/>
        <w:jc w:val="center"/>
        <w:rPr>
          <w:rFonts w:ascii="宋体" w:hAnsi="宋体" w:eastAsia="宋体" w:cs="Times New Roman"/>
          <w:b/>
          <w:color w:val="000000" w:themeColor="text1"/>
          <w:sz w:val="30"/>
          <w:szCs w:val="30"/>
          <w:lang w:val="zh-CN"/>
          <w14:textFill>
            <w14:solidFill>
              <w14:schemeClr w14:val="tx1"/>
            </w14:solidFill>
          </w14:textFill>
        </w:rPr>
      </w:pPr>
      <w:r>
        <w:rPr>
          <w:rFonts w:hint="eastAsia" w:ascii="宋体" w:hAnsi="宋体" w:eastAsia="宋体" w:cs="Times New Roman"/>
          <w:b/>
          <w:color w:val="000000" w:themeColor="text1"/>
          <w:sz w:val="30"/>
          <w:szCs w:val="30"/>
          <w:lang w:val="zh-CN"/>
          <w14:textFill>
            <w14:solidFill>
              <w14:schemeClr w14:val="tx1"/>
            </w14:solidFill>
          </w14:textFill>
        </w:rPr>
        <w:t>中小企业声明函</w:t>
      </w:r>
    </w:p>
    <w:p>
      <w:pPr>
        <w:adjustRightInd w:val="0"/>
        <w:snapToGrid w:val="0"/>
        <w:spacing w:before="156" w:beforeLines="50" w:after="156" w:afterLines="50"/>
        <w:jc w:val="center"/>
        <w:rPr>
          <w:rFonts w:ascii="宋体" w:hAnsi="Courier New" w:eastAsia="宋体" w:cs="Times New Roman"/>
          <w:color w:val="000000" w:themeColor="text1"/>
          <w:sz w:val="24"/>
          <w:szCs w:val="21"/>
          <w:lang w:val="zh-CN"/>
          <w14:textFill>
            <w14:solidFill>
              <w14:schemeClr w14:val="tx1"/>
            </w14:solidFill>
          </w14:textFill>
        </w:rPr>
      </w:pPr>
      <w:r>
        <w:rPr>
          <w:rFonts w:hint="eastAsia" w:ascii="宋体" w:hAnsi="Courier New" w:eastAsia="宋体" w:cs="Times New Roman"/>
          <w:color w:val="000000" w:themeColor="text1"/>
          <w:sz w:val="24"/>
          <w:szCs w:val="21"/>
          <w:lang w:val="zh-CN"/>
          <w14:textFill>
            <w14:solidFill>
              <w14:schemeClr w14:val="tx1"/>
            </w14:solidFill>
          </w14:textFill>
        </w:rPr>
        <w:t>（适用于工程类、服务类项目）</w:t>
      </w:r>
    </w:p>
    <w:p>
      <w:pPr>
        <w:spacing w:line="360" w:lineRule="auto"/>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采购人（或采购代理公司）：</w:t>
      </w:r>
    </w:p>
    <w:p>
      <w:pPr>
        <w:spacing w:line="360" w:lineRule="auto"/>
        <w:ind w:firstLine="475" w:firstLineChars="198"/>
        <w:jc w:val="left"/>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本公司郑重声明，根据《政府采购促进中小企业发展暂行办法》（财库〔2011〕181号）的规定，本公司为______（请填写：中型、小型、微型）企业。本公司同时满足以下条件：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1.根据《工业和信息化部、国家统计局、国家发展和改革委员会、财政部关于印发中小企业划型标准规定的通知》（工信部联企业〔2011〕300号）规定的划分标准</w:t>
      </w:r>
      <w:r>
        <w:rPr>
          <w:rFonts w:hint="eastAsia" w:hAnsi="宋体"/>
          <w:color w:val="000000" w:themeColor="text1"/>
          <w:sz w:val="24"/>
          <w14:textFill>
            <w14:solidFill>
              <w14:schemeClr w14:val="tx1"/>
            </w14:solidFill>
          </w14:textFill>
        </w:rPr>
        <w:t>（详见《中小企业划型标准》）</w:t>
      </w:r>
      <w:r>
        <w:rPr>
          <w:rFonts w:hint="eastAsia" w:ascii="宋体" w:hAnsi="宋体" w:eastAsia="宋体" w:cs="Times New Roman"/>
          <w:color w:val="000000" w:themeColor="text1"/>
          <w:sz w:val="24"/>
          <w:szCs w:val="21"/>
          <w:lang w:val="zh-CN"/>
          <w14:textFill>
            <w14:solidFill>
              <w14:schemeClr w14:val="tx1"/>
            </w14:solidFill>
          </w14:textFill>
        </w:rPr>
        <w:t>，本公司为______（请填写：中型、小型、微型）企业。</w:t>
      </w:r>
    </w:p>
    <w:p>
      <w:pPr>
        <w:spacing w:line="360" w:lineRule="auto"/>
        <w:ind w:firstLine="475" w:firstLineChars="198"/>
        <w:jc w:val="left"/>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2.本公司参加_</w:t>
      </w:r>
      <w:r>
        <w:rPr>
          <w:rFonts w:hint="eastAsia" w:ascii="宋体" w:hAnsi="宋体" w:eastAsia="宋体" w:cs="Times New Roman"/>
          <w:color w:val="000000" w:themeColor="text1"/>
          <w:sz w:val="24"/>
          <w:szCs w:val="21"/>
          <w:u w:val="single"/>
          <w:lang w:val="zh-CN"/>
          <w14:textFill>
            <w14:solidFill>
              <w14:schemeClr w14:val="tx1"/>
            </w14:solidFill>
          </w14:textFill>
        </w:rPr>
        <w:t>_（采购人）</w:t>
      </w:r>
      <w:r>
        <w:rPr>
          <w:rFonts w:hint="eastAsia" w:ascii="宋体" w:hAnsi="宋体" w:eastAsia="宋体" w:cs="Times New Roman"/>
          <w:color w:val="000000" w:themeColor="text1"/>
          <w:sz w:val="24"/>
          <w:szCs w:val="21"/>
          <w:lang w:val="zh-CN"/>
          <w14:textFill>
            <w14:solidFill>
              <w14:schemeClr w14:val="tx1"/>
            </w14:solidFill>
          </w14:textFill>
        </w:rPr>
        <w:t>的__</w:t>
      </w:r>
      <w:r>
        <w:rPr>
          <w:rFonts w:hint="eastAsia" w:ascii="宋体" w:hAnsi="宋体" w:eastAsia="宋体" w:cs="Times New Roman"/>
          <w:color w:val="000000" w:themeColor="text1"/>
          <w:sz w:val="24"/>
          <w:szCs w:val="21"/>
          <w:u w:val="single"/>
          <w:lang w:val="zh-CN"/>
          <w14:textFill>
            <w14:solidFill>
              <w14:schemeClr w14:val="tx1"/>
            </w14:solidFill>
          </w14:textFill>
        </w:rPr>
        <w:t>__</w:t>
      </w:r>
      <w:r>
        <w:rPr>
          <w:rFonts w:hint="eastAsia" w:ascii="宋体" w:hAnsi="宋体" w:eastAsia="宋体" w:cs="Times New Roman"/>
          <w:color w:val="000000" w:themeColor="text1"/>
          <w:sz w:val="24"/>
          <w:szCs w:val="21"/>
          <w:lang w:val="zh-CN"/>
          <w14:textFill>
            <w14:solidFill>
              <w14:schemeClr w14:val="tx1"/>
            </w14:solidFill>
          </w14:textFill>
        </w:rPr>
        <w:t>项目（项目编号：______）采购活动由本企业承担工程（或提供服务）。</w:t>
      </w:r>
    </w:p>
    <w:p>
      <w:pPr>
        <w:spacing w:line="360" w:lineRule="auto"/>
        <w:ind w:firstLine="475" w:firstLineChars="198"/>
        <w:jc w:val="left"/>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本公司对上述声明的真实性负责。如有虚假，将依法承担相应责任。</w:t>
      </w:r>
    </w:p>
    <w:p>
      <w:pPr>
        <w:adjustRightInd w:val="0"/>
        <w:snapToGrid w:val="0"/>
        <w:spacing w:line="360" w:lineRule="auto"/>
        <w:rPr>
          <w:rFonts w:ascii="宋体" w:hAnsi="宋体" w:eastAsia="宋体" w:cs="Times New Roman"/>
          <w:color w:val="000000" w:themeColor="text1"/>
          <w:sz w:val="28"/>
          <w:szCs w:val="24"/>
          <w14:textFill>
            <w14:solidFill>
              <w14:schemeClr w14:val="tx1"/>
            </w14:solidFill>
          </w14:textFill>
        </w:rPr>
      </w:pPr>
    </w:p>
    <w:p>
      <w:pPr>
        <w:adjustRightInd w:val="0"/>
        <w:snapToGrid w:val="0"/>
        <w:spacing w:line="360" w:lineRule="auto"/>
        <w:rPr>
          <w:rFonts w:ascii="宋体" w:hAnsi="宋体" w:eastAsia="宋体" w:cs="Times New Roman"/>
          <w:color w:val="000000" w:themeColor="text1"/>
          <w:sz w:val="28"/>
          <w:szCs w:val="24"/>
          <w14:textFill>
            <w14:solidFill>
              <w14:schemeClr w14:val="tx1"/>
            </w14:solidFill>
          </w14:textFill>
        </w:rPr>
      </w:pPr>
    </w:p>
    <w:p>
      <w:pPr>
        <w:spacing w:line="360" w:lineRule="auto"/>
        <w:ind w:left="950" w:hanging="950" w:hangingChars="396"/>
        <w:jc w:val="left"/>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说明：1.组成联合体的大中型企业和其他自然人、法人或者其他组织，与小型、微型企业之间不得存在投资关系。</w:t>
      </w:r>
    </w:p>
    <w:p>
      <w:pPr>
        <w:tabs>
          <w:tab w:val="left" w:pos="882"/>
        </w:tabs>
        <w:spacing w:line="360" w:lineRule="auto"/>
        <w:ind w:left="936" w:leftChars="339" w:hanging="225" w:hangingChars="94"/>
        <w:jc w:val="left"/>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2.以联合体方式参与本项目投标的供应商，应由联合体双方签字盖章。</w:t>
      </w:r>
    </w:p>
    <w:p>
      <w:pPr>
        <w:spacing w:line="360" w:lineRule="auto"/>
        <w:ind w:firstLine="480" w:firstLineChars="200"/>
        <w:jc w:val="left"/>
        <w:rPr>
          <w:rFonts w:ascii="宋体" w:hAnsi="宋体" w:eastAsia="宋体" w:cs="Times New Roman"/>
          <w:color w:val="000000" w:themeColor="text1"/>
          <w:sz w:val="24"/>
          <w:szCs w:val="21"/>
          <w:lang w:val="zh-CN"/>
          <w14:textFill>
            <w14:solidFill>
              <w14:schemeClr w14:val="tx1"/>
            </w14:solidFill>
          </w14:textFill>
        </w:rPr>
      </w:pPr>
    </w:p>
    <w:p>
      <w:pPr>
        <w:spacing w:line="360" w:lineRule="auto"/>
        <w:ind w:firstLine="480" w:firstLineChars="200"/>
        <w:jc w:val="left"/>
        <w:rPr>
          <w:rFonts w:ascii="宋体" w:hAnsi="宋体" w:eastAsia="宋体" w:cs="Times New Roman"/>
          <w:color w:val="000000" w:themeColor="text1"/>
          <w:sz w:val="24"/>
          <w:szCs w:val="21"/>
          <w:lang w:val="zh-CN"/>
          <w14:textFill>
            <w14:solidFill>
              <w14:schemeClr w14:val="tx1"/>
            </w14:solidFill>
          </w14:textFill>
        </w:rPr>
      </w:pPr>
    </w:p>
    <w:p>
      <w:pPr>
        <w:spacing w:line="360" w:lineRule="auto"/>
        <w:ind w:firstLine="480" w:firstLineChars="200"/>
        <w:jc w:val="left"/>
        <w:rPr>
          <w:rFonts w:ascii="宋体" w:hAnsi="宋体" w:eastAsia="宋体" w:cs="Times New Roman"/>
          <w:color w:val="000000" w:themeColor="text1"/>
          <w:sz w:val="24"/>
          <w:szCs w:val="21"/>
          <w:lang w:val="zh-CN"/>
          <w14:textFill>
            <w14:solidFill>
              <w14:schemeClr w14:val="tx1"/>
            </w14:solidFill>
          </w14:textFill>
        </w:rPr>
      </w:pP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u w:val="single"/>
          <w:lang w:val="zh-CN"/>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投标人（公章）：</w:t>
      </w: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u w:val="single"/>
          <w:lang w:val="zh-CN"/>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投标人授权代表（签字）：</w:t>
      </w: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u w:val="single"/>
          <w:lang w:val="zh-CN"/>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投标时间：</w:t>
      </w:r>
    </w:p>
    <w:p>
      <w:pPr>
        <w:rPr>
          <w:color w:val="000000" w:themeColor="text1"/>
          <w14:textFill>
            <w14:solidFill>
              <w14:schemeClr w14:val="tx1"/>
            </w14:solidFill>
          </w14:textFill>
        </w:rPr>
        <w:sectPr>
          <w:pgSz w:w="11906" w:h="16838"/>
          <w:pgMar w:top="1134" w:right="1191" w:bottom="1134" w:left="1191" w:header="851" w:footer="624" w:gutter="0"/>
          <w:cols w:space="425" w:num="1"/>
          <w:docGrid w:type="linesAndChars" w:linePitch="312" w:charSpace="0"/>
        </w:sectPr>
      </w:pPr>
      <w:r>
        <w:rPr>
          <w:color w:val="000000" w:themeColor="text1"/>
          <w14:textFill>
            <w14:solidFill>
              <w14:schemeClr w14:val="tx1"/>
            </w14:solidFill>
          </w14:textFill>
        </w:rPr>
        <w:br w:type="page"/>
      </w:r>
    </w:p>
    <w:p>
      <w:pPr>
        <w:spacing w:line="240" w:lineRule="atLeast"/>
        <w:ind w:left="-48" w:leftChars="-23" w:right="-65" w:rightChars="-31"/>
        <w:jc w:val="center"/>
        <w:rPr>
          <w:rFonts w:ascii="宋体" w:hAnsi="宋体" w:eastAsia="宋体" w:cs="Times New Roman"/>
          <w:b/>
          <w:color w:val="000000" w:themeColor="text1"/>
          <w:sz w:val="30"/>
          <w:szCs w:val="30"/>
          <w:lang w:val="zh-CN"/>
          <w14:textFill>
            <w14:solidFill>
              <w14:schemeClr w14:val="tx1"/>
            </w14:solidFill>
          </w14:textFill>
        </w:rPr>
      </w:pPr>
      <w:bookmarkStart w:id="140" w:name="_Toc476153619"/>
      <w:r>
        <w:rPr>
          <w:rFonts w:hint="eastAsia" w:ascii="宋体" w:hAnsi="宋体" w:eastAsia="宋体" w:cs="Times New Roman"/>
          <w:b/>
          <w:color w:val="000000" w:themeColor="text1"/>
          <w:sz w:val="30"/>
          <w:szCs w:val="30"/>
          <w:lang w:val="zh-CN"/>
          <w14:textFill>
            <w14:solidFill>
              <w14:schemeClr w14:val="tx1"/>
            </w14:solidFill>
          </w14:textFill>
        </w:rPr>
        <w:t>中小企业划型标准</w:t>
      </w:r>
      <w:bookmarkEnd w:id="140"/>
    </w:p>
    <w:tbl>
      <w:tblPr>
        <w:tblStyle w:val="16"/>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8" w:leftChars="-23" w:right="-65" w:rightChars="-31"/>
              <w:jc w:val="left"/>
              <w:rPr>
                <w:rFonts w:ascii="宋体" w:hAnsi="宋体" w:eastAsia="宋体" w:cs="宋体"/>
                <w:b/>
                <w:color w:val="000000" w:themeColor="text1"/>
                <w:kern w:val="0"/>
                <w:szCs w:val="21"/>
                <w14:textFill>
                  <w14:solidFill>
                    <w14:schemeClr w14:val="tx1"/>
                  </w14:solidFill>
                </w14:textFill>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营业收入</w:t>
            </w:r>
          </w:p>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从业人员</w:t>
            </w:r>
          </w:p>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总资产</w:t>
            </w:r>
          </w:p>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营业收入</w:t>
            </w:r>
          </w:p>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从业人员</w:t>
            </w:r>
          </w:p>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总资产</w:t>
            </w:r>
          </w:p>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营业收入</w:t>
            </w:r>
          </w:p>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9" w:leftChars="-23" w:right="-65" w:rightChars="-31" w:hanging="167" w:hangingChars="79"/>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从业人员</w:t>
            </w:r>
          </w:p>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总资产</w:t>
            </w:r>
          </w:p>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营业收入</w:t>
            </w:r>
          </w:p>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从业人员</w:t>
            </w:r>
          </w:p>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总资产</w:t>
            </w:r>
          </w:p>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(万元)</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或,＜2000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或,＜100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bl>
    <w:p>
      <w:pPr>
        <w:rPr>
          <w:color w:val="000000" w:themeColor="text1"/>
          <w14:textFill>
            <w14:solidFill>
              <w14:schemeClr w14:val="tx1"/>
            </w14:solidFill>
          </w14:textFill>
        </w:rPr>
        <w:sectPr>
          <w:pgSz w:w="16838" w:h="11906" w:orient="landscape"/>
          <w:pgMar w:top="1191" w:right="1134" w:bottom="1191" w:left="1134" w:header="851" w:footer="851" w:gutter="0"/>
          <w:cols w:space="425" w:num="1"/>
          <w:docGrid w:type="lines" w:linePitch="312" w:charSpace="0"/>
        </w:sectPr>
      </w:pPr>
      <w:r>
        <w:rPr>
          <w:color w:val="000000" w:themeColor="text1"/>
          <w14:textFill>
            <w14:solidFill>
              <w14:schemeClr w14:val="tx1"/>
            </w14:solidFill>
          </w14:textFill>
        </w:rPr>
        <w:br w:type="page"/>
      </w:r>
    </w:p>
    <w:p>
      <w:pPr>
        <w:pStyle w:val="5"/>
        <w:numPr>
          <w:ilvl w:val="0"/>
          <w:numId w:val="61"/>
        </w:numPr>
        <w:spacing w:before="100" w:beforeAutospacing="1" w:after="156" w:afterLines="50" w:line="360" w:lineRule="auto"/>
        <w:ind w:left="1288" w:hanging="1288"/>
        <w:rPr>
          <w:rFonts w:ascii="宋体" w:hAnsi="宋体" w:eastAsia="宋体"/>
          <w:color w:val="000000" w:themeColor="text1"/>
          <w14:textFill>
            <w14:solidFill>
              <w14:schemeClr w14:val="tx1"/>
            </w14:solidFill>
          </w14:textFill>
        </w:rPr>
      </w:pPr>
      <w:bookmarkStart w:id="141" w:name="_Toc494702274"/>
      <w:bookmarkStart w:id="142" w:name="_Toc3761"/>
      <w:bookmarkStart w:id="143" w:name="_Toc494665557"/>
      <w:bookmarkStart w:id="144" w:name="_Toc494721104"/>
      <w:bookmarkStart w:id="145" w:name="_Toc494665004"/>
      <w:bookmarkStart w:id="146" w:name="_Toc494745321"/>
      <w:bookmarkStart w:id="147" w:name="_Toc494665954"/>
      <w:r>
        <w:rPr>
          <w:rFonts w:hint="eastAsia" w:ascii="宋体" w:hAnsi="宋体" w:eastAsia="宋体"/>
          <w:color w:val="000000" w:themeColor="text1"/>
          <w14:textFill>
            <w14:solidFill>
              <w14:schemeClr w14:val="tx1"/>
            </w14:solidFill>
          </w14:textFill>
        </w:rPr>
        <w:t>残疾人福利性单位声明函</w:t>
      </w:r>
      <w:bookmarkEnd w:id="141"/>
      <w:bookmarkEnd w:id="142"/>
      <w:bookmarkEnd w:id="143"/>
      <w:bookmarkEnd w:id="144"/>
      <w:bookmarkEnd w:id="145"/>
      <w:bookmarkEnd w:id="146"/>
      <w:bookmarkEnd w:id="147"/>
    </w:p>
    <w:p>
      <w:pPr>
        <w:adjustRightInd w:val="0"/>
        <w:snapToGrid w:val="0"/>
        <w:jc w:val="center"/>
        <w:rPr>
          <w:rFonts w:ascii="宋体" w:hAnsi="宋体" w:eastAsia="宋体" w:cs="Times New Roman"/>
          <w:b/>
          <w:color w:val="000000" w:themeColor="text1"/>
          <w:sz w:val="30"/>
          <w:szCs w:val="30"/>
          <w:lang w:val="zh-CN"/>
          <w14:textFill>
            <w14:solidFill>
              <w14:schemeClr w14:val="tx1"/>
            </w14:solidFill>
          </w14:textFill>
        </w:rPr>
      </w:pPr>
      <w:r>
        <w:rPr>
          <w:rFonts w:hint="eastAsia" w:ascii="宋体" w:hAnsi="宋体" w:eastAsia="宋体" w:cs="Times New Roman"/>
          <w:b/>
          <w:color w:val="000000" w:themeColor="text1"/>
          <w:sz w:val="30"/>
          <w:szCs w:val="30"/>
          <w:lang w:val="zh-CN"/>
          <w14:textFill>
            <w14:solidFill>
              <w14:schemeClr w14:val="tx1"/>
            </w14:solidFill>
          </w14:textFill>
        </w:rPr>
        <w:t>残疾人福利性单位声明函</w:t>
      </w:r>
    </w:p>
    <w:p>
      <w:pPr>
        <w:adjustRightInd w:val="0"/>
        <w:snapToGrid w:val="0"/>
        <w:spacing w:before="156" w:beforeLines="50" w:after="156" w:afterLines="50"/>
        <w:jc w:val="center"/>
        <w:rPr>
          <w:rFonts w:ascii="宋体" w:hAnsi="Courier New" w:eastAsia="宋体" w:cs="Times New Roman"/>
          <w:color w:val="000000" w:themeColor="text1"/>
          <w:sz w:val="24"/>
          <w:szCs w:val="21"/>
          <w:lang w:val="zh-CN"/>
          <w14:textFill>
            <w14:solidFill>
              <w14:schemeClr w14:val="tx1"/>
            </w14:solidFill>
          </w14:textFill>
        </w:rPr>
      </w:pPr>
      <w:r>
        <w:rPr>
          <w:rFonts w:hint="eastAsia" w:ascii="宋体" w:hAnsi="Courier New" w:eastAsia="宋体" w:cs="Times New Roman"/>
          <w:color w:val="000000" w:themeColor="text1"/>
          <w:sz w:val="24"/>
          <w:szCs w:val="21"/>
          <w:lang w:val="zh-CN"/>
          <w14:textFill>
            <w14:solidFill>
              <w14:schemeClr w14:val="tx1"/>
            </w14:solidFill>
          </w14:textFill>
        </w:rPr>
        <w:t>（适用于货物类项目）</w:t>
      </w:r>
    </w:p>
    <w:p>
      <w:pPr>
        <w:spacing w:line="360" w:lineRule="auto"/>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采购人（或采购代理公司）：</w:t>
      </w:r>
    </w:p>
    <w:p>
      <w:pPr>
        <w:pStyle w:val="8"/>
        <w:spacing w:line="360" w:lineRule="auto"/>
        <w:ind w:firstLine="475" w:firstLineChars="198"/>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中国残疾人联合会关于促进残疾人就业政府采购政策的通知》（财库〔2017〕141号）的规定，本单位为符合条件的残疾人福利性单位（详见“残疾人福利性单位应当满足的条件”）。</w:t>
      </w:r>
    </w:p>
    <w:p>
      <w:pPr>
        <w:pStyle w:val="8"/>
        <w:spacing w:line="360" w:lineRule="auto"/>
        <w:ind w:firstLine="475" w:firstLineChars="198"/>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1.本单位授权</w:t>
      </w:r>
      <w:r>
        <w:rPr>
          <w:rFonts w:hint="eastAsia" w:hAnsi="宋体"/>
          <w:color w:val="000000" w:themeColor="text1"/>
          <w:sz w:val="24"/>
          <w:u w:val="single"/>
          <w14:textFill>
            <w14:solidFill>
              <w14:schemeClr w14:val="tx1"/>
            </w14:solidFill>
          </w14:textFill>
        </w:rPr>
        <w:t xml:space="preserve"> （投标人） </w:t>
      </w:r>
      <w:r>
        <w:rPr>
          <w:rFonts w:hint="eastAsia" w:hAnsi="宋体"/>
          <w:color w:val="000000" w:themeColor="text1"/>
          <w:sz w:val="24"/>
          <w14:textFill>
            <w14:solidFill>
              <w14:schemeClr w14:val="tx1"/>
            </w14:solidFill>
          </w14:textFill>
        </w:rPr>
        <w:t>参加_</w:t>
      </w:r>
      <w:r>
        <w:rPr>
          <w:rFonts w:hint="eastAsia" w:hAnsi="宋体"/>
          <w:color w:val="000000" w:themeColor="text1"/>
          <w:sz w:val="24"/>
          <w:u w:val="single"/>
          <w14:textFill>
            <w14:solidFill>
              <w14:schemeClr w14:val="tx1"/>
            </w14:solidFill>
          </w14:textFill>
        </w:rPr>
        <w:t>（采购人）</w:t>
      </w:r>
      <w:r>
        <w:rPr>
          <w:rFonts w:hint="eastAsia" w:hAnsi="宋体"/>
          <w:color w:val="000000" w:themeColor="text1"/>
          <w:sz w:val="24"/>
          <w14:textFill>
            <w14:solidFill>
              <w14:schemeClr w14:val="tx1"/>
            </w14:solidFill>
          </w14:textFill>
        </w:rPr>
        <w:t>的__</w:t>
      </w:r>
      <w:r>
        <w:rPr>
          <w:rFonts w:hint="eastAsia" w:hAnsi="宋体"/>
          <w:color w:val="000000" w:themeColor="text1"/>
          <w:sz w:val="24"/>
          <w:u w:val="single"/>
          <w14:textFill>
            <w14:solidFill>
              <w14:schemeClr w14:val="tx1"/>
            </w14:solidFill>
          </w14:textFill>
        </w:rPr>
        <w:t>_ _</w:t>
      </w:r>
      <w:r>
        <w:rPr>
          <w:rFonts w:hint="eastAsia" w:hAnsi="宋体"/>
          <w:color w:val="000000" w:themeColor="text1"/>
          <w:sz w:val="24"/>
          <w14:textFill>
            <w14:solidFill>
              <w14:schemeClr w14:val="tx1"/>
            </w14:solidFill>
          </w14:textFill>
        </w:rPr>
        <w:t>项目（项目编号：_____）采购活动提供本单位制造的货物。本条所称货物不包括使用非残疾人福利性单位注册商标的货物。</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val="zh-CN"/>
          <w14:textFill>
            <w14:solidFill>
              <w14:schemeClr w14:val="tx1"/>
            </w14:solidFill>
          </w14:textFill>
        </w:rPr>
        <w:t>2</w:t>
      </w:r>
      <w:r>
        <w:rPr>
          <w:rFonts w:hint="eastAsia" w:ascii="宋体" w:hAnsi="宋体"/>
          <w:bCs/>
          <w:color w:val="000000" w:themeColor="text1"/>
          <w:sz w:val="24"/>
          <w14:textFill>
            <w14:solidFill>
              <w14:schemeClr w14:val="tx1"/>
            </w14:solidFill>
          </w14:textFill>
        </w:rPr>
        <w:t>.由本单位制造的货物清单见下表：</w:t>
      </w:r>
    </w:p>
    <w:tbl>
      <w:tblPr>
        <w:tblStyle w:val="16"/>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3"/>
              </w:numPr>
              <w:tabs>
                <w:tab w:val="left" w:pos="82"/>
              </w:tabs>
              <w:adjustRightInd w:val="0"/>
              <w:snapToGrid w:val="0"/>
              <w:jc w:val="center"/>
              <w:rPr>
                <w:rFonts w:ascii="宋体" w:hAnsi="宋体"/>
                <w:color w:val="000000" w:themeColor="text1"/>
                <w:sz w:val="24"/>
                <w14:textFill>
                  <w14:solidFill>
                    <w14:schemeClr w14:val="tx1"/>
                  </w14:solidFill>
                </w14:textFill>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color w:val="000000" w:themeColor="text1"/>
                <w:kern w:val="0"/>
                <w:sz w:val="24"/>
                <w:szCs w:val="24"/>
                <w14:textFill>
                  <w14:solidFill>
                    <w14:schemeClr w14:val="tx1"/>
                  </w14:solidFill>
                </w14:textFill>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3"/>
              </w:numPr>
              <w:tabs>
                <w:tab w:val="left" w:pos="82"/>
              </w:tabs>
              <w:adjustRightInd w:val="0"/>
              <w:snapToGrid w:val="0"/>
              <w:ind w:left="-2" w:firstLine="2"/>
              <w:jc w:val="center"/>
              <w:rPr>
                <w:rFonts w:ascii="宋体" w:hAnsi="宋体"/>
                <w:color w:val="000000" w:themeColor="text1"/>
                <w:sz w:val="24"/>
                <w14:textFill>
                  <w14:solidFill>
                    <w14:schemeClr w14:val="tx1"/>
                  </w14:solidFill>
                </w14:textFill>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r>
    </w:tbl>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本单位对上述声明的真实性负责。如有虚假，将依法承担相应责任。</w:t>
      </w:r>
    </w:p>
    <w:p>
      <w:pPr>
        <w:spacing w:line="360" w:lineRule="auto"/>
        <w:rPr>
          <w:rFonts w:ascii="宋体" w:hAnsi="宋体" w:eastAsia="宋体" w:cs="Times New Roman"/>
          <w:bCs/>
          <w:color w:val="000000" w:themeColor="text1"/>
          <w:sz w:val="24"/>
          <w:szCs w:val="24"/>
          <w14:textFill>
            <w14:solidFill>
              <w14:schemeClr w14:val="tx1"/>
            </w14:solidFill>
          </w14:textFill>
        </w:rPr>
      </w:pPr>
    </w:p>
    <w:p>
      <w:pPr>
        <w:pStyle w:val="8"/>
        <w:spacing w:line="360" w:lineRule="auto"/>
        <w:jc w:val="left"/>
        <w:rPr>
          <w:rFonts w:hAnsi="宋体" w:cs="Corbel"/>
          <w:color w:val="000000" w:themeColor="text1"/>
          <w:sz w:val="24"/>
          <w14:textFill>
            <w14:solidFill>
              <w14:schemeClr w14:val="tx1"/>
            </w14:solidFill>
          </w14:textFill>
        </w:rPr>
      </w:pPr>
      <w:r>
        <w:rPr>
          <w:rFonts w:hint="eastAsia" w:hAnsi="宋体" w:eastAsia="宋体" w:cs="Times New Roman"/>
          <w:bCs/>
          <w:color w:val="000000" w:themeColor="text1"/>
          <w:sz w:val="24"/>
          <w:szCs w:val="24"/>
          <w14:textFill>
            <w14:solidFill>
              <w14:schemeClr w14:val="tx1"/>
            </w14:solidFill>
          </w14:textFill>
        </w:rPr>
        <w:t>说明：</w:t>
      </w:r>
      <w:r>
        <w:rPr>
          <w:rFonts w:hint="eastAsia" w:hAnsi="宋体" w:cs="Corbel"/>
          <w:color w:val="000000" w:themeColor="text1"/>
          <w:sz w:val="24"/>
          <w14:textFill>
            <w14:solidFill>
              <w14:schemeClr w14:val="tx1"/>
            </w14:solidFill>
          </w14:textFill>
        </w:rPr>
        <w:t>1、投标人所投货物为自己制造的，也应按本声明函格式填写。</w:t>
      </w:r>
    </w:p>
    <w:p>
      <w:pPr>
        <w:pStyle w:val="8"/>
        <w:spacing w:line="360" w:lineRule="auto"/>
        <w:ind w:left="1078" w:leftChars="342" w:hanging="360" w:hangingChars="15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2、组成联合体的大中型企业和其他自然人、法人或者其他组织，与残疾人福利性单位之间不得存在投资关系。</w:t>
      </w:r>
    </w:p>
    <w:p>
      <w:pPr>
        <w:pStyle w:val="8"/>
        <w:spacing w:line="360" w:lineRule="auto"/>
        <w:ind w:left="1078" w:leftChars="342" w:hanging="360" w:hangingChars="15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3、以联合体方式参与本项目投标的供应商，应由联合体双方签字盖章。</w:t>
      </w:r>
    </w:p>
    <w:p>
      <w:pPr>
        <w:spacing w:line="360" w:lineRule="auto"/>
        <w:rPr>
          <w:rFonts w:ascii="宋体" w:hAnsi="宋体"/>
          <w:color w:val="000000" w:themeColor="text1"/>
          <w:sz w:val="24"/>
          <w14:textFill>
            <w14:solidFill>
              <w14:schemeClr w14:val="tx1"/>
            </w14:solidFill>
          </w14:textFill>
        </w:rPr>
      </w:pP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lang w:val="zh-CN"/>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制造商（公章）：</w:t>
      </w: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lang w:val="zh-CN"/>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制造商法定代表人（</w:t>
      </w:r>
      <w:r>
        <w:rPr>
          <w:rFonts w:hint="eastAsia" w:ascii="宋体" w:hAnsi="宋体" w:eastAsia="宋体" w:cs="Times New Roman"/>
          <w:b/>
          <w:color w:val="000000" w:themeColor="text1"/>
          <w:sz w:val="24"/>
          <w:szCs w:val="21"/>
          <w:lang w:val="zh-CN"/>
          <w14:textFill>
            <w14:solidFill>
              <w14:schemeClr w14:val="tx1"/>
            </w14:solidFill>
          </w14:textFill>
        </w:rPr>
        <w:t>签字或盖章</w:t>
      </w:r>
      <w:r>
        <w:rPr>
          <w:rFonts w:hint="eastAsia" w:ascii="宋体" w:hAnsi="宋体" w:eastAsia="宋体" w:cs="Times New Roman"/>
          <w:b/>
          <w:bCs/>
          <w:color w:val="000000" w:themeColor="text1"/>
          <w:sz w:val="24"/>
          <w:szCs w:val="21"/>
          <w:lang w:val="zh-CN"/>
          <w14:textFill>
            <w14:solidFill>
              <w14:schemeClr w14:val="tx1"/>
            </w14:solidFill>
          </w14:textFill>
        </w:rPr>
        <w:t>）：</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Times New Roman" w:hAnsi="宋体" w:eastAsia="宋体" w:cs="Times New Roman"/>
          <w:b/>
          <w:color w:val="000000" w:themeColor="text1"/>
          <w:sz w:val="24"/>
          <w:szCs w:val="24"/>
          <w14:textFill>
            <w14:solidFill>
              <w14:schemeClr w14:val="tx1"/>
            </w14:solidFill>
          </w14:textFill>
        </w:rPr>
        <w:t>日   期：</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adjustRightInd w:val="0"/>
        <w:snapToGrid w:val="0"/>
        <w:jc w:val="center"/>
        <w:rPr>
          <w:rFonts w:ascii="宋体" w:hAnsi="宋体" w:eastAsia="宋体" w:cs="Times New Roman"/>
          <w:b/>
          <w:color w:val="000000" w:themeColor="text1"/>
          <w:sz w:val="30"/>
          <w:szCs w:val="30"/>
          <w:lang w:val="zh-CN"/>
          <w14:textFill>
            <w14:solidFill>
              <w14:schemeClr w14:val="tx1"/>
            </w14:solidFill>
          </w14:textFill>
        </w:rPr>
      </w:pPr>
    </w:p>
    <w:p>
      <w:pPr>
        <w:adjustRightInd w:val="0"/>
        <w:snapToGrid w:val="0"/>
        <w:spacing w:before="312" w:beforeLines="100"/>
        <w:jc w:val="center"/>
        <w:rPr>
          <w:rFonts w:ascii="宋体" w:hAnsi="宋体" w:eastAsia="宋体" w:cs="Times New Roman"/>
          <w:b/>
          <w:color w:val="000000" w:themeColor="text1"/>
          <w:sz w:val="30"/>
          <w:szCs w:val="30"/>
          <w:lang w:val="zh-CN"/>
          <w14:textFill>
            <w14:solidFill>
              <w14:schemeClr w14:val="tx1"/>
            </w14:solidFill>
          </w14:textFill>
        </w:rPr>
      </w:pPr>
      <w:r>
        <w:rPr>
          <w:rFonts w:hint="eastAsia" w:ascii="宋体" w:hAnsi="宋体" w:eastAsia="宋体" w:cs="Times New Roman"/>
          <w:b/>
          <w:color w:val="000000" w:themeColor="text1"/>
          <w:sz w:val="30"/>
          <w:szCs w:val="30"/>
          <w:lang w:val="zh-CN"/>
          <w14:textFill>
            <w14:solidFill>
              <w14:schemeClr w14:val="tx1"/>
            </w14:solidFill>
          </w14:textFill>
        </w:rPr>
        <w:t>残疾人福利性单位声明函</w:t>
      </w:r>
    </w:p>
    <w:p>
      <w:pPr>
        <w:adjustRightInd w:val="0"/>
        <w:snapToGrid w:val="0"/>
        <w:spacing w:before="156" w:beforeLines="50" w:after="156" w:afterLines="50"/>
        <w:jc w:val="center"/>
        <w:rPr>
          <w:rFonts w:ascii="宋体" w:hAnsi="Courier New" w:eastAsia="宋体" w:cs="Times New Roman"/>
          <w:color w:val="000000" w:themeColor="text1"/>
          <w:sz w:val="24"/>
          <w:szCs w:val="21"/>
          <w:lang w:val="zh-CN"/>
          <w14:textFill>
            <w14:solidFill>
              <w14:schemeClr w14:val="tx1"/>
            </w14:solidFill>
          </w14:textFill>
        </w:rPr>
      </w:pPr>
      <w:r>
        <w:rPr>
          <w:rFonts w:hint="eastAsia" w:ascii="宋体" w:hAnsi="Courier New" w:eastAsia="宋体" w:cs="Times New Roman"/>
          <w:color w:val="000000" w:themeColor="text1"/>
          <w:sz w:val="24"/>
          <w:szCs w:val="21"/>
          <w:lang w:val="zh-CN"/>
          <w14:textFill>
            <w14:solidFill>
              <w14:schemeClr w14:val="tx1"/>
            </w14:solidFill>
          </w14:textFill>
        </w:rPr>
        <w:t>（适用于工程类、服务类项目）</w:t>
      </w:r>
    </w:p>
    <w:p>
      <w:pPr>
        <w:spacing w:line="360" w:lineRule="auto"/>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采购人（或采购代理公司）：</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w:t>
      </w:r>
      <w:r>
        <w:rPr>
          <w:rFonts w:hint="eastAsia" w:hAnsi="宋体"/>
          <w:color w:val="000000" w:themeColor="text1"/>
          <w:sz w:val="24"/>
          <w14:textFill>
            <w14:solidFill>
              <w14:schemeClr w14:val="tx1"/>
            </w14:solidFill>
          </w14:textFill>
        </w:rPr>
        <w:t>（详见“残疾人福利性单位应当满足的条件”）</w:t>
      </w:r>
      <w:r>
        <w:rPr>
          <w:rFonts w:hint="eastAsia" w:ascii="宋体" w:hAnsi="宋体" w:eastAsia="宋体" w:cs="Times New Roman"/>
          <w:color w:val="000000" w:themeColor="text1"/>
          <w:sz w:val="24"/>
          <w:szCs w:val="24"/>
          <w14:textFill>
            <w14:solidFill>
              <w14:schemeClr w14:val="tx1"/>
            </w14:solidFill>
          </w14:textFill>
        </w:rPr>
        <w:t>，且本单位参加</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Times New Roman" w:hAnsi="宋体" w:eastAsia="宋体" w:cs="Times New Roman"/>
          <w:color w:val="000000" w:themeColor="text1"/>
          <w:sz w:val="24"/>
          <w:szCs w:val="24"/>
          <w:u w:val="single"/>
          <w14:textFill>
            <w14:solidFill>
              <w14:schemeClr w14:val="tx1"/>
            </w14:solidFill>
          </w14:textFill>
        </w:rPr>
        <w:t>采购</w:t>
      </w:r>
      <w:r>
        <w:rPr>
          <w:rFonts w:hint="eastAsia" w:ascii="宋体" w:hAnsi="宋体" w:eastAsia="宋体" w:cs="Times New Roman"/>
          <w:color w:val="000000" w:themeColor="text1"/>
          <w:sz w:val="24"/>
          <w:szCs w:val="24"/>
          <w:u w:val="single"/>
          <w14:textFill>
            <w14:solidFill>
              <w14:schemeClr w14:val="tx1"/>
            </w14:solidFill>
          </w14:textFill>
        </w:rPr>
        <w:t>人）</w:t>
      </w:r>
      <w:r>
        <w:rPr>
          <w:rFonts w:hint="eastAsia" w:ascii="Times New Roman" w:hAnsi="宋体" w:eastAsia="宋体" w:cs="Times New Roman"/>
          <w:color w:val="000000" w:themeColor="text1"/>
          <w:sz w:val="24"/>
          <w:szCs w:val="24"/>
          <w14:textFill>
            <w14:solidFill>
              <w14:schemeClr w14:val="tx1"/>
            </w14:solidFill>
          </w14:textFill>
        </w:rPr>
        <w:t>的</w:t>
      </w:r>
      <w:r>
        <w:rPr>
          <w:rFonts w:hint="eastAsia" w:cs="Times New Roman" w:asciiTheme="minorEastAsia" w:hAnsiTheme="minorEastAsia"/>
          <w:color w:val="000000" w:themeColor="text1"/>
          <w:sz w:val="24"/>
          <w:szCs w:val="24"/>
          <w:u w:val="single"/>
          <w14:textFill>
            <w14:solidFill>
              <w14:schemeClr w14:val="tx1"/>
            </w14:solidFill>
          </w14:textFill>
        </w:rPr>
        <w:t>__   _</w:t>
      </w:r>
      <w:r>
        <w:rPr>
          <w:rFonts w:hint="eastAsia" w:ascii="Times New Roman" w:hAnsi="宋体" w:eastAsia="宋体" w:cs="Times New Roman"/>
          <w:color w:val="000000" w:themeColor="text1"/>
          <w:sz w:val="24"/>
          <w:szCs w:val="24"/>
          <w14:textFill>
            <w14:solidFill>
              <w14:schemeClr w14:val="tx1"/>
            </w14:solidFill>
          </w14:textFill>
        </w:rPr>
        <w:t>项目（项目编号：______）</w:t>
      </w:r>
      <w:r>
        <w:rPr>
          <w:rFonts w:hint="eastAsia" w:ascii="宋体" w:hAnsi="宋体" w:eastAsia="宋体" w:cs="Times New Roman"/>
          <w:color w:val="000000" w:themeColor="text1"/>
          <w:sz w:val="24"/>
          <w:szCs w:val="24"/>
          <w14:textFill>
            <w14:solidFill>
              <w14:schemeClr w14:val="tx1"/>
            </w14:solidFill>
          </w14:textFill>
        </w:rPr>
        <w:t>采购活动由本单位承担工程（或提供服务）。</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本单位对上述声明的真实性负责。如有虚假，将依法承担相应责任。</w:t>
      </w:r>
    </w:p>
    <w:p>
      <w:pPr>
        <w:spacing w:line="360" w:lineRule="auto"/>
        <w:rPr>
          <w:rFonts w:ascii="宋体" w:hAnsi="宋体" w:eastAsia="宋体" w:cs="Times New Roman"/>
          <w:color w:val="000000" w:themeColor="text1"/>
          <w:sz w:val="24"/>
          <w:szCs w:val="24"/>
          <w14:textFill>
            <w14:solidFill>
              <w14:schemeClr w14:val="tx1"/>
            </w14:solidFill>
          </w14:textFill>
        </w:rPr>
      </w:pPr>
    </w:p>
    <w:p>
      <w:pPr>
        <w:spacing w:line="360" w:lineRule="auto"/>
        <w:rPr>
          <w:rFonts w:ascii="宋体" w:hAnsi="宋体" w:eastAsia="宋体" w:cs="Times New Roman"/>
          <w:color w:val="000000" w:themeColor="text1"/>
          <w:sz w:val="24"/>
          <w:szCs w:val="24"/>
          <w14:textFill>
            <w14:solidFill>
              <w14:schemeClr w14:val="tx1"/>
            </w14:solidFill>
          </w14:textFill>
        </w:rPr>
      </w:pPr>
    </w:p>
    <w:p>
      <w:pPr>
        <w:spacing w:line="360" w:lineRule="auto"/>
        <w:ind w:left="1080" w:hanging="1080" w:hangingChars="450"/>
        <w:jc w:val="left"/>
        <w:rPr>
          <w:rFonts w:ascii="宋体" w:hAnsi="宋体" w:cs="Courier New"/>
          <w:color w:val="000000" w:themeColor="text1"/>
          <w:sz w:val="24"/>
          <w:szCs w:val="21"/>
          <w14:textFill>
            <w14:solidFill>
              <w14:schemeClr w14:val="tx1"/>
            </w14:solidFill>
          </w14:textFill>
        </w:rPr>
      </w:pPr>
      <w:r>
        <w:rPr>
          <w:rFonts w:hint="eastAsia" w:ascii="宋体" w:hAnsi="宋体" w:cs="Courier New"/>
          <w:color w:val="000000" w:themeColor="text1"/>
          <w:sz w:val="24"/>
          <w:szCs w:val="21"/>
          <w14:textFill>
            <w14:solidFill>
              <w14:schemeClr w14:val="tx1"/>
            </w14:solidFill>
          </w14:textFill>
        </w:rPr>
        <w:t>说明：1、组成联合体的大中型企业和其他自然人、法人或者其他组织，与残疾人福利性单位之间不得存在投资关系。</w:t>
      </w:r>
    </w:p>
    <w:p>
      <w:pPr>
        <w:spacing w:line="360" w:lineRule="auto"/>
        <w:ind w:left="1078" w:leftChars="342" w:hanging="360" w:hangingChars="15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cs="Courier New"/>
          <w:color w:val="000000" w:themeColor="text1"/>
          <w:sz w:val="24"/>
          <w:szCs w:val="21"/>
          <w14:textFill>
            <w14:solidFill>
              <w14:schemeClr w14:val="tx1"/>
            </w14:solidFill>
          </w14:textFill>
        </w:rPr>
        <w:t>2、以联合体方式参与本项目投标的供应商，应由联合体双方签字盖章。</w:t>
      </w:r>
    </w:p>
    <w:p>
      <w:pPr>
        <w:spacing w:line="360" w:lineRule="auto"/>
        <w:rPr>
          <w:rFonts w:ascii="宋体" w:hAnsi="宋体" w:eastAsia="宋体" w:cs="Times New Roman"/>
          <w:color w:val="000000" w:themeColor="text1"/>
          <w:sz w:val="24"/>
          <w:szCs w:val="24"/>
          <w14:textFill>
            <w14:solidFill>
              <w14:schemeClr w14:val="tx1"/>
            </w14:solidFill>
          </w14:textFill>
        </w:rPr>
      </w:pPr>
    </w:p>
    <w:p>
      <w:pPr>
        <w:spacing w:line="360" w:lineRule="auto"/>
        <w:rPr>
          <w:rFonts w:ascii="宋体" w:hAnsi="宋体" w:eastAsia="宋体" w:cs="Times New Roman"/>
          <w:color w:val="000000" w:themeColor="text1"/>
          <w:sz w:val="24"/>
          <w:szCs w:val="24"/>
          <w14:textFill>
            <w14:solidFill>
              <w14:schemeClr w14:val="tx1"/>
            </w14:solidFill>
          </w14:textFill>
        </w:rPr>
      </w:pP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lang w:val="zh-CN"/>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制造商（公章）：</w:t>
      </w: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lang w:val="zh-CN"/>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投标人授权代表（签字）：</w:t>
      </w:r>
    </w:p>
    <w:p>
      <w:pPr>
        <w:spacing w:before="100" w:beforeAutospacing="1" w:after="100" w:afterAutospacing="1" w:line="360" w:lineRule="auto"/>
        <w:ind w:firstLine="3316" w:firstLineChars="1382"/>
        <w:rPr>
          <w:rFonts w:ascii="Times New Roman" w:hAnsi="宋体" w:eastAsia="宋体" w:cs="Times New Roman"/>
          <w:bCs/>
          <w:color w:val="000000" w:themeColor="text1"/>
          <w:sz w:val="24"/>
          <w:szCs w:val="24"/>
          <w:u w:val="single"/>
          <w14:textFill>
            <w14:solidFill>
              <w14:schemeClr w14:val="tx1"/>
            </w14:solidFill>
          </w14:textFill>
        </w:rPr>
      </w:pPr>
      <w:r>
        <w:rPr>
          <w:rFonts w:hint="eastAsia" w:ascii="Times New Roman" w:hAnsi="宋体" w:eastAsia="宋体" w:cs="Times New Roman"/>
          <w:b/>
          <w:color w:val="000000" w:themeColor="text1"/>
          <w:sz w:val="24"/>
          <w:szCs w:val="24"/>
          <w14:textFill>
            <w14:solidFill>
              <w14:schemeClr w14:val="tx1"/>
            </w14:solidFill>
          </w14:textFill>
        </w:rPr>
        <w:t>日   期：</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line="600" w:lineRule="exact"/>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享受政府采购支持政策的残疾人福利性单位应当同时满足以下条件：</w:t>
      </w:r>
    </w:p>
    <w:p>
      <w:pPr>
        <w:spacing w:line="6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（一）安置的残疾人占本单位在职职工人数的比例不低于25%（含25%），并且安置的残疾人人数不少于10人（含10人）；</w:t>
      </w:r>
    </w:p>
    <w:p>
      <w:pPr>
        <w:spacing w:line="6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（二）依法与安置的每位残疾人签订了一年以上（含一年）的劳动合同或服务协议；</w:t>
      </w:r>
    </w:p>
    <w:p>
      <w:pPr>
        <w:spacing w:line="6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（三）为安置的每位残疾人按月足额缴纳了基本养老保险、基本医疗保险、失业保险、工伤保险和生育保险等社会保险费；</w:t>
      </w:r>
    </w:p>
    <w:p>
      <w:pPr>
        <w:spacing w:line="6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（四）通过银行等金融机构向安置的每位残疾人，按月支付了不低于单位所在区县适用的经省级人民政府批准的月最低工资标准的工资；</w:t>
      </w:r>
    </w:p>
    <w:p>
      <w:pPr>
        <w:spacing w:line="6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pPr>
        <w:spacing w:line="6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numPr>
          <w:ilvl w:val="0"/>
          <w:numId w:val="61"/>
        </w:numPr>
        <w:spacing w:before="100" w:beforeAutospacing="1" w:after="156" w:afterLines="50" w:line="360" w:lineRule="auto"/>
        <w:ind w:left="1288" w:hanging="1288"/>
        <w:rPr>
          <w:rFonts w:ascii="宋体" w:hAnsi="宋体" w:eastAsia="宋体"/>
          <w:color w:val="000000" w:themeColor="text1"/>
          <w14:textFill>
            <w14:solidFill>
              <w14:schemeClr w14:val="tx1"/>
            </w14:solidFill>
          </w14:textFill>
        </w:rPr>
      </w:pPr>
      <w:bookmarkStart w:id="148" w:name="_Toc494665955"/>
      <w:bookmarkStart w:id="149" w:name="_Toc494665558"/>
      <w:bookmarkStart w:id="150" w:name="_Toc494577410"/>
      <w:bookmarkStart w:id="151" w:name="_Toc494702275"/>
      <w:bookmarkStart w:id="152" w:name="_Toc21065"/>
      <w:bookmarkStart w:id="153" w:name="_Toc494665005"/>
      <w:bookmarkStart w:id="154" w:name="_Toc494721105"/>
      <w:bookmarkStart w:id="155" w:name="_Toc494745322"/>
      <w:r>
        <w:rPr>
          <w:rFonts w:hint="eastAsia" w:ascii="宋体" w:hAnsi="宋体" w:eastAsia="宋体"/>
          <w:color w:val="000000" w:themeColor="text1"/>
          <w14:textFill>
            <w14:solidFill>
              <w14:schemeClr w14:val="tx1"/>
            </w14:solidFill>
          </w14:textFill>
        </w:rPr>
        <w:t>开标一览表</w:t>
      </w:r>
      <w:bookmarkEnd w:id="148"/>
      <w:bookmarkEnd w:id="149"/>
      <w:bookmarkEnd w:id="150"/>
      <w:bookmarkEnd w:id="151"/>
      <w:bookmarkEnd w:id="152"/>
      <w:bookmarkEnd w:id="153"/>
      <w:bookmarkEnd w:id="154"/>
      <w:bookmarkEnd w:id="155"/>
    </w:p>
    <w:p>
      <w:pPr>
        <w:spacing w:line="360" w:lineRule="auto"/>
        <w:jc w:val="left"/>
        <w:rPr>
          <w:rFonts w:ascii="宋体" w:hAnsi="宋体" w:eastAsia="宋体" w:cs="Times New Roman"/>
          <w:b/>
          <w:color w:val="000000" w:themeColor="text1"/>
          <w:sz w:val="24"/>
          <w:szCs w:val="21"/>
          <w:u w:val="single"/>
          <w:lang w:val="zh-CN"/>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投 标 人：</w:t>
      </w:r>
    </w:p>
    <w:p>
      <w:pPr>
        <w:spacing w:line="360" w:lineRule="auto"/>
        <w:jc w:val="left"/>
        <w:rPr>
          <w:rFonts w:ascii="宋体" w:hAnsi="宋体" w:eastAsia="宋体" w:cs="Times New Roman"/>
          <w:b/>
          <w:color w:val="000000" w:themeColor="text1"/>
          <w:sz w:val="24"/>
          <w:szCs w:val="21"/>
          <w:lang w:val="zh-CN"/>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项目名称：</w:t>
      </w:r>
    </w:p>
    <w:p>
      <w:pPr>
        <w:spacing w:line="360" w:lineRule="auto"/>
        <w:jc w:val="left"/>
        <w:rPr>
          <w:rFonts w:ascii="宋体" w:hAnsi="宋体" w:eastAsia="宋体" w:cs="Times New Roman"/>
          <w:b/>
          <w:bCs/>
          <w:color w:val="000000" w:themeColor="text1"/>
          <w:sz w:val="24"/>
          <w:szCs w:val="21"/>
          <w:u w:val="single"/>
          <w:lang w:val="zh-CN"/>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6"/>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57"/>
        <w:gridCol w:w="924"/>
        <w:gridCol w:w="2954"/>
        <w:gridCol w:w="1119"/>
        <w:gridCol w:w="1134"/>
        <w:gridCol w:w="17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1" w:type="dxa"/>
            <w:tcBorders>
              <w:top w:val="double" w:color="auto" w:sz="4" w:space="0"/>
              <w:left w:val="doub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1981" w:type="dxa"/>
            <w:gridSpan w:val="2"/>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名称</w:t>
            </w:r>
          </w:p>
        </w:tc>
        <w:tc>
          <w:tcPr>
            <w:tcW w:w="295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品牌、型号</w:t>
            </w:r>
          </w:p>
        </w:tc>
        <w:tc>
          <w:tcPr>
            <w:tcW w:w="1119"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数量</w:t>
            </w:r>
          </w:p>
        </w:tc>
        <w:tc>
          <w:tcPr>
            <w:tcW w:w="113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单价(元)</w:t>
            </w:r>
          </w:p>
        </w:tc>
        <w:tc>
          <w:tcPr>
            <w:tcW w:w="1708" w:type="dxa"/>
            <w:tcBorders>
              <w:top w:val="double" w:color="auto" w:sz="4" w:space="0"/>
              <w:left w:val="single" w:color="auto" w:sz="4" w:space="0"/>
              <w:bottom w:val="single" w:color="auto" w:sz="4" w:space="0"/>
              <w:right w:val="double" w:color="auto" w:sz="4" w:space="0"/>
            </w:tcBorders>
            <w:shd w:val="clear" w:color="auto" w:fill="EEECE1"/>
            <w:vAlign w:val="center"/>
          </w:tcPr>
          <w:p>
            <w:pPr>
              <w:spacing w:line="360" w:lineRule="auto"/>
              <w:ind w:left="-50" w:leftChars="-24"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分项合计(元)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投标总报价</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after="120" w:line="400" w:lineRule="atLeast"/>
              <w:ind w:left="205" w:leftChars="98" w:right="-65" w:rightChars="-31"/>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小写：万元整（¥）</w:t>
            </w:r>
          </w:p>
          <w:p>
            <w:pPr>
              <w:spacing w:after="120" w:line="400" w:lineRule="atLeast"/>
              <w:ind w:left="205" w:leftChars="98" w:right="-65" w:rightChars="-31"/>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大写：万 仟 佰 十 元 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项目工期</w:t>
            </w:r>
          </w:p>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（服务期限）</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（单位：日历天）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质保期</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（单位：年）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08" w:type="dxa"/>
            <w:gridSpan w:val="2"/>
            <w:tcBorders>
              <w:top w:val="single" w:color="auto" w:sz="4" w:space="0"/>
              <w:left w:val="double" w:color="auto" w:sz="4" w:space="0"/>
              <w:bottom w:val="doub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备注</w:t>
            </w:r>
          </w:p>
        </w:tc>
        <w:tc>
          <w:tcPr>
            <w:tcW w:w="7839" w:type="dxa"/>
            <w:gridSpan w:val="5"/>
            <w:tcBorders>
              <w:top w:val="single" w:color="auto" w:sz="4" w:space="0"/>
              <w:left w:val="single" w:color="auto" w:sz="4" w:space="0"/>
              <w:bottom w:val="double" w:color="auto" w:sz="4" w:space="0"/>
              <w:right w:val="double" w:color="auto" w:sz="4" w:space="0"/>
            </w:tcBorders>
            <w:vAlign w:val="center"/>
          </w:tcPr>
          <w:p>
            <w:pPr>
              <w:spacing w:line="276" w:lineRule="auto"/>
              <w:ind w:left="-48" w:leftChars="-23" w:right="-65" w:rightChars="-31"/>
              <w:jc w:val="left"/>
              <w:rPr>
                <w:rFonts w:ascii="宋体" w:hAnsi="宋体" w:eastAsia="宋体" w:cs="Times New Roman"/>
                <w:color w:val="000000" w:themeColor="text1"/>
                <w:sz w:val="24"/>
                <w14:textFill>
                  <w14:solidFill>
                    <w14:schemeClr w14:val="tx1"/>
                  </w14:solidFill>
                </w14:textFill>
              </w:rPr>
            </w:pPr>
            <w:r>
              <w:rPr>
                <w:rFonts w:hint="eastAsia" w:ascii="Times New Roman" w:hAnsi="宋体" w:eastAsia="宋体" w:cs="Times New Roman"/>
                <w:color w:val="000000" w:themeColor="text1"/>
                <w:sz w:val="24"/>
                <w:szCs w:val="24"/>
                <w14:textFill>
                  <w14:solidFill>
                    <w14:schemeClr w14:val="tx1"/>
                  </w14:solidFill>
                </w14:textFill>
              </w:rPr>
              <w:t>小型和微型企业、监狱企业、残疾人福利性单位价格扣除</w:t>
            </w:r>
            <w:r>
              <w:rPr>
                <w:rFonts w:hint="eastAsia" w:ascii="宋体" w:hAnsi="宋体" w:eastAsia="宋体" w:cs="Times New Roman"/>
                <w:color w:val="000000" w:themeColor="text1"/>
                <w:sz w:val="24"/>
                <w14:textFill>
                  <w14:solidFill>
                    <w14:schemeClr w14:val="tx1"/>
                  </w14:solidFill>
                </w14:textFill>
              </w:rPr>
              <w:t>合计（</w:t>
            </w:r>
            <w:r>
              <w:rPr>
                <w:rFonts w:hint="eastAsia" w:ascii="宋体" w:hAnsi="宋体" w:eastAsia="宋体" w:cs="宋体"/>
                <w:color w:val="000000" w:themeColor="text1"/>
                <w:kern w:val="0"/>
                <w:sz w:val="24"/>
                <w:szCs w:val="24"/>
                <w14:textFill>
                  <w14:solidFill>
                    <w14:schemeClr w14:val="tx1"/>
                  </w14:solidFill>
                </w14:textFill>
              </w:rPr>
              <w:t>大写</w:t>
            </w:r>
            <w:r>
              <w:rPr>
                <w:rFonts w:hint="eastAsia" w:ascii="宋体" w:hAnsi="宋体" w:eastAsia="宋体" w:cs="Times New Roman"/>
                <w:color w:val="000000" w:themeColor="text1"/>
                <w:sz w:val="24"/>
                <w14:textFill>
                  <w14:solidFill>
                    <w14:schemeClr w14:val="tx1"/>
                  </w14:solidFill>
                </w14:textFill>
              </w:rPr>
              <w:t>）：</w:t>
            </w:r>
          </w:p>
          <w:p>
            <w:pPr>
              <w:spacing w:line="276" w:lineRule="auto"/>
              <w:ind w:left="-48" w:leftChars="-23" w:right="-65" w:rightChars="-31"/>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万仟佰拾元整</w:t>
            </w:r>
            <w:r>
              <w:rPr>
                <w:rFonts w:hint="eastAsia" w:ascii="宋体" w:hAnsi="宋体" w:cs="宋体"/>
                <w:color w:val="000000" w:themeColor="text1"/>
                <w:kern w:val="0"/>
                <w:sz w:val="24"/>
                <w14:textFill>
                  <w14:solidFill>
                    <w14:schemeClr w14:val="tx1"/>
                  </w14:solidFill>
                </w14:textFill>
              </w:rPr>
              <w:t>（或以联合体投标的，</w:t>
            </w:r>
            <w:r>
              <w:rPr>
                <w:rFonts w:ascii="宋体" w:hAnsi="宋体"/>
                <w:bCs/>
                <w:color w:val="000000" w:themeColor="text1"/>
                <w:sz w:val="24"/>
                <w14:textFill>
                  <w14:solidFill>
                    <w14:schemeClr w14:val="tx1"/>
                  </w14:solidFill>
                </w14:textFill>
              </w:rPr>
              <w:t>联合协议中约定小型、微型企业的协议合同金额占到联合体协议合同总金额的</w:t>
            </w:r>
            <w:r>
              <w:rPr>
                <w:rFonts w:hint="eastAsia" w:ascii="宋体" w:hAnsi="宋体"/>
                <w:bCs/>
                <w:color w:val="000000" w:themeColor="text1"/>
                <w:sz w:val="24"/>
                <w14:textFill>
                  <w14:solidFill>
                    <w14:schemeClr w14:val="tx1"/>
                  </w14:solidFill>
                </w14:textFill>
              </w:rPr>
              <w:t>%）</w:t>
            </w:r>
          </w:p>
        </w:tc>
      </w:tr>
    </w:tbl>
    <w:p>
      <w:pPr>
        <w:spacing w:line="360" w:lineRule="auto"/>
        <w:ind w:left="1049" w:hanging="1048" w:hangingChars="437"/>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说明：1．所有价格均用人民币表示，单位为万元。</w:t>
      </w:r>
    </w:p>
    <w:p>
      <w:pPr>
        <w:spacing w:line="360" w:lineRule="auto"/>
        <w:ind w:left="1061" w:leftChars="339" w:hanging="350" w:hangingChars="146"/>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2．价格应按照招标文件第二章“投标人须知”中第12条的要求进行报价。</w:t>
      </w:r>
    </w:p>
    <w:p>
      <w:pPr>
        <w:spacing w:line="360" w:lineRule="auto"/>
        <w:ind w:left="1061" w:leftChars="339" w:hanging="350" w:hangingChars="146"/>
        <w:jc w:val="left"/>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3．为方便开标时唱标，投标人应另附《开标一览表》及《交纳投标保证金的银行凭证》（如有交纳保证金要求的）各一份一并</w:t>
      </w:r>
      <w:r>
        <w:rPr>
          <w:rFonts w:hint="eastAsia" w:ascii="宋体" w:hAnsi="宋体" w:eastAsia="宋体" w:cs="Times New Roman"/>
          <w:color w:val="000000" w:themeColor="text1"/>
          <w:spacing w:val="-6"/>
          <w:kern w:val="0"/>
          <w:sz w:val="24"/>
          <w:szCs w:val="24"/>
          <w14:textFill>
            <w14:solidFill>
              <w14:schemeClr w14:val="tx1"/>
            </w14:solidFill>
          </w14:textFill>
        </w:rPr>
        <w:t>装入一个信封，单独密封提交</w:t>
      </w:r>
      <w:r>
        <w:rPr>
          <w:rFonts w:hint="eastAsia" w:ascii="宋体" w:hAnsi="宋体" w:eastAsia="宋体" w:cs="Times New Roman"/>
          <w:color w:val="000000" w:themeColor="text1"/>
          <w:sz w:val="24"/>
          <w:szCs w:val="24"/>
          <w14:textFill>
            <w14:solidFill>
              <w14:schemeClr w14:val="tx1"/>
            </w14:solidFill>
          </w14:textFill>
        </w:rPr>
        <w:t>，并在信封上标明“开标一览表”字样。未单独提交或单独提交的上述资料未按照招标文件规定的格式填写完整并签字、盖章</w:t>
      </w:r>
      <w:r>
        <w:rPr>
          <w:rFonts w:hint="eastAsia" w:ascii="宋体" w:hAnsi="宋体" w:eastAsia="宋体" w:cs="Times New Roman"/>
          <w:color w:val="000000" w:themeColor="text1"/>
          <w:sz w:val="24"/>
          <w:szCs w:val="20"/>
          <w:lang w:val="zh-CN"/>
          <w14:textFill>
            <w14:solidFill>
              <w14:schemeClr w14:val="tx1"/>
            </w14:solidFill>
          </w14:textFill>
        </w:rPr>
        <w:t>的集中采购机构</w:t>
      </w:r>
      <w:r>
        <w:rPr>
          <w:rFonts w:hint="eastAsia" w:ascii="宋体" w:hAnsi="宋体" w:eastAsia="宋体" w:cs="Times New Roman"/>
          <w:b/>
          <w:color w:val="000000" w:themeColor="text1"/>
          <w:sz w:val="24"/>
          <w:szCs w:val="20"/>
          <w:lang w:val="zh-CN"/>
          <w14:textFill>
            <w14:solidFill>
              <w14:schemeClr w14:val="tx1"/>
            </w14:solidFill>
          </w14:textFill>
        </w:rPr>
        <w:t>拒绝</w:t>
      </w:r>
      <w:r>
        <w:rPr>
          <w:rFonts w:hint="eastAsia" w:ascii="宋体" w:hAnsi="宋体" w:eastAsia="宋体" w:cs="Times New Roman"/>
          <w:color w:val="000000" w:themeColor="text1"/>
          <w:sz w:val="24"/>
          <w:szCs w:val="20"/>
          <w:lang w:val="zh-CN"/>
          <w14:textFill>
            <w14:solidFill>
              <w14:schemeClr w14:val="tx1"/>
            </w14:solidFill>
          </w14:textFill>
        </w:rPr>
        <w:t>其投标。</w:t>
      </w:r>
    </w:p>
    <w:p>
      <w:pPr>
        <w:spacing w:line="360" w:lineRule="auto"/>
        <w:ind w:left="1061" w:leftChars="339" w:hanging="350" w:hangingChars="146"/>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 本表应按要求由投标人法人授权代表签字，并加盖投标单位公章，否则将被视为非响应性投标，将按照</w:t>
      </w:r>
      <w:r>
        <w:rPr>
          <w:rFonts w:hint="eastAsia" w:ascii="宋体" w:hAnsi="宋体" w:eastAsia="宋体" w:cs="Times New Roman"/>
          <w:b/>
          <w:color w:val="000000" w:themeColor="text1"/>
          <w:sz w:val="24"/>
          <w:szCs w:val="24"/>
          <w14:textFill>
            <w14:solidFill>
              <w14:schemeClr w14:val="tx1"/>
            </w14:solidFill>
          </w14:textFill>
        </w:rPr>
        <w:t>无效投标处理</w:t>
      </w:r>
      <w:r>
        <w:rPr>
          <w:rFonts w:hint="eastAsia" w:ascii="宋体" w:hAnsi="宋体" w:eastAsia="宋体" w:cs="Times New Roman"/>
          <w:color w:val="000000" w:themeColor="text1"/>
          <w:sz w:val="24"/>
          <w:szCs w:val="24"/>
          <w14:textFill>
            <w14:solidFill>
              <w14:schemeClr w14:val="tx1"/>
            </w14:solidFill>
          </w14:textFill>
        </w:rPr>
        <w:t>。</w:t>
      </w: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u w:val="single"/>
          <w:lang w:val="zh-CN"/>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投标人（公章）：</w:t>
      </w: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u w:val="single"/>
          <w:lang w:val="zh-CN"/>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投标人授权代表（签字）：</w:t>
      </w: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u w:val="single"/>
          <w:lang w:val="zh-CN"/>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numPr>
          <w:ilvl w:val="0"/>
          <w:numId w:val="61"/>
        </w:numPr>
        <w:spacing w:before="100" w:beforeAutospacing="1" w:after="156" w:afterLines="50" w:line="360" w:lineRule="auto"/>
        <w:ind w:left="1288" w:hanging="1288"/>
        <w:rPr>
          <w:rFonts w:ascii="宋体" w:hAnsi="宋体" w:eastAsia="宋体"/>
          <w:color w:val="000000" w:themeColor="text1"/>
          <w14:textFill>
            <w14:solidFill>
              <w14:schemeClr w14:val="tx1"/>
            </w14:solidFill>
          </w14:textFill>
        </w:rPr>
      </w:pPr>
      <w:bookmarkStart w:id="156" w:name="_Toc494721106"/>
      <w:bookmarkStart w:id="157" w:name="_Toc3335"/>
      <w:bookmarkStart w:id="158" w:name="_Toc494665956"/>
      <w:bookmarkStart w:id="159" w:name="_Toc494745323"/>
      <w:bookmarkStart w:id="160" w:name="_Toc494665559"/>
      <w:bookmarkStart w:id="161" w:name="_Toc494702276"/>
      <w:bookmarkStart w:id="162" w:name="_Toc494577411"/>
      <w:bookmarkStart w:id="163" w:name="_Toc494665006"/>
      <w:r>
        <w:rPr>
          <w:rFonts w:hint="eastAsia" w:ascii="宋体" w:hAnsi="宋体" w:eastAsia="宋体"/>
          <w:color w:val="000000" w:themeColor="text1"/>
          <w14:textFill>
            <w14:solidFill>
              <w14:schemeClr w14:val="tx1"/>
            </w14:solidFill>
          </w14:textFill>
        </w:rPr>
        <w:t>投标报价明细表</w:t>
      </w:r>
      <w:bookmarkEnd w:id="156"/>
      <w:bookmarkEnd w:id="157"/>
      <w:bookmarkEnd w:id="158"/>
      <w:bookmarkEnd w:id="159"/>
      <w:bookmarkEnd w:id="160"/>
      <w:bookmarkEnd w:id="161"/>
      <w:bookmarkEnd w:id="162"/>
      <w:bookmarkEnd w:id="163"/>
    </w:p>
    <w:p>
      <w:pPr>
        <w:spacing w:line="360" w:lineRule="auto"/>
        <w:jc w:val="left"/>
        <w:rPr>
          <w:rFonts w:ascii="宋体" w:hAnsi="宋体" w:eastAsia="宋体" w:cs="Times New Roman"/>
          <w:b/>
          <w:color w:val="000000" w:themeColor="text1"/>
          <w:sz w:val="24"/>
          <w:szCs w:val="21"/>
          <w:u w:val="single"/>
          <w:lang w:val="zh-CN"/>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投 标 人：</w:t>
      </w:r>
    </w:p>
    <w:p>
      <w:pPr>
        <w:spacing w:line="360" w:lineRule="auto"/>
        <w:jc w:val="left"/>
        <w:rPr>
          <w:rFonts w:ascii="宋体" w:hAnsi="宋体" w:eastAsia="宋体" w:cs="Times New Roman"/>
          <w:b/>
          <w:color w:val="000000" w:themeColor="text1"/>
          <w:sz w:val="24"/>
          <w:szCs w:val="21"/>
          <w:lang w:val="zh-CN"/>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项目名称：</w:t>
      </w:r>
    </w:p>
    <w:p>
      <w:pPr>
        <w:spacing w:line="360" w:lineRule="auto"/>
        <w:jc w:val="left"/>
        <w:rPr>
          <w:rFonts w:ascii="宋体" w:hAnsi="宋体" w:eastAsia="宋体" w:cs="Times New Roman"/>
          <w:b/>
          <w:color w:val="000000" w:themeColor="text1"/>
          <w:sz w:val="24"/>
          <w:szCs w:val="21"/>
          <w:u w:val="single"/>
          <w:lang w:val="zh-CN"/>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6"/>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11"/>
        <w:gridCol w:w="1134"/>
        <w:gridCol w:w="800"/>
        <w:gridCol w:w="1676"/>
        <w:gridCol w:w="131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D8D8D8" w:themeFill="background1" w:themeFillShade="D9"/>
            <w:vAlign w:val="center"/>
          </w:tcPr>
          <w:p>
            <w:pPr>
              <w:spacing w:line="360" w:lineRule="auto"/>
              <w:ind w:left="-23" w:leftChars="-11"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2611" w:type="dxa"/>
            <w:shd w:val="clear" w:color="auto" w:fill="D8D8D8" w:themeFill="background1" w:themeFillShade="D9"/>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名称</w:t>
            </w:r>
          </w:p>
        </w:tc>
        <w:tc>
          <w:tcPr>
            <w:tcW w:w="1134" w:type="dxa"/>
            <w:shd w:val="clear" w:color="auto" w:fill="D8D8D8" w:themeFill="background1" w:themeFillShade="D9"/>
            <w:vAlign w:val="center"/>
          </w:tcPr>
          <w:p>
            <w:pPr>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品牌型号规格</w:t>
            </w:r>
          </w:p>
        </w:tc>
        <w:tc>
          <w:tcPr>
            <w:tcW w:w="800" w:type="dxa"/>
            <w:shd w:val="clear" w:color="auto" w:fill="D8D8D8" w:themeFill="background1" w:themeFillShade="D9"/>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数量</w:t>
            </w:r>
          </w:p>
        </w:tc>
        <w:tc>
          <w:tcPr>
            <w:tcW w:w="1676" w:type="dxa"/>
            <w:shd w:val="clear" w:color="auto" w:fill="D8D8D8" w:themeFill="background1" w:themeFillShade="D9"/>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制造商名称</w:t>
            </w:r>
          </w:p>
        </w:tc>
        <w:tc>
          <w:tcPr>
            <w:tcW w:w="1316" w:type="dxa"/>
            <w:shd w:val="clear" w:color="auto" w:fill="D8D8D8" w:themeFill="background1" w:themeFillShade="D9"/>
            <w:vAlign w:val="center"/>
          </w:tcPr>
          <w:p>
            <w:pPr>
              <w:spacing w:line="360" w:lineRule="auto"/>
              <w:ind w:left="-23" w:leftChars="-11"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单价</w:t>
            </w:r>
          </w:p>
        </w:tc>
        <w:tc>
          <w:tcPr>
            <w:tcW w:w="1357" w:type="dxa"/>
            <w:shd w:val="clear" w:color="auto" w:fill="D8D8D8" w:themeFill="background1" w:themeFillShade="D9"/>
            <w:vAlign w:val="center"/>
          </w:tcPr>
          <w:p>
            <w:pPr>
              <w:spacing w:line="360" w:lineRule="auto"/>
              <w:ind w:left="-23" w:leftChars="-11"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4"/>
              </w:numPr>
              <w:tabs>
                <w:tab w:val="left" w:pos="82"/>
              </w:tabs>
              <w:adjustRightInd w:val="0"/>
              <w:snapToGrid w:val="0"/>
              <w:jc w:val="center"/>
              <w:rPr>
                <w:rFonts w:ascii="宋体" w:hAnsi="宋体"/>
                <w:color w:val="000000" w:themeColor="text1"/>
                <w:sz w:val="24"/>
                <w14:textFill>
                  <w14:solidFill>
                    <w14:schemeClr w14:val="tx1"/>
                  </w14:solidFill>
                </w14:textFill>
              </w:rPr>
            </w:pPr>
          </w:p>
        </w:tc>
        <w:tc>
          <w:tcPr>
            <w:tcW w:w="2611" w:type="dxa"/>
            <w:shd w:val="clear" w:color="auto" w:fill="auto"/>
            <w:vAlign w:val="center"/>
          </w:tcPr>
          <w:p>
            <w:pPr>
              <w:tabs>
                <w:tab w:val="left" w:pos="0"/>
                <w:tab w:val="left" w:pos="56"/>
              </w:tabs>
              <w:adjustRightInd w:val="0"/>
              <w:snapToGrid w:val="0"/>
              <w:ind w:left="547" w:hanging="547" w:hangingChars="228"/>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货物1（工程或服务）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800" w:type="dxa"/>
            <w:shd w:val="clear" w:color="auto" w:fill="auto"/>
            <w:vAlign w:val="center"/>
          </w:tcPr>
          <w:p>
            <w:pPr>
              <w:spacing w:line="240" w:lineRule="atLeast"/>
              <w:ind w:left="-48" w:leftChars="-23" w:right="-375" w:rightChars="-179"/>
              <w:jc w:val="center"/>
              <w:rPr>
                <w:rFonts w:ascii="宋体" w:hAnsi="宋体" w:eastAsia="宋体" w:cs="宋体"/>
                <w:color w:val="000000" w:themeColor="text1"/>
                <w:kern w:val="0"/>
                <w:sz w:val="24"/>
                <w:szCs w:val="24"/>
                <w14:textFill>
                  <w14:solidFill>
                    <w14:schemeClr w14:val="tx1"/>
                  </w14:solidFill>
                </w14:textFill>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4"/>
              </w:numPr>
              <w:tabs>
                <w:tab w:val="left" w:pos="82"/>
              </w:tabs>
              <w:adjustRightInd w:val="0"/>
              <w:snapToGrid w:val="0"/>
              <w:jc w:val="center"/>
              <w:rPr>
                <w:rFonts w:ascii="宋体" w:hAnsi="宋体"/>
                <w:color w:val="000000" w:themeColor="text1"/>
                <w:sz w:val="24"/>
                <w14:textFill>
                  <w14:solidFill>
                    <w14:schemeClr w14:val="tx1"/>
                  </w14:solidFill>
                </w14:textFill>
              </w:rPr>
            </w:pPr>
          </w:p>
        </w:tc>
        <w:tc>
          <w:tcPr>
            <w:tcW w:w="2611" w:type="dxa"/>
            <w:shd w:val="clear" w:color="auto" w:fill="auto"/>
            <w:vAlign w:val="center"/>
          </w:tcPr>
          <w:p>
            <w:pPr>
              <w:tabs>
                <w:tab w:val="left" w:pos="0"/>
                <w:tab w:val="left" w:pos="56"/>
              </w:tabs>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货物2（工程或服务）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4"/>
              </w:numPr>
              <w:tabs>
                <w:tab w:val="left" w:pos="82"/>
              </w:tabs>
              <w:adjustRightInd w:val="0"/>
              <w:snapToGrid w:val="0"/>
              <w:jc w:val="center"/>
              <w:rPr>
                <w:rFonts w:ascii="宋体" w:hAnsi="宋体"/>
                <w:color w:val="000000" w:themeColor="text1"/>
                <w:sz w:val="24"/>
                <w14:textFill>
                  <w14:solidFill>
                    <w14:schemeClr w14:val="tx1"/>
                  </w14:solidFill>
                </w14:textFill>
              </w:rPr>
            </w:pPr>
          </w:p>
        </w:tc>
        <w:tc>
          <w:tcPr>
            <w:tcW w:w="2611" w:type="dxa"/>
            <w:shd w:val="clear" w:color="auto" w:fill="auto"/>
            <w:vAlign w:val="center"/>
          </w:tcPr>
          <w:p>
            <w:pPr>
              <w:tabs>
                <w:tab w:val="left" w:pos="0"/>
                <w:tab w:val="left" w:pos="56"/>
              </w:tabs>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货物3（工程或服务）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4"/>
              </w:numPr>
              <w:tabs>
                <w:tab w:val="left" w:pos="82"/>
              </w:tabs>
              <w:adjustRightInd w:val="0"/>
              <w:snapToGrid w:val="0"/>
              <w:jc w:val="center"/>
              <w:rPr>
                <w:rFonts w:ascii="宋体" w:hAnsi="宋体"/>
                <w:color w:val="000000" w:themeColor="text1"/>
                <w:sz w:val="24"/>
                <w14:textFill>
                  <w14:solidFill>
                    <w14:schemeClr w14:val="tx1"/>
                  </w14:solidFill>
                </w14:textFill>
              </w:rPr>
            </w:pPr>
          </w:p>
        </w:tc>
        <w:tc>
          <w:tcPr>
            <w:tcW w:w="2611" w:type="dxa"/>
            <w:shd w:val="clear" w:color="auto" w:fill="auto"/>
            <w:vAlign w:val="center"/>
          </w:tcPr>
          <w:p>
            <w:pPr>
              <w:tabs>
                <w:tab w:val="left" w:pos="0"/>
                <w:tab w:val="left" w:pos="56"/>
              </w:tabs>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货物4（工程或服务）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4"/>
              </w:numPr>
              <w:tabs>
                <w:tab w:val="left" w:pos="82"/>
              </w:tabs>
              <w:adjustRightInd w:val="0"/>
              <w:snapToGrid w:val="0"/>
              <w:jc w:val="center"/>
              <w:rPr>
                <w:rFonts w:ascii="宋体" w:hAnsi="宋体"/>
                <w:color w:val="000000" w:themeColor="text1"/>
                <w:sz w:val="24"/>
                <w14:textFill>
                  <w14:solidFill>
                    <w14:schemeClr w14:val="tx1"/>
                  </w14:solidFill>
                </w14:textFill>
              </w:rPr>
            </w:pPr>
          </w:p>
        </w:tc>
        <w:tc>
          <w:tcPr>
            <w:tcW w:w="2611" w:type="dxa"/>
            <w:shd w:val="clear" w:color="auto" w:fill="auto"/>
            <w:vAlign w:val="center"/>
          </w:tcPr>
          <w:p>
            <w:pPr>
              <w:tabs>
                <w:tab w:val="left" w:pos="0"/>
                <w:tab w:val="left" w:pos="56"/>
              </w:tabs>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货物5（工程或服务）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4"/>
              </w:numPr>
              <w:tabs>
                <w:tab w:val="left" w:pos="82"/>
              </w:tabs>
              <w:adjustRightInd w:val="0"/>
              <w:snapToGrid w:val="0"/>
              <w:jc w:val="center"/>
              <w:rPr>
                <w:rFonts w:ascii="宋体" w:hAnsi="宋体"/>
                <w:color w:val="000000" w:themeColor="text1"/>
                <w:sz w:val="24"/>
                <w14:textFill>
                  <w14:solidFill>
                    <w14:schemeClr w14:val="tx1"/>
                  </w14:solidFill>
                </w14:textFill>
              </w:rPr>
            </w:pPr>
          </w:p>
        </w:tc>
        <w:tc>
          <w:tcPr>
            <w:tcW w:w="2611" w:type="dxa"/>
            <w:shd w:val="clear" w:color="auto" w:fill="auto"/>
            <w:vAlign w:val="center"/>
          </w:tcPr>
          <w:p>
            <w:pPr>
              <w:tabs>
                <w:tab w:val="left" w:pos="0"/>
                <w:tab w:val="left" w:pos="56"/>
              </w:tabs>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货物6（工程或服务）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4"/>
              </w:numPr>
              <w:tabs>
                <w:tab w:val="left" w:pos="82"/>
              </w:tabs>
              <w:adjustRightInd w:val="0"/>
              <w:snapToGrid w:val="0"/>
              <w:jc w:val="center"/>
              <w:rPr>
                <w:rFonts w:ascii="宋体" w:hAnsi="宋体"/>
                <w:color w:val="000000" w:themeColor="text1"/>
                <w:sz w:val="24"/>
                <w14:textFill>
                  <w14:solidFill>
                    <w14:schemeClr w14:val="tx1"/>
                  </w14:solidFill>
                </w14:textFill>
              </w:rPr>
            </w:pPr>
          </w:p>
        </w:tc>
        <w:tc>
          <w:tcPr>
            <w:tcW w:w="2611" w:type="dxa"/>
            <w:shd w:val="clear" w:color="auto" w:fill="auto"/>
            <w:vAlign w:val="center"/>
          </w:tcPr>
          <w:p>
            <w:pPr>
              <w:tabs>
                <w:tab w:val="left" w:pos="0"/>
                <w:tab w:val="left" w:pos="56"/>
              </w:tabs>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货物7（工程或服务）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2611"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73" w:type="dxa"/>
            <w:gridSpan w:val="5"/>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p>
        </w:tc>
        <w:tc>
          <w:tcPr>
            <w:tcW w:w="2673" w:type="dxa"/>
            <w:gridSpan w:val="2"/>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r>
    </w:tbl>
    <w:p>
      <w:pPr>
        <w:spacing w:line="360" w:lineRule="auto"/>
        <w:ind w:left="1049" w:hanging="1048" w:hangingChars="437"/>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说明：1．所有价格均用人民币表示，单位为元。</w:t>
      </w:r>
    </w:p>
    <w:p>
      <w:pPr>
        <w:spacing w:line="360" w:lineRule="auto"/>
        <w:ind w:left="1061" w:leftChars="339" w:hanging="350" w:hangingChars="146"/>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2．报价明细表合计应与《开标一览表》中的投标总报价一致。</w:t>
      </w:r>
    </w:p>
    <w:p>
      <w:pPr>
        <w:spacing w:line="360" w:lineRule="auto"/>
        <w:ind w:left="1061" w:leftChars="339" w:hanging="350" w:hangingChars="146"/>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3．未提供详细的货物（工程或服务）报价明细</w:t>
      </w:r>
      <w:r>
        <w:rPr>
          <w:rFonts w:hint="eastAsia" w:ascii="宋体" w:hAnsi="宋体" w:cs="Corbel"/>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导致的后果由投标人自行承担。</w:t>
      </w:r>
    </w:p>
    <w:p>
      <w:pPr>
        <w:spacing w:line="360" w:lineRule="auto"/>
        <w:ind w:left="950" w:hanging="950" w:hangingChars="396"/>
        <w:jc w:val="left"/>
        <w:rPr>
          <w:rFonts w:ascii="宋体" w:hAnsi="宋体" w:eastAsia="宋体" w:cs="Times New Roman"/>
          <w:color w:val="000000" w:themeColor="text1"/>
          <w:sz w:val="24"/>
          <w:szCs w:val="24"/>
          <w14:textFill>
            <w14:solidFill>
              <w14:schemeClr w14:val="tx1"/>
            </w14:solidFill>
          </w14:textFill>
        </w:rPr>
      </w:pPr>
    </w:p>
    <w:p>
      <w:pPr>
        <w:spacing w:line="360" w:lineRule="auto"/>
        <w:ind w:left="950" w:hanging="950" w:hangingChars="396"/>
        <w:jc w:val="left"/>
        <w:rPr>
          <w:rFonts w:ascii="宋体" w:hAnsi="宋体" w:eastAsia="宋体" w:cs="Times New Roman"/>
          <w:color w:val="000000" w:themeColor="text1"/>
          <w:sz w:val="24"/>
          <w:szCs w:val="24"/>
          <w14:textFill>
            <w14:solidFill>
              <w14:schemeClr w14:val="tx1"/>
            </w14:solidFill>
          </w14:textFill>
        </w:rPr>
      </w:pPr>
    </w:p>
    <w:p>
      <w:pPr>
        <w:spacing w:line="360" w:lineRule="auto"/>
        <w:ind w:left="950" w:hanging="950" w:hangingChars="396"/>
        <w:jc w:val="left"/>
        <w:rPr>
          <w:rFonts w:ascii="宋体" w:hAnsi="宋体" w:eastAsia="宋体" w:cs="Times New Roman"/>
          <w:color w:val="000000" w:themeColor="text1"/>
          <w:sz w:val="24"/>
          <w:szCs w:val="24"/>
          <w14:textFill>
            <w14:solidFill>
              <w14:schemeClr w14:val="tx1"/>
            </w14:solidFill>
          </w14:textFill>
        </w:rPr>
      </w:pP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numPr>
          <w:ilvl w:val="0"/>
          <w:numId w:val="61"/>
        </w:numPr>
        <w:spacing w:before="100" w:beforeAutospacing="1" w:after="156" w:afterLines="50" w:line="360" w:lineRule="auto"/>
        <w:ind w:left="1288" w:hanging="1288"/>
        <w:rPr>
          <w:rFonts w:ascii="宋体" w:hAnsi="宋体" w:eastAsia="宋体"/>
          <w:color w:val="000000" w:themeColor="text1"/>
          <w:sz w:val="31"/>
          <w:szCs w:val="31"/>
          <w14:textFill>
            <w14:solidFill>
              <w14:schemeClr w14:val="tx1"/>
            </w14:solidFill>
          </w14:textFill>
        </w:rPr>
      </w:pPr>
      <w:bookmarkStart w:id="164" w:name="_Toc494665957"/>
      <w:bookmarkStart w:id="165" w:name="_Toc494665560"/>
      <w:bookmarkStart w:id="166" w:name="_Toc494745324"/>
      <w:bookmarkStart w:id="167" w:name="_Toc30374"/>
      <w:bookmarkStart w:id="168" w:name="_Toc494665007"/>
      <w:bookmarkStart w:id="169" w:name="_Toc494721107"/>
      <w:bookmarkStart w:id="170" w:name="_Toc494702277"/>
      <w:bookmarkStart w:id="171" w:name="_Toc494577412"/>
      <w:r>
        <w:rPr>
          <w:rFonts w:hint="eastAsia" w:ascii="宋体" w:hAnsi="宋体" w:eastAsia="宋体"/>
          <w:color w:val="000000" w:themeColor="text1"/>
          <w:sz w:val="31"/>
          <w:szCs w:val="31"/>
          <w14:textFill>
            <w14:solidFill>
              <w14:schemeClr w14:val="tx1"/>
            </w14:solidFill>
          </w14:textFill>
        </w:rPr>
        <w:t>小型和微型企业、监狱企业、残疾人福利性单位货物汇总表</w:t>
      </w:r>
      <w:bookmarkEnd w:id="164"/>
      <w:bookmarkEnd w:id="165"/>
      <w:bookmarkEnd w:id="166"/>
      <w:bookmarkEnd w:id="167"/>
      <w:bookmarkEnd w:id="168"/>
      <w:bookmarkEnd w:id="169"/>
      <w:bookmarkEnd w:id="170"/>
      <w:bookmarkEnd w:id="171"/>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6"/>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552"/>
        <w:gridCol w:w="1560"/>
        <w:gridCol w:w="1133"/>
        <w:gridCol w:w="848"/>
        <w:gridCol w:w="1100"/>
        <w:gridCol w:w="113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F1F1F1" w:themeFill="background1" w:themeFillShade="F2"/>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序号</w:t>
            </w:r>
          </w:p>
        </w:tc>
        <w:tc>
          <w:tcPr>
            <w:tcW w:w="1552" w:type="dxa"/>
            <w:shd w:val="clear" w:color="auto" w:fill="F1F1F1" w:themeFill="background1" w:themeFillShade="F2"/>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制造商名称</w:t>
            </w:r>
          </w:p>
        </w:tc>
        <w:tc>
          <w:tcPr>
            <w:tcW w:w="1560" w:type="dxa"/>
            <w:shd w:val="clear" w:color="auto" w:fill="F1F1F1" w:themeFill="background1" w:themeFillShade="F2"/>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货物名称</w:t>
            </w:r>
          </w:p>
        </w:tc>
        <w:tc>
          <w:tcPr>
            <w:tcW w:w="1133" w:type="dxa"/>
            <w:shd w:val="clear" w:color="auto" w:fill="F1F1F1" w:themeFill="background1" w:themeFillShade="F2"/>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规格型号</w:t>
            </w:r>
          </w:p>
        </w:tc>
        <w:tc>
          <w:tcPr>
            <w:tcW w:w="848" w:type="dxa"/>
            <w:shd w:val="clear" w:color="auto" w:fill="F1F1F1" w:themeFill="background1" w:themeFillShade="F2"/>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数量</w:t>
            </w:r>
          </w:p>
        </w:tc>
        <w:tc>
          <w:tcPr>
            <w:tcW w:w="1100" w:type="dxa"/>
            <w:shd w:val="clear" w:color="auto" w:fill="F1F1F1" w:themeFill="background1" w:themeFillShade="F2"/>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单价</w:t>
            </w:r>
          </w:p>
        </w:tc>
        <w:tc>
          <w:tcPr>
            <w:tcW w:w="1134" w:type="dxa"/>
            <w:shd w:val="clear" w:color="auto" w:fill="F1F1F1" w:themeFill="background1" w:themeFillShade="F2"/>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分项</w:t>
            </w:r>
          </w:p>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合计</w:t>
            </w:r>
          </w:p>
        </w:tc>
        <w:tc>
          <w:tcPr>
            <w:tcW w:w="1468" w:type="dxa"/>
            <w:shd w:val="clear" w:color="auto" w:fill="F1F1F1" w:themeFill="background1" w:themeFillShade="F2"/>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1552" w:type="dxa"/>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1552" w:type="dxa"/>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1552" w:type="dxa"/>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p>
        </w:tc>
        <w:tc>
          <w:tcPr>
            <w:tcW w:w="1552" w:type="dxa"/>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w:t>
            </w:r>
          </w:p>
        </w:tc>
        <w:tc>
          <w:tcPr>
            <w:tcW w:w="1552" w:type="dxa"/>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w:t>
            </w:r>
          </w:p>
        </w:tc>
        <w:tc>
          <w:tcPr>
            <w:tcW w:w="1552" w:type="dxa"/>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w:t>
            </w:r>
          </w:p>
        </w:tc>
        <w:tc>
          <w:tcPr>
            <w:tcW w:w="1552" w:type="dxa"/>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1552" w:type="dxa"/>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12" w:type="dxa"/>
            <w:gridSpan w:val="6"/>
          </w:tcPr>
          <w:p>
            <w:pPr>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合计</w:t>
            </w:r>
          </w:p>
        </w:tc>
        <w:tc>
          <w:tcPr>
            <w:tcW w:w="2602" w:type="dxa"/>
            <w:gridSpan w:val="2"/>
            <w:shd w:val="clear" w:color="auto" w:fill="auto"/>
            <w:vAlign w:val="center"/>
          </w:tcPr>
          <w:p>
            <w:pPr>
              <w:spacing w:line="360" w:lineRule="auto"/>
              <w:jc w:val="left"/>
              <w:rPr>
                <w:rFonts w:ascii="宋体" w:hAnsi="宋体"/>
                <w:bCs/>
                <w:color w:val="000000" w:themeColor="text1"/>
                <w:sz w:val="24"/>
                <w14:textFill>
                  <w14:solidFill>
                    <w14:schemeClr w14:val="tx1"/>
                  </w14:solidFill>
                </w14:textFill>
              </w:rPr>
            </w:pPr>
          </w:p>
        </w:tc>
      </w:tr>
    </w:tbl>
    <w:p>
      <w:pPr>
        <w:spacing w:line="360" w:lineRule="auto"/>
        <w:ind w:left="1049" w:hanging="1048" w:hangingChars="437"/>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说明：1</w:t>
      </w:r>
      <w:r>
        <w:rPr>
          <w:rFonts w:hint="eastAsia" w:ascii="宋体" w:hAnsi="宋体" w:eastAsia="宋体" w:cs="Times New Roman"/>
          <w:color w:val="000000" w:themeColor="text1"/>
          <w:sz w:val="24"/>
          <w:szCs w:val="24"/>
          <w14:textFill>
            <w14:solidFill>
              <w14:schemeClr w14:val="tx1"/>
            </w14:solidFill>
          </w14:textFill>
        </w:rPr>
        <w:t>．</w:t>
      </w:r>
      <w:r>
        <w:rPr>
          <w:rFonts w:hint="eastAsia" w:ascii="宋体" w:hAnsi="宋体"/>
          <w:color w:val="000000" w:themeColor="text1"/>
          <w:sz w:val="24"/>
          <w14:textFill>
            <w14:solidFill>
              <w14:schemeClr w14:val="tx1"/>
            </w14:solidFill>
          </w14:textFill>
        </w:rPr>
        <w:t>所有价格均用人民币表示，单位为元。</w:t>
      </w:r>
    </w:p>
    <w:p>
      <w:pPr>
        <w:spacing w:line="360" w:lineRule="auto"/>
        <w:ind w:left="1061" w:leftChars="339" w:hanging="350" w:hangingChars="146"/>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ascii="宋体" w:hAnsi="宋体" w:eastAsia="宋体" w:cs="Times New Roman"/>
          <w:color w:val="000000" w:themeColor="text1"/>
          <w:sz w:val="24"/>
          <w:szCs w:val="24"/>
          <w14:textFill>
            <w14:solidFill>
              <w14:schemeClr w14:val="tx1"/>
            </w14:solidFill>
          </w14:textFill>
        </w:rPr>
        <w:t>．</w:t>
      </w:r>
      <w:r>
        <w:rPr>
          <w:rFonts w:hint="eastAsia" w:ascii="宋体" w:hAnsi="宋体"/>
          <w:color w:val="000000" w:themeColor="text1"/>
          <w:sz w:val="24"/>
          <w14:textFill>
            <w14:solidFill>
              <w14:schemeClr w14:val="tx1"/>
            </w14:solidFill>
          </w14:textFill>
        </w:rPr>
        <w:t>投标人提供的相关证明文件对应页码填写到上表“投标文件对应的页码”中。</w:t>
      </w:r>
      <w:r>
        <w:rPr>
          <w:rFonts w:hint="eastAsia" w:ascii="宋体" w:hAnsi="宋体" w:cs="Corbel"/>
          <w:color w:val="000000" w:themeColor="text1"/>
          <w:sz w:val="24"/>
          <w14:textFill>
            <w14:solidFill>
              <w14:schemeClr w14:val="tx1"/>
            </w14:solidFill>
          </w14:textFill>
        </w:rPr>
        <w:t>如未提供页码或内容页码完全不一致的，</w:t>
      </w:r>
      <w:r>
        <w:rPr>
          <w:rFonts w:hint="eastAsia" w:ascii="宋体" w:hAnsi="宋体"/>
          <w:color w:val="000000" w:themeColor="text1"/>
          <w:sz w:val="24"/>
          <w14:textFill>
            <w14:solidFill>
              <w14:schemeClr w14:val="tx1"/>
            </w14:solidFill>
          </w14:textFill>
        </w:rPr>
        <w:t>导致的后果由投标人自行承担。</w:t>
      </w:r>
    </w:p>
    <w:p>
      <w:pPr>
        <w:adjustRightInd w:val="0"/>
        <w:snapToGrid w:val="0"/>
        <w:spacing w:line="360" w:lineRule="auto"/>
        <w:ind w:left="767" w:leftChars="194" w:hanging="360" w:hangingChars="150"/>
        <w:rPr>
          <w:rFonts w:ascii="宋体" w:hAnsi="宋体"/>
          <w:color w:val="000000" w:themeColor="text1"/>
          <w:sz w:val="24"/>
          <w14:textFill>
            <w14:solidFill>
              <w14:schemeClr w14:val="tx1"/>
            </w14:solidFill>
          </w14:textFill>
        </w:rPr>
      </w:pPr>
    </w:p>
    <w:p>
      <w:pPr>
        <w:adjustRightInd w:val="0"/>
        <w:snapToGrid w:val="0"/>
        <w:spacing w:line="360" w:lineRule="auto"/>
        <w:ind w:left="767" w:leftChars="194" w:hanging="360" w:hangingChars="150"/>
        <w:rPr>
          <w:rFonts w:ascii="宋体" w:hAnsi="宋体"/>
          <w:color w:val="000000" w:themeColor="text1"/>
          <w:sz w:val="24"/>
          <w14:textFill>
            <w14:solidFill>
              <w14:schemeClr w14:val="tx1"/>
            </w14:solidFill>
          </w14:textFill>
        </w:rPr>
      </w:pPr>
    </w:p>
    <w:p>
      <w:pPr>
        <w:adjustRightInd w:val="0"/>
        <w:snapToGrid w:val="0"/>
        <w:spacing w:line="360" w:lineRule="auto"/>
        <w:ind w:left="767" w:leftChars="194" w:hanging="360" w:hangingChars="150"/>
        <w:rPr>
          <w:rFonts w:ascii="宋体" w:hAnsi="宋体"/>
          <w:color w:val="000000" w:themeColor="text1"/>
          <w:sz w:val="24"/>
          <w14:textFill>
            <w14:solidFill>
              <w14:schemeClr w14:val="tx1"/>
            </w14:solidFill>
          </w14:textFill>
        </w:rPr>
      </w:pPr>
    </w:p>
    <w:p>
      <w:pPr>
        <w:adjustRightInd w:val="0"/>
        <w:snapToGrid w:val="0"/>
        <w:spacing w:line="360" w:lineRule="auto"/>
        <w:ind w:left="767" w:leftChars="194" w:hanging="360" w:hangingChars="150"/>
        <w:rPr>
          <w:rFonts w:ascii="宋体" w:hAnsi="宋体"/>
          <w:color w:val="000000" w:themeColor="text1"/>
          <w:sz w:val="24"/>
          <w14:textFill>
            <w14:solidFill>
              <w14:schemeClr w14:val="tx1"/>
            </w14:solidFill>
          </w14:textFill>
        </w:rPr>
      </w:pPr>
    </w:p>
    <w:p>
      <w:pPr>
        <w:adjustRightInd w:val="0"/>
        <w:snapToGrid w:val="0"/>
        <w:spacing w:line="360" w:lineRule="auto"/>
        <w:ind w:left="767" w:leftChars="194" w:hanging="360" w:hangingChars="150"/>
        <w:rPr>
          <w:rFonts w:ascii="宋体" w:hAnsi="宋体"/>
          <w:color w:val="000000" w:themeColor="text1"/>
          <w:sz w:val="24"/>
          <w14:textFill>
            <w14:solidFill>
              <w14:schemeClr w14:val="tx1"/>
            </w14:solidFill>
          </w14:textFill>
        </w:rPr>
      </w:pP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numPr>
          <w:ilvl w:val="0"/>
          <w:numId w:val="61"/>
        </w:numPr>
        <w:spacing w:before="100" w:beforeAutospacing="1" w:after="156" w:afterLines="50" w:line="360" w:lineRule="auto"/>
        <w:ind w:left="1288" w:hanging="1288"/>
        <w:rPr>
          <w:rFonts w:ascii="宋体" w:hAnsi="宋体" w:eastAsia="宋体"/>
          <w:color w:val="000000" w:themeColor="text1"/>
          <w14:textFill>
            <w14:solidFill>
              <w14:schemeClr w14:val="tx1"/>
            </w14:solidFill>
          </w14:textFill>
        </w:rPr>
      </w:pPr>
      <w:bookmarkStart w:id="172" w:name="_Toc494702278"/>
      <w:bookmarkStart w:id="173" w:name="_Toc494665561"/>
      <w:bookmarkStart w:id="174" w:name="_Toc494745325"/>
      <w:bookmarkStart w:id="175" w:name="_Toc494665958"/>
      <w:bookmarkStart w:id="176" w:name="_Toc494665008"/>
      <w:bookmarkStart w:id="177" w:name="_Toc11505"/>
      <w:bookmarkStart w:id="178" w:name="_Toc494721108"/>
      <w:r>
        <w:rPr>
          <w:rFonts w:hint="eastAsia" w:ascii="宋体" w:hAnsi="宋体" w:eastAsia="宋体"/>
          <w:color w:val="000000" w:themeColor="text1"/>
          <w14:textFill>
            <w14:solidFill>
              <w14:schemeClr w14:val="tx1"/>
            </w14:solidFill>
          </w14:textFill>
        </w:rPr>
        <w:t>投标货物（工程或服务）清单</w:t>
      </w:r>
      <w:bookmarkEnd w:id="172"/>
      <w:bookmarkEnd w:id="173"/>
      <w:bookmarkEnd w:id="174"/>
      <w:bookmarkEnd w:id="175"/>
      <w:bookmarkEnd w:id="176"/>
      <w:bookmarkEnd w:id="177"/>
      <w:bookmarkEnd w:id="178"/>
    </w:p>
    <w:p>
      <w:pPr>
        <w:adjustRightInd w:val="0"/>
        <w:snapToGrid w:val="0"/>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投 标 人：</w:t>
      </w:r>
    </w:p>
    <w:p>
      <w:pPr>
        <w:adjustRightInd w:val="0"/>
        <w:snapToGrid w:val="0"/>
        <w:spacing w:line="360" w:lineRule="auto"/>
        <w:rPr>
          <w:rFonts w:ascii="宋体" w:hAnsi="宋体"/>
          <w:b/>
          <w:color w:val="000000" w:themeColor="text1"/>
          <w:sz w:val="24"/>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6"/>
        <w:tblW w:w="93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5" w:type="dxa"/>
            <w:tcBorders>
              <w:top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84" w:rightChars="-4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272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数量</w:t>
            </w:r>
          </w:p>
        </w:tc>
        <w:tc>
          <w:tcPr>
            <w:tcW w:w="2593" w:type="dxa"/>
            <w:tcBorders>
              <w:top w:val="single" w:color="auto" w:sz="4" w:space="0"/>
              <w:left w:val="single" w:color="auto" w:sz="4" w:space="0"/>
              <w:bottom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制造厂家/产地及国家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top w:val="single" w:color="auto" w:sz="4" w:space="0"/>
            </w:tcBorders>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2722" w:type="dxa"/>
            <w:tcBorders>
              <w:top w:val="single" w:color="auto" w:sz="4" w:space="0"/>
            </w:tcBorders>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459" w:type="dxa"/>
            <w:tcBorders>
              <w:top w:val="single" w:color="auto" w:sz="4" w:space="0"/>
            </w:tcBorders>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851" w:type="dxa"/>
            <w:tcBorders>
              <w:top w:val="single" w:color="auto" w:sz="4" w:space="0"/>
            </w:tcBorders>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2593" w:type="dxa"/>
            <w:tcBorders>
              <w:top w:val="single" w:color="auto" w:sz="4" w:space="0"/>
            </w:tcBorders>
            <w:vAlign w:val="center"/>
          </w:tcPr>
          <w:p>
            <w:pPr>
              <w:adjustRightInd w:val="0"/>
              <w:snapToGrid w:val="0"/>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2722"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459" w:type="dxa"/>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851" w:type="dxa"/>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2593" w:type="dxa"/>
            <w:vAlign w:val="center"/>
          </w:tcPr>
          <w:p>
            <w:pPr>
              <w:adjustRightInd w:val="0"/>
              <w:snapToGrid w:val="0"/>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2722"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459"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851"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593"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p>
        </w:tc>
        <w:tc>
          <w:tcPr>
            <w:tcW w:w="2722"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459" w:type="dxa"/>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851" w:type="dxa"/>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2593" w:type="dxa"/>
            <w:vAlign w:val="center"/>
          </w:tcPr>
          <w:p>
            <w:pPr>
              <w:adjustRightInd w:val="0"/>
              <w:snapToGrid w:val="0"/>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p>
        </w:tc>
        <w:tc>
          <w:tcPr>
            <w:tcW w:w="2722"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459" w:type="dxa"/>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851" w:type="dxa"/>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2593" w:type="dxa"/>
            <w:vAlign w:val="center"/>
          </w:tcPr>
          <w:p>
            <w:pPr>
              <w:adjustRightInd w:val="0"/>
              <w:snapToGrid w:val="0"/>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p>
        </w:tc>
        <w:tc>
          <w:tcPr>
            <w:tcW w:w="2722"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459" w:type="dxa"/>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851" w:type="dxa"/>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2593" w:type="dxa"/>
            <w:vAlign w:val="center"/>
          </w:tcPr>
          <w:p>
            <w:pPr>
              <w:adjustRightInd w:val="0"/>
              <w:snapToGrid w:val="0"/>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w:t>
            </w:r>
          </w:p>
        </w:tc>
        <w:tc>
          <w:tcPr>
            <w:tcW w:w="2722"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459" w:type="dxa"/>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851" w:type="dxa"/>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2593" w:type="dxa"/>
            <w:vAlign w:val="center"/>
          </w:tcPr>
          <w:p>
            <w:pPr>
              <w:adjustRightInd w:val="0"/>
              <w:snapToGrid w:val="0"/>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2722"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459" w:type="dxa"/>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851" w:type="dxa"/>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2593" w:type="dxa"/>
            <w:vAlign w:val="center"/>
          </w:tcPr>
          <w:p>
            <w:pPr>
              <w:adjustRightInd w:val="0"/>
              <w:snapToGrid w:val="0"/>
              <w:jc w:val="center"/>
              <w:rPr>
                <w:rFonts w:ascii="宋体" w:hAnsi="宋体"/>
                <w:color w:val="000000" w:themeColor="text1"/>
                <w:sz w:val="24"/>
                <w14:textFill>
                  <w14:solidFill>
                    <w14:schemeClr w14:val="tx1"/>
                  </w14:solidFill>
                </w14:textFill>
              </w:rPr>
            </w:pPr>
          </w:p>
        </w:tc>
      </w:tr>
    </w:tbl>
    <w:p>
      <w:pPr>
        <w:spacing w:line="360" w:lineRule="auto"/>
        <w:ind w:left="1078" w:hanging="1077" w:hangingChars="449"/>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说明：1．此表为货物（工程或服务）清单，投标人应提供所投货物（工程或服务）详细的供货（工程或服务）范围，包括主要配件及生产厂家、备品备件等。</w:t>
      </w:r>
    </w:p>
    <w:p>
      <w:pPr>
        <w:spacing w:line="360" w:lineRule="auto"/>
        <w:ind w:left="1061" w:leftChars="339" w:hanging="350" w:hangingChars="146"/>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2．各项货物（工程或服务）详细技术规格、参数及要求性能，应另页描述。</w:t>
      </w:r>
    </w:p>
    <w:p>
      <w:pPr>
        <w:adjustRightInd w:val="0"/>
        <w:snapToGrid w:val="0"/>
        <w:spacing w:line="360" w:lineRule="auto"/>
        <w:ind w:left="767" w:leftChars="194" w:hanging="360" w:hangingChars="150"/>
        <w:rPr>
          <w:rFonts w:ascii="宋体" w:hAnsi="宋体"/>
          <w:color w:val="000000" w:themeColor="text1"/>
          <w:sz w:val="24"/>
          <w14:textFill>
            <w14:solidFill>
              <w14:schemeClr w14:val="tx1"/>
            </w14:solidFill>
          </w14:textFill>
        </w:rPr>
      </w:pPr>
    </w:p>
    <w:p>
      <w:pPr>
        <w:adjustRightInd w:val="0"/>
        <w:snapToGrid w:val="0"/>
        <w:spacing w:line="360" w:lineRule="auto"/>
        <w:ind w:left="767" w:leftChars="194" w:hanging="360" w:hangingChars="150"/>
        <w:rPr>
          <w:rFonts w:ascii="宋体" w:hAnsi="宋体"/>
          <w:color w:val="000000" w:themeColor="text1"/>
          <w:sz w:val="24"/>
          <w14:textFill>
            <w14:solidFill>
              <w14:schemeClr w14:val="tx1"/>
            </w14:solidFill>
          </w14:textFill>
        </w:rPr>
      </w:pPr>
    </w:p>
    <w:p>
      <w:pPr>
        <w:adjustRightInd w:val="0"/>
        <w:snapToGrid w:val="0"/>
        <w:spacing w:line="360" w:lineRule="auto"/>
        <w:ind w:left="767" w:leftChars="194" w:hanging="360" w:hangingChars="150"/>
        <w:rPr>
          <w:rFonts w:ascii="宋体" w:hAnsi="宋体"/>
          <w:color w:val="000000" w:themeColor="text1"/>
          <w:sz w:val="24"/>
          <w14:textFill>
            <w14:solidFill>
              <w14:schemeClr w14:val="tx1"/>
            </w14:solidFill>
          </w14:textFill>
        </w:rPr>
      </w:pPr>
    </w:p>
    <w:p>
      <w:pPr>
        <w:adjustRightInd w:val="0"/>
        <w:snapToGrid w:val="0"/>
        <w:spacing w:line="360" w:lineRule="auto"/>
        <w:ind w:left="767" w:leftChars="194" w:hanging="360" w:hangingChars="150"/>
        <w:rPr>
          <w:rFonts w:ascii="宋体" w:hAnsi="宋体"/>
          <w:color w:val="000000" w:themeColor="text1"/>
          <w:sz w:val="24"/>
          <w14:textFill>
            <w14:solidFill>
              <w14:schemeClr w14:val="tx1"/>
            </w14:solidFill>
          </w14:textFill>
        </w:rPr>
      </w:pP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numPr>
          <w:ilvl w:val="0"/>
          <w:numId w:val="61"/>
        </w:numPr>
        <w:spacing w:before="100" w:beforeAutospacing="1" w:after="156" w:afterLines="50" w:line="360" w:lineRule="auto"/>
        <w:ind w:left="1288" w:hanging="1288"/>
        <w:rPr>
          <w:rFonts w:ascii="宋体" w:hAnsi="宋体" w:eastAsia="宋体"/>
          <w:color w:val="000000" w:themeColor="text1"/>
          <w14:textFill>
            <w14:solidFill>
              <w14:schemeClr w14:val="tx1"/>
            </w14:solidFill>
          </w14:textFill>
        </w:rPr>
      </w:pPr>
      <w:bookmarkStart w:id="179" w:name="_Toc494665010"/>
      <w:bookmarkStart w:id="180" w:name="_Toc494665563"/>
      <w:bookmarkStart w:id="181" w:name="_Toc494702280"/>
      <w:bookmarkStart w:id="182" w:name="_Toc11917"/>
      <w:bookmarkStart w:id="183" w:name="_Toc236473303"/>
      <w:bookmarkStart w:id="184" w:name="_Toc494721110"/>
      <w:bookmarkStart w:id="185" w:name="_Toc494665960"/>
      <w:bookmarkStart w:id="186" w:name="_Toc494745327"/>
      <w:bookmarkStart w:id="187" w:name="_Toc238276247"/>
      <w:r>
        <w:rPr>
          <w:rFonts w:hint="eastAsia" w:ascii="宋体" w:hAnsi="宋体" w:eastAsia="宋体"/>
          <w:color w:val="000000" w:themeColor="text1"/>
          <w14:textFill>
            <w14:solidFill>
              <w14:schemeClr w14:val="tx1"/>
            </w14:solidFill>
          </w14:textFill>
        </w:rPr>
        <w:t>法定代表人授权书</w:t>
      </w:r>
      <w:bookmarkEnd w:id="179"/>
      <w:bookmarkEnd w:id="180"/>
      <w:bookmarkEnd w:id="181"/>
      <w:bookmarkEnd w:id="182"/>
      <w:bookmarkEnd w:id="183"/>
      <w:bookmarkEnd w:id="184"/>
      <w:bookmarkEnd w:id="185"/>
      <w:bookmarkEnd w:id="186"/>
      <w:bookmarkEnd w:id="187"/>
    </w:p>
    <w:p>
      <w:pPr>
        <w:spacing w:line="480" w:lineRule="auto"/>
        <w:rPr>
          <w:rFonts w:ascii="宋体" w:hAnsi="宋体" w:eastAsia="宋体" w:cs="Times New Roman"/>
          <w:b/>
          <w:color w:val="000000" w:themeColor="text1"/>
          <w:sz w:val="24"/>
          <w:szCs w:val="24"/>
          <w14:textFill>
            <w14:solidFill>
              <w14:schemeClr w14:val="tx1"/>
            </w14:solidFill>
          </w14:textFill>
        </w:rPr>
      </w:pPr>
      <w:r>
        <w:rPr>
          <w:rFonts w:hint="eastAsia"/>
          <w:b/>
          <w:color w:val="000000" w:themeColor="text1"/>
          <w:sz w:val="28"/>
          <w:szCs w:val="28"/>
          <w14:textFill>
            <w14:solidFill>
              <w14:schemeClr w14:val="tx1"/>
            </w14:solidFill>
          </w14:textFill>
        </w:rPr>
        <w:t>采购人（或代理公司）</w:t>
      </w:r>
      <w:r>
        <w:rPr>
          <w:rFonts w:hint="eastAsia" w:ascii="宋体" w:hAnsi="宋体" w:cs="Courier New"/>
          <w:b/>
          <w:color w:val="000000" w:themeColor="text1"/>
          <w:sz w:val="28"/>
          <w:szCs w:val="28"/>
          <w14:textFill>
            <w14:solidFill>
              <w14:schemeClr w14:val="tx1"/>
            </w14:solidFill>
          </w14:textFill>
        </w:rPr>
        <w:t>：</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兹授权</w:t>
      </w:r>
      <w:r>
        <w:rPr>
          <w:rFonts w:hint="eastAsia" w:ascii="Times New Roman" w:hAnsi="宋体" w:eastAsia="宋体" w:cs="Times New Roman"/>
          <w:color w:val="000000" w:themeColor="text1"/>
          <w:sz w:val="24"/>
          <w:szCs w:val="24"/>
          <w14:textFill>
            <w14:solidFill>
              <w14:schemeClr w14:val="tx1"/>
            </w14:solidFill>
          </w14:textFill>
        </w:rPr>
        <w:t>____</w:t>
      </w:r>
      <w:r>
        <w:rPr>
          <w:rFonts w:hint="eastAsia" w:ascii="宋体" w:hAnsi="宋体" w:eastAsia="宋体" w:cs="Times New Roman"/>
          <w:color w:val="000000" w:themeColor="text1"/>
          <w:sz w:val="24"/>
          <w:szCs w:val="24"/>
          <w14:textFill>
            <w14:solidFill>
              <w14:schemeClr w14:val="tx1"/>
            </w14:solidFill>
          </w14:textFill>
        </w:rPr>
        <w:t>同志为我单位参加贵方组织的</w:t>
      </w:r>
      <w:r>
        <w:rPr>
          <w:rFonts w:hint="eastAsia" w:ascii="Times New Roman" w:hAnsi="宋体" w:eastAsia="宋体" w:cs="Times New Roman"/>
          <w:color w:val="000000" w:themeColor="text1"/>
          <w:sz w:val="24"/>
          <w:szCs w:val="24"/>
          <w14:textFill>
            <w14:solidFill>
              <w14:schemeClr w14:val="tx1"/>
            </w14:solidFill>
          </w14:textFill>
        </w:rPr>
        <w:t>____项目（项目编号：______）</w:t>
      </w:r>
      <w:r>
        <w:rPr>
          <w:rFonts w:hint="eastAsia" w:ascii="宋体" w:hAnsi="宋体" w:eastAsia="宋体" w:cs="Times New Roman"/>
          <w:color w:val="000000" w:themeColor="text1"/>
          <w:sz w:val="24"/>
          <w:szCs w:val="24"/>
          <w14:textFill>
            <w14:solidFill>
              <w14:schemeClr w14:val="tx1"/>
            </w14:solidFill>
          </w14:textFill>
        </w:rPr>
        <w:t>采购活动的投标人授权代表，全权代表我公司处理在</w:t>
      </w:r>
      <w:r>
        <w:rPr>
          <w:rFonts w:hint="eastAsia" w:ascii="Times New Roman" w:hAnsi="宋体" w:eastAsia="宋体" w:cs="Times New Roman"/>
          <w:color w:val="000000" w:themeColor="text1"/>
          <w:sz w:val="24"/>
          <w:szCs w:val="24"/>
          <w14:textFill>
            <w14:solidFill>
              <w14:schemeClr w14:val="tx1"/>
            </w14:solidFill>
          </w14:textFill>
        </w:rPr>
        <w:t>____</w:t>
      </w:r>
      <w:r>
        <w:rPr>
          <w:rFonts w:hint="eastAsia" w:ascii="宋体" w:hAnsi="宋体" w:eastAsia="宋体" w:cs="Times New Roman"/>
          <w:color w:val="000000" w:themeColor="text1"/>
          <w:sz w:val="24"/>
          <w:szCs w:val="24"/>
          <w14:textFill>
            <w14:solidFill>
              <w14:schemeClr w14:val="tx1"/>
            </w14:solidFill>
          </w14:textFill>
        </w:rPr>
        <w:t>项目采购活动中的一切事宜。代理期限从</w:t>
      </w:r>
      <w:r>
        <w:rPr>
          <w:rFonts w:hint="eastAsia" w:ascii="Times New Roman" w:hAnsi="宋体" w:eastAsia="宋体" w:cs="Times New Roman"/>
          <w:color w:val="000000" w:themeColor="text1"/>
          <w:sz w:val="24"/>
          <w:szCs w:val="24"/>
          <w14:textFill>
            <w14:solidFill>
              <w14:schemeClr w14:val="tx1"/>
            </w14:solidFill>
          </w14:textFill>
        </w:rPr>
        <w:t>__</w:t>
      </w:r>
      <w:r>
        <w:rPr>
          <w:rFonts w:hint="eastAsia" w:ascii="宋体" w:hAnsi="宋体" w:eastAsia="宋体" w:cs="Times New Roman"/>
          <w:color w:val="000000" w:themeColor="text1"/>
          <w:sz w:val="24"/>
          <w:szCs w:val="24"/>
          <w14:textFill>
            <w14:solidFill>
              <w14:schemeClr w14:val="tx1"/>
            </w14:solidFill>
          </w14:textFill>
        </w:rPr>
        <w:t>年</w:t>
      </w:r>
      <w:r>
        <w:rPr>
          <w:rFonts w:hint="eastAsia" w:ascii="Times New Roman" w:hAnsi="宋体" w:eastAsia="宋体" w:cs="Times New Roman"/>
          <w:color w:val="000000" w:themeColor="text1"/>
          <w:sz w:val="24"/>
          <w:szCs w:val="24"/>
          <w14:textFill>
            <w14:solidFill>
              <w14:schemeClr w14:val="tx1"/>
            </w14:solidFill>
          </w14:textFill>
        </w:rPr>
        <w:t>__</w:t>
      </w:r>
      <w:r>
        <w:rPr>
          <w:rFonts w:hint="eastAsia" w:ascii="宋体" w:hAnsi="宋体" w:eastAsia="宋体" w:cs="Times New Roman"/>
          <w:color w:val="000000" w:themeColor="text1"/>
          <w:sz w:val="24"/>
          <w:szCs w:val="24"/>
          <w14:textFill>
            <w14:solidFill>
              <w14:schemeClr w14:val="tx1"/>
            </w14:solidFill>
          </w14:textFill>
        </w:rPr>
        <w:t>月</w:t>
      </w:r>
      <w:r>
        <w:rPr>
          <w:rFonts w:hint="eastAsia" w:ascii="Times New Roman" w:hAnsi="宋体" w:eastAsia="宋体" w:cs="Times New Roman"/>
          <w:color w:val="000000" w:themeColor="text1"/>
          <w:sz w:val="24"/>
          <w:szCs w:val="24"/>
          <w14:textFill>
            <w14:solidFill>
              <w14:schemeClr w14:val="tx1"/>
            </w14:solidFill>
          </w14:textFill>
        </w:rPr>
        <w:t>__</w:t>
      </w:r>
      <w:r>
        <w:rPr>
          <w:rFonts w:hint="eastAsia" w:ascii="宋体" w:hAnsi="宋体" w:eastAsia="宋体" w:cs="Times New Roman"/>
          <w:color w:val="000000" w:themeColor="text1"/>
          <w:sz w:val="24"/>
          <w:szCs w:val="24"/>
          <w14:textFill>
            <w14:solidFill>
              <w14:schemeClr w14:val="tx1"/>
            </w14:solidFill>
          </w14:textFill>
        </w:rPr>
        <w:t>日起至</w:t>
      </w:r>
      <w:r>
        <w:rPr>
          <w:rFonts w:hint="eastAsia" w:ascii="Times New Roman" w:hAnsi="宋体" w:eastAsia="宋体" w:cs="Times New Roman"/>
          <w:color w:val="000000" w:themeColor="text1"/>
          <w:sz w:val="24"/>
          <w:szCs w:val="24"/>
          <w14:textFill>
            <w14:solidFill>
              <w14:schemeClr w14:val="tx1"/>
            </w14:solidFill>
          </w14:textFill>
        </w:rPr>
        <w:t>____</w:t>
      </w:r>
      <w:r>
        <w:rPr>
          <w:rFonts w:hint="eastAsia" w:ascii="宋体" w:hAnsi="宋体" w:eastAsia="宋体" w:cs="Times New Roman"/>
          <w:color w:val="000000" w:themeColor="text1"/>
          <w:sz w:val="24"/>
          <w:szCs w:val="24"/>
          <w14:textFill>
            <w14:solidFill>
              <w14:schemeClr w14:val="tx1"/>
            </w14:solidFill>
          </w14:textFill>
        </w:rPr>
        <w:t>年</w:t>
      </w:r>
      <w:r>
        <w:rPr>
          <w:rFonts w:hint="eastAsia" w:ascii="Times New Roman" w:hAnsi="宋体" w:eastAsia="宋体" w:cs="Times New Roman"/>
          <w:color w:val="000000" w:themeColor="text1"/>
          <w:sz w:val="24"/>
          <w:szCs w:val="24"/>
          <w14:textFill>
            <w14:solidFill>
              <w14:schemeClr w14:val="tx1"/>
            </w14:solidFill>
          </w14:textFill>
        </w:rPr>
        <w:t>____</w:t>
      </w:r>
      <w:r>
        <w:rPr>
          <w:rFonts w:hint="eastAsia" w:ascii="宋体" w:hAnsi="宋体" w:eastAsia="宋体" w:cs="Times New Roman"/>
          <w:color w:val="000000" w:themeColor="text1"/>
          <w:sz w:val="24"/>
          <w:szCs w:val="24"/>
          <w14:textFill>
            <w14:solidFill>
              <w14:schemeClr w14:val="tx1"/>
            </w14:solidFill>
          </w14:textFill>
        </w:rPr>
        <w:t>月</w:t>
      </w:r>
      <w:r>
        <w:rPr>
          <w:rFonts w:hint="eastAsia" w:ascii="Times New Roman" w:hAnsi="宋体" w:eastAsia="宋体" w:cs="Times New Roman"/>
          <w:color w:val="000000" w:themeColor="text1"/>
          <w:sz w:val="24"/>
          <w:szCs w:val="24"/>
          <w14:textFill>
            <w14:solidFill>
              <w14:schemeClr w14:val="tx1"/>
            </w14:solidFill>
          </w14:textFill>
        </w:rPr>
        <w:t>____</w:t>
      </w:r>
      <w:r>
        <w:rPr>
          <w:rFonts w:hint="eastAsia" w:ascii="宋体" w:hAnsi="宋体" w:eastAsia="宋体" w:cs="Times New Roman"/>
          <w:color w:val="000000" w:themeColor="text1"/>
          <w:sz w:val="24"/>
          <w:szCs w:val="24"/>
          <w14:textFill>
            <w14:solidFill>
              <w14:schemeClr w14:val="tx1"/>
            </w14:solidFill>
          </w14:textFill>
        </w:rPr>
        <w:t xml:space="preserve">日止。 </w:t>
      </w:r>
    </w:p>
    <w:p>
      <w:pPr>
        <w:spacing w:line="360" w:lineRule="auto"/>
        <w:ind w:firstLine="540" w:firstLineChars="225"/>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被授权代表无转委托权。</w:t>
      </w:r>
    </w:p>
    <w:p>
      <w:pPr>
        <w:spacing w:line="360" w:lineRule="auto"/>
        <w:ind w:firstLine="540" w:firstLineChars="225"/>
        <w:rPr>
          <w:rFonts w:ascii="宋体" w:hAnsi="宋体" w:eastAsia="宋体" w:cs="Times New Roman"/>
          <w:color w:val="000000" w:themeColor="text1"/>
          <w:sz w:val="24"/>
          <w:szCs w:val="24"/>
          <w14:textFill>
            <w14:solidFill>
              <w14:schemeClr w14:val="tx1"/>
            </w14:solidFill>
          </w14:textFill>
        </w:rPr>
      </w:pP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授权单位（公章）：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法定代表人（签字或盖章）</w:t>
      </w:r>
      <w:r>
        <w:rPr>
          <w:rFonts w:hint="eastAsia" w:hAnsi="宋体"/>
          <w:b/>
          <w:bCs/>
          <w:color w:val="000000" w:themeColor="text1"/>
          <w:sz w:val="24"/>
          <w14:textFill>
            <w14:solidFill>
              <w14:schemeClr w14:val="tx1"/>
            </w14:solidFill>
          </w14:textFill>
        </w:rPr>
        <w:t>：</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签发日期：</w:t>
      </w:r>
      <w:r>
        <w:rPr>
          <w:rFonts w:hint="eastAsia" w:ascii="Times New Roman" w:hAnsi="宋体" w:eastAsia="宋体" w:cs="Times New Roman"/>
          <w:color w:val="000000" w:themeColor="text1"/>
          <w:sz w:val="24"/>
          <w:szCs w:val="24"/>
          <w14:textFill>
            <w14:solidFill>
              <w14:schemeClr w14:val="tx1"/>
            </w14:solidFill>
          </w14:textFill>
        </w:rPr>
        <w:t>____</w:t>
      </w:r>
      <w:r>
        <w:rPr>
          <w:rFonts w:hint="eastAsia" w:ascii="宋体" w:hAnsi="宋体" w:eastAsia="宋体" w:cs="Times New Roman"/>
          <w:b/>
          <w:color w:val="000000" w:themeColor="text1"/>
          <w:sz w:val="24"/>
          <w:szCs w:val="21"/>
          <w:lang w:val="zh-CN"/>
          <w14:textFill>
            <w14:solidFill>
              <w14:schemeClr w14:val="tx1"/>
            </w14:solidFill>
          </w14:textFill>
        </w:rPr>
        <w:t>年</w:t>
      </w:r>
      <w:r>
        <w:rPr>
          <w:rFonts w:hint="eastAsia" w:ascii="Times New Roman" w:hAnsi="宋体" w:eastAsia="宋体" w:cs="Times New Roman"/>
          <w:color w:val="000000" w:themeColor="text1"/>
          <w:sz w:val="24"/>
          <w:szCs w:val="24"/>
          <w14:textFill>
            <w14:solidFill>
              <w14:schemeClr w14:val="tx1"/>
            </w14:solidFill>
          </w14:textFill>
        </w:rPr>
        <w:t>____</w:t>
      </w:r>
      <w:r>
        <w:rPr>
          <w:rFonts w:hint="eastAsia" w:ascii="宋体" w:hAnsi="宋体" w:eastAsia="宋体" w:cs="Times New Roman"/>
          <w:b/>
          <w:color w:val="000000" w:themeColor="text1"/>
          <w:sz w:val="24"/>
          <w:szCs w:val="21"/>
          <w:lang w:val="zh-CN"/>
          <w14:textFill>
            <w14:solidFill>
              <w14:schemeClr w14:val="tx1"/>
            </w14:solidFill>
          </w14:textFill>
        </w:rPr>
        <w:t>月</w:t>
      </w:r>
      <w:r>
        <w:rPr>
          <w:rFonts w:hint="eastAsia" w:ascii="Times New Roman" w:hAnsi="宋体" w:eastAsia="宋体" w:cs="Times New Roman"/>
          <w:color w:val="000000" w:themeColor="text1"/>
          <w:sz w:val="24"/>
          <w:szCs w:val="24"/>
          <w14:textFill>
            <w14:solidFill>
              <w14:schemeClr w14:val="tx1"/>
            </w14:solidFill>
          </w14:textFill>
        </w:rPr>
        <w:t>____</w:t>
      </w:r>
      <w:r>
        <w:rPr>
          <w:rFonts w:hint="eastAsia" w:ascii="宋体" w:hAnsi="宋体" w:eastAsia="宋体" w:cs="Times New Roman"/>
          <w:b/>
          <w:color w:val="000000" w:themeColor="text1"/>
          <w:sz w:val="24"/>
          <w:szCs w:val="21"/>
          <w:lang w:val="zh-CN"/>
          <w14:textFill>
            <w14:solidFill>
              <w14:schemeClr w14:val="tx1"/>
            </w14:solidFill>
          </w14:textFill>
        </w:rPr>
        <w:t>日</w:t>
      </w:r>
    </w:p>
    <w:p>
      <w:p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附：</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投标人授权代表单位名称：</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职务： 性别：</w:t>
      </w:r>
    </w:p>
    <w:p>
      <w:pPr>
        <w:spacing w:line="360" w:lineRule="auto"/>
        <w:ind w:firstLine="480" w:firstLineChars="200"/>
        <w:rPr>
          <w:rFonts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身份证号码：</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电话：</w:t>
      </w:r>
    </w:p>
    <w:tbl>
      <w:tblPr>
        <w:tblStyle w:val="16"/>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9532" w:type="dxa"/>
          </w:tcPr>
          <w:p>
            <w:pPr>
              <w:spacing w:line="30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粘贴被授权人身份证（清晰影印件）</w:t>
            </w:r>
          </w:p>
        </w:tc>
      </w:tr>
    </w:tbl>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numPr>
          <w:ilvl w:val="0"/>
          <w:numId w:val="61"/>
        </w:numPr>
        <w:spacing w:before="100" w:beforeAutospacing="1" w:after="156" w:afterLines="50" w:line="360" w:lineRule="auto"/>
        <w:ind w:left="1610" w:hanging="1610"/>
        <w:rPr>
          <w:rFonts w:ascii="宋体" w:hAnsi="宋体" w:eastAsia="宋体"/>
          <w:color w:val="000000" w:themeColor="text1"/>
          <w14:textFill>
            <w14:solidFill>
              <w14:schemeClr w14:val="tx1"/>
            </w14:solidFill>
          </w14:textFill>
        </w:rPr>
      </w:pPr>
      <w:bookmarkStart w:id="188" w:name="_Toc494665011"/>
      <w:bookmarkStart w:id="189" w:name="_Toc236473304"/>
      <w:bookmarkStart w:id="190" w:name="_Toc238276248"/>
      <w:bookmarkStart w:id="191" w:name="_Toc628"/>
      <w:bookmarkStart w:id="192" w:name="_Toc494745328"/>
      <w:bookmarkStart w:id="193" w:name="_Toc494702281"/>
      <w:bookmarkStart w:id="194" w:name="_Toc494665564"/>
      <w:bookmarkStart w:id="195" w:name="_Toc494721111"/>
      <w:bookmarkStart w:id="196" w:name="_Toc494665961"/>
      <w:r>
        <w:rPr>
          <w:rFonts w:hint="eastAsia" w:ascii="宋体" w:hAnsi="宋体" w:eastAsia="宋体"/>
          <w:color w:val="000000" w:themeColor="text1"/>
          <w14:textFill>
            <w14:solidFill>
              <w14:schemeClr w14:val="tx1"/>
            </w14:solidFill>
          </w14:textFill>
        </w:rPr>
        <w:t>投标人的资格声明</w:t>
      </w:r>
      <w:bookmarkEnd w:id="188"/>
      <w:bookmarkEnd w:id="189"/>
      <w:bookmarkEnd w:id="190"/>
      <w:bookmarkEnd w:id="191"/>
      <w:bookmarkEnd w:id="192"/>
      <w:bookmarkEnd w:id="193"/>
      <w:bookmarkEnd w:id="194"/>
      <w:bookmarkEnd w:id="195"/>
      <w:bookmarkEnd w:id="196"/>
    </w:p>
    <w:p>
      <w:pPr>
        <w:spacing w:line="360" w:lineRule="auto"/>
        <w:ind w:left="1078" w:hanging="1077" w:hangingChars="449"/>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1．名称及基本情况：</w:t>
      </w:r>
    </w:p>
    <w:p>
      <w:pPr>
        <w:spacing w:line="360" w:lineRule="exact"/>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（1）投标人：</w:t>
      </w:r>
    </w:p>
    <w:p>
      <w:pPr>
        <w:spacing w:line="360" w:lineRule="exact"/>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（2）地址：     邮编：</w:t>
      </w:r>
    </w:p>
    <w:p>
      <w:pPr>
        <w:spacing w:line="360" w:lineRule="exact"/>
        <w:ind w:firstLine="840" w:firstLineChars="350"/>
        <w:rPr>
          <w:rFonts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电话：     传真：</w:t>
      </w:r>
    </w:p>
    <w:p>
      <w:pPr>
        <w:spacing w:line="360" w:lineRule="exact"/>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（3）成立或注册日期：</w:t>
      </w:r>
    </w:p>
    <w:p>
      <w:pPr>
        <w:spacing w:line="360" w:lineRule="exact"/>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（4）单位性质：</w:t>
      </w:r>
    </w:p>
    <w:p>
      <w:pPr>
        <w:spacing w:line="360" w:lineRule="exact"/>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（5）法定代表人或主要负责人：</w:t>
      </w:r>
    </w:p>
    <w:p>
      <w:pPr>
        <w:spacing w:line="360" w:lineRule="exact"/>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（6）员工人数：</w:t>
      </w:r>
    </w:p>
    <w:p>
      <w:pPr>
        <w:spacing w:line="360" w:lineRule="exact"/>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（7）注册资本：</w:t>
      </w:r>
    </w:p>
    <w:p>
      <w:pPr>
        <w:spacing w:line="360" w:lineRule="exact"/>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（8）实收资本：</w:t>
      </w:r>
    </w:p>
    <w:p>
      <w:pPr>
        <w:spacing w:line="360" w:lineRule="exact"/>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（9）上年末资产负债表：</w:t>
      </w:r>
    </w:p>
    <w:p>
      <w:pPr>
        <w:spacing w:line="360" w:lineRule="exact"/>
        <w:ind w:firstLine="727" w:firstLineChars="303"/>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1）固定资产</w:t>
      </w:r>
    </w:p>
    <w:p>
      <w:pPr>
        <w:spacing w:line="360" w:lineRule="exact"/>
        <w:ind w:firstLine="727" w:firstLineChars="303"/>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 xml:space="preserve">原   值：    净   值： </w:t>
      </w:r>
    </w:p>
    <w:p>
      <w:pPr>
        <w:spacing w:line="360" w:lineRule="exact"/>
        <w:ind w:firstLine="727" w:firstLineChars="303"/>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2）流动资金：</w:t>
      </w:r>
    </w:p>
    <w:p>
      <w:pPr>
        <w:spacing w:line="360" w:lineRule="exact"/>
        <w:ind w:firstLine="727" w:firstLineChars="303"/>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3）长期负债：</w:t>
      </w:r>
    </w:p>
    <w:p>
      <w:pPr>
        <w:spacing w:line="360" w:lineRule="exact"/>
        <w:ind w:firstLine="727" w:firstLineChars="303"/>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4）短期负债：</w:t>
      </w:r>
    </w:p>
    <w:p>
      <w:pPr>
        <w:spacing w:line="36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 xml:space="preserve">2．与投标货物的生产、销售和服务有关的情况： </w:t>
      </w:r>
    </w:p>
    <w:p>
      <w:pPr>
        <w:spacing w:line="360" w:lineRule="exact"/>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（1）关于制造投标货物的设施及其它情况：</w:t>
      </w:r>
    </w:p>
    <w:tbl>
      <w:tblPr>
        <w:tblStyle w:val="16"/>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生产基地地址</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生产的项目</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年生产能力</w:t>
            </w:r>
          </w:p>
        </w:tc>
        <w:tc>
          <w:tcPr>
            <w:tcW w:w="2384"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r>
    </w:tbl>
    <w:p>
      <w:pPr>
        <w:spacing w:line="360" w:lineRule="exact"/>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（2）投标人生产此投标货物的经验（包括年限、项目业主、额定能力、商业运营的起始日期等）：</w:t>
      </w:r>
    </w:p>
    <w:p>
      <w:pPr>
        <w:spacing w:line="360" w:lineRule="exact"/>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（3）销售、服务网点分布（可另行附表）：</w:t>
      </w:r>
    </w:p>
    <w:tbl>
      <w:tblPr>
        <w:tblStyle w:val="16"/>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7"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销售服务网点名称和地址</w:t>
            </w:r>
          </w:p>
        </w:tc>
        <w:tc>
          <w:tcPr>
            <w:tcW w:w="2155"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主要服务范围</w:t>
            </w:r>
          </w:p>
        </w:tc>
        <w:tc>
          <w:tcPr>
            <w:tcW w:w="176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服务人员数</w:t>
            </w:r>
          </w:p>
        </w:tc>
        <w:tc>
          <w:tcPr>
            <w:tcW w:w="1968"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r>
    </w:tbl>
    <w:p>
      <w:pPr>
        <w:spacing w:line="36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 xml:space="preserve">3．投标人认为需要声明的其它情况：                         </w:t>
      </w:r>
    </w:p>
    <w:p>
      <w:pPr>
        <w:spacing w:line="360" w:lineRule="exact"/>
        <w:ind w:firstLine="475" w:firstLineChars="198"/>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 xml:space="preserve">兹证明上述声明是真实的、正确，并提供了全部能提供的资料和数据，同意按照集中采购机构要求出示有关证明文件。                      </w:t>
      </w:r>
    </w:p>
    <w:p>
      <w:pPr>
        <w:spacing w:line="360" w:lineRule="auto"/>
        <w:ind w:left="504" w:leftChars="240"/>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投标人</w:t>
      </w:r>
      <w:r>
        <w:rPr>
          <w:rFonts w:hint="eastAsia" w:ascii="Times New Roman" w:hAnsi="宋体" w:eastAsia="宋体" w:cs="Times New Roman"/>
          <w:b/>
          <w:color w:val="000000" w:themeColor="text1"/>
          <w:sz w:val="24"/>
          <w:szCs w:val="24"/>
          <w14:textFill>
            <w14:solidFill>
              <w14:schemeClr w14:val="tx1"/>
            </w14:solidFill>
          </w14:textFill>
        </w:rPr>
        <w:t>（公章）</w:t>
      </w:r>
      <w:r>
        <w:rPr>
          <w:rFonts w:hint="eastAsia" w:ascii="宋体" w:hAnsi="宋体" w:eastAsia="宋体" w:cs="Times New Roman"/>
          <w:b/>
          <w:color w:val="000000" w:themeColor="text1"/>
          <w:sz w:val="24"/>
          <w:szCs w:val="24"/>
          <w14:textFill>
            <w14:solidFill>
              <w14:schemeClr w14:val="tx1"/>
            </w14:solidFill>
          </w14:textFill>
        </w:rPr>
        <w:t>：</w:t>
      </w:r>
    </w:p>
    <w:p>
      <w:pPr>
        <w:spacing w:line="360" w:lineRule="auto"/>
        <w:ind w:left="504" w:leftChars="240"/>
        <w:rPr>
          <w:rFonts w:ascii="宋体" w:hAnsi="宋体" w:eastAsia="宋体" w:cs="Times New Roman"/>
          <w:b/>
          <w:color w:val="000000" w:themeColor="text1"/>
          <w:sz w:val="24"/>
          <w:szCs w:val="24"/>
          <w14:textFill>
            <w14:solidFill>
              <w14:schemeClr w14:val="tx1"/>
            </w14:solidFill>
          </w14:textFill>
        </w:rPr>
      </w:pPr>
      <w:r>
        <w:rPr>
          <w:rFonts w:hint="eastAsia" w:ascii="Times New Roman" w:hAnsi="宋体" w:eastAsia="宋体" w:cs="Times New Roman"/>
          <w:b/>
          <w:color w:val="000000" w:themeColor="text1"/>
          <w:sz w:val="24"/>
          <w:szCs w:val="24"/>
          <w14:textFill>
            <w14:solidFill>
              <w14:schemeClr w14:val="tx1"/>
            </w14:solidFill>
          </w14:textFill>
        </w:rPr>
        <w:t>法定代表人（签字或盖章）</w:t>
      </w:r>
      <w:r>
        <w:rPr>
          <w:rFonts w:hint="eastAsia" w:ascii="宋体" w:hAnsi="宋体" w:eastAsia="宋体" w:cs="Times New Roman"/>
          <w:b/>
          <w:color w:val="000000" w:themeColor="text1"/>
          <w:sz w:val="24"/>
          <w:szCs w:val="24"/>
          <w14:textFill>
            <w14:solidFill>
              <w14:schemeClr w14:val="tx1"/>
            </w14:solidFill>
          </w14:textFill>
        </w:rPr>
        <w:t>：</w:t>
      </w:r>
    </w:p>
    <w:p>
      <w:pPr>
        <w:spacing w:line="360" w:lineRule="auto"/>
        <w:ind w:left="504" w:leftChars="240"/>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电    话：</w:t>
      </w:r>
    </w:p>
    <w:p>
      <w:pPr>
        <w:spacing w:line="360" w:lineRule="auto"/>
        <w:ind w:left="504" w:leftChars="240"/>
        <w:rPr>
          <w:rFonts w:ascii="宋体" w:hAnsi="宋体" w:eastAsia="宋体" w:cs="Times New Roman"/>
          <w:b/>
          <w:color w:val="000000" w:themeColor="text1"/>
          <w:sz w:val="24"/>
          <w:szCs w:val="24"/>
          <w:u w:val="single"/>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传    真：</w:t>
      </w:r>
    </w:p>
    <w:p>
      <w:pPr>
        <w:spacing w:line="360" w:lineRule="auto"/>
        <w:ind w:left="504" w:leftChars="240"/>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日    期：年月 日</w:t>
      </w:r>
    </w:p>
    <w:p>
      <w:pPr>
        <w:pStyle w:val="5"/>
        <w:numPr>
          <w:ilvl w:val="0"/>
          <w:numId w:val="61"/>
        </w:numPr>
        <w:spacing w:before="100" w:beforeAutospacing="1" w:after="156" w:afterLines="50" w:line="360" w:lineRule="auto"/>
        <w:ind w:left="1610" w:hanging="1610"/>
        <w:rPr>
          <w:rFonts w:ascii="宋体" w:hAnsi="宋体" w:eastAsia="宋体"/>
          <w:color w:val="000000" w:themeColor="text1"/>
          <w14:textFill>
            <w14:solidFill>
              <w14:schemeClr w14:val="tx1"/>
            </w14:solidFill>
          </w14:textFill>
        </w:rPr>
      </w:pPr>
      <w:bookmarkStart w:id="197" w:name="_Toc494721112"/>
      <w:bookmarkStart w:id="198" w:name="_Toc494665962"/>
      <w:bookmarkStart w:id="199" w:name="_Toc494745329"/>
      <w:bookmarkStart w:id="200" w:name="_Toc494702282"/>
      <w:bookmarkStart w:id="201" w:name="_Toc494665565"/>
      <w:bookmarkStart w:id="202" w:name="_Toc494665012"/>
      <w:bookmarkStart w:id="203" w:name="_Toc27129"/>
      <w:r>
        <w:rPr>
          <w:rFonts w:hint="eastAsia" w:ascii="宋体" w:hAnsi="宋体" w:eastAsia="宋体"/>
          <w:color w:val="000000" w:themeColor="text1"/>
          <w14:textFill>
            <w14:solidFill>
              <w14:schemeClr w14:val="tx1"/>
            </w14:solidFill>
          </w14:textFill>
        </w:rPr>
        <w:t>项目负责人、技术负责人简历表</w:t>
      </w:r>
      <w:bookmarkEnd w:id="197"/>
      <w:bookmarkEnd w:id="198"/>
      <w:bookmarkEnd w:id="199"/>
      <w:bookmarkEnd w:id="200"/>
      <w:bookmarkEnd w:id="201"/>
      <w:bookmarkEnd w:id="202"/>
      <w:bookmarkEnd w:id="203"/>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6"/>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姓    名</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color w:val="000000" w:themeColor="text1"/>
                <w:kern w:val="0"/>
                <w:sz w:val="24"/>
                <w:szCs w:val="28"/>
                <w14:textFill>
                  <w14:solidFill>
                    <w14:schemeClr w14:val="tx1"/>
                  </w14:solidFill>
                </w14:textFill>
              </w:rPr>
            </w:pPr>
          </w:p>
        </w:tc>
        <w:tc>
          <w:tcPr>
            <w:tcW w:w="1530" w:type="dxa"/>
            <w:gridSpan w:val="2"/>
            <w:vAlign w:val="center"/>
          </w:tcPr>
          <w:p>
            <w:pPr>
              <w:autoSpaceDE w:val="0"/>
              <w:autoSpaceDN w:val="0"/>
              <w:adjustRightInd w:val="0"/>
              <w:spacing w:line="360" w:lineRule="auto"/>
              <w:ind w:right="-128" w:rightChars="-61"/>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性    别</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color w:val="000000" w:themeColor="text1"/>
                <w:kern w:val="0"/>
                <w:sz w:val="24"/>
                <w:szCs w:val="28"/>
                <w14:textFill>
                  <w14:solidFill>
                    <w14:schemeClr w14:val="tx1"/>
                  </w14:solidFill>
                </w14:textFill>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年    龄</w:t>
            </w:r>
          </w:p>
        </w:tc>
        <w:tc>
          <w:tcPr>
            <w:tcW w:w="1530" w:type="dxa"/>
            <w:vAlign w:val="center"/>
          </w:tcPr>
          <w:p>
            <w:pPr>
              <w:autoSpaceDE w:val="0"/>
              <w:autoSpaceDN w:val="0"/>
              <w:adjustRightInd w:val="0"/>
              <w:spacing w:line="360" w:lineRule="auto"/>
              <w:ind w:right="285" w:rightChars="136"/>
              <w:jc w:val="center"/>
              <w:rPr>
                <w:rFonts w:ascii="宋体" w:hAnsi="宋体" w:eastAsia="宋体" w:cs="Times New Roman"/>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职    务</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color w:val="000000" w:themeColor="text1"/>
                <w:kern w:val="0"/>
                <w:sz w:val="24"/>
                <w:szCs w:val="28"/>
                <w14:textFill>
                  <w14:solidFill>
                    <w14:schemeClr w14:val="tx1"/>
                  </w14:solidFill>
                </w14:textFill>
              </w:rPr>
            </w:pPr>
          </w:p>
        </w:tc>
        <w:tc>
          <w:tcPr>
            <w:tcW w:w="1530" w:type="dxa"/>
            <w:gridSpan w:val="2"/>
            <w:vAlign w:val="center"/>
          </w:tcPr>
          <w:p>
            <w:pPr>
              <w:autoSpaceDE w:val="0"/>
              <w:autoSpaceDN w:val="0"/>
              <w:adjustRightInd w:val="0"/>
              <w:spacing w:line="360" w:lineRule="auto"/>
              <w:ind w:right="-84" w:rightChars="-40"/>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职    称</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color w:val="000000" w:themeColor="text1"/>
                <w:kern w:val="0"/>
                <w:sz w:val="24"/>
                <w:szCs w:val="28"/>
                <w14:textFill>
                  <w14:solidFill>
                    <w14:schemeClr w14:val="tx1"/>
                  </w14:solidFill>
                </w14:textFill>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学    历</w:t>
            </w:r>
          </w:p>
        </w:tc>
        <w:tc>
          <w:tcPr>
            <w:tcW w:w="1530" w:type="dxa"/>
            <w:vAlign w:val="center"/>
          </w:tcPr>
          <w:p>
            <w:pPr>
              <w:autoSpaceDE w:val="0"/>
              <w:autoSpaceDN w:val="0"/>
              <w:adjustRightInd w:val="0"/>
              <w:spacing w:line="360" w:lineRule="auto"/>
              <w:ind w:right="2" w:rightChars="1"/>
              <w:jc w:val="center"/>
              <w:rPr>
                <w:rFonts w:ascii="宋体" w:hAnsi="宋体" w:eastAsia="宋体" w:cs="Times New Roman"/>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参加工作</w:t>
            </w:r>
          </w:p>
          <w:p>
            <w:pPr>
              <w:autoSpaceDE w:val="0"/>
              <w:autoSpaceDN w:val="0"/>
              <w:adjustRightInd w:val="0"/>
              <w:spacing w:line="360" w:lineRule="auto"/>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时间</w:t>
            </w:r>
          </w:p>
        </w:tc>
        <w:tc>
          <w:tcPr>
            <w:tcW w:w="1530" w:type="dxa"/>
            <w:gridSpan w:val="2"/>
            <w:vAlign w:val="center"/>
          </w:tcPr>
          <w:p>
            <w:pPr>
              <w:autoSpaceDE w:val="0"/>
              <w:autoSpaceDN w:val="0"/>
              <w:adjustRightInd w:val="0"/>
              <w:spacing w:line="360" w:lineRule="auto"/>
              <w:jc w:val="center"/>
              <w:rPr>
                <w:rFonts w:ascii="宋体" w:hAnsi="宋体" w:eastAsia="宋体" w:cs="Times New Roman"/>
                <w:color w:val="000000" w:themeColor="text1"/>
                <w:kern w:val="0"/>
                <w:sz w:val="24"/>
                <w:szCs w:val="28"/>
                <w14:textFill>
                  <w14:solidFill>
                    <w14:schemeClr w14:val="tx1"/>
                  </w14:solidFill>
                </w14:textFill>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从事本行业工作年限</w:t>
            </w:r>
          </w:p>
        </w:tc>
        <w:tc>
          <w:tcPr>
            <w:tcW w:w="1530" w:type="dxa"/>
            <w:gridSpan w:val="2"/>
            <w:vAlign w:val="center"/>
          </w:tcPr>
          <w:p>
            <w:pPr>
              <w:autoSpaceDE w:val="0"/>
              <w:autoSpaceDN w:val="0"/>
              <w:adjustRightInd w:val="0"/>
              <w:spacing w:line="360" w:lineRule="auto"/>
              <w:jc w:val="center"/>
              <w:rPr>
                <w:rFonts w:ascii="宋体" w:hAnsi="宋体" w:eastAsia="宋体" w:cs="Times New Roman"/>
                <w:color w:val="000000" w:themeColor="text1"/>
                <w:kern w:val="0"/>
                <w:sz w:val="24"/>
                <w:szCs w:val="28"/>
                <w14:textFill>
                  <w14:solidFill>
                    <w14:schemeClr w14:val="tx1"/>
                  </w14:solidFill>
                </w14:textFill>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个人专业资质及证书</w:t>
            </w:r>
          </w:p>
        </w:tc>
        <w:tc>
          <w:tcPr>
            <w:tcW w:w="1530" w:type="dxa"/>
            <w:vAlign w:val="center"/>
          </w:tcPr>
          <w:p>
            <w:pPr>
              <w:autoSpaceDE w:val="0"/>
              <w:autoSpaceDN w:val="0"/>
              <w:adjustRightInd w:val="0"/>
              <w:spacing w:line="360" w:lineRule="auto"/>
              <w:jc w:val="center"/>
              <w:rPr>
                <w:rFonts w:ascii="宋体" w:hAnsi="宋体" w:eastAsia="宋体" w:cs="Times New Roman"/>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项目单位</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项目名称</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项目内容</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项目金额</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r>
    </w:tbl>
    <w:p>
      <w:pPr>
        <w:spacing w:line="360" w:lineRule="auto"/>
        <w:ind w:left="720" w:hanging="720" w:hangingChars="300"/>
        <w:jc w:val="left"/>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说明：投标文件正本应附完整的相关证明材料清晰影印件，未按照要求详细完整填写此表，导致的后果由投标人自行承担。</w:t>
      </w:r>
    </w:p>
    <w:p>
      <w:pPr>
        <w:spacing w:line="360" w:lineRule="auto"/>
        <w:jc w:val="left"/>
        <w:rPr>
          <w:rFonts w:ascii="宋体" w:hAnsi="宋体" w:eastAsia="宋体" w:cs="Times New Roman"/>
          <w:color w:val="000000" w:themeColor="text1"/>
          <w:sz w:val="24"/>
          <w:szCs w:val="24"/>
          <w:lang w:val="zh-CN"/>
          <w14:textFill>
            <w14:solidFill>
              <w14:schemeClr w14:val="tx1"/>
            </w14:solidFill>
          </w14:textFill>
        </w:rPr>
      </w:pP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numPr>
          <w:ilvl w:val="0"/>
          <w:numId w:val="61"/>
        </w:numPr>
        <w:spacing w:before="100" w:beforeAutospacing="1" w:after="156" w:afterLines="50" w:line="360" w:lineRule="auto"/>
        <w:ind w:left="1610" w:hanging="1610"/>
        <w:rPr>
          <w:rFonts w:ascii="宋体" w:hAnsi="宋体" w:eastAsia="宋体"/>
          <w:color w:val="000000" w:themeColor="text1"/>
          <w14:textFill>
            <w14:solidFill>
              <w14:schemeClr w14:val="tx1"/>
            </w14:solidFill>
          </w14:textFill>
        </w:rPr>
      </w:pPr>
      <w:bookmarkStart w:id="204" w:name="_Toc494702283"/>
      <w:bookmarkStart w:id="205" w:name="_Toc494745330"/>
      <w:bookmarkStart w:id="206" w:name="_Toc494721113"/>
      <w:bookmarkStart w:id="207" w:name="_Toc494665566"/>
      <w:bookmarkStart w:id="208" w:name="_Toc236473307"/>
      <w:bookmarkStart w:id="209" w:name="_Toc494665963"/>
      <w:bookmarkStart w:id="210" w:name="_Toc494665013"/>
      <w:bookmarkStart w:id="211" w:name="_Toc238276251"/>
      <w:bookmarkStart w:id="212" w:name="_Toc365"/>
      <w:r>
        <w:rPr>
          <w:rFonts w:hint="eastAsia" w:ascii="宋体" w:hAnsi="宋体" w:eastAsia="宋体"/>
          <w:color w:val="000000" w:themeColor="text1"/>
          <w14:textFill>
            <w14:solidFill>
              <w14:schemeClr w14:val="tx1"/>
            </w14:solidFill>
          </w14:textFill>
        </w:rPr>
        <w:t>项目班子成员情况表</w:t>
      </w:r>
      <w:bookmarkEnd w:id="204"/>
      <w:bookmarkEnd w:id="205"/>
      <w:bookmarkEnd w:id="206"/>
      <w:bookmarkEnd w:id="207"/>
      <w:bookmarkEnd w:id="208"/>
      <w:bookmarkEnd w:id="209"/>
      <w:bookmarkEnd w:id="210"/>
      <w:bookmarkEnd w:id="211"/>
      <w:bookmarkEnd w:id="212"/>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序号</w:t>
            </w:r>
          </w:p>
        </w:tc>
        <w:tc>
          <w:tcPr>
            <w:tcW w:w="99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姓 名</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专 业</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年 龄</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从事本行业工作年限</w:t>
            </w:r>
          </w:p>
        </w:tc>
        <w:tc>
          <w:tcPr>
            <w:tcW w:w="1843"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在本项目中承担的工作</w:t>
            </w:r>
          </w:p>
        </w:tc>
        <w:tc>
          <w:tcPr>
            <w:tcW w:w="1842"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 w:val="24"/>
                <w:szCs w:val="24"/>
                <w14:textFill>
                  <w14:solidFill>
                    <w14:schemeClr w14:val="tx1"/>
                  </w14:solidFill>
                </w14:textFill>
              </w:rPr>
            </w:pPr>
          </w:p>
        </w:tc>
        <w:tc>
          <w:tcPr>
            <w:tcW w:w="1843" w:type="dxa"/>
            <w:tcBorders>
              <w:left w:val="single" w:color="auto" w:sz="4" w:space="0"/>
              <w:right w:val="single" w:color="auto" w:sz="4" w:space="0"/>
            </w:tcBorders>
            <w:vAlign w:val="center"/>
          </w:tcPr>
          <w:p>
            <w:pPr>
              <w:rPr>
                <w:rFonts w:ascii="宋体" w:hAnsi="宋体" w:eastAsia="宋体" w:cs="Times New Roman"/>
                <w:color w:val="000000" w:themeColor="text1"/>
                <w:sz w:val="24"/>
                <w:szCs w:val="24"/>
                <w14:textFill>
                  <w14:solidFill>
                    <w14:schemeClr w14:val="tx1"/>
                  </w14:solidFill>
                </w14:textFill>
              </w:rPr>
            </w:pPr>
          </w:p>
        </w:tc>
        <w:tc>
          <w:tcPr>
            <w:tcW w:w="1842" w:type="dxa"/>
            <w:tcBorders>
              <w:left w:val="single" w:color="auto" w:sz="4" w:space="0"/>
              <w:right w:val="single" w:color="auto" w:sz="4" w:space="0"/>
            </w:tcBorders>
            <w:vAlign w:val="center"/>
          </w:tcPr>
          <w:p>
            <w:pPr>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3" w:type="dxa"/>
            <w:tcBorders>
              <w:left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2" w:type="dxa"/>
            <w:tcBorders>
              <w:left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3" w:type="dxa"/>
            <w:tcBorders>
              <w:left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2" w:type="dxa"/>
            <w:tcBorders>
              <w:left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3" w:type="dxa"/>
            <w:tcBorders>
              <w:left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2" w:type="dxa"/>
            <w:tcBorders>
              <w:left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3" w:type="dxa"/>
            <w:tcBorders>
              <w:left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2" w:type="dxa"/>
            <w:tcBorders>
              <w:left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3" w:type="dxa"/>
            <w:tcBorders>
              <w:left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2" w:type="dxa"/>
            <w:tcBorders>
              <w:left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7</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3" w:type="dxa"/>
            <w:tcBorders>
              <w:left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2" w:type="dxa"/>
            <w:tcBorders>
              <w:left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3"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2"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r>
    </w:tbl>
    <w:p>
      <w:pPr>
        <w:spacing w:line="360" w:lineRule="auto"/>
        <w:ind w:left="720" w:hanging="720" w:hangingChars="300"/>
        <w:jc w:val="left"/>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说明：投标文件正本应附完整的相关证明材料清晰影印件，</w:t>
      </w:r>
      <w:r>
        <w:rPr>
          <w:rFonts w:hint="eastAsia" w:ascii="宋体" w:hAnsi="宋体" w:eastAsia="宋体" w:cs="Corbel"/>
          <w:color w:val="000000" w:themeColor="text1"/>
          <w:sz w:val="24"/>
          <w:szCs w:val="21"/>
          <w:lang w:val="zh-CN"/>
          <w14:textFill>
            <w14:solidFill>
              <w14:schemeClr w14:val="tx1"/>
            </w14:solidFill>
          </w14:textFill>
        </w:rPr>
        <w:t>未按照要求详细完整填写此表，</w:t>
      </w:r>
      <w:r>
        <w:rPr>
          <w:rFonts w:hint="eastAsia" w:ascii="宋体" w:hAnsi="宋体" w:eastAsia="宋体" w:cs="Times New Roman"/>
          <w:color w:val="000000" w:themeColor="text1"/>
          <w:sz w:val="24"/>
          <w:szCs w:val="21"/>
          <w:lang w:val="zh-CN"/>
          <w14:textFill>
            <w14:solidFill>
              <w14:schemeClr w14:val="tx1"/>
            </w14:solidFill>
          </w14:textFill>
        </w:rPr>
        <w:t>导致的后果由投标人自行承担。</w:t>
      </w:r>
    </w:p>
    <w:p>
      <w:pPr>
        <w:spacing w:line="360" w:lineRule="auto"/>
        <w:jc w:val="left"/>
        <w:rPr>
          <w:rFonts w:ascii="宋体" w:hAnsi="宋体" w:eastAsia="宋体" w:cs="Times New Roman"/>
          <w:color w:val="000000" w:themeColor="text1"/>
          <w:sz w:val="24"/>
          <w:szCs w:val="24"/>
          <w:lang w:val="zh-CN"/>
          <w14:textFill>
            <w14:solidFill>
              <w14:schemeClr w14:val="tx1"/>
            </w14:solidFill>
          </w14:textFill>
        </w:rPr>
      </w:pPr>
    </w:p>
    <w:p>
      <w:pPr>
        <w:spacing w:line="360" w:lineRule="auto"/>
        <w:jc w:val="left"/>
        <w:rPr>
          <w:rFonts w:ascii="宋体" w:hAnsi="宋体" w:eastAsia="宋体" w:cs="Times New Roman"/>
          <w:color w:val="000000" w:themeColor="text1"/>
          <w:sz w:val="24"/>
          <w:szCs w:val="24"/>
          <w:lang w:val="zh-CN"/>
          <w14:textFill>
            <w14:solidFill>
              <w14:schemeClr w14:val="tx1"/>
            </w14:solidFill>
          </w14:textFill>
        </w:rPr>
      </w:pPr>
    </w:p>
    <w:p>
      <w:pPr>
        <w:spacing w:line="360" w:lineRule="auto"/>
        <w:jc w:val="left"/>
        <w:rPr>
          <w:rFonts w:ascii="宋体" w:hAnsi="宋体" w:eastAsia="宋体" w:cs="Times New Roman"/>
          <w:color w:val="000000" w:themeColor="text1"/>
          <w:sz w:val="24"/>
          <w:szCs w:val="24"/>
          <w:lang w:val="zh-CN"/>
          <w14:textFill>
            <w14:solidFill>
              <w14:schemeClr w14:val="tx1"/>
            </w14:solidFill>
          </w14:textFill>
        </w:rPr>
      </w:pPr>
    </w:p>
    <w:p>
      <w:pPr>
        <w:spacing w:line="360" w:lineRule="auto"/>
        <w:jc w:val="left"/>
        <w:rPr>
          <w:rFonts w:ascii="宋体" w:hAnsi="宋体" w:eastAsia="宋体" w:cs="Times New Roman"/>
          <w:color w:val="000000" w:themeColor="text1"/>
          <w:sz w:val="24"/>
          <w:szCs w:val="24"/>
          <w:lang w:val="zh-CN"/>
          <w14:textFill>
            <w14:solidFill>
              <w14:schemeClr w14:val="tx1"/>
            </w14:solidFill>
          </w14:textFill>
        </w:rPr>
      </w:pPr>
    </w:p>
    <w:p>
      <w:pPr>
        <w:spacing w:line="360" w:lineRule="auto"/>
        <w:jc w:val="left"/>
        <w:rPr>
          <w:rFonts w:ascii="宋体" w:hAnsi="宋体" w:eastAsia="宋体" w:cs="Times New Roman"/>
          <w:color w:val="000000" w:themeColor="text1"/>
          <w:sz w:val="24"/>
          <w:szCs w:val="24"/>
          <w:lang w:val="zh-CN"/>
          <w14:textFill>
            <w14:solidFill>
              <w14:schemeClr w14:val="tx1"/>
            </w14:solidFill>
          </w14:textFill>
        </w:rPr>
      </w:pP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numPr>
          <w:ilvl w:val="0"/>
          <w:numId w:val="61"/>
        </w:numPr>
        <w:spacing w:before="100" w:beforeAutospacing="1" w:after="156" w:afterLines="50" w:line="360" w:lineRule="auto"/>
        <w:ind w:left="1610" w:hanging="1610"/>
        <w:rPr>
          <w:rFonts w:ascii="宋体" w:hAnsi="宋体" w:eastAsia="宋体"/>
          <w:color w:val="000000" w:themeColor="text1"/>
          <w14:textFill>
            <w14:solidFill>
              <w14:schemeClr w14:val="tx1"/>
            </w14:solidFill>
          </w14:textFill>
        </w:rPr>
      </w:pPr>
      <w:bookmarkStart w:id="213" w:name="_Toc494665567"/>
      <w:bookmarkStart w:id="214" w:name="_Toc236473312"/>
      <w:bookmarkStart w:id="215" w:name="_Toc494665014"/>
      <w:bookmarkStart w:id="216" w:name="_Toc494721114"/>
      <w:bookmarkStart w:id="217" w:name="_Toc494665964"/>
      <w:bookmarkStart w:id="218" w:name="_Toc238276256"/>
      <w:bookmarkStart w:id="219" w:name="_Toc494745331"/>
      <w:bookmarkStart w:id="220" w:name="_Toc494702284"/>
      <w:bookmarkStart w:id="221" w:name="_Toc10746"/>
      <w:r>
        <w:rPr>
          <w:rFonts w:hint="eastAsia" w:ascii="宋体" w:hAnsi="宋体" w:eastAsia="宋体"/>
          <w:color w:val="000000" w:themeColor="text1"/>
          <w14:textFill>
            <w14:solidFill>
              <w14:schemeClr w14:val="tx1"/>
            </w14:solidFill>
          </w14:textFill>
        </w:rPr>
        <w:t>投标人类似项目业绩表</w:t>
      </w:r>
      <w:bookmarkEnd w:id="213"/>
      <w:bookmarkEnd w:id="214"/>
      <w:bookmarkEnd w:id="215"/>
      <w:bookmarkEnd w:id="216"/>
      <w:bookmarkEnd w:id="217"/>
      <w:bookmarkEnd w:id="218"/>
      <w:bookmarkEnd w:id="219"/>
      <w:bookmarkEnd w:id="220"/>
      <w:bookmarkEnd w:id="221"/>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6"/>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20" w:type="dxa"/>
            <w:shd w:val="clear" w:color="auto" w:fill="auto"/>
            <w:vAlign w:val="center"/>
          </w:tcPr>
          <w:p>
            <w:pPr>
              <w:jc w:val="center"/>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项目单位名称</w:t>
            </w:r>
          </w:p>
        </w:tc>
        <w:tc>
          <w:tcPr>
            <w:tcW w:w="7200" w:type="dxa"/>
            <w:shd w:val="clear" w:color="auto" w:fill="auto"/>
          </w:tcPr>
          <w:p>
            <w:pPr>
              <w:rPr>
                <w:rFonts w:ascii="宋体" w:hAnsi="宋体" w:eastAsia="宋体" w:cs="Courier New"/>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项目名称</w:t>
            </w:r>
          </w:p>
        </w:tc>
        <w:tc>
          <w:tcPr>
            <w:tcW w:w="7200" w:type="dxa"/>
            <w:shd w:val="clear" w:color="auto" w:fill="auto"/>
          </w:tcPr>
          <w:p>
            <w:pPr>
              <w:rPr>
                <w:rFonts w:ascii="宋体" w:hAnsi="宋体" w:eastAsia="宋体" w:cs="Courier New"/>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项目单位联系人姓名及联系方式</w:t>
            </w:r>
          </w:p>
        </w:tc>
        <w:tc>
          <w:tcPr>
            <w:tcW w:w="7200" w:type="dxa"/>
            <w:shd w:val="clear" w:color="auto" w:fill="auto"/>
          </w:tcPr>
          <w:p>
            <w:pPr>
              <w:rPr>
                <w:rFonts w:ascii="宋体" w:hAnsi="宋体" w:eastAsia="宋体" w:cs="Courier New"/>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20" w:type="dxa"/>
            <w:shd w:val="clear" w:color="auto" w:fill="auto"/>
            <w:vAlign w:val="center"/>
          </w:tcPr>
          <w:p>
            <w:pPr>
              <w:jc w:val="center"/>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项目金额</w:t>
            </w:r>
          </w:p>
        </w:tc>
        <w:tc>
          <w:tcPr>
            <w:tcW w:w="7200" w:type="dxa"/>
            <w:shd w:val="clear" w:color="auto" w:fill="auto"/>
          </w:tcPr>
          <w:p>
            <w:pPr>
              <w:rPr>
                <w:rFonts w:ascii="宋体" w:hAnsi="宋体" w:eastAsia="宋体" w:cs="Courier New"/>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220" w:type="dxa"/>
            <w:shd w:val="clear" w:color="auto" w:fill="auto"/>
            <w:vAlign w:val="center"/>
          </w:tcPr>
          <w:p>
            <w:pPr>
              <w:jc w:val="center"/>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项目负责人姓名</w:t>
            </w:r>
          </w:p>
        </w:tc>
        <w:tc>
          <w:tcPr>
            <w:tcW w:w="7200" w:type="dxa"/>
            <w:shd w:val="clear" w:color="auto" w:fill="auto"/>
          </w:tcPr>
          <w:p>
            <w:pPr>
              <w:rPr>
                <w:rFonts w:ascii="宋体" w:hAnsi="宋体" w:eastAsia="宋体" w:cs="Courier New"/>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220" w:type="dxa"/>
            <w:shd w:val="clear" w:color="auto" w:fill="auto"/>
            <w:vAlign w:val="center"/>
          </w:tcPr>
          <w:p>
            <w:pPr>
              <w:jc w:val="center"/>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项目时间</w:t>
            </w:r>
          </w:p>
        </w:tc>
        <w:tc>
          <w:tcPr>
            <w:tcW w:w="7200" w:type="dxa"/>
            <w:shd w:val="clear" w:color="auto" w:fill="auto"/>
          </w:tcPr>
          <w:p>
            <w:pPr>
              <w:rPr>
                <w:rFonts w:ascii="宋体" w:hAnsi="宋体" w:eastAsia="宋体" w:cs="Courier New"/>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2220" w:type="dxa"/>
            <w:shd w:val="clear" w:color="auto" w:fill="auto"/>
            <w:vAlign w:val="center"/>
          </w:tcPr>
          <w:p>
            <w:pPr>
              <w:jc w:val="center"/>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项目内容</w:t>
            </w:r>
          </w:p>
        </w:tc>
        <w:tc>
          <w:tcPr>
            <w:tcW w:w="7200" w:type="dxa"/>
            <w:shd w:val="clear" w:color="auto" w:fill="auto"/>
          </w:tcPr>
          <w:p>
            <w:pPr>
              <w:rPr>
                <w:rFonts w:ascii="宋体" w:hAnsi="宋体" w:eastAsia="宋体" w:cs="Courier New"/>
                <w:color w:val="000000" w:themeColor="text1"/>
                <w:sz w:val="24"/>
                <w:szCs w:val="24"/>
                <w14:textFill>
                  <w14:solidFill>
                    <w14:schemeClr w14:val="tx1"/>
                  </w14:solidFill>
                </w14:textFill>
              </w:rPr>
            </w:pPr>
          </w:p>
        </w:tc>
      </w:tr>
    </w:tbl>
    <w:p>
      <w:pPr>
        <w:spacing w:line="360" w:lineRule="auto"/>
        <w:ind w:left="1092" w:hanging="1092" w:hangingChars="455"/>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说明：1．每个合同应单独附表，并附上相关证明材料，</w:t>
      </w:r>
      <w:r>
        <w:rPr>
          <w:rFonts w:hint="eastAsia" w:ascii="宋体" w:hAnsi="宋体" w:eastAsia="宋体" w:cs="Corbel"/>
          <w:color w:val="000000" w:themeColor="text1"/>
          <w:sz w:val="24"/>
          <w:szCs w:val="24"/>
          <w14:textFill>
            <w14:solidFill>
              <w14:schemeClr w14:val="tx1"/>
            </w14:solidFill>
          </w14:textFill>
        </w:rPr>
        <w:t>未按照要求详细完整填写此表，</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spacing w:line="360" w:lineRule="auto"/>
        <w:ind w:left="1061" w:leftChars="339" w:hanging="350" w:hangingChars="146"/>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2．项目内容请详细说明所承担的具体工作内容等。</w:t>
      </w:r>
    </w:p>
    <w:p>
      <w:pPr>
        <w:spacing w:line="360" w:lineRule="auto"/>
        <w:ind w:firstLine="720" w:firstLineChars="300"/>
        <w:rPr>
          <w:rFonts w:ascii="宋体" w:hAnsi="宋体" w:eastAsia="宋体" w:cs="Times New Roman"/>
          <w:color w:val="000000" w:themeColor="text1"/>
          <w:sz w:val="24"/>
          <w:szCs w:val="24"/>
          <w14:textFill>
            <w14:solidFill>
              <w14:schemeClr w14:val="tx1"/>
            </w14:solidFill>
          </w14:textFill>
        </w:rPr>
      </w:pPr>
    </w:p>
    <w:p>
      <w:pPr>
        <w:spacing w:line="360" w:lineRule="auto"/>
        <w:ind w:firstLine="720" w:firstLineChars="300"/>
        <w:rPr>
          <w:rFonts w:ascii="宋体" w:hAnsi="宋体" w:eastAsia="宋体" w:cs="Times New Roman"/>
          <w:color w:val="000000" w:themeColor="text1"/>
          <w:sz w:val="24"/>
          <w:szCs w:val="24"/>
          <w14:textFill>
            <w14:solidFill>
              <w14:schemeClr w14:val="tx1"/>
            </w14:solidFill>
          </w14:textFill>
        </w:rPr>
      </w:pP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numPr>
          <w:ilvl w:val="0"/>
          <w:numId w:val="61"/>
        </w:numPr>
        <w:spacing w:before="100" w:beforeAutospacing="1" w:after="156" w:afterLines="50" w:line="360" w:lineRule="auto"/>
        <w:ind w:left="1610" w:hanging="1610"/>
        <w:rPr>
          <w:rFonts w:ascii="宋体" w:hAnsi="宋体" w:eastAsia="宋体"/>
          <w:color w:val="000000" w:themeColor="text1"/>
          <w14:textFill>
            <w14:solidFill>
              <w14:schemeClr w14:val="tx1"/>
            </w14:solidFill>
          </w14:textFill>
        </w:rPr>
      </w:pPr>
      <w:bookmarkStart w:id="222" w:name="_Toc494665965"/>
      <w:bookmarkStart w:id="223" w:name="_Toc494745332"/>
      <w:bookmarkStart w:id="224" w:name="_Toc6336"/>
      <w:bookmarkStart w:id="225" w:name="_Toc494721115"/>
      <w:bookmarkStart w:id="226" w:name="_Toc494665568"/>
      <w:bookmarkStart w:id="227" w:name="_Toc494665015"/>
      <w:bookmarkStart w:id="228" w:name="_Toc494702285"/>
      <w:r>
        <w:rPr>
          <w:rFonts w:hint="eastAsia" w:ascii="宋体" w:hAnsi="宋体" w:eastAsia="宋体"/>
          <w:color w:val="000000" w:themeColor="text1"/>
          <w14:textFill>
            <w14:solidFill>
              <w14:schemeClr w14:val="tx1"/>
            </w14:solidFill>
          </w14:textFill>
        </w:rPr>
        <w:t>符合性审查对照表</w:t>
      </w:r>
      <w:bookmarkEnd w:id="222"/>
      <w:bookmarkEnd w:id="223"/>
      <w:bookmarkEnd w:id="224"/>
      <w:bookmarkEnd w:id="225"/>
      <w:bookmarkEnd w:id="226"/>
      <w:bookmarkEnd w:id="227"/>
      <w:bookmarkEnd w:id="228"/>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6"/>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3"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序号</w:t>
            </w:r>
          </w:p>
        </w:tc>
        <w:tc>
          <w:tcPr>
            <w:tcW w:w="3032"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招标文件</w:t>
            </w:r>
            <w:r>
              <w:rPr>
                <w:rFonts w:hint="eastAsia" w:ascii="宋体" w:hAnsi="宋体" w:eastAsia="宋体" w:cs="Corbel"/>
                <w:color w:val="000000" w:themeColor="text1"/>
                <w:sz w:val="24"/>
                <w:szCs w:val="24"/>
                <w14:textFill>
                  <w14:solidFill>
                    <w14:schemeClr w14:val="tx1"/>
                  </w14:solidFill>
                </w14:textFill>
              </w:rPr>
              <w:t>符合性审查条款</w:t>
            </w:r>
          </w:p>
        </w:tc>
        <w:tc>
          <w:tcPr>
            <w:tcW w:w="2754"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投标响应内容对应简述</w:t>
            </w:r>
          </w:p>
        </w:tc>
        <w:tc>
          <w:tcPr>
            <w:tcW w:w="1363"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偏离说明</w:t>
            </w:r>
          </w:p>
        </w:tc>
        <w:tc>
          <w:tcPr>
            <w:tcW w:w="1602" w:type="dxa"/>
            <w:shd w:val="clear" w:color="auto" w:fill="F1F1F1" w:themeFill="background1" w:themeFillShade="F2"/>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1</w:t>
            </w:r>
          </w:p>
        </w:tc>
        <w:tc>
          <w:tcPr>
            <w:tcW w:w="3032"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4"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3"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02"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2</w:t>
            </w:r>
          </w:p>
        </w:tc>
        <w:tc>
          <w:tcPr>
            <w:tcW w:w="3032"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4"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3"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02"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3</w:t>
            </w:r>
          </w:p>
        </w:tc>
        <w:tc>
          <w:tcPr>
            <w:tcW w:w="3032"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4"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3"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02"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4</w:t>
            </w:r>
          </w:p>
        </w:tc>
        <w:tc>
          <w:tcPr>
            <w:tcW w:w="3032"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4"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3"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02"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5</w:t>
            </w:r>
          </w:p>
        </w:tc>
        <w:tc>
          <w:tcPr>
            <w:tcW w:w="3032"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4"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3"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02"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6</w:t>
            </w:r>
          </w:p>
        </w:tc>
        <w:tc>
          <w:tcPr>
            <w:tcW w:w="3032"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4"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3"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02"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7</w:t>
            </w:r>
          </w:p>
        </w:tc>
        <w:tc>
          <w:tcPr>
            <w:tcW w:w="3032"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4"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3"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02"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w:t>
            </w:r>
          </w:p>
        </w:tc>
        <w:tc>
          <w:tcPr>
            <w:tcW w:w="3032"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4"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3"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02"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bl>
    <w:p>
      <w:pPr>
        <w:spacing w:line="360" w:lineRule="auto"/>
        <w:ind w:left="1092" w:hanging="1092" w:hangingChars="455"/>
        <w:jc w:val="left"/>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说明</w:t>
      </w:r>
      <w:r>
        <w:rPr>
          <w:rFonts w:hint="eastAsia" w:ascii="宋体" w:hAnsi="宋体" w:eastAsia="宋体" w:cs="Corbel"/>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Corbel"/>
          <w:color w:val="000000" w:themeColor="text1"/>
          <w:sz w:val="24"/>
          <w:szCs w:val="24"/>
          <w14:textFill>
            <w14:solidFill>
              <w14:schemeClr w14:val="tx1"/>
            </w14:solidFill>
          </w14:textFill>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spacing w:line="360" w:lineRule="auto"/>
        <w:ind w:left="1061" w:leftChars="339" w:hanging="350" w:hangingChars="146"/>
        <w:jc w:val="left"/>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2．</w:t>
      </w:r>
      <w:r>
        <w:rPr>
          <w:rFonts w:hint="eastAsia" w:ascii="宋体" w:hAnsi="宋体" w:eastAsia="宋体" w:cs="Times New Roman"/>
          <w:color w:val="000000" w:themeColor="text1"/>
          <w:sz w:val="24"/>
          <w:szCs w:val="24"/>
          <w14:textFill>
            <w14:solidFill>
              <w14:schemeClr w14:val="tx1"/>
            </w14:solidFill>
          </w14:textFill>
        </w:rPr>
        <w:t>投标人</w:t>
      </w:r>
      <w:r>
        <w:rPr>
          <w:rFonts w:hint="eastAsia" w:ascii="宋体" w:hAnsi="宋体" w:eastAsia="宋体" w:cs="Corbel"/>
          <w:color w:val="000000" w:themeColor="text1"/>
          <w:sz w:val="24"/>
          <w:szCs w:val="24"/>
          <w14:textFill>
            <w14:solidFill>
              <w14:schemeClr w14:val="tx1"/>
            </w14:solidFill>
          </w14:textFill>
        </w:rPr>
        <w:t>提供的相关证明文件对应的页码填写到上表“投标文件对应的页码”中。如未提供页码或内容页码完全不一致的，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numPr>
          <w:ilvl w:val="0"/>
          <w:numId w:val="61"/>
        </w:numPr>
        <w:spacing w:before="100" w:beforeAutospacing="1" w:after="156" w:afterLines="50" w:line="360" w:lineRule="auto"/>
        <w:ind w:left="1610" w:hanging="1610"/>
        <w:rPr>
          <w:rFonts w:ascii="宋体" w:hAnsi="宋体" w:eastAsia="宋体"/>
          <w:color w:val="000000" w:themeColor="text1"/>
          <w14:textFill>
            <w14:solidFill>
              <w14:schemeClr w14:val="tx1"/>
            </w14:solidFill>
          </w14:textFill>
        </w:rPr>
      </w:pPr>
      <w:bookmarkStart w:id="229" w:name="_Toc494665569"/>
      <w:bookmarkStart w:id="230" w:name="_Toc494665016"/>
      <w:bookmarkStart w:id="231" w:name="_Toc13207"/>
      <w:bookmarkStart w:id="232" w:name="_Toc494721116"/>
      <w:bookmarkStart w:id="233" w:name="_Toc494665966"/>
      <w:bookmarkStart w:id="234" w:name="_Toc494745333"/>
      <w:bookmarkStart w:id="235" w:name="_Toc494702286"/>
      <w:r>
        <w:rPr>
          <w:rFonts w:hint="eastAsia" w:ascii="宋体" w:hAnsi="宋体" w:eastAsia="宋体"/>
          <w:color w:val="000000" w:themeColor="text1"/>
          <w14:textFill>
            <w14:solidFill>
              <w14:schemeClr w14:val="tx1"/>
            </w14:solidFill>
          </w14:textFill>
        </w:rPr>
        <w:t>商务要求响应、偏离说明表</w:t>
      </w:r>
      <w:bookmarkEnd w:id="229"/>
      <w:bookmarkEnd w:id="230"/>
      <w:bookmarkEnd w:id="231"/>
      <w:bookmarkEnd w:id="232"/>
      <w:bookmarkEnd w:id="233"/>
      <w:bookmarkEnd w:id="234"/>
      <w:bookmarkEnd w:id="235"/>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6"/>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序号</w:t>
            </w:r>
          </w:p>
        </w:tc>
        <w:tc>
          <w:tcPr>
            <w:tcW w:w="2767"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招标文件商务要求条款</w:t>
            </w:r>
          </w:p>
        </w:tc>
        <w:tc>
          <w:tcPr>
            <w:tcW w:w="2767"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偏离说明</w:t>
            </w:r>
          </w:p>
        </w:tc>
        <w:tc>
          <w:tcPr>
            <w:tcW w:w="1619" w:type="dxa"/>
            <w:shd w:val="clear" w:color="auto" w:fill="F1F1F1" w:themeFill="background1" w:themeFillShade="F2"/>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1</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2</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3</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4</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5</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6</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7</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bl>
    <w:p>
      <w:pPr>
        <w:spacing w:line="360" w:lineRule="auto"/>
        <w:ind w:left="1092" w:hanging="1092" w:hangingChars="455"/>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说明</w:t>
      </w:r>
      <w:r>
        <w:rPr>
          <w:rFonts w:hint="eastAsia" w:ascii="宋体" w:hAnsi="宋体" w:eastAsia="宋体" w:cs="Corbel"/>
          <w:color w:val="000000" w:themeColor="text1"/>
          <w:sz w:val="24"/>
          <w:szCs w:val="24"/>
          <w14:textFill>
            <w14:solidFill>
              <w14:schemeClr w14:val="tx1"/>
            </w14:solidFill>
          </w14:textFill>
        </w:rPr>
        <w:t>：1．投标人应按招标文件第三章“项目技术、服务及商务要求”中“商务要求”条款逐项说明是否满足要求，如有偏离,投标人应详细说明。未按照要求填写此表或仅注明“符合”、“满足”的，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spacing w:line="360" w:lineRule="auto"/>
        <w:ind w:left="1061" w:leftChars="339" w:hanging="350" w:hangingChars="146"/>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2．投标人</w:t>
      </w:r>
      <w:r>
        <w:rPr>
          <w:rFonts w:hint="eastAsia" w:ascii="宋体" w:hAnsi="宋体" w:eastAsia="宋体" w:cs="Times New Roman"/>
          <w:color w:val="000000" w:themeColor="text1"/>
          <w:sz w:val="24"/>
          <w:szCs w:val="24"/>
          <w14:textFill>
            <w14:solidFill>
              <w14:schemeClr w14:val="tx1"/>
            </w14:solidFill>
          </w14:textFill>
        </w:rPr>
        <w:t>提供</w:t>
      </w:r>
      <w:r>
        <w:rPr>
          <w:rFonts w:hint="eastAsia" w:ascii="宋体" w:hAnsi="宋体" w:eastAsia="宋体" w:cs="Corbel"/>
          <w:color w:val="000000" w:themeColor="text1"/>
          <w:sz w:val="24"/>
          <w:szCs w:val="24"/>
          <w14:textFill>
            <w14:solidFill>
              <w14:schemeClr w14:val="tx1"/>
            </w14:solidFill>
          </w14:textFill>
        </w:rPr>
        <w:t>的相关证明文件对应的页码填写到上表“投标文件对应的页码”中。如未提供页码或内容页码完全不一致的，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adjustRightInd w:val="0"/>
        <w:snapToGrid w:val="0"/>
        <w:spacing w:line="360" w:lineRule="auto"/>
        <w:ind w:left="781" w:leftChars="258" w:hanging="240" w:hangingChars="100"/>
        <w:rPr>
          <w:rFonts w:ascii="宋体" w:hAnsi="宋体" w:eastAsia="宋体" w:cs="Corbel"/>
          <w:color w:val="000000" w:themeColor="text1"/>
          <w:sz w:val="24"/>
          <w:szCs w:val="24"/>
          <w14:textFill>
            <w14:solidFill>
              <w14:schemeClr w14:val="tx1"/>
            </w14:solidFill>
          </w14:textFill>
        </w:rPr>
      </w:pP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numPr>
          <w:ilvl w:val="0"/>
          <w:numId w:val="61"/>
        </w:numPr>
        <w:spacing w:before="100" w:beforeAutospacing="1" w:after="156" w:afterLines="50" w:line="360" w:lineRule="auto"/>
        <w:ind w:left="1610" w:hanging="1610"/>
        <w:rPr>
          <w:rFonts w:ascii="宋体" w:hAnsi="宋体" w:eastAsia="宋体"/>
          <w:color w:val="000000" w:themeColor="text1"/>
          <w14:textFill>
            <w14:solidFill>
              <w14:schemeClr w14:val="tx1"/>
            </w14:solidFill>
          </w14:textFill>
        </w:rPr>
      </w:pPr>
      <w:bookmarkStart w:id="236" w:name="_Toc494745334"/>
      <w:bookmarkStart w:id="237" w:name="_Toc494702287"/>
      <w:bookmarkStart w:id="238" w:name="_Toc494665017"/>
      <w:bookmarkStart w:id="239" w:name="_Toc494721117"/>
      <w:bookmarkStart w:id="240" w:name="_Toc494665967"/>
      <w:bookmarkStart w:id="241" w:name="_Toc494665570"/>
      <w:bookmarkStart w:id="242" w:name="_Toc3148"/>
      <w:r>
        <w:rPr>
          <w:rFonts w:hint="eastAsia" w:ascii="宋体" w:hAnsi="宋体" w:eastAsia="宋体"/>
          <w:color w:val="000000" w:themeColor="text1"/>
          <w14:textFill>
            <w14:solidFill>
              <w14:schemeClr w14:val="tx1"/>
            </w14:solidFill>
          </w14:textFill>
        </w:rPr>
        <w:t>商务要求“★”号条款响应、偏离说明表</w:t>
      </w:r>
      <w:bookmarkEnd w:id="236"/>
      <w:bookmarkEnd w:id="237"/>
      <w:bookmarkEnd w:id="238"/>
      <w:bookmarkEnd w:id="239"/>
      <w:bookmarkEnd w:id="240"/>
      <w:bookmarkEnd w:id="241"/>
      <w:bookmarkEnd w:id="242"/>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6"/>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序号</w:t>
            </w:r>
          </w:p>
        </w:tc>
        <w:tc>
          <w:tcPr>
            <w:tcW w:w="2767"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招标文件</w:t>
            </w:r>
            <w:r>
              <w:rPr>
                <w:rFonts w:hint="eastAsia" w:ascii="宋体" w:hAnsi="宋体" w:eastAsia="宋体" w:cs="Corbel"/>
                <w:color w:val="000000" w:themeColor="text1"/>
                <w:sz w:val="24"/>
                <w:szCs w:val="24"/>
                <w14:textFill>
                  <w14:solidFill>
                    <w14:schemeClr w14:val="tx1"/>
                  </w14:solidFill>
                </w14:textFill>
              </w:rPr>
              <w:t>商务要求“★”号条款</w:t>
            </w:r>
          </w:p>
        </w:tc>
        <w:tc>
          <w:tcPr>
            <w:tcW w:w="2767"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偏离说明</w:t>
            </w:r>
          </w:p>
        </w:tc>
        <w:tc>
          <w:tcPr>
            <w:tcW w:w="1619" w:type="dxa"/>
            <w:shd w:val="clear" w:color="auto" w:fill="F1F1F1" w:themeFill="background1" w:themeFillShade="F2"/>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1</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2</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3</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4</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5</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6</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7</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bl>
    <w:p>
      <w:pPr>
        <w:spacing w:line="360" w:lineRule="auto"/>
        <w:ind w:left="1092" w:hanging="1092" w:hangingChars="455"/>
        <w:jc w:val="left"/>
        <w:rPr>
          <w:rFonts w:ascii="宋体" w:hAnsi="宋体" w:eastAsia="宋体" w:cs="Corbel"/>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pPr>
        <w:spacing w:line="360" w:lineRule="auto"/>
        <w:ind w:left="1061" w:leftChars="339" w:hanging="350" w:hangingChars="146"/>
        <w:jc w:val="left"/>
        <w:rPr>
          <w:rFonts w:ascii="宋体" w:hAnsi="宋体" w:eastAsia="宋体" w:cs="Corbel"/>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2．投标人提供的相关证明文件对应的页码填写到上表“投标文件对应的页码”中。如未提供页码或内容页码完全不一致的，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numPr>
          <w:ilvl w:val="0"/>
          <w:numId w:val="61"/>
        </w:numPr>
        <w:spacing w:before="100" w:beforeAutospacing="1" w:after="156" w:afterLines="50" w:line="360" w:lineRule="auto"/>
        <w:ind w:left="1610" w:hanging="1610"/>
        <w:rPr>
          <w:rFonts w:ascii="宋体" w:hAnsi="宋体" w:eastAsia="宋体"/>
          <w:color w:val="000000" w:themeColor="text1"/>
          <w14:textFill>
            <w14:solidFill>
              <w14:schemeClr w14:val="tx1"/>
            </w14:solidFill>
          </w14:textFill>
        </w:rPr>
      </w:pPr>
      <w:bookmarkStart w:id="243" w:name="_Toc494665571"/>
      <w:bookmarkStart w:id="244" w:name="_Toc494721118"/>
      <w:bookmarkStart w:id="245" w:name="_Toc494702288"/>
      <w:bookmarkStart w:id="246" w:name="_Toc494665018"/>
      <w:bookmarkStart w:id="247" w:name="_Toc494745335"/>
      <w:bookmarkStart w:id="248" w:name="_Toc10866"/>
      <w:bookmarkStart w:id="249" w:name="_Toc494665968"/>
      <w:r>
        <w:rPr>
          <w:rFonts w:hint="eastAsia" w:ascii="宋体" w:hAnsi="宋体" w:eastAsia="宋体"/>
          <w:color w:val="000000" w:themeColor="text1"/>
          <w14:textFill>
            <w14:solidFill>
              <w14:schemeClr w14:val="tx1"/>
            </w14:solidFill>
          </w14:textFill>
        </w:rPr>
        <w:t>商务评议对照表</w:t>
      </w:r>
      <w:bookmarkEnd w:id="243"/>
      <w:bookmarkEnd w:id="244"/>
      <w:bookmarkEnd w:id="245"/>
      <w:bookmarkEnd w:id="246"/>
      <w:bookmarkEnd w:id="247"/>
      <w:bookmarkEnd w:id="248"/>
      <w:bookmarkEnd w:id="249"/>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6"/>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1" w:type="dxa"/>
            <w:shd w:val="clear" w:color="auto" w:fill="F1F1F1" w:themeFill="background1" w:themeFillShade="F2"/>
            <w:vAlign w:val="center"/>
          </w:tcPr>
          <w:p>
            <w:pPr>
              <w:ind w:left="-37" w:leftChars="-18" w:right="-48" w:rightChars="-23"/>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序号</w:t>
            </w:r>
          </w:p>
        </w:tc>
        <w:tc>
          <w:tcPr>
            <w:tcW w:w="2848"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招标文件商务评分标准</w:t>
            </w:r>
          </w:p>
        </w:tc>
        <w:tc>
          <w:tcPr>
            <w:tcW w:w="2767"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偏离说明</w:t>
            </w:r>
          </w:p>
        </w:tc>
        <w:tc>
          <w:tcPr>
            <w:tcW w:w="1619" w:type="dxa"/>
            <w:shd w:val="clear" w:color="auto" w:fill="F1F1F1" w:themeFill="background1" w:themeFillShade="F2"/>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5"/>
              </w:numPr>
              <w:jc w:val="center"/>
              <w:rPr>
                <w:rFonts w:ascii="宋体" w:hAnsi="宋体" w:eastAsia="宋体" w:cs="仿宋_GB2312"/>
                <w:color w:val="000000" w:themeColor="text1"/>
                <w:sz w:val="24"/>
                <w:szCs w:val="24"/>
                <w14:textFill>
                  <w14:solidFill>
                    <w14:schemeClr w14:val="tx1"/>
                  </w14:solidFill>
                </w14:textFill>
              </w:rPr>
            </w:pPr>
          </w:p>
        </w:tc>
        <w:tc>
          <w:tcPr>
            <w:tcW w:w="2848"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5"/>
              </w:numPr>
              <w:jc w:val="center"/>
              <w:rPr>
                <w:rFonts w:ascii="宋体" w:hAnsi="宋体" w:eastAsia="宋体" w:cs="仿宋_GB2312"/>
                <w:color w:val="000000" w:themeColor="text1"/>
                <w:sz w:val="24"/>
                <w:szCs w:val="24"/>
                <w14:textFill>
                  <w14:solidFill>
                    <w14:schemeClr w14:val="tx1"/>
                  </w14:solidFill>
                </w14:textFill>
              </w:rPr>
            </w:pPr>
          </w:p>
        </w:tc>
        <w:tc>
          <w:tcPr>
            <w:tcW w:w="2848"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5"/>
              </w:numPr>
              <w:jc w:val="center"/>
              <w:rPr>
                <w:rFonts w:ascii="宋体" w:hAnsi="宋体" w:eastAsia="宋体" w:cs="仿宋_GB2312"/>
                <w:color w:val="000000" w:themeColor="text1"/>
                <w:sz w:val="24"/>
                <w:szCs w:val="24"/>
                <w14:textFill>
                  <w14:solidFill>
                    <w14:schemeClr w14:val="tx1"/>
                  </w14:solidFill>
                </w14:textFill>
              </w:rPr>
            </w:pPr>
          </w:p>
        </w:tc>
        <w:tc>
          <w:tcPr>
            <w:tcW w:w="2848"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5"/>
              </w:numPr>
              <w:jc w:val="center"/>
              <w:rPr>
                <w:rFonts w:ascii="宋体" w:hAnsi="宋体" w:eastAsia="宋体" w:cs="仿宋_GB2312"/>
                <w:color w:val="000000" w:themeColor="text1"/>
                <w:sz w:val="24"/>
                <w:szCs w:val="24"/>
                <w14:textFill>
                  <w14:solidFill>
                    <w14:schemeClr w14:val="tx1"/>
                  </w14:solidFill>
                </w14:textFill>
              </w:rPr>
            </w:pPr>
          </w:p>
        </w:tc>
        <w:tc>
          <w:tcPr>
            <w:tcW w:w="2848"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5"/>
              </w:numPr>
              <w:jc w:val="center"/>
              <w:rPr>
                <w:rFonts w:ascii="宋体" w:hAnsi="宋体" w:eastAsia="宋体" w:cs="仿宋_GB2312"/>
                <w:color w:val="000000" w:themeColor="text1"/>
                <w:sz w:val="24"/>
                <w:szCs w:val="24"/>
                <w14:textFill>
                  <w14:solidFill>
                    <w14:schemeClr w14:val="tx1"/>
                  </w14:solidFill>
                </w14:textFill>
              </w:rPr>
            </w:pPr>
          </w:p>
        </w:tc>
        <w:tc>
          <w:tcPr>
            <w:tcW w:w="2848"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5"/>
              </w:numPr>
              <w:jc w:val="center"/>
              <w:rPr>
                <w:rFonts w:ascii="宋体" w:hAnsi="宋体" w:eastAsia="宋体" w:cs="仿宋_GB2312"/>
                <w:color w:val="000000" w:themeColor="text1"/>
                <w:sz w:val="24"/>
                <w:szCs w:val="24"/>
                <w14:textFill>
                  <w14:solidFill>
                    <w14:schemeClr w14:val="tx1"/>
                  </w14:solidFill>
                </w14:textFill>
              </w:rPr>
            </w:pPr>
          </w:p>
        </w:tc>
        <w:tc>
          <w:tcPr>
            <w:tcW w:w="2848"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w:t>
            </w:r>
          </w:p>
        </w:tc>
        <w:tc>
          <w:tcPr>
            <w:tcW w:w="2848"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bl>
    <w:p>
      <w:pPr>
        <w:spacing w:line="360" w:lineRule="auto"/>
        <w:ind w:left="1092" w:hanging="1092" w:hangingChars="455"/>
        <w:jc w:val="left"/>
        <w:rPr>
          <w:rFonts w:ascii="宋体" w:hAnsi="宋体" w:eastAsia="宋体" w:cs="Corbel"/>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说明：1．投标人应按招标文件第五章“评标方法、程序及标准”中“商务评议”的评分标准逐项说明是否满足要求，如有偏离,投标人应详细说明。未按照要求填写此表或仅注明“符合”、“满足”的，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spacing w:line="360" w:lineRule="auto"/>
        <w:ind w:left="1061" w:leftChars="339" w:hanging="350" w:hangingChars="146"/>
        <w:jc w:val="left"/>
        <w:rPr>
          <w:rFonts w:ascii="宋体" w:hAnsi="宋体" w:eastAsia="宋体" w:cs="Corbel"/>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2．投标人提供的相关证明文件对应的页码填写到上表“投标文件对应的页码”中。如未提供页码或内容页码完全不一致的，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numPr>
          <w:ilvl w:val="0"/>
          <w:numId w:val="61"/>
        </w:numPr>
        <w:spacing w:before="100" w:beforeAutospacing="1" w:after="156" w:afterLines="50" w:line="360" w:lineRule="auto"/>
        <w:ind w:left="1610" w:hanging="1610"/>
        <w:rPr>
          <w:rFonts w:ascii="宋体" w:hAnsi="宋体" w:eastAsia="宋体"/>
          <w:color w:val="000000" w:themeColor="text1"/>
          <w14:textFill>
            <w14:solidFill>
              <w14:schemeClr w14:val="tx1"/>
            </w14:solidFill>
          </w14:textFill>
        </w:rPr>
      </w:pPr>
      <w:bookmarkStart w:id="250" w:name="_Toc494665019"/>
      <w:bookmarkStart w:id="251" w:name="_Toc494702289"/>
      <w:bookmarkStart w:id="252" w:name="_Toc494745336"/>
      <w:bookmarkStart w:id="253" w:name="_Toc494665969"/>
      <w:bookmarkStart w:id="254" w:name="_Toc494721119"/>
      <w:bookmarkStart w:id="255" w:name="_Toc494665572"/>
      <w:bookmarkStart w:id="256" w:name="_Toc11100"/>
      <w:r>
        <w:rPr>
          <w:rFonts w:hint="eastAsia" w:ascii="宋体" w:hAnsi="宋体" w:eastAsia="宋体"/>
          <w:color w:val="000000" w:themeColor="text1"/>
          <w14:textFill>
            <w14:solidFill>
              <w14:schemeClr w14:val="tx1"/>
            </w14:solidFill>
          </w14:textFill>
        </w:rPr>
        <w:t>技术、服务要求响应、偏离说明表</w:t>
      </w:r>
      <w:bookmarkEnd w:id="250"/>
      <w:bookmarkEnd w:id="251"/>
      <w:bookmarkEnd w:id="252"/>
      <w:bookmarkEnd w:id="253"/>
      <w:bookmarkEnd w:id="254"/>
      <w:bookmarkEnd w:id="255"/>
      <w:bookmarkEnd w:id="256"/>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6"/>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5"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序号</w:t>
            </w:r>
          </w:p>
        </w:tc>
        <w:tc>
          <w:tcPr>
            <w:tcW w:w="3031"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招标文件技术、服务要求条款</w:t>
            </w:r>
          </w:p>
        </w:tc>
        <w:tc>
          <w:tcPr>
            <w:tcW w:w="2755"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投标响应内容对应简述</w:t>
            </w:r>
          </w:p>
        </w:tc>
        <w:tc>
          <w:tcPr>
            <w:tcW w:w="1364"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偏离说明</w:t>
            </w:r>
          </w:p>
        </w:tc>
        <w:tc>
          <w:tcPr>
            <w:tcW w:w="1619" w:type="dxa"/>
            <w:shd w:val="clear" w:color="auto" w:fill="F1F1F1" w:themeFill="background1" w:themeFillShade="F2"/>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1</w:t>
            </w:r>
          </w:p>
        </w:tc>
        <w:tc>
          <w:tcPr>
            <w:tcW w:w="3031"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5"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4"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2</w:t>
            </w:r>
          </w:p>
        </w:tc>
        <w:tc>
          <w:tcPr>
            <w:tcW w:w="3031"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5"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4"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3</w:t>
            </w:r>
          </w:p>
        </w:tc>
        <w:tc>
          <w:tcPr>
            <w:tcW w:w="3031"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5"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4"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4</w:t>
            </w:r>
          </w:p>
        </w:tc>
        <w:tc>
          <w:tcPr>
            <w:tcW w:w="3031"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5"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4"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5</w:t>
            </w:r>
          </w:p>
        </w:tc>
        <w:tc>
          <w:tcPr>
            <w:tcW w:w="3031"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5"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4"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6</w:t>
            </w:r>
          </w:p>
        </w:tc>
        <w:tc>
          <w:tcPr>
            <w:tcW w:w="3031"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5"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4"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7</w:t>
            </w:r>
          </w:p>
        </w:tc>
        <w:tc>
          <w:tcPr>
            <w:tcW w:w="3031"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5"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4"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w:t>
            </w:r>
          </w:p>
        </w:tc>
        <w:tc>
          <w:tcPr>
            <w:tcW w:w="3031"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5"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4"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bl>
    <w:p>
      <w:pPr>
        <w:spacing w:line="360" w:lineRule="auto"/>
        <w:ind w:left="1092" w:hanging="1092" w:hangingChars="455"/>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说明：1．投标人应按招标文件第三章“项目技术、服务及商务要求”中“技术、服务要求”条款逐项说明是否满足要求，如有偏离,投标人应详细说明。未按照要求填写此表或仅注明“符合”、“满足”的，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spacing w:line="360" w:lineRule="auto"/>
        <w:ind w:left="1061" w:leftChars="339" w:hanging="350" w:hangingChars="146"/>
        <w:jc w:val="left"/>
        <w:rPr>
          <w:rFonts w:ascii="宋体" w:hAnsi="宋体" w:eastAsia="宋体" w:cs="Corbel"/>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2．投标人提供的相关证明文件对应的页码填写到上表“投标文件对应的页码”中。如未提供页码或内容页码完全不一致的，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numPr>
          <w:ilvl w:val="0"/>
          <w:numId w:val="61"/>
        </w:numPr>
        <w:spacing w:before="100" w:beforeAutospacing="1" w:after="156" w:afterLines="50" w:line="360" w:lineRule="auto"/>
        <w:ind w:left="1610" w:hanging="1610"/>
        <w:rPr>
          <w:rFonts w:ascii="宋体" w:hAnsi="宋体" w:eastAsia="宋体"/>
          <w:color w:val="000000" w:themeColor="text1"/>
          <w14:textFill>
            <w14:solidFill>
              <w14:schemeClr w14:val="tx1"/>
            </w14:solidFill>
          </w14:textFill>
        </w:rPr>
      </w:pPr>
      <w:bookmarkStart w:id="257" w:name="_Toc494665573"/>
      <w:bookmarkStart w:id="258" w:name="_Toc494721120"/>
      <w:bookmarkStart w:id="259" w:name="_Toc494702290"/>
      <w:bookmarkStart w:id="260" w:name="_Toc494745337"/>
      <w:bookmarkStart w:id="261" w:name="_Toc494665970"/>
      <w:bookmarkStart w:id="262" w:name="_Toc23040"/>
      <w:bookmarkStart w:id="263" w:name="_Toc494665020"/>
      <w:bookmarkStart w:id="264" w:name="_Toc329859066"/>
      <w:r>
        <w:rPr>
          <w:rFonts w:hint="eastAsia" w:ascii="宋体" w:hAnsi="宋体" w:eastAsia="宋体"/>
          <w:color w:val="000000" w:themeColor="text1"/>
          <w14:textFill>
            <w14:solidFill>
              <w14:schemeClr w14:val="tx1"/>
            </w14:solidFill>
          </w14:textFill>
        </w:rPr>
        <w:t>技术、服务要求“★”号条款响应、偏离说明表</w:t>
      </w:r>
      <w:bookmarkEnd w:id="257"/>
      <w:bookmarkEnd w:id="258"/>
      <w:bookmarkEnd w:id="259"/>
      <w:bookmarkEnd w:id="260"/>
      <w:bookmarkEnd w:id="261"/>
      <w:bookmarkEnd w:id="262"/>
      <w:bookmarkEnd w:id="263"/>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6"/>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序号</w:t>
            </w:r>
          </w:p>
        </w:tc>
        <w:tc>
          <w:tcPr>
            <w:tcW w:w="2767"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招标文件</w:t>
            </w:r>
            <w:r>
              <w:rPr>
                <w:rFonts w:hint="eastAsia" w:ascii="宋体" w:hAnsi="宋体" w:eastAsia="宋体" w:cs="Corbel"/>
                <w:color w:val="000000" w:themeColor="text1"/>
                <w:sz w:val="24"/>
                <w:szCs w:val="24"/>
                <w14:textFill>
                  <w14:solidFill>
                    <w14:schemeClr w14:val="tx1"/>
                  </w14:solidFill>
                </w14:textFill>
              </w:rPr>
              <w:t>技术、服务要求“★”号条款</w:t>
            </w:r>
          </w:p>
        </w:tc>
        <w:tc>
          <w:tcPr>
            <w:tcW w:w="2877"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投标响应内容对应简述</w:t>
            </w:r>
          </w:p>
        </w:tc>
        <w:tc>
          <w:tcPr>
            <w:tcW w:w="1509"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偏离说明</w:t>
            </w:r>
          </w:p>
        </w:tc>
        <w:tc>
          <w:tcPr>
            <w:tcW w:w="1619" w:type="dxa"/>
            <w:shd w:val="clear" w:color="auto" w:fill="F1F1F1" w:themeFill="background1" w:themeFillShade="F2"/>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1</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87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50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2</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87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50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3</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87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50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4</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87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50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5</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87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50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6</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87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50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87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50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bl>
    <w:p>
      <w:pPr>
        <w:spacing w:line="360" w:lineRule="auto"/>
        <w:ind w:left="936" w:hanging="936" w:hangingChars="390"/>
        <w:jc w:val="left"/>
        <w:rPr>
          <w:rFonts w:ascii="宋体" w:hAnsi="宋体" w:eastAsia="宋体" w:cs="Corbel"/>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说明：1．投标人应按招标文件第三章“项目技术、服务及商务要求”中技术、服务要求</w:t>
      </w:r>
      <w:r>
        <w:rPr>
          <w:rFonts w:hint="eastAsia" w:ascii="Times New Roman" w:hAnsi="宋体" w:eastAsia="宋体" w:cs="Times New Roman"/>
          <w:color w:val="000000" w:themeColor="text1"/>
          <w:sz w:val="24"/>
          <w:szCs w:val="24"/>
          <w14:textFill>
            <w14:solidFill>
              <w14:schemeClr w14:val="tx1"/>
            </w14:solidFill>
          </w14:textFill>
        </w:rPr>
        <w:t>“★”号</w:t>
      </w:r>
      <w:r>
        <w:rPr>
          <w:rFonts w:hint="eastAsia" w:ascii="宋体" w:hAnsi="宋体" w:eastAsia="宋体" w:cs="Corbel"/>
          <w:color w:val="000000" w:themeColor="text1"/>
          <w:sz w:val="24"/>
          <w:szCs w:val="24"/>
          <w14:textFill>
            <w14:solidFill>
              <w14:schemeClr w14:val="tx1"/>
            </w14:solidFill>
          </w14:textFill>
        </w:rPr>
        <w:t>条款进行逐项说明是否满足要求，如有偏离,投标人应详细说明。未按照要求填写此表或仅注明“符合”、“满足”的，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spacing w:line="360" w:lineRule="auto"/>
        <w:ind w:left="1006" w:leftChars="306" w:hanging="364" w:hangingChars="152"/>
        <w:jc w:val="left"/>
        <w:rPr>
          <w:rFonts w:ascii="宋体" w:hAnsi="宋体" w:eastAsia="宋体" w:cs="Corbel"/>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2．投标人提供的相关证明文件对应的页码填写到上表“投标文件对应的页码”中。如未提供页码或内容页码完全不一致的，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bookmarkEnd w:id="264"/>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numPr>
          <w:ilvl w:val="0"/>
          <w:numId w:val="61"/>
        </w:numPr>
        <w:spacing w:before="100" w:beforeAutospacing="1" w:after="156" w:afterLines="50" w:line="360" w:lineRule="auto"/>
        <w:ind w:left="1610" w:hanging="1610"/>
        <w:rPr>
          <w:rFonts w:ascii="宋体" w:hAnsi="宋体" w:eastAsia="宋体"/>
          <w:color w:val="000000" w:themeColor="text1"/>
          <w14:textFill>
            <w14:solidFill>
              <w14:schemeClr w14:val="tx1"/>
            </w14:solidFill>
          </w14:textFill>
        </w:rPr>
      </w:pPr>
      <w:bookmarkStart w:id="265" w:name="_Toc494702291"/>
      <w:bookmarkStart w:id="266" w:name="_Toc494745338"/>
      <w:bookmarkStart w:id="267" w:name="_Toc12189"/>
      <w:bookmarkStart w:id="268" w:name="_Toc494665021"/>
      <w:bookmarkStart w:id="269" w:name="_Toc494721121"/>
      <w:bookmarkStart w:id="270" w:name="_Toc494665574"/>
      <w:bookmarkStart w:id="271" w:name="_Toc494665971"/>
      <w:r>
        <w:rPr>
          <w:rFonts w:hint="eastAsia" w:ascii="宋体" w:hAnsi="宋体" w:eastAsia="宋体"/>
          <w:color w:val="000000" w:themeColor="text1"/>
          <w14:textFill>
            <w14:solidFill>
              <w14:schemeClr w14:val="tx1"/>
            </w14:solidFill>
          </w14:textFill>
        </w:rPr>
        <w:t>技术、服务评议对照表</w:t>
      </w:r>
      <w:bookmarkEnd w:id="265"/>
      <w:bookmarkEnd w:id="266"/>
      <w:bookmarkEnd w:id="267"/>
      <w:bookmarkEnd w:id="268"/>
      <w:bookmarkEnd w:id="269"/>
      <w:bookmarkEnd w:id="270"/>
      <w:bookmarkEnd w:id="271"/>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6"/>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9" w:type="dxa"/>
            <w:shd w:val="clear" w:color="auto" w:fill="F1F1F1" w:themeFill="background1" w:themeFillShade="F2"/>
            <w:vAlign w:val="center"/>
          </w:tcPr>
          <w:p>
            <w:pPr>
              <w:ind w:left="-37" w:leftChars="-18" w:right="-48" w:rightChars="-23"/>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序号</w:t>
            </w:r>
          </w:p>
        </w:tc>
        <w:tc>
          <w:tcPr>
            <w:tcW w:w="2389"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招标文件技术、服务评分标准</w:t>
            </w:r>
          </w:p>
        </w:tc>
        <w:tc>
          <w:tcPr>
            <w:tcW w:w="3227"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投标响应内容对应简述</w:t>
            </w:r>
          </w:p>
        </w:tc>
        <w:tc>
          <w:tcPr>
            <w:tcW w:w="1256"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偏离说明</w:t>
            </w:r>
          </w:p>
        </w:tc>
        <w:tc>
          <w:tcPr>
            <w:tcW w:w="1983" w:type="dxa"/>
            <w:shd w:val="clear" w:color="auto" w:fill="F1F1F1" w:themeFill="background1" w:themeFillShade="F2"/>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6"/>
              </w:numPr>
              <w:jc w:val="center"/>
              <w:rPr>
                <w:rFonts w:ascii="宋体" w:hAnsi="宋体" w:eastAsia="宋体" w:cs="仿宋_GB2312"/>
                <w:color w:val="000000" w:themeColor="text1"/>
                <w:sz w:val="24"/>
                <w:szCs w:val="24"/>
                <w14:textFill>
                  <w14:solidFill>
                    <w14:schemeClr w14:val="tx1"/>
                  </w14:solidFill>
                </w14:textFill>
              </w:rPr>
            </w:pPr>
          </w:p>
        </w:tc>
        <w:tc>
          <w:tcPr>
            <w:tcW w:w="238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322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256"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983"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6"/>
              </w:numPr>
              <w:jc w:val="center"/>
              <w:rPr>
                <w:rFonts w:ascii="宋体" w:hAnsi="宋体" w:eastAsia="宋体" w:cs="仿宋_GB2312"/>
                <w:color w:val="000000" w:themeColor="text1"/>
                <w:sz w:val="24"/>
                <w:szCs w:val="24"/>
                <w14:textFill>
                  <w14:solidFill>
                    <w14:schemeClr w14:val="tx1"/>
                  </w14:solidFill>
                </w14:textFill>
              </w:rPr>
            </w:pPr>
          </w:p>
        </w:tc>
        <w:tc>
          <w:tcPr>
            <w:tcW w:w="238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322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256"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983"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6"/>
              </w:numPr>
              <w:jc w:val="center"/>
              <w:rPr>
                <w:rFonts w:ascii="宋体" w:hAnsi="宋体" w:eastAsia="宋体" w:cs="仿宋_GB2312"/>
                <w:color w:val="000000" w:themeColor="text1"/>
                <w:sz w:val="24"/>
                <w:szCs w:val="24"/>
                <w14:textFill>
                  <w14:solidFill>
                    <w14:schemeClr w14:val="tx1"/>
                  </w14:solidFill>
                </w14:textFill>
              </w:rPr>
            </w:pPr>
          </w:p>
        </w:tc>
        <w:tc>
          <w:tcPr>
            <w:tcW w:w="238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322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256"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983"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6"/>
              </w:numPr>
              <w:jc w:val="center"/>
              <w:rPr>
                <w:rFonts w:ascii="宋体" w:hAnsi="宋体" w:eastAsia="宋体" w:cs="仿宋_GB2312"/>
                <w:color w:val="000000" w:themeColor="text1"/>
                <w:sz w:val="24"/>
                <w:szCs w:val="24"/>
                <w14:textFill>
                  <w14:solidFill>
                    <w14:schemeClr w14:val="tx1"/>
                  </w14:solidFill>
                </w14:textFill>
              </w:rPr>
            </w:pPr>
          </w:p>
        </w:tc>
        <w:tc>
          <w:tcPr>
            <w:tcW w:w="238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322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256"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983"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6"/>
              </w:numPr>
              <w:jc w:val="center"/>
              <w:rPr>
                <w:rFonts w:ascii="宋体" w:hAnsi="宋体" w:eastAsia="宋体" w:cs="仿宋_GB2312"/>
                <w:color w:val="000000" w:themeColor="text1"/>
                <w:sz w:val="24"/>
                <w:szCs w:val="24"/>
                <w14:textFill>
                  <w14:solidFill>
                    <w14:schemeClr w14:val="tx1"/>
                  </w14:solidFill>
                </w14:textFill>
              </w:rPr>
            </w:pPr>
          </w:p>
        </w:tc>
        <w:tc>
          <w:tcPr>
            <w:tcW w:w="238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322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256"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983"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6"/>
              </w:numPr>
              <w:jc w:val="center"/>
              <w:rPr>
                <w:rFonts w:ascii="宋体" w:hAnsi="宋体" w:eastAsia="宋体" w:cs="仿宋_GB2312"/>
                <w:color w:val="000000" w:themeColor="text1"/>
                <w:sz w:val="24"/>
                <w:szCs w:val="24"/>
                <w14:textFill>
                  <w14:solidFill>
                    <w14:schemeClr w14:val="tx1"/>
                  </w14:solidFill>
                </w14:textFill>
              </w:rPr>
            </w:pPr>
          </w:p>
        </w:tc>
        <w:tc>
          <w:tcPr>
            <w:tcW w:w="238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322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256"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983"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w:t>
            </w:r>
          </w:p>
        </w:tc>
        <w:tc>
          <w:tcPr>
            <w:tcW w:w="238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322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256"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983"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bl>
    <w:p>
      <w:pPr>
        <w:spacing w:line="360" w:lineRule="auto"/>
        <w:ind w:left="1092" w:hanging="1092" w:hangingChars="455"/>
        <w:jc w:val="left"/>
        <w:rPr>
          <w:rFonts w:ascii="宋体" w:hAnsi="宋体" w:eastAsia="宋体" w:cs="Corbel"/>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说明：1．投标人应按招标文件第五章“评标方法、程序及标准”中“技术、服务评议”的评分标准逐项说明是否满足要求，如有偏离,投标人应详细说明。未按照要求填写此表或仅注明“符合”、“满足”的，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spacing w:line="360" w:lineRule="auto"/>
        <w:ind w:left="1006" w:leftChars="306" w:hanging="364" w:hangingChars="152"/>
        <w:jc w:val="left"/>
        <w:rPr>
          <w:rFonts w:ascii="宋体" w:hAnsi="宋体" w:eastAsia="宋体" w:cs="Corbel"/>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2．投标人提供的相关证明文件对应的页码填写到上表“投标文件对应的页码”中。如未提供页码或内容页码完全不一致的，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adjustRightInd w:val="0"/>
        <w:snapToGrid w:val="0"/>
        <w:spacing w:line="300" w:lineRule="auto"/>
        <w:ind w:left="720" w:hanging="720" w:hangingChars="300"/>
        <w:rPr>
          <w:rFonts w:ascii="宋体" w:hAnsi="宋体" w:eastAsia="宋体" w:cs="Corbel"/>
          <w:color w:val="000000" w:themeColor="text1"/>
          <w:sz w:val="24"/>
          <w:szCs w:val="24"/>
          <w14:textFill>
            <w14:solidFill>
              <w14:schemeClr w14:val="tx1"/>
            </w14:solidFill>
          </w14:textFill>
        </w:rPr>
      </w:pP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p>
      <w:pPr>
        <w:rPr>
          <w:color w:val="000000" w:themeColor="text1"/>
          <w14:textFill>
            <w14:solidFill>
              <w14:schemeClr w14:val="tx1"/>
            </w14:solidFill>
          </w14:textFill>
        </w:rPr>
      </w:pPr>
    </w:p>
    <w:p/>
    <w:sectPr>
      <w:pgSz w:w="11906" w:h="16838"/>
      <w:pgMar w:top="1134" w:right="1191" w:bottom="1134" w:left="1191" w:header="851" w:footer="85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Corbel">
    <w:panose1 w:val="020B0503020204020204"/>
    <w:charset w:val="00"/>
    <w:family w:val="swiss"/>
    <w:pitch w:val="default"/>
    <w:sig w:usb0="A00002EF" w:usb1="4000A44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Theme="minorEastAsia" w:hAnsiTheme="minorEastAsia"/>
        <w:b/>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 w:val="clear" w:pos="8306"/>
      </w:tabs>
      <w:rPr>
        <w:rFonts w:asciiTheme="minorEastAsia" w:hAnsiTheme="minorEastAsia"/>
        <w:b/>
        <w:bCs/>
      </w:rPr>
    </w:pPr>
    <w:r>
      <w:rPr>
        <w:rFonts w:hint="eastAsia" w:asciiTheme="minorEastAsia" w:hAnsiTheme="minorEastAsia"/>
        <w:bCs/>
      </w:rPr>
      <w:t>湖北省政府采购中心编制</w:t>
    </w:r>
    <w:r>
      <w:rPr>
        <w:rFonts w:asciiTheme="minorEastAsia" w:hAnsiTheme="minorEastAsia"/>
        <w:bCs/>
      </w:rPr>
      <w:t>V3.0.2017.0930</w:t>
    </w:r>
  </w:p>
  <w:p>
    <w:pPr>
      <w:pStyle w:val="10"/>
      <w:tabs>
        <w:tab w:val="clear" w:pos="4153"/>
        <w:tab w:val="clear" w:pos="8306"/>
      </w:tabs>
      <w:jc w:val="center"/>
      <w:rPr>
        <w:rFonts w:asciiTheme="minorEastAsia" w:hAnsiTheme="minorEastAsia"/>
      </w:rPr>
    </w:pPr>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22</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61</w:t>
    </w:r>
    <w:r>
      <w:rPr>
        <w:rFonts w:asciiTheme="minorEastAsia" w:hAnsiTheme="minorEastAsia"/>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000000" w:themeColor="text1" w:sz="4" w:space="1"/>
      </w:pBdr>
      <w:tabs>
        <w:tab w:val="clear" w:pos="4153"/>
        <w:tab w:val="clear" w:pos="8306"/>
      </w:tabs>
      <w:ind w:right="-9" w:firstLine="630" w:firstLineChars="300"/>
    </w:pPr>
    <w:r>
      <w:rPr>
        <w:rFonts w:hint="eastAsia" w:ascii="宋体" w:hAnsi="宋体" w:eastAsia="宋体" w:cs="宋体"/>
        <w:kern w:val="0"/>
        <w:sz w:val="21"/>
        <w:szCs w:val="21"/>
        <w:u w:val="single"/>
      </w:rPr>
      <w:t>衡正国际工程咨询有限公司制</w:t>
    </w:r>
  </w:p>
  <w:p>
    <w:pPr>
      <w:pStyle w:val="10"/>
      <w:pBdr>
        <w:top w:val="single" w:color="000000" w:themeColor="text1" w:sz="4" w:space="1"/>
      </w:pBdr>
      <w:tabs>
        <w:tab w:val="clear" w:pos="4153"/>
        <w:tab w:val="clear" w:pos="8306"/>
      </w:tabs>
      <w:ind w:right="-9"/>
      <w:jc w:val="center"/>
      <w:rPr>
        <w:rFonts w:asciiTheme="minorEastAsia" w:hAnsiTheme="minorEastAsia"/>
        <w:b/>
      </w:rPr>
    </w:pPr>
    <w:sdt>
      <w:sdtPr>
        <w:id w:val="1717543377"/>
      </w:sdtPr>
      <w:sdtEndPr>
        <w:rPr>
          <w:rFonts w:asciiTheme="minorEastAsia" w:hAnsiTheme="minorEastAsia"/>
          <w:b/>
        </w:rPr>
      </w:sdtEndPr>
      <w:sdtContent>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19</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79</w:t>
        </w:r>
        <w:r>
          <w:rPr>
            <w:rFonts w:asciiTheme="minorEastAsia" w:hAnsiTheme="minorEastAsia"/>
            <w:b/>
            <w:bCs/>
          </w:rP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left" w:pos="675"/>
        <w:tab w:val="center" w:pos="4762"/>
      </w:tabs>
      <w:jc w:val="left"/>
    </w:pPr>
  </w:p>
  <w:p>
    <w:pPr>
      <w:adjustRightInd w:val="0"/>
      <w:snapToGrid w:val="0"/>
      <w:spacing w:line="36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s>
      <w:jc w:val="left"/>
      <w:rPr>
        <w:rFonts w:asciiTheme="minorEastAsia" w:hAnsiTheme="minorEastAsia"/>
        <w:b/>
      </w:rPr>
    </w:pPr>
    <w:r>
      <w:rPr>
        <w:rFonts w:hint="eastAsia" w:asciiTheme="minorEastAsia" w:hAnsiTheme="minorEastAsia"/>
        <w:b/>
      </w:rPr>
      <w:t>项目名称：XXXXXXXXXXXX项目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000000" w:themeColor="text1" w:sz="4" w:space="1"/>
      </w:pBdr>
      <w:tabs>
        <w:tab w:val="clear" w:pos="4153"/>
      </w:tabs>
      <w:jc w:val="left"/>
      <w:rPr>
        <w:b/>
      </w:rPr>
    </w:pPr>
    <w:r>
      <w:rPr>
        <w:rFonts w:hint="eastAsia"/>
        <w:b/>
        <w:sz w:val="21"/>
        <w:szCs w:val="21"/>
      </w:rPr>
      <w:t>项目名称：</w:t>
    </w:r>
    <w:r>
      <w:rPr>
        <w:rFonts w:hint="eastAsia"/>
        <w:b/>
        <w:sz w:val="21"/>
        <w:szCs w:val="21"/>
        <w:lang w:eastAsia="zh-CN"/>
      </w:rPr>
      <w:t>阳新县长江禁捕监控设备采购项目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1F5DD8"/>
    <w:multiLevelType w:val="singleLevel"/>
    <w:tmpl w:val="B61F5DD8"/>
    <w:lvl w:ilvl="0" w:tentative="0">
      <w:start w:val="1"/>
      <w:numFmt w:val="decimal"/>
      <w:lvlText w:val="%1."/>
      <w:lvlJc w:val="left"/>
      <w:pPr>
        <w:tabs>
          <w:tab w:val="left" w:pos="312"/>
        </w:tabs>
      </w:pPr>
    </w:lvl>
  </w:abstractNum>
  <w:abstractNum w:abstractNumId="1">
    <w:nsid w:val="00317788"/>
    <w:multiLevelType w:val="multilevel"/>
    <w:tmpl w:val="00317788"/>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
    <w:nsid w:val="0068509E"/>
    <w:multiLevelType w:val="multilevel"/>
    <w:tmpl w:val="0068509E"/>
    <w:lvl w:ilvl="0" w:tentative="0">
      <w:start w:val="1"/>
      <w:numFmt w:val="decimal"/>
      <w:lvlText w:val="3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226416"/>
    <w:multiLevelType w:val="multilevel"/>
    <w:tmpl w:val="03226416"/>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6">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EB600DC"/>
    <w:multiLevelType w:val="multilevel"/>
    <w:tmpl w:val="0EB600DC"/>
    <w:lvl w:ilvl="0" w:tentative="0">
      <w:start w:val="1"/>
      <w:numFmt w:val="decimal"/>
      <w:lvlText w:val="2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F196355"/>
    <w:multiLevelType w:val="multilevel"/>
    <w:tmpl w:val="0F19635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00F5420"/>
    <w:multiLevelType w:val="multilevel"/>
    <w:tmpl w:val="100F5420"/>
    <w:lvl w:ilvl="0" w:tentative="0">
      <w:start w:val="1"/>
      <w:numFmt w:val="decimal"/>
      <w:lvlText w:val="12.3.%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10">
    <w:nsid w:val="12F3169F"/>
    <w:multiLevelType w:val="multilevel"/>
    <w:tmpl w:val="12F3169F"/>
    <w:lvl w:ilvl="0" w:tentative="0">
      <w:start w:val="1"/>
      <w:numFmt w:val="decimal"/>
      <w:lvlText w:val="1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43A1834"/>
    <w:multiLevelType w:val="multilevel"/>
    <w:tmpl w:val="143A1834"/>
    <w:lvl w:ilvl="0" w:tentative="0">
      <w:start w:val="1"/>
      <w:numFmt w:val="chineseCountingThousand"/>
      <w:lvlText w:val="附件%1、"/>
      <w:lvlJc w:val="left"/>
      <w:pPr>
        <w:ind w:left="420" w:hanging="420"/>
      </w:pPr>
      <w:rPr>
        <w:rFonts w:hint="eastAsia" w:ascii="宋体" w:hAnsi="宋体" w:eastAsia="宋体"/>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5DE1A41"/>
    <w:multiLevelType w:val="multilevel"/>
    <w:tmpl w:val="15DE1A41"/>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13">
    <w:nsid w:val="15F76080"/>
    <w:multiLevelType w:val="multilevel"/>
    <w:tmpl w:val="15F76080"/>
    <w:lvl w:ilvl="0" w:tentative="0">
      <w:start w:val="1"/>
      <w:numFmt w:val="decimal"/>
      <w:lvlText w:val="4.%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4">
    <w:nsid w:val="1636573F"/>
    <w:multiLevelType w:val="multilevel"/>
    <w:tmpl w:val="1636573F"/>
    <w:lvl w:ilvl="0" w:tentative="0">
      <w:start w:val="1"/>
      <w:numFmt w:val="decimal"/>
      <w:lvlText w:val="1.%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17">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8">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9">
    <w:nsid w:val="27FE7BA7"/>
    <w:multiLevelType w:val="multilevel"/>
    <w:tmpl w:val="27FE7BA7"/>
    <w:lvl w:ilvl="0" w:tentative="0">
      <w:start w:val="1"/>
      <w:numFmt w:val="decimal"/>
      <w:lvlText w:val="27.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20">
    <w:nsid w:val="28394228"/>
    <w:multiLevelType w:val="multilevel"/>
    <w:tmpl w:val="2839422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8AA4AF5"/>
    <w:multiLevelType w:val="multilevel"/>
    <w:tmpl w:val="28AA4AF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22">
    <w:nsid w:val="29735AF9"/>
    <w:multiLevelType w:val="multilevel"/>
    <w:tmpl w:val="29735AF9"/>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CC65A04"/>
    <w:multiLevelType w:val="multilevel"/>
    <w:tmpl w:val="2CC65A04"/>
    <w:lvl w:ilvl="0" w:tentative="0">
      <w:start w:val="1"/>
      <w:numFmt w:val="decimal"/>
      <w:lvlText w:val="3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D665F38"/>
    <w:multiLevelType w:val="multilevel"/>
    <w:tmpl w:val="2D665F38"/>
    <w:lvl w:ilvl="0" w:tentative="0">
      <w:start w:val="1"/>
      <w:numFmt w:val="decimal"/>
      <w:lvlText w:val="5.%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6">
    <w:nsid w:val="2D850054"/>
    <w:multiLevelType w:val="multilevel"/>
    <w:tmpl w:val="2D850054"/>
    <w:lvl w:ilvl="0" w:tentative="0">
      <w:start w:val="1"/>
      <w:numFmt w:val="decimal"/>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
    <w:nsid w:val="2E825AFA"/>
    <w:multiLevelType w:val="multilevel"/>
    <w:tmpl w:val="2E825AFA"/>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11832AE"/>
    <w:multiLevelType w:val="multilevel"/>
    <w:tmpl w:val="311832AE"/>
    <w:lvl w:ilvl="0" w:tentative="0">
      <w:start w:val="1"/>
      <w:numFmt w:val="decimal"/>
      <w:lvlText w:val="1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30">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5442C9F"/>
    <w:multiLevelType w:val="multilevel"/>
    <w:tmpl w:val="35442C9F"/>
    <w:lvl w:ilvl="0" w:tentative="0">
      <w:start w:val="1"/>
      <w:numFmt w:val="decimal"/>
      <w:lvlText w:val="（%1）"/>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2">
    <w:nsid w:val="37C132BF"/>
    <w:multiLevelType w:val="multilevel"/>
    <w:tmpl w:val="37C132BF"/>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DE06FC6"/>
    <w:multiLevelType w:val="multilevel"/>
    <w:tmpl w:val="3DE06FC6"/>
    <w:lvl w:ilvl="0" w:tentative="0">
      <w:start w:val="1"/>
      <w:numFmt w:val="decimal"/>
      <w:lvlText w:val="20.%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FF72387"/>
    <w:multiLevelType w:val="multilevel"/>
    <w:tmpl w:val="3FF72387"/>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36">
    <w:nsid w:val="40E6015E"/>
    <w:multiLevelType w:val="multilevel"/>
    <w:tmpl w:val="40E6015E"/>
    <w:lvl w:ilvl="0" w:tentative="0">
      <w:start w:val="1"/>
      <w:numFmt w:val="decimal"/>
      <w:lvlText w:val="29.2.%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37">
    <w:nsid w:val="41730A17"/>
    <w:multiLevelType w:val="multilevel"/>
    <w:tmpl w:val="41730A17"/>
    <w:lvl w:ilvl="0" w:tentative="0">
      <w:start w:val="1"/>
      <w:numFmt w:val="decimal"/>
      <w:lvlText w:val="21.%1"/>
      <w:lvlJc w:val="left"/>
      <w:pPr>
        <w:ind w:left="562" w:hanging="420"/>
      </w:pPr>
      <w:rPr>
        <w:rFonts w:hint="default" w:ascii="仿宋" w:hAnsi="仿宋" w:eastAsia="仿宋"/>
        <w:b w:val="0"/>
        <w:strike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38">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440E059C"/>
    <w:multiLevelType w:val="multilevel"/>
    <w:tmpl w:val="440E059C"/>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445F2796"/>
    <w:multiLevelType w:val="multilevel"/>
    <w:tmpl w:val="445F2796"/>
    <w:lvl w:ilvl="0" w:tentative="0">
      <w:start w:val="1"/>
      <w:numFmt w:val="decimal"/>
      <w:lvlText w:val="2.%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1">
    <w:nsid w:val="4D575265"/>
    <w:multiLevelType w:val="multilevel"/>
    <w:tmpl w:val="4D575265"/>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42">
    <w:nsid w:val="4EAF5455"/>
    <w:multiLevelType w:val="multilevel"/>
    <w:tmpl w:val="4EAF545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05F200A"/>
    <w:multiLevelType w:val="multilevel"/>
    <w:tmpl w:val="505F200A"/>
    <w:lvl w:ilvl="0" w:tentative="0">
      <w:start w:val="1"/>
      <w:numFmt w:val="decimal"/>
      <w:lvlText w:val="1.%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4">
    <w:nsid w:val="54AC2495"/>
    <w:multiLevelType w:val="multilevel"/>
    <w:tmpl w:val="54AC2495"/>
    <w:lvl w:ilvl="0" w:tentative="0">
      <w:start w:val="1"/>
      <w:numFmt w:val="decimal"/>
      <w:lvlText w:val="26.%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70117E4"/>
    <w:multiLevelType w:val="multilevel"/>
    <w:tmpl w:val="570117E4"/>
    <w:lvl w:ilvl="0" w:tentative="0">
      <w:start w:val="1"/>
      <w:numFmt w:val="decimal"/>
      <w:lvlText w:val="2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77C0B87"/>
    <w:multiLevelType w:val="multilevel"/>
    <w:tmpl w:val="577C0B87"/>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48">
    <w:nsid w:val="5A02CE94"/>
    <w:multiLevelType w:val="multilevel"/>
    <w:tmpl w:val="5A02CE94"/>
    <w:lvl w:ilvl="0" w:tentative="0">
      <w:start w:val="1"/>
      <w:numFmt w:val="decimal"/>
      <w:lvlText w:val="3.2.%1"/>
      <w:lvlJc w:val="left"/>
      <w:pPr>
        <w:ind w:left="987" w:hanging="420"/>
      </w:pPr>
      <w:rPr>
        <w:rFonts w:ascii="楷体" w:hAnsi="楷体" w:eastAsia="楷体"/>
        <w:strike w:val="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9">
    <w:nsid w:val="5A0B11B2"/>
    <w:multiLevelType w:val="multilevel"/>
    <w:tmpl w:val="5A0B11B2"/>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50">
    <w:nsid w:val="61F95093"/>
    <w:multiLevelType w:val="multilevel"/>
    <w:tmpl w:val="61F95093"/>
    <w:lvl w:ilvl="0" w:tentative="0">
      <w:start w:val="1"/>
      <w:numFmt w:val="decimal"/>
      <w:lvlText w:val="3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643B08CA"/>
    <w:multiLevelType w:val="multilevel"/>
    <w:tmpl w:val="643B08CA"/>
    <w:lvl w:ilvl="0" w:tentative="0">
      <w:start w:val="1"/>
      <w:numFmt w:val="decimal"/>
      <w:lvlText w:val="3.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52">
    <w:nsid w:val="64E31E93"/>
    <w:multiLevelType w:val="multilevel"/>
    <w:tmpl w:val="64E31E93"/>
    <w:lvl w:ilvl="0" w:tentative="0">
      <w:start w:val="1"/>
      <w:numFmt w:val="decimal"/>
      <w:lvlText w:val="2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69647823"/>
    <w:multiLevelType w:val="multilevel"/>
    <w:tmpl w:val="69647823"/>
    <w:lvl w:ilvl="0" w:tentative="0">
      <w:start w:val="1"/>
      <w:numFmt w:val="decimal"/>
      <w:lvlText w:val="3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6B81BFFD"/>
    <w:multiLevelType w:val="singleLevel"/>
    <w:tmpl w:val="6B81BFFD"/>
    <w:lvl w:ilvl="0" w:tentative="0">
      <w:start w:val="4"/>
      <w:numFmt w:val="chineseCounting"/>
      <w:suff w:val="nothing"/>
      <w:lvlText w:val="%1、"/>
      <w:lvlJc w:val="left"/>
      <w:rPr>
        <w:rFonts w:hint="eastAsia"/>
      </w:rPr>
    </w:lvl>
  </w:abstractNum>
  <w:abstractNum w:abstractNumId="55">
    <w:nsid w:val="6B887DF2"/>
    <w:multiLevelType w:val="multilevel"/>
    <w:tmpl w:val="6B887DF2"/>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70DD1B88"/>
    <w:multiLevelType w:val="multilevel"/>
    <w:tmpl w:val="70DD1B88"/>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57">
    <w:nsid w:val="71581402"/>
    <w:multiLevelType w:val="multilevel"/>
    <w:tmpl w:val="71581402"/>
    <w:lvl w:ilvl="0" w:tentative="0">
      <w:start w:val="1"/>
      <w:numFmt w:val="decimal"/>
      <w:lvlText w:val="2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71731B18"/>
    <w:multiLevelType w:val="multilevel"/>
    <w:tmpl w:val="71731B18"/>
    <w:lvl w:ilvl="0" w:tentative="0">
      <w:start w:val="1"/>
      <w:numFmt w:val="decimal"/>
      <w:lvlText w:val="2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730B37A3"/>
    <w:multiLevelType w:val="multilevel"/>
    <w:tmpl w:val="730B37A3"/>
    <w:lvl w:ilvl="0" w:tentative="0">
      <w:start w:val="1"/>
      <w:numFmt w:val="decimal"/>
      <w:lvlText w:val="2.%1"/>
      <w:lvlJc w:val="left"/>
      <w:pPr>
        <w:ind w:left="372" w:hanging="420"/>
      </w:pPr>
      <w:rPr>
        <w:rFonts w:hint="default" w:ascii="仿宋" w:hAnsi="仿宋" w:eastAsia="仿宋"/>
        <w:b w:val="0"/>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60">
    <w:nsid w:val="768933D5"/>
    <w:multiLevelType w:val="multilevel"/>
    <w:tmpl w:val="768933D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61">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786B7301"/>
    <w:multiLevelType w:val="multilevel"/>
    <w:tmpl w:val="786B7301"/>
    <w:lvl w:ilvl="0" w:tentative="0">
      <w:start w:val="1"/>
      <w:numFmt w:val="decimal"/>
      <w:lvlText w:val="2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64">
    <w:nsid w:val="7A0C6CFB"/>
    <w:multiLevelType w:val="multilevel"/>
    <w:tmpl w:val="7A0C6CFB"/>
    <w:lvl w:ilvl="0" w:tentative="0">
      <w:start w:val="1"/>
      <w:numFmt w:val="decimal"/>
      <w:lvlText w:val="2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7ECB03B9"/>
    <w:multiLevelType w:val="multilevel"/>
    <w:tmpl w:val="7ECB03B9"/>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num w:numId="1">
    <w:abstractNumId w:val="42"/>
  </w:num>
  <w:num w:numId="2">
    <w:abstractNumId w:val="54"/>
  </w:num>
  <w:num w:numId="3">
    <w:abstractNumId w:val="30"/>
  </w:num>
  <w:num w:numId="4">
    <w:abstractNumId w:val="3"/>
  </w:num>
  <w:num w:numId="5">
    <w:abstractNumId w:val="38"/>
  </w:num>
  <w:num w:numId="6">
    <w:abstractNumId w:val="15"/>
  </w:num>
  <w:num w:numId="7">
    <w:abstractNumId w:val="6"/>
  </w:num>
  <w:num w:numId="8">
    <w:abstractNumId w:val="51"/>
  </w:num>
  <w:num w:numId="9">
    <w:abstractNumId w:val="32"/>
  </w:num>
  <w:num w:numId="10">
    <w:abstractNumId w:val="47"/>
  </w:num>
  <w:num w:numId="11">
    <w:abstractNumId w:val="29"/>
  </w:num>
  <w:num w:numId="12">
    <w:abstractNumId w:val="5"/>
  </w:num>
  <w:num w:numId="13">
    <w:abstractNumId w:val="22"/>
  </w:num>
  <w:num w:numId="14">
    <w:abstractNumId w:val="23"/>
  </w:num>
  <w:num w:numId="15">
    <w:abstractNumId w:val="9"/>
  </w:num>
  <w:num w:numId="16">
    <w:abstractNumId w:val="8"/>
  </w:num>
  <w:num w:numId="17">
    <w:abstractNumId w:val="61"/>
  </w:num>
  <w:num w:numId="18">
    <w:abstractNumId w:val="10"/>
  </w:num>
  <w:num w:numId="19">
    <w:abstractNumId w:val="28"/>
  </w:num>
  <w:num w:numId="20">
    <w:abstractNumId w:val="34"/>
  </w:num>
  <w:num w:numId="21">
    <w:abstractNumId w:val="37"/>
  </w:num>
  <w:num w:numId="22">
    <w:abstractNumId w:val="64"/>
  </w:num>
  <w:num w:numId="23">
    <w:abstractNumId w:val="45"/>
  </w:num>
  <w:num w:numId="24">
    <w:abstractNumId w:val="57"/>
  </w:num>
  <w:num w:numId="25">
    <w:abstractNumId w:val="62"/>
  </w:num>
  <w:num w:numId="26">
    <w:abstractNumId w:val="44"/>
  </w:num>
  <w:num w:numId="27">
    <w:abstractNumId w:val="7"/>
  </w:num>
  <w:num w:numId="28">
    <w:abstractNumId w:val="19"/>
  </w:num>
  <w:num w:numId="29">
    <w:abstractNumId w:val="58"/>
  </w:num>
  <w:num w:numId="30">
    <w:abstractNumId w:val="52"/>
  </w:num>
  <w:num w:numId="31">
    <w:abstractNumId w:val="36"/>
  </w:num>
  <w:num w:numId="32">
    <w:abstractNumId w:val="50"/>
  </w:num>
  <w:num w:numId="33">
    <w:abstractNumId w:val="24"/>
  </w:num>
  <w:num w:numId="34">
    <w:abstractNumId w:val="53"/>
  </w:num>
  <w:num w:numId="35">
    <w:abstractNumId w:val="2"/>
  </w:num>
  <w:num w:numId="36">
    <w:abstractNumId w:val="0"/>
  </w:num>
  <w:num w:numId="37">
    <w:abstractNumId w:val="39"/>
  </w:num>
  <w:num w:numId="38">
    <w:abstractNumId w:val="46"/>
  </w:num>
  <w:num w:numId="39">
    <w:abstractNumId w:val="26"/>
  </w:num>
  <w:num w:numId="40">
    <w:abstractNumId w:val="43"/>
  </w:num>
  <w:num w:numId="41">
    <w:abstractNumId w:val="31"/>
  </w:num>
  <w:num w:numId="42">
    <w:abstractNumId w:val="40"/>
  </w:num>
  <w:num w:numId="43">
    <w:abstractNumId w:val="33"/>
  </w:num>
  <w:num w:numId="44">
    <w:abstractNumId w:val="17"/>
  </w:num>
  <w:num w:numId="45">
    <w:abstractNumId w:val="49"/>
  </w:num>
  <w:num w:numId="46">
    <w:abstractNumId w:val="65"/>
  </w:num>
  <w:num w:numId="47">
    <w:abstractNumId w:val="18"/>
  </w:num>
  <w:num w:numId="48">
    <w:abstractNumId w:val="16"/>
  </w:num>
  <w:num w:numId="49">
    <w:abstractNumId w:val="1"/>
  </w:num>
  <w:num w:numId="50">
    <w:abstractNumId w:val="48"/>
    <w:lvlOverride w:ilvl="0">
      <w:startOverride w:val="1"/>
    </w:lvlOverride>
  </w:num>
  <w:num w:numId="51">
    <w:abstractNumId w:val="13"/>
  </w:num>
  <w:num w:numId="52">
    <w:abstractNumId w:val="25"/>
  </w:num>
  <w:num w:numId="53">
    <w:abstractNumId w:val="63"/>
  </w:num>
  <w:num w:numId="54">
    <w:abstractNumId w:val="56"/>
  </w:num>
  <w:num w:numId="55">
    <w:abstractNumId w:val="41"/>
  </w:num>
  <w:num w:numId="56">
    <w:abstractNumId w:val="12"/>
  </w:num>
  <w:num w:numId="57">
    <w:abstractNumId w:val="21"/>
  </w:num>
  <w:num w:numId="58">
    <w:abstractNumId w:val="59"/>
  </w:num>
  <w:num w:numId="59">
    <w:abstractNumId w:val="35"/>
  </w:num>
  <w:num w:numId="60">
    <w:abstractNumId w:val="60"/>
  </w:num>
  <w:num w:numId="61">
    <w:abstractNumId w:val="11"/>
  </w:num>
  <w:num w:numId="62">
    <w:abstractNumId w:val="55"/>
  </w:num>
  <w:num w:numId="63">
    <w:abstractNumId w:val="20"/>
  </w:num>
  <w:num w:numId="64">
    <w:abstractNumId w:val="4"/>
  </w:num>
  <w:num w:numId="65">
    <w:abstractNumId w:val="14"/>
  </w:num>
  <w:num w:numId="6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DA5"/>
    <w:rsid w:val="000F77F5"/>
    <w:rsid w:val="00126DA5"/>
    <w:rsid w:val="001B310E"/>
    <w:rsid w:val="001E4BEC"/>
    <w:rsid w:val="005D45B3"/>
    <w:rsid w:val="007B1E80"/>
    <w:rsid w:val="007E207F"/>
    <w:rsid w:val="00864ED6"/>
    <w:rsid w:val="008D27DD"/>
    <w:rsid w:val="009213C1"/>
    <w:rsid w:val="00AE37ED"/>
    <w:rsid w:val="00B35620"/>
    <w:rsid w:val="00C47FD0"/>
    <w:rsid w:val="00C90D8E"/>
    <w:rsid w:val="00DA5956"/>
    <w:rsid w:val="00E371D6"/>
    <w:rsid w:val="00E47312"/>
    <w:rsid w:val="00F93BE4"/>
    <w:rsid w:val="00F95B5E"/>
    <w:rsid w:val="0A865150"/>
    <w:rsid w:val="13415968"/>
    <w:rsid w:val="18C21297"/>
    <w:rsid w:val="1AF13EF2"/>
    <w:rsid w:val="1EFF3D2A"/>
    <w:rsid w:val="23434DD3"/>
    <w:rsid w:val="2CEF77C9"/>
    <w:rsid w:val="2E3A01F0"/>
    <w:rsid w:val="38266E8A"/>
    <w:rsid w:val="3AB030DF"/>
    <w:rsid w:val="3CCE7A1D"/>
    <w:rsid w:val="40A52B5F"/>
    <w:rsid w:val="47843E6F"/>
    <w:rsid w:val="47AB14E9"/>
    <w:rsid w:val="4B0C191C"/>
    <w:rsid w:val="4B5A5226"/>
    <w:rsid w:val="531C4DB3"/>
    <w:rsid w:val="53236BCA"/>
    <w:rsid w:val="53AE2E32"/>
    <w:rsid w:val="581D02E7"/>
    <w:rsid w:val="599009CB"/>
    <w:rsid w:val="59BD0194"/>
    <w:rsid w:val="5A410953"/>
    <w:rsid w:val="5F327EA3"/>
    <w:rsid w:val="602F322D"/>
    <w:rsid w:val="61CE1DE7"/>
    <w:rsid w:val="62A30CCB"/>
    <w:rsid w:val="62A73B20"/>
    <w:rsid w:val="644410B4"/>
    <w:rsid w:val="67A82363"/>
    <w:rsid w:val="701D3E4F"/>
    <w:rsid w:val="757D7096"/>
    <w:rsid w:val="75A239D7"/>
    <w:rsid w:val="76B14EC4"/>
    <w:rsid w:val="77E91FA0"/>
    <w:rsid w:val="7B216215"/>
    <w:rsid w:val="7E1D2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next w:val="1"/>
    <w:qFormat/>
    <w:uiPriority w:val="0"/>
    <w:pPr>
      <w:spacing w:after="120"/>
      <w:ind w:left="420" w:leftChars="200"/>
    </w:pPr>
    <w:rPr>
      <w:szCs w:val="24"/>
    </w:rPr>
  </w:style>
  <w:style w:type="paragraph" w:styleId="6">
    <w:name w:val="annotation text"/>
    <w:basedOn w:val="1"/>
    <w:qFormat/>
    <w:uiPriority w:val="99"/>
    <w:pPr>
      <w:jc w:val="left"/>
    </w:pPr>
    <w:rPr>
      <w:rFonts w:ascii="Times New Roman" w:hAnsi="Times New Roman"/>
      <w:kern w:val="0"/>
      <w:sz w:val="20"/>
      <w:szCs w:val="20"/>
    </w:rPr>
  </w:style>
  <w:style w:type="paragraph" w:styleId="7">
    <w:name w:val="Body Text"/>
    <w:basedOn w:val="1"/>
    <w:unhideWhenUsed/>
    <w:qFormat/>
    <w:uiPriority w:val="99"/>
    <w:rPr>
      <w:rFonts w:ascii="宋体"/>
      <w:sz w:val="24"/>
    </w:rPr>
  </w:style>
  <w:style w:type="paragraph" w:styleId="8">
    <w:name w:val="Plain Text"/>
    <w:basedOn w:val="1"/>
    <w:qFormat/>
    <w:uiPriority w:val="0"/>
    <w:rPr>
      <w:rFonts w:ascii="宋体" w:hAnsi="Courier New" w:cs="Courier New"/>
      <w:szCs w:val="21"/>
    </w:rPr>
  </w:style>
  <w:style w:type="paragraph" w:styleId="9">
    <w:name w:val="Balloon Text"/>
    <w:basedOn w:val="1"/>
    <w:link w:val="28"/>
    <w:qFormat/>
    <w:uiPriority w:val="0"/>
    <w:rPr>
      <w:sz w:val="18"/>
      <w:szCs w:val="18"/>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spacing w:line="440" w:lineRule="exact"/>
      <w:jc w:val="left"/>
    </w:pPr>
    <w:rPr>
      <w:rFonts w:eastAsia="黑体"/>
      <w:b/>
      <w:kern w:val="0"/>
      <w:sz w:val="28"/>
    </w:rPr>
  </w:style>
  <w:style w:type="paragraph" w:styleId="13">
    <w:name w:val="toc 2"/>
    <w:basedOn w:val="14"/>
    <w:next w:val="5"/>
    <w:unhideWhenUsed/>
    <w:qFormat/>
    <w:uiPriority w:val="3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customStyle="1" w:styleId="14">
    <w:name w:val="引用1"/>
    <w:basedOn w:val="1"/>
    <w:next w:val="1"/>
    <w:qFormat/>
    <w:uiPriority w:val="29"/>
    <w:rPr>
      <w:i/>
      <w:iCs/>
      <w:color w:val="000000" w:themeColor="text1"/>
      <w14:textFill>
        <w14:solidFill>
          <w14:schemeClr w14:val="tx1"/>
        </w14:solidFill>
      </w14:textFill>
    </w:rPr>
  </w:style>
  <w:style w:type="paragraph" w:styleId="15">
    <w:name w:val="Normal (Web)"/>
    <w:basedOn w:val="1"/>
    <w:qFormat/>
    <w:uiPriority w:val="0"/>
    <w:pPr>
      <w:spacing w:beforeAutospacing="1" w:afterAutospacing="1"/>
      <w:jc w:val="left"/>
    </w:pPr>
    <w:rPr>
      <w:rFonts w:cs="Times New Roman"/>
      <w:kern w:val="0"/>
      <w:sz w:val="24"/>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rPr>
  </w:style>
  <w:style w:type="character" w:styleId="20">
    <w:name w:val="Hyperlink"/>
    <w:basedOn w:val="18"/>
    <w:unhideWhenUsed/>
    <w:qFormat/>
    <w:uiPriority w:val="99"/>
    <w:rPr>
      <w:color w:val="0563C1" w:themeColor="hyperlink"/>
      <w:u w:val="single"/>
      <w14:textFill>
        <w14:solidFill>
          <w14:schemeClr w14:val="hlink"/>
        </w14:solidFill>
      </w14:textFill>
    </w:rPr>
  </w:style>
  <w:style w:type="paragraph" w:customStyle="1" w:styleId="21">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styleId="22">
    <w:name w:val="List Paragraph"/>
    <w:basedOn w:val="1"/>
    <w:unhideWhenUsed/>
    <w:qFormat/>
    <w:uiPriority w:val="99"/>
    <w:pPr>
      <w:ind w:firstLine="420" w:firstLineChars="200"/>
    </w:pPr>
  </w:style>
  <w:style w:type="paragraph" w:customStyle="1" w:styleId="23">
    <w:name w:val="列出段落1"/>
    <w:basedOn w:val="1"/>
    <w:qFormat/>
    <w:uiPriority w:val="34"/>
    <w:pPr>
      <w:ind w:firstLine="420" w:firstLineChars="200"/>
    </w:pPr>
  </w:style>
  <w:style w:type="paragraph" w:customStyle="1" w:styleId="24">
    <w:name w:val="正文1"/>
    <w:qFormat/>
    <w:uiPriority w:val="0"/>
    <w:pPr>
      <w:widowControl w:val="0"/>
      <w:jc w:val="both"/>
    </w:pPr>
    <w:rPr>
      <w:rFonts w:ascii="Calibri" w:hAnsi="Calibri" w:eastAsia="宋体" w:cs="Times New Roman"/>
      <w:kern w:val="2"/>
      <w:sz w:val="21"/>
      <w:szCs w:val="21"/>
      <w:lang w:val="en-US" w:eastAsia="zh-CN" w:bidi="ar-SA"/>
    </w:rPr>
  </w:style>
  <w:style w:type="paragraph" w:customStyle="1" w:styleId="25">
    <w:name w:val="正文文本1"/>
    <w:basedOn w:val="1"/>
    <w:semiHidden/>
    <w:qFormat/>
    <w:uiPriority w:val="0"/>
    <w:rPr>
      <w:rFonts w:ascii="宋体" w:hAnsi="Calibri" w:eastAsia="宋体" w:cs="Times New Roman"/>
      <w:sz w:val="24"/>
      <w:szCs w:val="24"/>
    </w:rPr>
  </w:style>
  <w:style w:type="table" w:customStyle="1" w:styleId="26">
    <w:name w:val="Table Normal1"/>
    <w:semiHidden/>
    <w:qFormat/>
    <w:uiPriority w:val="0"/>
    <w:rPr>
      <w:rFonts w:eastAsia="Times New Roman"/>
    </w:rPr>
    <w:tblPr>
      <w:tblCellMar>
        <w:top w:w="0" w:type="dxa"/>
        <w:left w:w="108" w:type="dxa"/>
        <w:bottom w:w="0" w:type="dxa"/>
        <w:right w:w="108" w:type="dxa"/>
      </w:tblCellMar>
    </w:tblPr>
  </w:style>
  <w:style w:type="paragraph" w:customStyle="1" w:styleId="27">
    <w:name w:val="正文文本缩进1"/>
    <w:basedOn w:val="1"/>
    <w:semiHidden/>
    <w:qFormat/>
    <w:uiPriority w:val="0"/>
    <w:pPr>
      <w:spacing w:before="100" w:beforeAutospacing="1" w:after="120"/>
      <w:ind w:left="420" w:leftChars="200"/>
    </w:pPr>
    <w:rPr>
      <w:rFonts w:ascii="Calibri" w:hAnsi="Calibri" w:eastAsia="宋体" w:cs="Times New Roman"/>
      <w:sz w:val="24"/>
      <w:szCs w:val="24"/>
    </w:rPr>
  </w:style>
  <w:style w:type="character" w:customStyle="1" w:styleId="28">
    <w:name w:val="批注框文本 字符"/>
    <w:basedOn w:val="18"/>
    <w:link w:val="9"/>
    <w:qFormat/>
    <w:uiPriority w:val="0"/>
    <w:rPr>
      <w:rFonts w:asciiTheme="minorHAnsi" w:hAnsiTheme="minorHAnsi" w:eastAsiaTheme="minorEastAsia" w:cstheme="minorBidi"/>
      <w:kern w:val="2"/>
      <w:sz w:val="18"/>
      <w:szCs w:val="18"/>
    </w:rPr>
  </w:style>
  <w:style w:type="paragraph" w:customStyle="1" w:styleId="29">
    <w:name w:val="Table Paragraph"/>
    <w:basedOn w:val="1"/>
    <w:qFormat/>
    <w:uiPriority w:val="0"/>
    <w:rPr>
      <w:rFonts w:ascii="宋体" w:hAnsi="宋体" w:cs="宋体"/>
      <w:lang w:val="zh-CN" w:bidi="zh-CN"/>
    </w:rPr>
  </w:style>
  <w:style w:type="character" w:customStyle="1" w:styleId="30">
    <w:name w:val="font11"/>
    <w:basedOn w:val="18"/>
    <w:qFormat/>
    <w:uiPriority w:val="0"/>
    <w:rPr>
      <w:rFonts w:hint="eastAsia" w:ascii="宋体" w:hAnsi="宋体" w:eastAsia="宋体" w:cs="宋体"/>
      <w:color w:val="000000"/>
      <w:sz w:val="21"/>
      <w:szCs w:val="21"/>
      <w:u w:val="none"/>
    </w:rPr>
  </w:style>
  <w:style w:type="character" w:customStyle="1" w:styleId="31">
    <w:name w:val="font91"/>
    <w:basedOn w:val="18"/>
    <w:qFormat/>
    <w:uiPriority w:val="0"/>
    <w:rPr>
      <w:rFonts w:hint="eastAsia" w:ascii="宋体" w:hAnsi="宋体" w:eastAsia="宋体" w:cs="宋体"/>
      <w:color w:val="000000"/>
      <w:sz w:val="18"/>
      <w:szCs w:val="18"/>
      <w:u w:val="none"/>
    </w:rPr>
  </w:style>
  <w:style w:type="character" w:customStyle="1" w:styleId="32">
    <w:name w:val="font41"/>
    <w:basedOn w:val="1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7442</Words>
  <Characters>42423</Characters>
  <Lines>353</Lines>
  <Paragraphs>99</Paragraphs>
  <TotalTime>3</TotalTime>
  <ScaleCrop>false</ScaleCrop>
  <LinksUpToDate>false</LinksUpToDate>
  <CharactersWithSpaces>49766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2020-10-15T06:30:00Z</dcterms:created>
  <dc:creator>Administrator</dc:creator>
  <cp:lastModifiedBy>123</cp:lastModifiedBy>
  <cp:lastPrinted>2021-02-03T00:48:00Z</cp:lastPrinted>
  <dcterms:modified xsi:type="dcterms:W3CDTF">2021-02-03T07:07:38Z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