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jc w:val="center"/>
        <w:rPr>
          <w:rFonts w:hint="eastAsia" w:ascii="宋体" w:hAnsi="宋体" w:eastAsia="宋体" w:cs="宋体"/>
          <w:b/>
          <w:bCs/>
          <w:color w:val="000000"/>
          <w:kern w:val="0"/>
          <w:sz w:val="48"/>
          <w:szCs w:val="48"/>
        </w:rPr>
      </w:pPr>
      <w:bookmarkStart w:id="235" w:name="_GoBack"/>
      <w:bookmarkEnd w:id="235"/>
      <w:r>
        <w:rPr>
          <w:rFonts w:hint="eastAsia" w:ascii="宋体" w:hAnsi="宋体" w:eastAsia="宋体" w:cs="宋体"/>
          <w:b/>
          <w:bCs/>
          <w:color w:val="000000"/>
          <w:kern w:val="0"/>
          <w:sz w:val="48"/>
          <w:szCs w:val="48"/>
        </w:rPr>
        <w:t>阳新县县级政府采购</w:t>
      </w:r>
    </w:p>
    <w:p>
      <w:pPr>
        <w:pStyle w:val="5"/>
        <w:rPr>
          <w:rFonts w:hint="eastAsia" w:ascii="宋体" w:hAnsi="宋体" w:eastAsia="宋体" w:cs="宋体"/>
        </w:rPr>
      </w:pPr>
    </w:p>
    <w:p>
      <w:pPr>
        <w:widowControl/>
        <w:spacing w:before="100" w:beforeAutospacing="1" w:line="720" w:lineRule="auto"/>
        <w:ind w:firstLine="964" w:firstLineChars="100"/>
        <w:jc w:val="center"/>
        <w:rPr>
          <w:rFonts w:hint="eastAsia" w:ascii="宋体" w:hAnsi="宋体" w:eastAsia="宋体" w:cs="宋体"/>
          <w:b/>
          <w:bCs/>
          <w:kern w:val="0"/>
          <w:sz w:val="96"/>
          <w:szCs w:val="96"/>
        </w:rPr>
      </w:pPr>
      <w:r>
        <w:rPr>
          <w:rFonts w:hint="eastAsia" w:ascii="宋体" w:hAnsi="宋体" w:eastAsia="宋体" w:cs="宋体"/>
          <w:b/>
          <w:bCs/>
          <w:kern w:val="0"/>
          <w:sz w:val="96"/>
          <w:szCs w:val="96"/>
        </w:rPr>
        <w:t>招</w:t>
      </w:r>
      <w:r>
        <w:rPr>
          <w:rFonts w:hint="eastAsia" w:ascii="宋体" w:hAnsi="宋体" w:eastAsia="宋体" w:cs="宋体"/>
          <w:b/>
          <w:bCs/>
          <w:kern w:val="0"/>
          <w:sz w:val="96"/>
          <w:szCs w:val="96"/>
          <w:lang w:val="en-US" w:eastAsia="zh-CN"/>
        </w:rPr>
        <w:t xml:space="preserve"> </w:t>
      </w:r>
      <w:r>
        <w:rPr>
          <w:rFonts w:hint="eastAsia" w:ascii="宋体" w:hAnsi="宋体" w:eastAsia="宋体" w:cs="宋体"/>
          <w:b/>
          <w:bCs/>
          <w:kern w:val="0"/>
          <w:sz w:val="96"/>
          <w:szCs w:val="96"/>
        </w:rPr>
        <w:t xml:space="preserve"> 标</w:t>
      </w:r>
      <w:r>
        <w:rPr>
          <w:rFonts w:hint="eastAsia" w:ascii="宋体" w:hAnsi="宋体" w:eastAsia="宋体" w:cs="宋体"/>
          <w:b/>
          <w:bCs/>
          <w:kern w:val="0"/>
          <w:sz w:val="96"/>
          <w:szCs w:val="96"/>
          <w:lang w:val="en-US" w:eastAsia="zh-CN"/>
        </w:rPr>
        <w:t xml:space="preserve"> </w:t>
      </w:r>
      <w:r>
        <w:rPr>
          <w:rFonts w:hint="eastAsia" w:ascii="宋体" w:hAnsi="宋体" w:eastAsia="宋体" w:cs="宋体"/>
          <w:b/>
          <w:bCs/>
          <w:kern w:val="0"/>
          <w:sz w:val="96"/>
          <w:szCs w:val="96"/>
        </w:rPr>
        <w:t xml:space="preserve"> 文</w:t>
      </w:r>
      <w:r>
        <w:rPr>
          <w:rFonts w:hint="eastAsia" w:ascii="宋体" w:hAnsi="宋体" w:eastAsia="宋体" w:cs="宋体"/>
          <w:b/>
          <w:bCs/>
          <w:kern w:val="0"/>
          <w:sz w:val="96"/>
          <w:szCs w:val="96"/>
          <w:lang w:val="en-US" w:eastAsia="zh-CN"/>
        </w:rPr>
        <w:t xml:space="preserve"> </w:t>
      </w:r>
      <w:r>
        <w:rPr>
          <w:rFonts w:hint="eastAsia" w:ascii="宋体" w:hAnsi="宋体" w:eastAsia="宋体" w:cs="宋体"/>
          <w:b/>
          <w:bCs/>
          <w:kern w:val="0"/>
          <w:sz w:val="96"/>
          <w:szCs w:val="96"/>
        </w:rPr>
        <w:t xml:space="preserve"> 件</w:t>
      </w:r>
    </w:p>
    <w:p>
      <w:pPr>
        <w:pStyle w:val="5"/>
        <w:rPr>
          <w:rFonts w:hint="eastAsia" w:ascii="宋体" w:hAnsi="宋体" w:eastAsia="宋体" w:cs="宋体"/>
          <w:kern w:val="0"/>
          <w:sz w:val="96"/>
          <w:szCs w:val="96"/>
        </w:rPr>
      </w:pPr>
    </w:p>
    <w:p>
      <w:pPr>
        <w:pStyle w:val="5"/>
        <w:rPr>
          <w:rFonts w:hint="eastAsia" w:ascii="宋体" w:hAnsi="宋体" w:eastAsia="宋体" w:cs="宋体"/>
          <w:kern w:val="0"/>
          <w:sz w:val="96"/>
          <w:szCs w:val="96"/>
        </w:rPr>
      </w:pPr>
    </w:p>
    <w:p>
      <w:pPr>
        <w:widowControl/>
        <w:spacing w:before="100" w:beforeAutospacing="1" w:line="480" w:lineRule="auto"/>
        <w:ind w:left="0" w:leftChars="0" w:firstLine="421" w:firstLineChars="131"/>
        <w:jc w:val="left"/>
        <w:rPr>
          <w:rFonts w:hint="default" w:ascii="宋体" w:hAnsi="宋体" w:eastAsia="宋体" w:cs="宋体"/>
          <w:b/>
          <w:bCs/>
          <w:kern w:val="0"/>
          <w:sz w:val="20"/>
          <w:szCs w:val="20"/>
          <w:lang w:val="en-US"/>
        </w:rPr>
      </w:pPr>
      <w:r>
        <w:rPr>
          <w:rFonts w:hint="eastAsia" w:ascii="宋体" w:hAnsi="宋体" w:eastAsia="宋体" w:cs="宋体"/>
          <w:b/>
          <w:bCs/>
          <w:color w:val="000000"/>
          <w:kern w:val="0"/>
          <w:sz w:val="32"/>
          <w:szCs w:val="32"/>
        </w:rPr>
        <w:t>项目编号：</w:t>
      </w:r>
      <w:r>
        <w:rPr>
          <w:rFonts w:hint="eastAsia" w:ascii="宋体" w:hAnsi="宋体" w:eastAsia="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u w:val="single"/>
        </w:rPr>
        <w:t>131-</w:t>
      </w:r>
      <w:r>
        <w:rPr>
          <w:rFonts w:hint="eastAsia" w:ascii="宋体" w:hAnsi="宋体" w:eastAsia="宋体" w:cs="宋体"/>
          <w:b/>
          <w:bCs/>
          <w:color w:val="000000"/>
          <w:kern w:val="0"/>
          <w:sz w:val="32"/>
          <w:szCs w:val="32"/>
          <w:u w:val="single"/>
          <w:lang w:val="en-US" w:eastAsia="zh-CN"/>
        </w:rPr>
        <w:t>2021CG</w:t>
      </w:r>
      <w:r>
        <w:rPr>
          <w:rFonts w:hint="eastAsia" w:ascii="宋体" w:hAnsi="宋体" w:eastAsia="宋体" w:cs="宋体"/>
          <w:b/>
          <w:bCs/>
          <w:color w:val="000000"/>
          <w:kern w:val="0"/>
          <w:sz w:val="32"/>
          <w:szCs w:val="32"/>
          <w:u w:val="single"/>
        </w:rPr>
        <w:t>-</w:t>
      </w:r>
      <w:r>
        <w:rPr>
          <w:rFonts w:hint="eastAsia" w:ascii="宋体" w:hAnsi="宋体" w:eastAsia="宋体" w:cs="宋体"/>
          <w:b/>
          <w:bCs/>
          <w:color w:val="000000"/>
          <w:kern w:val="0"/>
          <w:sz w:val="32"/>
          <w:szCs w:val="32"/>
          <w:u w:val="single"/>
          <w:lang w:val="en-US" w:eastAsia="zh-CN"/>
        </w:rPr>
        <w:t xml:space="preserve">023                </w:t>
      </w:r>
    </w:p>
    <w:p>
      <w:pPr>
        <w:widowControl/>
        <w:spacing w:before="100" w:beforeAutospacing="1" w:line="480" w:lineRule="auto"/>
        <w:ind w:left="0" w:leftChars="0" w:firstLine="421" w:firstLineChars="131"/>
        <w:jc w:val="left"/>
        <w:rPr>
          <w:rFonts w:hint="eastAsia" w:ascii="宋体" w:hAnsi="宋体" w:eastAsia="宋体" w:cs="宋体"/>
          <w:b/>
          <w:bCs/>
          <w:kern w:val="0"/>
          <w:sz w:val="20"/>
          <w:szCs w:val="20"/>
        </w:rPr>
      </w:pPr>
      <w:r>
        <w:rPr>
          <w:rFonts w:hint="eastAsia" w:ascii="宋体" w:hAnsi="宋体" w:eastAsia="宋体" w:cs="宋体"/>
          <w:b/>
          <w:bCs/>
          <w:color w:val="000000"/>
          <w:kern w:val="0"/>
          <w:sz w:val="32"/>
          <w:szCs w:val="32"/>
        </w:rPr>
        <w:t>采 购 人：</w:t>
      </w:r>
      <w:r>
        <w:rPr>
          <w:rFonts w:hint="eastAsia" w:ascii="宋体" w:hAnsi="宋体" w:eastAsia="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u w:val="single"/>
          <w:lang w:eastAsia="zh-CN"/>
        </w:rPr>
        <w:t>阳新县植物保护站</w:t>
      </w:r>
      <w:r>
        <w:rPr>
          <w:rFonts w:hint="eastAsia" w:ascii="宋体" w:hAnsi="宋体" w:eastAsia="宋体" w:cs="宋体"/>
          <w:b/>
          <w:bCs/>
          <w:color w:val="000000"/>
          <w:kern w:val="0"/>
          <w:sz w:val="32"/>
          <w:szCs w:val="32"/>
          <w:u w:val="single"/>
          <w:lang w:val="en-US" w:eastAsia="zh-CN"/>
        </w:rPr>
        <w:t xml:space="preserve">              </w:t>
      </w:r>
    </w:p>
    <w:p>
      <w:pPr>
        <w:widowControl/>
        <w:spacing w:before="100" w:beforeAutospacing="1" w:line="480" w:lineRule="auto"/>
        <w:ind w:left="0" w:leftChars="0" w:firstLine="421" w:firstLineChars="131"/>
        <w:jc w:val="left"/>
        <w:rPr>
          <w:rFonts w:hint="eastAsia" w:ascii="宋体" w:hAnsi="宋体" w:eastAsia="宋体" w:cs="宋体"/>
          <w:b/>
          <w:bCs/>
          <w:color w:val="000000"/>
          <w:kern w:val="0"/>
          <w:sz w:val="32"/>
          <w:szCs w:val="32"/>
          <w:u w:val="single"/>
          <w:lang w:eastAsia="zh-CN"/>
        </w:rPr>
      </w:pPr>
      <w:r>
        <w:rPr>
          <w:rFonts w:hint="eastAsia" w:ascii="宋体" w:hAnsi="宋体" w:eastAsia="宋体" w:cs="宋体"/>
          <w:b/>
          <w:bCs/>
          <w:color w:val="000000"/>
          <w:kern w:val="0"/>
          <w:sz w:val="32"/>
          <w:szCs w:val="32"/>
        </w:rPr>
        <w:t>项目名称：</w:t>
      </w:r>
      <w:r>
        <w:rPr>
          <w:rFonts w:hint="eastAsia" w:ascii="宋体" w:hAnsi="宋体" w:eastAsia="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u w:val="single"/>
          <w:lang w:eastAsia="zh-CN"/>
        </w:rPr>
        <w:t>2020年全国农作物病虫疫情监测分中心（阳新）</w:t>
      </w:r>
    </w:p>
    <w:p>
      <w:pPr>
        <w:widowControl/>
        <w:spacing w:before="100" w:beforeAutospacing="1" w:line="480" w:lineRule="auto"/>
        <w:ind w:left="0" w:leftChars="0" w:firstLine="2017" w:firstLineChars="628"/>
        <w:jc w:val="left"/>
        <w:rPr>
          <w:rFonts w:hint="default" w:ascii="宋体" w:hAnsi="宋体" w:eastAsia="宋体" w:cs="宋体"/>
          <w:b/>
          <w:bCs/>
          <w:color w:val="000000"/>
          <w:kern w:val="0"/>
          <w:sz w:val="32"/>
          <w:szCs w:val="32"/>
          <w:u w:val="single"/>
          <w:lang w:val="en-US" w:eastAsia="zh-CN"/>
        </w:rPr>
      </w:pPr>
      <w:r>
        <w:rPr>
          <w:rFonts w:hint="eastAsia" w:ascii="宋体" w:hAnsi="宋体" w:eastAsia="宋体" w:cs="宋体"/>
          <w:b/>
          <w:bCs/>
          <w:color w:val="000000"/>
          <w:kern w:val="0"/>
          <w:sz w:val="32"/>
          <w:szCs w:val="32"/>
          <w:u w:val="single"/>
          <w:lang w:eastAsia="zh-CN"/>
        </w:rPr>
        <w:t>田间监测点建设项目</w:t>
      </w:r>
      <w:r>
        <w:rPr>
          <w:rFonts w:hint="eastAsia" w:ascii="宋体" w:hAnsi="宋体" w:eastAsia="宋体" w:cs="宋体"/>
          <w:b/>
          <w:bCs/>
          <w:color w:val="000000"/>
          <w:kern w:val="0"/>
          <w:sz w:val="32"/>
          <w:szCs w:val="32"/>
          <w:u w:val="single"/>
          <w:lang w:val="en-US" w:eastAsia="zh-CN"/>
        </w:rPr>
        <w:t xml:space="preserve">                          </w:t>
      </w:r>
    </w:p>
    <w:p>
      <w:pPr>
        <w:widowControl/>
        <w:spacing w:before="100" w:beforeAutospacing="1" w:line="480" w:lineRule="auto"/>
        <w:ind w:left="0" w:leftChars="0" w:firstLine="421" w:firstLineChars="131"/>
        <w:jc w:val="left"/>
        <w:rPr>
          <w:rFonts w:hint="default" w:ascii="宋体" w:hAnsi="宋体" w:eastAsia="宋体" w:cs="宋体"/>
          <w:color w:val="000000"/>
          <w:kern w:val="0"/>
          <w:sz w:val="28"/>
          <w:szCs w:val="28"/>
          <w:u w:val="single"/>
          <w:lang w:val="en-US"/>
        </w:rPr>
      </w:pPr>
      <w:r>
        <w:rPr>
          <w:rFonts w:hint="eastAsia" w:ascii="宋体" w:hAnsi="宋体" w:eastAsia="宋体" w:cs="宋体"/>
          <w:b/>
          <w:bCs/>
          <w:color w:val="000000"/>
          <w:kern w:val="0"/>
          <w:sz w:val="32"/>
          <w:szCs w:val="32"/>
        </w:rPr>
        <w:t>采购内容：</w:t>
      </w:r>
      <w:r>
        <w:rPr>
          <w:rFonts w:hint="eastAsia" w:ascii="宋体" w:hAnsi="宋体" w:eastAsia="宋体" w:cs="宋体"/>
          <w:b/>
          <w:bCs/>
          <w:color w:val="000000"/>
          <w:kern w:val="0"/>
          <w:sz w:val="32"/>
          <w:szCs w:val="32"/>
          <w:u w:val="single"/>
          <w:lang w:val="en-US" w:eastAsia="zh-CN"/>
        </w:rPr>
        <w:t xml:space="preserve"> 农作物病虫疫情监测分中心（阳新）田间监测点 </w:t>
      </w:r>
    </w:p>
    <w:p>
      <w:pPr>
        <w:pStyle w:val="5"/>
        <w:rPr>
          <w:rFonts w:hint="eastAsia" w:ascii="宋体" w:hAnsi="宋体" w:eastAsia="宋体" w:cs="宋体"/>
          <w:color w:val="000000"/>
          <w:kern w:val="0"/>
          <w:sz w:val="28"/>
          <w:szCs w:val="28"/>
          <w:u w:val="single"/>
        </w:rPr>
      </w:pPr>
    </w:p>
    <w:p>
      <w:pPr>
        <w:pStyle w:val="5"/>
        <w:rPr>
          <w:rFonts w:hint="eastAsia" w:ascii="宋体" w:hAnsi="宋体" w:eastAsia="宋体" w:cs="宋体"/>
          <w:color w:val="000000"/>
          <w:kern w:val="0"/>
          <w:sz w:val="28"/>
          <w:szCs w:val="28"/>
          <w:u w:val="single"/>
        </w:rPr>
      </w:pPr>
    </w:p>
    <w:p>
      <w:pPr>
        <w:pStyle w:val="5"/>
        <w:rPr>
          <w:rFonts w:hint="eastAsia" w:ascii="宋体" w:hAnsi="宋体" w:eastAsia="宋体" w:cs="宋体"/>
          <w:color w:val="000000"/>
          <w:kern w:val="0"/>
          <w:sz w:val="28"/>
          <w:szCs w:val="28"/>
          <w:u w:val="single"/>
        </w:rPr>
      </w:pPr>
    </w:p>
    <w:p>
      <w:pPr>
        <w:pStyle w:val="5"/>
        <w:rPr>
          <w:rFonts w:hint="eastAsia" w:ascii="宋体" w:hAnsi="宋体" w:eastAsia="宋体" w:cs="宋体"/>
          <w:color w:val="000000"/>
          <w:kern w:val="0"/>
          <w:sz w:val="28"/>
          <w:szCs w:val="28"/>
          <w:u w:val="single"/>
        </w:rPr>
      </w:pPr>
    </w:p>
    <w:p>
      <w:pPr>
        <w:pStyle w:val="5"/>
        <w:rPr>
          <w:rFonts w:hint="eastAsia" w:ascii="宋体" w:hAnsi="宋体" w:eastAsia="宋体" w:cs="宋体"/>
          <w:color w:val="000000"/>
          <w:kern w:val="0"/>
          <w:sz w:val="28"/>
          <w:szCs w:val="28"/>
          <w:u w:val="single"/>
        </w:rPr>
      </w:pPr>
    </w:p>
    <w:p>
      <w:pPr>
        <w:tabs>
          <w:tab w:val="left" w:pos="7939"/>
        </w:tabs>
        <w:spacing w:line="360" w:lineRule="auto"/>
        <w:jc w:val="center"/>
        <w:rPr>
          <w:rFonts w:hint="eastAsia" w:ascii="宋体" w:hAnsi="宋体" w:eastAsia="宋体" w:cs="宋体"/>
          <w:b/>
          <w:sz w:val="48"/>
          <w:szCs w:val="24"/>
          <w:lang w:eastAsia="zh-CN"/>
        </w:rPr>
      </w:pPr>
      <w:r>
        <w:rPr>
          <w:rFonts w:hint="eastAsia" w:ascii="宋体" w:hAnsi="宋体" w:eastAsia="宋体" w:cs="宋体"/>
          <w:b/>
          <w:sz w:val="48"/>
          <w:szCs w:val="24"/>
          <w:lang w:eastAsia="zh-CN"/>
        </w:rPr>
        <w:t>湖北天缔工程咨询有限公司</w:t>
      </w:r>
    </w:p>
    <w:p>
      <w:pPr>
        <w:ind w:firstLine="3614" w:firstLineChars="1000"/>
        <w:jc w:val="both"/>
        <w:rPr>
          <w:rFonts w:hint="eastAsia" w:ascii="宋体" w:hAnsi="宋体" w:eastAsia="宋体" w:cs="宋体"/>
          <w:b/>
          <w:sz w:val="36"/>
          <w:szCs w:val="20"/>
          <w:lang w:eastAsia="zh-CN"/>
        </w:rPr>
        <w:sectPr>
          <w:headerReference r:id="rId3" w:type="default"/>
          <w:footerReference r:id="rId5" w:type="default"/>
          <w:headerReference r:id="rId4" w:type="even"/>
          <w:footerReference r:id="rId6" w:type="even"/>
          <w:pgSz w:w="11906" w:h="16838"/>
          <w:pgMar w:top="1440" w:right="1080" w:bottom="1440" w:left="1080" w:header="851" w:footer="737" w:gutter="0"/>
          <w:cols w:space="425" w:num="1"/>
          <w:docGrid w:type="lines" w:linePitch="312" w:charSpace="0"/>
        </w:sectPr>
      </w:pPr>
      <w:r>
        <w:rPr>
          <w:rFonts w:hint="eastAsia" w:ascii="宋体" w:hAnsi="宋体" w:eastAsia="宋体" w:cs="宋体"/>
          <w:b/>
          <w:sz w:val="36"/>
          <w:szCs w:val="20"/>
        </w:rPr>
        <w:t>二</w:t>
      </w:r>
      <w:r>
        <w:rPr>
          <w:rFonts w:hint="eastAsia" w:ascii="宋体" w:hAnsi="宋体" w:eastAsia="宋体" w:cs="宋体"/>
          <w:b/>
          <w:sz w:val="36"/>
          <w:szCs w:val="20"/>
          <w:lang w:eastAsia="zh-CN"/>
        </w:rPr>
        <w:t>〇二</w:t>
      </w:r>
      <w:r>
        <w:rPr>
          <w:rFonts w:hint="eastAsia" w:ascii="宋体" w:hAnsi="宋体" w:eastAsia="宋体" w:cs="宋体"/>
          <w:b/>
          <w:sz w:val="36"/>
          <w:szCs w:val="20"/>
          <w:lang w:val="en-US" w:eastAsia="zh-CN"/>
        </w:rPr>
        <w:t>一</w:t>
      </w:r>
      <w:r>
        <w:rPr>
          <w:rFonts w:hint="eastAsia" w:ascii="宋体" w:hAnsi="宋体" w:eastAsia="宋体" w:cs="宋体"/>
          <w:b/>
          <w:sz w:val="36"/>
          <w:szCs w:val="20"/>
        </w:rPr>
        <w:t>年</w:t>
      </w:r>
      <w:r>
        <w:rPr>
          <w:rFonts w:hint="eastAsia" w:ascii="宋体" w:hAnsi="宋体" w:eastAsia="宋体" w:cs="宋体"/>
          <w:b/>
          <w:sz w:val="36"/>
          <w:szCs w:val="20"/>
          <w:lang w:eastAsia="zh-CN"/>
        </w:rPr>
        <w:t>二月</w:t>
      </w:r>
    </w:p>
    <w:p>
      <w:pPr>
        <w:tabs>
          <w:tab w:val="center" w:pos="4785"/>
          <w:tab w:val="left" w:pos="6255"/>
        </w:tabs>
        <w:spacing w:before="312" w:beforeLines="100"/>
        <w:jc w:val="left"/>
        <w:rPr>
          <w:rFonts w:hint="eastAsia" w:ascii="宋体" w:hAnsi="宋体" w:eastAsia="宋体" w:cs="宋体"/>
          <w:sz w:val="44"/>
          <w:szCs w:val="44"/>
          <w:lang w:eastAsia="zh-CN"/>
        </w:rPr>
      </w:pPr>
      <w:r>
        <w:rPr>
          <w:rFonts w:hint="eastAsia" w:ascii="宋体" w:hAnsi="宋体" w:eastAsia="宋体" w:cs="宋体"/>
          <w:sz w:val="44"/>
          <w:szCs w:val="44"/>
          <w:lang w:eastAsia="zh-CN"/>
        </w:rPr>
        <w:tab/>
      </w:r>
      <w:r>
        <w:rPr>
          <w:rFonts w:hint="eastAsia" w:ascii="宋体" w:hAnsi="宋体" w:eastAsia="宋体" w:cs="宋体"/>
          <w:b/>
          <w:bCs/>
          <w:sz w:val="44"/>
          <w:szCs w:val="44"/>
        </w:rPr>
        <w:t>目 录</w:t>
      </w:r>
    </w:p>
    <w:sdt>
      <w:sdtPr>
        <w:rPr>
          <w:rFonts w:hint="eastAsia" w:ascii="宋体" w:hAnsi="宋体" w:eastAsia="宋体" w:cs="宋体"/>
          <w:lang w:val="zh-CN"/>
        </w:rPr>
        <w:id w:val="1482579200"/>
      </w:sdtPr>
      <w:sdtEndPr>
        <w:rPr>
          <w:rFonts w:hint="eastAsia" w:ascii="宋体" w:hAnsi="宋体" w:eastAsia="宋体" w:cs="宋体"/>
          <w:b w:val="0"/>
          <w:bCs/>
          <w:lang w:val="zh-CN"/>
        </w:rPr>
      </w:sdtEndPr>
      <w:sdtContent>
        <w:p>
          <w:pPr>
            <w:pStyle w:val="10"/>
            <w:keepNext w:val="0"/>
            <w:keepLines w:val="0"/>
            <w:pageBreakBefore w:val="0"/>
            <w:widowControl/>
            <w:tabs>
              <w:tab w:val="left" w:pos="1260"/>
              <w:tab w:val="right" w:leader="dot" w:pos="9514"/>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b/>
              <w:kern w:val="0"/>
              <w:sz w:val="28"/>
              <w:szCs w:val="22"/>
              <w:lang w:val="en-US" w:eastAsia="zh-CN" w:bidi="ar-SA"/>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_Toc24300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投标邀请书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_Toc24300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_Toc22183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_Toc22183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_Toc22127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eastAsia="zh-CN"/>
            </w:rPr>
            <w:t>投标须知前附表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_Toc22127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_Toc30635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一、 说  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_Toc30635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_Toc28652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二、 招标文件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_Toc28652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_Toc31291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三、 投标文件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_Toc31291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_Toc11594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四、 开标与评标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_Toc11594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_Toc23702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五、 投标人信用信息及查询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_Toc23702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_Toc31222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六、 中标与合同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_Toc31222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_Toc20989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七、 采购信息公告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_Toc20989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_Toc25513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八、 质疑及提交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_Toc25513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_Toc8910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九、 相关条文解读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_Toc8910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_Toc1167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十、 其他注意事项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_Toc1167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_Toc20145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十一、 适用法律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_Toc20145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_Toc31563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十二、 招标文件的解释权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_Toc31563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_Toc2278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项目技术、服务及商务要求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_Toc2278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_Toc18571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一、 </w:t>
          </w:r>
          <w:r>
            <w:rPr>
              <w:rFonts w:hint="eastAsia" w:ascii="宋体" w:hAnsi="宋体" w:eastAsia="宋体" w:cs="宋体"/>
              <w:bCs/>
              <w:sz w:val="28"/>
              <w:szCs w:val="28"/>
              <w:lang w:eastAsia="zh-CN"/>
            </w:rPr>
            <w:t>采购清单及</w:t>
          </w:r>
          <w:r>
            <w:rPr>
              <w:rFonts w:hint="eastAsia" w:ascii="宋体" w:hAnsi="宋体" w:eastAsia="宋体" w:cs="宋体"/>
              <w:bCs/>
              <w:sz w:val="28"/>
              <w:szCs w:val="28"/>
            </w:rPr>
            <w:t>技术规格</w:t>
          </w:r>
          <w:r>
            <w:rPr>
              <w:rFonts w:hint="eastAsia" w:ascii="宋体" w:hAnsi="宋体" w:eastAsia="宋体" w:cs="宋体"/>
              <w:bCs/>
              <w:sz w:val="28"/>
              <w:szCs w:val="28"/>
              <w:lang w:eastAsia="zh-CN"/>
            </w:rPr>
            <w:t>、</w:t>
          </w:r>
          <w:r>
            <w:rPr>
              <w:rFonts w:hint="eastAsia" w:ascii="宋体" w:hAnsi="宋体" w:eastAsia="宋体" w:cs="宋体"/>
              <w:bCs/>
              <w:sz w:val="28"/>
              <w:szCs w:val="28"/>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_Toc18571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_Toc10285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lang w:eastAsia="zh-CN"/>
            </w:rPr>
            <w:t>二、商务要求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_Toc10285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_Toc12010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资格审查方法及标准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_Toc12010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_Toc18266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一、 资格审查方法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_Toc18266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_Toc30067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二、 资格审查标准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_Toc30067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_Toc19488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评标方法、程序及标准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_Toc19488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_Toc4000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一、 评标方法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_Toc4000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_Toc28471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二、 评标程序及标准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_Toc28471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_Toc4125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rPr>
            <w:t>三、评审因素及评分标准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_Toc4125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_Toc12859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合同书格式（参考）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_Toc12859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_Toc29202 </w:instrText>
          </w:r>
          <w:r>
            <w:rPr>
              <w:rFonts w:hint="eastAsia" w:ascii="宋体" w:hAnsi="宋体" w:eastAsia="宋体" w:cs="宋体"/>
              <w:sz w:val="28"/>
              <w:szCs w:val="28"/>
            </w:rPr>
            <w:fldChar w:fldCharType="separate"/>
          </w:r>
          <w:r>
            <w:rPr>
              <w:rFonts w:hint="eastAsia" w:ascii="宋体" w:hAnsi="宋体" w:eastAsia="宋体" w:cs="宋体"/>
              <w:sz w:val="28"/>
              <w:szCs w:val="28"/>
            </w:rPr>
            <w:t>第七章 投标文件格式（参考）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_Toc29202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_Toc9222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第一部分 资格证明文件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_Toc9222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_Toc19956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rPr>
            <w:t>附：无重大违法记录声明函格式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_Toc19956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_Toc5178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第二部分 商务文件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_Toc5178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_Toc10980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zh-CN" w:eastAsia="zh-CN"/>
            </w:rPr>
            <w:t xml:space="preserve">第三部分 </w:t>
          </w:r>
          <w:r>
            <w:rPr>
              <w:rFonts w:hint="eastAsia" w:ascii="宋体" w:hAnsi="宋体" w:eastAsia="宋体" w:cs="宋体"/>
              <w:bCs w:val="0"/>
              <w:sz w:val="28"/>
              <w:szCs w:val="28"/>
              <w:lang w:val="zh-CN"/>
            </w:rPr>
            <w:t>技术、服务</w:t>
          </w:r>
          <w:r>
            <w:rPr>
              <w:rFonts w:hint="eastAsia" w:ascii="宋体" w:hAnsi="宋体" w:eastAsia="宋体" w:cs="宋体"/>
              <w:bCs w:val="0"/>
              <w:sz w:val="28"/>
              <w:szCs w:val="28"/>
              <w:lang w:val="zh-CN" w:eastAsia="zh-CN"/>
            </w:rPr>
            <w:t>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_Toc10980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_Toc18790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附件一： </w:t>
          </w:r>
          <w:r>
            <w:rPr>
              <w:rFonts w:hint="eastAsia" w:ascii="宋体" w:hAnsi="宋体" w:eastAsia="宋体" w:cs="宋体"/>
              <w:bCs w:val="0"/>
              <w:sz w:val="28"/>
              <w:szCs w:val="28"/>
              <w:highlight w:val="none"/>
            </w:rPr>
            <w:t>投标书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_Toc18790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_Toc10642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附件二： </w:t>
          </w:r>
          <w:r>
            <w:rPr>
              <w:rFonts w:hint="eastAsia" w:ascii="宋体" w:hAnsi="宋体" w:eastAsia="宋体" w:cs="宋体"/>
              <w:bCs w:val="0"/>
              <w:sz w:val="28"/>
              <w:szCs w:val="28"/>
              <w:highlight w:val="none"/>
            </w:rPr>
            <w:t>制造商中小企业声明函（适用于货物类项目）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_Toc10642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_Toc27749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附件三： </w:t>
          </w:r>
          <w:r>
            <w:rPr>
              <w:rFonts w:hint="eastAsia" w:ascii="宋体" w:hAnsi="宋体" w:eastAsia="宋体" w:cs="宋体"/>
              <w:bCs w:val="0"/>
              <w:sz w:val="28"/>
              <w:szCs w:val="28"/>
              <w:highlight w:val="none"/>
            </w:rPr>
            <w:t>中小企业声明函（适用于工程类、服务类项目）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_Toc27749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_Toc10741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附件四： </w:t>
          </w:r>
          <w:r>
            <w:rPr>
              <w:rFonts w:hint="eastAsia" w:ascii="宋体" w:hAnsi="宋体" w:eastAsia="宋体" w:cs="宋体"/>
              <w:bCs w:val="0"/>
              <w:sz w:val="28"/>
              <w:szCs w:val="28"/>
              <w:highlight w:val="none"/>
            </w:rPr>
            <w:t>中小企业划型标准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_Toc10741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_Toc31793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附件五： </w:t>
          </w:r>
          <w:r>
            <w:rPr>
              <w:rFonts w:hint="eastAsia" w:ascii="宋体" w:hAnsi="宋体" w:eastAsia="宋体" w:cs="宋体"/>
              <w:bCs w:val="0"/>
              <w:sz w:val="28"/>
              <w:szCs w:val="28"/>
              <w:highlight w:val="none"/>
            </w:rPr>
            <w:t>残疾人福利性单位声明函（适用于货物类项目）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_Toc31793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_Toc14138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附件六： </w:t>
          </w:r>
          <w:r>
            <w:rPr>
              <w:rFonts w:hint="eastAsia" w:ascii="宋体" w:hAnsi="宋体" w:eastAsia="宋体" w:cs="宋体"/>
              <w:bCs w:val="0"/>
              <w:sz w:val="28"/>
              <w:szCs w:val="28"/>
              <w:highlight w:val="none"/>
            </w:rPr>
            <w:t>残疾人福利性单位声明函（适用于工程类、服务类项目）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_Toc14138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_Toc8402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附件七： </w:t>
          </w:r>
          <w:r>
            <w:rPr>
              <w:rFonts w:hint="eastAsia" w:ascii="宋体" w:hAnsi="宋体" w:eastAsia="宋体" w:cs="宋体"/>
              <w:bCs w:val="0"/>
              <w:sz w:val="28"/>
              <w:szCs w:val="28"/>
              <w:highlight w:val="none"/>
            </w:rPr>
            <w:t>享受政府采购支持政策的残疾人福利性单位的标准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_Toc8402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_Toc26749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附件八： </w:t>
          </w:r>
          <w:r>
            <w:rPr>
              <w:rFonts w:hint="eastAsia" w:ascii="宋体" w:hAnsi="宋体" w:eastAsia="宋体" w:cs="宋体"/>
              <w:bCs w:val="0"/>
              <w:sz w:val="28"/>
              <w:szCs w:val="28"/>
              <w:highlight w:val="none"/>
            </w:rPr>
            <w:t>开标一览表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_Toc26749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_Toc26148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附件九： </w:t>
          </w:r>
          <w:r>
            <w:rPr>
              <w:rFonts w:hint="eastAsia" w:ascii="宋体" w:hAnsi="宋体" w:eastAsia="宋体" w:cs="宋体"/>
              <w:bCs w:val="0"/>
              <w:sz w:val="28"/>
              <w:szCs w:val="28"/>
              <w:highlight w:val="none"/>
            </w:rPr>
            <w:t>投标报价明细表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_Toc26148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_Toc3243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附件十： </w:t>
          </w:r>
          <w:r>
            <w:rPr>
              <w:rFonts w:hint="eastAsia" w:ascii="宋体" w:hAnsi="宋体" w:eastAsia="宋体" w:cs="宋体"/>
              <w:sz w:val="28"/>
              <w:szCs w:val="28"/>
              <w:highlight w:val="none"/>
            </w:rPr>
            <w:t>小型和微型企业、监狱企业、残疾人福利性单位货物汇总表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_Toc3243 </w:instrText>
          </w:r>
          <w:r>
            <w:rPr>
              <w:rFonts w:hint="eastAsia" w:ascii="宋体" w:hAnsi="宋体" w:eastAsia="宋体" w:cs="宋体"/>
              <w:sz w:val="28"/>
              <w:szCs w:val="28"/>
            </w:rPr>
            <w:fldChar w:fldCharType="separate"/>
          </w:r>
          <w:r>
            <w:rPr>
              <w:rFonts w:hint="eastAsia"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_Toc3559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附件十一： </w:t>
          </w:r>
          <w:r>
            <w:rPr>
              <w:rFonts w:hint="eastAsia" w:ascii="宋体" w:hAnsi="宋体" w:eastAsia="宋体" w:cs="宋体"/>
              <w:sz w:val="28"/>
              <w:szCs w:val="28"/>
              <w:highlight w:val="none"/>
            </w:rPr>
            <w:t>投标货物（工程或服务）清单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_Toc3559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_Toc7141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附件十二： </w:t>
          </w:r>
          <w:r>
            <w:rPr>
              <w:rFonts w:hint="eastAsia" w:ascii="宋体" w:hAnsi="宋体" w:eastAsia="宋体" w:cs="宋体"/>
              <w:sz w:val="28"/>
              <w:szCs w:val="28"/>
              <w:highlight w:val="none"/>
            </w:rPr>
            <w:t>交纳投标保证金的银行凭证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_Toc7141 </w:instrText>
          </w:r>
          <w:r>
            <w:rPr>
              <w:rFonts w:hint="eastAsia" w:ascii="宋体" w:hAnsi="宋体" w:eastAsia="宋体" w:cs="宋体"/>
              <w:sz w:val="28"/>
              <w:szCs w:val="28"/>
            </w:rPr>
            <w:fldChar w:fldCharType="separate"/>
          </w:r>
          <w:r>
            <w:rPr>
              <w:rFonts w:hint="eastAsia" w:ascii="宋体" w:hAnsi="宋体" w:eastAsia="宋体" w:cs="宋体"/>
              <w:sz w:val="28"/>
              <w:szCs w:val="28"/>
            </w:rPr>
            <w:t>56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_Toc17431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附件十三： </w:t>
          </w:r>
          <w:r>
            <w:rPr>
              <w:rFonts w:hint="eastAsia" w:ascii="宋体" w:hAnsi="宋体" w:eastAsia="宋体" w:cs="宋体"/>
              <w:sz w:val="28"/>
              <w:szCs w:val="28"/>
              <w:highlight w:val="none"/>
            </w:rPr>
            <w:t>法定代表人授权书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_Toc17431 </w:instrText>
          </w:r>
          <w:r>
            <w:rPr>
              <w:rFonts w:hint="eastAsia" w:ascii="宋体" w:hAnsi="宋体" w:eastAsia="宋体" w:cs="宋体"/>
              <w:sz w:val="28"/>
              <w:szCs w:val="28"/>
            </w:rPr>
            <w:fldChar w:fldCharType="separate"/>
          </w:r>
          <w:r>
            <w:rPr>
              <w:rFonts w:hint="eastAsia"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_Toc8320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附件十四： </w:t>
          </w:r>
          <w:r>
            <w:rPr>
              <w:rFonts w:hint="eastAsia" w:ascii="宋体" w:hAnsi="宋体" w:eastAsia="宋体" w:cs="宋体"/>
              <w:sz w:val="28"/>
              <w:szCs w:val="28"/>
              <w:highlight w:val="none"/>
            </w:rPr>
            <w:t>投标人的资格声明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_Toc8320 </w:instrText>
          </w:r>
          <w:r>
            <w:rPr>
              <w:rFonts w:hint="eastAsia" w:ascii="宋体" w:hAnsi="宋体" w:eastAsia="宋体" w:cs="宋体"/>
              <w:sz w:val="28"/>
              <w:szCs w:val="28"/>
            </w:rPr>
            <w:fldChar w:fldCharType="separate"/>
          </w:r>
          <w:r>
            <w:rPr>
              <w:rFonts w:hint="eastAsia" w:ascii="宋体" w:hAnsi="宋体" w:eastAsia="宋体" w:cs="宋体"/>
              <w:sz w:val="28"/>
              <w:szCs w:val="28"/>
            </w:rPr>
            <w:t>58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_Toc25150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附件十五： </w:t>
          </w:r>
          <w:r>
            <w:rPr>
              <w:rFonts w:hint="eastAsia" w:ascii="宋体" w:hAnsi="宋体" w:eastAsia="宋体" w:cs="宋体"/>
              <w:sz w:val="28"/>
              <w:szCs w:val="28"/>
              <w:highlight w:val="none"/>
            </w:rPr>
            <w:t>项目负责人、技术负责人简历表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_Toc25150 </w:instrText>
          </w:r>
          <w:r>
            <w:rPr>
              <w:rFonts w:hint="eastAsia" w:ascii="宋体" w:hAnsi="宋体" w:eastAsia="宋体" w:cs="宋体"/>
              <w:sz w:val="28"/>
              <w:szCs w:val="28"/>
            </w:rPr>
            <w:fldChar w:fldCharType="separate"/>
          </w:r>
          <w:r>
            <w:rPr>
              <w:rFonts w:hint="eastAsia" w:ascii="宋体" w:hAnsi="宋体" w:eastAsia="宋体" w:cs="宋体"/>
              <w:sz w:val="28"/>
              <w:szCs w:val="28"/>
            </w:rPr>
            <w:t>59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_Toc21466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附件十六： </w:t>
          </w:r>
          <w:r>
            <w:rPr>
              <w:rFonts w:hint="eastAsia" w:ascii="宋体" w:hAnsi="宋体" w:eastAsia="宋体" w:cs="宋体"/>
              <w:bCs w:val="0"/>
              <w:sz w:val="28"/>
              <w:szCs w:val="28"/>
              <w:highlight w:val="none"/>
            </w:rPr>
            <w:t>项目班子成员情况表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_Toc21466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_Toc18617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附件十七： </w:t>
          </w:r>
          <w:r>
            <w:rPr>
              <w:rFonts w:hint="eastAsia" w:ascii="宋体" w:hAnsi="宋体" w:eastAsia="宋体" w:cs="宋体"/>
              <w:bCs w:val="0"/>
              <w:sz w:val="28"/>
              <w:szCs w:val="28"/>
              <w:highlight w:val="none"/>
            </w:rPr>
            <w:t>投标人类似项目业绩表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_Toc18617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_Toc9339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附件十八： </w:t>
          </w:r>
          <w:r>
            <w:rPr>
              <w:rFonts w:hint="eastAsia" w:ascii="宋体" w:hAnsi="宋体" w:eastAsia="宋体" w:cs="宋体"/>
              <w:bCs w:val="0"/>
              <w:sz w:val="28"/>
              <w:szCs w:val="28"/>
              <w:highlight w:val="none"/>
            </w:rPr>
            <w:t>符合性审查对照表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_Toc9339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_Toc26711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附件十九： </w:t>
          </w:r>
          <w:r>
            <w:rPr>
              <w:rFonts w:hint="eastAsia" w:ascii="宋体" w:hAnsi="宋体" w:eastAsia="宋体" w:cs="宋体"/>
              <w:bCs w:val="0"/>
              <w:sz w:val="28"/>
              <w:szCs w:val="28"/>
              <w:highlight w:val="none"/>
            </w:rPr>
            <w:t>商务要求响应、偏离说明表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_Toc26711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_Toc17362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附件二十： </w:t>
          </w:r>
          <w:r>
            <w:rPr>
              <w:rFonts w:hint="eastAsia" w:ascii="宋体" w:hAnsi="宋体" w:eastAsia="宋体" w:cs="宋体"/>
              <w:bCs w:val="0"/>
              <w:sz w:val="28"/>
              <w:szCs w:val="28"/>
              <w:highlight w:val="none"/>
            </w:rPr>
            <w:t>商务要求“</w:t>
          </w:r>
          <w:r>
            <w:rPr>
              <w:rFonts w:hint="eastAsia" w:ascii="宋体" w:hAnsi="宋体" w:eastAsia="宋体" w:cs="宋体"/>
              <w:i w:val="0"/>
              <w:kern w:val="0"/>
              <w:sz w:val="28"/>
              <w:szCs w:val="28"/>
              <w:lang w:val="en-US" w:eastAsia="zh-CN" w:bidi="ar"/>
            </w:rPr>
            <w:t>★</w:t>
          </w:r>
          <w:r>
            <w:rPr>
              <w:rFonts w:hint="eastAsia" w:ascii="宋体" w:hAnsi="宋体" w:eastAsia="宋体" w:cs="宋体"/>
              <w:bCs w:val="0"/>
              <w:sz w:val="28"/>
              <w:szCs w:val="28"/>
              <w:highlight w:val="none"/>
            </w:rPr>
            <w:t>”号条款响应、偏离说明表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_Toc17362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_Toc5632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附件二十一： </w:t>
          </w:r>
          <w:r>
            <w:rPr>
              <w:rFonts w:hint="eastAsia" w:ascii="宋体" w:hAnsi="宋体" w:eastAsia="宋体" w:cs="宋体"/>
              <w:bCs w:val="0"/>
              <w:sz w:val="28"/>
              <w:szCs w:val="28"/>
              <w:highlight w:val="none"/>
            </w:rPr>
            <w:t>商务评议对照表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_Toc5632 </w:instrText>
          </w:r>
          <w:r>
            <w:rPr>
              <w:rFonts w:hint="eastAsia" w:ascii="宋体" w:hAnsi="宋体" w:eastAsia="宋体" w:cs="宋体"/>
              <w:sz w:val="28"/>
              <w:szCs w:val="28"/>
            </w:rPr>
            <w:fldChar w:fldCharType="separate"/>
          </w:r>
          <w:r>
            <w:rPr>
              <w:rFonts w:hint="eastAsia"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_Toc15775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附件二十二： </w:t>
          </w:r>
          <w:r>
            <w:rPr>
              <w:rFonts w:hint="eastAsia" w:ascii="宋体" w:hAnsi="宋体" w:eastAsia="宋体" w:cs="宋体"/>
              <w:bCs w:val="0"/>
              <w:sz w:val="28"/>
              <w:szCs w:val="28"/>
              <w:highlight w:val="none"/>
            </w:rPr>
            <w:t>技术、服务要求响应、偏离说明表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_Toc15775 </w:instrText>
          </w:r>
          <w:r>
            <w:rPr>
              <w:rFonts w:hint="eastAsia" w:ascii="宋体" w:hAnsi="宋体" w:eastAsia="宋体" w:cs="宋体"/>
              <w:sz w:val="28"/>
              <w:szCs w:val="28"/>
            </w:rPr>
            <w:fldChar w:fldCharType="separate"/>
          </w:r>
          <w:r>
            <w:rPr>
              <w:rFonts w:hint="eastAsia" w:ascii="宋体" w:hAnsi="宋体" w:eastAsia="宋体" w:cs="宋体"/>
              <w:sz w:val="28"/>
              <w:szCs w:val="28"/>
            </w:rPr>
            <w:t>66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_Toc25504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附件二十三： </w:t>
          </w:r>
          <w:r>
            <w:rPr>
              <w:rFonts w:hint="eastAsia" w:ascii="宋体" w:hAnsi="宋体" w:eastAsia="宋体" w:cs="宋体"/>
              <w:sz w:val="28"/>
              <w:szCs w:val="28"/>
              <w:highlight w:val="none"/>
            </w:rPr>
            <w:t>技术、服务要求“</w:t>
          </w:r>
          <w:r>
            <w:rPr>
              <w:rFonts w:hint="eastAsia" w:ascii="宋体" w:hAnsi="宋体" w:eastAsia="宋体" w:cs="宋体"/>
              <w:i w:val="0"/>
              <w:kern w:val="0"/>
              <w:sz w:val="28"/>
              <w:szCs w:val="28"/>
              <w:lang w:val="en-US" w:eastAsia="zh-CN" w:bidi="ar"/>
            </w:rPr>
            <w:t>★</w:t>
          </w:r>
          <w:r>
            <w:rPr>
              <w:rFonts w:hint="eastAsia" w:ascii="宋体" w:hAnsi="宋体" w:eastAsia="宋体" w:cs="宋体"/>
              <w:sz w:val="28"/>
              <w:szCs w:val="28"/>
              <w:highlight w:val="none"/>
            </w:rPr>
            <w:t>”号条款响应、偏离说明表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_Toc25504 </w:instrText>
          </w:r>
          <w:r>
            <w:rPr>
              <w:rFonts w:hint="eastAsia" w:ascii="宋体" w:hAnsi="宋体" w:eastAsia="宋体" w:cs="宋体"/>
              <w:sz w:val="28"/>
              <w:szCs w:val="28"/>
            </w:rPr>
            <w:fldChar w:fldCharType="separate"/>
          </w:r>
          <w:r>
            <w:rPr>
              <w:rFonts w:hint="eastAsia" w:ascii="宋体" w:hAnsi="宋体" w:eastAsia="宋体" w:cs="宋体"/>
              <w:sz w:val="28"/>
              <w:szCs w:val="28"/>
            </w:rPr>
            <w:t>67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_Toc30442 </w:instrText>
          </w:r>
          <w:r>
            <w:rPr>
              <w:rFonts w:hint="eastAsia" w:ascii="宋体" w:hAnsi="宋体" w:eastAsia="宋体" w:cs="宋体"/>
              <w:sz w:val="28"/>
              <w:szCs w:val="28"/>
            </w:rPr>
            <w:fldChar w:fldCharType="separate"/>
          </w:r>
          <w:r>
            <w:rPr>
              <w:rFonts w:hint="eastAsia" w:ascii="宋体" w:hAnsi="宋体" w:eastAsia="宋体" w:cs="宋体"/>
              <w:bCs w:val="0"/>
              <w:sz w:val="28"/>
              <w:szCs w:val="28"/>
            </w:rPr>
            <w:t xml:space="preserve">附件二十四： </w:t>
          </w:r>
          <w:r>
            <w:rPr>
              <w:rFonts w:hint="eastAsia" w:ascii="宋体" w:hAnsi="宋体" w:eastAsia="宋体" w:cs="宋体"/>
              <w:bCs w:val="0"/>
              <w:sz w:val="28"/>
              <w:szCs w:val="28"/>
              <w:highlight w:val="none"/>
            </w:rPr>
            <w:t>技术、服务评议对照表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_Toc30442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left" w:pos="1260"/>
              <w:tab w:val="right" w:leader="dot" w:pos="9514"/>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rPr>
          </w:pPr>
          <w:r>
            <w:rPr>
              <w:rFonts w:hint="eastAsia" w:ascii="宋体" w:hAnsi="宋体" w:eastAsia="宋体" w:cs="宋体"/>
            </w:rPr>
            <w:fldChar w:fldCharType="end"/>
          </w:r>
        </w:p>
      </w:sdtContent>
    </w:sdt>
    <w:p>
      <w:pPr>
        <w:rPr>
          <w:rFonts w:hint="eastAsia" w:ascii="宋体" w:hAnsi="宋体" w:eastAsia="宋体" w:cs="宋体"/>
        </w:rPr>
      </w:pPr>
      <w:r>
        <w:rPr>
          <w:rFonts w:hint="eastAsia" w:ascii="宋体" w:hAnsi="宋体" w:eastAsia="宋体" w:cs="宋体"/>
        </w:rPr>
        <w:br w:type="page"/>
      </w:r>
    </w:p>
    <w:p>
      <w:pPr>
        <w:pStyle w:val="3"/>
        <w:numPr>
          <w:ilvl w:val="0"/>
          <w:numId w:val="1"/>
        </w:numPr>
        <w:spacing w:before="240" w:after="120"/>
        <w:ind w:left="883" w:hanging="880" w:hangingChars="200"/>
        <w:jc w:val="center"/>
        <w:rPr>
          <w:rFonts w:hint="eastAsia" w:ascii="宋体" w:hAnsi="宋体" w:eastAsia="宋体" w:cs="宋体"/>
        </w:rPr>
      </w:pPr>
      <w:bookmarkStart w:id="0" w:name="_Toc24300"/>
      <w:r>
        <w:rPr>
          <w:rFonts w:hint="eastAsia" w:ascii="宋体" w:hAnsi="宋体" w:eastAsia="宋体" w:cs="宋体"/>
        </w:rPr>
        <w:t>投标邀请书</w:t>
      </w:r>
      <w:bookmarkEnd w:id="0"/>
    </w:p>
    <w:p>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z w:val="24"/>
          <w:szCs w:val="24"/>
          <w:lang w:eastAsia="zh-CN"/>
        </w:rPr>
        <w:t>2020年全国农作物病虫疫情监测分中心（阳新）田间监测点建设项目</w:t>
      </w:r>
      <w:r>
        <w:rPr>
          <w:rFonts w:hint="eastAsia" w:ascii="宋体" w:hAnsi="宋体" w:eastAsia="宋体" w:cs="宋体"/>
          <w:sz w:val="24"/>
          <w:szCs w:val="24"/>
        </w:rPr>
        <w:t>的潜在投标人应在“湖北省政府采购网”、“黄石市公共资源交易信息网”及“阳新县人民政府网”获取招标文件，并于</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lang w:val="en-US" w:eastAsia="zh-CN"/>
          <w14:textFill>
            <w14:solidFill>
              <w14:schemeClr w14:val="tx1"/>
            </w14:solidFill>
          </w14:textFill>
        </w:rPr>
        <w:t>03</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01</w:t>
      </w:r>
      <w:r>
        <w:rPr>
          <w:rFonts w:hint="eastAsia" w:ascii="宋体" w:hAnsi="宋体" w:eastAsia="宋体" w:cs="宋体"/>
          <w:bCs/>
          <w:color w:val="000000" w:themeColor="text1"/>
          <w:sz w:val="24"/>
          <w:szCs w:val="24"/>
          <w14:textFill>
            <w14:solidFill>
              <w14:schemeClr w14:val="tx1"/>
            </w14:solidFill>
          </w14:textFill>
        </w:rPr>
        <w:t>日</w:t>
      </w:r>
      <w:r>
        <w:rPr>
          <w:rFonts w:hint="eastAsia" w:ascii="宋体" w:hAnsi="宋体" w:eastAsia="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14:textFill>
            <w14:solidFill>
              <w14:schemeClr w14:val="tx1"/>
            </w14:solidFill>
          </w14:textFill>
        </w:rPr>
        <w:t>点</w:t>
      </w:r>
      <w:r>
        <w:rPr>
          <w:rFonts w:hint="eastAsia" w:ascii="宋体" w:hAnsi="宋体" w:eastAsia="宋体" w:cs="宋体"/>
          <w:bCs/>
          <w:color w:val="000000" w:themeColor="text1"/>
          <w:sz w:val="24"/>
          <w:szCs w:val="24"/>
          <w:lang w:val="en-US" w:eastAsia="zh-CN"/>
          <w14:textFill>
            <w14:solidFill>
              <w14:schemeClr w14:val="tx1"/>
            </w14:solidFill>
          </w14:textFill>
        </w:rPr>
        <w:t>00</w:t>
      </w:r>
      <w:r>
        <w:rPr>
          <w:rFonts w:hint="eastAsia" w:ascii="宋体" w:hAnsi="宋体" w:eastAsia="宋体" w:cs="宋体"/>
          <w:bCs/>
          <w:color w:val="000000" w:themeColor="text1"/>
          <w:sz w:val="24"/>
          <w:szCs w:val="24"/>
          <w14:textFill>
            <w14:solidFill>
              <w14:schemeClr w14:val="tx1"/>
            </w14:solidFill>
          </w14:textFill>
        </w:rPr>
        <w:t>分（北京时间）前递交投标文件</w:t>
      </w:r>
      <w:r>
        <w:rPr>
          <w:rFonts w:hint="eastAsia" w:ascii="宋体" w:hAnsi="宋体" w:eastAsia="宋体" w:cs="宋体"/>
          <w:color w:val="000000" w:themeColor="text1"/>
          <w:sz w:val="24"/>
          <w:szCs w:val="24"/>
          <w14:textFill>
            <w14:solidFill>
              <w14:schemeClr w14:val="tx1"/>
            </w14:solidFill>
          </w14:textFill>
        </w:rPr>
        <w:t>。</w:t>
      </w:r>
    </w:p>
    <w:p>
      <w:pPr>
        <w:numPr>
          <w:ilvl w:val="0"/>
          <w:numId w:val="0"/>
        </w:numPr>
        <w:spacing w:line="360" w:lineRule="auto"/>
        <w:ind w:leftChars="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一、项目基本情况</w:t>
      </w:r>
      <w:r>
        <w:rPr>
          <w:rFonts w:hint="eastAsia" w:ascii="宋体" w:hAnsi="宋体" w:eastAsia="宋体" w:cs="宋体"/>
          <w:b/>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项目编号：</w:t>
      </w:r>
      <w:r>
        <w:rPr>
          <w:rFonts w:hint="eastAsia" w:ascii="宋体" w:hAnsi="宋体" w:eastAsia="宋体" w:cs="宋体"/>
          <w:color w:val="FF0000"/>
          <w:kern w:val="0"/>
          <w:sz w:val="24"/>
          <w:szCs w:val="24"/>
          <w:shd w:val="clear" w:color="auto" w:fill="FFFFFF"/>
          <w:lang w:bidi="ar"/>
        </w:rPr>
        <w:t>131-202</w:t>
      </w:r>
      <w:r>
        <w:rPr>
          <w:rFonts w:hint="eastAsia" w:ascii="宋体" w:hAnsi="宋体" w:eastAsia="宋体" w:cs="宋体"/>
          <w:color w:val="FF0000"/>
          <w:kern w:val="0"/>
          <w:sz w:val="24"/>
          <w:szCs w:val="24"/>
          <w:shd w:val="clear" w:color="auto" w:fill="FFFFFF"/>
          <w:lang w:val="en-US" w:eastAsia="zh-CN" w:bidi="ar"/>
        </w:rPr>
        <w:t>1</w:t>
      </w:r>
      <w:r>
        <w:rPr>
          <w:rFonts w:hint="eastAsia" w:ascii="宋体" w:hAnsi="宋体" w:eastAsia="宋体" w:cs="宋体"/>
          <w:color w:val="FF0000"/>
          <w:kern w:val="0"/>
          <w:sz w:val="24"/>
          <w:szCs w:val="24"/>
          <w:shd w:val="clear" w:color="auto" w:fill="FFFFFF"/>
          <w:lang w:bidi="ar"/>
        </w:rPr>
        <w:t>CG-</w:t>
      </w:r>
      <w:r>
        <w:rPr>
          <w:rFonts w:hint="eastAsia" w:ascii="宋体" w:hAnsi="宋体" w:eastAsia="宋体" w:cs="宋体"/>
          <w:color w:val="FF0000"/>
          <w:kern w:val="0"/>
          <w:sz w:val="24"/>
          <w:szCs w:val="24"/>
          <w:shd w:val="clear" w:color="auto" w:fill="FFFFFF"/>
          <w:lang w:val="en-US" w:eastAsia="zh-CN" w:bidi="ar"/>
        </w:rPr>
        <w:t>023</w:t>
      </w:r>
      <w:r>
        <w:rPr>
          <w:rFonts w:hint="eastAsia" w:ascii="宋体" w:hAnsi="宋体" w:eastAsia="宋体" w:cs="宋体"/>
          <w:color w:val="FF0000"/>
          <w:kern w:val="0"/>
          <w:sz w:val="24"/>
          <w:szCs w:val="24"/>
          <w:shd w:val="clear" w:color="auto" w:fill="FFFFFF"/>
          <w:lang w:bidi="ar"/>
        </w:rPr>
        <w:t>（政府采购计划</w:t>
      </w:r>
      <w:r>
        <w:rPr>
          <w:rFonts w:hint="eastAsia" w:ascii="宋体" w:hAnsi="宋体" w:eastAsia="宋体" w:cs="宋体"/>
          <w:color w:val="FF0000"/>
          <w:kern w:val="0"/>
          <w:sz w:val="24"/>
          <w:szCs w:val="24"/>
          <w:shd w:val="clear" w:color="auto" w:fill="FFFFFF"/>
          <w:lang w:eastAsia="zh-CN" w:bidi="ar"/>
        </w:rPr>
        <w:t>备案</w:t>
      </w:r>
      <w:r>
        <w:rPr>
          <w:rFonts w:hint="eastAsia" w:ascii="宋体" w:hAnsi="宋体" w:eastAsia="宋体" w:cs="宋体"/>
          <w:color w:val="FF0000"/>
          <w:kern w:val="0"/>
          <w:sz w:val="24"/>
          <w:szCs w:val="24"/>
          <w:shd w:val="clear" w:color="auto" w:fill="FFFFFF"/>
          <w:lang w:bidi="ar"/>
        </w:rPr>
        <w:t>号：阳财采计备[202</w:t>
      </w:r>
      <w:r>
        <w:rPr>
          <w:rFonts w:hint="eastAsia" w:ascii="宋体" w:hAnsi="宋体" w:eastAsia="宋体" w:cs="宋体"/>
          <w:color w:val="FF0000"/>
          <w:kern w:val="0"/>
          <w:sz w:val="24"/>
          <w:szCs w:val="24"/>
          <w:shd w:val="clear" w:color="auto" w:fill="FFFFFF"/>
          <w:lang w:val="en-US" w:eastAsia="zh-CN" w:bidi="ar"/>
        </w:rPr>
        <w:t>1</w:t>
      </w:r>
      <w:r>
        <w:rPr>
          <w:rFonts w:hint="eastAsia" w:ascii="宋体" w:hAnsi="宋体" w:eastAsia="宋体" w:cs="宋体"/>
          <w:color w:val="FF0000"/>
          <w:kern w:val="0"/>
          <w:sz w:val="24"/>
          <w:szCs w:val="24"/>
          <w:shd w:val="clear" w:color="auto" w:fill="FFFFFF"/>
          <w:lang w:bidi="ar"/>
        </w:rPr>
        <w:t>]</w:t>
      </w:r>
      <w:r>
        <w:rPr>
          <w:rFonts w:hint="eastAsia" w:ascii="宋体" w:hAnsi="宋体" w:eastAsia="宋体" w:cs="宋体"/>
          <w:color w:val="FF0000"/>
          <w:kern w:val="0"/>
          <w:sz w:val="24"/>
          <w:szCs w:val="24"/>
          <w:shd w:val="clear" w:color="auto" w:fill="FFFFFF"/>
          <w:lang w:val="en-US" w:eastAsia="zh-CN" w:bidi="ar"/>
        </w:rPr>
        <w:t>A8</w:t>
      </w:r>
      <w:r>
        <w:rPr>
          <w:rFonts w:hint="eastAsia" w:ascii="宋体" w:hAnsi="宋体" w:eastAsia="宋体" w:cs="宋体"/>
          <w:color w:val="FF0000"/>
          <w:kern w:val="0"/>
          <w:sz w:val="24"/>
          <w:szCs w:val="24"/>
          <w:shd w:val="clear" w:color="auto" w:fill="FFFFFF"/>
          <w:lang w:bidi="ar"/>
        </w:rPr>
        <w:t>号）</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color w:val="FF0000"/>
          <w:sz w:val="24"/>
          <w:szCs w:val="24"/>
          <w:lang w:eastAsia="zh-CN"/>
        </w:rPr>
        <w:t>2020年全国农作物病虫疫情监测分中心（阳新）田间监测点建设项目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招标内容：</w:t>
      </w:r>
      <w:r>
        <w:rPr>
          <w:rFonts w:hint="eastAsia" w:ascii="宋体" w:hAnsi="宋体" w:eastAsia="宋体" w:cs="宋体"/>
          <w:color w:val="FF0000"/>
          <w:sz w:val="24"/>
          <w:szCs w:val="24"/>
          <w:lang w:eastAsia="zh-CN"/>
        </w:rPr>
        <w:t>2020年全国农作物病虫疫情监测分中心（阳新）田间监测点建设项目</w:t>
      </w:r>
      <w:r>
        <w:rPr>
          <w:rFonts w:hint="eastAsia" w:ascii="宋体" w:hAnsi="宋体" w:eastAsia="宋体" w:cs="宋体"/>
          <w:sz w:val="24"/>
          <w:szCs w:val="24"/>
        </w:rPr>
        <w:t>（详见采购清单）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eastAsia="宋体" w:cs="宋体"/>
          <w:color w:val="FF0000"/>
          <w:sz w:val="24"/>
          <w:szCs w:val="24"/>
          <w:lang w:val="en-US" w:eastAsia="zh-CN"/>
        </w:rPr>
        <w:t>200</w:t>
      </w:r>
      <w:r>
        <w:rPr>
          <w:rFonts w:hint="eastAsia" w:ascii="宋体" w:hAnsi="宋体" w:eastAsia="宋体" w:cs="宋体"/>
          <w:color w:val="FF0000"/>
          <w:sz w:val="24"/>
          <w:szCs w:val="24"/>
        </w:rPr>
        <w:t>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color w:val="FF0000"/>
          <w:sz w:val="24"/>
          <w:szCs w:val="24"/>
          <w:lang w:eastAsia="zh-CN"/>
        </w:rPr>
        <w:t>上级</w:t>
      </w:r>
      <w:r>
        <w:rPr>
          <w:rFonts w:hint="eastAsia" w:ascii="宋体" w:hAnsi="宋体" w:eastAsia="宋体" w:cs="宋体"/>
          <w:color w:val="FF0000"/>
          <w:sz w:val="24"/>
          <w:szCs w:val="24"/>
        </w:rPr>
        <w:t>拨款</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合同履行期限：</w:t>
      </w:r>
      <w:r>
        <w:rPr>
          <w:rFonts w:hint="eastAsia" w:ascii="宋体" w:hAnsi="宋体" w:eastAsia="宋体" w:cs="宋体"/>
          <w:color w:val="FF0000"/>
          <w:sz w:val="24"/>
          <w:szCs w:val="24"/>
          <w:lang w:val="en-US" w:eastAsia="zh-CN"/>
        </w:rPr>
        <w:t>6个月</w:t>
      </w: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投标人资格要求：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应具备《政府采购法》第二十二条第一款之规定的基本条件</w:t>
      </w:r>
      <w:r>
        <w:rPr>
          <w:rFonts w:hint="eastAsia" w:ascii="宋体" w:hAnsi="宋体" w:eastAsia="宋体" w:cs="宋体"/>
          <w:sz w:val="24"/>
          <w:szCs w:val="24"/>
          <w:lang w:eastAsia="zh-CN"/>
        </w:rPr>
        <w:t>。</w:t>
      </w:r>
    </w:p>
    <w:p>
      <w:pPr>
        <w:spacing w:line="360" w:lineRule="auto"/>
        <w:ind w:left="718" w:leftChars="228" w:hanging="240" w:hangingChars="100"/>
        <w:rPr>
          <w:rFonts w:hint="eastAsia" w:ascii="宋体" w:hAnsi="宋体" w:eastAsia="宋体" w:cs="宋体"/>
          <w:sz w:val="24"/>
          <w:szCs w:val="24"/>
        </w:rPr>
      </w:pPr>
      <w:r>
        <w:rPr>
          <w:rFonts w:hint="eastAsia" w:ascii="宋体" w:hAnsi="宋体" w:eastAsia="宋体" w:cs="宋体"/>
          <w:sz w:val="24"/>
          <w:szCs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中国政府采购网”（www.ccgp.gov.cn）政府采购严重违法失信行为记录名单。</w:t>
      </w:r>
    </w:p>
    <w:p>
      <w:pPr>
        <w:spacing w:line="360" w:lineRule="auto"/>
        <w:ind w:left="718" w:leftChars="228" w:hanging="240" w:hanging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特定条件</w:t>
      </w:r>
      <w:r>
        <w:rPr>
          <w:rFonts w:hint="eastAsia" w:ascii="宋体" w:hAnsi="宋体" w:eastAsia="宋体" w:cs="宋体"/>
          <w:sz w:val="24"/>
          <w:szCs w:val="24"/>
          <w:lang w:val="en-US" w:eastAsia="zh-CN"/>
        </w:rPr>
        <w:t>：</w:t>
      </w:r>
      <w:r>
        <w:rPr>
          <w:rFonts w:hint="eastAsia" w:ascii="宋体" w:hAnsi="宋体" w:eastAsia="宋体" w:cs="宋体"/>
          <w:color w:val="FF0000"/>
          <w:sz w:val="24"/>
          <w:szCs w:val="24"/>
          <w:lang w:eastAsia="zh-CN"/>
        </w:rPr>
        <w:t>投标人需提供核心设备与其对应的国家农机具质量监督检验部门和质量技术监督检测测试部门出具的检验报告。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本项目</w:t>
      </w:r>
      <w:r>
        <w:rPr>
          <w:rFonts w:hint="eastAsia" w:ascii="宋体" w:hAnsi="宋体" w:eastAsia="宋体" w:cs="宋体"/>
          <w:sz w:val="24"/>
          <w:szCs w:val="24"/>
        </w:rPr>
        <w:t>不接受联合体形式的投标，成交后不得分包、转包。</w:t>
      </w:r>
    </w:p>
    <w:p>
      <w:pPr>
        <w:numPr>
          <w:ilvl w:val="0"/>
          <w:numId w:val="0"/>
        </w:numPr>
        <w:spacing w:line="360" w:lineRule="auto"/>
        <w:ind w:leftChars="0"/>
        <w:rPr>
          <w:rFonts w:hint="eastAsia" w:ascii="宋体" w:hAnsi="宋体" w:eastAsia="宋体" w:cs="宋体"/>
          <w:b/>
          <w:kern w:val="0"/>
          <w:sz w:val="28"/>
          <w:szCs w:val="28"/>
        </w:rPr>
      </w:pPr>
      <w:r>
        <w:rPr>
          <w:rFonts w:hint="eastAsia" w:ascii="宋体" w:hAnsi="宋体" w:eastAsia="宋体" w:cs="宋体"/>
          <w:b/>
          <w:kern w:val="0"/>
          <w:sz w:val="28"/>
          <w:szCs w:val="28"/>
          <w:lang w:val="zh-CN"/>
        </w:rPr>
        <w:t>三、招标文件获取</w:t>
      </w:r>
      <w:r>
        <w:rPr>
          <w:rFonts w:hint="eastAsia" w:ascii="宋体" w:hAnsi="宋体" w:eastAsia="宋体" w:cs="宋体"/>
          <w:b/>
          <w:kern w:val="0"/>
          <w:sz w:val="28"/>
          <w:szCs w:val="28"/>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02</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08</w:t>
      </w:r>
      <w:r>
        <w:rPr>
          <w:rFonts w:hint="eastAsia" w:ascii="宋体" w:hAnsi="宋体" w:eastAsia="宋体" w:cs="宋体"/>
          <w:color w:val="FF0000"/>
          <w:sz w:val="24"/>
          <w:szCs w:val="24"/>
        </w:rPr>
        <w:t>日至 202</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02</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19</w:t>
      </w:r>
      <w:r>
        <w:rPr>
          <w:rFonts w:hint="eastAsia" w:ascii="宋体" w:hAnsi="宋体" w:eastAsia="宋体" w:cs="宋体"/>
          <w:color w:val="FF0000"/>
          <w:sz w:val="24"/>
          <w:szCs w:val="24"/>
        </w:rPr>
        <w:t>日17</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0(北京时间）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招标文件下载：</w:t>
      </w:r>
      <w:r>
        <w:rPr>
          <w:rFonts w:hint="eastAsia" w:ascii="宋体" w:hAnsi="宋体" w:eastAsia="宋体" w:cs="宋体"/>
          <w:color w:val="FF0000"/>
          <w:sz w:val="24"/>
          <w:szCs w:val="24"/>
        </w:rPr>
        <w:t>见附件</w:t>
      </w:r>
    </w:p>
    <w:p>
      <w:pPr>
        <w:spacing w:line="360" w:lineRule="auto"/>
        <w:rPr>
          <w:rFonts w:hint="eastAsia" w:ascii="宋体" w:hAnsi="宋体" w:eastAsia="宋体" w:cs="宋体"/>
          <w:b/>
          <w:bCs/>
          <w:sz w:val="24"/>
          <w:szCs w:val="24"/>
        </w:rPr>
      </w:pPr>
      <w:bookmarkStart w:id="1" w:name="_Toc28359082"/>
      <w:bookmarkStart w:id="2" w:name="_Toc28359005"/>
      <w:bookmarkStart w:id="3" w:name="_Toc35393793"/>
      <w:bookmarkStart w:id="4" w:name="_Toc35393624"/>
      <w:r>
        <w:rPr>
          <w:rFonts w:hint="eastAsia" w:ascii="宋体" w:hAnsi="宋体" w:eastAsia="宋体" w:cs="宋体"/>
          <w:b/>
          <w:bCs/>
          <w:sz w:val="24"/>
          <w:szCs w:val="24"/>
        </w:rPr>
        <w:t>四、提交投标文件</w:t>
      </w:r>
      <w:bookmarkEnd w:id="1"/>
      <w:bookmarkEnd w:id="2"/>
      <w:r>
        <w:rPr>
          <w:rFonts w:hint="eastAsia" w:ascii="宋体" w:hAnsi="宋体" w:eastAsia="宋体" w:cs="宋体"/>
          <w:b/>
          <w:bCs/>
          <w:sz w:val="24"/>
          <w:szCs w:val="24"/>
        </w:rPr>
        <w:t>截止时间、开标时间和地点</w:t>
      </w:r>
      <w:bookmarkEnd w:id="3"/>
      <w:bookmarkEnd w:id="4"/>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开标时间：</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03</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01</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15</w:t>
      </w:r>
      <w:r>
        <w:rPr>
          <w:rFonts w:hint="eastAsia" w:ascii="宋体" w:hAnsi="宋体" w:eastAsia="宋体" w:cs="宋体"/>
          <w:color w:val="FF0000"/>
          <w:sz w:val="24"/>
          <w:szCs w:val="24"/>
        </w:rPr>
        <w:t>点</w:t>
      </w:r>
      <w:r>
        <w:rPr>
          <w:rFonts w:hint="eastAsia" w:ascii="宋体" w:hAnsi="宋体" w:eastAsia="宋体" w:cs="宋体"/>
          <w:color w:val="FF0000"/>
          <w:sz w:val="24"/>
          <w:szCs w:val="24"/>
          <w:lang w:val="en-US" w:eastAsia="zh-CN"/>
        </w:rPr>
        <w:t>00</w:t>
      </w:r>
      <w:r>
        <w:rPr>
          <w:rFonts w:hint="eastAsia" w:ascii="宋体" w:hAnsi="宋体" w:eastAsia="宋体" w:cs="宋体"/>
          <w:color w:val="FF0000"/>
          <w:sz w:val="24"/>
          <w:szCs w:val="24"/>
        </w:rPr>
        <w:t>分（北京时间）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投标文件递交截止时间：</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03</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01</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15</w:t>
      </w:r>
      <w:r>
        <w:rPr>
          <w:rFonts w:hint="eastAsia" w:ascii="宋体" w:hAnsi="宋体" w:eastAsia="宋体" w:cs="宋体"/>
          <w:color w:val="FF0000"/>
          <w:sz w:val="24"/>
          <w:szCs w:val="24"/>
        </w:rPr>
        <w:t>时</w:t>
      </w:r>
      <w:r>
        <w:rPr>
          <w:rFonts w:hint="eastAsia" w:ascii="宋体" w:hAnsi="宋体" w:eastAsia="宋体" w:cs="宋体"/>
          <w:color w:val="FF0000"/>
          <w:sz w:val="24"/>
          <w:szCs w:val="24"/>
          <w:lang w:val="en-US" w:eastAsia="zh-CN"/>
        </w:rPr>
        <w:t>00</w:t>
      </w:r>
      <w:r>
        <w:rPr>
          <w:rFonts w:hint="eastAsia" w:ascii="宋体" w:hAnsi="宋体" w:eastAsia="宋体" w:cs="宋体"/>
          <w:color w:val="FF0000"/>
          <w:sz w:val="24"/>
          <w:szCs w:val="24"/>
        </w:rPr>
        <w:t>分（</w:t>
      </w:r>
      <w:r>
        <w:rPr>
          <w:rFonts w:hint="eastAsia" w:ascii="宋体" w:hAnsi="宋体" w:eastAsia="宋体" w:cs="宋体"/>
          <w:color w:val="FF0000"/>
          <w:sz w:val="24"/>
          <w:szCs w:val="24"/>
          <w:lang w:val="en-US" w:eastAsia="zh-CN"/>
        </w:rPr>
        <w:t>提前半小时</w:t>
      </w:r>
      <w:r>
        <w:rPr>
          <w:rFonts w:hint="eastAsia" w:ascii="宋体" w:hAnsi="宋体" w:eastAsia="宋体" w:cs="宋体"/>
          <w:color w:val="FF0000"/>
          <w:sz w:val="24"/>
          <w:szCs w:val="24"/>
        </w:rPr>
        <w:t>开始接收投标文件，拒收逾期送达或者未按招标文件要求密封的投标文件）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开标地点：</w:t>
      </w:r>
      <w:r>
        <w:rPr>
          <w:rFonts w:hint="eastAsia" w:ascii="宋体" w:hAnsi="宋体" w:eastAsia="宋体" w:cs="宋体"/>
          <w:color w:val="FF0000"/>
          <w:sz w:val="24"/>
          <w:szCs w:val="24"/>
        </w:rPr>
        <w:t>阳新县公共资源交易中心</w:t>
      </w:r>
      <w:r>
        <w:rPr>
          <w:rFonts w:hint="eastAsia" w:ascii="宋体" w:hAnsi="宋体" w:eastAsia="宋体" w:cs="宋体"/>
          <w:color w:val="FF0000"/>
          <w:sz w:val="24"/>
          <w:szCs w:val="24"/>
          <w:lang w:val="en-US" w:eastAsia="zh-CN"/>
        </w:rPr>
        <w:t>二</w:t>
      </w:r>
      <w:r>
        <w:rPr>
          <w:rFonts w:hint="eastAsia" w:ascii="宋体" w:hAnsi="宋体" w:eastAsia="宋体" w:cs="宋体"/>
          <w:color w:val="FF0000"/>
          <w:sz w:val="24"/>
          <w:szCs w:val="24"/>
        </w:rPr>
        <w:t>楼开标大厅</w:t>
      </w:r>
      <w:r>
        <w:rPr>
          <w:rFonts w:hint="eastAsia" w:ascii="宋体" w:hAnsi="宋体" w:eastAsia="宋体" w:cs="宋体"/>
          <w:sz w:val="24"/>
          <w:szCs w:val="24"/>
        </w:rPr>
        <w:t>（阳新县熊家垴安置小区东侧）</w:t>
      </w:r>
      <w:bookmarkStart w:id="5" w:name="_Toc35393794"/>
      <w:bookmarkStart w:id="6" w:name="_Toc28359007"/>
      <w:bookmarkStart w:id="7" w:name="_Toc35393625"/>
      <w:bookmarkStart w:id="8" w:name="_Toc28359084"/>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五、公告期限</w:t>
      </w:r>
      <w:bookmarkEnd w:id="5"/>
      <w:bookmarkEnd w:id="6"/>
      <w:bookmarkEnd w:id="7"/>
      <w:bookmarkEnd w:id="8"/>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spacing w:line="360" w:lineRule="auto"/>
        <w:rPr>
          <w:rFonts w:hint="eastAsia" w:ascii="宋体" w:hAnsi="宋体" w:eastAsia="宋体" w:cs="宋体"/>
          <w:b/>
          <w:bCs/>
          <w:sz w:val="28"/>
          <w:szCs w:val="28"/>
        </w:rPr>
      </w:pPr>
      <w:bookmarkStart w:id="9" w:name="_Toc35393626"/>
      <w:bookmarkStart w:id="10" w:name="_Toc35393795"/>
      <w:r>
        <w:rPr>
          <w:rFonts w:hint="eastAsia" w:ascii="宋体" w:hAnsi="宋体" w:eastAsia="宋体" w:cs="宋体"/>
          <w:b/>
          <w:bCs/>
          <w:sz w:val="28"/>
          <w:szCs w:val="28"/>
        </w:rPr>
        <w:t>六、其他补充事宜</w:t>
      </w:r>
      <w:bookmarkEnd w:id="9"/>
      <w:bookmarkEnd w:id="1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val="zh-CN"/>
        </w:rPr>
        <w:t>投标人认为招标文件、招标过程和中标结果使自己的权益受到损害的，可以在知道或者应知其权益受到损害之日起7个工作日内，向采购人或代理公司提出书面质疑。</w:t>
      </w:r>
      <w:r>
        <w:rPr>
          <w:rFonts w:hint="eastAsia" w:ascii="宋体" w:hAnsi="宋体" w:eastAsia="宋体" w:cs="宋体"/>
          <w:color w:val="000000"/>
          <w:kern w:val="0"/>
          <w:sz w:val="24"/>
          <w:szCs w:val="24"/>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2.落实政府采购强制、优先采购节能产品政策；政府采购优先采购环保产品政策；政府采购促进中小企业发展（监狱企业、残疾人福利性单位视同小微企业）等政策。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3.是否专门面向中小企业、监狱企业、残疾人福利性单位：否。</w:t>
      </w:r>
    </w:p>
    <w:p>
      <w:pPr>
        <w:spacing w:line="360" w:lineRule="auto"/>
        <w:rPr>
          <w:rFonts w:hint="eastAsia" w:ascii="宋体" w:hAnsi="宋体" w:eastAsia="宋体" w:cs="宋体"/>
          <w:b/>
          <w:bCs/>
          <w:sz w:val="24"/>
          <w:szCs w:val="24"/>
        </w:rPr>
      </w:pPr>
      <w:bookmarkStart w:id="11" w:name="_Toc35393627"/>
      <w:bookmarkStart w:id="12" w:name="_Toc28359085"/>
      <w:bookmarkStart w:id="13" w:name="_Toc28359008"/>
      <w:bookmarkStart w:id="14" w:name="_Toc35393796"/>
      <w:r>
        <w:rPr>
          <w:rFonts w:hint="eastAsia" w:ascii="宋体" w:hAnsi="宋体" w:eastAsia="宋体" w:cs="宋体"/>
          <w:b/>
          <w:bCs/>
          <w:sz w:val="24"/>
          <w:szCs w:val="24"/>
        </w:rPr>
        <w:t>七、对本次招标提出询问，请按以下方式联系。</w:t>
      </w:r>
      <w:bookmarkEnd w:id="11"/>
      <w:bookmarkEnd w:id="12"/>
      <w:bookmarkEnd w:id="13"/>
      <w:bookmarkEnd w:id="1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阳新县植物保护站</w:t>
      </w:r>
    </w:p>
    <w:p>
      <w:pPr>
        <w:spacing w:line="360" w:lineRule="auto"/>
        <w:ind w:firstLine="480" w:firstLineChars="200"/>
        <w:rPr>
          <w:rFonts w:hint="eastAsia" w:ascii="宋体" w:hAnsi="宋体" w:eastAsia="宋体" w:cs="宋体"/>
          <w:color w:val="333333"/>
          <w:kern w:val="0"/>
          <w:sz w:val="24"/>
          <w:szCs w:val="24"/>
        </w:rPr>
      </w:pPr>
      <w:r>
        <w:rPr>
          <w:rFonts w:hint="eastAsia" w:ascii="宋体" w:hAnsi="宋体" w:eastAsia="宋体" w:cs="宋体"/>
          <w:sz w:val="24"/>
          <w:szCs w:val="24"/>
        </w:rPr>
        <w:t>地    址：</w:t>
      </w:r>
      <w:r>
        <w:rPr>
          <w:rFonts w:hint="eastAsia" w:ascii="宋体" w:hAnsi="宋体" w:eastAsia="宋体" w:cs="宋体"/>
          <w:color w:val="auto"/>
          <w:kern w:val="0"/>
          <w:sz w:val="24"/>
          <w:szCs w:val="24"/>
          <w:lang w:eastAsia="zh-CN"/>
        </w:rPr>
        <w:t>阳新县兴国镇枫林路40号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联系方式：</w:t>
      </w:r>
      <w:bookmarkStart w:id="15" w:name="_Toc28359086"/>
      <w:bookmarkStart w:id="16" w:name="_Toc28359009"/>
      <w:r>
        <w:rPr>
          <w:rFonts w:hint="eastAsia" w:ascii="宋体" w:hAnsi="宋体" w:eastAsia="宋体" w:cs="宋体"/>
          <w:sz w:val="24"/>
          <w:szCs w:val="24"/>
          <w:lang w:val="en-US" w:eastAsia="zh-CN"/>
        </w:rPr>
        <w:t>17362790719</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bookmarkEnd w:id="15"/>
      <w:bookmarkEnd w:id="16"/>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湖北天缔工程咨询有限公司</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阳新县兴国镇中凯大厦后31号</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联系方式：15826966678</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柯圣黄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w:t>
      </w:r>
      <w:bookmarkStart w:id="17" w:name="_Toc28359010"/>
      <w:bookmarkStart w:id="18" w:name="_Toc28359087"/>
      <w:r>
        <w:rPr>
          <w:rFonts w:hint="eastAsia" w:ascii="宋体" w:hAnsi="宋体" w:eastAsia="宋体" w:cs="宋体"/>
          <w:sz w:val="24"/>
          <w:szCs w:val="24"/>
          <w:lang w:val="en-US" w:eastAsia="zh-CN"/>
        </w:rPr>
        <w:t>17362790719</w:t>
      </w:r>
    </w:p>
    <w:bookmarkEnd w:id="17"/>
    <w:bookmarkEnd w:id="18"/>
    <w:p>
      <w:pPr>
        <w:pStyle w:val="10"/>
        <w:rPr>
          <w:rFonts w:hint="eastAsia" w:ascii="宋体" w:hAnsi="宋体" w:eastAsia="宋体" w:cs="宋体"/>
          <w:sz w:val="24"/>
          <w:szCs w:val="24"/>
        </w:rPr>
      </w:pPr>
    </w:p>
    <w:p>
      <w:pPr>
        <w:outlineLvl w:val="9"/>
        <w:rPr>
          <w:rFonts w:hint="eastAsia" w:ascii="宋体" w:hAnsi="宋体" w:eastAsia="宋体" w:cs="宋体"/>
        </w:rPr>
      </w:pPr>
    </w:p>
    <w:p>
      <w:pPr>
        <w:spacing w:line="360" w:lineRule="auto"/>
        <w:ind w:firstLine="5520" w:firstLineChars="23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湖北天缔工程咨询有限公司</w:t>
      </w:r>
    </w:p>
    <w:p>
      <w:pPr>
        <w:spacing w:line="360" w:lineRule="auto"/>
        <w:ind w:firstLine="5760" w:firstLineChars="2400"/>
        <w:jc w:val="right"/>
        <w:rPr>
          <w:rFonts w:hint="eastAsia" w:ascii="宋体" w:hAnsi="宋体" w:eastAsia="宋体" w:cs="宋体"/>
          <w:b/>
          <w:bCs/>
          <w:color w:val="000000" w:themeColor="text1"/>
          <w:kern w:val="36"/>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14:textFill>
            <w14:solidFill>
              <w14:schemeClr w14:val="tx1"/>
            </w14:solidFill>
          </w14:textFill>
        </w:rPr>
        <w:t>月</w:t>
      </w:r>
      <w:bookmarkStart w:id="19" w:name="_Toc495861518"/>
      <w:bookmarkEnd w:id="19"/>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lang w:eastAsia="zh-CN"/>
          <w14:textFill>
            <w14:solidFill>
              <w14:schemeClr w14:val="tx1"/>
            </w14:solidFill>
          </w14:textFill>
        </w:rPr>
        <w:t>日</w:t>
      </w:r>
    </w:p>
    <w:p>
      <w:pPr>
        <w:pStyle w:val="3"/>
        <w:numPr>
          <w:ilvl w:val="0"/>
          <w:numId w:val="1"/>
        </w:numPr>
        <w:spacing w:before="240" w:after="120"/>
        <w:ind w:left="883" w:hanging="880" w:hangingChars="200"/>
        <w:jc w:val="center"/>
        <w:rPr>
          <w:rFonts w:hint="eastAsia" w:ascii="宋体" w:hAnsi="宋体" w:eastAsia="宋体" w:cs="宋体"/>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pStyle w:val="3"/>
        <w:numPr>
          <w:ilvl w:val="0"/>
          <w:numId w:val="1"/>
        </w:numPr>
        <w:spacing w:before="240" w:after="120"/>
        <w:ind w:left="883" w:hanging="880" w:hangingChars="200"/>
        <w:jc w:val="center"/>
        <w:rPr>
          <w:rFonts w:hint="eastAsia" w:ascii="宋体" w:hAnsi="宋体" w:eastAsia="宋体" w:cs="宋体"/>
        </w:rPr>
      </w:pPr>
      <w:bookmarkStart w:id="20" w:name="_Toc22183"/>
      <w:r>
        <w:rPr>
          <w:rFonts w:hint="eastAsia" w:ascii="宋体" w:hAnsi="宋体" w:eastAsia="宋体" w:cs="宋体"/>
        </w:rPr>
        <w:t>投标人须知</w:t>
      </w:r>
      <w:bookmarkEnd w:id="20"/>
    </w:p>
    <w:p>
      <w:pPr>
        <w:keepNext/>
        <w:keepLines/>
        <w:spacing w:line="360" w:lineRule="auto"/>
        <w:jc w:val="center"/>
        <w:outlineLvl w:val="1"/>
        <w:rPr>
          <w:rFonts w:hint="eastAsia" w:ascii="宋体" w:hAnsi="宋体" w:eastAsia="宋体" w:cs="宋体"/>
          <w:b/>
          <w:bCs/>
          <w:sz w:val="32"/>
          <w:szCs w:val="32"/>
          <w:lang w:val="zh-CN" w:eastAsia="zh-CN"/>
        </w:rPr>
      </w:pPr>
      <w:bookmarkStart w:id="21" w:name="_Toc22127"/>
      <w:bookmarkStart w:id="22" w:name="_Toc494561937"/>
      <w:r>
        <w:rPr>
          <w:rFonts w:hint="eastAsia" w:ascii="宋体" w:hAnsi="宋体" w:eastAsia="宋体" w:cs="宋体"/>
          <w:b/>
          <w:bCs/>
          <w:sz w:val="32"/>
          <w:szCs w:val="32"/>
          <w:lang w:val="zh-CN" w:eastAsia="zh-CN"/>
        </w:rPr>
        <w:t>投标须知前附表</w:t>
      </w:r>
      <w:bookmarkEnd w:id="21"/>
      <w:bookmarkEnd w:id="22"/>
    </w:p>
    <w:tbl>
      <w:tblPr>
        <w:tblStyle w:val="15"/>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2271"/>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4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名  称</w:t>
            </w:r>
          </w:p>
        </w:tc>
        <w:tc>
          <w:tcPr>
            <w:tcW w:w="6437"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6437" w:type="dxa"/>
            <w:tcBorders>
              <w:top w:val="single" w:color="auto" w:sz="4" w:space="0"/>
              <w:left w:val="single" w:color="auto" w:sz="4" w:space="0"/>
              <w:bottom w:val="single" w:color="auto" w:sz="4" w:space="0"/>
            </w:tcBorders>
            <w:vAlign w:val="center"/>
          </w:tcPr>
          <w:p>
            <w:pPr>
              <w:rPr>
                <w:rFonts w:hint="default" w:ascii="宋体" w:hAnsi="宋体" w:eastAsia="宋体" w:cs="宋体"/>
                <w:color w:val="FF0000"/>
                <w:sz w:val="24"/>
                <w:szCs w:val="24"/>
                <w:lang w:val="en-US" w:eastAsia="zh-CN"/>
              </w:rPr>
            </w:pPr>
            <w:r>
              <w:rPr>
                <w:rFonts w:hint="eastAsia" w:ascii="宋体" w:hAnsi="宋体" w:eastAsia="宋体" w:cs="宋体"/>
                <w:b w:val="0"/>
                <w:bCs w:val="0"/>
                <w:color w:val="FF0000"/>
                <w:kern w:val="0"/>
                <w:sz w:val="24"/>
                <w:szCs w:val="24"/>
              </w:rPr>
              <w:t>131-</w:t>
            </w:r>
            <w:r>
              <w:rPr>
                <w:rFonts w:hint="eastAsia" w:ascii="宋体" w:hAnsi="宋体" w:eastAsia="宋体" w:cs="宋体"/>
                <w:b w:val="0"/>
                <w:bCs w:val="0"/>
                <w:color w:val="FF0000"/>
                <w:kern w:val="0"/>
                <w:sz w:val="24"/>
                <w:szCs w:val="24"/>
                <w:lang w:val="en-US" w:eastAsia="zh-CN"/>
              </w:rPr>
              <w:t>2021CG</w:t>
            </w:r>
            <w:r>
              <w:rPr>
                <w:rFonts w:hint="eastAsia" w:ascii="宋体" w:hAnsi="宋体" w:eastAsia="宋体" w:cs="宋体"/>
                <w:b w:val="0"/>
                <w:bCs w:val="0"/>
                <w:color w:val="FF0000"/>
                <w:kern w:val="0"/>
                <w:sz w:val="24"/>
                <w:szCs w:val="24"/>
              </w:rPr>
              <w:t>-</w:t>
            </w:r>
            <w:r>
              <w:rPr>
                <w:rFonts w:hint="eastAsia" w:ascii="宋体" w:hAnsi="宋体" w:eastAsia="宋体" w:cs="宋体"/>
                <w:b w:val="0"/>
                <w:bCs w:val="0"/>
                <w:color w:val="FF0000"/>
                <w:kern w:val="0"/>
                <w:sz w:val="24"/>
                <w:szCs w:val="24"/>
                <w:lang w:val="en-US" w:eastAsia="zh-CN"/>
              </w:rPr>
              <w:t>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lang w:eastAsia="zh-CN"/>
              </w:rPr>
              <w:t>2020年全国农作物病虫疫情监测分中心（阳新）田间监测点建设项目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项目属性</w:t>
            </w:r>
          </w:p>
        </w:tc>
        <w:tc>
          <w:tcPr>
            <w:tcW w:w="6437" w:type="dxa"/>
            <w:tcBorders>
              <w:top w:val="single" w:color="auto" w:sz="4" w:space="0"/>
              <w:left w:val="single" w:color="auto" w:sz="4" w:space="0"/>
              <w:bottom w:val="single" w:color="auto" w:sz="4" w:space="0"/>
            </w:tcBorders>
            <w:vAlign w:val="center"/>
          </w:tcPr>
          <w:p>
            <w:pPr>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Chars="0" w:right="57" w:right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rPr>
            </w:pPr>
            <w:r>
              <w:rPr>
                <w:rFonts w:hint="eastAsia" w:ascii="宋体" w:hAnsi="宋体" w:eastAsia="宋体" w:cs="宋体"/>
                <w:b w:val="0"/>
                <w:bCs w:val="0"/>
                <w:color w:val="FF0000"/>
                <w:kern w:val="0"/>
                <w:sz w:val="24"/>
                <w:szCs w:val="24"/>
                <w:lang w:eastAsia="zh-CN"/>
              </w:rPr>
              <w:t>阳新县植物保护站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0" w:leftChars="0" w:right="57" w:rightChars="0" w:firstLine="0" w:firstLineChars="0"/>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投标保证金</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FF0000"/>
                <w:kern w:val="0"/>
                <w:sz w:val="24"/>
                <w:szCs w:val="24"/>
                <w:lang w:eastAsia="zh-CN"/>
              </w:rPr>
            </w:pPr>
            <w:r>
              <w:rPr>
                <w:rFonts w:hint="eastAsia" w:ascii="宋体" w:hAnsi="宋体" w:eastAsia="宋体" w:cs="宋体"/>
                <w:b w:val="0"/>
                <w:bCs w:val="0"/>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0" w:leftChars="0" w:right="57" w:rightChars="0" w:firstLine="0" w:firstLineChars="0"/>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6</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投标文件份数</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130"/>
              </w:tabs>
              <w:ind w:left="0" w:leftChars="0" w:right="57" w:rightChars="0" w:firstLine="0" w:firstLineChars="0"/>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7</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8</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资格预审</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9</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投标文件递交时间</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10</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开标时间、地点</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11</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备选方案</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不允许</w:t>
            </w:r>
          </w:p>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12</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实物样品</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不提交</w:t>
            </w:r>
          </w:p>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13</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现场考察</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不组织</w:t>
            </w:r>
          </w:p>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14</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中标后分包</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不允许</w:t>
            </w:r>
          </w:p>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15</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评标办法</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0"/>
                <w:lang w:val="zh-CN" w:eastAsia="zh-CN"/>
              </w:rPr>
            </w:pPr>
            <w:r>
              <w:rPr>
                <w:rFonts w:hint="eastAsia" w:ascii="宋体" w:hAnsi="宋体" w:eastAsia="宋体" w:cs="宋体"/>
                <w:color w:val="FF0000"/>
                <w:sz w:val="24"/>
                <w:szCs w:val="20"/>
                <w:lang w:val="zh-CN" w:eastAsia="zh-CN"/>
              </w:rPr>
              <w:t>综合评分法</w:t>
            </w:r>
          </w:p>
          <w:p>
            <w:pPr>
              <w:rPr>
                <w:rFonts w:hint="eastAsia" w:ascii="宋体" w:hAnsi="宋体" w:eastAsia="宋体" w:cs="宋体"/>
                <w:b w:val="0"/>
                <w:bCs w:val="0"/>
                <w:color w:val="000000" w:themeColor="text1"/>
                <w:kern w:val="0"/>
                <w:sz w:val="24"/>
                <w:szCs w:val="24"/>
                <w:lang w:val="zh-CN"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16</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0" w:leftChars="0" w:right="57" w:rightChars="0" w:firstLine="0" w:firstLineChars="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17</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监狱企业</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6" w:type="dxa"/>
            <w:tcBorders>
              <w:top w:val="single" w:color="auto" w:sz="4" w:space="0"/>
              <w:bottom w:val="single" w:color="auto" w:sz="4" w:space="0"/>
              <w:right w:val="single" w:color="auto" w:sz="4" w:space="0"/>
            </w:tcBorders>
            <w:vAlign w:val="center"/>
          </w:tcPr>
          <w:p>
            <w:pPr>
              <w:numPr>
                <w:ilvl w:val="0"/>
                <w:numId w:val="0"/>
              </w:numPr>
              <w:tabs>
                <w:tab w:val="left" w:pos="242"/>
              </w:tabs>
              <w:ind w:leftChars="0" w:right="57" w:rightChars="0"/>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18</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质疑及提交</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b w:val="0"/>
                <w:bCs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eastAsia="zh-CN"/>
                <w14:textFill>
                  <w14:solidFill>
                    <w14:schemeClr w14:val="tx1"/>
                  </w14:solidFill>
                </w14:textFill>
              </w:rPr>
              <w:t>详见本章“质疑及提交”要求</w:t>
            </w:r>
          </w:p>
        </w:tc>
      </w:tr>
    </w:tbl>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23" w:name="_Toc30635"/>
      <w:bookmarkStart w:id="24" w:name="_Toc494561938"/>
      <w:r>
        <w:rPr>
          <w:rFonts w:hint="eastAsia" w:ascii="宋体" w:hAnsi="宋体" w:eastAsia="宋体" w:cs="宋体"/>
          <w:bCs w:val="0"/>
          <w:lang w:val="zh-CN" w:eastAsia="zh-CN"/>
        </w:rPr>
        <w:t>说  明</w:t>
      </w:r>
      <w:bookmarkEnd w:id="23"/>
      <w:bookmarkEnd w:id="24"/>
    </w:p>
    <w:p>
      <w:pPr>
        <w:numPr>
          <w:ilvl w:val="0"/>
          <w:numId w:val="3"/>
        </w:numPr>
        <w:spacing w:line="360" w:lineRule="auto"/>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适用范围</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招标文件仅适用于</w:t>
      </w:r>
      <w:r>
        <w:rPr>
          <w:rFonts w:hint="eastAsia" w:ascii="宋体" w:hAnsi="宋体" w:eastAsia="宋体" w:cs="宋体"/>
          <w:sz w:val="24"/>
          <w:szCs w:val="24"/>
          <w:lang w:val="zh-CN"/>
        </w:rPr>
        <w:t>第一章“</w:t>
      </w:r>
      <w:r>
        <w:rPr>
          <w:rFonts w:hint="eastAsia" w:ascii="宋体" w:hAnsi="宋体" w:eastAsia="宋体" w:cs="宋体"/>
          <w:sz w:val="24"/>
          <w:szCs w:val="24"/>
          <w:lang w:val="zh-CN" w:eastAsia="zh-CN"/>
        </w:rPr>
        <w:t>投标邀请书</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中所述项目的货物</w:t>
      </w:r>
      <w:r>
        <w:rPr>
          <w:rFonts w:hint="eastAsia" w:ascii="宋体" w:hAnsi="宋体" w:eastAsia="宋体" w:cs="宋体"/>
          <w:sz w:val="24"/>
          <w:szCs w:val="24"/>
          <w:lang w:val="zh-CN"/>
        </w:rPr>
        <w:t>、工程</w:t>
      </w:r>
      <w:r>
        <w:rPr>
          <w:rFonts w:hint="eastAsia" w:ascii="宋体" w:hAnsi="宋体" w:eastAsia="宋体" w:cs="宋体"/>
          <w:sz w:val="24"/>
          <w:szCs w:val="24"/>
          <w:lang w:val="zh-CN" w:eastAsia="zh-CN"/>
        </w:rPr>
        <w:t>及服务的采购。</w:t>
      </w:r>
    </w:p>
    <w:p>
      <w:pPr>
        <w:numPr>
          <w:ilvl w:val="0"/>
          <w:numId w:val="3"/>
        </w:numPr>
        <w:spacing w:line="360" w:lineRule="auto"/>
        <w:rPr>
          <w:rFonts w:hint="eastAsia" w:ascii="宋体" w:hAnsi="宋体" w:eastAsia="宋体" w:cs="宋体"/>
          <w:b/>
          <w:sz w:val="24"/>
          <w:szCs w:val="24"/>
          <w:lang w:val="zh-CN" w:eastAsia="zh-CN"/>
        </w:rPr>
      </w:pPr>
      <w:r>
        <w:rPr>
          <w:rFonts w:hint="eastAsia" w:ascii="宋体" w:hAnsi="宋体" w:eastAsia="宋体" w:cs="宋体"/>
          <w:b/>
          <w:sz w:val="24"/>
          <w:szCs w:val="24"/>
          <w:lang w:val="zh-CN"/>
        </w:rPr>
        <w:t>当事人</w:t>
      </w:r>
      <w:r>
        <w:rPr>
          <w:rFonts w:hint="eastAsia" w:ascii="宋体" w:hAnsi="宋体" w:eastAsia="宋体" w:cs="宋体"/>
          <w:b/>
          <w:sz w:val="24"/>
          <w:szCs w:val="24"/>
          <w:lang w:val="zh-CN" w:eastAsia="zh-CN"/>
        </w:rPr>
        <w:t>定义</w:t>
      </w:r>
    </w:p>
    <w:p>
      <w:pPr>
        <w:numPr>
          <w:ilvl w:val="0"/>
          <w:numId w:val="4"/>
        </w:numPr>
        <w:spacing w:line="360" w:lineRule="auto"/>
        <w:ind w:left="476" w:hanging="476"/>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“采购人”是指：</w:t>
      </w:r>
      <w:r>
        <w:rPr>
          <w:rFonts w:hint="eastAsia" w:ascii="宋体" w:hAnsi="宋体" w:eastAsia="宋体" w:cs="宋体"/>
          <w:b w:val="0"/>
          <w:bCs w:val="0"/>
          <w:color w:val="FF0000"/>
          <w:kern w:val="0"/>
          <w:sz w:val="24"/>
          <w:szCs w:val="24"/>
          <w:lang w:eastAsia="zh-CN"/>
        </w:rPr>
        <w:t>阳新县植物保护站</w:t>
      </w:r>
      <w:r>
        <w:rPr>
          <w:rFonts w:hint="eastAsia" w:ascii="宋体" w:hAnsi="宋体" w:eastAsia="宋体" w:cs="宋体"/>
          <w:sz w:val="24"/>
          <w:szCs w:val="24"/>
          <w:lang w:val="zh-CN" w:eastAsia="zh-CN"/>
        </w:rPr>
        <w:t>。</w:t>
      </w:r>
    </w:p>
    <w:p>
      <w:pPr>
        <w:numPr>
          <w:ilvl w:val="0"/>
          <w:numId w:val="4"/>
        </w:numPr>
        <w:spacing w:line="360" w:lineRule="auto"/>
        <w:ind w:left="476" w:hanging="476"/>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“监管部门”是指：</w:t>
      </w:r>
      <w:r>
        <w:rPr>
          <w:rFonts w:hint="eastAsia" w:ascii="宋体" w:hAnsi="宋体" w:eastAsia="宋体" w:cs="宋体"/>
          <w:sz w:val="24"/>
          <w:szCs w:val="24"/>
          <w:lang w:val="zh-CN" w:eastAsia="zh-CN"/>
        </w:rPr>
        <w:t>阳新县政府采购办公室、阳新县政务服务和大数据管理局公共资源交易监督管理股。</w:t>
      </w:r>
    </w:p>
    <w:p>
      <w:pPr>
        <w:numPr>
          <w:ilvl w:val="0"/>
          <w:numId w:val="4"/>
        </w:numPr>
        <w:spacing w:line="360" w:lineRule="auto"/>
        <w:ind w:left="476" w:hanging="476"/>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“采购代理机构”是指：</w:t>
      </w:r>
      <w:r>
        <w:rPr>
          <w:rFonts w:hint="eastAsia" w:ascii="宋体" w:hAnsi="宋体" w:eastAsia="宋体" w:cs="宋体"/>
          <w:color w:val="FF0000"/>
          <w:sz w:val="24"/>
          <w:szCs w:val="24"/>
          <w:lang w:val="zh-CN" w:eastAsia="zh-CN"/>
        </w:rPr>
        <w:t>湖北天缔工程咨询有限公司</w:t>
      </w:r>
      <w:r>
        <w:rPr>
          <w:rFonts w:hint="eastAsia" w:ascii="宋体" w:hAnsi="宋体" w:eastAsia="宋体" w:cs="宋体"/>
          <w:sz w:val="24"/>
          <w:szCs w:val="24"/>
          <w:lang w:val="zh-CN" w:eastAsia="zh-CN"/>
        </w:rPr>
        <w:t>。</w:t>
      </w:r>
    </w:p>
    <w:p>
      <w:pPr>
        <w:numPr>
          <w:ilvl w:val="0"/>
          <w:numId w:val="4"/>
        </w:numPr>
        <w:spacing w:line="360" w:lineRule="auto"/>
        <w:ind w:left="476" w:hanging="476"/>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w:t>
      </w:r>
      <w:r>
        <w:rPr>
          <w:rFonts w:hint="eastAsia" w:ascii="宋体" w:hAnsi="宋体" w:eastAsia="宋体" w:cs="宋体"/>
          <w:b/>
          <w:sz w:val="24"/>
          <w:szCs w:val="24"/>
          <w:lang w:val="zh-CN"/>
        </w:rPr>
        <w:t>投标人</w:t>
      </w:r>
      <w:r>
        <w:rPr>
          <w:rFonts w:hint="eastAsia" w:ascii="宋体" w:hAnsi="宋体" w:eastAsia="宋体" w:cs="宋体"/>
          <w:b/>
          <w:sz w:val="24"/>
          <w:szCs w:val="24"/>
          <w:lang w:val="zh-CN" w:eastAsia="zh-CN"/>
        </w:rPr>
        <w:t>”是指：</w:t>
      </w:r>
      <w:r>
        <w:rPr>
          <w:rFonts w:hint="eastAsia" w:ascii="宋体" w:hAnsi="宋体" w:eastAsia="宋体" w:cs="宋体"/>
          <w:kern w:val="0"/>
          <w:sz w:val="24"/>
          <w:szCs w:val="24"/>
          <w:lang w:val="zh-CN" w:eastAsia="zh-CN"/>
        </w:rPr>
        <w:t>响应招标、参加投标竞争的法人、其他组织或者自然人。</w:t>
      </w:r>
    </w:p>
    <w:p>
      <w:pPr>
        <w:numPr>
          <w:ilvl w:val="0"/>
          <w:numId w:val="4"/>
        </w:numPr>
        <w:spacing w:line="360" w:lineRule="auto"/>
        <w:ind w:left="476" w:hanging="476"/>
        <w:rPr>
          <w:rFonts w:hint="eastAsia" w:ascii="宋体" w:hAnsi="宋体" w:eastAsia="宋体" w:cs="宋体"/>
          <w:kern w:val="0"/>
          <w:sz w:val="24"/>
          <w:szCs w:val="24"/>
          <w:lang w:val="zh-CN" w:eastAsia="zh-CN"/>
        </w:rPr>
      </w:pPr>
      <w:r>
        <w:rPr>
          <w:rFonts w:hint="eastAsia" w:ascii="宋体" w:hAnsi="宋体" w:eastAsia="宋体" w:cs="宋体"/>
          <w:b/>
          <w:sz w:val="24"/>
          <w:szCs w:val="24"/>
          <w:lang w:val="zh-CN"/>
        </w:rPr>
        <w:t>“</w:t>
      </w:r>
      <w:r>
        <w:rPr>
          <w:rFonts w:hint="eastAsia" w:ascii="宋体" w:hAnsi="宋体" w:eastAsia="宋体" w:cs="宋体"/>
          <w:b/>
          <w:sz w:val="24"/>
          <w:szCs w:val="24"/>
          <w:lang w:val="zh-CN" w:eastAsia="zh-CN"/>
        </w:rPr>
        <w:t>合格的投标人</w:t>
      </w:r>
      <w:r>
        <w:rPr>
          <w:rFonts w:hint="eastAsia" w:ascii="宋体" w:hAnsi="宋体" w:eastAsia="宋体" w:cs="宋体"/>
          <w:b/>
          <w:sz w:val="24"/>
          <w:szCs w:val="24"/>
          <w:lang w:val="zh-CN"/>
        </w:rPr>
        <w:t>”</w:t>
      </w:r>
      <w:r>
        <w:rPr>
          <w:rFonts w:hint="eastAsia" w:ascii="宋体" w:hAnsi="宋体" w:eastAsia="宋体" w:cs="宋体"/>
          <w:b/>
          <w:sz w:val="24"/>
          <w:szCs w:val="24"/>
          <w:lang w:val="zh-CN" w:eastAsia="zh-CN"/>
        </w:rPr>
        <w:t>是指</w:t>
      </w:r>
      <w:r>
        <w:rPr>
          <w:rFonts w:hint="eastAsia" w:ascii="宋体" w:hAnsi="宋体" w:eastAsia="宋体" w:cs="宋体"/>
          <w:b/>
          <w:sz w:val="24"/>
          <w:szCs w:val="24"/>
          <w:lang w:val="zh-CN"/>
        </w:rPr>
        <w:t>：</w:t>
      </w:r>
      <w:r>
        <w:rPr>
          <w:rFonts w:hint="eastAsia" w:ascii="宋体" w:hAnsi="宋体" w:eastAsia="宋体" w:cs="宋体"/>
          <w:kern w:val="0"/>
          <w:sz w:val="24"/>
          <w:szCs w:val="24"/>
          <w:lang w:val="zh-CN" w:eastAsia="zh-CN"/>
        </w:rPr>
        <w:t>资格审查和符合性审查合格的投标人。</w:t>
      </w:r>
    </w:p>
    <w:p>
      <w:pPr>
        <w:numPr>
          <w:ilvl w:val="0"/>
          <w:numId w:val="4"/>
        </w:numPr>
        <w:spacing w:line="360" w:lineRule="auto"/>
        <w:ind w:left="476" w:hanging="476"/>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“中标人”是指</w:t>
      </w:r>
      <w:r>
        <w:rPr>
          <w:rFonts w:hint="eastAsia" w:ascii="宋体" w:hAnsi="宋体" w:eastAsia="宋体" w:cs="宋体"/>
          <w:b/>
          <w:sz w:val="24"/>
          <w:szCs w:val="24"/>
          <w:lang w:val="zh-CN"/>
        </w:rPr>
        <w:t>：</w:t>
      </w:r>
      <w:r>
        <w:rPr>
          <w:rFonts w:hint="eastAsia" w:ascii="宋体" w:hAnsi="宋体" w:eastAsia="宋体" w:cs="宋体"/>
          <w:sz w:val="24"/>
          <w:szCs w:val="24"/>
          <w:lang w:val="zh-CN" w:eastAsia="zh-CN"/>
        </w:rPr>
        <w:t>经评标委员会评审，授予合同的投标人。</w:t>
      </w:r>
    </w:p>
    <w:p>
      <w:pPr>
        <w:numPr>
          <w:ilvl w:val="0"/>
          <w:numId w:val="3"/>
        </w:numPr>
        <w:spacing w:line="360" w:lineRule="auto"/>
        <w:rPr>
          <w:rFonts w:hint="eastAsia" w:ascii="宋体" w:hAnsi="宋体" w:eastAsia="宋体" w:cs="宋体"/>
          <w:b/>
          <w:sz w:val="24"/>
          <w:szCs w:val="24"/>
          <w:lang w:val="zh-CN" w:eastAsia="zh-CN"/>
        </w:rPr>
      </w:pPr>
      <w:r>
        <w:rPr>
          <w:rFonts w:hint="eastAsia" w:ascii="宋体" w:hAnsi="宋体" w:eastAsia="宋体" w:cs="宋体"/>
          <w:b/>
          <w:sz w:val="24"/>
          <w:szCs w:val="24"/>
          <w:lang w:val="zh-CN"/>
        </w:rPr>
        <w:t>项目属性及定义</w:t>
      </w:r>
    </w:p>
    <w:p>
      <w:pPr>
        <w:numPr>
          <w:ilvl w:val="0"/>
          <w:numId w:val="5"/>
        </w:numPr>
        <w:spacing w:line="360" w:lineRule="auto"/>
        <w:ind w:left="476" w:hanging="476"/>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“货物”是指</w:t>
      </w:r>
      <w:r>
        <w:rPr>
          <w:rFonts w:hint="eastAsia" w:ascii="宋体" w:hAnsi="宋体" w:eastAsia="宋体" w:cs="宋体"/>
          <w:sz w:val="24"/>
          <w:szCs w:val="24"/>
          <w:lang w:val="zh-CN"/>
        </w:rPr>
        <w:t>：各种形态和种类的物品，包括原材料、燃料、设备、产品</w:t>
      </w:r>
      <w:r>
        <w:rPr>
          <w:rFonts w:hint="eastAsia" w:ascii="宋体" w:hAnsi="宋体" w:eastAsia="宋体" w:cs="宋体"/>
          <w:sz w:val="24"/>
          <w:szCs w:val="24"/>
          <w:lang w:val="zh-CN" w:eastAsia="zh-CN"/>
        </w:rPr>
        <w:t>等。</w:t>
      </w:r>
    </w:p>
    <w:p>
      <w:pPr>
        <w:numPr>
          <w:ilvl w:val="0"/>
          <w:numId w:val="6"/>
        </w:numPr>
        <w:spacing w:line="360" w:lineRule="auto"/>
        <w:ind w:left="854" w:hanging="728"/>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招标文件中没有提及招标货物来源地的，根据《政府采购法》及相关规定均应是本国货物，另有规定的除外。</w:t>
      </w:r>
    </w:p>
    <w:p>
      <w:pPr>
        <w:numPr>
          <w:ilvl w:val="0"/>
          <w:numId w:val="6"/>
        </w:numPr>
        <w:spacing w:line="360" w:lineRule="auto"/>
        <w:ind w:left="854" w:hanging="728"/>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投标的货物应是合法生产的符合国家有关标准要求的货物，并能够按照合同规定的品牌、产地、质量、价格和有效期等履约。</w:t>
      </w:r>
    </w:p>
    <w:p>
      <w:pPr>
        <w:numPr>
          <w:ilvl w:val="0"/>
          <w:numId w:val="5"/>
        </w:numPr>
        <w:spacing w:line="360" w:lineRule="auto"/>
        <w:ind w:left="476" w:hanging="476"/>
        <w:rPr>
          <w:rFonts w:hint="eastAsia" w:ascii="宋体" w:hAnsi="宋体" w:eastAsia="宋体" w:cs="宋体"/>
          <w:b/>
          <w:color w:val="0D0D0D"/>
          <w:sz w:val="24"/>
          <w:szCs w:val="24"/>
          <w:lang w:val="zh-CN" w:eastAsia="zh-CN"/>
        </w:rPr>
      </w:pPr>
      <w:r>
        <w:rPr>
          <w:rFonts w:hint="eastAsia" w:ascii="宋体" w:hAnsi="宋体" w:eastAsia="宋体" w:cs="宋体"/>
          <w:b/>
          <w:color w:val="0D0D0D"/>
          <w:sz w:val="24"/>
          <w:szCs w:val="24"/>
          <w:lang w:val="zh-CN" w:eastAsia="zh-CN"/>
        </w:rPr>
        <w:t>“</w:t>
      </w:r>
      <w:r>
        <w:rPr>
          <w:rFonts w:hint="eastAsia" w:ascii="宋体" w:hAnsi="宋体" w:eastAsia="宋体" w:cs="宋体"/>
          <w:b/>
          <w:color w:val="0D0D0D"/>
          <w:sz w:val="24"/>
          <w:szCs w:val="24"/>
          <w:lang w:val="zh-CN"/>
        </w:rPr>
        <w:t>工程</w:t>
      </w:r>
      <w:r>
        <w:rPr>
          <w:rFonts w:hint="eastAsia" w:ascii="宋体" w:hAnsi="宋体" w:eastAsia="宋体" w:cs="宋体"/>
          <w:b/>
          <w:color w:val="0D0D0D"/>
          <w:sz w:val="24"/>
          <w:szCs w:val="24"/>
          <w:lang w:val="zh-CN" w:eastAsia="zh-CN"/>
        </w:rPr>
        <w:t>”是指</w:t>
      </w:r>
      <w:r>
        <w:rPr>
          <w:rFonts w:hint="eastAsia" w:ascii="宋体" w:hAnsi="宋体" w:eastAsia="宋体" w:cs="宋体"/>
          <w:color w:val="0D0D0D"/>
          <w:sz w:val="24"/>
          <w:szCs w:val="24"/>
          <w:lang w:val="zh-CN"/>
        </w:rPr>
        <w:t>：与建筑物和构筑物的新建、改建、扩建及其相关的装修、拆除、修缮无关的工程。</w:t>
      </w:r>
    </w:p>
    <w:p>
      <w:pPr>
        <w:numPr>
          <w:ilvl w:val="0"/>
          <w:numId w:val="5"/>
        </w:numPr>
        <w:spacing w:line="360" w:lineRule="auto"/>
        <w:ind w:left="476" w:hanging="476"/>
        <w:rPr>
          <w:rFonts w:hint="eastAsia" w:ascii="宋体" w:hAnsi="宋体" w:eastAsia="宋体" w:cs="宋体"/>
          <w:sz w:val="24"/>
          <w:szCs w:val="24"/>
          <w:lang w:val="zh-CN" w:eastAsia="zh-CN"/>
        </w:rPr>
      </w:pPr>
      <w:r>
        <w:rPr>
          <w:rFonts w:hint="eastAsia" w:ascii="宋体" w:hAnsi="宋体" w:eastAsia="宋体" w:cs="宋体"/>
          <w:b/>
          <w:sz w:val="24"/>
          <w:szCs w:val="24"/>
          <w:lang w:val="zh-CN" w:eastAsia="zh-CN"/>
        </w:rPr>
        <w:t>“服务”</w:t>
      </w:r>
      <w:r>
        <w:rPr>
          <w:rFonts w:hint="eastAsia" w:ascii="宋体" w:hAnsi="宋体" w:eastAsia="宋体" w:cs="宋体"/>
          <w:b/>
          <w:color w:val="0D0D0D" w:themeColor="text1" w:themeTint="F2"/>
          <w:sz w:val="24"/>
          <w:szCs w:val="24"/>
          <w:lang w:val="zh-CN" w:eastAsia="zh-CN"/>
          <w14:textFill>
            <w14:solidFill>
              <w14:schemeClr w14:val="tx1">
                <w14:lumMod w14:val="95000"/>
                <w14:lumOff w14:val="5000"/>
              </w14:schemeClr>
            </w14:solidFill>
          </w14:textFill>
        </w:rPr>
        <w:t>是指</w:t>
      </w:r>
      <w:r>
        <w:rPr>
          <w:rFonts w:hint="eastAsia" w:ascii="宋体" w:hAnsi="宋体" w:eastAsia="宋体" w:cs="宋体"/>
          <w:b/>
          <w:color w:val="0D0D0D" w:themeColor="text1" w:themeTint="F2"/>
          <w:sz w:val="24"/>
          <w:szCs w:val="24"/>
          <w:lang w:val="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4"/>
          <w:szCs w:val="24"/>
          <w:lang w:val="zh-CN" w:eastAsia="zh-CN"/>
          <w14:textFill>
            <w14:solidFill>
              <w14:schemeClr w14:val="tx1">
                <w14:lumMod w14:val="95000"/>
                <w14:lumOff w14:val="5000"/>
              </w14:schemeClr>
            </w14:solidFill>
          </w14:textFill>
        </w:rPr>
        <w:t>除货物</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和工程（含本章3.2条所述工程及《招标投标法》所定义工程）</w:t>
      </w:r>
      <w:r>
        <w:rPr>
          <w:rFonts w:hint="eastAsia" w:ascii="宋体" w:hAnsi="宋体" w:eastAsia="宋体" w:cs="宋体"/>
          <w:color w:val="0D0D0D" w:themeColor="text1" w:themeTint="F2"/>
          <w:sz w:val="24"/>
          <w:szCs w:val="24"/>
          <w:lang w:val="zh-CN" w:eastAsia="zh-CN"/>
          <w14:textFill>
            <w14:solidFill>
              <w14:schemeClr w14:val="tx1">
                <w14:lumMod w14:val="95000"/>
                <w14:lumOff w14:val="5000"/>
              </w14:schemeClr>
            </w14:solidFill>
          </w14:textFill>
        </w:rPr>
        <w:t>以外的其他政府采购对象,包括政府自身需要的服务和政府向社会公众提供的公共服务。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76" w:hanging="476"/>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采购人应当按照财政部制定的《政府采购品目分类目录》确定采购项目属性</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按照《政府采购品目分类目录》无法确定的，按照有利于采购项目实施的原则确定。</w:t>
      </w:r>
    </w:p>
    <w:p>
      <w:pPr>
        <w:numPr>
          <w:ilvl w:val="0"/>
          <w:numId w:val="3"/>
        </w:numPr>
        <w:spacing w:line="360" w:lineRule="auto"/>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）投标人应承担所有与准备和参加投标有关的费用。不论投标的结果如何，采购代理机构和采购人均无义务和责任承担这些费用。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）采购代理服务费</w:t>
      </w:r>
    </w:p>
    <w:p>
      <w:pPr>
        <w:numPr>
          <w:ilvl w:val="0"/>
          <w:numId w:val="0"/>
        </w:numPr>
        <w:spacing w:line="360" w:lineRule="auto"/>
        <w:ind w:leftChars="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经过采购代理机构与采购人协议，规定由中标单位支付。采购代理服务费收费标准如下：</w:t>
      </w:r>
    </w:p>
    <w:p>
      <w:pPr>
        <w:widowControl/>
        <w:spacing w:before="100" w:beforeAutospacing="1"/>
        <w:ind w:left="420"/>
        <w:rPr>
          <w:rFonts w:hint="eastAsia" w:ascii="宋体" w:hAnsi="宋体" w:eastAsia="宋体" w:cs="宋体"/>
          <w:kern w:val="0"/>
          <w:sz w:val="22"/>
          <w:szCs w:val="22"/>
        </w:rPr>
      </w:pPr>
    </w:p>
    <w:tbl>
      <w:tblPr>
        <w:tblStyle w:val="15"/>
        <w:tblW w:w="9779" w:type="dxa"/>
        <w:tblCellSpacing w:w="0" w:type="dxa"/>
        <w:tblInd w:w="0" w:type="dxa"/>
        <w:tblLayout w:type="fixed"/>
        <w:tblCellMar>
          <w:top w:w="108" w:type="dxa"/>
          <w:left w:w="108" w:type="dxa"/>
          <w:bottom w:w="108" w:type="dxa"/>
          <w:right w:w="108" w:type="dxa"/>
        </w:tblCellMar>
      </w:tblPr>
      <w:tblGrid>
        <w:gridCol w:w="3088"/>
        <w:gridCol w:w="2438"/>
        <w:gridCol w:w="2243"/>
        <w:gridCol w:w="2010"/>
      </w:tblGrid>
      <w:tr>
        <w:tblPrEx>
          <w:tblCellMar>
            <w:top w:w="108" w:type="dxa"/>
            <w:left w:w="108" w:type="dxa"/>
            <w:bottom w:w="108" w:type="dxa"/>
            <w:right w:w="108" w:type="dxa"/>
          </w:tblCellMar>
        </w:tblPrEx>
        <w:trPr>
          <w:trHeight w:val="2452"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top"/>
          </w:tcPr>
          <w:p>
            <w:pPr>
              <w:widowControl/>
              <w:spacing w:before="100" w:beforeAutospacing="1" w:line="288" w:lineRule="auto"/>
              <w:ind w:firstLine="998"/>
              <w:rPr>
                <w:rFonts w:hint="eastAsia" w:ascii="宋体" w:hAnsi="宋体" w:eastAsia="宋体" w:cs="宋体"/>
                <w:kern w:val="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8890</wp:posOffset>
                      </wp:positionV>
                      <wp:extent cx="1209675" cy="1590675"/>
                      <wp:effectExtent l="3810" t="3175" r="5715" b="6350"/>
                      <wp:wrapNone/>
                      <wp:docPr id="2" name="直接连接符 2"/>
                      <wp:cNvGraphicFramePr/>
                      <a:graphic xmlns:a="http://schemas.openxmlformats.org/drawingml/2006/main">
                        <a:graphicData uri="http://schemas.microsoft.com/office/word/2010/wordprocessingShape">
                          <wps:wsp>
                            <wps:cNvCnPr/>
                            <wps:spPr>
                              <a:xfrm>
                                <a:off x="680085" y="747395"/>
                                <a:ext cx="1209675" cy="159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pt;margin-top:0.7pt;height:125.25pt;width:95.25pt;z-index:251659264;mso-width-relative:page;mso-height-relative:page;" filled="f" stroked="t" coordsize="21600,21600" o:gfxdata="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UdyO1wAAAAkBAAAPAAAAAAAAAAEAIAAAACIAAABkcnMvZG93bnJldi54bWxQSwEC&#10;FAAUAAAACACHTuJAdj/tD/UBAADBAwAADgAAAAAAAAABACAAAAAmAQAAZHJzL2Uyb0RvYy54bWxQ&#10;SwUGAAAAAAYABgBZAQAAjQ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-635</wp:posOffset>
                      </wp:positionV>
                      <wp:extent cx="1971675" cy="647700"/>
                      <wp:effectExtent l="1270" t="4445" r="8255" b="14605"/>
                      <wp:wrapNone/>
                      <wp:docPr id="1" name="直接连接符 1"/>
                      <wp:cNvGraphicFramePr/>
                      <a:graphic xmlns:a="http://schemas.openxmlformats.org/drawingml/2006/main">
                        <a:graphicData uri="http://schemas.microsoft.com/office/word/2010/wordprocessingShape">
                          <wps:wsp>
                            <wps:cNvCnPr/>
                            <wps:spPr>
                              <a:xfrm>
                                <a:off x="680085" y="737870"/>
                                <a:ext cx="19716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pt;margin-top:-0.05pt;height:51pt;width:155.25pt;z-index:251658240;mso-width-relative:page;mso-height-relative:page;" filled="f" stroked="t" coordsize="21600,21600" o:gfxdata="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o1sv1wAAAAkBAAAPAAAAAAAAAAEAIAAAACIAAABkcnMvZG93bnJldi54bWxQSwEC&#10;FAAUAAAACACHTuJA/aR3UvUBAADAAwAADgAAAAAAAAABACAAAAAmAQAAZHJzL2Uyb0RvYy54bWxQ&#10;SwUGAAAAAAYABgBZAQAAjQUAAAAA&#10;">
                      <v:fill on="f" focussize="0,0"/>
                      <v:stroke weight="0.5pt" color="#000000 [3200]" miterlimit="8" joinstyle="miter"/>
                      <v:imagedata o:title=""/>
                      <o:lock v:ext="edit" aspectratio="f"/>
                    </v:line>
                  </w:pict>
                </mc:Fallback>
              </mc:AlternateContent>
            </w:r>
            <w:r>
              <w:rPr>
                <w:rFonts w:hint="eastAsia" w:ascii="宋体" w:hAnsi="宋体" w:eastAsia="宋体" w:cs="宋体"/>
                <w:kern w:val="0"/>
                <w:sz w:val="21"/>
                <w:szCs w:val="21"/>
              </w:rPr>
              <w:t>招标类型　　　</w:t>
            </w:r>
          </w:p>
          <w:p>
            <w:pPr>
              <w:widowControl/>
              <w:spacing w:before="100" w:beforeAutospacing="1" w:line="288" w:lineRule="auto"/>
              <w:ind w:firstLine="998"/>
              <w:rPr>
                <w:rFonts w:hint="eastAsia" w:ascii="宋体" w:hAnsi="宋体" w:eastAsia="宋体" w:cs="宋体"/>
                <w:kern w:val="0"/>
                <w:sz w:val="21"/>
                <w:szCs w:val="21"/>
              </w:rPr>
            </w:pPr>
            <w:r>
              <w:rPr>
                <w:rFonts w:hint="eastAsia" w:ascii="宋体" w:hAnsi="宋体" w:eastAsia="宋体" w:cs="宋体"/>
                <w:kern w:val="0"/>
                <w:sz w:val="21"/>
                <w:szCs w:val="21"/>
              </w:rPr>
              <w:t xml:space="preserve">中标　　　 </w:t>
            </w:r>
          </w:p>
          <w:p>
            <w:pPr>
              <w:widowControl/>
              <w:spacing w:before="100" w:beforeAutospacing="1" w:line="288" w:lineRule="auto"/>
              <w:ind w:firstLine="1503"/>
              <w:rPr>
                <w:rFonts w:hint="eastAsia" w:ascii="宋体" w:hAnsi="宋体" w:eastAsia="宋体" w:cs="宋体"/>
                <w:kern w:val="0"/>
                <w:sz w:val="21"/>
                <w:szCs w:val="21"/>
              </w:rPr>
            </w:pPr>
            <w:r>
              <w:rPr>
                <w:rFonts w:hint="eastAsia" w:ascii="宋体" w:hAnsi="宋体" w:eastAsia="宋体" w:cs="宋体"/>
                <w:kern w:val="0"/>
                <w:sz w:val="21"/>
                <w:szCs w:val="21"/>
              </w:rPr>
              <w:t>费率</w:t>
            </w:r>
          </w:p>
          <w:p>
            <w:pPr>
              <w:widowControl/>
              <w:spacing w:before="100" w:beforeAutospacing="1" w:after="142" w:line="288" w:lineRule="auto"/>
              <w:rPr>
                <w:rFonts w:hint="eastAsia" w:ascii="宋体" w:hAnsi="宋体" w:eastAsia="宋体" w:cs="宋体"/>
                <w:kern w:val="0"/>
                <w:sz w:val="21"/>
                <w:szCs w:val="21"/>
              </w:rPr>
            </w:pPr>
            <w:r>
              <w:rPr>
                <w:rFonts w:hint="eastAsia" w:ascii="宋体" w:hAnsi="宋体" w:eastAsia="宋体" w:cs="宋体"/>
                <w:kern w:val="0"/>
                <w:sz w:val="21"/>
                <w:szCs w:val="21"/>
              </w:rPr>
              <w:t>金额（万元）</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货物招标</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服务招标</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工程招标</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both"/>
              <w:rPr>
                <w:rFonts w:hint="eastAsia" w:ascii="宋体" w:hAnsi="宋体" w:eastAsia="宋体" w:cs="宋体"/>
                <w:kern w:val="0"/>
                <w:sz w:val="21"/>
                <w:szCs w:val="21"/>
              </w:rPr>
            </w:pPr>
            <w:r>
              <w:rPr>
                <w:rFonts w:hint="eastAsia" w:ascii="宋体" w:hAnsi="宋体" w:eastAsia="宋体" w:cs="宋体"/>
                <w:kern w:val="0"/>
                <w:sz w:val="21"/>
                <w:szCs w:val="21"/>
              </w:rPr>
              <w:t>100以下</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both"/>
              <w:rPr>
                <w:rFonts w:hint="eastAsia" w:ascii="宋体" w:hAnsi="宋体" w:eastAsia="宋体" w:cs="宋体"/>
                <w:kern w:val="0"/>
                <w:sz w:val="21"/>
                <w:szCs w:val="21"/>
              </w:rPr>
            </w:pPr>
            <w:r>
              <w:rPr>
                <w:rFonts w:hint="eastAsia" w:ascii="宋体" w:hAnsi="宋体" w:eastAsia="宋体" w:cs="宋体"/>
                <w:kern w:val="0"/>
                <w:sz w:val="21"/>
                <w:szCs w:val="21"/>
              </w:rPr>
              <w:t>100-500</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0.8%</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0.70%</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both"/>
              <w:rPr>
                <w:rFonts w:hint="eastAsia" w:ascii="宋体" w:hAnsi="宋体" w:eastAsia="宋体" w:cs="宋体"/>
                <w:kern w:val="0"/>
                <w:sz w:val="21"/>
                <w:szCs w:val="21"/>
              </w:rPr>
            </w:pPr>
            <w:r>
              <w:rPr>
                <w:rFonts w:hint="eastAsia" w:ascii="宋体" w:hAnsi="宋体" w:eastAsia="宋体" w:cs="宋体"/>
                <w:kern w:val="0"/>
                <w:sz w:val="21"/>
                <w:szCs w:val="21"/>
              </w:rPr>
              <w:t>500-1000</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0.8%</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0.45%</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0.55%</w:t>
            </w:r>
          </w:p>
        </w:tc>
      </w:tr>
    </w:tbl>
    <w:p>
      <w:pPr>
        <w:pStyle w:val="5"/>
        <w:rPr>
          <w:rFonts w:hint="eastAsia" w:ascii="宋体" w:hAnsi="宋体" w:eastAsia="宋体" w:cs="宋体"/>
          <w:sz w:val="24"/>
          <w:szCs w:val="24"/>
          <w:lang w:val="zh-CN"/>
        </w:rPr>
      </w:pP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25" w:name="_Toc28652"/>
      <w:bookmarkStart w:id="26" w:name="_Toc278891592"/>
      <w:bookmarkStart w:id="27" w:name="_Toc494561939"/>
      <w:bookmarkStart w:id="28" w:name="_Toc272247695"/>
      <w:r>
        <w:rPr>
          <w:rFonts w:hint="eastAsia" w:ascii="宋体" w:hAnsi="宋体" w:eastAsia="宋体" w:cs="宋体"/>
          <w:bCs w:val="0"/>
          <w:lang w:val="zh-CN" w:eastAsia="zh-CN"/>
        </w:rPr>
        <w:t>招标文件</w:t>
      </w:r>
      <w:bookmarkEnd w:id="25"/>
      <w:bookmarkEnd w:id="26"/>
      <w:bookmarkEnd w:id="27"/>
      <w:bookmarkEnd w:id="28"/>
    </w:p>
    <w:p>
      <w:pPr>
        <w:numPr>
          <w:ilvl w:val="0"/>
          <w:numId w:val="3"/>
        </w:numPr>
        <w:spacing w:line="360" w:lineRule="auto"/>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招标文件的构成</w:t>
      </w:r>
    </w:p>
    <w:p>
      <w:pPr>
        <w:tabs>
          <w:tab w:val="left" w:pos="476"/>
        </w:tabs>
        <w:spacing w:line="360" w:lineRule="auto"/>
        <w:ind w:left="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第一章 投标邀请书</w:t>
      </w:r>
    </w:p>
    <w:p>
      <w:pPr>
        <w:tabs>
          <w:tab w:val="left" w:pos="476"/>
        </w:tabs>
        <w:spacing w:line="360" w:lineRule="auto"/>
        <w:ind w:left="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第二章 投标人须知</w:t>
      </w:r>
    </w:p>
    <w:p>
      <w:pPr>
        <w:tabs>
          <w:tab w:val="left" w:pos="476"/>
        </w:tabs>
        <w:spacing w:line="360" w:lineRule="auto"/>
        <w:ind w:left="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第三章 项目技术、服务及商务要求</w:t>
      </w:r>
    </w:p>
    <w:p>
      <w:pPr>
        <w:tabs>
          <w:tab w:val="left" w:pos="476"/>
        </w:tabs>
        <w:spacing w:line="360" w:lineRule="auto"/>
        <w:ind w:left="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第四章 资格审查方法及标准</w:t>
      </w:r>
    </w:p>
    <w:p>
      <w:pPr>
        <w:tabs>
          <w:tab w:val="left" w:pos="476"/>
        </w:tabs>
        <w:spacing w:line="360" w:lineRule="auto"/>
        <w:ind w:left="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第五章 评标方法、程序及标准</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eastAsia="zh-CN"/>
        </w:rPr>
        <w:t>第六章 合同书格式</w:t>
      </w:r>
      <w:r>
        <w:rPr>
          <w:rFonts w:hint="eastAsia" w:ascii="宋体" w:hAnsi="宋体" w:eastAsia="宋体" w:cs="宋体"/>
          <w:sz w:val="24"/>
          <w:szCs w:val="20"/>
          <w:lang w:val="zh-CN"/>
        </w:rPr>
        <w:t>（参考）</w:t>
      </w:r>
    </w:p>
    <w:p>
      <w:pPr>
        <w:tabs>
          <w:tab w:val="left" w:pos="476"/>
        </w:tabs>
        <w:spacing w:line="360" w:lineRule="auto"/>
        <w:ind w:left="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第七章 投标文件格式</w:t>
      </w:r>
      <w:r>
        <w:rPr>
          <w:rFonts w:hint="eastAsia" w:ascii="宋体" w:hAnsi="宋体" w:eastAsia="宋体" w:cs="宋体"/>
          <w:sz w:val="24"/>
          <w:szCs w:val="20"/>
          <w:lang w:val="zh-CN"/>
        </w:rPr>
        <w:t>（参考）</w:t>
      </w:r>
    </w:p>
    <w:p>
      <w:pPr>
        <w:tabs>
          <w:tab w:val="left" w:pos="476"/>
        </w:tabs>
        <w:spacing w:line="360" w:lineRule="auto"/>
        <w:ind w:left="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其 他  在招标过程中由采购代理机构发出的修正和补充文件等</w:t>
      </w:r>
    </w:p>
    <w:p>
      <w:pPr>
        <w:numPr>
          <w:ilvl w:val="0"/>
          <w:numId w:val="3"/>
        </w:numPr>
        <w:spacing w:line="360" w:lineRule="auto"/>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招标文件</w:t>
      </w:r>
      <w:r>
        <w:rPr>
          <w:rFonts w:hint="eastAsia" w:ascii="宋体" w:hAnsi="宋体" w:eastAsia="宋体" w:cs="宋体"/>
          <w:b/>
          <w:sz w:val="24"/>
          <w:szCs w:val="20"/>
          <w:lang w:val="zh-CN"/>
        </w:rPr>
        <w:t>疑问的提交</w:t>
      </w:r>
    </w:p>
    <w:p>
      <w:pPr>
        <w:numPr>
          <w:ilvl w:val="0"/>
          <w:numId w:val="7"/>
        </w:numPr>
        <w:spacing w:line="360" w:lineRule="auto"/>
        <w:ind w:left="476" w:hanging="476"/>
        <w:rPr>
          <w:rFonts w:hint="eastAsia" w:ascii="宋体" w:hAnsi="宋体" w:eastAsia="宋体" w:cs="宋体"/>
          <w:sz w:val="24"/>
          <w:szCs w:val="20"/>
          <w:lang w:val="zh-CN" w:eastAsia="zh-CN"/>
        </w:rPr>
      </w:pPr>
      <w:r>
        <w:rPr>
          <w:rFonts w:hint="eastAsia" w:ascii="宋体" w:hAnsi="宋体" w:eastAsia="宋体" w:cs="宋体"/>
          <w:sz w:val="24"/>
          <w:szCs w:val="20"/>
          <w:lang w:val="zh-CN"/>
        </w:rPr>
        <w:t>潜在投标人对招标文件有疑问的，可以向</w:t>
      </w:r>
      <w:r>
        <w:rPr>
          <w:rFonts w:hint="eastAsia" w:ascii="宋体" w:hAnsi="宋体" w:eastAsia="宋体" w:cs="宋体"/>
          <w:sz w:val="24"/>
          <w:szCs w:val="20"/>
          <w:lang w:val="zh-CN" w:eastAsia="zh-CN"/>
        </w:rPr>
        <w:t>采购代理机构</w:t>
      </w:r>
      <w:r>
        <w:rPr>
          <w:rFonts w:hint="eastAsia" w:ascii="宋体" w:hAnsi="宋体" w:eastAsia="宋体" w:cs="宋体"/>
          <w:sz w:val="24"/>
          <w:szCs w:val="20"/>
          <w:lang w:val="zh-CN"/>
        </w:rPr>
        <w:t>提出询问，或在6.2规定的时间</w:t>
      </w:r>
      <w:r>
        <w:rPr>
          <w:rFonts w:hint="eastAsia" w:ascii="宋体" w:hAnsi="宋体" w:eastAsia="宋体" w:cs="宋体"/>
          <w:sz w:val="24"/>
          <w:szCs w:val="20"/>
          <w:lang w:val="zh-CN" w:eastAsia="zh-CN"/>
        </w:rPr>
        <w:t>前</w:t>
      </w:r>
      <w:r>
        <w:rPr>
          <w:rFonts w:hint="eastAsia" w:ascii="宋体" w:hAnsi="宋体" w:eastAsia="宋体" w:cs="宋体"/>
          <w:sz w:val="24"/>
          <w:szCs w:val="20"/>
          <w:lang w:val="zh-CN"/>
        </w:rPr>
        <w:t>以书面的形式向</w:t>
      </w:r>
      <w:r>
        <w:rPr>
          <w:rFonts w:hint="eastAsia" w:ascii="宋体" w:hAnsi="宋体" w:eastAsia="宋体" w:cs="宋体"/>
          <w:sz w:val="24"/>
          <w:szCs w:val="20"/>
          <w:lang w:val="zh-CN" w:eastAsia="zh-CN"/>
        </w:rPr>
        <w:t>采购代理机构</w:t>
      </w:r>
      <w:r>
        <w:rPr>
          <w:rFonts w:hint="eastAsia" w:ascii="宋体" w:hAnsi="宋体" w:eastAsia="宋体" w:cs="宋体"/>
          <w:sz w:val="24"/>
          <w:szCs w:val="20"/>
          <w:lang w:val="zh-CN"/>
        </w:rPr>
        <w:t>提交疑问函</w:t>
      </w:r>
      <w:r>
        <w:rPr>
          <w:rFonts w:hint="eastAsia" w:ascii="宋体" w:hAnsi="宋体" w:eastAsia="宋体" w:cs="宋体"/>
          <w:sz w:val="24"/>
          <w:szCs w:val="20"/>
          <w:lang w:val="zh-CN" w:eastAsia="zh-CN"/>
        </w:rPr>
        <w:t>。</w:t>
      </w:r>
    </w:p>
    <w:p>
      <w:pPr>
        <w:numPr>
          <w:ilvl w:val="0"/>
          <w:numId w:val="7"/>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潜在投标人在项目招标公告期限届满之日起7个工作日内未对招标文件提出疑问的，</w:t>
      </w:r>
      <w:r>
        <w:rPr>
          <w:rFonts w:hint="eastAsia" w:ascii="宋体" w:hAnsi="宋体" w:eastAsia="宋体" w:cs="宋体"/>
          <w:sz w:val="24"/>
          <w:szCs w:val="20"/>
          <w:lang w:val="zh-CN" w:eastAsia="zh-CN"/>
        </w:rPr>
        <w:t>采购代理机构</w:t>
      </w:r>
      <w:r>
        <w:rPr>
          <w:rFonts w:hint="eastAsia" w:ascii="宋体" w:hAnsi="宋体" w:eastAsia="宋体" w:cs="宋体"/>
          <w:sz w:val="24"/>
          <w:szCs w:val="20"/>
          <w:lang w:val="zh-CN"/>
        </w:rPr>
        <w:t>将视其认同招标文件，在规定的时间后就招标文件内容提出的疑问将不予受理。</w:t>
      </w:r>
    </w:p>
    <w:p>
      <w:pPr>
        <w:numPr>
          <w:ilvl w:val="0"/>
          <w:numId w:val="7"/>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eastAsia="zh-CN"/>
        </w:rPr>
        <w:t>采购代理机构</w:t>
      </w:r>
      <w:r>
        <w:rPr>
          <w:rFonts w:hint="eastAsia" w:ascii="宋体" w:hAnsi="宋体" w:eastAsia="宋体" w:cs="宋体"/>
          <w:sz w:val="24"/>
          <w:szCs w:val="20"/>
          <w:lang w:val="zh-CN"/>
        </w:rPr>
        <w:t>将组织采购人对潜在投标人所提交疑问以书面（或网上公告）的形式予以答复。必要时，</w:t>
      </w:r>
      <w:r>
        <w:rPr>
          <w:rFonts w:hint="eastAsia" w:ascii="宋体" w:hAnsi="宋体" w:eastAsia="宋体" w:cs="宋体"/>
          <w:sz w:val="24"/>
          <w:szCs w:val="20"/>
          <w:lang w:val="zh-CN" w:eastAsia="zh-CN"/>
        </w:rPr>
        <w:t>采购代理机构</w:t>
      </w:r>
      <w:r>
        <w:rPr>
          <w:rFonts w:hint="eastAsia" w:ascii="宋体" w:hAnsi="宋体" w:eastAsia="宋体" w:cs="宋体"/>
          <w:sz w:val="24"/>
          <w:szCs w:val="20"/>
          <w:lang w:val="zh-CN"/>
        </w:rPr>
        <w:t>机构将组织相关专家召开答疑会，并将会议内容以书面的形式发给每个领取招标文件的潜在投标人（答复中不包括问题的来源）。</w:t>
      </w:r>
    </w:p>
    <w:p>
      <w:pPr>
        <w:numPr>
          <w:ilvl w:val="0"/>
          <w:numId w:val="3"/>
        </w:numPr>
        <w:spacing w:line="360" w:lineRule="auto"/>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招标文件的</w:t>
      </w:r>
      <w:r>
        <w:rPr>
          <w:rFonts w:hint="eastAsia" w:ascii="宋体" w:hAnsi="宋体" w:eastAsia="宋体" w:cs="宋体"/>
          <w:b/>
          <w:sz w:val="24"/>
          <w:szCs w:val="20"/>
          <w:lang w:val="zh-CN"/>
        </w:rPr>
        <w:t>澄清、</w:t>
      </w:r>
      <w:r>
        <w:rPr>
          <w:rFonts w:hint="eastAsia" w:ascii="宋体" w:hAnsi="宋体" w:eastAsia="宋体" w:cs="宋体"/>
          <w:b/>
          <w:sz w:val="24"/>
          <w:szCs w:val="20"/>
          <w:lang w:val="zh-CN" w:eastAsia="zh-CN"/>
        </w:rPr>
        <w:t>修改</w:t>
      </w:r>
    </w:p>
    <w:p>
      <w:pPr>
        <w:numPr>
          <w:ilvl w:val="0"/>
          <w:numId w:val="8"/>
        </w:numPr>
        <w:spacing w:line="360" w:lineRule="auto"/>
        <w:ind w:left="476" w:hanging="476"/>
        <w:rPr>
          <w:rFonts w:hint="eastAsia" w:ascii="宋体" w:hAnsi="宋体" w:eastAsia="宋体" w:cs="宋体"/>
          <w:kern w:val="0"/>
          <w:sz w:val="24"/>
          <w:szCs w:val="24"/>
          <w:lang w:val="zh-CN" w:eastAsia="zh-CN"/>
        </w:rPr>
      </w:pPr>
      <w:r>
        <w:rPr>
          <w:rFonts w:hint="eastAsia" w:ascii="宋体" w:hAnsi="宋体" w:eastAsia="宋体" w:cs="宋体"/>
          <w:sz w:val="24"/>
          <w:szCs w:val="20"/>
          <w:lang w:val="zh-CN" w:eastAsia="zh-CN"/>
        </w:rPr>
        <w:t>采购代理机构和采购人可以对已发出的招标文件进行必要的澄清或者修改</w:t>
      </w:r>
      <w:r>
        <w:rPr>
          <w:rFonts w:hint="eastAsia" w:ascii="宋体" w:hAnsi="宋体" w:eastAsia="宋体" w:cs="宋体"/>
          <w:sz w:val="24"/>
          <w:szCs w:val="20"/>
          <w:lang w:val="zh-CN"/>
        </w:rPr>
        <w:t>，</w:t>
      </w:r>
      <w:r>
        <w:rPr>
          <w:rFonts w:hint="eastAsia" w:ascii="宋体" w:hAnsi="宋体" w:eastAsia="宋体" w:cs="宋体"/>
          <w:kern w:val="0"/>
          <w:sz w:val="24"/>
          <w:szCs w:val="24"/>
          <w:lang w:val="zh-CN" w:eastAsia="zh-CN"/>
        </w:rPr>
        <w:t>但不得改变采购标的和资格条件</w:t>
      </w:r>
      <w:r>
        <w:rPr>
          <w:rFonts w:hint="eastAsia" w:ascii="宋体" w:hAnsi="宋体" w:eastAsia="宋体" w:cs="宋体"/>
          <w:sz w:val="24"/>
          <w:szCs w:val="20"/>
          <w:lang w:val="zh-CN" w:eastAsia="zh-CN"/>
        </w:rPr>
        <w:t>。</w:t>
      </w:r>
      <w:r>
        <w:rPr>
          <w:rFonts w:hint="eastAsia" w:ascii="宋体" w:hAnsi="宋体" w:eastAsia="宋体" w:cs="宋体"/>
          <w:kern w:val="0"/>
          <w:sz w:val="24"/>
          <w:szCs w:val="24"/>
          <w:lang w:val="zh-CN" w:eastAsia="zh-CN"/>
        </w:rPr>
        <w:t>澄清或者修改</w:t>
      </w:r>
      <w:r>
        <w:rPr>
          <w:rFonts w:hint="eastAsia" w:ascii="宋体" w:hAnsi="宋体" w:eastAsia="宋体" w:cs="宋体"/>
          <w:kern w:val="0"/>
          <w:sz w:val="24"/>
          <w:szCs w:val="24"/>
          <w:lang w:val="zh-CN"/>
        </w:rPr>
        <w:t>将</w:t>
      </w:r>
      <w:r>
        <w:rPr>
          <w:rFonts w:hint="eastAsia" w:ascii="宋体" w:hAnsi="宋体" w:eastAsia="宋体" w:cs="宋体"/>
          <w:kern w:val="0"/>
          <w:sz w:val="24"/>
          <w:szCs w:val="24"/>
          <w:lang w:val="zh-CN" w:eastAsia="zh-CN"/>
        </w:rPr>
        <w:t>在原公告发布媒体上发布澄清公告。澄清或者修改的内容可能影响投标文件编制的，</w:t>
      </w:r>
      <w:r>
        <w:rPr>
          <w:rFonts w:hint="eastAsia" w:ascii="宋体" w:hAnsi="宋体" w:eastAsia="宋体" w:cs="宋体"/>
          <w:sz w:val="24"/>
          <w:szCs w:val="20"/>
          <w:lang w:val="zh-CN" w:eastAsia="zh-CN"/>
        </w:rPr>
        <w:t>采购代理机构</w:t>
      </w:r>
      <w:r>
        <w:rPr>
          <w:rFonts w:hint="eastAsia" w:ascii="宋体" w:hAnsi="宋体" w:eastAsia="宋体" w:cs="宋体"/>
          <w:kern w:val="0"/>
          <w:sz w:val="24"/>
          <w:szCs w:val="24"/>
          <w:lang w:val="zh-CN" w:eastAsia="zh-CN"/>
        </w:rPr>
        <w:t>和采购人将在投标截止时间至少</w:t>
      </w:r>
      <w:r>
        <w:rPr>
          <w:rFonts w:hint="eastAsia" w:ascii="宋体" w:hAnsi="宋体" w:eastAsia="宋体" w:cs="宋体"/>
          <w:sz w:val="24"/>
          <w:szCs w:val="20"/>
          <w:lang w:val="zh-CN"/>
        </w:rPr>
        <w:t>15</w:t>
      </w:r>
      <w:r>
        <w:rPr>
          <w:rFonts w:hint="eastAsia" w:ascii="宋体" w:hAnsi="宋体" w:eastAsia="宋体" w:cs="宋体"/>
          <w:kern w:val="0"/>
          <w:sz w:val="24"/>
          <w:szCs w:val="24"/>
          <w:lang w:val="zh-CN" w:eastAsia="zh-CN"/>
        </w:rPr>
        <w:t>日前，以书面形式通知所有获取招标文件的潜在投标人。</w:t>
      </w:r>
    </w:p>
    <w:p>
      <w:pPr>
        <w:numPr>
          <w:ilvl w:val="0"/>
          <w:numId w:val="8"/>
        </w:numPr>
        <w:spacing w:line="360" w:lineRule="auto"/>
        <w:ind w:left="476" w:hanging="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为使</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8"/>
        </w:numPr>
        <w:spacing w:line="360" w:lineRule="auto"/>
        <w:ind w:left="476" w:hanging="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澄清或者修改的内容为招标文件的组成部分，并对潜在投标人具有约束力。潜在投标人在收到上述通知后，应立即以书面（或邮件）形式向采购代理机构确认收悉。</w:t>
      </w:r>
    </w:p>
    <w:p>
      <w:pPr>
        <w:numPr>
          <w:ilvl w:val="0"/>
          <w:numId w:val="3"/>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现场考察</w:t>
      </w:r>
    </w:p>
    <w:p>
      <w:pPr>
        <w:numPr>
          <w:ilvl w:val="0"/>
          <w:numId w:val="9"/>
        </w:numPr>
        <w:spacing w:line="360" w:lineRule="auto"/>
        <w:ind w:left="476" w:hanging="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采购人可以在招标文件提供期限截止后，组织已获取招标文件的潜在投标人现场考察。采购人组织现场考察的，</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投标人可对项目现场及周围环境进行踏勘，以便获取有关编制投标文件和签署合同所涉及现场的资料。</w:t>
      </w:r>
    </w:p>
    <w:p>
      <w:pPr>
        <w:numPr>
          <w:ilvl w:val="0"/>
          <w:numId w:val="9"/>
        </w:numPr>
        <w:spacing w:line="360" w:lineRule="auto"/>
        <w:ind w:left="476" w:hanging="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采购人向</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投标人提供有关现场的数据和资料。是采购人现有的能被</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投标人利用的客观资料，采购人对</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投标人依此作出的任何推论、理解和结论均不负责任。</w:t>
      </w:r>
    </w:p>
    <w:p>
      <w:pPr>
        <w:numPr>
          <w:ilvl w:val="0"/>
          <w:numId w:val="9"/>
        </w:numPr>
        <w:spacing w:line="360" w:lineRule="auto"/>
        <w:ind w:left="476" w:hanging="476"/>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经采购人允许，</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投标人可进入项目现场进行考察，但</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投标人不得因此使采购人承担有关责任和蒙受损失。</w:t>
      </w:r>
      <w:r>
        <w:rPr>
          <w:rFonts w:hint="eastAsia" w:ascii="宋体" w:hAnsi="宋体" w:eastAsia="宋体" w:cs="宋体"/>
          <w:sz w:val="24"/>
          <w:szCs w:val="20"/>
          <w:lang w:val="zh-CN"/>
        </w:rPr>
        <w:t>潜在</w:t>
      </w:r>
      <w:r>
        <w:rPr>
          <w:rFonts w:hint="eastAsia" w:ascii="宋体" w:hAnsi="宋体" w:eastAsia="宋体" w:cs="宋体"/>
          <w:sz w:val="24"/>
          <w:szCs w:val="20"/>
          <w:lang w:val="zh-CN" w:eastAsia="zh-CN"/>
        </w:rPr>
        <w:t>投标人应自行承担现场考察的全部费用、责任和风险。</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29" w:name="_Toc31291"/>
      <w:bookmarkStart w:id="30" w:name="_Toc494561940"/>
      <w:bookmarkStart w:id="31" w:name="_Toc272247696"/>
      <w:bookmarkStart w:id="32" w:name="_Toc278891593"/>
      <w:r>
        <w:rPr>
          <w:rFonts w:hint="eastAsia" w:ascii="宋体" w:hAnsi="宋体" w:eastAsia="宋体" w:cs="宋体"/>
          <w:bCs w:val="0"/>
          <w:lang w:val="zh-CN" w:eastAsia="zh-CN"/>
        </w:rPr>
        <w:t>投标文件</w:t>
      </w:r>
      <w:bookmarkEnd w:id="29"/>
      <w:bookmarkEnd w:id="30"/>
      <w:bookmarkEnd w:id="31"/>
      <w:bookmarkEnd w:id="32"/>
    </w:p>
    <w:p>
      <w:pPr>
        <w:numPr>
          <w:ilvl w:val="0"/>
          <w:numId w:val="3"/>
        </w:numPr>
        <w:spacing w:line="360" w:lineRule="auto"/>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投标的语言</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投标人提交的投标文件以及投标人与</w:t>
      </w:r>
      <w:r>
        <w:rPr>
          <w:rFonts w:hint="eastAsia" w:ascii="宋体" w:hAnsi="宋体" w:eastAsia="宋体" w:cs="宋体"/>
          <w:sz w:val="24"/>
          <w:szCs w:val="20"/>
          <w:lang w:val="zh-CN" w:eastAsia="zh-CN"/>
        </w:rPr>
        <w:t>采购代理机构</w:t>
      </w:r>
      <w:r>
        <w:rPr>
          <w:rFonts w:hint="eastAsia" w:ascii="宋体" w:hAnsi="宋体" w:eastAsia="宋体" w:cs="宋体"/>
          <w:sz w:val="24"/>
          <w:szCs w:val="24"/>
          <w:lang w:val="zh-CN" w:eastAsia="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3"/>
        </w:numPr>
        <w:spacing w:line="360" w:lineRule="auto"/>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投标文件的构成</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投标人编制的投标文件应包括但不</w:t>
      </w:r>
      <w:r>
        <w:rPr>
          <w:rFonts w:hint="eastAsia" w:ascii="宋体" w:hAnsi="宋体" w:eastAsia="宋体" w:cs="宋体"/>
          <w:sz w:val="24"/>
          <w:szCs w:val="24"/>
          <w:lang w:val="zh-CN"/>
        </w:rPr>
        <w:t>限</w:t>
      </w:r>
      <w:r>
        <w:rPr>
          <w:rFonts w:hint="eastAsia" w:ascii="宋体" w:hAnsi="宋体" w:eastAsia="宋体" w:cs="宋体"/>
          <w:sz w:val="24"/>
          <w:szCs w:val="24"/>
          <w:lang w:val="zh-CN" w:eastAsia="zh-CN"/>
        </w:rPr>
        <w:t>于下列内容：</w:t>
      </w:r>
    </w:p>
    <w:p>
      <w:pPr>
        <w:spacing w:line="360" w:lineRule="auto"/>
        <w:ind w:left="1678" w:leftChars="228" w:hanging="1200" w:hangingChars="500"/>
        <w:rPr>
          <w:rFonts w:hint="eastAsia" w:ascii="宋体" w:hAnsi="宋体" w:eastAsia="宋体" w:cs="宋体"/>
          <w:sz w:val="24"/>
          <w:szCs w:val="24"/>
          <w:lang w:val="zh-CN"/>
        </w:rPr>
      </w:pPr>
      <w:r>
        <w:rPr>
          <w:rFonts w:hint="eastAsia" w:ascii="宋体" w:hAnsi="宋体" w:eastAsia="宋体" w:cs="宋体"/>
          <w:sz w:val="24"/>
          <w:szCs w:val="24"/>
          <w:lang w:val="zh-CN"/>
        </w:rPr>
        <w:t xml:space="preserve">第一部分  </w:t>
      </w:r>
      <w:r>
        <w:rPr>
          <w:rFonts w:hint="eastAsia" w:ascii="宋体" w:hAnsi="宋体" w:eastAsia="宋体" w:cs="宋体"/>
          <w:sz w:val="24"/>
          <w:szCs w:val="24"/>
          <w:lang w:val="zh-CN" w:eastAsia="zh-CN"/>
        </w:rPr>
        <w:t>资格证明文件（详见第七章“投标文件格式”中资格证明文件组成，如采购人已组织过项目资格预审的，投标人无需再提交资格证明文件）</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第二部分  </w:t>
      </w:r>
      <w:r>
        <w:rPr>
          <w:rFonts w:hint="eastAsia" w:ascii="宋体" w:hAnsi="宋体" w:eastAsia="宋体" w:cs="宋体"/>
          <w:sz w:val="24"/>
          <w:szCs w:val="24"/>
          <w:lang w:val="zh-CN" w:eastAsia="zh-CN"/>
        </w:rPr>
        <w:t>商务文件（详见第七章“投标文件格式”中商务文件组成）</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rPr>
        <w:t xml:space="preserve">第三部分  </w:t>
      </w:r>
      <w:r>
        <w:rPr>
          <w:rFonts w:hint="eastAsia" w:ascii="宋体" w:hAnsi="宋体" w:eastAsia="宋体" w:cs="宋体"/>
          <w:sz w:val="24"/>
          <w:szCs w:val="24"/>
          <w:lang w:val="zh-CN" w:eastAsia="zh-CN"/>
        </w:rPr>
        <w:t>技术、服务文件（详见第七章“投标文件格式”中技术、服务文件组成）</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投标文件编制</w:t>
      </w:r>
    </w:p>
    <w:p>
      <w:pPr>
        <w:numPr>
          <w:ilvl w:val="0"/>
          <w:numId w:val="1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如</w:t>
      </w:r>
      <w:r>
        <w:rPr>
          <w:rFonts w:hint="eastAsia" w:ascii="宋体" w:hAnsi="宋体" w:eastAsia="宋体" w:cs="宋体"/>
          <w:sz w:val="24"/>
          <w:szCs w:val="24"/>
          <w:lang w:val="zh-CN" w:eastAsia="zh-CN"/>
        </w:rPr>
        <w:t>招标文件有分包要求，投标人对招标文件中多个包进行投标的，其投标文件的编制应按每包要求分别装订和封装</w:t>
      </w:r>
      <w:r>
        <w:rPr>
          <w:rFonts w:hint="eastAsia" w:ascii="宋体" w:hAnsi="宋体" w:eastAsia="宋体" w:cs="宋体"/>
          <w:sz w:val="24"/>
          <w:szCs w:val="24"/>
          <w:lang w:val="zh-CN"/>
        </w:rPr>
        <w:t>，并注明对应包号</w:t>
      </w:r>
      <w:r>
        <w:rPr>
          <w:rFonts w:hint="eastAsia" w:ascii="宋体" w:hAnsi="宋体" w:eastAsia="宋体" w:cs="宋体"/>
          <w:sz w:val="24"/>
          <w:szCs w:val="24"/>
          <w:lang w:val="zh-CN" w:eastAsia="zh-CN"/>
        </w:rPr>
        <w:t>。</w:t>
      </w:r>
    </w:p>
    <w:p>
      <w:pPr>
        <w:numPr>
          <w:ilvl w:val="0"/>
          <w:numId w:val="1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投标人应当对投标文件进行装订，对未经装订的投标书可能发生的文件散落或缺损，由此产生的后果及责任由投标人自行承担。</w:t>
      </w:r>
    </w:p>
    <w:p>
      <w:pPr>
        <w:numPr>
          <w:ilvl w:val="0"/>
          <w:numId w:val="1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投标人应按照招标文件第七章“</w:t>
      </w:r>
      <w:r>
        <w:rPr>
          <w:rFonts w:hint="eastAsia" w:ascii="宋体" w:hAnsi="宋体" w:eastAsia="宋体" w:cs="宋体"/>
          <w:sz w:val="24"/>
          <w:szCs w:val="24"/>
          <w:lang w:val="zh-CN" w:eastAsia="zh-CN"/>
        </w:rPr>
        <w:t>投标文件格式</w:t>
      </w:r>
      <w:r>
        <w:rPr>
          <w:rFonts w:hint="eastAsia" w:ascii="宋体" w:hAnsi="宋体" w:eastAsia="宋体" w:cs="宋体"/>
          <w:sz w:val="24"/>
          <w:szCs w:val="24"/>
          <w:lang w:val="zh-CN"/>
        </w:rPr>
        <w:t>”提供的《投标书》、《开标一览表》、《投标报价明细表》、《法定代表人授权书》等格式、要求、规定来编制投标文件。</w:t>
      </w:r>
    </w:p>
    <w:p>
      <w:pPr>
        <w:numPr>
          <w:ilvl w:val="0"/>
          <w:numId w:val="10"/>
        </w:numPr>
        <w:spacing w:line="360" w:lineRule="auto"/>
        <w:ind w:left="616" w:hanging="616"/>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投标人应对投标文件中所提供资料的真实性负责，如有虚假，将依法承担相应责任。投标人应自觉接受</w:t>
      </w:r>
      <w:r>
        <w:rPr>
          <w:rFonts w:hint="eastAsia" w:ascii="宋体" w:hAnsi="宋体" w:eastAsia="宋体" w:cs="宋体"/>
          <w:sz w:val="24"/>
          <w:szCs w:val="20"/>
          <w:lang w:val="zh-CN" w:eastAsia="zh-CN"/>
        </w:rPr>
        <w:t>采购代理机构</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对其中任何资料进一步核实的要求。</w:t>
      </w:r>
    </w:p>
    <w:p>
      <w:pPr>
        <w:numPr>
          <w:ilvl w:val="0"/>
          <w:numId w:val="1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因投标人投标文件填报的内容不详，或没有提供招标文件中所要求的全部资料及数据等，由此产生的后果及责任由投标人自行承担。</w:t>
      </w:r>
    </w:p>
    <w:p>
      <w:pPr>
        <w:numPr>
          <w:ilvl w:val="0"/>
          <w:numId w:val="1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投标文件用纸应统一为A4规格（图纸除外）。</w:t>
      </w:r>
    </w:p>
    <w:p>
      <w:pPr>
        <w:numPr>
          <w:ilvl w:val="0"/>
          <w:numId w:val="10"/>
        </w:numPr>
        <w:spacing w:line="360" w:lineRule="auto"/>
        <w:ind w:left="616" w:hanging="616"/>
        <w:rPr>
          <w:rFonts w:hint="eastAsia" w:ascii="宋体" w:hAnsi="宋体" w:eastAsia="宋体" w:cs="宋体"/>
          <w:b/>
          <w:sz w:val="24"/>
          <w:szCs w:val="24"/>
          <w:lang w:val="zh-CN"/>
        </w:rPr>
      </w:pPr>
      <w:r>
        <w:rPr>
          <w:rFonts w:hint="eastAsia" w:ascii="宋体" w:hAnsi="宋体" w:eastAsia="宋体" w:cs="宋体"/>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宋体"/>
          <w:b/>
          <w:sz w:val="24"/>
          <w:szCs w:val="20"/>
          <w:lang w:val="zh-CN" w:eastAsia="zh-CN"/>
        </w:rPr>
        <w:t>各部分文件及内容详见第七章“投标文件格式”要求。</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投标报价</w:t>
      </w:r>
    </w:p>
    <w:p>
      <w:pPr>
        <w:numPr>
          <w:ilvl w:val="0"/>
          <w:numId w:val="11"/>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投标人所提供的货物（工程或服务）均以人民币计价。</w:t>
      </w:r>
    </w:p>
    <w:p>
      <w:pPr>
        <w:numPr>
          <w:ilvl w:val="0"/>
          <w:numId w:val="11"/>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1"/>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《投标报价明细表》填写时应响应下列要求：</w:t>
      </w:r>
    </w:p>
    <w:p>
      <w:pPr>
        <w:numPr>
          <w:ilvl w:val="0"/>
          <w:numId w:val="12"/>
        </w:numPr>
        <w:spacing w:line="360" w:lineRule="auto"/>
        <w:ind w:left="980" w:hanging="854"/>
        <w:rPr>
          <w:rFonts w:hint="eastAsia" w:ascii="宋体" w:hAnsi="宋体" w:eastAsia="宋体" w:cs="宋体"/>
          <w:sz w:val="24"/>
          <w:szCs w:val="24"/>
          <w:lang w:val="zh-CN" w:eastAsia="zh-CN"/>
        </w:rPr>
      </w:pPr>
      <w:r>
        <w:rPr>
          <w:rFonts w:hint="eastAsia" w:ascii="宋体" w:hAnsi="宋体" w:eastAsia="宋体" w:cs="宋体"/>
          <w:sz w:val="24"/>
        </w:rPr>
        <w:t>应包括所有根据合同或其他原因由投标人支付的款项、费用</w:t>
      </w:r>
      <w:r>
        <w:rPr>
          <w:rFonts w:hint="eastAsia" w:ascii="宋体" w:hAnsi="宋体" w:eastAsia="宋体" w:cs="宋体"/>
          <w:sz w:val="24"/>
          <w:szCs w:val="24"/>
          <w:lang w:val="zh-CN" w:eastAsia="zh-CN"/>
        </w:rPr>
        <w:t>；</w:t>
      </w:r>
    </w:p>
    <w:p>
      <w:pPr>
        <w:numPr>
          <w:ilvl w:val="0"/>
          <w:numId w:val="12"/>
        </w:numPr>
        <w:spacing w:line="360" w:lineRule="auto"/>
        <w:ind w:left="980" w:hanging="854"/>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应包含货物运至最终目的地的运输、保险和伴随货物</w:t>
      </w:r>
      <w:r>
        <w:rPr>
          <w:rFonts w:hint="eastAsia" w:ascii="宋体" w:hAnsi="宋体" w:eastAsia="宋体" w:cs="宋体"/>
          <w:sz w:val="24"/>
          <w:szCs w:val="24"/>
          <w:lang w:val="zh-CN"/>
        </w:rPr>
        <w:t>（工程或服务）</w:t>
      </w:r>
      <w:r>
        <w:rPr>
          <w:rFonts w:hint="eastAsia" w:ascii="宋体" w:hAnsi="宋体" w:eastAsia="宋体" w:cs="宋体"/>
          <w:sz w:val="24"/>
          <w:szCs w:val="24"/>
          <w:lang w:val="zh-CN" w:eastAsia="zh-CN"/>
        </w:rPr>
        <w:t>的有关费用；</w:t>
      </w:r>
    </w:p>
    <w:p>
      <w:pPr>
        <w:numPr>
          <w:ilvl w:val="0"/>
          <w:numId w:val="12"/>
        </w:numPr>
        <w:spacing w:line="360" w:lineRule="auto"/>
        <w:ind w:left="980" w:hanging="854"/>
        <w:rPr>
          <w:rFonts w:hint="eastAsia" w:ascii="宋体" w:hAnsi="宋体" w:eastAsia="宋体" w:cs="宋体"/>
          <w:sz w:val="24"/>
          <w:szCs w:val="24"/>
          <w:lang w:val="zh-CN"/>
        </w:rPr>
      </w:pPr>
      <w:r>
        <w:rPr>
          <w:rFonts w:hint="eastAsia" w:ascii="宋体" w:hAnsi="宋体" w:eastAsia="宋体" w:cs="宋体"/>
          <w:sz w:val="24"/>
          <w:szCs w:val="24"/>
          <w:lang w:val="zh-CN"/>
        </w:rPr>
        <w:t>应</w:t>
      </w:r>
      <w:r>
        <w:rPr>
          <w:rFonts w:hint="eastAsia" w:ascii="宋体" w:hAnsi="宋体" w:eastAsia="宋体" w:cs="宋体"/>
          <w:sz w:val="24"/>
          <w:szCs w:val="24"/>
          <w:lang w:val="zh-CN" w:eastAsia="zh-CN"/>
        </w:rPr>
        <w:t>详细</w:t>
      </w:r>
      <w:r>
        <w:rPr>
          <w:rFonts w:hint="eastAsia" w:ascii="宋体" w:hAnsi="宋体" w:eastAsia="宋体" w:cs="宋体"/>
          <w:sz w:val="24"/>
          <w:szCs w:val="24"/>
          <w:lang w:val="zh-CN"/>
        </w:rPr>
        <w:t>提供</w:t>
      </w:r>
      <w:r>
        <w:rPr>
          <w:rFonts w:hint="eastAsia" w:ascii="宋体" w:hAnsi="宋体" w:eastAsia="宋体" w:cs="宋体"/>
          <w:sz w:val="24"/>
          <w:szCs w:val="24"/>
          <w:lang w:val="zh-CN" w:eastAsia="zh-CN"/>
        </w:rPr>
        <w:t>《投标报价明细表》和《投标货物、服务清单》等内容，</w:t>
      </w:r>
      <w:r>
        <w:rPr>
          <w:rFonts w:hint="eastAsia" w:ascii="宋体" w:hAnsi="宋体" w:eastAsia="宋体" w:cs="宋体"/>
          <w:sz w:val="24"/>
          <w:szCs w:val="24"/>
          <w:lang w:val="zh-CN"/>
        </w:rPr>
        <w:t>否则按照</w:t>
      </w:r>
      <w:r>
        <w:rPr>
          <w:rFonts w:hint="eastAsia" w:ascii="宋体" w:hAnsi="宋体" w:eastAsia="宋体" w:cs="宋体"/>
          <w:b/>
          <w:sz w:val="24"/>
          <w:szCs w:val="24"/>
          <w:lang w:val="zh-CN" w:eastAsia="zh-CN"/>
        </w:rPr>
        <w:t>无效投标</w:t>
      </w:r>
      <w:r>
        <w:rPr>
          <w:rFonts w:hint="eastAsia" w:ascii="宋体" w:hAnsi="宋体" w:eastAsia="宋体" w:cs="宋体"/>
          <w:b/>
          <w:sz w:val="24"/>
          <w:szCs w:val="24"/>
          <w:lang w:val="zh-CN"/>
        </w:rPr>
        <w:t>处理。</w:t>
      </w:r>
    </w:p>
    <w:p>
      <w:pPr>
        <w:numPr>
          <w:ilvl w:val="0"/>
          <w:numId w:val="11"/>
        </w:numPr>
        <w:spacing w:line="360" w:lineRule="auto"/>
        <w:ind w:left="616" w:hanging="616"/>
        <w:rPr>
          <w:rFonts w:hint="eastAsia" w:ascii="宋体" w:hAnsi="宋体" w:eastAsia="宋体" w:cs="宋体"/>
          <w:sz w:val="24"/>
          <w:szCs w:val="24"/>
          <w:lang w:val="zh-CN" w:eastAsia="zh-CN"/>
        </w:rPr>
      </w:pPr>
      <w:r>
        <w:rPr>
          <w:rFonts w:hint="eastAsia" w:ascii="宋体" w:hAnsi="宋体" w:eastAsia="宋体" w:cs="宋体"/>
          <w:sz w:val="24"/>
          <w:szCs w:val="24"/>
          <w:lang w:val="zh-CN"/>
        </w:rPr>
        <w:t>每一种规格的货物（工程或服务）只允许有一个报价</w:t>
      </w:r>
      <w:r>
        <w:rPr>
          <w:rFonts w:hint="eastAsia" w:ascii="宋体" w:hAnsi="宋体" w:eastAsia="宋体" w:cs="宋体"/>
          <w:sz w:val="24"/>
          <w:szCs w:val="24"/>
          <w:lang w:val="zh-CN" w:eastAsia="zh-CN"/>
        </w:rPr>
        <w:t>，否则</w:t>
      </w:r>
      <w:r>
        <w:rPr>
          <w:rFonts w:hint="eastAsia" w:ascii="宋体" w:hAnsi="宋体" w:eastAsia="宋体" w:cs="宋体"/>
          <w:sz w:val="24"/>
          <w:szCs w:val="24"/>
          <w:lang w:val="zh-CN"/>
        </w:rPr>
        <w:t>按照</w:t>
      </w:r>
      <w:r>
        <w:rPr>
          <w:rFonts w:hint="eastAsia" w:ascii="宋体" w:hAnsi="宋体" w:eastAsia="宋体" w:cs="宋体"/>
          <w:b/>
          <w:sz w:val="24"/>
          <w:szCs w:val="24"/>
          <w:lang w:val="zh-CN" w:eastAsia="zh-CN"/>
        </w:rPr>
        <w:t>无效投标</w:t>
      </w:r>
      <w:r>
        <w:rPr>
          <w:rFonts w:hint="eastAsia" w:ascii="宋体" w:hAnsi="宋体" w:eastAsia="宋体" w:cs="宋体"/>
          <w:b/>
          <w:sz w:val="24"/>
          <w:szCs w:val="24"/>
          <w:lang w:val="zh-CN"/>
        </w:rPr>
        <w:t>处理</w:t>
      </w:r>
      <w:r>
        <w:rPr>
          <w:rFonts w:hint="eastAsia" w:ascii="宋体" w:hAnsi="宋体" w:eastAsia="宋体" w:cs="宋体"/>
          <w:sz w:val="24"/>
          <w:szCs w:val="24"/>
          <w:lang w:val="zh-CN" w:eastAsia="zh-CN"/>
        </w:rPr>
        <w:t>。</w:t>
      </w:r>
    </w:p>
    <w:p>
      <w:pPr>
        <w:numPr>
          <w:ilvl w:val="0"/>
          <w:numId w:val="11"/>
        </w:numPr>
        <w:spacing w:line="360" w:lineRule="auto"/>
        <w:ind w:left="616" w:hanging="616"/>
        <w:rPr>
          <w:rFonts w:hint="eastAsia" w:ascii="宋体" w:hAnsi="宋体" w:eastAsia="宋体" w:cs="宋体"/>
          <w:sz w:val="24"/>
          <w:szCs w:val="24"/>
          <w:lang w:val="zh-CN" w:eastAsia="zh-CN"/>
        </w:rPr>
      </w:pPr>
      <w:r>
        <w:rPr>
          <w:rFonts w:hint="eastAsia" w:ascii="宋体" w:hAnsi="宋体" w:eastAsia="宋体" w:cs="宋体"/>
          <w:sz w:val="24"/>
          <w:szCs w:val="24"/>
          <w:lang w:val="zh-CN"/>
        </w:rPr>
        <w:t>投标人的投标总报价在合同执行过程中是固定不变的</w:t>
      </w:r>
      <w:r>
        <w:rPr>
          <w:rFonts w:hint="eastAsia" w:ascii="宋体" w:hAnsi="宋体" w:eastAsia="宋体" w:cs="宋体"/>
          <w:sz w:val="24"/>
          <w:szCs w:val="24"/>
          <w:lang w:val="zh-CN" w:eastAsia="zh-CN"/>
        </w:rPr>
        <w:t>，不得以任何理由予以变更。故投标人的投标</w:t>
      </w:r>
      <w:r>
        <w:rPr>
          <w:rFonts w:hint="eastAsia" w:ascii="宋体" w:hAnsi="宋体" w:eastAsia="宋体" w:cs="宋体"/>
          <w:sz w:val="24"/>
          <w:szCs w:val="24"/>
          <w:lang w:val="zh-CN"/>
        </w:rPr>
        <w:t>总</w:t>
      </w:r>
      <w:r>
        <w:rPr>
          <w:rFonts w:hint="eastAsia" w:ascii="宋体" w:hAnsi="宋体" w:eastAsia="宋体" w:cs="宋体"/>
          <w:sz w:val="24"/>
          <w:szCs w:val="24"/>
          <w:lang w:val="zh-CN" w:eastAsia="zh-CN"/>
        </w:rPr>
        <w:t>报价应包含本招标内容全部工作所需的一切费用，即投标总报价为“交钥匙”价。对在合同实施过程中可能发生的其它费用（如：增加耗材、材料涨价、人工、运输成本增加等因素），采购人不予支付。</w:t>
      </w:r>
    </w:p>
    <w:p>
      <w:pPr>
        <w:numPr>
          <w:ilvl w:val="0"/>
          <w:numId w:val="11"/>
        </w:numPr>
        <w:spacing w:line="360" w:lineRule="auto"/>
        <w:ind w:left="616" w:hanging="616"/>
        <w:rPr>
          <w:rFonts w:hint="eastAsia" w:ascii="宋体" w:hAnsi="宋体" w:eastAsia="宋体" w:cs="宋体"/>
          <w:sz w:val="24"/>
          <w:szCs w:val="24"/>
          <w:lang w:val="zh-CN" w:eastAsia="zh-CN"/>
        </w:rPr>
      </w:pPr>
      <w:r>
        <w:rPr>
          <w:rFonts w:hint="eastAsia" w:ascii="宋体" w:hAnsi="宋体" w:eastAsia="宋体" w:cs="宋体"/>
          <w:sz w:val="24"/>
          <w:szCs w:val="24"/>
          <w:lang w:val="zh-CN"/>
        </w:rPr>
        <w:t>对于招标文件未列明</w:t>
      </w:r>
      <w:r>
        <w:rPr>
          <w:rFonts w:hint="eastAsia" w:ascii="宋体" w:hAnsi="宋体" w:eastAsia="宋体" w:cs="宋体"/>
          <w:sz w:val="24"/>
          <w:szCs w:val="24"/>
          <w:lang w:val="zh-CN" w:eastAsia="zh-CN"/>
        </w:rPr>
        <w:t>，而投标人认为必需的费用也需列入其投标总价。在合同实施时，采购人将不予支付投标人没有列入的项目费用，并认为此项目的费用已包括在其投标总价中。</w:t>
      </w:r>
    </w:p>
    <w:p>
      <w:pPr>
        <w:numPr>
          <w:ilvl w:val="0"/>
          <w:numId w:val="11"/>
        </w:numPr>
        <w:spacing w:line="360" w:lineRule="auto"/>
        <w:ind w:left="616" w:hanging="616"/>
        <w:rPr>
          <w:rFonts w:hint="eastAsia" w:ascii="宋体" w:hAnsi="宋体" w:eastAsia="宋体" w:cs="宋体"/>
          <w:sz w:val="24"/>
          <w:szCs w:val="24"/>
          <w:lang w:val="zh-CN" w:eastAsia="zh-CN"/>
        </w:rPr>
      </w:pPr>
      <w:r>
        <w:rPr>
          <w:rFonts w:hint="eastAsia" w:ascii="宋体" w:hAnsi="宋体" w:eastAsia="宋体" w:cs="宋体"/>
          <w:sz w:val="24"/>
          <w:szCs w:val="24"/>
          <w:lang w:val="zh-CN"/>
        </w:rPr>
        <w:t>投标人应对项目招标范围内的全部内容进行报价</w:t>
      </w:r>
      <w:r>
        <w:rPr>
          <w:rFonts w:hint="eastAsia" w:ascii="宋体" w:hAnsi="宋体" w:eastAsia="宋体" w:cs="宋体"/>
          <w:sz w:val="24"/>
          <w:szCs w:val="24"/>
          <w:lang w:val="zh-CN" w:eastAsia="zh-CN"/>
        </w:rPr>
        <w:t>，不得缺</w:t>
      </w:r>
      <w:r>
        <w:rPr>
          <w:rFonts w:hint="eastAsia" w:ascii="宋体" w:hAnsi="宋体" w:eastAsia="宋体" w:cs="宋体"/>
          <w:sz w:val="24"/>
          <w:szCs w:val="24"/>
          <w:lang w:val="zh-CN"/>
        </w:rPr>
        <w:t>、漏</w:t>
      </w:r>
      <w:r>
        <w:rPr>
          <w:rFonts w:hint="eastAsia" w:ascii="宋体" w:hAnsi="宋体" w:eastAsia="宋体" w:cs="宋体"/>
          <w:sz w:val="24"/>
          <w:szCs w:val="24"/>
          <w:lang w:val="zh-CN" w:eastAsia="zh-CN"/>
        </w:rPr>
        <w:t>项或只投其中的部分内容</w:t>
      </w:r>
      <w:r>
        <w:rPr>
          <w:rFonts w:hint="eastAsia" w:ascii="宋体" w:hAnsi="宋体" w:eastAsia="宋体" w:cs="宋体"/>
          <w:sz w:val="24"/>
          <w:szCs w:val="24"/>
          <w:lang w:val="zh-CN"/>
        </w:rPr>
        <w:t>的</w:t>
      </w:r>
      <w:r>
        <w:rPr>
          <w:rFonts w:hint="eastAsia" w:ascii="宋体" w:hAnsi="宋体" w:eastAsia="宋体" w:cs="宋体"/>
          <w:sz w:val="24"/>
          <w:szCs w:val="24"/>
          <w:lang w:val="zh-CN" w:eastAsia="zh-CN"/>
        </w:rPr>
        <w:t>，否则</w:t>
      </w:r>
      <w:r>
        <w:rPr>
          <w:rFonts w:hint="eastAsia" w:ascii="宋体" w:hAnsi="宋体" w:eastAsia="宋体" w:cs="宋体"/>
          <w:sz w:val="24"/>
          <w:szCs w:val="24"/>
          <w:lang w:val="zh-CN"/>
        </w:rPr>
        <w:t>按照</w:t>
      </w:r>
      <w:r>
        <w:rPr>
          <w:rFonts w:hint="eastAsia" w:ascii="宋体" w:hAnsi="宋体" w:eastAsia="宋体" w:cs="宋体"/>
          <w:b/>
          <w:sz w:val="24"/>
          <w:szCs w:val="24"/>
          <w:lang w:val="zh-CN" w:eastAsia="zh-CN"/>
        </w:rPr>
        <w:t>无效投标</w:t>
      </w:r>
      <w:r>
        <w:rPr>
          <w:rFonts w:hint="eastAsia" w:ascii="宋体" w:hAnsi="宋体" w:eastAsia="宋体" w:cs="宋体"/>
          <w:b/>
          <w:sz w:val="24"/>
          <w:szCs w:val="24"/>
          <w:lang w:val="zh-CN"/>
        </w:rPr>
        <w:t>处理</w:t>
      </w:r>
      <w:r>
        <w:rPr>
          <w:rFonts w:hint="eastAsia" w:ascii="宋体" w:hAnsi="宋体" w:eastAsia="宋体" w:cs="宋体"/>
          <w:sz w:val="24"/>
          <w:szCs w:val="24"/>
          <w:lang w:val="zh-CN" w:eastAsia="zh-CN"/>
        </w:rPr>
        <w:t>。</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备选方案</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只允许投标人提供一个投标方案</w:t>
      </w:r>
      <w:r>
        <w:rPr>
          <w:rFonts w:hint="eastAsia" w:ascii="宋体" w:hAnsi="宋体" w:eastAsia="宋体" w:cs="宋体"/>
          <w:sz w:val="24"/>
          <w:szCs w:val="24"/>
          <w:lang w:val="zh-CN"/>
        </w:rPr>
        <w:t>（招标文件中要求提供备选方案的除外）</w:t>
      </w:r>
      <w:r>
        <w:rPr>
          <w:rFonts w:hint="eastAsia" w:ascii="宋体" w:hAnsi="宋体" w:eastAsia="宋体" w:cs="宋体"/>
          <w:sz w:val="24"/>
          <w:szCs w:val="24"/>
          <w:lang w:val="zh-CN" w:eastAsia="zh-CN"/>
        </w:rPr>
        <w:t>，否则</w:t>
      </w:r>
      <w:r>
        <w:rPr>
          <w:rFonts w:hint="eastAsia" w:ascii="宋体" w:hAnsi="宋体" w:eastAsia="宋体" w:cs="宋体"/>
          <w:sz w:val="24"/>
          <w:szCs w:val="24"/>
          <w:lang w:val="zh-CN"/>
        </w:rPr>
        <w:t>按照</w:t>
      </w:r>
      <w:r>
        <w:rPr>
          <w:rFonts w:hint="eastAsia" w:ascii="宋体" w:hAnsi="宋体" w:eastAsia="宋体" w:cs="宋体"/>
          <w:b/>
          <w:sz w:val="24"/>
          <w:szCs w:val="24"/>
          <w:lang w:val="zh-CN" w:eastAsia="zh-CN"/>
        </w:rPr>
        <w:t>无效投标</w:t>
      </w:r>
      <w:r>
        <w:rPr>
          <w:rFonts w:hint="eastAsia" w:ascii="宋体" w:hAnsi="宋体" w:eastAsia="宋体" w:cs="宋体"/>
          <w:b/>
          <w:sz w:val="24"/>
          <w:szCs w:val="24"/>
          <w:lang w:val="zh-CN"/>
        </w:rPr>
        <w:t>处理</w:t>
      </w:r>
      <w:r>
        <w:rPr>
          <w:rFonts w:hint="eastAsia" w:ascii="宋体" w:hAnsi="宋体" w:eastAsia="宋体" w:cs="宋体"/>
          <w:sz w:val="24"/>
          <w:szCs w:val="24"/>
          <w:lang w:val="zh-CN" w:eastAsia="zh-CN"/>
        </w:rPr>
        <w:t>。</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rPr>
        <w:t>中标后分包</w:t>
      </w:r>
    </w:p>
    <w:p>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招标文件规定项目非主体、非关键性工作</w:t>
      </w:r>
      <w:r>
        <w:rPr>
          <w:rFonts w:hint="eastAsia" w:ascii="宋体" w:hAnsi="宋体" w:eastAsia="宋体" w:cs="宋体"/>
          <w:sz w:val="24"/>
          <w:szCs w:val="24"/>
          <w:lang w:val="zh-CN"/>
        </w:rPr>
        <w:t>中标后</w:t>
      </w:r>
      <w:r>
        <w:rPr>
          <w:rFonts w:hint="eastAsia" w:ascii="宋体" w:hAnsi="宋体" w:eastAsia="宋体" w:cs="宋体"/>
          <w:sz w:val="24"/>
          <w:szCs w:val="24"/>
          <w:lang w:val="zh-CN" w:eastAsia="zh-CN"/>
        </w:rPr>
        <w:t>可以分包的，投标人拟在中标后将项目的非主体、非关键性工作分包，应当在投标文件中载明具备相应资质条件的分包承担主体，分包承担主体不得再次分包。</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联合体投标</w:t>
      </w:r>
    </w:p>
    <w:p>
      <w:pPr>
        <w:numPr>
          <w:ilvl w:val="0"/>
          <w:numId w:val="13"/>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两个及以上供应商可以组成一个联合体，以一个投标人的身份共同参与投标。</w:t>
      </w:r>
    </w:p>
    <w:p>
      <w:pPr>
        <w:numPr>
          <w:ilvl w:val="0"/>
          <w:numId w:val="13"/>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采取联合体形式投标的，联合体各方均应当符合政府采购法第二十二条第一款规定的条件。联合体的主体应完全满足项目投标人资格要求。</w:t>
      </w:r>
    </w:p>
    <w:p>
      <w:pPr>
        <w:numPr>
          <w:ilvl w:val="0"/>
          <w:numId w:val="13"/>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联合体各方之间应签订联合投标协议，明确约定联合体主体及各方承担的工作和相应的责任，其投标文件中应提供联合投标协议。</w:t>
      </w:r>
    </w:p>
    <w:p>
      <w:pPr>
        <w:numPr>
          <w:ilvl w:val="0"/>
          <w:numId w:val="13"/>
        </w:numPr>
        <w:spacing w:line="360" w:lineRule="auto"/>
        <w:ind w:left="616" w:hanging="616"/>
        <w:rPr>
          <w:rFonts w:hint="eastAsia" w:ascii="宋体" w:hAnsi="宋体" w:eastAsia="宋体" w:cs="宋体"/>
          <w:sz w:val="21"/>
          <w:szCs w:val="21"/>
          <w:lang w:val="zh-CN"/>
        </w:rPr>
      </w:pPr>
      <w:r>
        <w:rPr>
          <w:rFonts w:hint="eastAsia" w:ascii="宋体" w:hAnsi="宋体" w:eastAsia="宋体" w:cs="宋体"/>
          <w:sz w:val="21"/>
          <w:szCs w:val="21"/>
          <w:lang w:val="zh-CN"/>
        </w:rPr>
        <w:t>以联合体形式参加政府采购活动的，联合体各方不得再单独参加或者与其他供应商另外组成联合体参加同一合同项下的政府采购活动。</w:t>
      </w:r>
    </w:p>
    <w:p>
      <w:pPr>
        <w:numPr>
          <w:ilvl w:val="0"/>
          <w:numId w:val="13"/>
        </w:numPr>
        <w:spacing w:line="360" w:lineRule="auto"/>
        <w:ind w:left="616" w:hanging="616"/>
        <w:rPr>
          <w:rFonts w:hint="eastAsia" w:ascii="宋体" w:hAnsi="宋体" w:eastAsia="宋体" w:cs="宋体"/>
          <w:sz w:val="21"/>
          <w:szCs w:val="21"/>
          <w:lang w:val="zh-CN"/>
        </w:rPr>
      </w:pPr>
      <w:r>
        <w:rPr>
          <w:rFonts w:hint="eastAsia" w:ascii="宋体" w:hAnsi="宋体" w:eastAsia="宋体" w:cs="宋体"/>
          <w:sz w:val="21"/>
          <w:szCs w:val="21"/>
          <w:lang w:val="zh-CN"/>
        </w:rPr>
        <w:t>采取联合体形式投标的，其投标文件应由联合体所有成员或其各自正式书面授权的代表签署（盖章），以便对所有成员作为整体及作为个体均具有法律约束力。</w:t>
      </w:r>
    </w:p>
    <w:p>
      <w:pPr>
        <w:numPr>
          <w:ilvl w:val="0"/>
          <w:numId w:val="13"/>
        </w:numPr>
        <w:spacing w:line="360" w:lineRule="auto"/>
        <w:ind w:left="616" w:hanging="616"/>
        <w:rPr>
          <w:rFonts w:hint="eastAsia" w:ascii="宋体" w:hAnsi="宋体" w:eastAsia="宋体" w:cs="宋体"/>
          <w:sz w:val="21"/>
          <w:szCs w:val="21"/>
          <w:lang w:val="zh-CN"/>
        </w:rPr>
      </w:pPr>
      <w:r>
        <w:rPr>
          <w:rFonts w:hint="eastAsia" w:ascii="宋体" w:hAnsi="宋体" w:eastAsia="宋体" w:cs="宋体"/>
          <w:sz w:val="21"/>
          <w:szCs w:val="21"/>
          <w:lang w:val="zh-CN"/>
        </w:rPr>
        <w:t>采取联合体形式投标的，项目评审时只对联合体主体进行评议。</w:t>
      </w:r>
    </w:p>
    <w:p>
      <w:pPr>
        <w:numPr>
          <w:ilvl w:val="0"/>
          <w:numId w:val="13"/>
        </w:numPr>
        <w:spacing w:line="360" w:lineRule="auto"/>
        <w:ind w:left="616" w:hanging="616"/>
        <w:rPr>
          <w:rFonts w:hint="eastAsia" w:ascii="宋体" w:hAnsi="宋体" w:eastAsia="宋体" w:cs="宋体"/>
          <w:sz w:val="21"/>
          <w:szCs w:val="21"/>
          <w:lang w:val="zh-CN"/>
        </w:rPr>
      </w:pPr>
      <w:r>
        <w:rPr>
          <w:rFonts w:hint="eastAsia" w:ascii="宋体" w:hAnsi="宋体" w:eastAsia="宋体" w:cs="宋体"/>
          <w:sz w:val="21"/>
          <w:szCs w:val="21"/>
          <w:lang w:val="zh-CN"/>
        </w:rPr>
        <w:t>联合体中标的，联合体各方应当共同与采购人</w:t>
      </w:r>
      <w:r>
        <w:rPr>
          <w:rFonts w:hint="eastAsia" w:ascii="宋体" w:hAnsi="宋体" w:eastAsia="宋体" w:cs="宋体"/>
          <w:color w:val="0D0D0D" w:themeColor="text1" w:themeTint="F2"/>
          <w:sz w:val="21"/>
          <w:szCs w:val="21"/>
          <w:lang w:val="zh-CN"/>
          <w14:textFill>
            <w14:solidFill>
              <w14:schemeClr w14:val="tx1">
                <w14:lumMod w14:val="95000"/>
                <w14:lumOff w14:val="5000"/>
              </w14:schemeClr>
            </w14:solidFill>
          </w14:textFill>
        </w:rPr>
        <w:t>签订采购合同，</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就采购合同约定的事项对采购人承担连带责任，</w:t>
      </w:r>
      <w:r>
        <w:rPr>
          <w:rFonts w:hint="eastAsia" w:ascii="宋体" w:hAnsi="宋体" w:eastAsia="宋体" w:cs="宋体"/>
          <w:color w:val="0D0D0D" w:themeColor="text1" w:themeTint="F2"/>
          <w:sz w:val="21"/>
          <w:szCs w:val="21"/>
          <w:lang w:val="zh-CN"/>
          <w14:textFill>
            <w14:solidFill>
              <w14:schemeClr w14:val="tx1">
                <w14:lumMod w14:val="95000"/>
                <w14:lumOff w14:val="5000"/>
              </w14:schemeClr>
            </w14:solidFill>
          </w14:textFill>
        </w:rPr>
        <w:t>联合体主体单位负主要</w:t>
      </w:r>
      <w:r>
        <w:rPr>
          <w:rFonts w:hint="eastAsia" w:ascii="宋体" w:hAnsi="宋体" w:eastAsia="宋体" w:cs="宋体"/>
          <w:sz w:val="21"/>
          <w:szCs w:val="21"/>
          <w:lang w:val="zh-CN"/>
        </w:rPr>
        <w:t>责任。</w:t>
      </w:r>
    </w:p>
    <w:p>
      <w:pPr>
        <w:numPr>
          <w:ilvl w:val="0"/>
          <w:numId w:val="13"/>
        </w:numPr>
        <w:spacing w:line="360" w:lineRule="auto"/>
        <w:ind w:left="616" w:hanging="616"/>
        <w:rPr>
          <w:rFonts w:hint="eastAsia" w:ascii="宋体" w:hAnsi="宋体" w:eastAsia="宋体" w:cs="宋体"/>
          <w:sz w:val="21"/>
          <w:szCs w:val="21"/>
          <w:lang w:val="zh-CN"/>
        </w:rPr>
      </w:pPr>
      <w:r>
        <w:rPr>
          <w:rFonts w:hint="eastAsia" w:ascii="宋体" w:hAnsi="宋体" w:eastAsia="宋体" w:cs="宋体"/>
          <w:sz w:val="21"/>
          <w:szCs w:val="21"/>
          <w:lang w:val="zh-CN"/>
        </w:rPr>
        <w:t>联合体中有同类资质的供应商按照联合体分工承担相同工作的，应当按照资质等级较低的供应商确定资质等级。</w:t>
      </w:r>
    </w:p>
    <w:p>
      <w:pPr>
        <w:numPr>
          <w:ilvl w:val="0"/>
          <w:numId w:val="13"/>
        </w:numPr>
        <w:spacing w:line="360" w:lineRule="auto"/>
        <w:ind w:left="616" w:hanging="616"/>
        <w:rPr>
          <w:rFonts w:hint="eastAsia" w:ascii="宋体" w:hAnsi="宋体" w:eastAsia="宋体" w:cs="宋体"/>
          <w:sz w:val="21"/>
          <w:szCs w:val="21"/>
          <w:lang w:val="zh-CN"/>
        </w:rPr>
      </w:pPr>
      <w:r>
        <w:rPr>
          <w:rFonts w:hint="eastAsia" w:ascii="宋体" w:hAnsi="宋体" w:eastAsia="宋体" w:cs="宋体"/>
          <w:sz w:val="21"/>
          <w:szCs w:val="21"/>
          <w:lang w:val="zh-CN"/>
        </w:rPr>
        <w:t>招标文件第一章“投标人资格要求”中未载明是否接受联合体投标的，视同接受。</w:t>
      </w:r>
    </w:p>
    <w:p>
      <w:pPr>
        <w:numPr>
          <w:ilvl w:val="0"/>
          <w:numId w:val="13"/>
        </w:numPr>
        <w:spacing w:line="360" w:lineRule="auto"/>
        <w:ind w:left="728" w:hanging="728"/>
        <w:rPr>
          <w:rFonts w:hint="eastAsia" w:ascii="宋体" w:hAnsi="宋体" w:eastAsia="宋体" w:cs="宋体"/>
          <w:sz w:val="21"/>
          <w:szCs w:val="21"/>
          <w:lang w:val="zh-CN"/>
        </w:rPr>
      </w:pPr>
      <w:r>
        <w:rPr>
          <w:rFonts w:hint="eastAsia" w:ascii="宋体" w:hAnsi="宋体" w:eastAsia="宋体" w:cs="宋体"/>
          <w:sz w:val="21"/>
          <w:szCs w:val="21"/>
          <w:lang w:val="zh-CN"/>
        </w:rPr>
        <w:t>以联合体形式参与投标的，其价格扣除相关规定详见第五章“评标方法、程序及标准”。</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资格证明文件</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投标人应按本节及</w:t>
      </w:r>
      <w:r>
        <w:rPr>
          <w:rFonts w:hint="eastAsia" w:ascii="宋体" w:hAnsi="宋体" w:eastAsia="宋体" w:cs="宋体"/>
          <w:sz w:val="24"/>
          <w:szCs w:val="24"/>
          <w:lang w:val="zh-CN" w:eastAsia="zh-CN"/>
        </w:rPr>
        <w:t>第四章“资格审查方法及</w:t>
      </w:r>
      <w:r>
        <w:rPr>
          <w:rFonts w:hint="eastAsia" w:ascii="宋体" w:hAnsi="宋体" w:eastAsia="宋体" w:cs="宋体"/>
          <w:sz w:val="24"/>
          <w:szCs w:val="24"/>
          <w:lang w:val="zh-CN"/>
        </w:rPr>
        <w:t>标准</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的要求，提供足以证明其符合项目“投标人资格要求”且中标后有能力履行合同的文件，并作为其投标文件的组成部分。</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资格证明文件应真实、合法，并就此承担相应法律责任。</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资格证明文件正本应为清晰彩色影印件且加盖单位公章，</w:t>
      </w:r>
      <w:r>
        <w:rPr>
          <w:rFonts w:hint="eastAsia" w:ascii="宋体" w:hAnsi="宋体" w:eastAsia="宋体" w:cs="宋体"/>
          <w:sz w:val="24"/>
          <w:szCs w:val="24"/>
          <w:lang w:val="zh-CN" w:eastAsia="zh-CN"/>
        </w:rPr>
        <w:t>否则</w:t>
      </w:r>
      <w:r>
        <w:rPr>
          <w:rFonts w:hint="eastAsia" w:ascii="宋体" w:hAnsi="宋体" w:eastAsia="宋体" w:cs="宋体"/>
          <w:sz w:val="24"/>
          <w:szCs w:val="24"/>
          <w:lang w:val="zh-CN"/>
        </w:rPr>
        <w:t>按照</w:t>
      </w:r>
      <w:r>
        <w:rPr>
          <w:rFonts w:hint="eastAsia" w:ascii="宋体" w:hAnsi="宋体" w:eastAsia="宋体" w:cs="宋体"/>
          <w:b/>
          <w:sz w:val="24"/>
          <w:szCs w:val="24"/>
          <w:lang w:val="zh-CN" w:eastAsia="zh-CN"/>
        </w:rPr>
        <w:t>无效投标</w:t>
      </w:r>
      <w:r>
        <w:rPr>
          <w:rFonts w:hint="eastAsia" w:ascii="宋体" w:hAnsi="宋体" w:eastAsia="宋体" w:cs="宋体"/>
          <w:b/>
          <w:sz w:val="24"/>
          <w:szCs w:val="24"/>
          <w:lang w:val="zh-CN"/>
        </w:rPr>
        <w:t>处理</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副本可为正本的复印件,但应在副本封面加盖单位公章。</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kern w:val="0"/>
          <w:sz w:val="24"/>
          <w:szCs w:val="24"/>
          <w:lang w:val="zh-CN"/>
        </w:rPr>
        <w:t>资格证明文件内容详见</w:t>
      </w:r>
      <w:r>
        <w:rPr>
          <w:rFonts w:hint="eastAsia" w:ascii="宋体" w:hAnsi="宋体" w:eastAsia="宋体" w:cs="宋体"/>
          <w:sz w:val="24"/>
          <w:szCs w:val="24"/>
          <w:lang w:val="zh-CN" w:eastAsia="zh-CN"/>
        </w:rPr>
        <w:t>第四章“资格审查方法及</w:t>
      </w:r>
      <w:r>
        <w:rPr>
          <w:rFonts w:hint="eastAsia" w:ascii="宋体" w:hAnsi="宋体" w:eastAsia="宋体" w:cs="宋体"/>
          <w:sz w:val="24"/>
          <w:szCs w:val="24"/>
          <w:lang w:val="zh-CN"/>
        </w:rPr>
        <w:t>标准</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中资格审查内容</w:t>
      </w:r>
      <w:r>
        <w:rPr>
          <w:rFonts w:hint="eastAsia" w:ascii="宋体" w:hAnsi="宋体" w:eastAsia="宋体" w:cs="宋体"/>
          <w:kern w:val="0"/>
          <w:sz w:val="24"/>
          <w:szCs w:val="24"/>
          <w:lang w:val="zh-CN" w:eastAsia="zh-CN"/>
        </w:rPr>
        <w:t>。</w:t>
      </w:r>
    </w:p>
    <w:p>
      <w:pPr>
        <w:numPr>
          <w:ilvl w:val="0"/>
          <w:numId w:val="14"/>
        </w:numPr>
        <w:spacing w:line="360" w:lineRule="auto"/>
        <w:ind w:left="616" w:hanging="616"/>
        <w:rPr>
          <w:rFonts w:hint="eastAsia" w:ascii="宋体" w:hAnsi="宋体" w:eastAsia="宋体" w:cs="宋体"/>
          <w:b/>
          <w:bCs/>
          <w:sz w:val="24"/>
          <w:szCs w:val="24"/>
          <w:lang w:val="zh-CN"/>
        </w:rPr>
      </w:pPr>
      <w:r>
        <w:rPr>
          <w:rFonts w:hint="eastAsia" w:ascii="宋体" w:hAnsi="宋体" w:eastAsia="宋体" w:cs="宋体"/>
          <w:b/>
          <w:bCs/>
          <w:sz w:val="24"/>
          <w:szCs w:val="24"/>
          <w:lang w:val="zh-CN"/>
        </w:rPr>
        <w:t>如采购人组织项目资格预审的，采购代理机构将拒绝未通过资格预审投标人的投标。</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 xml:space="preserve">投标保证金 </w:t>
      </w:r>
    </w:p>
    <w:p>
      <w:pPr>
        <w:numPr>
          <w:ilvl w:val="0"/>
          <w:numId w:val="0"/>
        </w:numPr>
        <w:spacing w:line="360" w:lineRule="auto"/>
        <w:ind w:leftChars="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17.1 本项目不收取投标保证金，详见本章“投标须知前附表”中的说明。</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投标有效期</w:t>
      </w:r>
    </w:p>
    <w:p>
      <w:pPr>
        <w:numPr>
          <w:ilvl w:val="0"/>
          <w:numId w:val="0"/>
        </w:numPr>
        <w:spacing w:line="360" w:lineRule="auto"/>
        <w:ind w:left="638" w:leftChars="0" w:hanging="638" w:hangingChars="266"/>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18.1  </w:t>
      </w:r>
      <w:r>
        <w:rPr>
          <w:rFonts w:hint="eastAsia" w:ascii="宋体" w:hAnsi="宋体" w:eastAsia="宋体" w:cs="宋体"/>
          <w:sz w:val="24"/>
          <w:szCs w:val="24"/>
          <w:lang w:val="zh-CN" w:eastAsia="zh-CN"/>
        </w:rPr>
        <w:t>投标有效期详见本章“投标须知前附表”中规定。</w:t>
      </w:r>
      <w:r>
        <w:rPr>
          <w:rFonts w:hint="eastAsia" w:ascii="宋体" w:hAnsi="宋体" w:eastAsia="宋体" w:cs="宋体"/>
          <w:kern w:val="0"/>
          <w:sz w:val="24"/>
          <w:szCs w:val="24"/>
          <w:lang w:val="zh-CN" w:eastAsia="zh-CN"/>
        </w:rPr>
        <w:t>投标文件中承诺的投标有效期应当不少于招标文件中载明的投标有效期</w:t>
      </w:r>
      <w:r>
        <w:rPr>
          <w:rFonts w:hint="eastAsia" w:ascii="宋体" w:hAnsi="宋体" w:eastAsia="宋体" w:cs="宋体"/>
          <w:kern w:val="0"/>
          <w:sz w:val="24"/>
          <w:szCs w:val="24"/>
          <w:lang w:val="zh-CN"/>
        </w:rPr>
        <w:t>。投标有效期不足的，</w:t>
      </w:r>
      <w:r>
        <w:rPr>
          <w:rFonts w:hint="eastAsia" w:ascii="宋体" w:hAnsi="宋体" w:eastAsia="宋体" w:cs="宋体"/>
          <w:sz w:val="24"/>
          <w:szCs w:val="24"/>
          <w:lang w:val="zh-CN"/>
        </w:rPr>
        <w:t>按照</w:t>
      </w:r>
      <w:r>
        <w:rPr>
          <w:rFonts w:hint="eastAsia" w:ascii="宋体" w:hAnsi="宋体" w:eastAsia="宋体" w:cs="宋体"/>
          <w:b/>
          <w:sz w:val="24"/>
          <w:szCs w:val="24"/>
          <w:lang w:val="zh-CN" w:eastAsia="zh-CN"/>
        </w:rPr>
        <w:t>无效投标</w:t>
      </w:r>
      <w:r>
        <w:rPr>
          <w:rFonts w:hint="eastAsia" w:ascii="宋体" w:hAnsi="宋体" w:eastAsia="宋体" w:cs="宋体"/>
          <w:b/>
          <w:sz w:val="24"/>
          <w:szCs w:val="24"/>
          <w:lang w:val="zh-CN"/>
        </w:rPr>
        <w:t>处理。</w:t>
      </w:r>
    </w:p>
    <w:p>
      <w:pPr>
        <w:numPr>
          <w:ilvl w:val="0"/>
          <w:numId w:val="0"/>
        </w:numPr>
        <w:spacing w:line="360" w:lineRule="auto"/>
        <w:ind w:left="638" w:leftChars="0" w:hanging="638" w:hangingChars="266"/>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 xml:space="preserve">18.2  </w:t>
      </w:r>
      <w:r>
        <w:rPr>
          <w:rFonts w:hint="eastAsia" w:ascii="宋体" w:hAnsi="宋体" w:eastAsia="宋体" w:cs="宋体"/>
          <w:sz w:val="24"/>
          <w:szCs w:val="24"/>
          <w:lang w:val="zh-CN" w:eastAsia="zh-CN"/>
        </w:rPr>
        <w:t>特殊情况下，在原投标有效期截止之前，</w:t>
      </w:r>
      <w:r>
        <w:rPr>
          <w:rFonts w:hint="eastAsia" w:ascii="宋体" w:hAnsi="宋体" w:eastAsia="宋体" w:cs="宋体"/>
          <w:sz w:val="24"/>
          <w:szCs w:val="20"/>
          <w:lang w:val="zh-CN" w:eastAsia="zh-CN"/>
        </w:rPr>
        <w:t>采购代理机构</w:t>
      </w:r>
      <w:r>
        <w:rPr>
          <w:rFonts w:hint="eastAsia" w:ascii="宋体" w:hAnsi="宋体" w:eastAsia="宋体" w:cs="宋体"/>
          <w:sz w:val="24"/>
          <w:szCs w:val="24"/>
          <w:lang w:val="zh-CN" w:eastAsia="zh-CN"/>
        </w:rPr>
        <w:t>机构或采购人可要求投标人延长投标有效期。这种要求与答复均应以书面形式提交。投标人可拒绝</w:t>
      </w:r>
      <w:r>
        <w:rPr>
          <w:rFonts w:hint="eastAsia" w:ascii="宋体" w:hAnsi="宋体" w:eastAsia="宋体" w:cs="宋体"/>
          <w:sz w:val="24"/>
          <w:szCs w:val="20"/>
          <w:lang w:val="zh-CN" w:eastAsia="zh-CN"/>
        </w:rPr>
        <w:t>采购代理机构</w:t>
      </w:r>
      <w:r>
        <w:rPr>
          <w:rFonts w:hint="eastAsia" w:ascii="宋体" w:hAnsi="宋体" w:eastAsia="宋体" w:cs="宋体"/>
          <w:sz w:val="24"/>
          <w:szCs w:val="24"/>
          <w:lang w:val="zh-CN" w:eastAsia="zh-CN"/>
        </w:rPr>
        <w:t>或采购人的这种要求，但其投标在原投标有效期期满后将不再有效。同意延长投标有效期的投标人不会被要求和允许修正其投标</w:t>
      </w:r>
      <w:r>
        <w:rPr>
          <w:rFonts w:hint="eastAsia" w:ascii="宋体" w:hAnsi="宋体" w:eastAsia="宋体" w:cs="宋体"/>
          <w:sz w:val="24"/>
          <w:szCs w:val="24"/>
          <w:lang w:val="zh-CN"/>
        </w:rPr>
        <w:t>内容</w:t>
      </w:r>
      <w:r>
        <w:rPr>
          <w:rFonts w:hint="eastAsia" w:ascii="宋体" w:hAnsi="宋体" w:eastAsia="宋体" w:cs="宋体"/>
          <w:sz w:val="24"/>
          <w:szCs w:val="24"/>
          <w:lang w:val="zh-CN" w:eastAsia="zh-CN"/>
        </w:rPr>
        <w:t>，而只会被要求相应地延长其投标保证金的有效期。在这种情况下，本</w:t>
      </w:r>
      <w:r>
        <w:rPr>
          <w:rFonts w:hint="eastAsia" w:ascii="宋体" w:hAnsi="宋体" w:eastAsia="宋体" w:cs="宋体"/>
          <w:sz w:val="24"/>
          <w:szCs w:val="24"/>
          <w:lang w:val="zh-CN"/>
        </w:rPr>
        <w:t>章“</w:t>
      </w:r>
      <w:r>
        <w:rPr>
          <w:rFonts w:hint="eastAsia" w:ascii="宋体" w:hAnsi="宋体" w:eastAsia="宋体" w:cs="宋体"/>
          <w:sz w:val="24"/>
          <w:szCs w:val="24"/>
          <w:lang w:val="zh-CN" w:eastAsia="zh-CN"/>
        </w:rPr>
        <w:t>投标保证金</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的退还</w:t>
      </w:r>
      <w:r>
        <w:rPr>
          <w:rFonts w:hint="eastAsia" w:ascii="宋体" w:hAnsi="宋体" w:eastAsia="宋体" w:cs="宋体"/>
          <w:sz w:val="24"/>
          <w:szCs w:val="24"/>
          <w:lang w:val="zh-CN"/>
        </w:rPr>
        <w:t>和不予退还</w:t>
      </w:r>
      <w:r>
        <w:rPr>
          <w:rFonts w:hint="eastAsia" w:ascii="宋体" w:hAnsi="宋体" w:eastAsia="宋体" w:cs="宋体"/>
          <w:sz w:val="24"/>
          <w:szCs w:val="24"/>
          <w:lang w:val="zh-CN" w:eastAsia="zh-CN"/>
        </w:rPr>
        <w:t>的规定将在延长了的有效期内继续有效。</w:t>
      </w:r>
    </w:p>
    <w:p>
      <w:pPr>
        <w:numPr>
          <w:ilvl w:val="0"/>
          <w:numId w:val="3"/>
        </w:numPr>
        <w:spacing w:line="360" w:lineRule="auto"/>
        <w:ind w:left="560" w:hanging="560"/>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投标文件的数量和签署</w:t>
      </w:r>
    </w:p>
    <w:p>
      <w:pPr>
        <w:numPr>
          <w:ilvl w:val="0"/>
          <w:numId w:val="0"/>
        </w:numPr>
        <w:spacing w:line="360" w:lineRule="auto"/>
        <w:ind w:left="636" w:leftChars="0" w:hanging="636" w:hangingChars="265"/>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 xml:space="preserve">19.1  </w:t>
      </w:r>
      <w:r>
        <w:rPr>
          <w:rFonts w:hint="eastAsia" w:ascii="宋体" w:hAnsi="宋体" w:eastAsia="宋体" w:cs="宋体"/>
          <w:sz w:val="24"/>
          <w:szCs w:val="24"/>
          <w:lang w:val="zh-CN" w:eastAsia="zh-CN"/>
        </w:rPr>
        <w:t>投标人应</w:t>
      </w:r>
      <w:r>
        <w:rPr>
          <w:rFonts w:hint="eastAsia" w:ascii="宋体" w:hAnsi="宋体" w:eastAsia="宋体" w:cs="宋体"/>
          <w:sz w:val="24"/>
          <w:szCs w:val="24"/>
          <w:lang w:val="zh-CN"/>
        </w:rPr>
        <w:t>按本章“投标须知前附表”中规定的份数要求</w:t>
      </w:r>
      <w:r>
        <w:rPr>
          <w:rFonts w:hint="eastAsia" w:ascii="宋体" w:hAnsi="宋体" w:eastAsia="宋体" w:cs="宋体"/>
          <w:sz w:val="24"/>
          <w:szCs w:val="24"/>
          <w:lang w:val="zh-CN" w:eastAsia="zh-CN"/>
        </w:rPr>
        <w:t>编制投标文件，投标文件的副本可为</w:t>
      </w:r>
      <w:r>
        <w:rPr>
          <w:rFonts w:hint="eastAsia" w:ascii="宋体" w:hAnsi="宋体" w:eastAsia="宋体" w:cs="宋体"/>
          <w:sz w:val="24"/>
          <w:szCs w:val="24"/>
          <w:lang w:val="zh-CN"/>
        </w:rPr>
        <w:t>正本的</w:t>
      </w:r>
      <w:r>
        <w:rPr>
          <w:rFonts w:hint="eastAsia" w:ascii="宋体" w:hAnsi="宋体" w:eastAsia="宋体" w:cs="宋体"/>
          <w:sz w:val="24"/>
          <w:szCs w:val="24"/>
          <w:lang w:val="zh-CN" w:eastAsia="zh-CN"/>
        </w:rPr>
        <w:t>复印件</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但应</w:t>
      </w:r>
      <w:r>
        <w:rPr>
          <w:rFonts w:hint="eastAsia" w:ascii="宋体" w:hAnsi="宋体" w:eastAsia="宋体" w:cs="宋体"/>
          <w:sz w:val="24"/>
          <w:szCs w:val="24"/>
          <w:lang w:val="zh-CN"/>
        </w:rPr>
        <w:t>在副本封面</w:t>
      </w:r>
      <w:r>
        <w:rPr>
          <w:rFonts w:hint="eastAsia" w:ascii="宋体" w:hAnsi="宋体" w:eastAsia="宋体" w:cs="宋体"/>
          <w:sz w:val="24"/>
          <w:szCs w:val="24"/>
          <w:lang w:val="zh-CN" w:eastAsia="zh-CN"/>
        </w:rPr>
        <w:t>加盖单位公章。每套投标文件</w:t>
      </w:r>
      <w:r>
        <w:rPr>
          <w:rFonts w:hint="eastAsia" w:ascii="宋体" w:hAnsi="宋体" w:eastAsia="宋体" w:cs="宋体"/>
          <w:sz w:val="24"/>
          <w:szCs w:val="24"/>
          <w:lang w:val="zh-CN"/>
        </w:rPr>
        <w:t>应</w:t>
      </w:r>
      <w:r>
        <w:rPr>
          <w:rFonts w:hint="eastAsia" w:ascii="宋体" w:hAnsi="宋体" w:eastAsia="宋体" w:cs="宋体"/>
          <w:sz w:val="24"/>
          <w:szCs w:val="24"/>
          <w:lang w:val="zh-CN" w:eastAsia="zh-CN"/>
        </w:rPr>
        <w:t>清楚地标明“正本”、“副本”。副本与正本不</w:t>
      </w:r>
      <w:r>
        <w:rPr>
          <w:rFonts w:hint="eastAsia" w:ascii="宋体" w:hAnsi="宋体" w:eastAsia="宋体" w:cs="宋体"/>
          <w:sz w:val="24"/>
          <w:szCs w:val="24"/>
          <w:lang w:val="zh-CN"/>
        </w:rPr>
        <w:t>一致的</w:t>
      </w:r>
      <w:r>
        <w:rPr>
          <w:rFonts w:hint="eastAsia" w:ascii="宋体" w:hAnsi="宋体" w:eastAsia="宋体" w:cs="宋体"/>
          <w:sz w:val="24"/>
          <w:szCs w:val="24"/>
          <w:lang w:val="zh-CN" w:eastAsia="zh-CN"/>
        </w:rPr>
        <w:t>，以正本为准。</w:t>
      </w:r>
    </w:p>
    <w:p>
      <w:pPr>
        <w:numPr>
          <w:ilvl w:val="0"/>
          <w:numId w:val="0"/>
        </w:numPr>
        <w:spacing w:line="360" w:lineRule="auto"/>
        <w:ind w:left="636" w:leftChars="0" w:hanging="636" w:hangingChars="265"/>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 xml:space="preserve">19.2  </w:t>
      </w:r>
      <w:r>
        <w:rPr>
          <w:rFonts w:hint="eastAsia" w:ascii="宋体" w:hAnsi="宋体" w:eastAsia="宋体" w:cs="宋体"/>
          <w:sz w:val="24"/>
          <w:szCs w:val="24"/>
          <w:lang w:val="zh-CN" w:eastAsia="zh-CN"/>
        </w:rPr>
        <w:t>投标文件的正本应打印或用不褪色墨水书写，</w:t>
      </w:r>
      <w:r>
        <w:rPr>
          <w:rFonts w:hint="eastAsia" w:ascii="宋体" w:hAnsi="宋体" w:eastAsia="宋体" w:cs="宋体"/>
          <w:sz w:val="24"/>
          <w:szCs w:val="24"/>
          <w:lang w:val="zh-CN"/>
        </w:rPr>
        <w:t>应由</w:t>
      </w:r>
      <w:r>
        <w:rPr>
          <w:rFonts w:hint="eastAsia" w:ascii="宋体" w:hAnsi="宋体" w:eastAsia="宋体" w:cs="宋体"/>
          <w:sz w:val="24"/>
          <w:szCs w:val="24"/>
          <w:lang w:val="zh-CN" w:eastAsia="zh-CN"/>
        </w:rPr>
        <w:t>法定代表人或经其正式授权的代表签字或盖章。由被授权代表签字或盖章的，应以书面形式出具授权证明，其《法定代表人授权书》应附在投标文件中。</w:t>
      </w:r>
    </w:p>
    <w:p>
      <w:pPr>
        <w:numPr>
          <w:ilvl w:val="0"/>
          <w:numId w:val="0"/>
        </w:numPr>
        <w:spacing w:line="360" w:lineRule="auto"/>
        <w:ind w:left="636" w:leftChars="0" w:hanging="636" w:hangingChars="265"/>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 xml:space="preserve">19.3  </w:t>
      </w:r>
      <w:r>
        <w:rPr>
          <w:rFonts w:hint="eastAsia" w:ascii="宋体" w:hAnsi="宋体" w:eastAsia="宋体" w:cs="宋体"/>
          <w:sz w:val="24"/>
          <w:szCs w:val="24"/>
          <w:lang w:val="zh-CN" w:eastAsia="zh-CN"/>
        </w:rPr>
        <w:t>投标文件中任何涂改和增删，应由法定代表人或经其正式授权的代表在旁边签字后方为有效。</w:t>
      </w:r>
    </w:p>
    <w:p>
      <w:pPr>
        <w:numPr>
          <w:ilvl w:val="0"/>
          <w:numId w:val="0"/>
        </w:numPr>
        <w:spacing w:line="360" w:lineRule="auto"/>
        <w:ind w:left="636" w:leftChars="0" w:hanging="636" w:hangingChars="265"/>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19.4  </w:t>
      </w:r>
      <w:r>
        <w:rPr>
          <w:rFonts w:hint="eastAsia" w:ascii="宋体" w:hAnsi="宋体" w:eastAsia="宋体" w:cs="宋体"/>
          <w:sz w:val="24"/>
          <w:szCs w:val="24"/>
          <w:lang w:val="zh-CN" w:eastAsia="zh-CN"/>
        </w:rPr>
        <w:t>招标文件中要求加盖公章及签字（签章）之处，投标文件正本中应按要求提供加盖公章</w:t>
      </w:r>
      <w:r>
        <w:rPr>
          <w:rFonts w:hint="eastAsia" w:ascii="宋体" w:hAnsi="宋体" w:eastAsia="宋体" w:cs="宋体"/>
          <w:sz w:val="24"/>
          <w:szCs w:val="24"/>
          <w:lang w:val="zh-CN"/>
        </w:rPr>
        <w:t>及签字（签章）的</w:t>
      </w:r>
      <w:r>
        <w:rPr>
          <w:rFonts w:hint="eastAsia" w:ascii="宋体" w:hAnsi="宋体" w:eastAsia="宋体" w:cs="宋体"/>
          <w:sz w:val="24"/>
          <w:szCs w:val="24"/>
          <w:lang w:val="zh-CN" w:eastAsia="zh-CN"/>
        </w:rPr>
        <w:t>原件，</w:t>
      </w:r>
      <w:r>
        <w:rPr>
          <w:rFonts w:hint="eastAsia" w:ascii="宋体" w:hAnsi="宋体" w:eastAsia="宋体" w:cs="宋体"/>
          <w:sz w:val="24"/>
          <w:szCs w:val="24"/>
          <w:lang w:val="zh-CN"/>
        </w:rPr>
        <w:t>否则按照</w:t>
      </w:r>
      <w:r>
        <w:rPr>
          <w:rFonts w:hint="eastAsia" w:ascii="宋体" w:hAnsi="宋体" w:eastAsia="宋体" w:cs="宋体"/>
          <w:b/>
          <w:sz w:val="24"/>
          <w:szCs w:val="24"/>
          <w:lang w:val="zh-CN" w:eastAsia="zh-CN"/>
        </w:rPr>
        <w:t>无效投标</w:t>
      </w:r>
      <w:r>
        <w:rPr>
          <w:rFonts w:hint="eastAsia" w:ascii="宋体" w:hAnsi="宋体" w:eastAsia="宋体" w:cs="宋体"/>
          <w:b/>
          <w:sz w:val="24"/>
          <w:szCs w:val="24"/>
          <w:lang w:val="zh-CN"/>
        </w:rPr>
        <w:t>处理。</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投标文件的密封和标记</w:t>
      </w:r>
    </w:p>
    <w:p>
      <w:pPr>
        <w:numPr>
          <w:ilvl w:val="0"/>
          <w:numId w:val="0"/>
        </w:numPr>
        <w:spacing w:line="360" w:lineRule="auto"/>
        <w:ind w:left="636" w:leftChars="0" w:hanging="636" w:hangingChars="26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20.1投标文件包括第一部分资格证明文件，第二部分商务文件，第三部分技术、服务文件，上述三部分应分别密封在独立封包中，并在封包中标明各部分名称，每个封包应包括正本1份、副本4份。（</w:t>
      </w:r>
      <w:r>
        <w:rPr>
          <w:rFonts w:hint="eastAsia" w:ascii="宋体" w:hAnsi="宋体" w:eastAsia="宋体" w:cs="宋体"/>
          <w:b/>
          <w:bCs/>
          <w:sz w:val="24"/>
          <w:szCs w:val="24"/>
          <w:lang w:val="en-US" w:eastAsia="zh-CN"/>
        </w:rPr>
        <w:t>如采购人已组织过项目资格预审的，投标人无需再提供资格证明文件</w:t>
      </w:r>
      <w:r>
        <w:rPr>
          <w:rFonts w:hint="eastAsia" w:ascii="宋体" w:hAnsi="宋体" w:eastAsia="宋体" w:cs="宋体"/>
          <w:sz w:val="24"/>
          <w:szCs w:val="24"/>
          <w:lang w:val="en-US" w:eastAsia="zh-CN"/>
        </w:rPr>
        <w:t>）</w:t>
      </w:r>
    </w:p>
    <w:p>
      <w:pPr>
        <w:numPr>
          <w:ilvl w:val="0"/>
          <w:numId w:val="0"/>
        </w:numPr>
        <w:spacing w:line="360" w:lineRule="auto"/>
        <w:ind w:left="636" w:leftChars="0" w:hanging="636" w:hangingChars="26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20.2资格证明文件正本1份、副本4份，密封在“资格证明文件”封包内，封包上注明“第一部分 资格证明文件”；</w:t>
      </w:r>
    </w:p>
    <w:p>
      <w:pPr>
        <w:numPr>
          <w:ilvl w:val="0"/>
          <w:numId w:val="0"/>
        </w:numPr>
        <w:spacing w:line="360" w:lineRule="auto"/>
        <w:ind w:left="636" w:leftChars="0" w:hanging="636" w:hangingChars="26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20.3商务文件正本1份、副本4份，密封在“商务文件”封包内，封包上注明“第二部分 商务文件”；</w:t>
      </w:r>
    </w:p>
    <w:p>
      <w:pPr>
        <w:numPr>
          <w:ilvl w:val="0"/>
          <w:numId w:val="0"/>
        </w:numPr>
        <w:spacing w:line="360" w:lineRule="auto"/>
        <w:ind w:left="636" w:leftChars="0" w:hanging="636" w:hangingChars="26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20.4技术、服务文件正本1份、副本4份，密封在“技术、服务文件”封包内，封包上注明“第三部分 技术、服务文件”。</w:t>
      </w:r>
    </w:p>
    <w:p>
      <w:pPr>
        <w:numPr>
          <w:ilvl w:val="0"/>
          <w:numId w:val="0"/>
        </w:numPr>
        <w:spacing w:line="360" w:lineRule="auto"/>
        <w:ind w:left="636" w:leftChars="0" w:hanging="636" w:hangingChars="26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20.5 为方便开标时唱标，投标人应将《开标一览表》原件一份一并装入一个信封，单独密封提交，并在信封上标明“开标一览表”字样。未单独提交或单独提交的上述资料未按照招标文件规定的格式填写完整并签字、盖章的采购人拒绝其投标。</w:t>
      </w:r>
    </w:p>
    <w:p>
      <w:pPr>
        <w:numPr>
          <w:ilvl w:val="0"/>
          <w:numId w:val="0"/>
        </w:numPr>
        <w:spacing w:line="360" w:lineRule="auto"/>
        <w:ind w:left="636" w:leftChars="0" w:hanging="636" w:hangingChars="26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20.6“开标一览表”信封和投标文件的封包上应注明采购项目编号、项目名称、投标内容和有“在（招标文件中规定的开标日期和时间）之前不得启封”的字样，封口处加盖投标人公章。</w:t>
      </w:r>
    </w:p>
    <w:p>
      <w:pPr>
        <w:numPr>
          <w:ilvl w:val="0"/>
          <w:numId w:val="0"/>
        </w:numPr>
        <w:spacing w:line="360" w:lineRule="auto"/>
        <w:ind w:left="636" w:leftChars="0" w:hanging="636" w:hangingChars="26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20.7</w:t>
      </w:r>
      <w:r>
        <w:rPr>
          <w:rFonts w:hint="eastAsia" w:ascii="宋体" w:hAnsi="宋体" w:eastAsia="宋体" w:cs="宋体"/>
          <w:sz w:val="24"/>
          <w:szCs w:val="20"/>
          <w:lang w:val="zh-CN" w:eastAsia="zh-CN"/>
        </w:rPr>
        <w:t>如果</w:t>
      </w:r>
      <w:r>
        <w:rPr>
          <w:rFonts w:hint="eastAsia" w:ascii="宋体" w:hAnsi="宋体" w:eastAsia="宋体" w:cs="宋体"/>
          <w:sz w:val="24"/>
          <w:szCs w:val="24"/>
          <w:lang w:val="en-US" w:eastAsia="zh-CN"/>
        </w:rPr>
        <w:t>未按要求密封、标记或存在错误，</w:t>
      </w:r>
      <w:r>
        <w:rPr>
          <w:rFonts w:hint="eastAsia" w:ascii="宋体" w:hAnsi="宋体" w:eastAsia="宋体" w:cs="宋体"/>
          <w:sz w:val="24"/>
          <w:szCs w:val="20"/>
          <w:lang w:val="zh-CN" w:eastAsia="zh-CN"/>
        </w:rPr>
        <w:t>采购代理机构对其误投或提前启封概不负责。</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投标文件递交</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21.1  </w:t>
      </w:r>
      <w:r>
        <w:rPr>
          <w:rFonts w:hint="eastAsia" w:ascii="宋体" w:hAnsi="宋体" w:eastAsia="宋体" w:cs="宋体"/>
          <w:sz w:val="24"/>
          <w:szCs w:val="20"/>
          <w:lang w:val="zh-CN" w:eastAsia="zh-CN"/>
        </w:rPr>
        <w:t>投标人应在不迟于投标邀请书中规定的投标截止日期和时间将投标文件密封递交至采购代理机构规定的投标地点。</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21.2 </w:t>
      </w:r>
      <w:r>
        <w:rPr>
          <w:rFonts w:hint="eastAsia" w:ascii="宋体" w:hAnsi="宋体" w:eastAsia="宋体" w:cs="宋体"/>
          <w:sz w:val="24"/>
          <w:szCs w:val="20"/>
          <w:lang w:val="zh-CN" w:eastAsia="zh-CN"/>
        </w:rPr>
        <w:t>采购代理机构机构拒收逾期送达或者未按招标文件要求密封的投标文件。</w:t>
      </w:r>
    </w:p>
    <w:p>
      <w:pPr>
        <w:numPr>
          <w:ilvl w:val="0"/>
          <w:numId w:val="0"/>
        </w:numPr>
        <w:spacing w:line="360" w:lineRule="auto"/>
        <w:ind w:left="636" w:leftChars="0" w:hanging="636" w:hangingChars="265"/>
        <w:rPr>
          <w:rFonts w:hint="eastAsia" w:ascii="宋体" w:hAnsi="宋体" w:eastAsia="宋体" w:cs="宋体"/>
          <w:kern w:val="0"/>
          <w:sz w:val="24"/>
          <w:szCs w:val="24"/>
          <w:lang w:val="zh-CN"/>
        </w:rPr>
      </w:pPr>
      <w:r>
        <w:rPr>
          <w:rFonts w:hint="eastAsia" w:ascii="宋体" w:hAnsi="宋体" w:eastAsia="宋体" w:cs="宋体"/>
          <w:sz w:val="24"/>
          <w:szCs w:val="20"/>
          <w:lang w:val="en-US" w:eastAsia="zh-CN"/>
        </w:rPr>
        <w:t>21.3</w:t>
      </w:r>
      <w:r>
        <w:rPr>
          <w:rFonts w:hint="eastAsia" w:ascii="宋体" w:hAnsi="宋体" w:eastAsia="宋体" w:cs="宋体"/>
          <w:sz w:val="24"/>
          <w:szCs w:val="20"/>
          <w:lang w:val="zh-CN" w:eastAsia="zh-CN"/>
        </w:rPr>
        <w:t>采购代理机构收到投标文件后，应当如实记载投标文件的送达时间和密封情况，签收保存，并向投标人出具签收回执。</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投标文件的修改和撤回</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22.1  </w:t>
      </w:r>
      <w:r>
        <w:rPr>
          <w:rFonts w:hint="eastAsia" w:ascii="宋体" w:hAnsi="宋体" w:eastAsia="宋体" w:cs="宋体"/>
          <w:sz w:val="24"/>
          <w:szCs w:val="20"/>
          <w:lang w:val="zh-CN" w:eastAsia="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22.2  </w:t>
      </w:r>
      <w:r>
        <w:rPr>
          <w:rFonts w:hint="eastAsia" w:ascii="宋体" w:hAnsi="宋体" w:eastAsia="宋体" w:cs="宋体"/>
          <w:sz w:val="24"/>
          <w:szCs w:val="20"/>
          <w:lang w:val="zh-CN" w:eastAsia="zh-CN"/>
        </w:rPr>
        <w:t>投标有效期内投标人不得撤销其投标文件。</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22.3  </w:t>
      </w:r>
      <w:r>
        <w:rPr>
          <w:rFonts w:hint="eastAsia" w:ascii="宋体" w:hAnsi="宋体" w:eastAsia="宋体" w:cs="宋体"/>
          <w:sz w:val="24"/>
          <w:szCs w:val="20"/>
          <w:lang w:val="zh-CN" w:eastAsia="zh-CN"/>
        </w:rPr>
        <w:t>投标人所递交的投标文件无论中标与否不予退还。</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33" w:name="_Toc11594"/>
      <w:bookmarkStart w:id="34" w:name="_Toc494561942"/>
      <w:bookmarkStart w:id="35" w:name="_Toc278891595"/>
      <w:bookmarkStart w:id="36" w:name="_Toc272247698"/>
      <w:r>
        <w:rPr>
          <w:rFonts w:hint="eastAsia" w:ascii="宋体" w:hAnsi="宋体" w:eastAsia="宋体" w:cs="宋体"/>
          <w:bCs w:val="0"/>
          <w:lang w:val="zh-CN" w:eastAsia="zh-CN"/>
        </w:rPr>
        <w:t>开标与评标</w:t>
      </w:r>
      <w:bookmarkEnd w:id="33"/>
      <w:bookmarkEnd w:id="34"/>
      <w:bookmarkEnd w:id="35"/>
      <w:bookmarkEnd w:id="36"/>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开标</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23.1  代理公司</w:t>
      </w:r>
      <w:r>
        <w:rPr>
          <w:rFonts w:hint="eastAsia" w:ascii="宋体" w:hAnsi="宋体" w:eastAsia="宋体" w:cs="宋体"/>
          <w:sz w:val="24"/>
          <w:szCs w:val="20"/>
          <w:lang w:val="zh-CN" w:eastAsia="zh-CN"/>
        </w:rPr>
        <w:t>在第一章“投标邀请书”中约定的日期、时间和地点组织公开开标。开标时采购人和投标人代表（投标人法定代表人或其授权代表）参加,参加开标的代表应签到以证明其出席。</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23.2  </w:t>
      </w:r>
      <w:r>
        <w:rPr>
          <w:rFonts w:hint="eastAsia" w:ascii="宋体" w:hAnsi="宋体" w:eastAsia="宋体" w:cs="宋体"/>
          <w:sz w:val="24"/>
          <w:szCs w:val="20"/>
          <w:lang w:val="zh-CN" w:eastAsia="zh-CN"/>
        </w:rPr>
        <w:t>投标人法定代表人或其授权代表应携带有效身份证明参加项目开标会，投标人未参加开标的，视同认可开标结果。截止</w:t>
      </w:r>
      <w:r>
        <w:rPr>
          <w:rFonts w:hint="eastAsia" w:ascii="宋体" w:hAnsi="宋体" w:eastAsia="宋体" w:cs="宋体"/>
          <w:sz w:val="24"/>
          <w:szCs w:val="20"/>
          <w:lang w:val="en-US" w:eastAsia="zh-CN"/>
        </w:rPr>
        <w:t>投标文件</w:t>
      </w:r>
      <w:r>
        <w:rPr>
          <w:rFonts w:hint="eastAsia" w:ascii="宋体" w:hAnsi="宋体" w:eastAsia="宋体" w:cs="宋体"/>
          <w:sz w:val="24"/>
          <w:szCs w:val="20"/>
          <w:lang w:val="zh-CN" w:eastAsia="zh-CN"/>
        </w:rPr>
        <w:t>递交时间，投标人不足3家的，不进行开标。</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23.3  </w:t>
      </w:r>
      <w:r>
        <w:rPr>
          <w:rFonts w:hint="eastAsia" w:ascii="宋体" w:hAnsi="宋体" w:eastAsia="宋体" w:cs="宋体"/>
          <w:sz w:val="24"/>
          <w:szCs w:val="20"/>
          <w:lang w:val="zh-CN" w:eastAsia="zh-CN"/>
        </w:rPr>
        <w:t>开标时，由投标人或其推选的代表检查投标文件的密封情况，经确认无误后由采购代理机构工作人员当众拆封，宣布投标人名称、投标价格和招标文件规定的需要宣布的其他内容。</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23.4 代理公司</w:t>
      </w:r>
      <w:r>
        <w:rPr>
          <w:rFonts w:hint="eastAsia" w:ascii="宋体" w:hAnsi="宋体" w:eastAsia="宋体" w:cs="宋体"/>
          <w:sz w:val="24"/>
          <w:szCs w:val="20"/>
          <w:lang w:val="zh-CN" w:eastAsia="zh-CN"/>
        </w:rPr>
        <w:t>负责对开标过程进行记录，由参加开标的各投标人代表和相关工作人员对开标记录进行签字确认。</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23.5  </w:t>
      </w:r>
      <w:r>
        <w:rPr>
          <w:rFonts w:hint="eastAsia" w:ascii="宋体" w:hAnsi="宋体" w:eastAsia="宋体" w:cs="宋体"/>
          <w:sz w:val="24"/>
          <w:szCs w:val="20"/>
          <w:lang w:val="zh-CN" w:eastAsia="zh-CN"/>
        </w:rPr>
        <w:t>投标人代表对开标过程和开标记录有疑义，以及认为采购人、采购代理机构相关工作人员有需要回避的情形的，应当场提出询问或者回避申请。采购人、采购代理机构将及时处理投标人代表提出的询问或者回避申请。</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资格审查</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24.1  </w:t>
      </w:r>
      <w:r>
        <w:rPr>
          <w:rFonts w:hint="eastAsia" w:ascii="宋体" w:hAnsi="宋体" w:eastAsia="宋体" w:cs="宋体"/>
          <w:sz w:val="24"/>
          <w:szCs w:val="20"/>
          <w:lang w:val="zh-CN" w:eastAsia="zh-CN"/>
        </w:rPr>
        <w:t>公开招标采购项目开标结束后，采购人与代理公司机构依据法律、法规及招标文件的规定，对投标人的资格进行审查，以确定投标人资格是否合格。合格投标人不足3家的，不进行评标。</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24.2  </w:t>
      </w:r>
      <w:r>
        <w:rPr>
          <w:rFonts w:hint="eastAsia" w:ascii="宋体" w:hAnsi="宋体" w:eastAsia="宋体" w:cs="宋体"/>
          <w:sz w:val="24"/>
          <w:szCs w:val="20"/>
          <w:lang w:val="zh-CN" w:eastAsia="zh-CN"/>
        </w:rPr>
        <w:t>资格审查详见第四章“资格审查方法及标准”。</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评标方法</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25.1  </w:t>
      </w:r>
      <w:r>
        <w:rPr>
          <w:rFonts w:hint="eastAsia" w:ascii="宋体" w:hAnsi="宋体" w:eastAsia="宋体" w:cs="宋体"/>
          <w:sz w:val="24"/>
          <w:szCs w:val="20"/>
          <w:lang w:val="zh-CN" w:eastAsia="zh-CN"/>
        </w:rPr>
        <w:t>最低评标价法。最低评标价法是指投标文件满足招标文件全部实质性要求，且投标报价最低的投标人为中标候选人的评标方法。</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25.2  </w:t>
      </w:r>
      <w:r>
        <w:rPr>
          <w:rFonts w:hint="eastAsia" w:ascii="宋体" w:hAnsi="宋体" w:eastAsia="宋体" w:cs="宋体"/>
          <w:sz w:val="24"/>
          <w:szCs w:val="20"/>
          <w:lang w:val="zh-CN" w:eastAsia="zh-CN"/>
        </w:rPr>
        <w:t>综合评分法。综合评分法是指投标文件满足招标文件全部实质性要求，且按照评审因素的量化指标评审得分最高的投标人为中标候选人的评标方法。</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25.3  </w:t>
      </w:r>
      <w:r>
        <w:rPr>
          <w:rFonts w:hint="eastAsia" w:ascii="宋体" w:hAnsi="宋体" w:eastAsia="宋体" w:cs="宋体"/>
          <w:sz w:val="24"/>
          <w:szCs w:val="20"/>
          <w:lang w:val="zh-CN" w:eastAsia="zh-CN"/>
        </w:rPr>
        <w:t>评标方法详见第五章“评标方法、程序及标准”。</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评标委员会的组成</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26.1  </w:t>
      </w:r>
      <w:r>
        <w:rPr>
          <w:rFonts w:hint="eastAsia" w:ascii="宋体" w:hAnsi="宋体" w:eastAsia="宋体" w:cs="宋体"/>
          <w:sz w:val="24"/>
          <w:szCs w:val="20"/>
          <w:lang w:val="zh-CN" w:eastAsia="zh-CN"/>
        </w:rPr>
        <w:t>评标委员会由采购人代表和评审专家组成，成员人数应当为5人及以上单数，其中评审专家不得少于成员总数的三分之二；采购预算金额在1000万元及以上、技术复杂或社会影响较大的项目，评标委员会成员人数应当为7人及以上单数。</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26.2  </w:t>
      </w:r>
      <w:r>
        <w:rPr>
          <w:rFonts w:hint="eastAsia" w:ascii="宋体" w:hAnsi="宋体" w:eastAsia="宋体" w:cs="宋体"/>
          <w:sz w:val="24"/>
          <w:szCs w:val="20"/>
          <w:lang w:val="zh-CN" w:eastAsia="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rPr>
        <w:t>评标程序</w:t>
      </w:r>
    </w:p>
    <w:p>
      <w:pPr>
        <w:numPr>
          <w:ilvl w:val="0"/>
          <w:numId w:val="0"/>
        </w:numPr>
        <w:spacing w:line="360" w:lineRule="auto"/>
        <w:ind w:leftChars="0"/>
        <w:rPr>
          <w:rFonts w:hint="eastAsia" w:ascii="宋体" w:hAnsi="宋体" w:eastAsia="宋体" w:cs="宋体"/>
          <w:sz w:val="24"/>
          <w:szCs w:val="20"/>
          <w:lang w:val="zh-CN" w:eastAsia="zh-CN"/>
        </w:rPr>
      </w:pPr>
      <w:r>
        <w:rPr>
          <w:rFonts w:hint="eastAsia" w:ascii="宋体" w:hAnsi="宋体" w:eastAsia="宋体" w:cs="宋体"/>
          <w:kern w:val="0"/>
          <w:sz w:val="24"/>
          <w:szCs w:val="24"/>
          <w:lang w:val="en-US" w:eastAsia="zh-CN"/>
        </w:rPr>
        <w:t>27.1</w:t>
      </w:r>
      <w:r>
        <w:rPr>
          <w:rFonts w:hint="eastAsia" w:ascii="宋体" w:hAnsi="宋体" w:eastAsia="宋体" w:cs="宋体"/>
          <w:kern w:val="0"/>
          <w:sz w:val="24"/>
          <w:szCs w:val="24"/>
          <w:lang w:val="zh-CN" w:eastAsia="zh-CN"/>
        </w:rPr>
        <w:t>评标委员会负责具体评标事务，并独立履行下列职责：</w:t>
      </w:r>
    </w:p>
    <w:p>
      <w:pPr>
        <w:numPr>
          <w:ilvl w:val="0"/>
          <w:numId w:val="0"/>
        </w:numPr>
        <w:spacing w:line="360" w:lineRule="auto"/>
        <w:ind w:left="126" w:leftChars="0"/>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27.1.1 </w:t>
      </w:r>
      <w:r>
        <w:rPr>
          <w:rFonts w:hint="eastAsia" w:ascii="宋体" w:hAnsi="宋体" w:eastAsia="宋体" w:cs="宋体"/>
          <w:sz w:val="24"/>
          <w:szCs w:val="20"/>
          <w:lang w:val="zh-CN" w:eastAsia="zh-CN"/>
        </w:rPr>
        <w:t>审查、评价投标文件是否符合招标文件的商务、技术等实质性要求；</w:t>
      </w:r>
    </w:p>
    <w:p>
      <w:pPr>
        <w:numPr>
          <w:ilvl w:val="0"/>
          <w:numId w:val="0"/>
        </w:numPr>
        <w:spacing w:line="360" w:lineRule="auto"/>
        <w:ind w:left="126" w:leftChars="0"/>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27.1.2 </w:t>
      </w:r>
      <w:r>
        <w:rPr>
          <w:rFonts w:hint="eastAsia" w:ascii="宋体" w:hAnsi="宋体" w:eastAsia="宋体" w:cs="宋体"/>
          <w:sz w:val="24"/>
          <w:szCs w:val="20"/>
          <w:lang w:val="zh-CN" w:eastAsia="zh-CN"/>
        </w:rPr>
        <w:t>要求投标人对投标文件有关事项作出澄清或者说明；</w:t>
      </w:r>
    </w:p>
    <w:p>
      <w:pPr>
        <w:numPr>
          <w:ilvl w:val="0"/>
          <w:numId w:val="0"/>
        </w:numPr>
        <w:spacing w:line="360" w:lineRule="auto"/>
        <w:ind w:left="126" w:leftChars="0"/>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27.1.3 </w:t>
      </w:r>
      <w:r>
        <w:rPr>
          <w:rFonts w:hint="eastAsia" w:ascii="宋体" w:hAnsi="宋体" w:eastAsia="宋体" w:cs="宋体"/>
          <w:sz w:val="24"/>
          <w:szCs w:val="20"/>
          <w:lang w:val="zh-CN" w:eastAsia="zh-CN"/>
        </w:rPr>
        <w:t>对投标文件进行综合比较和评价；</w:t>
      </w:r>
    </w:p>
    <w:p>
      <w:pPr>
        <w:numPr>
          <w:ilvl w:val="0"/>
          <w:numId w:val="0"/>
        </w:numPr>
        <w:spacing w:line="360" w:lineRule="auto"/>
        <w:ind w:left="126" w:leftChars="0"/>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27.1.4 </w:t>
      </w:r>
      <w:r>
        <w:rPr>
          <w:rFonts w:hint="eastAsia" w:ascii="宋体" w:hAnsi="宋体" w:eastAsia="宋体" w:cs="宋体"/>
          <w:sz w:val="24"/>
          <w:szCs w:val="20"/>
          <w:lang w:val="zh-CN" w:eastAsia="zh-CN"/>
        </w:rPr>
        <w:t>确定中标候选人名单或中标人；</w:t>
      </w:r>
    </w:p>
    <w:p>
      <w:pPr>
        <w:numPr>
          <w:ilvl w:val="0"/>
          <w:numId w:val="0"/>
        </w:numPr>
        <w:spacing w:line="360" w:lineRule="auto"/>
        <w:ind w:left="126" w:leftChars="0"/>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27.1.5 </w:t>
      </w:r>
      <w:r>
        <w:rPr>
          <w:rFonts w:hint="eastAsia" w:ascii="宋体" w:hAnsi="宋体" w:eastAsia="宋体" w:cs="宋体"/>
          <w:sz w:val="24"/>
          <w:szCs w:val="20"/>
          <w:lang w:val="zh-CN" w:eastAsia="zh-CN"/>
        </w:rPr>
        <w:t>向采购人、采购代理机构或者有关部门报告评标中发现的违法行为。</w:t>
      </w:r>
    </w:p>
    <w:p>
      <w:pPr>
        <w:numPr>
          <w:ilvl w:val="0"/>
          <w:numId w:val="0"/>
        </w:numPr>
        <w:spacing w:line="360" w:lineRule="auto"/>
        <w:ind w:leftChars="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 xml:space="preserve">27.2 </w:t>
      </w:r>
      <w:r>
        <w:rPr>
          <w:rFonts w:hint="eastAsia" w:ascii="宋体" w:hAnsi="宋体" w:eastAsia="宋体" w:cs="宋体"/>
          <w:kern w:val="0"/>
          <w:sz w:val="24"/>
          <w:szCs w:val="24"/>
          <w:lang w:val="zh-CN" w:eastAsia="zh-CN"/>
        </w:rPr>
        <w:t>评标程序详见第五章“评标方法、程序及标准”。</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37" w:name="_Toc23702"/>
      <w:bookmarkStart w:id="38" w:name="_Toc494561943"/>
      <w:r>
        <w:rPr>
          <w:rFonts w:hint="eastAsia" w:ascii="宋体" w:hAnsi="宋体" w:eastAsia="宋体" w:cs="宋体"/>
          <w:bCs w:val="0"/>
          <w:lang w:val="zh-CN" w:eastAsia="zh-CN"/>
        </w:rPr>
        <w:t>投标人信用信息及查询</w:t>
      </w:r>
      <w:bookmarkEnd w:id="37"/>
      <w:bookmarkEnd w:id="38"/>
    </w:p>
    <w:p>
      <w:pPr>
        <w:numPr>
          <w:ilvl w:val="0"/>
          <w:numId w:val="3"/>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信用信息查询渠道及使用规则</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28.1  </w:t>
      </w:r>
      <w:r>
        <w:rPr>
          <w:rFonts w:hint="eastAsia" w:ascii="宋体" w:hAnsi="宋体" w:eastAsia="宋体" w:cs="宋体"/>
          <w:sz w:val="24"/>
          <w:szCs w:val="20"/>
          <w:lang w:val="zh-CN" w:eastAsia="zh-CN"/>
        </w:rPr>
        <w:t>按照《关于在政府采购活动中查询及使用信用记录有关问题的通知》的要求，参与政府采购的投标人，信用记录的查询渠道为“信用中国”网站(www.creditchina.gov.cn)、中国政府采购网(</w:t>
      </w:r>
      <w:r>
        <w:rPr>
          <w:rFonts w:hint="eastAsia" w:ascii="宋体" w:hAnsi="宋体" w:eastAsia="宋体" w:cs="宋体"/>
          <w:sz w:val="24"/>
          <w:szCs w:val="20"/>
          <w:lang w:val="en-US" w:eastAsia="zh-CN"/>
        </w:rPr>
        <w:fldChar w:fldCharType="begin"/>
      </w:r>
      <w:r>
        <w:rPr>
          <w:rFonts w:hint="eastAsia" w:ascii="宋体" w:hAnsi="宋体" w:eastAsia="宋体" w:cs="宋体"/>
          <w:sz w:val="24"/>
          <w:szCs w:val="20"/>
          <w:lang w:val="en-US" w:eastAsia="zh-CN"/>
        </w:rPr>
        <w:instrText xml:space="preserve"> HYPERLINK "http://www.ccgp.gov.cn" </w:instrText>
      </w:r>
      <w:r>
        <w:rPr>
          <w:rFonts w:hint="eastAsia" w:ascii="宋体" w:hAnsi="宋体" w:eastAsia="宋体" w:cs="宋体"/>
          <w:sz w:val="24"/>
          <w:szCs w:val="20"/>
          <w:lang w:val="en-US" w:eastAsia="zh-CN"/>
        </w:rPr>
        <w:fldChar w:fldCharType="separate"/>
      </w:r>
      <w:r>
        <w:rPr>
          <w:rFonts w:hint="eastAsia" w:ascii="宋体" w:hAnsi="宋体" w:eastAsia="宋体" w:cs="宋体"/>
          <w:sz w:val="24"/>
          <w:szCs w:val="20"/>
          <w:lang w:val="zh-CN" w:eastAsia="zh-CN"/>
        </w:rPr>
        <w:t>www.ccgp.gov.cn</w:t>
      </w:r>
      <w:r>
        <w:rPr>
          <w:rFonts w:hint="eastAsia" w:ascii="宋体" w:hAnsi="宋体" w:eastAsia="宋体" w:cs="宋体"/>
          <w:sz w:val="24"/>
          <w:szCs w:val="20"/>
          <w:lang w:val="zh-CN" w:eastAsia="zh-CN"/>
        </w:rPr>
        <w:fldChar w:fldCharType="end"/>
      </w:r>
      <w:r>
        <w:rPr>
          <w:rFonts w:hint="eastAsia" w:ascii="宋体" w:hAnsi="宋体" w:eastAsia="宋体" w:cs="宋体"/>
          <w:sz w:val="24"/>
          <w:szCs w:val="20"/>
          <w:lang w:val="zh-CN" w:eastAsia="zh-CN"/>
        </w:rPr>
        <w:t>)。</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28.2  </w:t>
      </w:r>
      <w:r>
        <w:rPr>
          <w:rFonts w:hint="eastAsia" w:ascii="宋体" w:hAnsi="宋体" w:eastAsia="宋体" w:cs="宋体"/>
          <w:sz w:val="24"/>
          <w:szCs w:val="20"/>
          <w:lang w:val="zh-CN" w:eastAsia="zh-CN"/>
        </w:rPr>
        <w:t>列入失信被执行人、重大税收违法案件当事人名单、政府采购严重违法失信行为记录名单的供应商，采购代理机构拒绝其参与政府采购活动。</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28.3  </w:t>
      </w:r>
      <w:r>
        <w:rPr>
          <w:rFonts w:hint="eastAsia" w:ascii="宋体" w:hAnsi="宋体" w:eastAsia="宋体" w:cs="宋体"/>
          <w:sz w:val="24"/>
          <w:szCs w:val="20"/>
          <w:lang w:val="zh-CN" w:eastAsia="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28.4  </w:t>
      </w:r>
      <w:r>
        <w:rPr>
          <w:rFonts w:hint="eastAsia" w:ascii="宋体" w:hAnsi="宋体" w:eastAsia="宋体" w:cs="宋体"/>
          <w:sz w:val="24"/>
          <w:szCs w:val="20"/>
          <w:lang w:val="zh-CN" w:eastAsia="zh-CN"/>
        </w:rPr>
        <w:t>投标人的信用记录，最终以评标时的“信用中国”网站和“中国政府采购网”网站发布的信息为准。</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28.5  </w:t>
      </w:r>
      <w:r>
        <w:rPr>
          <w:rFonts w:hint="eastAsia" w:ascii="宋体" w:hAnsi="宋体" w:eastAsia="宋体" w:cs="宋体"/>
          <w:sz w:val="24"/>
          <w:szCs w:val="20"/>
          <w:lang w:val="zh-CN" w:eastAsia="zh-CN"/>
        </w:rPr>
        <w:t>在资格审查与评标工作未同日进行的特殊情形下，采购代理机构工作人员在评标时对投标人的信用信息进行复核，发现评标当日存在不良信用信息的，由评标委员会按照符合性审查不合格作无效投标处理。</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39" w:name="_Toc494561944"/>
      <w:bookmarkStart w:id="40" w:name="_Toc31222"/>
      <w:r>
        <w:rPr>
          <w:rFonts w:hint="eastAsia" w:ascii="宋体" w:hAnsi="宋体" w:eastAsia="宋体" w:cs="宋体"/>
          <w:bCs w:val="0"/>
          <w:lang w:val="zh-CN" w:eastAsia="zh-CN"/>
        </w:rPr>
        <w:t>中标与合同</w:t>
      </w:r>
      <w:bookmarkEnd w:id="39"/>
      <w:bookmarkEnd w:id="40"/>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确定中标人</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29.1 </w:t>
      </w:r>
      <w:r>
        <w:rPr>
          <w:rFonts w:hint="eastAsia" w:ascii="宋体" w:hAnsi="宋体" w:eastAsia="宋体" w:cs="宋体"/>
          <w:sz w:val="24"/>
          <w:szCs w:val="20"/>
          <w:lang w:val="zh-CN" w:eastAsia="zh-CN"/>
        </w:rPr>
        <w:t>采购人收到评标报告5个工作日内，按评标报告推荐的中标候选人顺序确定中标人。</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29.2</w:t>
      </w:r>
      <w:r>
        <w:rPr>
          <w:rFonts w:hint="eastAsia" w:ascii="宋体" w:hAnsi="宋体" w:eastAsia="宋体" w:cs="宋体"/>
          <w:sz w:val="24"/>
          <w:szCs w:val="20"/>
          <w:lang w:val="zh-CN" w:eastAsia="zh-CN"/>
        </w:rPr>
        <w:t>中标候选人并列的：</w:t>
      </w:r>
    </w:p>
    <w:p>
      <w:pPr>
        <w:numPr>
          <w:ilvl w:val="0"/>
          <w:numId w:val="0"/>
        </w:numPr>
        <w:spacing w:line="360" w:lineRule="auto"/>
        <w:ind w:left="1250" w:leftChars="103" w:hanging="1034" w:hangingChars="431"/>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29.2.1  </w:t>
      </w:r>
      <w:r>
        <w:rPr>
          <w:rFonts w:hint="eastAsia" w:ascii="宋体" w:hAnsi="宋体" w:eastAsia="宋体" w:cs="宋体"/>
          <w:sz w:val="24"/>
          <w:szCs w:val="20"/>
          <w:lang w:val="zh-CN" w:eastAsia="zh-CN"/>
        </w:rPr>
        <w:t>采用最低评标价法的，评标结果按投标报价由低到高顺序排列。投标报价相同的并列，由采购人确定或者采购人委托评标委员会以投票方式确定中标人。</w:t>
      </w:r>
    </w:p>
    <w:p>
      <w:pPr>
        <w:numPr>
          <w:ilvl w:val="0"/>
          <w:numId w:val="0"/>
        </w:numPr>
        <w:spacing w:line="360" w:lineRule="auto"/>
        <w:ind w:left="1250" w:leftChars="103" w:hanging="1034" w:hangingChars="431"/>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29.2.2  </w:t>
      </w:r>
      <w:r>
        <w:rPr>
          <w:rFonts w:hint="eastAsia" w:ascii="宋体" w:hAnsi="宋体" w:eastAsia="宋体" w:cs="宋体"/>
          <w:sz w:val="24"/>
          <w:szCs w:val="20"/>
          <w:lang w:val="zh-CN" w:eastAsia="zh-CN"/>
        </w:rPr>
        <w:t>采用综合评分法的，评标结果按评审后得分由高到低顺序排列。得分相同的，按投标报价由低到高顺序排列。得分且投标报价相同的并列，由采购人确定或者采购人委托评标委员会以投票方式确定中标人。</w:t>
      </w:r>
    </w:p>
    <w:p>
      <w:pPr>
        <w:numPr>
          <w:ilvl w:val="0"/>
          <w:numId w:val="0"/>
        </w:numPr>
        <w:spacing w:line="360" w:lineRule="auto"/>
        <w:ind w:leftChars="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29.3 </w:t>
      </w:r>
      <w:r>
        <w:rPr>
          <w:rFonts w:hint="eastAsia" w:ascii="宋体" w:hAnsi="宋体" w:eastAsia="宋体" w:cs="宋体"/>
          <w:sz w:val="24"/>
          <w:szCs w:val="20"/>
          <w:lang w:val="zh-CN"/>
        </w:rPr>
        <w:t>中标人的数量有其他规定的，按招标文件相关规定执行。</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29.4 </w:t>
      </w:r>
      <w:r>
        <w:rPr>
          <w:rFonts w:hint="eastAsia" w:ascii="宋体" w:hAnsi="宋体" w:eastAsia="宋体" w:cs="宋体"/>
          <w:sz w:val="24"/>
          <w:szCs w:val="20"/>
          <w:lang w:val="zh-CN" w:eastAsia="zh-CN"/>
        </w:rPr>
        <w:t>中标人确定后，采购代理机构在政府采购监管部门指定的媒体上发布中标公告，同时向中标人和采购人发出《中标通知书》。《中标通知书》是政府采购合同的组成部分,对中标人和采购人具有同等法律效力。</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29.5</w:t>
      </w:r>
      <w:r>
        <w:rPr>
          <w:rFonts w:hint="eastAsia" w:ascii="宋体" w:hAnsi="宋体" w:eastAsia="宋体" w:cs="宋体"/>
          <w:sz w:val="24"/>
          <w:szCs w:val="20"/>
          <w:lang w:val="zh-CN" w:eastAsia="zh-CN"/>
        </w:rPr>
        <w:t>中标通知书发出后，采购人不得违法改变中标结果，中标人无正当理由不得放弃中标。</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29.6 </w:t>
      </w:r>
      <w:r>
        <w:rPr>
          <w:rFonts w:hint="eastAsia" w:ascii="宋体" w:hAnsi="宋体" w:eastAsia="宋体" w:cs="宋体"/>
          <w:sz w:val="24"/>
          <w:szCs w:val="20"/>
          <w:lang w:val="zh-CN" w:eastAsia="zh-CN"/>
        </w:rPr>
        <w:t>中标人拒绝与采购人签订合同的，采购人可以按照评标报告推荐的中标候选人名单排序，确定下一候选人为中标人，也可以重新开展政府采购活动。</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合同授予</w:t>
      </w:r>
    </w:p>
    <w:p>
      <w:pPr>
        <w:spacing w:line="360" w:lineRule="auto"/>
        <w:ind w:firstLine="480" w:firstLineChars="20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除本</w:t>
      </w:r>
      <w:r>
        <w:rPr>
          <w:rFonts w:hint="eastAsia" w:ascii="宋体" w:hAnsi="宋体" w:eastAsia="宋体" w:cs="宋体"/>
          <w:sz w:val="24"/>
          <w:szCs w:val="20"/>
          <w:lang w:val="zh-CN"/>
        </w:rPr>
        <w:t>章“确定中标人”规定及其他法律规定的情形</w:t>
      </w:r>
      <w:r>
        <w:rPr>
          <w:rFonts w:hint="eastAsia" w:ascii="宋体" w:hAnsi="宋体" w:eastAsia="宋体" w:cs="宋体"/>
          <w:sz w:val="24"/>
          <w:szCs w:val="20"/>
          <w:lang w:val="zh-CN" w:eastAsia="zh-CN"/>
        </w:rPr>
        <w:t>外，</w:t>
      </w:r>
      <w:r>
        <w:rPr>
          <w:rFonts w:hint="eastAsia" w:ascii="宋体" w:hAnsi="宋体" w:eastAsia="宋体" w:cs="宋体"/>
          <w:sz w:val="24"/>
          <w:szCs w:val="20"/>
          <w:lang w:val="zh-CN"/>
        </w:rPr>
        <w:t>采购人</w:t>
      </w:r>
      <w:r>
        <w:rPr>
          <w:rFonts w:hint="eastAsia" w:ascii="宋体" w:hAnsi="宋体" w:eastAsia="宋体" w:cs="宋体"/>
          <w:sz w:val="24"/>
          <w:szCs w:val="20"/>
          <w:lang w:val="zh-CN" w:eastAsia="zh-CN"/>
        </w:rPr>
        <w:t>把合同授予被确定为实质上响应招标文件要求且排名第一的中标人。</w:t>
      </w:r>
    </w:p>
    <w:p>
      <w:pPr>
        <w:numPr>
          <w:ilvl w:val="0"/>
          <w:numId w:val="3"/>
        </w:numPr>
        <w:spacing w:line="360" w:lineRule="auto"/>
        <w:ind w:left="560" w:hanging="560"/>
        <w:rPr>
          <w:rFonts w:hint="eastAsia" w:ascii="宋体" w:hAnsi="宋体" w:eastAsia="宋体" w:cs="宋体"/>
          <w:b/>
          <w:sz w:val="24"/>
          <w:szCs w:val="20"/>
          <w:lang w:val="zh-CN" w:eastAsia="zh-CN"/>
        </w:rPr>
      </w:pPr>
      <w:r>
        <w:rPr>
          <w:rFonts w:hint="eastAsia" w:ascii="宋体" w:hAnsi="宋体" w:eastAsia="宋体" w:cs="宋体"/>
          <w:b/>
          <w:sz w:val="24"/>
          <w:szCs w:val="20"/>
          <w:lang w:val="zh-CN" w:eastAsia="zh-CN"/>
        </w:rPr>
        <w:t>合同签订</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bookmarkStart w:id="41" w:name="_Toc278891597"/>
      <w:bookmarkStart w:id="42" w:name="_Toc272247700"/>
      <w:r>
        <w:rPr>
          <w:rFonts w:hint="eastAsia" w:ascii="宋体" w:hAnsi="宋体" w:eastAsia="宋体" w:cs="宋体"/>
          <w:sz w:val="24"/>
          <w:szCs w:val="20"/>
          <w:lang w:val="en-US" w:eastAsia="zh-CN"/>
        </w:rPr>
        <w:t xml:space="preserve">31.1  </w:t>
      </w:r>
      <w:r>
        <w:rPr>
          <w:rFonts w:hint="eastAsia" w:ascii="宋体" w:hAnsi="宋体" w:eastAsia="宋体" w:cs="宋体"/>
          <w:sz w:val="24"/>
          <w:szCs w:val="20"/>
          <w:lang w:val="zh-CN" w:eastAsia="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31.2  </w:t>
      </w:r>
      <w:r>
        <w:rPr>
          <w:rFonts w:hint="eastAsia" w:ascii="宋体" w:hAnsi="宋体" w:eastAsia="宋体" w:cs="宋体"/>
          <w:sz w:val="24"/>
          <w:szCs w:val="20"/>
          <w:lang w:val="zh-CN" w:eastAsia="zh-CN"/>
        </w:rPr>
        <w:t>采购人不得向中标人提出任何不合理的要求作为签订合同的条件。</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31.3  </w:t>
      </w:r>
      <w:r>
        <w:rPr>
          <w:rFonts w:hint="eastAsia" w:ascii="宋体" w:hAnsi="宋体" w:eastAsia="宋体" w:cs="宋体"/>
          <w:sz w:val="24"/>
          <w:szCs w:val="20"/>
          <w:lang w:val="zh-CN" w:eastAsia="zh-CN"/>
        </w:rPr>
        <w:t>政府采购合同应当包括采购人与中标人的名称和住所、标的、数量、质量、价款或者报酬、履行期限及地点和方式、验收要求、违约责任、解决争议的方法等内容。</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31.4  </w:t>
      </w:r>
      <w:r>
        <w:rPr>
          <w:rFonts w:hint="eastAsia" w:ascii="宋体" w:hAnsi="宋体" w:eastAsia="宋体" w:cs="宋体"/>
          <w:sz w:val="24"/>
          <w:szCs w:val="20"/>
          <w:lang w:val="zh-CN" w:eastAsia="zh-CN"/>
        </w:rPr>
        <w:t>采购人与中标人应当根据合同的约定依法履行合同义务。政府采购合同的履行、违约责任和解决争议的方法等适用《中华人民共和国合同法》。</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31.5  采购人应当自政府采购合同签订之日起2个工作日内，将政府采购合同在省级以上人民政府财政部门指定的媒体上公告，但政府采购合同中涉及国家秘密、商业秘密的内容除外。</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31.6 </w:t>
      </w:r>
      <w:r>
        <w:rPr>
          <w:rFonts w:hint="eastAsia" w:ascii="宋体" w:hAnsi="宋体" w:eastAsia="宋体" w:cs="宋体"/>
          <w:sz w:val="24"/>
          <w:szCs w:val="20"/>
          <w:lang w:val="zh-CN" w:eastAsia="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43" w:name="_Toc494561945"/>
      <w:bookmarkStart w:id="44" w:name="_Toc20989"/>
      <w:r>
        <w:rPr>
          <w:rFonts w:hint="eastAsia" w:ascii="宋体" w:hAnsi="宋体" w:eastAsia="宋体" w:cs="宋体"/>
          <w:bCs w:val="0"/>
          <w:lang w:val="zh-CN" w:eastAsia="zh-CN"/>
        </w:rPr>
        <w:t>采购信息公告</w:t>
      </w:r>
      <w:bookmarkEnd w:id="43"/>
      <w:bookmarkEnd w:id="44"/>
    </w:p>
    <w:p>
      <w:pPr>
        <w:numPr>
          <w:ilvl w:val="0"/>
          <w:numId w:val="3"/>
        </w:numPr>
        <w:spacing w:line="360" w:lineRule="auto"/>
        <w:ind w:left="560" w:hanging="560"/>
        <w:rPr>
          <w:rFonts w:hint="eastAsia" w:ascii="宋体" w:hAnsi="宋体" w:eastAsia="宋体" w:cs="宋体"/>
          <w:b/>
          <w:color w:val="0D0D0D"/>
          <w:kern w:val="0"/>
          <w:sz w:val="24"/>
          <w:szCs w:val="24"/>
          <w:lang w:val="zh-CN" w:eastAsia="zh-CN"/>
        </w:rPr>
      </w:pPr>
      <w:r>
        <w:rPr>
          <w:rFonts w:hint="eastAsia" w:ascii="宋体" w:hAnsi="宋体" w:eastAsia="宋体" w:cs="宋体"/>
          <w:b/>
          <w:color w:val="0D0D0D"/>
          <w:kern w:val="0"/>
          <w:sz w:val="24"/>
          <w:szCs w:val="24"/>
          <w:lang w:val="zh-CN"/>
        </w:rPr>
        <w:t>公告的媒体及规定</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32.1  </w:t>
      </w:r>
      <w:r>
        <w:rPr>
          <w:rFonts w:hint="eastAsia" w:ascii="宋体" w:hAnsi="宋体" w:eastAsia="宋体" w:cs="宋体"/>
          <w:sz w:val="24"/>
          <w:szCs w:val="20"/>
          <w:lang w:val="zh-CN" w:eastAsia="zh-CN"/>
        </w:rPr>
        <w:t>采购代理机构机构在招标活动中的公告、补充、更正、结果等采购信息均依法在政府采购监管部门指定媒体上（中国湖北政府采购网http://www.ccgp-hubei.gov.cn/）发布。</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32.2  </w:t>
      </w:r>
      <w:r>
        <w:rPr>
          <w:rFonts w:hint="eastAsia" w:ascii="宋体" w:hAnsi="宋体" w:eastAsia="宋体" w:cs="宋体"/>
          <w:sz w:val="24"/>
          <w:szCs w:val="20"/>
          <w:lang w:val="zh-CN" w:eastAsia="zh-CN"/>
        </w:rPr>
        <w:t>采购代理机构在自中标人确定之日起2个工作日内，在政府采购监管部门指定媒体上公告中标结果，中标公告的公示期为1个工作日。</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32.3  </w:t>
      </w:r>
      <w:r>
        <w:rPr>
          <w:rFonts w:hint="eastAsia" w:ascii="宋体" w:hAnsi="宋体" w:eastAsia="宋体" w:cs="宋体"/>
          <w:sz w:val="24"/>
          <w:szCs w:val="20"/>
          <w:lang w:val="zh-CN" w:eastAsia="zh-CN"/>
        </w:rPr>
        <w:t>资格审查未通过的投标人可在结果公告质疑有效期内按公告中的联系方式获知本单位的资格审查情况。</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32.4  </w:t>
      </w:r>
      <w:r>
        <w:rPr>
          <w:rFonts w:hint="eastAsia" w:ascii="宋体" w:hAnsi="宋体" w:eastAsia="宋体" w:cs="宋体"/>
          <w:sz w:val="24"/>
          <w:szCs w:val="20"/>
          <w:lang w:val="zh-CN" w:eastAsia="zh-CN"/>
        </w:rPr>
        <w:t>采用综合评分法评审的项目，未中标人可在结果公告质疑有效期内按公告中的联系方式获知本单位的评审得分与排序。</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45" w:name="_Toc25513"/>
      <w:bookmarkStart w:id="46" w:name="_Toc494561946"/>
      <w:r>
        <w:rPr>
          <w:rFonts w:hint="eastAsia" w:ascii="宋体" w:hAnsi="宋体" w:eastAsia="宋体" w:cs="宋体"/>
          <w:bCs w:val="0"/>
          <w:lang w:val="zh-CN" w:eastAsia="zh-CN"/>
        </w:rPr>
        <w:t>质疑</w:t>
      </w:r>
      <w:bookmarkEnd w:id="41"/>
      <w:bookmarkEnd w:id="42"/>
      <w:r>
        <w:rPr>
          <w:rFonts w:hint="eastAsia" w:ascii="宋体" w:hAnsi="宋体" w:eastAsia="宋体" w:cs="宋体"/>
          <w:bCs w:val="0"/>
          <w:lang w:val="zh-CN" w:eastAsia="zh-CN"/>
        </w:rPr>
        <w:t>及提交</w:t>
      </w:r>
      <w:bookmarkEnd w:id="45"/>
      <w:bookmarkEnd w:id="46"/>
    </w:p>
    <w:p>
      <w:pPr>
        <w:numPr>
          <w:ilvl w:val="0"/>
          <w:numId w:val="3"/>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质疑提交</w:t>
      </w:r>
    </w:p>
    <w:p>
      <w:pPr>
        <w:spacing w:line="360" w:lineRule="auto"/>
        <w:ind w:firstLine="480" w:firstLineChars="200"/>
        <w:rPr>
          <w:rFonts w:hint="eastAsia" w:ascii="宋体" w:hAnsi="宋体" w:eastAsia="宋体" w:cs="宋体"/>
          <w:sz w:val="24"/>
          <w:szCs w:val="20"/>
          <w:lang w:val="zh-CN"/>
        </w:rPr>
      </w:pPr>
      <w:r>
        <w:rPr>
          <w:rFonts w:hint="eastAsia" w:ascii="宋体" w:hAnsi="宋体" w:eastAsia="宋体" w:cs="宋体"/>
          <w:sz w:val="24"/>
          <w:szCs w:val="20"/>
          <w:lang w:val="zh-CN"/>
        </w:rPr>
        <w:t>投标人</w:t>
      </w:r>
      <w:r>
        <w:rPr>
          <w:rFonts w:hint="eastAsia" w:ascii="宋体" w:hAnsi="宋体" w:eastAsia="宋体" w:cs="宋体"/>
          <w:sz w:val="24"/>
          <w:szCs w:val="20"/>
          <w:lang w:val="zh-CN" w:eastAsia="zh-CN"/>
        </w:rPr>
        <w:t>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r>
        <w:rPr>
          <w:rFonts w:hint="eastAsia" w:ascii="宋体" w:hAnsi="宋体" w:eastAsia="宋体" w:cs="宋体"/>
          <w:sz w:val="24"/>
          <w:szCs w:val="20"/>
          <w:lang w:val="zh-CN" w:eastAsia="zh-CN"/>
        </w:rPr>
        <w:t>。</w:t>
      </w:r>
    </w:p>
    <w:p>
      <w:pPr>
        <w:numPr>
          <w:ilvl w:val="0"/>
          <w:numId w:val="3"/>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投标人应知其权益受到损害之日是指：</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34.1 </w:t>
      </w:r>
      <w:r>
        <w:rPr>
          <w:rFonts w:hint="eastAsia" w:ascii="宋体" w:hAnsi="宋体" w:eastAsia="宋体" w:cs="宋体"/>
          <w:sz w:val="24"/>
          <w:szCs w:val="20"/>
          <w:lang w:val="zh-CN" w:eastAsia="zh-CN"/>
        </w:rPr>
        <w:t>对可以质疑的招标文件提出质疑的，为收到招标文件之日或者招标文件公告期限届满之日；</w:t>
      </w:r>
    </w:p>
    <w:p>
      <w:pPr>
        <w:numPr>
          <w:ilvl w:val="0"/>
          <w:numId w:val="0"/>
        </w:numPr>
        <w:spacing w:line="360" w:lineRule="auto"/>
        <w:ind w:left="636" w:leftChars="0" w:hanging="636" w:hangingChars="265"/>
        <w:rPr>
          <w:rFonts w:hint="eastAsia" w:ascii="宋体" w:hAnsi="宋体" w:eastAsia="宋体" w:cs="宋体"/>
          <w:sz w:val="24"/>
          <w:szCs w:val="20"/>
          <w:lang w:val="zh-CN" w:eastAsia="zh-CN"/>
        </w:rPr>
      </w:pPr>
      <w:r>
        <w:rPr>
          <w:rFonts w:hint="eastAsia" w:ascii="宋体" w:hAnsi="宋体" w:eastAsia="宋体" w:cs="宋体"/>
          <w:sz w:val="24"/>
          <w:szCs w:val="20"/>
          <w:lang w:val="en-US" w:eastAsia="zh-CN"/>
        </w:rPr>
        <w:t xml:space="preserve">34.2  </w:t>
      </w:r>
      <w:r>
        <w:rPr>
          <w:rFonts w:hint="eastAsia" w:ascii="宋体" w:hAnsi="宋体" w:eastAsia="宋体" w:cs="宋体"/>
          <w:sz w:val="24"/>
          <w:szCs w:val="20"/>
          <w:lang w:val="zh-CN" w:eastAsia="zh-CN"/>
        </w:rPr>
        <w:t>对招标过程提出质疑的，为各招标程序环节结束之日；</w:t>
      </w:r>
    </w:p>
    <w:p>
      <w:pPr>
        <w:numPr>
          <w:ilvl w:val="0"/>
          <w:numId w:val="0"/>
        </w:numPr>
        <w:spacing w:line="360" w:lineRule="auto"/>
        <w:ind w:left="636" w:leftChars="0" w:hanging="636" w:hangingChars="265"/>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34.3  </w:t>
      </w:r>
      <w:r>
        <w:rPr>
          <w:rFonts w:hint="eastAsia" w:ascii="宋体" w:hAnsi="宋体" w:eastAsia="宋体" w:cs="宋体"/>
          <w:sz w:val="24"/>
          <w:szCs w:val="20"/>
          <w:lang w:val="zh-CN" w:eastAsia="zh-CN"/>
        </w:rPr>
        <w:t>对中标结果提出质疑的，为中标公告期限届满之日。</w:t>
      </w:r>
    </w:p>
    <w:p>
      <w:pPr>
        <w:numPr>
          <w:ilvl w:val="0"/>
          <w:numId w:val="3"/>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质疑书应当包括下列主要内容：</w:t>
      </w:r>
    </w:p>
    <w:p>
      <w:pPr>
        <w:numPr>
          <w:ilvl w:val="0"/>
          <w:numId w:val="0"/>
        </w:numPr>
        <w:spacing w:line="360" w:lineRule="auto"/>
        <w:ind w:left="0" w:leftChars="0" w:firstLine="0" w:firstLineChars="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35.1  </w:t>
      </w:r>
      <w:r>
        <w:rPr>
          <w:rFonts w:hint="eastAsia" w:ascii="宋体" w:hAnsi="宋体" w:eastAsia="宋体" w:cs="宋体"/>
          <w:sz w:val="24"/>
          <w:szCs w:val="20"/>
          <w:lang w:val="zh-CN"/>
        </w:rPr>
        <w:t>质疑人的名称、地址、联系人及联系电话等；</w:t>
      </w:r>
    </w:p>
    <w:p>
      <w:pPr>
        <w:numPr>
          <w:ilvl w:val="0"/>
          <w:numId w:val="0"/>
        </w:numPr>
        <w:spacing w:line="360" w:lineRule="auto"/>
        <w:ind w:left="0" w:leftChars="0" w:firstLine="0" w:firstLineChars="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35.2  </w:t>
      </w:r>
      <w:r>
        <w:rPr>
          <w:rFonts w:hint="eastAsia" w:ascii="宋体" w:hAnsi="宋体" w:eastAsia="宋体" w:cs="宋体"/>
          <w:sz w:val="24"/>
          <w:szCs w:val="20"/>
          <w:lang w:val="zh-CN"/>
        </w:rPr>
        <w:t>被质疑人的名称、地址、联系人及联系电话等；</w:t>
      </w:r>
    </w:p>
    <w:p>
      <w:pPr>
        <w:numPr>
          <w:ilvl w:val="0"/>
          <w:numId w:val="0"/>
        </w:numPr>
        <w:spacing w:line="360" w:lineRule="auto"/>
        <w:ind w:left="0" w:leftChars="0" w:firstLine="0" w:firstLineChars="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35.3  </w:t>
      </w:r>
      <w:r>
        <w:rPr>
          <w:rFonts w:hint="eastAsia" w:ascii="宋体" w:hAnsi="宋体" w:eastAsia="宋体" w:cs="宋体"/>
          <w:sz w:val="24"/>
          <w:szCs w:val="20"/>
          <w:lang w:val="zh-CN"/>
        </w:rPr>
        <w:t>质疑项目名称及编号、质疑事项和明确的请求；</w:t>
      </w:r>
    </w:p>
    <w:p>
      <w:pPr>
        <w:numPr>
          <w:ilvl w:val="0"/>
          <w:numId w:val="0"/>
        </w:numPr>
        <w:spacing w:line="360" w:lineRule="auto"/>
        <w:ind w:left="0" w:leftChars="0" w:firstLine="0" w:firstLineChars="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35.4  </w:t>
      </w:r>
      <w:r>
        <w:rPr>
          <w:rFonts w:hint="eastAsia" w:ascii="宋体" w:hAnsi="宋体" w:eastAsia="宋体" w:cs="宋体"/>
          <w:sz w:val="24"/>
          <w:szCs w:val="20"/>
          <w:lang w:val="zh-CN"/>
        </w:rPr>
        <w:t>质疑事项的事实根据、法律依据及其他必要的证明材料；</w:t>
      </w:r>
    </w:p>
    <w:p>
      <w:pPr>
        <w:numPr>
          <w:ilvl w:val="0"/>
          <w:numId w:val="0"/>
        </w:numPr>
        <w:spacing w:line="360" w:lineRule="auto"/>
        <w:ind w:left="0" w:leftChars="0" w:firstLine="0" w:firstLineChars="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35.5  </w:t>
      </w:r>
      <w:r>
        <w:rPr>
          <w:rFonts w:hint="eastAsia" w:ascii="宋体" w:hAnsi="宋体" w:eastAsia="宋体" w:cs="宋体"/>
          <w:sz w:val="24"/>
          <w:szCs w:val="20"/>
          <w:lang w:val="zh-CN"/>
        </w:rPr>
        <w:t>提出质疑的日期；</w:t>
      </w:r>
    </w:p>
    <w:p>
      <w:pPr>
        <w:numPr>
          <w:ilvl w:val="0"/>
          <w:numId w:val="0"/>
        </w:numPr>
        <w:spacing w:line="360" w:lineRule="auto"/>
        <w:ind w:left="840" w:leftChars="0" w:hanging="840" w:hangingChars="35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35.6  </w:t>
      </w:r>
      <w:r>
        <w:rPr>
          <w:rFonts w:hint="eastAsia" w:ascii="宋体" w:hAnsi="宋体" w:eastAsia="宋体" w:cs="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0"/>
        </w:numPr>
        <w:spacing w:line="360" w:lineRule="auto"/>
        <w:ind w:left="840" w:leftChars="0" w:hanging="840" w:hangingChars="350"/>
        <w:rPr>
          <w:rFonts w:hint="eastAsia" w:ascii="宋体" w:hAnsi="宋体" w:eastAsia="宋体" w:cs="宋体"/>
          <w:sz w:val="24"/>
          <w:szCs w:val="20"/>
          <w:lang w:val="zh-CN"/>
        </w:rPr>
      </w:pPr>
      <w:r>
        <w:rPr>
          <w:rFonts w:hint="eastAsia" w:ascii="宋体" w:hAnsi="宋体" w:eastAsia="宋体" w:cs="宋体"/>
          <w:sz w:val="24"/>
          <w:szCs w:val="20"/>
          <w:lang w:val="en-US" w:eastAsia="zh-CN"/>
        </w:rPr>
        <w:t xml:space="preserve">35.7  </w:t>
      </w:r>
      <w:r>
        <w:rPr>
          <w:rFonts w:hint="eastAsia" w:ascii="宋体" w:hAnsi="宋体" w:eastAsia="宋体" w:cs="宋体"/>
          <w:sz w:val="24"/>
          <w:szCs w:val="20"/>
          <w:lang w:val="zh-CN"/>
        </w:rPr>
        <w:t>法人授权委托书（质疑人或法人委托代理人办理质疑事务的，应当提供授权委托书，授权委托书应当载明委托代理的具体权限和事项）。</w:t>
      </w:r>
    </w:p>
    <w:p>
      <w:pPr>
        <w:numPr>
          <w:ilvl w:val="0"/>
          <w:numId w:val="3"/>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不予受理的情形</w:t>
      </w:r>
    </w:p>
    <w:p>
      <w:pPr>
        <w:spacing w:line="360" w:lineRule="auto"/>
        <w:ind w:firstLine="480" w:firstLineChars="200"/>
        <w:rPr>
          <w:rFonts w:hint="eastAsia" w:ascii="宋体" w:hAnsi="宋体" w:eastAsia="宋体" w:cs="宋体"/>
          <w:sz w:val="24"/>
          <w:szCs w:val="20"/>
          <w:lang w:val="zh-CN"/>
        </w:rPr>
      </w:pPr>
      <w:r>
        <w:rPr>
          <w:rFonts w:hint="eastAsia" w:ascii="宋体" w:hAnsi="宋体" w:eastAsia="宋体" w:cs="宋体"/>
          <w:sz w:val="24"/>
          <w:szCs w:val="20"/>
          <w:lang w:val="zh-CN"/>
        </w:rPr>
        <w:t>投标人未按本章“质疑及提交”规定的时限、内容及方式进行质疑的，</w:t>
      </w:r>
      <w:r>
        <w:rPr>
          <w:rFonts w:hint="eastAsia" w:ascii="宋体" w:hAnsi="宋体" w:eastAsia="宋体" w:cs="宋体"/>
          <w:kern w:val="0"/>
          <w:sz w:val="22"/>
          <w:szCs w:val="22"/>
        </w:rPr>
        <w:t>采购人</w:t>
      </w:r>
      <w:r>
        <w:rPr>
          <w:rFonts w:hint="eastAsia" w:ascii="宋体" w:hAnsi="宋体" w:eastAsia="宋体" w:cs="宋体"/>
          <w:color w:val="000000"/>
          <w:kern w:val="0"/>
          <w:sz w:val="22"/>
          <w:szCs w:val="22"/>
        </w:rPr>
        <w:t>（或代理公司）</w:t>
      </w:r>
      <w:r>
        <w:rPr>
          <w:rFonts w:hint="eastAsia" w:ascii="宋体" w:hAnsi="宋体" w:eastAsia="宋体" w:cs="宋体"/>
          <w:sz w:val="24"/>
          <w:szCs w:val="20"/>
          <w:lang w:val="zh-CN"/>
        </w:rPr>
        <w:t>机构不予受理。</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47" w:name="_Toc8910"/>
      <w:bookmarkStart w:id="48" w:name="_Toc494561947"/>
      <w:r>
        <w:rPr>
          <w:rFonts w:hint="eastAsia" w:ascii="宋体" w:hAnsi="宋体" w:eastAsia="宋体" w:cs="宋体"/>
          <w:bCs w:val="0"/>
          <w:lang w:val="zh-CN" w:eastAsia="zh-CN"/>
        </w:rPr>
        <w:t>相关条文解读</w:t>
      </w:r>
      <w:bookmarkEnd w:id="47"/>
      <w:bookmarkEnd w:id="48"/>
    </w:p>
    <w:p>
      <w:pPr>
        <w:numPr>
          <w:ilvl w:val="0"/>
          <w:numId w:val="3"/>
        </w:numPr>
        <w:spacing w:line="360" w:lineRule="auto"/>
        <w:ind w:left="560" w:hanging="56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政府采购法第二十二条第一款第五项所称重大违法记录，是指供应商因违法经营受到刑事处罚或者责令停产停业、吊销许可证或者执照、较大数额罚款等行政处罚。</w:t>
      </w:r>
    </w:p>
    <w:p>
      <w:pPr>
        <w:numPr>
          <w:ilvl w:val="0"/>
          <w:numId w:val="3"/>
        </w:numPr>
        <w:spacing w:line="360" w:lineRule="auto"/>
        <w:ind w:left="560" w:hanging="56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3"/>
        </w:numPr>
        <w:spacing w:line="360" w:lineRule="auto"/>
        <w:ind w:left="560" w:hanging="56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供应商在参加政府采购活动前3年内因违法经营被禁止在一定期限内参加政府采购活动，期限届满的，可以参加政府采购活动。</w:t>
      </w:r>
    </w:p>
    <w:p>
      <w:pPr>
        <w:numPr>
          <w:ilvl w:val="0"/>
          <w:numId w:val="3"/>
        </w:numPr>
        <w:spacing w:line="360" w:lineRule="auto"/>
        <w:ind w:left="560" w:hanging="56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根据财政部《政府采购法实施条例》释义中关于供应商资格条件的解释，对于银行、保险、石油石化、电力、电信等有行业特殊情况的，采购人和采购代理机构允许</w:t>
      </w:r>
      <w:r>
        <w:rPr>
          <w:rFonts w:hint="eastAsia" w:ascii="宋体" w:hAnsi="宋体" w:eastAsia="宋体" w:cs="宋体"/>
          <w:sz w:val="24"/>
          <w:szCs w:val="20"/>
          <w:lang w:val="zh-CN"/>
        </w:rPr>
        <w:t>其</w:t>
      </w:r>
      <w:r>
        <w:rPr>
          <w:rFonts w:hint="eastAsia" w:ascii="宋体" w:hAnsi="宋体" w:eastAsia="宋体" w:cs="宋体"/>
          <w:sz w:val="24"/>
          <w:szCs w:val="20"/>
          <w:lang w:val="zh-CN" w:eastAsia="zh-CN"/>
        </w:rPr>
        <w:t>分支机构参与投标。</w:t>
      </w:r>
    </w:p>
    <w:p>
      <w:pPr>
        <w:pStyle w:val="4"/>
        <w:numPr>
          <w:ilvl w:val="0"/>
          <w:numId w:val="2"/>
        </w:numPr>
        <w:spacing w:before="40" w:after="40" w:line="360" w:lineRule="auto"/>
        <w:ind w:left="658" w:hanging="658"/>
        <w:jc w:val="left"/>
        <w:rPr>
          <w:rFonts w:hint="eastAsia" w:ascii="宋体" w:hAnsi="宋体" w:eastAsia="宋体" w:cs="宋体"/>
          <w:bCs w:val="0"/>
          <w:lang w:val="zh-CN" w:eastAsia="zh-CN"/>
        </w:rPr>
      </w:pPr>
      <w:bookmarkStart w:id="49" w:name="_Toc494561948"/>
      <w:bookmarkStart w:id="50" w:name="_Toc1167"/>
      <w:r>
        <w:rPr>
          <w:rFonts w:hint="eastAsia" w:ascii="宋体" w:hAnsi="宋体" w:eastAsia="宋体" w:cs="宋体"/>
          <w:bCs w:val="0"/>
          <w:lang w:val="zh-CN" w:eastAsia="zh-CN"/>
        </w:rPr>
        <w:t>其他注意事项</w:t>
      </w:r>
      <w:bookmarkEnd w:id="49"/>
      <w:bookmarkEnd w:id="50"/>
    </w:p>
    <w:p>
      <w:pPr>
        <w:numPr>
          <w:ilvl w:val="0"/>
          <w:numId w:val="3"/>
        </w:numPr>
        <w:spacing w:line="360" w:lineRule="auto"/>
        <w:ind w:left="560" w:hanging="56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单位负责人为同一人或者存在直接控股、管理关系的不同供应商，不得参加同一合同项下的政府采购活动。</w:t>
      </w:r>
    </w:p>
    <w:p>
      <w:pPr>
        <w:numPr>
          <w:ilvl w:val="0"/>
          <w:numId w:val="3"/>
        </w:numPr>
        <w:spacing w:line="360" w:lineRule="auto"/>
        <w:ind w:left="560" w:hanging="56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除单一来源采购项目外，为采购项目提供整体设计、规范编制或者项目管理、监理、检测等服务的供应商，不得再参加该采购项目的其他采购活动。</w:t>
      </w:r>
    </w:p>
    <w:p>
      <w:pPr>
        <w:pStyle w:val="4"/>
        <w:numPr>
          <w:ilvl w:val="0"/>
          <w:numId w:val="2"/>
        </w:numPr>
        <w:spacing w:before="40" w:after="40" w:line="360" w:lineRule="auto"/>
        <w:ind w:left="966" w:hanging="966"/>
        <w:jc w:val="left"/>
        <w:rPr>
          <w:rFonts w:hint="eastAsia" w:ascii="宋体" w:hAnsi="宋体" w:eastAsia="宋体" w:cs="宋体"/>
          <w:bCs w:val="0"/>
          <w:lang w:val="zh-CN" w:eastAsia="zh-CN"/>
        </w:rPr>
      </w:pPr>
      <w:bookmarkStart w:id="51" w:name="_Toc278891598"/>
      <w:bookmarkStart w:id="52" w:name="_Toc494561949"/>
      <w:bookmarkStart w:id="53" w:name="_Toc272247701"/>
      <w:bookmarkStart w:id="54" w:name="_Toc20145"/>
      <w:r>
        <w:rPr>
          <w:rFonts w:hint="eastAsia" w:ascii="宋体" w:hAnsi="宋体" w:eastAsia="宋体" w:cs="宋体"/>
          <w:bCs w:val="0"/>
          <w:lang w:val="zh-CN" w:eastAsia="zh-CN"/>
        </w:rPr>
        <w:t>适用法律</w:t>
      </w:r>
      <w:bookmarkEnd w:id="51"/>
      <w:bookmarkEnd w:id="52"/>
      <w:bookmarkEnd w:id="53"/>
      <w:bookmarkEnd w:id="54"/>
    </w:p>
    <w:p>
      <w:pPr>
        <w:numPr>
          <w:ilvl w:val="0"/>
          <w:numId w:val="3"/>
        </w:numPr>
        <w:spacing w:line="360" w:lineRule="auto"/>
        <w:ind w:left="560" w:hanging="560"/>
        <w:rPr>
          <w:rFonts w:hint="eastAsia" w:ascii="宋体" w:hAnsi="宋体" w:eastAsia="宋体" w:cs="宋体"/>
          <w:sz w:val="24"/>
          <w:szCs w:val="20"/>
          <w:lang w:val="zh-CN" w:eastAsia="zh-CN"/>
        </w:rPr>
      </w:pPr>
      <w:r>
        <w:rPr>
          <w:rFonts w:hint="eastAsia" w:ascii="宋体" w:hAnsi="宋体" w:eastAsia="宋体" w:cs="宋体"/>
          <w:sz w:val="24"/>
          <w:szCs w:val="20"/>
          <w:lang w:val="zh-CN" w:eastAsia="zh-CN"/>
        </w:rPr>
        <w:t>采购人、采购代理机构及投标人的一切招标投标活动均适用《政府采购法》、《政府采购法实施条例》、《政府采购货物和服务招标投标管理办法》及相关</w:t>
      </w:r>
      <w:r>
        <w:rPr>
          <w:rFonts w:hint="eastAsia" w:ascii="宋体" w:hAnsi="宋体" w:eastAsia="宋体" w:cs="宋体"/>
          <w:sz w:val="24"/>
          <w:szCs w:val="20"/>
          <w:lang w:val="zh-CN"/>
        </w:rPr>
        <w:t>法律法规</w:t>
      </w:r>
      <w:r>
        <w:rPr>
          <w:rFonts w:hint="eastAsia" w:ascii="宋体" w:hAnsi="宋体" w:eastAsia="宋体" w:cs="宋体"/>
          <w:sz w:val="24"/>
          <w:szCs w:val="20"/>
          <w:lang w:val="zh-CN" w:eastAsia="zh-CN"/>
        </w:rPr>
        <w:t>。</w:t>
      </w:r>
    </w:p>
    <w:p>
      <w:pPr>
        <w:numPr>
          <w:ilvl w:val="0"/>
          <w:numId w:val="3"/>
        </w:numPr>
        <w:spacing w:line="360" w:lineRule="auto"/>
        <w:ind w:left="560" w:hanging="560"/>
        <w:rPr>
          <w:rFonts w:hint="eastAsia" w:ascii="宋体" w:hAnsi="宋体" w:eastAsia="宋体" w:cs="宋体"/>
          <w:sz w:val="24"/>
          <w:szCs w:val="20"/>
          <w:lang w:val="zh-CN"/>
        </w:rPr>
      </w:pPr>
      <w:r>
        <w:rPr>
          <w:rFonts w:hint="eastAsia" w:ascii="宋体" w:hAnsi="宋体" w:eastAsia="宋体" w:cs="宋体"/>
          <w:kern w:val="0"/>
          <w:sz w:val="24"/>
          <w:szCs w:val="24"/>
          <w:lang w:val="zh-CN" w:eastAsia="zh-CN"/>
        </w:rPr>
        <w:t>政府采购合同的履行、违约责任和解决争议的方法等适用《合同法》。</w:t>
      </w:r>
    </w:p>
    <w:p>
      <w:pPr>
        <w:pStyle w:val="4"/>
        <w:numPr>
          <w:ilvl w:val="0"/>
          <w:numId w:val="2"/>
        </w:numPr>
        <w:spacing w:before="40" w:after="40" w:line="360" w:lineRule="auto"/>
        <w:ind w:left="966" w:hanging="966"/>
        <w:jc w:val="left"/>
        <w:rPr>
          <w:rFonts w:hint="eastAsia" w:ascii="宋体" w:hAnsi="宋体" w:eastAsia="宋体" w:cs="宋体"/>
          <w:bCs w:val="0"/>
          <w:lang w:val="zh-CN" w:eastAsia="zh-CN"/>
        </w:rPr>
      </w:pPr>
      <w:bookmarkStart w:id="55" w:name="_Toc278891599"/>
      <w:bookmarkStart w:id="56" w:name="_Toc494561950"/>
      <w:bookmarkStart w:id="57" w:name="_Toc31563"/>
      <w:bookmarkStart w:id="58" w:name="_Toc272247702"/>
      <w:r>
        <w:rPr>
          <w:rFonts w:hint="eastAsia" w:ascii="宋体" w:hAnsi="宋体" w:eastAsia="宋体" w:cs="宋体"/>
          <w:bCs w:val="0"/>
          <w:lang w:val="zh-CN" w:eastAsia="zh-CN"/>
        </w:rPr>
        <w:t>招标文件的解释权</w:t>
      </w:r>
      <w:bookmarkEnd w:id="55"/>
      <w:bookmarkEnd w:id="56"/>
      <w:bookmarkEnd w:id="57"/>
      <w:bookmarkEnd w:id="58"/>
    </w:p>
    <w:p>
      <w:pPr>
        <w:numPr>
          <w:ilvl w:val="0"/>
          <w:numId w:val="3"/>
        </w:numPr>
        <w:spacing w:line="360" w:lineRule="auto"/>
        <w:ind w:left="560" w:hanging="560"/>
        <w:rPr>
          <w:rFonts w:hint="eastAsia" w:ascii="宋体" w:hAnsi="宋体" w:eastAsia="宋体" w:cs="宋体"/>
        </w:rPr>
      </w:pPr>
      <w:r>
        <w:rPr>
          <w:rFonts w:hint="eastAsia" w:ascii="宋体" w:hAnsi="宋体" w:eastAsia="宋体" w:cs="宋体"/>
          <w:sz w:val="24"/>
          <w:szCs w:val="20"/>
          <w:lang w:val="zh-CN" w:eastAsia="zh-CN"/>
        </w:rPr>
        <w:t>招标文件的最终解释权为采购人、采购代理机构所有。</w:t>
      </w:r>
      <w:r>
        <w:rPr>
          <w:rFonts w:hint="eastAsia" w:ascii="宋体" w:hAnsi="宋体" w:eastAsia="宋体" w:cs="宋体"/>
        </w:rPr>
        <w:br w:type="page"/>
      </w:r>
    </w:p>
    <w:p>
      <w:pPr>
        <w:pStyle w:val="3"/>
        <w:numPr>
          <w:ilvl w:val="0"/>
          <w:numId w:val="1"/>
        </w:numPr>
        <w:jc w:val="center"/>
        <w:rPr>
          <w:rFonts w:hint="eastAsia" w:ascii="宋体" w:hAnsi="宋体" w:eastAsia="宋体" w:cs="宋体"/>
        </w:rPr>
      </w:pPr>
      <w:bookmarkStart w:id="59" w:name="_Toc2278"/>
      <w:r>
        <w:rPr>
          <w:rFonts w:hint="eastAsia" w:ascii="宋体" w:hAnsi="宋体" w:eastAsia="宋体" w:cs="宋体"/>
        </w:rPr>
        <w:t>项目技术、服务及商务要求</w:t>
      </w:r>
      <w:bookmarkEnd w:id="59"/>
    </w:p>
    <w:p>
      <w:pPr>
        <w:widowControl/>
        <w:numPr>
          <w:ilvl w:val="0"/>
          <w:numId w:val="15"/>
        </w:numPr>
        <w:tabs>
          <w:tab w:val="left" w:pos="1800"/>
        </w:tabs>
        <w:spacing w:line="360" w:lineRule="auto"/>
        <w:outlineLvl w:val="1"/>
        <w:rPr>
          <w:rFonts w:hint="eastAsia" w:ascii="宋体" w:hAnsi="宋体" w:eastAsia="宋体" w:cs="宋体"/>
          <w:b/>
          <w:bCs/>
          <w:color w:val="000000"/>
          <w:sz w:val="32"/>
          <w:szCs w:val="32"/>
        </w:rPr>
      </w:pPr>
      <w:bookmarkStart w:id="60" w:name="_Toc18571"/>
      <w:r>
        <w:rPr>
          <w:rFonts w:hint="eastAsia" w:ascii="宋体" w:hAnsi="宋体" w:eastAsia="宋体" w:cs="宋体"/>
          <w:b/>
          <w:bCs/>
          <w:color w:val="000000"/>
          <w:sz w:val="32"/>
          <w:szCs w:val="32"/>
          <w:lang w:eastAsia="zh-CN"/>
        </w:rPr>
        <w:t>采购清单及</w:t>
      </w:r>
      <w:r>
        <w:rPr>
          <w:rFonts w:hint="eastAsia" w:ascii="宋体" w:hAnsi="宋体" w:eastAsia="宋体" w:cs="宋体"/>
          <w:b/>
          <w:bCs/>
          <w:color w:val="000000"/>
          <w:sz w:val="32"/>
          <w:szCs w:val="32"/>
        </w:rPr>
        <w:t>技术规格</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要求</w:t>
      </w:r>
      <w:bookmarkEnd w:id="60"/>
    </w:p>
    <w:p>
      <w:pPr>
        <w:bidi w:val="0"/>
        <w:outlineLvl w:val="2"/>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1.采购需求：</w:t>
      </w:r>
    </w:p>
    <w:tbl>
      <w:tblPr>
        <w:tblStyle w:val="15"/>
        <w:tblW w:w="10600" w:type="dxa"/>
        <w:jc w:val="center"/>
        <w:tblLayout w:type="fixed"/>
        <w:tblCellMar>
          <w:top w:w="0" w:type="dxa"/>
          <w:left w:w="0" w:type="dxa"/>
          <w:bottom w:w="0" w:type="dxa"/>
          <w:right w:w="0" w:type="dxa"/>
        </w:tblCellMar>
      </w:tblPr>
      <w:tblGrid>
        <w:gridCol w:w="1003"/>
        <w:gridCol w:w="5432"/>
        <w:gridCol w:w="885"/>
        <w:gridCol w:w="1120"/>
        <w:gridCol w:w="2160"/>
      </w:tblGrid>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8"/>
                <w:szCs w:val="28"/>
                <w:u w:val="none"/>
                <w:lang w:val="en-US" w:eastAsia="zh-CN" w:bidi="ar-SA"/>
              </w:rPr>
            </w:pPr>
            <w:r>
              <w:rPr>
                <w:rFonts w:hint="eastAsia" w:ascii="宋体" w:hAnsi="宋体" w:eastAsia="宋体" w:cs="宋体"/>
                <w:b/>
                <w:i w:val="0"/>
                <w:color w:val="auto"/>
                <w:kern w:val="0"/>
                <w:sz w:val="28"/>
                <w:szCs w:val="28"/>
                <w:u w:val="none"/>
                <w:lang w:val="en-US" w:eastAsia="zh-CN" w:bidi="ar"/>
              </w:rPr>
              <w:t>序号</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8"/>
                <w:szCs w:val="28"/>
                <w:u w:val="none"/>
                <w:lang w:val="en-US" w:eastAsia="zh-CN" w:bidi="ar-SA"/>
              </w:rPr>
            </w:pPr>
            <w:r>
              <w:rPr>
                <w:rFonts w:hint="eastAsia" w:ascii="宋体" w:hAnsi="宋体" w:eastAsia="宋体" w:cs="宋体"/>
                <w:b/>
                <w:i w:val="0"/>
                <w:color w:val="auto"/>
                <w:kern w:val="0"/>
                <w:sz w:val="28"/>
                <w:szCs w:val="28"/>
                <w:u w:val="none"/>
                <w:lang w:val="en-US" w:eastAsia="zh-CN" w:bidi="ar"/>
              </w:rPr>
              <w:t>项目工程名称</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8"/>
                <w:szCs w:val="28"/>
                <w:u w:val="none"/>
                <w:lang w:val="en-US" w:eastAsia="zh-CN" w:bidi="ar-SA"/>
              </w:rPr>
            </w:pPr>
            <w:r>
              <w:rPr>
                <w:rFonts w:hint="eastAsia" w:ascii="宋体" w:hAnsi="宋体" w:eastAsia="宋体" w:cs="宋体"/>
                <w:b/>
                <w:i w:val="0"/>
                <w:color w:val="auto"/>
                <w:kern w:val="0"/>
                <w:sz w:val="28"/>
                <w:szCs w:val="28"/>
                <w:u w:val="none"/>
                <w:lang w:val="en-US" w:eastAsia="zh-CN" w:bidi="ar"/>
              </w:rPr>
              <w:t>单位</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8"/>
                <w:szCs w:val="28"/>
                <w:u w:val="none"/>
                <w:lang w:val="en-US" w:eastAsia="zh-CN" w:bidi="ar-SA"/>
              </w:rPr>
            </w:pPr>
            <w:r>
              <w:rPr>
                <w:rFonts w:hint="eastAsia" w:ascii="宋体" w:hAnsi="宋体" w:eastAsia="宋体" w:cs="宋体"/>
                <w:b/>
                <w:i w:val="0"/>
                <w:color w:val="auto"/>
                <w:kern w:val="0"/>
                <w:sz w:val="28"/>
                <w:szCs w:val="28"/>
                <w:u w:val="none"/>
                <w:lang w:val="en-US" w:eastAsia="zh-CN" w:bidi="ar"/>
              </w:rPr>
              <w:t>规模</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lang w:eastAsia="zh-CN"/>
              </w:rPr>
            </w:pPr>
            <w:r>
              <w:rPr>
                <w:rFonts w:hint="eastAsia" w:ascii="宋体" w:hAnsi="宋体" w:eastAsia="宋体" w:cs="宋体"/>
                <w:b/>
                <w:i w:val="0"/>
                <w:color w:val="auto"/>
                <w:sz w:val="28"/>
                <w:szCs w:val="28"/>
                <w:u w:val="none"/>
                <w:lang w:eastAsia="zh-CN"/>
              </w:rPr>
              <w:t>预算金额（万元）</w:t>
            </w:r>
          </w:p>
        </w:tc>
      </w:tr>
      <w:tr>
        <w:tblPrEx>
          <w:tblCellMar>
            <w:top w:w="0" w:type="dxa"/>
            <w:left w:w="0" w:type="dxa"/>
            <w:bottom w:w="0" w:type="dxa"/>
            <w:right w:w="0" w:type="dxa"/>
          </w:tblCellMar>
        </w:tblPrEx>
        <w:trPr>
          <w:trHeight w:val="284"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总投资</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8"/>
                <w:szCs w:val="28"/>
                <w:u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 xml:space="preserve">200.00 </w:t>
            </w:r>
          </w:p>
        </w:tc>
      </w:tr>
      <w:tr>
        <w:tblPrEx>
          <w:tblCellMar>
            <w:top w:w="0" w:type="dxa"/>
            <w:left w:w="0" w:type="dxa"/>
            <w:bottom w:w="0" w:type="dxa"/>
            <w:right w:w="0" w:type="dxa"/>
          </w:tblCellMar>
        </w:tblPrEx>
        <w:trPr>
          <w:trHeight w:val="224"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（一）</w:t>
            </w:r>
          </w:p>
        </w:tc>
        <w:tc>
          <w:tcPr>
            <w:tcW w:w="9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2100" w:firstLineChars="75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田间工程</w:t>
            </w:r>
          </w:p>
        </w:tc>
      </w:tr>
      <w:tr>
        <w:tblPrEx>
          <w:tblCellMar>
            <w:top w:w="0" w:type="dxa"/>
            <w:left w:w="0" w:type="dxa"/>
            <w:bottom w:w="0" w:type="dxa"/>
            <w:right w:w="0" w:type="dxa"/>
          </w:tblCellMar>
        </w:tblPrEx>
        <w:trPr>
          <w:trHeight w:val="90"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1</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围栏</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米</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60</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149"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2</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田间供电工程</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w:t>
            </w: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（二）</w:t>
            </w:r>
          </w:p>
        </w:tc>
        <w:tc>
          <w:tcPr>
            <w:tcW w:w="9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2100" w:firstLineChars="75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软件工程</w:t>
            </w:r>
          </w:p>
        </w:tc>
      </w:tr>
      <w:tr>
        <w:tblPrEx>
          <w:tblCellMar>
            <w:top w:w="0" w:type="dxa"/>
            <w:left w:w="0" w:type="dxa"/>
            <w:bottom w:w="0" w:type="dxa"/>
            <w:right w:w="0" w:type="dxa"/>
          </w:tblCellMar>
        </w:tblPrEx>
        <w:trPr>
          <w:trHeight w:val="299"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病虫害物联网数据分析系统</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（三）</w:t>
            </w:r>
          </w:p>
        </w:tc>
        <w:tc>
          <w:tcPr>
            <w:tcW w:w="9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2100" w:firstLineChars="75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调查工具</w:t>
            </w: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病虫害调查工具箱</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90"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2</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病虫害调查交通工具</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辆</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9"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（四）</w:t>
            </w:r>
          </w:p>
        </w:tc>
        <w:tc>
          <w:tcPr>
            <w:tcW w:w="9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2100" w:firstLineChars="75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仪器设备</w:t>
            </w: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ATCSP监测预警系统</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2</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农林小气候信息自动采集系统</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 xml:space="preserve"> </w:t>
            </w: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3</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农林生态远程实时监控系统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4</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孢子信息自动捕捉培养系统</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5</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虫情信息自动采集系统</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6</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数据传输与报送设备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7</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病虫调查田间统计器</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90"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8</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害虫性诱自动诱捕器(重大害虫智能监测仪)</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9</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农作物病害实时监测预警(赤霉病)</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r>
        <w:tblPrEx>
          <w:tblCellMar>
            <w:top w:w="0" w:type="dxa"/>
            <w:left w:w="0" w:type="dxa"/>
            <w:bottom w:w="0" w:type="dxa"/>
            <w:right w:w="0" w:type="dxa"/>
          </w:tblCellMar>
        </w:tblPrEx>
        <w:trPr>
          <w:trHeight w:val="23" w:hRule="atLeast"/>
          <w:jc w:val="center"/>
        </w:trPr>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lang w:val="en-US"/>
              </w:rPr>
            </w:pPr>
            <w:r>
              <w:rPr>
                <w:rFonts w:hint="eastAsia" w:ascii="宋体" w:hAnsi="宋体" w:eastAsia="宋体" w:cs="宋体"/>
                <w:i w:val="0"/>
                <w:color w:val="auto"/>
                <w:kern w:val="0"/>
                <w:sz w:val="28"/>
                <w:szCs w:val="28"/>
                <w:u w:val="none"/>
                <w:lang w:val="en-US" w:eastAsia="zh-CN" w:bidi="ar"/>
              </w:rPr>
              <w:t>10</w:t>
            </w:r>
          </w:p>
        </w:tc>
        <w:tc>
          <w:tcPr>
            <w:tcW w:w="5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病虫害移动智能采集识别设备</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p>
        </w:tc>
      </w:tr>
    </w:tbl>
    <w:p>
      <w:pPr>
        <w:widowControl/>
        <w:tabs>
          <w:tab w:val="left" w:pos="1800"/>
        </w:tabs>
        <w:spacing w:line="360" w:lineRule="auto"/>
        <w:outlineLvl w:val="2"/>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2.主要仪器设备技术指标：</w:t>
      </w:r>
    </w:p>
    <w:tbl>
      <w:tblPr>
        <w:tblStyle w:val="15"/>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11"/>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设备名称</w:t>
            </w:r>
          </w:p>
        </w:tc>
        <w:tc>
          <w:tcPr>
            <w:tcW w:w="8104"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功能、参数及规格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ATCSP监测预警系统（物联网系统信息传输和贮存的自动化、智能化、信息化设备平台）</w:t>
            </w:r>
          </w:p>
          <w:p>
            <w:pPr>
              <w:widowControl/>
              <w:jc w:val="center"/>
              <w:rPr>
                <w:rFonts w:hint="eastAsia" w:ascii="宋体" w:hAnsi="宋体" w:eastAsia="宋体" w:cs="宋体"/>
                <w:kern w:val="0"/>
                <w:szCs w:val="21"/>
              </w:rPr>
            </w:pP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实现信息传输和贮存的自动化、智能化、信息化，完成国家、省、市、县站点网络信息的信息收集处理、储存、传输；可与虫、病、气候设备同时使用，自动收集并分析数据，训练生成数据关系；通过专用数据模型，自动分析农业有害生物，预测、预报发生趋势，从而为农业生产、综合防控决策提供科学依据和精准的数据信息服务。</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1.1、由农林小气候信息采集系统、农林生态远程实时监控系统、孢子信息自动捕捉培养系统、虫情信息自动采集系统组成；</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1.2、完成国家、省、市、县四级网络信息处理、储存、传输；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1.3、能完成农林虫情、病情、气象与频振诱控系统、天敌防控系统、微生物喷雾系统、设施农业测控系统设备之间的开关控制，以及在可控范围内观察并微观调配；</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1.4、硬件包括：</w:t>
            </w:r>
            <w:r>
              <w:rPr>
                <w:rFonts w:hint="eastAsia" w:ascii="宋体" w:hAnsi="宋体" w:eastAsia="宋体" w:cs="宋体"/>
                <w:kern w:val="0"/>
                <w:szCs w:val="21"/>
              </w:rPr>
              <w:br w:type="textWrapping"/>
            </w:r>
            <w:r>
              <w:rPr>
                <w:rFonts w:hint="eastAsia" w:ascii="宋体" w:hAnsi="宋体" w:eastAsia="宋体" w:cs="宋体"/>
                <w:kern w:val="0"/>
                <w:szCs w:val="21"/>
              </w:rPr>
              <w:t>　　1.4.1、智能处理设备，1、机架导轨和脚轮:塔式机箱, 无脚轮。2、处理器:性能不低于 E3-1220 V6。3、DIMM 类型和速度:不低于1600 MHz RDIMMS　4、内存容量:≧8GB 5、RAID 控制器:标配，支持RAID0、1、5、10或以上。6、硬盘:≧4TB　7、功率：350W　8、配套系统：兼容ATCSP物联网软件。</w:t>
            </w:r>
            <w:r>
              <w:rPr>
                <w:rFonts w:hint="eastAsia" w:ascii="宋体" w:hAnsi="宋体" w:eastAsia="宋体" w:cs="宋体"/>
                <w:kern w:val="0"/>
                <w:szCs w:val="21"/>
              </w:rPr>
              <w:br w:type="textWrapping"/>
            </w:r>
            <w:r>
              <w:rPr>
                <w:rFonts w:hint="eastAsia" w:ascii="宋体" w:hAnsi="宋体" w:eastAsia="宋体" w:cs="宋体"/>
                <w:kern w:val="0"/>
                <w:szCs w:val="21"/>
              </w:rPr>
              <w:t>　　1.4.2 、数据管理智能网关：１、支持WEB和远程管理，全中文配置界面全中文WEB管理支持定时自动重启支持配置分级保护支持配置文件备份和载入支持在线升级支持策略库自动更新支持系统日志提供诊断工具（PING、Tracert）。2、处理器： 不低于MIPS 600MHz网络处理器。内存≧128MB，闪存≧8MB，工作电压： AC 220V，功率： ≤6W，环境标准：内置防火墙。支持：Qos、VPN。 </w:t>
            </w:r>
            <w:r>
              <w:rPr>
                <w:rFonts w:hint="eastAsia" w:ascii="宋体" w:hAnsi="宋体" w:eastAsia="宋体" w:cs="宋体"/>
                <w:kern w:val="0"/>
                <w:szCs w:val="21"/>
              </w:rPr>
              <w:br w:type="textWrapping"/>
            </w:r>
            <w:r>
              <w:rPr>
                <w:rFonts w:hint="eastAsia" w:ascii="宋体" w:hAnsi="宋体" w:eastAsia="宋体" w:cs="宋体"/>
                <w:kern w:val="0"/>
                <w:szCs w:val="21"/>
              </w:rPr>
              <w:t>　　1.4.3、数据交换设备：1、端口: 16个　2、MAC地址表大小: 8K或以上　3、缓存: 1.25Mbits　4、包转发率: 2.38Mpps或以上　</w:t>
            </w:r>
            <w:r>
              <w:rPr>
                <w:rFonts w:hint="eastAsia" w:ascii="宋体" w:hAnsi="宋体" w:eastAsia="宋体" w:cs="宋体"/>
                <w:kern w:val="0"/>
                <w:szCs w:val="21"/>
                <w:lang w:val="en-US" w:eastAsia="zh-CN"/>
              </w:rPr>
              <w:t>5、</w:t>
            </w:r>
            <w:r>
              <w:rPr>
                <w:rFonts w:hint="eastAsia" w:ascii="宋体" w:hAnsi="宋体" w:eastAsia="宋体" w:cs="宋体"/>
                <w:kern w:val="0"/>
                <w:szCs w:val="21"/>
              </w:rPr>
              <w:t>交换容量: 3.2Gbps或以上　</w:t>
            </w:r>
            <w:r>
              <w:rPr>
                <w:rFonts w:hint="eastAsia" w:ascii="宋体" w:hAnsi="宋体" w:eastAsia="宋体" w:cs="宋体"/>
                <w:kern w:val="0"/>
                <w:szCs w:val="21"/>
                <w:lang w:val="en-US" w:eastAsia="zh-CN"/>
              </w:rPr>
              <w:t>6、</w:t>
            </w:r>
            <w:r>
              <w:rPr>
                <w:rFonts w:hint="eastAsia" w:ascii="宋体" w:hAnsi="宋体" w:eastAsia="宋体" w:cs="宋体"/>
                <w:kern w:val="0"/>
                <w:szCs w:val="21"/>
              </w:rPr>
              <w:t>输入电压: 100-240V AC　</w:t>
            </w:r>
            <w:r>
              <w:rPr>
                <w:rFonts w:hint="eastAsia" w:ascii="宋体" w:hAnsi="宋体" w:eastAsia="宋体" w:cs="宋体"/>
                <w:kern w:val="0"/>
                <w:szCs w:val="21"/>
                <w:lang w:val="en-US" w:eastAsia="zh-CN"/>
              </w:rPr>
              <w:t>7</w:t>
            </w:r>
            <w:r>
              <w:rPr>
                <w:rFonts w:hint="eastAsia" w:ascii="宋体" w:hAnsi="宋体" w:eastAsia="宋体" w:cs="宋体"/>
                <w:kern w:val="0"/>
                <w:szCs w:val="21"/>
              </w:rPr>
              <w:t>、功耗: 最大6W</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、工作环境温度: 0℃～40℃，工作环境湿度: 10%～85%。存储温度: -10℃～70℃。存储湿度: 10%～90%</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1.4.4、后备式UPS电源：1、额定功率：1KVA。2、后备时间：长效机型依负载情况,物联网整套设备可支持≥60分钟。3、输出插座：3（国标+美标）。4、电池类型：阀控式铅蓄电池5、输入电压范围：162--286V。6、输入频率范围：40Hz-55 Hz。7、输出电压范围：电池模式:220V。8、输出频率范围：电池模式:50+1Hz。9、输出电压波形：正弦波。10、具备过放电保护、短路保护、浪涌保护、陷落保护功能。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1.4.5、无线通讯模块：1、符合802.11n标准，可以为用户提供更高的速率和更好的覆盖；2、采用一体式设计，内置13dBi平板天线；3、IP65等级的防水外壳；4、输出功率最高可达27dBm，并可根据当地法规要求进行调整；5、支持2T2R空间数据流，传输速率可达300Mbps；6、支持距离调整功能(ACK)；7、支持4个SSID，可以分别设置自己的无线参数及WAN口(路由桥模式)配置；8、路由桥模式下支持PPTP和PPPoE接入方式；9、WEB界面中集成ping和Tracert工具，方便用户调试；10、支持Web和SNMP管理，提供MIB I、MIB II和私有MIB库；11、标准24V PoE供电，搭配24V/1.0A电源适配器；12、频段：5.8GHz 802.11a/n；13、工作温度：-20℃～70℃ ；</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1.4.6、专用设备存放机柜：1、主体材质：不锈钢材质；2、外形尺寸:750mm×550mm×1250mm</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1.5、软件包括：</w:t>
            </w:r>
            <w:r>
              <w:rPr>
                <w:rFonts w:hint="eastAsia" w:ascii="宋体" w:hAnsi="宋体" w:eastAsia="宋体" w:cs="宋体"/>
                <w:kern w:val="0"/>
                <w:szCs w:val="21"/>
              </w:rPr>
              <w:br w:type="textWrapping"/>
            </w:r>
            <w:r>
              <w:rPr>
                <w:rFonts w:hint="eastAsia" w:ascii="宋体" w:hAnsi="宋体" w:eastAsia="宋体" w:cs="宋体"/>
                <w:kern w:val="0"/>
                <w:szCs w:val="21"/>
              </w:rPr>
              <w:t>　　１.5.1、必须同时支持.net、Java、android驱动环境、具备:软件版、手机版、web端访问支持。</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1.5.2、ATCSP多引擎数据库：支持分布式存储部署，具备多层级网络数据并连运算、存储功能。根据访问环境，自动分配最优资源。必须达到千万级并行运算能力，十万级并发连接响应能力。</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1.6　具备气象监测，远程监控，孢子统计，虫情信息，图像采集，频振诱控，微生物喷雾，农林墒情、智能设施农业等支撑模块。</w:t>
            </w:r>
            <w:r>
              <w:rPr>
                <w:rFonts w:hint="eastAsia" w:ascii="宋体" w:hAnsi="宋体" w:eastAsia="宋体" w:cs="宋体"/>
                <w:kern w:val="0"/>
                <w:szCs w:val="21"/>
              </w:rPr>
              <w:br w:type="textWrapping"/>
            </w:r>
            <w:r>
              <w:rPr>
                <w:rFonts w:hint="eastAsia" w:ascii="宋体" w:hAnsi="宋体" w:eastAsia="宋体" w:cs="宋体"/>
                <w:kern w:val="0"/>
                <w:szCs w:val="21"/>
              </w:rPr>
              <w:t xml:space="preserve">   1.7、必须兼容中国农作物有害生物监控信息系统、与本省原有病虫害监测预警防控物联网平台兼容并数据共享，在本省有监测预警系统安装点，现场演示本省自动识别站点；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生态远程实时监测系统（田间实时监测设备）</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该技术系统可进行野外录像、拍照，可定时采集作物、植物生长发育状态和各类生物在自然状态下的动态、病虫害活动的图片（包括日光图片和夜间的红外图片），进行田间物侯的远程连续定位摄像，并将采集的图片自动上传到远程物联网监控服务平台，实现植保监测人员的远程物候观测，实时监控作物的生长时间、生长速度、生长状态，抓拍存储上传农作物病虫害危害前、危害中及危害后的图像及视频等。其单路摄像进行定点监控范围达到：10m以内可以观测到植物叶面、茎干蚜虫等害虫，25m内可以看到病虫害的发生状况，200m内可清晰的监测到植物叶面等生长情况，500m内看观察本区域范围内作物整体长势状况，1000m内可直观本区域内边缘轮廓、特征。</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2.1、主要指标符合GB/T 24689.5-2009标准；</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2.2、供电方式：交流电源；</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2.3、绝缘电阻：≧2.5MΩ；</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2.4、分辨能力：20m距离10*10mm清晰辨别，8m距离1*1mm清晰辨别，夜间10m距离10*10mm清晰辨别；</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2.5、采集系统水平转角≧350度；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2.6、采集系统垂直转角≧45/45(上下)度；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2.7、可对频振诱控系统、天敌防控系统、微生物喷雾系统、设施农业测控系统进行微观调配；</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2.8、完成国家、省、市、县四级网络信息处理、储存、传输；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2.9、无线传输。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2.10、与监测预警系统兼容；</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2.11、可对病虫进行实时远程诊断、分析，必须兼容中国农作物有害生物监控信息系统、与本省原有病虫害监测预警防控物联网平台兼容并数据共享 ，在本省有监测预警系统安装点，现场演示本省站点；</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2.12、取得国家级物联网推广证书。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★本设备为本次招标核心设备。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虫情信息自动采集系统</w:t>
            </w:r>
          </w:p>
          <w:p>
            <w:pPr>
              <w:widowControl/>
              <w:jc w:val="center"/>
              <w:rPr>
                <w:rFonts w:hint="eastAsia" w:ascii="宋体" w:hAnsi="宋体" w:eastAsia="宋体" w:cs="宋体"/>
                <w:kern w:val="0"/>
                <w:szCs w:val="21"/>
              </w:rPr>
            </w:pP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害虫做为影响农作物生长的重要因素，若要成功监测害虫发生，必须对害虫、天敌种群进行综合掌握。本系统能够实现监测点野外昆虫诱集、红外处理保证虫体完整性、时段取像、信息无线传输，自动拍照将现场拍摄的图片无线发送至物联网平台，工作人员可随时远程了解田间虫情发生时间和规律，生长状况。与小气候信息采集系统结合使用，运算出不同昆虫发生趋势，工作人员可根据昆虫发生趋势制定防治措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3.1、主要设备虫情信息采集以下主要指标符合GB/T 4689.1-2009标准；</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3.2、绝缘电阻：≧2.5MΩ；</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3.3、功率≤450W；</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3.4、灯管启动时间：≤5s；</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3.5、撞击屏：单屏尺寸：长595±2mm,宽213±2mm,厚5mm；</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3.6、光传感器：按外界光线，自动控制、外界强光瞬间照射不改变工作状态；</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3.7、处理仓温度：灯管启动15min后，红外处理仓温度在80℃-90℃；</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3.8、雨传感器：按外界雨量变化自动控制；</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3.9、避雷功能：可加装避雷装置；</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3.10、定位传感器：应能够控制集虫器准确定位；</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3.11、排水装置：应能有效将雨、虫分离，箱内无明显积水；</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3.12、安全标志：应有符合GB-10396的安全标志；</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3.13、取得国家级推广产品证书；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3.14、根据监测虫情信息可传输于频振诱控系统及天敌防控系统进行设备开关控制；</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3.15、完成国家、省、市、县四级网络信息处理、储存、传输；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3.16、无线传输、无流量费用；</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3.17、与监测预警系统兼容；</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3.18、供电方式：交流电源；</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3.19、可远程设定工作参数；定时开关、时间设置、故障排查、红外虫体处理时间等；</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3.20、落虫成像盘具备判断虫体大小的参考标线。可以通过目测准确判断虫体尺寸。</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3.21、必须兼容中国农作物有害生物监控信息系统、与本省原有病虫害监测预警防控物联网平台兼容并数据共享 ，在本省有监测预警系统安装点，现场演示本省自动识别站点，识别虫种类不少于20种。</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★本设备为本次招标核心设备。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小气候信息采集系统</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环境因子是能否造成病虫害的关键，当环境因子适宜时，病虫害将会迅速扩散，本系统可完成监测点内空温、空湿、土温、土湿、光照度、蒸发量、降雨量、风速、风向、结露、有效光合因子的采集，并自动储存和上传。运用开发的不同软件，预测影响病虫发生关系模型图。</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详细参数: </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4.1、主要设备农林小气候以下主要指标符合GB/T 24689.6-2009标准；</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4.2、取得国家级推广产品证书；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4.3、工作电压：AC220 50HZ（可升级使用DC12V、太阳能、风能等电源）</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4.4、主机功率：≤200mA（12V）  整机功耗：≤600mA（12V）；</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4.5、采集基本功能数据：空气温度、空气湿度、土壤温度、土壤含水率、风速、风向、光照度、蒸发量、 降雨量、气压、结露、太阳总辐射、光合有效辐射信息采集功能；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4.6、采集数据范围及分辩率：空气温度，测量范围：－40～60℃，显示分辨率：0.1℃，允差：±0.3℃；空气湿度， 测量范围：0～100%RH，显示分辨率：1%RH，允差：±3%RH；土壤温度， 测量范围：－40～60℃0.1℃，显示分辨率：0.1℃，允差：±0.3℃；土壤含水率，测量范围：0～100%，显示分辨率：1%，允差：±10%；蒸发量，测量范围：0～10mm/h，显示分辨率：0.1mm，允差：±0.1；降雨量，测量范围：0～200mm/h，显示分辨率：0.1mm，允差：±4%；风速，测量范围：0.2～35m/s，显示分辨率：0.2m/s，允差：风速≤10m/s±（0.2m/s+5%）、风速≥10m/s±5%；光照度，测量范围：0～2×105Lx，显示分辨率：0.1×103Lx，允差：±8%；</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4.7、风速风向传感器采用不锈钢材料制作，监测高度 h≥4m，配置固定拉线；</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4.8、空气温湿度传感器应置于百叶箱内尺寸：620×620×680 mm，采集主机外形尺寸：340x180x180（mm）；</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val="en-US" w:eastAsia="zh-CN"/>
              </w:rPr>
              <w:t>9</w:t>
            </w:r>
            <w:r>
              <w:rPr>
                <w:rFonts w:hint="eastAsia" w:ascii="宋体" w:hAnsi="宋体" w:eastAsia="宋体" w:cs="宋体"/>
                <w:kern w:val="0"/>
                <w:szCs w:val="21"/>
              </w:rPr>
              <w:t>、设备所采集的数据每10分钟自动上传一次；</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w:t>
            </w:r>
            <w:r>
              <w:rPr>
                <w:rFonts w:hint="eastAsia" w:ascii="宋体" w:hAnsi="宋体" w:eastAsia="宋体" w:cs="宋体"/>
                <w:kern w:val="0"/>
                <w:szCs w:val="21"/>
                <w:lang w:val="en-US" w:eastAsia="zh-CN"/>
              </w:rPr>
              <w:t>0</w:t>
            </w:r>
            <w:r>
              <w:rPr>
                <w:rFonts w:hint="eastAsia" w:ascii="宋体" w:hAnsi="宋体" w:eastAsia="宋体" w:cs="宋体"/>
                <w:kern w:val="0"/>
                <w:szCs w:val="21"/>
              </w:rPr>
              <w:t>、完成国家、省、市、县四级网络信息处理、储存、传输；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w:t>
            </w:r>
            <w:r>
              <w:rPr>
                <w:rFonts w:hint="eastAsia" w:ascii="宋体" w:hAnsi="宋体" w:eastAsia="宋体" w:cs="宋体"/>
                <w:kern w:val="0"/>
                <w:szCs w:val="21"/>
                <w:lang w:val="en-US" w:eastAsia="zh-CN"/>
              </w:rPr>
              <w:t>1</w:t>
            </w:r>
            <w:r>
              <w:rPr>
                <w:rFonts w:hint="eastAsia" w:ascii="宋体" w:hAnsi="宋体" w:eastAsia="宋体" w:cs="宋体"/>
                <w:kern w:val="0"/>
                <w:szCs w:val="21"/>
              </w:rPr>
              <w:t>、根据监测气象信息可传输于设施农业测控系统进行设备的开关控制；</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w:t>
            </w:r>
            <w:r>
              <w:rPr>
                <w:rFonts w:hint="eastAsia" w:ascii="宋体" w:hAnsi="宋体" w:eastAsia="宋体" w:cs="宋体"/>
                <w:kern w:val="0"/>
                <w:szCs w:val="21"/>
                <w:lang w:val="en-US" w:eastAsia="zh-CN"/>
              </w:rPr>
              <w:t>2</w:t>
            </w:r>
            <w:r>
              <w:rPr>
                <w:rFonts w:hint="eastAsia" w:ascii="宋体" w:hAnsi="宋体" w:eastAsia="宋体" w:cs="宋体"/>
                <w:kern w:val="0"/>
                <w:szCs w:val="21"/>
              </w:rPr>
              <w:t>、具备５种以上昆虫预测模型。具备小麦条锈病、小麦赤霉病预测模型。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w:t>
            </w:r>
            <w:r>
              <w:rPr>
                <w:rFonts w:hint="eastAsia" w:ascii="宋体" w:hAnsi="宋体" w:eastAsia="宋体" w:cs="宋体"/>
                <w:kern w:val="0"/>
                <w:szCs w:val="21"/>
                <w:lang w:val="en-US" w:eastAsia="zh-CN"/>
              </w:rPr>
              <w:t>3</w:t>
            </w:r>
            <w:r>
              <w:rPr>
                <w:rFonts w:hint="eastAsia" w:ascii="宋体" w:hAnsi="宋体" w:eastAsia="宋体" w:cs="宋体"/>
                <w:kern w:val="0"/>
                <w:szCs w:val="21"/>
              </w:rPr>
              <w:t>、具备数据分析功能、报表导出功能。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w:t>
            </w:r>
            <w:r>
              <w:rPr>
                <w:rFonts w:hint="eastAsia" w:ascii="宋体" w:hAnsi="宋体" w:eastAsia="宋体" w:cs="宋体"/>
                <w:kern w:val="0"/>
                <w:szCs w:val="21"/>
                <w:lang w:val="en-US" w:eastAsia="zh-CN"/>
              </w:rPr>
              <w:t>4</w:t>
            </w:r>
            <w:r>
              <w:rPr>
                <w:rFonts w:hint="eastAsia" w:ascii="宋体" w:hAnsi="宋体" w:eastAsia="宋体" w:cs="宋体"/>
                <w:kern w:val="0"/>
                <w:szCs w:val="21"/>
              </w:rPr>
              <w:t>、具备气象因子平均值、最高值、最低值实时显示功能。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w:t>
            </w:r>
            <w:r>
              <w:rPr>
                <w:rFonts w:hint="eastAsia" w:ascii="宋体" w:hAnsi="宋体" w:eastAsia="宋体" w:cs="宋体"/>
                <w:kern w:val="0"/>
                <w:szCs w:val="21"/>
                <w:lang w:val="en-US" w:eastAsia="zh-CN"/>
              </w:rPr>
              <w:t>5</w:t>
            </w:r>
            <w:r>
              <w:rPr>
                <w:rFonts w:hint="eastAsia" w:ascii="宋体" w:hAnsi="宋体" w:eastAsia="宋体" w:cs="宋体"/>
                <w:kern w:val="0"/>
                <w:szCs w:val="21"/>
              </w:rPr>
              <w:t>、必须兼容中国农作物有害生物监控信息系统、与本省原有病虫害监测预警防控物联网平台兼容并数据共享 ，在本省有监测预警系统安装点，现场演示本省站点至少一种昆虫预测模型。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★本设备为本次招标核心设备。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孢子信息自动捕捉培养系统</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孢子信息自动捕捉培养系统具有孢子自动识别、孢子自动捕获、培养观察、多角度成像等功能，为研究和掌握各种病菌孢子萌发条件与规律提供了便利。系统在自动解决了孢子捕捉功能基础上，升级为无人值守自动完成培养、成像功能，对植物病害、有益菌发生、发展状况进行记录，同时通过开发软件，由病情数据分析模型，自动培养、成像、实时显示、存储病菌孢子图像，以达到有效控制病情危害，发挥有益菌控制病虫害的作用。</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5.1、主要设备孢子捕捉仪以下主要指标符合GB/T 24689.3-2009标准；</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5.2、绝缘电阻：≧2.5MΩ；</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5.3、电压为AC220V时的输入功率：≤180W，电压为DC12V时的输入功率：≤5 W；</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5.4、集气口风速：0.3m/s～5m/s；</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5.5、避雷功能：可加装避雷装置；</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5.6、工作方式：应能按设置程序连续或间歇工作；</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5.7、安全标志：应有符合GB-10396的安全标志；</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5.8、供电方式：交流电源；</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5.9、取得国家级推广产品证书；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5.10、根据监测病情信息可传输于微生物喷物系统进行设备开关控制、可与真菌培养、释放系统进行设备开关控制；</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5.11、完成国家、省、市、县四级网络信息处理、储存、传输；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5.12、无线传输；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5.13、与监测预警系统兼容；</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5.14、可远程设定工作参数，定时开关、定时营养液添加、培养时间设置、故障排查等；</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5.15、必须兼容中国农作物有害生物监控信息系统、与本省原有病虫害监测预警防控物联网平台兼容并数据共享 ，在本省有监测预警系统安装点，现场演示本省站点条锈病采集情况。</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★本设备为本次招标核心设备。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数据传输与报送设备</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数据传输与报送设备是配置于各监测点的重要设备，主要由软件系统和硬件系统组成。各监测点测报人员可通过该设备进行日常数据汇总、统计、上报、接收上级主管部门指示、发布病虫情预报、远程指挥田间病虫害防控等工作。</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6.1、CPU型号Intel 酷睿i5 6500  CPU频率3.2GHz；</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6.2、内存：4G（DDR3 1600MHz ）;</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6.3、硬盘：1TB(机械);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6.4、显示器：19.5标配;</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6.5、USB2.0接口4个，3.0接口2个；</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6.6、独显：1G缓存。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病虫调查田间统计器(Ⅲ)型</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7.1、四核CPU, 内存64G，闪存4G,安卓系统5.0以上，有与省市数字化平台无缝连接的相关软件；</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7.2、兼容农作物有害生物监测预警数字化网络平台、兼容ATCSP病虫测防系统（提供相关证明证书）；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7.3、设有昆虫名称、采集地点、分类数量等项，可随时录入，存储病虫的调查统计数据资料，能将统计数据上传至计算机，编辑、生成图表；</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7.4、一次可记录25种病虫数据，并可根据监测点需求自动添加病虫名称、进行录入采集；</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7.5、工作电压DC2.7V～DC3.0V；</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7.6、工作电流≤2mA；</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7.7、机带电源连续工作时间≥6h；</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7.8、显示日期与自然日期相对应，时间显示误差不大于30s/24h；</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7.9、可臂带或挂带，不影响双手调查工作；</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7.10、配有病虫调查统计器专用操作软件，具有著作权证书。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害虫性诱自动诱捕器（重大害虫智能监测仪）</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8.1、专一识别：系统应能识别包括但不限于二化螟、玉米螟、棉铃虫、草地螟、粘虫等主要害虫，其中二化螟、玉米螟、棉铃虫、草地螟和粘虫性监测诱剂诱芯必须符合NY/T2732-2015《农作物害虫性诱监测技术规范（螟蛾类）》第3.1款表1中相关参数要求，并且持效期≥60d（极端天气条件下持效期≥30d），二化螟、玉米螟、棉铃虫、草地螟、粘虫的性诱专一化率达90%以上。</w:t>
            </w:r>
            <w:r>
              <w:rPr>
                <w:rFonts w:hint="eastAsia" w:ascii="宋体" w:hAnsi="宋体" w:eastAsia="宋体" w:cs="宋体"/>
                <w:kern w:val="0"/>
                <w:szCs w:val="21"/>
              </w:rPr>
              <w:br w:type="textWrapping"/>
            </w:r>
            <w:r>
              <w:rPr>
                <w:rFonts w:hint="eastAsia" w:ascii="宋体" w:hAnsi="宋体" w:eastAsia="宋体" w:cs="宋体"/>
                <w:kern w:val="0"/>
                <w:szCs w:val="21"/>
              </w:rPr>
              <w:t>8.2、诱捕器：为倒置漏斗式飞蛾诱捕器，集虫漏斗上口内径（2.2±0.2）㎝，下口内径直径（17.0±0.2）㎝，高（29.0±0.2）㎝；诱芯杆长（14.5±0.2）㎝，(集虫漏斗参数符合NY/T2732-2015农作物害虫性诱监测技术规范第4条第4.1款要求)。</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8.3、自动计数：仪器自动计数和诱捕器人工计数的动态趋势拟合度达到极相关</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8.4、实时存储：实时记录和存储诱捕器监测数据，储存时间≥12月</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8.5、定时传输：定时向网关发送监测数据，并具有死机自动重起纠错功能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8.6、其他野外安装安全性指标应符合国家标准安全、技术、性能要求项目；设备地基建设标准应满足台风天气下的设备安全性需求。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1411" w:type="dxa"/>
            <w:noWrap/>
            <w:vAlign w:val="center"/>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农作物病害实时监测预警仪（赤霉病）</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主机规格：高1.5m，重量60kg</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电池容量：12V20A</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太阳能板：30W</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功耗：10毫安。</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工作时间：在连续阴雨天环境中可持续工作30天以上。</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工作温度范围：-20℃~50℃</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主要构件采用：SUS304不锈钢材质，野外防护机箱耐酸碱，耐腐蚀，防护等级IP67。</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小麦赤霉病远程监测预警模型：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1、包括子囊壳形成与温度关系模型、侵染概率模型、菌量模型、潜育速率模型、显症率模型、重复侵染概率模型、病穗率模型等子模型；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2、温度影响赤霉病菌的发育；</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3、降雨、露水、相对湿度影响子囊孢子的释放和侵染；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4、温湿度、品种抗病性影响病情进展。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病虫害移动智能采集识别设备（选１）</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病虫害移动智能采集设备(1型)：</w:t>
            </w:r>
            <w:r>
              <w:rPr>
                <w:rFonts w:hint="eastAsia" w:ascii="宋体" w:hAnsi="宋体" w:eastAsia="宋体" w:cs="宋体"/>
                <w:kern w:val="0"/>
                <w:szCs w:val="21"/>
              </w:rPr>
              <w:br w:type="textWrapping"/>
            </w:r>
            <w:r>
              <w:rPr>
                <w:rFonts w:hint="eastAsia" w:ascii="宋体" w:hAnsi="宋体" w:eastAsia="宋体" w:cs="宋体"/>
                <w:kern w:val="0"/>
                <w:szCs w:val="21"/>
              </w:rPr>
              <w:t>1、智能信息终端：支持wifi、蓝牙、3G和4G无线通讯网络，内置专用应用软件，支持植保病虫害图片数据的采集、上传</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2、图像采集设备：图像分辨率：不低于2560x1440分辨率；不停机连续工作时长：不低于1.5小时；数据存储：不低于8G</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3、手持探杆：长度1.2米~3米可调；配有可调支撑结构</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4、万向杆：便于摄像头多角度拍摄病虫害发病图</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支撑架：新型科技材质，管径31mm，便携、轻便好用</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5、温湿度传感器：GFSK调制方式，温度监测范围-40C°+125C°，湿度监测精度±3%RH</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病虫害移动智能采集设备(2型)：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1、配备一体式多光谱成像系统，可采集高精度光谱数据。拥有２００万像素解析能力及配备全局快门。可对植物生长状态进行察看。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2、易于操控，自动悬停；续航能力不低于25分钟.OcuSync图传系统控制距离不代于６公里。</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3、可捕捉太阳辐照度并记录于影像文件中，有助于使用者准确获得NDVI结果。</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4、坚固性强，具有抗摔性强，抗压能力极强;</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易组装，易拆卸；稳定性佳：具有减震增稳的效果，通过云台抵消机身晃动或者震动的影响；安全性：保证较高的安全系数;在飞行中可以做到力的平衡，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82" w:type="dxa"/>
            <w:noWrap/>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病虫害物联网数据分析系统（县级）</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（一）病虫害物联网数据分析：</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★1、支持通过GIS的方式展示设备的基本信息、分布情况和运行状态；</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★2、支持已接入物联网设备采集基础数据的图形化展示；</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3、支持物联网数据实时查看及历史数据检索；</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4、支持数据按照月份、年份分别进行统计，图表化展现物联网数据；</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★5、分别支持物联网设备单点、县域的数据分析功能；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★6、支持图形、列表分析结果展示形式；</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★7、支持监测点、时间、病虫害类型等不同分析因子的自定义筛选；</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8、使用ECHARTS专业图形化工具；</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9、支持数据的导出功能；</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10、包含1000种以上病虫害的知识内容；</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11、支持保留知识内容发布人的信息；</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12、支持按作物、病虫种类检索。 </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（二）病虫害模型预警工具：</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1、支持大数据量同时并发接入和调取；</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2、支持多种病虫害模型；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3、病虫害模型种类至少覆盖三种主粮作物；</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4、支持预测结果表格、图形化及地图形式展示。</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（三）病虫害监测预警：</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1、支持移动终端填报数据的实时接入；</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2、支持一处填写多级（省级或国家级）系统上报；</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3、支持接收省级和国家级填报任务；</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4、支持填报报表的导出。</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（四）工作平台：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1、支持设备信息添加、维护，设备状态查看等设备管理；</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2、支持物联网设备采集图像的筛选、查看；</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3、支持对县域接入的监测点信息进行管理；</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4、支持对测报人员进行管理，对账号进行分配；</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5、支持对病虫害植保知识数据进行发布；</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6、支持综合性展示页面，展示物联网设备状态、基础数据及数据分析图表；</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7、支持监视主要设备的实时数据采集情况、设备状态；</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8、采用扁平化设计风格，界面美观。</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（五）数据接入：</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1、支持从虫情测报灯、性诱设备、小气象仪等各类物联网设备接入数据（设备须提供符合要求的数据接口）；</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2、支持与各个植保物联网设备品牌、供应商进行对接；</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3、支持硬件网关协议匹配，接入硬件网关设备的数据或直接接入物联网设备数据。</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（六）数据输出：</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1、具备标准化数据输出接口，支持与省级平台、国家级《农作物重大病虫害数字化监测预警系统》实现数据层面对接。</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（七）病虫害物联网管理系统（移动端）</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1、支持调查数据移动端随时填报；</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2、支持数据随时回传服务器；</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3、支持查看物联网设备数据；</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4、支持查看病虫害知识库；</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5、支持接收省级和国家级填报任务。</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（八）质保期：</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软件质保期5年；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rPr>
              <w:t>1</w:t>
            </w:r>
            <w:r>
              <w:rPr>
                <w:rFonts w:hint="eastAsia" w:ascii="宋体" w:hAnsi="宋体" w:eastAsia="宋体" w:cs="宋体"/>
                <w:kern w:val="0"/>
                <w:szCs w:val="21"/>
                <w:lang w:val="en-US" w:eastAsia="zh-CN"/>
              </w:rPr>
              <w:t>2</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病虫害调查工具箱</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内含：检疫手套（一次性手套）、检疫口罩、解剖剪弯直、解剖刀、昆虫盒、太阳帽、吸虫管、便携水桶、签字笔、直弯镊子、手压手电、金属柄解剖针、折叠小凳子、放大镜、捕虫网（带网袋）、扫网网袋、测树围尺、计数器、样品采集器、植物采集记录本、昆虫采集记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noWrap/>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1</w:t>
            </w:r>
            <w:r>
              <w:rPr>
                <w:rFonts w:hint="eastAsia" w:ascii="宋体" w:hAnsi="宋体" w:eastAsia="宋体" w:cs="宋体"/>
                <w:kern w:val="0"/>
                <w:szCs w:val="21"/>
                <w:lang w:val="en-US" w:eastAsia="zh-CN"/>
              </w:rPr>
              <w:t>3</w:t>
            </w:r>
          </w:p>
        </w:tc>
        <w:tc>
          <w:tcPr>
            <w:tcW w:w="1411"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病虫害调查电动车</w:t>
            </w:r>
          </w:p>
        </w:tc>
        <w:tc>
          <w:tcPr>
            <w:tcW w:w="8104" w:type="dxa"/>
            <w:noWrap/>
            <w:vAlign w:val="top"/>
          </w:tcPr>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详细参数：</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14.1、加粗车架、不锈钢保险杠、报警器、备用电池一组。</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14.2、最大功率：800W及以上；</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14.3、续航里程80km以上；</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14.4、制动方式：前后碟刹；</w:t>
            </w:r>
          </w:p>
          <w:p>
            <w:pPr>
              <w:widowControl/>
              <w:spacing w:line="3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14.5、轮胎：真空胎（加宽加厚）；</w:t>
            </w:r>
          </w:p>
        </w:tc>
      </w:tr>
    </w:tbl>
    <w:p>
      <w:pPr>
        <w:outlineLvl w:val="9"/>
        <w:rPr>
          <w:rFonts w:hint="default"/>
          <w:lang w:val="en-US" w:eastAsia="zh-CN"/>
        </w:rPr>
      </w:pPr>
    </w:p>
    <w:p>
      <w:pPr>
        <w:widowControl/>
        <w:tabs>
          <w:tab w:val="left" w:pos="1800"/>
        </w:tabs>
        <w:spacing w:line="360" w:lineRule="auto"/>
        <w:outlineLvl w:val="1"/>
        <w:rPr>
          <w:rFonts w:hint="eastAsia" w:ascii="宋体" w:hAnsi="宋体" w:eastAsia="宋体" w:cs="宋体"/>
          <w:b/>
          <w:bCs/>
          <w:kern w:val="0"/>
          <w:sz w:val="32"/>
          <w:szCs w:val="32"/>
          <w:lang w:eastAsia="zh-CN"/>
        </w:rPr>
      </w:pPr>
      <w:bookmarkStart w:id="61" w:name="_Toc10285"/>
      <w:r>
        <w:rPr>
          <w:rFonts w:hint="eastAsia" w:ascii="宋体" w:hAnsi="宋体" w:eastAsia="宋体" w:cs="宋体"/>
          <w:b/>
          <w:bCs/>
          <w:kern w:val="0"/>
          <w:sz w:val="32"/>
          <w:szCs w:val="32"/>
          <w:lang w:eastAsia="zh-CN"/>
        </w:rPr>
        <w:t>二、商务要求</w:t>
      </w:r>
      <w:bookmarkEnd w:id="61"/>
    </w:p>
    <w:p>
      <w:pPr>
        <w:spacing w:line="360" w:lineRule="auto"/>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rPr>
        <w:t>1、付款方式：验收合格后付全款的9</w:t>
      </w:r>
      <w:r>
        <w:rPr>
          <w:rFonts w:hint="eastAsia" w:ascii="宋体" w:hAnsi="宋体" w:eastAsia="宋体" w:cs="宋体"/>
          <w:color w:val="FF0000"/>
          <w:sz w:val="28"/>
          <w:szCs w:val="28"/>
          <w:lang w:val="en-US" w:eastAsia="zh-CN"/>
        </w:rPr>
        <w:t>5</w:t>
      </w:r>
      <w:r>
        <w:rPr>
          <w:rFonts w:hint="eastAsia" w:ascii="宋体" w:hAnsi="宋体" w:eastAsia="宋体" w:cs="宋体"/>
          <w:color w:val="FF0000"/>
          <w:sz w:val="28"/>
          <w:szCs w:val="28"/>
        </w:rPr>
        <w:t>%，余下</w:t>
      </w:r>
      <w:r>
        <w:rPr>
          <w:rFonts w:hint="eastAsia" w:ascii="宋体" w:hAnsi="宋体" w:eastAsia="宋体" w:cs="宋体"/>
          <w:color w:val="FF0000"/>
          <w:sz w:val="28"/>
          <w:szCs w:val="28"/>
          <w:lang w:val="en-US" w:eastAsia="zh-CN"/>
        </w:rPr>
        <w:t>5%一年后</w:t>
      </w:r>
      <w:r>
        <w:rPr>
          <w:rFonts w:hint="eastAsia" w:ascii="宋体" w:hAnsi="宋体" w:eastAsia="宋体" w:cs="宋体"/>
          <w:color w:val="FF0000"/>
          <w:sz w:val="28"/>
          <w:szCs w:val="28"/>
        </w:rPr>
        <w:t>付清。</w:t>
      </w:r>
    </w:p>
    <w:p>
      <w:pPr>
        <w:spacing w:line="360" w:lineRule="auto"/>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rPr>
        <w:t>2、服务时间：</w:t>
      </w:r>
      <w:r>
        <w:rPr>
          <w:rFonts w:hint="eastAsia" w:ascii="宋体" w:hAnsi="宋体" w:eastAsia="宋体" w:cs="宋体"/>
          <w:color w:val="FF0000"/>
          <w:sz w:val="28"/>
          <w:szCs w:val="28"/>
          <w:lang w:val="en-US" w:eastAsia="zh-CN"/>
        </w:rPr>
        <w:t>6个月</w:t>
      </w:r>
    </w:p>
    <w:p>
      <w:pPr>
        <w:spacing w:line="360" w:lineRule="auto"/>
        <w:ind w:firstLine="560" w:firstLineChars="200"/>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3、服务地点：阳新县植物保护站指定地点</w:t>
      </w:r>
    </w:p>
    <w:p>
      <w:pPr>
        <w:spacing w:line="360" w:lineRule="auto"/>
        <w:ind w:firstLine="560" w:firstLineChars="200"/>
        <w:rPr>
          <w:rFonts w:hint="default"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4、质保期：5年</w:t>
      </w:r>
    </w:p>
    <w:p>
      <w:pPr>
        <w:pStyle w:val="3"/>
        <w:numPr>
          <w:ilvl w:val="0"/>
          <w:numId w:val="1"/>
        </w:numPr>
        <w:jc w:val="center"/>
        <w:rPr>
          <w:rFonts w:hint="eastAsia" w:ascii="宋体" w:hAnsi="宋体" w:eastAsia="宋体" w:cs="宋体"/>
        </w:rPr>
        <w:sectPr>
          <w:pgSz w:w="11906" w:h="16838"/>
          <w:pgMar w:top="1134" w:right="1191" w:bottom="1134" w:left="1191" w:header="851" w:footer="624" w:gutter="0"/>
          <w:cols w:space="425" w:num="1"/>
          <w:docGrid w:type="linesAndChars" w:linePitch="312" w:charSpace="0"/>
        </w:sectPr>
      </w:pPr>
    </w:p>
    <w:p>
      <w:pPr>
        <w:pStyle w:val="3"/>
        <w:numPr>
          <w:ilvl w:val="0"/>
          <w:numId w:val="1"/>
        </w:numPr>
        <w:jc w:val="center"/>
        <w:rPr>
          <w:rFonts w:hint="eastAsia" w:ascii="宋体" w:hAnsi="宋体" w:eastAsia="宋体" w:cs="宋体"/>
        </w:rPr>
      </w:pPr>
      <w:bookmarkStart w:id="62" w:name="_Toc12010"/>
      <w:r>
        <w:rPr>
          <w:rFonts w:hint="eastAsia" w:ascii="宋体" w:hAnsi="宋体" w:eastAsia="宋体" w:cs="宋体"/>
        </w:rPr>
        <w:t>资格审查方法及标准</w:t>
      </w:r>
      <w:bookmarkEnd w:id="62"/>
    </w:p>
    <w:p>
      <w:pPr>
        <w:spacing w:line="360" w:lineRule="auto"/>
        <w:ind w:firstLine="420"/>
        <w:rPr>
          <w:rFonts w:hint="eastAsia" w:ascii="宋体" w:hAnsi="宋体" w:eastAsia="宋体" w:cs="宋体"/>
          <w:bCs/>
          <w:color w:val="0D0D0D"/>
          <w:sz w:val="24"/>
          <w:szCs w:val="20"/>
          <w:lang w:val="zh-CN" w:eastAsia="zh-CN"/>
        </w:rPr>
      </w:pPr>
      <w:r>
        <w:rPr>
          <w:rFonts w:hint="eastAsia" w:ascii="宋体" w:hAnsi="宋体" w:eastAsia="宋体" w:cs="宋体"/>
          <w:bCs/>
          <w:color w:val="0D0D0D"/>
          <w:sz w:val="24"/>
          <w:szCs w:val="20"/>
          <w:lang w:val="zh-CN" w:eastAsia="zh-CN"/>
        </w:rPr>
        <w:t>根据《政府采购法》、《政府采购法实施条例》、《政府采购货物和服务招标投标管理办法》等相关法律法规确定以下资格审查方法及标准</w:t>
      </w:r>
      <w:r>
        <w:rPr>
          <w:rFonts w:hint="eastAsia" w:ascii="宋体" w:hAnsi="宋体" w:eastAsia="宋体" w:cs="宋体"/>
          <w:bCs/>
          <w:color w:val="0D0D0D"/>
          <w:sz w:val="24"/>
          <w:szCs w:val="20"/>
          <w:lang w:val="zh-CN"/>
        </w:rPr>
        <w:t>。</w:t>
      </w:r>
    </w:p>
    <w:p>
      <w:pPr>
        <w:pStyle w:val="4"/>
        <w:numPr>
          <w:ilvl w:val="0"/>
          <w:numId w:val="16"/>
        </w:numPr>
        <w:spacing w:before="0" w:after="0" w:line="360" w:lineRule="auto"/>
        <w:ind w:left="616" w:hanging="616"/>
        <w:jc w:val="left"/>
        <w:rPr>
          <w:rFonts w:hint="eastAsia" w:ascii="宋体" w:hAnsi="宋体" w:eastAsia="宋体" w:cs="宋体"/>
          <w:bCs w:val="0"/>
          <w:sz w:val="30"/>
          <w:szCs w:val="30"/>
          <w:lang w:val="zh-CN" w:eastAsia="zh-CN"/>
        </w:rPr>
      </w:pPr>
      <w:bookmarkStart w:id="63" w:name="_Toc494561958"/>
      <w:bookmarkStart w:id="64" w:name="_Toc18266"/>
      <w:r>
        <w:rPr>
          <w:rFonts w:hint="eastAsia" w:ascii="宋体" w:hAnsi="宋体" w:eastAsia="宋体" w:cs="宋体"/>
          <w:bCs w:val="0"/>
          <w:sz w:val="30"/>
          <w:szCs w:val="30"/>
          <w:lang w:val="zh-CN" w:eastAsia="zh-CN"/>
        </w:rPr>
        <w:t>资格审查方法</w:t>
      </w:r>
      <w:bookmarkEnd w:id="63"/>
      <w:bookmarkEnd w:id="64"/>
    </w:p>
    <w:p>
      <w:pPr>
        <w:spacing w:line="360" w:lineRule="auto"/>
        <w:ind w:firstLine="420"/>
        <w:rPr>
          <w:rFonts w:hint="eastAsia" w:ascii="宋体" w:hAnsi="宋体" w:eastAsia="宋体" w:cs="宋体"/>
          <w:bCs/>
          <w:color w:val="0D0D0D"/>
          <w:sz w:val="24"/>
          <w:szCs w:val="20"/>
          <w:lang w:val="zh-CN" w:eastAsia="zh-CN"/>
        </w:rPr>
      </w:pPr>
      <w:r>
        <w:rPr>
          <w:rFonts w:hint="eastAsia" w:ascii="宋体" w:hAnsi="宋体" w:eastAsia="宋体" w:cs="宋体"/>
          <w:bCs/>
          <w:color w:val="0D0D0D"/>
          <w:sz w:val="24"/>
          <w:szCs w:val="20"/>
          <w:lang w:val="zh-CN"/>
        </w:rPr>
        <w:t>公开招标</w:t>
      </w:r>
      <w:r>
        <w:rPr>
          <w:rFonts w:hint="eastAsia" w:ascii="宋体" w:hAnsi="宋体" w:eastAsia="宋体" w:cs="宋体"/>
          <w:bCs/>
          <w:color w:val="0D0D0D"/>
          <w:sz w:val="24"/>
          <w:szCs w:val="20"/>
          <w:lang w:val="zh-CN" w:eastAsia="zh-CN"/>
        </w:rPr>
        <w:t>采购项目开标结束后，采购人与采购代理机构</w:t>
      </w:r>
      <w:r>
        <w:rPr>
          <w:rFonts w:hint="eastAsia" w:ascii="宋体" w:hAnsi="宋体" w:eastAsia="宋体" w:cs="宋体"/>
          <w:bCs/>
          <w:color w:val="0D0D0D"/>
          <w:sz w:val="24"/>
          <w:szCs w:val="20"/>
          <w:lang w:val="zh-CN"/>
        </w:rPr>
        <w:t>成立资格审查小组，</w:t>
      </w:r>
      <w:r>
        <w:rPr>
          <w:rFonts w:hint="eastAsia" w:ascii="宋体" w:hAnsi="宋体" w:eastAsia="宋体" w:cs="宋体"/>
          <w:bCs/>
          <w:color w:val="0D0D0D"/>
          <w:sz w:val="24"/>
          <w:szCs w:val="20"/>
          <w:lang w:val="zh-CN" w:eastAsia="zh-CN"/>
        </w:rPr>
        <w:t>依据法律、法规及招标文件的规定，对投标人的资格进行审查，以确定投标人资格是否合格。</w:t>
      </w:r>
    </w:p>
    <w:p>
      <w:pPr>
        <w:pStyle w:val="4"/>
        <w:numPr>
          <w:ilvl w:val="0"/>
          <w:numId w:val="16"/>
        </w:numPr>
        <w:spacing w:before="0" w:after="0" w:line="360" w:lineRule="auto"/>
        <w:ind w:left="616" w:hanging="616"/>
        <w:jc w:val="left"/>
        <w:rPr>
          <w:rFonts w:hint="eastAsia" w:ascii="宋体" w:hAnsi="宋体" w:eastAsia="宋体" w:cs="宋体"/>
          <w:bCs w:val="0"/>
          <w:sz w:val="30"/>
          <w:szCs w:val="30"/>
          <w:lang w:val="zh-CN" w:eastAsia="zh-CN"/>
        </w:rPr>
      </w:pPr>
      <w:bookmarkStart w:id="65" w:name="_Toc30067"/>
      <w:bookmarkStart w:id="66" w:name="_Toc494561959"/>
      <w:r>
        <w:rPr>
          <w:rFonts w:hint="eastAsia" w:ascii="宋体" w:hAnsi="宋体" w:eastAsia="宋体" w:cs="宋体"/>
          <w:bCs w:val="0"/>
          <w:sz w:val="30"/>
          <w:szCs w:val="30"/>
          <w:lang w:val="zh-CN" w:eastAsia="zh-CN"/>
        </w:rPr>
        <w:t>资格审查标准</w:t>
      </w:r>
      <w:bookmarkEnd w:id="65"/>
      <w:bookmarkEnd w:id="66"/>
    </w:p>
    <w:p>
      <w:pPr>
        <w:numPr>
          <w:ilvl w:val="0"/>
          <w:numId w:val="17"/>
        </w:numPr>
        <w:tabs>
          <w:tab w:val="left" w:pos="616"/>
        </w:tabs>
        <w:spacing w:line="360" w:lineRule="auto"/>
        <w:ind w:left="14" w:firstLine="238"/>
        <w:rPr>
          <w:rFonts w:hint="eastAsia" w:ascii="宋体" w:hAnsi="宋体" w:eastAsia="宋体" w:cs="宋体"/>
          <w:b/>
          <w:color w:val="0D0D0D"/>
          <w:sz w:val="24"/>
          <w:szCs w:val="24"/>
          <w:lang w:val="zh-CN"/>
        </w:rPr>
      </w:pPr>
      <w:r>
        <w:rPr>
          <w:rFonts w:hint="eastAsia" w:ascii="宋体" w:hAnsi="宋体" w:eastAsia="宋体" w:cs="宋体"/>
          <w:b/>
          <w:color w:val="0D0D0D"/>
          <w:sz w:val="24"/>
          <w:szCs w:val="24"/>
          <w:lang w:val="zh-CN"/>
        </w:rPr>
        <w:t>资格证明文件审查</w:t>
      </w:r>
    </w:p>
    <w:p>
      <w:pPr>
        <w:tabs>
          <w:tab w:val="left" w:pos="616"/>
        </w:tabs>
        <w:spacing w:line="360" w:lineRule="auto"/>
        <w:ind w:firstLine="420"/>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eastAsia="zh-CN"/>
        </w:rPr>
        <w:t>所递交的资格证明文件出现不符合下列情形之一或不足以证明其符合下列情形之一的，</w:t>
      </w:r>
      <w:r>
        <w:rPr>
          <w:rFonts w:hint="eastAsia" w:ascii="宋体" w:hAnsi="宋体" w:eastAsia="宋体" w:cs="宋体"/>
          <w:color w:val="auto"/>
          <w:kern w:val="0"/>
          <w:sz w:val="24"/>
          <w:szCs w:val="24"/>
          <w:lang w:val="zh-CN"/>
        </w:rPr>
        <w:t>应</w:t>
      </w:r>
      <w:r>
        <w:rPr>
          <w:rFonts w:hint="eastAsia" w:ascii="宋体" w:hAnsi="宋体" w:eastAsia="宋体" w:cs="宋体"/>
          <w:color w:val="auto"/>
          <w:kern w:val="0"/>
          <w:sz w:val="24"/>
          <w:szCs w:val="24"/>
          <w:lang w:val="zh-CN" w:eastAsia="zh-CN"/>
        </w:rPr>
        <w:t>视为资格审查不合格，并按照</w:t>
      </w:r>
      <w:r>
        <w:rPr>
          <w:rFonts w:hint="eastAsia" w:ascii="宋体" w:hAnsi="宋体" w:eastAsia="宋体" w:cs="宋体"/>
          <w:b/>
          <w:color w:val="auto"/>
          <w:kern w:val="0"/>
          <w:sz w:val="24"/>
          <w:szCs w:val="24"/>
          <w:lang w:val="zh-CN" w:eastAsia="zh-CN"/>
        </w:rPr>
        <w:t>无效投标处理：</w:t>
      </w:r>
    </w:p>
    <w:p>
      <w:pPr>
        <w:pStyle w:val="19"/>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应具备《政府采购法》第二十二条第一款规定的条件，</w:t>
      </w:r>
      <w:r>
        <w:rPr>
          <w:rFonts w:hint="eastAsia" w:ascii="宋体" w:hAnsi="宋体" w:eastAsia="宋体" w:cs="宋体"/>
          <w:color w:val="auto"/>
          <w:sz w:val="24"/>
          <w:szCs w:val="24"/>
        </w:rPr>
        <w:t>提供下列材料</w:t>
      </w:r>
      <w:r>
        <w:rPr>
          <w:rFonts w:hint="eastAsia" w:ascii="宋体" w:hAnsi="宋体" w:eastAsia="宋体" w:cs="宋体"/>
          <w:color w:val="auto"/>
          <w:sz w:val="24"/>
          <w:szCs w:val="24"/>
          <w:lang w:val="zh-CN"/>
        </w:rPr>
        <w:t>：</w:t>
      </w:r>
    </w:p>
    <w:p>
      <w:pPr>
        <w:pStyle w:val="19"/>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法人或者其他组织的营业执照等证明文件，自然人的身份证明；</w:t>
      </w:r>
    </w:p>
    <w:p>
      <w:pPr>
        <w:pStyle w:val="19"/>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财务状况报告，依法缴纳税收和社会保障资金的相关材料；</w:t>
      </w:r>
    </w:p>
    <w:p>
      <w:pPr>
        <w:pStyle w:val="19"/>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具备履行合同所必需的设备和专业技术能力的证明材料；</w:t>
      </w:r>
    </w:p>
    <w:p>
      <w:pPr>
        <w:pStyle w:val="19"/>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参加政府采购活动前3年内在经营活动中没有重大违法记录的书面声明；</w:t>
      </w:r>
    </w:p>
    <w:p>
      <w:pPr>
        <w:pStyle w:val="19"/>
        <w:numPr>
          <w:ilvl w:val="0"/>
          <w:numId w:val="19"/>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具备法律、行政法规规定的其他条件的证明材料。</w:t>
      </w:r>
    </w:p>
    <w:p>
      <w:pPr>
        <w:pStyle w:val="19"/>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未被“信用中国”网站(www.creditchina.gov.cn)列入失信被执行人、重大税收违法案件当事人名单、</w:t>
      </w:r>
      <w:r>
        <w:rPr>
          <w:rFonts w:hint="eastAsia" w:ascii="宋体" w:hAnsi="宋体" w:eastAsia="宋体" w:cs="宋体"/>
          <w:color w:val="auto"/>
          <w:sz w:val="24"/>
          <w:szCs w:val="24"/>
        </w:rPr>
        <w:t>“中国政府采购网”（www.ccgp.gov.cn）政府采购严重违法失信行为记录名单</w:t>
      </w:r>
      <w:r>
        <w:rPr>
          <w:rFonts w:hint="eastAsia" w:ascii="宋体" w:hAnsi="宋体" w:eastAsia="宋体" w:cs="宋体"/>
          <w:color w:val="auto"/>
          <w:sz w:val="24"/>
          <w:szCs w:val="24"/>
          <w:lang w:val="zh-CN"/>
        </w:rPr>
        <w:t>的书面申明及该网站查询结果页面截图；</w:t>
      </w:r>
    </w:p>
    <w:p>
      <w:pPr>
        <w:pStyle w:val="19"/>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招标文件第一章“投标人资格要求”中有特殊要求的，投标人应提供其符合特殊要求的证明材料或者情况说明；</w:t>
      </w:r>
    </w:p>
    <w:p>
      <w:pPr>
        <w:pStyle w:val="19"/>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不符合联合体投标相关规定和要求的；</w:t>
      </w:r>
    </w:p>
    <w:p>
      <w:pPr>
        <w:pStyle w:val="19"/>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投标人认为需提供的其它相关资格证明材料；</w:t>
      </w:r>
    </w:p>
    <w:p>
      <w:pPr>
        <w:pStyle w:val="19"/>
        <w:numPr>
          <w:ilvl w:val="0"/>
          <w:numId w:val="18"/>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w:t>
      </w:r>
    </w:p>
    <w:p>
      <w:pPr>
        <w:numPr>
          <w:ilvl w:val="0"/>
          <w:numId w:val="17"/>
        </w:numPr>
        <w:tabs>
          <w:tab w:val="left" w:pos="616"/>
        </w:tabs>
        <w:spacing w:line="360" w:lineRule="auto"/>
        <w:ind w:left="14" w:firstLine="238"/>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确定资格审查合格投标人</w:t>
      </w:r>
    </w:p>
    <w:p>
      <w:pPr>
        <w:pStyle w:val="20"/>
        <w:numPr>
          <w:ilvl w:val="0"/>
          <w:numId w:val="20"/>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20"/>
        <w:numPr>
          <w:ilvl w:val="0"/>
          <w:numId w:val="20"/>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资格审查合格投标人不足3家的，不进行评标。</w:t>
      </w:r>
    </w:p>
    <w:p>
      <w:pPr>
        <w:pStyle w:val="20"/>
        <w:numPr>
          <w:ilvl w:val="0"/>
          <w:numId w:val="20"/>
        </w:numPr>
        <w:tabs>
          <w:tab w:val="left" w:pos="840"/>
        </w:tabs>
        <w:spacing w:line="360" w:lineRule="auto"/>
        <w:ind w:hanging="602"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资格审查未通过的投标人可在结果公告质疑有效期内按公告中的联系方式获知本</w:t>
      </w:r>
      <w:r>
        <w:rPr>
          <w:rFonts w:hint="eastAsia" w:ascii="宋体" w:hAnsi="宋体" w:eastAsia="宋体" w:cs="宋体"/>
          <w:sz w:val="24"/>
          <w:szCs w:val="24"/>
          <w:lang w:val="zh-CN"/>
        </w:rPr>
        <w:t>单位</w:t>
      </w:r>
      <w:r>
        <w:rPr>
          <w:rFonts w:hint="eastAsia" w:ascii="宋体" w:hAnsi="宋体" w:eastAsia="宋体" w:cs="宋体"/>
          <w:sz w:val="24"/>
          <w:szCs w:val="24"/>
          <w:lang w:val="zh-CN" w:eastAsia="zh-CN"/>
        </w:rPr>
        <w:t>的资格审查情况。</w:t>
      </w:r>
    </w:p>
    <w:p>
      <w:pPr>
        <w:pStyle w:val="20"/>
        <w:numPr>
          <w:ilvl w:val="0"/>
          <w:numId w:val="20"/>
        </w:numPr>
        <w:tabs>
          <w:tab w:val="left" w:pos="840"/>
        </w:tabs>
        <w:spacing w:line="360" w:lineRule="auto"/>
        <w:ind w:hanging="602" w:firstLineChars="0"/>
        <w:rPr>
          <w:rFonts w:hint="eastAsia" w:ascii="宋体" w:hAnsi="宋体" w:eastAsia="宋体" w:cs="宋体"/>
          <w:sz w:val="24"/>
          <w:szCs w:val="24"/>
          <w:lang w:val="zh-CN"/>
        </w:rPr>
      </w:pPr>
      <w:r>
        <w:rPr>
          <w:rFonts w:hint="eastAsia" w:ascii="宋体" w:hAnsi="宋体" w:eastAsia="宋体" w:cs="宋体"/>
          <w:color w:val="0D0D0D"/>
          <w:sz w:val="24"/>
          <w:szCs w:val="24"/>
          <w:lang w:val="zh-CN" w:eastAsia="zh-CN"/>
        </w:rPr>
        <w:t>采购人已进行资格预审的，不再</w:t>
      </w:r>
      <w:r>
        <w:rPr>
          <w:rFonts w:hint="eastAsia" w:ascii="宋体" w:hAnsi="宋体" w:eastAsia="宋体" w:cs="宋体"/>
          <w:sz w:val="24"/>
          <w:szCs w:val="24"/>
          <w:lang w:val="zh-CN"/>
        </w:rPr>
        <w:t>进行</w:t>
      </w:r>
      <w:r>
        <w:rPr>
          <w:rFonts w:hint="eastAsia" w:ascii="宋体" w:hAnsi="宋体" w:eastAsia="宋体" w:cs="宋体"/>
          <w:sz w:val="24"/>
          <w:szCs w:val="24"/>
          <w:lang w:val="zh-CN" w:eastAsia="zh-CN"/>
        </w:rPr>
        <w:t>资格审查。</w:t>
      </w:r>
      <w:r>
        <w:rPr>
          <w:rFonts w:hint="eastAsia" w:ascii="宋体" w:hAnsi="宋体" w:eastAsia="宋体" w:cs="宋体"/>
          <w:sz w:val="24"/>
          <w:szCs w:val="24"/>
          <w:lang w:val="zh-CN"/>
        </w:rPr>
        <w:t>未通过资格预审的投标人采购代理采购机构</w:t>
      </w:r>
      <w:r>
        <w:rPr>
          <w:rFonts w:hint="eastAsia" w:ascii="宋体" w:hAnsi="宋体" w:eastAsia="宋体" w:cs="宋体"/>
          <w:b/>
          <w:sz w:val="24"/>
          <w:szCs w:val="24"/>
          <w:lang w:val="zh-CN"/>
        </w:rPr>
        <w:t>拒绝</w:t>
      </w:r>
      <w:r>
        <w:rPr>
          <w:rFonts w:hint="eastAsia" w:ascii="宋体" w:hAnsi="宋体" w:eastAsia="宋体" w:cs="宋体"/>
          <w:sz w:val="24"/>
          <w:szCs w:val="24"/>
          <w:lang w:val="zh-CN"/>
        </w:rPr>
        <w:t>其投标。</w:t>
      </w:r>
    </w:p>
    <w:p>
      <w:pPr>
        <w:widowControl/>
        <w:tabs>
          <w:tab w:val="left" w:pos="1800"/>
        </w:tabs>
        <w:spacing w:line="360" w:lineRule="auto"/>
        <w:outlineLvl w:val="1"/>
        <w:rPr>
          <w:rFonts w:hint="eastAsia" w:ascii="宋体" w:hAnsi="宋体" w:cs="宋体"/>
          <w:b/>
          <w:bCs/>
          <w:color w:val="000000"/>
          <w:kern w:val="0"/>
          <w:sz w:val="30"/>
          <w:szCs w:val="30"/>
        </w:rPr>
        <w:sectPr>
          <w:pgSz w:w="11906" w:h="16838"/>
          <w:pgMar w:top="1134" w:right="1191" w:bottom="1134" w:left="1191" w:header="851" w:footer="624" w:gutter="0"/>
          <w:cols w:space="425" w:num="1"/>
          <w:docGrid w:type="linesAndChars" w:linePitch="312" w:charSpace="0"/>
        </w:sectPr>
      </w:pPr>
    </w:p>
    <w:p>
      <w:pPr>
        <w:pStyle w:val="3"/>
        <w:numPr>
          <w:ilvl w:val="0"/>
          <w:numId w:val="1"/>
        </w:numPr>
        <w:jc w:val="center"/>
        <w:rPr>
          <w:rFonts w:hint="eastAsia" w:ascii="宋体" w:hAnsi="宋体" w:eastAsia="宋体" w:cs="宋体"/>
        </w:rPr>
      </w:pPr>
      <w:bookmarkStart w:id="67" w:name="_Toc19488"/>
      <w:r>
        <w:rPr>
          <w:rFonts w:hint="eastAsia" w:ascii="宋体" w:hAnsi="宋体" w:eastAsia="宋体" w:cs="宋体"/>
        </w:rPr>
        <w:t>评标方法、程序及标准</w:t>
      </w:r>
      <w:bookmarkEnd w:id="67"/>
    </w:p>
    <w:p>
      <w:pPr>
        <w:spacing w:line="360" w:lineRule="auto"/>
        <w:ind w:firstLine="480" w:firstLineChars="200"/>
        <w:rPr>
          <w:rFonts w:hint="eastAsia" w:ascii="宋体" w:hAnsi="宋体" w:eastAsia="宋体" w:cs="宋体"/>
          <w:bCs/>
          <w:sz w:val="24"/>
          <w:szCs w:val="20"/>
          <w:lang w:val="zh-CN" w:eastAsia="zh-CN"/>
        </w:rPr>
      </w:pPr>
      <w:r>
        <w:rPr>
          <w:rFonts w:hint="eastAsia" w:ascii="宋体" w:hAnsi="宋体" w:eastAsia="宋体" w:cs="宋体"/>
          <w:bCs/>
          <w:sz w:val="24"/>
          <w:szCs w:val="20"/>
          <w:lang w:val="zh-CN" w:eastAsia="zh-CN"/>
        </w:rPr>
        <w:t>根据《政府采购法》、《政府采购法实施条例》、《政府采购货物和服务招标投标管理办法》等相关</w:t>
      </w:r>
      <w:r>
        <w:rPr>
          <w:rFonts w:hint="eastAsia" w:ascii="宋体" w:hAnsi="宋体" w:eastAsia="宋体" w:cs="宋体"/>
          <w:bCs/>
          <w:sz w:val="24"/>
          <w:szCs w:val="20"/>
          <w:lang w:val="zh-CN"/>
        </w:rPr>
        <w:t>法律法规</w:t>
      </w:r>
      <w:r>
        <w:rPr>
          <w:rFonts w:hint="eastAsia" w:ascii="宋体" w:hAnsi="宋体" w:eastAsia="宋体" w:cs="宋体"/>
          <w:bCs/>
          <w:sz w:val="24"/>
          <w:szCs w:val="20"/>
          <w:lang w:val="zh-CN" w:eastAsia="zh-CN"/>
        </w:rPr>
        <w:t>确定以下评标办法、程序及标准。</w:t>
      </w:r>
    </w:p>
    <w:p>
      <w:pPr>
        <w:pStyle w:val="4"/>
        <w:numPr>
          <w:ilvl w:val="0"/>
          <w:numId w:val="21"/>
        </w:numPr>
        <w:spacing w:before="0" w:after="0" w:line="360" w:lineRule="auto"/>
        <w:ind w:left="616" w:hanging="616"/>
        <w:jc w:val="left"/>
        <w:rPr>
          <w:rFonts w:hint="eastAsia" w:ascii="宋体" w:hAnsi="宋体" w:eastAsia="宋体" w:cs="宋体"/>
          <w:bCs w:val="0"/>
          <w:sz w:val="30"/>
          <w:szCs w:val="30"/>
          <w:lang w:val="zh-CN" w:eastAsia="zh-CN"/>
        </w:rPr>
      </w:pPr>
      <w:bookmarkStart w:id="68" w:name="_Toc272247708"/>
      <w:bookmarkStart w:id="69" w:name="_Toc278891605"/>
      <w:bookmarkStart w:id="70" w:name="_Toc494561961"/>
      <w:bookmarkStart w:id="71" w:name="_Toc4000"/>
      <w:r>
        <w:rPr>
          <w:rFonts w:hint="eastAsia" w:ascii="宋体" w:hAnsi="宋体" w:eastAsia="宋体" w:cs="宋体"/>
          <w:bCs w:val="0"/>
          <w:sz w:val="30"/>
          <w:szCs w:val="30"/>
          <w:lang w:val="zh-CN" w:eastAsia="zh-CN"/>
        </w:rPr>
        <w:t>评标</w:t>
      </w:r>
      <w:bookmarkEnd w:id="68"/>
      <w:bookmarkEnd w:id="69"/>
      <w:r>
        <w:rPr>
          <w:rFonts w:hint="eastAsia" w:ascii="宋体" w:hAnsi="宋体" w:eastAsia="宋体" w:cs="宋体"/>
          <w:bCs w:val="0"/>
          <w:sz w:val="30"/>
          <w:szCs w:val="30"/>
          <w:lang w:val="zh-CN" w:eastAsia="zh-CN"/>
        </w:rPr>
        <w:t>方法</w:t>
      </w:r>
      <w:bookmarkEnd w:id="70"/>
      <w:bookmarkEnd w:id="71"/>
    </w:p>
    <w:p>
      <w:pPr>
        <w:spacing w:line="360" w:lineRule="auto"/>
        <w:ind w:firstLine="480" w:firstLineChars="200"/>
        <w:rPr>
          <w:rFonts w:hint="eastAsia" w:ascii="宋体" w:hAnsi="宋体" w:eastAsia="宋体" w:cs="宋体"/>
          <w:bCs/>
          <w:color w:val="FF0000"/>
          <w:sz w:val="24"/>
          <w:szCs w:val="20"/>
          <w:lang w:val="zh-CN" w:eastAsia="zh-CN"/>
        </w:rPr>
      </w:pPr>
      <w:r>
        <w:rPr>
          <w:rFonts w:hint="eastAsia" w:ascii="宋体" w:hAnsi="宋体" w:eastAsia="宋体" w:cs="宋体"/>
          <w:bCs/>
          <w:color w:val="FF0000"/>
          <w:sz w:val="24"/>
          <w:szCs w:val="20"/>
          <w:lang w:val="zh-CN" w:eastAsia="zh-CN"/>
        </w:rPr>
        <w:t>本项目评标采用</w:t>
      </w:r>
      <w:r>
        <w:rPr>
          <w:rFonts w:hint="eastAsia" w:ascii="宋体" w:hAnsi="宋体" w:eastAsia="宋体" w:cs="宋体"/>
          <w:bCs/>
          <w:color w:val="FF0000"/>
          <w:sz w:val="24"/>
          <w:szCs w:val="20"/>
          <w:lang w:val="zh-CN"/>
        </w:rPr>
        <w:t>综合评分法</w:t>
      </w:r>
      <w:r>
        <w:rPr>
          <w:rFonts w:hint="eastAsia" w:ascii="宋体" w:hAnsi="宋体" w:eastAsia="宋体" w:cs="宋体"/>
          <w:bCs/>
          <w:color w:val="FF0000"/>
          <w:sz w:val="24"/>
          <w:szCs w:val="20"/>
          <w:lang w:val="zh-CN" w:eastAsia="zh-CN"/>
        </w:rPr>
        <w:t>，</w:t>
      </w:r>
      <w:r>
        <w:rPr>
          <w:rFonts w:hint="eastAsia" w:ascii="宋体" w:hAnsi="宋体" w:eastAsia="宋体"/>
          <w:bCs/>
          <w:color w:val="FF0000"/>
          <w:sz w:val="24"/>
          <w:szCs w:val="24"/>
          <w:lang w:val="zh-CN"/>
        </w:rPr>
        <w:t>是指投标文件满足招标文件全部实质性要求，且按照评审因素的量化指标评审得分最高的投标人为中标候选人的评标方法</w:t>
      </w:r>
      <w:r>
        <w:rPr>
          <w:rFonts w:hint="eastAsia" w:ascii="宋体" w:hAnsi="宋体" w:eastAsia="宋体" w:cs="宋体"/>
          <w:bCs/>
          <w:color w:val="FF0000"/>
          <w:sz w:val="24"/>
          <w:szCs w:val="20"/>
          <w:lang w:val="zh-CN"/>
        </w:rPr>
        <w:t>。</w:t>
      </w:r>
    </w:p>
    <w:p>
      <w:pPr>
        <w:pStyle w:val="4"/>
        <w:numPr>
          <w:ilvl w:val="0"/>
          <w:numId w:val="21"/>
        </w:numPr>
        <w:spacing w:before="0" w:after="0" w:line="360" w:lineRule="auto"/>
        <w:ind w:left="616" w:hanging="616"/>
        <w:jc w:val="left"/>
        <w:rPr>
          <w:rFonts w:hint="eastAsia" w:ascii="宋体" w:hAnsi="宋体" w:eastAsia="宋体" w:cs="宋体"/>
          <w:bCs w:val="0"/>
          <w:sz w:val="30"/>
          <w:szCs w:val="30"/>
          <w:lang w:val="zh-CN" w:eastAsia="zh-CN"/>
        </w:rPr>
      </w:pPr>
      <w:bookmarkStart w:id="72" w:name="_Toc278891606"/>
      <w:bookmarkStart w:id="73" w:name="_Toc272247709"/>
      <w:bookmarkStart w:id="74" w:name="_Toc494561962"/>
      <w:bookmarkStart w:id="75" w:name="_Toc28471"/>
      <w:r>
        <w:rPr>
          <w:rFonts w:hint="eastAsia" w:ascii="宋体" w:hAnsi="宋体" w:eastAsia="宋体" w:cs="宋体"/>
          <w:bCs w:val="0"/>
          <w:sz w:val="30"/>
          <w:szCs w:val="30"/>
          <w:lang w:val="zh-CN" w:eastAsia="zh-CN"/>
        </w:rPr>
        <w:t>评标程序</w:t>
      </w:r>
      <w:bookmarkEnd w:id="72"/>
      <w:bookmarkEnd w:id="73"/>
      <w:r>
        <w:rPr>
          <w:rFonts w:hint="eastAsia" w:ascii="宋体" w:hAnsi="宋体" w:eastAsia="宋体" w:cs="宋体"/>
          <w:bCs w:val="0"/>
          <w:sz w:val="30"/>
          <w:szCs w:val="30"/>
          <w:lang w:val="zh-CN" w:eastAsia="zh-CN"/>
        </w:rPr>
        <w:t>及标准</w:t>
      </w:r>
      <w:bookmarkEnd w:id="74"/>
      <w:bookmarkEnd w:id="75"/>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eastAsia="zh-CN"/>
        </w:rPr>
        <w:t>评标委员会按以下工作程序进行评标</w:t>
      </w:r>
      <w:r>
        <w:rPr>
          <w:rFonts w:hint="eastAsia" w:ascii="宋体" w:hAnsi="宋体" w:eastAsia="宋体" w:cs="宋体"/>
          <w:bCs/>
          <w:sz w:val="24"/>
          <w:szCs w:val="20"/>
          <w:lang w:val="zh-CN"/>
        </w:rPr>
        <w:t>：</w:t>
      </w:r>
      <w:r>
        <w:rPr>
          <w:rFonts w:hint="eastAsia" w:ascii="宋体" w:hAnsi="宋体" w:eastAsia="宋体" w:cs="宋体"/>
          <w:sz w:val="24"/>
          <w:szCs w:val="20"/>
          <w:lang w:val="zh-CN"/>
        </w:rPr>
        <w:t>符合性审查、</w:t>
      </w:r>
      <w:r>
        <w:rPr>
          <w:rFonts w:hint="eastAsia" w:ascii="宋体" w:hAnsi="宋体" w:eastAsia="宋体" w:cs="宋体"/>
          <w:sz w:val="24"/>
          <w:szCs w:val="20"/>
          <w:lang w:val="zh-CN" w:eastAsia="zh-CN"/>
        </w:rPr>
        <w:t>澄清有关问题</w:t>
      </w:r>
      <w:r>
        <w:rPr>
          <w:rFonts w:hint="eastAsia" w:ascii="宋体" w:hAnsi="宋体" w:eastAsia="宋体" w:cs="宋体"/>
          <w:sz w:val="24"/>
          <w:szCs w:val="20"/>
          <w:lang w:val="zh-CN"/>
        </w:rPr>
        <w:t>、综合</w:t>
      </w:r>
      <w:r>
        <w:rPr>
          <w:rFonts w:hint="eastAsia" w:ascii="宋体" w:hAnsi="宋体" w:eastAsia="宋体" w:cs="宋体"/>
          <w:sz w:val="24"/>
          <w:szCs w:val="20"/>
          <w:lang w:val="zh-CN" w:eastAsia="zh-CN"/>
        </w:rPr>
        <w:t>比较</w:t>
      </w:r>
      <w:r>
        <w:rPr>
          <w:rFonts w:hint="eastAsia" w:ascii="宋体" w:hAnsi="宋体" w:eastAsia="宋体" w:cs="宋体"/>
          <w:sz w:val="24"/>
          <w:szCs w:val="20"/>
          <w:lang w:val="zh-CN"/>
        </w:rPr>
        <w:t>和</w:t>
      </w:r>
      <w:r>
        <w:rPr>
          <w:rFonts w:hint="eastAsia" w:ascii="宋体" w:hAnsi="宋体" w:eastAsia="宋体" w:cs="宋体"/>
          <w:sz w:val="24"/>
          <w:szCs w:val="20"/>
          <w:lang w:val="zh-CN" w:eastAsia="zh-CN"/>
        </w:rPr>
        <w:t>评价</w:t>
      </w:r>
      <w:r>
        <w:rPr>
          <w:rFonts w:hint="eastAsia" w:ascii="宋体" w:hAnsi="宋体" w:eastAsia="宋体" w:cs="宋体"/>
          <w:sz w:val="24"/>
          <w:szCs w:val="20"/>
          <w:lang w:val="zh-CN"/>
        </w:rPr>
        <w:t>、确定</w:t>
      </w:r>
      <w:r>
        <w:rPr>
          <w:rFonts w:hint="eastAsia" w:ascii="宋体" w:hAnsi="宋体" w:eastAsia="宋体" w:cs="宋体"/>
          <w:sz w:val="24"/>
          <w:szCs w:val="20"/>
          <w:lang w:val="zh-CN" w:eastAsia="zh-CN"/>
        </w:rPr>
        <w:t>中标候选人名单。</w:t>
      </w:r>
    </w:p>
    <w:p>
      <w:pPr>
        <w:numPr>
          <w:ilvl w:val="0"/>
          <w:numId w:val="22"/>
        </w:numPr>
        <w:ind w:left="1311" w:leftChars="154" w:hanging="988" w:hangingChars="353"/>
        <w:rPr>
          <w:rFonts w:hint="eastAsia" w:ascii="宋体" w:hAnsi="宋体" w:eastAsia="宋体" w:cs="宋体"/>
          <w:strike/>
          <w:sz w:val="28"/>
          <w:szCs w:val="28"/>
          <w:lang w:val="zh-CN"/>
        </w:rPr>
      </w:pPr>
      <w:r>
        <w:rPr>
          <w:rFonts w:hint="eastAsia" w:ascii="宋体" w:hAnsi="宋体" w:eastAsia="宋体" w:cs="宋体"/>
          <w:b/>
          <w:sz w:val="28"/>
          <w:szCs w:val="28"/>
          <w:lang w:val="zh-CN"/>
        </w:rPr>
        <w:t>符合性审查</w:t>
      </w:r>
    </w:p>
    <w:p>
      <w:pPr>
        <w:spacing w:line="360" w:lineRule="auto"/>
        <w:ind w:firstLine="470" w:firstLineChars="196"/>
        <w:rPr>
          <w:rFonts w:hint="eastAsia" w:ascii="宋体" w:hAnsi="宋体" w:eastAsia="宋体" w:cs="宋体"/>
          <w:bCs/>
          <w:sz w:val="24"/>
          <w:szCs w:val="20"/>
          <w:lang w:val="zh-CN"/>
        </w:rPr>
      </w:pPr>
      <w:r>
        <w:rPr>
          <w:rFonts w:hint="eastAsia" w:ascii="宋体" w:hAnsi="宋体" w:eastAsia="宋体" w:cs="宋体"/>
          <w:kern w:val="0"/>
          <w:sz w:val="24"/>
          <w:szCs w:val="24"/>
          <w:lang w:val="zh-CN" w:eastAsia="zh-CN"/>
        </w:rPr>
        <w:t>评标委员会应当对符合资格的投标人的投标文件进行符合性审查，以确定其是否满足招标文件的实质性要求。</w:t>
      </w:r>
      <w:r>
        <w:rPr>
          <w:rFonts w:hint="eastAsia" w:ascii="宋体" w:hAnsi="宋体" w:eastAsia="宋体" w:cs="宋体"/>
          <w:bCs/>
          <w:sz w:val="24"/>
          <w:szCs w:val="20"/>
          <w:lang w:val="zh-CN" w:eastAsia="zh-CN"/>
        </w:rPr>
        <w:t>符合性</w:t>
      </w:r>
      <w:r>
        <w:rPr>
          <w:rFonts w:hint="eastAsia" w:ascii="宋体" w:hAnsi="宋体" w:eastAsia="宋体" w:cs="宋体"/>
          <w:bCs/>
          <w:sz w:val="24"/>
          <w:szCs w:val="20"/>
          <w:lang w:val="zh-CN"/>
        </w:rPr>
        <w:t>审查</w:t>
      </w:r>
      <w:r>
        <w:rPr>
          <w:rFonts w:hint="eastAsia" w:ascii="宋体" w:hAnsi="宋体" w:eastAsia="宋体" w:cs="宋体"/>
          <w:bCs/>
          <w:sz w:val="24"/>
          <w:szCs w:val="20"/>
          <w:lang w:val="zh-CN" w:eastAsia="zh-CN"/>
        </w:rPr>
        <w:t>出现下列情形之一的投标</w:t>
      </w:r>
      <w:r>
        <w:rPr>
          <w:rFonts w:hint="eastAsia" w:ascii="宋体" w:hAnsi="宋体" w:eastAsia="宋体" w:cs="宋体"/>
          <w:bCs/>
          <w:sz w:val="24"/>
          <w:szCs w:val="20"/>
          <w:lang w:val="zh-CN"/>
        </w:rPr>
        <w:t>按照</w:t>
      </w:r>
      <w:r>
        <w:rPr>
          <w:rFonts w:hint="eastAsia" w:ascii="宋体" w:hAnsi="宋体" w:eastAsia="宋体" w:cs="宋体"/>
          <w:b/>
          <w:bCs/>
          <w:sz w:val="24"/>
          <w:szCs w:val="20"/>
          <w:lang w:val="zh-CN" w:eastAsia="zh-CN"/>
        </w:rPr>
        <w:t>无效投标</w:t>
      </w:r>
      <w:r>
        <w:rPr>
          <w:rFonts w:hint="eastAsia" w:ascii="宋体" w:hAnsi="宋体" w:eastAsia="宋体" w:cs="宋体"/>
          <w:b/>
          <w:bCs/>
          <w:sz w:val="24"/>
          <w:szCs w:val="20"/>
          <w:lang w:val="zh-CN"/>
        </w:rPr>
        <w:t>处理</w:t>
      </w:r>
      <w:r>
        <w:rPr>
          <w:rFonts w:hint="eastAsia" w:ascii="宋体" w:hAnsi="宋体" w:eastAsia="宋体" w:cs="宋体"/>
          <w:bCs/>
          <w:sz w:val="24"/>
          <w:szCs w:val="20"/>
          <w:lang w:val="zh-CN" w:eastAsia="zh-CN"/>
        </w:rPr>
        <w:t>：</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投标总报价超过项目（分包）预算金额或最高限价的；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《投标书》、《法定代表人授权书》、《开标一览表》、《投标报价明细表》未提供或不符合招标文件要求的；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工期（服务期限）、质保期不符合招标文件要求的；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出现两个或两个以上不同报价的；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出现两个或两个以上投标方案的（招标文件中要求提供备选方案的除外）；</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投标报价存在缺项、漏项的；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投标有效期不足的；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无法定代表人签字（签章）或签字（签章）人无法定代表人有效授权的；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正本未按要求提供加盖公章及签字（签章）原件的；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符合招标文件第二章“投标人须知”中规定情形，以分公司形式参与投标的，法定代表人授权书未由总公司法定代表人签字（盖章）并加盖公章的；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未按要求提供招标文件第二章“十、其他注意事项”中规定的书面声明的；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依据财库[2019]9号文的规定，招标文件采购清单中注明“节能产品”的货物，未提供国家确定的认证机构出具的节能产品认证证书的；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所投货物是通过中国海关报关验放进入中国境内且产自关境外的（招标文件中注明已办理进口产品核准的除外）；</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未提供所投货物（工程或服务）的具体参数值或功能表述，或原文复制招标文件的技术规格相关部分内容作为其投标文件的一部分的；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不满足招标文件第三章“项目技术、服务和商务要求”要求的；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含有采购人不能接受的附加条件的；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23"/>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法律、法规和招标文件规定的其他无效投标情形。</w:t>
      </w:r>
    </w:p>
    <w:p>
      <w:pPr>
        <w:numPr>
          <w:ilvl w:val="0"/>
          <w:numId w:val="22"/>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澄清有关问题</w:t>
      </w:r>
    </w:p>
    <w:p>
      <w:pPr>
        <w:numPr>
          <w:ilvl w:val="0"/>
          <w:numId w:val="24"/>
        </w:numPr>
        <w:tabs>
          <w:tab w:val="left" w:pos="616"/>
        </w:tabs>
        <w:spacing w:line="360" w:lineRule="auto"/>
        <w:ind w:left="10" w:leftChars="5" w:firstLine="237" w:firstLineChars="99"/>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评标期间，对于投标文件中含义不明确、同类问题表述不一致或者有明显文字和计算错误的内容，评标委员会应当以书面形式要求投标人作出必要的澄清、说明或者补正。</w:t>
      </w:r>
    </w:p>
    <w:p>
      <w:pPr>
        <w:numPr>
          <w:ilvl w:val="0"/>
          <w:numId w:val="24"/>
        </w:numPr>
        <w:tabs>
          <w:tab w:val="left" w:pos="616"/>
        </w:tabs>
        <w:spacing w:line="360" w:lineRule="auto"/>
        <w:ind w:left="10" w:leftChars="5" w:firstLine="237" w:firstLineChars="99"/>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人应按照评标委员会要求的澄清内容在规定时间内做出澄清。投标文件报价出现前后不一致的，按照本节第3条规定进行修正，投标人的澄清、说明或者补正不得超出投标文件的范围或者改变投标文件的实质性内容。</w:t>
      </w:r>
    </w:p>
    <w:p>
      <w:pPr>
        <w:numPr>
          <w:ilvl w:val="0"/>
          <w:numId w:val="24"/>
        </w:numPr>
        <w:tabs>
          <w:tab w:val="left" w:pos="616"/>
        </w:tabs>
        <w:spacing w:line="360" w:lineRule="auto"/>
        <w:ind w:left="10" w:leftChars="5" w:firstLine="237" w:firstLineChars="99"/>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投标文件报价出现前后不一致的，按照下列规定修正：</w:t>
      </w:r>
    </w:p>
    <w:p>
      <w:pPr>
        <w:numPr>
          <w:ilvl w:val="0"/>
          <w:numId w:val="25"/>
        </w:numPr>
        <w:adjustRightInd w:val="0"/>
        <w:spacing w:line="360" w:lineRule="auto"/>
        <w:ind w:left="742" w:hanging="493"/>
        <w:rPr>
          <w:rFonts w:hint="eastAsia" w:ascii="宋体" w:hAnsi="宋体" w:eastAsia="宋体" w:cs="宋体"/>
          <w:color w:val="0D0D0D"/>
          <w:sz w:val="24"/>
          <w:szCs w:val="24"/>
          <w:lang w:val="zh-CN" w:eastAsia="zh-CN"/>
        </w:rPr>
      </w:pPr>
      <w:r>
        <w:rPr>
          <w:rFonts w:hint="eastAsia" w:ascii="宋体" w:hAnsi="宋体" w:eastAsia="宋体" w:cs="宋体"/>
          <w:color w:val="0D0D0D"/>
          <w:sz w:val="24"/>
          <w:szCs w:val="24"/>
          <w:lang w:val="zh-CN" w:eastAsia="zh-CN"/>
        </w:rPr>
        <w:t>投标文件中开标一览表内容与投标文件中相应内容不一致的，以开标一览表为准</w:t>
      </w:r>
      <w:r>
        <w:rPr>
          <w:rFonts w:hint="eastAsia" w:ascii="宋体" w:hAnsi="宋体" w:eastAsia="宋体" w:cs="宋体"/>
          <w:color w:val="0D0D0D"/>
          <w:sz w:val="24"/>
          <w:szCs w:val="24"/>
          <w:lang w:val="zh-CN"/>
        </w:rPr>
        <w:t>。</w:t>
      </w:r>
    </w:p>
    <w:p>
      <w:pPr>
        <w:numPr>
          <w:ilvl w:val="0"/>
          <w:numId w:val="25"/>
        </w:numPr>
        <w:adjustRightInd w:val="0"/>
        <w:spacing w:line="360" w:lineRule="auto"/>
        <w:ind w:left="742" w:hanging="493"/>
        <w:rPr>
          <w:rFonts w:hint="eastAsia" w:ascii="宋体" w:hAnsi="宋体" w:eastAsia="宋体" w:cs="宋体"/>
          <w:color w:val="0D0D0D"/>
          <w:sz w:val="24"/>
          <w:szCs w:val="24"/>
          <w:lang w:val="zh-CN" w:eastAsia="zh-CN"/>
        </w:rPr>
      </w:pPr>
      <w:r>
        <w:rPr>
          <w:rFonts w:hint="eastAsia" w:ascii="宋体" w:hAnsi="宋体" w:eastAsia="宋体" w:cs="宋体"/>
          <w:color w:val="0D0D0D"/>
          <w:sz w:val="24"/>
          <w:szCs w:val="24"/>
          <w:lang w:val="zh-CN" w:eastAsia="zh-CN"/>
        </w:rPr>
        <w:t>大写金额和小写金额不一致的，以大写金额为准</w:t>
      </w:r>
      <w:r>
        <w:rPr>
          <w:rFonts w:hint="eastAsia" w:ascii="宋体" w:hAnsi="宋体" w:eastAsia="宋体" w:cs="宋体"/>
          <w:color w:val="0D0D0D"/>
          <w:sz w:val="24"/>
          <w:szCs w:val="24"/>
          <w:lang w:val="zh-CN"/>
        </w:rPr>
        <w:t>。</w:t>
      </w:r>
    </w:p>
    <w:p>
      <w:pPr>
        <w:numPr>
          <w:ilvl w:val="0"/>
          <w:numId w:val="25"/>
        </w:numPr>
        <w:adjustRightInd w:val="0"/>
        <w:spacing w:line="360" w:lineRule="auto"/>
        <w:ind w:left="742" w:hanging="493"/>
        <w:rPr>
          <w:rFonts w:hint="eastAsia" w:ascii="宋体" w:hAnsi="宋体" w:eastAsia="宋体" w:cs="宋体"/>
          <w:color w:val="0D0D0D"/>
          <w:sz w:val="24"/>
          <w:szCs w:val="24"/>
          <w:lang w:val="zh-CN" w:eastAsia="zh-CN"/>
        </w:rPr>
      </w:pPr>
      <w:r>
        <w:rPr>
          <w:rFonts w:hint="eastAsia" w:ascii="宋体" w:hAnsi="宋体" w:eastAsia="宋体" w:cs="宋体"/>
          <w:color w:val="0D0D0D"/>
          <w:sz w:val="24"/>
          <w:szCs w:val="24"/>
          <w:lang w:val="zh-CN" w:eastAsia="zh-CN"/>
        </w:rPr>
        <w:t>单价金额小数点或者百分比有明显错位的，以开标一览表的总价为准，并修改单价</w:t>
      </w:r>
      <w:r>
        <w:rPr>
          <w:rFonts w:hint="eastAsia" w:ascii="宋体" w:hAnsi="宋体" w:eastAsia="宋体" w:cs="宋体"/>
          <w:color w:val="0D0D0D"/>
          <w:sz w:val="24"/>
          <w:szCs w:val="24"/>
          <w:lang w:val="zh-CN"/>
        </w:rPr>
        <w:t>。</w:t>
      </w:r>
    </w:p>
    <w:p>
      <w:pPr>
        <w:numPr>
          <w:ilvl w:val="0"/>
          <w:numId w:val="25"/>
        </w:numPr>
        <w:adjustRightInd w:val="0"/>
        <w:spacing w:line="360" w:lineRule="auto"/>
        <w:ind w:left="742" w:hanging="493"/>
        <w:rPr>
          <w:rFonts w:hint="eastAsia" w:ascii="宋体" w:hAnsi="宋体" w:eastAsia="宋体" w:cs="宋体"/>
          <w:color w:val="0D0D0D"/>
          <w:sz w:val="24"/>
          <w:szCs w:val="24"/>
          <w:lang w:val="zh-CN" w:eastAsia="zh-CN"/>
        </w:rPr>
      </w:pPr>
      <w:r>
        <w:rPr>
          <w:rFonts w:hint="eastAsia" w:ascii="宋体" w:hAnsi="宋体" w:eastAsia="宋体" w:cs="宋体"/>
          <w:color w:val="0D0D0D"/>
          <w:sz w:val="24"/>
          <w:szCs w:val="24"/>
          <w:lang w:val="zh-CN" w:eastAsia="zh-CN"/>
        </w:rPr>
        <w:t>总价金额与按单价汇总金额不一致的，以单价金额计算结果为准</w:t>
      </w:r>
      <w:r>
        <w:rPr>
          <w:rFonts w:hint="eastAsia" w:ascii="宋体" w:hAnsi="宋体" w:eastAsia="宋体" w:cs="宋体"/>
          <w:color w:val="0D0D0D"/>
          <w:sz w:val="24"/>
          <w:szCs w:val="24"/>
          <w:lang w:val="zh-CN"/>
        </w:rPr>
        <w:t>。</w:t>
      </w:r>
    </w:p>
    <w:p>
      <w:pPr>
        <w:numPr>
          <w:ilvl w:val="0"/>
          <w:numId w:val="25"/>
        </w:numPr>
        <w:adjustRightInd w:val="0"/>
        <w:spacing w:line="360" w:lineRule="auto"/>
        <w:ind w:left="742" w:hanging="493"/>
        <w:rPr>
          <w:rFonts w:hint="eastAsia" w:ascii="宋体" w:hAnsi="宋体" w:eastAsia="宋体" w:cs="宋体"/>
          <w:color w:val="0D0D0D"/>
          <w:sz w:val="24"/>
          <w:szCs w:val="24"/>
          <w:lang w:val="zh-CN" w:eastAsia="zh-CN"/>
        </w:rPr>
      </w:pPr>
      <w:r>
        <w:rPr>
          <w:rFonts w:hint="eastAsia" w:ascii="宋体" w:hAnsi="宋体" w:eastAsia="宋体" w:cs="宋体"/>
          <w:color w:val="0D0D0D"/>
          <w:sz w:val="24"/>
          <w:szCs w:val="24"/>
          <w:lang w:val="zh-CN" w:eastAsia="zh-CN"/>
        </w:rPr>
        <w:t>同时出现两种以上不一致的，按照前款规定的顺序修正</w:t>
      </w:r>
      <w:r>
        <w:rPr>
          <w:rFonts w:hint="eastAsia" w:ascii="宋体" w:hAnsi="宋体" w:eastAsia="宋体" w:cs="宋体"/>
          <w:color w:val="0D0D0D"/>
          <w:sz w:val="24"/>
          <w:szCs w:val="24"/>
          <w:lang w:val="zh-CN"/>
        </w:rPr>
        <w:t>。</w:t>
      </w:r>
    </w:p>
    <w:p>
      <w:pPr>
        <w:numPr>
          <w:ilvl w:val="0"/>
          <w:numId w:val="25"/>
        </w:numPr>
        <w:adjustRightInd w:val="0"/>
        <w:spacing w:line="360" w:lineRule="auto"/>
        <w:ind w:left="742" w:hanging="493"/>
        <w:rPr>
          <w:rFonts w:hint="eastAsia" w:ascii="宋体" w:hAnsi="宋体" w:eastAsia="宋体" w:cs="宋体"/>
          <w:color w:val="0D0D0D"/>
          <w:sz w:val="24"/>
          <w:szCs w:val="24"/>
          <w:lang w:val="zh-CN" w:eastAsia="zh-CN"/>
        </w:rPr>
      </w:pPr>
      <w:r>
        <w:rPr>
          <w:rFonts w:hint="eastAsia" w:ascii="宋体" w:hAnsi="宋体" w:eastAsia="宋体" w:cs="宋体"/>
          <w:color w:val="0D0D0D"/>
          <w:sz w:val="24"/>
          <w:szCs w:val="24"/>
          <w:lang w:val="zh-CN" w:eastAsia="zh-CN"/>
        </w:rPr>
        <w:t>修正后的报价按照本节第</w:t>
      </w:r>
      <w:r>
        <w:rPr>
          <w:rFonts w:hint="eastAsia" w:ascii="宋体" w:hAnsi="宋体" w:eastAsia="宋体" w:cs="宋体"/>
          <w:color w:val="0D0D0D"/>
          <w:sz w:val="24"/>
          <w:szCs w:val="24"/>
          <w:lang w:val="zh-CN"/>
        </w:rPr>
        <w:t>4</w:t>
      </w:r>
      <w:r>
        <w:rPr>
          <w:rFonts w:hint="eastAsia" w:ascii="宋体" w:hAnsi="宋体" w:eastAsia="宋体" w:cs="宋体"/>
          <w:color w:val="0D0D0D"/>
          <w:sz w:val="24"/>
          <w:szCs w:val="24"/>
          <w:lang w:val="zh-CN" w:eastAsia="zh-CN"/>
        </w:rPr>
        <w:t>条规定经投标人确认后产生约束力，投标人不确认的，</w:t>
      </w:r>
      <w:r>
        <w:rPr>
          <w:rFonts w:hint="eastAsia" w:ascii="宋体" w:hAnsi="宋体" w:eastAsia="宋体" w:cs="宋体"/>
          <w:color w:val="0D0D0D"/>
          <w:sz w:val="24"/>
          <w:szCs w:val="24"/>
          <w:lang w:val="zh-CN"/>
        </w:rPr>
        <w:t>按照</w:t>
      </w:r>
      <w:r>
        <w:rPr>
          <w:rFonts w:hint="eastAsia" w:ascii="宋体" w:hAnsi="宋体" w:eastAsia="宋体" w:cs="宋体"/>
          <w:b/>
          <w:color w:val="0D0D0D"/>
          <w:sz w:val="24"/>
          <w:szCs w:val="24"/>
          <w:lang w:val="zh-CN" w:eastAsia="zh-CN"/>
        </w:rPr>
        <w:t>无效投标处理</w:t>
      </w:r>
      <w:r>
        <w:rPr>
          <w:rFonts w:hint="eastAsia" w:ascii="宋体" w:hAnsi="宋体" w:eastAsia="宋体" w:cs="宋体"/>
          <w:color w:val="0D0D0D"/>
          <w:sz w:val="24"/>
          <w:szCs w:val="24"/>
          <w:lang w:val="zh-CN" w:eastAsia="zh-CN"/>
        </w:rPr>
        <w:t>。</w:t>
      </w:r>
    </w:p>
    <w:p>
      <w:pPr>
        <w:numPr>
          <w:ilvl w:val="0"/>
          <w:numId w:val="24"/>
        </w:numPr>
        <w:tabs>
          <w:tab w:val="left" w:pos="616"/>
        </w:tabs>
        <w:spacing w:line="360" w:lineRule="auto"/>
        <w:ind w:left="10" w:leftChars="5" w:firstLine="237" w:firstLineChars="99"/>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投标人的澄清、说明或者补正是其投标文件的有效组成部分。投标人的澄清、说明或者补正应当采用书面形式，并加盖公章，或者由法定代表人或其授权的代表签字。</w:t>
      </w:r>
    </w:p>
    <w:p>
      <w:pPr>
        <w:numPr>
          <w:ilvl w:val="0"/>
          <w:numId w:val="22"/>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2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2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2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27"/>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27"/>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2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2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2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2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2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2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0"/>
        </w:numPr>
        <w:adjustRightInd w:val="0"/>
        <w:spacing w:line="360" w:lineRule="auto"/>
        <w:ind w:left="648" w:leftChars="103" w:hanging="432" w:hangingChars="180"/>
        <w:rPr>
          <w:rFonts w:ascii="Helvetica" w:hAnsi="Helvetica" w:eastAsia="宋体" w:cs="Helvetica"/>
          <w:color w:val="0D0D0D"/>
          <w:kern w:val="0"/>
          <w:sz w:val="24"/>
          <w:szCs w:val="24"/>
          <w:lang w:val="zh-CN"/>
        </w:rPr>
      </w:pPr>
      <w:r>
        <w:rPr>
          <w:rFonts w:hint="eastAsia" w:ascii="Helvetica" w:hAnsi="Helvetica" w:eastAsia="宋体" w:cs="Helvetica"/>
          <w:color w:val="0D0D0D"/>
          <w:kern w:val="0"/>
          <w:sz w:val="24"/>
          <w:szCs w:val="24"/>
          <w:lang w:val="en-US" w:eastAsia="zh-CN"/>
        </w:rPr>
        <w:t xml:space="preserve">4.1 </w:t>
      </w: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0"/>
        </w:numPr>
        <w:adjustRightInd w:val="0"/>
        <w:spacing w:line="360" w:lineRule="auto"/>
        <w:ind w:left="648" w:leftChars="103" w:hanging="432" w:hangingChars="180"/>
        <w:rPr>
          <w:rFonts w:ascii="Helvetica" w:hAnsi="Helvetica" w:eastAsia="宋体" w:cs="Helvetica"/>
          <w:color w:val="0D0D0D"/>
          <w:kern w:val="0"/>
          <w:sz w:val="24"/>
          <w:szCs w:val="24"/>
          <w:lang w:val="zh-CN"/>
        </w:rPr>
      </w:pPr>
      <w:r>
        <w:rPr>
          <w:rFonts w:hint="eastAsia" w:ascii="Helvetica" w:hAnsi="Helvetica" w:eastAsia="宋体" w:cs="Helvetica"/>
          <w:color w:val="0D0D0D"/>
          <w:kern w:val="0"/>
          <w:sz w:val="24"/>
          <w:szCs w:val="24"/>
          <w:lang w:val="en-US" w:eastAsia="zh-CN"/>
        </w:rPr>
        <w:t xml:space="preserve">4.2 </w:t>
      </w: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2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29"/>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29"/>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2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0"/>
        </w:numPr>
        <w:tabs>
          <w:tab w:val="left" w:pos="616"/>
        </w:tabs>
        <w:spacing w:line="360" w:lineRule="auto"/>
        <w:ind w:left="631" w:leftChars="102" w:hanging="417" w:hangingChars="174"/>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0"/>
        </w:numPr>
        <w:tabs>
          <w:tab w:val="left" w:pos="616"/>
        </w:tabs>
        <w:spacing w:line="360" w:lineRule="auto"/>
        <w:ind w:left="631" w:leftChars="102" w:hanging="417" w:hangingChars="174"/>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0"/>
        </w:numPr>
        <w:tabs>
          <w:tab w:val="left" w:pos="616"/>
        </w:tabs>
        <w:spacing w:line="360" w:lineRule="auto"/>
        <w:ind w:left="631" w:leftChars="102" w:hanging="417" w:hangingChars="174"/>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中标候选人并列的，由采购人确定或者采购人委托评标委员会以投票方式确定中标人。</w:t>
      </w:r>
    </w:p>
    <w:p>
      <w:pPr>
        <w:numPr>
          <w:ilvl w:val="0"/>
          <w:numId w:val="0"/>
        </w:numPr>
        <w:tabs>
          <w:tab w:val="left" w:pos="616"/>
        </w:tabs>
        <w:spacing w:line="360" w:lineRule="auto"/>
        <w:ind w:left="631" w:leftChars="102" w:hanging="417" w:hangingChars="174"/>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rPr>
        <w:t>评标委员会应当在评标报告上签字，对自己的评审意见承担法律责任。对评标报告有异议的，应当在评标报告上签署不同意见，并说明理由，否则视为同意评标报告。</w:t>
      </w:r>
    </w:p>
    <w:p>
      <w:pPr>
        <w:rPr>
          <w:rFonts w:hint="eastAsia" w:ascii="宋体" w:hAnsi="宋体" w:eastAsia="宋体" w:cs="宋体"/>
        </w:rPr>
      </w:pPr>
    </w:p>
    <w:p>
      <w:pPr>
        <w:widowControl/>
        <w:tabs>
          <w:tab w:val="left" w:pos="1800"/>
        </w:tabs>
        <w:spacing w:line="360" w:lineRule="auto"/>
        <w:outlineLvl w:val="1"/>
        <w:rPr>
          <w:rFonts w:hint="eastAsia" w:ascii="宋体" w:hAnsi="宋体" w:cs="宋体"/>
          <w:b/>
          <w:bCs/>
          <w:color w:val="000000"/>
          <w:kern w:val="0"/>
          <w:sz w:val="30"/>
          <w:szCs w:val="30"/>
        </w:rPr>
        <w:sectPr>
          <w:pgSz w:w="11906" w:h="16838"/>
          <w:pgMar w:top="1134" w:right="1417" w:bottom="1134" w:left="1587" w:header="851" w:footer="624" w:gutter="0"/>
          <w:cols w:space="425" w:num="1"/>
          <w:docGrid w:type="linesAndChars" w:linePitch="312" w:charSpace="0"/>
        </w:sectPr>
      </w:pPr>
    </w:p>
    <w:p>
      <w:pPr>
        <w:widowControl/>
        <w:tabs>
          <w:tab w:val="left" w:pos="1800"/>
        </w:tabs>
        <w:spacing w:line="360" w:lineRule="auto"/>
        <w:outlineLvl w:val="1"/>
        <w:rPr>
          <w:rFonts w:ascii="宋体" w:hAnsi="宋体" w:cs="宋体"/>
          <w:b/>
          <w:bCs/>
          <w:color w:val="000000"/>
          <w:kern w:val="0"/>
          <w:sz w:val="32"/>
          <w:szCs w:val="32"/>
        </w:rPr>
      </w:pPr>
      <w:bookmarkStart w:id="76" w:name="_Toc4125"/>
      <w:r>
        <w:rPr>
          <w:rFonts w:hint="eastAsia" w:ascii="宋体" w:hAnsi="宋体" w:cs="宋体"/>
          <w:b/>
          <w:bCs/>
          <w:color w:val="000000"/>
          <w:kern w:val="0"/>
          <w:sz w:val="30"/>
          <w:szCs w:val="30"/>
        </w:rPr>
        <w:t>三</w:t>
      </w:r>
      <w:r>
        <w:rPr>
          <w:rFonts w:ascii="宋体" w:hAnsi="宋体" w:cs="宋体"/>
          <w:b/>
          <w:bCs/>
          <w:color w:val="000000"/>
          <w:kern w:val="0"/>
          <w:sz w:val="30"/>
          <w:szCs w:val="30"/>
        </w:rPr>
        <w:t>、</w:t>
      </w:r>
      <w:r>
        <w:rPr>
          <w:rFonts w:hint="eastAsia" w:ascii="宋体" w:hAnsi="宋体" w:cs="宋体"/>
          <w:b/>
          <w:bCs/>
          <w:color w:val="000000"/>
          <w:kern w:val="0"/>
          <w:sz w:val="30"/>
          <w:szCs w:val="30"/>
        </w:rPr>
        <w:t>评审因素及评分标准</w:t>
      </w:r>
      <w:bookmarkEnd w:id="76"/>
      <w:r>
        <w:rPr>
          <w:rFonts w:hint="eastAsia" w:ascii="宋体" w:hAnsi="宋体" w:cs="宋体"/>
          <w:b/>
          <w:bCs/>
          <w:color w:val="000000"/>
          <w:kern w:val="0"/>
          <w:sz w:val="32"/>
          <w:szCs w:val="32"/>
        </w:rPr>
        <w:t xml:space="preserve">  </w:t>
      </w:r>
    </w:p>
    <w:tbl>
      <w:tblPr>
        <w:tblStyle w:val="15"/>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90"/>
        <w:gridCol w:w="632"/>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98"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评标项目</w:t>
            </w:r>
          </w:p>
        </w:tc>
        <w:tc>
          <w:tcPr>
            <w:tcW w:w="990"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评标</w:t>
            </w:r>
          </w:p>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分项</w:t>
            </w:r>
          </w:p>
        </w:tc>
        <w:tc>
          <w:tcPr>
            <w:tcW w:w="632"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分值</w:t>
            </w:r>
          </w:p>
        </w:tc>
        <w:tc>
          <w:tcPr>
            <w:tcW w:w="6809"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评标打分细则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98"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价格部分</w:t>
            </w:r>
            <w:r>
              <w:rPr>
                <w:rFonts w:hint="eastAsia" w:ascii="宋体" w:hAnsi="宋体" w:eastAsia="宋体" w:cs="宋体"/>
                <w:bCs/>
                <w:color w:val="FF0000"/>
                <w:sz w:val="24"/>
                <w:szCs w:val="24"/>
                <w:lang w:val="en-US" w:eastAsia="zh-CN"/>
              </w:rPr>
              <w:t>30</w:t>
            </w:r>
            <w:r>
              <w:rPr>
                <w:rFonts w:hint="eastAsia" w:ascii="宋体" w:hAnsi="宋体" w:eastAsia="宋体" w:cs="宋体"/>
                <w:bCs/>
                <w:color w:val="FF0000"/>
                <w:sz w:val="24"/>
                <w:szCs w:val="24"/>
              </w:rPr>
              <w:t>分</w:t>
            </w:r>
          </w:p>
        </w:tc>
        <w:tc>
          <w:tcPr>
            <w:tcW w:w="990"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报价得分</w:t>
            </w:r>
          </w:p>
        </w:tc>
        <w:tc>
          <w:tcPr>
            <w:tcW w:w="632"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lang w:val="en-US" w:eastAsia="zh-CN"/>
              </w:rPr>
              <w:t>30</w:t>
            </w:r>
            <w:r>
              <w:rPr>
                <w:rFonts w:hint="eastAsia" w:ascii="宋体" w:hAnsi="宋体" w:eastAsia="宋体" w:cs="宋体"/>
                <w:bCs/>
                <w:color w:val="FF0000"/>
                <w:sz w:val="24"/>
                <w:szCs w:val="24"/>
              </w:rPr>
              <w:t>分</w:t>
            </w:r>
          </w:p>
        </w:tc>
        <w:tc>
          <w:tcPr>
            <w:tcW w:w="6809" w:type="dxa"/>
            <w:vAlign w:val="center"/>
          </w:tcPr>
          <w:p>
            <w:pPr>
              <w:autoSpaceDE w:val="0"/>
              <w:autoSpaceDN w:val="0"/>
              <w:adjustRightInd w:val="0"/>
              <w:jc w:val="both"/>
              <w:rPr>
                <w:rFonts w:hint="eastAsia" w:ascii="宋体" w:hAnsi="宋体" w:eastAsia="宋体" w:cs="宋体"/>
                <w:bCs/>
                <w:color w:val="FF0000"/>
                <w:sz w:val="24"/>
                <w:szCs w:val="24"/>
              </w:rPr>
            </w:pPr>
            <w:r>
              <w:rPr>
                <w:rFonts w:hint="eastAsia" w:ascii="宋体" w:hAnsi="宋体" w:eastAsia="宋体" w:cs="宋体"/>
                <w:bCs/>
                <w:color w:val="FF0000"/>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w:t>
            </w:r>
            <w:r>
              <w:rPr>
                <w:rFonts w:hint="eastAsia" w:ascii="宋体" w:hAnsi="宋体" w:eastAsia="宋体" w:cs="宋体"/>
                <w:bCs/>
                <w:color w:val="FF0000"/>
                <w:sz w:val="24"/>
                <w:szCs w:val="24"/>
                <w:lang w:val="en-US" w:eastAsia="zh-CN"/>
              </w:rPr>
              <w:t>0</w:t>
            </w:r>
            <w:r>
              <w:rPr>
                <w:rFonts w:hint="eastAsia" w:ascii="宋体" w:hAnsi="宋体" w:eastAsia="宋体" w:cs="宋体"/>
                <w:bCs/>
                <w:color w:val="FF0000"/>
                <w:sz w:val="24"/>
                <w:szCs w:val="24"/>
              </w:rPr>
              <w:t>。计算时保留两位小数。为保证产品质量，投标报价低于采购预算80%时，评标委员会将对其进行成本分析，评标委员会认为报价低于成本价时将否决其投标。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98" w:type="dxa"/>
            <w:vMerge w:val="restart"/>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商务</w:t>
            </w:r>
          </w:p>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部分</w:t>
            </w:r>
          </w:p>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lang w:val="en-US" w:eastAsia="zh-CN"/>
              </w:rPr>
              <w:t>26</w:t>
            </w:r>
            <w:r>
              <w:rPr>
                <w:rFonts w:hint="eastAsia" w:ascii="宋体" w:hAnsi="宋体" w:eastAsia="宋体" w:cs="宋体"/>
                <w:bCs/>
                <w:color w:val="FF0000"/>
                <w:sz w:val="24"/>
                <w:szCs w:val="24"/>
              </w:rPr>
              <w:t>分</w:t>
            </w:r>
          </w:p>
        </w:tc>
        <w:tc>
          <w:tcPr>
            <w:tcW w:w="990" w:type="dxa"/>
            <w:vMerge w:val="restart"/>
            <w:vAlign w:val="center"/>
          </w:tcPr>
          <w:p>
            <w:pPr>
              <w:widowControl/>
              <w:jc w:val="center"/>
              <w:outlineLvl w:val="1"/>
              <w:rPr>
                <w:rFonts w:hint="eastAsia" w:ascii="宋体" w:hAnsi="宋体" w:eastAsia="宋体" w:cs="宋体"/>
                <w:bCs/>
                <w:color w:val="FF0000"/>
                <w:kern w:val="0"/>
                <w:sz w:val="24"/>
                <w:szCs w:val="24"/>
                <w:lang w:eastAsia="zh-CN"/>
              </w:rPr>
            </w:pPr>
            <w:bookmarkStart w:id="77" w:name="_Toc2929"/>
            <w:bookmarkStart w:id="78" w:name="_Toc29849"/>
            <w:r>
              <w:rPr>
                <w:rFonts w:hint="eastAsia" w:ascii="宋体" w:hAnsi="宋体" w:eastAsia="宋体" w:cs="宋体"/>
                <w:bCs/>
                <w:color w:val="FF0000"/>
                <w:sz w:val="24"/>
                <w:szCs w:val="24"/>
                <w:lang w:eastAsia="zh-CN"/>
              </w:rPr>
              <w:t>企业综合实力</w:t>
            </w:r>
            <w:bookmarkEnd w:id="77"/>
            <w:bookmarkEnd w:id="78"/>
          </w:p>
        </w:tc>
        <w:tc>
          <w:tcPr>
            <w:tcW w:w="632"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6分</w:t>
            </w:r>
          </w:p>
          <w:p>
            <w:pPr>
              <w:widowControl/>
              <w:jc w:val="center"/>
              <w:outlineLvl w:val="1"/>
              <w:rPr>
                <w:rFonts w:hint="eastAsia" w:ascii="宋体" w:hAnsi="宋体" w:eastAsia="宋体" w:cs="宋体"/>
                <w:bCs/>
                <w:color w:val="FF0000"/>
                <w:kern w:val="0"/>
                <w:sz w:val="24"/>
                <w:szCs w:val="24"/>
              </w:rPr>
            </w:pPr>
          </w:p>
        </w:tc>
        <w:tc>
          <w:tcPr>
            <w:tcW w:w="6809" w:type="dxa"/>
            <w:vAlign w:val="center"/>
          </w:tcPr>
          <w:p>
            <w:pPr>
              <w:autoSpaceDE w:val="0"/>
              <w:autoSpaceDN w:val="0"/>
              <w:adjustRightInd w:val="0"/>
              <w:jc w:val="both"/>
              <w:rPr>
                <w:rFonts w:hint="eastAsia" w:ascii="宋体" w:hAnsi="宋体" w:eastAsia="宋体" w:cs="宋体"/>
                <w:bCs/>
                <w:color w:val="FF0000"/>
                <w:sz w:val="24"/>
                <w:szCs w:val="24"/>
              </w:rPr>
            </w:pPr>
            <w:r>
              <w:rPr>
                <w:rFonts w:hint="eastAsia" w:ascii="宋体" w:hAnsi="宋体" w:eastAsia="宋体" w:cs="宋体"/>
                <w:bCs/>
                <w:color w:val="FF0000"/>
                <w:sz w:val="24"/>
                <w:szCs w:val="24"/>
              </w:rPr>
              <w:t>核心设备连续三年获得相关行业部门（相关部门为农业、林业、农机等司厅级及以上部门）推广证书的得6分，</w:t>
            </w:r>
            <w:r>
              <w:rPr>
                <w:rFonts w:hint="eastAsia" w:ascii="宋体" w:hAnsi="宋体" w:eastAsia="宋体" w:cs="宋体"/>
                <w:bCs/>
                <w:color w:val="FF0000"/>
                <w:sz w:val="24"/>
                <w:szCs w:val="24"/>
                <w:lang w:eastAsia="zh-CN"/>
              </w:rPr>
              <w:t>少一年获得推广证书的减</w:t>
            </w:r>
            <w:r>
              <w:rPr>
                <w:rFonts w:hint="eastAsia" w:ascii="宋体" w:hAnsi="宋体" w:eastAsia="宋体" w:cs="宋体"/>
                <w:bCs/>
                <w:color w:val="FF0000"/>
                <w:sz w:val="24"/>
                <w:szCs w:val="24"/>
                <w:lang w:val="en-US" w:eastAsia="zh-CN"/>
              </w:rPr>
              <w:t>2分，</w:t>
            </w:r>
            <w:r>
              <w:rPr>
                <w:rFonts w:hint="eastAsia" w:ascii="宋体" w:hAnsi="宋体" w:eastAsia="宋体" w:cs="宋体"/>
                <w:bCs/>
                <w:color w:val="FF0000"/>
                <w:sz w:val="24"/>
                <w:szCs w:val="24"/>
              </w:rPr>
              <w:t>未提供不得分。（提供</w:t>
            </w:r>
            <w:r>
              <w:rPr>
                <w:rFonts w:hint="eastAsia" w:ascii="宋体" w:hAnsi="宋体" w:eastAsia="宋体" w:cs="宋体"/>
                <w:bCs/>
                <w:color w:val="FF0000"/>
                <w:sz w:val="24"/>
                <w:szCs w:val="24"/>
                <w:lang w:eastAsia="zh-CN"/>
              </w:rPr>
              <w:t>证书真彩</w:t>
            </w:r>
            <w:r>
              <w:rPr>
                <w:rFonts w:hint="eastAsia" w:ascii="宋体" w:hAnsi="宋体" w:eastAsia="宋体" w:cs="宋体"/>
                <w:bCs/>
                <w:color w:val="FF0000"/>
                <w:sz w:val="24"/>
                <w:szCs w:val="24"/>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98" w:type="dxa"/>
            <w:vMerge w:val="continue"/>
            <w:vAlign w:val="center"/>
          </w:tcPr>
          <w:p>
            <w:pPr>
              <w:autoSpaceDE w:val="0"/>
              <w:autoSpaceDN w:val="0"/>
              <w:adjustRightInd w:val="0"/>
              <w:jc w:val="center"/>
              <w:rPr>
                <w:rFonts w:hint="eastAsia" w:ascii="宋体" w:hAnsi="宋体" w:eastAsia="宋体" w:cs="宋体"/>
                <w:color w:val="FF0000"/>
                <w:sz w:val="24"/>
                <w:szCs w:val="24"/>
              </w:rPr>
            </w:pPr>
          </w:p>
        </w:tc>
        <w:tc>
          <w:tcPr>
            <w:tcW w:w="990" w:type="dxa"/>
            <w:vMerge w:val="continue"/>
            <w:vAlign w:val="center"/>
          </w:tcPr>
          <w:p>
            <w:pPr>
              <w:autoSpaceDE w:val="0"/>
              <w:autoSpaceDN w:val="0"/>
              <w:adjustRightInd w:val="0"/>
              <w:jc w:val="center"/>
              <w:rPr>
                <w:rFonts w:hint="eastAsia" w:ascii="宋体" w:hAnsi="宋体" w:eastAsia="宋体" w:cs="宋体"/>
                <w:color w:val="FF0000"/>
                <w:sz w:val="24"/>
                <w:szCs w:val="24"/>
              </w:rPr>
            </w:pPr>
          </w:p>
        </w:tc>
        <w:tc>
          <w:tcPr>
            <w:tcW w:w="632" w:type="dxa"/>
            <w:vAlign w:val="center"/>
          </w:tcPr>
          <w:p>
            <w:pPr>
              <w:autoSpaceDE w:val="0"/>
              <w:autoSpaceDN w:val="0"/>
              <w:adjustRightInd w:val="0"/>
              <w:spacing w:line="360" w:lineRule="auto"/>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bCs/>
                <w:color w:val="FF0000"/>
                <w:sz w:val="24"/>
                <w:szCs w:val="24"/>
                <w:lang w:val="en-US" w:eastAsia="zh-CN"/>
              </w:rPr>
              <w:t>4</w:t>
            </w:r>
            <w:r>
              <w:rPr>
                <w:rFonts w:hint="eastAsia" w:ascii="宋体" w:hAnsi="宋体" w:eastAsia="宋体" w:cs="宋体"/>
                <w:bCs/>
                <w:color w:val="FF0000"/>
                <w:sz w:val="24"/>
                <w:szCs w:val="24"/>
              </w:rPr>
              <w:t>分</w:t>
            </w:r>
          </w:p>
        </w:tc>
        <w:tc>
          <w:tcPr>
            <w:tcW w:w="6809" w:type="dxa"/>
            <w:vAlign w:val="center"/>
          </w:tcPr>
          <w:p>
            <w:pPr>
              <w:autoSpaceDE w:val="0"/>
              <w:autoSpaceDN w:val="0"/>
              <w:adjustRightInd w:val="0"/>
              <w:jc w:val="both"/>
              <w:rPr>
                <w:rFonts w:hint="eastAsia" w:ascii="宋体" w:hAnsi="宋体" w:eastAsia="宋体" w:cs="宋体"/>
                <w:bCs/>
                <w:color w:val="FF0000"/>
                <w:kern w:val="0"/>
                <w:sz w:val="24"/>
                <w:szCs w:val="24"/>
              </w:rPr>
            </w:pPr>
            <w:r>
              <w:rPr>
                <w:rFonts w:hint="eastAsia" w:ascii="宋体" w:hAnsi="宋体" w:eastAsia="宋体" w:cs="宋体"/>
                <w:bCs/>
                <w:color w:val="FF0000"/>
                <w:kern w:val="0"/>
                <w:sz w:val="24"/>
                <w:szCs w:val="24"/>
              </w:rPr>
              <w:t>核心设备获得农作物有害生物监控预警数字化网络平台软件研发与应用领域获得科学技术奖励证书的得4分，未提供不得分。</w:t>
            </w:r>
            <w:r>
              <w:rPr>
                <w:rFonts w:hint="eastAsia" w:ascii="宋体" w:hAnsi="宋体" w:eastAsia="宋体" w:cs="宋体"/>
                <w:bCs/>
                <w:color w:val="FF0000"/>
                <w:sz w:val="24"/>
                <w:szCs w:val="24"/>
              </w:rPr>
              <w:t>（提供</w:t>
            </w:r>
            <w:r>
              <w:rPr>
                <w:rFonts w:hint="eastAsia" w:ascii="宋体" w:hAnsi="宋体" w:eastAsia="宋体" w:cs="宋体"/>
                <w:bCs/>
                <w:color w:val="FF0000"/>
                <w:sz w:val="24"/>
                <w:szCs w:val="24"/>
                <w:lang w:eastAsia="zh-CN"/>
              </w:rPr>
              <w:t>证书真彩</w:t>
            </w:r>
            <w:r>
              <w:rPr>
                <w:rFonts w:hint="eastAsia" w:ascii="宋体" w:hAnsi="宋体" w:eastAsia="宋体" w:cs="宋体"/>
                <w:bCs/>
                <w:color w:val="FF0000"/>
                <w:sz w:val="24"/>
                <w:szCs w:val="24"/>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98" w:type="dxa"/>
            <w:vMerge w:val="continue"/>
            <w:vAlign w:val="center"/>
          </w:tcPr>
          <w:p>
            <w:pPr>
              <w:autoSpaceDE w:val="0"/>
              <w:autoSpaceDN w:val="0"/>
              <w:adjustRightInd w:val="0"/>
              <w:jc w:val="center"/>
              <w:rPr>
                <w:rFonts w:hint="eastAsia" w:ascii="宋体" w:hAnsi="宋体" w:eastAsia="宋体" w:cs="宋体"/>
                <w:bCs/>
                <w:color w:val="FF0000"/>
                <w:kern w:val="0"/>
                <w:sz w:val="24"/>
                <w:szCs w:val="24"/>
              </w:rPr>
            </w:pPr>
          </w:p>
        </w:tc>
        <w:tc>
          <w:tcPr>
            <w:tcW w:w="990" w:type="dxa"/>
            <w:vMerge w:val="continue"/>
            <w:vAlign w:val="center"/>
          </w:tcPr>
          <w:p>
            <w:pPr>
              <w:autoSpaceDE w:val="0"/>
              <w:autoSpaceDN w:val="0"/>
              <w:adjustRightInd w:val="0"/>
              <w:jc w:val="center"/>
              <w:rPr>
                <w:rFonts w:hint="eastAsia" w:ascii="宋体" w:hAnsi="宋体" w:eastAsia="宋体" w:cs="宋体"/>
                <w:bCs/>
                <w:color w:val="FF0000"/>
                <w:kern w:val="0"/>
                <w:sz w:val="24"/>
                <w:szCs w:val="24"/>
              </w:rPr>
            </w:pPr>
          </w:p>
        </w:tc>
        <w:tc>
          <w:tcPr>
            <w:tcW w:w="632" w:type="dxa"/>
            <w:vAlign w:val="center"/>
          </w:tcPr>
          <w:p>
            <w:pPr>
              <w:autoSpaceDE w:val="0"/>
              <w:autoSpaceDN w:val="0"/>
              <w:adjustRightInd w:val="0"/>
              <w:spacing w:line="360" w:lineRule="auto"/>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bCs/>
                <w:color w:val="FF0000"/>
                <w:sz w:val="24"/>
                <w:szCs w:val="24"/>
                <w:lang w:val="en-US" w:eastAsia="zh-CN"/>
              </w:rPr>
              <w:t>4</w:t>
            </w:r>
            <w:r>
              <w:rPr>
                <w:rFonts w:hint="eastAsia" w:ascii="宋体" w:hAnsi="宋体" w:eastAsia="宋体" w:cs="宋体"/>
                <w:bCs/>
                <w:color w:val="FF0000"/>
                <w:sz w:val="24"/>
                <w:szCs w:val="24"/>
              </w:rPr>
              <w:t>分</w:t>
            </w:r>
          </w:p>
        </w:tc>
        <w:tc>
          <w:tcPr>
            <w:tcW w:w="6809" w:type="dxa"/>
            <w:vAlign w:val="center"/>
          </w:tcPr>
          <w:p>
            <w:pPr>
              <w:autoSpaceDE w:val="0"/>
              <w:autoSpaceDN w:val="0"/>
              <w:adjustRightInd w:val="0"/>
              <w:jc w:val="both"/>
              <w:rPr>
                <w:rFonts w:hint="eastAsia" w:ascii="宋体" w:hAnsi="宋体" w:eastAsia="宋体" w:cs="宋体"/>
                <w:bCs/>
                <w:color w:val="FF0000"/>
                <w:kern w:val="0"/>
                <w:sz w:val="24"/>
                <w:szCs w:val="24"/>
              </w:rPr>
            </w:pPr>
            <w:r>
              <w:rPr>
                <w:rFonts w:hint="eastAsia" w:ascii="宋体" w:hAnsi="宋体" w:eastAsia="宋体" w:cs="宋体"/>
                <w:bCs/>
                <w:color w:val="FF0000"/>
                <w:kern w:val="0"/>
                <w:sz w:val="24"/>
                <w:szCs w:val="24"/>
              </w:rPr>
              <w:t>核心设备在农业害虫监测系统领域获得国家科学技术进步奖证书的得4分，未提供不得分。</w:t>
            </w:r>
            <w:r>
              <w:rPr>
                <w:rFonts w:hint="eastAsia" w:ascii="宋体" w:hAnsi="宋体" w:eastAsia="宋体" w:cs="宋体"/>
                <w:bCs/>
                <w:color w:val="FF0000"/>
                <w:sz w:val="24"/>
                <w:szCs w:val="24"/>
              </w:rPr>
              <w:t>（提供</w:t>
            </w:r>
            <w:r>
              <w:rPr>
                <w:rFonts w:hint="eastAsia" w:ascii="宋体" w:hAnsi="宋体" w:eastAsia="宋体" w:cs="宋体"/>
                <w:bCs/>
                <w:color w:val="FF0000"/>
                <w:sz w:val="24"/>
                <w:szCs w:val="24"/>
                <w:lang w:eastAsia="zh-CN"/>
              </w:rPr>
              <w:t>证书真彩</w:t>
            </w:r>
            <w:r>
              <w:rPr>
                <w:rFonts w:hint="eastAsia" w:ascii="宋体" w:hAnsi="宋体" w:eastAsia="宋体" w:cs="宋体"/>
                <w:bCs/>
                <w:color w:val="FF0000"/>
                <w:sz w:val="24"/>
                <w:szCs w:val="24"/>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98" w:type="dxa"/>
            <w:vMerge w:val="continue"/>
            <w:vAlign w:val="center"/>
          </w:tcPr>
          <w:p>
            <w:pPr>
              <w:autoSpaceDE w:val="0"/>
              <w:autoSpaceDN w:val="0"/>
              <w:adjustRightInd w:val="0"/>
              <w:jc w:val="center"/>
              <w:rPr>
                <w:rFonts w:hint="eastAsia" w:ascii="宋体" w:hAnsi="宋体" w:eastAsia="宋体" w:cs="宋体"/>
                <w:bCs/>
                <w:color w:val="FF0000"/>
                <w:kern w:val="0"/>
                <w:sz w:val="24"/>
                <w:szCs w:val="24"/>
              </w:rPr>
            </w:pPr>
          </w:p>
        </w:tc>
        <w:tc>
          <w:tcPr>
            <w:tcW w:w="990" w:type="dxa"/>
            <w:vMerge w:val="continue"/>
            <w:vAlign w:val="center"/>
          </w:tcPr>
          <w:p>
            <w:pPr>
              <w:autoSpaceDE w:val="0"/>
              <w:autoSpaceDN w:val="0"/>
              <w:adjustRightInd w:val="0"/>
              <w:jc w:val="center"/>
              <w:rPr>
                <w:rFonts w:hint="eastAsia" w:ascii="宋体" w:hAnsi="宋体" w:eastAsia="宋体" w:cs="宋体"/>
                <w:bCs/>
                <w:color w:val="FF0000"/>
                <w:kern w:val="0"/>
                <w:sz w:val="24"/>
                <w:szCs w:val="24"/>
              </w:rPr>
            </w:pPr>
          </w:p>
        </w:tc>
        <w:tc>
          <w:tcPr>
            <w:tcW w:w="632" w:type="dxa"/>
            <w:vAlign w:val="center"/>
          </w:tcPr>
          <w:p>
            <w:pPr>
              <w:autoSpaceDE w:val="0"/>
              <w:autoSpaceDN w:val="0"/>
              <w:adjustRightInd w:val="0"/>
              <w:spacing w:line="360" w:lineRule="auto"/>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bCs/>
                <w:color w:val="FF0000"/>
                <w:sz w:val="24"/>
                <w:szCs w:val="24"/>
                <w:lang w:val="en-US" w:eastAsia="zh-CN"/>
              </w:rPr>
              <w:t>4</w:t>
            </w:r>
            <w:r>
              <w:rPr>
                <w:rFonts w:hint="eastAsia" w:ascii="宋体" w:hAnsi="宋体" w:eastAsia="宋体" w:cs="宋体"/>
                <w:bCs/>
                <w:color w:val="FF0000"/>
                <w:sz w:val="24"/>
                <w:szCs w:val="24"/>
              </w:rPr>
              <w:t>分</w:t>
            </w:r>
          </w:p>
        </w:tc>
        <w:tc>
          <w:tcPr>
            <w:tcW w:w="6809" w:type="dxa"/>
            <w:vAlign w:val="center"/>
          </w:tcPr>
          <w:p>
            <w:pPr>
              <w:autoSpaceDE w:val="0"/>
              <w:autoSpaceDN w:val="0"/>
              <w:adjustRightInd w:val="0"/>
              <w:jc w:val="both"/>
              <w:rPr>
                <w:rFonts w:hint="eastAsia" w:ascii="宋体" w:hAnsi="宋体" w:eastAsia="宋体" w:cs="宋体"/>
                <w:bCs/>
                <w:color w:val="FF0000"/>
                <w:kern w:val="0"/>
                <w:sz w:val="24"/>
                <w:szCs w:val="24"/>
              </w:rPr>
            </w:pPr>
            <w:r>
              <w:rPr>
                <w:rFonts w:hint="eastAsia" w:ascii="宋体" w:hAnsi="宋体" w:eastAsia="宋体" w:cs="宋体"/>
                <w:bCs/>
                <w:color w:val="FF0000"/>
                <w:kern w:val="0"/>
                <w:sz w:val="24"/>
                <w:szCs w:val="24"/>
              </w:rPr>
              <w:t>投标人提供所投品牌201</w:t>
            </w:r>
            <w:r>
              <w:rPr>
                <w:rFonts w:hint="eastAsia" w:ascii="宋体" w:hAnsi="宋体" w:eastAsia="宋体" w:cs="宋体"/>
                <w:bCs/>
                <w:color w:val="FF0000"/>
                <w:kern w:val="0"/>
                <w:sz w:val="24"/>
                <w:szCs w:val="24"/>
                <w:lang w:val="en-US" w:eastAsia="zh-CN"/>
              </w:rPr>
              <w:t>8</w:t>
            </w:r>
            <w:r>
              <w:rPr>
                <w:rFonts w:hint="eastAsia" w:ascii="宋体" w:hAnsi="宋体" w:eastAsia="宋体" w:cs="宋体"/>
                <w:bCs/>
                <w:color w:val="FF0000"/>
                <w:kern w:val="0"/>
                <w:sz w:val="24"/>
                <w:szCs w:val="24"/>
              </w:rPr>
              <w:t>年至今同类项目合同，每份得2分；本项最高得4分。（提供加盖投标人公章的供货合同的真彩扫描打印件）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98" w:type="dxa"/>
            <w:vMerge w:val="continue"/>
            <w:vAlign w:val="center"/>
          </w:tcPr>
          <w:p>
            <w:pPr>
              <w:autoSpaceDE w:val="0"/>
              <w:autoSpaceDN w:val="0"/>
              <w:adjustRightInd w:val="0"/>
              <w:jc w:val="center"/>
              <w:rPr>
                <w:rFonts w:hint="eastAsia" w:ascii="宋体" w:hAnsi="宋体" w:eastAsia="宋体" w:cs="宋体"/>
                <w:bCs/>
                <w:color w:val="FF0000"/>
                <w:kern w:val="0"/>
                <w:sz w:val="24"/>
                <w:szCs w:val="24"/>
              </w:rPr>
            </w:pPr>
          </w:p>
        </w:tc>
        <w:tc>
          <w:tcPr>
            <w:tcW w:w="990" w:type="dxa"/>
            <w:vMerge w:val="continue"/>
            <w:vAlign w:val="center"/>
          </w:tcPr>
          <w:p>
            <w:pPr>
              <w:autoSpaceDE w:val="0"/>
              <w:autoSpaceDN w:val="0"/>
              <w:adjustRightInd w:val="0"/>
              <w:jc w:val="center"/>
              <w:rPr>
                <w:rFonts w:hint="eastAsia" w:ascii="宋体" w:hAnsi="宋体" w:eastAsia="宋体" w:cs="宋体"/>
                <w:bCs/>
                <w:color w:val="FF0000"/>
                <w:kern w:val="0"/>
                <w:sz w:val="24"/>
                <w:szCs w:val="24"/>
              </w:rPr>
            </w:pPr>
          </w:p>
        </w:tc>
        <w:tc>
          <w:tcPr>
            <w:tcW w:w="632" w:type="dxa"/>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6分</w:t>
            </w:r>
          </w:p>
          <w:p>
            <w:pPr>
              <w:autoSpaceDE w:val="0"/>
              <w:autoSpaceDN w:val="0"/>
              <w:adjustRightInd w:val="0"/>
              <w:jc w:val="center"/>
              <w:rPr>
                <w:rFonts w:hint="eastAsia" w:ascii="宋体" w:hAnsi="宋体" w:eastAsia="宋体" w:cs="宋体"/>
                <w:bCs/>
                <w:color w:val="FF0000"/>
                <w:kern w:val="0"/>
                <w:sz w:val="24"/>
                <w:szCs w:val="24"/>
                <w:lang w:val="en-US" w:eastAsia="zh-CN"/>
              </w:rPr>
            </w:pPr>
          </w:p>
        </w:tc>
        <w:tc>
          <w:tcPr>
            <w:tcW w:w="6809" w:type="dxa"/>
            <w:vAlign w:val="center"/>
          </w:tcPr>
          <w:p>
            <w:pPr>
              <w:autoSpaceDE w:val="0"/>
              <w:autoSpaceDN w:val="0"/>
              <w:adjustRightInd w:val="0"/>
              <w:jc w:val="both"/>
              <w:rPr>
                <w:rFonts w:hint="eastAsia" w:ascii="宋体" w:hAnsi="宋体" w:eastAsia="宋体" w:cs="宋体"/>
                <w:bCs/>
                <w:color w:val="FF0000"/>
                <w:kern w:val="0"/>
                <w:sz w:val="24"/>
                <w:szCs w:val="24"/>
                <w:lang w:val="en-US" w:eastAsia="zh-CN"/>
              </w:rPr>
            </w:pPr>
            <w:r>
              <w:rPr>
                <w:rFonts w:hint="eastAsia" w:ascii="宋体" w:hAnsi="宋体" w:eastAsia="宋体" w:cs="宋体"/>
                <w:bCs/>
                <w:color w:val="FF0000"/>
                <w:kern w:val="0"/>
                <w:sz w:val="24"/>
                <w:szCs w:val="24"/>
              </w:rPr>
              <w:t>提供全国农技推广中心组织的2年以上关于核心设备试验报告文件1份得3分；该项无法提供试验报告的不得分；本项最高得6分</w:t>
            </w:r>
            <w:r>
              <w:rPr>
                <w:rFonts w:hint="eastAsia" w:ascii="宋体" w:hAnsi="宋体" w:eastAsia="宋体" w:cs="宋体"/>
                <w:bCs/>
                <w:color w:val="FF0000"/>
                <w:kern w:val="0"/>
                <w:sz w:val="24"/>
                <w:szCs w:val="24"/>
                <w:lang w:eastAsia="zh-CN"/>
              </w:rPr>
              <w:t>。</w:t>
            </w:r>
            <w:r>
              <w:rPr>
                <w:rFonts w:hint="eastAsia" w:ascii="宋体" w:hAnsi="宋体" w:eastAsia="宋体" w:cs="宋体"/>
                <w:bCs/>
                <w:color w:val="FF0000"/>
                <w:sz w:val="24"/>
                <w:szCs w:val="24"/>
              </w:rPr>
              <w:t>（提供</w:t>
            </w:r>
            <w:r>
              <w:rPr>
                <w:rFonts w:hint="eastAsia" w:ascii="宋体" w:hAnsi="宋体" w:eastAsia="宋体" w:cs="宋体"/>
                <w:bCs/>
                <w:color w:val="FF0000"/>
                <w:sz w:val="24"/>
                <w:szCs w:val="24"/>
                <w:lang w:eastAsia="zh-CN"/>
              </w:rPr>
              <w:t>证书真彩</w:t>
            </w:r>
            <w:r>
              <w:rPr>
                <w:rFonts w:hint="eastAsia" w:ascii="宋体" w:hAnsi="宋体" w:eastAsia="宋体" w:cs="宋体"/>
                <w:bCs/>
                <w:color w:val="FF0000"/>
                <w:sz w:val="24"/>
                <w:szCs w:val="24"/>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8" w:type="dxa"/>
            <w:vMerge w:val="continue"/>
            <w:vAlign w:val="center"/>
          </w:tcPr>
          <w:p>
            <w:pPr>
              <w:pStyle w:val="13"/>
              <w:jc w:val="center"/>
              <w:rPr>
                <w:rFonts w:hint="eastAsia" w:ascii="宋体" w:hAnsi="宋体" w:eastAsia="宋体" w:cs="宋体"/>
                <w:bCs/>
                <w:color w:val="FF0000"/>
                <w:sz w:val="24"/>
                <w:szCs w:val="24"/>
              </w:rPr>
            </w:pPr>
          </w:p>
        </w:tc>
        <w:tc>
          <w:tcPr>
            <w:tcW w:w="990" w:type="dxa"/>
            <w:vAlign w:val="center"/>
          </w:tcPr>
          <w:p>
            <w:pPr>
              <w:autoSpaceDE w:val="0"/>
              <w:autoSpaceDN w:val="0"/>
              <w:adjustRightInd w:val="0"/>
              <w:jc w:val="center"/>
              <w:rPr>
                <w:rFonts w:hint="eastAsia" w:ascii="宋体" w:hAnsi="宋体" w:eastAsia="宋体" w:cs="宋体"/>
                <w:color w:val="FF0000"/>
                <w:sz w:val="24"/>
                <w:szCs w:val="24"/>
              </w:rPr>
            </w:pPr>
            <w:r>
              <w:rPr>
                <w:rFonts w:hint="eastAsia" w:ascii="宋体" w:hAnsi="宋体" w:eastAsia="宋体" w:cs="宋体"/>
                <w:color w:val="FF0000"/>
                <w:sz w:val="24"/>
                <w:szCs w:val="24"/>
              </w:rPr>
              <w:t>售后服务</w:t>
            </w:r>
          </w:p>
        </w:tc>
        <w:tc>
          <w:tcPr>
            <w:tcW w:w="632" w:type="dxa"/>
            <w:vAlign w:val="center"/>
          </w:tcPr>
          <w:p>
            <w:pPr>
              <w:autoSpaceDE w:val="0"/>
              <w:autoSpaceDN w:val="0"/>
              <w:adjustRightInd w:val="0"/>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lang w:val="en-US" w:eastAsia="zh-CN"/>
              </w:rPr>
              <w:t>2</w:t>
            </w:r>
            <w:r>
              <w:rPr>
                <w:rFonts w:hint="eastAsia" w:ascii="宋体" w:hAnsi="宋体" w:eastAsia="宋体" w:cs="宋体"/>
                <w:bCs/>
                <w:color w:val="FF0000"/>
                <w:sz w:val="24"/>
                <w:szCs w:val="24"/>
              </w:rPr>
              <w:t>分</w:t>
            </w:r>
          </w:p>
        </w:tc>
        <w:tc>
          <w:tcPr>
            <w:tcW w:w="6809" w:type="dxa"/>
            <w:vAlign w:val="center"/>
          </w:tcPr>
          <w:p>
            <w:pPr>
              <w:autoSpaceDE w:val="0"/>
              <w:autoSpaceDN w:val="0"/>
              <w:adjustRightInd w:val="0"/>
              <w:jc w:val="both"/>
              <w:rPr>
                <w:rFonts w:hint="eastAsia" w:ascii="宋体" w:hAnsi="宋体" w:eastAsia="宋体" w:cs="宋体"/>
                <w:color w:val="FF0000"/>
                <w:sz w:val="24"/>
                <w:szCs w:val="24"/>
              </w:rPr>
            </w:pPr>
            <w:r>
              <w:rPr>
                <w:rFonts w:hint="eastAsia" w:ascii="宋体" w:hAnsi="宋体" w:eastAsia="宋体" w:cs="宋体"/>
                <w:color w:val="FF0000"/>
                <w:sz w:val="24"/>
                <w:szCs w:val="24"/>
              </w:rPr>
              <w:t>服务机构、服务人员配备满足项目服务要求，能实现2小时响应、24小时内到达现场并解决问题。核心设备满足采购文件要求的质保期，得</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分；在满足质保期要求的基础上每增加1年加</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98" w:type="dxa"/>
            <w:vMerge w:val="restart"/>
            <w:vAlign w:val="center"/>
          </w:tcPr>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技术</w:t>
            </w:r>
          </w:p>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部分</w:t>
            </w:r>
          </w:p>
          <w:p>
            <w:pPr>
              <w:pStyle w:val="13"/>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lang w:val="en-US" w:eastAsia="zh-CN"/>
              </w:rPr>
              <w:t>44</w:t>
            </w:r>
            <w:r>
              <w:rPr>
                <w:rFonts w:hint="eastAsia" w:ascii="宋体" w:hAnsi="宋体" w:eastAsia="宋体" w:cs="宋体"/>
                <w:bCs/>
                <w:color w:val="FF0000"/>
                <w:sz w:val="24"/>
                <w:szCs w:val="24"/>
              </w:rPr>
              <w:t>分</w:t>
            </w:r>
          </w:p>
          <w:p>
            <w:pPr>
              <w:widowControl/>
              <w:jc w:val="center"/>
              <w:outlineLvl w:val="1"/>
              <w:rPr>
                <w:rFonts w:hint="eastAsia" w:ascii="宋体" w:hAnsi="宋体" w:eastAsia="宋体" w:cs="宋体"/>
                <w:bCs/>
                <w:color w:val="FF0000"/>
                <w:kern w:val="0"/>
                <w:sz w:val="24"/>
                <w:szCs w:val="24"/>
              </w:rPr>
            </w:pPr>
          </w:p>
        </w:tc>
        <w:tc>
          <w:tcPr>
            <w:tcW w:w="990" w:type="dxa"/>
            <w:vMerge w:val="restart"/>
            <w:vAlign w:val="center"/>
          </w:tcPr>
          <w:p>
            <w:pPr>
              <w:autoSpaceDE w:val="0"/>
              <w:autoSpaceDN w:val="0"/>
              <w:adjustRightInd w:val="0"/>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产品质量</w:t>
            </w:r>
            <w:r>
              <w:rPr>
                <w:rFonts w:hint="eastAsia" w:ascii="宋体" w:hAnsi="宋体" w:eastAsia="宋体" w:cs="宋体"/>
                <w:bCs/>
                <w:color w:val="FF0000"/>
                <w:kern w:val="0"/>
                <w:sz w:val="24"/>
                <w:szCs w:val="24"/>
              </w:rPr>
              <w:t>2</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分</w:t>
            </w:r>
          </w:p>
        </w:tc>
        <w:tc>
          <w:tcPr>
            <w:tcW w:w="632" w:type="dxa"/>
            <w:vAlign w:val="center"/>
          </w:tcPr>
          <w:p>
            <w:pPr>
              <w:widowControl/>
              <w:jc w:val="center"/>
              <w:outlineLvl w:val="1"/>
              <w:rPr>
                <w:rFonts w:hint="eastAsia" w:ascii="宋体" w:hAnsi="宋体" w:eastAsia="宋体" w:cs="宋体"/>
                <w:bCs/>
                <w:color w:val="FF0000"/>
                <w:kern w:val="2"/>
                <w:sz w:val="24"/>
                <w:szCs w:val="24"/>
                <w:lang w:val="en-US" w:eastAsia="zh-CN" w:bidi="ar-SA"/>
              </w:rPr>
            </w:pPr>
            <w:bookmarkStart w:id="79" w:name="_Toc9537"/>
            <w:bookmarkStart w:id="80" w:name="_Toc7949"/>
            <w:r>
              <w:rPr>
                <w:rFonts w:hint="eastAsia" w:ascii="宋体" w:hAnsi="宋体" w:eastAsia="宋体" w:cs="宋体"/>
                <w:bCs/>
                <w:color w:val="FF0000"/>
                <w:kern w:val="2"/>
                <w:sz w:val="24"/>
                <w:szCs w:val="24"/>
                <w:lang w:val="en-US" w:eastAsia="zh-CN" w:bidi="ar-SA"/>
              </w:rPr>
              <w:t>5分</w:t>
            </w:r>
            <w:bookmarkEnd w:id="79"/>
            <w:bookmarkEnd w:id="80"/>
          </w:p>
        </w:tc>
        <w:tc>
          <w:tcPr>
            <w:tcW w:w="6809" w:type="dxa"/>
            <w:vAlign w:val="center"/>
          </w:tcPr>
          <w:p>
            <w:pPr>
              <w:widowControl/>
              <w:jc w:val="both"/>
              <w:outlineLvl w:val="1"/>
              <w:rPr>
                <w:rFonts w:hint="eastAsia" w:ascii="宋体" w:hAnsi="宋体" w:eastAsia="宋体" w:cs="宋体"/>
                <w:bCs/>
                <w:color w:val="FF0000"/>
                <w:sz w:val="24"/>
                <w:szCs w:val="24"/>
              </w:rPr>
            </w:pPr>
            <w:bookmarkStart w:id="81" w:name="_Toc32346"/>
            <w:bookmarkStart w:id="82" w:name="_Toc20387"/>
            <w:r>
              <w:rPr>
                <w:rFonts w:hint="eastAsia" w:ascii="宋体" w:hAnsi="宋体" w:eastAsia="宋体" w:cs="宋体"/>
                <w:bCs/>
                <w:color w:val="FF0000"/>
                <w:sz w:val="24"/>
                <w:szCs w:val="24"/>
              </w:rPr>
              <w:t>害虫性诱</w:t>
            </w:r>
            <w:r>
              <w:rPr>
                <w:rFonts w:hint="eastAsia" w:ascii="宋体" w:hAnsi="宋体" w:eastAsia="宋体" w:cs="宋体"/>
                <w:bCs/>
                <w:color w:val="FF0000"/>
                <w:sz w:val="24"/>
                <w:szCs w:val="24"/>
                <w:lang w:eastAsia="zh-CN"/>
              </w:rPr>
              <w:t>自动</w:t>
            </w:r>
            <w:r>
              <w:rPr>
                <w:rFonts w:hint="eastAsia" w:ascii="宋体" w:hAnsi="宋体" w:eastAsia="宋体" w:cs="宋体"/>
                <w:bCs/>
                <w:color w:val="FF0000"/>
                <w:sz w:val="24"/>
                <w:szCs w:val="24"/>
              </w:rPr>
              <w:t>诱捕器具有省级以上试验示范证明的得</w:t>
            </w:r>
            <w:r>
              <w:rPr>
                <w:rFonts w:hint="eastAsia" w:ascii="宋体" w:hAnsi="宋体" w:eastAsia="宋体" w:cs="宋体"/>
                <w:bCs/>
                <w:color w:val="FF0000"/>
                <w:sz w:val="24"/>
                <w:szCs w:val="24"/>
                <w:lang w:val="en-US" w:eastAsia="zh-CN"/>
              </w:rPr>
              <w:t>5</w:t>
            </w:r>
            <w:r>
              <w:rPr>
                <w:rFonts w:hint="eastAsia" w:ascii="宋体" w:hAnsi="宋体" w:eastAsia="宋体" w:cs="宋体"/>
                <w:bCs/>
                <w:color w:val="FF0000"/>
                <w:sz w:val="24"/>
                <w:szCs w:val="24"/>
              </w:rPr>
              <w:t>分，没有不得分。（提供证明文件</w:t>
            </w:r>
            <w:r>
              <w:rPr>
                <w:rFonts w:hint="eastAsia" w:ascii="宋体" w:hAnsi="宋体" w:eastAsia="宋体" w:cs="宋体"/>
                <w:bCs/>
                <w:color w:val="FF0000"/>
                <w:sz w:val="24"/>
                <w:szCs w:val="24"/>
                <w:lang w:eastAsia="zh-CN"/>
              </w:rPr>
              <w:t>真彩</w:t>
            </w:r>
            <w:r>
              <w:rPr>
                <w:rFonts w:hint="eastAsia" w:ascii="宋体" w:hAnsi="宋体" w:eastAsia="宋体" w:cs="宋体"/>
                <w:bCs/>
                <w:color w:val="FF0000"/>
                <w:sz w:val="24"/>
                <w:szCs w:val="24"/>
              </w:rPr>
              <w:t>扫描件并加盖公章）</w:t>
            </w:r>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Merge w:val="continue"/>
            <w:vAlign w:val="center"/>
          </w:tcPr>
          <w:p>
            <w:pPr>
              <w:widowControl/>
              <w:jc w:val="center"/>
              <w:outlineLvl w:val="1"/>
              <w:rPr>
                <w:rFonts w:hint="eastAsia" w:ascii="宋体" w:hAnsi="宋体" w:eastAsia="宋体" w:cs="宋体"/>
                <w:bCs/>
                <w:color w:val="FF0000"/>
                <w:kern w:val="0"/>
                <w:sz w:val="24"/>
                <w:szCs w:val="24"/>
              </w:rPr>
            </w:pPr>
          </w:p>
        </w:tc>
        <w:tc>
          <w:tcPr>
            <w:tcW w:w="990" w:type="dxa"/>
            <w:vMerge w:val="continue"/>
            <w:vAlign w:val="center"/>
          </w:tcPr>
          <w:p>
            <w:pPr>
              <w:autoSpaceDE w:val="0"/>
              <w:autoSpaceDN w:val="0"/>
              <w:adjustRightInd w:val="0"/>
              <w:jc w:val="center"/>
              <w:rPr>
                <w:rFonts w:hint="eastAsia" w:ascii="宋体" w:hAnsi="宋体" w:eastAsia="宋体" w:cs="宋体"/>
                <w:bCs/>
                <w:color w:val="FF0000"/>
                <w:sz w:val="24"/>
                <w:szCs w:val="24"/>
              </w:rPr>
            </w:pPr>
          </w:p>
        </w:tc>
        <w:tc>
          <w:tcPr>
            <w:tcW w:w="632" w:type="dxa"/>
            <w:vAlign w:val="center"/>
          </w:tcPr>
          <w:p>
            <w:pPr>
              <w:autoSpaceDE w:val="0"/>
              <w:autoSpaceDN w:val="0"/>
              <w:adjustRightInd w:val="0"/>
              <w:jc w:val="center"/>
              <w:rPr>
                <w:rFonts w:hint="eastAsia" w:ascii="宋体" w:hAnsi="宋体" w:eastAsia="宋体" w:cs="宋体"/>
                <w:bCs/>
                <w:color w:val="FF0000"/>
                <w:kern w:val="2"/>
                <w:sz w:val="24"/>
                <w:szCs w:val="24"/>
                <w:lang w:val="en-US" w:eastAsia="zh-CN" w:bidi="ar-SA"/>
              </w:rPr>
            </w:pPr>
            <w:r>
              <w:rPr>
                <w:rFonts w:hint="eastAsia" w:ascii="宋体" w:hAnsi="宋体" w:eastAsia="宋体" w:cs="宋体"/>
                <w:bCs/>
                <w:color w:val="FF0000"/>
                <w:kern w:val="2"/>
                <w:sz w:val="24"/>
                <w:szCs w:val="24"/>
                <w:lang w:val="en-US" w:eastAsia="zh-CN" w:bidi="ar-SA"/>
              </w:rPr>
              <w:t>5分</w:t>
            </w:r>
          </w:p>
        </w:tc>
        <w:tc>
          <w:tcPr>
            <w:tcW w:w="6809" w:type="dxa"/>
            <w:vAlign w:val="center"/>
          </w:tcPr>
          <w:p>
            <w:pPr>
              <w:autoSpaceDE w:val="0"/>
              <w:autoSpaceDN w:val="0"/>
              <w:adjustRightInd w:val="0"/>
              <w:jc w:val="both"/>
              <w:rPr>
                <w:rFonts w:hint="eastAsia" w:ascii="宋体" w:hAnsi="宋体" w:eastAsia="宋体" w:cs="宋体"/>
                <w:color w:val="FF0000"/>
                <w:sz w:val="24"/>
                <w:szCs w:val="24"/>
              </w:rPr>
            </w:pPr>
            <w:r>
              <w:rPr>
                <w:rFonts w:hint="eastAsia" w:ascii="宋体" w:hAnsi="宋体" w:eastAsia="宋体" w:cs="宋体"/>
                <w:bCs/>
                <w:color w:val="FF0000"/>
                <w:sz w:val="24"/>
                <w:szCs w:val="24"/>
              </w:rPr>
              <w:t>具有农业农村部颁发的性诱挥散芯农药登记证的得</w:t>
            </w:r>
            <w:r>
              <w:rPr>
                <w:rFonts w:hint="eastAsia" w:ascii="宋体" w:hAnsi="宋体" w:eastAsia="宋体" w:cs="宋体"/>
                <w:bCs/>
                <w:color w:val="FF0000"/>
                <w:sz w:val="24"/>
                <w:szCs w:val="24"/>
                <w:lang w:val="en-US" w:eastAsia="zh-CN"/>
              </w:rPr>
              <w:t>5</w:t>
            </w:r>
            <w:r>
              <w:rPr>
                <w:rFonts w:hint="eastAsia" w:ascii="宋体" w:hAnsi="宋体" w:eastAsia="宋体" w:cs="宋体"/>
                <w:bCs/>
                <w:color w:val="FF0000"/>
                <w:sz w:val="24"/>
                <w:szCs w:val="24"/>
              </w:rPr>
              <w:t>分，没有不得分。（提供证明文件</w:t>
            </w:r>
            <w:r>
              <w:rPr>
                <w:rFonts w:hint="eastAsia" w:ascii="宋体" w:hAnsi="宋体" w:eastAsia="宋体" w:cs="宋体"/>
                <w:bCs/>
                <w:color w:val="FF0000"/>
                <w:sz w:val="24"/>
                <w:szCs w:val="24"/>
                <w:lang w:eastAsia="zh-CN"/>
              </w:rPr>
              <w:t>真彩</w:t>
            </w:r>
            <w:r>
              <w:rPr>
                <w:rFonts w:hint="eastAsia" w:ascii="宋体" w:hAnsi="宋体" w:eastAsia="宋体" w:cs="宋体"/>
                <w:bCs/>
                <w:color w:val="FF0000"/>
                <w:sz w:val="24"/>
                <w:szCs w:val="24"/>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98" w:type="dxa"/>
            <w:vMerge w:val="continue"/>
            <w:vAlign w:val="center"/>
          </w:tcPr>
          <w:p>
            <w:pPr>
              <w:pStyle w:val="13"/>
              <w:jc w:val="center"/>
              <w:rPr>
                <w:rFonts w:hint="eastAsia" w:ascii="宋体" w:hAnsi="宋体" w:eastAsia="宋体" w:cs="宋体"/>
                <w:bCs/>
                <w:color w:val="FF0000"/>
                <w:sz w:val="24"/>
                <w:szCs w:val="24"/>
              </w:rPr>
            </w:pPr>
          </w:p>
        </w:tc>
        <w:tc>
          <w:tcPr>
            <w:tcW w:w="990" w:type="dxa"/>
            <w:vMerge w:val="continue"/>
            <w:vAlign w:val="center"/>
          </w:tcPr>
          <w:p>
            <w:pPr>
              <w:autoSpaceDE w:val="0"/>
              <w:autoSpaceDN w:val="0"/>
              <w:adjustRightInd w:val="0"/>
              <w:jc w:val="center"/>
              <w:rPr>
                <w:rFonts w:hint="eastAsia" w:ascii="宋体" w:hAnsi="宋体" w:eastAsia="宋体" w:cs="宋体"/>
                <w:bCs/>
                <w:color w:val="FF0000"/>
                <w:sz w:val="24"/>
                <w:szCs w:val="24"/>
              </w:rPr>
            </w:pPr>
          </w:p>
        </w:tc>
        <w:tc>
          <w:tcPr>
            <w:tcW w:w="632" w:type="dxa"/>
            <w:vAlign w:val="center"/>
          </w:tcPr>
          <w:p>
            <w:pPr>
              <w:pStyle w:val="13"/>
              <w:jc w:val="center"/>
              <w:rPr>
                <w:rFonts w:hint="eastAsia"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5分</w:t>
            </w:r>
          </w:p>
        </w:tc>
        <w:tc>
          <w:tcPr>
            <w:tcW w:w="6809" w:type="dxa"/>
            <w:vAlign w:val="center"/>
          </w:tcPr>
          <w:p>
            <w:pPr>
              <w:pStyle w:val="13"/>
              <w:jc w:val="both"/>
              <w:rPr>
                <w:rFonts w:hint="eastAsia" w:ascii="宋体" w:hAnsi="宋体" w:eastAsia="宋体" w:cs="宋体"/>
                <w:bCs/>
                <w:color w:val="FF0000"/>
                <w:kern w:val="2"/>
                <w:sz w:val="24"/>
                <w:szCs w:val="24"/>
                <w:lang w:val="en-US" w:eastAsia="zh-CN" w:bidi="ar-SA"/>
              </w:rPr>
            </w:pPr>
            <w:r>
              <w:rPr>
                <w:rFonts w:hint="eastAsia" w:ascii="宋体" w:hAnsi="宋体" w:eastAsia="宋体" w:cs="宋体"/>
                <w:bCs/>
                <w:color w:val="FF0000"/>
                <w:kern w:val="2"/>
                <w:sz w:val="24"/>
                <w:szCs w:val="24"/>
                <w:lang w:val="en-US" w:eastAsia="zh-CN" w:bidi="ar-SA"/>
              </w:rPr>
              <w:t>农作物病害实时监测预警仪(赤霉病)具有相应功能的软件登记证书的得5分，没有不得分。</w:t>
            </w:r>
            <w:r>
              <w:rPr>
                <w:rFonts w:hint="eastAsia" w:ascii="宋体" w:hAnsi="宋体" w:eastAsia="宋体" w:cs="宋体"/>
                <w:bCs/>
                <w:color w:val="FF0000"/>
                <w:sz w:val="24"/>
                <w:szCs w:val="24"/>
              </w:rPr>
              <w:t>（提供证</w:t>
            </w:r>
            <w:r>
              <w:rPr>
                <w:rFonts w:hint="eastAsia" w:ascii="宋体" w:hAnsi="宋体" w:eastAsia="宋体" w:cs="宋体"/>
                <w:bCs/>
                <w:color w:val="FF0000"/>
                <w:sz w:val="24"/>
                <w:szCs w:val="24"/>
                <w:lang w:eastAsia="zh-CN"/>
              </w:rPr>
              <w:t>书真彩</w:t>
            </w:r>
            <w:r>
              <w:rPr>
                <w:rFonts w:hint="eastAsia" w:ascii="宋体" w:hAnsi="宋体" w:eastAsia="宋体" w:cs="宋体"/>
                <w:bCs/>
                <w:color w:val="FF0000"/>
                <w:sz w:val="24"/>
                <w:szCs w:val="24"/>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8" w:type="dxa"/>
            <w:vMerge w:val="continue"/>
            <w:vAlign w:val="center"/>
          </w:tcPr>
          <w:p>
            <w:pPr>
              <w:pStyle w:val="13"/>
              <w:jc w:val="center"/>
              <w:rPr>
                <w:rFonts w:hint="eastAsia" w:ascii="宋体" w:hAnsi="宋体" w:eastAsia="宋体" w:cs="宋体"/>
                <w:bCs/>
                <w:color w:val="FF0000"/>
                <w:sz w:val="24"/>
                <w:szCs w:val="24"/>
              </w:rPr>
            </w:pPr>
          </w:p>
        </w:tc>
        <w:tc>
          <w:tcPr>
            <w:tcW w:w="990" w:type="dxa"/>
            <w:vMerge w:val="continue"/>
            <w:vAlign w:val="center"/>
          </w:tcPr>
          <w:p>
            <w:pPr>
              <w:autoSpaceDE w:val="0"/>
              <w:autoSpaceDN w:val="0"/>
              <w:adjustRightInd w:val="0"/>
              <w:jc w:val="center"/>
              <w:rPr>
                <w:rFonts w:hint="eastAsia" w:ascii="宋体" w:hAnsi="宋体" w:eastAsia="宋体" w:cs="宋体"/>
                <w:bCs/>
                <w:color w:val="FF0000"/>
                <w:sz w:val="24"/>
                <w:szCs w:val="24"/>
              </w:rPr>
            </w:pPr>
          </w:p>
        </w:tc>
        <w:tc>
          <w:tcPr>
            <w:tcW w:w="632" w:type="dxa"/>
            <w:vAlign w:val="center"/>
          </w:tcPr>
          <w:p>
            <w:pPr>
              <w:widowControl/>
              <w:jc w:val="center"/>
              <w:outlineLvl w:val="1"/>
              <w:rPr>
                <w:rFonts w:hint="eastAsia" w:ascii="宋体" w:hAnsi="宋体" w:eastAsia="宋体" w:cs="宋体"/>
                <w:color w:val="FF0000"/>
                <w:kern w:val="2"/>
                <w:sz w:val="24"/>
                <w:szCs w:val="24"/>
                <w:lang w:val="en-US" w:eastAsia="zh-CN" w:bidi="ar-SA"/>
              </w:rPr>
            </w:pPr>
            <w:bookmarkStart w:id="83" w:name="_Toc4711"/>
            <w:bookmarkStart w:id="84" w:name="_Toc18174"/>
            <w:r>
              <w:rPr>
                <w:rFonts w:hint="eastAsia" w:ascii="宋体" w:hAnsi="宋体" w:eastAsia="宋体" w:cs="宋体"/>
                <w:color w:val="FF0000"/>
                <w:kern w:val="2"/>
                <w:sz w:val="24"/>
                <w:szCs w:val="24"/>
                <w:lang w:val="en-US" w:eastAsia="zh-CN" w:bidi="ar-SA"/>
              </w:rPr>
              <w:t>5分</w:t>
            </w:r>
            <w:bookmarkEnd w:id="83"/>
            <w:bookmarkEnd w:id="84"/>
          </w:p>
        </w:tc>
        <w:tc>
          <w:tcPr>
            <w:tcW w:w="6809" w:type="dxa"/>
            <w:vAlign w:val="center"/>
          </w:tcPr>
          <w:p>
            <w:pPr>
              <w:autoSpaceDE w:val="0"/>
              <w:autoSpaceDN w:val="0"/>
              <w:adjustRightInd w:val="0"/>
              <w:jc w:val="both"/>
              <w:rPr>
                <w:rFonts w:hint="eastAsia" w:ascii="宋体" w:hAnsi="宋体" w:eastAsia="宋体" w:cs="宋体"/>
                <w:bCs/>
                <w:color w:val="FF0000"/>
                <w:sz w:val="24"/>
                <w:szCs w:val="24"/>
              </w:rPr>
            </w:pPr>
            <w:r>
              <w:rPr>
                <w:rFonts w:hint="eastAsia" w:ascii="宋体" w:hAnsi="宋体" w:eastAsia="宋体" w:cs="宋体"/>
                <w:bCs/>
                <w:color w:val="FF0000"/>
                <w:sz w:val="24"/>
                <w:szCs w:val="24"/>
              </w:rPr>
              <w:t>核心设备配套软件系统具有中华人民共和国国家版权局计算机软件著作权登记证书者得</w:t>
            </w:r>
            <w:r>
              <w:rPr>
                <w:rFonts w:hint="eastAsia" w:ascii="宋体" w:hAnsi="宋体" w:eastAsia="宋体" w:cs="宋体"/>
                <w:bCs/>
                <w:color w:val="FF0000"/>
                <w:sz w:val="24"/>
                <w:szCs w:val="24"/>
                <w:lang w:val="en-US" w:eastAsia="zh-CN"/>
              </w:rPr>
              <w:t>5</w:t>
            </w:r>
            <w:r>
              <w:rPr>
                <w:rFonts w:hint="eastAsia" w:ascii="宋体" w:hAnsi="宋体" w:eastAsia="宋体" w:cs="宋体"/>
                <w:bCs/>
                <w:color w:val="FF0000"/>
                <w:sz w:val="24"/>
                <w:szCs w:val="24"/>
              </w:rPr>
              <w:t>分，没有不得分。（提供</w:t>
            </w:r>
            <w:r>
              <w:rPr>
                <w:rFonts w:hint="eastAsia" w:ascii="宋体" w:hAnsi="宋体" w:eastAsia="宋体" w:cs="宋体"/>
                <w:bCs/>
                <w:color w:val="FF0000"/>
                <w:sz w:val="24"/>
                <w:szCs w:val="24"/>
                <w:lang w:eastAsia="zh-CN"/>
              </w:rPr>
              <w:t>证书真彩</w:t>
            </w:r>
            <w:r>
              <w:rPr>
                <w:rFonts w:hint="eastAsia" w:ascii="宋体" w:hAnsi="宋体" w:eastAsia="宋体" w:cs="宋体"/>
                <w:bCs/>
                <w:color w:val="FF0000"/>
                <w:sz w:val="24"/>
                <w:szCs w:val="24"/>
              </w:rPr>
              <w:t>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8" w:type="dxa"/>
            <w:vMerge w:val="continue"/>
            <w:vAlign w:val="center"/>
          </w:tcPr>
          <w:p>
            <w:pPr>
              <w:pStyle w:val="13"/>
              <w:jc w:val="center"/>
              <w:rPr>
                <w:rFonts w:hint="eastAsia" w:ascii="宋体" w:hAnsi="宋体" w:eastAsia="宋体" w:cs="宋体"/>
                <w:bCs/>
                <w:color w:val="FF0000"/>
                <w:sz w:val="24"/>
                <w:szCs w:val="24"/>
              </w:rPr>
            </w:pPr>
          </w:p>
        </w:tc>
        <w:tc>
          <w:tcPr>
            <w:tcW w:w="990" w:type="dxa"/>
            <w:vAlign w:val="center"/>
          </w:tcPr>
          <w:p>
            <w:pPr>
              <w:autoSpaceDE w:val="0"/>
              <w:autoSpaceDN w:val="0"/>
              <w:adjustRightInd w:val="0"/>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现场演示</w:t>
            </w:r>
          </w:p>
        </w:tc>
        <w:tc>
          <w:tcPr>
            <w:tcW w:w="632" w:type="dxa"/>
            <w:vAlign w:val="center"/>
          </w:tcPr>
          <w:p>
            <w:pPr>
              <w:autoSpaceDE w:val="0"/>
              <w:autoSpaceDN w:val="0"/>
              <w:adjustRightInd w:val="0"/>
              <w:jc w:val="center"/>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16分</w:t>
            </w:r>
          </w:p>
        </w:tc>
        <w:tc>
          <w:tcPr>
            <w:tcW w:w="6809" w:type="dxa"/>
            <w:vAlign w:val="center"/>
          </w:tcPr>
          <w:p>
            <w:pPr>
              <w:bidi w:val="0"/>
              <w:jc w:val="both"/>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rPr>
              <w:t>病虫害物联网管理系统具备标准化数据输出接口，支持与省级平台、国家级《农作物重大病虫害数字化监测预警系统》实现数据层面对接。</w:t>
            </w:r>
            <w:r>
              <w:rPr>
                <w:rFonts w:hint="eastAsia" w:ascii="宋体" w:hAnsi="宋体" w:eastAsia="宋体" w:cs="宋体"/>
                <w:color w:val="FF0000"/>
                <w:sz w:val="24"/>
                <w:szCs w:val="24"/>
                <w:lang w:eastAsia="zh-CN"/>
              </w:rPr>
              <w:t>现场演示相关功能，本项得</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lang w:eastAsia="zh-CN"/>
              </w:rPr>
              <w:t>分。</w:t>
            </w:r>
          </w:p>
          <w:p>
            <w:pPr>
              <w:bidi w:val="0"/>
              <w:jc w:val="both"/>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可通过中国农作物有害生物监控信息系统</w:t>
            </w:r>
            <w:r>
              <w:rPr>
                <w:rFonts w:hint="eastAsia" w:ascii="宋体" w:hAnsi="宋体" w:eastAsia="宋体" w:cs="宋体"/>
                <w:color w:val="FF0000"/>
                <w:sz w:val="24"/>
                <w:szCs w:val="24"/>
                <w:lang w:val="zh-CN"/>
              </w:rPr>
              <w:t>对整套所采购系统运行能正常进行演示</w:t>
            </w:r>
            <w:r>
              <w:rPr>
                <w:rFonts w:hint="eastAsia" w:ascii="宋体" w:hAnsi="宋体" w:eastAsia="宋体" w:cs="宋体"/>
                <w:color w:val="FF0000"/>
                <w:sz w:val="24"/>
                <w:szCs w:val="24"/>
              </w:rPr>
              <w:t>。演示内容如下：</w:t>
            </w:r>
          </w:p>
          <w:p>
            <w:pPr>
              <w:bidi w:val="0"/>
              <w:jc w:val="both"/>
              <w:rPr>
                <w:rFonts w:hint="eastAsia" w:ascii="宋体" w:hAnsi="宋体" w:eastAsia="宋体" w:cs="宋体"/>
                <w:color w:val="FF0000"/>
                <w:sz w:val="24"/>
                <w:szCs w:val="24"/>
              </w:rPr>
            </w:pPr>
            <w:r>
              <w:rPr>
                <w:rFonts w:hint="eastAsia" w:ascii="宋体" w:hAnsi="宋体" w:eastAsia="宋体" w:cs="宋体"/>
                <w:color w:val="FF0000"/>
                <w:sz w:val="24"/>
                <w:szCs w:val="24"/>
              </w:rPr>
              <w:t>（1）能通过中国农作物有害生物监控信息系统－全国农作物病虫害实时监控物联网系统访问农林小气候信息采集系统、农林生态远程实时监控系统、孢子信息自动捕捉培养系统、虫情信息自动采集系统。农林生态远程实时监控系统设备具备与频振诱控设备同时操作互换的功能，虫情信息自动采集系统具备智能识别的功能，孢子信息自动捕捉培养系统具备拍照自动呈像、后台用户可自由设</w:t>
            </w:r>
            <w:r>
              <w:rPr>
                <w:rFonts w:hint="eastAsia" w:ascii="宋体" w:hAnsi="宋体" w:eastAsia="宋体" w:cs="宋体"/>
                <w:color w:val="FF0000"/>
                <w:sz w:val="24"/>
                <w:szCs w:val="24"/>
                <w:lang w:eastAsia="zh-CN"/>
              </w:rPr>
              <w:t>定</w:t>
            </w:r>
            <w:r>
              <w:rPr>
                <w:rFonts w:hint="eastAsia" w:ascii="宋体" w:hAnsi="宋体" w:eastAsia="宋体" w:cs="宋体"/>
                <w:color w:val="FF0000"/>
                <w:sz w:val="24"/>
                <w:szCs w:val="24"/>
              </w:rPr>
              <w:t>拍照时间的功能，农林小气候信息采集系统具备可查看病情、虫情数据模型预测的功能。本项得6分；</w:t>
            </w:r>
          </w:p>
          <w:p>
            <w:pPr>
              <w:bidi w:val="0"/>
              <w:jc w:val="both"/>
              <w:rPr>
                <w:rFonts w:hint="eastAsia" w:ascii="宋体" w:hAnsi="宋体" w:eastAsia="宋体" w:cs="宋体"/>
                <w:color w:val="FF0000"/>
                <w:sz w:val="24"/>
                <w:szCs w:val="24"/>
              </w:rPr>
            </w:pPr>
            <w:r>
              <w:rPr>
                <w:rFonts w:hint="eastAsia" w:ascii="宋体" w:hAnsi="宋体" w:eastAsia="宋体" w:cs="宋体"/>
                <w:color w:val="FF0000"/>
                <w:sz w:val="24"/>
                <w:szCs w:val="24"/>
              </w:rPr>
              <w:t>（2）核心设备配套系统具有手机版、网页版和终端版，三端完全演示的得6分，</w:t>
            </w:r>
            <w:r>
              <w:rPr>
                <w:rFonts w:hint="eastAsia" w:ascii="宋体" w:hAnsi="宋体" w:eastAsia="宋体" w:cs="宋体"/>
                <w:color w:val="FF0000"/>
                <w:sz w:val="24"/>
                <w:szCs w:val="24"/>
                <w:lang w:val="zh-CN"/>
              </w:rPr>
              <w:t>少演示一个版本扣</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分</w:t>
            </w:r>
            <w:r>
              <w:rPr>
                <w:rFonts w:hint="eastAsia" w:ascii="宋体" w:hAnsi="宋体" w:eastAsia="宋体" w:cs="宋体"/>
                <w:color w:val="FF0000"/>
                <w:sz w:val="24"/>
                <w:szCs w:val="24"/>
              </w:rPr>
              <w:t>；</w:t>
            </w:r>
          </w:p>
          <w:p>
            <w:pPr>
              <w:bidi w:val="0"/>
              <w:jc w:val="both"/>
              <w:rPr>
                <w:rFonts w:hint="eastAsia" w:ascii="宋体" w:hAnsi="宋体" w:eastAsia="宋体" w:cs="宋体"/>
                <w:color w:val="FF0000"/>
                <w:sz w:val="24"/>
                <w:szCs w:val="24"/>
              </w:rPr>
            </w:pPr>
            <w:r>
              <w:rPr>
                <w:rFonts w:hint="eastAsia" w:ascii="宋体" w:hAnsi="宋体" w:eastAsia="宋体" w:cs="宋体"/>
                <w:color w:val="FF0000"/>
                <w:sz w:val="24"/>
                <w:szCs w:val="24"/>
              </w:rPr>
              <w:t>不演示或演示不响应的得0分。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98" w:type="dxa"/>
            <w:vMerge w:val="continue"/>
            <w:vAlign w:val="center"/>
          </w:tcPr>
          <w:p>
            <w:pPr>
              <w:widowControl/>
              <w:outlineLvl w:val="1"/>
              <w:rPr>
                <w:rFonts w:hint="eastAsia" w:ascii="宋体" w:hAnsi="宋体" w:eastAsia="宋体" w:cs="宋体"/>
                <w:bCs/>
                <w:color w:val="FF0000"/>
                <w:kern w:val="0"/>
                <w:sz w:val="24"/>
                <w:szCs w:val="24"/>
              </w:rPr>
            </w:pPr>
          </w:p>
        </w:tc>
        <w:tc>
          <w:tcPr>
            <w:tcW w:w="990" w:type="dxa"/>
            <w:vAlign w:val="center"/>
          </w:tcPr>
          <w:p>
            <w:pPr>
              <w:widowControl/>
              <w:outlineLvl w:val="1"/>
              <w:rPr>
                <w:rFonts w:hint="eastAsia" w:ascii="宋体" w:hAnsi="宋体" w:eastAsia="宋体" w:cs="宋体"/>
                <w:bCs/>
                <w:color w:val="FF0000"/>
                <w:kern w:val="0"/>
                <w:sz w:val="24"/>
                <w:szCs w:val="24"/>
              </w:rPr>
            </w:pPr>
            <w:bookmarkStart w:id="85" w:name="_Toc32615"/>
            <w:bookmarkStart w:id="86" w:name="_Toc15051"/>
            <w:r>
              <w:rPr>
                <w:rFonts w:hint="eastAsia" w:ascii="宋体" w:hAnsi="宋体" w:eastAsia="宋体" w:cs="宋体"/>
                <w:bCs/>
                <w:color w:val="FF0000"/>
                <w:sz w:val="24"/>
                <w:szCs w:val="24"/>
              </w:rPr>
              <w:t>产品技术指标</w:t>
            </w:r>
            <w:bookmarkEnd w:id="85"/>
            <w:bookmarkEnd w:id="86"/>
          </w:p>
        </w:tc>
        <w:tc>
          <w:tcPr>
            <w:tcW w:w="632" w:type="dxa"/>
            <w:vAlign w:val="center"/>
          </w:tcPr>
          <w:p>
            <w:pPr>
              <w:autoSpaceDE w:val="0"/>
              <w:autoSpaceDN w:val="0"/>
              <w:adjustRightInd w:val="0"/>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8分</w:t>
            </w:r>
          </w:p>
        </w:tc>
        <w:tc>
          <w:tcPr>
            <w:tcW w:w="6809" w:type="dxa"/>
            <w:vAlign w:val="center"/>
          </w:tcPr>
          <w:p>
            <w:pPr>
              <w:autoSpaceDE w:val="0"/>
              <w:autoSpaceDN w:val="0"/>
              <w:adjustRightInd w:val="0"/>
              <w:rPr>
                <w:rFonts w:hint="eastAsia" w:ascii="宋体" w:hAnsi="宋体" w:eastAsia="宋体" w:cs="宋体"/>
                <w:bCs/>
                <w:color w:val="FF0000"/>
                <w:sz w:val="24"/>
                <w:szCs w:val="24"/>
              </w:rPr>
            </w:pPr>
            <w:r>
              <w:rPr>
                <w:rFonts w:hint="eastAsia" w:ascii="宋体" w:hAnsi="宋体" w:eastAsia="宋体" w:cs="宋体"/>
                <w:bCs/>
                <w:color w:val="FF0000"/>
                <w:sz w:val="24"/>
                <w:szCs w:val="24"/>
              </w:rPr>
              <w:t>全部满足采购文件条款的得8分。1项不满足扣1分，扣完为止。</w:t>
            </w:r>
          </w:p>
        </w:tc>
      </w:tr>
    </w:tbl>
    <w:p>
      <w:pPr>
        <w:bidi w:val="0"/>
        <w:rPr>
          <w:b/>
          <w:bCs/>
          <w:sz w:val="24"/>
          <w:szCs w:val="28"/>
        </w:rPr>
      </w:pPr>
      <w:r>
        <w:rPr>
          <w:rFonts w:hint="eastAsia"/>
          <w:b/>
          <w:bCs/>
          <w:sz w:val="24"/>
          <w:szCs w:val="28"/>
        </w:rPr>
        <w:t>备注：以上需提供有效证明材料，且证明材料须提供原件或真彩扫描件并加盖公章。投标人投标时须认真对待、如实应标。凡提供虚假材料谋取中标的，一经查实，根据《政府采购法》第七十七条之规定，将对供应商处以罚款、列入不良行为记录名单、依法追究刑事责任等。</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3"/>
        <w:numPr>
          <w:ilvl w:val="0"/>
          <w:numId w:val="1"/>
        </w:numPr>
        <w:jc w:val="center"/>
        <w:rPr>
          <w:rFonts w:hint="eastAsia" w:ascii="宋体" w:hAnsi="宋体" w:eastAsia="宋体" w:cs="宋体"/>
        </w:rPr>
      </w:pPr>
      <w:bookmarkStart w:id="87" w:name="_Toc494665546"/>
      <w:bookmarkStart w:id="88" w:name="_Toc494745310"/>
      <w:bookmarkStart w:id="89" w:name="_Toc494702263"/>
      <w:bookmarkStart w:id="90" w:name="_Toc494721093"/>
      <w:bookmarkStart w:id="91" w:name="_Toc494665943"/>
      <w:bookmarkStart w:id="92" w:name="_Toc494664993"/>
      <w:bookmarkStart w:id="93" w:name="_Toc12859"/>
      <w:r>
        <w:rPr>
          <w:rFonts w:hint="eastAsia" w:ascii="宋体" w:hAnsi="宋体" w:eastAsia="宋体" w:cs="宋体"/>
        </w:rPr>
        <w:t>合同书格式（参考）</w:t>
      </w:r>
      <w:bookmarkEnd w:id="87"/>
      <w:bookmarkEnd w:id="88"/>
      <w:bookmarkEnd w:id="89"/>
      <w:bookmarkEnd w:id="90"/>
      <w:bookmarkEnd w:id="91"/>
      <w:bookmarkEnd w:id="92"/>
      <w:bookmarkEnd w:id="9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hint="eastAsia" w:ascii="宋体" w:hAnsi="宋体" w:eastAsia="宋体" w:cs="宋体"/>
          <w:b/>
          <w:kern w:val="0"/>
          <w:sz w:val="36"/>
          <w:szCs w:val="36"/>
        </w:rPr>
      </w:pPr>
      <w:r>
        <w:rPr>
          <w:rFonts w:hint="eastAsia" w:ascii="宋体" w:hAnsi="宋体" w:eastAsia="宋体" w:cs="宋体"/>
          <w:b/>
          <w:kern w:val="0"/>
          <w:sz w:val="36"/>
          <w:szCs w:val="36"/>
        </w:rPr>
        <w:t>合   同   书</w:t>
      </w:r>
    </w:p>
    <w:p>
      <w:pPr>
        <w:spacing w:before="78" w:beforeLines="25" w:line="360" w:lineRule="auto"/>
        <w:ind w:firstLine="482"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eastAsia="zh-CN"/>
        </w:rPr>
        <w:t>项目名称：</w:t>
      </w:r>
    </w:p>
    <w:p>
      <w:pPr>
        <w:spacing w:before="78" w:beforeLines="25" w:line="360" w:lineRule="auto"/>
        <w:ind w:firstLine="482" w:firstLineChars="200"/>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合同编号：</w:t>
      </w:r>
    </w:p>
    <w:p>
      <w:pPr>
        <w:spacing w:before="78" w:beforeLines="25" w:line="360" w:lineRule="auto"/>
        <w:ind w:firstLine="482" w:firstLineChars="200"/>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签订日期：</w:t>
      </w:r>
    </w:p>
    <w:p>
      <w:pPr>
        <w:spacing w:before="78" w:beforeLines="25" w:line="360" w:lineRule="auto"/>
        <w:ind w:firstLine="482" w:firstLineChars="200"/>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签订合同地点：</w:t>
      </w:r>
    </w:p>
    <w:p>
      <w:pPr>
        <w:spacing w:before="78" w:beforeLines="25"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本合同由</w:t>
      </w:r>
      <w:r>
        <w:rPr>
          <w:rFonts w:hint="eastAsia" w:ascii="宋体" w:hAnsi="宋体" w:eastAsia="宋体" w:cs="宋体"/>
          <w:kern w:val="0"/>
          <w:sz w:val="24"/>
          <w:szCs w:val="24"/>
          <w:u w:val="single"/>
          <w:lang w:val="zh-CN" w:eastAsia="zh-CN"/>
        </w:rPr>
        <w:t xml:space="preserve">  </w:t>
      </w:r>
      <w:r>
        <w:rPr>
          <w:rFonts w:hint="eastAsia" w:ascii="宋体" w:hAnsi="宋体" w:eastAsia="宋体" w:cs="宋体"/>
          <w:kern w:val="0"/>
          <w:sz w:val="24"/>
          <w:szCs w:val="24"/>
          <w:u w:val="single"/>
          <w:lang w:val="zh-CN"/>
        </w:rPr>
        <w:t>（采购人）</w:t>
      </w:r>
      <w:r>
        <w:rPr>
          <w:rFonts w:hint="eastAsia" w:ascii="宋体" w:hAnsi="宋体" w:eastAsia="宋体" w:cs="宋体"/>
          <w:kern w:val="0"/>
          <w:sz w:val="24"/>
          <w:szCs w:val="24"/>
          <w:u w:val="single"/>
          <w:lang w:val="zh-CN" w:eastAsia="zh-CN"/>
        </w:rPr>
        <w:t xml:space="preserve"> </w:t>
      </w:r>
      <w:r>
        <w:rPr>
          <w:rFonts w:hint="eastAsia" w:ascii="宋体" w:hAnsi="宋体" w:eastAsia="宋体" w:cs="宋体"/>
          <w:kern w:val="0"/>
          <w:sz w:val="24"/>
          <w:szCs w:val="24"/>
          <w:lang w:val="zh-CN" w:eastAsia="zh-CN"/>
        </w:rPr>
        <w:t>（以下简称“</w:t>
      </w:r>
      <w:r>
        <w:rPr>
          <w:rFonts w:hint="eastAsia" w:ascii="宋体" w:hAnsi="宋体" w:eastAsia="宋体" w:cs="宋体"/>
          <w:kern w:val="0"/>
          <w:sz w:val="24"/>
          <w:szCs w:val="24"/>
          <w:lang w:val="zh-CN"/>
        </w:rPr>
        <w:t>甲</w:t>
      </w:r>
      <w:r>
        <w:rPr>
          <w:rFonts w:hint="eastAsia" w:ascii="宋体" w:hAnsi="宋体" w:eastAsia="宋体" w:cs="宋体"/>
          <w:kern w:val="0"/>
          <w:sz w:val="24"/>
          <w:szCs w:val="24"/>
          <w:lang w:val="zh-CN" w:eastAsia="zh-CN"/>
        </w:rPr>
        <w:t>方”）与</w:t>
      </w:r>
      <w:r>
        <w:rPr>
          <w:rFonts w:hint="eastAsia" w:ascii="宋体" w:hAnsi="宋体" w:eastAsia="宋体" w:cs="宋体"/>
          <w:kern w:val="0"/>
          <w:sz w:val="24"/>
          <w:szCs w:val="24"/>
          <w:u w:val="single"/>
          <w:lang w:val="zh-CN" w:eastAsia="zh-CN"/>
        </w:rPr>
        <w:t xml:space="preserve">  </w:t>
      </w:r>
      <w:r>
        <w:rPr>
          <w:rFonts w:hint="eastAsia" w:ascii="宋体" w:hAnsi="宋体" w:eastAsia="宋体" w:cs="宋体"/>
          <w:kern w:val="0"/>
          <w:sz w:val="24"/>
          <w:szCs w:val="24"/>
          <w:u w:val="single"/>
          <w:lang w:val="zh-CN"/>
        </w:rPr>
        <w:t>（中标人）</w:t>
      </w:r>
      <w:r>
        <w:rPr>
          <w:rFonts w:hint="eastAsia" w:ascii="宋体" w:hAnsi="宋体" w:eastAsia="宋体" w:cs="宋体"/>
          <w:kern w:val="0"/>
          <w:sz w:val="24"/>
          <w:szCs w:val="24"/>
          <w:u w:val="single"/>
          <w:lang w:val="zh-CN" w:eastAsia="zh-CN"/>
        </w:rPr>
        <w:t xml:space="preserve">   </w:t>
      </w:r>
      <w:r>
        <w:rPr>
          <w:rFonts w:hint="eastAsia" w:ascii="宋体" w:hAnsi="宋体" w:eastAsia="宋体" w:cs="宋体"/>
          <w:kern w:val="0"/>
          <w:sz w:val="24"/>
          <w:szCs w:val="24"/>
          <w:lang w:val="zh-CN" w:eastAsia="zh-CN"/>
        </w:rPr>
        <w:t>（以下简称“</w:t>
      </w:r>
      <w:r>
        <w:rPr>
          <w:rFonts w:hint="eastAsia" w:ascii="宋体" w:hAnsi="宋体" w:eastAsia="宋体" w:cs="宋体"/>
          <w:kern w:val="0"/>
          <w:sz w:val="24"/>
          <w:szCs w:val="24"/>
          <w:lang w:val="zh-CN"/>
        </w:rPr>
        <w:t>乙</w:t>
      </w:r>
      <w:r>
        <w:rPr>
          <w:rFonts w:hint="eastAsia" w:ascii="宋体" w:hAnsi="宋体" w:eastAsia="宋体" w:cs="宋体"/>
          <w:kern w:val="0"/>
          <w:sz w:val="24"/>
          <w:szCs w:val="24"/>
          <w:lang w:val="zh-CN" w:eastAsia="zh-CN"/>
        </w:rPr>
        <w:t>方”）签订。</w:t>
      </w:r>
      <w:r>
        <w:rPr>
          <w:rFonts w:hint="eastAsia" w:ascii="宋体" w:hAnsi="宋体" w:eastAsia="宋体" w:cs="宋体"/>
          <w:kern w:val="0"/>
          <w:sz w:val="24"/>
          <w:szCs w:val="24"/>
          <w:lang w:val="zh-CN"/>
        </w:rPr>
        <w:t>乙</w:t>
      </w:r>
      <w:r>
        <w:rPr>
          <w:rFonts w:hint="eastAsia" w:ascii="宋体" w:hAnsi="宋体" w:eastAsia="宋体" w:cs="宋体"/>
          <w:kern w:val="0"/>
          <w:sz w:val="24"/>
          <w:szCs w:val="24"/>
          <w:lang w:val="zh-CN" w:eastAsia="zh-CN"/>
        </w:rPr>
        <w:t>方以总金额</w:t>
      </w:r>
      <w:r>
        <w:rPr>
          <w:rFonts w:hint="eastAsia" w:ascii="宋体" w:hAnsi="宋体" w:eastAsia="宋体" w:cs="宋体"/>
          <w:kern w:val="0"/>
          <w:sz w:val="24"/>
          <w:szCs w:val="24"/>
          <w:u w:val="single"/>
          <w:lang w:val="zh-CN" w:eastAsia="zh-CN"/>
        </w:rPr>
        <w:t xml:space="preserve">         </w:t>
      </w:r>
      <w:r>
        <w:rPr>
          <w:rFonts w:hint="eastAsia" w:ascii="宋体" w:hAnsi="宋体" w:eastAsia="宋体" w:cs="宋体"/>
          <w:kern w:val="0"/>
          <w:sz w:val="24"/>
          <w:szCs w:val="24"/>
          <w:lang w:val="zh-CN" w:eastAsia="zh-CN"/>
        </w:rPr>
        <w:t>万元人民币（用大写数字书写）向</w:t>
      </w:r>
      <w:r>
        <w:rPr>
          <w:rFonts w:hint="eastAsia" w:ascii="宋体" w:hAnsi="宋体" w:eastAsia="宋体" w:cs="宋体"/>
          <w:kern w:val="0"/>
          <w:sz w:val="24"/>
          <w:szCs w:val="24"/>
          <w:lang w:val="zh-CN"/>
        </w:rPr>
        <w:t>甲</w:t>
      </w:r>
      <w:r>
        <w:rPr>
          <w:rFonts w:hint="eastAsia" w:ascii="宋体" w:hAnsi="宋体" w:eastAsia="宋体" w:cs="宋体"/>
          <w:kern w:val="0"/>
          <w:sz w:val="24"/>
          <w:szCs w:val="24"/>
          <w:lang w:val="zh-CN" w:eastAsia="zh-CN"/>
        </w:rPr>
        <w:t>方提供如下货物</w:t>
      </w:r>
      <w:r>
        <w:rPr>
          <w:rFonts w:hint="eastAsia" w:ascii="宋体" w:hAnsi="宋体" w:eastAsia="宋体" w:cs="宋体"/>
          <w:kern w:val="0"/>
          <w:sz w:val="24"/>
          <w:szCs w:val="24"/>
          <w:lang w:val="zh-CN"/>
        </w:rPr>
        <w:t>（工程或服务）</w:t>
      </w:r>
      <w:r>
        <w:rPr>
          <w:rFonts w:hint="eastAsia" w:ascii="宋体" w:hAnsi="宋体" w:eastAsia="宋体" w:cs="宋体"/>
          <w:kern w:val="0"/>
          <w:sz w:val="24"/>
          <w:szCs w:val="24"/>
          <w:lang w:val="zh-CN" w:eastAsia="zh-CN"/>
        </w:rPr>
        <w:t>：</w:t>
      </w:r>
    </w:p>
    <w:p>
      <w:pPr>
        <w:spacing w:before="78" w:beforeLines="25" w:line="360" w:lineRule="auto"/>
        <w:ind w:firstLine="492" w:firstLineChars="204"/>
        <w:contextualSpacing/>
        <w:rPr>
          <w:rFonts w:hint="eastAsia" w:ascii="宋体" w:hAnsi="宋体" w:eastAsia="宋体" w:cs="宋体"/>
          <w:b/>
          <w:kern w:val="0"/>
          <w:sz w:val="24"/>
          <w:szCs w:val="20"/>
        </w:rPr>
      </w:pPr>
      <w:r>
        <w:rPr>
          <w:rFonts w:hint="eastAsia" w:ascii="宋体" w:hAnsi="宋体" w:eastAsia="宋体" w:cs="宋体"/>
          <w:b/>
          <w:kern w:val="0"/>
          <w:sz w:val="24"/>
          <w:szCs w:val="24"/>
          <w:lang w:val="zh-CN" w:eastAsia="zh-CN"/>
        </w:rPr>
        <w:t>经双方协商，同意按下列条文执行：</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本合同甲、乙双方应遵守国家颁布的《中华人民共和国合同法》、《中华人民共和国政府采购法》，并各自履行应负的全部责任和义务。</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pPr>
      <w:r>
        <w:rPr>
          <w:rFonts w:hint="eastAsia" w:ascii="宋体" w:hAnsi="宋体" w:eastAsia="宋体" w:cs="宋体"/>
          <w:kern w:val="0"/>
          <w:sz w:val="24"/>
          <w:szCs w:val="20"/>
        </w:rPr>
        <w:t>甲方保证按合同条款规定的时间和方</w:t>
      </w:r>
      <w:r>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t>式付给乙方到期应付的合同款，并承担应负的责任和义务。</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t>乙方保证按合同条款规定的内容和工期（服务期限）向甲方提</w:t>
      </w:r>
      <w:r>
        <w:rPr>
          <w:rFonts w:hint="eastAsia" w:ascii="宋体" w:hAnsi="宋体" w:eastAsia="宋体" w:cs="宋体"/>
          <w:kern w:val="0"/>
          <w:sz w:val="24"/>
          <w:szCs w:val="20"/>
        </w:rPr>
        <w:t>供合格的货物（工程或服务），并承担应负的责任和义务。</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合同文件。下列文件为本合同不可分割的部分：</w:t>
      </w:r>
    </w:p>
    <w:p>
      <w:pPr>
        <w:numPr>
          <w:ilvl w:val="0"/>
          <w:numId w:val="31"/>
        </w:numPr>
        <w:adjustRightInd w:val="0"/>
        <w:spacing w:before="78" w:beforeLines="25" w:line="360" w:lineRule="auto"/>
        <w:ind w:left="1091" w:leftChars="227" w:hanging="614" w:hangingChars="256"/>
        <w:rPr>
          <w:rFonts w:hint="eastAsia" w:ascii="宋体" w:hAnsi="宋体" w:eastAsia="宋体" w:cs="宋体"/>
          <w:kern w:val="0"/>
          <w:sz w:val="24"/>
          <w:szCs w:val="20"/>
          <w:lang w:val="zh-CN" w:eastAsia="zh-CN"/>
        </w:rPr>
      </w:pPr>
      <w:r>
        <w:rPr>
          <w:rFonts w:hint="eastAsia" w:ascii="宋体" w:hAnsi="宋体" w:eastAsia="宋体" w:cs="宋体"/>
          <w:kern w:val="0"/>
          <w:sz w:val="24"/>
          <w:szCs w:val="20"/>
          <w:lang w:val="zh-CN" w:eastAsia="zh-CN"/>
        </w:rPr>
        <w:t>招标文件（</w:t>
      </w:r>
      <w:r>
        <w:rPr>
          <w:rFonts w:hint="eastAsia" w:ascii="宋体" w:hAnsi="宋体" w:eastAsia="宋体" w:cs="宋体"/>
          <w:kern w:val="0"/>
          <w:sz w:val="24"/>
          <w:szCs w:val="20"/>
          <w:lang w:val="zh-CN"/>
        </w:rPr>
        <w:t>项目</w:t>
      </w:r>
      <w:r>
        <w:rPr>
          <w:rFonts w:hint="eastAsia" w:ascii="宋体" w:hAnsi="宋体" w:eastAsia="宋体" w:cs="宋体"/>
          <w:kern w:val="0"/>
          <w:sz w:val="24"/>
          <w:szCs w:val="20"/>
          <w:lang w:val="zh-CN" w:eastAsia="zh-CN"/>
        </w:rPr>
        <w:t>编号：</w:t>
      </w:r>
      <w:r>
        <w:rPr>
          <w:rFonts w:hint="eastAsia" w:ascii="宋体" w:hAnsi="宋体" w:eastAsia="宋体" w:cs="宋体"/>
          <w:kern w:val="0"/>
          <w:sz w:val="24"/>
          <w:szCs w:val="20"/>
          <w:u w:val="single"/>
          <w:lang w:val="zh-CN" w:eastAsia="zh-CN"/>
        </w:rPr>
        <w:t>　　</w:t>
      </w:r>
      <w:r>
        <w:rPr>
          <w:rFonts w:hint="eastAsia" w:ascii="宋体" w:hAnsi="宋体" w:eastAsia="宋体" w:cs="宋体"/>
          <w:kern w:val="0"/>
          <w:sz w:val="24"/>
          <w:szCs w:val="20"/>
          <w:u w:val="single"/>
          <w:lang w:val="zh-CN"/>
        </w:rPr>
        <w:t xml:space="preserve">  </w:t>
      </w:r>
      <w:r>
        <w:rPr>
          <w:rFonts w:hint="eastAsia" w:ascii="宋体" w:hAnsi="宋体" w:eastAsia="宋体" w:cs="宋体"/>
          <w:kern w:val="0"/>
          <w:sz w:val="24"/>
          <w:szCs w:val="20"/>
          <w:u w:val="single"/>
          <w:lang w:val="zh-CN" w:eastAsia="zh-CN"/>
        </w:rPr>
        <w:t xml:space="preserve">            　</w:t>
      </w:r>
      <w:r>
        <w:rPr>
          <w:rFonts w:hint="eastAsia" w:ascii="宋体" w:hAnsi="宋体" w:eastAsia="宋体" w:cs="宋体"/>
          <w:kern w:val="0"/>
          <w:sz w:val="24"/>
          <w:szCs w:val="20"/>
          <w:lang w:val="zh-CN" w:eastAsia="zh-CN"/>
        </w:rPr>
        <w:t>）；</w:t>
      </w:r>
    </w:p>
    <w:p>
      <w:pPr>
        <w:numPr>
          <w:ilvl w:val="0"/>
          <w:numId w:val="31"/>
        </w:numPr>
        <w:adjustRightInd w:val="0"/>
        <w:spacing w:before="78" w:beforeLines="25" w:line="360" w:lineRule="auto"/>
        <w:ind w:left="1091" w:leftChars="227" w:hanging="614" w:hangingChars="256"/>
        <w:rPr>
          <w:rFonts w:hint="eastAsia" w:ascii="宋体" w:hAnsi="宋体" w:eastAsia="宋体" w:cs="宋体"/>
          <w:kern w:val="0"/>
          <w:sz w:val="24"/>
          <w:szCs w:val="20"/>
          <w:lang w:val="zh-CN" w:eastAsia="zh-CN"/>
        </w:rPr>
      </w:pPr>
      <w:r>
        <w:rPr>
          <w:rFonts w:hint="eastAsia" w:ascii="宋体" w:hAnsi="宋体" w:eastAsia="宋体" w:cs="宋体"/>
          <w:kern w:val="0"/>
          <w:sz w:val="24"/>
          <w:szCs w:val="20"/>
          <w:lang w:val="zh-CN" w:eastAsia="zh-CN"/>
        </w:rPr>
        <w:t>中标的投标文件；</w:t>
      </w:r>
    </w:p>
    <w:p>
      <w:pPr>
        <w:numPr>
          <w:ilvl w:val="0"/>
          <w:numId w:val="31"/>
        </w:numPr>
        <w:adjustRightInd w:val="0"/>
        <w:spacing w:before="78" w:beforeLines="25" w:line="360" w:lineRule="auto"/>
        <w:ind w:left="1091" w:leftChars="227" w:hanging="614" w:hangingChars="256"/>
        <w:rPr>
          <w:rFonts w:hint="eastAsia" w:ascii="宋体" w:hAnsi="宋体" w:eastAsia="宋体" w:cs="宋体"/>
          <w:kern w:val="0"/>
          <w:sz w:val="24"/>
          <w:szCs w:val="20"/>
          <w:lang w:val="zh-CN" w:eastAsia="zh-CN"/>
        </w:rPr>
      </w:pPr>
      <w:r>
        <w:rPr>
          <w:rFonts w:hint="eastAsia" w:ascii="宋体" w:hAnsi="宋体" w:eastAsia="宋体" w:cs="宋体"/>
          <w:kern w:val="0"/>
          <w:sz w:val="24"/>
          <w:szCs w:val="20"/>
          <w:lang w:val="zh-CN" w:eastAsia="zh-CN"/>
        </w:rPr>
        <w:t>合同书；</w:t>
      </w:r>
    </w:p>
    <w:p>
      <w:pPr>
        <w:numPr>
          <w:ilvl w:val="0"/>
          <w:numId w:val="31"/>
        </w:numPr>
        <w:adjustRightInd w:val="0"/>
        <w:spacing w:before="78" w:beforeLines="25" w:line="360" w:lineRule="auto"/>
        <w:ind w:left="1091" w:leftChars="227" w:hanging="614" w:hangingChars="256"/>
        <w:rPr>
          <w:rFonts w:hint="eastAsia" w:ascii="宋体" w:hAnsi="宋体" w:eastAsia="宋体" w:cs="宋体"/>
          <w:kern w:val="0"/>
          <w:sz w:val="24"/>
          <w:szCs w:val="20"/>
          <w:lang w:val="zh-CN" w:eastAsia="zh-CN"/>
        </w:rPr>
      </w:pPr>
      <w:r>
        <w:rPr>
          <w:rFonts w:hint="eastAsia" w:ascii="宋体" w:hAnsi="宋体" w:eastAsia="宋体" w:cs="宋体"/>
          <w:kern w:val="0"/>
          <w:sz w:val="24"/>
          <w:szCs w:val="20"/>
          <w:lang w:val="zh-CN" w:eastAsia="zh-CN"/>
        </w:rPr>
        <w:t>合同条款；</w:t>
      </w:r>
    </w:p>
    <w:p>
      <w:pPr>
        <w:numPr>
          <w:ilvl w:val="0"/>
          <w:numId w:val="31"/>
        </w:numPr>
        <w:adjustRightInd w:val="0"/>
        <w:spacing w:before="78" w:beforeLines="25" w:line="360" w:lineRule="auto"/>
        <w:ind w:left="1091" w:leftChars="227" w:hanging="614" w:hangingChars="256"/>
        <w:rPr>
          <w:rFonts w:hint="eastAsia" w:ascii="宋体" w:hAnsi="宋体" w:eastAsia="宋体" w:cs="宋体"/>
          <w:kern w:val="0"/>
          <w:sz w:val="24"/>
          <w:szCs w:val="20"/>
          <w:lang w:val="zh-CN" w:eastAsia="zh-CN"/>
        </w:rPr>
      </w:pPr>
      <w:r>
        <w:rPr>
          <w:rFonts w:hint="eastAsia" w:ascii="宋体" w:hAnsi="宋体" w:eastAsia="宋体" w:cs="宋体"/>
          <w:sz w:val="24"/>
          <w:szCs w:val="20"/>
          <w:lang w:val="zh-CN" w:eastAsia="zh-CN"/>
        </w:rPr>
        <w:t>采购代理机构</w:t>
      </w:r>
      <w:r>
        <w:rPr>
          <w:rFonts w:hint="eastAsia" w:ascii="宋体" w:hAnsi="宋体" w:eastAsia="宋体" w:cs="宋体"/>
          <w:kern w:val="0"/>
          <w:sz w:val="24"/>
          <w:szCs w:val="20"/>
          <w:lang w:val="zh-CN" w:eastAsia="zh-CN"/>
        </w:rPr>
        <w:t>机构发出的中标通知书；</w:t>
      </w:r>
    </w:p>
    <w:p>
      <w:pPr>
        <w:numPr>
          <w:ilvl w:val="0"/>
          <w:numId w:val="31"/>
        </w:numPr>
        <w:adjustRightInd w:val="0"/>
        <w:spacing w:before="78" w:beforeLines="25" w:line="360" w:lineRule="auto"/>
        <w:ind w:left="1091" w:leftChars="227" w:hanging="614" w:hangingChars="256"/>
        <w:rPr>
          <w:rFonts w:hint="eastAsia" w:ascii="宋体" w:hAnsi="宋体" w:eastAsia="宋体" w:cs="宋体"/>
          <w:kern w:val="0"/>
          <w:sz w:val="24"/>
          <w:szCs w:val="20"/>
          <w:lang w:val="zh-CN" w:eastAsia="zh-CN"/>
        </w:rPr>
      </w:pPr>
      <w:r>
        <w:rPr>
          <w:rFonts w:hint="eastAsia" w:ascii="宋体" w:hAnsi="宋体" w:eastAsia="宋体" w:cs="宋体"/>
          <w:kern w:val="0"/>
          <w:sz w:val="24"/>
          <w:szCs w:val="20"/>
          <w:lang w:val="zh-CN" w:eastAsia="zh-CN"/>
        </w:rPr>
        <w:t>附件；</w:t>
      </w:r>
    </w:p>
    <w:p>
      <w:pPr>
        <w:numPr>
          <w:ilvl w:val="0"/>
          <w:numId w:val="32"/>
        </w:numPr>
        <w:spacing w:before="78" w:beforeLines="25" w:line="360" w:lineRule="auto"/>
        <w:ind w:left="1358" w:hanging="724"/>
        <w:rPr>
          <w:rFonts w:hint="eastAsia" w:ascii="宋体" w:hAnsi="宋体" w:eastAsia="宋体" w:cs="宋体"/>
          <w:sz w:val="24"/>
          <w:szCs w:val="20"/>
          <w:lang w:val="zh-CN" w:eastAsia="zh-CN"/>
        </w:rPr>
      </w:pPr>
      <w:r>
        <w:rPr>
          <w:rFonts w:hint="eastAsia" w:ascii="宋体" w:hAnsi="宋体" w:eastAsia="宋体" w:cs="宋体"/>
          <w:kern w:val="0"/>
          <w:sz w:val="24"/>
          <w:szCs w:val="20"/>
          <w:lang w:val="zh-CN"/>
        </w:rPr>
        <w:t>甲</w:t>
      </w:r>
      <w:r>
        <w:rPr>
          <w:rFonts w:hint="eastAsia" w:ascii="宋体" w:hAnsi="宋体" w:eastAsia="宋体" w:cs="宋体"/>
          <w:kern w:val="0"/>
          <w:sz w:val="24"/>
          <w:szCs w:val="20"/>
          <w:lang w:val="zh-CN" w:eastAsia="zh-CN"/>
        </w:rPr>
        <w:t>方</w:t>
      </w:r>
      <w:r>
        <w:rPr>
          <w:rFonts w:hint="eastAsia" w:ascii="宋体" w:hAnsi="宋体" w:eastAsia="宋体" w:cs="宋体"/>
          <w:sz w:val="24"/>
          <w:szCs w:val="20"/>
          <w:lang w:val="zh-CN" w:eastAsia="zh-CN"/>
        </w:rPr>
        <w:t>在招标期间发布的所有补充通知；</w:t>
      </w:r>
    </w:p>
    <w:p>
      <w:pPr>
        <w:numPr>
          <w:ilvl w:val="0"/>
          <w:numId w:val="32"/>
        </w:numPr>
        <w:spacing w:before="78"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乙方在投标期内补充的所有书面文件；</w:t>
      </w:r>
    </w:p>
    <w:p>
      <w:pPr>
        <w:numPr>
          <w:ilvl w:val="0"/>
          <w:numId w:val="32"/>
        </w:numPr>
        <w:spacing w:before="78"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乙方在投标时随同投标文件一起递送的资料及附图；</w:t>
      </w:r>
    </w:p>
    <w:p>
      <w:pPr>
        <w:numPr>
          <w:ilvl w:val="0"/>
          <w:numId w:val="32"/>
        </w:numPr>
        <w:spacing w:before="78"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在商洽本合同时，双方澄清、确认并共同签字的补充文件、技术协议。</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合同范围和条件。本合同的范围和条件应与上述规定的合同文件内容相一致。</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pPr>
      <w:r>
        <w:rPr>
          <w:rFonts w:hint="eastAsia" w:ascii="宋体" w:hAnsi="宋体" w:eastAsia="宋体" w:cs="宋体"/>
          <w:kern w:val="0"/>
          <w:sz w:val="24"/>
          <w:szCs w:val="20"/>
        </w:rPr>
        <w:t>货物（工程或服</w:t>
      </w:r>
      <w:r>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t>务）及数量。本合同所提供的货物（工程或服务）及数量详见招标文件的要求及乙方投标文件中的承诺。</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t>付款条件。本合同的付款条件按招标文件规定执行。</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color w:val="0D0D0D" w:themeColor="text1" w:themeTint="F2"/>
          <w:kern w:val="0"/>
          <w:sz w:val="24"/>
          <w:szCs w:val="20"/>
          <w14:textFill>
            <w14:solidFill>
              <w14:schemeClr w14:val="tx1">
                <w14:lumMod w14:val="95000"/>
                <w14:lumOff w14:val="5000"/>
              </w14:schemeClr>
            </w14:solidFill>
          </w14:textFill>
        </w:rPr>
        <w:t>合同金额。合同总金额</w:t>
      </w:r>
      <w:r>
        <w:rPr>
          <w:rFonts w:hint="eastAsia" w:ascii="宋体" w:hAnsi="宋体" w:eastAsia="宋体" w:cs="宋体"/>
          <w:kern w:val="0"/>
          <w:sz w:val="24"/>
          <w:szCs w:val="20"/>
        </w:rPr>
        <w:t>见合同书，分项价格在乙方的投标报价表中有明确规定。</w:t>
      </w:r>
    </w:p>
    <w:p>
      <w:pPr>
        <w:numPr>
          <w:ilvl w:val="3"/>
          <w:numId w:val="30"/>
        </w:numPr>
        <w:tabs>
          <w:tab w:val="left" w:pos="854"/>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工期和交货（服务）地点。本合同中货物（工程或服务）的工期、交货（服务）地点在招标文件中有明确规定。</w:t>
      </w:r>
    </w:p>
    <w:p>
      <w:pPr>
        <w:numPr>
          <w:ilvl w:val="3"/>
          <w:numId w:val="30"/>
        </w:numPr>
        <w:tabs>
          <w:tab w:val="left" w:pos="980"/>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合同生效。本合同经甲、乙双方授权代表签字和加盖公章（或合同专用章）后生效。如招标申请公证的，合同需经公证机构公证后生效。</w:t>
      </w:r>
    </w:p>
    <w:p>
      <w:pPr>
        <w:numPr>
          <w:ilvl w:val="3"/>
          <w:numId w:val="30"/>
        </w:numPr>
        <w:tabs>
          <w:tab w:val="left" w:pos="980"/>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合同的份数。本合同正本一式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　份，乙方执　份；副本一式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份，乙方执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w:t>
      </w:r>
    </w:p>
    <w:p>
      <w:pPr>
        <w:numPr>
          <w:ilvl w:val="3"/>
          <w:numId w:val="30"/>
        </w:numPr>
        <w:tabs>
          <w:tab w:val="left" w:pos="980"/>
        </w:tabs>
        <w:autoSpaceDE w:val="0"/>
        <w:autoSpaceDN w:val="0"/>
        <w:spacing w:before="78"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合同的失效。本合同在合同价款全部结清后失效。</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甲　　方：</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乙　　方：</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单位名称（盖章）：</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单位地址：</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法人代表授权人(签字)：             </w:t>
      </w:r>
      <w:r>
        <w:rPr>
          <w:rFonts w:hint="eastAsia" w:ascii="宋体" w:hAnsi="宋体" w:eastAsia="宋体" w:cs="宋体"/>
          <w:kern w:val="0"/>
          <w:sz w:val="24"/>
          <w:szCs w:val="20"/>
        </w:rPr>
        <w:tab/>
      </w:r>
      <w:r>
        <w:rPr>
          <w:rFonts w:hint="eastAsia" w:ascii="宋体" w:hAnsi="宋体" w:eastAsia="宋体" w:cs="宋体"/>
          <w:kern w:val="0"/>
          <w:sz w:val="24"/>
          <w:szCs w:val="20"/>
        </w:rPr>
        <w:t>法人代表授权人(签字)：</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联 系 人：</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联 系 人：</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电　　话：                         </w:t>
      </w:r>
      <w:r>
        <w:rPr>
          <w:rFonts w:hint="eastAsia" w:ascii="宋体" w:hAnsi="宋体" w:eastAsia="宋体" w:cs="宋体"/>
          <w:kern w:val="0"/>
          <w:sz w:val="24"/>
          <w:szCs w:val="20"/>
        </w:rPr>
        <w:tab/>
      </w:r>
      <w:r>
        <w:rPr>
          <w:rFonts w:hint="eastAsia" w:ascii="宋体" w:hAnsi="宋体" w:eastAsia="宋体" w:cs="宋体"/>
          <w:kern w:val="0"/>
          <w:sz w:val="24"/>
          <w:szCs w:val="20"/>
        </w:rPr>
        <w:t>电　　话：</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传　　真：                         </w:t>
      </w:r>
      <w:r>
        <w:rPr>
          <w:rFonts w:hint="eastAsia" w:ascii="宋体" w:hAnsi="宋体" w:eastAsia="宋体" w:cs="宋体"/>
          <w:kern w:val="0"/>
          <w:sz w:val="24"/>
          <w:szCs w:val="20"/>
        </w:rPr>
        <w:tab/>
      </w:r>
      <w:r>
        <w:rPr>
          <w:rFonts w:hint="eastAsia" w:ascii="宋体" w:hAnsi="宋体" w:eastAsia="宋体" w:cs="宋体"/>
          <w:kern w:val="0"/>
          <w:sz w:val="24"/>
          <w:szCs w:val="20"/>
        </w:rPr>
        <w:t>传　　真：</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邮政编码：                         </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开户银行：                         </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帐　　号：                         </w:t>
      </w:r>
      <w:r>
        <w:rPr>
          <w:rFonts w:hint="eastAsia" w:ascii="宋体" w:hAnsi="宋体" w:eastAsia="宋体" w:cs="宋体"/>
          <w:kern w:val="0"/>
          <w:sz w:val="24"/>
          <w:szCs w:val="20"/>
        </w:rPr>
        <w:tab/>
      </w:r>
      <w:r>
        <w:rPr>
          <w:rFonts w:hint="eastAsia" w:ascii="宋体" w:hAnsi="宋体" w:eastAsia="宋体" w:cs="宋体"/>
          <w:kern w:val="0"/>
          <w:sz w:val="24"/>
          <w:szCs w:val="20"/>
        </w:rPr>
        <w:t>帐　　号：</w:t>
      </w:r>
    </w:p>
    <w:p>
      <w:pPr>
        <w:spacing w:before="78"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税　　号：                         </w:t>
      </w:r>
      <w:r>
        <w:rPr>
          <w:rFonts w:hint="eastAsia" w:ascii="宋体" w:hAnsi="宋体" w:eastAsia="宋体" w:cs="宋体"/>
          <w:kern w:val="0"/>
          <w:sz w:val="24"/>
          <w:szCs w:val="20"/>
        </w:rPr>
        <w:tab/>
      </w:r>
      <w:r>
        <w:rPr>
          <w:rFonts w:hint="eastAsia" w:ascii="宋体" w:hAnsi="宋体" w:eastAsia="宋体" w:cs="宋体"/>
          <w:kern w:val="0"/>
          <w:sz w:val="24"/>
          <w:szCs w:val="20"/>
        </w:rPr>
        <w:t>税　　号：</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3"/>
        <w:numPr>
          <w:ilvl w:val="0"/>
          <w:numId w:val="1"/>
        </w:numPr>
        <w:jc w:val="center"/>
        <w:rPr>
          <w:rFonts w:hint="eastAsia" w:ascii="宋体" w:hAnsi="宋体" w:eastAsia="宋体" w:cs="宋体"/>
        </w:rPr>
      </w:pPr>
      <w:bookmarkStart w:id="94" w:name="_Toc29202"/>
      <w:bookmarkStart w:id="95" w:name="_Toc494665944"/>
      <w:bookmarkStart w:id="96" w:name="_Toc494721094"/>
      <w:bookmarkStart w:id="97" w:name="_Toc494664994"/>
      <w:bookmarkStart w:id="98" w:name="_Toc494745311"/>
      <w:bookmarkStart w:id="99" w:name="_Toc494665547"/>
      <w:bookmarkStart w:id="100" w:name="_Toc494702264"/>
      <w:r>
        <w:rPr>
          <w:rFonts w:hint="eastAsia" w:ascii="宋体" w:hAnsi="宋体" w:eastAsia="宋体" w:cs="宋体"/>
        </w:rPr>
        <w:t>投标文件格式（参考）</w:t>
      </w:r>
      <w:bookmarkEnd w:id="94"/>
      <w:bookmarkEnd w:id="95"/>
      <w:bookmarkEnd w:id="96"/>
      <w:bookmarkEnd w:id="97"/>
      <w:bookmarkEnd w:id="98"/>
      <w:bookmarkEnd w:id="99"/>
      <w:bookmarkEnd w:id="100"/>
    </w:p>
    <w:p>
      <w:pPr>
        <w:spacing w:after="624" w:afterLines="200"/>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阳新县县级政府采购</w:t>
      </w:r>
    </w:p>
    <w:p>
      <w:pPr>
        <w:spacing w:after="624" w:afterLines="200"/>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pStyle w:val="4"/>
        <w:spacing w:before="340" w:after="480" w:line="360" w:lineRule="auto"/>
        <w:jc w:val="center"/>
        <w:rPr>
          <w:rFonts w:hint="eastAsia" w:ascii="宋体" w:hAnsi="宋体" w:eastAsia="宋体" w:cs="宋体"/>
          <w:bCs w:val="0"/>
          <w:sz w:val="44"/>
          <w:szCs w:val="44"/>
          <w:lang w:val="zh-CN" w:eastAsia="zh-CN"/>
        </w:rPr>
      </w:pPr>
      <w:bookmarkStart w:id="101" w:name="_Toc494665945"/>
      <w:bookmarkStart w:id="102" w:name="_Toc494721095"/>
      <w:bookmarkStart w:id="103" w:name="_Toc494664995"/>
      <w:bookmarkStart w:id="104" w:name="_Toc494702265"/>
      <w:bookmarkStart w:id="105" w:name="_Toc494745312"/>
      <w:bookmarkStart w:id="106" w:name="_Toc494665548"/>
      <w:bookmarkStart w:id="107" w:name="_Toc9222"/>
      <w:r>
        <w:rPr>
          <w:rFonts w:hint="eastAsia" w:ascii="宋体" w:hAnsi="宋体" w:eastAsia="宋体" w:cs="宋体"/>
          <w:bCs w:val="0"/>
          <w:sz w:val="44"/>
          <w:szCs w:val="44"/>
          <w:lang w:val="zh-CN" w:eastAsia="zh-CN"/>
        </w:rPr>
        <w:t>第一部分 资格证明文件</w:t>
      </w:r>
      <w:bookmarkEnd w:id="101"/>
      <w:bookmarkEnd w:id="102"/>
      <w:bookmarkEnd w:id="103"/>
      <w:bookmarkEnd w:id="104"/>
      <w:bookmarkEnd w:id="105"/>
      <w:bookmarkEnd w:id="106"/>
      <w:bookmarkEnd w:id="107"/>
    </w:p>
    <w:p>
      <w:pPr>
        <w:spacing w:line="360" w:lineRule="auto"/>
        <w:ind w:left="2055" w:leftChars="619" w:right="1300" w:rightChars="619" w:hanging="755" w:hangingChars="209"/>
        <w:rPr>
          <w:rFonts w:hint="eastAsia" w:ascii="宋体" w:hAnsi="宋体" w:eastAsia="宋体" w:cs="宋体"/>
          <w:bCs/>
          <w:sz w:val="36"/>
          <w:szCs w:val="24"/>
        </w:rPr>
      </w:pPr>
      <w:r>
        <w:rPr>
          <w:rFonts w:hint="eastAsia" w:ascii="宋体" w:hAnsi="宋体" w:eastAsia="宋体" w:cs="宋体"/>
          <w:b/>
          <w:bCs/>
          <w:sz w:val="36"/>
          <w:szCs w:val="24"/>
        </w:rPr>
        <w:t>项目编号：</w:t>
      </w:r>
      <w:r>
        <w:rPr>
          <w:rFonts w:hint="eastAsia" w:ascii="宋体" w:hAnsi="宋体" w:eastAsia="宋体" w:cs="宋体"/>
          <w:sz w:val="36"/>
          <w:szCs w:val="36"/>
          <w:u w:val="single"/>
        </w:rPr>
        <w:t xml:space="preserve">                            </w:t>
      </w:r>
    </w:p>
    <w:p>
      <w:pPr>
        <w:spacing w:line="360" w:lineRule="auto"/>
        <w:ind w:left="2055" w:leftChars="619" w:right="1300" w:rightChars="619" w:hanging="755" w:hangingChars="209"/>
        <w:rPr>
          <w:rFonts w:hint="eastAsia" w:ascii="宋体" w:hAnsi="宋体" w:eastAsia="宋体" w:cs="宋体"/>
          <w:bCs/>
          <w:sz w:val="36"/>
          <w:szCs w:val="24"/>
          <w:lang w:val="zh-CN"/>
        </w:rPr>
      </w:pPr>
      <w:r>
        <w:rPr>
          <w:rFonts w:hint="eastAsia" w:ascii="宋体" w:hAnsi="宋体" w:eastAsia="宋体" w:cs="宋体"/>
          <w:b/>
          <w:bCs/>
          <w:sz w:val="36"/>
          <w:szCs w:val="24"/>
        </w:rPr>
        <w:t>项目名称：</w:t>
      </w:r>
      <w:r>
        <w:rPr>
          <w:rFonts w:hint="eastAsia" w:ascii="宋体" w:hAnsi="宋体" w:eastAsia="宋体" w:cs="宋体"/>
          <w:sz w:val="36"/>
          <w:szCs w:val="36"/>
          <w:u w:val="single"/>
        </w:rPr>
        <w:t xml:space="preserve">                            </w:t>
      </w:r>
    </w:p>
    <w:p>
      <w:pPr>
        <w:spacing w:line="360" w:lineRule="auto"/>
        <w:ind w:left="2055" w:leftChars="619" w:right="1300" w:rightChars="619" w:hanging="755" w:hangingChars="209"/>
        <w:rPr>
          <w:rFonts w:hint="eastAsia" w:ascii="宋体" w:hAnsi="宋体" w:eastAsia="宋体" w:cs="宋体"/>
          <w:sz w:val="36"/>
          <w:szCs w:val="36"/>
        </w:rPr>
      </w:pPr>
      <w:r>
        <w:rPr>
          <w:rFonts w:hint="eastAsia" w:ascii="宋体" w:hAnsi="宋体" w:eastAsia="宋体" w:cs="宋体"/>
          <w:b/>
          <w:bCs/>
          <w:sz w:val="36"/>
          <w:szCs w:val="24"/>
        </w:rPr>
        <w:t>招标内容：</w:t>
      </w:r>
      <w:r>
        <w:rPr>
          <w:rFonts w:hint="eastAsia" w:ascii="宋体" w:hAnsi="宋体" w:eastAsia="宋体" w:cs="宋体"/>
          <w:sz w:val="36"/>
          <w:szCs w:val="36"/>
          <w:u w:val="single"/>
        </w:rPr>
        <w:t xml:space="preserve">                            </w:t>
      </w:r>
    </w:p>
    <w:p>
      <w:pPr>
        <w:spacing w:after="1560" w:afterLines="500" w:line="360" w:lineRule="auto"/>
        <w:ind w:left="2347" w:leftChars="271" w:right="569" w:rightChars="271" w:hanging="1778" w:hangingChars="494"/>
        <w:jc w:val="center"/>
        <w:rPr>
          <w:rFonts w:hint="eastAsia" w:ascii="宋体" w:hAnsi="宋体" w:eastAsia="宋体" w:cs="宋体"/>
          <w:sz w:val="36"/>
          <w:szCs w:val="36"/>
        </w:rPr>
      </w:pPr>
    </w:p>
    <w:p>
      <w:pPr>
        <w:spacing w:line="360" w:lineRule="auto"/>
        <w:ind w:left="1974" w:leftChars="613" w:right="1287" w:rightChars="613" w:hanging="687" w:hangingChars="214"/>
        <w:rPr>
          <w:rFonts w:hint="eastAsia" w:ascii="宋体" w:hAnsi="宋体" w:eastAsia="宋体" w:cs="宋体"/>
          <w:b/>
          <w:bCs/>
          <w:sz w:val="32"/>
          <w:szCs w:val="32"/>
        </w:rPr>
      </w:pPr>
      <w:r>
        <w:rPr>
          <w:rFonts w:hint="eastAsia" w:ascii="宋体" w:hAnsi="宋体" w:eastAsia="宋体" w:cs="宋体"/>
          <w:b/>
          <w:bCs/>
          <w:sz w:val="32"/>
          <w:szCs w:val="32"/>
        </w:rPr>
        <w:t>投标人（盖章）：</w:t>
      </w:r>
      <w:r>
        <w:rPr>
          <w:rFonts w:hint="eastAsia" w:ascii="宋体" w:hAnsi="宋体" w:eastAsia="宋体" w:cs="宋体"/>
          <w:b/>
          <w:bCs/>
          <w:sz w:val="32"/>
          <w:szCs w:val="32"/>
          <w:u w:val="single"/>
        </w:rPr>
        <w:t xml:space="preserve">                             </w:t>
      </w:r>
    </w:p>
    <w:p>
      <w:pPr>
        <w:spacing w:line="360" w:lineRule="auto"/>
        <w:ind w:left="1974" w:leftChars="613" w:right="1287" w:rightChars="613" w:hanging="687" w:hangingChars="214"/>
        <w:rPr>
          <w:rFonts w:hint="eastAsia" w:ascii="宋体" w:hAnsi="宋体" w:eastAsia="宋体" w:cs="宋体"/>
          <w:b/>
          <w:bCs/>
          <w:sz w:val="32"/>
          <w:szCs w:val="32"/>
        </w:rPr>
      </w:pPr>
      <w:r>
        <w:rPr>
          <w:rFonts w:hint="eastAsia" w:ascii="宋体" w:hAnsi="宋体" w:eastAsia="宋体" w:cs="宋体"/>
          <w:b/>
          <w:bCs/>
          <w:sz w:val="32"/>
          <w:szCs w:val="32"/>
        </w:rPr>
        <w:t>投标人授权代表（签字）：</w:t>
      </w:r>
      <w:r>
        <w:rPr>
          <w:rFonts w:hint="eastAsia" w:ascii="宋体" w:hAnsi="宋体" w:eastAsia="宋体" w:cs="宋体"/>
          <w:b/>
          <w:bCs/>
          <w:sz w:val="32"/>
          <w:szCs w:val="32"/>
          <w:u w:val="single"/>
        </w:rPr>
        <w:t xml:space="preserve">                    </w:t>
      </w:r>
    </w:p>
    <w:p>
      <w:pPr>
        <w:spacing w:before="312" w:beforeLines="100" w:after="312" w:afterLines="100" w:line="360" w:lineRule="auto"/>
        <w:ind w:left="2262" w:leftChars="466" w:right="466" w:hanging="1283" w:hangingChars="355"/>
        <w:jc w:val="center"/>
        <w:rPr>
          <w:rFonts w:hint="eastAsia" w:ascii="宋体" w:hAnsi="宋体" w:eastAsia="宋体" w:cs="宋体"/>
          <w:b/>
          <w:sz w:val="36"/>
          <w:szCs w:val="36"/>
        </w:rPr>
      </w:pPr>
      <w:r>
        <w:rPr>
          <w:rFonts w:hint="eastAsia" w:ascii="宋体" w:hAnsi="宋体" w:eastAsia="宋体" w:cs="宋体"/>
          <w:b/>
          <w:bCs/>
          <w:sz w:val="36"/>
          <w:szCs w:val="36"/>
        </w:rPr>
        <w:t>二0</w:t>
      </w:r>
      <w:r>
        <w:rPr>
          <w:rFonts w:hint="eastAsia" w:ascii="宋体" w:hAnsi="宋体" w:eastAsia="宋体" w:cs="宋体"/>
          <w:b/>
          <w:bCs/>
          <w:sz w:val="36"/>
          <w:szCs w:val="36"/>
          <w:lang w:eastAsia="zh-CN"/>
        </w:rPr>
        <w:t>二</w:t>
      </w:r>
      <w:r>
        <w:rPr>
          <w:rFonts w:hint="eastAsia" w:ascii="宋体" w:hAnsi="宋体" w:eastAsia="宋体" w:cs="宋体"/>
          <w:b/>
          <w:sz w:val="36"/>
          <w:szCs w:val="36"/>
        </w:rPr>
        <w:t xml:space="preserve">  年 月</w:t>
      </w:r>
    </w:p>
    <w:p>
      <w:pPr>
        <w:rPr>
          <w:rFonts w:hint="eastAsia" w:ascii="宋体" w:hAnsi="宋体" w:eastAsia="宋体" w:cs="宋体"/>
        </w:rPr>
      </w:pPr>
      <w:r>
        <w:rPr>
          <w:rFonts w:hint="eastAsia" w:ascii="宋体" w:hAnsi="宋体" w:eastAsia="宋体" w:cs="宋体"/>
        </w:rPr>
        <w:br w:type="page"/>
      </w:r>
    </w:p>
    <w:p>
      <w:pPr>
        <w:spacing w:before="312" w:beforeLines="100" w:line="360" w:lineRule="auto"/>
        <w:jc w:val="left"/>
        <w:rPr>
          <w:rFonts w:hint="eastAsia" w:ascii="宋体" w:hAnsi="宋体" w:eastAsia="宋体" w:cs="宋体"/>
          <w:b/>
          <w:bCs/>
          <w:sz w:val="30"/>
          <w:szCs w:val="30"/>
          <w:lang w:val="zh-CN"/>
        </w:rPr>
      </w:pPr>
      <w:r>
        <w:rPr>
          <w:rFonts w:hint="eastAsia" w:ascii="宋体" w:hAnsi="宋体" w:eastAsia="宋体" w:cs="宋体"/>
          <w:b/>
          <w:bCs/>
          <w:sz w:val="30"/>
          <w:szCs w:val="30"/>
          <w:lang w:val="zh-CN" w:eastAsia="zh-CN"/>
        </w:rPr>
        <w:t>格式（参考）说明：</w:t>
      </w:r>
    </w:p>
    <w:p>
      <w:pPr>
        <w:spacing w:before="120" w:after="120" w:line="578" w:lineRule="auto"/>
        <w:jc w:val="center"/>
        <w:rPr>
          <w:rFonts w:hint="eastAsia" w:ascii="宋体" w:hAnsi="宋体" w:eastAsia="宋体" w:cs="宋体"/>
          <w:b/>
          <w:sz w:val="36"/>
          <w:szCs w:val="36"/>
        </w:rPr>
      </w:pPr>
      <w:bookmarkStart w:id="108" w:name="_Toc494745313"/>
      <w:bookmarkStart w:id="109" w:name="_Toc494721096"/>
      <w:bookmarkStart w:id="110" w:name="_Toc494702266"/>
      <w:bookmarkStart w:id="111" w:name="_Toc494665549"/>
      <w:bookmarkStart w:id="112" w:name="_Toc494665946"/>
      <w:bookmarkStart w:id="113" w:name="_Toc494664996"/>
      <w:r>
        <w:rPr>
          <w:rFonts w:hint="eastAsia" w:ascii="宋体" w:hAnsi="宋体" w:eastAsia="宋体" w:cs="宋体"/>
          <w:b/>
          <w:sz w:val="36"/>
          <w:szCs w:val="36"/>
        </w:rPr>
        <w:t>资格证明文件组成</w:t>
      </w:r>
      <w:bookmarkEnd w:id="108"/>
      <w:bookmarkEnd w:id="109"/>
      <w:bookmarkEnd w:id="110"/>
      <w:bookmarkEnd w:id="111"/>
      <w:bookmarkEnd w:id="112"/>
      <w:bookmarkEnd w:id="113"/>
    </w:p>
    <w:p>
      <w:pPr>
        <w:autoSpaceDE w:val="0"/>
        <w:autoSpaceDN w:val="0"/>
        <w:adjustRightInd w:val="0"/>
        <w:spacing w:before="156" w:beforeLines="50" w:after="156"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由各投标人根据参考格式要求自行编写。目录清晰、内容详尽、易于理解和审查。具体内容应包括但不限于以下内容：</w:t>
      </w:r>
    </w:p>
    <w:p>
      <w:pPr>
        <w:numPr>
          <w:ilvl w:val="0"/>
          <w:numId w:val="33"/>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资格证明文件目录</w:t>
      </w:r>
      <w:r>
        <w:rPr>
          <w:rFonts w:hint="eastAsia" w:ascii="宋体" w:hAnsi="宋体" w:eastAsia="宋体" w:cs="宋体"/>
          <w:b/>
          <w:kern w:val="0"/>
          <w:sz w:val="24"/>
          <w:szCs w:val="32"/>
        </w:rPr>
        <w:t>（目录应涵盖下述所有资料，页码清晰以便查阅）</w:t>
      </w:r>
      <w:r>
        <w:rPr>
          <w:rFonts w:hint="eastAsia" w:ascii="宋体" w:hAnsi="宋体" w:eastAsia="宋体" w:cs="宋体"/>
          <w:kern w:val="0"/>
          <w:sz w:val="24"/>
          <w:szCs w:val="32"/>
        </w:rPr>
        <w:t>；</w:t>
      </w:r>
    </w:p>
    <w:p>
      <w:pPr>
        <w:numPr>
          <w:ilvl w:val="0"/>
          <w:numId w:val="33"/>
        </w:numPr>
        <w:autoSpaceDE w:val="0"/>
        <w:autoSpaceDN w:val="0"/>
        <w:adjustRightInd w:val="0"/>
        <w:spacing w:line="360" w:lineRule="auto"/>
        <w:ind w:left="490" w:hanging="370"/>
        <w:rPr>
          <w:rFonts w:hint="eastAsia" w:ascii="宋体" w:hAnsi="宋体" w:eastAsia="宋体" w:cs="宋体"/>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20"/>
        <w:numPr>
          <w:ilvl w:val="0"/>
          <w:numId w:val="34"/>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法人或者其他组织的营业执照等证明文件，自然人的身份证明；</w:t>
      </w:r>
    </w:p>
    <w:p>
      <w:pPr>
        <w:pStyle w:val="20"/>
        <w:numPr>
          <w:ilvl w:val="0"/>
          <w:numId w:val="34"/>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财务状况报告，依法缴纳税收和社会保障资金的相关材料；</w:t>
      </w:r>
    </w:p>
    <w:p>
      <w:pPr>
        <w:pStyle w:val="20"/>
        <w:numPr>
          <w:ilvl w:val="0"/>
          <w:numId w:val="34"/>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具备履行合同所必需的设备和专业技术能力的证明材料；</w:t>
      </w:r>
    </w:p>
    <w:p>
      <w:pPr>
        <w:pStyle w:val="20"/>
        <w:numPr>
          <w:ilvl w:val="0"/>
          <w:numId w:val="34"/>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参加政府采购活动前3年内在经营活动中没有重大违法记录的书面声明；</w:t>
      </w:r>
    </w:p>
    <w:p>
      <w:pPr>
        <w:pStyle w:val="20"/>
        <w:numPr>
          <w:ilvl w:val="0"/>
          <w:numId w:val="34"/>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具备法律、行政法规规定的其他条件的证明材料；</w:t>
      </w:r>
    </w:p>
    <w:p>
      <w:pPr>
        <w:numPr>
          <w:ilvl w:val="0"/>
          <w:numId w:val="33"/>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33"/>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招标文件第一章“投标人资格要求”中有特殊要求的，投标人应提供其符合特殊要求的证明材料或者情况说明；</w:t>
      </w:r>
    </w:p>
    <w:p>
      <w:pPr>
        <w:numPr>
          <w:ilvl w:val="0"/>
          <w:numId w:val="33"/>
        </w:numPr>
        <w:autoSpaceDE w:val="0"/>
        <w:autoSpaceDN w:val="0"/>
        <w:adjustRightInd w:val="0"/>
        <w:spacing w:line="360" w:lineRule="auto"/>
        <w:ind w:left="490" w:hanging="370"/>
        <w:rPr>
          <w:rFonts w:hint="eastAsia" w:ascii="宋体" w:hAnsi="宋体" w:eastAsia="宋体" w:cs="宋体"/>
          <w:sz w:val="24"/>
          <w:szCs w:val="24"/>
        </w:rPr>
      </w:pPr>
      <w:r>
        <w:rPr>
          <w:rFonts w:hint="eastAsia" w:ascii="宋体" w:hAnsi="宋体" w:eastAsia="宋体" w:cs="宋体"/>
          <w:sz w:val="24"/>
          <w:szCs w:val="24"/>
        </w:rPr>
        <w:t>不符合联合体投标相关规定和要</w:t>
      </w:r>
      <w:r>
        <w:rPr>
          <w:rFonts w:hint="eastAsia" w:ascii="宋体" w:hAnsi="宋体" w:eastAsia="宋体" w:cs="宋体"/>
          <w:color w:val="0D0D0D"/>
          <w:sz w:val="24"/>
          <w:szCs w:val="24"/>
        </w:rPr>
        <w:t>求的（适用于接受联合体投标的项目）；</w:t>
      </w:r>
    </w:p>
    <w:p>
      <w:pPr>
        <w:numPr>
          <w:ilvl w:val="0"/>
          <w:numId w:val="33"/>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投标人认为需提供的其它相关资格证明材料。</w:t>
      </w:r>
    </w:p>
    <w:p>
      <w:pPr>
        <w:autoSpaceDE w:val="0"/>
        <w:autoSpaceDN w:val="0"/>
        <w:adjustRightInd w:val="0"/>
        <w:spacing w:line="400" w:lineRule="exact"/>
        <w:ind w:left="490"/>
        <w:rPr>
          <w:rFonts w:hint="eastAsia" w:ascii="宋体" w:hAnsi="宋体" w:eastAsia="宋体" w:cs="宋体"/>
          <w:color w:val="0D0D0D"/>
          <w:sz w:val="24"/>
          <w:szCs w:val="24"/>
        </w:rPr>
      </w:pPr>
    </w:p>
    <w:p>
      <w:pPr>
        <w:autoSpaceDE w:val="0"/>
        <w:autoSpaceDN w:val="0"/>
        <w:adjustRightInd w:val="0"/>
        <w:spacing w:line="400" w:lineRule="exact"/>
        <w:ind w:left="490"/>
        <w:rPr>
          <w:rFonts w:hint="eastAsia" w:ascii="宋体" w:hAnsi="宋体" w:eastAsia="宋体" w:cs="宋体"/>
          <w:color w:val="0D0D0D"/>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说明：1、以上材料提供不实的，按照《政府采购法》有关提供虚假材料的规定给予处罚； </w:t>
      </w:r>
    </w:p>
    <w:p>
      <w:pPr>
        <w:ind w:firstLine="720" w:firstLineChars="300"/>
        <w:rPr>
          <w:rFonts w:hint="eastAsia" w:ascii="宋体" w:hAnsi="宋体" w:eastAsia="宋体" w:cs="宋体"/>
        </w:rPr>
      </w:pPr>
      <w:r>
        <w:rPr>
          <w:rFonts w:hint="eastAsia" w:ascii="宋体" w:hAnsi="宋体" w:eastAsia="宋体" w:cs="宋体"/>
          <w:sz w:val="24"/>
          <w:szCs w:val="24"/>
        </w:rPr>
        <w:t>2、资格证明文件正本应为清晰彩色影印件且加盖单位公章，否则</w:t>
      </w:r>
      <w:r>
        <w:rPr>
          <w:rFonts w:hint="eastAsia" w:ascii="宋体" w:hAnsi="宋体" w:eastAsia="宋体" w:cs="宋体"/>
          <w:kern w:val="0"/>
          <w:sz w:val="24"/>
          <w:szCs w:val="24"/>
        </w:rPr>
        <w:t>按照</w:t>
      </w:r>
      <w:r>
        <w:rPr>
          <w:rFonts w:hint="eastAsia" w:ascii="宋体" w:hAnsi="宋体" w:eastAsia="宋体" w:cs="宋体"/>
          <w:b/>
          <w:kern w:val="0"/>
          <w:sz w:val="24"/>
          <w:szCs w:val="24"/>
        </w:rPr>
        <w:t>无效投标处理</w:t>
      </w:r>
      <w:r>
        <w:rPr>
          <w:rFonts w:hint="eastAsia" w:ascii="宋体" w:hAnsi="宋体" w:eastAsia="宋体" w:cs="宋体"/>
          <w:b/>
          <w:sz w:val="24"/>
          <w:szCs w:val="24"/>
        </w:rPr>
        <w:t>。</w:t>
      </w:r>
    </w:p>
    <w:p>
      <w:pPr>
        <w:rPr>
          <w:rFonts w:hint="eastAsia" w:ascii="宋体" w:hAnsi="宋体" w:eastAsia="宋体" w:cs="宋体"/>
        </w:rPr>
        <w:sectPr>
          <w:headerReference r:id="rId9" w:type="default"/>
          <w:footerReference r:id="rId10" w:type="default"/>
          <w:pgSz w:w="11906" w:h="16838"/>
          <w:pgMar w:top="1134" w:right="1417" w:bottom="1134" w:left="1417" w:header="850" w:footer="794" w:gutter="0"/>
          <w:pgBorders>
            <w:top w:val="none" w:sz="0" w:space="0"/>
            <w:left w:val="none" w:sz="0" w:space="0"/>
            <w:bottom w:val="none" w:sz="0" w:space="0"/>
            <w:right w:val="none" w:sz="0" w:space="0"/>
          </w:pgBorders>
          <w:cols w:space="720" w:num="1"/>
          <w:docGrid w:type="lines" w:linePitch="312" w:charSpace="0"/>
        </w:sectPr>
      </w:pPr>
    </w:p>
    <w:p>
      <w:pPr>
        <w:pStyle w:val="4"/>
        <w:spacing w:before="340" w:after="360" w:line="360" w:lineRule="auto"/>
        <w:jc w:val="left"/>
        <w:rPr>
          <w:rFonts w:hint="eastAsia" w:ascii="宋体" w:hAnsi="宋体" w:eastAsia="宋体" w:cs="宋体"/>
          <w:bCs w:val="0"/>
          <w:color w:val="auto"/>
          <w:sz w:val="36"/>
          <w:szCs w:val="36"/>
          <w:highlight w:val="none"/>
        </w:rPr>
      </w:pPr>
      <w:bookmarkStart w:id="114" w:name="_Toc19956"/>
      <w:bookmarkStart w:id="115" w:name="_Toc24442"/>
      <w:r>
        <w:rPr>
          <w:rFonts w:hint="eastAsia" w:ascii="宋体" w:hAnsi="宋体" w:eastAsia="宋体" w:cs="宋体"/>
          <w:bCs w:val="0"/>
          <w:color w:val="auto"/>
          <w:sz w:val="36"/>
          <w:szCs w:val="36"/>
          <w:highlight w:val="none"/>
        </w:rPr>
        <w:t>附：无重大违法记录声明函格式</w:t>
      </w:r>
      <w:bookmarkEnd w:id="114"/>
      <w:bookmarkEnd w:id="115"/>
    </w:p>
    <w:p>
      <w:pPr>
        <w:jc w:val="center"/>
        <w:rPr>
          <w:rFonts w:ascii="宋体" w:hAnsi="宋体"/>
          <w:b/>
          <w:color w:val="auto"/>
          <w:sz w:val="30"/>
          <w:szCs w:val="30"/>
          <w:highlight w:val="none"/>
        </w:rPr>
      </w:pPr>
      <w:r>
        <w:rPr>
          <w:rFonts w:hint="eastAsia" w:ascii="宋体" w:hAnsi="宋体"/>
          <w:b/>
          <w:color w:val="auto"/>
          <w:sz w:val="28"/>
          <w:szCs w:val="30"/>
          <w:highlight w:val="none"/>
        </w:rPr>
        <w:t>参加政府采购活动前三年内在经营活动中没有重大违法记录的书面声明函</w:t>
      </w:r>
    </w:p>
    <w:p>
      <w:pPr>
        <w:spacing w:line="360" w:lineRule="auto"/>
        <w:rPr>
          <w:rFonts w:ascii="宋体" w:hAnsi="宋体" w:cs="Times New Roman"/>
          <w:b/>
          <w:color w:val="auto"/>
          <w:sz w:val="28"/>
          <w:szCs w:val="28"/>
          <w:highlight w:val="none"/>
        </w:rPr>
      </w:pP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rPr>
        <w:t>XXXXXX：</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u w:val="single"/>
        </w:rPr>
        <w:t xml:space="preserve">   (投标人全称)  </w:t>
      </w:r>
      <w:r>
        <w:rPr>
          <w:rFonts w:hint="eastAsia" w:ascii="宋体" w:hAnsi="宋体"/>
          <w:bCs/>
          <w:color w:val="auto"/>
          <w:sz w:val="24"/>
          <w:szCs w:val="24"/>
          <w:highlight w:val="none"/>
        </w:rPr>
        <w:t>参加贵中心组织的</w:t>
      </w:r>
      <w:r>
        <w:rPr>
          <w:rFonts w:hint="eastAsia" w:ascii="宋体" w:hAnsi="宋体"/>
          <w:bCs/>
          <w:color w:val="auto"/>
          <w:sz w:val="24"/>
          <w:szCs w:val="24"/>
          <w:highlight w:val="none"/>
          <w:u w:val="single"/>
        </w:rPr>
        <w:t xml:space="preserve"> </w:t>
      </w:r>
      <w:r>
        <w:rPr>
          <w:rFonts w:hint="eastAsia" w:ascii="宋体" w:hAnsi="宋体" w:cs="Times New Roman"/>
          <w:color w:val="auto"/>
          <w:sz w:val="24"/>
          <w:szCs w:val="24"/>
          <w:highlight w:val="none"/>
          <w:u w:val="single"/>
        </w:rPr>
        <w:t>（项目名称）</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项目(项目编号：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)的政府采购活动，根据招标文件的规定提交相关资格证明文件。本单位郑重声明如下：</w:t>
      </w:r>
    </w:p>
    <w:p>
      <w:pPr>
        <w:pStyle w:val="20"/>
        <w:numPr>
          <w:ilvl w:val="1"/>
          <w:numId w:val="35"/>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20"/>
        <w:numPr>
          <w:ilvl w:val="1"/>
          <w:numId w:val="35"/>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参加本项目政府采购活动前三年内，本单位未受到过全国</w:t>
      </w:r>
      <w:r>
        <w:rPr>
          <w:rFonts w:ascii="宋体" w:hAnsi="宋体"/>
          <w:bCs/>
          <w:color w:val="auto"/>
          <w:sz w:val="24"/>
          <w:szCs w:val="24"/>
          <w:highlight w:val="none"/>
        </w:rPr>
        <w:t>各级人民政府财政部门依法</w:t>
      </w:r>
      <w:r>
        <w:rPr>
          <w:rFonts w:hint="eastAsia" w:ascii="宋体" w:hAnsi="宋体"/>
          <w:bCs/>
          <w:color w:val="auto"/>
          <w:sz w:val="24"/>
          <w:szCs w:val="24"/>
          <w:highlight w:val="none"/>
        </w:rPr>
        <w:t>作</w:t>
      </w:r>
      <w:r>
        <w:rPr>
          <w:rFonts w:ascii="宋体" w:hAnsi="宋体"/>
          <w:bCs/>
          <w:color w:val="auto"/>
          <w:sz w:val="24"/>
          <w:szCs w:val="24"/>
          <w:highlight w:val="none"/>
        </w:rPr>
        <w:t>出的禁止参加政府采购活动等行政处罚决定</w:t>
      </w:r>
      <w:r>
        <w:rPr>
          <w:rFonts w:hint="eastAsia" w:ascii="宋体" w:hAnsi="宋体"/>
          <w:bCs/>
          <w:color w:val="auto"/>
          <w:sz w:val="24"/>
          <w:szCs w:val="24"/>
          <w:highlight w:val="none"/>
        </w:rPr>
        <w:t>；</w:t>
      </w:r>
    </w:p>
    <w:p>
      <w:pPr>
        <w:pStyle w:val="20"/>
        <w:numPr>
          <w:ilvl w:val="1"/>
          <w:numId w:val="35"/>
        </w:numPr>
        <w:tabs>
          <w:tab w:val="left" w:pos="854"/>
        </w:tabs>
        <w:spacing w:line="360" w:lineRule="auto"/>
        <w:ind w:left="11" w:firstLine="480"/>
        <w:rPr>
          <w:rFonts w:ascii="宋体" w:hAnsi="宋体"/>
          <w:bCs/>
          <w:color w:val="auto"/>
          <w:sz w:val="24"/>
          <w:szCs w:val="24"/>
          <w:highlight w:val="none"/>
        </w:rPr>
      </w:pPr>
      <w:r>
        <w:rPr>
          <w:rFonts w:hint="eastAsia" w:ascii="宋体" w:hAnsi="宋体"/>
          <w:bCs/>
          <w:color w:val="auto"/>
          <w:sz w:val="24"/>
          <w:szCs w:val="24"/>
          <w:highlight w:val="none"/>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auto"/>
          <w:sz w:val="24"/>
          <w:szCs w:val="24"/>
          <w:highlight w:val="none"/>
        </w:rPr>
      </w:pPr>
    </w:p>
    <w:p>
      <w:pPr>
        <w:tabs>
          <w:tab w:val="left" w:pos="854"/>
        </w:tabs>
        <w:spacing w:line="360" w:lineRule="auto"/>
        <w:rPr>
          <w:rFonts w:ascii="宋体" w:hAnsi="宋体"/>
          <w:bCs/>
          <w:color w:val="auto"/>
          <w:sz w:val="24"/>
          <w:szCs w:val="24"/>
          <w:highlight w:val="none"/>
        </w:rPr>
      </w:pP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 (公章)：</w:t>
      </w:r>
      <w:r>
        <w:rPr>
          <w:rFonts w:hint="eastAsia" w:ascii="宋体" w:hAnsi="宋体" w:cs="Times New Roman"/>
          <w:bCs/>
          <w:color w:val="auto"/>
          <w:sz w:val="24"/>
          <w:szCs w:val="21"/>
          <w:highlight w:val="none"/>
          <w:u w:val="single"/>
        </w:rPr>
        <w:t xml:space="preserve">                  </w:t>
      </w:r>
      <w:r>
        <w:rPr>
          <w:rFonts w:hint="eastAsia" w:ascii="宋体" w:hAnsi="宋体" w:cs="Times New Roman"/>
          <w:bCs/>
          <w:color w:val="auto"/>
          <w:sz w:val="24"/>
          <w:szCs w:val="21"/>
          <w:highlight w:val="none"/>
          <w:u w:val="single"/>
          <w:lang w:val="en-US" w:eastAsia="zh-CN"/>
        </w:rPr>
        <w:t xml:space="preserve">     </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ind w:left="0" w:leftChars="0" w:firstLine="3360" w:firstLineChars="1400"/>
        <w:jc w:val="both"/>
        <w:rPr>
          <w:rFonts w:hint="eastAsia" w:ascii="宋体" w:hAnsi="宋体" w:eastAsia="宋体" w:cs="宋体"/>
        </w:rPr>
      </w:pPr>
      <w:r>
        <w:rPr>
          <w:rFonts w:hint="eastAsia" w:hAnsi="宋体" w:cs="Times New Roman"/>
          <w:color w:val="auto"/>
          <w:sz w:val="24"/>
          <w:szCs w:val="24"/>
          <w:highlight w:val="none"/>
        </w:rPr>
        <w:t>日   期：</w:t>
      </w:r>
      <w:r>
        <w:rPr>
          <w:rFonts w:hint="eastAsia" w:ascii="宋体" w:hAnsi="宋体" w:cs="Times New Roman"/>
          <w:bCs/>
          <w:color w:val="auto"/>
          <w:sz w:val="24"/>
          <w:szCs w:val="21"/>
          <w:highlight w:val="none"/>
          <w:u w:val="single"/>
        </w:rPr>
        <w:t xml:space="preserve">    </w:t>
      </w:r>
      <w:r>
        <w:rPr>
          <w:rFonts w:hint="eastAsia" w:ascii="宋体" w:hAnsi="宋体" w:cs="Times New Roman"/>
          <w:bCs/>
          <w:color w:val="auto"/>
          <w:sz w:val="24"/>
          <w:szCs w:val="21"/>
          <w:highlight w:val="none"/>
          <w:u w:val="single"/>
          <w:lang w:val="en-US" w:eastAsia="zh-CN"/>
        </w:rPr>
        <w:t xml:space="preserve">                          </w:t>
      </w:r>
      <w:r>
        <w:rPr>
          <w:rFonts w:hint="eastAsia" w:ascii="宋体" w:hAnsi="宋体" w:cs="Times New Roman"/>
          <w:bCs/>
          <w:color w:val="auto"/>
          <w:sz w:val="24"/>
          <w:szCs w:val="21"/>
          <w:highlight w:val="none"/>
          <w:u w:val="single"/>
        </w:rPr>
        <w:t xml:space="preserve"> </w:t>
      </w:r>
      <w:r>
        <w:rPr>
          <w:rFonts w:hint="eastAsia" w:ascii="宋体" w:hAnsi="宋体" w:eastAsia="宋体" w:cs="宋体"/>
        </w:rPr>
        <w:br w:type="page"/>
      </w:r>
    </w:p>
    <w:p>
      <w:pPr>
        <w:spacing w:line="1100" w:lineRule="exact"/>
        <w:jc w:val="center"/>
        <w:rPr>
          <w:rFonts w:hint="eastAsia" w:ascii="宋体" w:hAnsi="宋体" w:eastAsia="宋体" w:cs="宋体"/>
          <w:b/>
          <w:sz w:val="72"/>
          <w:szCs w:val="72"/>
          <w14:shadow w14:blurRad="50800" w14:dist="38100" w14:dir="2700000" w14:sx="100000" w14:sy="100000" w14:kx="0" w14:ky="0" w14:algn="tl">
            <w14:srgbClr w14:val="000000">
              <w14:alpha w14:val="60000"/>
            </w14:srgbClr>
          </w14:shadow>
        </w:rPr>
      </w:pPr>
    </w:p>
    <w:p>
      <w:pPr>
        <w:spacing w:before="312" w:beforeLines="100" w:after="780" w:afterLines="250"/>
        <w:jc w:val="center"/>
        <w:rPr>
          <w:rFonts w:hint="eastAsia" w:ascii="宋体" w:hAnsi="宋体" w:eastAsia="宋体" w:cs="宋体"/>
          <w:b/>
          <w:sz w:val="96"/>
          <w:szCs w:val="96"/>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sz w:val="96"/>
          <w:szCs w:val="96"/>
          <w:lang w:eastAsia="zh-CN"/>
          <w14:shadow w14:blurRad="50800" w14:dist="38100" w14:dir="2700000" w14:sx="100000" w14:sy="100000" w14:kx="0" w14:ky="0" w14:algn="tl">
            <w14:srgbClr w14:val="000000">
              <w14:alpha w14:val="60000"/>
            </w14:srgbClr>
          </w14:shadow>
        </w:rPr>
        <w:t>阳新县县级政府采购</w:t>
      </w:r>
    </w:p>
    <w:p>
      <w:pPr>
        <w:spacing w:after="624" w:afterLines="200"/>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pStyle w:val="4"/>
        <w:spacing w:before="340" w:after="480" w:line="360" w:lineRule="auto"/>
        <w:jc w:val="center"/>
        <w:rPr>
          <w:rFonts w:hint="eastAsia" w:ascii="宋体" w:hAnsi="宋体" w:eastAsia="宋体" w:cs="宋体"/>
          <w:bCs w:val="0"/>
          <w:sz w:val="44"/>
          <w:szCs w:val="44"/>
          <w:lang w:val="zh-CN" w:eastAsia="zh-CN"/>
        </w:rPr>
      </w:pPr>
      <w:bookmarkStart w:id="116" w:name="_Toc494721097"/>
      <w:bookmarkStart w:id="117" w:name="_Toc494664997"/>
      <w:bookmarkStart w:id="118" w:name="_Toc494745314"/>
      <w:bookmarkStart w:id="119" w:name="_Toc5178"/>
      <w:bookmarkStart w:id="120" w:name="_Toc494665947"/>
      <w:bookmarkStart w:id="121" w:name="_Toc494665550"/>
      <w:bookmarkStart w:id="122" w:name="_Toc494702267"/>
      <w:r>
        <w:rPr>
          <w:rFonts w:hint="eastAsia" w:ascii="宋体" w:hAnsi="宋体" w:eastAsia="宋体" w:cs="宋体"/>
          <w:bCs w:val="0"/>
          <w:sz w:val="44"/>
          <w:szCs w:val="44"/>
          <w:lang w:val="zh-CN" w:eastAsia="zh-CN"/>
        </w:rPr>
        <w:t>第二部分 商务文件</w:t>
      </w:r>
      <w:bookmarkEnd w:id="116"/>
      <w:bookmarkEnd w:id="117"/>
      <w:bookmarkEnd w:id="118"/>
      <w:bookmarkEnd w:id="119"/>
      <w:bookmarkEnd w:id="120"/>
      <w:bookmarkEnd w:id="121"/>
      <w:bookmarkEnd w:id="122"/>
    </w:p>
    <w:p>
      <w:pPr>
        <w:spacing w:line="360" w:lineRule="auto"/>
        <w:ind w:left="2055" w:leftChars="619" w:right="1300" w:rightChars="619" w:hanging="755" w:hangingChars="209"/>
        <w:rPr>
          <w:rFonts w:hint="eastAsia" w:ascii="宋体" w:hAnsi="宋体" w:eastAsia="宋体" w:cs="宋体"/>
          <w:bCs/>
          <w:sz w:val="36"/>
          <w:szCs w:val="24"/>
        </w:rPr>
      </w:pPr>
      <w:r>
        <w:rPr>
          <w:rFonts w:hint="eastAsia" w:ascii="宋体" w:hAnsi="宋体" w:eastAsia="宋体" w:cs="宋体"/>
          <w:b/>
          <w:bCs/>
          <w:sz w:val="36"/>
          <w:szCs w:val="24"/>
        </w:rPr>
        <w:t>项目编号：</w:t>
      </w:r>
      <w:r>
        <w:rPr>
          <w:rFonts w:hint="eastAsia" w:ascii="宋体" w:hAnsi="宋体" w:eastAsia="宋体" w:cs="宋体"/>
          <w:sz w:val="36"/>
          <w:szCs w:val="36"/>
          <w:u w:val="single"/>
        </w:rPr>
        <w:t xml:space="preserve">                            </w:t>
      </w:r>
    </w:p>
    <w:p>
      <w:pPr>
        <w:spacing w:line="360" w:lineRule="auto"/>
        <w:ind w:left="2055" w:leftChars="619" w:right="1300" w:rightChars="619" w:hanging="755" w:hangingChars="209"/>
        <w:rPr>
          <w:rFonts w:hint="eastAsia" w:ascii="宋体" w:hAnsi="宋体" w:eastAsia="宋体" w:cs="宋体"/>
          <w:bCs/>
          <w:sz w:val="36"/>
          <w:szCs w:val="24"/>
          <w:lang w:val="zh-CN"/>
        </w:rPr>
      </w:pPr>
      <w:r>
        <w:rPr>
          <w:rFonts w:hint="eastAsia" w:ascii="宋体" w:hAnsi="宋体" w:eastAsia="宋体" w:cs="宋体"/>
          <w:b/>
          <w:bCs/>
          <w:sz w:val="36"/>
          <w:szCs w:val="24"/>
        </w:rPr>
        <w:t>项目名称：</w:t>
      </w:r>
      <w:r>
        <w:rPr>
          <w:rFonts w:hint="eastAsia" w:ascii="宋体" w:hAnsi="宋体" w:eastAsia="宋体" w:cs="宋体"/>
          <w:sz w:val="36"/>
          <w:szCs w:val="36"/>
          <w:u w:val="single"/>
        </w:rPr>
        <w:t xml:space="preserve">                            </w:t>
      </w:r>
    </w:p>
    <w:p>
      <w:pPr>
        <w:spacing w:line="360" w:lineRule="auto"/>
        <w:ind w:left="2055" w:leftChars="619" w:right="1300" w:rightChars="619" w:hanging="755" w:hangingChars="209"/>
        <w:rPr>
          <w:rFonts w:hint="eastAsia" w:ascii="宋体" w:hAnsi="宋体" w:eastAsia="宋体" w:cs="宋体"/>
          <w:sz w:val="36"/>
          <w:szCs w:val="36"/>
        </w:rPr>
      </w:pPr>
      <w:r>
        <w:rPr>
          <w:rFonts w:hint="eastAsia" w:ascii="宋体" w:hAnsi="宋体" w:eastAsia="宋体" w:cs="宋体"/>
          <w:b/>
          <w:bCs/>
          <w:sz w:val="36"/>
          <w:szCs w:val="24"/>
        </w:rPr>
        <w:t>招标内容：</w:t>
      </w:r>
      <w:r>
        <w:rPr>
          <w:rFonts w:hint="eastAsia" w:ascii="宋体" w:hAnsi="宋体" w:eastAsia="宋体" w:cs="宋体"/>
          <w:sz w:val="36"/>
          <w:szCs w:val="36"/>
          <w:u w:val="single"/>
        </w:rPr>
        <w:t xml:space="preserve">                            </w:t>
      </w:r>
    </w:p>
    <w:p>
      <w:pPr>
        <w:spacing w:after="1560" w:afterLines="500" w:line="360" w:lineRule="auto"/>
        <w:ind w:left="2347" w:leftChars="271" w:right="569" w:rightChars="271" w:hanging="1778" w:hangingChars="494"/>
        <w:jc w:val="center"/>
        <w:rPr>
          <w:rFonts w:hint="eastAsia" w:ascii="宋体" w:hAnsi="宋体" w:eastAsia="宋体" w:cs="宋体"/>
          <w:sz w:val="36"/>
          <w:szCs w:val="36"/>
        </w:rPr>
      </w:pPr>
    </w:p>
    <w:p>
      <w:pPr>
        <w:spacing w:line="360" w:lineRule="auto"/>
        <w:ind w:left="1974" w:leftChars="613" w:right="1287" w:rightChars="613" w:hanging="687" w:hangingChars="214"/>
        <w:rPr>
          <w:rFonts w:hint="eastAsia" w:ascii="宋体" w:hAnsi="宋体" w:eastAsia="宋体" w:cs="宋体"/>
          <w:b/>
          <w:bCs/>
          <w:sz w:val="32"/>
          <w:szCs w:val="32"/>
        </w:rPr>
      </w:pPr>
      <w:r>
        <w:rPr>
          <w:rFonts w:hint="eastAsia" w:ascii="宋体" w:hAnsi="宋体" w:eastAsia="宋体" w:cs="宋体"/>
          <w:b/>
          <w:bCs/>
          <w:sz w:val="32"/>
          <w:szCs w:val="32"/>
        </w:rPr>
        <w:t>投标人（盖章）：</w:t>
      </w:r>
      <w:r>
        <w:rPr>
          <w:rFonts w:hint="eastAsia" w:ascii="宋体" w:hAnsi="宋体" w:eastAsia="宋体" w:cs="宋体"/>
          <w:b/>
          <w:bCs/>
          <w:sz w:val="32"/>
          <w:szCs w:val="32"/>
          <w:u w:val="single"/>
        </w:rPr>
        <w:t xml:space="preserve">                            </w:t>
      </w:r>
    </w:p>
    <w:p>
      <w:pPr>
        <w:spacing w:line="360" w:lineRule="auto"/>
        <w:ind w:left="1974" w:leftChars="613" w:right="1287" w:rightChars="613" w:hanging="687" w:hangingChars="214"/>
        <w:rPr>
          <w:rFonts w:hint="eastAsia" w:ascii="宋体" w:hAnsi="宋体" w:eastAsia="宋体" w:cs="宋体"/>
          <w:b/>
          <w:bCs/>
          <w:sz w:val="32"/>
          <w:szCs w:val="32"/>
        </w:rPr>
      </w:pPr>
      <w:r>
        <w:rPr>
          <w:rFonts w:hint="eastAsia" w:ascii="宋体" w:hAnsi="宋体" w:eastAsia="宋体" w:cs="宋体"/>
          <w:b/>
          <w:bCs/>
          <w:sz w:val="32"/>
          <w:szCs w:val="32"/>
        </w:rPr>
        <w:t>投标人授权代表（签字）：</w:t>
      </w:r>
      <w:r>
        <w:rPr>
          <w:rFonts w:hint="eastAsia" w:ascii="宋体" w:hAnsi="宋体" w:eastAsia="宋体" w:cs="宋体"/>
          <w:b/>
          <w:bCs/>
          <w:sz w:val="32"/>
          <w:szCs w:val="32"/>
          <w:u w:val="single"/>
        </w:rPr>
        <w:t xml:space="preserve">                    </w:t>
      </w:r>
    </w:p>
    <w:p>
      <w:pPr>
        <w:spacing w:before="312" w:beforeLines="100" w:after="312" w:afterLines="100" w:line="360" w:lineRule="auto"/>
        <w:ind w:left="2262" w:leftChars="466" w:right="466" w:hanging="1283" w:hangingChars="355"/>
        <w:jc w:val="center"/>
        <w:rPr>
          <w:rFonts w:hint="eastAsia" w:ascii="宋体" w:hAnsi="宋体" w:eastAsia="宋体" w:cs="宋体"/>
          <w:b/>
          <w:sz w:val="36"/>
          <w:szCs w:val="36"/>
        </w:rPr>
      </w:pPr>
      <w:r>
        <w:rPr>
          <w:rFonts w:hint="eastAsia" w:ascii="宋体" w:hAnsi="宋体" w:eastAsia="宋体" w:cs="宋体"/>
          <w:b/>
          <w:bCs/>
          <w:sz w:val="36"/>
          <w:szCs w:val="36"/>
        </w:rPr>
        <w:t>二0</w:t>
      </w:r>
      <w:r>
        <w:rPr>
          <w:rFonts w:hint="eastAsia" w:ascii="宋体" w:hAnsi="宋体" w:eastAsia="宋体" w:cs="宋体"/>
          <w:b/>
          <w:bCs/>
          <w:sz w:val="36"/>
          <w:szCs w:val="36"/>
          <w:lang w:eastAsia="zh-CN"/>
        </w:rPr>
        <w:t>二</w:t>
      </w:r>
      <w:r>
        <w:rPr>
          <w:rFonts w:hint="eastAsia" w:ascii="宋体" w:hAnsi="宋体" w:eastAsia="宋体" w:cs="宋体"/>
          <w:b/>
          <w:sz w:val="36"/>
          <w:szCs w:val="36"/>
        </w:rPr>
        <w:t xml:space="preserve">  年 月</w:t>
      </w:r>
    </w:p>
    <w:p>
      <w:pPr>
        <w:rPr>
          <w:rFonts w:hint="eastAsia" w:ascii="宋体" w:hAnsi="宋体" w:eastAsia="宋体" w:cs="宋体"/>
        </w:rPr>
      </w:pPr>
      <w:r>
        <w:rPr>
          <w:rFonts w:hint="eastAsia" w:ascii="宋体" w:hAnsi="宋体" w:eastAsia="宋体" w:cs="宋体"/>
        </w:rPr>
        <w:br w:type="page"/>
      </w:r>
    </w:p>
    <w:p>
      <w:pPr>
        <w:spacing w:before="312" w:beforeLines="100" w:line="360" w:lineRule="auto"/>
        <w:jc w:val="left"/>
        <w:rPr>
          <w:rFonts w:hint="eastAsia" w:ascii="宋体" w:hAnsi="宋体" w:eastAsia="宋体" w:cs="宋体"/>
          <w:b/>
          <w:bCs/>
          <w:sz w:val="30"/>
          <w:szCs w:val="30"/>
          <w:lang w:val="zh-CN"/>
        </w:rPr>
      </w:pPr>
      <w:r>
        <w:rPr>
          <w:rFonts w:hint="eastAsia" w:ascii="宋体" w:hAnsi="宋体" w:eastAsia="宋体" w:cs="宋体"/>
          <w:b/>
          <w:bCs/>
          <w:sz w:val="30"/>
          <w:szCs w:val="30"/>
          <w:lang w:val="zh-CN" w:eastAsia="zh-CN"/>
        </w:rPr>
        <w:t>格式（参考）说明：</w:t>
      </w:r>
    </w:p>
    <w:p>
      <w:pPr>
        <w:spacing w:before="120" w:after="120" w:line="578" w:lineRule="auto"/>
        <w:jc w:val="center"/>
        <w:rPr>
          <w:rFonts w:hint="eastAsia" w:ascii="宋体" w:hAnsi="宋体" w:eastAsia="宋体" w:cs="宋体"/>
          <w:b/>
          <w:sz w:val="36"/>
          <w:szCs w:val="36"/>
        </w:rPr>
      </w:pPr>
      <w:bookmarkStart w:id="123" w:name="_Toc494664998"/>
      <w:bookmarkStart w:id="124" w:name="_Toc494665948"/>
      <w:bookmarkStart w:id="125" w:name="_Toc494721098"/>
      <w:bookmarkStart w:id="126" w:name="_Toc494702268"/>
      <w:bookmarkStart w:id="127" w:name="_Toc494665551"/>
      <w:bookmarkStart w:id="128" w:name="_Toc494745315"/>
      <w:r>
        <w:rPr>
          <w:rFonts w:hint="eastAsia" w:ascii="宋体" w:hAnsi="宋体" w:eastAsia="宋体" w:cs="宋体"/>
          <w:b/>
          <w:sz w:val="36"/>
          <w:szCs w:val="36"/>
        </w:rPr>
        <w:t>商务文件组成</w:t>
      </w:r>
      <w:bookmarkEnd w:id="123"/>
      <w:bookmarkEnd w:id="124"/>
      <w:bookmarkEnd w:id="125"/>
      <w:bookmarkEnd w:id="126"/>
      <w:bookmarkEnd w:id="127"/>
      <w:bookmarkEnd w:id="128"/>
    </w:p>
    <w:p>
      <w:pPr>
        <w:autoSpaceDE w:val="0"/>
        <w:autoSpaceDN w:val="0"/>
        <w:adjustRightInd w:val="0"/>
        <w:spacing w:before="156" w:beforeLines="50" w:after="156"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商务文件目录（目录应涵盖下述所有资料，页码清晰以便查阅）；</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投标书（附件一）；</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制造商中小企业声明函（适用于货物类项目）（附件二）；</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中小企业声明函（适用于工程类、服务类项目）（附件三）；</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中小企业划型标准（附件四）；</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残疾人福利性单位声明函（适用于货物类项目）（附件五）；</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残疾人福利性单位声明函（适用于工程类、服务类项目）（附件六）；</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享受政府采购支持政策的残疾人福利单位的标准（附件七）；</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开标一览表（附件八）；</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投标报价明细表（附件九）；</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小型和微型企业、监狱企业、残疾人福利性单位货物汇总表（附件十）；</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投标货物（工程或服务）清单（附件十一）；</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交纳投标保证金的银行凭证（附件十二，本项目不适用）；</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法定代表人授权书（附件十三）；</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关于不存在招标文件第二章“十、 其他注意事项”中规定禁止情形的书面声明；</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投标人的资格声明（附件十四）；</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项目负责人、技术负责人简历表（附件十五）；</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项目班子成员情况表（附件十六）；</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投标人类似项目业绩表（附件十七）；</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招标文件要求提供或投标人认为需提供的其它资料；</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符合性审查对照表（附件十八）；</w:t>
      </w:r>
    </w:p>
    <w:p>
      <w:pPr>
        <w:numPr>
          <w:ilvl w:val="0"/>
          <w:numId w:val="36"/>
        </w:numPr>
        <w:tabs>
          <w:tab w:val="left" w:pos="966"/>
        </w:tabs>
        <w:autoSpaceDE w:val="0"/>
        <w:autoSpaceDN w:val="0"/>
        <w:adjustRightInd w:val="0"/>
        <w:spacing w:line="360" w:lineRule="auto"/>
        <w:ind w:left="420" w:leftChars="200" w:firstLine="0" w:firstLineChars="0"/>
        <w:rPr>
          <w:rFonts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商务要求响应、偏离说明表（附件十九）；</w:t>
      </w:r>
    </w:p>
    <w:p>
      <w:pPr>
        <w:numPr>
          <w:ilvl w:val="0"/>
          <w:numId w:val="36"/>
        </w:numPr>
        <w:tabs>
          <w:tab w:val="left" w:pos="966"/>
        </w:tabs>
        <w:autoSpaceDE w:val="0"/>
        <w:autoSpaceDN w:val="0"/>
        <w:adjustRightInd w:val="0"/>
        <w:spacing w:line="360" w:lineRule="auto"/>
        <w:ind w:left="420" w:leftChars="200" w:firstLine="0" w:firstLineChars="0"/>
        <w:rPr>
          <w:rFonts w:hint="eastAsia" w:ascii="宋体" w:hAnsi="宋体" w:cs="Times New Roman"/>
          <w:b w:val="0"/>
          <w:bCs w:val="0"/>
          <w:color w:val="auto"/>
          <w:kern w:val="0"/>
          <w:sz w:val="24"/>
          <w:szCs w:val="32"/>
          <w:highlight w:val="none"/>
        </w:rPr>
      </w:pPr>
      <w:r>
        <w:rPr>
          <w:rFonts w:hint="eastAsia" w:ascii="宋体" w:hAnsi="宋体" w:cs="Times New Roman"/>
          <w:b w:val="0"/>
          <w:bCs w:val="0"/>
          <w:color w:val="auto"/>
          <w:kern w:val="0"/>
          <w:sz w:val="24"/>
          <w:szCs w:val="32"/>
          <w:highlight w:val="none"/>
        </w:rPr>
        <w:t>商务要求“</w:t>
      </w:r>
      <w:r>
        <w:rPr>
          <w:rFonts w:hint="eastAsia" w:ascii="宋体" w:hAnsi="宋体" w:cs="Times New Roman"/>
          <w:b w:val="0"/>
          <w:bCs w:val="0"/>
          <w:color w:val="auto"/>
          <w:kern w:val="0"/>
          <w:sz w:val="24"/>
          <w:szCs w:val="32"/>
          <w:highlight w:val="none"/>
          <w:lang w:val="en-US" w:eastAsia="zh-CN"/>
        </w:rPr>
        <w:t>★</w:t>
      </w:r>
      <w:r>
        <w:rPr>
          <w:rFonts w:hint="eastAsia" w:ascii="宋体" w:hAnsi="宋体" w:cs="Times New Roman"/>
          <w:b w:val="0"/>
          <w:bCs w:val="0"/>
          <w:color w:val="auto"/>
          <w:kern w:val="0"/>
          <w:sz w:val="24"/>
          <w:szCs w:val="32"/>
          <w:highlight w:val="none"/>
        </w:rPr>
        <w:t>”号条款响应、偏离说明表（附件二十）</w:t>
      </w:r>
    </w:p>
    <w:p>
      <w:pPr>
        <w:numPr>
          <w:ilvl w:val="0"/>
          <w:numId w:val="36"/>
        </w:numPr>
        <w:tabs>
          <w:tab w:val="left" w:pos="420"/>
        </w:tabs>
        <w:bidi w:val="0"/>
        <w:ind w:left="420" w:leftChars="200" w:firstLine="0" w:firstLineChars="0"/>
        <w:rPr>
          <w:rFonts w:hint="eastAsia" w:ascii="宋体" w:hAnsi="宋体" w:eastAsia="宋体" w:cs="宋体"/>
          <w:b/>
          <w:szCs w:val="72"/>
          <w14:shadow w14:blurRad="50800" w14:dist="38100" w14:dir="2700000" w14:sx="100000" w14:sy="100000" w14:kx="0" w14:ky="0" w14:algn="tl">
            <w14:srgbClr w14:val="000000">
              <w14:alpha w14:val="60000"/>
            </w14:srgbClr>
          </w14:shadow>
        </w:rPr>
      </w:pPr>
      <w:r>
        <w:rPr>
          <w:rFonts w:hint="eastAsia" w:ascii="宋体" w:hAnsi="宋体" w:cs="Times New Roman"/>
          <w:b w:val="0"/>
          <w:bCs w:val="0"/>
          <w:color w:val="auto"/>
          <w:kern w:val="0"/>
          <w:sz w:val="24"/>
          <w:szCs w:val="32"/>
          <w:highlight w:val="none"/>
        </w:rPr>
        <w:t>商务评议对照表（附件二十一）。</w:t>
      </w:r>
      <w:r>
        <w:rPr>
          <w:rFonts w:hint="eastAsia" w:ascii="宋体" w:hAnsi="宋体" w:cs="Times New Roman"/>
          <w:color w:val="auto"/>
          <w:kern w:val="0"/>
          <w:szCs w:val="32"/>
          <w:highlight w:val="none"/>
        </w:rPr>
        <w:br w:type="page"/>
      </w:r>
    </w:p>
    <w:p>
      <w:pPr>
        <w:spacing w:before="312" w:beforeLines="100" w:after="780" w:afterLines="250"/>
        <w:jc w:val="center"/>
        <w:rPr>
          <w:rFonts w:hint="eastAsia" w:ascii="宋体" w:hAnsi="宋体" w:eastAsia="宋体" w:cs="宋体"/>
          <w:b/>
          <w:sz w:val="96"/>
          <w:szCs w:val="96"/>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sz w:val="96"/>
          <w:szCs w:val="96"/>
          <w:lang w:eastAsia="zh-CN"/>
          <w14:shadow w14:blurRad="50800" w14:dist="38100" w14:dir="2700000" w14:sx="100000" w14:sy="100000" w14:kx="0" w14:ky="0" w14:algn="tl">
            <w14:srgbClr w14:val="000000">
              <w14:alpha w14:val="60000"/>
            </w14:srgbClr>
          </w14:shadow>
        </w:rPr>
        <w:t>阳新县县级政府采购</w:t>
      </w:r>
    </w:p>
    <w:p>
      <w:pPr>
        <w:spacing w:after="624" w:afterLines="200"/>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pStyle w:val="4"/>
        <w:spacing w:before="340" w:after="480" w:line="360" w:lineRule="auto"/>
        <w:jc w:val="center"/>
        <w:rPr>
          <w:rFonts w:hint="eastAsia" w:ascii="宋体" w:hAnsi="宋体" w:eastAsia="宋体" w:cs="宋体"/>
          <w:bCs w:val="0"/>
          <w:sz w:val="44"/>
          <w:szCs w:val="44"/>
          <w:lang w:val="zh-CN" w:eastAsia="zh-CN"/>
        </w:rPr>
      </w:pPr>
      <w:bookmarkStart w:id="129" w:name="_Toc494745316"/>
      <w:bookmarkStart w:id="130" w:name="_Toc494721099"/>
      <w:bookmarkStart w:id="131" w:name="_Toc494665949"/>
      <w:bookmarkStart w:id="132" w:name="_Toc494664999"/>
      <w:bookmarkStart w:id="133" w:name="_Toc10980"/>
      <w:bookmarkStart w:id="134" w:name="_Toc494665552"/>
      <w:bookmarkStart w:id="135" w:name="_Toc494702269"/>
      <w:r>
        <w:rPr>
          <w:rFonts w:hint="eastAsia" w:ascii="宋体" w:hAnsi="宋体" w:eastAsia="宋体" w:cs="宋体"/>
          <w:bCs w:val="0"/>
          <w:sz w:val="44"/>
          <w:szCs w:val="44"/>
          <w:lang w:val="zh-CN" w:eastAsia="zh-CN"/>
        </w:rPr>
        <w:t xml:space="preserve">第三部分 </w:t>
      </w:r>
      <w:r>
        <w:rPr>
          <w:rFonts w:hint="eastAsia" w:ascii="宋体" w:hAnsi="宋体" w:eastAsia="宋体" w:cs="宋体"/>
          <w:bCs w:val="0"/>
          <w:sz w:val="44"/>
          <w:szCs w:val="44"/>
          <w:lang w:val="zh-CN"/>
        </w:rPr>
        <w:t>技术、服务</w:t>
      </w:r>
      <w:r>
        <w:rPr>
          <w:rFonts w:hint="eastAsia" w:ascii="宋体" w:hAnsi="宋体" w:eastAsia="宋体" w:cs="宋体"/>
          <w:bCs w:val="0"/>
          <w:sz w:val="44"/>
          <w:szCs w:val="44"/>
          <w:lang w:val="zh-CN" w:eastAsia="zh-CN"/>
        </w:rPr>
        <w:t>文件</w:t>
      </w:r>
      <w:bookmarkEnd w:id="129"/>
      <w:bookmarkEnd w:id="130"/>
      <w:bookmarkEnd w:id="131"/>
      <w:bookmarkEnd w:id="132"/>
      <w:bookmarkEnd w:id="133"/>
      <w:bookmarkEnd w:id="134"/>
      <w:bookmarkEnd w:id="135"/>
    </w:p>
    <w:p>
      <w:pPr>
        <w:spacing w:line="360" w:lineRule="auto"/>
        <w:ind w:left="2055" w:leftChars="619" w:right="1300" w:rightChars="619" w:hanging="755" w:hangingChars="209"/>
        <w:rPr>
          <w:rFonts w:hint="eastAsia" w:ascii="宋体" w:hAnsi="宋体" w:eastAsia="宋体" w:cs="宋体"/>
          <w:bCs/>
          <w:sz w:val="36"/>
          <w:szCs w:val="24"/>
        </w:rPr>
      </w:pPr>
      <w:r>
        <w:rPr>
          <w:rFonts w:hint="eastAsia" w:ascii="宋体" w:hAnsi="宋体" w:eastAsia="宋体" w:cs="宋体"/>
          <w:b/>
          <w:bCs/>
          <w:sz w:val="36"/>
          <w:szCs w:val="24"/>
        </w:rPr>
        <w:t>项目编号：</w:t>
      </w:r>
      <w:r>
        <w:rPr>
          <w:rFonts w:hint="eastAsia" w:ascii="宋体" w:hAnsi="宋体" w:eastAsia="宋体" w:cs="宋体"/>
          <w:sz w:val="36"/>
          <w:szCs w:val="36"/>
          <w:u w:val="single"/>
        </w:rPr>
        <w:t xml:space="preserve">                            </w:t>
      </w:r>
    </w:p>
    <w:p>
      <w:pPr>
        <w:spacing w:line="360" w:lineRule="auto"/>
        <w:ind w:left="2055" w:leftChars="619" w:right="1300" w:rightChars="619" w:hanging="755" w:hangingChars="209"/>
        <w:rPr>
          <w:rFonts w:hint="eastAsia" w:ascii="宋体" w:hAnsi="宋体" w:eastAsia="宋体" w:cs="宋体"/>
          <w:bCs/>
          <w:sz w:val="36"/>
          <w:szCs w:val="24"/>
          <w:lang w:val="zh-CN"/>
        </w:rPr>
      </w:pPr>
      <w:r>
        <w:rPr>
          <w:rFonts w:hint="eastAsia" w:ascii="宋体" w:hAnsi="宋体" w:eastAsia="宋体" w:cs="宋体"/>
          <w:b/>
          <w:bCs/>
          <w:sz w:val="36"/>
          <w:szCs w:val="24"/>
        </w:rPr>
        <w:t>项目名称：</w:t>
      </w:r>
      <w:r>
        <w:rPr>
          <w:rFonts w:hint="eastAsia" w:ascii="宋体" w:hAnsi="宋体" w:eastAsia="宋体" w:cs="宋体"/>
          <w:sz w:val="36"/>
          <w:szCs w:val="36"/>
          <w:u w:val="single"/>
        </w:rPr>
        <w:t xml:space="preserve">                            </w:t>
      </w:r>
    </w:p>
    <w:p>
      <w:pPr>
        <w:spacing w:line="360" w:lineRule="auto"/>
        <w:ind w:left="2055" w:leftChars="619" w:right="1300" w:rightChars="619" w:hanging="755" w:hangingChars="209"/>
        <w:rPr>
          <w:rFonts w:hint="eastAsia" w:ascii="宋体" w:hAnsi="宋体" w:eastAsia="宋体" w:cs="宋体"/>
          <w:sz w:val="36"/>
          <w:szCs w:val="36"/>
        </w:rPr>
      </w:pPr>
      <w:r>
        <w:rPr>
          <w:rFonts w:hint="eastAsia" w:ascii="宋体" w:hAnsi="宋体" w:eastAsia="宋体" w:cs="宋体"/>
          <w:b/>
          <w:bCs/>
          <w:sz w:val="36"/>
          <w:szCs w:val="24"/>
        </w:rPr>
        <w:t>招标内容：</w:t>
      </w:r>
      <w:r>
        <w:rPr>
          <w:rFonts w:hint="eastAsia" w:ascii="宋体" w:hAnsi="宋体" w:eastAsia="宋体" w:cs="宋体"/>
          <w:sz w:val="36"/>
          <w:szCs w:val="36"/>
          <w:u w:val="single"/>
        </w:rPr>
        <w:t xml:space="preserve">                            </w:t>
      </w:r>
    </w:p>
    <w:p>
      <w:pPr>
        <w:spacing w:after="1560" w:afterLines="500" w:line="360" w:lineRule="auto"/>
        <w:ind w:left="2347" w:leftChars="271" w:right="569" w:rightChars="271" w:hanging="1778" w:hangingChars="494"/>
        <w:jc w:val="center"/>
        <w:rPr>
          <w:rFonts w:hint="eastAsia" w:ascii="宋体" w:hAnsi="宋体" w:eastAsia="宋体" w:cs="宋体"/>
          <w:sz w:val="36"/>
          <w:szCs w:val="36"/>
        </w:rPr>
      </w:pPr>
    </w:p>
    <w:p>
      <w:pPr>
        <w:spacing w:line="360" w:lineRule="auto"/>
        <w:ind w:left="1974" w:leftChars="613" w:right="1287" w:rightChars="613" w:hanging="687" w:hangingChars="214"/>
        <w:rPr>
          <w:rFonts w:hint="eastAsia" w:ascii="宋体" w:hAnsi="宋体" w:eastAsia="宋体" w:cs="宋体"/>
          <w:b/>
          <w:bCs/>
          <w:sz w:val="32"/>
          <w:szCs w:val="32"/>
        </w:rPr>
      </w:pPr>
      <w:r>
        <w:rPr>
          <w:rFonts w:hint="eastAsia" w:ascii="宋体" w:hAnsi="宋体" w:eastAsia="宋体" w:cs="宋体"/>
          <w:b/>
          <w:bCs/>
          <w:sz w:val="32"/>
          <w:szCs w:val="32"/>
        </w:rPr>
        <w:t>投标人（盖章）：</w:t>
      </w:r>
      <w:r>
        <w:rPr>
          <w:rFonts w:hint="eastAsia" w:ascii="宋体" w:hAnsi="宋体" w:eastAsia="宋体" w:cs="宋体"/>
          <w:b/>
          <w:bCs/>
          <w:sz w:val="32"/>
          <w:szCs w:val="32"/>
          <w:u w:val="single"/>
        </w:rPr>
        <w:t xml:space="preserve">                            </w:t>
      </w:r>
    </w:p>
    <w:p>
      <w:pPr>
        <w:spacing w:line="360" w:lineRule="auto"/>
        <w:ind w:left="1974" w:leftChars="613" w:right="1287" w:rightChars="613" w:hanging="687" w:hangingChars="214"/>
        <w:rPr>
          <w:rFonts w:hint="eastAsia" w:ascii="宋体" w:hAnsi="宋体" w:eastAsia="宋体" w:cs="宋体"/>
          <w:b/>
          <w:bCs/>
          <w:sz w:val="32"/>
          <w:szCs w:val="32"/>
        </w:rPr>
      </w:pPr>
      <w:r>
        <w:rPr>
          <w:rFonts w:hint="eastAsia" w:ascii="宋体" w:hAnsi="宋体" w:eastAsia="宋体" w:cs="宋体"/>
          <w:b/>
          <w:bCs/>
          <w:sz w:val="32"/>
          <w:szCs w:val="32"/>
        </w:rPr>
        <w:t>投标人授权代表（签字）：</w:t>
      </w:r>
      <w:r>
        <w:rPr>
          <w:rFonts w:hint="eastAsia" w:ascii="宋体" w:hAnsi="宋体" w:eastAsia="宋体" w:cs="宋体"/>
          <w:b/>
          <w:bCs/>
          <w:sz w:val="32"/>
          <w:szCs w:val="32"/>
          <w:u w:val="single"/>
        </w:rPr>
        <w:t xml:space="preserve">                    </w:t>
      </w:r>
    </w:p>
    <w:p>
      <w:pPr>
        <w:spacing w:before="312" w:beforeLines="100" w:after="312" w:afterLines="100" w:line="360" w:lineRule="auto"/>
        <w:ind w:left="2262" w:leftChars="466" w:right="466" w:hanging="1283" w:hangingChars="355"/>
        <w:jc w:val="center"/>
        <w:rPr>
          <w:rFonts w:hint="eastAsia" w:ascii="宋体" w:hAnsi="宋体" w:eastAsia="宋体" w:cs="宋体"/>
          <w:b/>
          <w:sz w:val="36"/>
          <w:szCs w:val="36"/>
        </w:rPr>
      </w:pPr>
      <w:r>
        <w:rPr>
          <w:rFonts w:hint="eastAsia" w:ascii="宋体" w:hAnsi="宋体" w:eastAsia="宋体" w:cs="宋体"/>
          <w:b/>
          <w:bCs/>
          <w:sz w:val="36"/>
          <w:szCs w:val="36"/>
        </w:rPr>
        <w:t>二0</w:t>
      </w:r>
      <w:r>
        <w:rPr>
          <w:rFonts w:hint="eastAsia" w:ascii="宋体" w:hAnsi="宋体" w:eastAsia="宋体" w:cs="宋体"/>
          <w:b/>
          <w:bCs/>
          <w:sz w:val="36"/>
          <w:szCs w:val="36"/>
          <w:lang w:eastAsia="zh-CN"/>
        </w:rPr>
        <w:t>二</w:t>
      </w:r>
      <w:r>
        <w:rPr>
          <w:rFonts w:hint="eastAsia" w:ascii="宋体" w:hAnsi="宋体" w:eastAsia="宋体" w:cs="宋体"/>
          <w:b/>
          <w:sz w:val="36"/>
          <w:szCs w:val="36"/>
        </w:rPr>
        <w:t xml:space="preserve">  年 月</w:t>
      </w:r>
    </w:p>
    <w:p>
      <w:pPr>
        <w:rPr>
          <w:rFonts w:hint="eastAsia" w:ascii="宋体" w:hAnsi="宋体" w:eastAsia="宋体" w:cs="宋体"/>
        </w:rPr>
      </w:pPr>
      <w:r>
        <w:rPr>
          <w:rFonts w:hint="eastAsia" w:ascii="宋体" w:hAnsi="宋体" w:eastAsia="宋体" w:cs="宋体"/>
        </w:rPr>
        <w:br w:type="page"/>
      </w:r>
    </w:p>
    <w:p>
      <w:pPr>
        <w:spacing w:before="312" w:beforeLines="100" w:line="360" w:lineRule="auto"/>
        <w:jc w:val="left"/>
        <w:rPr>
          <w:rFonts w:hint="eastAsia" w:ascii="宋体" w:hAnsi="宋体" w:eastAsia="宋体" w:cs="宋体"/>
          <w:b/>
          <w:bCs/>
          <w:sz w:val="30"/>
          <w:szCs w:val="30"/>
          <w:lang w:val="zh-CN"/>
        </w:rPr>
      </w:pPr>
      <w:r>
        <w:rPr>
          <w:rFonts w:hint="eastAsia" w:ascii="宋体" w:hAnsi="宋体" w:eastAsia="宋体" w:cs="宋体"/>
          <w:b/>
          <w:bCs/>
          <w:sz w:val="30"/>
          <w:szCs w:val="30"/>
          <w:lang w:val="zh-CN" w:eastAsia="zh-CN"/>
        </w:rPr>
        <w:t>格式（参考）说明：</w:t>
      </w:r>
    </w:p>
    <w:p>
      <w:pPr>
        <w:spacing w:before="120" w:after="120" w:line="578" w:lineRule="auto"/>
        <w:jc w:val="center"/>
        <w:rPr>
          <w:rFonts w:hint="eastAsia" w:ascii="宋体" w:hAnsi="宋体" w:eastAsia="宋体" w:cs="宋体"/>
          <w:b/>
          <w:sz w:val="36"/>
          <w:szCs w:val="36"/>
        </w:rPr>
      </w:pPr>
      <w:bookmarkStart w:id="136" w:name="_Toc494665000"/>
      <w:bookmarkStart w:id="137" w:name="_Toc494665950"/>
      <w:bookmarkStart w:id="138" w:name="_Toc494745317"/>
      <w:bookmarkStart w:id="139" w:name="_Toc494702270"/>
      <w:bookmarkStart w:id="140" w:name="_Toc494665553"/>
      <w:bookmarkStart w:id="141" w:name="_Toc494721100"/>
      <w:r>
        <w:rPr>
          <w:rFonts w:hint="eastAsia" w:ascii="宋体" w:hAnsi="宋体" w:eastAsia="宋体" w:cs="宋体"/>
          <w:b/>
          <w:bCs/>
          <w:sz w:val="36"/>
          <w:szCs w:val="36"/>
          <w:lang w:val="zh-CN" w:eastAsia="zh-CN"/>
        </w:rPr>
        <w:t>技术</w:t>
      </w:r>
      <w:r>
        <w:rPr>
          <w:rFonts w:hint="eastAsia" w:ascii="宋体" w:hAnsi="宋体" w:eastAsia="宋体" w:cs="宋体"/>
          <w:b/>
          <w:sz w:val="36"/>
          <w:szCs w:val="36"/>
        </w:rPr>
        <w:t>、服务文件组成</w:t>
      </w:r>
      <w:bookmarkEnd w:id="136"/>
      <w:bookmarkEnd w:id="137"/>
      <w:bookmarkEnd w:id="138"/>
      <w:bookmarkEnd w:id="139"/>
      <w:bookmarkEnd w:id="140"/>
      <w:bookmarkEnd w:id="141"/>
    </w:p>
    <w:p>
      <w:pPr>
        <w:autoSpaceDE w:val="0"/>
        <w:autoSpaceDN w:val="0"/>
        <w:adjustRightInd w:val="0"/>
        <w:spacing w:before="156" w:beforeLines="50" w:after="156"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37"/>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技术、服务文件目录（目录应涵盖下述所有资料，页码清晰以便查阅）；</w:t>
      </w:r>
    </w:p>
    <w:p>
      <w:pPr>
        <w:numPr>
          <w:ilvl w:val="0"/>
          <w:numId w:val="37"/>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投标货物（工程或服务）介绍，项目建设（服务）方案；</w:t>
      </w:r>
    </w:p>
    <w:p>
      <w:pPr>
        <w:numPr>
          <w:ilvl w:val="0"/>
          <w:numId w:val="37"/>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技术、服务要求响应、偏离说明表（附件二十二）；</w:t>
      </w:r>
    </w:p>
    <w:p>
      <w:pPr>
        <w:numPr>
          <w:ilvl w:val="0"/>
          <w:numId w:val="37"/>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技术、服务要求“★”号条款响应、偏离说明表（附件二十三）；</w:t>
      </w:r>
    </w:p>
    <w:p>
      <w:pPr>
        <w:numPr>
          <w:ilvl w:val="0"/>
          <w:numId w:val="37"/>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技术、服务评议对照表（附件二十四）；</w:t>
      </w:r>
    </w:p>
    <w:p>
      <w:pPr>
        <w:numPr>
          <w:ilvl w:val="0"/>
          <w:numId w:val="37"/>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招标文件要求提供或投标人认为需提供的其它资料。</w:t>
      </w:r>
    </w:p>
    <w:p>
      <w:pPr>
        <w:autoSpaceDE w:val="0"/>
        <w:autoSpaceDN w:val="0"/>
        <w:adjustRightInd w:val="0"/>
        <w:spacing w:line="360" w:lineRule="auto"/>
        <w:rPr>
          <w:rFonts w:hint="eastAsia" w:ascii="宋体" w:hAnsi="宋体" w:eastAsia="宋体" w:cs="宋体"/>
          <w:kern w:val="0"/>
          <w:sz w:val="24"/>
          <w:szCs w:val="32"/>
        </w:rPr>
      </w:pPr>
    </w:p>
    <w:p>
      <w:pPr>
        <w:autoSpaceDE w:val="0"/>
        <w:autoSpaceDN w:val="0"/>
        <w:adjustRightInd w:val="0"/>
        <w:spacing w:line="360" w:lineRule="auto"/>
        <w:ind w:left="714" w:leftChars="-6" w:hanging="727" w:hangingChars="303"/>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说明：投标文件技术、服务文件的编制原则，按招标文件要求，提供相应说明、资料、表格以证明所投货物（工程或服务）是否响应招标文件要求，充分体现所投货物（工程或服务）的响应程度和优势。</w:t>
      </w:r>
    </w:p>
    <w:p>
      <w:pPr>
        <w:rPr>
          <w:rFonts w:hint="eastAsia" w:ascii="宋体" w:hAnsi="宋体" w:eastAsia="宋体" w:cs="宋体"/>
        </w:rPr>
      </w:pPr>
      <w:r>
        <w:rPr>
          <w:rFonts w:hint="eastAsia" w:ascii="宋体" w:hAnsi="宋体" w:eastAsia="宋体" w:cs="宋体"/>
        </w:rPr>
        <w:br w:type="page"/>
      </w:r>
    </w:p>
    <w:p>
      <w:pPr>
        <w:pStyle w:val="4"/>
        <w:numPr>
          <w:ilvl w:val="0"/>
          <w:numId w:val="38"/>
        </w:numPr>
        <w:spacing w:before="40" w:after="40" w:line="360" w:lineRule="auto"/>
        <w:ind w:left="0" w:leftChars="0" w:hanging="5" w:firstLineChars="0"/>
        <w:jc w:val="left"/>
        <w:rPr>
          <w:rFonts w:ascii="宋体" w:hAnsi="宋体" w:cs="Times New Roman"/>
          <w:bCs w:val="0"/>
          <w:color w:val="auto"/>
          <w:highlight w:val="none"/>
        </w:rPr>
      </w:pPr>
      <w:bookmarkStart w:id="142" w:name="_Toc18790"/>
      <w:bookmarkStart w:id="143" w:name="_Toc511894528"/>
      <w:bookmarkStart w:id="144" w:name="_Toc14622"/>
      <w:r>
        <w:rPr>
          <w:rFonts w:hint="eastAsia" w:ascii="宋体" w:hAnsi="宋体" w:cs="Times New Roman"/>
          <w:bCs w:val="0"/>
          <w:color w:val="auto"/>
          <w:highlight w:val="none"/>
        </w:rPr>
        <w:t>投标书</w:t>
      </w:r>
      <w:bookmarkEnd w:id="142"/>
      <w:bookmarkEnd w:id="143"/>
      <w:bookmarkEnd w:id="144"/>
    </w:p>
    <w:p>
      <w:pPr>
        <w:jc w:val="center"/>
        <w:rPr>
          <w:rFonts w:ascii="宋体" w:hAnsi="宋体"/>
          <w:b/>
          <w:color w:val="auto"/>
          <w:sz w:val="30"/>
          <w:szCs w:val="30"/>
          <w:highlight w:val="none"/>
        </w:rPr>
      </w:pPr>
      <w:r>
        <w:rPr>
          <w:rFonts w:hint="eastAsia" w:ascii="宋体" w:hAnsi="宋体"/>
          <w:b/>
          <w:color w:val="auto"/>
          <w:sz w:val="30"/>
          <w:szCs w:val="30"/>
          <w:highlight w:val="none"/>
        </w:rPr>
        <w:t>投 标 书</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依据贵方</w:t>
      </w:r>
      <w:r>
        <w:rPr>
          <w:rFonts w:hint="eastAsia" w:ascii="宋体" w:hAnsi="宋体" w:cs="Times New Roman"/>
          <w:color w:val="auto"/>
          <w:sz w:val="24"/>
          <w:szCs w:val="24"/>
          <w:highlight w:val="none"/>
          <w:u w:val="single"/>
        </w:rPr>
        <w:t xml:space="preserve"> （项目名称） </w:t>
      </w:r>
      <w:r>
        <w:rPr>
          <w:rFonts w:hint="eastAsia" w:ascii="宋体" w:hAnsi="宋体" w:cs="Times New Roman"/>
          <w:color w:val="auto"/>
          <w:sz w:val="24"/>
          <w:szCs w:val="24"/>
          <w:highlight w:val="none"/>
        </w:rPr>
        <w:t>项目（项目编号：</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）招标的投标邀请，我方代表</w:t>
      </w:r>
      <w:r>
        <w:rPr>
          <w:rFonts w:hint="eastAsia" w:ascii="宋体" w:hAnsi="宋体" w:cs="Times New Roman"/>
          <w:color w:val="auto"/>
          <w:sz w:val="24"/>
          <w:szCs w:val="24"/>
          <w:highlight w:val="none"/>
          <w:u w:val="single"/>
        </w:rPr>
        <w:t xml:space="preserve"> （姓名、职务） </w:t>
      </w:r>
      <w:r>
        <w:rPr>
          <w:rFonts w:hint="eastAsia" w:ascii="宋体" w:hAnsi="宋体" w:cs="Times New Roman"/>
          <w:color w:val="auto"/>
          <w:sz w:val="24"/>
          <w:szCs w:val="24"/>
          <w:highlight w:val="none"/>
        </w:rPr>
        <w:t>经正式授权并代表投标人</w:t>
      </w:r>
      <w:r>
        <w:rPr>
          <w:rFonts w:hint="eastAsia" w:ascii="宋体" w:hAnsi="宋体" w:cs="Times New Roman"/>
          <w:color w:val="auto"/>
          <w:sz w:val="24"/>
          <w:szCs w:val="24"/>
          <w:highlight w:val="none"/>
          <w:u w:val="single"/>
        </w:rPr>
        <w:t xml:space="preserve"> （投标人全称 ） </w:t>
      </w:r>
      <w:r>
        <w:rPr>
          <w:rFonts w:hint="eastAsia" w:ascii="宋体" w:hAnsi="宋体" w:cs="Times New Roman"/>
          <w:color w:val="auto"/>
          <w:sz w:val="24"/>
          <w:szCs w:val="24"/>
          <w:highlight w:val="none"/>
        </w:rPr>
        <w:t>提交“开标一览表”信封和下述文件正本</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份，副本</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份。</w:t>
      </w:r>
    </w:p>
    <w:p>
      <w:pPr>
        <w:numPr>
          <w:ilvl w:val="0"/>
          <w:numId w:val="39"/>
        </w:numPr>
        <w:tabs>
          <w:tab w:val="left" w:pos="966"/>
        </w:tabs>
        <w:autoSpaceDE w:val="0"/>
        <w:autoSpaceDN w:val="0"/>
        <w:adjustRightInd w:val="0"/>
        <w:spacing w:line="360" w:lineRule="auto"/>
        <w:ind w:left="0" w:firstLine="482" w:firstLineChars="200"/>
        <w:rPr>
          <w:rFonts w:ascii="宋体" w:hAnsi="宋体" w:cs="Times New Roman"/>
          <w:b/>
          <w:color w:val="auto"/>
          <w:kern w:val="0"/>
          <w:sz w:val="24"/>
          <w:szCs w:val="32"/>
          <w:highlight w:val="none"/>
        </w:rPr>
      </w:pPr>
      <w:r>
        <w:rPr>
          <w:rFonts w:hint="eastAsia" w:ascii="宋体" w:hAnsi="宋体" w:cs="Times New Roman"/>
          <w:b/>
          <w:color w:val="auto"/>
          <w:kern w:val="0"/>
          <w:sz w:val="24"/>
          <w:szCs w:val="32"/>
          <w:highlight w:val="none"/>
        </w:rPr>
        <w:t>资格证明文件；</w:t>
      </w:r>
      <w:r>
        <w:rPr>
          <w:rFonts w:hint="eastAsia" w:ascii="宋体" w:hAnsi="宋体" w:cs="Times New Roman"/>
          <w:color w:val="auto"/>
          <w:kern w:val="0"/>
          <w:sz w:val="24"/>
          <w:szCs w:val="32"/>
          <w:highlight w:val="none"/>
        </w:rPr>
        <w:t>（</w:t>
      </w:r>
      <w:r>
        <w:rPr>
          <w:rFonts w:hint="eastAsia" w:ascii="宋体" w:hAnsi="宋体" w:cs="Times New Roman"/>
          <w:color w:val="auto"/>
          <w:sz w:val="24"/>
          <w:szCs w:val="24"/>
          <w:highlight w:val="none"/>
        </w:rPr>
        <w:t>如</w:t>
      </w:r>
      <w:r>
        <w:rPr>
          <w:rFonts w:hint="eastAsia" w:ascii="宋体" w:hAnsi="宋体" w:cs="Helvetica"/>
          <w:color w:val="auto"/>
          <w:kern w:val="0"/>
          <w:sz w:val="24"/>
          <w:szCs w:val="24"/>
          <w:highlight w:val="none"/>
        </w:rPr>
        <w:t>采购人已组织过项目资格预审的，投标人无需再提交资格证明文件</w:t>
      </w:r>
      <w:r>
        <w:rPr>
          <w:rFonts w:hint="eastAsia" w:ascii="宋体" w:hAnsi="宋体" w:cs="Times New Roman"/>
          <w:color w:val="auto"/>
          <w:kern w:val="0"/>
          <w:sz w:val="24"/>
          <w:szCs w:val="32"/>
          <w:highlight w:val="none"/>
        </w:rPr>
        <w:t>）</w:t>
      </w:r>
    </w:p>
    <w:p>
      <w:pPr>
        <w:numPr>
          <w:ilvl w:val="0"/>
          <w:numId w:val="39"/>
        </w:numPr>
        <w:tabs>
          <w:tab w:val="left" w:pos="966"/>
        </w:tabs>
        <w:autoSpaceDE w:val="0"/>
        <w:autoSpaceDN w:val="0"/>
        <w:adjustRightInd w:val="0"/>
        <w:spacing w:line="360" w:lineRule="auto"/>
        <w:ind w:left="0" w:firstLine="482" w:firstLineChars="200"/>
        <w:rPr>
          <w:rFonts w:ascii="宋体" w:hAnsi="宋体" w:cs="Times New Roman"/>
          <w:b/>
          <w:color w:val="auto"/>
          <w:kern w:val="0"/>
          <w:sz w:val="24"/>
          <w:szCs w:val="32"/>
          <w:highlight w:val="none"/>
        </w:rPr>
      </w:pPr>
      <w:r>
        <w:rPr>
          <w:rFonts w:hint="eastAsia" w:ascii="宋体" w:hAnsi="宋体" w:cs="Times New Roman"/>
          <w:b/>
          <w:color w:val="auto"/>
          <w:kern w:val="0"/>
          <w:sz w:val="24"/>
          <w:szCs w:val="32"/>
          <w:highlight w:val="none"/>
        </w:rPr>
        <w:t>商务文件；</w:t>
      </w:r>
    </w:p>
    <w:p>
      <w:pPr>
        <w:numPr>
          <w:ilvl w:val="0"/>
          <w:numId w:val="39"/>
        </w:numPr>
        <w:tabs>
          <w:tab w:val="left" w:pos="966"/>
        </w:tabs>
        <w:autoSpaceDE w:val="0"/>
        <w:autoSpaceDN w:val="0"/>
        <w:adjustRightInd w:val="0"/>
        <w:spacing w:line="360" w:lineRule="auto"/>
        <w:ind w:left="0" w:firstLine="482" w:firstLineChars="200"/>
        <w:rPr>
          <w:rFonts w:ascii="宋体" w:hAnsi="宋体" w:cs="Times New Roman"/>
          <w:b/>
          <w:color w:val="auto"/>
          <w:kern w:val="0"/>
          <w:sz w:val="24"/>
          <w:szCs w:val="32"/>
          <w:highlight w:val="none"/>
        </w:rPr>
      </w:pPr>
      <w:r>
        <w:rPr>
          <w:rFonts w:hint="eastAsia" w:ascii="宋体" w:hAnsi="宋体" w:cs="Times New Roman"/>
          <w:b/>
          <w:color w:val="auto"/>
          <w:kern w:val="0"/>
          <w:sz w:val="24"/>
          <w:szCs w:val="32"/>
          <w:highlight w:val="none"/>
        </w:rPr>
        <w:t>技术、服务文件。</w:t>
      </w:r>
    </w:p>
    <w:p>
      <w:pPr>
        <w:spacing w:line="360" w:lineRule="auto"/>
        <w:rPr>
          <w:rFonts w:ascii="宋体" w:hAnsi="宋体" w:cs="Times New Roman"/>
          <w:b/>
          <w:color w:val="auto"/>
          <w:kern w:val="0"/>
          <w:sz w:val="24"/>
          <w:szCs w:val="24"/>
          <w:highlight w:val="none"/>
        </w:rPr>
      </w:pPr>
      <w:r>
        <w:rPr>
          <w:rFonts w:hint="eastAsia" w:ascii="宋体" w:hAnsi="宋体" w:cs="Times New Roman"/>
          <w:b/>
          <w:color w:val="auto"/>
          <w:kern w:val="0"/>
          <w:sz w:val="24"/>
          <w:szCs w:val="24"/>
          <w:highlight w:val="none"/>
        </w:rPr>
        <w:t>在此，我方宣布同意如下：</w:t>
      </w:r>
    </w:p>
    <w:p>
      <w:pPr>
        <w:pStyle w:val="20"/>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《开标一览表》中规定的应提交和交付的</w:t>
      </w:r>
      <w:r>
        <w:rPr>
          <w:rFonts w:hint="eastAsia" w:ascii="宋体" w:hAnsi="宋体"/>
          <w:color w:val="auto"/>
          <w:sz w:val="24"/>
          <w:szCs w:val="24"/>
          <w:highlight w:val="none"/>
          <w:u w:val="single"/>
        </w:rPr>
        <w:t xml:space="preserve">  （包号）  </w:t>
      </w:r>
      <w:r>
        <w:rPr>
          <w:rFonts w:hint="eastAsia" w:ascii="宋体" w:hAnsi="宋体"/>
          <w:color w:val="auto"/>
          <w:sz w:val="24"/>
          <w:szCs w:val="24"/>
          <w:highlight w:val="none"/>
        </w:rPr>
        <w:t>货物（工程或服务）投标总价为</w:t>
      </w:r>
      <w:r>
        <w:rPr>
          <w:rFonts w:hint="eastAsia" w:ascii="宋体" w:hAnsi="宋体"/>
          <w:color w:val="auto"/>
          <w:sz w:val="24"/>
          <w:szCs w:val="24"/>
          <w:highlight w:val="none"/>
          <w:u w:val="single"/>
        </w:rPr>
        <w:t xml:space="preserve"> （注明币种，并用大写和小写表述投标总价） </w:t>
      </w:r>
      <w:r>
        <w:rPr>
          <w:rFonts w:hint="eastAsia" w:ascii="宋体" w:hAnsi="宋体"/>
          <w:color w:val="auto"/>
          <w:sz w:val="24"/>
          <w:szCs w:val="24"/>
          <w:highlight w:val="none"/>
        </w:rPr>
        <w:t>；</w:t>
      </w:r>
    </w:p>
    <w:p>
      <w:pPr>
        <w:pStyle w:val="20"/>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按招标文件的约定履行合同责任和义务；</w:t>
      </w:r>
    </w:p>
    <w:p>
      <w:pPr>
        <w:pStyle w:val="20"/>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已详细审查全部招标文件，包括 （修正或补充文件）（如果有的话） ，对此无异议；</w:t>
      </w:r>
    </w:p>
    <w:p>
      <w:pPr>
        <w:pStyle w:val="20"/>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投标有效期为自递交投标文件截止之日起，共    个日历日；</w:t>
      </w:r>
    </w:p>
    <w:p>
      <w:pPr>
        <w:pStyle w:val="20"/>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提供按照贵方可能要求的与投标有关的一切数据或资料；</w:t>
      </w:r>
    </w:p>
    <w:p>
      <w:pPr>
        <w:pStyle w:val="20"/>
        <w:numPr>
          <w:ilvl w:val="0"/>
          <w:numId w:val="40"/>
        </w:numPr>
        <w:tabs>
          <w:tab w:val="left" w:pos="851"/>
        </w:tabs>
        <w:spacing w:line="360" w:lineRule="auto"/>
        <w:ind w:left="0" w:firstLine="480"/>
        <w:rPr>
          <w:rFonts w:ascii="宋体" w:hAnsi="宋体"/>
          <w:color w:val="auto"/>
          <w:sz w:val="24"/>
          <w:szCs w:val="24"/>
          <w:highlight w:val="none"/>
        </w:rPr>
      </w:pPr>
      <w:r>
        <w:rPr>
          <w:rFonts w:hint="eastAsia" w:ascii="宋体" w:hAnsi="宋体"/>
          <w:color w:val="auto"/>
          <w:sz w:val="24"/>
          <w:szCs w:val="24"/>
          <w:highlight w:val="none"/>
        </w:rPr>
        <w:t>与投标有关的一切正式往来信函请寄：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pPr>
        <w:autoSpaceDE w:val="0"/>
        <w:autoSpaceDN w:val="0"/>
        <w:adjustRightInd w:val="0"/>
        <w:spacing w:line="360" w:lineRule="auto"/>
        <w:ind w:right="246" w:firstLine="480" w:firstLineChars="200"/>
        <w:rPr>
          <w:rFonts w:ascii="宋体" w:hAnsi="宋体" w:cs="Times New Roman"/>
          <w:color w:val="auto"/>
          <w:kern w:val="0"/>
          <w:sz w:val="24"/>
          <w:szCs w:val="24"/>
          <w:highlight w:val="none"/>
        </w:rPr>
      </w:pP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电话/传真：</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电子邮件：</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投标人(公章)：</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投标人授权代表（签字）：</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p>
    <w:p>
      <w:pPr>
        <w:spacing w:line="360" w:lineRule="auto"/>
        <w:ind w:left="13" w:leftChars="6" w:firstLine="472" w:firstLineChars="197"/>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帐号/行号：</w:t>
      </w:r>
      <w:r>
        <w:rPr>
          <w:rFonts w:hint="eastAsia" w:ascii="宋体" w:hAnsi="宋体"/>
          <w:color w:val="auto"/>
          <w:sz w:val="24"/>
          <w:szCs w:val="24"/>
          <w:highlight w:val="none"/>
          <w:u w:val="single"/>
        </w:rPr>
        <w:t xml:space="preserve">                              </w:t>
      </w:r>
    </w:p>
    <w:p>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u w:val="single"/>
        </w:rPr>
        <w:br w:type="page"/>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45" w:name="_Toc511894529"/>
      <w:bookmarkStart w:id="146" w:name="_Toc9630"/>
      <w:bookmarkStart w:id="147" w:name="_Toc10642"/>
      <w:r>
        <w:rPr>
          <w:rFonts w:hint="eastAsia" w:ascii="宋体" w:hAnsi="宋体" w:cs="Times New Roman"/>
          <w:bCs w:val="0"/>
          <w:color w:val="auto"/>
          <w:highlight w:val="none"/>
        </w:rPr>
        <w:t>制造商中小企业声明函</w:t>
      </w:r>
      <w:bookmarkEnd w:id="145"/>
      <w:r>
        <w:rPr>
          <w:rFonts w:hint="eastAsia" w:ascii="宋体" w:hAnsi="宋体" w:cs="Times New Roman"/>
          <w:bCs w:val="0"/>
          <w:color w:val="auto"/>
          <w:highlight w:val="none"/>
        </w:rPr>
        <w:t>（适用于货物类项目）</w:t>
      </w:r>
      <w:bookmarkEnd w:id="146"/>
      <w:bookmarkEnd w:id="147"/>
    </w:p>
    <w:p>
      <w:pPr>
        <w:jc w:val="center"/>
        <w:rPr>
          <w:rFonts w:ascii="宋体" w:hAnsi="宋体"/>
          <w:b/>
          <w:color w:val="auto"/>
          <w:sz w:val="30"/>
          <w:szCs w:val="30"/>
          <w:highlight w:val="none"/>
        </w:rPr>
      </w:pPr>
      <w:r>
        <w:rPr>
          <w:rFonts w:hint="eastAsia" w:ascii="宋体" w:hAnsi="宋体"/>
          <w:b/>
          <w:color w:val="auto"/>
          <w:sz w:val="30"/>
          <w:szCs w:val="30"/>
          <w:highlight w:val="none"/>
        </w:rPr>
        <w:t>制造商中小企业声明函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（适用于货物类项目）</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400" w:lineRule="exact"/>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本公司郑重声明，根据《政府采购促进中小企业发展暂行办法》（财库〔2011〕181号）的规定，本公司为</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（请填写：中型、小型、微型）企业。本公司同时满足以下条件：</w:t>
      </w:r>
    </w:p>
    <w:p>
      <w:pPr>
        <w:numPr>
          <w:ilvl w:val="0"/>
          <w:numId w:val="41"/>
        </w:numPr>
        <w:tabs>
          <w:tab w:val="left" w:pos="854"/>
        </w:tabs>
        <w:autoSpaceDE w:val="0"/>
        <w:autoSpaceDN w:val="0"/>
        <w:adjustRightInd w:val="0"/>
        <w:spacing w:line="400" w:lineRule="exact"/>
        <w:ind w:left="0"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根据《工业和信息化部、国家统计局、国家发展和改革委员会、财政部关于印发中小企业划型标准规定的通知》（工信部联企业〔2011〕300号）规定的划分标准（详见《中小企业划型标准》），本公司为</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（请填写：中型、小型、微型）企业。</w:t>
      </w:r>
    </w:p>
    <w:p>
      <w:pPr>
        <w:numPr>
          <w:ilvl w:val="0"/>
          <w:numId w:val="41"/>
        </w:numPr>
        <w:tabs>
          <w:tab w:val="left" w:pos="854"/>
        </w:tabs>
        <w:autoSpaceDE w:val="0"/>
        <w:autoSpaceDN w:val="0"/>
        <w:adjustRightInd w:val="0"/>
        <w:spacing w:line="400" w:lineRule="exact"/>
        <w:ind w:left="0"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所投产品来源声明（参与本项目供应商根据所投产品具体情况选用下列两项描述）：</w:t>
      </w:r>
    </w:p>
    <w:p>
      <w:pPr>
        <w:pStyle w:val="20"/>
        <w:numPr>
          <w:ilvl w:val="0"/>
          <w:numId w:val="42"/>
        </w:numPr>
        <w:spacing w:line="400" w:lineRule="exact"/>
        <w:ind w:left="964"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本公司授权</w:t>
      </w:r>
      <w:r>
        <w:rPr>
          <w:rFonts w:hint="eastAsia" w:ascii="宋体" w:hAnsi="宋体" w:cs="Times New Roman"/>
          <w:color w:val="auto"/>
          <w:sz w:val="24"/>
          <w:szCs w:val="24"/>
          <w:highlight w:val="none"/>
          <w:u w:val="single"/>
        </w:rPr>
        <w:t xml:space="preserve">  （投标人）  </w:t>
      </w:r>
      <w:r>
        <w:rPr>
          <w:rFonts w:hint="eastAsia" w:ascii="宋体" w:hAnsi="宋体" w:cs="Times New Roman"/>
          <w:color w:val="auto"/>
          <w:sz w:val="24"/>
          <w:szCs w:val="24"/>
          <w:highlight w:val="none"/>
        </w:rPr>
        <w:t>参加</w:t>
      </w:r>
      <w:r>
        <w:rPr>
          <w:rFonts w:hint="eastAsia" w:ascii="宋体" w:hAnsi="宋体" w:cs="Times New Roman"/>
          <w:color w:val="auto"/>
          <w:sz w:val="24"/>
          <w:szCs w:val="24"/>
          <w:highlight w:val="none"/>
          <w:u w:val="single"/>
        </w:rPr>
        <w:t xml:space="preserve"> （采购人）</w:t>
      </w:r>
      <w:r>
        <w:rPr>
          <w:rFonts w:hint="eastAsia" w:ascii="宋体" w:hAnsi="宋体" w:cs="Times New Roman"/>
          <w:color w:val="auto"/>
          <w:sz w:val="24"/>
          <w:szCs w:val="24"/>
          <w:highlight w:val="none"/>
        </w:rPr>
        <w:t>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项目（项目编号：</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）采购活动提供本企业制造的货物。本条所称货物不包括使用大型企业注册商标的货物。（该条款适用所投产品代理商使用）</w:t>
      </w:r>
    </w:p>
    <w:p>
      <w:pPr>
        <w:pStyle w:val="20"/>
        <w:numPr>
          <w:ilvl w:val="0"/>
          <w:numId w:val="42"/>
        </w:numPr>
        <w:spacing w:line="400" w:lineRule="exact"/>
        <w:ind w:left="964"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本公司参加</w:t>
      </w:r>
      <w:r>
        <w:rPr>
          <w:rFonts w:hint="eastAsia" w:ascii="宋体" w:hAnsi="宋体" w:cs="Times New Roman"/>
          <w:color w:val="auto"/>
          <w:sz w:val="24"/>
          <w:szCs w:val="24"/>
          <w:highlight w:val="none"/>
          <w:u w:val="single"/>
        </w:rPr>
        <w:t xml:space="preserve">  （采购人） </w:t>
      </w:r>
      <w:r>
        <w:rPr>
          <w:rFonts w:hint="eastAsia" w:ascii="宋体" w:hAnsi="宋体" w:cs="Times New Roman"/>
          <w:color w:val="auto"/>
          <w:sz w:val="24"/>
          <w:szCs w:val="24"/>
          <w:highlight w:val="none"/>
        </w:rPr>
        <w:t>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项目（项目编号：</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）采购活动提供本企业制造的货物。本条所称货物不包括使用大型企业注册商标的货物。</w:t>
      </w:r>
      <w:r>
        <w:rPr>
          <w:rFonts w:hint="eastAsia" w:ascii="宋体" w:hAnsi="宋体" w:cs="Times New Roman"/>
          <w:b/>
          <w:color w:val="auto"/>
          <w:sz w:val="24"/>
          <w:szCs w:val="24"/>
          <w:highlight w:val="none"/>
        </w:rPr>
        <w:t>（该条款适用所投产品制造商使用）</w:t>
      </w:r>
    </w:p>
    <w:p>
      <w:pPr>
        <w:numPr>
          <w:ilvl w:val="0"/>
          <w:numId w:val="41"/>
        </w:numPr>
        <w:tabs>
          <w:tab w:val="left" w:pos="854"/>
        </w:tabs>
        <w:autoSpaceDE w:val="0"/>
        <w:autoSpaceDN w:val="0"/>
        <w:adjustRightInd w:val="0"/>
        <w:spacing w:line="400" w:lineRule="exact"/>
        <w:ind w:left="0"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由本公司制造的货物清单见下表：</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414"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1224"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品牌规格型号</w:t>
            </w:r>
          </w:p>
        </w:tc>
        <w:tc>
          <w:tcPr>
            <w:tcW w:w="907"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278"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1843"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分项合计(元)</w:t>
            </w:r>
          </w:p>
        </w:tc>
        <w:tc>
          <w:tcPr>
            <w:tcW w:w="1228" w:type="dxa"/>
            <w:tcBorders>
              <w:top w:val="single" w:color="auto" w:sz="2" w:space="0"/>
              <w:left w:val="single" w:color="auto" w:sz="2" w:space="0"/>
              <w:bottom w:val="single" w:color="auto" w:sz="2" w:space="0"/>
              <w:right w:val="single" w:color="auto" w:sz="2" w:space="0"/>
            </w:tcBorders>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numPr>
                <w:ilvl w:val="0"/>
                <w:numId w:val="43"/>
              </w:numPr>
              <w:tabs>
                <w:tab w:val="left" w:pos="61"/>
              </w:tabs>
              <w:adjustRightInd w:val="0"/>
              <w:snapToGrid w:val="0"/>
              <w:ind w:left="-63" w:leftChars="-30" w:firstLine="0"/>
              <w:jc w:val="right"/>
              <w:rPr>
                <w:rFonts w:ascii="宋体" w:hAnsi="宋体" w:cs="Times New Roman"/>
                <w:color w:val="auto"/>
                <w:sz w:val="24"/>
                <w:highlight w:val="none"/>
              </w:rPr>
            </w:pPr>
          </w:p>
        </w:tc>
        <w:tc>
          <w:tcPr>
            <w:tcW w:w="241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376" w:rightChars="-179"/>
              <w:jc w:val="center"/>
              <w:rPr>
                <w:rFonts w:ascii="宋体" w:hAnsi="宋体" w:cs="宋体"/>
                <w:color w:val="auto"/>
                <w:kern w:val="0"/>
                <w:sz w:val="24"/>
                <w:szCs w:val="24"/>
                <w:highlight w:val="none"/>
              </w:rPr>
            </w:pPr>
          </w:p>
        </w:tc>
        <w:tc>
          <w:tcPr>
            <w:tcW w:w="127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numPr>
                <w:ilvl w:val="0"/>
                <w:numId w:val="43"/>
              </w:numPr>
              <w:tabs>
                <w:tab w:val="left" w:pos="61"/>
              </w:tabs>
              <w:adjustRightInd w:val="0"/>
              <w:snapToGrid w:val="0"/>
              <w:ind w:left="-63" w:leftChars="-30" w:firstLine="0"/>
              <w:jc w:val="right"/>
              <w:rPr>
                <w:rFonts w:ascii="宋体" w:hAnsi="宋体" w:cs="Times New Roman"/>
                <w:color w:val="auto"/>
                <w:sz w:val="24"/>
                <w:highlight w:val="none"/>
              </w:rPr>
            </w:pPr>
          </w:p>
        </w:tc>
        <w:tc>
          <w:tcPr>
            <w:tcW w:w="241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tcBorders>
              <w:top w:val="single" w:color="auto" w:sz="2" w:space="0"/>
              <w:left w:val="single" w:color="auto" w:sz="2" w:space="0"/>
              <w:bottom w:val="single" w:color="auto" w:sz="2" w:space="0"/>
              <w:right w:val="single" w:color="auto" w:sz="2" w:space="0"/>
            </w:tcBorders>
            <w:noWrap w:val="0"/>
            <w:vAlign w:val="center"/>
          </w:tcPr>
          <w:p>
            <w:pPr>
              <w:tabs>
                <w:tab w:val="left" w:pos="82"/>
              </w:tabs>
              <w:adjustRightInd w:val="0"/>
              <w:snapToGrid w:val="0"/>
              <w:jc w:val="right"/>
              <w:rPr>
                <w:rFonts w:ascii="宋体" w:hAnsi="宋体" w:cs="Times New Roman"/>
                <w:color w:val="auto"/>
                <w:sz w:val="24"/>
                <w:highlight w:val="none"/>
              </w:rPr>
            </w:pPr>
            <w:r>
              <w:rPr>
                <w:rFonts w:hint="eastAsia" w:ascii="宋体" w:hAnsi="宋体" w:cs="Times New Roman"/>
                <w:color w:val="auto"/>
                <w:sz w:val="24"/>
                <w:highlight w:val="none"/>
              </w:rPr>
              <w:t>…</w:t>
            </w:r>
          </w:p>
        </w:tc>
        <w:tc>
          <w:tcPr>
            <w:tcW w:w="241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475" w:type="dxa"/>
            <w:gridSpan w:val="5"/>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合计</w:t>
            </w:r>
          </w:p>
        </w:tc>
        <w:tc>
          <w:tcPr>
            <w:tcW w:w="307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r>
    </w:tbl>
    <w:p>
      <w:pPr>
        <w:spacing w:before="156" w:beforeLines="50" w:line="400" w:lineRule="exact"/>
        <w:ind w:firstLine="475" w:firstLineChars="198"/>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本公司对上述声明的真实性负责。如有虚假，将依法承担相应责任。</w:t>
      </w:r>
    </w:p>
    <w:p>
      <w:pPr>
        <w:spacing w:line="400" w:lineRule="exact"/>
        <w:ind w:left="1091" w:hanging="1091" w:hangingChars="453"/>
        <w:jc w:val="left"/>
        <w:rPr>
          <w:rFonts w:ascii="宋体" w:hAnsi="宋体" w:cs="Courier New"/>
          <w:color w:val="auto"/>
          <w:sz w:val="24"/>
          <w:szCs w:val="21"/>
          <w:highlight w:val="none"/>
        </w:rPr>
      </w:pPr>
      <w:r>
        <w:rPr>
          <w:rFonts w:hint="eastAsia" w:ascii="宋体" w:hAnsi="宋体" w:cs="Times New Roman"/>
          <w:b/>
          <w:bCs/>
          <w:color w:val="auto"/>
          <w:sz w:val="24"/>
          <w:szCs w:val="24"/>
          <w:highlight w:val="none"/>
        </w:rPr>
        <w:t>说明：</w:t>
      </w:r>
      <w:r>
        <w:rPr>
          <w:rFonts w:hint="eastAsia" w:ascii="宋体" w:hAnsi="宋体" w:cs="Corbel"/>
          <w:color w:val="auto"/>
          <w:sz w:val="24"/>
          <w:szCs w:val="21"/>
          <w:highlight w:val="none"/>
        </w:rPr>
        <w:t>1、</w:t>
      </w:r>
      <w:r>
        <w:rPr>
          <w:rFonts w:hint="eastAsia" w:ascii="宋体" w:hAnsi="宋体" w:cs="Courier New"/>
          <w:color w:val="auto"/>
          <w:sz w:val="24"/>
          <w:szCs w:val="21"/>
          <w:highlight w:val="none"/>
        </w:rPr>
        <w:t>组成联合体的大中型企业和其他自然人、法人或者其他组织，与小型、微型企业之间不得存在投资关系。</w:t>
      </w:r>
    </w:p>
    <w:p>
      <w:pPr>
        <w:spacing w:line="400" w:lineRule="exact"/>
        <w:ind w:left="1118" w:leftChars="360" w:hanging="362" w:hangingChars="151"/>
        <w:jc w:val="left"/>
        <w:rPr>
          <w:rFonts w:ascii="宋体" w:hAnsi="宋体" w:cs="Times New Roman"/>
          <w:bCs/>
          <w:color w:val="auto"/>
          <w:sz w:val="24"/>
          <w:szCs w:val="24"/>
          <w:highlight w:val="none"/>
        </w:rPr>
      </w:pPr>
      <w:r>
        <w:rPr>
          <w:rFonts w:hint="eastAsia" w:ascii="宋体" w:hAnsi="宋体" w:cs="Courier New"/>
          <w:color w:val="auto"/>
          <w:sz w:val="24"/>
          <w:szCs w:val="21"/>
          <w:highlight w:val="none"/>
        </w:rPr>
        <w:t>2、以联合体方式参与项目投标的供应商，则应由联合体双方签字盖章。</w:t>
      </w:r>
    </w:p>
    <w:p>
      <w:pPr>
        <w:spacing w:line="400" w:lineRule="exact"/>
        <w:ind w:firstLine="3330" w:firstLineChars="1382"/>
        <w:rPr>
          <w:rFonts w:ascii="宋体" w:hAnsi="宋体" w:cs="Times New Roman"/>
          <w:bCs/>
          <w:color w:val="auto"/>
          <w:sz w:val="24"/>
          <w:szCs w:val="21"/>
          <w:highlight w:val="none"/>
        </w:rPr>
      </w:pPr>
      <w:r>
        <w:rPr>
          <w:rFonts w:hint="eastAsia" w:ascii="宋体" w:hAnsi="宋体" w:cs="Times New Roman"/>
          <w:b/>
          <w:bCs/>
          <w:color w:val="auto"/>
          <w:sz w:val="24"/>
          <w:szCs w:val="21"/>
          <w:highlight w:val="none"/>
        </w:rPr>
        <w:t>制造商（公章）</w:t>
      </w:r>
      <w:r>
        <w:rPr>
          <w:rFonts w:hint="eastAsia" w:ascii="宋体" w:hAnsi="宋体" w:cs="Times New Roman"/>
          <w:bCs/>
          <w:color w:val="auto"/>
          <w:sz w:val="24"/>
          <w:szCs w:val="21"/>
          <w:highlight w:val="none"/>
        </w:rPr>
        <w:t>：</w:t>
      </w:r>
      <w:r>
        <w:rPr>
          <w:rFonts w:hint="eastAsia" w:ascii="宋体" w:hAnsi="宋体" w:cs="Times New Roman"/>
          <w:bCs/>
          <w:color w:val="auto"/>
          <w:sz w:val="24"/>
          <w:szCs w:val="21"/>
          <w:highlight w:val="none"/>
          <w:u w:val="single"/>
        </w:rPr>
        <w:t xml:space="preserve">                           </w:t>
      </w:r>
    </w:p>
    <w:p>
      <w:pPr>
        <w:spacing w:line="400" w:lineRule="exact"/>
        <w:ind w:firstLine="3330" w:firstLineChars="1382"/>
        <w:rPr>
          <w:rFonts w:ascii="宋体" w:hAnsi="宋体" w:cs="Times New Roman"/>
          <w:bCs/>
          <w:color w:val="auto"/>
          <w:sz w:val="24"/>
          <w:szCs w:val="21"/>
          <w:highlight w:val="none"/>
        </w:rPr>
      </w:pPr>
      <w:r>
        <w:rPr>
          <w:rFonts w:hint="eastAsia" w:ascii="宋体" w:hAnsi="宋体" w:cs="Times New Roman"/>
          <w:b/>
          <w:bCs/>
          <w:color w:val="auto"/>
          <w:sz w:val="24"/>
          <w:szCs w:val="21"/>
          <w:highlight w:val="none"/>
        </w:rPr>
        <w:t>制造商法定代表人</w:t>
      </w:r>
      <w:r>
        <w:rPr>
          <w:rFonts w:hint="eastAsia" w:ascii="宋体" w:hAnsi="宋体" w:cs="Times New Roman"/>
          <w:bCs/>
          <w:color w:val="auto"/>
          <w:sz w:val="24"/>
          <w:szCs w:val="21"/>
          <w:highlight w:val="none"/>
        </w:rPr>
        <w:t>（</w:t>
      </w:r>
      <w:r>
        <w:rPr>
          <w:rFonts w:hint="eastAsia" w:ascii="宋体" w:hAnsi="宋体" w:cs="Times New Roman"/>
          <w:color w:val="auto"/>
          <w:sz w:val="24"/>
          <w:szCs w:val="21"/>
          <w:highlight w:val="none"/>
        </w:rPr>
        <w:t>签字或盖章</w:t>
      </w:r>
      <w:r>
        <w:rPr>
          <w:rFonts w:hint="eastAsia" w:ascii="宋体" w:hAnsi="宋体" w:cs="Times New Roman"/>
          <w:bCs/>
          <w:color w:val="auto"/>
          <w:sz w:val="24"/>
          <w:szCs w:val="21"/>
          <w:highlight w:val="none"/>
        </w:rPr>
        <w:t>）：</w:t>
      </w:r>
      <w:r>
        <w:rPr>
          <w:rFonts w:hint="eastAsia" w:ascii="宋体" w:hAnsi="宋体" w:cs="Times New Roman"/>
          <w:bCs/>
          <w:color w:val="auto"/>
          <w:sz w:val="24"/>
          <w:szCs w:val="21"/>
          <w:highlight w:val="none"/>
          <w:u w:val="single"/>
        </w:rPr>
        <w:t xml:space="preserve">           </w:t>
      </w:r>
    </w:p>
    <w:p>
      <w:pPr>
        <w:spacing w:line="400" w:lineRule="exact"/>
        <w:ind w:firstLine="3316" w:firstLineChars="1382"/>
        <w:rPr>
          <w:rFonts w:hAnsi="宋体" w:cs="Times New Roman"/>
          <w:bCs/>
          <w:color w:val="auto"/>
          <w:sz w:val="24"/>
          <w:szCs w:val="24"/>
          <w:highlight w:val="none"/>
          <w:u w:val="single"/>
        </w:rPr>
      </w:pPr>
      <w:r>
        <w:rPr>
          <w:rFonts w:hint="eastAsia" w:hAnsi="宋体" w:cs="Times New Roman"/>
          <w:color w:val="auto"/>
          <w:sz w:val="24"/>
          <w:szCs w:val="24"/>
          <w:highlight w:val="none"/>
        </w:rPr>
        <w:t>日 </w:t>
      </w:r>
      <w:r>
        <w:rPr>
          <w:rFonts w:hAnsi="宋体" w:cs="Times New Roman"/>
          <w:color w:val="auto"/>
          <w:sz w:val="24"/>
          <w:szCs w:val="24"/>
          <w:highlight w:val="none"/>
        </w:rPr>
        <w:t xml:space="preserve"> </w:t>
      </w:r>
      <w:r>
        <w:rPr>
          <w:rFonts w:hint="eastAsia" w:hAnsi="宋体" w:cs="Times New Roman"/>
          <w:color w:val="auto"/>
          <w:sz w:val="24"/>
          <w:szCs w:val="24"/>
          <w:highlight w:val="none"/>
        </w:rPr>
        <w:t> 期：</w:t>
      </w:r>
      <w:r>
        <w:rPr>
          <w:rFonts w:hAnsi="宋体" w:cs="Times New Roman"/>
          <w:bCs/>
          <w:color w:val="auto"/>
          <w:sz w:val="24"/>
          <w:szCs w:val="24"/>
          <w:highlight w:val="none"/>
          <w:u w:val="single"/>
        </w:rPr>
        <w:t xml:space="preserve">                                </w:t>
      </w:r>
    </w:p>
    <w:p>
      <w:pPr>
        <w:rPr>
          <w:color w:val="auto"/>
          <w:highlight w:val="none"/>
        </w:rPr>
      </w:pPr>
      <w:r>
        <w:rPr>
          <w:rFonts w:hAnsi="宋体" w:cs="Times New Roman"/>
          <w:bCs/>
          <w:color w:val="auto"/>
          <w:sz w:val="24"/>
          <w:szCs w:val="24"/>
          <w:highlight w:val="none"/>
          <w:u w:val="single"/>
        </w:rPr>
        <w:br w:type="page"/>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48" w:name="_Toc511894530"/>
      <w:bookmarkStart w:id="149" w:name="_Toc27620"/>
      <w:bookmarkStart w:id="150" w:name="_Toc27749"/>
      <w:r>
        <w:rPr>
          <w:rFonts w:hint="eastAsia" w:ascii="宋体" w:hAnsi="宋体" w:cs="Times New Roman"/>
          <w:bCs w:val="0"/>
          <w:color w:val="auto"/>
          <w:highlight w:val="none"/>
        </w:rPr>
        <w:t>中小企业声明函</w:t>
      </w:r>
      <w:bookmarkEnd w:id="148"/>
      <w:r>
        <w:rPr>
          <w:rFonts w:hint="eastAsia" w:ascii="宋体" w:hAnsi="宋体" w:cs="Times New Roman"/>
          <w:bCs w:val="0"/>
          <w:color w:val="auto"/>
          <w:highlight w:val="none"/>
        </w:rPr>
        <w:t>（适用于工程类、服务类项目）</w:t>
      </w:r>
      <w:bookmarkEnd w:id="149"/>
      <w:bookmarkEnd w:id="150"/>
    </w:p>
    <w:p>
      <w:pPr>
        <w:jc w:val="center"/>
        <w:rPr>
          <w:rFonts w:ascii="宋体" w:hAnsi="宋体"/>
          <w:b/>
          <w:color w:val="auto"/>
          <w:sz w:val="30"/>
          <w:szCs w:val="30"/>
          <w:highlight w:val="none"/>
        </w:rPr>
      </w:pPr>
      <w:r>
        <w:rPr>
          <w:rFonts w:hint="eastAsia" w:ascii="宋体" w:hAnsi="宋体"/>
          <w:b/>
          <w:color w:val="auto"/>
          <w:sz w:val="30"/>
          <w:szCs w:val="30"/>
          <w:highlight w:val="none"/>
        </w:rPr>
        <w:t>中小企业声明函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（适用于工程类、服务类项目）</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本公司郑重声明，根据《政府采购促进中小企业发展暂行办法》（财库〔2011〕181号）的规定，本公司为</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（请填写：中型、小型、微型）企业。本公司同时满足以下条件：</w:t>
      </w:r>
    </w:p>
    <w:p>
      <w:pPr>
        <w:numPr>
          <w:ilvl w:val="0"/>
          <w:numId w:val="44"/>
        </w:numPr>
        <w:tabs>
          <w:tab w:val="left" w:pos="854"/>
        </w:tabs>
        <w:autoSpaceDE w:val="0"/>
        <w:autoSpaceDN w:val="0"/>
        <w:adjustRightInd w:val="0"/>
        <w:spacing w:line="360" w:lineRule="auto"/>
        <w:ind w:left="0" w:firstLine="480" w:firstLineChars="200"/>
        <w:rPr>
          <w:rFonts w:ascii="宋体" w:hAnsi="宋体" w:cs="Times New Roman"/>
          <w:color w:val="auto"/>
          <w:sz w:val="24"/>
          <w:szCs w:val="21"/>
          <w:highlight w:val="none"/>
        </w:rPr>
      </w:pPr>
      <w:r>
        <w:rPr>
          <w:rFonts w:hint="eastAsia" w:ascii="宋体" w:hAnsi="宋体" w:cs="Times New Roman"/>
          <w:color w:val="auto"/>
          <w:sz w:val="24"/>
          <w:szCs w:val="21"/>
          <w:highlight w:val="none"/>
        </w:rPr>
        <w:t>根据《工业和信息化部、国家统计局、国家发展和改革委员会、财政部关于印发中小企业划型标准规定的通知》（工信部联企业〔2011〕300号）规定的划分标准</w:t>
      </w:r>
      <w:r>
        <w:rPr>
          <w:rFonts w:hint="eastAsia" w:hAnsi="宋体"/>
          <w:color w:val="auto"/>
          <w:sz w:val="24"/>
          <w:highlight w:val="none"/>
        </w:rPr>
        <w:t>（详见《中小企业划型标准》）</w:t>
      </w:r>
      <w:r>
        <w:rPr>
          <w:rFonts w:hint="eastAsia" w:ascii="宋体" w:hAnsi="宋体" w:cs="Times New Roman"/>
          <w:color w:val="auto"/>
          <w:sz w:val="24"/>
          <w:szCs w:val="21"/>
          <w:highlight w:val="none"/>
        </w:rPr>
        <w:t>，本公司为</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（请填写：中型、小型、微型）企业。</w:t>
      </w:r>
    </w:p>
    <w:p>
      <w:pPr>
        <w:numPr>
          <w:ilvl w:val="0"/>
          <w:numId w:val="44"/>
        </w:numPr>
        <w:tabs>
          <w:tab w:val="left" w:pos="854"/>
        </w:tabs>
        <w:autoSpaceDE w:val="0"/>
        <w:autoSpaceDN w:val="0"/>
        <w:adjustRightInd w:val="0"/>
        <w:spacing w:line="360" w:lineRule="auto"/>
        <w:ind w:left="0" w:firstLine="480" w:firstLineChars="200"/>
        <w:rPr>
          <w:rFonts w:ascii="宋体" w:hAnsi="宋体" w:cs="Times New Roman"/>
          <w:color w:val="auto"/>
          <w:sz w:val="24"/>
          <w:szCs w:val="21"/>
          <w:highlight w:val="none"/>
        </w:rPr>
      </w:pPr>
      <w:r>
        <w:rPr>
          <w:rFonts w:hint="eastAsia" w:ascii="宋体" w:hAnsi="宋体" w:cs="Times New Roman"/>
          <w:color w:val="auto"/>
          <w:sz w:val="24"/>
          <w:szCs w:val="21"/>
          <w:highlight w:val="none"/>
        </w:rPr>
        <w:t>本公司参加</w:t>
      </w:r>
      <w:r>
        <w:rPr>
          <w:rFonts w:hint="eastAsia" w:ascii="宋体" w:hAnsi="宋体" w:cs="Times New Roman"/>
          <w:color w:val="auto"/>
          <w:sz w:val="24"/>
          <w:szCs w:val="21"/>
          <w:highlight w:val="none"/>
          <w:u w:val="single"/>
        </w:rPr>
        <w:t xml:space="preserve"> （采购人） </w:t>
      </w:r>
      <w:r>
        <w:rPr>
          <w:rFonts w:hint="eastAsia" w:ascii="宋体" w:hAnsi="宋体" w:cs="Times New Roman"/>
          <w:color w:val="auto"/>
          <w:sz w:val="24"/>
          <w:szCs w:val="21"/>
          <w:highlight w:val="none"/>
        </w:rPr>
        <w:t>的</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项目（项目编号：</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）采购活动由本企业承担工程（或提供服务）。</w:t>
      </w:r>
    </w:p>
    <w:p>
      <w:pPr>
        <w:spacing w:line="360" w:lineRule="auto"/>
        <w:ind w:firstLine="475" w:firstLineChars="198"/>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本公司对上述声明的真实性负责。如有虚假，将依法承担相应责任。</w:t>
      </w:r>
    </w:p>
    <w:p>
      <w:pPr>
        <w:spacing w:line="360" w:lineRule="auto"/>
        <w:ind w:left="1091" w:hanging="1091" w:hangingChars="453"/>
        <w:jc w:val="left"/>
        <w:rPr>
          <w:rFonts w:ascii="宋体" w:hAnsi="宋体" w:cs="Times New Roman"/>
          <w:b/>
          <w:color w:val="auto"/>
          <w:sz w:val="24"/>
          <w:szCs w:val="21"/>
          <w:highlight w:val="none"/>
        </w:rPr>
      </w:pPr>
    </w:p>
    <w:p>
      <w:pPr>
        <w:spacing w:line="360" w:lineRule="auto"/>
        <w:ind w:left="1091" w:hanging="1091" w:hangingChars="453"/>
        <w:jc w:val="left"/>
        <w:rPr>
          <w:rFonts w:ascii="宋体" w:hAnsi="宋体" w:cs="Times New Roman"/>
          <w:color w:val="auto"/>
          <w:sz w:val="24"/>
          <w:szCs w:val="21"/>
          <w:highlight w:val="none"/>
        </w:rPr>
      </w:pPr>
      <w:r>
        <w:rPr>
          <w:rFonts w:hint="eastAsia" w:ascii="宋体" w:hAnsi="宋体" w:cs="Times New Roman"/>
          <w:b/>
          <w:color w:val="auto"/>
          <w:sz w:val="24"/>
          <w:szCs w:val="21"/>
          <w:highlight w:val="none"/>
        </w:rPr>
        <w:t>说明：</w:t>
      </w:r>
      <w:r>
        <w:rPr>
          <w:rFonts w:hint="eastAsia" w:ascii="宋体" w:hAnsi="宋体" w:cs="Times New Roman"/>
          <w:color w:val="auto"/>
          <w:sz w:val="24"/>
          <w:szCs w:val="21"/>
          <w:highlight w:val="none"/>
        </w:rPr>
        <w:t>1、</w:t>
      </w:r>
      <w:r>
        <w:rPr>
          <w:rFonts w:hint="eastAsia" w:ascii="宋体" w:hAnsi="宋体" w:cs="Courier New"/>
          <w:color w:val="auto"/>
          <w:sz w:val="24"/>
          <w:szCs w:val="21"/>
          <w:highlight w:val="none"/>
        </w:rPr>
        <w:t>组成</w:t>
      </w:r>
      <w:r>
        <w:rPr>
          <w:rFonts w:hint="eastAsia" w:ascii="宋体" w:hAnsi="宋体" w:cs="Times New Roman"/>
          <w:color w:val="auto"/>
          <w:sz w:val="24"/>
          <w:szCs w:val="21"/>
          <w:highlight w:val="none"/>
        </w:rPr>
        <w:t>联合体的大中型企业和其他自然人、法人或者其他组织，与小型、微型企业之间不得存在投资关系。</w:t>
      </w:r>
    </w:p>
    <w:p>
      <w:pPr>
        <w:spacing w:line="360" w:lineRule="auto"/>
        <w:ind w:left="1117" w:leftChars="353" w:hanging="376" w:hangingChars="157"/>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投标人（公章）：</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hint="eastAsia" w:ascii="宋体" w:hAnsi="宋体" w:cs="Times New Roman"/>
          <w:bCs/>
          <w:color w:val="auto"/>
          <w:kern w:val="0"/>
          <w:sz w:val="24"/>
          <w:szCs w:val="21"/>
          <w:highlight w:val="none"/>
          <w:u w:val="single"/>
        </w:rPr>
      </w:pPr>
      <w:r>
        <w:rPr>
          <w:rFonts w:hint="eastAsia" w:hAnsi="宋体" w:cs="Times New Roman"/>
          <w:color w:val="auto"/>
          <w:sz w:val="24"/>
          <w:szCs w:val="24"/>
          <w:highlight w:val="none"/>
        </w:rPr>
        <w:t>日   期：</w:t>
      </w:r>
      <w:r>
        <w:rPr>
          <w:rFonts w:hint="eastAsia" w:ascii="宋体" w:hAnsi="宋体" w:cs="Times New Roman"/>
          <w:bCs/>
          <w:color w:val="auto"/>
          <w:kern w:val="0"/>
          <w:sz w:val="24"/>
          <w:szCs w:val="21"/>
          <w:highlight w:val="none"/>
          <w:u w:val="single"/>
        </w:rPr>
        <w:t xml:space="preserve">                                </w:t>
      </w:r>
    </w:p>
    <w:p>
      <w:pPr>
        <w:rPr>
          <w:rFonts w:hint="eastAsia"/>
          <w:color w:val="auto"/>
          <w:highlight w:val="none"/>
        </w:rPr>
      </w:pPr>
    </w:p>
    <w:p>
      <w:pPr>
        <w:rPr>
          <w:color w:val="auto"/>
          <w:highlight w:val="none"/>
        </w:r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417" w:bottom="1134" w:left="1417" w:header="850" w:footer="794"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51" w:name="_Toc17574"/>
      <w:bookmarkStart w:id="152" w:name="_Toc476153619"/>
      <w:bookmarkStart w:id="153" w:name="_Toc10741"/>
      <w:bookmarkStart w:id="154" w:name="_Toc511894531"/>
      <w:r>
        <w:rPr>
          <w:rFonts w:hint="eastAsia" w:ascii="宋体" w:hAnsi="宋体" w:cs="Times New Roman"/>
          <w:bCs w:val="0"/>
          <w:color w:val="auto"/>
          <w:highlight w:val="none"/>
        </w:rPr>
        <w:t>中小企业划型标准</w:t>
      </w:r>
      <w:bookmarkEnd w:id="151"/>
      <w:bookmarkEnd w:id="152"/>
      <w:bookmarkEnd w:id="153"/>
      <w:bookmarkEnd w:id="154"/>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2"/>
        <w:gridCol w:w="1997"/>
        <w:gridCol w:w="1181"/>
        <w:gridCol w:w="908"/>
        <w:gridCol w:w="928"/>
        <w:gridCol w:w="1092"/>
        <w:gridCol w:w="928"/>
        <w:gridCol w:w="983"/>
        <w:gridCol w:w="1092"/>
        <w:gridCol w:w="946"/>
        <w:gridCol w:w="991"/>
        <w:gridCol w:w="1092"/>
        <w:gridCol w:w="868"/>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restart"/>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997" w:type="dxa"/>
            <w:vMerge w:val="restart"/>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行业</w:t>
            </w:r>
          </w:p>
        </w:tc>
        <w:tc>
          <w:tcPr>
            <w:tcW w:w="3017"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大型企业</w:t>
            </w:r>
          </w:p>
        </w:tc>
        <w:tc>
          <w:tcPr>
            <w:tcW w:w="3003"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中型企业</w:t>
            </w:r>
          </w:p>
        </w:tc>
        <w:tc>
          <w:tcPr>
            <w:tcW w:w="3029"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小型企业</w:t>
            </w:r>
          </w:p>
        </w:tc>
        <w:tc>
          <w:tcPr>
            <w:tcW w:w="2800" w:type="dxa"/>
            <w:gridSpan w:val="3"/>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continue"/>
            <w:noWrap w:val="0"/>
            <w:vAlign w:val="center"/>
          </w:tcPr>
          <w:p>
            <w:pPr>
              <w:spacing w:line="240" w:lineRule="atLeast"/>
              <w:ind w:left="-48" w:leftChars="-23" w:right="-65" w:rightChars="-31"/>
              <w:jc w:val="center"/>
              <w:rPr>
                <w:rFonts w:ascii="宋体" w:hAnsi="宋体" w:cs="宋体"/>
                <w:b/>
                <w:color w:val="auto"/>
                <w:kern w:val="0"/>
                <w:szCs w:val="21"/>
                <w:highlight w:val="none"/>
              </w:rPr>
            </w:pPr>
          </w:p>
        </w:tc>
        <w:tc>
          <w:tcPr>
            <w:tcW w:w="1997" w:type="dxa"/>
            <w:vMerge w:val="continue"/>
            <w:noWrap w:val="0"/>
            <w:vAlign w:val="center"/>
          </w:tcPr>
          <w:p>
            <w:pPr>
              <w:spacing w:line="240" w:lineRule="atLeast"/>
              <w:ind w:left="-48" w:leftChars="-23" w:right="-65" w:rightChars="-31"/>
              <w:jc w:val="left"/>
              <w:rPr>
                <w:rFonts w:ascii="宋体" w:hAnsi="宋体" w:cs="宋体"/>
                <w:b/>
                <w:color w:val="auto"/>
                <w:kern w:val="0"/>
                <w:szCs w:val="21"/>
                <w:highlight w:val="none"/>
              </w:rPr>
            </w:pPr>
          </w:p>
        </w:tc>
        <w:tc>
          <w:tcPr>
            <w:tcW w:w="1181"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90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92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c>
          <w:tcPr>
            <w:tcW w:w="1092"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92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983"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c>
          <w:tcPr>
            <w:tcW w:w="1092"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946"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991"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c>
          <w:tcPr>
            <w:tcW w:w="1092"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营业收入(万元)</w:t>
            </w:r>
          </w:p>
        </w:tc>
        <w:tc>
          <w:tcPr>
            <w:tcW w:w="868"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从业人员(人)</w:t>
            </w:r>
          </w:p>
        </w:tc>
        <w:tc>
          <w:tcPr>
            <w:tcW w:w="840" w:type="dxa"/>
            <w:noWrap w:val="0"/>
            <w:vAlign w:val="center"/>
          </w:tcPr>
          <w:p>
            <w:pPr>
              <w:spacing w:line="240" w:lineRule="atLeast"/>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农、林、牧、渔业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46" w:type="dxa"/>
            <w:noWrap w:val="0"/>
            <w:vAlign w:val="center"/>
          </w:tcPr>
          <w:p>
            <w:pPr>
              <w:widowControl/>
              <w:spacing w:line="240" w:lineRule="atLeast"/>
              <w:jc w:val="center"/>
              <w:rPr>
                <w:rFonts w:ascii="宋体" w:hAnsi="宋体" w:cs="宋体"/>
                <w:color w:val="auto"/>
                <w:kern w:val="0"/>
                <w:szCs w:val="21"/>
                <w:highlight w:val="none"/>
              </w:rPr>
            </w:pP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68" w:type="dxa"/>
            <w:noWrap w:val="0"/>
            <w:vAlign w:val="center"/>
          </w:tcPr>
          <w:p>
            <w:pPr>
              <w:widowControl/>
              <w:spacing w:line="240" w:lineRule="atLeast"/>
              <w:jc w:val="center"/>
              <w:rPr>
                <w:rFonts w:ascii="宋体" w:hAnsi="宋体" w:cs="宋体"/>
                <w:color w:val="auto"/>
                <w:kern w:val="0"/>
                <w:szCs w:val="21"/>
                <w:highlight w:val="none"/>
              </w:rPr>
            </w:pP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工业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建筑业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批发业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零售业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6</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交通运输业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7</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仓储业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8</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邮政业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9</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住宿业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10</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餐饮业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11</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信息传输业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12</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软件和信息技术服务业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13</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房地产开发经验</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46" w:type="dxa"/>
            <w:noWrap w:val="0"/>
            <w:vAlign w:val="center"/>
          </w:tcPr>
          <w:p>
            <w:pPr>
              <w:widowControl/>
              <w:spacing w:line="240" w:lineRule="atLeast"/>
              <w:jc w:val="center"/>
              <w:rPr>
                <w:rFonts w:ascii="宋体" w:hAnsi="宋体" w:cs="宋体"/>
                <w:color w:val="auto"/>
                <w:kern w:val="0"/>
                <w:szCs w:val="21"/>
                <w:highlight w:val="none"/>
              </w:rPr>
            </w:pP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68" w:type="dxa"/>
            <w:noWrap w:val="0"/>
            <w:vAlign w:val="center"/>
          </w:tcPr>
          <w:p>
            <w:pPr>
              <w:widowControl/>
              <w:spacing w:line="240" w:lineRule="atLeast"/>
              <w:jc w:val="center"/>
              <w:rPr>
                <w:rFonts w:ascii="宋体" w:hAnsi="宋体" w:cs="宋体"/>
                <w:color w:val="auto"/>
                <w:kern w:val="0"/>
                <w:szCs w:val="21"/>
                <w:highlight w:val="none"/>
              </w:rPr>
            </w:pP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14</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物业管理</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15</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租赁和商务服务业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noWrap w:val="0"/>
            <w:vAlign w:val="center"/>
          </w:tcPr>
          <w:p>
            <w:pPr>
              <w:widowControl/>
              <w:spacing w:line="240" w:lineRule="atLeast"/>
              <w:ind w:left="-107" w:leftChars="-51" w:right="-107" w:rightChars="-5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16</w:t>
            </w:r>
          </w:p>
        </w:tc>
        <w:tc>
          <w:tcPr>
            <w:tcW w:w="1997" w:type="dxa"/>
            <w:noWrap w:val="0"/>
            <w:vAlign w:val="center"/>
          </w:tcPr>
          <w:p>
            <w:pPr>
              <w:spacing w:line="240" w:lineRule="atLeast"/>
              <w:ind w:left="-27" w:leftChars="-13" w:right="-65" w:rightChars="-31"/>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其他未列明行业</w:t>
            </w:r>
          </w:p>
        </w:tc>
        <w:tc>
          <w:tcPr>
            <w:tcW w:w="1181"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0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p>
        </w:tc>
        <w:tc>
          <w:tcPr>
            <w:tcW w:w="928" w:type="dxa"/>
            <w:noWrap w:val="0"/>
            <w:vAlign w:val="center"/>
          </w:tcPr>
          <w:p>
            <w:pPr>
              <w:widowControl/>
              <w:spacing w:line="240" w:lineRule="atLeast"/>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83" w:type="dxa"/>
            <w:noWrap w:val="0"/>
            <w:vAlign w:val="center"/>
          </w:tcPr>
          <w:p>
            <w:pPr>
              <w:widowControl/>
              <w:spacing w:line="240" w:lineRule="atLeast"/>
              <w:jc w:val="center"/>
              <w:rPr>
                <w:rFonts w:ascii="宋体" w:hAnsi="宋体" w:cs="宋体"/>
                <w:color w:val="auto"/>
                <w:kern w:val="0"/>
                <w:szCs w:val="21"/>
                <w:highlight w:val="none"/>
              </w:rPr>
            </w:pP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946"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1"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92" w:type="dxa"/>
            <w:noWrap w:val="0"/>
            <w:vAlign w:val="center"/>
          </w:tcPr>
          <w:p>
            <w:pPr>
              <w:widowControl/>
              <w:spacing w:line="240" w:lineRule="atLeast"/>
              <w:jc w:val="center"/>
              <w:rPr>
                <w:rFonts w:ascii="宋体" w:hAnsi="宋体" w:cs="宋体"/>
                <w:color w:val="auto"/>
                <w:kern w:val="0"/>
                <w:szCs w:val="21"/>
                <w:highlight w:val="none"/>
              </w:rPr>
            </w:pPr>
          </w:p>
        </w:tc>
        <w:tc>
          <w:tcPr>
            <w:tcW w:w="868" w:type="dxa"/>
            <w:noWrap w:val="0"/>
            <w:vAlign w:val="center"/>
          </w:tcPr>
          <w:p>
            <w:pPr>
              <w:widowControl/>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0" w:type="dxa"/>
            <w:noWrap w:val="0"/>
            <w:vAlign w:val="center"/>
          </w:tcPr>
          <w:p>
            <w:pPr>
              <w:widowControl/>
              <w:spacing w:line="240" w:lineRule="atLeast"/>
              <w:jc w:val="center"/>
              <w:rPr>
                <w:rFonts w:ascii="宋体" w:hAnsi="宋体" w:cs="宋体"/>
                <w:color w:val="auto"/>
                <w:kern w:val="0"/>
                <w:szCs w:val="21"/>
                <w:highlight w:val="none"/>
              </w:rPr>
            </w:pPr>
          </w:p>
        </w:tc>
      </w:tr>
    </w:tbl>
    <w:p>
      <w:pPr>
        <w:rPr>
          <w:color w:val="auto"/>
          <w:highlight w:val="none"/>
        </w:rPr>
        <w:sectPr>
          <w:footerReference r:id="rId11" w:type="default"/>
          <w:pgSz w:w="16838" w:h="11906" w:orient="landscape"/>
          <w:pgMar w:top="1191" w:right="1134" w:bottom="1191" w:left="1134"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55" w:name="_Toc494665954"/>
      <w:bookmarkStart w:id="156" w:name="_Toc494721104"/>
      <w:bookmarkStart w:id="157" w:name="_Toc494702274"/>
      <w:bookmarkStart w:id="158" w:name="_Toc511894532"/>
      <w:bookmarkStart w:id="159" w:name="_Toc494665004"/>
      <w:bookmarkStart w:id="160" w:name="_Toc494665557"/>
      <w:bookmarkStart w:id="161" w:name="_Toc494745321"/>
      <w:bookmarkStart w:id="162" w:name="_Toc172"/>
      <w:bookmarkStart w:id="163" w:name="_Toc31793"/>
      <w:r>
        <w:rPr>
          <w:rFonts w:hint="eastAsia" w:ascii="宋体" w:hAnsi="宋体" w:cs="Times New Roman"/>
          <w:bCs w:val="0"/>
          <w:color w:val="auto"/>
          <w:highlight w:val="none"/>
        </w:rPr>
        <w:t>残疾人福利性单位声明函</w:t>
      </w:r>
      <w:bookmarkEnd w:id="155"/>
      <w:bookmarkEnd w:id="156"/>
      <w:bookmarkEnd w:id="157"/>
      <w:bookmarkEnd w:id="158"/>
      <w:bookmarkEnd w:id="159"/>
      <w:bookmarkEnd w:id="160"/>
      <w:bookmarkEnd w:id="161"/>
      <w:r>
        <w:rPr>
          <w:rFonts w:hint="eastAsia" w:ascii="宋体" w:hAnsi="宋体" w:cs="Times New Roman"/>
          <w:bCs w:val="0"/>
          <w:color w:val="auto"/>
          <w:highlight w:val="none"/>
        </w:rPr>
        <w:t>（适用于货物类项目）</w:t>
      </w:r>
      <w:bookmarkEnd w:id="162"/>
      <w:bookmarkEnd w:id="163"/>
    </w:p>
    <w:p>
      <w:pPr>
        <w:jc w:val="center"/>
        <w:rPr>
          <w:rFonts w:ascii="宋体" w:hAnsi="宋体"/>
          <w:b/>
          <w:color w:val="auto"/>
          <w:sz w:val="30"/>
          <w:szCs w:val="30"/>
          <w:highlight w:val="none"/>
        </w:rPr>
      </w:pPr>
      <w:r>
        <w:rPr>
          <w:rFonts w:hint="eastAsia" w:ascii="宋体" w:hAnsi="宋体"/>
          <w:b/>
          <w:color w:val="auto"/>
          <w:sz w:val="30"/>
          <w:szCs w:val="30"/>
          <w:highlight w:val="none"/>
        </w:rPr>
        <w:t>残疾人福利性单位声明函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（适用于货物类项目）</w:t>
      </w:r>
    </w:p>
    <w:p>
      <w:pPr>
        <w:spacing w:line="360" w:lineRule="auto"/>
        <w:rPr>
          <w:rFonts w:ascii="宋体" w:hAnsi="宋体" w:cs="Courier New"/>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Courier New"/>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中国残疾人联合会关于促进残疾人就业政府采购政策的通知》（财库〔2017〕141号）的规定，本单位为符合条件的残疾人福利性单位（详见“残疾人福利性单位应当满足的条件”）。</w:t>
      </w:r>
    </w:p>
    <w:p>
      <w:pPr>
        <w:numPr>
          <w:ilvl w:val="0"/>
          <w:numId w:val="45"/>
        </w:numPr>
        <w:tabs>
          <w:tab w:val="left" w:pos="854"/>
        </w:tabs>
        <w:autoSpaceDE w:val="0"/>
        <w:autoSpaceDN w:val="0"/>
        <w:adjustRightInd w:val="0"/>
        <w:spacing w:line="360" w:lineRule="auto"/>
        <w:ind w:left="0" w:firstLine="480" w:firstLineChars="200"/>
        <w:rPr>
          <w:rFonts w:ascii="宋体" w:hAnsi="宋体" w:cs="Courier New"/>
          <w:color w:val="auto"/>
          <w:sz w:val="24"/>
          <w:szCs w:val="21"/>
          <w:highlight w:val="none"/>
        </w:rPr>
      </w:pPr>
      <w:r>
        <w:rPr>
          <w:rFonts w:hint="eastAsia" w:ascii="宋体" w:hAnsi="宋体" w:cs="Courier New"/>
          <w:color w:val="auto"/>
          <w:sz w:val="24"/>
          <w:szCs w:val="21"/>
          <w:highlight w:val="none"/>
        </w:rPr>
        <w:t>本单位授权</w:t>
      </w:r>
      <w:r>
        <w:rPr>
          <w:rFonts w:hint="eastAsia" w:ascii="宋体" w:hAnsi="宋体" w:cs="Courier New"/>
          <w:color w:val="auto"/>
          <w:sz w:val="24"/>
          <w:szCs w:val="21"/>
          <w:highlight w:val="none"/>
          <w:u w:val="single"/>
        </w:rPr>
        <w:t xml:space="preserve"> （投标人） </w:t>
      </w:r>
      <w:r>
        <w:rPr>
          <w:rFonts w:hint="eastAsia" w:ascii="宋体" w:hAnsi="宋体" w:cs="Courier New"/>
          <w:color w:val="auto"/>
          <w:sz w:val="24"/>
          <w:szCs w:val="21"/>
          <w:highlight w:val="none"/>
        </w:rPr>
        <w:t>参加</w:t>
      </w:r>
      <w:r>
        <w:rPr>
          <w:rFonts w:hint="eastAsia" w:ascii="宋体" w:hAnsi="宋体" w:cs="Courier New"/>
          <w:color w:val="auto"/>
          <w:sz w:val="24"/>
          <w:szCs w:val="21"/>
          <w:highlight w:val="none"/>
          <w:u w:val="single"/>
        </w:rPr>
        <w:t xml:space="preserve"> （采购人） </w:t>
      </w:r>
      <w:r>
        <w:rPr>
          <w:rFonts w:hint="eastAsia" w:ascii="宋体" w:hAnsi="宋体" w:cs="Courier New"/>
          <w:color w:val="auto"/>
          <w:sz w:val="24"/>
          <w:szCs w:val="21"/>
          <w:highlight w:val="none"/>
        </w:rPr>
        <w:t>的</w:t>
      </w:r>
      <w:r>
        <w:rPr>
          <w:rFonts w:hint="eastAsia" w:ascii="宋体" w:hAnsi="宋体" w:cs="Times New Roman"/>
          <w:color w:val="auto"/>
          <w:sz w:val="24"/>
          <w:szCs w:val="21"/>
          <w:highlight w:val="none"/>
          <w:u w:val="single"/>
        </w:rPr>
        <w:t xml:space="preserve">     </w:t>
      </w:r>
      <w:r>
        <w:rPr>
          <w:rFonts w:hint="eastAsia" w:ascii="宋体" w:hAnsi="宋体" w:cs="Courier New"/>
          <w:color w:val="auto"/>
          <w:sz w:val="24"/>
          <w:szCs w:val="21"/>
          <w:highlight w:val="none"/>
        </w:rPr>
        <w:t>项目（项目编号：</w:t>
      </w:r>
      <w:r>
        <w:rPr>
          <w:rFonts w:hint="eastAsia" w:ascii="宋体" w:hAnsi="宋体" w:cs="Times New Roman"/>
          <w:color w:val="auto"/>
          <w:sz w:val="24"/>
          <w:szCs w:val="21"/>
          <w:highlight w:val="none"/>
          <w:u w:val="single"/>
        </w:rPr>
        <w:t xml:space="preserve">     </w:t>
      </w:r>
      <w:r>
        <w:rPr>
          <w:rFonts w:hint="eastAsia" w:ascii="宋体" w:hAnsi="宋体" w:cs="Courier New"/>
          <w:color w:val="auto"/>
          <w:sz w:val="24"/>
          <w:szCs w:val="21"/>
          <w:highlight w:val="none"/>
        </w:rPr>
        <w:t>）采购活动提供本单位制造的货物。本条所称货物不包括使用非残疾人福利性单位注册商标的货物。</w:t>
      </w:r>
    </w:p>
    <w:p>
      <w:pPr>
        <w:numPr>
          <w:ilvl w:val="0"/>
          <w:numId w:val="45"/>
        </w:numPr>
        <w:tabs>
          <w:tab w:val="left" w:pos="854"/>
        </w:tabs>
        <w:autoSpaceDE w:val="0"/>
        <w:autoSpaceDN w:val="0"/>
        <w:adjustRightInd w:val="0"/>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rPr>
        <w:t>由本单位制造的货物清单见下表：</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414"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1224"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品牌规格型号</w:t>
            </w:r>
          </w:p>
        </w:tc>
        <w:tc>
          <w:tcPr>
            <w:tcW w:w="907"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278"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1843"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分项合计(元)</w:t>
            </w:r>
          </w:p>
        </w:tc>
        <w:tc>
          <w:tcPr>
            <w:tcW w:w="1228" w:type="dxa"/>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noWrap w:val="0"/>
            <w:vAlign w:val="center"/>
          </w:tcPr>
          <w:p>
            <w:pPr>
              <w:numPr>
                <w:ilvl w:val="0"/>
                <w:numId w:val="46"/>
              </w:numPr>
              <w:tabs>
                <w:tab w:val="left" w:pos="61"/>
              </w:tabs>
              <w:adjustRightInd w:val="0"/>
              <w:snapToGrid w:val="0"/>
              <w:ind w:left="-63" w:leftChars="-30" w:firstLine="0"/>
              <w:jc w:val="center"/>
              <w:rPr>
                <w:rFonts w:ascii="宋体" w:hAnsi="宋体"/>
                <w:color w:val="auto"/>
                <w:sz w:val="24"/>
                <w:highlight w:val="none"/>
              </w:rPr>
            </w:pPr>
          </w:p>
        </w:tc>
        <w:tc>
          <w:tcPr>
            <w:tcW w:w="241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noWrap w:val="0"/>
            <w:vAlign w:val="center"/>
          </w:tcPr>
          <w:p>
            <w:pPr>
              <w:spacing w:line="240" w:lineRule="atLeast"/>
              <w:ind w:left="-48" w:leftChars="-23" w:right="-376" w:rightChars="-179"/>
              <w:jc w:val="center"/>
              <w:rPr>
                <w:rFonts w:ascii="宋体" w:hAnsi="宋体" w:cs="宋体"/>
                <w:color w:val="auto"/>
                <w:kern w:val="0"/>
                <w:sz w:val="24"/>
                <w:szCs w:val="24"/>
                <w:highlight w:val="none"/>
              </w:rPr>
            </w:pPr>
          </w:p>
        </w:tc>
        <w:tc>
          <w:tcPr>
            <w:tcW w:w="127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noWrap w:val="0"/>
            <w:vAlign w:val="center"/>
          </w:tcPr>
          <w:p>
            <w:pPr>
              <w:numPr>
                <w:ilvl w:val="0"/>
                <w:numId w:val="46"/>
              </w:numPr>
              <w:tabs>
                <w:tab w:val="left" w:pos="61"/>
              </w:tabs>
              <w:adjustRightInd w:val="0"/>
              <w:snapToGrid w:val="0"/>
              <w:ind w:left="-63" w:leftChars="-30" w:firstLine="0"/>
              <w:jc w:val="center"/>
              <w:rPr>
                <w:rFonts w:ascii="宋体" w:hAnsi="宋体"/>
                <w:color w:val="auto"/>
                <w:sz w:val="24"/>
                <w:highlight w:val="none"/>
              </w:rPr>
            </w:pPr>
          </w:p>
        </w:tc>
        <w:tc>
          <w:tcPr>
            <w:tcW w:w="241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noWrap w:val="0"/>
            <w:vAlign w:val="center"/>
          </w:tcPr>
          <w:p>
            <w:pPr>
              <w:tabs>
                <w:tab w:val="left" w:pos="82"/>
              </w:tabs>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241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90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27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84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22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6475" w:type="dxa"/>
            <w:gridSpan w:val="5"/>
            <w:noWrap w:val="0"/>
            <w:vAlign w:val="center"/>
          </w:tcPr>
          <w:p>
            <w:pPr>
              <w:spacing w:line="240" w:lineRule="atLeast"/>
              <w:ind w:left="-48" w:leftChars="-23" w:right="-65" w:rightChars="-3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3071" w:type="dxa"/>
            <w:gridSpan w:val="2"/>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r>
    </w:tbl>
    <w:p>
      <w:pPr>
        <w:spacing w:line="360" w:lineRule="auto"/>
        <w:ind w:firstLine="475" w:firstLineChars="198"/>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本单位对上述声明的真实性负责。如有虚假，将依法承担相应责任。</w:t>
      </w:r>
    </w:p>
    <w:p>
      <w:pPr>
        <w:spacing w:line="360" w:lineRule="auto"/>
        <w:rPr>
          <w:rFonts w:ascii="宋体" w:hAnsi="宋体" w:cs="Times New Roman"/>
          <w:bCs/>
          <w:color w:val="auto"/>
          <w:sz w:val="24"/>
          <w:szCs w:val="24"/>
          <w:highlight w:val="none"/>
        </w:rPr>
      </w:pPr>
    </w:p>
    <w:p>
      <w:pPr>
        <w:spacing w:line="360" w:lineRule="auto"/>
        <w:ind w:left="1091" w:hanging="1091" w:hangingChars="453"/>
        <w:jc w:val="left"/>
        <w:rPr>
          <w:rFonts w:ascii="宋体" w:hAnsi="宋体" w:cs="Corbel"/>
          <w:color w:val="auto"/>
          <w:sz w:val="24"/>
          <w:szCs w:val="21"/>
          <w:highlight w:val="none"/>
        </w:rPr>
      </w:pPr>
      <w:r>
        <w:rPr>
          <w:rFonts w:hint="eastAsia" w:ascii="宋体" w:hAnsi="宋体" w:cs="Times New Roman"/>
          <w:b/>
          <w:color w:val="auto"/>
          <w:sz w:val="24"/>
          <w:szCs w:val="21"/>
          <w:highlight w:val="none"/>
        </w:rPr>
        <w:t>说明</w:t>
      </w:r>
      <w:r>
        <w:rPr>
          <w:rFonts w:hint="eastAsia" w:ascii="宋体" w:hAnsi="宋体" w:cs="Times New Roman"/>
          <w:b/>
          <w:bCs/>
          <w:color w:val="auto"/>
          <w:sz w:val="24"/>
          <w:szCs w:val="24"/>
          <w:highlight w:val="none"/>
        </w:rPr>
        <w:t>：</w:t>
      </w:r>
      <w:r>
        <w:rPr>
          <w:rFonts w:hint="eastAsia" w:ascii="宋体" w:hAnsi="宋体" w:cs="Corbel"/>
          <w:color w:val="auto"/>
          <w:sz w:val="24"/>
          <w:szCs w:val="21"/>
          <w:highlight w:val="none"/>
        </w:rPr>
        <w:t>1、投标人所投货物为自己制造的，也应按本声明函格式填写。</w:t>
      </w:r>
    </w:p>
    <w:p>
      <w:pPr>
        <w:spacing w:line="360" w:lineRule="auto"/>
        <w:ind w:left="1105" w:leftChars="366" w:hanging="336" w:hangingChars="140"/>
        <w:jc w:val="left"/>
        <w:rPr>
          <w:rFonts w:ascii="宋体" w:hAnsi="宋体" w:cs="Courier New"/>
          <w:color w:val="auto"/>
          <w:sz w:val="24"/>
          <w:szCs w:val="21"/>
          <w:highlight w:val="none"/>
        </w:rPr>
      </w:pPr>
      <w:r>
        <w:rPr>
          <w:rFonts w:hint="eastAsia" w:ascii="宋体" w:hAnsi="宋体" w:cs="Courier New"/>
          <w:color w:val="auto"/>
          <w:sz w:val="24"/>
          <w:szCs w:val="21"/>
          <w:highlight w:val="none"/>
        </w:rPr>
        <w:t>2、组成联合体的大中型企业和其他自然人、法人或者其他组织，与残疾人福利性单位之间不得存在投资关系。</w:t>
      </w:r>
    </w:p>
    <w:p>
      <w:pPr>
        <w:spacing w:line="360" w:lineRule="auto"/>
        <w:ind w:left="1105" w:leftChars="366" w:hanging="336" w:hangingChars="140"/>
        <w:jc w:val="left"/>
        <w:rPr>
          <w:rFonts w:ascii="宋体" w:hAnsi="宋体" w:cs="Courier New"/>
          <w:color w:val="auto"/>
          <w:sz w:val="24"/>
          <w:szCs w:val="21"/>
          <w:highlight w:val="none"/>
        </w:rPr>
      </w:pPr>
      <w:r>
        <w:rPr>
          <w:rFonts w:hint="eastAsia" w:ascii="宋体" w:hAnsi="宋体" w:cs="Courier New"/>
          <w:color w:val="auto"/>
          <w:sz w:val="24"/>
          <w:szCs w:val="21"/>
          <w:highlight w:val="none"/>
        </w:rPr>
        <w:t>3、以联合体方式参与项目投标的供应商，应由联合体双方签字盖章。</w:t>
      </w:r>
    </w:p>
    <w:p>
      <w:pPr>
        <w:spacing w:before="100" w:beforeAutospacing="1" w:after="100" w:afterAutospacing="1" w:line="360" w:lineRule="auto"/>
        <w:ind w:firstLine="3330" w:firstLineChars="1382"/>
        <w:rPr>
          <w:rFonts w:ascii="宋体" w:hAnsi="宋体" w:cs="Times New Roman"/>
          <w:b/>
          <w:bCs/>
          <w:color w:val="auto"/>
          <w:sz w:val="24"/>
          <w:szCs w:val="21"/>
          <w:highlight w:val="none"/>
        </w:rPr>
      </w:pPr>
      <w:r>
        <w:rPr>
          <w:rFonts w:hint="eastAsia" w:ascii="宋体" w:hAnsi="宋体" w:cs="Times New Roman"/>
          <w:b/>
          <w:bCs/>
          <w:color w:val="auto"/>
          <w:sz w:val="24"/>
          <w:szCs w:val="21"/>
          <w:highlight w:val="none"/>
        </w:rPr>
        <w:t>制造商（公章）：</w:t>
      </w:r>
      <w:r>
        <w:rPr>
          <w:rFonts w:hint="eastAsia" w:ascii="宋体" w:hAnsi="宋体" w:cs="Times New Roman"/>
          <w:b/>
          <w:bCs/>
          <w:color w:val="auto"/>
          <w:sz w:val="24"/>
          <w:szCs w:val="21"/>
          <w:highlight w:val="none"/>
          <w:u w:val="single"/>
        </w:rPr>
        <w:t xml:space="preserve">                           </w:t>
      </w:r>
    </w:p>
    <w:p>
      <w:pPr>
        <w:spacing w:before="100" w:beforeAutospacing="1" w:after="100" w:afterAutospacing="1" w:line="360" w:lineRule="auto"/>
        <w:ind w:firstLine="3330" w:firstLineChars="1382"/>
        <w:rPr>
          <w:rFonts w:ascii="宋体" w:hAnsi="宋体" w:cs="Times New Roman"/>
          <w:bCs/>
          <w:color w:val="auto"/>
          <w:sz w:val="24"/>
          <w:szCs w:val="21"/>
          <w:highlight w:val="none"/>
        </w:rPr>
      </w:pPr>
      <w:r>
        <w:rPr>
          <w:rFonts w:hint="eastAsia" w:ascii="宋体" w:hAnsi="宋体" w:cs="Times New Roman"/>
          <w:b/>
          <w:bCs/>
          <w:color w:val="auto"/>
          <w:sz w:val="24"/>
          <w:szCs w:val="21"/>
          <w:highlight w:val="none"/>
        </w:rPr>
        <w:t>制造商法定代表人（</w:t>
      </w:r>
      <w:r>
        <w:rPr>
          <w:rFonts w:hint="eastAsia" w:ascii="宋体" w:hAnsi="宋体" w:cs="Times New Roman"/>
          <w:b/>
          <w:color w:val="auto"/>
          <w:sz w:val="24"/>
          <w:szCs w:val="21"/>
          <w:highlight w:val="none"/>
        </w:rPr>
        <w:t>签字或盖章</w:t>
      </w:r>
      <w:r>
        <w:rPr>
          <w:rFonts w:hint="eastAsia" w:ascii="宋体" w:hAnsi="宋体" w:cs="Times New Roman"/>
          <w:b/>
          <w:bCs/>
          <w:color w:val="auto"/>
          <w:sz w:val="24"/>
          <w:szCs w:val="21"/>
          <w:highlight w:val="none"/>
        </w:rPr>
        <w:t>）</w:t>
      </w:r>
      <w:r>
        <w:rPr>
          <w:rFonts w:hint="eastAsia" w:ascii="宋体" w:hAnsi="宋体" w:cs="Times New Roman"/>
          <w:bCs/>
          <w:color w:val="auto"/>
          <w:sz w:val="24"/>
          <w:szCs w:val="21"/>
          <w:highlight w:val="none"/>
        </w:rPr>
        <w:t>：</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hAnsi="宋体" w:cs="Times New Roman"/>
          <w:bCs/>
          <w:color w:val="auto"/>
          <w:sz w:val="24"/>
          <w:szCs w:val="24"/>
          <w:highlight w:val="none"/>
          <w:u w:val="single"/>
        </w:rPr>
        <w:t xml:space="preserve">                                </w:t>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sectPr>
          <w:footerReference r:id="rId12" w:type="default"/>
          <w:pgSz w:w="11906" w:h="16838"/>
          <w:pgMar w:top="1134" w:right="1191" w:bottom="1134" w:left="1191" w:header="851" w:footer="907"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64" w:name="_Toc14138"/>
      <w:bookmarkStart w:id="165" w:name="_Toc3648"/>
      <w:r>
        <w:rPr>
          <w:rFonts w:hint="eastAsia" w:ascii="宋体" w:hAnsi="宋体" w:cs="Times New Roman"/>
          <w:bCs w:val="0"/>
          <w:color w:val="auto"/>
          <w:highlight w:val="none"/>
        </w:rPr>
        <w:t>残疾人福利性单位声明函（适用于工程类、服务类项目）</w:t>
      </w:r>
      <w:bookmarkEnd w:id="164"/>
      <w:bookmarkEnd w:id="165"/>
    </w:p>
    <w:p>
      <w:pPr>
        <w:jc w:val="center"/>
        <w:rPr>
          <w:rFonts w:ascii="宋体" w:hAnsi="宋体"/>
          <w:b/>
          <w:color w:val="auto"/>
          <w:sz w:val="30"/>
          <w:szCs w:val="30"/>
          <w:highlight w:val="none"/>
        </w:rPr>
      </w:pPr>
      <w:r>
        <w:rPr>
          <w:rFonts w:hint="eastAsia" w:ascii="宋体" w:hAnsi="宋体"/>
          <w:b/>
          <w:color w:val="auto"/>
          <w:sz w:val="30"/>
          <w:szCs w:val="30"/>
          <w:highlight w:val="none"/>
        </w:rPr>
        <w:t>残疾人福利性单位声明函</w:t>
      </w:r>
    </w:p>
    <w:p>
      <w:pPr>
        <w:spacing w:line="340" w:lineRule="exact"/>
        <w:jc w:val="center"/>
        <w:rPr>
          <w:rFonts w:ascii="宋体" w:hAnsi="宋体"/>
          <w:color w:val="auto"/>
          <w:sz w:val="28"/>
          <w:szCs w:val="28"/>
          <w:highlight w:val="none"/>
        </w:rPr>
      </w:pPr>
      <w:r>
        <w:rPr>
          <w:rFonts w:hint="eastAsia" w:ascii="宋体" w:hAnsi="宋体"/>
          <w:color w:val="auto"/>
          <w:sz w:val="28"/>
          <w:szCs w:val="28"/>
          <w:highlight w:val="none"/>
        </w:rPr>
        <w:t>（适用于工程类、服务类项目）</w:t>
      </w: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中国残疾人联合会关于促进残疾人就业政府采购政策的通知》（财库〔2017〕141号）的规定，本单位为符合条件的残疾人福利性单位（详见“残疾人福利性单位应当满足的条件”），且本单位参加</w:t>
      </w:r>
      <w:r>
        <w:rPr>
          <w:rFonts w:hint="eastAsia" w:ascii="宋体" w:hAnsi="宋体" w:cs="Times New Roman"/>
          <w:color w:val="auto"/>
          <w:sz w:val="24"/>
          <w:szCs w:val="24"/>
          <w:highlight w:val="none"/>
          <w:u w:val="single"/>
        </w:rPr>
        <w:t xml:space="preserve">  （采购人） </w:t>
      </w:r>
      <w:r>
        <w:rPr>
          <w:rFonts w:hint="eastAsia" w:ascii="宋体" w:hAnsi="宋体" w:cs="Times New Roman"/>
          <w:color w:val="auto"/>
          <w:sz w:val="24"/>
          <w:szCs w:val="24"/>
          <w:highlight w:val="none"/>
        </w:rPr>
        <w:t>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项目（项目编号：______）采购活动由本单位承担工程（或提供服务）。</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本单位对上述声明的真实性负责。如有虚假，将依法承担相应责任。</w:t>
      </w:r>
    </w:p>
    <w:p>
      <w:pPr>
        <w:spacing w:line="360" w:lineRule="auto"/>
        <w:rPr>
          <w:rFonts w:ascii="宋体" w:hAnsi="宋体" w:cs="Times New Roman"/>
          <w:color w:val="auto"/>
          <w:sz w:val="24"/>
          <w:szCs w:val="24"/>
          <w:highlight w:val="none"/>
        </w:rPr>
      </w:pPr>
    </w:p>
    <w:p>
      <w:pPr>
        <w:spacing w:line="360" w:lineRule="auto"/>
        <w:ind w:left="1091" w:hanging="1087" w:hangingChars="453"/>
        <w:jc w:val="left"/>
        <w:rPr>
          <w:rFonts w:ascii="宋体" w:hAnsi="宋体" w:cs="Courier New"/>
          <w:color w:val="auto"/>
          <w:sz w:val="24"/>
          <w:szCs w:val="21"/>
          <w:highlight w:val="none"/>
        </w:rPr>
      </w:pPr>
      <w:r>
        <w:rPr>
          <w:rFonts w:hint="eastAsia" w:ascii="宋体" w:hAnsi="宋体" w:cs="Courier New"/>
          <w:b/>
          <w:color w:val="auto"/>
          <w:sz w:val="24"/>
          <w:szCs w:val="21"/>
          <w:highlight w:val="none"/>
        </w:rPr>
        <w:t>说明：</w:t>
      </w:r>
      <w:r>
        <w:rPr>
          <w:rFonts w:hint="eastAsia" w:ascii="宋体" w:hAnsi="宋体" w:cs="Courier New"/>
          <w:color w:val="auto"/>
          <w:sz w:val="24"/>
          <w:szCs w:val="21"/>
          <w:highlight w:val="none"/>
        </w:rPr>
        <w:t>1、组成联合体的大中型企业和其他自然人、法人或者其他组织，与残疾人福利性单位之间不得存在投资关系。</w:t>
      </w:r>
    </w:p>
    <w:p>
      <w:pPr>
        <w:spacing w:line="360" w:lineRule="auto"/>
        <w:ind w:left="1104" w:leftChars="347" w:hanging="376" w:hangingChars="157"/>
        <w:jc w:val="left"/>
        <w:rPr>
          <w:rFonts w:ascii="宋体" w:hAnsi="宋体" w:cs="Courier New"/>
          <w:color w:val="auto"/>
          <w:sz w:val="24"/>
          <w:szCs w:val="21"/>
          <w:highlight w:val="none"/>
        </w:rPr>
      </w:pPr>
      <w:r>
        <w:rPr>
          <w:rFonts w:hint="eastAsia" w:ascii="宋体" w:hAnsi="宋体" w:cs="Courier New"/>
          <w:color w:val="auto"/>
          <w:sz w:val="24"/>
          <w:szCs w:val="21"/>
          <w:highlight w:val="none"/>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
          <w:bCs/>
          <w:color w:val="auto"/>
          <w:sz w:val="24"/>
          <w:szCs w:val="21"/>
          <w:highlight w:val="none"/>
        </w:rPr>
      </w:pPr>
      <w:r>
        <w:rPr>
          <w:rFonts w:hint="eastAsia" w:ascii="宋体" w:hAnsi="宋体" w:cs="Times New Roman"/>
          <w:b/>
          <w:bCs/>
          <w:color w:val="auto"/>
          <w:sz w:val="24"/>
          <w:szCs w:val="21"/>
          <w:highlight w:val="none"/>
        </w:rPr>
        <w:t>制造商（公章）：</w:t>
      </w:r>
      <w:r>
        <w:rPr>
          <w:rFonts w:hint="eastAsia" w:ascii="宋体" w:hAnsi="宋体" w:cs="Times New Roman"/>
          <w:b/>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hAnsi="宋体" w:cs="Times New Roman"/>
          <w:color w:val="auto"/>
          <w:sz w:val="24"/>
          <w:szCs w:val="24"/>
          <w:highlight w:val="none"/>
        </w:rPr>
        <w:t>日   期：</w:t>
      </w:r>
      <w:r>
        <w:rPr>
          <w:rFonts w:hint="eastAsia" w:hAnsi="宋体" w:cs="Times New Roman"/>
          <w:bCs/>
          <w:color w:val="auto"/>
          <w:sz w:val="24"/>
          <w:szCs w:val="24"/>
          <w:highlight w:val="none"/>
          <w:u w:val="single"/>
        </w:rPr>
        <w:t xml:space="preserve">                                </w:t>
      </w: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66" w:name="_Toc8402"/>
      <w:bookmarkStart w:id="167" w:name="_Toc31384"/>
      <w:r>
        <w:rPr>
          <w:rFonts w:hint="eastAsia" w:ascii="宋体" w:hAnsi="宋体" w:cs="Times New Roman"/>
          <w:bCs w:val="0"/>
          <w:color w:val="auto"/>
          <w:highlight w:val="none"/>
        </w:rPr>
        <w:t>享受政府采购支持政策的残疾人福利性单位的标准</w:t>
      </w:r>
      <w:bookmarkEnd w:id="166"/>
      <w:bookmarkEnd w:id="167"/>
    </w:p>
    <w:p>
      <w:pPr>
        <w:spacing w:before="312" w:beforeLines="100" w:after="312" w:afterLines="100"/>
        <w:jc w:val="left"/>
        <w:rPr>
          <w:rFonts w:ascii="宋体" w:hAnsi="宋体"/>
          <w:b/>
          <w:color w:val="auto"/>
          <w:sz w:val="24"/>
          <w:szCs w:val="24"/>
          <w:highlight w:val="none"/>
        </w:rPr>
      </w:pPr>
      <w:r>
        <w:rPr>
          <w:rFonts w:hint="eastAsia" w:ascii="宋体" w:hAnsi="宋体"/>
          <w:b/>
          <w:color w:val="auto"/>
          <w:sz w:val="24"/>
          <w:szCs w:val="24"/>
          <w:highlight w:val="none"/>
        </w:rPr>
        <w:t>享受政府采购支持政策的残疾人福利性单位应当同时满足以下条件：</w:t>
      </w:r>
    </w:p>
    <w:p>
      <w:pPr>
        <w:pStyle w:val="20"/>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安置的残疾人占本单位在职职工人数的比例不低于25%（含25%），并且安置的残疾人人数不少于10人（含10人）；</w:t>
      </w:r>
    </w:p>
    <w:p>
      <w:pPr>
        <w:pStyle w:val="20"/>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依法与安置的每位残疾人签订了一年以上（含一年）的劳动合同或服务协议；</w:t>
      </w:r>
    </w:p>
    <w:p>
      <w:pPr>
        <w:pStyle w:val="20"/>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为安置的每位残疾人按月足额缴纳了基本养老保险、基本医疗保险、失业保险、工伤保险和生育保险等社会保险费；</w:t>
      </w:r>
    </w:p>
    <w:p>
      <w:pPr>
        <w:pStyle w:val="20"/>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通过银行等金融机构向安置的每位残疾人，按月支付了不低于单位所在区县适用的经省级人民政府批准的月最低工资标准的工资；</w:t>
      </w:r>
    </w:p>
    <w:p>
      <w:pPr>
        <w:pStyle w:val="20"/>
        <w:numPr>
          <w:ilvl w:val="0"/>
          <w:numId w:val="47"/>
        </w:numPr>
        <w:spacing w:line="360" w:lineRule="auto"/>
        <w:ind w:left="0"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color w:val="auto"/>
          <w:highlight w:val="none"/>
        </w:rPr>
      </w:pPr>
      <w:r>
        <w:rPr>
          <w:rFonts w:hint="eastAsia" w:ascii="宋体" w:hAnsi="宋体" w:cs="Times New Roman"/>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auto"/>
          <w:highlight w:val="none"/>
        </w:rPr>
      </w:pP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680" w:footer="850"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68" w:name="_Toc21355"/>
      <w:bookmarkStart w:id="169" w:name="_Toc511894533"/>
      <w:bookmarkStart w:id="170" w:name="_Toc511895474"/>
      <w:bookmarkStart w:id="171" w:name="_Toc26749"/>
      <w:r>
        <w:rPr>
          <w:rFonts w:hint="eastAsia" w:ascii="宋体" w:hAnsi="宋体" w:cs="Times New Roman"/>
          <w:bCs w:val="0"/>
          <w:color w:val="auto"/>
          <w:highlight w:val="none"/>
        </w:rPr>
        <w:t>开标一览表</w:t>
      </w:r>
      <w:bookmarkEnd w:id="168"/>
      <w:bookmarkEnd w:id="169"/>
      <w:bookmarkEnd w:id="170"/>
      <w:bookmarkEnd w:id="171"/>
    </w:p>
    <w:p>
      <w:pPr>
        <w:spacing w:line="360" w:lineRule="auto"/>
        <w:jc w:val="left"/>
        <w:rPr>
          <w:rFonts w:ascii="宋体" w:hAnsi="宋体" w:cs="Times New Roman"/>
          <w:b/>
          <w:color w:val="auto"/>
          <w:sz w:val="24"/>
          <w:szCs w:val="21"/>
          <w:highlight w:val="none"/>
          <w:u w:val="single"/>
        </w:rPr>
      </w:pPr>
      <w:r>
        <w:rPr>
          <w:rFonts w:hint="eastAsia" w:ascii="宋体" w:hAnsi="宋体" w:cs="Times New Roman"/>
          <w:b/>
          <w:color w:val="auto"/>
          <w:sz w:val="24"/>
          <w:szCs w:val="21"/>
          <w:highlight w:val="none"/>
        </w:rPr>
        <w:t>投 标 人：</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color w:val="auto"/>
          <w:sz w:val="24"/>
          <w:szCs w:val="21"/>
          <w:highlight w:val="none"/>
        </w:rPr>
      </w:pPr>
      <w:r>
        <w:rPr>
          <w:rFonts w:hint="eastAsia" w:ascii="宋体" w:hAnsi="宋体" w:cs="Times New Roman"/>
          <w:b/>
          <w:color w:val="auto"/>
          <w:sz w:val="24"/>
          <w:szCs w:val="21"/>
          <w:highlight w:val="none"/>
        </w:rPr>
        <w:t>项目名称：</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bCs/>
          <w:color w:val="auto"/>
          <w:sz w:val="24"/>
          <w:szCs w:val="21"/>
          <w:highlight w:val="none"/>
          <w:u w:val="singl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1913"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3022"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品牌、型号</w:t>
            </w:r>
          </w:p>
        </w:tc>
        <w:tc>
          <w:tcPr>
            <w:tcW w:w="1119"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134"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1708" w:type="dxa"/>
            <w:tcBorders>
              <w:top w:val="double" w:color="auto" w:sz="4" w:space="0"/>
              <w:bottom w:val="single" w:color="auto" w:sz="2" w:space="0"/>
            </w:tcBorders>
            <w:shd w:val="pct10" w:color="C4BC96" w:fill="DDD9C3"/>
            <w:noWrap w:val="0"/>
            <w:vAlign w:val="center"/>
          </w:tcPr>
          <w:p>
            <w:pPr>
              <w:spacing w:line="360" w:lineRule="auto"/>
              <w:ind w:left="-50" w:leftChars="-24"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noWrap w:val="0"/>
            <w:vAlign w:val="center"/>
          </w:tcPr>
          <w:p>
            <w:pPr>
              <w:numPr>
                <w:ilvl w:val="0"/>
                <w:numId w:val="49"/>
              </w:numPr>
              <w:tabs>
                <w:tab w:val="left" w:pos="61"/>
              </w:tabs>
              <w:adjustRightInd w:val="0"/>
              <w:snapToGrid w:val="0"/>
              <w:ind w:left="-63" w:leftChars="-30" w:firstLine="0"/>
              <w:jc w:val="center"/>
              <w:rPr>
                <w:rFonts w:ascii="宋体" w:hAnsi="宋体"/>
                <w:color w:val="auto"/>
                <w:sz w:val="24"/>
                <w:highlight w:val="none"/>
              </w:rPr>
            </w:pPr>
          </w:p>
        </w:tc>
        <w:tc>
          <w:tcPr>
            <w:tcW w:w="1913"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3022"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19"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34"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708" w:type="dxa"/>
            <w:tcBorders>
              <w:top w:val="single" w:color="auto" w:sz="2" w:space="0"/>
            </w:tcBorders>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noWrap w:val="0"/>
            <w:vAlign w:val="center"/>
          </w:tcPr>
          <w:p>
            <w:pPr>
              <w:tabs>
                <w:tab w:val="left" w:pos="82"/>
              </w:tabs>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913"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3022"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19"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134"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708"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投标总报价</w:t>
            </w:r>
          </w:p>
        </w:tc>
        <w:tc>
          <w:tcPr>
            <w:tcW w:w="6983" w:type="dxa"/>
            <w:gridSpan w:val="4"/>
            <w:noWrap w:val="0"/>
            <w:vAlign w:val="center"/>
          </w:tcPr>
          <w:p>
            <w:pPr>
              <w:spacing w:after="120" w:line="400" w:lineRule="atLeast"/>
              <w:ind w:left="205" w:leftChars="98"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小写：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w:t>
            </w:r>
          </w:p>
          <w:p>
            <w:pPr>
              <w:spacing w:after="120" w:line="400" w:lineRule="atLeast"/>
              <w:ind w:left="205" w:leftChars="98"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noWrap w:val="0"/>
            <w:vAlign w:val="center"/>
          </w:tcPr>
          <w:p>
            <w:pPr>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项目工期/交货期</w:t>
            </w:r>
          </w:p>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（服务期）</w:t>
            </w:r>
          </w:p>
        </w:tc>
        <w:tc>
          <w:tcPr>
            <w:tcW w:w="6983" w:type="dxa"/>
            <w:gridSpan w:val="4"/>
            <w:noWrap w:val="0"/>
            <w:vAlign w:val="center"/>
          </w:tcPr>
          <w:p>
            <w:pPr>
              <w:spacing w:line="240" w:lineRule="atLeast"/>
              <w:ind w:left="-48" w:leftChars="-23"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质保期</w:t>
            </w:r>
          </w:p>
        </w:tc>
        <w:tc>
          <w:tcPr>
            <w:tcW w:w="6983" w:type="dxa"/>
            <w:gridSpan w:val="4"/>
            <w:noWrap w:val="0"/>
            <w:vAlign w:val="center"/>
          </w:tcPr>
          <w:p>
            <w:pPr>
              <w:spacing w:line="240" w:lineRule="atLeast"/>
              <w:ind w:left="-48" w:leftChars="-23" w:right="-65" w:rightChars="-3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tc>
        <w:tc>
          <w:tcPr>
            <w:tcW w:w="6983" w:type="dxa"/>
            <w:gridSpan w:val="4"/>
            <w:noWrap w:val="0"/>
            <w:vAlign w:val="center"/>
          </w:tcPr>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1）符合小型和微型企业、监狱企业、残疾人福利性单位进行价格扣除情形的，</w:t>
            </w:r>
            <w:r>
              <w:rPr>
                <w:rFonts w:hint="eastAsia" w:ascii="宋体" w:hAnsi="宋体" w:cs="Times New Roman"/>
                <w:b/>
                <w:color w:val="auto"/>
                <w:sz w:val="24"/>
                <w:szCs w:val="24"/>
                <w:highlight w:val="none"/>
              </w:rPr>
              <w:t>需扣除的价格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2）价格扣除后，</w:t>
            </w:r>
            <w:r>
              <w:rPr>
                <w:rFonts w:hint="eastAsia" w:ascii="宋体" w:hAnsi="宋体" w:cs="Times New Roman"/>
                <w:b/>
                <w:color w:val="auto"/>
                <w:sz w:val="24"/>
                <w:szCs w:val="24"/>
                <w:highlight w:val="none"/>
              </w:rPr>
              <w:t>参与评审的价格</w:t>
            </w:r>
            <w:r>
              <w:rPr>
                <w:rFonts w:hint="eastAsia" w:ascii="宋体" w:hAnsi="宋体" w:cs="Times New Roman"/>
                <w:color w:val="auto"/>
                <w:sz w:val="24"/>
                <w:szCs w:val="24"/>
                <w:highlight w:val="none"/>
              </w:rPr>
              <w:t>合计（大写）：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佰</w:t>
            </w:r>
            <w:r>
              <w:rPr>
                <w:rFonts w:hint="eastAsia" w:ascii="宋体" w:hAnsi="宋体" w:cs="Times New Roman"/>
                <w:color w:val="auto"/>
                <w:sz w:val="24"/>
                <w:szCs w:val="24"/>
                <w:highlight w:val="none"/>
              </w:rPr>
              <w:t>元整；</w:t>
            </w:r>
          </w:p>
          <w:p>
            <w:pPr>
              <w:ind w:left="312" w:leftChars="-23" w:right="-48" w:rightChars="-23" w:hanging="360" w:hangingChars="15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3）以联合体投标的，</w:t>
            </w:r>
            <w:r>
              <w:rPr>
                <w:rFonts w:ascii="宋体" w:hAnsi="宋体" w:cs="Times New Roman"/>
                <w:color w:val="auto"/>
                <w:sz w:val="24"/>
                <w:szCs w:val="24"/>
                <w:highlight w:val="none"/>
              </w:rPr>
              <w:t>联合协议中约定小型、微型企业的协议合同金额占到联合体协议合同总金额的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w:t>
            </w:r>
          </w:p>
        </w:tc>
      </w:tr>
    </w:tbl>
    <w:p>
      <w:pPr>
        <w:spacing w:line="360" w:lineRule="auto"/>
        <w:ind w:left="1091" w:hanging="1087" w:hangingChars="453"/>
        <w:jc w:val="left"/>
        <w:rPr>
          <w:rFonts w:ascii="宋体" w:hAnsi="宋体"/>
          <w:color w:val="auto"/>
          <w:sz w:val="24"/>
          <w:highlight w:val="none"/>
        </w:rPr>
      </w:pPr>
      <w:r>
        <w:rPr>
          <w:rFonts w:hint="eastAsia" w:ascii="宋体" w:hAnsi="宋体" w:cs="Courier New"/>
          <w:b/>
          <w:color w:val="auto"/>
          <w:sz w:val="24"/>
          <w:szCs w:val="21"/>
          <w:highlight w:val="none"/>
        </w:rPr>
        <w:t>说明：</w:t>
      </w:r>
      <w:r>
        <w:rPr>
          <w:rFonts w:hint="eastAsia" w:ascii="宋体" w:hAnsi="宋体"/>
          <w:color w:val="auto"/>
          <w:sz w:val="24"/>
          <w:highlight w:val="none"/>
        </w:rPr>
        <w:t>1、所有</w:t>
      </w:r>
      <w:r>
        <w:rPr>
          <w:rFonts w:hint="eastAsia" w:ascii="宋体" w:hAnsi="宋体" w:cs="Courier New"/>
          <w:color w:val="auto"/>
          <w:sz w:val="24"/>
          <w:szCs w:val="21"/>
          <w:highlight w:val="none"/>
        </w:rPr>
        <w:t>价格</w:t>
      </w:r>
      <w:r>
        <w:rPr>
          <w:rFonts w:hint="eastAsia" w:ascii="宋体" w:hAnsi="宋体"/>
          <w:color w:val="auto"/>
          <w:sz w:val="24"/>
          <w:highlight w:val="none"/>
        </w:rPr>
        <w:t>均用人民币表示。</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2、价格应按照招标文件第二章“投标人须知”中第12条的要求进行报价。</w:t>
      </w:r>
    </w:p>
    <w:p>
      <w:pPr>
        <w:spacing w:line="360" w:lineRule="auto"/>
        <w:ind w:left="1089" w:leftChars="359" w:hanging="336" w:hangingChars="140"/>
        <w:jc w:val="left"/>
        <w:rPr>
          <w:rFonts w:ascii="宋体" w:hAnsi="宋体" w:cs="Times New Roman"/>
          <w:b/>
          <w:color w:val="auto"/>
          <w:sz w:val="24"/>
          <w:szCs w:val="24"/>
          <w:highlight w:val="none"/>
        </w:rPr>
      </w:pPr>
      <w:r>
        <w:rPr>
          <w:rFonts w:hint="eastAsia" w:ascii="宋体" w:hAnsi="宋体" w:cs="Times New Roman"/>
          <w:color w:val="auto"/>
          <w:sz w:val="24"/>
          <w:szCs w:val="24"/>
          <w:highlight w:val="none"/>
        </w:rPr>
        <w:t>3、为</w:t>
      </w:r>
      <w:r>
        <w:rPr>
          <w:rFonts w:hint="eastAsia" w:ascii="宋体" w:hAnsi="宋体" w:cs="Courier New"/>
          <w:color w:val="auto"/>
          <w:sz w:val="24"/>
          <w:szCs w:val="21"/>
          <w:highlight w:val="none"/>
        </w:rPr>
        <w:t>方便</w:t>
      </w:r>
      <w:r>
        <w:rPr>
          <w:rFonts w:hint="eastAsia" w:ascii="宋体" w:hAnsi="宋体" w:cs="Times New Roman"/>
          <w:color w:val="auto"/>
          <w:sz w:val="24"/>
          <w:szCs w:val="24"/>
          <w:highlight w:val="none"/>
        </w:rPr>
        <w:t>开标时唱标，投标人应另附《开标一览表》原件一份</w:t>
      </w:r>
      <w:r>
        <w:rPr>
          <w:rFonts w:hint="eastAsia" w:ascii="宋体" w:hAnsi="宋体" w:cs="Times New Roman"/>
          <w:color w:val="auto"/>
          <w:spacing w:val="-6"/>
          <w:kern w:val="0"/>
          <w:sz w:val="24"/>
          <w:szCs w:val="24"/>
          <w:highlight w:val="none"/>
        </w:rPr>
        <w:t>装入一个信封，单独密封提交</w:t>
      </w:r>
      <w:r>
        <w:rPr>
          <w:rFonts w:hint="eastAsia" w:ascii="宋体" w:hAnsi="宋体" w:cs="Times New Roman"/>
          <w:color w:val="auto"/>
          <w:sz w:val="24"/>
          <w:szCs w:val="24"/>
          <w:highlight w:val="none"/>
        </w:rPr>
        <w:t>，并在信封上标明“开标一览表”字样。未按要求单独提交上述资料或未按照招标文件规定格式填写完整并签字、盖章</w:t>
      </w:r>
      <w:r>
        <w:rPr>
          <w:rFonts w:hint="eastAsia" w:ascii="宋体" w:hAnsi="宋体" w:cs="Times New Roman"/>
          <w:color w:val="auto"/>
          <w:sz w:val="24"/>
          <w:szCs w:val="20"/>
          <w:highlight w:val="none"/>
        </w:rPr>
        <w:t>的，</w:t>
      </w:r>
      <w:r>
        <w:rPr>
          <w:rFonts w:hint="eastAsia" w:ascii="宋体" w:hAnsi="宋体" w:cs="Times New Roman"/>
          <w:color w:val="auto"/>
          <w:sz w:val="24"/>
          <w:szCs w:val="24"/>
          <w:highlight w:val="none"/>
        </w:rPr>
        <w:t>将按照</w:t>
      </w:r>
      <w:r>
        <w:rPr>
          <w:rFonts w:hint="eastAsia" w:ascii="宋体" w:hAnsi="宋体" w:cs="Times New Roman"/>
          <w:b/>
          <w:color w:val="auto"/>
          <w:sz w:val="24"/>
          <w:szCs w:val="24"/>
          <w:highlight w:val="none"/>
        </w:rPr>
        <w:t>无效投标处理</w:t>
      </w:r>
      <w:r>
        <w:rPr>
          <w:rFonts w:hint="eastAsia" w:ascii="宋体" w:hAnsi="宋体" w:cs="Times New Roman"/>
          <w:color w:val="auto"/>
          <w:sz w:val="24"/>
          <w:szCs w:val="24"/>
          <w:highlight w:val="none"/>
        </w:rPr>
        <w:t>。</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5、本表应按要求由投标人法人授权代表签字，并加盖投标人公章，否则将按照</w:t>
      </w:r>
      <w:r>
        <w:rPr>
          <w:rFonts w:hint="eastAsia" w:ascii="宋体" w:hAnsi="宋体" w:cs="Times New Roman"/>
          <w:b/>
          <w:color w:val="auto"/>
          <w:sz w:val="24"/>
          <w:szCs w:val="24"/>
          <w:highlight w:val="none"/>
        </w:rPr>
        <w:t>无效投标处理</w:t>
      </w:r>
      <w:r>
        <w:rPr>
          <w:rFonts w:hint="eastAsia" w:ascii="宋体" w:hAnsi="宋体" w:cs="Times New Roman"/>
          <w:color w:val="auto"/>
          <w:sz w:val="24"/>
          <w:szCs w:val="24"/>
          <w:highlight w:val="none"/>
        </w:rPr>
        <w:t>。</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投标人（公章）：</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sz w:val="24"/>
          <w:szCs w:val="21"/>
          <w:highlight w:val="none"/>
          <w:u w:val="single"/>
        </w:rPr>
      </w:pPr>
      <w:r>
        <w:rPr>
          <w:rFonts w:hint="eastAsia" w:ascii="宋体" w:hAnsi="宋体" w:cs="Times New Roman"/>
          <w:bCs/>
          <w:color w:val="auto"/>
          <w:sz w:val="24"/>
          <w:szCs w:val="21"/>
          <w:highlight w:val="none"/>
        </w:rPr>
        <w:t>投标人授权代表（签字）：</w:t>
      </w:r>
      <w:r>
        <w:rPr>
          <w:rFonts w:hint="eastAsia" w:ascii="宋体" w:hAnsi="宋体" w:cs="Times New Roman"/>
          <w:bCs/>
          <w:color w:val="auto"/>
          <w:sz w:val="24"/>
          <w:szCs w:val="21"/>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ascii="宋体" w:hAnsi="宋体" w:cs="Times New Roman"/>
          <w:bCs/>
          <w:color w:val="auto"/>
          <w:sz w:val="24"/>
          <w:szCs w:val="21"/>
          <w:highlight w:val="none"/>
          <w:u w:val="single"/>
        </w:rPr>
        <w:t xml:space="preserve">                                </w:t>
      </w:r>
    </w:p>
    <w:p>
      <w:pPr>
        <w:pStyle w:val="4"/>
        <w:spacing w:before="40" w:after="40" w:line="360" w:lineRule="auto"/>
        <w:ind w:left="1285"/>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172" w:name="_Toc23873"/>
      <w:bookmarkStart w:id="173" w:name="_Toc26148"/>
      <w:bookmarkStart w:id="174" w:name="_Toc511894534"/>
      <w:bookmarkStart w:id="175" w:name="_Toc511895475"/>
      <w:r>
        <w:rPr>
          <w:rFonts w:hint="eastAsia" w:ascii="宋体" w:hAnsi="宋体" w:cs="Times New Roman"/>
          <w:bCs w:val="0"/>
          <w:color w:val="auto"/>
          <w:highlight w:val="none"/>
        </w:rPr>
        <w:t>投标报价明细表</w:t>
      </w:r>
      <w:bookmarkEnd w:id="172"/>
      <w:bookmarkEnd w:id="173"/>
      <w:bookmarkEnd w:id="174"/>
      <w:bookmarkEnd w:id="175"/>
    </w:p>
    <w:p>
      <w:pPr>
        <w:spacing w:line="360" w:lineRule="auto"/>
        <w:jc w:val="left"/>
        <w:rPr>
          <w:rFonts w:ascii="宋体" w:hAnsi="宋体" w:cs="Times New Roman"/>
          <w:b/>
          <w:color w:val="auto"/>
          <w:sz w:val="24"/>
          <w:szCs w:val="21"/>
          <w:highlight w:val="none"/>
          <w:u w:val="single"/>
        </w:rPr>
      </w:pPr>
      <w:bookmarkStart w:id="176" w:name="OLE_LINK1"/>
      <w:r>
        <w:rPr>
          <w:rFonts w:hint="eastAsia" w:ascii="宋体" w:hAnsi="宋体" w:cs="Times New Roman"/>
          <w:b/>
          <w:color w:val="auto"/>
          <w:sz w:val="24"/>
          <w:szCs w:val="21"/>
          <w:highlight w:val="none"/>
        </w:rPr>
        <w:t>投 标 人：</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color w:val="auto"/>
          <w:sz w:val="24"/>
          <w:szCs w:val="21"/>
          <w:highlight w:val="none"/>
        </w:rPr>
      </w:pPr>
      <w:r>
        <w:rPr>
          <w:rFonts w:hint="eastAsia" w:ascii="宋体" w:hAnsi="宋体" w:cs="Times New Roman"/>
          <w:b/>
          <w:color w:val="auto"/>
          <w:sz w:val="24"/>
          <w:szCs w:val="21"/>
          <w:highlight w:val="none"/>
        </w:rPr>
        <w:t>项目名称：</w:t>
      </w:r>
      <w:r>
        <w:rPr>
          <w:rFonts w:hint="eastAsia" w:ascii="宋体" w:hAnsi="宋体" w:cs="Times New Roman"/>
          <w:b/>
          <w:color w:val="auto"/>
          <w:sz w:val="24"/>
          <w:szCs w:val="21"/>
          <w:highlight w:val="none"/>
          <w:u w:val="single"/>
        </w:rPr>
        <w:t xml:space="preserve">                     </w:t>
      </w:r>
    </w:p>
    <w:p>
      <w:pPr>
        <w:spacing w:line="360" w:lineRule="auto"/>
        <w:jc w:val="left"/>
        <w:rPr>
          <w:rFonts w:ascii="宋体" w:hAnsi="宋体" w:cs="Times New Roman"/>
          <w:b/>
          <w:color w:val="auto"/>
          <w:sz w:val="24"/>
          <w:szCs w:val="21"/>
          <w:highlight w:val="none"/>
          <w:u w:val="singl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bookmarkEnd w:id="176"/>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4BC96" w:fill="DDD9C3"/>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673" w:type="dxa"/>
            <w:shd w:val="pct10" w:color="C4BC96" w:fill="DDD9C3"/>
            <w:noWrap w:val="0"/>
            <w:vAlign w:val="center"/>
          </w:tcPr>
          <w:p>
            <w:pPr>
              <w:spacing w:line="360" w:lineRule="auto"/>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1134" w:type="dxa"/>
            <w:shd w:val="pct10" w:color="C4BC96" w:fill="DDD9C3"/>
            <w:noWrap w:val="0"/>
            <w:vAlign w:val="center"/>
          </w:tcPr>
          <w:p>
            <w:pPr>
              <w:ind w:left="-48" w:leftChars="-23" w:right="-65" w:rightChars="-31"/>
              <w:jc w:val="center"/>
              <w:rPr>
                <w:rFonts w:ascii="宋体" w:hAnsi="宋体" w:cs="宋体"/>
                <w:b/>
                <w:color w:val="auto"/>
                <w:kern w:val="0"/>
                <w:sz w:val="24"/>
                <w:highlight w:val="none"/>
              </w:rPr>
            </w:pPr>
            <w:r>
              <w:rPr>
                <w:rFonts w:hint="eastAsia" w:ascii="宋体" w:hAnsi="宋体"/>
                <w:b/>
                <w:color w:val="auto"/>
                <w:sz w:val="24"/>
                <w:highlight w:val="none"/>
              </w:rPr>
              <w:t>品牌型号规格</w:t>
            </w:r>
          </w:p>
        </w:tc>
        <w:tc>
          <w:tcPr>
            <w:tcW w:w="800" w:type="dxa"/>
            <w:shd w:val="pct10" w:color="C4BC96" w:fill="DDD9C3"/>
            <w:noWrap w:val="0"/>
            <w:vAlign w:val="center"/>
          </w:tcPr>
          <w:p>
            <w:pPr>
              <w:spacing w:line="360" w:lineRule="auto"/>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76" w:type="dxa"/>
            <w:shd w:val="pct10" w:color="C4BC96" w:fill="DDD9C3"/>
            <w:noWrap w:val="0"/>
            <w:vAlign w:val="center"/>
          </w:tcPr>
          <w:p>
            <w:pPr>
              <w:spacing w:line="360" w:lineRule="auto"/>
              <w:ind w:left="-48" w:leftChars="-23"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制造商名称</w:t>
            </w:r>
          </w:p>
        </w:tc>
        <w:tc>
          <w:tcPr>
            <w:tcW w:w="1316" w:type="dxa"/>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单价</w:t>
            </w:r>
          </w:p>
        </w:tc>
        <w:tc>
          <w:tcPr>
            <w:tcW w:w="1357" w:type="dxa"/>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ind w:left="547" w:hanging="547" w:hangingChars="228"/>
              <w:jc w:val="center"/>
              <w:rPr>
                <w:rFonts w:ascii="宋体" w:hAnsi="宋体"/>
                <w:color w:val="auto"/>
                <w:sz w:val="24"/>
                <w:highlight w:val="none"/>
              </w:rPr>
            </w:pPr>
            <w:r>
              <w:rPr>
                <w:rFonts w:hint="eastAsia" w:ascii="宋体" w:hAnsi="宋体"/>
                <w:color w:val="auto"/>
                <w:sz w:val="24"/>
                <w:highlight w:val="none"/>
              </w:rPr>
              <w:t>货物1（工程或服务）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376" w:rightChars="-179"/>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货物2（工程或服务）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货物3（工程或服务）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货物4（工程或服务）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货物5（工程或服务）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pPr>
              <w:numPr>
                <w:ilvl w:val="0"/>
                <w:numId w:val="50"/>
              </w:numPr>
              <w:tabs>
                <w:tab w:val="left" w:pos="61"/>
              </w:tabs>
              <w:adjustRightInd w:val="0"/>
              <w:snapToGrid w:val="0"/>
              <w:ind w:left="-63" w:leftChars="-30" w:firstLine="0"/>
              <w:jc w:val="center"/>
              <w:rPr>
                <w:rFonts w:ascii="宋体" w:hAnsi="宋体"/>
                <w:color w:val="auto"/>
                <w:sz w:val="24"/>
                <w:highlight w:val="none"/>
              </w:rPr>
            </w:pPr>
          </w:p>
        </w:tc>
        <w:tc>
          <w:tcPr>
            <w:tcW w:w="2673" w:type="dxa"/>
            <w:noWrap w:val="0"/>
            <w:vAlign w:val="center"/>
          </w:tcPr>
          <w:p>
            <w:pPr>
              <w:tabs>
                <w:tab w:val="left" w:pos="0"/>
                <w:tab w:val="left" w:pos="56"/>
              </w:tabs>
              <w:adjustRightInd w:val="0"/>
              <w:snapToGrid w:val="0"/>
              <w:jc w:val="center"/>
              <w:rPr>
                <w:rFonts w:ascii="宋体" w:hAnsi="宋体"/>
                <w:color w:val="auto"/>
                <w:sz w:val="24"/>
                <w:highlight w:val="none"/>
              </w:rPr>
            </w:pPr>
            <w:r>
              <w:rPr>
                <w:rFonts w:hint="eastAsia" w:ascii="宋体" w:hAnsi="宋体"/>
                <w:color w:val="auto"/>
                <w:sz w:val="24"/>
                <w:highlight w:val="none"/>
              </w:rPr>
              <w:t>货物6（工程或服务）</w:t>
            </w: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noWrap w:val="0"/>
            <w:vAlign w:val="center"/>
          </w:tcPr>
          <w:p>
            <w:pPr>
              <w:tabs>
                <w:tab w:val="left" w:pos="82"/>
              </w:tabs>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2673"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134"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800"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676"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c>
          <w:tcPr>
            <w:tcW w:w="1316" w:type="dxa"/>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c>
          <w:tcPr>
            <w:tcW w:w="1357" w:type="dxa"/>
            <w:noWrap w:val="0"/>
            <w:vAlign w:val="center"/>
          </w:tcPr>
          <w:p>
            <w:pPr>
              <w:spacing w:line="240" w:lineRule="atLeast"/>
              <w:ind w:left="-48" w:leftChars="-23" w:right="-65" w:rightChars="-31"/>
              <w:jc w:val="center"/>
              <w:rPr>
                <w:rFonts w:ascii="宋体" w:hAnsi="宋体" w:cs="宋体"/>
                <w:color w:val="auto"/>
                <w:kern w:val="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noWrap w:val="0"/>
            <w:vAlign w:val="center"/>
          </w:tcPr>
          <w:p>
            <w:pPr>
              <w:spacing w:line="240" w:lineRule="atLeast"/>
              <w:ind w:left="-48" w:leftChars="-23" w:right="-65" w:rightChars="-31"/>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合计</w:t>
            </w:r>
          </w:p>
        </w:tc>
        <w:tc>
          <w:tcPr>
            <w:tcW w:w="2673" w:type="dxa"/>
            <w:gridSpan w:val="2"/>
            <w:noWrap w:val="0"/>
            <w:vAlign w:val="center"/>
          </w:tcPr>
          <w:p>
            <w:pPr>
              <w:spacing w:line="240" w:lineRule="atLeast"/>
              <w:ind w:left="-48" w:leftChars="-23" w:right="-65" w:rightChars="-31"/>
              <w:jc w:val="left"/>
              <w:rPr>
                <w:rFonts w:ascii="宋体" w:hAnsi="宋体" w:cs="宋体"/>
                <w:color w:val="auto"/>
                <w:kern w:val="0"/>
                <w:sz w:val="24"/>
                <w:szCs w:val="24"/>
                <w:highlight w:val="none"/>
              </w:rPr>
            </w:pPr>
          </w:p>
        </w:tc>
      </w:tr>
    </w:tbl>
    <w:p>
      <w:pPr>
        <w:spacing w:line="360" w:lineRule="auto"/>
        <w:ind w:left="1091" w:hanging="1091" w:hangingChars="453"/>
        <w:jc w:val="left"/>
        <w:rPr>
          <w:rFonts w:ascii="宋体" w:hAnsi="宋体"/>
          <w:color w:val="auto"/>
          <w:sz w:val="24"/>
          <w:highlight w:val="none"/>
        </w:rPr>
      </w:pPr>
      <w:r>
        <w:rPr>
          <w:rFonts w:hint="eastAsia" w:ascii="宋体" w:hAnsi="宋体"/>
          <w:b/>
          <w:color w:val="auto"/>
          <w:sz w:val="24"/>
          <w:highlight w:val="none"/>
        </w:rPr>
        <w:t>说明：</w:t>
      </w:r>
      <w:r>
        <w:rPr>
          <w:rFonts w:hint="eastAsia" w:ascii="宋体" w:hAnsi="宋体"/>
          <w:color w:val="auto"/>
          <w:sz w:val="24"/>
          <w:highlight w:val="none"/>
        </w:rPr>
        <w:t>1、</w:t>
      </w:r>
      <w:r>
        <w:rPr>
          <w:rFonts w:hint="eastAsia" w:ascii="宋体" w:hAnsi="宋体" w:cs="Courier New"/>
          <w:color w:val="auto"/>
          <w:sz w:val="24"/>
          <w:szCs w:val="21"/>
          <w:highlight w:val="none"/>
        </w:rPr>
        <w:t>所有</w:t>
      </w:r>
      <w:r>
        <w:rPr>
          <w:rFonts w:hint="eastAsia" w:ascii="宋体" w:hAnsi="宋体"/>
          <w:color w:val="auto"/>
          <w:sz w:val="24"/>
          <w:highlight w:val="none"/>
        </w:rPr>
        <w:t>价</w:t>
      </w:r>
      <w:r>
        <w:rPr>
          <w:rFonts w:hint="eastAsia" w:ascii="宋体" w:hAnsi="宋体" w:cs="Courier New"/>
          <w:color w:val="auto"/>
          <w:sz w:val="24"/>
          <w:szCs w:val="21"/>
          <w:highlight w:val="none"/>
        </w:rPr>
        <w:t>格</w:t>
      </w:r>
      <w:r>
        <w:rPr>
          <w:rFonts w:hint="eastAsia" w:ascii="宋体" w:hAnsi="宋体"/>
          <w:color w:val="auto"/>
          <w:sz w:val="24"/>
          <w:highlight w:val="none"/>
        </w:rPr>
        <w:t>均用人民币表示，单位为元。</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2、报价</w:t>
      </w:r>
      <w:r>
        <w:rPr>
          <w:rFonts w:hint="eastAsia" w:ascii="宋体" w:hAnsi="宋体" w:cs="Courier New"/>
          <w:color w:val="auto"/>
          <w:sz w:val="24"/>
          <w:szCs w:val="21"/>
          <w:highlight w:val="none"/>
        </w:rPr>
        <w:t>明细表</w:t>
      </w:r>
      <w:r>
        <w:rPr>
          <w:rFonts w:hint="eastAsia" w:ascii="宋体" w:hAnsi="宋体"/>
          <w:color w:val="auto"/>
          <w:sz w:val="24"/>
          <w:highlight w:val="none"/>
        </w:rPr>
        <w:t>合计应与《开标一览表》中的投标总报价一致。</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3、未提供详细的货物（工程或服务）报价明细</w:t>
      </w:r>
      <w:r>
        <w:rPr>
          <w:rFonts w:hint="eastAsia" w:ascii="宋体" w:hAnsi="宋体" w:cs="Corbel"/>
          <w:color w:val="auto"/>
          <w:sz w:val="24"/>
          <w:highlight w:val="none"/>
        </w:rPr>
        <w:t>，</w:t>
      </w:r>
      <w:r>
        <w:rPr>
          <w:rFonts w:hint="eastAsia" w:ascii="宋体" w:hAnsi="宋体"/>
          <w:color w:val="auto"/>
          <w:sz w:val="24"/>
          <w:highlight w:val="none"/>
        </w:rPr>
        <w:t>导致的后果由投标人自行承担。</w:t>
      </w: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tabs>
          <w:tab w:val="left" w:pos="1302"/>
        </w:tabs>
        <w:spacing w:before="40" w:after="40" w:line="360" w:lineRule="auto"/>
        <w:ind w:left="9" w:leftChars="0" w:hanging="9" w:firstLineChars="0"/>
        <w:jc w:val="center"/>
        <w:rPr>
          <w:rFonts w:ascii="宋体" w:hAnsi="宋体"/>
          <w:color w:val="auto"/>
          <w:sz w:val="31"/>
          <w:szCs w:val="31"/>
          <w:highlight w:val="none"/>
        </w:rPr>
      </w:pPr>
      <w:bookmarkStart w:id="177" w:name="_Toc10699"/>
      <w:bookmarkStart w:id="178" w:name="_Toc3243"/>
      <w:r>
        <w:rPr>
          <w:rFonts w:hint="eastAsia" w:ascii="宋体" w:hAnsi="宋体"/>
          <w:color w:val="auto"/>
          <w:sz w:val="31"/>
          <w:szCs w:val="31"/>
          <w:highlight w:val="none"/>
        </w:rPr>
        <w:t>小型和微型企业、监狱企业、残疾人福利性单位货物汇总表</w:t>
      </w:r>
      <w:bookmarkEnd w:id="177"/>
      <w:bookmarkEnd w:id="178"/>
    </w:p>
    <w:p>
      <w:pPr>
        <w:spacing w:line="360" w:lineRule="auto"/>
        <w:jc w:val="left"/>
        <w:rPr>
          <w:rFonts w:hint="eastAsia" w:hAnsi="宋体"/>
          <w:b/>
          <w:color w:val="auto"/>
          <w:sz w:val="24"/>
          <w:highlight w:val="none"/>
        </w:rPr>
      </w:pPr>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674"/>
        <w:gridCol w:w="1560"/>
        <w:gridCol w:w="1133"/>
        <w:gridCol w:w="848"/>
        <w:gridCol w:w="1100"/>
        <w:gridCol w:w="1134"/>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7" w:type="dxa"/>
            <w:shd w:val="pct10" w:color="C4BC96" w:fill="DDD9C3"/>
            <w:noWrap w:val="0"/>
            <w:vAlign w:val="center"/>
          </w:tcPr>
          <w:p>
            <w:pPr>
              <w:ind w:left="-105" w:leftChars="-50" w:right="-105" w:rightChars="-50"/>
              <w:jc w:val="center"/>
              <w:rPr>
                <w:rFonts w:ascii="宋体" w:hAnsi="宋体"/>
                <w:b/>
                <w:color w:val="auto"/>
                <w:sz w:val="24"/>
                <w:szCs w:val="24"/>
                <w:highlight w:val="none"/>
              </w:rPr>
            </w:pPr>
            <w:r>
              <w:rPr>
                <w:rFonts w:hint="eastAsia" w:ascii="宋体" w:hAnsi="宋体" w:cs="仿宋_GB2312"/>
                <w:b/>
                <w:color w:val="auto"/>
                <w:sz w:val="24"/>
                <w:szCs w:val="24"/>
                <w:highlight w:val="none"/>
              </w:rPr>
              <w:t>序号</w:t>
            </w:r>
          </w:p>
        </w:tc>
        <w:tc>
          <w:tcPr>
            <w:tcW w:w="1674"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制造商名称</w:t>
            </w:r>
          </w:p>
        </w:tc>
        <w:tc>
          <w:tcPr>
            <w:tcW w:w="1560"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货物名称</w:t>
            </w:r>
          </w:p>
        </w:tc>
        <w:tc>
          <w:tcPr>
            <w:tcW w:w="1133"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规格型号</w:t>
            </w:r>
          </w:p>
        </w:tc>
        <w:tc>
          <w:tcPr>
            <w:tcW w:w="848"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1100"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1134"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分项合计</w:t>
            </w:r>
          </w:p>
        </w:tc>
        <w:tc>
          <w:tcPr>
            <w:tcW w:w="1468" w:type="dxa"/>
            <w:shd w:val="pct10" w:color="C4BC96" w:fill="DDD9C3"/>
            <w:noWrap w:val="0"/>
            <w:vAlign w:val="center"/>
          </w:tcPr>
          <w:p>
            <w:pPr>
              <w:adjustRightInd w:val="0"/>
              <w:snapToGrid w:val="0"/>
              <w:ind w:left="-50" w:leftChars="-24" w:right="-50" w:rightChars="-24"/>
              <w:jc w:val="center"/>
              <w:rPr>
                <w:rFonts w:ascii="宋体" w:hAnsi="宋体"/>
                <w:b/>
                <w:color w:val="auto"/>
                <w:sz w:val="24"/>
                <w:szCs w:val="24"/>
                <w:highlight w:val="none"/>
              </w:rPr>
            </w:pPr>
            <w:r>
              <w:rPr>
                <w:rFonts w:hint="eastAsia" w:ascii="宋体" w:hAnsi="宋体"/>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numPr>
                <w:ilvl w:val="0"/>
                <w:numId w:val="51"/>
              </w:numPr>
              <w:tabs>
                <w:tab w:val="left" w:pos="61"/>
              </w:tabs>
              <w:adjustRightInd w:val="0"/>
              <w:snapToGrid w:val="0"/>
              <w:ind w:left="-63" w:leftChars="-30" w:firstLine="0"/>
              <w:jc w:val="center"/>
              <w:rPr>
                <w:rFonts w:ascii="宋体" w:hAnsi="宋体"/>
                <w:color w:val="auto"/>
                <w:sz w:val="24"/>
                <w:highlight w:val="none"/>
              </w:rPr>
            </w:pP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674" w:type="dxa"/>
            <w:noWrap w:val="0"/>
            <w:vAlign w:val="top"/>
          </w:tcPr>
          <w:p>
            <w:pPr>
              <w:tabs>
                <w:tab w:val="left" w:pos="0"/>
                <w:tab w:val="left" w:pos="56"/>
              </w:tabs>
              <w:adjustRightInd w:val="0"/>
              <w:snapToGrid w:val="0"/>
              <w:jc w:val="center"/>
              <w:rPr>
                <w:rFonts w:ascii="宋体" w:hAnsi="宋体" w:cs="宋体"/>
                <w:color w:val="auto"/>
                <w:kern w:val="0"/>
                <w:sz w:val="24"/>
                <w:highlight w:val="none"/>
              </w:rPr>
            </w:pPr>
          </w:p>
        </w:tc>
        <w:tc>
          <w:tcPr>
            <w:tcW w:w="156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3"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84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00"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134"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c>
          <w:tcPr>
            <w:tcW w:w="1468" w:type="dxa"/>
            <w:noWrap w:val="0"/>
            <w:vAlign w:val="center"/>
          </w:tcPr>
          <w:p>
            <w:pPr>
              <w:tabs>
                <w:tab w:val="left" w:pos="0"/>
                <w:tab w:val="left" w:pos="56"/>
              </w:tabs>
              <w:adjustRightInd w:val="0"/>
              <w:snapToGrid w:val="0"/>
              <w:jc w:val="center"/>
              <w:rPr>
                <w:rFonts w:ascii="宋体" w:hAnsi="宋体" w:cs="宋体"/>
                <w:color w:val="auto"/>
                <w:kern w:val="0"/>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912" w:type="dxa"/>
            <w:gridSpan w:val="6"/>
            <w:noWrap w:val="0"/>
            <w:vAlign w:val="top"/>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合计</w:t>
            </w:r>
          </w:p>
        </w:tc>
        <w:tc>
          <w:tcPr>
            <w:tcW w:w="2602" w:type="dxa"/>
            <w:gridSpan w:val="2"/>
            <w:noWrap w:val="0"/>
            <w:vAlign w:val="center"/>
          </w:tcPr>
          <w:p>
            <w:pPr>
              <w:spacing w:line="360" w:lineRule="auto"/>
              <w:jc w:val="left"/>
              <w:rPr>
                <w:rFonts w:ascii="宋体" w:hAnsi="宋体"/>
                <w:bCs/>
                <w:color w:val="auto"/>
                <w:sz w:val="24"/>
                <w:highlight w:val="none"/>
              </w:rPr>
            </w:pPr>
          </w:p>
        </w:tc>
      </w:tr>
    </w:tbl>
    <w:p>
      <w:pPr>
        <w:spacing w:line="360" w:lineRule="auto"/>
        <w:ind w:left="1118" w:hanging="1113" w:hangingChars="464"/>
        <w:jc w:val="left"/>
        <w:rPr>
          <w:rFonts w:ascii="宋体" w:hAnsi="宋体"/>
          <w:color w:val="auto"/>
          <w:sz w:val="24"/>
          <w:highlight w:val="none"/>
        </w:rPr>
      </w:pPr>
      <w:r>
        <w:rPr>
          <w:rFonts w:hint="eastAsia" w:ascii="宋体" w:hAnsi="宋体"/>
          <w:b/>
          <w:color w:val="auto"/>
          <w:sz w:val="24"/>
          <w:highlight w:val="none"/>
        </w:rPr>
        <w:t>说明：</w:t>
      </w:r>
      <w:r>
        <w:rPr>
          <w:rFonts w:hint="eastAsia" w:ascii="宋体" w:hAnsi="宋体"/>
          <w:color w:val="auto"/>
          <w:sz w:val="24"/>
          <w:highlight w:val="none"/>
        </w:rPr>
        <w:t>1</w:t>
      </w:r>
      <w:r>
        <w:rPr>
          <w:rFonts w:hint="eastAsia" w:ascii="宋体" w:hAnsi="宋体" w:cs="Times New Roman"/>
          <w:color w:val="auto"/>
          <w:sz w:val="24"/>
          <w:szCs w:val="24"/>
          <w:highlight w:val="none"/>
        </w:rPr>
        <w:t>、</w:t>
      </w:r>
      <w:r>
        <w:rPr>
          <w:rFonts w:hint="eastAsia" w:ascii="宋体" w:hAnsi="宋体"/>
          <w:color w:val="auto"/>
          <w:sz w:val="24"/>
          <w:highlight w:val="none"/>
        </w:rPr>
        <w:t>所有价格均用</w:t>
      </w:r>
      <w:r>
        <w:rPr>
          <w:rFonts w:hint="eastAsia" w:ascii="宋体" w:hAnsi="宋体" w:cs="Courier New"/>
          <w:color w:val="auto"/>
          <w:sz w:val="24"/>
          <w:szCs w:val="21"/>
          <w:highlight w:val="none"/>
        </w:rPr>
        <w:t>人民币</w:t>
      </w:r>
      <w:r>
        <w:rPr>
          <w:rFonts w:hint="eastAsia" w:ascii="宋体" w:hAnsi="宋体"/>
          <w:color w:val="auto"/>
          <w:sz w:val="24"/>
          <w:highlight w:val="none"/>
        </w:rPr>
        <w:t>表示，单位为元。</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s="Times New Roman"/>
          <w:color w:val="auto"/>
          <w:sz w:val="24"/>
          <w:szCs w:val="24"/>
          <w:highlight w:val="none"/>
        </w:rPr>
        <w:t>、</w:t>
      </w:r>
      <w:r>
        <w:rPr>
          <w:rFonts w:hint="eastAsia" w:ascii="宋体" w:hAnsi="宋体"/>
          <w:color w:val="auto"/>
          <w:sz w:val="24"/>
          <w:highlight w:val="none"/>
        </w:rPr>
        <w:t>投标人提供的相关证明文件对应页码填写到上表“投标文件对应的页码”中。</w:t>
      </w:r>
      <w:r>
        <w:rPr>
          <w:rFonts w:hint="eastAsia" w:ascii="宋体" w:hAnsi="宋体" w:cs="Corbel"/>
          <w:color w:val="auto"/>
          <w:sz w:val="24"/>
          <w:highlight w:val="none"/>
        </w:rPr>
        <w:t>未提供页码或内容页码完全不一致的，</w:t>
      </w:r>
      <w:r>
        <w:rPr>
          <w:rFonts w:hint="eastAsia" w:ascii="宋体" w:hAnsi="宋体"/>
          <w:color w:val="auto"/>
          <w:sz w:val="24"/>
          <w:highlight w:val="none"/>
        </w:rPr>
        <w:t>导致的后果由投标人自行承担。</w:t>
      </w: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38"/>
        </w:numPr>
        <w:tabs>
          <w:tab w:val="left" w:pos="1302"/>
        </w:tabs>
        <w:spacing w:before="40" w:after="40" w:line="360" w:lineRule="auto"/>
        <w:ind w:left="0" w:leftChars="0" w:firstLine="0" w:firstLineChars="0"/>
        <w:jc w:val="left"/>
        <w:rPr>
          <w:rFonts w:ascii="宋体" w:hAnsi="宋体"/>
          <w:color w:val="auto"/>
          <w:sz w:val="31"/>
          <w:szCs w:val="31"/>
          <w:highlight w:val="none"/>
        </w:rPr>
      </w:pPr>
      <w:bookmarkStart w:id="179" w:name="_Toc511895477"/>
      <w:bookmarkStart w:id="180" w:name="_Toc23316"/>
      <w:bookmarkStart w:id="181" w:name="_Toc3559"/>
      <w:bookmarkStart w:id="182" w:name="_Toc511894536"/>
      <w:r>
        <w:rPr>
          <w:rFonts w:hint="eastAsia" w:ascii="宋体" w:hAnsi="宋体"/>
          <w:color w:val="auto"/>
          <w:sz w:val="31"/>
          <w:szCs w:val="31"/>
          <w:highlight w:val="none"/>
        </w:rPr>
        <w:t>投标货物（工程或服务）清单</w:t>
      </w:r>
      <w:bookmarkEnd w:id="179"/>
      <w:bookmarkEnd w:id="180"/>
      <w:bookmarkEnd w:id="181"/>
      <w:bookmarkEnd w:id="182"/>
    </w:p>
    <w:p>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投 标 人：</w:t>
      </w:r>
      <w:r>
        <w:rPr>
          <w:rFonts w:hint="eastAsia" w:ascii="宋体" w:hAnsi="宋体"/>
          <w:b/>
          <w:color w:val="auto"/>
          <w:sz w:val="24"/>
          <w:highlight w:val="none"/>
          <w:u w:val="single"/>
        </w:rPr>
        <w:t xml:space="preserve">                     </w:t>
      </w:r>
    </w:p>
    <w:p>
      <w:pPr>
        <w:adjustRightInd w:val="0"/>
        <w:snapToGrid w:val="0"/>
        <w:spacing w:line="360" w:lineRule="auto"/>
        <w:rPr>
          <w:rFonts w:ascii="宋体"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4BC96" w:fill="DDD9C3"/>
            <w:noWrap w:val="0"/>
            <w:vAlign w:val="center"/>
          </w:tcPr>
          <w:p>
            <w:pPr>
              <w:ind w:left="-105" w:leftChars="-50" w:right="-105" w:rightChars="-50"/>
              <w:jc w:val="center"/>
              <w:rPr>
                <w:rFonts w:ascii="宋体" w:hAnsi="宋体" w:cs="宋体"/>
                <w:b/>
                <w:color w:val="auto"/>
                <w:kern w:val="0"/>
                <w:sz w:val="24"/>
                <w:highlight w:val="none"/>
              </w:rPr>
            </w:pPr>
            <w:r>
              <w:rPr>
                <w:rFonts w:hint="eastAsia" w:ascii="宋体" w:hAnsi="宋体" w:cs="仿宋_GB2312"/>
                <w:b/>
                <w:color w:val="auto"/>
                <w:sz w:val="24"/>
                <w:szCs w:val="24"/>
                <w:highlight w:val="none"/>
              </w:rPr>
              <w:t>序号</w:t>
            </w:r>
          </w:p>
        </w:tc>
        <w:tc>
          <w:tcPr>
            <w:tcW w:w="2872"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货物（工程或服务）名称</w:t>
            </w:r>
          </w:p>
        </w:tc>
        <w:tc>
          <w:tcPr>
            <w:tcW w:w="2459"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主要规格、技术参数</w:t>
            </w:r>
          </w:p>
        </w:tc>
        <w:tc>
          <w:tcPr>
            <w:tcW w:w="851"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2693" w:type="dxa"/>
            <w:tcBorders>
              <w:top w:val="single" w:color="auto" w:sz="4" w:space="0"/>
              <w:bottom w:val="single" w:color="auto" w:sz="2" w:space="0"/>
            </w:tcBorders>
            <w:shd w:val="pct10" w:color="C4BC96" w:fill="DDD9C3"/>
            <w:noWrap w:val="0"/>
            <w:vAlign w:val="center"/>
          </w:tcPr>
          <w:p>
            <w:pPr>
              <w:spacing w:line="360" w:lineRule="auto"/>
              <w:ind w:left="-23" w:leftChars="-11" w:right="-65" w:rightChars="-31"/>
              <w:jc w:val="center"/>
              <w:rPr>
                <w:rFonts w:ascii="宋体" w:hAnsi="宋体" w:cs="宋体"/>
                <w:b/>
                <w:color w:val="auto"/>
                <w:kern w:val="0"/>
                <w:sz w:val="24"/>
                <w:highlight w:val="none"/>
              </w:rPr>
            </w:pPr>
            <w:r>
              <w:rPr>
                <w:rFonts w:hint="eastAsia" w:ascii="宋体" w:hAnsi="宋体" w:cs="宋体"/>
                <w:b/>
                <w:color w:val="auto"/>
                <w:kern w:val="0"/>
                <w:sz w:val="24"/>
                <w:highlight w:val="none"/>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tcBorders>
              <w:top w:val="single" w:color="auto" w:sz="2" w:space="0"/>
            </w:tcBorders>
            <w:noWrap w:val="0"/>
            <w:vAlign w:val="center"/>
          </w:tcPr>
          <w:p>
            <w:pPr>
              <w:adjustRightInd w:val="0"/>
              <w:snapToGrid w:val="0"/>
              <w:ind w:left="-88" w:leftChars="-42"/>
              <w:jc w:val="center"/>
              <w:rPr>
                <w:rFonts w:ascii="宋体" w:hAnsi="宋体"/>
                <w:color w:val="auto"/>
                <w:sz w:val="24"/>
                <w:highlight w:val="none"/>
              </w:rPr>
            </w:pPr>
          </w:p>
        </w:tc>
        <w:tc>
          <w:tcPr>
            <w:tcW w:w="2459" w:type="dxa"/>
            <w:tcBorders>
              <w:top w:val="single" w:color="auto" w:sz="2" w:space="0"/>
            </w:tcBorders>
            <w:noWrap w:val="0"/>
            <w:vAlign w:val="center"/>
          </w:tcPr>
          <w:p>
            <w:pPr>
              <w:adjustRightInd w:val="0"/>
              <w:snapToGrid w:val="0"/>
              <w:jc w:val="center"/>
              <w:rPr>
                <w:rFonts w:ascii="宋体" w:hAnsi="宋体"/>
                <w:color w:val="auto"/>
                <w:sz w:val="24"/>
                <w:highlight w:val="none"/>
              </w:rPr>
            </w:pPr>
          </w:p>
        </w:tc>
        <w:tc>
          <w:tcPr>
            <w:tcW w:w="851" w:type="dxa"/>
            <w:tcBorders>
              <w:top w:val="single" w:color="auto" w:sz="2" w:space="0"/>
            </w:tcBorders>
            <w:noWrap w:val="0"/>
            <w:vAlign w:val="center"/>
          </w:tcPr>
          <w:p>
            <w:pPr>
              <w:adjustRightInd w:val="0"/>
              <w:snapToGrid w:val="0"/>
              <w:jc w:val="center"/>
              <w:rPr>
                <w:rFonts w:ascii="宋体" w:hAnsi="宋体"/>
                <w:color w:val="auto"/>
                <w:sz w:val="24"/>
                <w:highlight w:val="none"/>
              </w:rPr>
            </w:pPr>
          </w:p>
        </w:tc>
        <w:tc>
          <w:tcPr>
            <w:tcW w:w="2693" w:type="dxa"/>
            <w:tcBorders>
              <w:top w:val="single" w:color="auto" w:sz="2" w:space="0"/>
            </w:tcBorders>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ind w:left="-88" w:leftChars="-42"/>
              <w:jc w:val="center"/>
              <w:rPr>
                <w:rFonts w:ascii="宋体" w:hAnsi="宋体"/>
                <w:color w:val="auto"/>
                <w:sz w:val="24"/>
                <w:highlight w:val="none"/>
              </w:rPr>
            </w:pPr>
          </w:p>
        </w:tc>
        <w:tc>
          <w:tcPr>
            <w:tcW w:w="851" w:type="dxa"/>
            <w:noWrap w:val="0"/>
            <w:vAlign w:val="center"/>
          </w:tcPr>
          <w:p>
            <w:pPr>
              <w:adjustRightInd w:val="0"/>
              <w:snapToGrid w:val="0"/>
              <w:ind w:left="-88" w:leftChars="-42"/>
              <w:jc w:val="center"/>
              <w:rPr>
                <w:rFonts w:ascii="宋体" w:hAnsi="宋体"/>
                <w:color w:val="auto"/>
                <w:sz w:val="24"/>
                <w:highlight w:val="none"/>
              </w:rPr>
            </w:pPr>
          </w:p>
        </w:tc>
        <w:tc>
          <w:tcPr>
            <w:tcW w:w="2693" w:type="dxa"/>
            <w:noWrap w:val="0"/>
            <w:vAlign w:val="center"/>
          </w:tcPr>
          <w:p>
            <w:pPr>
              <w:adjustRightInd w:val="0"/>
              <w:snapToGrid w:val="0"/>
              <w:ind w:left="-88" w:leftChars="-42"/>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numPr>
                <w:ilvl w:val="0"/>
                <w:numId w:val="52"/>
              </w:numPr>
              <w:tabs>
                <w:tab w:val="left" w:pos="61"/>
              </w:tabs>
              <w:adjustRightInd w:val="0"/>
              <w:snapToGrid w:val="0"/>
              <w:ind w:left="-63" w:leftChars="-30" w:firstLine="0"/>
              <w:jc w:val="center"/>
              <w:rPr>
                <w:rFonts w:ascii="宋体" w:hAnsi="宋体"/>
                <w:color w:val="auto"/>
                <w:sz w:val="24"/>
                <w:highlight w:val="none"/>
              </w:rPr>
            </w:pP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pPr>
              <w:adjustRightInd w:val="0"/>
              <w:snapToGrid w:val="0"/>
              <w:ind w:left="-88" w:leftChars="-42"/>
              <w:jc w:val="center"/>
              <w:rPr>
                <w:rFonts w:ascii="宋体" w:hAnsi="宋体"/>
                <w:color w:val="auto"/>
                <w:sz w:val="24"/>
                <w:highlight w:val="none"/>
              </w:rPr>
            </w:pPr>
            <w:r>
              <w:rPr>
                <w:rFonts w:hint="eastAsia" w:ascii="宋体" w:hAnsi="宋体"/>
                <w:color w:val="auto"/>
                <w:sz w:val="24"/>
                <w:highlight w:val="none"/>
              </w:rPr>
              <w:t>…</w:t>
            </w:r>
          </w:p>
        </w:tc>
        <w:tc>
          <w:tcPr>
            <w:tcW w:w="2872" w:type="dxa"/>
            <w:noWrap w:val="0"/>
            <w:vAlign w:val="center"/>
          </w:tcPr>
          <w:p>
            <w:pPr>
              <w:adjustRightInd w:val="0"/>
              <w:snapToGrid w:val="0"/>
              <w:ind w:left="-88" w:leftChars="-42"/>
              <w:jc w:val="center"/>
              <w:rPr>
                <w:rFonts w:ascii="宋体" w:hAnsi="宋体"/>
                <w:color w:val="auto"/>
                <w:sz w:val="24"/>
                <w:highlight w:val="none"/>
              </w:rPr>
            </w:pPr>
          </w:p>
        </w:tc>
        <w:tc>
          <w:tcPr>
            <w:tcW w:w="2459" w:type="dxa"/>
            <w:noWrap w:val="0"/>
            <w:vAlign w:val="center"/>
          </w:tcPr>
          <w:p>
            <w:pPr>
              <w:adjustRightInd w:val="0"/>
              <w:snapToGrid w:val="0"/>
              <w:jc w:val="center"/>
              <w:rPr>
                <w:rFonts w:ascii="宋体" w:hAnsi="宋体"/>
                <w:color w:val="auto"/>
                <w:sz w:val="24"/>
                <w:highlight w:val="none"/>
              </w:rPr>
            </w:pPr>
          </w:p>
        </w:tc>
        <w:tc>
          <w:tcPr>
            <w:tcW w:w="851" w:type="dxa"/>
            <w:noWrap w:val="0"/>
            <w:vAlign w:val="center"/>
          </w:tcPr>
          <w:p>
            <w:pPr>
              <w:adjustRightInd w:val="0"/>
              <w:snapToGrid w:val="0"/>
              <w:jc w:val="center"/>
              <w:rPr>
                <w:rFonts w:ascii="宋体" w:hAnsi="宋体"/>
                <w:color w:val="auto"/>
                <w:sz w:val="24"/>
                <w:highlight w:val="none"/>
              </w:rPr>
            </w:pPr>
          </w:p>
        </w:tc>
        <w:tc>
          <w:tcPr>
            <w:tcW w:w="2693" w:type="dxa"/>
            <w:noWrap w:val="0"/>
            <w:vAlign w:val="center"/>
          </w:tcPr>
          <w:p>
            <w:pPr>
              <w:adjustRightInd w:val="0"/>
              <w:snapToGrid w:val="0"/>
              <w:jc w:val="center"/>
              <w:rPr>
                <w:rFonts w:ascii="宋体" w:hAnsi="宋体"/>
                <w:color w:val="auto"/>
                <w:sz w:val="24"/>
                <w:highlight w:val="none"/>
              </w:rPr>
            </w:pPr>
          </w:p>
        </w:tc>
      </w:tr>
    </w:tbl>
    <w:p>
      <w:pPr>
        <w:spacing w:line="360" w:lineRule="auto"/>
        <w:ind w:left="1118" w:hanging="1118" w:hangingChars="464"/>
        <w:jc w:val="left"/>
        <w:rPr>
          <w:rFonts w:ascii="宋体" w:hAnsi="宋体"/>
          <w:color w:val="auto"/>
          <w:sz w:val="24"/>
          <w:highlight w:val="none"/>
        </w:rPr>
      </w:pPr>
      <w:r>
        <w:rPr>
          <w:rFonts w:hint="eastAsia" w:ascii="宋体" w:hAnsi="宋体"/>
          <w:b/>
          <w:color w:val="auto"/>
          <w:sz w:val="24"/>
          <w:highlight w:val="none"/>
        </w:rPr>
        <w:t>说明：</w:t>
      </w:r>
      <w:r>
        <w:rPr>
          <w:rFonts w:hint="eastAsia" w:ascii="宋体" w:hAnsi="宋体"/>
          <w:color w:val="auto"/>
          <w:sz w:val="24"/>
          <w:highlight w:val="none"/>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color w:val="auto"/>
          <w:sz w:val="24"/>
          <w:highlight w:val="none"/>
        </w:rPr>
      </w:pPr>
      <w:r>
        <w:rPr>
          <w:rFonts w:hint="eastAsia" w:ascii="宋体" w:hAnsi="宋体"/>
          <w:color w:val="auto"/>
          <w:sz w:val="24"/>
          <w:highlight w:val="none"/>
        </w:rPr>
        <w:t>2、各项货物（工程或服务）详细技术规格、参数及要求性能，应另页描述。</w:t>
      </w: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line="360" w:lineRule="auto"/>
        <w:ind w:left="1132" w:leftChars="360" w:hanging="376" w:hangingChars="157"/>
        <w:jc w:val="left"/>
        <w:rPr>
          <w:rFonts w:ascii="宋体" w:hAnsi="宋体"/>
          <w:color w:val="auto"/>
          <w:sz w:val="24"/>
          <w:highlight w:val="none"/>
        </w:rPr>
      </w:pP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olor w:val="auto"/>
          <w:highlight w:val="none"/>
        </w:rPr>
      </w:pPr>
      <w:bookmarkStart w:id="183" w:name="_Toc511894537"/>
      <w:bookmarkStart w:id="184" w:name="_Toc511895478"/>
      <w:bookmarkStart w:id="185" w:name="_Toc7141"/>
      <w:bookmarkStart w:id="186" w:name="_Toc19244"/>
      <w:r>
        <w:rPr>
          <w:rFonts w:hint="eastAsia" w:ascii="宋体" w:hAnsi="宋体"/>
          <w:color w:val="auto"/>
          <w:highlight w:val="none"/>
        </w:rPr>
        <w:t>交纳投标保证金的银行凭证</w:t>
      </w:r>
      <w:bookmarkEnd w:id="183"/>
      <w:bookmarkEnd w:id="184"/>
      <w:bookmarkEnd w:id="185"/>
      <w:bookmarkEnd w:id="186"/>
    </w:p>
    <w:p>
      <w:pPr>
        <w:rPr>
          <w:color w:val="auto"/>
          <w:highlight w:val="none"/>
        </w:rPr>
      </w:pPr>
    </w:p>
    <w:p>
      <w:pPr>
        <w:jc w:val="center"/>
        <w:rPr>
          <w:rFonts w:hint="eastAsia" w:ascii="宋体" w:hAnsi="宋体" w:cs="Times New Roman"/>
          <w:b/>
          <w:color w:val="auto"/>
          <w:sz w:val="28"/>
          <w:szCs w:val="28"/>
          <w:highlight w:val="none"/>
          <w:lang w:eastAsia="zh-CN"/>
        </w:rPr>
      </w:pPr>
      <w:r>
        <w:rPr>
          <w:rFonts w:hint="eastAsia" w:ascii="宋体" w:hAnsi="宋体" w:cs="Times New Roman"/>
          <w:b/>
          <w:color w:val="auto"/>
          <w:kern w:val="0"/>
          <w:sz w:val="28"/>
          <w:szCs w:val="32"/>
          <w:highlight w:val="none"/>
        </w:rPr>
        <w:t>（本项目不适用）</w:t>
      </w:r>
    </w:p>
    <w:p>
      <w:pPr>
        <w:spacing w:line="480" w:lineRule="auto"/>
        <w:rPr>
          <w:rFonts w:ascii="宋体" w:hAnsi="宋体" w:cs="Courier New"/>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Courier New"/>
          <w:b/>
          <w:color w:val="auto"/>
          <w:sz w:val="28"/>
          <w:szCs w:val="28"/>
          <w:highlight w:val="none"/>
        </w:rPr>
        <w:t>：</w:t>
      </w:r>
    </w:p>
    <w:p>
      <w:pPr>
        <w:spacing w:line="360" w:lineRule="auto"/>
        <w:ind w:firstLine="489" w:firstLineChars="204"/>
        <w:jc w:val="left"/>
        <w:rPr>
          <w:rFonts w:ascii="宋体" w:hAnsi="宋体" w:cs="Times New Roman"/>
          <w:color w:val="auto"/>
          <w:sz w:val="24"/>
          <w:szCs w:val="21"/>
          <w:highlight w:val="none"/>
        </w:rPr>
      </w:pPr>
      <w:r>
        <w:rPr>
          <w:rFonts w:hint="eastAsia" w:ascii="宋体" w:hAnsi="宋体" w:cs="Times New Roman"/>
          <w:color w:val="auto"/>
          <w:sz w:val="24"/>
          <w:szCs w:val="21"/>
          <w:highlight w:val="none"/>
          <w:u w:val="single"/>
        </w:rPr>
        <w:t xml:space="preserve">  （投标人全称）  </w:t>
      </w:r>
      <w:r>
        <w:rPr>
          <w:rFonts w:hint="eastAsia" w:ascii="宋体" w:hAnsi="宋体" w:cs="Times New Roman"/>
          <w:color w:val="auto"/>
          <w:sz w:val="24"/>
          <w:szCs w:val="21"/>
          <w:highlight w:val="none"/>
        </w:rPr>
        <w:t>参加贵方组织的</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项目（项目编号：</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）的政府采购活动。按招标文件的规定，已递交人民币（大写）</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万元的投标保证金。</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投标人</w:t>
            </w: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全  称</w:t>
            </w:r>
          </w:p>
        </w:tc>
        <w:tc>
          <w:tcPr>
            <w:tcW w:w="7123" w:type="dxa"/>
            <w:gridSpan w:val="3"/>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地  址</w:t>
            </w:r>
          </w:p>
        </w:tc>
        <w:tc>
          <w:tcPr>
            <w:tcW w:w="7123" w:type="dxa"/>
            <w:gridSpan w:val="3"/>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邮  编</w:t>
            </w:r>
          </w:p>
        </w:tc>
        <w:tc>
          <w:tcPr>
            <w:tcW w:w="7123" w:type="dxa"/>
            <w:gridSpan w:val="3"/>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联 系 人</w:t>
            </w:r>
          </w:p>
        </w:tc>
        <w:tc>
          <w:tcPr>
            <w:tcW w:w="2160" w:type="dxa"/>
            <w:noWrap w:val="0"/>
            <w:vAlign w:val="center"/>
          </w:tcPr>
          <w:p>
            <w:pPr>
              <w:widowControl/>
              <w:spacing w:line="360" w:lineRule="auto"/>
              <w:jc w:val="left"/>
              <w:rPr>
                <w:rFonts w:ascii="宋体" w:hAnsi="宋体" w:cs="宋体"/>
                <w:color w:val="auto"/>
                <w:kern w:val="0"/>
                <w:sz w:val="24"/>
                <w:szCs w:val="21"/>
                <w:highlight w:val="none"/>
              </w:rPr>
            </w:pPr>
          </w:p>
        </w:tc>
        <w:tc>
          <w:tcPr>
            <w:tcW w:w="1440"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联系电话</w:t>
            </w:r>
          </w:p>
        </w:tc>
        <w:tc>
          <w:tcPr>
            <w:tcW w:w="3523" w:type="dxa"/>
            <w:noWrap w:val="0"/>
            <w:vAlign w:val="center"/>
          </w:tcPr>
          <w:p>
            <w:pPr>
              <w:widowControl/>
              <w:spacing w:line="360" w:lineRule="auto"/>
              <w:jc w:val="left"/>
              <w:rPr>
                <w:rFonts w:ascii="宋体" w:hAnsi="宋体" w:cs="宋体"/>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开 户 银 行</w:t>
            </w:r>
          </w:p>
        </w:tc>
        <w:tc>
          <w:tcPr>
            <w:tcW w:w="7123" w:type="dxa"/>
            <w:gridSpan w:val="3"/>
            <w:noWrap w:val="0"/>
            <w:vAlign w:val="center"/>
          </w:tcPr>
          <w:p>
            <w:pPr>
              <w:widowControl/>
              <w:spacing w:line="360" w:lineRule="auto"/>
              <w:jc w:val="left"/>
              <w:rPr>
                <w:rFonts w:ascii="宋体" w:hAnsi="宋体" w:cs="Arial"/>
                <w:color w:val="auto"/>
                <w:kern w:val="0"/>
                <w:sz w:val="24"/>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pPr>
              <w:widowControl/>
              <w:spacing w:line="360" w:lineRule="auto"/>
              <w:jc w:val="left"/>
              <w:rPr>
                <w:rFonts w:ascii="宋体" w:hAnsi="宋体" w:cs="宋体"/>
                <w:b/>
                <w:color w:val="auto"/>
                <w:kern w:val="0"/>
                <w:sz w:val="24"/>
                <w:szCs w:val="21"/>
                <w:highlight w:val="none"/>
              </w:rPr>
            </w:pPr>
          </w:p>
        </w:tc>
        <w:tc>
          <w:tcPr>
            <w:tcW w:w="1885" w:type="dxa"/>
            <w:noWrap w:val="0"/>
            <w:vAlign w:val="center"/>
          </w:tcPr>
          <w:p>
            <w:pPr>
              <w:widowControl/>
              <w:spacing w:line="360" w:lineRule="auto"/>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帐  号</w:t>
            </w:r>
          </w:p>
        </w:tc>
        <w:tc>
          <w:tcPr>
            <w:tcW w:w="7123" w:type="dxa"/>
            <w:gridSpan w:val="3"/>
            <w:noWrap w:val="0"/>
            <w:vAlign w:val="center"/>
          </w:tcPr>
          <w:p>
            <w:pPr>
              <w:widowControl/>
              <w:spacing w:line="360" w:lineRule="auto"/>
              <w:jc w:val="left"/>
              <w:rPr>
                <w:rFonts w:ascii="宋体" w:hAnsi="宋体" w:cs="Arial"/>
                <w:color w:val="auto"/>
                <w:kern w:val="0"/>
                <w:sz w:val="24"/>
                <w:szCs w:val="21"/>
                <w:highlight w:val="none"/>
              </w:rPr>
            </w:pPr>
          </w:p>
        </w:tc>
      </w:tr>
    </w:tbl>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9385" w:type="dxa"/>
            <w:noWrap w:val="0"/>
            <w:vAlign w:val="top"/>
          </w:tcPr>
          <w:p>
            <w:pPr>
              <w:spacing w:line="360" w:lineRule="auto"/>
              <w:rPr>
                <w:rFonts w:ascii="宋体" w:hAnsi="宋体" w:cs="Times New Roman"/>
                <w:b/>
                <w:color w:val="auto"/>
                <w:sz w:val="24"/>
                <w:szCs w:val="24"/>
                <w:highlight w:val="none"/>
              </w:rPr>
            </w:pPr>
            <w:r>
              <w:rPr>
                <w:rFonts w:hint="eastAsia" w:ascii="宋体" w:hAnsi="宋体" w:cs="Times New Roman"/>
                <w:b/>
                <w:color w:val="auto"/>
                <w:sz w:val="24"/>
                <w:szCs w:val="24"/>
                <w:highlight w:val="none"/>
              </w:rPr>
              <w:t>粘贴转帐、电汇或网上银行凭证（清晰影印件）</w:t>
            </w: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rPr>
                <w:rFonts w:ascii="宋体" w:hAnsi="宋体" w:cs="Times New Roman"/>
                <w:color w:val="auto"/>
                <w:sz w:val="24"/>
                <w:szCs w:val="24"/>
                <w:highlight w:val="none"/>
              </w:rPr>
            </w:pPr>
          </w:p>
          <w:p>
            <w:pPr>
              <w:spacing w:line="360" w:lineRule="auto"/>
              <w:ind w:left="110" w:leftChars="38" w:hanging="31" w:hangingChars="13"/>
              <w:rPr>
                <w:rFonts w:ascii="宋体" w:hAnsi="宋体" w:cs="Times New Roman"/>
                <w:b/>
                <w:color w:val="auto"/>
                <w:sz w:val="24"/>
                <w:szCs w:val="20"/>
                <w:highlight w:val="none"/>
              </w:rPr>
            </w:pPr>
            <w:r>
              <w:rPr>
                <w:rFonts w:hint="eastAsia" w:ascii="宋体" w:hAnsi="宋体" w:cs="Times New Roman"/>
                <w:b/>
                <w:color w:val="auto"/>
                <w:sz w:val="24"/>
                <w:szCs w:val="20"/>
                <w:highlight w:val="none"/>
              </w:rPr>
              <w:t>注：在交款凭证备注中说明项目编号及开标时间</w:t>
            </w:r>
          </w:p>
        </w:tc>
      </w:tr>
    </w:tbl>
    <w:p>
      <w:pPr>
        <w:spacing w:line="360" w:lineRule="auto"/>
        <w:ind w:left="769" w:hanging="765" w:hangingChars="319"/>
        <w:jc w:val="left"/>
        <w:rPr>
          <w:rFonts w:ascii="宋体" w:hAnsi="宋体" w:cs="Times New Roman"/>
          <w:bCs/>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cs="Times New Roman"/>
          <w:b/>
          <w:color w:val="auto"/>
          <w:sz w:val="24"/>
          <w:szCs w:val="24"/>
          <w:highlight w:val="none"/>
        </w:rPr>
        <w:t>说明：</w:t>
      </w:r>
      <w:r>
        <w:rPr>
          <w:rFonts w:hint="eastAsia" w:ascii="宋体" w:hAnsi="宋体"/>
          <w:color w:val="auto"/>
          <w:sz w:val="24"/>
          <w:highlight w:val="none"/>
        </w:rPr>
        <w:t>投标人应认真填写银行信息，与转帐或电汇银行凭证的相关信息一致，采购代理机构将依据此凭证信息查退投标保证金。</w:t>
      </w:r>
    </w:p>
    <w:p>
      <w:pPr>
        <w:pStyle w:val="4"/>
        <w:numPr>
          <w:ilvl w:val="0"/>
          <w:numId w:val="38"/>
        </w:numPr>
        <w:spacing w:before="40" w:after="40" w:line="360" w:lineRule="auto"/>
        <w:ind w:left="1285" w:hanging="1285" w:hangingChars="400"/>
        <w:jc w:val="left"/>
        <w:rPr>
          <w:rFonts w:ascii="宋体" w:hAnsi="宋体"/>
          <w:color w:val="auto"/>
          <w:highlight w:val="none"/>
        </w:rPr>
      </w:pPr>
      <w:bookmarkStart w:id="187" w:name="_Toc511895479"/>
      <w:bookmarkStart w:id="188" w:name="_Toc17431"/>
      <w:bookmarkStart w:id="189" w:name="_Toc22811"/>
      <w:bookmarkStart w:id="190" w:name="_Toc511894538"/>
      <w:r>
        <w:rPr>
          <w:rFonts w:hint="eastAsia" w:ascii="宋体" w:hAnsi="宋体"/>
          <w:color w:val="auto"/>
          <w:highlight w:val="none"/>
        </w:rPr>
        <w:t>法定代表人授权书</w:t>
      </w:r>
      <w:bookmarkEnd w:id="187"/>
      <w:bookmarkEnd w:id="188"/>
      <w:bookmarkEnd w:id="189"/>
      <w:bookmarkEnd w:id="190"/>
    </w:p>
    <w:p>
      <w:pPr>
        <w:rPr>
          <w:color w:val="auto"/>
          <w:highlight w:val="none"/>
        </w:rPr>
      </w:pPr>
    </w:p>
    <w:p>
      <w:pPr>
        <w:spacing w:line="360" w:lineRule="auto"/>
        <w:rPr>
          <w:rFonts w:ascii="宋体" w:hAnsi="宋体" w:cs="Times New Roman"/>
          <w:b/>
          <w:color w:val="auto"/>
          <w:sz w:val="28"/>
          <w:szCs w:val="28"/>
          <w:highlight w:val="none"/>
        </w:rPr>
      </w:pPr>
      <w:r>
        <w:rPr>
          <w:rFonts w:hint="eastAsia" w:ascii="宋体" w:hAnsi="宋体" w:cs="Times New Roman"/>
          <w:b/>
          <w:color w:val="auto"/>
          <w:sz w:val="28"/>
          <w:szCs w:val="28"/>
          <w:highlight w:val="none"/>
          <w:lang w:eastAsia="zh-CN"/>
        </w:rPr>
        <w:t>采购人（或采购代理公司）</w:t>
      </w:r>
      <w:r>
        <w:rPr>
          <w:rFonts w:hint="eastAsia" w:ascii="宋体" w:hAnsi="宋体" w:cs="Times New Roman"/>
          <w:b/>
          <w:color w:val="auto"/>
          <w:sz w:val="28"/>
          <w:szCs w:val="28"/>
          <w:highlight w:val="none"/>
        </w:rPr>
        <w:t>：</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兹授权</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同志为我单位参加贵方组织的</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u w:val="single"/>
        </w:rPr>
        <w:t>（项目编号：______）</w:t>
      </w:r>
      <w:r>
        <w:rPr>
          <w:rFonts w:hint="eastAsia" w:ascii="宋体" w:hAnsi="宋体" w:cs="Times New Roman"/>
          <w:color w:val="auto"/>
          <w:sz w:val="24"/>
          <w:szCs w:val="24"/>
          <w:highlight w:val="none"/>
        </w:rPr>
        <w:t>采购活动的投标人授权代表，全权代表我公司处理在项目采购活动中的一切事宜。代理期限从</w:t>
      </w:r>
      <w:r>
        <w:rPr>
          <w:rFonts w:hint="eastAsia" w:ascii="宋体" w:hAnsi="宋体" w:cs="Times New Roman"/>
          <w:color w:val="auto"/>
          <w:sz w:val="24"/>
          <w:szCs w:val="24"/>
          <w:highlight w:val="none"/>
          <w:u w:val="single"/>
          <w:lang w:val="en-US" w:eastAsia="zh-CN"/>
        </w:rPr>
        <w:t>2021</w:t>
      </w:r>
      <w:r>
        <w:rPr>
          <w:rFonts w:hint="eastAsia" w:ascii="宋体" w:hAnsi="宋体" w:cs="Times New Roman"/>
          <w:color w:val="auto"/>
          <w:sz w:val="24"/>
          <w:szCs w:val="24"/>
          <w:highlight w:val="none"/>
        </w:rPr>
        <w:t>年</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月</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日起至</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年</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月</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日止。 </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被授权代表无转委托权。</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授权单位（公章）：</w:t>
      </w:r>
      <w:r>
        <w:rPr>
          <w:rFonts w:hint="eastAsia" w:hAnsi="宋体"/>
          <w:bCs/>
          <w:color w:val="auto"/>
          <w:sz w:val="24"/>
          <w:highlight w:val="none"/>
          <w:u w:val="single"/>
        </w:rPr>
        <w:t xml:space="preserve">                          </w:t>
      </w:r>
    </w:p>
    <w:p>
      <w:pPr>
        <w:spacing w:before="100" w:beforeAutospacing="1" w:after="100" w:afterAutospacing="1" w:line="360" w:lineRule="auto"/>
        <w:ind w:firstLine="3330" w:firstLineChars="1382"/>
        <w:rPr>
          <w:rFonts w:hAnsi="宋体"/>
          <w:b/>
          <w:bCs/>
          <w:color w:val="auto"/>
          <w:sz w:val="24"/>
          <w:highlight w:val="none"/>
          <w:u w:val="single"/>
        </w:rPr>
      </w:pPr>
      <w:r>
        <w:rPr>
          <w:rFonts w:hint="eastAsia" w:ascii="宋体" w:hAnsi="宋体" w:cs="Times New Roman"/>
          <w:b/>
          <w:bCs/>
          <w:color w:val="auto"/>
          <w:sz w:val="24"/>
          <w:szCs w:val="21"/>
          <w:highlight w:val="none"/>
        </w:rPr>
        <w:t>法定代表人（签字或盖章）</w:t>
      </w:r>
      <w:r>
        <w:rPr>
          <w:rFonts w:hint="eastAsia" w:hAnsi="宋体"/>
          <w:b/>
          <w:bCs/>
          <w:color w:val="auto"/>
          <w:sz w:val="24"/>
          <w:highlight w:val="none"/>
        </w:rPr>
        <w:t>：</w:t>
      </w:r>
      <w:r>
        <w:rPr>
          <w:rFonts w:hint="eastAsia" w:hAnsi="宋体"/>
          <w:b/>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cs="Times New Roman"/>
          <w:color w:val="auto"/>
          <w:sz w:val="24"/>
          <w:szCs w:val="24"/>
          <w:highlight w:val="none"/>
        </w:rPr>
        <w:t>日   期：</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年</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月</w:t>
      </w:r>
      <w:r>
        <w:rPr>
          <w:rFonts w:hint="eastAsia" w:ascii="宋体" w:hAnsi="宋体" w:cs="Times New Roman"/>
          <w:color w:val="auto"/>
          <w:sz w:val="24"/>
          <w:szCs w:val="21"/>
          <w:highlight w:val="none"/>
          <w:u w:val="single"/>
        </w:rPr>
        <w:t xml:space="preserve">    </w:t>
      </w:r>
      <w:r>
        <w:rPr>
          <w:rFonts w:hint="eastAsia" w:ascii="宋体" w:hAnsi="宋体" w:cs="Times New Roman"/>
          <w:color w:val="auto"/>
          <w:sz w:val="24"/>
          <w:szCs w:val="21"/>
          <w:highlight w:val="none"/>
        </w:rPr>
        <w:t>日</w:t>
      </w:r>
    </w:p>
    <w:p>
      <w:pPr>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附：</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投标人授权代表单位名称：</w:t>
      </w:r>
      <w:r>
        <w:rPr>
          <w:rFonts w:hint="eastAsia" w:ascii="宋体" w:hAnsi="宋体" w:cs="Times New Roman"/>
          <w:color w:val="auto"/>
          <w:sz w:val="24"/>
          <w:szCs w:val="24"/>
          <w:highlight w:val="none"/>
          <w:u w:val="single"/>
        </w:rPr>
        <w:t xml:space="preserve">                     </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职务：</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性别：</w:t>
      </w:r>
      <w:r>
        <w:rPr>
          <w:rFonts w:hint="eastAsia" w:ascii="宋体" w:hAnsi="宋体" w:cs="Times New Roman"/>
          <w:color w:val="auto"/>
          <w:sz w:val="24"/>
          <w:szCs w:val="24"/>
          <w:highlight w:val="none"/>
          <w:u w:val="single"/>
        </w:rPr>
        <w:t xml:space="preserve">       </w:t>
      </w:r>
    </w:p>
    <w:p>
      <w:pPr>
        <w:spacing w:line="360" w:lineRule="auto"/>
        <w:ind w:firstLine="480" w:firstLineChars="200"/>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身份证号码：</w:t>
      </w:r>
      <w:r>
        <w:rPr>
          <w:rFonts w:hint="eastAsia" w:ascii="宋体" w:hAnsi="宋体" w:cs="Times New Roman"/>
          <w:color w:val="auto"/>
          <w:sz w:val="24"/>
          <w:szCs w:val="24"/>
          <w:highlight w:val="none"/>
          <w:u w:val="single"/>
        </w:rPr>
        <w:t xml:space="preserve">                   </w:t>
      </w:r>
    </w:p>
    <w:p>
      <w:pPr>
        <w:spacing w:line="360" w:lineRule="auto"/>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电话：</w:t>
      </w:r>
      <w:r>
        <w:rPr>
          <w:rFonts w:hint="eastAsia" w:ascii="宋体" w:hAnsi="宋体" w:cs="Times New Roman"/>
          <w:color w:val="auto"/>
          <w:sz w:val="24"/>
          <w:szCs w:val="24"/>
          <w:highlight w:val="none"/>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532" w:type="dxa"/>
            <w:noWrap w:val="0"/>
            <w:vAlign w:val="top"/>
          </w:tcPr>
          <w:p>
            <w:pPr>
              <w:spacing w:line="300" w:lineRule="auto"/>
              <w:rPr>
                <w:rFonts w:ascii="宋体" w:hAnsi="宋体" w:cs="Times New Roman"/>
                <w:b/>
                <w:color w:val="auto"/>
                <w:sz w:val="24"/>
                <w:szCs w:val="24"/>
                <w:highlight w:val="none"/>
              </w:rPr>
            </w:pPr>
            <w:r>
              <w:rPr>
                <w:rFonts w:hint="eastAsia" w:ascii="宋体" w:hAnsi="宋体" w:cs="Times New Roman"/>
                <w:b/>
                <w:color w:val="auto"/>
                <w:sz w:val="24"/>
                <w:szCs w:val="24"/>
                <w:highlight w:val="none"/>
              </w:rPr>
              <w:t>粘贴被授权人身份证（清晰影印件）</w:t>
            </w:r>
          </w:p>
        </w:tc>
      </w:tr>
    </w:tbl>
    <w:p>
      <w:pPr>
        <w:pStyle w:val="4"/>
        <w:spacing w:before="40" w:after="40" w:line="360" w:lineRule="auto"/>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olor w:val="auto"/>
          <w:highlight w:val="none"/>
        </w:rPr>
      </w:pPr>
      <w:bookmarkStart w:id="191" w:name="_Toc511895480"/>
      <w:bookmarkStart w:id="192" w:name="_Toc18733"/>
      <w:bookmarkStart w:id="193" w:name="_Toc511894539"/>
      <w:bookmarkStart w:id="194" w:name="_Toc8320"/>
      <w:r>
        <w:rPr>
          <w:rFonts w:hint="eastAsia" w:ascii="宋体" w:hAnsi="宋体"/>
          <w:color w:val="auto"/>
          <w:highlight w:val="none"/>
        </w:rPr>
        <w:t>投标人的资格声明</w:t>
      </w:r>
      <w:bookmarkEnd w:id="191"/>
      <w:bookmarkEnd w:id="192"/>
      <w:bookmarkEnd w:id="193"/>
      <w:bookmarkEnd w:id="194"/>
    </w:p>
    <w:p>
      <w:pPr>
        <w:spacing w:line="360" w:lineRule="auto"/>
        <w:ind w:left="1082" w:hanging="1077" w:hangingChars="449"/>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rPr>
        <w:t>1．名称及基本情况：</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（1）投标人：</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（2）地址：</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邮编：</w:t>
      </w:r>
      <w:r>
        <w:rPr>
          <w:rFonts w:hint="eastAsia" w:ascii="宋体" w:hAnsi="宋体" w:cs="Times New Roman"/>
          <w:color w:val="auto"/>
          <w:sz w:val="24"/>
          <w:szCs w:val="24"/>
          <w:highlight w:val="none"/>
          <w:u w:val="single"/>
        </w:rPr>
        <w:t xml:space="preserve">                   </w:t>
      </w:r>
    </w:p>
    <w:p>
      <w:pPr>
        <w:spacing w:line="360" w:lineRule="exact"/>
        <w:ind w:firstLine="840" w:firstLineChars="350"/>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电话：</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传真：</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（3）成立或注册日期：</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（4）单位性质：</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（5）法定代表人或主要负责人：</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（6）员工人数：</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（7）注册资本：</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（8）实收资本：</w:t>
      </w:r>
      <w:r>
        <w:rPr>
          <w:rFonts w:hint="eastAsia" w:ascii="宋体" w:hAnsi="宋体" w:cs="Times New Roman"/>
          <w:color w:val="auto"/>
          <w:sz w:val="24"/>
          <w:szCs w:val="24"/>
          <w:highlight w:val="none"/>
          <w:u w:val="single"/>
        </w:rPr>
        <w:t xml:space="preserve">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（9）上年末资产负债表：</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1）固定资产</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原   值：</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 xml:space="preserve">    净   值： </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2）流动资金：</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3）长期负债：</w:t>
      </w:r>
      <w:r>
        <w:rPr>
          <w:rFonts w:hint="eastAsia" w:ascii="宋体" w:hAnsi="宋体" w:cs="Times New Roman"/>
          <w:color w:val="auto"/>
          <w:sz w:val="24"/>
          <w:szCs w:val="24"/>
          <w:highlight w:val="none"/>
          <w:u w:val="single"/>
        </w:rPr>
        <w:t xml:space="preserve">                      </w:t>
      </w:r>
    </w:p>
    <w:p>
      <w:pPr>
        <w:spacing w:line="360" w:lineRule="exact"/>
        <w:ind w:firstLine="727" w:firstLineChars="303"/>
        <w:rPr>
          <w:rFonts w:ascii="宋体" w:hAnsi="宋体" w:cs="Times New Roman"/>
          <w:color w:val="auto"/>
          <w:sz w:val="24"/>
          <w:szCs w:val="24"/>
          <w:highlight w:val="none"/>
        </w:rPr>
      </w:pPr>
      <w:r>
        <w:rPr>
          <w:rFonts w:hint="eastAsia" w:ascii="宋体" w:hAnsi="宋体" w:cs="Times New Roman"/>
          <w:color w:val="auto"/>
          <w:sz w:val="24"/>
          <w:szCs w:val="24"/>
          <w:highlight w:val="none"/>
        </w:rPr>
        <w:t>4）短期负债：</w:t>
      </w:r>
      <w:r>
        <w:rPr>
          <w:rFonts w:hint="eastAsia" w:ascii="宋体" w:hAnsi="宋体" w:cs="Times New Roman"/>
          <w:color w:val="auto"/>
          <w:sz w:val="24"/>
          <w:szCs w:val="24"/>
          <w:highlight w:val="none"/>
          <w:u w:val="single"/>
        </w:rPr>
        <w:t xml:space="preserve">                      </w:t>
      </w:r>
    </w:p>
    <w:p>
      <w:pPr>
        <w:spacing w:line="360" w:lineRule="auto"/>
        <w:ind w:left="1082" w:hanging="1077" w:hangingChars="449"/>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rPr>
        <w:t xml:space="preserve">2．与投标货物的生产、销售和服务有关的情况： </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（1）关于制造投标货物的设施及其它情况：</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生产基地地址</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生产的项目</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年生产能力</w:t>
            </w:r>
          </w:p>
        </w:tc>
        <w:tc>
          <w:tcPr>
            <w:tcW w:w="2384"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bl>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（2）投标人生产此投标货物的经验（包括年限、项目业主、额定能力、商业运营的起始日期等）：</w:t>
      </w:r>
    </w:p>
    <w:p>
      <w:pPr>
        <w:spacing w:line="360" w:lineRule="exact"/>
        <w:ind w:firstLine="240" w:firstLineChars="100"/>
        <w:rPr>
          <w:rFonts w:ascii="宋体" w:hAnsi="宋体" w:cs="Times New Roman"/>
          <w:color w:val="auto"/>
          <w:sz w:val="24"/>
          <w:szCs w:val="24"/>
          <w:highlight w:val="none"/>
        </w:rPr>
      </w:pPr>
      <w:r>
        <w:rPr>
          <w:rFonts w:hint="eastAsia" w:ascii="宋体" w:hAnsi="宋体" w:cs="Times New Roman"/>
          <w:color w:val="auto"/>
          <w:sz w:val="24"/>
          <w:szCs w:val="24"/>
          <w:highlight w:val="none"/>
        </w:rPr>
        <w:t>（3）销售、服务网点分布（可另行附表）：</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647"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销售服务网点名称和地址</w:t>
            </w:r>
          </w:p>
        </w:tc>
        <w:tc>
          <w:tcPr>
            <w:tcW w:w="2155"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主要服务范围</w:t>
            </w:r>
          </w:p>
        </w:tc>
        <w:tc>
          <w:tcPr>
            <w:tcW w:w="176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服务人员数</w:t>
            </w:r>
          </w:p>
        </w:tc>
        <w:tc>
          <w:tcPr>
            <w:tcW w:w="1968"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cs="Times New Roman"/>
                <w:color w:val="auto"/>
                <w:sz w:val="24"/>
                <w:szCs w:val="24"/>
                <w:highlight w:val="none"/>
              </w:rPr>
            </w:pPr>
          </w:p>
        </w:tc>
      </w:tr>
    </w:tbl>
    <w:p>
      <w:pPr>
        <w:spacing w:line="360" w:lineRule="exact"/>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3．投标人认为需要声明的其它情况：                         </w:t>
      </w:r>
    </w:p>
    <w:p>
      <w:pPr>
        <w:spacing w:line="360" w:lineRule="exact"/>
        <w:ind w:firstLine="475" w:firstLineChars="198"/>
        <w:rPr>
          <w:rFonts w:ascii="宋体" w:hAnsi="宋体" w:cs="Times New Roman"/>
          <w:color w:val="auto"/>
          <w:sz w:val="24"/>
          <w:szCs w:val="24"/>
          <w:highlight w:val="none"/>
        </w:rPr>
      </w:pPr>
      <w:r>
        <w:rPr>
          <w:rFonts w:hint="eastAsia" w:ascii="宋体" w:hAnsi="宋体" w:cs="Times New Roman"/>
          <w:color w:val="auto"/>
          <w:sz w:val="24"/>
          <w:szCs w:val="24"/>
          <w:highlight w:val="none"/>
        </w:rPr>
        <w:t xml:space="preserve">兹证明上述声明是真实的、正确，并提供了全部能提供的资料和数据，同意按照采购代理机构要求出示有关证明文件。                      </w:t>
      </w:r>
    </w:p>
    <w:p>
      <w:pPr>
        <w:spacing w:line="360" w:lineRule="auto"/>
        <w:ind w:firstLine="3316" w:firstLineChars="1382"/>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w:t>
      </w:r>
      <w:r>
        <w:rPr>
          <w:rFonts w:hint="eastAsia" w:hAnsi="宋体" w:cs="Times New Roman"/>
          <w:color w:val="auto"/>
          <w:sz w:val="24"/>
          <w:szCs w:val="24"/>
          <w:highlight w:val="none"/>
        </w:rPr>
        <w:t>（公章）</w:t>
      </w: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u w:val="single"/>
        </w:rPr>
        <w:t xml:space="preserve">                      </w:t>
      </w:r>
    </w:p>
    <w:p>
      <w:pPr>
        <w:spacing w:line="360" w:lineRule="auto"/>
        <w:ind w:firstLine="3316" w:firstLineChars="1382"/>
        <w:rPr>
          <w:rFonts w:ascii="宋体" w:hAnsi="宋体" w:cs="Times New Roman"/>
          <w:b/>
          <w:color w:val="auto"/>
          <w:sz w:val="24"/>
          <w:szCs w:val="24"/>
          <w:highlight w:val="none"/>
        </w:rPr>
      </w:pPr>
      <w:r>
        <w:rPr>
          <w:rFonts w:hint="eastAsia" w:hAnsi="宋体" w:cs="Times New Roman"/>
          <w:b/>
          <w:color w:val="auto"/>
          <w:sz w:val="24"/>
          <w:szCs w:val="24"/>
          <w:highlight w:val="none"/>
        </w:rPr>
        <w:t>法定代表人（签字或盖章）</w:t>
      </w:r>
      <w:r>
        <w:rPr>
          <w:rFonts w:hint="eastAsia" w:ascii="宋体" w:hAnsi="宋体" w:cs="Times New Roman"/>
          <w:b/>
          <w:color w:val="auto"/>
          <w:sz w:val="24"/>
          <w:szCs w:val="24"/>
          <w:highlight w:val="none"/>
        </w:rPr>
        <w:t>：</w:t>
      </w:r>
      <w:r>
        <w:rPr>
          <w:rFonts w:hint="eastAsia" w:ascii="宋体" w:hAnsi="宋体" w:cs="Times New Roman"/>
          <w:b/>
          <w:color w:val="auto"/>
          <w:sz w:val="24"/>
          <w:szCs w:val="24"/>
          <w:highlight w:val="none"/>
          <w:u w:val="single"/>
        </w:rPr>
        <w:t xml:space="preserve">            </w:t>
      </w:r>
    </w:p>
    <w:p>
      <w:pPr>
        <w:spacing w:line="360" w:lineRule="auto"/>
        <w:ind w:firstLine="3316" w:firstLineChars="1382"/>
        <w:rPr>
          <w:rFonts w:ascii="宋体" w:hAnsi="宋体" w:cs="Times New Roman"/>
          <w:color w:val="auto"/>
          <w:sz w:val="24"/>
          <w:szCs w:val="24"/>
          <w:highlight w:val="none"/>
        </w:rPr>
      </w:pPr>
      <w:r>
        <w:rPr>
          <w:rFonts w:hint="eastAsia" w:ascii="宋体" w:hAnsi="宋体" w:cs="Times New Roman"/>
          <w:color w:val="auto"/>
          <w:sz w:val="24"/>
          <w:szCs w:val="24"/>
          <w:highlight w:val="none"/>
        </w:rPr>
        <w:t>电    话：</w:t>
      </w:r>
      <w:r>
        <w:rPr>
          <w:rFonts w:hint="eastAsia" w:ascii="宋体" w:hAnsi="宋体" w:cs="Times New Roman"/>
          <w:color w:val="auto"/>
          <w:sz w:val="24"/>
          <w:szCs w:val="24"/>
          <w:highlight w:val="none"/>
          <w:u w:val="single"/>
        </w:rPr>
        <w:t xml:space="preserve">                    </w:t>
      </w:r>
    </w:p>
    <w:p>
      <w:pPr>
        <w:spacing w:line="360" w:lineRule="auto"/>
        <w:ind w:firstLine="3316" w:firstLineChars="1382"/>
        <w:rPr>
          <w:rFonts w:ascii="宋体" w:hAnsi="宋体" w:cs="Times New Roman"/>
          <w:color w:val="auto"/>
          <w:sz w:val="24"/>
          <w:szCs w:val="24"/>
          <w:highlight w:val="none"/>
          <w:u w:val="single"/>
        </w:rPr>
      </w:pPr>
      <w:r>
        <w:rPr>
          <w:rFonts w:hint="eastAsia" w:ascii="宋体" w:hAnsi="宋体" w:cs="Times New Roman"/>
          <w:color w:val="auto"/>
          <w:sz w:val="24"/>
          <w:szCs w:val="24"/>
          <w:highlight w:val="none"/>
        </w:rPr>
        <w:t>传    真：</w:t>
      </w:r>
      <w:r>
        <w:rPr>
          <w:rFonts w:hint="eastAsia" w:ascii="宋体" w:hAnsi="宋体" w:cs="Times New Roman"/>
          <w:color w:val="auto"/>
          <w:sz w:val="24"/>
          <w:szCs w:val="24"/>
          <w:highlight w:val="none"/>
          <w:u w:val="single"/>
        </w:rPr>
        <w:t xml:space="preserve">                    </w:t>
      </w:r>
    </w:p>
    <w:p>
      <w:pPr>
        <w:spacing w:line="360" w:lineRule="auto"/>
        <w:ind w:firstLine="3316" w:firstLineChars="1382"/>
        <w:rPr>
          <w:rFonts w:ascii="宋体" w:hAnsi="宋体" w:cs="Times New Roman"/>
          <w:color w:val="auto"/>
          <w:sz w:val="24"/>
          <w:szCs w:val="24"/>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cs="Times New Roman"/>
          <w:color w:val="auto"/>
          <w:sz w:val="24"/>
          <w:szCs w:val="24"/>
          <w:highlight w:val="none"/>
        </w:rPr>
        <w:t>日    期：</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年</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月</w:t>
      </w:r>
      <w:r>
        <w:rPr>
          <w:rFonts w:hint="eastAsia" w:ascii="宋体" w:hAnsi="宋体" w:cs="Times New Roman"/>
          <w:color w:val="auto"/>
          <w:sz w:val="24"/>
          <w:szCs w:val="24"/>
          <w:highlight w:val="none"/>
          <w:u w:val="single"/>
        </w:rPr>
        <w:t xml:space="preserve">    </w:t>
      </w:r>
      <w:r>
        <w:rPr>
          <w:rFonts w:hint="eastAsia" w:ascii="宋体" w:hAnsi="宋体" w:cs="Times New Roman"/>
          <w:color w:val="auto"/>
          <w:sz w:val="24"/>
          <w:szCs w:val="24"/>
          <w:highlight w:val="none"/>
        </w:rPr>
        <w:t>日</w:t>
      </w:r>
    </w:p>
    <w:p>
      <w:pPr>
        <w:pStyle w:val="4"/>
        <w:numPr>
          <w:ilvl w:val="0"/>
          <w:numId w:val="38"/>
        </w:numPr>
        <w:spacing w:before="40" w:after="40" w:line="360" w:lineRule="auto"/>
        <w:ind w:left="1285" w:hanging="1285" w:hangingChars="400"/>
        <w:jc w:val="left"/>
        <w:rPr>
          <w:rFonts w:ascii="宋体" w:hAnsi="宋体"/>
          <w:color w:val="auto"/>
          <w:highlight w:val="none"/>
        </w:rPr>
      </w:pPr>
      <w:bookmarkStart w:id="195" w:name="_Toc511895481"/>
      <w:bookmarkStart w:id="196" w:name="_Toc511894540"/>
      <w:bookmarkStart w:id="197" w:name="_Toc25150"/>
      <w:bookmarkStart w:id="198" w:name="_Toc16455"/>
      <w:r>
        <w:rPr>
          <w:rFonts w:hint="eastAsia" w:ascii="宋体" w:hAnsi="宋体"/>
          <w:color w:val="auto"/>
          <w:highlight w:val="none"/>
        </w:rPr>
        <w:t>项目负责人、技术负责人简历表</w:t>
      </w:r>
      <w:bookmarkEnd w:id="195"/>
      <w:bookmarkEnd w:id="196"/>
      <w:bookmarkEnd w:id="197"/>
      <w:bookmarkEnd w:id="198"/>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姓    名</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128" w:rightChars="-61"/>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性    别</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年    龄</w:t>
            </w:r>
          </w:p>
        </w:tc>
        <w:tc>
          <w:tcPr>
            <w:tcW w:w="1530" w:type="dxa"/>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职    务</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84" w:rightChars="-40"/>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职    称</w:t>
            </w:r>
          </w:p>
        </w:tc>
        <w:tc>
          <w:tcPr>
            <w:tcW w:w="1530" w:type="dxa"/>
            <w:gridSpan w:val="2"/>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学    历</w:t>
            </w:r>
          </w:p>
        </w:tc>
        <w:tc>
          <w:tcPr>
            <w:tcW w:w="1530" w:type="dxa"/>
            <w:noWrap w:val="0"/>
            <w:vAlign w:val="center"/>
          </w:tcPr>
          <w:p>
            <w:pPr>
              <w:autoSpaceDE w:val="0"/>
              <w:autoSpaceDN w:val="0"/>
              <w:adjustRightInd w:val="0"/>
              <w:spacing w:line="360" w:lineRule="auto"/>
              <w:ind w:right="2" w:rightChars="1"/>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参加工作</w:t>
            </w:r>
          </w:p>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时间</w:t>
            </w: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从事本行业工作年限</w:t>
            </w: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p>
        </w:tc>
        <w:tc>
          <w:tcPr>
            <w:tcW w:w="1530" w:type="dxa"/>
            <w:gridSpan w:val="2"/>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个人专业资质及证书</w:t>
            </w:r>
          </w:p>
        </w:tc>
        <w:tc>
          <w:tcPr>
            <w:tcW w:w="1530" w:type="dxa"/>
            <w:noWrap w:val="0"/>
            <w:vAlign w:val="center"/>
          </w:tcPr>
          <w:p>
            <w:pPr>
              <w:autoSpaceDE w:val="0"/>
              <w:autoSpaceDN w:val="0"/>
              <w:adjustRightInd w:val="0"/>
              <w:spacing w:line="360" w:lineRule="auto"/>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noWrap w:val="0"/>
            <w:vAlign w:val="center"/>
          </w:tcPr>
          <w:p>
            <w:pPr>
              <w:autoSpaceDE w:val="0"/>
              <w:autoSpaceDN w:val="0"/>
              <w:adjustRightInd w:val="0"/>
              <w:spacing w:line="360" w:lineRule="auto"/>
              <w:ind w:right="286" w:rightChars="136"/>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项目单位</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项目名称</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项目内容</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项目金额</w:t>
            </w: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r>
              <w:rPr>
                <w:rFonts w:hint="eastAsia" w:ascii="宋体" w:hAnsi="宋体" w:cs="Times New Roman"/>
                <w:color w:val="auto"/>
                <w:kern w:val="0"/>
                <w:sz w:val="24"/>
                <w:szCs w:val="28"/>
                <w:highlight w:val="none"/>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c>
          <w:tcPr>
            <w:tcW w:w="1836" w:type="dxa"/>
            <w:gridSpan w:val="2"/>
            <w:noWrap w:val="0"/>
            <w:vAlign w:val="center"/>
          </w:tcPr>
          <w:p>
            <w:pPr>
              <w:autoSpaceDE w:val="0"/>
              <w:autoSpaceDN w:val="0"/>
              <w:adjustRightInd w:val="0"/>
              <w:spacing w:line="360" w:lineRule="auto"/>
              <w:ind w:right="-80" w:rightChars="-38"/>
              <w:jc w:val="center"/>
              <w:rPr>
                <w:rFonts w:ascii="宋体" w:hAnsi="宋体" w:cs="Times New Roman"/>
                <w:color w:val="auto"/>
                <w:kern w:val="0"/>
                <w:sz w:val="24"/>
                <w:szCs w:val="28"/>
                <w:highlight w:val="none"/>
              </w:rPr>
            </w:pPr>
          </w:p>
        </w:tc>
      </w:tr>
    </w:tbl>
    <w:p>
      <w:pPr>
        <w:spacing w:line="360" w:lineRule="auto"/>
        <w:ind w:left="723" w:hanging="723" w:hangingChars="300"/>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Times New Roman"/>
          <w:color w:val="auto"/>
          <w:sz w:val="24"/>
          <w:szCs w:val="24"/>
          <w:highlight w:val="none"/>
        </w:rPr>
        <w:t>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199" w:name="_Toc28412"/>
      <w:bookmarkStart w:id="200" w:name="_Toc511895482"/>
      <w:bookmarkStart w:id="201" w:name="_Toc21466"/>
      <w:bookmarkStart w:id="202" w:name="_Toc511894541"/>
      <w:r>
        <w:rPr>
          <w:rFonts w:hint="eastAsia" w:ascii="宋体" w:hAnsi="宋体" w:cs="Times New Roman"/>
          <w:bCs w:val="0"/>
          <w:color w:val="auto"/>
          <w:highlight w:val="none"/>
        </w:rPr>
        <w:t>项目班子成员情况表</w:t>
      </w:r>
      <w:bookmarkEnd w:id="199"/>
      <w:bookmarkEnd w:id="200"/>
      <w:bookmarkEnd w:id="201"/>
      <w:bookmarkEnd w:id="202"/>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4BC96" w:fill="DDD9C3"/>
            <w:noWrap w:val="0"/>
            <w:vAlign w:val="center"/>
          </w:tcPr>
          <w:p>
            <w:pPr>
              <w:spacing w:before="100" w:beforeAutospacing="1" w:after="100" w:afterAutospacing="1"/>
              <w:ind w:left="-105" w:leftChars="-50" w:right="-105" w:rightChars="-50"/>
              <w:jc w:val="center"/>
              <w:rPr>
                <w:rFonts w:ascii="宋体" w:hAnsi="宋体" w:cs="Times New Roman"/>
                <w:b/>
                <w:color w:val="auto"/>
                <w:sz w:val="24"/>
                <w:szCs w:val="24"/>
                <w:highlight w:val="none"/>
              </w:rPr>
            </w:pPr>
            <w:r>
              <w:rPr>
                <w:rFonts w:hint="eastAsia" w:ascii="宋体" w:hAnsi="宋体" w:cs="仿宋_GB2312"/>
                <w:b/>
                <w:color w:val="auto"/>
                <w:sz w:val="24"/>
                <w:szCs w:val="24"/>
                <w:highlight w:val="none"/>
              </w:rPr>
              <w:t>序号</w:t>
            </w:r>
          </w:p>
        </w:tc>
        <w:tc>
          <w:tcPr>
            <w:tcW w:w="1113"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姓 名</w:t>
            </w:r>
          </w:p>
        </w:tc>
        <w:tc>
          <w:tcPr>
            <w:tcW w:w="1533"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专 业</w:t>
            </w:r>
          </w:p>
        </w:tc>
        <w:tc>
          <w:tcPr>
            <w:tcW w:w="1134"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年 龄</w:t>
            </w:r>
          </w:p>
        </w:tc>
        <w:tc>
          <w:tcPr>
            <w:tcW w:w="1491"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kern w:val="0"/>
                <w:sz w:val="24"/>
                <w:szCs w:val="28"/>
                <w:highlight w:val="none"/>
              </w:rPr>
              <w:t>从事本行业工作年限</w:t>
            </w:r>
          </w:p>
        </w:tc>
        <w:tc>
          <w:tcPr>
            <w:tcW w:w="1843"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在本项目中承担的工作</w:t>
            </w:r>
          </w:p>
        </w:tc>
        <w:tc>
          <w:tcPr>
            <w:tcW w:w="1842" w:type="dxa"/>
            <w:shd w:val="pct10" w:color="C4BC96" w:fill="DDD9C3"/>
            <w:noWrap w:val="0"/>
            <w:vAlign w:val="center"/>
          </w:tcPr>
          <w:p>
            <w:pPr>
              <w:spacing w:before="100" w:beforeAutospacing="1" w:after="100" w:afterAutospacing="1"/>
              <w:jc w:val="center"/>
              <w:rPr>
                <w:rFonts w:ascii="宋体" w:hAnsi="宋体" w:cs="Times New Roman"/>
                <w:b/>
                <w:color w:val="auto"/>
                <w:sz w:val="24"/>
                <w:szCs w:val="24"/>
                <w:highlight w:val="none"/>
              </w:rPr>
            </w:pPr>
            <w:r>
              <w:rPr>
                <w:rFonts w:hint="eastAsia" w:ascii="宋体" w:hAnsi="宋体" w:cs="Times New Roman"/>
                <w:b/>
                <w:color w:val="auto"/>
                <w:kern w:val="0"/>
                <w:sz w:val="24"/>
                <w:szCs w:val="28"/>
                <w:highlight w:val="none"/>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numPr>
                <w:ilvl w:val="0"/>
                <w:numId w:val="53"/>
              </w:numPr>
              <w:tabs>
                <w:tab w:val="left" w:pos="61"/>
              </w:tabs>
              <w:adjustRightInd w:val="0"/>
              <w:snapToGrid w:val="0"/>
              <w:ind w:left="-63" w:leftChars="-30" w:firstLine="0"/>
              <w:jc w:val="center"/>
              <w:rPr>
                <w:rFonts w:ascii="宋体" w:hAnsi="宋体"/>
                <w:color w:val="auto"/>
                <w:sz w:val="24"/>
                <w:highlight w:val="none"/>
              </w:rPr>
            </w:pP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pPr>
              <w:jc w:val="center"/>
              <w:rPr>
                <w:rFonts w:ascii="宋体" w:hAnsi="宋体" w:cs="Times New Roman"/>
                <w:b/>
                <w:color w:val="auto"/>
                <w:sz w:val="24"/>
                <w:szCs w:val="24"/>
                <w:highlight w:val="none"/>
              </w:rPr>
            </w:pPr>
            <w:r>
              <w:rPr>
                <w:rFonts w:ascii="宋体" w:hAnsi="宋体" w:cs="Times New Roman"/>
                <w:b/>
                <w:color w:val="auto"/>
                <w:sz w:val="24"/>
                <w:szCs w:val="24"/>
                <w:highlight w:val="none"/>
              </w:rPr>
              <w:t>…</w:t>
            </w:r>
          </w:p>
        </w:tc>
        <w:tc>
          <w:tcPr>
            <w:tcW w:w="1113" w:type="dxa"/>
            <w:noWrap w:val="0"/>
            <w:vAlign w:val="center"/>
          </w:tcPr>
          <w:p>
            <w:pPr>
              <w:jc w:val="center"/>
              <w:rPr>
                <w:rFonts w:ascii="宋体" w:hAnsi="宋体" w:cs="Times New Roman"/>
                <w:color w:val="auto"/>
                <w:sz w:val="24"/>
                <w:szCs w:val="24"/>
                <w:highlight w:val="none"/>
              </w:rPr>
            </w:pPr>
          </w:p>
        </w:tc>
        <w:tc>
          <w:tcPr>
            <w:tcW w:w="1533" w:type="dxa"/>
            <w:noWrap w:val="0"/>
            <w:vAlign w:val="center"/>
          </w:tcPr>
          <w:p>
            <w:pPr>
              <w:jc w:val="center"/>
              <w:rPr>
                <w:rFonts w:ascii="宋体" w:hAnsi="宋体" w:cs="Times New Roman"/>
                <w:color w:val="auto"/>
                <w:sz w:val="24"/>
                <w:szCs w:val="24"/>
                <w:highlight w:val="none"/>
              </w:rPr>
            </w:pPr>
          </w:p>
        </w:tc>
        <w:tc>
          <w:tcPr>
            <w:tcW w:w="1134" w:type="dxa"/>
            <w:noWrap w:val="0"/>
            <w:vAlign w:val="center"/>
          </w:tcPr>
          <w:p>
            <w:pPr>
              <w:jc w:val="center"/>
              <w:rPr>
                <w:rFonts w:ascii="宋体" w:hAnsi="宋体" w:cs="Times New Roman"/>
                <w:color w:val="auto"/>
                <w:sz w:val="24"/>
                <w:szCs w:val="24"/>
                <w:highlight w:val="none"/>
              </w:rPr>
            </w:pPr>
          </w:p>
        </w:tc>
        <w:tc>
          <w:tcPr>
            <w:tcW w:w="1491" w:type="dxa"/>
            <w:noWrap w:val="0"/>
            <w:vAlign w:val="center"/>
          </w:tcPr>
          <w:p>
            <w:pPr>
              <w:jc w:val="center"/>
              <w:rPr>
                <w:rFonts w:ascii="宋体" w:hAnsi="宋体" w:cs="Times New Roman"/>
                <w:color w:val="auto"/>
                <w:sz w:val="24"/>
                <w:szCs w:val="24"/>
                <w:highlight w:val="none"/>
              </w:rPr>
            </w:pPr>
          </w:p>
        </w:tc>
        <w:tc>
          <w:tcPr>
            <w:tcW w:w="1843" w:type="dxa"/>
            <w:noWrap w:val="0"/>
            <w:vAlign w:val="center"/>
          </w:tcPr>
          <w:p>
            <w:pPr>
              <w:jc w:val="center"/>
              <w:rPr>
                <w:rFonts w:ascii="宋体" w:hAnsi="宋体" w:cs="Times New Roman"/>
                <w:color w:val="auto"/>
                <w:sz w:val="24"/>
                <w:szCs w:val="24"/>
                <w:highlight w:val="none"/>
              </w:rPr>
            </w:pPr>
          </w:p>
        </w:tc>
        <w:tc>
          <w:tcPr>
            <w:tcW w:w="1842" w:type="dxa"/>
            <w:noWrap w:val="0"/>
            <w:vAlign w:val="center"/>
          </w:tcPr>
          <w:p>
            <w:pPr>
              <w:jc w:val="center"/>
              <w:rPr>
                <w:rFonts w:ascii="宋体" w:hAnsi="宋体" w:cs="Times New Roman"/>
                <w:color w:val="auto"/>
                <w:sz w:val="24"/>
                <w:szCs w:val="24"/>
                <w:highlight w:val="none"/>
              </w:rPr>
            </w:pPr>
          </w:p>
        </w:tc>
      </w:tr>
    </w:tbl>
    <w:p>
      <w:pPr>
        <w:spacing w:line="360" w:lineRule="auto"/>
        <w:ind w:left="754" w:hanging="751" w:hangingChars="313"/>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olor w:val="auto"/>
          <w:sz w:val="24"/>
          <w:highlight w:val="none"/>
        </w:rPr>
        <w:t>投标文件正本应附完整的相关证明材料清晰影印件</w:t>
      </w:r>
      <w:r>
        <w:rPr>
          <w:rFonts w:hint="eastAsia" w:ascii="宋体" w:hAnsi="宋体" w:cs="Times New Roman"/>
          <w:color w:val="auto"/>
          <w:sz w:val="24"/>
          <w:szCs w:val="24"/>
          <w:highlight w:val="none"/>
        </w:rPr>
        <w:t>，</w:t>
      </w:r>
      <w:r>
        <w:rPr>
          <w:rFonts w:hint="eastAsia" w:ascii="宋体" w:hAnsi="宋体" w:cs="Corbel"/>
          <w:color w:val="auto"/>
          <w:sz w:val="24"/>
          <w:szCs w:val="21"/>
          <w:highlight w:val="none"/>
        </w:rPr>
        <w:t>未按照要求详细完整填写此表，</w:t>
      </w:r>
      <w:r>
        <w:rPr>
          <w:rFonts w:hint="eastAsia" w:ascii="宋体" w:hAnsi="宋体" w:cs="Times New Roman"/>
          <w:color w:val="auto"/>
          <w:sz w:val="24"/>
          <w:szCs w:val="21"/>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203" w:name="_Toc511895483"/>
      <w:bookmarkStart w:id="204" w:name="_Toc511894542"/>
      <w:bookmarkStart w:id="205" w:name="_Toc15747"/>
      <w:bookmarkStart w:id="206" w:name="_Toc18617"/>
      <w:r>
        <w:rPr>
          <w:rFonts w:hint="eastAsia" w:ascii="宋体" w:hAnsi="宋体" w:cs="Times New Roman"/>
          <w:bCs w:val="0"/>
          <w:color w:val="auto"/>
          <w:highlight w:val="none"/>
        </w:rPr>
        <w:t>投标人类似项目业绩表</w:t>
      </w:r>
      <w:bookmarkEnd w:id="203"/>
      <w:bookmarkEnd w:id="204"/>
      <w:bookmarkEnd w:id="205"/>
      <w:bookmarkEnd w:id="206"/>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项目单位名称</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项目名称</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项目单位联系人姓名及联系方式</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项目金额</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项目负责人姓名</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项目时间</w:t>
            </w:r>
          </w:p>
        </w:tc>
        <w:tc>
          <w:tcPr>
            <w:tcW w:w="7200" w:type="dxa"/>
            <w:noWrap w:val="0"/>
            <w:vAlign w:val="center"/>
          </w:tcPr>
          <w:p>
            <w:pPr>
              <w:rPr>
                <w:rFonts w:ascii="宋体" w:hAnsi="宋体" w:cs="Courier New"/>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noWrap w:val="0"/>
            <w:vAlign w:val="center"/>
          </w:tcPr>
          <w:p>
            <w:pPr>
              <w:jc w:val="center"/>
              <w:rPr>
                <w:rFonts w:ascii="宋体" w:hAnsi="宋体" w:cs="Courier New"/>
                <w:b/>
                <w:color w:val="auto"/>
                <w:sz w:val="24"/>
                <w:szCs w:val="24"/>
                <w:highlight w:val="none"/>
              </w:rPr>
            </w:pPr>
            <w:r>
              <w:rPr>
                <w:rFonts w:hint="eastAsia" w:ascii="宋体" w:hAnsi="宋体" w:cs="Courier New"/>
                <w:b/>
                <w:color w:val="auto"/>
                <w:sz w:val="24"/>
                <w:szCs w:val="24"/>
                <w:highlight w:val="none"/>
              </w:rPr>
              <w:t>项目内容</w:t>
            </w:r>
          </w:p>
        </w:tc>
        <w:tc>
          <w:tcPr>
            <w:tcW w:w="7200" w:type="dxa"/>
            <w:noWrap w:val="0"/>
            <w:vAlign w:val="top"/>
          </w:tcPr>
          <w:p>
            <w:pPr>
              <w:rPr>
                <w:rFonts w:ascii="宋体" w:hAnsi="宋体" w:cs="Courier New"/>
                <w:color w:val="auto"/>
                <w:sz w:val="24"/>
                <w:szCs w:val="24"/>
                <w:highlight w:val="none"/>
              </w:rPr>
            </w:pPr>
          </w:p>
        </w:tc>
      </w:tr>
    </w:tbl>
    <w:p>
      <w:pPr>
        <w:spacing w:line="360" w:lineRule="auto"/>
        <w:ind w:left="1132" w:hanging="1132" w:hangingChars="470"/>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Times New Roman"/>
          <w:color w:val="auto"/>
          <w:sz w:val="24"/>
          <w:szCs w:val="24"/>
          <w:highlight w:val="none"/>
        </w:rPr>
        <w:t>1、每个合同应单独附表，并附上相关证明材料，</w:t>
      </w:r>
      <w:r>
        <w:rPr>
          <w:rFonts w:hint="eastAsia" w:ascii="宋体" w:hAnsi="宋体" w:cs="Corbel"/>
          <w:color w:val="auto"/>
          <w:sz w:val="24"/>
          <w:szCs w:val="24"/>
          <w:highlight w:val="none"/>
        </w:rPr>
        <w:t>未按照要求详细完整填写此表，</w:t>
      </w:r>
      <w:r>
        <w:rPr>
          <w:rFonts w:hint="eastAsia" w:ascii="宋体" w:hAnsi="宋体" w:cs="Times New Roman"/>
          <w:color w:val="auto"/>
          <w:sz w:val="24"/>
          <w:szCs w:val="24"/>
          <w:highlight w:val="none"/>
        </w:rPr>
        <w:t>导致的后果由投标人自行承担。</w:t>
      </w:r>
    </w:p>
    <w:p>
      <w:pPr>
        <w:spacing w:line="360" w:lineRule="auto"/>
        <w:ind w:left="1119" w:leftChars="366" w:hanging="350" w:hangingChars="146"/>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2、项目内容请详细说明所承担的具体工作内容等。</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207" w:name="_Toc31230"/>
      <w:bookmarkStart w:id="208" w:name="_Toc511894543"/>
      <w:bookmarkStart w:id="209" w:name="_Toc511895484"/>
      <w:bookmarkStart w:id="210" w:name="_Toc9339"/>
      <w:r>
        <w:rPr>
          <w:rFonts w:hint="eastAsia" w:ascii="宋体" w:hAnsi="宋体" w:cs="Times New Roman"/>
          <w:bCs w:val="0"/>
          <w:color w:val="auto"/>
          <w:highlight w:val="none"/>
        </w:rPr>
        <w:t>符合性审查对照表</w:t>
      </w:r>
      <w:bookmarkEnd w:id="207"/>
      <w:bookmarkEnd w:id="208"/>
      <w:bookmarkEnd w:id="209"/>
      <w:bookmarkEnd w:id="210"/>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3036"/>
        <w:gridCol w:w="3050"/>
        <w:gridCol w:w="1175"/>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9"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36"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招标文件符合性审查条款的序号及内容</w:t>
            </w:r>
          </w:p>
        </w:tc>
        <w:tc>
          <w:tcPr>
            <w:tcW w:w="3050"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175"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493" w:type="dxa"/>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numPr>
                <w:ilvl w:val="0"/>
                <w:numId w:val="54"/>
              </w:numPr>
              <w:tabs>
                <w:tab w:val="left" w:pos="61"/>
              </w:tabs>
              <w:adjustRightInd w:val="0"/>
              <w:snapToGrid w:val="0"/>
              <w:ind w:left="-63" w:leftChars="-30" w:firstLine="0"/>
              <w:jc w:val="center"/>
              <w:rPr>
                <w:rFonts w:ascii="宋体" w:hAnsi="宋体"/>
                <w:color w:val="auto"/>
                <w:sz w:val="24"/>
                <w:highlight w:val="none"/>
              </w:rPr>
            </w:pP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036"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5" w:type="dxa"/>
            <w:noWrap w:val="0"/>
            <w:vAlign w:val="center"/>
          </w:tcPr>
          <w:p>
            <w:pPr>
              <w:jc w:val="center"/>
              <w:rPr>
                <w:rFonts w:ascii="宋体" w:hAnsi="宋体" w:cs="仿宋_GB2312"/>
                <w:color w:val="auto"/>
                <w:sz w:val="24"/>
                <w:szCs w:val="24"/>
                <w:highlight w:val="none"/>
              </w:rPr>
            </w:pPr>
          </w:p>
        </w:tc>
        <w:tc>
          <w:tcPr>
            <w:tcW w:w="1493"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Times New Roman"/>
          <w:b/>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Corbel"/>
          <w:b/>
          <w:color w:val="auto"/>
          <w:sz w:val="24"/>
          <w:szCs w:val="24"/>
          <w:highlight w:val="none"/>
        </w:rPr>
        <w:t>：</w:t>
      </w:r>
      <w:r>
        <w:rPr>
          <w:rFonts w:hint="eastAsia" w:ascii="宋体" w:hAnsi="宋体" w:cs="Corbel"/>
          <w:color w:val="auto"/>
          <w:sz w:val="24"/>
          <w:szCs w:val="24"/>
          <w:highlight w:val="none"/>
        </w:rPr>
        <w:t>1</w:t>
      </w:r>
      <w:r>
        <w:rPr>
          <w:rFonts w:hint="eastAsia" w:ascii="宋体" w:hAnsi="宋体" w:cs="Times New Roman"/>
          <w:color w:val="auto"/>
          <w:sz w:val="24"/>
          <w:szCs w:val="24"/>
          <w:highlight w:val="none"/>
        </w:rPr>
        <w:t>、</w:t>
      </w:r>
      <w:r>
        <w:rPr>
          <w:rFonts w:hint="eastAsia" w:ascii="宋体" w:hAnsi="宋体" w:cs="Corbel"/>
          <w:color w:val="auto"/>
          <w:sz w:val="24"/>
          <w:szCs w:val="24"/>
          <w:highlight w:val="none"/>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8" w:leftChars="366" w:hanging="350" w:hangingChars="146"/>
        <w:jc w:val="left"/>
        <w:rPr>
          <w:rFonts w:ascii="宋体" w:hAnsi="宋体" w:cs="Times New Roman"/>
          <w:b/>
          <w:color w:val="auto"/>
          <w:sz w:val="24"/>
          <w:szCs w:val="24"/>
          <w:highlight w:val="none"/>
        </w:rPr>
      </w:pPr>
      <w:r>
        <w:rPr>
          <w:rFonts w:hint="eastAsia" w:ascii="宋体" w:hAnsi="宋体" w:cs="Corbel"/>
          <w:color w:val="auto"/>
          <w:sz w:val="24"/>
          <w:szCs w:val="24"/>
          <w:highlight w:val="none"/>
        </w:rPr>
        <w:t>2、</w:t>
      </w:r>
      <w:r>
        <w:rPr>
          <w:rFonts w:hint="eastAsia" w:ascii="宋体" w:hAnsi="宋体" w:cs="Times New Roman"/>
          <w:color w:val="auto"/>
          <w:sz w:val="24"/>
          <w:szCs w:val="24"/>
          <w:highlight w:val="none"/>
        </w:rPr>
        <w:t>投标人</w:t>
      </w:r>
      <w:r>
        <w:rPr>
          <w:rFonts w:hint="eastAsia" w:ascii="宋体" w:hAnsi="宋体" w:cs="Corbel"/>
          <w:color w:val="auto"/>
          <w:sz w:val="24"/>
          <w:szCs w:val="24"/>
          <w:highlight w:val="none"/>
        </w:rPr>
        <w:t>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211" w:name="_Toc511894544"/>
      <w:bookmarkStart w:id="212" w:name="_Toc511895485"/>
      <w:bookmarkStart w:id="213" w:name="_Toc26711"/>
      <w:bookmarkStart w:id="214" w:name="_Toc21602"/>
      <w:r>
        <w:rPr>
          <w:rFonts w:hint="eastAsia" w:ascii="宋体" w:hAnsi="宋体" w:cs="Times New Roman"/>
          <w:bCs w:val="0"/>
          <w:color w:val="auto"/>
          <w:highlight w:val="none"/>
        </w:rPr>
        <w:t>商务要求响应、偏离说明表</w:t>
      </w:r>
      <w:bookmarkEnd w:id="211"/>
      <w:bookmarkEnd w:id="212"/>
      <w:bookmarkEnd w:id="213"/>
      <w:bookmarkEnd w:id="214"/>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7"/>
        <w:gridCol w:w="3038"/>
        <w:gridCol w:w="3050"/>
        <w:gridCol w:w="1177"/>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7"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38"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招标文件商务要求条款的序号及内容</w:t>
            </w:r>
          </w:p>
        </w:tc>
        <w:tc>
          <w:tcPr>
            <w:tcW w:w="3050"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177"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491" w:type="dxa"/>
            <w:shd w:val="pct10" w:color="C4BC96" w:fill="DDD9C3"/>
            <w:noWrap w:val="0"/>
            <w:vAlign w:val="top"/>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numPr>
                <w:ilvl w:val="0"/>
                <w:numId w:val="55"/>
              </w:numPr>
              <w:tabs>
                <w:tab w:val="left" w:pos="61"/>
              </w:tabs>
              <w:adjustRightInd w:val="0"/>
              <w:snapToGrid w:val="0"/>
              <w:ind w:left="-63" w:leftChars="-30" w:firstLine="0"/>
              <w:jc w:val="center"/>
              <w:rPr>
                <w:rFonts w:ascii="宋体" w:hAnsi="宋体"/>
                <w:color w:val="auto"/>
                <w:sz w:val="24"/>
                <w:highlight w:val="none"/>
              </w:rPr>
            </w:pP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038" w:type="dxa"/>
            <w:noWrap w:val="0"/>
            <w:vAlign w:val="center"/>
          </w:tcPr>
          <w:p>
            <w:pPr>
              <w:jc w:val="center"/>
              <w:rPr>
                <w:rFonts w:ascii="宋体" w:hAnsi="宋体" w:cs="仿宋_GB2312"/>
                <w:color w:val="auto"/>
                <w:sz w:val="24"/>
                <w:szCs w:val="24"/>
                <w:highlight w:val="none"/>
              </w:rPr>
            </w:pPr>
          </w:p>
        </w:tc>
        <w:tc>
          <w:tcPr>
            <w:tcW w:w="3050" w:type="dxa"/>
            <w:noWrap w:val="0"/>
            <w:vAlign w:val="center"/>
          </w:tcPr>
          <w:p>
            <w:pPr>
              <w:jc w:val="center"/>
              <w:rPr>
                <w:rFonts w:ascii="宋体" w:hAnsi="宋体" w:cs="仿宋_GB2312"/>
                <w:color w:val="auto"/>
                <w:sz w:val="24"/>
                <w:szCs w:val="24"/>
                <w:highlight w:val="none"/>
              </w:rPr>
            </w:pPr>
          </w:p>
        </w:tc>
        <w:tc>
          <w:tcPr>
            <w:tcW w:w="1177" w:type="dxa"/>
            <w:noWrap w:val="0"/>
            <w:vAlign w:val="center"/>
          </w:tcPr>
          <w:p>
            <w:pPr>
              <w:jc w:val="center"/>
              <w:rPr>
                <w:rFonts w:ascii="宋体" w:hAnsi="宋体" w:cs="仿宋_GB2312"/>
                <w:color w:val="auto"/>
                <w:sz w:val="24"/>
                <w:szCs w:val="24"/>
                <w:highlight w:val="none"/>
              </w:rPr>
            </w:pPr>
          </w:p>
        </w:tc>
        <w:tc>
          <w:tcPr>
            <w:tcW w:w="1491" w:type="dxa"/>
            <w:noWrap w:val="0"/>
            <w:vAlign w:val="center"/>
          </w:tcPr>
          <w:p>
            <w:pPr>
              <w:jc w:val="center"/>
              <w:rPr>
                <w:rFonts w:ascii="宋体" w:hAnsi="宋体" w:cs="仿宋_GB2312"/>
                <w:color w:val="auto"/>
                <w:sz w:val="24"/>
                <w:szCs w:val="24"/>
                <w:highlight w:val="none"/>
              </w:rPr>
            </w:pPr>
          </w:p>
        </w:tc>
      </w:tr>
    </w:tbl>
    <w:p>
      <w:pPr>
        <w:spacing w:line="360" w:lineRule="auto"/>
        <w:ind w:left="1132" w:hanging="1132" w:hangingChars="470"/>
        <w:jc w:val="left"/>
        <w:rPr>
          <w:rFonts w:ascii="宋体" w:hAnsi="宋体" w:cs="Times New Roman"/>
          <w:color w:val="auto"/>
          <w:sz w:val="24"/>
          <w:szCs w:val="24"/>
          <w:highlight w:val="none"/>
        </w:rPr>
      </w:pPr>
      <w:r>
        <w:rPr>
          <w:rFonts w:hint="eastAsia" w:ascii="宋体" w:hAnsi="宋体" w:cs="Times New Roman"/>
          <w:b/>
          <w:color w:val="auto"/>
          <w:sz w:val="24"/>
          <w:szCs w:val="24"/>
          <w:highlight w:val="none"/>
        </w:rPr>
        <w:t>说明</w:t>
      </w:r>
      <w:r>
        <w:rPr>
          <w:rFonts w:hint="eastAsia" w:ascii="宋体" w:hAnsi="宋体" w:cs="Corbel"/>
          <w:b/>
          <w:color w:val="auto"/>
          <w:sz w:val="24"/>
          <w:szCs w:val="24"/>
          <w:highlight w:val="none"/>
        </w:rPr>
        <w:t>：</w:t>
      </w:r>
      <w:r>
        <w:rPr>
          <w:rFonts w:hint="eastAsia" w:ascii="宋体" w:hAnsi="宋体" w:cs="Corbel"/>
          <w:color w:val="auto"/>
          <w:sz w:val="24"/>
          <w:szCs w:val="24"/>
          <w:highlight w:val="none"/>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9" w:leftChars="366" w:hanging="350" w:hangingChars="146"/>
        <w:jc w:val="left"/>
        <w:rPr>
          <w:rFonts w:ascii="宋体" w:hAnsi="宋体" w:cs="Times New Roman"/>
          <w:color w:val="auto"/>
          <w:sz w:val="24"/>
          <w:szCs w:val="24"/>
          <w:highlight w:val="none"/>
        </w:rPr>
      </w:pPr>
      <w:r>
        <w:rPr>
          <w:rFonts w:hint="eastAsia" w:ascii="宋体" w:hAnsi="宋体" w:cs="Corbel"/>
          <w:color w:val="auto"/>
          <w:sz w:val="24"/>
          <w:szCs w:val="24"/>
          <w:highlight w:val="none"/>
        </w:rPr>
        <w:t>2、投标人</w:t>
      </w:r>
      <w:r>
        <w:rPr>
          <w:rFonts w:hint="eastAsia" w:ascii="宋体" w:hAnsi="宋体" w:cs="Times New Roman"/>
          <w:color w:val="auto"/>
          <w:sz w:val="24"/>
          <w:szCs w:val="24"/>
          <w:highlight w:val="none"/>
        </w:rPr>
        <w:t>提供</w:t>
      </w:r>
      <w:r>
        <w:rPr>
          <w:rFonts w:hint="eastAsia" w:ascii="宋体" w:hAnsi="宋体" w:cs="Corbel"/>
          <w:color w:val="auto"/>
          <w:sz w:val="24"/>
          <w:szCs w:val="24"/>
          <w:highlight w:val="none"/>
        </w:rPr>
        <w:t>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215" w:name="_Toc511895486"/>
      <w:bookmarkStart w:id="216" w:name="_Toc17362"/>
      <w:bookmarkStart w:id="217" w:name="_Toc4931"/>
      <w:bookmarkStart w:id="218" w:name="_Toc511894545"/>
      <w:r>
        <w:rPr>
          <w:rFonts w:hint="eastAsia" w:ascii="宋体" w:hAnsi="宋体" w:cs="Times New Roman"/>
          <w:bCs w:val="0"/>
          <w:color w:val="auto"/>
          <w:highlight w:val="none"/>
        </w:rPr>
        <w:t>商务要求“</w:t>
      </w:r>
      <w:r>
        <w:rPr>
          <w:rFonts w:hint="eastAsia" w:ascii="宋体" w:hAnsi="宋体" w:eastAsia="宋体" w:cs="宋体"/>
          <w:i w:val="0"/>
          <w:color w:val="000000"/>
          <w:kern w:val="0"/>
          <w:sz w:val="24"/>
          <w:szCs w:val="24"/>
          <w:u w:val="none"/>
          <w:lang w:val="en-US" w:eastAsia="zh-CN" w:bidi="ar"/>
        </w:rPr>
        <w:t>★</w:t>
      </w:r>
      <w:r>
        <w:rPr>
          <w:rFonts w:hint="eastAsia" w:ascii="宋体" w:hAnsi="宋体" w:cs="Times New Roman"/>
          <w:bCs w:val="0"/>
          <w:color w:val="auto"/>
          <w:highlight w:val="none"/>
        </w:rPr>
        <w:t>”号条款响应、偏离说明表</w:t>
      </w:r>
      <w:bookmarkEnd w:id="215"/>
      <w:bookmarkEnd w:id="216"/>
      <w:bookmarkEnd w:id="217"/>
      <w:bookmarkEnd w:id="218"/>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48"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招标文件商务要求“</w:t>
            </w:r>
            <w:r>
              <w:rPr>
                <w:rFonts w:hint="eastAsia" w:ascii="宋体" w:hAnsi="宋体" w:eastAsia="宋体" w:cs="宋体"/>
                <w:i w:val="0"/>
                <w:color w:val="000000"/>
                <w:kern w:val="0"/>
                <w:sz w:val="24"/>
                <w:szCs w:val="24"/>
                <w:u w:val="none"/>
                <w:lang w:val="en-US" w:eastAsia="zh-CN" w:bidi="ar"/>
              </w:rPr>
              <w:t>★</w:t>
            </w:r>
            <w:r>
              <w:rPr>
                <w:rFonts w:hint="eastAsia" w:ascii="宋体" w:hAnsi="宋体" w:cs="仿宋_GB2312"/>
                <w:b/>
                <w:color w:val="auto"/>
                <w:sz w:val="24"/>
                <w:szCs w:val="24"/>
                <w:highlight w:val="none"/>
              </w:rPr>
              <w:t>”号条款的序号及内容</w:t>
            </w:r>
          </w:p>
        </w:tc>
        <w:tc>
          <w:tcPr>
            <w:tcW w:w="3048"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183"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489" w:type="dxa"/>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numPr>
                <w:ilvl w:val="0"/>
                <w:numId w:val="56"/>
              </w:numPr>
              <w:tabs>
                <w:tab w:val="left" w:pos="61"/>
              </w:tabs>
              <w:adjustRightInd w:val="0"/>
              <w:snapToGrid w:val="0"/>
              <w:ind w:left="-63" w:leftChars="-30" w:firstLine="0"/>
              <w:jc w:val="center"/>
              <w:rPr>
                <w:rFonts w:ascii="宋体" w:hAnsi="宋体"/>
                <w:color w:val="auto"/>
                <w:sz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048" w:type="dxa"/>
            <w:noWrap w:val="0"/>
            <w:vAlign w:val="center"/>
          </w:tcPr>
          <w:p>
            <w:pPr>
              <w:jc w:val="center"/>
              <w:rPr>
                <w:rFonts w:ascii="宋体" w:hAnsi="宋体" w:cs="仿宋_GB2312"/>
                <w:color w:val="auto"/>
                <w:sz w:val="24"/>
                <w:szCs w:val="24"/>
                <w:highlight w:val="none"/>
              </w:rPr>
            </w:pPr>
          </w:p>
        </w:tc>
        <w:tc>
          <w:tcPr>
            <w:tcW w:w="3048" w:type="dxa"/>
            <w:noWrap w:val="0"/>
            <w:vAlign w:val="center"/>
          </w:tcPr>
          <w:p>
            <w:pPr>
              <w:jc w:val="center"/>
              <w:rPr>
                <w:rFonts w:ascii="宋体" w:hAnsi="宋体" w:cs="仿宋_GB2312"/>
                <w:color w:val="auto"/>
                <w:sz w:val="24"/>
                <w:szCs w:val="24"/>
                <w:highlight w:val="none"/>
              </w:rPr>
            </w:pPr>
          </w:p>
        </w:tc>
        <w:tc>
          <w:tcPr>
            <w:tcW w:w="1183" w:type="dxa"/>
            <w:noWrap w:val="0"/>
            <w:vAlign w:val="center"/>
          </w:tcPr>
          <w:p>
            <w:pPr>
              <w:jc w:val="center"/>
              <w:rPr>
                <w:rFonts w:ascii="宋体" w:hAnsi="宋体" w:cs="仿宋_GB2312"/>
                <w:color w:val="auto"/>
                <w:sz w:val="24"/>
                <w:szCs w:val="24"/>
                <w:highlight w:val="none"/>
              </w:rPr>
            </w:pPr>
          </w:p>
        </w:tc>
        <w:tc>
          <w:tcPr>
            <w:tcW w:w="1489"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1、投标人应按招标文件第三章“项目技术、服务及商务要求”中商务要求“</w:t>
      </w:r>
      <w:r>
        <w:rPr>
          <w:rFonts w:hint="eastAsia" w:ascii="宋体" w:hAnsi="宋体" w:eastAsia="宋体" w:cs="宋体"/>
          <w:i w:val="0"/>
          <w:color w:val="000000"/>
          <w:kern w:val="0"/>
          <w:sz w:val="24"/>
          <w:szCs w:val="24"/>
          <w:u w:val="none"/>
          <w:lang w:val="en-US" w:eastAsia="zh-CN" w:bidi="ar"/>
        </w:rPr>
        <w:t>★</w:t>
      </w:r>
      <w:r>
        <w:rPr>
          <w:rFonts w:hint="eastAsia" w:ascii="宋体" w:hAnsi="宋体" w:cs="Corbel"/>
          <w:color w:val="auto"/>
          <w:sz w:val="24"/>
          <w:szCs w:val="24"/>
          <w:highlight w:val="none"/>
        </w:rPr>
        <w:t>”号条款进行逐项说明是否满足要求，如有偏离,投标人应详细说明。未按照要求填写此表或仅注明“符合”、“满足”的，导致的后果由投标人自行承担。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spacing w:before="40" w:after="40" w:line="360" w:lineRule="auto"/>
        <w:ind w:left="1285"/>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38"/>
        </w:numPr>
        <w:spacing w:before="40" w:after="40" w:line="360" w:lineRule="auto"/>
        <w:ind w:left="1285" w:hanging="1285" w:hangingChars="400"/>
        <w:jc w:val="left"/>
        <w:rPr>
          <w:rFonts w:ascii="宋体" w:hAnsi="宋体" w:cs="Times New Roman"/>
          <w:bCs w:val="0"/>
          <w:color w:val="auto"/>
          <w:highlight w:val="none"/>
        </w:rPr>
      </w:pPr>
      <w:bookmarkStart w:id="219" w:name="_Toc5632"/>
      <w:bookmarkStart w:id="220" w:name="_Toc5499"/>
      <w:bookmarkStart w:id="221" w:name="_Toc511895487"/>
      <w:bookmarkStart w:id="222" w:name="_Toc511894546"/>
      <w:r>
        <w:rPr>
          <w:rFonts w:hint="eastAsia" w:ascii="宋体" w:hAnsi="宋体" w:cs="Times New Roman"/>
          <w:bCs w:val="0"/>
          <w:color w:val="auto"/>
          <w:highlight w:val="none"/>
        </w:rPr>
        <w:t>商务评议对照表</w:t>
      </w:r>
      <w:bookmarkEnd w:id="219"/>
      <w:bookmarkEnd w:id="220"/>
      <w:bookmarkEnd w:id="221"/>
      <w:bookmarkEnd w:id="222"/>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106" w:type="dxa"/>
            <w:tcBorders>
              <w:bottom w:val="single" w:color="auto" w:sz="4" w:space="0"/>
            </w:tcBorders>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招标文件商务评分标准的序号及内容</w:t>
            </w:r>
          </w:p>
        </w:tc>
        <w:tc>
          <w:tcPr>
            <w:tcW w:w="3106" w:type="dxa"/>
            <w:tcBorders>
              <w:bottom w:val="single" w:color="auto" w:sz="4" w:space="0"/>
            </w:tcBorders>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05" w:type="dxa"/>
            <w:tcBorders>
              <w:bottom w:val="single" w:color="auto" w:sz="4" w:space="0"/>
            </w:tcBorders>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40" w:type="dxa"/>
            <w:tcBorders>
              <w:bottom w:val="single" w:color="auto" w:sz="4" w:space="0"/>
            </w:tcBorders>
            <w:shd w:val="pct10" w:color="C4BC96" w:fill="DDD9C3"/>
            <w:noWrap w:val="0"/>
            <w:vAlign w:val="top"/>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noWrap w:val="0"/>
            <w:vAlign w:val="center"/>
          </w:tcPr>
          <w:p>
            <w:pPr>
              <w:numPr>
                <w:ilvl w:val="0"/>
                <w:numId w:val="57"/>
              </w:numPr>
              <w:jc w:val="center"/>
              <w:rPr>
                <w:rFonts w:ascii="宋体" w:hAnsi="宋体" w:cs="仿宋_GB2312"/>
                <w:color w:val="auto"/>
                <w:sz w:val="24"/>
                <w:szCs w:val="24"/>
                <w:highlight w:val="none"/>
              </w:rPr>
            </w:pPr>
          </w:p>
        </w:tc>
        <w:tc>
          <w:tcPr>
            <w:tcW w:w="3106"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3106"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205"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340" w:type="dxa"/>
            <w:tcBorders>
              <w:top w:val="single" w:color="auto" w:sz="4" w:space="0"/>
            </w:tcBorders>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numPr>
                <w:ilvl w:val="0"/>
                <w:numId w:val="57"/>
              </w:num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noWrap w:val="0"/>
            <w:vAlign w:val="center"/>
          </w:tcPr>
          <w:p>
            <w:pPr>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w:t>
            </w:r>
          </w:p>
        </w:tc>
        <w:tc>
          <w:tcPr>
            <w:tcW w:w="3106" w:type="dxa"/>
            <w:noWrap w:val="0"/>
            <w:vAlign w:val="center"/>
          </w:tcPr>
          <w:p>
            <w:pPr>
              <w:jc w:val="center"/>
              <w:rPr>
                <w:rFonts w:ascii="宋体" w:hAnsi="宋体" w:cs="仿宋_GB2312"/>
                <w:color w:val="auto"/>
                <w:sz w:val="24"/>
                <w:szCs w:val="24"/>
                <w:highlight w:val="none"/>
              </w:rPr>
            </w:pPr>
          </w:p>
        </w:tc>
        <w:tc>
          <w:tcPr>
            <w:tcW w:w="3106" w:type="dxa"/>
            <w:noWrap w:val="0"/>
            <w:vAlign w:val="center"/>
          </w:tcPr>
          <w:p>
            <w:pPr>
              <w:jc w:val="center"/>
              <w:rPr>
                <w:rFonts w:ascii="宋体" w:hAnsi="宋体" w:cs="仿宋_GB2312"/>
                <w:color w:val="auto"/>
                <w:sz w:val="24"/>
                <w:szCs w:val="24"/>
                <w:highlight w:val="none"/>
              </w:rPr>
            </w:pPr>
          </w:p>
        </w:tc>
        <w:tc>
          <w:tcPr>
            <w:tcW w:w="1205" w:type="dxa"/>
            <w:noWrap w:val="0"/>
            <w:vAlign w:val="center"/>
          </w:tcPr>
          <w:p>
            <w:pPr>
              <w:jc w:val="center"/>
              <w:rPr>
                <w:rFonts w:ascii="宋体" w:hAnsi="宋体" w:cs="仿宋_GB2312"/>
                <w:color w:val="auto"/>
                <w:sz w:val="24"/>
                <w:szCs w:val="24"/>
                <w:highlight w:val="none"/>
              </w:rPr>
            </w:pPr>
          </w:p>
        </w:tc>
        <w:tc>
          <w:tcPr>
            <w:tcW w:w="1340" w:type="dxa"/>
            <w:noWrap w:val="0"/>
            <w:vAlign w:val="center"/>
          </w:tcPr>
          <w:p>
            <w:pPr>
              <w:jc w:val="center"/>
              <w:rPr>
                <w:rFonts w:ascii="宋体" w:hAnsi="宋体" w:cs="仿宋_GB2312"/>
                <w:color w:val="auto"/>
                <w:sz w:val="24"/>
                <w:szCs w:val="24"/>
                <w:highlight w:val="none"/>
              </w:rPr>
            </w:pPr>
          </w:p>
        </w:tc>
      </w:tr>
    </w:tbl>
    <w:p>
      <w:pPr>
        <w:spacing w:line="360" w:lineRule="auto"/>
        <w:ind w:left="1132" w:hanging="1132" w:hangingChars="470"/>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9" w:leftChars="366" w:hanging="350" w:hangingChars="146"/>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223" w:name="_Toc511894547"/>
      <w:bookmarkStart w:id="224" w:name="_Toc15775"/>
      <w:bookmarkStart w:id="225" w:name="_Toc511895488"/>
      <w:bookmarkStart w:id="226" w:name="_Toc31785"/>
      <w:r>
        <w:rPr>
          <w:rFonts w:hint="eastAsia" w:ascii="宋体" w:hAnsi="宋体" w:cs="Times New Roman"/>
          <w:bCs w:val="0"/>
          <w:color w:val="auto"/>
          <w:highlight w:val="none"/>
        </w:rPr>
        <w:t>技术、服务要求响应、偏离说明表</w:t>
      </w:r>
      <w:bookmarkEnd w:id="223"/>
      <w:bookmarkEnd w:id="224"/>
      <w:bookmarkEnd w:id="225"/>
      <w:bookmarkEnd w:id="226"/>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3104"/>
        <w:gridCol w:w="3104"/>
        <w:gridCol w:w="1207"/>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0"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104"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招标文件技术、服务要求条款的序号及内容</w:t>
            </w:r>
          </w:p>
        </w:tc>
        <w:tc>
          <w:tcPr>
            <w:tcW w:w="3104"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07" w:type="dxa"/>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38" w:type="dxa"/>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numPr>
                <w:ilvl w:val="0"/>
                <w:numId w:val="58"/>
              </w:numPr>
              <w:tabs>
                <w:tab w:val="left" w:pos="60"/>
              </w:tabs>
              <w:adjustRightInd w:val="0"/>
              <w:snapToGrid w:val="0"/>
              <w:ind w:left="-63" w:leftChars="-30" w:firstLine="0"/>
              <w:jc w:val="center"/>
              <w:rPr>
                <w:rFonts w:ascii="宋体" w:hAnsi="宋体"/>
                <w:color w:val="auto"/>
                <w:sz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104" w:type="dxa"/>
            <w:noWrap w:val="0"/>
            <w:vAlign w:val="center"/>
          </w:tcPr>
          <w:p>
            <w:pPr>
              <w:jc w:val="center"/>
              <w:rPr>
                <w:rFonts w:ascii="宋体" w:hAnsi="宋体" w:cs="仿宋_GB2312"/>
                <w:color w:val="auto"/>
                <w:sz w:val="24"/>
                <w:szCs w:val="24"/>
                <w:highlight w:val="none"/>
              </w:rPr>
            </w:pPr>
          </w:p>
        </w:tc>
        <w:tc>
          <w:tcPr>
            <w:tcW w:w="3104" w:type="dxa"/>
            <w:noWrap w:val="0"/>
            <w:vAlign w:val="center"/>
          </w:tcPr>
          <w:p>
            <w:pPr>
              <w:jc w:val="center"/>
              <w:rPr>
                <w:rFonts w:ascii="宋体" w:hAnsi="宋体" w:cs="仿宋_GB2312"/>
                <w:color w:val="auto"/>
                <w:sz w:val="24"/>
                <w:szCs w:val="24"/>
                <w:highlight w:val="none"/>
              </w:rPr>
            </w:pPr>
          </w:p>
        </w:tc>
        <w:tc>
          <w:tcPr>
            <w:tcW w:w="1207" w:type="dxa"/>
            <w:noWrap w:val="0"/>
            <w:vAlign w:val="center"/>
          </w:tcPr>
          <w:p>
            <w:pPr>
              <w:jc w:val="center"/>
              <w:rPr>
                <w:rFonts w:ascii="宋体" w:hAnsi="宋体" w:cs="仿宋_GB2312"/>
                <w:color w:val="auto"/>
                <w:sz w:val="24"/>
                <w:szCs w:val="24"/>
                <w:highlight w:val="none"/>
              </w:rPr>
            </w:pPr>
          </w:p>
        </w:tc>
        <w:tc>
          <w:tcPr>
            <w:tcW w:w="1338"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Times New Roman"/>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8" w:leftChars="366" w:hanging="350" w:hangingChars="146"/>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0"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38"/>
        </w:numPr>
        <w:spacing w:before="40" w:after="40" w:line="360" w:lineRule="auto"/>
        <w:ind w:left="1285" w:hanging="1285" w:hangingChars="400"/>
        <w:jc w:val="left"/>
        <w:rPr>
          <w:rFonts w:hint="eastAsia" w:ascii="宋体" w:hAnsi="宋体" w:cs="Times New Roman"/>
          <w:color w:val="auto"/>
          <w:highlight w:val="none"/>
        </w:rPr>
      </w:pPr>
      <w:bookmarkStart w:id="227" w:name="_Toc511894548"/>
      <w:bookmarkStart w:id="228" w:name="_Toc29822"/>
      <w:bookmarkStart w:id="229" w:name="_Toc25504"/>
      <w:bookmarkStart w:id="230" w:name="_Toc511895489"/>
      <w:r>
        <w:rPr>
          <w:rFonts w:hint="eastAsia" w:ascii="宋体" w:hAnsi="宋体" w:cs="Times New Roman"/>
          <w:color w:val="auto"/>
          <w:highlight w:val="none"/>
        </w:rPr>
        <w:t>技术、服务要求“</w:t>
      </w:r>
      <w:r>
        <w:rPr>
          <w:rFonts w:hint="eastAsia" w:ascii="宋体" w:hAnsi="宋体" w:eastAsia="宋体" w:cs="宋体"/>
          <w:i w:val="0"/>
          <w:color w:val="000000"/>
          <w:kern w:val="0"/>
          <w:sz w:val="24"/>
          <w:szCs w:val="24"/>
          <w:u w:val="none"/>
          <w:lang w:val="en-US" w:eastAsia="zh-CN" w:bidi="ar"/>
        </w:rPr>
        <w:t>★</w:t>
      </w:r>
      <w:r>
        <w:rPr>
          <w:rFonts w:hint="eastAsia" w:ascii="宋体" w:hAnsi="宋体" w:cs="Times New Roman"/>
          <w:color w:val="auto"/>
          <w:highlight w:val="none"/>
        </w:rPr>
        <w:t>”号条款响应、偏离说明表</w:t>
      </w:r>
      <w:bookmarkEnd w:id="227"/>
      <w:bookmarkEnd w:id="228"/>
      <w:bookmarkEnd w:id="229"/>
      <w:bookmarkEnd w:id="230"/>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122"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招标文件技术要求 “</w:t>
            </w:r>
            <w:r>
              <w:rPr>
                <w:rFonts w:hint="eastAsia" w:ascii="宋体" w:hAnsi="宋体" w:eastAsia="宋体" w:cs="宋体"/>
                <w:i w:val="0"/>
                <w:color w:val="000000"/>
                <w:kern w:val="0"/>
                <w:sz w:val="24"/>
                <w:szCs w:val="24"/>
                <w:u w:val="none"/>
                <w:lang w:val="en-US" w:eastAsia="zh-CN" w:bidi="ar"/>
              </w:rPr>
              <w:t>★</w:t>
            </w:r>
            <w:r>
              <w:rPr>
                <w:rFonts w:hint="eastAsia" w:ascii="宋体" w:hAnsi="宋体" w:cs="仿宋_GB2312"/>
                <w:b/>
                <w:color w:val="auto"/>
                <w:sz w:val="24"/>
                <w:szCs w:val="24"/>
                <w:highlight w:val="none"/>
              </w:rPr>
              <w:t>”号条款的序号及内容</w:t>
            </w:r>
          </w:p>
        </w:tc>
        <w:tc>
          <w:tcPr>
            <w:tcW w:w="3091"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18" w:type="dxa"/>
            <w:shd w:val="pct10" w:color="C4BC96" w:fill="DDD9C3"/>
            <w:noWrap w:val="0"/>
            <w:vAlign w:val="center"/>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27" w:type="dxa"/>
            <w:shd w:val="pct10" w:color="C4BC96" w:fill="DDD9C3"/>
            <w:noWrap w:val="0"/>
            <w:vAlign w:val="top"/>
          </w:tcPr>
          <w:p>
            <w:pPr>
              <w:spacing w:before="100" w:beforeAutospacing="1" w:after="100" w:afterAutospacing="1"/>
              <w:ind w:left="-53" w:leftChars="-25" w:right="-53"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numPr>
                <w:ilvl w:val="0"/>
                <w:numId w:val="59"/>
              </w:numPr>
              <w:tabs>
                <w:tab w:val="left" w:pos="61"/>
              </w:tabs>
              <w:adjustRightInd w:val="0"/>
              <w:snapToGrid w:val="0"/>
              <w:ind w:left="-63" w:leftChars="-30" w:firstLine="0"/>
              <w:jc w:val="center"/>
              <w:rPr>
                <w:rFonts w:ascii="宋体" w:hAnsi="宋体"/>
                <w:color w:val="auto"/>
                <w:sz w:val="24"/>
                <w:highlight w:val="none"/>
              </w:rPr>
            </w:pP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noWrap w:val="0"/>
            <w:vAlign w:val="center"/>
          </w:tcPr>
          <w:p>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w:t>
            </w:r>
          </w:p>
        </w:tc>
        <w:tc>
          <w:tcPr>
            <w:tcW w:w="3122" w:type="dxa"/>
            <w:noWrap w:val="0"/>
            <w:vAlign w:val="center"/>
          </w:tcPr>
          <w:p>
            <w:pPr>
              <w:jc w:val="center"/>
              <w:rPr>
                <w:rFonts w:ascii="宋体" w:hAnsi="宋体" w:cs="仿宋_GB2312"/>
                <w:color w:val="auto"/>
                <w:sz w:val="24"/>
                <w:szCs w:val="24"/>
                <w:highlight w:val="none"/>
              </w:rPr>
            </w:pPr>
          </w:p>
        </w:tc>
        <w:tc>
          <w:tcPr>
            <w:tcW w:w="3091" w:type="dxa"/>
            <w:noWrap w:val="0"/>
            <w:vAlign w:val="center"/>
          </w:tcPr>
          <w:p>
            <w:pPr>
              <w:jc w:val="center"/>
              <w:rPr>
                <w:rFonts w:ascii="宋体" w:hAnsi="宋体" w:cs="仿宋_GB2312"/>
                <w:color w:val="auto"/>
                <w:sz w:val="24"/>
                <w:szCs w:val="24"/>
                <w:highlight w:val="none"/>
              </w:rPr>
            </w:pPr>
          </w:p>
        </w:tc>
        <w:tc>
          <w:tcPr>
            <w:tcW w:w="1218" w:type="dxa"/>
            <w:noWrap w:val="0"/>
            <w:vAlign w:val="center"/>
          </w:tcPr>
          <w:p>
            <w:pPr>
              <w:jc w:val="center"/>
              <w:rPr>
                <w:rFonts w:ascii="宋体" w:hAnsi="宋体" w:cs="仿宋_GB2312"/>
                <w:color w:val="auto"/>
                <w:sz w:val="24"/>
                <w:szCs w:val="24"/>
                <w:highlight w:val="none"/>
              </w:rPr>
            </w:pPr>
          </w:p>
        </w:tc>
        <w:tc>
          <w:tcPr>
            <w:tcW w:w="1327" w:type="dxa"/>
            <w:noWrap w:val="0"/>
            <w:vAlign w:val="center"/>
          </w:tcPr>
          <w:p>
            <w:pPr>
              <w:jc w:val="center"/>
              <w:rPr>
                <w:rFonts w:ascii="宋体" w:hAnsi="宋体" w:cs="仿宋_GB2312"/>
                <w:color w:val="auto"/>
                <w:sz w:val="24"/>
                <w:szCs w:val="24"/>
                <w:highlight w:val="none"/>
              </w:rPr>
            </w:pPr>
          </w:p>
        </w:tc>
      </w:tr>
    </w:tbl>
    <w:p>
      <w:pPr>
        <w:spacing w:line="360" w:lineRule="auto"/>
        <w:ind w:left="978" w:hanging="978" w:hangingChars="406"/>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1、投标人应按招标文件第三章“项目技术、服务及商务要求”中技术、服务要求</w:t>
      </w:r>
      <w:r>
        <w:rPr>
          <w:rFonts w:hint="eastAsia" w:hAnsi="宋体" w:cs="Times New Roman"/>
          <w:color w:val="auto"/>
          <w:sz w:val="24"/>
          <w:szCs w:val="24"/>
          <w:highlight w:val="none"/>
        </w:rPr>
        <w:t>“</w:t>
      </w:r>
      <w:r>
        <w:rPr>
          <w:rFonts w:hint="eastAsia" w:ascii="宋体" w:hAnsi="宋体" w:eastAsia="宋体" w:cs="宋体"/>
          <w:i w:val="0"/>
          <w:color w:val="000000"/>
          <w:kern w:val="0"/>
          <w:sz w:val="24"/>
          <w:szCs w:val="24"/>
          <w:u w:val="none"/>
          <w:lang w:val="en-US" w:eastAsia="zh-CN" w:bidi="ar"/>
        </w:rPr>
        <w:t>★</w:t>
      </w:r>
      <w:r>
        <w:rPr>
          <w:rFonts w:hint="eastAsia" w:hAnsi="宋体" w:cs="Times New Roman"/>
          <w:color w:val="auto"/>
          <w:sz w:val="24"/>
          <w:szCs w:val="24"/>
          <w:highlight w:val="none"/>
        </w:rPr>
        <w:t>”号</w:t>
      </w:r>
      <w:r>
        <w:rPr>
          <w:rFonts w:hint="eastAsia" w:ascii="宋体" w:hAnsi="宋体" w:cs="Corbel"/>
          <w:color w:val="auto"/>
          <w:sz w:val="24"/>
          <w:szCs w:val="24"/>
          <w:highlight w:val="none"/>
        </w:rPr>
        <w:t>条款进行逐项说明是否满足要求，如有偏离,投标人应详细说明。未按照要求填写此表或仅注明“符合”、“满足”的，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976" w:leftChars="305" w:hanging="336" w:hangingChars="140"/>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pPr>
        <w:pStyle w:val="4"/>
        <w:numPr>
          <w:ilvl w:val="0"/>
          <w:numId w:val="48"/>
        </w:numPr>
        <w:spacing w:before="40" w:after="40" w:line="360" w:lineRule="auto"/>
        <w:ind w:left="1285" w:hanging="1285" w:hangingChars="400"/>
        <w:jc w:val="left"/>
        <w:rPr>
          <w:rFonts w:ascii="宋体" w:hAnsi="宋体" w:cs="Times New Roman"/>
          <w:bCs w:val="0"/>
          <w:color w:val="auto"/>
          <w:highlight w:val="none"/>
        </w:rPr>
        <w:sectPr>
          <w:pgSz w:w="11906" w:h="16838"/>
          <w:pgMar w:top="1134" w:right="1191" w:bottom="1134" w:left="1191"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38"/>
        </w:numPr>
        <w:spacing w:before="40" w:after="40" w:line="360" w:lineRule="auto"/>
        <w:ind w:left="1285" w:hanging="1280" w:hangingChars="400"/>
        <w:jc w:val="left"/>
        <w:rPr>
          <w:rFonts w:ascii="宋体" w:hAnsi="宋体" w:cs="Times New Roman"/>
          <w:bCs w:val="0"/>
          <w:color w:val="auto"/>
          <w:highlight w:val="none"/>
        </w:rPr>
      </w:pPr>
      <w:bookmarkStart w:id="231" w:name="_Toc511895490"/>
      <w:bookmarkStart w:id="232" w:name="_Toc26014"/>
      <w:bookmarkStart w:id="233" w:name="_Toc30442"/>
      <w:bookmarkStart w:id="234" w:name="_Toc511894549"/>
      <w:r>
        <w:rPr>
          <w:rFonts w:hint="eastAsia" w:ascii="宋体" w:hAnsi="宋体" w:cs="Times New Roman"/>
          <w:bCs w:val="0"/>
          <w:color w:val="auto"/>
          <w:highlight w:val="none"/>
        </w:rPr>
        <w:t>技术、服务评议对照表</w:t>
      </w:r>
      <w:bookmarkEnd w:id="231"/>
      <w:bookmarkEnd w:id="232"/>
      <w:bookmarkEnd w:id="233"/>
      <w:bookmarkEnd w:id="234"/>
    </w:p>
    <w:p>
      <w:pPr>
        <w:spacing w:line="360" w:lineRule="auto"/>
        <w:jc w:val="left"/>
        <w:rPr>
          <w:rFonts w:hAnsi="宋体"/>
          <w:b/>
          <w:color w:val="auto"/>
          <w:sz w:val="24"/>
          <w:highlight w:val="none"/>
        </w:rPr>
      </w:pPr>
      <w:r>
        <w:rPr>
          <w:rFonts w:hint="eastAsia" w:hAnsi="宋体"/>
          <w:b/>
          <w:color w:val="auto"/>
          <w:sz w:val="24"/>
          <w:highlight w:val="none"/>
        </w:rPr>
        <w:t>投 标 人：</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p>
    <w:p>
      <w:pPr>
        <w:spacing w:line="360" w:lineRule="auto"/>
        <w:jc w:val="left"/>
        <w:rPr>
          <w:rFonts w:hAnsi="宋体"/>
          <w:b/>
          <w:color w:val="auto"/>
          <w:sz w:val="24"/>
          <w:highlight w:val="none"/>
        </w:rPr>
      </w:pPr>
      <w:r>
        <w:rPr>
          <w:rFonts w:hint="eastAsia" w:ascii="宋体" w:hAnsi="宋体" w:cs="Times New Roman"/>
          <w:b/>
          <w:color w:val="auto"/>
          <w:sz w:val="24"/>
          <w:szCs w:val="21"/>
          <w:highlight w:val="none"/>
        </w:rPr>
        <w:t>项目编号：</w:t>
      </w:r>
      <w:r>
        <w:rPr>
          <w:rFonts w:hint="eastAsia" w:ascii="宋体" w:hAnsi="宋体" w:cs="Times New Roman"/>
          <w:b/>
          <w:color w:val="auto"/>
          <w:sz w:val="24"/>
          <w:szCs w:val="21"/>
          <w:highlight w:val="none"/>
          <w:u w:val="single"/>
        </w:rPr>
        <w:t xml:space="preserve">                     </w:t>
      </w:r>
      <w:r>
        <w:rPr>
          <w:rFonts w:hint="eastAsia" w:ascii="宋体" w:hAnsi="宋体" w:cs="Times New Roman"/>
          <w:b/>
          <w:color w:val="auto"/>
          <w:sz w:val="24"/>
          <w:szCs w:val="21"/>
          <w:highlight w:val="none"/>
        </w:rPr>
        <w:t xml:space="preserve">     </w:t>
      </w:r>
      <w:r>
        <w:rPr>
          <w:rFonts w:hint="eastAsia" w:ascii="宋体" w:hAnsi="宋体" w:cs="Times New Roman"/>
          <w:b/>
          <w:bCs/>
          <w:color w:val="auto"/>
          <w:sz w:val="24"/>
          <w:szCs w:val="21"/>
          <w:highlight w:val="none"/>
        </w:rPr>
        <w:t xml:space="preserve">                所投包号：</w:t>
      </w:r>
      <w:r>
        <w:rPr>
          <w:rFonts w:hint="eastAsia" w:ascii="宋体" w:hAnsi="宋体" w:cs="Times New Roman"/>
          <w:b/>
          <w:bCs/>
          <w:color w:val="auto"/>
          <w:sz w:val="24"/>
          <w:szCs w:val="21"/>
          <w:highlight w:val="none"/>
          <w:u w:val="single"/>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noWrap w:val="0"/>
            <w:vAlign w:val="center"/>
          </w:tcPr>
          <w:p>
            <w:pPr>
              <w:spacing w:before="100" w:beforeAutospacing="1" w:after="100" w:afterAutospacing="1"/>
              <w:ind w:left="-105" w:leftChars="-50" w:right="-105" w:rightChars="-50"/>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序号</w:t>
            </w:r>
          </w:p>
        </w:tc>
        <w:tc>
          <w:tcPr>
            <w:tcW w:w="3083" w:type="dxa"/>
            <w:tcBorders>
              <w:bottom w:val="single" w:color="auto" w:sz="4" w:space="0"/>
            </w:tcBorders>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招标文件技术评分标准的序号及内容</w:t>
            </w:r>
          </w:p>
        </w:tc>
        <w:tc>
          <w:tcPr>
            <w:tcW w:w="3110" w:type="dxa"/>
            <w:tcBorders>
              <w:bottom w:val="single" w:color="auto" w:sz="4" w:space="0"/>
            </w:tcBorders>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投标响应内容对应简述</w:t>
            </w:r>
          </w:p>
        </w:tc>
        <w:tc>
          <w:tcPr>
            <w:tcW w:w="1221" w:type="dxa"/>
            <w:tcBorders>
              <w:bottom w:val="single" w:color="auto" w:sz="4" w:space="0"/>
            </w:tcBorders>
            <w:shd w:val="pct10" w:color="C4BC96" w:fill="DDD9C3"/>
            <w:noWrap w:val="0"/>
            <w:vAlign w:val="center"/>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偏离说明</w:t>
            </w:r>
          </w:p>
        </w:tc>
        <w:tc>
          <w:tcPr>
            <w:tcW w:w="1304" w:type="dxa"/>
            <w:tcBorders>
              <w:bottom w:val="single" w:color="auto" w:sz="4" w:space="0"/>
            </w:tcBorders>
            <w:shd w:val="pct10" w:color="C4BC96" w:fill="DDD9C3"/>
            <w:noWrap w:val="0"/>
            <w:vAlign w:val="top"/>
          </w:tcPr>
          <w:p>
            <w:pPr>
              <w:spacing w:before="100" w:beforeAutospacing="1" w:after="100" w:afterAutospacing="1"/>
              <w:ind w:left="-52" w:leftChars="-25" w:right="-52" w:rightChars="-25"/>
              <w:jc w:val="center"/>
              <w:rPr>
                <w:rFonts w:ascii="宋体" w:hAnsi="宋体" w:cs="仿宋_GB2312"/>
                <w:b/>
                <w:color w:val="auto"/>
                <w:sz w:val="24"/>
                <w:szCs w:val="24"/>
                <w:highlight w:val="none"/>
              </w:rPr>
            </w:pPr>
            <w:r>
              <w:rPr>
                <w:rFonts w:hint="eastAsia" w:ascii="宋体" w:hAnsi="宋体" w:cs="仿宋_GB2312"/>
                <w:b/>
                <w:color w:val="auto"/>
                <w:sz w:val="24"/>
                <w:szCs w:val="24"/>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noWrap w:val="0"/>
            <w:vAlign w:val="center"/>
          </w:tcPr>
          <w:p>
            <w:pPr>
              <w:numPr>
                <w:ilvl w:val="0"/>
                <w:numId w:val="60"/>
              </w:numPr>
              <w:jc w:val="center"/>
              <w:rPr>
                <w:rFonts w:ascii="宋体" w:hAnsi="宋体" w:cs="仿宋_GB2312"/>
                <w:color w:val="auto"/>
                <w:sz w:val="24"/>
                <w:szCs w:val="24"/>
                <w:highlight w:val="none"/>
              </w:rPr>
            </w:pPr>
          </w:p>
        </w:tc>
        <w:tc>
          <w:tcPr>
            <w:tcW w:w="3083"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3110"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221" w:type="dxa"/>
            <w:tcBorders>
              <w:top w:val="single" w:color="auto" w:sz="4" w:space="0"/>
            </w:tcBorders>
            <w:noWrap w:val="0"/>
            <w:vAlign w:val="center"/>
          </w:tcPr>
          <w:p>
            <w:pPr>
              <w:jc w:val="center"/>
              <w:rPr>
                <w:rFonts w:ascii="宋体" w:hAnsi="宋体" w:cs="仿宋_GB2312"/>
                <w:color w:val="auto"/>
                <w:sz w:val="24"/>
                <w:szCs w:val="24"/>
                <w:highlight w:val="none"/>
              </w:rPr>
            </w:pPr>
          </w:p>
        </w:tc>
        <w:tc>
          <w:tcPr>
            <w:tcW w:w="1304" w:type="dxa"/>
            <w:tcBorders>
              <w:top w:val="single" w:color="auto" w:sz="4" w:space="0"/>
            </w:tcBorders>
            <w:noWrap w:val="0"/>
            <w:vAlign w:val="center"/>
          </w:tcPr>
          <w:p>
            <w:pPr>
              <w:jc w:val="center"/>
              <w:rPr>
                <w:rFonts w:ascii="宋体" w:hAnsi="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center"/>
              <w:rPr>
                <w:rFonts w:ascii="宋体" w:hAnsi="宋体" w:cs="仿宋_GB2312"/>
                <w:color w:val="auto"/>
                <w:sz w:val="24"/>
                <w:szCs w:val="24"/>
                <w:highlight w:val="none"/>
              </w:rPr>
            </w:pPr>
          </w:p>
        </w:tc>
        <w:tc>
          <w:tcPr>
            <w:tcW w:w="3110" w:type="dxa"/>
            <w:noWrap w:val="0"/>
            <w:vAlign w:val="center"/>
          </w:tcPr>
          <w:p>
            <w:pPr>
              <w:jc w:val="center"/>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ind w:left="0" w:firstLine="0"/>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numPr>
                <w:ilvl w:val="0"/>
                <w:numId w:val="60"/>
              </w:numPr>
              <w:jc w:val="center"/>
              <w:rPr>
                <w:rFonts w:ascii="宋体" w:hAnsi="宋体" w:cs="仿宋_GB2312"/>
                <w:color w:val="auto"/>
                <w:sz w:val="24"/>
                <w:szCs w:val="24"/>
                <w:highlight w:val="none"/>
              </w:rPr>
            </w:pP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noWrap w:val="0"/>
            <w:vAlign w:val="center"/>
          </w:tcPr>
          <w:p>
            <w:pPr>
              <w:jc w:val="right"/>
              <w:rPr>
                <w:rFonts w:ascii="宋体" w:hAnsi="宋体" w:cs="仿宋_GB2312"/>
                <w:b/>
                <w:color w:val="auto"/>
                <w:sz w:val="24"/>
                <w:szCs w:val="24"/>
                <w:highlight w:val="none"/>
              </w:rPr>
            </w:pPr>
            <w:r>
              <w:rPr>
                <w:rFonts w:hint="eastAsia" w:ascii="宋体" w:hAnsi="宋体" w:cs="仿宋_GB2312"/>
                <w:b/>
                <w:color w:val="auto"/>
                <w:sz w:val="24"/>
                <w:szCs w:val="24"/>
                <w:highlight w:val="none"/>
              </w:rPr>
              <w:t>…</w:t>
            </w:r>
          </w:p>
        </w:tc>
        <w:tc>
          <w:tcPr>
            <w:tcW w:w="3083" w:type="dxa"/>
            <w:noWrap w:val="0"/>
            <w:vAlign w:val="center"/>
          </w:tcPr>
          <w:p>
            <w:pPr>
              <w:jc w:val="left"/>
              <w:rPr>
                <w:rFonts w:ascii="宋体" w:hAnsi="宋体" w:cs="仿宋_GB2312"/>
                <w:color w:val="auto"/>
                <w:sz w:val="24"/>
                <w:szCs w:val="24"/>
                <w:highlight w:val="none"/>
              </w:rPr>
            </w:pPr>
          </w:p>
        </w:tc>
        <w:tc>
          <w:tcPr>
            <w:tcW w:w="3110" w:type="dxa"/>
            <w:noWrap w:val="0"/>
            <w:vAlign w:val="center"/>
          </w:tcPr>
          <w:p>
            <w:pPr>
              <w:jc w:val="left"/>
              <w:rPr>
                <w:rFonts w:ascii="宋体" w:hAnsi="宋体" w:cs="仿宋_GB2312"/>
                <w:color w:val="auto"/>
                <w:sz w:val="24"/>
                <w:szCs w:val="24"/>
                <w:highlight w:val="none"/>
              </w:rPr>
            </w:pPr>
          </w:p>
        </w:tc>
        <w:tc>
          <w:tcPr>
            <w:tcW w:w="1221" w:type="dxa"/>
            <w:noWrap w:val="0"/>
            <w:vAlign w:val="center"/>
          </w:tcPr>
          <w:p>
            <w:pPr>
              <w:jc w:val="center"/>
              <w:rPr>
                <w:rFonts w:ascii="宋体" w:hAnsi="宋体" w:cs="仿宋_GB2312"/>
                <w:color w:val="auto"/>
                <w:sz w:val="24"/>
                <w:szCs w:val="24"/>
                <w:highlight w:val="none"/>
              </w:rPr>
            </w:pPr>
          </w:p>
        </w:tc>
        <w:tc>
          <w:tcPr>
            <w:tcW w:w="1304" w:type="dxa"/>
            <w:noWrap w:val="0"/>
            <w:vAlign w:val="center"/>
          </w:tcPr>
          <w:p>
            <w:pPr>
              <w:jc w:val="center"/>
              <w:rPr>
                <w:rFonts w:ascii="宋体" w:hAnsi="宋体" w:cs="仿宋_GB2312"/>
                <w:color w:val="auto"/>
                <w:sz w:val="24"/>
                <w:szCs w:val="24"/>
                <w:highlight w:val="none"/>
              </w:rPr>
            </w:pPr>
          </w:p>
        </w:tc>
      </w:tr>
    </w:tbl>
    <w:p>
      <w:pPr>
        <w:spacing w:line="360" w:lineRule="auto"/>
        <w:ind w:left="1132" w:hanging="1128" w:hangingChars="470"/>
        <w:jc w:val="left"/>
        <w:rPr>
          <w:rFonts w:ascii="宋体" w:hAnsi="宋体" w:cs="Corbel"/>
          <w:color w:val="auto"/>
          <w:sz w:val="24"/>
          <w:szCs w:val="24"/>
          <w:highlight w:val="none"/>
        </w:rPr>
      </w:pPr>
      <w:r>
        <w:rPr>
          <w:rFonts w:hint="eastAsia" w:ascii="宋体" w:hAnsi="宋体" w:cs="Corbel"/>
          <w:b/>
          <w:color w:val="auto"/>
          <w:sz w:val="24"/>
          <w:szCs w:val="24"/>
          <w:highlight w:val="none"/>
        </w:rPr>
        <w:t>说明：</w:t>
      </w:r>
      <w:r>
        <w:rPr>
          <w:rFonts w:hint="eastAsia" w:ascii="宋体" w:hAnsi="宋体" w:cs="Corbel"/>
          <w:color w:val="auto"/>
          <w:sz w:val="24"/>
          <w:szCs w:val="24"/>
          <w:highlight w:val="none"/>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color w:val="auto"/>
          <w:sz w:val="24"/>
          <w:szCs w:val="24"/>
          <w:highlight w:val="none"/>
        </w:rPr>
        <w:t>导致的后果由投标人自行承担。</w:t>
      </w:r>
    </w:p>
    <w:p>
      <w:pPr>
        <w:spacing w:line="360" w:lineRule="auto"/>
        <w:ind w:left="1118" w:leftChars="366" w:hanging="350" w:hangingChars="146"/>
        <w:jc w:val="left"/>
        <w:rPr>
          <w:rFonts w:ascii="宋体" w:hAnsi="宋体" w:cs="Corbel"/>
          <w:color w:val="auto"/>
          <w:sz w:val="24"/>
          <w:szCs w:val="24"/>
          <w:highlight w:val="none"/>
        </w:rPr>
      </w:pPr>
      <w:r>
        <w:rPr>
          <w:rFonts w:hint="eastAsia" w:ascii="宋体" w:hAnsi="宋体" w:cs="Corbel"/>
          <w:color w:val="auto"/>
          <w:sz w:val="24"/>
          <w:szCs w:val="24"/>
          <w:highlight w:val="none"/>
        </w:rPr>
        <w:t>2、投标人提供的相关证明文件对应的页码填写到上表“投标文件对应的页码”中。未提供页码或内容页码不一致的，</w:t>
      </w:r>
      <w:r>
        <w:rPr>
          <w:rFonts w:hint="eastAsia" w:ascii="宋体" w:hAnsi="宋体" w:cs="Times New Roman"/>
          <w:color w:val="auto"/>
          <w:sz w:val="24"/>
          <w:szCs w:val="24"/>
          <w:highlight w:val="none"/>
        </w:rPr>
        <w:t>导致的后果由投标人自行承担。</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hAnsi="宋体"/>
          <w:bCs/>
          <w:color w:val="auto"/>
          <w:sz w:val="24"/>
          <w:highlight w:val="none"/>
        </w:rPr>
        <w:t>投标人（公章）：</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hAnsi="宋体"/>
          <w:bCs/>
          <w:color w:val="auto"/>
          <w:sz w:val="24"/>
          <w:highlight w:val="none"/>
          <w:u w:val="single"/>
        </w:rPr>
      </w:pPr>
      <w:r>
        <w:rPr>
          <w:rFonts w:hint="eastAsia" w:ascii="宋体" w:hAnsi="宋体" w:cs="Times New Roman"/>
          <w:bCs/>
          <w:color w:val="auto"/>
          <w:sz w:val="24"/>
          <w:szCs w:val="21"/>
          <w:highlight w:val="none"/>
        </w:rPr>
        <w:t>投标人</w:t>
      </w:r>
      <w:r>
        <w:rPr>
          <w:rFonts w:hint="eastAsia" w:hAnsi="宋体"/>
          <w:bCs/>
          <w:color w:val="auto"/>
          <w:sz w:val="24"/>
          <w:highlight w:val="none"/>
        </w:rPr>
        <w:t>授权代表（签字）：</w:t>
      </w:r>
      <w:r>
        <w:rPr>
          <w:rFonts w:hint="eastAsia" w:hAnsi="宋体"/>
          <w:bCs/>
          <w:color w:val="auto"/>
          <w:sz w:val="24"/>
          <w:highlight w:val="none"/>
          <w:u w:val="single"/>
        </w:rPr>
        <w:t xml:space="preserve">                  </w:t>
      </w:r>
    </w:p>
    <w:p>
      <w:pPr>
        <w:spacing w:before="100" w:beforeAutospacing="1" w:after="100" w:afterAutospacing="1" w:line="360" w:lineRule="auto"/>
        <w:ind w:firstLine="3316" w:firstLineChars="1382"/>
        <w:rPr>
          <w:rFonts w:ascii="宋体" w:hAnsi="宋体" w:cs="Times New Roman"/>
          <w:bCs/>
          <w:color w:val="auto"/>
          <w:highlight w:val="none"/>
        </w:rPr>
      </w:pPr>
      <w:r>
        <w:rPr>
          <w:rFonts w:hint="eastAsia" w:hAnsi="宋体" w:cs="Times New Roman"/>
          <w:color w:val="auto"/>
          <w:sz w:val="24"/>
          <w:szCs w:val="24"/>
          <w:highlight w:val="none"/>
        </w:rPr>
        <w:t>日   期：</w:t>
      </w:r>
      <w:r>
        <w:rPr>
          <w:rFonts w:hint="eastAsia" w:hAnsi="宋体"/>
          <w:bCs/>
          <w:color w:val="auto"/>
          <w:sz w:val="24"/>
          <w:highlight w:val="none"/>
          <w:u w:val="single"/>
        </w:rPr>
        <w:t xml:space="preserve">                               </w:t>
      </w:r>
    </w:p>
    <w:p/>
    <w:sectPr>
      <w:headerReference r:id="rId13" w:type="default"/>
      <w:footerReference r:id="rId14" w:type="default"/>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rFonts w:asciiTheme="minorEastAsia" w:hAnsiTheme="minorEastAsia"/>
        <w:b/>
        <w:bCs/>
      </w:rPr>
    </w:pPr>
    <w:r>
      <w:rPr>
        <w:rFonts w:hint="eastAsia" w:asciiTheme="minorEastAsia" w:hAnsiTheme="minorEastAsia"/>
        <w:bCs/>
        <w:lang w:eastAsia="zh-CN"/>
      </w:rPr>
      <w:t>湖北天缔工程咨询有限公司</w:t>
    </w:r>
    <w:r>
      <w:rPr>
        <w:rFonts w:hint="eastAsia" w:asciiTheme="minorEastAsia" w:hAnsiTheme="minorEastAsia"/>
        <w:bCs/>
      </w:rPr>
      <w:t>编制</w:t>
    </w:r>
    <w:r>
      <w:rPr>
        <w:rFonts w:hint="eastAsia"/>
      </w:rPr>
      <w:t xml:space="preserve">                                                                     </w:t>
    </w:r>
    <w:r>
      <w:rPr>
        <w:rFonts w:asciiTheme="minorEastAsia" w:hAnsiTheme="minorEastAsia"/>
        <w:bCs/>
      </w:rPr>
      <w:t>V3.0.2017.0930</w:t>
    </w:r>
  </w:p>
  <w:p>
    <w:pPr>
      <w:pStyle w:val="8"/>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57</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675"/>
        <w:tab w:val="center" w:pos="4762"/>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lear" w:pos="4153"/>
      </w:tabs>
      <w:jc w:val="lef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lear" w:pos="4153"/>
        <w:tab w:val="clear" w:pos="8306"/>
      </w:tabs>
      <w:jc w:val="left"/>
      <w:rPr>
        <w:rFonts w:hint="eastAsia"/>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600" w:lineRule="exact"/>
      <w:rPr>
        <w:rFonts w:ascii="仿宋_GB2312" w:eastAsia="仿宋_GB2312"/>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D"/>
    <w:multiLevelType w:val="multilevel"/>
    <w:tmpl w:val="0000001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8"/>
    <w:multiLevelType w:val="multilevel"/>
    <w:tmpl w:val="0000002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
    <w:nsid w:val="0000002B"/>
    <w:multiLevelType w:val="multilevel"/>
    <w:tmpl w:val="0000002B"/>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E"/>
    <w:multiLevelType w:val="multilevel"/>
    <w:tmpl w:val="0000002E"/>
    <w:lvl w:ilvl="0" w:tentative="0">
      <w:start w:val="1"/>
      <w:numFmt w:val="chineseCountingThousand"/>
      <w:lvlText w:val="（%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F"/>
    <w:multiLevelType w:val="multilevel"/>
    <w:tmpl w:val="0000002F"/>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36"/>
    <w:multiLevelType w:val="multilevel"/>
    <w:tmpl w:val="00000036"/>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8">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48"/>
    <w:multiLevelType w:val="multilevel"/>
    <w:tmpl w:val="0000004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3">
    <w:nsid w:val="0000004B"/>
    <w:multiLevelType w:val="multilevel"/>
    <w:tmpl w:val="0000004B"/>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4">
    <w:nsid w:val="00000059"/>
    <w:multiLevelType w:val="multilevel"/>
    <w:tmpl w:val="0000005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68"/>
    <w:multiLevelType w:val="multilevel"/>
    <w:tmpl w:val="00000068"/>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7">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75"/>
    <w:multiLevelType w:val="multilevel"/>
    <w:tmpl w:val="00000075"/>
    <w:lvl w:ilvl="0" w:tentative="0">
      <w:start w:val="1"/>
      <w:numFmt w:val="decimal"/>
      <w:lvlText w:val="%1"/>
      <w:lvlJc w:val="center"/>
      <w:pPr>
        <w:ind w:left="420" w:hanging="420"/>
      </w:pPr>
      <w:rPr>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78"/>
    <w:multiLevelType w:val="multilevel"/>
    <w:tmpl w:val="00000078"/>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7E"/>
    <w:multiLevelType w:val="multilevel"/>
    <w:tmpl w:val="0000007E"/>
    <w:lvl w:ilvl="0" w:tentative="0">
      <w:start w:val="1"/>
      <w:numFmt w:val="decimal"/>
      <w:lvlText w:val="2.%1 "/>
      <w:lvlJc w:val="left"/>
      <w:pPr>
        <w:ind w:left="900" w:hanging="420"/>
      </w:pPr>
      <w:rPr>
        <w:rFonts w:hint="eastAsia" w:ascii="仿宋" w:hAnsi="仿宋" w:eastAsia="仿宋"/>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85"/>
    <w:multiLevelType w:val="multilevel"/>
    <w:tmpl w:val="00000085"/>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8A"/>
    <w:multiLevelType w:val="multilevel"/>
    <w:tmpl w:val="0000008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3F56DAF"/>
    <w:multiLevelType w:val="multilevel"/>
    <w:tmpl w:val="03F56DA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7">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2">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4">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5">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6">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2948C823"/>
    <w:multiLevelType w:val="singleLevel"/>
    <w:tmpl w:val="2948C823"/>
    <w:lvl w:ilvl="0" w:tentative="0">
      <w:start w:val="1"/>
      <w:numFmt w:val="chineseCounting"/>
      <w:suff w:val="nothing"/>
      <w:lvlText w:val="%1、"/>
      <w:lvlJc w:val="left"/>
      <w:rPr>
        <w:rFonts w:hint="eastAsia"/>
      </w:rPr>
    </w:lvl>
  </w:abstractNum>
  <w:abstractNum w:abstractNumId="38">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8">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2">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5">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6">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7">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9">
    <w:nsid w:val="7A35A2E5"/>
    <w:multiLevelType w:val="singleLevel"/>
    <w:tmpl w:val="7A35A2E5"/>
    <w:lvl w:ilvl="0" w:tentative="0">
      <w:start w:val="1"/>
      <w:numFmt w:val="decimal"/>
      <w:suff w:val="nothing"/>
      <w:lvlText w:val="%1．"/>
      <w:lvlJc w:val="left"/>
      <w:pPr>
        <w:ind w:left="0" w:firstLine="400"/>
      </w:pPr>
      <w:rPr>
        <w:rFonts w:hint="default"/>
      </w:rPr>
    </w:lvl>
  </w:abstractNum>
  <w:num w:numId="1">
    <w:abstractNumId w:val="48"/>
  </w:num>
  <w:num w:numId="2">
    <w:abstractNumId w:val="25"/>
  </w:num>
  <w:num w:numId="3">
    <w:abstractNumId w:val="45"/>
  </w:num>
  <w:num w:numId="4">
    <w:abstractNumId w:val="32"/>
  </w:num>
  <w:num w:numId="5">
    <w:abstractNumId w:val="28"/>
  </w:num>
  <w:num w:numId="6">
    <w:abstractNumId w:val="53"/>
  </w:num>
  <w:num w:numId="7">
    <w:abstractNumId w:val="51"/>
  </w:num>
  <w:num w:numId="8">
    <w:abstractNumId w:val="42"/>
  </w:num>
  <w:num w:numId="9">
    <w:abstractNumId w:val="27"/>
  </w:num>
  <w:num w:numId="10">
    <w:abstractNumId w:val="38"/>
  </w:num>
  <w:num w:numId="11">
    <w:abstractNumId w:val="39"/>
  </w:num>
  <w:num w:numId="12">
    <w:abstractNumId w:val="30"/>
  </w:num>
  <w:num w:numId="13">
    <w:abstractNumId w:val="29"/>
  </w:num>
  <w:num w:numId="14">
    <w:abstractNumId w:val="57"/>
  </w:num>
  <w:num w:numId="15">
    <w:abstractNumId w:val="37"/>
  </w:num>
  <w:num w:numId="16">
    <w:abstractNumId w:val="50"/>
  </w:num>
  <w:num w:numId="17">
    <w:abstractNumId w:val="41"/>
  </w:num>
  <w:num w:numId="18">
    <w:abstractNumId w:val="49"/>
  </w:num>
  <w:num w:numId="19">
    <w:abstractNumId w:val="43"/>
  </w:num>
  <w:num w:numId="20">
    <w:abstractNumId w:val="46"/>
  </w:num>
  <w:num w:numId="21">
    <w:abstractNumId w:val="44"/>
  </w:num>
  <w:num w:numId="22">
    <w:abstractNumId w:val="34"/>
  </w:num>
  <w:num w:numId="23">
    <w:abstractNumId w:val="58"/>
  </w:num>
  <w:num w:numId="24">
    <w:abstractNumId w:val="26"/>
  </w:num>
  <w:num w:numId="25">
    <w:abstractNumId w:val="35"/>
  </w:num>
  <w:num w:numId="26">
    <w:abstractNumId w:val="33"/>
  </w:num>
  <w:num w:numId="27">
    <w:abstractNumId w:val="24"/>
  </w:num>
  <w:num w:numId="28">
    <w:abstractNumId w:val="52"/>
    <w:lvlOverride w:ilvl="0">
      <w:startOverride w:val="1"/>
    </w:lvlOverride>
  </w:num>
  <w:num w:numId="29">
    <w:abstractNumId w:val="40"/>
  </w:num>
  <w:num w:numId="30">
    <w:abstractNumId w:val="54"/>
  </w:num>
  <w:num w:numId="31">
    <w:abstractNumId w:val="47"/>
  </w:num>
  <w:num w:numId="32">
    <w:abstractNumId w:val="31"/>
  </w:num>
  <w:num w:numId="33">
    <w:abstractNumId w:val="36"/>
  </w:num>
  <w:num w:numId="34">
    <w:abstractNumId w:val="55"/>
  </w:num>
  <w:num w:numId="35">
    <w:abstractNumId w:val="2"/>
  </w:num>
  <w:num w:numId="36">
    <w:abstractNumId w:val="59"/>
  </w:num>
  <w:num w:numId="37">
    <w:abstractNumId w:val="56"/>
  </w:num>
  <w:num w:numId="38">
    <w:abstractNumId w:val="15"/>
  </w:num>
  <w:num w:numId="39">
    <w:abstractNumId w:val="3"/>
  </w:num>
  <w:num w:numId="40">
    <w:abstractNumId w:val="16"/>
  </w:num>
  <w:num w:numId="41">
    <w:abstractNumId w:val="13"/>
  </w:num>
  <w:num w:numId="42">
    <w:abstractNumId w:val="20"/>
  </w:num>
  <w:num w:numId="43">
    <w:abstractNumId w:val="18"/>
  </w:num>
  <w:num w:numId="44">
    <w:abstractNumId w:val="7"/>
  </w:num>
  <w:num w:numId="45">
    <w:abstractNumId w:val="12"/>
  </w:num>
  <w:num w:numId="46">
    <w:abstractNumId w:val="14"/>
  </w:num>
  <w:num w:numId="47">
    <w:abstractNumId w:val="5"/>
  </w:num>
  <w:num w:numId="48">
    <w:abstractNumId w:val="10"/>
  </w:num>
  <w:num w:numId="49">
    <w:abstractNumId w:val="8"/>
  </w:num>
  <w:num w:numId="50">
    <w:abstractNumId w:val="6"/>
  </w:num>
  <w:num w:numId="51">
    <w:abstractNumId w:val="23"/>
  </w:num>
  <w:num w:numId="52">
    <w:abstractNumId w:val="19"/>
  </w:num>
  <w:num w:numId="53">
    <w:abstractNumId w:val="4"/>
  </w:num>
  <w:num w:numId="54">
    <w:abstractNumId w:val="0"/>
  </w:num>
  <w:num w:numId="55">
    <w:abstractNumId w:val="1"/>
  </w:num>
  <w:num w:numId="56">
    <w:abstractNumId w:val="9"/>
  </w:num>
  <w:num w:numId="57">
    <w:abstractNumId w:val="22"/>
  </w:num>
  <w:num w:numId="58">
    <w:abstractNumId w:val="21"/>
  </w:num>
  <w:num w:numId="59">
    <w:abstractNumId w:val="11"/>
  </w:num>
  <w:num w:numId="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2EF2"/>
    <w:rsid w:val="031065A4"/>
    <w:rsid w:val="0704270F"/>
    <w:rsid w:val="08D95B83"/>
    <w:rsid w:val="1B890F06"/>
    <w:rsid w:val="1B907454"/>
    <w:rsid w:val="216A7D5B"/>
    <w:rsid w:val="22891D9B"/>
    <w:rsid w:val="26AE0125"/>
    <w:rsid w:val="277F6F17"/>
    <w:rsid w:val="27A953C1"/>
    <w:rsid w:val="27EA0240"/>
    <w:rsid w:val="2DC016BE"/>
    <w:rsid w:val="3FFF3235"/>
    <w:rsid w:val="42D15437"/>
    <w:rsid w:val="438E2EF2"/>
    <w:rsid w:val="49337214"/>
    <w:rsid w:val="4CBE5455"/>
    <w:rsid w:val="4DE970F7"/>
    <w:rsid w:val="53AD2D77"/>
    <w:rsid w:val="57292214"/>
    <w:rsid w:val="573F13E3"/>
    <w:rsid w:val="58000EF9"/>
    <w:rsid w:val="590A2B77"/>
    <w:rsid w:val="6A130813"/>
    <w:rsid w:val="6A6C2DAA"/>
    <w:rsid w:val="72EC0C73"/>
    <w:rsid w:val="734712DF"/>
    <w:rsid w:val="76B92689"/>
    <w:rsid w:val="770E7494"/>
    <w:rsid w:val="7E066A3C"/>
    <w:rsid w:val="7EC5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Body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6">
    <w:name w:val="Body Text Indent"/>
    <w:basedOn w:val="1"/>
    <w:unhideWhenUsed/>
    <w:qFormat/>
    <w:uiPriority w:val="99"/>
    <w:pPr>
      <w:autoSpaceDE w:val="0"/>
      <w:autoSpaceDN w:val="0"/>
      <w:adjustRightInd w:val="0"/>
      <w:spacing w:after="120" w:line="360" w:lineRule="atLeast"/>
      <w:ind w:left="900"/>
    </w:pPr>
    <w:rPr>
      <w:rFonts w:ascii="楷体_GB2312" w:eastAsia="楷体_GB2312"/>
      <w:kern w:val="0"/>
      <w:sz w:val="28"/>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line="440" w:lineRule="exact"/>
      <w:jc w:val="left"/>
    </w:pPr>
    <w:rPr>
      <w:rFonts w:eastAsia="黑体"/>
      <w:b/>
      <w:kern w:val="0"/>
      <w:sz w:val="28"/>
    </w:rPr>
  </w:style>
  <w:style w:type="paragraph" w:styleId="11">
    <w:name w:val="toc 2"/>
    <w:basedOn w:val="12"/>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2">
    <w:name w:val="Quote"/>
    <w:basedOn w:val="1"/>
    <w:next w:val="1"/>
    <w:qFormat/>
    <w:uiPriority w:val="29"/>
    <w:rPr>
      <w:i/>
      <w:iCs/>
      <w:color w:val="000000" w:themeColor="text1"/>
      <w14:textFill>
        <w14:solidFill>
          <w14:schemeClr w14:val="tx1"/>
        </w14:solidFill>
      </w14:textFill>
    </w:rPr>
  </w:style>
  <w:style w:type="paragraph" w:styleId="13">
    <w:name w:val="Normal (Web)"/>
    <w:basedOn w:val="1"/>
    <w:unhideWhenUsed/>
    <w:qFormat/>
    <w:uiPriority w:val="99"/>
    <w:pPr>
      <w:jc w:val="left"/>
    </w:pPr>
    <w:rPr>
      <w:kern w:val="0"/>
      <w:sz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0"/>
    <w:pPr>
      <w:spacing w:line="2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99"/>
    <w:rPr>
      <w:rFonts w:cs="Times New Roman"/>
      <w:sz w:val="21"/>
    </w:rPr>
  </w:style>
  <w:style w:type="paragraph" w:customStyle="1" w:styleId="19">
    <w:name w:val="列出段落1"/>
    <w:basedOn w:val="1"/>
    <w:qFormat/>
    <w:uiPriority w:val="34"/>
    <w:pPr>
      <w:ind w:firstLine="420" w:firstLineChars="200"/>
    </w:p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2021-01-13T02:21:00Z</dcterms:created>
  <dc:creator>石</dc:creator>
  <cp:lastModifiedBy>123</cp:lastModifiedBy>
  <dcterms:modified xsi:type="dcterms:W3CDTF">2021-02-07T02:47:29Z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