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lang w:eastAsia="zh-CN"/>
        </w:rPr>
      </w:pPr>
      <w:bookmarkStart w:id="2" w:name="_GoBack"/>
      <w:bookmarkEnd w:id="2"/>
      <w:r>
        <w:rPr>
          <w:rFonts w:hint="eastAsia" w:ascii="宋体" w:hAnsi="宋体"/>
          <w:b/>
          <w:bCs/>
          <w:sz w:val="32"/>
          <w:szCs w:val="32"/>
          <w:lang w:val="en-US" w:eastAsia="zh-CN"/>
        </w:rPr>
        <w:t>阳新县中医医院麻醉手术科医疗设备一批采购项目</w:t>
      </w:r>
      <w:r>
        <w:rPr>
          <w:rFonts w:hint="eastAsia" w:ascii="宋体" w:hAnsi="宋体"/>
          <w:b/>
          <w:bCs/>
          <w:sz w:val="32"/>
          <w:szCs w:val="32"/>
          <w:lang w:eastAsia="zh-CN"/>
        </w:rPr>
        <w:t>采购需求</w:t>
      </w:r>
    </w:p>
    <w:p>
      <w:pPr>
        <w:pStyle w:val="2"/>
        <w:rPr>
          <w:rFonts w:hint="eastAsia"/>
          <w:lang w:eastAsia="zh-CN"/>
        </w:rPr>
      </w:pPr>
    </w:p>
    <w:p>
      <w:pPr>
        <w:pStyle w:val="2"/>
        <w:rPr>
          <w:rFonts w:hint="eastAsia"/>
          <w:lang w:eastAsia="zh-CN"/>
        </w:rPr>
      </w:pPr>
    </w:p>
    <w:p>
      <w:pPr>
        <w:pStyle w:val="2"/>
        <w:rPr>
          <w:rFonts w:hint="eastAsia" w:ascii="宋体" w:hAnsi="宋体" w:eastAsia="宋体" w:cs="宋体"/>
          <w:sz w:val="28"/>
          <w:szCs w:val="24"/>
          <w:lang w:eastAsia="zh-CN"/>
        </w:rPr>
      </w:pPr>
      <w:r>
        <w:rPr>
          <w:rFonts w:hint="eastAsia" w:ascii="宋体" w:hAnsi="宋体" w:eastAsia="宋体" w:cs="宋体"/>
          <w:sz w:val="28"/>
          <w:szCs w:val="24"/>
          <w:lang w:eastAsia="zh-CN"/>
        </w:rPr>
        <w:t>采购单位：阳新县中医医院</w:t>
      </w:r>
    </w:p>
    <w:p>
      <w:pPr>
        <w:pStyle w:val="2"/>
        <w:rPr>
          <w:rFonts w:hint="eastAsia" w:ascii="宋体" w:hAnsi="宋体" w:eastAsia="宋体" w:cs="宋体"/>
          <w:color w:val="auto"/>
          <w:sz w:val="28"/>
          <w:szCs w:val="24"/>
          <w:lang w:eastAsia="zh-CN"/>
        </w:rPr>
      </w:pPr>
      <w:r>
        <w:rPr>
          <w:rFonts w:hint="eastAsia" w:ascii="宋体" w:hAnsi="宋体" w:eastAsia="宋体" w:cs="宋体"/>
          <w:sz w:val="28"/>
          <w:szCs w:val="24"/>
          <w:lang w:eastAsia="zh-CN"/>
        </w:rPr>
        <w:t>联 系 人：</w:t>
      </w:r>
      <w:r>
        <w:rPr>
          <w:rFonts w:hint="eastAsia" w:ascii="宋体" w:hAnsi="宋体" w:eastAsia="宋体" w:cs="宋体"/>
          <w:color w:val="auto"/>
          <w:sz w:val="28"/>
          <w:szCs w:val="24"/>
          <w:lang w:eastAsia="zh-CN"/>
        </w:rPr>
        <w:t>马刚</w:t>
      </w:r>
    </w:p>
    <w:p>
      <w:pPr>
        <w:pStyle w:val="2"/>
        <w:rPr>
          <w:rFonts w:hint="default" w:ascii="宋体" w:hAnsi="宋体" w:eastAsia="宋体" w:cs="宋体"/>
          <w:color w:val="auto"/>
          <w:sz w:val="28"/>
          <w:szCs w:val="24"/>
          <w:lang w:val="en-US" w:eastAsia="zh-CN"/>
        </w:rPr>
      </w:pPr>
      <w:r>
        <w:rPr>
          <w:rFonts w:hint="eastAsia" w:ascii="宋体" w:hAnsi="宋体" w:eastAsia="宋体" w:cs="宋体"/>
          <w:color w:val="auto"/>
          <w:sz w:val="28"/>
          <w:szCs w:val="24"/>
          <w:lang w:eastAsia="zh-CN"/>
        </w:rPr>
        <w:t>联系电话：0714-</w:t>
      </w:r>
      <w:r>
        <w:rPr>
          <w:rFonts w:hint="eastAsia" w:ascii="宋体" w:hAnsi="宋体" w:cs="宋体"/>
          <w:color w:val="auto"/>
          <w:sz w:val="28"/>
          <w:szCs w:val="24"/>
          <w:lang w:val="en-US" w:eastAsia="zh-CN"/>
        </w:rPr>
        <w:t>7331134</w:t>
      </w:r>
    </w:p>
    <w:p>
      <w:pPr>
        <w:pStyle w:val="2"/>
        <w:rPr>
          <w:rFonts w:hint="eastAsia" w:ascii="宋体" w:hAnsi="宋体" w:eastAsia="宋体" w:cs="宋体"/>
          <w:sz w:val="28"/>
          <w:szCs w:val="24"/>
          <w:lang w:eastAsia="zh-CN"/>
        </w:rPr>
      </w:pPr>
      <w:r>
        <w:rPr>
          <w:rFonts w:hint="eastAsia" w:ascii="宋体" w:hAnsi="宋体" w:eastAsia="宋体" w:cs="宋体"/>
          <w:sz w:val="28"/>
          <w:szCs w:val="24"/>
          <w:lang w:eastAsia="zh-CN"/>
        </w:rPr>
        <w:t>采购方式：询价</w:t>
      </w:r>
    </w:p>
    <w:p>
      <w:pPr>
        <w:rPr>
          <w:rFonts w:hint="eastAsia"/>
          <w:sz w:val="28"/>
          <w:szCs w:val="24"/>
          <w:lang w:eastAsia="zh-CN"/>
        </w:rPr>
      </w:pPr>
    </w:p>
    <w:p>
      <w:pPr>
        <w:pStyle w:val="2"/>
        <w:rPr>
          <w:rFonts w:hint="eastAsia"/>
          <w:sz w:val="28"/>
          <w:szCs w:val="24"/>
          <w:lang w:eastAsia="zh-CN"/>
        </w:rPr>
      </w:pPr>
    </w:p>
    <w:p>
      <w:pPr>
        <w:rPr>
          <w:rFonts w:hint="eastAsia"/>
          <w:sz w:val="28"/>
          <w:szCs w:val="24"/>
          <w:lang w:eastAsia="zh-CN"/>
        </w:rPr>
      </w:pPr>
    </w:p>
    <w:p>
      <w:pPr>
        <w:pStyle w:val="2"/>
        <w:rPr>
          <w:rFonts w:hint="eastAsia"/>
          <w:sz w:val="28"/>
          <w:szCs w:val="24"/>
          <w:lang w:eastAsia="zh-CN"/>
        </w:rPr>
      </w:pPr>
    </w:p>
    <w:p>
      <w:pPr>
        <w:rPr>
          <w:rFonts w:hint="eastAsia"/>
          <w:sz w:val="28"/>
          <w:szCs w:val="24"/>
          <w:lang w:eastAsia="zh-CN"/>
        </w:rPr>
      </w:pPr>
    </w:p>
    <w:p>
      <w:pPr>
        <w:pStyle w:val="2"/>
        <w:rPr>
          <w:rFonts w:hint="eastAsia"/>
          <w:sz w:val="28"/>
          <w:szCs w:val="24"/>
          <w:lang w:eastAsia="zh-CN"/>
        </w:rPr>
      </w:pPr>
    </w:p>
    <w:p>
      <w:pPr>
        <w:rPr>
          <w:rFonts w:hint="eastAsia"/>
          <w:sz w:val="28"/>
          <w:szCs w:val="24"/>
          <w:lang w:eastAsia="zh-CN"/>
        </w:rPr>
      </w:pPr>
    </w:p>
    <w:p>
      <w:pPr>
        <w:pStyle w:val="2"/>
        <w:rPr>
          <w:rFonts w:hint="eastAsia"/>
          <w:sz w:val="28"/>
          <w:szCs w:val="24"/>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1"/>
          <w:rFonts w:hint="eastAsia" w:ascii="宋体" w:hAnsi="宋体" w:eastAsia="宋体" w:cs="宋体"/>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1"/>
          <w:rFonts w:hint="eastAsia" w:ascii="宋体" w:hAnsi="宋体" w:eastAsia="宋体" w:cs="宋体"/>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1"/>
          <w:rFonts w:hint="eastAsia" w:ascii="宋体" w:hAnsi="宋体" w:eastAsia="宋体" w:cs="宋体"/>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1"/>
          <w:rFonts w:hint="eastAsia" w:ascii="宋体" w:hAnsi="宋体" w:eastAsia="宋体" w:cs="宋体"/>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1"/>
          <w:rFonts w:hint="eastAsia" w:ascii="宋体" w:hAnsi="宋体" w:eastAsia="宋体" w:cs="宋体"/>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1"/>
          <w:rFonts w:hint="eastAsia" w:ascii="宋体" w:hAnsi="宋体" w:eastAsia="宋体" w:cs="宋体"/>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1"/>
          <w:rFonts w:hint="eastAsia" w:ascii="宋体" w:hAnsi="宋体" w:eastAsia="宋体" w:cs="宋体"/>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1"/>
          <w:rFonts w:hint="eastAsia" w:ascii="宋体" w:hAnsi="宋体" w:eastAsia="宋体" w:cs="宋体"/>
          <w:sz w:val="2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outlineLvl w:val="0"/>
        <w:rPr>
          <w:rStyle w:val="11"/>
          <w:rFonts w:hint="eastAsia" w:ascii="宋体" w:hAnsi="宋体" w:cs="宋体"/>
          <w:sz w:val="28"/>
          <w:szCs w:val="28"/>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outlineLvl w:val="0"/>
        <w:rPr>
          <w:rStyle w:val="11"/>
          <w:rFonts w:hint="eastAsia" w:ascii="宋体" w:hAnsi="宋体" w:eastAsia="宋体" w:cs="宋体"/>
          <w:sz w:val="28"/>
          <w:szCs w:val="28"/>
        </w:rPr>
      </w:pPr>
      <w:r>
        <w:rPr>
          <w:rStyle w:val="11"/>
          <w:rFonts w:hint="eastAsia" w:ascii="宋体" w:hAnsi="宋体" w:cs="宋体"/>
          <w:sz w:val="28"/>
          <w:szCs w:val="28"/>
          <w:lang w:val="en-US" w:eastAsia="zh-CN"/>
        </w:rPr>
        <w:t>一</w:t>
      </w:r>
      <w:r>
        <w:rPr>
          <w:rStyle w:val="11"/>
          <w:rFonts w:hint="eastAsia" w:ascii="宋体" w:hAnsi="宋体" w:eastAsia="宋体" w:cs="宋体"/>
          <w:sz w:val="28"/>
          <w:szCs w:val="28"/>
        </w:rPr>
        <w:t>、供应商资格要求</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shd w:val="clear" w:color="auto" w:fill="FFFFFF"/>
        </w:rPr>
        <w:t>1、</w:t>
      </w:r>
      <w:r>
        <w:rPr>
          <w:rFonts w:hint="eastAsia" w:ascii="宋体" w:hAnsi="宋体" w:eastAsia="宋体" w:cs="宋体"/>
          <w:sz w:val="24"/>
          <w:szCs w:val="24"/>
          <w:lang w:eastAsia="zh-CN"/>
        </w:rPr>
        <w:t>《政府采购法》第二十二条第一款之规定的基本条件，提供下列材料：</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（1）法人或者其他组织的营业执照等证明文件，如供应商是自然人的提供身份证明材料；</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（2）财务状况报告，依法缴纳税收和社会保障资金的相关材料；</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（3）具备履行合同所必需的设备和专业技术能力的证明材料；</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（4）参加政府采购活动前3年内在经营活动中没有重大违法记录的书面声明；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auto"/>
        </w:rPr>
      </w:pPr>
      <w:r>
        <w:rPr>
          <w:rFonts w:hint="eastAsia" w:ascii="宋体" w:hAnsi="宋体" w:eastAsia="宋体" w:cs="宋体"/>
          <w:sz w:val="24"/>
          <w:szCs w:val="24"/>
          <w:lang w:eastAsia="zh-CN"/>
        </w:rPr>
        <w:t>（5）具备法律、行政法规规定的其他条件的证明材料。</w:t>
      </w:r>
    </w:p>
    <w:p>
      <w:pPr>
        <w:keepNext w:val="0"/>
        <w:keepLines w:val="0"/>
        <w:pageBreakBefore w:val="0"/>
        <w:numPr>
          <w:ilvl w:val="0"/>
          <w:numId w:val="0"/>
        </w:numPr>
        <w:tabs>
          <w:tab w:val="left" w:pos="89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须提供网页打印件）、“中国政府采购网”（www.ccgp.gov.cn）政府采购严重违法失信行为记录名单（须提供网页打印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如供应商为生产厂家的应具有《中华人民共和国医疗器械注册证》、《医疗器械生产许可证》、《医疗器械经营企业许可证》；如供应商为代理商的则须提供《医疗器械经营企业许可证》和产品的生产厂家的《中华人民共和国医疗器械注册证》、《医疗器械生产许可证》以及针对本产品的厂家授权书；(设备进口代理商可不提供厂家医疗器械生产许可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4、不接受联合体形式的投标。</w:t>
      </w: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jc w:val="both"/>
        <w:outlineLvl w:val="0"/>
        <w:rPr>
          <w:rFonts w:hint="eastAsia" w:ascii="宋体" w:hAnsi="宋体"/>
          <w:sz w:val="24"/>
          <w:szCs w:val="24"/>
          <w:lang w:val="en-US" w:eastAsia="zh-CN"/>
        </w:rPr>
      </w:pPr>
    </w:p>
    <w:p>
      <w:pPr>
        <w:pStyle w:val="2"/>
        <w:rPr>
          <w:rFonts w:hint="eastAsia" w:ascii="宋体" w:hAnsi="宋体"/>
          <w:sz w:val="24"/>
          <w:szCs w:val="24"/>
          <w:lang w:val="en-US" w:eastAsia="zh-CN"/>
        </w:rPr>
      </w:pPr>
    </w:p>
    <w:p>
      <w:pPr>
        <w:rPr>
          <w:rFonts w:hint="eastAsia" w:ascii="宋体" w:hAnsi="宋体"/>
          <w:sz w:val="24"/>
          <w:szCs w:val="24"/>
          <w:lang w:val="en-US" w:eastAsia="zh-CN"/>
        </w:rPr>
        <w:sectPr>
          <w:headerReference r:id="rId5" w:type="default"/>
          <w:pgSz w:w="11906" w:h="16838"/>
          <w:pgMar w:top="1134" w:right="1289" w:bottom="1134" w:left="1377" w:header="794" w:footer="624" w:gutter="0"/>
          <w:pgNumType w:fmt="decimal"/>
          <w:cols w:space="425" w:num="1"/>
          <w:docGrid w:type="linesAndChars" w:linePitch="312" w:charSpace="0"/>
        </w:sectPr>
      </w:pPr>
    </w:p>
    <w:p>
      <w:pPr>
        <w:jc w:val="both"/>
        <w:outlineLvl w:val="0"/>
        <w:rPr>
          <w:rFonts w:hint="eastAsia" w:ascii="宋体" w:hAnsi="宋体"/>
          <w:sz w:val="24"/>
          <w:szCs w:val="24"/>
          <w:lang w:val="en-US" w:eastAsia="zh-CN"/>
        </w:rPr>
      </w:pPr>
      <w:r>
        <w:rPr>
          <w:rFonts w:hint="eastAsia" w:ascii="宋体" w:hAnsi="宋体"/>
          <w:sz w:val="24"/>
          <w:szCs w:val="24"/>
          <w:lang w:val="en-US" w:eastAsia="zh-CN"/>
        </w:rPr>
        <w:t>附表1：采购需求</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采购清单</w:t>
      </w:r>
    </w:p>
    <w:tbl>
      <w:tblPr>
        <w:tblStyle w:val="9"/>
        <w:tblpPr w:leftFromText="180" w:rightFromText="180" w:vertAnchor="page" w:horzAnchor="page" w:tblpX="1470" w:tblpY="19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0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val="0"/>
                <w:bCs w:val="0"/>
                <w:sz w:val="28"/>
                <w:szCs w:val="28"/>
                <w:vertAlign w:val="baseline"/>
                <w:lang w:eastAsia="zh-CN"/>
              </w:rPr>
            </w:pPr>
            <w:r>
              <w:rPr>
                <w:rFonts w:hint="eastAsia" w:ascii="宋体" w:hAnsi="宋体"/>
                <w:b w:val="0"/>
                <w:bCs w:val="0"/>
                <w:sz w:val="28"/>
                <w:szCs w:val="28"/>
                <w:vertAlign w:val="baseline"/>
                <w:lang w:eastAsia="zh-CN"/>
              </w:rPr>
              <w:t>名称</w:t>
            </w:r>
          </w:p>
        </w:tc>
        <w:tc>
          <w:tcPr>
            <w:tcW w:w="450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val="0"/>
                <w:bCs w:val="0"/>
                <w:sz w:val="28"/>
                <w:szCs w:val="28"/>
                <w:vertAlign w:val="baseline"/>
                <w:lang w:eastAsia="zh-CN"/>
              </w:rPr>
            </w:pPr>
            <w:r>
              <w:rPr>
                <w:rFonts w:hint="eastAsia" w:ascii="宋体" w:hAnsi="宋体"/>
                <w:b w:val="0"/>
                <w:bCs w:val="0"/>
                <w:sz w:val="28"/>
                <w:szCs w:val="28"/>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val="0"/>
                <w:bCs w:val="0"/>
                <w:sz w:val="28"/>
                <w:szCs w:val="28"/>
                <w:vertAlign w:val="baseline"/>
                <w:lang w:eastAsia="zh-CN"/>
              </w:rPr>
            </w:pPr>
            <w:r>
              <w:rPr>
                <w:rFonts w:hint="eastAsia" w:ascii="宋体" w:hAnsi="宋体"/>
                <w:b w:val="0"/>
                <w:bCs w:val="0"/>
                <w:sz w:val="28"/>
                <w:szCs w:val="28"/>
                <w:vertAlign w:val="baseline"/>
                <w:lang w:eastAsia="zh-CN"/>
              </w:rPr>
              <w:t>多功能双有创监护仪</w:t>
            </w:r>
          </w:p>
        </w:tc>
        <w:tc>
          <w:tcPr>
            <w:tcW w:w="450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b w:val="0"/>
                <w:bCs w:val="0"/>
                <w:sz w:val="28"/>
                <w:szCs w:val="28"/>
                <w:vertAlign w:val="baseline"/>
                <w:lang w:val="en-US" w:eastAsia="zh-CN"/>
              </w:rPr>
            </w:pPr>
            <w:r>
              <w:rPr>
                <w:rFonts w:hint="eastAsia" w:ascii="宋体" w:hAnsi="宋体"/>
                <w:b w:val="0"/>
                <w:bCs w:val="0"/>
                <w:sz w:val="28"/>
                <w:szCs w:val="28"/>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val="0"/>
                <w:bCs w:val="0"/>
                <w:sz w:val="28"/>
                <w:szCs w:val="28"/>
                <w:vertAlign w:val="baseline"/>
                <w:lang w:eastAsia="zh-CN"/>
              </w:rPr>
            </w:pPr>
            <w:r>
              <w:rPr>
                <w:rFonts w:ascii="宋体" w:hAnsi="宋体" w:eastAsia="宋体" w:cs="宋体"/>
                <w:b w:val="0"/>
                <w:bCs w:val="0"/>
                <w:sz w:val="28"/>
                <w:szCs w:val="28"/>
              </w:rPr>
              <w:t>智能麻精药品管理柜</w:t>
            </w:r>
          </w:p>
        </w:tc>
        <w:tc>
          <w:tcPr>
            <w:tcW w:w="450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b w:val="0"/>
                <w:bCs w:val="0"/>
                <w:sz w:val="28"/>
                <w:szCs w:val="28"/>
                <w:vertAlign w:val="baseline"/>
                <w:lang w:val="en-US" w:eastAsia="zh-CN"/>
              </w:rPr>
            </w:pPr>
            <w:r>
              <w:rPr>
                <w:rFonts w:hint="eastAsia" w:ascii="宋体" w:hAnsi="宋体"/>
                <w:b w:val="0"/>
                <w:bCs w:val="0"/>
                <w:sz w:val="28"/>
                <w:szCs w:val="28"/>
                <w:vertAlign w:val="baseline"/>
                <w:lang w:val="en-US" w:eastAsia="zh-CN"/>
              </w:rPr>
              <w:t>1套</w:t>
            </w:r>
          </w:p>
        </w:tc>
      </w:tr>
    </w:tbl>
    <w:p>
      <w:pPr>
        <w:keepNext w:val="0"/>
        <w:keepLines w:val="0"/>
        <w:pageBreakBefore w:val="0"/>
        <w:widowControl w:val="0"/>
        <w:numPr>
          <w:ilvl w:val="0"/>
          <w:numId w:val="0"/>
        </w:numPr>
        <w:kinsoku/>
        <w:wordWrap/>
        <w:overflowPunct/>
        <w:topLinePunct w:val="0"/>
        <w:bidi w:val="0"/>
        <w:snapToGrid/>
        <w:spacing w:line="440" w:lineRule="exact"/>
        <w:textAlignment w:val="auto"/>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w:t>
      </w:r>
      <w:r>
        <w:rPr>
          <w:rFonts w:hint="eastAsia" w:ascii="宋体" w:hAnsi="宋体" w:cs="宋体"/>
          <w:b/>
          <w:bCs/>
          <w:kern w:val="2"/>
          <w:sz w:val="28"/>
          <w:szCs w:val="28"/>
          <w:highlight w:val="none"/>
          <w:lang w:val="en-US" w:eastAsia="zh-CN" w:bidi="ar-SA"/>
        </w:rPr>
        <w:t>、</w:t>
      </w:r>
      <w:r>
        <w:rPr>
          <w:rFonts w:hint="eastAsia" w:ascii="宋体" w:hAnsi="宋体" w:eastAsia="宋体" w:cs="宋体"/>
          <w:b/>
          <w:bCs/>
          <w:kern w:val="2"/>
          <w:sz w:val="28"/>
          <w:szCs w:val="28"/>
          <w:highlight w:val="none"/>
          <w:lang w:val="en-US" w:eastAsia="zh-CN" w:bidi="ar-SA"/>
        </w:rPr>
        <w:t>技术参数</w:t>
      </w:r>
    </w:p>
    <w:p>
      <w:pPr>
        <w:keepNext w:val="0"/>
        <w:keepLines w:val="0"/>
        <w:pageBreakBefore w:val="0"/>
        <w:widowControl w:val="0"/>
        <w:kinsoku/>
        <w:wordWrap/>
        <w:overflowPunct/>
        <w:topLinePunct w:val="0"/>
        <w:bidi w:val="0"/>
        <w:snapToGrid/>
        <w:spacing w:line="440" w:lineRule="exact"/>
        <w:textAlignment w:val="auto"/>
        <w:rPr>
          <w:rFonts w:hint="default" w:ascii="宋体" w:hAnsi="宋体"/>
          <w:b/>
          <w:bCs/>
          <w:sz w:val="32"/>
          <w:szCs w:val="32"/>
          <w:lang w:val="en-US"/>
        </w:rPr>
      </w:pPr>
      <w:bookmarkStart w:id="0" w:name="_Toc31924"/>
      <w:bookmarkStart w:id="1" w:name="_Toc3515"/>
      <w:r>
        <w:rPr>
          <w:rFonts w:hint="eastAsia" w:ascii="宋体" w:hAnsi="宋体"/>
          <w:b/>
          <w:bCs/>
          <w:sz w:val="32"/>
          <w:szCs w:val="32"/>
          <w:lang w:eastAsia="zh-CN"/>
        </w:rPr>
        <w:t>高端插件式监护仪</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宋体" w:hAnsi="宋体" w:cs="宋体"/>
          <w:b/>
          <w:sz w:val="28"/>
          <w:szCs w:val="28"/>
        </w:rPr>
      </w:pPr>
      <w:r>
        <w:rPr>
          <w:rFonts w:hint="eastAsia" w:ascii="宋体" w:hAnsi="宋体" w:cs="宋体"/>
          <w:b/>
          <w:sz w:val="28"/>
          <w:szCs w:val="28"/>
        </w:rPr>
        <w:t>监护仪结构：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★模块化插件式床边监护仪，主机、显示屏和插件槽一体化设计，主机插槽数</w:t>
      </w:r>
      <w:r>
        <w:rPr>
          <w:rFonts w:hint="eastAsia" w:ascii="宋体" w:hAnsi="宋体" w:eastAsia="宋体" w:cs="宋体"/>
          <w:sz w:val="28"/>
          <w:szCs w:val="32"/>
          <w:lang w:eastAsia="zh-CN"/>
        </w:rPr>
        <w:t>≥</w:t>
      </w:r>
      <w:r>
        <w:rPr>
          <w:rFonts w:hint="eastAsia" w:ascii="宋体" w:hAnsi="宋体" w:eastAsia="宋体" w:cs="宋体"/>
          <w:sz w:val="28"/>
          <w:szCs w:val="32"/>
        </w:rPr>
        <w:t>6个，并可外接8槽位辅助插件箱方便升级</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w:t>
      </w:r>
      <w:r>
        <w:rPr>
          <w:rFonts w:hint="eastAsia" w:ascii="宋体" w:hAnsi="宋体" w:eastAsia="宋体" w:cs="宋体"/>
          <w:sz w:val="28"/>
          <w:szCs w:val="32"/>
          <w:lang w:eastAsia="zh-CN"/>
        </w:rPr>
        <w:t>≥</w:t>
      </w:r>
      <w:r>
        <w:rPr>
          <w:rFonts w:hint="eastAsia" w:ascii="宋体" w:hAnsi="宋体" w:eastAsia="宋体" w:cs="宋体"/>
          <w:sz w:val="28"/>
          <w:szCs w:val="32"/>
        </w:rPr>
        <w:t>15寸彩色电容触摸屏，高分辨率达1920 x 1080像素，&gt;=10通道显示，显示屏亮度自动调节</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工作海拔高度4550米，满足高原地区</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工作温度0 ~40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采用无风扇设计</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支持升级内置锂电池，供电时间</w:t>
      </w:r>
      <w:r>
        <w:rPr>
          <w:rFonts w:hint="eastAsia" w:ascii="宋体" w:hAnsi="宋体" w:eastAsia="宋体" w:cs="宋体"/>
          <w:sz w:val="28"/>
          <w:szCs w:val="32"/>
          <w:lang w:eastAsia="zh-CN"/>
        </w:rPr>
        <w:t>≥</w:t>
      </w:r>
      <w:r>
        <w:rPr>
          <w:rFonts w:hint="eastAsia" w:ascii="宋体" w:hAnsi="宋体" w:eastAsia="宋体" w:cs="宋体"/>
          <w:sz w:val="28"/>
          <w:szCs w:val="32"/>
        </w:rPr>
        <w:t>2小时</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配置</w:t>
      </w:r>
      <w:r>
        <w:rPr>
          <w:rFonts w:hint="eastAsia" w:ascii="宋体" w:hAnsi="宋体" w:eastAsia="宋体" w:cs="宋体"/>
          <w:sz w:val="28"/>
          <w:szCs w:val="32"/>
          <w:lang w:eastAsia="zh-CN"/>
        </w:rPr>
        <w:t>≥</w:t>
      </w:r>
      <w:r>
        <w:rPr>
          <w:rFonts w:hint="eastAsia" w:ascii="宋体" w:hAnsi="宋体" w:eastAsia="宋体" w:cs="宋体"/>
          <w:sz w:val="28"/>
          <w:szCs w:val="32"/>
        </w:rPr>
        <w:t>4个USB接口，支持连接存储介质、鼠标、键盘、条码扫描枪等USB备</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支持扩展独立显示屏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bCs/>
          <w:sz w:val="28"/>
          <w:szCs w:val="32"/>
        </w:rPr>
      </w:pPr>
      <w:r>
        <w:rPr>
          <w:rFonts w:hint="eastAsia" w:ascii="宋体" w:hAnsi="宋体" w:eastAsia="宋体" w:cs="宋体"/>
          <w:b/>
          <w:bCs/>
          <w:sz w:val="28"/>
          <w:szCs w:val="32"/>
        </w:rPr>
        <w:t>监测参数：</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★基本功能模块支持心电，呼吸，心率，无创血压，血氧饱和度，脉搏，双通道体温</w:t>
      </w:r>
      <w:r>
        <w:rPr>
          <w:rFonts w:hint="eastAsia" w:ascii="宋体" w:hAnsi="宋体" w:eastAsia="宋体" w:cs="宋体"/>
          <w:sz w:val="28"/>
          <w:szCs w:val="32"/>
          <w:lang w:eastAsia="zh-CN"/>
        </w:rPr>
        <w:t>，</w:t>
      </w:r>
      <w:r>
        <w:rPr>
          <w:rFonts w:hint="eastAsia" w:ascii="宋体" w:hAnsi="宋体" w:eastAsia="宋体" w:cs="宋体"/>
          <w:sz w:val="28"/>
          <w:szCs w:val="32"/>
        </w:rPr>
        <w:t>双通道有创血压</w:t>
      </w:r>
      <w:r>
        <w:rPr>
          <w:rFonts w:hint="eastAsia" w:ascii="宋体" w:hAnsi="宋体" w:eastAsia="宋体" w:cs="宋体"/>
          <w:sz w:val="28"/>
          <w:szCs w:val="32"/>
          <w:lang w:eastAsia="zh-CN"/>
        </w:rPr>
        <w:t>，旁流呼吸末二氧化碳，</w:t>
      </w:r>
      <w:r>
        <w:rPr>
          <w:rFonts w:hint="eastAsia" w:ascii="宋体" w:hAnsi="宋体" w:eastAsia="宋体" w:cs="宋体"/>
          <w:sz w:val="28"/>
          <w:szCs w:val="32"/>
          <w:lang w:val="en-US" w:eastAsia="zh-CN"/>
        </w:rPr>
        <w:t>NMT</w:t>
      </w:r>
      <w:r>
        <w:rPr>
          <w:rFonts w:hint="eastAsia" w:ascii="宋体" w:hAnsi="宋体" w:eastAsia="宋体" w:cs="宋体"/>
          <w:sz w:val="28"/>
          <w:szCs w:val="32"/>
        </w:rPr>
        <w:t>的同时监测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w:t>
      </w:r>
      <w:r>
        <w:rPr>
          <w:rFonts w:hint="eastAsia" w:ascii="宋体" w:hAnsi="宋体" w:eastAsia="宋体" w:cs="宋体"/>
          <w:sz w:val="28"/>
          <w:szCs w:val="32"/>
          <w:lang w:eastAsia="zh-CN"/>
        </w:rPr>
        <w:t>标配</w:t>
      </w:r>
      <w:r>
        <w:rPr>
          <w:rFonts w:hint="eastAsia" w:ascii="宋体" w:hAnsi="宋体" w:eastAsia="宋体" w:cs="宋体"/>
          <w:sz w:val="28"/>
          <w:szCs w:val="32"/>
        </w:rPr>
        <w:t>基本功能模块从监护仪拔出后作为一个独立的监护仪支持病人的无缝转移，具有显示屏，屏幕尺寸&gt;=5英寸，内置锂电池供电不小于4小时，无风扇设计</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支持3/5导心电监测,支持升级6/12导心电测量，并在监护仪上完成12导静息分析，并提供监护截图证明材料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支持房颤心律失常分析功能，支持不少于20种实时心律失常分析,并提供监护截图证明材料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提供ST段分析功能，支持在专门的窗口中分组显示心脏前壁，下壁和侧壁的ST实时片段和参考片段，并提供监护截图证明材料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sectPr>
          <w:footerReference r:id="rId6" w:type="default"/>
          <w:pgSz w:w="11906" w:h="16838"/>
          <w:pgMar w:top="1134" w:right="1289" w:bottom="1134" w:left="1377" w:header="794" w:footer="624" w:gutter="0"/>
          <w:pgNumType w:fmt="decimal"/>
          <w:cols w:space="425" w:num="1"/>
          <w:docGrid w:type="linesAndChar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监测ST段抬高或者压低，提供ST报警。提供单个，或多个ST值报警，并支持相对的报警限设置。</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提供导联类型自动识别功能，具备智能导联脱落监测功能，导联脱落的情况下仍能保持监护</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★具有QT/QTc测量功能，提供QT，QTc和ΔQTc参数值。</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提供QT和QTc模板显示。</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无创血压提供手动、自动间隔、连续、序列四种测量模式</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无创血压成人测量范围：25-290mmHg（收缩压），10-250mmHg（舒张压），15-260mmHg（平均压）。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无创血压小儿测量范围：25-240mmHg（收缩压），10-200mmHg（舒张压），15-215mmHg（平均压）。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无创血压新生儿测量范围：25-140mmHg（收缩压），10-115mmHg（舒张压），15-125mmHg（平均压）。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血氧监测提供灌注指数（PI）的监测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支持双通道有创压IBP监测，支持升级多达8通道有创压监测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 xml:space="preserve">提供肺动脉锲压（PAWP）的监测和PPV参数监测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支持多达4道IBP波形叠加显示，满足临床对比查看和节约显示空间的需求</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支持升级EtCO2监测模块，采用旁流技术，水槽要求易用快速更换</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CO2波形提供填充和线条两种方式显示，满足不同临床使用习惯</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CO2波形最小走速为3mm/s,满足同屏查看更多呼吸周期</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支持升级BISx4监测模块或者单机，提供不少于4通道EEG，双频指数（BIS），肌电活动（EMG）,抑制比（SR），频谱边缘频率（SEF）等参数的监测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提供功率谱密度（DSA）显示界面，可以直观地显示一段时间内的双侧功率谱分布变化的情况。</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支持升级PiCCO监测模块或者单机，采用Pulsion PiCCO技术股动脉和中心静脉常规穿刺实现微创CCO等血液动力学监测参数，并提供蛛网图，直观观察病人的变化情况</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支持升级ScvO2监测，监测组织氧供和氧耗情况</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支持升级与主流呼吸机品牌的呼吸机相连，实现呼吸机设备的信息在监护仪上显示、存储、记录、打印或者用于参与计算。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bCs/>
          <w:sz w:val="28"/>
          <w:szCs w:val="32"/>
        </w:rPr>
      </w:pPr>
      <w:r>
        <w:rPr>
          <w:rFonts w:hint="eastAsia" w:ascii="宋体" w:hAnsi="宋体" w:eastAsia="宋体" w:cs="宋体"/>
          <w:b/>
          <w:bCs/>
          <w:sz w:val="28"/>
          <w:szCs w:val="32"/>
        </w:rPr>
        <w:t>系统功能：</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sectPr>
          <w:footerReference r:id="rId7" w:type="default"/>
          <w:pgSz w:w="11906" w:h="16838"/>
          <w:pgMar w:top="1134" w:right="1289" w:bottom="1134" w:left="1377" w:header="794" w:footer="624" w:gutter="0"/>
          <w:pgNumType w:fmt="decimal"/>
          <w:cols w:space="425" w:num="1"/>
          <w:docGrid w:type="linesAndChar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大字体界面支持6个参数的设置和显示</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具有图形化报警指示功能，看报警信息更容易</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所有参数报警限自动设置</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能够设置护理组，一个护理组能够设置6-12个病人。这些病人之间能够互相进行它床观察。</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标配具备血液动力学，药物计算，氧合计算，通气计算和肾功能计算功能，并提供截图证明材料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40个及以上参数的120小时（分辨率1分钟）趋势表、趋势图回顾，4小时（分辨率5秒）趋势表、趋势图回顾。</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1000条事件回顾。每条报警事件至少能够存储32秒三道相关波形，以及报警触发时所有测量参数值。</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事件回顾时能够提供报警事件列表。能够根据时间、报警优先级、报警类型和参数组对事件进行筛选。</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具备大于等于48小时全息波形的存储与回顾功能</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120小时（分辨率5分钟）ST模板回顾。</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提供升级24小时心律失常统计，具有24小时心电综合分析概览（24h ECG综合分析报告），能够提供HR、ST、QT/QTc、心律失常、起搏的统计结果，并能够查看细节。</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具有在线帮助功能，能够指导用户掌握如何设置参数。</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具有高级参数指导功能，能够指导用户掌握高级参数的使用方法。</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工作模式提供：监护模式、待机模式、体外循环模式模式、插管模式，夜间模式、隐私模式、演示模式。</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支持升级专业的血流动力学辅助应用，能够图形化显示监测参数，体现参数之间的关系，提供目标治疗决策建议，提供抬腿试验辅助工具，提供心功能图指示，提供蛛网图参数跟踪。</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提供心肌缺血评估工具，可以快速查看ST值的变化</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支持升级脓毒症筛查工具，以及满足2012 SSC指南和Sepsis3.0的治疗建议检查清单，并提供治疗建议。</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支持升级早期预警评分功能，并提供用户自定义评分协议的能力</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rPr>
        <w:t>具备趋势共存界面、呼吸氧合图界面，大字体显示界面，及标准显示界面等多种显示界面</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hanging="420"/>
        <w:textAlignment w:val="auto"/>
        <w:rPr>
          <w:rFonts w:hint="eastAsia" w:ascii="宋体" w:hAnsi="宋体" w:eastAsia="宋体" w:cs="宋体"/>
          <w:sz w:val="28"/>
          <w:szCs w:val="32"/>
        </w:rPr>
      </w:pPr>
      <w:r>
        <w:rPr>
          <w:rFonts w:hint="eastAsia" w:ascii="宋体" w:hAnsi="宋体" w:eastAsia="宋体" w:cs="宋体"/>
          <w:sz w:val="28"/>
          <w:szCs w:val="32"/>
          <w:lang w:eastAsia="zh-CN"/>
        </w:rPr>
        <w:t>支持与同品牌麻醉机信息互联，将麻醉机等床旁设备的数据集成到监护仪上显示</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b/>
          <w:bCs/>
          <w:sz w:val="32"/>
          <w:szCs w:val="32"/>
          <w:lang w:val="en-US" w:eastAsia="zh-CN"/>
        </w:rPr>
      </w:pPr>
      <w:r>
        <w:rPr>
          <w:rFonts w:hint="eastAsia" w:ascii="宋体" w:hAnsi="宋体"/>
          <w:b/>
          <w:bCs/>
          <w:sz w:val="32"/>
          <w:szCs w:val="32"/>
          <w:lang w:val="en-US" w:eastAsia="zh-CN"/>
        </w:rPr>
        <w:t>智能麻精药品管理柜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lang w:eastAsia="zh-CN"/>
        </w:rPr>
      </w:pPr>
      <w:r>
        <w:rPr>
          <w:rFonts w:hint="eastAsia" w:ascii="宋体" w:hAnsi="宋体" w:eastAsia="宋体" w:cs="宋体"/>
          <w:b/>
          <w:bCs/>
          <w:sz w:val="28"/>
          <w:szCs w:val="32"/>
        </w:rPr>
        <w:t>硬件参数</w:t>
      </w:r>
      <w:r>
        <w:rPr>
          <w:rFonts w:hint="eastAsia" w:ascii="宋体" w:hAnsi="宋体" w:eastAsia="宋体" w:cs="宋体"/>
          <w:b/>
          <w:bCs/>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eastAsia="zh-CN"/>
        </w:rPr>
        <w:t>、可</w:t>
      </w:r>
      <w:r>
        <w:rPr>
          <w:rFonts w:hint="eastAsia" w:ascii="宋体" w:hAnsi="宋体" w:eastAsia="宋体" w:cs="宋体"/>
          <w:sz w:val="28"/>
          <w:szCs w:val="32"/>
        </w:rPr>
        <w:t>装载≥40种（品规）药品；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2</w:t>
      </w:r>
      <w:r>
        <w:rPr>
          <w:rFonts w:hint="eastAsia" w:ascii="宋体" w:hAnsi="宋体" w:eastAsia="宋体" w:cs="宋体"/>
          <w:sz w:val="28"/>
          <w:szCs w:val="32"/>
          <w:lang w:eastAsia="zh-CN"/>
        </w:rPr>
        <w:t>、</w:t>
      </w:r>
      <w:r>
        <w:rPr>
          <w:rFonts w:hint="eastAsia" w:ascii="宋体" w:hAnsi="宋体" w:eastAsia="宋体" w:cs="宋体"/>
          <w:sz w:val="28"/>
          <w:szCs w:val="32"/>
        </w:rPr>
        <w:t>药品容量≥2000支；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3</w:t>
      </w:r>
      <w:r>
        <w:rPr>
          <w:rFonts w:hint="eastAsia" w:ascii="宋体" w:hAnsi="宋体" w:eastAsia="宋体" w:cs="宋体"/>
          <w:sz w:val="28"/>
          <w:szCs w:val="32"/>
          <w:lang w:eastAsia="zh-CN"/>
        </w:rPr>
        <w:t>、</w:t>
      </w:r>
      <w:r>
        <w:rPr>
          <w:rFonts w:hint="eastAsia" w:ascii="宋体" w:hAnsi="宋体" w:eastAsia="宋体" w:cs="宋体"/>
          <w:sz w:val="28"/>
          <w:szCs w:val="32"/>
        </w:rPr>
        <w:t>全钢结构设计，坚固防撬，美观实用；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4</w:t>
      </w:r>
      <w:r>
        <w:rPr>
          <w:rFonts w:hint="eastAsia" w:ascii="宋体" w:hAnsi="宋体" w:eastAsia="宋体" w:cs="宋体"/>
          <w:sz w:val="28"/>
          <w:szCs w:val="32"/>
          <w:lang w:eastAsia="zh-CN"/>
        </w:rPr>
        <w:t>、</w:t>
      </w:r>
      <w:r>
        <w:rPr>
          <w:rFonts w:hint="eastAsia" w:ascii="宋体" w:hAnsi="宋体" w:eastAsia="宋体" w:cs="宋体"/>
          <w:sz w:val="28"/>
          <w:szCs w:val="32"/>
        </w:rPr>
        <w:t>可通过指纹识别、密码识别、RFID高频卡，三种身份识别方式，对药品取（入）用者身份自动识别、自动记录；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5</w:t>
      </w:r>
      <w:r>
        <w:rPr>
          <w:rFonts w:hint="eastAsia" w:ascii="宋体" w:hAnsi="宋体" w:eastAsia="宋体" w:cs="宋体"/>
          <w:sz w:val="28"/>
          <w:szCs w:val="32"/>
          <w:lang w:eastAsia="zh-CN"/>
        </w:rPr>
        <w:t>、</w:t>
      </w:r>
      <w:r>
        <w:rPr>
          <w:rFonts w:hint="eastAsia" w:ascii="宋体" w:hAnsi="宋体" w:eastAsia="宋体" w:cs="宋体"/>
          <w:sz w:val="28"/>
          <w:szCs w:val="32"/>
        </w:rPr>
        <w:t>显示界面直观显示药品名称、规格、库存量及摆放位置；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6</w:t>
      </w:r>
      <w:r>
        <w:rPr>
          <w:rFonts w:hint="eastAsia" w:ascii="宋体" w:hAnsi="宋体" w:eastAsia="宋体" w:cs="宋体"/>
          <w:sz w:val="28"/>
          <w:szCs w:val="32"/>
          <w:lang w:eastAsia="zh-CN"/>
        </w:rPr>
        <w:t>、★</w:t>
      </w:r>
      <w:r>
        <w:rPr>
          <w:rFonts w:hint="eastAsia" w:ascii="宋体" w:hAnsi="宋体" w:eastAsia="宋体" w:cs="宋体"/>
          <w:sz w:val="28"/>
          <w:szCs w:val="32"/>
        </w:rPr>
        <w:t>通过红外检测方式实现每一支药的效期和批号的管理，对药品数量实时自动感应、自动记录，无需人工操作；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7</w:t>
      </w:r>
      <w:r>
        <w:rPr>
          <w:rFonts w:hint="eastAsia" w:ascii="宋体" w:hAnsi="宋体" w:eastAsia="宋体" w:cs="宋体"/>
          <w:sz w:val="28"/>
          <w:szCs w:val="32"/>
          <w:lang w:eastAsia="zh-CN"/>
        </w:rPr>
        <w:t>、</w:t>
      </w:r>
      <w:r>
        <w:rPr>
          <w:rFonts w:hint="eastAsia" w:ascii="宋体" w:hAnsi="宋体" w:eastAsia="宋体" w:cs="宋体"/>
          <w:sz w:val="28"/>
          <w:szCs w:val="32"/>
        </w:rPr>
        <w:t>通过视频监控对操作者身份和操作过程实现监控管理并记录；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8</w:t>
      </w:r>
      <w:r>
        <w:rPr>
          <w:rFonts w:hint="eastAsia" w:ascii="宋体" w:hAnsi="宋体" w:eastAsia="宋体" w:cs="宋体"/>
          <w:sz w:val="28"/>
          <w:szCs w:val="32"/>
          <w:lang w:eastAsia="zh-CN"/>
        </w:rPr>
        <w:t>、</w:t>
      </w:r>
      <w:r>
        <w:rPr>
          <w:rFonts w:hint="eastAsia" w:ascii="宋体" w:hAnsi="宋体" w:eastAsia="宋体" w:cs="宋体"/>
          <w:sz w:val="28"/>
          <w:szCs w:val="32"/>
        </w:rPr>
        <w:t>药品存储区域可根据药品结构变化按需配置、调整；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9</w:t>
      </w:r>
      <w:r>
        <w:rPr>
          <w:rFonts w:hint="eastAsia" w:ascii="宋体" w:hAnsi="宋体" w:eastAsia="宋体" w:cs="宋体"/>
          <w:sz w:val="28"/>
          <w:szCs w:val="32"/>
          <w:lang w:eastAsia="zh-CN"/>
        </w:rPr>
        <w:t>、</w:t>
      </w:r>
      <w:r>
        <w:rPr>
          <w:rFonts w:hint="eastAsia" w:ascii="宋体" w:hAnsi="宋体" w:eastAsia="宋体" w:cs="宋体"/>
          <w:sz w:val="28"/>
          <w:szCs w:val="32"/>
        </w:rPr>
        <w:t>同规格不同品种药品的存储区域可兼容；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10</w:t>
      </w:r>
      <w:r>
        <w:rPr>
          <w:rFonts w:hint="eastAsia" w:ascii="宋体" w:hAnsi="宋体" w:eastAsia="宋体" w:cs="宋体"/>
          <w:sz w:val="28"/>
          <w:szCs w:val="32"/>
          <w:lang w:val="en-US" w:eastAsia="zh-CN"/>
        </w:rPr>
        <w:t>、</w:t>
      </w:r>
      <w:r>
        <w:rPr>
          <w:rFonts w:hint="eastAsia" w:ascii="宋体" w:hAnsi="宋体" w:eastAsia="宋体" w:cs="宋体"/>
          <w:sz w:val="28"/>
          <w:szCs w:val="32"/>
          <w:lang w:eastAsia="zh-CN"/>
        </w:rPr>
        <w:t>★</w:t>
      </w:r>
      <w:r>
        <w:rPr>
          <w:rFonts w:hint="eastAsia" w:ascii="宋体" w:hAnsi="宋体" w:eastAsia="宋体" w:cs="宋体"/>
          <w:sz w:val="28"/>
          <w:szCs w:val="32"/>
        </w:rPr>
        <w:t>配置空安瓿瓶智能回收箱</w:t>
      </w:r>
      <w:r>
        <w:rPr>
          <w:rFonts w:hint="eastAsia" w:ascii="宋体" w:hAnsi="宋体" w:eastAsia="宋体" w:cs="宋体"/>
          <w:sz w:val="28"/>
          <w:szCs w:val="32"/>
          <w:lang w:eastAsia="zh-CN"/>
        </w:rPr>
        <w:t>，</w:t>
      </w:r>
      <w:r>
        <w:rPr>
          <w:rFonts w:hint="eastAsia" w:ascii="宋体" w:hAnsi="宋体" w:eastAsia="宋体" w:cs="宋体"/>
          <w:sz w:val="28"/>
          <w:szCs w:val="32"/>
        </w:rPr>
        <w:t>采用条码识别技术，按品规自动感应计数、分类存储、满仓报警；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11</w:t>
      </w:r>
      <w:r>
        <w:rPr>
          <w:rFonts w:hint="eastAsia" w:ascii="宋体" w:hAnsi="宋体" w:eastAsia="宋体" w:cs="宋体"/>
          <w:sz w:val="28"/>
          <w:szCs w:val="32"/>
          <w:lang w:eastAsia="zh-CN"/>
        </w:rPr>
        <w:t>、</w:t>
      </w:r>
      <w:r>
        <w:rPr>
          <w:rFonts w:hint="eastAsia" w:ascii="宋体" w:hAnsi="宋体" w:eastAsia="宋体" w:cs="宋体"/>
          <w:sz w:val="28"/>
          <w:szCs w:val="32"/>
        </w:rPr>
        <w:t>配置</w:t>
      </w:r>
      <w:r>
        <w:rPr>
          <w:rFonts w:hint="eastAsia" w:ascii="宋体" w:hAnsi="宋体" w:eastAsia="宋体" w:cs="宋体"/>
          <w:sz w:val="28"/>
          <w:szCs w:val="32"/>
          <w:lang w:eastAsia="zh-CN"/>
        </w:rPr>
        <w:t>空</w:t>
      </w:r>
      <w:r>
        <w:rPr>
          <w:rFonts w:hint="eastAsia" w:ascii="宋体" w:hAnsi="宋体" w:eastAsia="宋体" w:cs="宋体"/>
          <w:sz w:val="28"/>
          <w:szCs w:val="32"/>
        </w:rPr>
        <w:t>安瓿瓶回收专用条码打印机；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12</w:t>
      </w:r>
      <w:r>
        <w:rPr>
          <w:rFonts w:hint="eastAsia" w:ascii="宋体" w:hAnsi="宋体" w:eastAsia="宋体" w:cs="宋体"/>
          <w:sz w:val="28"/>
          <w:szCs w:val="32"/>
          <w:lang w:eastAsia="zh-CN"/>
        </w:rPr>
        <w:t>、</w:t>
      </w:r>
      <w:r>
        <w:rPr>
          <w:rFonts w:hint="eastAsia" w:ascii="宋体" w:hAnsi="宋体" w:eastAsia="宋体" w:cs="宋体"/>
          <w:sz w:val="28"/>
          <w:szCs w:val="32"/>
        </w:rPr>
        <w:t>药品低于安全存量和近效期时有醒目报警、提示，同时显示药品名称和摆放区域；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13</w:t>
      </w:r>
      <w:r>
        <w:rPr>
          <w:rFonts w:hint="eastAsia" w:ascii="宋体" w:hAnsi="宋体" w:eastAsia="宋体" w:cs="宋体"/>
          <w:sz w:val="28"/>
          <w:szCs w:val="32"/>
          <w:lang w:eastAsia="zh-CN"/>
        </w:rPr>
        <w:t>、★</w:t>
      </w:r>
      <w:r>
        <w:rPr>
          <w:rFonts w:hint="eastAsia" w:ascii="宋体" w:hAnsi="宋体" w:eastAsia="宋体" w:cs="宋体"/>
          <w:sz w:val="28"/>
          <w:szCs w:val="32"/>
        </w:rPr>
        <w:t>药品储存抽屉内配置视频监控</w:t>
      </w:r>
      <w:r>
        <w:rPr>
          <w:rFonts w:hint="eastAsia" w:ascii="宋体" w:hAnsi="宋体" w:eastAsia="宋体" w:cs="宋体"/>
          <w:sz w:val="28"/>
          <w:szCs w:val="32"/>
          <w:lang w:eastAsia="zh-CN"/>
        </w:rPr>
        <w:t>，</w:t>
      </w:r>
      <w:r>
        <w:rPr>
          <w:rFonts w:hint="eastAsia" w:ascii="宋体" w:hAnsi="宋体" w:eastAsia="宋体" w:cs="宋体"/>
          <w:sz w:val="28"/>
          <w:szCs w:val="32"/>
        </w:rPr>
        <w:t>支持取药、放药动作视频监控和追溯；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14</w:t>
      </w:r>
      <w:r>
        <w:rPr>
          <w:rFonts w:hint="eastAsia" w:ascii="宋体" w:hAnsi="宋体" w:eastAsia="宋体" w:cs="宋体"/>
          <w:sz w:val="28"/>
          <w:szCs w:val="32"/>
          <w:lang w:eastAsia="zh-CN"/>
        </w:rPr>
        <w:t>、</w:t>
      </w:r>
      <w:r>
        <w:rPr>
          <w:rFonts w:hint="eastAsia" w:ascii="宋体" w:hAnsi="宋体" w:eastAsia="宋体" w:cs="宋体"/>
          <w:sz w:val="28"/>
          <w:szCs w:val="32"/>
        </w:rPr>
        <w:t>配置取药位置指引LED灯，便于取药；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15</w:t>
      </w:r>
      <w:r>
        <w:rPr>
          <w:rFonts w:hint="eastAsia" w:ascii="宋体" w:hAnsi="宋体" w:eastAsia="宋体" w:cs="宋体"/>
          <w:sz w:val="28"/>
          <w:szCs w:val="32"/>
          <w:lang w:eastAsia="zh-CN"/>
        </w:rPr>
        <w:t>、</w:t>
      </w:r>
      <w:r>
        <w:rPr>
          <w:rFonts w:hint="eastAsia" w:ascii="宋体" w:hAnsi="宋体" w:eastAsia="宋体" w:cs="宋体"/>
          <w:sz w:val="28"/>
          <w:szCs w:val="32"/>
        </w:rPr>
        <w:t>具有多取、少取、错取文字和语音报警提示；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16</w:t>
      </w:r>
      <w:r>
        <w:rPr>
          <w:rFonts w:hint="eastAsia" w:ascii="宋体" w:hAnsi="宋体" w:eastAsia="宋体" w:cs="宋体"/>
          <w:sz w:val="28"/>
          <w:szCs w:val="32"/>
          <w:lang w:eastAsia="zh-CN"/>
        </w:rPr>
        <w:t>、</w:t>
      </w:r>
      <w:r>
        <w:rPr>
          <w:rFonts w:hint="eastAsia" w:ascii="宋体" w:hAnsi="宋体" w:eastAsia="宋体" w:cs="宋体"/>
          <w:sz w:val="28"/>
          <w:szCs w:val="32"/>
        </w:rPr>
        <w:t>≥21.5英寸电容触摸液晶显示屏；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lang w:eastAsia="zh-CN"/>
        </w:rPr>
      </w:pPr>
      <w:r>
        <w:rPr>
          <w:rFonts w:hint="eastAsia" w:ascii="宋体" w:hAnsi="宋体" w:eastAsia="宋体" w:cs="宋体"/>
          <w:sz w:val="28"/>
          <w:szCs w:val="32"/>
        </w:rPr>
        <w:t>17</w:t>
      </w:r>
      <w:r>
        <w:rPr>
          <w:rFonts w:hint="eastAsia" w:ascii="宋体" w:hAnsi="宋体" w:eastAsia="宋体" w:cs="宋体"/>
          <w:sz w:val="28"/>
          <w:szCs w:val="32"/>
          <w:lang w:eastAsia="zh-CN"/>
        </w:rPr>
        <w:t>、</w:t>
      </w:r>
      <w:r>
        <w:rPr>
          <w:rFonts w:hint="eastAsia" w:ascii="宋体" w:hAnsi="宋体" w:eastAsia="宋体" w:cs="宋体"/>
          <w:sz w:val="28"/>
          <w:szCs w:val="32"/>
        </w:rPr>
        <w:t>表面处理采用烤漆喷涂工艺(易擦洗、不易掉漆、不易氧化)</w:t>
      </w:r>
      <w:r>
        <w:rPr>
          <w:rFonts w:hint="eastAsia" w:ascii="宋体" w:hAnsi="宋体" w:eastAsia="宋体" w:cs="宋体"/>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bCs/>
          <w:sz w:val="28"/>
          <w:szCs w:val="32"/>
          <w:lang w:eastAsia="zh-CN"/>
        </w:rPr>
      </w:pPr>
      <w:r>
        <w:rPr>
          <w:rFonts w:hint="eastAsia" w:ascii="宋体" w:hAnsi="宋体" w:eastAsia="宋体" w:cs="宋体"/>
          <w:b/>
          <w:bCs/>
          <w:sz w:val="28"/>
          <w:szCs w:val="32"/>
        </w:rPr>
        <w:t>软件技术要求</w:t>
      </w:r>
      <w:r>
        <w:rPr>
          <w:rFonts w:hint="eastAsia" w:ascii="宋体" w:hAnsi="宋体" w:eastAsia="宋体" w:cs="宋体"/>
          <w:b/>
          <w:bCs/>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eastAsia="zh-CN"/>
        </w:rPr>
        <w:t>、</w:t>
      </w:r>
      <w:r>
        <w:rPr>
          <w:rFonts w:hint="eastAsia" w:ascii="宋体" w:hAnsi="宋体" w:eastAsia="宋体" w:cs="宋体"/>
          <w:sz w:val="28"/>
          <w:szCs w:val="32"/>
        </w:rPr>
        <w:t>取药模块：支持列表取药、处方取药、批量取药、位置取药等多种取药方式；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2</w:t>
      </w:r>
      <w:r>
        <w:rPr>
          <w:rFonts w:hint="eastAsia" w:ascii="宋体" w:hAnsi="宋体" w:eastAsia="宋体" w:cs="宋体"/>
          <w:sz w:val="28"/>
          <w:szCs w:val="32"/>
          <w:lang w:eastAsia="zh-CN"/>
        </w:rPr>
        <w:t>、</w:t>
      </w:r>
      <w:r>
        <w:rPr>
          <w:rFonts w:hint="eastAsia" w:ascii="宋体" w:hAnsi="宋体" w:eastAsia="宋体" w:cs="宋体"/>
          <w:sz w:val="28"/>
          <w:szCs w:val="32"/>
        </w:rPr>
        <w:t>取药模块：可实时记录取药人员、操作时间、取药种类、数量、批号效期、药品使用患者等信息；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3</w:t>
      </w:r>
      <w:r>
        <w:rPr>
          <w:rFonts w:hint="eastAsia" w:ascii="宋体" w:hAnsi="宋体" w:eastAsia="宋体" w:cs="宋体"/>
          <w:sz w:val="28"/>
          <w:szCs w:val="32"/>
          <w:lang w:eastAsia="zh-CN"/>
        </w:rPr>
        <w:t>、</w:t>
      </w:r>
      <w:r>
        <w:rPr>
          <w:rFonts w:hint="eastAsia" w:ascii="宋体" w:hAnsi="宋体" w:eastAsia="宋体" w:cs="宋体"/>
          <w:sz w:val="28"/>
          <w:szCs w:val="32"/>
        </w:rPr>
        <w:t>支持按效期、批次药品管理，可提供药品库存、取药流水、退药流水、加药流水、药品批次；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4</w:t>
      </w:r>
      <w:r>
        <w:rPr>
          <w:rFonts w:hint="eastAsia" w:ascii="宋体" w:hAnsi="宋体" w:eastAsia="宋体" w:cs="宋体"/>
          <w:sz w:val="28"/>
          <w:szCs w:val="32"/>
          <w:lang w:eastAsia="zh-CN"/>
        </w:rPr>
        <w:t>、</w:t>
      </w:r>
      <w:r>
        <w:rPr>
          <w:rFonts w:hint="eastAsia" w:ascii="宋体" w:hAnsi="宋体" w:eastAsia="宋体" w:cs="宋体"/>
          <w:sz w:val="28"/>
          <w:szCs w:val="32"/>
        </w:rPr>
        <w:t>可根据处方按照近效期优先</w:t>
      </w:r>
      <w:r>
        <w:rPr>
          <w:rFonts w:hint="eastAsia" w:ascii="宋体" w:hAnsi="宋体" w:eastAsia="宋体" w:cs="宋体"/>
          <w:sz w:val="28"/>
          <w:szCs w:val="32"/>
          <w:lang w:eastAsia="zh-CN"/>
        </w:rPr>
        <w:t>，</w:t>
      </w:r>
      <w:r>
        <w:rPr>
          <w:rFonts w:hint="eastAsia" w:ascii="宋体" w:hAnsi="宋体" w:eastAsia="宋体" w:cs="宋体"/>
          <w:sz w:val="28"/>
          <w:szCs w:val="32"/>
        </w:rPr>
        <w:t>先进先出原则</w:t>
      </w:r>
      <w:r>
        <w:rPr>
          <w:rFonts w:hint="eastAsia" w:ascii="宋体" w:hAnsi="宋体" w:eastAsia="宋体" w:cs="宋体"/>
          <w:sz w:val="28"/>
          <w:szCs w:val="32"/>
          <w:lang w:eastAsia="zh-CN"/>
        </w:rPr>
        <w:t>，</w:t>
      </w:r>
      <w:r>
        <w:rPr>
          <w:rFonts w:hint="eastAsia" w:ascii="宋体" w:hAnsi="宋体" w:eastAsia="宋体" w:cs="宋体"/>
          <w:sz w:val="28"/>
          <w:szCs w:val="32"/>
        </w:rPr>
        <w:t>自动弹开抽屉并亮灯引导取药；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5</w:t>
      </w:r>
      <w:r>
        <w:rPr>
          <w:rFonts w:hint="eastAsia" w:ascii="宋体" w:hAnsi="宋体" w:eastAsia="宋体" w:cs="宋体"/>
          <w:sz w:val="28"/>
          <w:szCs w:val="32"/>
          <w:lang w:eastAsia="zh-CN"/>
        </w:rPr>
        <w:t>、</w:t>
      </w:r>
      <w:r>
        <w:rPr>
          <w:rFonts w:hint="eastAsia" w:ascii="宋体" w:hAnsi="宋体" w:eastAsia="宋体" w:cs="宋体"/>
          <w:sz w:val="28"/>
          <w:szCs w:val="32"/>
        </w:rPr>
        <w:t>存药模块：具备位置存药，批量存药等多种药品填充方式；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6</w:t>
      </w:r>
      <w:r>
        <w:rPr>
          <w:rFonts w:hint="eastAsia" w:ascii="宋体" w:hAnsi="宋体" w:eastAsia="宋体" w:cs="宋体"/>
          <w:sz w:val="28"/>
          <w:szCs w:val="32"/>
          <w:lang w:eastAsia="zh-CN"/>
        </w:rPr>
        <w:t>、</w:t>
      </w:r>
      <w:r>
        <w:rPr>
          <w:rFonts w:hint="eastAsia" w:ascii="宋体" w:hAnsi="宋体" w:eastAsia="宋体" w:cs="宋体"/>
          <w:sz w:val="28"/>
          <w:szCs w:val="32"/>
        </w:rPr>
        <w:t>存药模块：可实时记录存药人员、操作时间、存药种类、数量等信息；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7</w:t>
      </w:r>
      <w:r>
        <w:rPr>
          <w:rFonts w:hint="eastAsia" w:ascii="宋体" w:hAnsi="宋体" w:eastAsia="宋体" w:cs="宋体"/>
          <w:sz w:val="28"/>
          <w:szCs w:val="32"/>
          <w:lang w:eastAsia="zh-CN"/>
        </w:rPr>
        <w:t>、</w:t>
      </w:r>
      <w:r>
        <w:rPr>
          <w:rFonts w:hint="eastAsia" w:ascii="宋体" w:hAnsi="宋体" w:eastAsia="宋体" w:cs="宋体"/>
          <w:sz w:val="28"/>
          <w:szCs w:val="32"/>
        </w:rPr>
        <w:t>药品清点模块：自动快速引导对所有药品或指定药品的清点；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8</w:t>
      </w:r>
      <w:r>
        <w:rPr>
          <w:rFonts w:hint="eastAsia" w:ascii="宋体" w:hAnsi="宋体" w:eastAsia="宋体" w:cs="宋体"/>
          <w:sz w:val="28"/>
          <w:szCs w:val="32"/>
          <w:lang w:eastAsia="zh-CN"/>
        </w:rPr>
        <w:t>、</w:t>
      </w:r>
      <w:r>
        <w:rPr>
          <w:rFonts w:hint="eastAsia" w:ascii="宋体" w:hAnsi="宋体" w:eastAsia="宋体" w:cs="宋体"/>
          <w:sz w:val="28"/>
          <w:szCs w:val="32"/>
        </w:rPr>
        <w:t>库存管理模块：低库存预警。可自动生成领药单。近效期预警。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9</w:t>
      </w:r>
      <w:r>
        <w:rPr>
          <w:rFonts w:hint="eastAsia" w:ascii="宋体" w:hAnsi="宋体" w:eastAsia="宋体" w:cs="宋体"/>
          <w:sz w:val="28"/>
          <w:szCs w:val="32"/>
          <w:lang w:eastAsia="zh-CN"/>
        </w:rPr>
        <w:t>、</w:t>
      </w:r>
      <w:r>
        <w:rPr>
          <w:rFonts w:hint="eastAsia" w:ascii="宋体" w:hAnsi="宋体" w:eastAsia="宋体" w:cs="宋体"/>
          <w:sz w:val="28"/>
          <w:szCs w:val="32"/>
        </w:rPr>
        <w:t>退药模块：支持按处方退药、列表退药，亮灯指引退药到指定空药槽。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10</w:t>
      </w:r>
      <w:r>
        <w:rPr>
          <w:rFonts w:hint="eastAsia" w:ascii="宋体" w:hAnsi="宋体" w:eastAsia="宋体" w:cs="宋体"/>
          <w:sz w:val="28"/>
          <w:szCs w:val="32"/>
          <w:lang w:eastAsia="zh-CN"/>
        </w:rPr>
        <w:t>、</w:t>
      </w:r>
      <w:r>
        <w:rPr>
          <w:rFonts w:hint="eastAsia" w:ascii="宋体" w:hAnsi="宋体" w:eastAsia="宋体" w:cs="宋体"/>
          <w:sz w:val="28"/>
          <w:szCs w:val="32"/>
        </w:rPr>
        <w:t>药品清点模块：系统自动记录、清点结果和清点人员信息；支持班次交接清点、日清日结盘点、月结盘点。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11</w:t>
      </w:r>
      <w:r>
        <w:rPr>
          <w:rFonts w:hint="eastAsia" w:ascii="宋体" w:hAnsi="宋体" w:eastAsia="宋体" w:cs="宋体"/>
          <w:sz w:val="28"/>
          <w:szCs w:val="32"/>
          <w:lang w:eastAsia="zh-CN"/>
        </w:rPr>
        <w:t>、</w:t>
      </w:r>
      <w:r>
        <w:rPr>
          <w:rFonts w:hint="eastAsia" w:ascii="宋体" w:hAnsi="宋体" w:eastAsia="宋体" w:cs="宋体"/>
          <w:sz w:val="28"/>
          <w:szCs w:val="32"/>
        </w:rPr>
        <w:t>药品智能核销模块：可自动计算应归还的未用药品和空安瓿数量，用户手术结束前登陆药车进行核销，通过后才能进行下次取药；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12</w:t>
      </w:r>
      <w:r>
        <w:rPr>
          <w:rFonts w:hint="eastAsia" w:ascii="宋体" w:hAnsi="宋体" w:eastAsia="宋体" w:cs="宋体"/>
          <w:sz w:val="28"/>
          <w:szCs w:val="32"/>
          <w:lang w:eastAsia="zh-CN"/>
        </w:rPr>
        <w:t>、</w:t>
      </w:r>
      <w:r>
        <w:rPr>
          <w:rFonts w:hint="eastAsia" w:ascii="宋体" w:hAnsi="宋体" w:eastAsia="宋体" w:cs="宋体"/>
          <w:sz w:val="28"/>
          <w:szCs w:val="32"/>
        </w:rPr>
        <w:t>药品智能核销模块：具备空安瓿回收功能；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13</w:t>
      </w:r>
      <w:r>
        <w:rPr>
          <w:rFonts w:hint="eastAsia" w:ascii="宋体" w:hAnsi="宋体" w:eastAsia="宋体" w:cs="宋体"/>
          <w:sz w:val="28"/>
          <w:szCs w:val="32"/>
          <w:lang w:eastAsia="zh-CN"/>
        </w:rPr>
        <w:t>、</w:t>
      </w:r>
      <w:r>
        <w:rPr>
          <w:rFonts w:hint="eastAsia" w:ascii="宋体" w:hAnsi="宋体" w:eastAsia="宋体" w:cs="宋体"/>
          <w:sz w:val="28"/>
          <w:szCs w:val="32"/>
        </w:rPr>
        <w:t>红处方打印模块：手术结束后，所取药品确认后系统可自动生成红处方并打印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14</w:t>
      </w:r>
      <w:r>
        <w:rPr>
          <w:rFonts w:hint="eastAsia" w:ascii="宋体" w:hAnsi="宋体" w:eastAsia="宋体" w:cs="宋体"/>
          <w:sz w:val="28"/>
          <w:szCs w:val="32"/>
          <w:lang w:eastAsia="zh-CN"/>
        </w:rPr>
        <w:t>、</w:t>
      </w:r>
      <w:r>
        <w:rPr>
          <w:rFonts w:hint="eastAsia" w:ascii="宋体" w:hAnsi="宋体" w:eastAsia="宋体" w:cs="宋体"/>
          <w:sz w:val="28"/>
          <w:szCs w:val="32"/>
        </w:rPr>
        <w:t>报表模块：可自动生成符合毒麻药管理要求的报表；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15</w:t>
      </w:r>
      <w:r>
        <w:rPr>
          <w:rFonts w:hint="eastAsia" w:ascii="宋体" w:hAnsi="宋体" w:eastAsia="宋体" w:cs="宋体"/>
          <w:sz w:val="28"/>
          <w:szCs w:val="32"/>
          <w:lang w:eastAsia="zh-CN"/>
        </w:rPr>
        <w:t>、</w:t>
      </w:r>
      <w:r>
        <w:rPr>
          <w:rFonts w:hint="eastAsia" w:ascii="宋体" w:hAnsi="宋体" w:eastAsia="宋体" w:cs="宋体"/>
          <w:sz w:val="28"/>
          <w:szCs w:val="32"/>
        </w:rPr>
        <w:t>报表模块：根据客户需求定制；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16</w:t>
      </w:r>
      <w:r>
        <w:rPr>
          <w:rFonts w:hint="eastAsia" w:ascii="宋体" w:hAnsi="宋体" w:eastAsia="宋体" w:cs="宋体"/>
          <w:sz w:val="28"/>
          <w:szCs w:val="32"/>
          <w:lang w:eastAsia="zh-CN"/>
        </w:rPr>
        <w:t>、</w:t>
      </w:r>
      <w:r>
        <w:rPr>
          <w:rFonts w:hint="eastAsia" w:ascii="宋体" w:hAnsi="宋体" w:eastAsia="宋体" w:cs="宋体"/>
          <w:sz w:val="28"/>
          <w:szCs w:val="32"/>
        </w:rPr>
        <w:t>能够提供统一日志采集分析系统，对药品入、出、领等各项操作通过人员信息（指纹、工号、病人信息等）、视频、处方进行记录、分析、预警；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17</w:t>
      </w:r>
      <w:r>
        <w:rPr>
          <w:rFonts w:hint="eastAsia" w:ascii="宋体" w:hAnsi="宋体" w:eastAsia="宋体" w:cs="宋体"/>
          <w:sz w:val="28"/>
          <w:szCs w:val="32"/>
          <w:lang w:eastAsia="zh-CN"/>
        </w:rPr>
        <w:t>、</w:t>
      </w:r>
      <w:r>
        <w:rPr>
          <w:rFonts w:hint="eastAsia" w:ascii="宋体" w:hAnsi="宋体" w:eastAsia="宋体" w:cs="宋体"/>
          <w:sz w:val="28"/>
          <w:szCs w:val="32"/>
        </w:rPr>
        <w:t>管理设置:可设置药品分类、属性、取药规则、核销规则等特殊管理机制；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rPr>
        <w:t>支持多级权限管理，对不同角色权限的用户只限于访问特定分配的操作模块。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18、</w:t>
      </w:r>
      <w:r>
        <w:rPr>
          <w:rFonts w:hint="eastAsia" w:ascii="宋体" w:hAnsi="宋体" w:eastAsia="宋体" w:cs="宋体"/>
          <w:sz w:val="28"/>
          <w:szCs w:val="32"/>
        </w:rPr>
        <w:t>接口：</w:t>
      </w:r>
      <w:r>
        <w:rPr>
          <w:rFonts w:hint="eastAsia" w:ascii="宋体" w:hAnsi="宋体" w:eastAsia="宋体" w:cs="宋体"/>
          <w:sz w:val="28"/>
          <w:szCs w:val="32"/>
          <w:lang w:eastAsia="zh-CN"/>
        </w:rPr>
        <w:t>可</w:t>
      </w:r>
      <w:r>
        <w:rPr>
          <w:rFonts w:hint="eastAsia" w:ascii="宋体" w:hAnsi="宋体" w:eastAsia="宋体" w:cs="宋体"/>
          <w:sz w:val="28"/>
          <w:szCs w:val="32"/>
        </w:rPr>
        <w:t>与医院集成平台、HIS系统、手麻系统对接。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19、</w:t>
      </w:r>
      <w:r>
        <w:rPr>
          <w:rFonts w:hint="eastAsia" w:ascii="宋体" w:hAnsi="宋体" w:eastAsia="宋体" w:cs="宋体"/>
          <w:sz w:val="28"/>
          <w:szCs w:val="32"/>
          <w:lang w:eastAsia="zh-CN"/>
        </w:rPr>
        <w:t>信息服务：与医院信息系统连接，数据互通。</w:t>
      </w:r>
    </w:p>
    <w:p>
      <w:pPr>
        <w:keepNext w:val="0"/>
        <w:keepLines w:val="0"/>
        <w:pageBreakBefore w:val="0"/>
        <w:widowControl w:val="0"/>
        <w:kinsoku/>
        <w:wordWrap/>
        <w:overflowPunct/>
        <w:topLinePunct w:val="0"/>
        <w:bidi w:val="0"/>
        <w:snapToGrid/>
        <w:spacing w:line="440" w:lineRule="exact"/>
        <w:jc w:val="left"/>
        <w:textAlignment w:val="auto"/>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三</w:t>
      </w:r>
      <w:r>
        <w:rPr>
          <w:rFonts w:hint="eastAsia" w:ascii="宋体" w:hAnsi="宋体" w:eastAsia="宋体" w:cs="宋体"/>
          <w:b/>
          <w:bCs/>
          <w:sz w:val="28"/>
          <w:szCs w:val="28"/>
          <w:highlight w:val="none"/>
        </w:rPr>
        <w:t>、商务要求：</w:t>
      </w:r>
      <w:bookmarkEnd w:id="0"/>
      <w:bookmarkEnd w:id="1"/>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交货时间：接到院方通知后15个工作日内</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交货地点：院方指定地点</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质保期：贰年</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付款方式：验收合格后凭发票首付80%，余款贰年付清</w:t>
      </w:r>
    </w:p>
    <w:p>
      <w:pPr>
        <w:pStyle w:val="3"/>
        <w:numPr>
          <w:ilvl w:val="0"/>
          <w:numId w:val="4"/>
        </w:numPr>
        <w:jc w:val="both"/>
        <w:rPr>
          <w:rFonts w:hint="eastAsia" w:ascii="宋体" w:hAnsi="宋体" w:eastAsia="宋体" w:cs="宋体"/>
          <w:color w:val="auto"/>
        </w:rPr>
        <w:sectPr>
          <w:footerReference r:id="rId8" w:type="default"/>
          <w:pgSz w:w="11906" w:h="16838"/>
          <w:pgMar w:top="1134" w:right="1289" w:bottom="1134" w:left="1377" w:header="794" w:footer="624" w:gutter="0"/>
          <w:pgNumType w:fmt="decimal"/>
          <w:cols w:space="425" w:num="1"/>
          <w:docGrid w:type="linesAndChars" w:linePitch="312" w:charSpace="0"/>
        </w:sectPr>
      </w:pPr>
    </w:p>
    <w:p>
      <w:pPr>
        <w:adjustRightInd w:val="0"/>
        <w:snapToGrid w:val="0"/>
        <w:spacing w:line="360" w:lineRule="auto"/>
        <w:rPr>
          <w:sz w:val="24"/>
          <w:szCs w:val="24"/>
        </w:rPr>
      </w:pPr>
      <w:r>
        <w:rPr>
          <w:rFonts w:hint="eastAsia"/>
          <w:sz w:val="24"/>
          <w:szCs w:val="24"/>
        </w:rPr>
        <w:t>附件2：供应商报名表</w:t>
      </w:r>
    </w:p>
    <w:p>
      <w:pPr>
        <w:bidi w:val="0"/>
        <w:jc w:val="center"/>
        <w:rPr>
          <w:sz w:val="28"/>
          <w:szCs w:val="28"/>
        </w:rPr>
      </w:pPr>
      <w:r>
        <w:rPr>
          <w:rFonts w:hint="eastAsia"/>
          <w:sz w:val="28"/>
          <w:szCs w:val="28"/>
        </w:rPr>
        <w:t>供应商报名表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rPr>
      </w:pPr>
      <w:r>
        <w:rPr>
          <w:rFonts w:hint="eastAsia"/>
          <w:color w:val="auto"/>
          <w:sz w:val="24"/>
          <w:szCs w:val="24"/>
        </w:rPr>
        <w:t>项目名称</w:t>
      </w:r>
      <w:r>
        <w:rPr>
          <w:rFonts w:hint="eastAsia" w:ascii="宋体" w:hAnsi="宋体" w:eastAsia="宋体" w:cs="宋体"/>
          <w:color w:val="auto"/>
          <w:sz w:val="24"/>
          <w:szCs w:val="24"/>
        </w:rPr>
        <w:t>：</w:t>
      </w:r>
      <w:r>
        <w:rPr>
          <w:rFonts w:hint="eastAsia" w:ascii="宋体" w:hAnsi="宋体" w:eastAsia="宋体" w:cs="宋体"/>
          <w:i w:val="0"/>
          <w:caps w:val="0"/>
          <w:color w:val="auto"/>
          <w:spacing w:val="0"/>
          <w:sz w:val="24"/>
          <w:szCs w:val="24"/>
          <w:u w:val="none"/>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项目编号：</w:t>
      </w:r>
    </w:p>
    <w:tbl>
      <w:tblPr>
        <w:tblStyle w:val="8"/>
        <w:tblW w:w="985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供应商名称（盖章）</w:t>
            </w:r>
          </w:p>
        </w:tc>
        <w:tc>
          <w:tcPr>
            <w:tcW w:w="77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77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联系人电话（办公电话和手机）</w:t>
            </w:r>
          </w:p>
        </w:tc>
        <w:tc>
          <w:tcPr>
            <w:tcW w:w="77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771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4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供应商提供的</w:t>
            </w:r>
          </w:p>
          <w:p>
            <w:pPr>
              <w:widowControl/>
              <w:spacing w:before="100" w:beforeAutospacing="1" w:after="100" w:afterAutospacing="1"/>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报名资料</w:t>
            </w:r>
          </w:p>
        </w:tc>
        <w:tc>
          <w:tcPr>
            <w:tcW w:w="7710"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710"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710"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710"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710"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710"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6.未被列入"信用中国"网站(www.creditchina.gov.cn)失信被执行人、重大税收违法案件当事人（须提供网页打印件）、“中国政府采购网”（www.ccgp.gov.cn）政府采购严重违法失信行为记录名单（须提供网页打印件）。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145"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710"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如供应商为生产厂家的应具有《中华人民共和国医疗器械注册证》、《医疗器械生产许可证》、《医疗器械经营企业许可证》；如供应商为代理商的则须提供《医疗器械经营企业许可证》和产品的生产厂家的《中华人民共和国医疗器械注册证》、《医疗器械生产许可证》以及针对本产品的厂家授权书；(设备进口代理商可不提供厂家医疗器械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45" w:type="dxa"/>
            <w:vMerge w:val="continue"/>
            <w:tcBorders>
              <w:left w:val="single" w:color="auto" w:sz="4" w:space="0"/>
              <w:right w:val="single" w:color="auto" w:sz="4" w:space="0"/>
            </w:tcBorders>
            <w:vAlign w:val="center"/>
          </w:tcPr>
          <w:p>
            <w:pPr>
              <w:bidi w:val="0"/>
            </w:pPr>
          </w:p>
        </w:tc>
        <w:tc>
          <w:tcPr>
            <w:tcW w:w="7710" w:type="dxa"/>
            <w:tcBorders>
              <w:top w:val="single" w:color="auto" w:sz="4" w:space="0"/>
              <w:left w:val="single" w:color="auto" w:sz="4" w:space="0"/>
              <w:bottom w:val="single" w:color="auto" w:sz="4" w:space="0"/>
              <w:right w:val="single" w:color="auto" w:sz="4" w:space="0"/>
            </w:tcBorders>
          </w:tcPr>
          <w:p>
            <w:pPr>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不接受联合体形式的投标</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145" w:type="dxa"/>
            <w:tcBorders>
              <w:left w:val="single" w:color="auto" w:sz="4" w:space="0"/>
              <w:right w:val="single" w:color="auto" w:sz="4" w:space="0"/>
            </w:tcBorders>
            <w:vAlign w:val="center"/>
          </w:tcPr>
          <w:p>
            <w:pPr>
              <w:jc w:val="center"/>
              <w:rPr>
                <w:b/>
                <w:sz w:val="24"/>
                <w:szCs w:val="24"/>
              </w:rPr>
            </w:pPr>
            <w:r>
              <w:rPr>
                <w:rFonts w:hint="eastAsia"/>
                <w:b/>
                <w:sz w:val="24"/>
                <w:szCs w:val="24"/>
              </w:rPr>
              <w:t>建议</w:t>
            </w:r>
          </w:p>
        </w:tc>
        <w:tc>
          <w:tcPr>
            <w:tcW w:w="7710" w:type="dxa"/>
            <w:tcBorders>
              <w:top w:val="single" w:color="auto" w:sz="4" w:space="0"/>
              <w:left w:val="single" w:color="auto" w:sz="4" w:space="0"/>
              <w:bottom w:val="single" w:color="auto" w:sz="4" w:space="0"/>
              <w:right w:val="single" w:color="auto" w:sz="4" w:space="0"/>
            </w:tcBorders>
            <w:vAlign w:val="center"/>
          </w:tcPr>
          <w:p>
            <w:pPr>
              <w:jc w:val="left"/>
              <w:rPr>
                <w:b/>
                <w:sz w:val="24"/>
                <w:szCs w:val="24"/>
              </w:rPr>
            </w:pPr>
            <w:r>
              <w:rPr>
                <w:rFonts w:hint="eastAsia"/>
                <w:b/>
                <w:sz w:val="24"/>
                <w:szCs w:val="24"/>
              </w:rPr>
              <w:t>供应商可对本项目采购需求的公正性、专业性、合理性等提出自己正确的意见、建议等。</w:t>
            </w:r>
          </w:p>
        </w:tc>
      </w:tr>
    </w:tbl>
    <w:p>
      <w:pPr>
        <w:pStyle w:val="7"/>
        <w:shd w:val="clear" w:color="auto" w:fill="FFFFFF"/>
        <w:spacing w:beforeAutospacing="0" w:afterAutospacing="0"/>
        <w:ind w:left="150"/>
        <w:rPr>
          <w:rStyle w:val="11"/>
          <w:b w:val="0"/>
          <w:color w:val="000000" w:themeColor="text1"/>
          <w:sz w:val="20"/>
          <w:szCs w:val="20"/>
          <w14:textFill>
            <w14:solidFill>
              <w14:schemeClr w14:val="tx1"/>
            </w14:solidFill>
          </w14:textFill>
        </w:rPr>
      </w:pPr>
      <w:r>
        <w:rPr>
          <w:rStyle w:val="11"/>
          <w:rFonts w:hint="eastAsia"/>
          <w:b w:val="0"/>
          <w:color w:val="000000" w:themeColor="text1"/>
          <w:sz w:val="20"/>
          <w:szCs w:val="20"/>
          <w14:textFill>
            <w14:solidFill>
              <w14:schemeClr w14:val="tx1"/>
            </w14:solidFill>
          </w14:textFill>
        </w:rPr>
        <w:t>注意事项：</w:t>
      </w:r>
    </w:p>
    <w:p>
      <w:pPr>
        <w:pStyle w:val="7"/>
        <w:shd w:val="clear" w:color="auto" w:fill="FFFFFF"/>
        <w:spacing w:beforeAutospacing="0" w:afterAutospacing="0"/>
        <w:ind w:left="150" w:firstLine="400" w:firstLineChars="200"/>
        <w:rPr>
          <w:rStyle w:val="11"/>
          <w:b w:val="0"/>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1.供应商必须严格按照公告的内容和要求，完整递交有关资料，</w:t>
      </w:r>
      <w:r>
        <w:rPr>
          <w:rStyle w:val="11"/>
          <w:rFonts w:hint="eastAsia"/>
          <w:b w:val="0"/>
          <w:color w:val="000000" w:themeColor="text1"/>
          <w:sz w:val="20"/>
          <w:szCs w:val="20"/>
          <w14:textFill>
            <w14:solidFill>
              <w14:schemeClr w14:val="tx1"/>
            </w14:solidFill>
          </w14:textFill>
        </w:rPr>
        <w:t>逾期递交的将予以拒收。</w:t>
      </w:r>
    </w:p>
    <w:p>
      <w:pPr>
        <w:pStyle w:val="7"/>
        <w:shd w:val="clear" w:color="auto" w:fill="FFFFFF"/>
        <w:spacing w:beforeAutospacing="0" w:afterAutospacing="0"/>
        <w:ind w:left="150" w:firstLine="400" w:firstLineChars="200"/>
        <w:rPr>
          <w:rFonts w:ascii="微软雅黑" w:hAnsi="微软雅黑" w:eastAsia="微软雅黑"/>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2.</w:t>
      </w:r>
      <w:r>
        <w:rPr>
          <w:rFonts w:ascii="宋体" w:hAnsi="宋体" w:cs="宋体"/>
          <w:bCs/>
          <w:color w:val="000000" w:themeColor="text1"/>
          <w:sz w:val="20"/>
          <w:szCs w:val="20"/>
          <w14:textFill>
            <w14:solidFill>
              <w14:schemeClr w14:val="tx1"/>
            </w14:solidFill>
          </w14:textFill>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7"/>
        <w:shd w:val="clear" w:color="auto" w:fill="FFFFFF"/>
        <w:spacing w:beforeAutospacing="0" w:afterAutospacing="0"/>
        <w:ind w:left="150" w:firstLine="400" w:firstLineChars="200"/>
      </w:pPr>
      <w:r>
        <w:rPr>
          <w:rFonts w:hint="eastAsia"/>
          <w:color w:val="000000" w:themeColor="text1"/>
          <w:sz w:val="20"/>
          <w:szCs w:val="20"/>
          <w14:textFill>
            <w14:solidFill>
              <w14:schemeClr w14:val="tx1"/>
            </w14:solidFill>
          </w14:textFill>
        </w:rPr>
        <w:t>3.须在邮件（附件文件名注明公司全称）注明公司全称、项目名称及项目编号（不注明我单位将拒收报名邮件）。</w:t>
      </w:r>
    </w:p>
    <w:sectPr>
      <w:footerReference r:id="rId9" w:type="default"/>
      <w:pgSz w:w="11906" w:h="16838"/>
      <w:pgMar w:top="1440" w:right="128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eastAsia"/>
        <w:sz w:val="13"/>
        <w:szCs w:val="13"/>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90328EF"/>
    <w:multiLevelType w:val="singleLevel"/>
    <w:tmpl w:val="090328EF"/>
    <w:lvl w:ilvl="0" w:tentative="0">
      <w:start w:val="1"/>
      <w:numFmt w:val="chineseCounting"/>
      <w:suff w:val="nothing"/>
      <w:lvlText w:val="%1、"/>
      <w:lvlJc w:val="left"/>
      <w:rPr>
        <w:rFonts w:hint="eastAsia"/>
      </w:rPr>
    </w:lvl>
  </w:abstractNum>
  <w:abstractNum w:abstractNumId="2">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05955A"/>
    <w:multiLevelType w:val="singleLevel"/>
    <w:tmpl w:val="6105955A"/>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7752E"/>
    <w:rsid w:val="05745EE7"/>
    <w:rsid w:val="0BEB685A"/>
    <w:rsid w:val="0C192B7C"/>
    <w:rsid w:val="18BA23B6"/>
    <w:rsid w:val="1BE7752E"/>
    <w:rsid w:val="28BF3003"/>
    <w:rsid w:val="34271BAE"/>
    <w:rsid w:val="38F42161"/>
    <w:rsid w:val="3C7B61C7"/>
    <w:rsid w:val="481D46A4"/>
    <w:rsid w:val="50946C1E"/>
    <w:rsid w:val="5AA118D2"/>
    <w:rsid w:val="758C13EA"/>
    <w:rsid w:val="77B6150F"/>
    <w:rsid w:val="7C47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3">
    <w:name w:val="List Paragraph"/>
    <w:basedOn w:val="1"/>
    <w:qFormat/>
    <w:uiPriority w:val="34"/>
    <w:pPr>
      <w:ind w:firstLine="420" w:firstLineChars="200"/>
    </w:pPr>
  </w:style>
  <w:style w:type="paragraph" w:customStyle="1" w:styleId="14">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2021-03-05T00:45:00Z</dcterms:created>
  <dc:creator>石</dc:creator>
  <cp:lastModifiedBy>123</cp:lastModifiedBy>
  <dcterms:modified xsi:type="dcterms:W3CDTF">2021-04-19T06:56:45Z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A2B9D959E24F4D689C11255BEB8C79B2</vt:lpwstr>
  </property>
</Properties>
</file>