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2"/>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sz w:val="32"/>
          <w:szCs w:val="32"/>
          <w:u w:val="single"/>
          <w:lang w:val="en-US" w:eastAsia="zh-CN"/>
        </w:rPr>
        <w:t xml:space="preserve">131-2021CG-76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u w:val="single"/>
          <w14:textFill>
            <w14:solidFill>
              <w14:schemeClr w14:val="tx1"/>
            </w14:solidFill>
          </w14:textFill>
        </w:rPr>
        <w:t>阳新县人民医院</w:t>
      </w:r>
    </w:p>
    <w:p>
      <w:pPr>
        <w:spacing w:line="480" w:lineRule="auto"/>
        <w:ind w:left="3156" w:leftChars="761" w:hanging="1558" w:hangingChars="487"/>
        <w:rPr>
          <w:rFonts w:hint="eastAsia" w:eastAsiaTheme="minorEastAsia"/>
          <w:bCs/>
          <w:color w:val="000000" w:themeColor="text1"/>
          <w:sz w:val="30"/>
          <w:szCs w:val="30"/>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u w:val="single"/>
          <w:lang w:eastAsia="zh-CN"/>
          <w14:textFill>
            <w14:solidFill>
              <w14:schemeClr w14:val="tx1"/>
            </w14:solidFill>
          </w14:textFill>
        </w:rPr>
        <w:t>阳新县人民医院城东新院区医疗设备采购项目</w:t>
      </w:r>
    </w:p>
    <w:p>
      <w:pPr>
        <w:spacing w:line="480" w:lineRule="auto"/>
        <w:ind w:firstLine="1600" w:firstLineChars="500"/>
        <w:rPr>
          <w:rFonts w:hint="eastAsia" w:eastAsiaTheme="minorEastAsia"/>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default"/>
          <w:bCs/>
          <w:color w:val="000000" w:themeColor="text1"/>
          <w:spacing w:val="-6"/>
          <w:sz w:val="30"/>
          <w:szCs w:val="30"/>
          <w:u w:val="single"/>
          <w:lang w:val="en-US" w:eastAsia="zh-CN"/>
          <w14:textFill>
            <w14:solidFill>
              <w14:schemeClr w14:val="tx1"/>
            </w14:solidFill>
          </w14:textFill>
        </w:rPr>
        <w:t>环氧乙烷灭菌器</w:t>
      </w:r>
      <w:r>
        <w:rPr>
          <w:rFonts w:hint="eastAsia"/>
          <w:bCs/>
          <w:color w:val="000000" w:themeColor="text1"/>
          <w:spacing w:val="-6"/>
          <w:sz w:val="30"/>
          <w:szCs w:val="30"/>
          <w:u w:val="single"/>
          <w:lang w:eastAsia="zh-CN"/>
          <w14:textFill>
            <w14:solidFill>
              <w14:schemeClr w14:val="tx1"/>
            </w14:solidFill>
          </w14:textFill>
        </w:rPr>
        <w:t>采购</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rFonts w:hint="eastAsia"/>
          <w:bCs/>
          <w:snapToGrid w:val="0"/>
          <w:color w:val="000000" w:themeColor="text1"/>
          <w:kern w:val="0"/>
          <w:position w:val="-98"/>
          <w:sz w:val="56"/>
          <w:szCs w:val="56"/>
          <w:lang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广州穗科建设管理有限公司</w:t>
      </w:r>
    </w:p>
    <w:p>
      <w:pPr>
        <w:adjustRightInd w:val="0"/>
        <w:snapToGrid w:val="0"/>
        <w:jc w:val="center"/>
        <w:rPr>
          <w:rFonts w:hint="default"/>
          <w:bCs/>
          <w:snapToGrid w:val="0"/>
          <w:color w:val="000000" w:themeColor="text1"/>
          <w:kern w:val="0"/>
          <w:position w:val="-98"/>
          <w:sz w:val="56"/>
          <w:szCs w:val="56"/>
          <w:lang w:val="en-US" w:eastAsia="zh-CN"/>
          <w14:textFill>
            <w14:solidFill>
              <w14:schemeClr w14:val="tx1"/>
            </w14:solidFill>
          </w14:textFill>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lang w:val="en-US" w:eastAsia="zh-CN"/>
          <w14:textFill>
            <w14:solidFill>
              <w14:schemeClr w14:val="tx1"/>
            </w14:solidFill>
          </w14:textFill>
        </w:rPr>
        <w:t>二0二一年四月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7"/>
              <w:rFonts w:hint="eastAsia" w:ascii="黑体" w:hAnsi="黑体"/>
            </w:rPr>
            <w:t>第一章</w:t>
          </w:r>
          <w:r>
            <w:rPr>
              <w:rFonts w:eastAsiaTheme="minorEastAsia"/>
              <w:b w:val="0"/>
              <w:iCs w:val="0"/>
              <w:color w:val="auto"/>
              <w:kern w:val="2"/>
              <w:sz w:val="21"/>
            </w:rPr>
            <w:tab/>
          </w:r>
          <w:r>
            <w:rPr>
              <w:rStyle w:val="27"/>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7"/>
              <w:rFonts w:hint="eastAsia" w:ascii="黑体" w:hAnsi="黑体"/>
            </w:rPr>
            <w:t>第二章</w:t>
          </w:r>
          <w:r>
            <w:rPr>
              <w:rFonts w:eastAsiaTheme="minorEastAsia"/>
              <w:b w:val="0"/>
              <w:iCs w:val="0"/>
              <w:color w:val="auto"/>
              <w:kern w:val="2"/>
              <w:sz w:val="21"/>
            </w:rPr>
            <w:tab/>
          </w:r>
          <w:r>
            <w:rPr>
              <w:rStyle w:val="27"/>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"_Toc495861519" </w:instrText>
          </w:r>
          <w:r>
            <w:fldChar w:fldCharType="separate"/>
          </w:r>
          <w:r>
            <w:rPr>
              <w:rStyle w:val="27"/>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"_Toc495861520"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说明</w:t>
          </w:r>
          <w:r>
            <w:tab/>
          </w:r>
          <w:r>
            <w:t>……………………………………………………………………………………</w:t>
          </w:r>
          <w:r>
            <w:rPr>
              <w:rFonts w:hint="eastAsia"/>
            </w:rPr>
            <w:t>.</w:t>
          </w:r>
          <w:r>
            <w:fldChar w:fldCharType="begin"/>
          </w:r>
          <w:r>
            <w:instrText xml:space="preserve"> PAGEREF _Toc495861520 \h </w:instrText>
          </w:r>
          <w:r>
            <w:fldChar w:fldCharType="separate"/>
          </w:r>
          <w:r>
            <w:t>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"_Toc495861521"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"_Toc495861522"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"_Toc495861523" </w:instrText>
          </w:r>
          <w:r>
            <w:fldChar w:fldCharType="separate"/>
          </w:r>
          <w:r>
            <w:rPr>
              <w:rStyle w:val="27"/>
              <w:rFonts w:hint="eastAsia" w:cs="Times New Roman" w:asciiTheme="majorEastAsia" w:hAnsiTheme="majorEastAsia"/>
              <w:lang w:val="zh-CN"/>
            </w:rPr>
            <w:t>四、</w:t>
          </w:r>
          <w:r>
            <w:rPr>
              <w:rFonts w:asciiTheme="minorHAnsi" w:hAnsiTheme="minorHAnsi"/>
              <w:iCs w:val="0"/>
              <w:color w:val="auto"/>
              <w:kern w:val="2"/>
              <w:sz w:val="21"/>
            </w:rPr>
            <w:tab/>
          </w:r>
          <w:r>
            <w:rPr>
              <w:rStyle w:val="27"/>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"_Toc495861524" </w:instrText>
          </w:r>
          <w:r>
            <w:fldChar w:fldCharType="separate"/>
          </w:r>
          <w:r>
            <w:rPr>
              <w:rStyle w:val="27"/>
              <w:rFonts w:hint="eastAsia" w:cs="Times New Roman" w:asciiTheme="majorEastAsia" w:hAnsiTheme="majorEastAsia"/>
              <w:lang w:val="zh-CN"/>
            </w:rPr>
            <w:t>五、</w:t>
          </w:r>
          <w:r>
            <w:rPr>
              <w:rFonts w:asciiTheme="minorHAnsi" w:hAnsiTheme="minorHAnsi"/>
              <w:iCs w:val="0"/>
              <w:color w:val="auto"/>
              <w:kern w:val="2"/>
              <w:sz w:val="21"/>
            </w:rPr>
            <w:tab/>
          </w:r>
          <w:r>
            <w:rPr>
              <w:rStyle w:val="27"/>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"_Toc495861525" </w:instrText>
          </w:r>
          <w:r>
            <w:fldChar w:fldCharType="separate"/>
          </w:r>
          <w:r>
            <w:rPr>
              <w:rStyle w:val="27"/>
              <w:rFonts w:hint="eastAsia" w:cs="Times New Roman" w:asciiTheme="majorEastAsia" w:hAnsiTheme="majorEastAsia"/>
              <w:lang w:val="zh-CN"/>
            </w:rPr>
            <w:t>六、</w:t>
          </w:r>
          <w:r>
            <w:rPr>
              <w:rFonts w:asciiTheme="minorHAnsi" w:hAnsiTheme="minorHAnsi"/>
              <w:iCs w:val="0"/>
              <w:color w:val="auto"/>
              <w:kern w:val="2"/>
              <w:sz w:val="21"/>
            </w:rPr>
            <w:tab/>
          </w:r>
          <w:r>
            <w:rPr>
              <w:rStyle w:val="27"/>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"_Toc495861526" </w:instrText>
          </w:r>
          <w:r>
            <w:fldChar w:fldCharType="separate"/>
          </w:r>
          <w:r>
            <w:rPr>
              <w:rStyle w:val="27"/>
              <w:rFonts w:hint="eastAsia" w:cs="Times New Roman" w:asciiTheme="majorEastAsia" w:hAnsiTheme="majorEastAsia"/>
              <w:lang w:val="zh-CN"/>
            </w:rPr>
            <w:t>七、</w:t>
          </w:r>
          <w:r>
            <w:rPr>
              <w:rFonts w:asciiTheme="minorHAnsi" w:hAnsiTheme="minorHAnsi"/>
              <w:iCs w:val="0"/>
              <w:color w:val="auto"/>
              <w:kern w:val="2"/>
              <w:sz w:val="21"/>
            </w:rPr>
            <w:tab/>
          </w:r>
          <w:r>
            <w:rPr>
              <w:rStyle w:val="27"/>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"_Toc495861527" </w:instrText>
          </w:r>
          <w:r>
            <w:fldChar w:fldCharType="separate"/>
          </w:r>
          <w:r>
            <w:rPr>
              <w:rStyle w:val="27"/>
              <w:rFonts w:hint="eastAsia" w:cs="Times New Roman" w:asciiTheme="majorEastAsia" w:hAnsiTheme="majorEastAsia"/>
              <w:lang w:val="zh-CN"/>
            </w:rPr>
            <w:t>八、</w:t>
          </w:r>
          <w:r>
            <w:rPr>
              <w:rFonts w:asciiTheme="minorHAnsi" w:hAnsiTheme="minorHAnsi"/>
              <w:iCs w:val="0"/>
              <w:color w:val="auto"/>
              <w:kern w:val="2"/>
              <w:sz w:val="21"/>
            </w:rPr>
            <w:tab/>
          </w:r>
          <w:r>
            <w:rPr>
              <w:rStyle w:val="27"/>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"_Toc495861528" </w:instrText>
          </w:r>
          <w:r>
            <w:fldChar w:fldCharType="separate"/>
          </w:r>
          <w:r>
            <w:rPr>
              <w:rStyle w:val="27"/>
              <w:rFonts w:hint="eastAsia" w:cs="Times New Roman" w:asciiTheme="majorEastAsia" w:hAnsiTheme="majorEastAsia"/>
              <w:lang w:val="zh-CN"/>
            </w:rPr>
            <w:t>九、</w:t>
          </w:r>
          <w:r>
            <w:rPr>
              <w:rFonts w:asciiTheme="minorHAnsi" w:hAnsiTheme="minorHAnsi"/>
              <w:iCs w:val="0"/>
              <w:color w:val="auto"/>
              <w:kern w:val="2"/>
              <w:sz w:val="21"/>
            </w:rPr>
            <w:tab/>
          </w:r>
          <w:r>
            <w:rPr>
              <w:rStyle w:val="27"/>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"_Toc495861529" </w:instrText>
          </w:r>
          <w:r>
            <w:fldChar w:fldCharType="separate"/>
          </w:r>
          <w:r>
            <w:rPr>
              <w:rStyle w:val="27"/>
              <w:rFonts w:hint="eastAsia" w:cs="Times New Roman" w:asciiTheme="majorEastAsia" w:hAnsiTheme="majorEastAsia"/>
              <w:lang w:val="zh-CN"/>
            </w:rPr>
            <w:t>十、</w:t>
          </w:r>
          <w:r>
            <w:rPr>
              <w:rFonts w:asciiTheme="minorHAnsi" w:hAnsiTheme="minorHAnsi"/>
              <w:iCs w:val="0"/>
              <w:color w:val="auto"/>
              <w:kern w:val="2"/>
              <w:sz w:val="21"/>
            </w:rPr>
            <w:tab/>
          </w:r>
          <w:r>
            <w:rPr>
              <w:rStyle w:val="27"/>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"_Toc495861530" </w:instrText>
          </w:r>
          <w:r>
            <w:fldChar w:fldCharType="separate"/>
          </w:r>
          <w:r>
            <w:rPr>
              <w:rStyle w:val="27"/>
              <w:rFonts w:hint="eastAsia" w:cs="Times New Roman" w:asciiTheme="majorEastAsia" w:hAnsiTheme="majorEastAsia"/>
              <w:lang w:val="zh-CN"/>
            </w:rPr>
            <w:t>十一、</w:t>
          </w:r>
          <w:r>
            <w:rPr>
              <w:rFonts w:asciiTheme="minorHAnsi" w:hAnsiTheme="minorHAnsi"/>
              <w:iCs w:val="0"/>
              <w:color w:val="auto"/>
              <w:kern w:val="2"/>
              <w:sz w:val="21"/>
            </w:rPr>
            <w:tab/>
          </w:r>
          <w:r>
            <w:rPr>
              <w:rStyle w:val="27"/>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"_Toc495861531" </w:instrText>
          </w:r>
          <w:r>
            <w:fldChar w:fldCharType="separate"/>
          </w:r>
          <w:r>
            <w:rPr>
              <w:rStyle w:val="27"/>
              <w:rFonts w:hint="eastAsia" w:cs="Times New Roman" w:asciiTheme="majorEastAsia" w:hAnsiTheme="majorEastAsia"/>
              <w:lang w:val="zh-CN"/>
            </w:rPr>
            <w:t>十二、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7"/>
              <w:rFonts w:hint="eastAsia" w:ascii="黑体" w:hAnsi="黑体"/>
            </w:rPr>
            <w:t>第三章</w:t>
          </w:r>
          <w:r>
            <w:rPr>
              <w:rFonts w:eastAsiaTheme="minorEastAsia"/>
              <w:b w:val="0"/>
              <w:iCs w:val="0"/>
              <w:color w:val="auto"/>
              <w:kern w:val="2"/>
              <w:sz w:val="21"/>
            </w:rPr>
            <w:tab/>
          </w:r>
          <w:r>
            <w:rPr>
              <w:rStyle w:val="27"/>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"_Toc495861533"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采购清单</w:t>
          </w:r>
          <w:r>
            <w:tab/>
          </w:r>
          <w:r>
            <w:fldChar w:fldCharType="begin"/>
          </w:r>
          <w:r>
            <w:instrText xml:space="preserve"> PAGEREF _Toc495861532 \h </w:instrText>
          </w:r>
          <w:r>
            <w:fldChar w:fldCharType="separate"/>
          </w:r>
          <w:r>
            <w:t>19</w:t>
          </w:r>
          <w:r>
            <w:fldChar w:fldCharType="end"/>
          </w:r>
          <w:r>
            <w:fldChar w:fldCharType="end"/>
          </w:r>
        </w:p>
        <w:p>
          <w:pPr>
            <w:pStyle w:val="18"/>
            <w:rPr>
              <w:rFonts w:hint="eastAsia" w:asciiTheme="minorHAnsi" w:hAnsiTheme="minorHAnsi" w:eastAsiaTheme="minorEastAsia"/>
              <w:iCs w:val="0"/>
              <w:color w:val="auto"/>
              <w:kern w:val="2"/>
              <w:sz w:val="21"/>
              <w:lang w:val="en-US" w:eastAsia="zh-CN"/>
            </w:rPr>
          </w:pPr>
          <w:r>
            <w:fldChar w:fldCharType="begin"/>
          </w:r>
          <w:r>
            <w:instrText xml:space="preserve"> HYPERLINK \l "_Toc495861536"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技术、服务要求</w:t>
          </w:r>
          <w:r>
            <w:tab/>
          </w:r>
          <w:r>
            <w:rPr>
              <w:rFonts w:hint="eastAsia"/>
              <w:lang w:val="en-US" w:eastAsia="zh-CN"/>
            </w:rPr>
            <w:t>2</w:t>
          </w:r>
          <w:r>
            <w:fldChar w:fldCharType="end"/>
          </w:r>
          <w:r>
            <w:rPr>
              <w:rFonts w:hint="eastAsia"/>
              <w:lang w:val="en-US" w:eastAsia="zh-CN"/>
            </w:rPr>
            <w:t>0</w:t>
          </w:r>
        </w:p>
        <w:p>
          <w:pPr>
            <w:pStyle w:val="18"/>
            <w:rPr>
              <w:rFonts w:hint="eastAsia" w:asciiTheme="minorHAnsi" w:hAnsiTheme="minorHAnsi" w:eastAsiaTheme="minorEastAsia"/>
              <w:iCs w:val="0"/>
              <w:color w:val="auto"/>
              <w:kern w:val="2"/>
              <w:sz w:val="21"/>
              <w:lang w:val="en-US" w:eastAsia="zh-CN"/>
            </w:rPr>
          </w:pPr>
          <w:r>
            <w:fldChar w:fldCharType="begin"/>
          </w:r>
          <w:r>
            <w:instrText xml:space="preserve"> HYPERLINK \l "_Toc495861537"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商务要求</w:t>
          </w:r>
          <w:r>
            <w:tab/>
          </w:r>
          <w:r>
            <w:rPr>
              <w:rFonts w:hint="eastAsia"/>
              <w:lang w:val="en-US" w:eastAsia="zh-CN"/>
            </w:rPr>
            <w:t>2</w:t>
          </w:r>
          <w:r>
            <w:fldChar w:fldCharType="end"/>
          </w:r>
          <w:r>
            <w:rPr>
              <w:rFonts w:hint="eastAsia"/>
              <w:lang w:val="en-US" w:eastAsia="zh-CN"/>
            </w:rPr>
            <w:t>1</w:t>
          </w:r>
        </w:p>
        <w:p>
          <w:pPr>
            <w:pStyle w:val="2"/>
            <w:tabs>
              <w:tab w:val="left" w:pos="1260"/>
              <w:tab w:val="right" w:leader="dot" w:pos="9514"/>
            </w:tabs>
            <w:rPr>
              <w:rFonts w:hint="eastAsia" w:eastAsia="黑体"/>
              <w:b w:val="0"/>
              <w:iCs w:val="0"/>
              <w:color w:val="auto"/>
              <w:kern w:val="2"/>
              <w:sz w:val="21"/>
              <w:lang w:val="en-US" w:eastAsia="zh-CN"/>
            </w:rPr>
          </w:pPr>
          <w:r>
            <w:fldChar w:fldCharType="begin"/>
          </w:r>
          <w:r>
            <w:instrText xml:space="preserve"> HYPERLINK \l "_Toc495861538" </w:instrText>
          </w:r>
          <w:r>
            <w:fldChar w:fldCharType="separate"/>
          </w:r>
          <w:r>
            <w:rPr>
              <w:rStyle w:val="27"/>
              <w:rFonts w:hint="eastAsia" w:ascii="黑体" w:hAnsi="黑体"/>
            </w:rPr>
            <w:t>第四章</w:t>
          </w:r>
          <w:r>
            <w:rPr>
              <w:rFonts w:eastAsiaTheme="minorEastAsia"/>
              <w:b w:val="0"/>
              <w:iCs w:val="0"/>
              <w:color w:val="auto"/>
              <w:kern w:val="2"/>
              <w:sz w:val="21"/>
            </w:rPr>
            <w:tab/>
          </w:r>
          <w:r>
            <w:rPr>
              <w:rStyle w:val="27"/>
              <w:rFonts w:hint="eastAsia" w:ascii="黑体" w:hAnsi="黑体"/>
            </w:rPr>
            <w:t>资格审查方法及标准</w:t>
          </w:r>
          <w:r>
            <w:tab/>
          </w:r>
          <w:r>
            <w:rPr>
              <w:rFonts w:hint="eastAsia"/>
              <w:lang w:val="en-US" w:eastAsia="zh-CN"/>
            </w:rPr>
            <w:t>2</w:t>
          </w:r>
          <w:r>
            <w:fldChar w:fldCharType="end"/>
          </w:r>
          <w:r>
            <w:rPr>
              <w:rFonts w:hint="eastAsia"/>
              <w:lang w:val="en-US" w:eastAsia="zh-CN"/>
            </w:rPr>
            <w:t>2</w:t>
          </w:r>
        </w:p>
        <w:p>
          <w:pPr>
            <w:pStyle w:val="18"/>
            <w:rPr>
              <w:rFonts w:hint="eastAsia" w:asciiTheme="minorHAnsi" w:hAnsiTheme="minorHAnsi" w:eastAsiaTheme="minorEastAsia"/>
              <w:iCs w:val="0"/>
              <w:color w:val="auto"/>
              <w:kern w:val="2"/>
              <w:sz w:val="21"/>
              <w:lang w:val="en-US" w:eastAsia="zh-CN"/>
            </w:rPr>
          </w:pPr>
          <w:r>
            <w:fldChar w:fldCharType="begin"/>
          </w:r>
          <w:r>
            <w:instrText xml:space="preserve"> HYPERLINK \l "_Toc495861539"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资格审查方法</w:t>
          </w:r>
          <w:r>
            <w:tab/>
          </w:r>
          <w:r>
            <w:rPr>
              <w:rFonts w:hint="eastAsia"/>
              <w:lang w:val="en-US" w:eastAsia="zh-CN"/>
            </w:rPr>
            <w:t>2</w:t>
          </w:r>
          <w:r>
            <w:fldChar w:fldCharType="end"/>
          </w:r>
          <w:r>
            <w:rPr>
              <w:rFonts w:hint="eastAsia"/>
              <w:lang w:val="en-US" w:eastAsia="zh-CN"/>
            </w:rPr>
            <w:t>2</w:t>
          </w:r>
        </w:p>
        <w:p>
          <w:pPr>
            <w:pStyle w:val="18"/>
            <w:rPr>
              <w:rFonts w:hint="eastAsia" w:asciiTheme="minorHAnsi" w:hAnsiTheme="minorHAnsi" w:eastAsiaTheme="minorEastAsia"/>
              <w:iCs w:val="0"/>
              <w:color w:val="auto"/>
              <w:kern w:val="2"/>
              <w:sz w:val="21"/>
              <w:lang w:val="en-US" w:eastAsia="zh-CN"/>
            </w:rPr>
          </w:pPr>
          <w:r>
            <w:fldChar w:fldCharType="begin"/>
          </w:r>
          <w:r>
            <w:instrText xml:space="preserve"> HYPERLINK \l "_Toc495861540"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资格审查标准</w:t>
          </w:r>
          <w:r>
            <w:tab/>
          </w:r>
          <w:r>
            <w:rPr>
              <w:rFonts w:hint="eastAsia"/>
              <w:lang w:val="en-US" w:eastAsia="zh-CN"/>
            </w:rPr>
            <w:t xml:space="preserve"> </w:t>
          </w:r>
          <w:r>
            <w:fldChar w:fldCharType="end"/>
          </w:r>
          <w:r>
            <w:rPr>
              <w:rFonts w:hint="eastAsia"/>
              <w:lang w:val="en-US" w:eastAsia="zh-CN"/>
            </w:rPr>
            <w:t>23</w:t>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7"/>
              <w:rFonts w:hint="eastAsia" w:ascii="黑体" w:hAnsi="黑体"/>
            </w:rPr>
            <w:t>第五章</w:t>
          </w:r>
          <w:r>
            <w:rPr>
              <w:rFonts w:eastAsiaTheme="minorEastAsia"/>
              <w:b w:val="0"/>
              <w:iCs w:val="0"/>
              <w:color w:val="auto"/>
              <w:kern w:val="2"/>
              <w:sz w:val="21"/>
            </w:rPr>
            <w:tab/>
          </w:r>
          <w:r>
            <w:rPr>
              <w:rStyle w:val="27"/>
              <w:rFonts w:hint="eastAsia" w:ascii="黑体" w:hAnsi="黑体"/>
            </w:rPr>
            <w:t>评标方法、程序及标准</w:t>
          </w:r>
          <w:r>
            <w:tab/>
          </w:r>
          <w:r>
            <w:fldChar w:fldCharType="begin"/>
          </w:r>
          <w:r>
            <w:instrText xml:space="preserve"> PAGEREF _Toc495861541 \h </w:instrText>
          </w:r>
          <w:r>
            <w:fldChar w:fldCharType="separate"/>
          </w:r>
          <w:r>
            <w:t>22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"_Toc495861542"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"_Toc495861543"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"_Toc495861544"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29</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7"/>
              <w:rFonts w:hint="eastAsia" w:ascii="黑体" w:hAnsi="黑体"/>
            </w:rPr>
            <w:t>第六章</w:t>
          </w:r>
          <w:r>
            <w:rPr>
              <w:rFonts w:eastAsiaTheme="minorEastAsia"/>
              <w:b w:val="0"/>
              <w:iCs w:val="0"/>
              <w:color w:val="auto"/>
              <w:kern w:val="2"/>
              <w:sz w:val="21"/>
            </w:rPr>
            <w:tab/>
          </w:r>
          <w:r>
            <w:rPr>
              <w:rStyle w:val="27"/>
              <w:rFonts w:hint="eastAsia" w:ascii="黑体" w:hAnsi="黑体"/>
            </w:rPr>
            <w:t>合同书格式（参考）</w:t>
          </w:r>
          <w:r>
            <w:tab/>
          </w:r>
          <w:r>
            <w:fldChar w:fldCharType="begin"/>
          </w:r>
          <w:r>
            <w:instrText xml:space="preserve"> PAGEREF _Toc495861545 \h </w:instrText>
          </w:r>
          <w:r>
            <w:fldChar w:fldCharType="separate"/>
          </w:r>
          <w:r>
            <w:t>30</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7"/>
              <w:rFonts w:hint="eastAsia" w:ascii="黑体" w:hAnsi="黑体"/>
            </w:rPr>
            <w:t>第七章</w:t>
          </w:r>
          <w:r>
            <w:rPr>
              <w:rFonts w:eastAsiaTheme="minorEastAsia"/>
              <w:b w:val="0"/>
              <w:iCs w:val="0"/>
              <w:color w:val="auto"/>
              <w:kern w:val="2"/>
              <w:sz w:val="21"/>
            </w:rPr>
            <w:tab/>
          </w:r>
          <w:r>
            <w:rPr>
              <w:rStyle w:val="27"/>
              <w:rFonts w:hint="eastAsia" w:ascii="黑体" w:hAnsi="黑体"/>
            </w:rPr>
            <w:t>投标文件格式（参考）</w:t>
          </w:r>
          <w:r>
            <w:tab/>
          </w:r>
          <w:r>
            <w:fldChar w:fldCharType="begin"/>
          </w:r>
          <w:r>
            <w:instrText xml:space="preserve"> PAGEREF _Toc495861546 \h </w:instrText>
          </w:r>
          <w:r>
            <w:fldChar w:fldCharType="separate"/>
          </w:r>
          <w:r>
            <w:t>32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"_Toc495861547" </w:instrText>
          </w:r>
          <w:r>
            <w:fldChar w:fldCharType="separate"/>
          </w:r>
          <w:r>
            <w:rPr>
              <w:rStyle w:val="27"/>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"_Toc495861548" </w:instrText>
          </w:r>
          <w:r>
            <w:fldChar w:fldCharType="separate"/>
          </w:r>
          <w:r>
            <w:rPr>
              <w:rStyle w:val="27"/>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"_Toc495861549" </w:instrText>
          </w:r>
          <w:r>
            <w:fldChar w:fldCharType="separate"/>
          </w:r>
          <w:r>
            <w:rPr>
              <w:rStyle w:val="27"/>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"_Toc495861550" </w:instrText>
          </w:r>
          <w:r>
            <w:fldChar w:fldCharType="separate"/>
          </w:r>
          <w:r>
            <w:rPr>
              <w:rStyle w:val="27"/>
              <w:rFonts w:hint="eastAsia" w:eastAsia="宋体"/>
            </w:rPr>
            <w:t>附件一、</w:t>
          </w:r>
          <w:r>
            <w:rPr>
              <w:rFonts w:asciiTheme="minorHAnsi" w:hAnsiTheme="minorHAnsi"/>
              <w:iCs w:val="0"/>
              <w:color w:val="auto"/>
              <w:kern w:val="2"/>
              <w:sz w:val="21"/>
            </w:rPr>
            <w:tab/>
          </w:r>
          <w:r>
            <w:rPr>
              <w:rStyle w:val="27"/>
              <w:rFonts w:hint="eastAsia" w:eastAsia="宋体"/>
            </w:rPr>
            <w:t>投标书</w:t>
          </w:r>
          <w:r>
            <w:tab/>
          </w:r>
          <w:r>
            <w:fldChar w:fldCharType="begin"/>
          </w:r>
          <w:r>
            <w:instrText xml:space="preserve"> PAGEREF _Toc495861550 \h </w:instrText>
          </w:r>
          <w:r>
            <w:fldChar w:fldCharType="separate"/>
          </w:r>
          <w:r>
            <w:t>38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"_Toc495861551" </w:instrText>
          </w:r>
          <w:r>
            <w:fldChar w:fldCharType="separate"/>
          </w:r>
          <w:r>
            <w:rPr>
              <w:rStyle w:val="27"/>
              <w:rFonts w:hint="eastAsia" w:eastAsia="宋体"/>
            </w:rPr>
            <w:t>附件二、</w:t>
          </w:r>
          <w:r>
            <w:rPr>
              <w:rFonts w:asciiTheme="minorHAnsi" w:hAnsiTheme="minorHAnsi"/>
              <w:iCs w:val="0"/>
              <w:color w:val="auto"/>
              <w:kern w:val="2"/>
              <w:sz w:val="21"/>
            </w:rPr>
            <w:tab/>
          </w:r>
          <w:r>
            <w:rPr>
              <w:rStyle w:val="27"/>
              <w:rFonts w:hint="eastAsia" w:eastAsia="宋体"/>
            </w:rPr>
            <w:t>制造商中小企业声明函</w:t>
          </w:r>
          <w:r>
            <w:tab/>
          </w:r>
          <w:r>
            <w:fldChar w:fldCharType="begin"/>
          </w:r>
          <w:r>
            <w:instrText xml:space="preserve"> PAGEREF _Toc495861551 \h </w:instrText>
          </w:r>
          <w:r>
            <w:fldChar w:fldCharType="separate"/>
          </w:r>
          <w:r>
            <w:t>39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"_Toc495861552" </w:instrText>
          </w:r>
          <w:r>
            <w:fldChar w:fldCharType="separate"/>
          </w:r>
          <w:r>
            <w:rPr>
              <w:rStyle w:val="27"/>
              <w:rFonts w:hint="eastAsia" w:eastAsia="宋体"/>
            </w:rPr>
            <w:t>附件三、</w:t>
          </w:r>
          <w:r>
            <w:rPr>
              <w:rFonts w:asciiTheme="minorHAnsi" w:hAnsiTheme="minorHAnsi"/>
              <w:iCs w:val="0"/>
              <w:color w:val="auto"/>
              <w:kern w:val="2"/>
              <w:sz w:val="21"/>
            </w:rPr>
            <w:tab/>
          </w:r>
          <w:r>
            <w:rPr>
              <w:rStyle w:val="27"/>
              <w:rFonts w:hint="eastAsia" w:eastAsia="宋体"/>
            </w:rPr>
            <w:t>中小企业声明函</w:t>
          </w:r>
          <w:r>
            <w:tab/>
          </w:r>
          <w:r>
            <w:fldChar w:fldCharType="begin"/>
          </w:r>
          <w:r>
            <w:instrText xml:space="preserve"> PAGEREF _Toc495861552 \h </w:instrText>
          </w:r>
          <w:r>
            <w:fldChar w:fldCharType="separate"/>
          </w:r>
          <w:r>
            <w:t>40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"_Toc495861553" </w:instrText>
          </w:r>
          <w:r>
            <w:fldChar w:fldCharType="separate"/>
          </w:r>
          <w:r>
            <w:rPr>
              <w:rStyle w:val="27"/>
              <w:rFonts w:hint="eastAsia" w:eastAsia="宋体"/>
            </w:rPr>
            <w:t>附件四、</w:t>
          </w:r>
          <w:r>
            <w:rPr>
              <w:rFonts w:asciiTheme="minorHAnsi" w:hAnsiTheme="minorHAnsi"/>
              <w:iCs w:val="0"/>
              <w:color w:val="auto"/>
              <w:kern w:val="2"/>
              <w:sz w:val="21"/>
            </w:rPr>
            <w:tab/>
          </w:r>
          <w:r>
            <w:rPr>
              <w:rStyle w:val="27"/>
              <w:rFonts w:hint="eastAsia" w:eastAsia="宋体"/>
            </w:rPr>
            <w:t>残疾人福利性单位声明函</w:t>
          </w:r>
          <w:r>
            <w:tab/>
          </w:r>
          <w:r>
            <w:fldChar w:fldCharType="begin"/>
          </w:r>
          <w:r>
            <w:instrText xml:space="preserve"> PAGEREF _Toc495861553 \h </w:instrText>
          </w:r>
          <w:r>
            <w:fldChar w:fldCharType="separate"/>
          </w:r>
          <w:r>
            <w:t>42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"_Toc495861554" </w:instrText>
          </w:r>
          <w:r>
            <w:fldChar w:fldCharType="separate"/>
          </w:r>
          <w:r>
            <w:rPr>
              <w:rStyle w:val="27"/>
              <w:rFonts w:hint="eastAsia" w:eastAsia="宋体"/>
            </w:rPr>
            <w:t>附件五、</w:t>
          </w:r>
          <w:r>
            <w:rPr>
              <w:rFonts w:asciiTheme="minorHAnsi" w:hAnsiTheme="minorHAnsi"/>
              <w:iCs w:val="0"/>
              <w:color w:val="auto"/>
              <w:kern w:val="2"/>
              <w:sz w:val="21"/>
            </w:rPr>
            <w:tab/>
          </w:r>
          <w:r>
            <w:rPr>
              <w:rStyle w:val="27"/>
              <w:rFonts w:hint="eastAsia" w:eastAsia="宋体"/>
            </w:rPr>
            <w:t>开标一览表</w:t>
          </w:r>
          <w:r>
            <w:tab/>
          </w:r>
          <w:r>
            <w:fldChar w:fldCharType="begin"/>
          </w:r>
          <w:r>
            <w:instrText xml:space="preserve"> PAGEREF _Toc495861554 \h </w:instrText>
          </w:r>
          <w:r>
            <w:fldChar w:fldCharType="separate"/>
          </w:r>
          <w:r>
            <w:t>45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"_Toc495861555" </w:instrText>
          </w:r>
          <w:r>
            <w:fldChar w:fldCharType="separate"/>
          </w:r>
          <w:r>
            <w:rPr>
              <w:rStyle w:val="27"/>
              <w:rFonts w:hint="eastAsia" w:eastAsia="宋体"/>
            </w:rPr>
            <w:t>附件六、</w:t>
          </w:r>
          <w:r>
            <w:rPr>
              <w:rFonts w:asciiTheme="minorHAnsi" w:hAnsiTheme="minorHAnsi"/>
              <w:iCs w:val="0"/>
              <w:color w:val="auto"/>
              <w:kern w:val="2"/>
              <w:sz w:val="21"/>
            </w:rPr>
            <w:tab/>
          </w:r>
          <w:r>
            <w:rPr>
              <w:rStyle w:val="27"/>
              <w:rFonts w:hint="eastAsia" w:eastAsia="宋体"/>
            </w:rPr>
            <w:t>投标报价明细表</w:t>
          </w:r>
          <w:r>
            <w:tab/>
          </w:r>
          <w:r>
            <w:fldChar w:fldCharType="begin"/>
          </w:r>
          <w:r>
            <w:instrText xml:space="preserve"> PAGEREF _Toc495861555 \h </w:instrText>
          </w:r>
          <w:r>
            <w:fldChar w:fldCharType="separate"/>
          </w:r>
          <w:r>
            <w:t>46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"_Toc495861556" </w:instrText>
          </w:r>
          <w:r>
            <w:fldChar w:fldCharType="separate"/>
          </w:r>
          <w:r>
            <w:rPr>
              <w:rStyle w:val="27"/>
              <w:rFonts w:hint="eastAsia" w:eastAsia="宋体"/>
            </w:rPr>
            <w:t>附件七、</w:t>
          </w:r>
          <w:r>
            <w:rPr>
              <w:rFonts w:asciiTheme="minorHAnsi" w:hAnsiTheme="minorHAnsi"/>
              <w:iCs w:val="0"/>
              <w:color w:val="auto"/>
              <w:kern w:val="2"/>
              <w:sz w:val="21"/>
            </w:rPr>
            <w:tab/>
          </w:r>
          <w:r>
            <w:rPr>
              <w:rStyle w:val="27"/>
              <w:rFonts w:hint="eastAsia" w:eastAsia="宋体"/>
            </w:rPr>
            <w:t>小型和微型企业、监狱企业、残疾人福利性单位货物汇总表</w:t>
          </w:r>
          <w:r>
            <w:tab/>
          </w:r>
          <w:r>
            <w:fldChar w:fldCharType="begin"/>
          </w:r>
          <w:r>
            <w:instrText xml:space="preserve"> PAGEREF _Toc495861556 \h </w:instrText>
          </w:r>
          <w:r>
            <w:fldChar w:fldCharType="separate"/>
          </w:r>
          <w:r>
            <w:t>47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"_Toc495861557" </w:instrText>
          </w:r>
          <w:r>
            <w:fldChar w:fldCharType="separate"/>
          </w:r>
          <w:r>
            <w:rPr>
              <w:rStyle w:val="27"/>
              <w:rFonts w:hint="eastAsia" w:eastAsia="宋体"/>
            </w:rPr>
            <w:t>附件八、</w:t>
          </w:r>
          <w:r>
            <w:rPr>
              <w:rFonts w:asciiTheme="minorHAnsi" w:hAnsiTheme="minorHAnsi"/>
              <w:iCs w:val="0"/>
              <w:color w:val="auto"/>
              <w:kern w:val="2"/>
              <w:sz w:val="21"/>
            </w:rPr>
            <w:tab/>
          </w:r>
          <w:r>
            <w:rPr>
              <w:rStyle w:val="27"/>
              <w:rFonts w:hint="eastAsia" w:eastAsia="宋体"/>
            </w:rPr>
            <w:t>投标货物（工程或服务）清单</w:t>
          </w:r>
          <w:r>
            <w:tab/>
          </w:r>
          <w:r>
            <w:fldChar w:fldCharType="begin"/>
          </w:r>
          <w:r>
            <w:instrText xml:space="preserve"> PAGEREF _Toc495861557 \h </w:instrText>
          </w:r>
          <w:r>
            <w:fldChar w:fldCharType="separate"/>
          </w:r>
          <w:r>
            <w:t>48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"_Toc495861558" </w:instrText>
          </w:r>
          <w:r>
            <w:fldChar w:fldCharType="separate"/>
          </w:r>
          <w:r>
            <w:rPr>
              <w:rStyle w:val="27"/>
              <w:rFonts w:hint="eastAsia" w:eastAsia="宋体"/>
            </w:rPr>
            <w:t>附件九、</w:t>
          </w:r>
          <w:r>
            <w:rPr>
              <w:rFonts w:asciiTheme="minorHAnsi" w:hAnsiTheme="minorHAnsi"/>
              <w:iCs w:val="0"/>
              <w:color w:val="auto"/>
              <w:kern w:val="2"/>
              <w:sz w:val="21"/>
            </w:rPr>
            <w:tab/>
          </w:r>
          <w:r>
            <w:rPr>
              <w:rStyle w:val="27"/>
              <w:rFonts w:hint="eastAsia" w:eastAsia="宋体"/>
            </w:rPr>
            <w:t>交纳投标保证金的银行凭证</w:t>
          </w:r>
          <w:r>
            <w:tab/>
          </w:r>
          <w:r>
            <w:fldChar w:fldCharType="begin"/>
          </w:r>
          <w:r>
            <w:instrText xml:space="preserve"> PAGEREF _Toc495861558 \h </w:instrText>
          </w:r>
          <w:r>
            <w:fldChar w:fldCharType="separate"/>
          </w:r>
          <w:r>
            <w:t>49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"_Toc495861559" </w:instrText>
          </w:r>
          <w:r>
            <w:fldChar w:fldCharType="separate"/>
          </w:r>
          <w:r>
            <w:rPr>
              <w:rStyle w:val="27"/>
              <w:rFonts w:hint="eastAsia" w:eastAsia="宋体"/>
            </w:rPr>
            <w:t>附件十、</w:t>
          </w:r>
          <w:r>
            <w:rPr>
              <w:rFonts w:asciiTheme="minorHAnsi" w:hAnsiTheme="minorHAnsi"/>
              <w:iCs w:val="0"/>
              <w:color w:val="auto"/>
              <w:kern w:val="2"/>
              <w:sz w:val="21"/>
            </w:rPr>
            <w:tab/>
          </w:r>
          <w:r>
            <w:rPr>
              <w:rStyle w:val="27"/>
              <w:rFonts w:hint="eastAsia" w:eastAsia="宋体"/>
            </w:rPr>
            <w:t>法定代表人授权书</w:t>
          </w:r>
          <w:r>
            <w:tab/>
          </w:r>
          <w:r>
            <w:fldChar w:fldCharType="begin"/>
          </w:r>
          <w:r>
            <w:instrText xml:space="preserve"> PAGEREF _Toc495861559 \h </w:instrText>
          </w:r>
          <w:r>
            <w:fldChar w:fldCharType="separate"/>
          </w:r>
          <w:r>
            <w:t>50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"_Toc495861560" </w:instrText>
          </w:r>
          <w:r>
            <w:fldChar w:fldCharType="separate"/>
          </w:r>
          <w:r>
            <w:rPr>
              <w:rStyle w:val="27"/>
              <w:rFonts w:hint="eastAsia" w:eastAsia="宋体"/>
            </w:rPr>
            <w:t>附件十一、</w:t>
          </w:r>
          <w:r>
            <w:rPr>
              <w:rFonts w:asciiTheme="minorHAnsi" w:hAnsiTheme="minorHAnsi"/>
              <w:iCs w:val="0"/>
              <w:color w:val="auto"/>
              <w:kern w:val="2"/>
              <w:sz w:val="21"/>
            </w:rPr>
            <w:tab/>
          </w:r>
          <w:r>
            <w:rPr>
              <w:rStyle w:val="27"/>
              <w:rFonts w:hint="eastAsia" w:eastAsia="宋体"/>
            </w:rPr>
            <w:t>投标人的资格声明</w:t>
          </w:r>
          <w:r>
            <w:tab/>
          </w:r>
          <w:r>
            <w:fldChar w:fldCharType="begin"/>
          </w:r>
          <w:r>
            <w:instrText xml:space="preserve"> PAGEREF _Toc495861560 \h </w:instrText>
          </w:r>
          <w:r>
            <w:fldChar w:fldCharType="separate"/>
          </w:r>
          <w:r>
            <w:t>51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"_Toc495861561" </w:instrText>
          </w:r>
          <w:r>
            <w:fldChar w:fldCharType="separate"/>
          </w:r>
          <w:r>
            <w:rPr>
              <w:rStyle w:val="27"/>
              <w:rFonts w:hint="eastAsia" w:eastAsia="宋体"/>
            </w:rPr>
            <w:t>附件十二、</w:t>
          </w:r>
          <w:r>
            <w:rPr>
              <w:rFonts w:asciiTheme="minorHAnsi" w:hAnsiTheme="minorHAnsi"/>
              <w:iCs w:val="0"/>
              <w:color w:val="auto"/>
              <w:kern w:val="2"/>
              <w:sz w:val="21"/>
            </w:rPr>
            <w:tab/>
          </w:r>
          <w:r>
            <w:rPr>
              <w:rStyle w:val="27"/>
              <w:rFonts w:hint="eastAsia" w:eastAsia="宋体"/>
            </w:rPr>
            <w:t>项目负责人、技术负责人简历表</w:t>
          </w:r>
          <w:r>
            <w:tab/>
          </w:r>
          <w:r>
            <w:fldChar w:fldCharType="begin"/>
          </w:r>
          <w:r>
            <w:instrText xml:space="preserve"> PAGEREF _Toc495861561 \h </w:instrText>
          </w:r>
          <w:r>
            <w:fldChar w:fldCharType="separate"/>
          </w:r>
          <w:r>
            <w:t>52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"_Toc495861562" </w:instrText>
          </w:r>
          <w:r>
            <w:fldChar w:fldCharType="separate"/>
          </w:r>
          <w:r>
            <w:rPr>
              <w:rStyle w:val="27"/>
              <w:rFonts w:hint="eastAsia" w:eastAsia="宋体"/>
            </w:rPr>
            <w:t>附件十三、</w:t>
          </w:r>
          <w:r>
            <w:rPr>
              <w:rFonts w:asciiTheme="minorHAnsi" w:hAnsiTheme="minorHAnsi"/>
              <w:iCs w:val="0"/>
              <w:color w:val="auto"/>
              <w:kern w:val="2"/>
              <w:sz w:val="21"/>
            </w:rPr>
            <w:tab/>
          </w:r>
          <w:r>
            <w:rPr>
              <w:rStyle w:val="27"/>
              <w:rFonts w:hint="eastAsia" w:eastAsia="宋体"/>
            </w:rPr>
            <w:t>项目班子成员情况表</w:t>
          </w:r>
          <w:r>
            <w:tab/>
          </w:r>
          <w:r>
            <w:fldChar w:fldCharType="begin"/>
          </w:r>
          <w:r>
            <w:instrText xml:space="preserve"> PAGEREF _Toc495861562 \h </w:instrText>
          </w:r>
          <w:r>
            <w:fldChar w:fldCharType="separate"/>
          </w:r>
          <w:r>
            <w:t>53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"_Toc495861563" </w:instrText>
          </w:r>
          <w:r>
            <w:fldChar w:fldCharType="separate"/>
          </w:r>
          <w:r>
            <w:rPr>
              <w:rStyle w:val="27"/>
              <w:rFonts w:hint="eastAsia" w:eastAsia="宋体"/>
            </w:rPr>
            <w:t>附件十四、</w:t>
          </w:r>
          <w:r>
            <w:rPr>
              <w:rFonts w:asciiTheme="minorHAnsi" w:hAnsiTheme="minorHAnsi"/>
              <w:iCs w:val="0"/>
              <w:color w:val="auto"/>
              <w:kern w:val="2"/>
              <w:sz w:val="21"/>
            </w:rPr>
            <w:tab/>
          </w:r>
          <w:r>
            <w:rPr>
              <w:rStyle w:val="27"/>
              <w:rFonts w:hint="eastAsia" w:eastAsia="宋体"/>
            </w:rPr>
            <w:t>投标人类似项目业绩表</w:t>
          </w:r>
          <w:r>
            <w:tab/>
          </w:r>
          <w:r>
            <w:fldChar w:fldCharType="begin"/>
          </w:r>
          <w:r>
            <w:instrText xml:space="preserve"> PAGEREF _Toc495861563 \h </w:instrText>
          </w:r>
          <w:r>
            <w:fldChar w:fldCharType="separate"/>
          </w:r>
          <w:r>
            <w:t>54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"_Toc495861564" </w:instrText>
          </w:r>
          <w:r>
            <w:fldChar w:fldCharType="separate"/>
          </w:r>
          <w:r>
            <w:rPr>
              <w:rStyle w:val="27"/>
              <w:rFonts w:hint="eastAsia" w:eastAsia="宋体"/>
            </w:rPr>
            <w:t>附件十五、</w:t>
          </w:r>
          <w:r>
            <w:rPr>
              <w:rFonts w:asciiTheme="minorHAnsi" w:hAnsiTheme="minorHAnsi"/>
              <w:iCs w:val="0"/>
              <w:color w:val="auto"/>
              <w:kern w:val="2"/>
              <w:sz w:val="21"/>
            </w:rPr>
            <w:tab/>
          </w:r>
          <w:r>
            <w:rPr>
              <w:rStyle w:val="27"/>
              <w:rFonts w:hint="eastAsia" w:eastAsia="宋体"/>
            </w:rPr>
            <w:t>符合性审查对照表</w:t>
          </w:r>
          <w:r>
            <w:tab/>
          </w:r>
          <w:r>
            <w:fldChar w:fldCharType="begin"/>
          </w:r>
          <w:r>
            <w:instrText xml:space="preserve"> PAGEREF _Toc495861564 \h </w:instrText>
          </w:r>
          <w:r>
            <w:fldChar w:fldCharType="separate"/>
          </w:r>
          <w:r>
            <w:t>55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"_Toc495861565" </w:instrText>
          </w:r>
          <w:r>
            <w:fldChar w:fldCharType="separate"/>
          </w:r>
          <w:r>
            <w:rPr>
              <w:rStyle w:val="27"/>
              <w:rFonts w:hint="eastAsia" w:eastAsia="宋体"/>
            </w:rPr>
            <w:t>附件十六、</w:t>
          </w:r>
          <w:r>
            <w:rPr>
              <w:rFonts w:asciiTheme="minorHAnsi" w:hAnsiTheme="minorHAnsi"/>
              <w:iCs w:val="0"/>
              <w:color w:val="auto"/>
              <w:kern w:val="2"/>
              <w:sz w:val="21"/>
            </w:rPr>
            <w:tab/>
          </w:r>
          <w:r>
            <w:rPr>
              <w:rStyle w:val="27"/>
              <w:rFonts w:hint="eastAsia" w:eastAsia="宋体"/>
            </w:rPr>
            <w:t>商务要求响应、偏离说明表</w:t>
          </w:r>
          <w:r>
            <w:tab/>
          </w:r>
          <w:r>
            <w:fldChar w:fldCharType="begin"/>
          </w:r>
          <w:r>
            <w:instrText xml:space="preserve"> PAGEREF _Toc495861565 \h </w:instrText>
          </w:r>
          <w:r>
            <w:fldChar w:fldCharType="separate"/>
          </w:r>
          <w:r>
            <w:t>56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"_Toc495861566" </w:instrText>
          </w:r>
          <w:r>
            <w:fldChar w:fldCharType="separate"/>
          </w:r>
          <w:r>
            <w:rPr>
              <w:rStyle w:val="27"/>
              <w:rFonts w:hint="eastAsia" w:eastAsia="宋体"/>
            </w:rPr>
            <w:t>附件十七、</w:t>
          </w:r>
          <w:r>
            <w:rPr>
              <w:rFonts w:asciiTheme="minorHAnsi" w:hAnsiTheme="minorHAnsi"/>
              <w:iCs w:val="0"/>
              <w:color w:val="auto"/>
              <w:kern w:val="2"/>
              <w:sz w:val="21"/>
            </w:rPr>
            <w:tab/>
          </w:r>
          <w:r>
            <w:rPr>
              <w:rStyle w:val="27"/>
              <w:rFonts w:hint="eastAsia" w:eastAsia="宋体"/>
            </w:rPr>
            <w:t>商务要求“★”号条款响应、偏离说明表</w:t>
          </w:r>
          <w:r>
            <w:tab/>
          </w:r>
          <w:r>
            <w:fldChar w:fldCharType="begin"/>
          </w:r>
          <w:r>
            <w:instrText xml:space="preserve"> PAGEREF _Toc495861566 \h </w:instrText>
          </w:r>
          <w:r>
            <w:fldChar w:fldCharType="separate"/>
          </w:r>
          <w:r>
            <w:t>57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"_Toc495861567" </w:instrText>
          </w:r>
          <w:r>
            <w:fldChar w:fldCharType="separate"/>
          </w:r>
          <w:r>
            <w:rPr>
              <w:rStyle w:val="27"/>
              <w:rFonts w:hint="eastAsia" w:eastAsia="宋体"/>
            </w:rPr>
            <w:t>附件十八、</w:t>
          </w:r>
          <w:r>
            <w:rPr>
              <w:rFonts w:asciiTheme="minorHAnsi" w:hAnsiTheme="minorHAnsi"/>
              <w:iCs w:val="0"/>
              <w:color w:val="auto"/>
              <w:kern w:val="2"/>
              <w:sz w:val="21"/>
            </w:rPr>
            <w:tab/>
          </w:r>
          <w:r>
            <w:rPr>
              <w:rStyle w:val="27"/>
              <w:rFonts w:hint="eastAsia" w:eastAsia="宋体"/>
            </w:rPr>
            <w:t>商务评议对照表</w:t>
          </w:r>
          <w:r>
            <w:tab/>
          </w:r>
          <w:r>
            <w:fldChar w:fldCharType="begin"/>
          </w:r>
          <w:r>
            <w:instrText xml:space="preserve"> PAGEREF _Toc495861567 \h </w:instrText>
          </w:r>
          <w:r>
            <w:fldChar w:fldCharType="separate"/>
          </w:r>
          <w:r>
            <w:t>58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"_Toc495861568" </w:instrText>
          </w:r>
          <w:r>
            <w:fldChar w:fldCharType="separate"/>
          </w:r>
          <w:r>
            <w:rPr>
              <w:rStyle w:val="27"/>
              <w:rFonts w:hint="eastAsia" w:eastAsia="宋体"/>
            </w:rPr>
            <w:t>附件十九、</w:t>
          </w:r>
          <w:r>
            <w:rPr>
              <w:rFonts w:asciiTheme="minorHAnsi" w:hAnsiTheme="minorHAnsi"/>
              <w:iCs w:val="0"/>
              <w:color w:val="auto"/>
              <w:kern w:val="2"/>
              <w:sz w:val="21"/>
            </w:rPr>
            <w:tab/>
          </w:r>
          <w:r>
            <w:rPr>
              <w:rStyle w:val="27"/>
              <w:rFonts w:hint="eastAsia" w:eastAsia="宋体"/>
            </w:rPr>
            <w:t>技术、服务要求响应、偏离说明表</w:t>
          </w:r>
          <w:r>
            <w:tab/>
          </w:r>
          <w:r>
            <w:fldChar w:fldCharType="begin"/>
          </w:r>
          <w:r>
            <w:instrText xml:space="preserve"> PAGEREF _Toc495861568 \h </w:instrText>
          </w:r>
          <w:r>
            <w:fldChar w:fldCharType="separate"/>
          </w:r>
          <w:r>
            <w:t>59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"_Toc495861569" </w:instrText>
          </w:r>
          <w:r>
            <w:fldChar w:fldCharType="separate"/>
          </w:r>
          <w:r>
            <w:rPr>
              <w:rStyle w:val="27"/>
              <w:rFonts w:hint="eastAsia" w:eastAsia="宋体"/>
            </w:rPr>
            <w:t>附件二十、</w:t>
          </w:r>
          <w:r>
            <w:rPr>
              <w:rFonts w:asciiTheme="minorHAnsi" w:hAnsiTheme="minorHAnsi"/>
              <w:iCs w:val="0"/>
              <w:color w:val="auto"/>
              <w:kern w:val="2"/>
              <w:sz w:val="21"/>
            </w:rPr>
            <w:tab/>
          </w:r>
          <w:r>
            <w:rPr>
              <w:rStyle w:val="27"/>
              <w:rFonts w:hint="eastAsia" w:eastAsia="宋体"/>
            </w:rPr>
            <w:t>技术、服务要求“★”号条款响应、偏离说明表</w:t>
          </w:r>
          <w:r>
            <w:tab/>
          </w:r>
          <w:r>
            <w:fldChar w:fldCharType="begin"/>
          </w:r>
          <w:r>
            <w:instrText xml:space="preserve"> PAGEREF _Toc495861569 \h </w:instrText>
          </w:r>
          <w:r>
            <w:fldChar w:fldCharType="separate"/>
          </w:r>
          <w:r>
            <w:t>60</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7"/>
              <w:rFonts w:hint="eastAsia" w:eastAsia="宋体"/>
            </w:rPr>
            <w:t>附件二十一、</w:t>
          </w:r>
          <w:r>
            <w:rPr>
              <w:rFonts w:asciiTheme="minorHAnsi" w:hAnsiTheme="minorHAnsi"/>
              <w:iCs w:val="0"/>
              <w:color w:val="auto"/>
              <w:kern w:val="2"/>
              <w:sz w:val="21"/>
            </w:rPr>
            <w:tab/>
          </w:r>
          <w:r>
            <w:rPr>
              <w:rStyle w:val="27"/>
              <w:rFonts w:hint="eastAsia" w:eastAsia="宋体"/>
            </w:rPr>
            <w:t>技术、服务评议对照表</w:t>
          </w:r>
          <w:r>
            <w:tab/>
          </w:r>
          <w:r>
            <w:fldChar w:fldCharType="begin"/>
          </w:r>
          <w:r>
            <w:instrText xml:space="preserve"> PAGEREF _Toc495861570 \h </w:instrText>
          </w:r>
          <w:r>
            <w:fldChar w:fldCharType="separate"/>
          </w:r>
          <w:r>
            <w:t>61</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20"/>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right="0" w:firstLine="480" w:firstLineChars="200"/>
        <w:rPr>
          <w:color w:val="auto"/>
        </w:rPr>
      </w:pPr>
      <w:bookmarkStart w:id="1" w:name="_Toc495861518"/>
      <w:r>
        <w:rPr>
          <w:rFonts w:hint="eastAsia" w:ascii="宋体" w:hAnsi="宋体" w:cs="宋体"/>
          <w:color w:val="auto"/>
          <w:sz w:val="24"/>
          <w:szCs w:val="24"/>
          <w:shd w:val="clear" w:fill="FFFFFF"/>
          <w:lang w:eastAsia="zh-CN"/>
        </w:rPr>
        <w:t>阳新县人民医院城东新院区医疗设备采购项目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w:t>
      </w:r>
      <w:r>
        <w:rPr>
          <w:rFonts w:hint="eastAsia" w:ascii="宋体" w:hAnsi="宋体" w:cs="宋体"/>
          <w:color w:val="auto"/>
          <w:spacing w:val="0"/>
          <w:sz w:val="24"/>
          <w:szCs w:val="24"/>
          <w:u w:val="single"/>
          <w:shd w:val="clear" w:fill="FFFFFF"/>
          <w:lang w:val="en-US" w:eastAsia="zh-CN"/>
        </w:rPr>
        <w:t>1</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5 </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18</w:t>
      </w:r>
      <w:r>
        <w:rPr>
          <w:rFonts w:hint="eastAsia" w:ascii="宋体" w:hAnsi="宋体" w:eastAsia="宋体" w:cs="宋体"/>
          <w:color w:val="auto"/>
          <w:spacing w:val="0"/>
          <w:sz w:val="24"/>
          <w:szCs w:val="24"/>
          <w:shd w:val="clear" w:fill="FFFFFF"/>
        </w:rPr>
        <w:t>日</w:t>
      </w:r>
      <w:r>
        <w:rPr>
          <w:rFonts w:hint="eastAsia" w:ascii="宋体" w:hAnsi="宋体" w:cs="宋体"/>
          <w:color w:val="auto"/>
          <w:spacing w:val="0"/>
          <w:sz w:val="24"/>
          <w:szCs w:val="24"/>
          <w:u w:val="single"/>
          <w:shd w:val="clear" w:fill="FFFFFF"/>
          <w:lang w:val="en-US" w:eastAsia="zh-CN"/>
        </w:rPr>
        <w:t xml:space="preserve"> 09 </w:t>
      </w:r>
      <w:r>
        <w:rPr>
          <w:rFonts w:hint="eastAsia" w:ascii="宋体" w:hAnsi="宋体" w:eastAsia="宋体" w:cs="宋体"/>
          <w:color w:val="auto"/>
          <w:spacing w:val="0"/>
          <w:sz w:val="24"/>
          <w:szCs w:val="24"/>
          <w:shd w:val="clear" w:fill="FFFFFF"/>
        </w:rPr>
        <w:t>点00分(</w:t>
      </w:r>
      <w:r>
        <w:rPr>
          <w:rFonts w:hint="eastAsia" w:ascii="宋体" w:hAnsi="宋体" w:eastAsia="宋体" w:cs="宋体"/>
          <w:color w:val="auto"/>
          <w:sz w:val="24"/>
          <w:szCs w:val="24"/>
          <w:shd w:val="clear" w:fill="FFFFFF"/>
        </w:rPr>
        <w:t>北京时间）前递交投标文件。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项目编号：131-202</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CG-</w:t>
      </w:r>
      <w:r>
        <w:rPr>
          <w:rFonts w:hint="eastAsia" w:ascii="宋体" w:hAnsi="宋体" w:cs="宋体"/>
          <w:color w:val="auto"/>
          <w:sz w:val="24"/>
          <w:szCs w:val="24"/>
          <w:u w:val="single"/>
          <w:shd w:val="clear" w:fill="FFFFFF"/>
          <w:lang w:val="en-US" w:eastAsia="zh-CN"/>
        </w:rPr>
        <w:t xml:space="preserve"> 76 </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w:t>
      </w:r>
      <w:r>
        <w:rPr>
          <w:rFonts w:hint="eastAsia" w:ascii="宋体" w:hAnsi="宋体" w:cs="宋体"/>
          <w:i w:val="0"/>
          <w:caps w:val="0"/>
          <w:color w:val="auto"/>
          <w:spacing w:val="0"/>
          <w:kern w:val="0"/>
          <w:sz w:val="24"/>
          <w:szCs w:val="24"/>
          <w:u w:val="none"/>
          <w:shd w:val="clear" w:fill="FFFFFF"/>
          <w:lang w:val="en-US" w:eastAsia="zh-CN" w:bidi="ar"/>
        </w:rPr>
        <w:t>1</w:t>
      </w:r>
      <w:r>
        <w:rPr>
          <w:rFonts w:hint="eastAsia" w:ascii="宋体" w:hAnsi="宋体" w:eastAsia="宋体" w:cs="宋体"/>
          <w:i w:val="0"/>
          <w:caps w:val="0"/>
          <w:color w:val="auto"/>
          <w:spacing w:val="0"/>
          <w:kern w:val="0"/>
          <w:sz w:val="24"/>
          <w:szCs w:val="24"/>
          <w:u w:val="none"/>
          <w:shd w:val="clear" w:fill="FFFFFF"/>
          <w:lang w:val="en-US" w:eastAsia="zh-CN" w:bidi="ar"/>
        </w:rPr>
        <w:t>]A</w:t>
      </w:r>
      <w:r>
        <w:rPr>
          <w:rFonts w:hint="eastAsia" w:ascii="宋体" w:hAnsi="宋体" w:cs="宋体"/>
          <w:i w:val="0"/>
          <w:caps w:val="0"/>
          <w:color w:val="auto"/>
          <w:spacing w:val="0"/>
          <w:kern w:val="0"/>
          <w:sz w:val="24"/>
          <w:szCs w:val="24"/>
          <w:u w:val="single"/>
          <w:shd w:val="clear" w:fill="FFFFFF"/>
          <w:lang w:val="en-US" w:eastAsia="zh-CN" w:bidi="ar"/>
        </w:rPr>
        <w:t xml:space="preserve"> 66</w:t>
      </w:r>
      <w:r>
        <w:rPr>
          <w:rFonts w:hint="eastAsia" w:ascii="宋体" w:hAnsi="宋体" w:eastAsia="宋体" w:cs="宋体"/>
          <w:i w:val="0"/>
          <w:caps w:val="0"/>
          <w:color w:val="auto"/>
          <w:spacing w:val="0"/>
          <w:kern w:val="0"/>
          <w:sz w:val="24"/>
          <w:szCs w:val="24"/>
          <w:u w:val="single"/>
          <w:shd w:val="clear" w:fill="FFFFFF"/>
          <w:lang w:val="en-US" w:eastAsia="zh-CN" w:bidi="ar"/>
        </w:rPr>
        <w:t xml:space="preserve"> </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eastAsia="zh-CN"/>
        </w:rPr>
      </w:pPr>
      <w:r>
        <w:rPr>
          <w:rFonts w:hint="eastAsia" w:ascii="宋体" w:hAnsi="宋体" w:eastAsia="宋体" w:cs="宋体"/>
          <w:color w:val="auto"/>
          <w:sz w:val="24"/>
          <w:szCs w:val="24"/>
          <w:shd w:val="clear" w:fill="FFFFFF"/>
        </w:rPr>
        <w:t>项目名称：</w:t>
      </w:r>
      <w:r>
        <w:rPr>
          <w:rFonts w:hint="eastAsia" w:ascii="宋体" w:hAnsi="宋体" w:cs="宋体"/>
          <w:color w:val="auto"/>
          <w:sz w:val="24"/>
          <w:szCs w:val="24"/>
          <w:shd w:val="clear" w:fill="FFFFFF"/>
          <w:lang w:eastAsia="zh-CN"/>
        </w:rPr>
        <w:t>阳新县人民医院城东新院区医疗设备采购项目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8" w:leftChars="228" w:right="0" w:firstLine="64" w:firstLineChars="27"/>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预算金额</w:t>
      </w:r>
      <w:r>
        <w:rPr>
          <w:rFonts w:hint="eastAsia" w:ascii="宋体" w:hAnsi="宋体" w:eastAsia="宋体" w:cs="宋体"/>
          <w:color w:val="auto"/>
          <w:sz w:val="24"/>
          <w:szCs w:val="24"/>
          <w:shd w:val="clear" w:fill="FFFFFF"/>
          <w:lang w:eastAsia="zh-CN"/>
        </w:rPr>
        <w:t>：</w:t>
      </w:r>
      <w:r>
        <w:rPr>
          <w:rFonts w:hint="eastAsia" w:ascii="宋体" w:hAnsi="宋体" w:cs="宋体"/>
          <w:color w:val="auto"/>
          <w:sz w:val="24"/>
          <w:szCs w:val="24"/>
          <w:shd w:val="clear" w:fill="FFFFFF"/>
          <w:lang w:val="en-US" w:eastAsia="zh-CN"/>
        </w:rPr>
        <w:t>185万元。</w:t>
      </w:r>
      <w:r>
        <w:rPr>
          <w:rFonts w:hint="eastAsia" w:ascii="宋体" w:hAnsi="宋体" w:eastAsia="宋体" w:cs="宋体"/>
          <w:color w:val="auto"/>
          <w:sz w:val="24"/>
          <w:szCs w:val="24"/>
          <w:shd w:val="clear" w:fill="FFFFFF"/>
        </w:rPr>
        <w:t>（超过</w:t>
      </w:r>
      <w:r>
        <w:rPr>
          <w:rFonts w:hint="eastAsia" w:ascii="宋体" w:hAnsi="宋体" w:eastAsia="宋体" w:cs="宋体"/>
          <w:color w:val="auto"/>
          <w:sz w:val="24"/>
          <w:szCs w:val="24"/>
          <w:shd w:val="clear" w:fill="FFFFFF"/>
          <w:lang w:eastAsia="zh-CN"/>
        </w:rPr>
        <w:t>预算金额</w:t>
      </w:r>
      <w:r>
        <w:rPr>
          <w:rFonts w:hint="eastAsia" w:ascii="宋体" w:hAnsi="宋体" w:eastAsia="宋体" w:cs="宋体"/>
          <w:color w:val="auto"/>
          <w:sz w:val="24"/>
          <w:szCs w:val="24"/>
          <w:shd w:val="clear" w:fill="FFFFFF"/>
        </w:rPr>
        <w:t>作为无效投标）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采购需求：</w:t>
      </w:r>
      <w:r>
        <w:rPr>
          <w:rFonts w:hint="eastAsia" w:ascii="宋体" w:hAnsi="宋体" w:eastAsia="宋体" w:cs="宋体"/>
          <w:color w:val="auto"/>
          <w:sz w:val="24"/>
          <w:szCs w:val="24"/>
          <w:shd w:val="clear" w:fill="FFFFFF"/>
          <w:lang w:eastAsia="zh-CN"/>
        </w:rPr>
        <w:t>采购环氧乙烷灭菌器一</w:t>
      </w:r>
      <w:r>
        <w:rPr>
          <w:rFonts w:hint="eastAsia" w:ascii="宋体" w:hAnsi="宋体" w:cs="宋体"/>
          <w:color w:val="auto"/>
          <w:sz w:val="24"/>
          <w:szCs w:val="24"/>
          <w:shd w:val="clear" w:fill="FFFFFF"/>
          <w:lang w:eastAsia="zh-CN"/>
        </w:rPr>
        <w:t>套</w:t>
      </w:r>
      <w:r>
        <w:rPr>
          <w:rFonts w:hint="eastAsia" w:ascii="宋体" w:hAnsi="宋体" w:eastAsia="宋体" w:cs="宋体"/>
          <w:color w:val="auto"/>
          <w:sz w:val="24"/>
          <w:szCs w:val="24"/>
          <w:shd w:val="clear" w:fill="FFFFFF"/>
        </w:rPr>
        <w:t>（详见招标文件）</w:t>
      </w:r>
      <w:r>
        <w:rPr>
          <w:rFonts w:hint="eastAsia" w:ascii="宋体" w:hAnsi="宋体" w:eastAsia="宋体" w:cs="宋体"/>
          <w:color w:val="auto"/>
          <w:sz w:val="24"/>
          <w:szCs w:val="24"/>
          <w:shd w:val="clear" w:fill="FFFFFF"/>
          <w:lang w:val="en-US" w:eastAsia="zh-CN"/>
        </w:rPr>
        <w:t>,</w:t>
      </w:r>
      <w:r>
        <w:rPr>
          <w:rFonts w:hint="eastAsia" w:ascii="宋体" w:hAnsi="宋体" w:eastAsia="宋体" w:cs="宋体"/>
          <w:color w:val="auto"/>
          <w:sz w:val="24"/>
          <w:szCs w:val="24"/>
          <w:shd w:val="clear" w:fill="FFFFFF"/>
        </w:rPr>
        <w:t>本</w:t>
      </w:r>
      <w:r>
        <w:rPr>
          <w:rFonts w:hint="eastAsia" w:ascii="宋体" w:hAnsi="宋体" w:eastAsia="宋体" w:cs="宋体"/>
          <w:color w:val="0C0C0C"/>
          <w:sz w:val="24"/>
          <w:szCs w:val="24"/>
          <w:shd w:val="clear" w:fill="FFFFFF"/>
        </w:rPr>
        <w:t>项目已办理进口产品审批手续</w:t>
      </w:r>
      <w:r>
        <w:rPr>
          <w:rFonts w:hint="eastAsia" w:ascii="宋体" w:hAnsi="宋体" w:cs="宋体"/>
          <w:color w:val="0C0C0C"/>
          <w:sz w:val="24"/>
          <w:szCs w:val="24"/>
          <w:shd w:val="clear" w:fill="FFFFFF"/>
          <w:lang w:eastAsia="zh-CN"/>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sz w:val="24"/>
          <w:szCs w:val="24"/>
          <w:u w:val="none"/>
          <w:lang w:eastAsia="zh-CN"/>
        </w:rPr>
        <w:t>合同签定后</w:t>
      </w:r>
      <w:r>
        <w:rPr>
          <w:rFonts w:hint="eastAsia" w:ascii="宋体" w:hAnsi="宋体" w:cs="宋体"/>
          <w:sz w:val="24"/>
          <w:szCs w:val="24"/>
          <w:u w:val="none"/>
          <w:lang w:val="en-US" w:eastAsia="zh-CN"/>
        </w:rPr>
        <w:t>30</w:t>
      </w:r>
      <w:r>
        <w:rPr>
          <w:rFonts w:hint="eastAsia" w:ascii="宋体" w:hAnsi="宋体" w:eastAsia="宋体" w:cs="宋体"/>
          <w:sz w:val="24"/>
          <w:szCs w:val="24"/>
          <w:u w:val="none"/>
          <w:lang w:val="en-US" w:eastAsia="zh-CN"/>
        </w:rPr>
        <w:t>个工作日内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二、申请人的资格要求：</w:t>
      </w:r>
      <w:bookmarkStart w:id="274" w:name="_GoBack"/>
      <w:bookmarkEnd w:id="274"/>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3、特定条件：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4、本项目不接受联合体形式的投标。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三、获取招标文件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w:t>
      </w:r>
      <w:r>
        <w:rPr>
          <w:rFonts w:hint="eastAsia" w:ascii="宋体" w:hAnsi="宋体" w:cs="宋体"/>
          <w:color w:val="auto"/>
          <w:sz w:val="24"/>
          <w:szCs w:val="24"/>
          <w:u w:val="single"/>
          <w:shd w:val="clear" w:fill="FFFFFF"/>
          <w:lang w:val="en-US" w:eastAsia="zh-CN"/>
        </w:rPr>
        <w:t>1</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4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26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w:t>
      </w:r>
      <w:r>
        <w:rPr>
          <w:rFonts w:hint="eastAsia" w:ascii="宋体" w:hAnsi="宋体" w:cs="宋体"/>
          <w:color w:val="auto"/>
          <w:sz w:val="24"/>
          <w:szCs w:val="24"/>
          <w:u w:val="single"/>
          <w:shd w:val="clear" w:fill="FFFFFF"/>
          <w:lang w:val="en-US" w:eastAsia="zh-CN"/>
        </w:rPr>
        <w:t>1</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5</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6</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日17:30(北京时间)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2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5"/>
          <w:rFonts w:hint="eastAsia" w:ascii="宋体" w:hAnsi="宋体" w:eastAsia="宋体" w:cs="宋体"/>
          <w:color w:val="auto"/>
          <w:sz w:val="24"/>
          <w:szCs w:val="24"/>
          <w:shd w:val="clear" w:fill="FFFFFF"/>
        </w:rPr>
      </w:pPr>
      <w:r>
        <w:rPr>
          <w:rStyle w:val="25"/>
          <w:rFonts w:hint="eastAsia" w:ascii="宋体" w:hAnsi="宋体" w:eastAsia="宋体" w:cs="宋体"/>
          <w:color w:val="auto"/>
          <w:sz w:val="24"/>
          <w:szCs w:val="24"/>
          <w:shd w:val="clear" w:fill="FFFFFF"/>
        </w:rPr>
        <w:t>提交投标文件截止时间、开标时间和地点</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w:t>
      </w:r>
      <w:r>
        <w:rPr>
          <w:rFonts w:hint="eastAsia" w:ascii="宋体" w:hAnsi="宋体" w:cs="宋体"/>
          <w:color w:val="auto"/>
          <w:sz w:val="24"/>
          <w:szCs w:val="24"/>
          <w:u w:val="single"/>
          <w:shd w:val="clear" w:fill="FFFFFF"/>
          <w:lang w:val="en-US" w:eastAsia="zh-CN"/>
        </w:rPr>
        <w:t>1</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5</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18</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r>
        <w:rPr>
          <w:rFonts w:hint="eastAsia" w:ascii="宋体" w:hAnsi="宋体" w:cs="宋体"/>
          <w:color w:val="auto"/>
          <w:sz w:val="24"/>
          <w:szCs w:val="24"/>
          <w:u w:val="single"/>
          <w:shd w:val="clear" w:fill="FFFFFF"/>
          <w:lang w:val="en-US" w:eastAsia="zh-CN"/>
        </w:rPr>
        <w:t xml:space="preserve"> 09</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00分</w:t>
      </w:r>
      <w:r>
        <w:rPr>
          <w:rFonts w:hint="eastAsia" w:ascii="宋体" w:hAnsi="宋体" w:eastAsia="宋体" w:cs="宋体"/>
          <w:color w:val="auto"/>
          <w:sz w:val="24"/>
          <w:szCs w:val="24"/>
          <w:shd w:val="clear" w:fill="FFFFFF"/>
        </w:rPr>
        <w:t>（</w:t>
      </w:r>
      <w:r>
        <w:rPr>
          <w:rFonts w:hint="eastAsia" w:ascii="宋体" w:hAnsi="宋体" w:cs="宋体"/>
          <w:color w:val="auto"/>
          <w:sz w:val="24"/>
          <w:szCs w:val="24"/>
          <w:u w:val="single"/>
          <w:shd w:val="clear" w:fill="FFFFFF"/>
          <w:lang w:val="en-US" w:eastAsia="zh-CN"/>
        </w:rPr>
        <w:t xml:space="preserve"> 08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0分开始接收投标文件，拒收逾期送达或者未按招标文件要求密封的投标文件）</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二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五、公告期限</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六、其他补充事宜</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七、对本次招标提出询问，请按以下方式联系。</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1.采购人信息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eastAsia="宋体" w:cs="宋体"/>
          <w:b/>
          <w:color w:val="000000"/>
          <w:sz w:val="24"/>
          <w:szCs w:val="24"/>
          <w:u w:val="single"/>
          <w:lang w:eastAsia="zh-CN"/>
        </w:rPr>
        <w:t>阳新县人民医院</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地   址：</w:t>
      </w:r>
      <w:r>
        <w:rPr>
          <w:rFonts w:hint="eastAsia" w:ascii="宋体" w:hAnsi="宋体" w:eastAsia="宋体" w:cs="宋体"/>
          <w:b/>
          <w:bCs/>
          <w:kern w:val="0"/>
          <w:sz w:val="24"/>
          <w:u w:val="single"/>
          <w:lang w:eastAsia="zh-CN"/>
        </w:rPr>
        <w:t>阳新县兴国镇儒学垴路</w:t>
      </w:r>
      <w:r>
        <w:rPr>
          <w:rFonts w:hint="eastAsia" w:ascii="宋体" w:hAnsi="宋体" w:eastAsia="宋体" w:cs="宋体"/>
          <w:b/>
          <w:bCs/>
          <w:kern w:val="0"/>
          <w:sz w:val="24"/>
          <w:u w:val="single"/>
          <w:lang w:val="en-US" w:eastAsia="zh-CN"/>
        </w:rPr>
        <w:t>81</w:t>
      </w:r>
      <w:r>
        <w:rPr>
          <w:rFonts w:hint="eastAsia" w:ascii="宋体" w:hAnsi="宋体" w:eastAsia="宋体" w:cs="宋体"/>
          <w:b/>
          <w:bCs/>
          <w:kern w:val="0"/>
          <w:sz w:val="24"/>
          <w:u w:val="single"/>
          <w:lang w:eastAsia="zh-CN"/>
        </w:rPr>
        <w:t>号</w:t>
      </w:r>
    </w:p>
    <w:p>
      <w:pPr>
        <w:pStyle w:val="20"/>
        <w:keepNext w:val="0"/>
        <w:keepLines w:val="0"/>
        <w:widowControl/>
        <w:suppressLineNumbers w:val="0"/>
        <w:spacing w:before="0" w:beforeAutospacing="0" w:after="0" w:afterAutospacing="0" w:line="360" w:lineRule="auto"/>
        <w:ind w:left="0" w:right="0" w:firstLine="480"/>
        <w:rPr>
          <w:rFonts w:hint="default" w:eastAsia="宋体"/>
          <w:color w:val="auto"/>
          <w:lang w:val="en-US" w:eastAsia="zh-CN"/>
        </w:rPr>
      </w:pPr>
      <w:r>
        <w:rPr>
          <w:rFonts w:hint="eastAsia" w:ascii="宋体" w:hAnsi="宋体" w:eastAsia="宋体" w:cs="宋体"/>
          <w:color w:val="auto"/>
          <w:sz w:val="24"/>
          <w:szCs w:val="24"/>
          <w:shd w:val="clear" w:fill="FFFFFF"/>
        </w:rPr>
        <w:t>联系方式：</w:t>
      </w:r>
      <w:r>
        <w:rPr>
          <w:rFonts w:hint="eastAsia" w:ascii="宋体" w:hAnsi="宋体" w:cs="宋体"/>
          <w:b/>
          <w:bCs w:val="0"/>
          <w:color w:val="000000"/>
          <w:kern w:val="0"/>
          <w:sz w:val="24"/>
          <w:szCs w:val="24"/>
          <w:u w:val="single"/>
          <w:lang w:val="en-US" w:eastAsia="zh-CN"/>
        </w:rPr>
        <w:t>13669042989</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2.采购代理机构信息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cs="宋体"/>
          <w:b/>
          <w:color w:val="000000"/>
          <w:sz w:val="24"/>
          <w:szCs w:val="24"/>
          <w:u w:val="single"/>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地   址：</w:t>
      </w:r>
      <w:r>
        <w:rPr>
          <w:rFonts w:hint="eastAsia" w:ascii="宋体" w:hAnsi="宋体" w:cs="宋体"/>
          <w:b/>
          <w:color w:val="000000"/>
          <w:sz w:val="24"/>
          <w:szCs w:val="24"/>
          <w:u w:val="single"/>
          <w:lang w:eastAsia="zh-CN"/>
        </w:rPr>
        <w:t>阳新县兴国镇惠美家超市后面青山小区</w:t>
      </w:r>
      <w:r>
        <w:rPr>
          <w:rFonts w:hint="eastAsia" w:ascii="宋体" w:hAnsi="宋体" w:cs="宋体"/>
          <w:b/>
          <w:color w:val="000000"/>
          <w:sz w:val="24"/>
          <w:szCs w:val="24"/>
          <w:u w:val="single"/>
          <w:lang w:val="en-US" w:eastAsia="zh-CN"/>
        </w:rPr>
        <w:t>1号楼402室</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联系方式：</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3.项目联系方式</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项目联系人：</w:t>
      </w:r>
      <w:r>
        <w:rPr>
          <w:rFonts w:hint="eastAsia" w:ascii="宋体" w:hAnsi="宋体" w:cs="宋体"/>
          <w:b/>
          <w:bCs/>
          <w:color w:val="auto"/>
          <w:sz w:val="24"/>
          <w:szCs w:val="24"/>
          <w:u w:val="single"/>
          <w:shd w:val="clear" w:fill="FFFFFF"/>
          <w:lang w:eastAsia="zh-CN"/>
        </w:rPr>
        <w:t>姚锦花</w:t>
      </w: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电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 xml:space="preserve"> 话：</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jc w:val="right"/>
        <w:rPr>
          <w:rFonts w:hint="eastAsia" w:eastAsiaTheme="minorEastAsia"/>
          <w:color w:val="auto"/>
          <w:lang w:eastAsia="zh-CN"/>
        </w:rPr>
      </w:pPr>
      <w:r>
        <w:rPr>
          <w:rFonts w:hint="eastAsia" w:ascii="宋体" w:hAnsi="宋体" w:cs="宋体"/>
          <w:color w:val="auto"/>
          <w:sz w:val="24"/>
          <w:szCs w:val="24"/>
          <w:shd w:val="clear" w:fill="FFFFFF"/>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jc w:val="right"/>
      </w:pPr>
      <w:r>
        <w:rPr>
          <w:rFonts w:hint="eastAsia" w:ascii="宋体" w:hAnsi="宋体" w:eastAsia="宋体" w:cs="宋体"/>
          <w:color w:val="auto"/>
          <w:sz w:val="24"/>
          <w:szCs w:val="24"/>
          <w:u w:val="single"/>
          <w:shd w:val="clear" w:fill="FFFFFF"/>
        </w:rPr>
        <w:t>202</w:t>
      </w:r>
      <w:r>
        <w:rPr>
          <w:rFonts w:hint="eastAsia" w:ascii="宋体" w:hAnsi="宋体" w:cs="宋体"/>
          <w:color w:val="auto"/>
          <w:sz w:val="24"/>
          <w:szCs w:val="24"/>
          <w:u w:val="single"/>
          <w:shd w:val="clear" w:fill="FFFFFF"/>
          <w:lang w:val="en-US" w:eastAsia="zh-CN"/>
        </w:rPr>
        <w:t>1</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4</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cs="宋体"/>
          <w:color w:val="auto"/>
          <w:sz w:val="24"/>
          <w:szCs w:val="24"/>
          <w:u w:val="single"/>
          <w:shd w:val="clear" w:fill="FFFFFF"/>
          <w:lang w:val="en-US" w:eastAsia="zh-CN"/>
        </w:rPr>
        <w:t xml:space="preserve"> 26</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p>
    <w:p>
      <w:pPr>
        <w:pStyle w:val="3"/>
        <w:numPr>
          <w:ilvl w:val="0"/>
          <w:numId w:val="1"/>
        </w:numPr>
        <w:spacing w:before="240" w:after="120"/>
        <w:ind w:left="883" w:hanging="880" w:hangingChars="200"/>
        <w:jc w:val="center"/>
        <w:rPr>
          <w:rFonts w:ascii="黑体" w:hAnsi="黑体" w:eastAsia="黑体"/>
          <w:highlight w:val="none"/>
        </w:rPr>
      </w:pPr>
      <w:r>
        <w:rPr>
          <w:rFonts w:hint="eastAsia" w:ascii="黑体" w:hAnsi="黑体" w:eastAsia="黑体"/>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2" w:name="_Toc495861519"/>
      <w:bookmarkStart w:id="3" w:name="_Toc494561937"/>
      <w:r>
        <w:rPr>
          <w:rFonts w:cs="Times New Roman" w:asciiTheme="majorEastAsia" w:hAnsiTheme="majorEastAsia" w:eastAsiaTheme="majorEastAsia"/>
          <w:b/>
          <w:bCs/>
          <w:sz w:val="32"/>
          <w:szCs w:val="32"/>
          <w:highlight w:val="none"/>
          <w:lang w:val="zh-CN"/>
        </w:rPr>
        <w:t>投标须知前附表</w:t>
      </w:r>
      <w:bookmarkEnd w:id="2"/>
      <w:bookmarkEnd w:id="3"/>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 xml:space="preserve">131-2021CG- 76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阳新县人民医院城东新院区医疗设备采购项目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宋体" w:hAnsi="宋体" w:eastAsia="宋体" w:cs="宋体"/>
                <w:bCs/>
                <w:color w:val="auto"/>
                <w:kern w:val="0"/>
                <w:sz w:val="24"/>
                <w:szCs w:val="24"/>
                <w:highlight w:val="none"/>
                <w:u w:val="non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保证金</w:t>
            </w:r>
            <w:r>
              <w:rPr>
                <w:rFonts w:hint="eastAsia" w:ascii="Times New Roman" w:hAnsi="宋体" w:eastAsia="宋体" w:cs="Times New Roman"/>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正本</w:t>
            </w:r>
            <w:r>
              <w:rPr>
                <w:rFonts w:hint="eastAsia" w:ascii="Times New Roman" w:hAnsi="Times New Roman" w:eastAsia="宋体" w:cs="Times New Roman"/>
                <w:color w:val="0D0D0D"/>
                <w:sz w:val="24"/>
                <w:szCs w:val="24"/>
                <w:highlight w:val="none"/>
              </w:rPr>
              <w:t>一</w:t>
            </w:r>
            <w:r>
              <w:rPr>
                <w:rFonts w:ascii="Times New Roman" w:hAnsi="Times New Roman" w:eastAsia="宋体" w:cs="Times New Roman"/>
                <w:color w:val="0D0D0D"/>
                <w:sz w:val="24"/>
                <w:szCs w:val="24"/>
                <w:highlight w:val="none"/>
              </w:rPr>
              <w:t>份</w:t>
            </w:r>
            <w:r>
              <w:rPr>
                <w:rFonts w:hint="eastAsia" w:ascii="Times New Roman" w:hAnsi="Times New Roman" w:eastAsia="宋体" w:cs="Times New Roman"/>
                <w:color w:val="0D0D0D"/>
                <w:sz w:val="24"/>
                <w:szCs w:val="24"/>
                <w:highlight w:val="none"/>
              </w:rPr>
              <w:t>，</w:t>
            </w:r>
            <w:r>
              <w:rPr>
                <w:rFonts w:ascii="Times New Roman" w:hAnsi="Times New Roman" w:eastAsia="宋体" w:cs="Times New Roman"/>
                <w:color w:val="0D0D0D"/>
                <w:sz w:val="24"/>
                <w:szCs w:val="24"/>
                <w:highlight w:val="none"/>
              </w:rPr>
              <w:t>副本</w:t>
            </w:r>
            <w:r>
              <w:rPr>
                <w:rFonts w:hint="eastAsia" w:ascii="Times New Roman" w:hAnsi="Times New Roman" w:eastAsia="宋体" w:cs="Times New Roman"/>
                <w:color w:val="0D0D0D"/>
                <w:sz w:val="24"/>
                <w:szCs w:val="24"/>
                <w:highlight w:val="none"/>
                <w:lang w:eastAsia="zh-CN"/>
              </w:rPr>
              <w:t>四</w:t>
            </w:r>
            <w:r>
              <w:rPr>
                <w:rFonts w:ascii="Times New Roman" w:hAnsi="Times New Roman" w:eastAsia="宋体" w:cs="Times New Roman"/>
                <w:color w:val="0D0D0D"/>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宋体" w:hAnsi="宋体" w:eastAsia="宋体" w:cs="宋体"/>
                <w:color w:val="0D0D0D"/>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FF0000"/>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不提交</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color w:val="000000"/>
                <w:sz w:val="24"/>
                <w:szCs w:val="24"/>
                <w:highlight w:val="none"/>
              </w:rPr>
              <w:t>现</w:t>
            </w:r>
            <w:r>
              <w:rPr>
                <w:rFonts w:hint="eastAsia" w:ascii="宋体" w:hAnsi="宋体" w:eastAsia="宋体" w:cs="宋体"/>
                <w:sz w:val="24"/>
                <w:szCs w:val="24"/>
                <w:highlight w:val="none"/>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不组织</w:t>
            </w:r>
          </w:p>
          <w:p>
            <w:pPr>
              <w:ind w:right="-105" w:rightChars="-50"/>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综合评分法</w:t>
            </w:r>
          </w:p>
          <w:p>
            <w:pPr>
              <w:rPr>
                <w:rFonts w:ascii="Times New Roman" w:hAnsi="Times New Roman" w:eastAsia="宋体" w:cs="Times New Roman"/>
                <w:color w:val="0D0D0D"/>
                <w:sz w:val="24"/>
                <w:szCs w:val="24"/>
                <w:highlight w:val="none"/>
                <w:lang w:val="zh-CN"/>
              </w:rPr>
            </w:pPr>
            <w:r>
              <w:rPr>
                <w:rFonts w:hint="eastAsia" w:ascii="Times New Roman" w:hAnsi="Times New Roman" w:eastAsia="宋体" w:cs="Times New Roman"/>
                <w:color w:val="0D0D0D"/>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highlight w:val="none"/>
              </w:rPr>
            </w:pPr>
            <w:r>
              <w:rPr>
                <w:rFonts w:hint="eastAsia" w:cs="Times New Roman" w:asciiTheme="minorEastAsia" w:hAnsiTheme="minorEastAsia"/>
                <w:color w:val="0D0D0D"/>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4" w:name="_Toc494561938"/>
      <w:r>
        <w:rPr>
          <w:rFonts w:ascii="黑体" w:hAnsi="黑体" w:eastAsia="黑体" w:cs="Times New Roman"/>
          <w:b/>
          <w:bCs/>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广州穗科建设管理有限公司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sz w:val="24"/>
          <w:szCs w:val="24"/>
        </w:rPr>
      </w:pPr>
      <w:r>
        <w:rPr>
          <w:rFonts w:hint="eastAsia" w:ascii="宋体" w:hAnsi="宋体"/>
          <w:sz w:val="24"/>
          <w:szCs w:val="24"/>
        </w:rPr>
        <w:t>采购代理服务费</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r>
        <w:rPr>
          <w:rFonts w:hint="eastAsia" w:ascii="宋体" w:hAnsi="宋体"/>
          <w:b/>
          <w:sz w:val="24"/>
          <w:szCs w:val="24"/>
          <w:lang w:val="en-US" w:eastAsia="zh-CN"/>
        </w:rPr>
        <w:t>4.2.1</w:t>
      </w:r>
      <w:r>
        <w:rPr>
          <w:rFonts w:hint="eastAsia" w:ascii="宋体" w:hAnsi="宋体"/>
          <w:b/>
          <w:sz w:val="24"/>
          <w:szCs w:val="24"/>
        </w:rPr>
        <w:t>经过采购代理机构与采购人协议，规定由中标单位支付。采购代理服务费收费标准如下：</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0288;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Gc6zR&#10;AAAACQEAAA8AAAAAAAAAAQAgAAAAIgAAAGRycy9kb3ducmV2LnhtbFBLAQIUABQAAAAIAIdO4kC2&#10;DvWT7gEAAPMDAAAOAAAAAAAAAAEAIAAAACA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uAobV&#10;AAAACAEAAA8AAAAAAAAAAQAgAAAAIgAAAGRycy9kb3ducmV2LnhtbFBLAQIUABQAAAAIAIdO4kB8&#10;jt2F6gEAAPMDAAAOAAAAAAAAAAEAIAAAACQ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8</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sz w:val="24"/>
          <w:szCs w:val="24"/>
        </w:rPr>
      </w:pPr>
      <w:r>
        <w:rPr>
          <w:rFonts w:hint="eastAsia" w:ascii="宋体" w:hAnsi="宋体"/>
          <w:b/>
          <w:sz w:val="24"/>
          <w:szCs w:val="24"/>
          <w:lang w:val="en-US" w:eastAsia="zh-CN"/>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494561939"/>
      <w:bookmarkStart w:id="9" w:name="_Toc272247695"/>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495861522"/>
      <w:bookmarkStart w:id="12" w:name="_Toc272247696"/>
      <w:bookmarkStart w:id="13" w:name="_Toc278891593"/>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color w:val="FF0000"/>
          <w:sz w:val="24"/>
          <w:szCs w:val="24"/>
          <w:lang w:val="zh-CN"/>
        </w:rPr>
      </w:pPr>
      <w:r>
        <w:rPr>
          <w:rFonts w:hint="eastAsia" w:cs="Times New Roman" w:asciiTheme="minorEastAsia" w:hAnsiTheme="minorEastAsia"/>
          <w:b w:val="0"/>
          <w:bCs w:val="0"/>
          <w:color w:val="auto"/>
          <w:sz w:val="24"/>
          <w:szCs w:val="24"/>
          <w:lang w:val="zh-CN"/>
        </w:rPr>
        <w:t>招标文件如有分包要求，投标人对招标文件中多个包进行投标的，其投标文件的编制应按每包要求分别装订和封装，并注明对应包号。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en-US" w:eastAsia="zh-CN"/>
        </w:rPr>
        <w:t xml:space="preserve"> </w:t>
      </w:r>
      <w:r>
        <w:rPr>
          <w:rFonts w:hint="eastAsia" w:cs="Times New Roman"/>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cs="Times New Roman"/>
          <w:b/>
          <w:color w:val="FF0000"/>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FF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FF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20.1</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投标人应将投标文件第一部分资格证明文件、第二部分商务文件、第三部分技术、服</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务文件</w:t>
      </w:r>
      <w:r>
        <w:rPr>
          <w:rFonts w:hint="eastAsia" w:ascii="宋体" w:hAnsi="宋体" w:cs="Times New Roman"/>
          <w:b/>
          <w:color w:val="auto"/>
          <w:sz w:val="24"/>
          <w:szCs w:val="20"/>
          <w:lang w:val="zh-CN"/>
        </w:rPr>
        <w:t>一起合并装订成一本投标文件，一起封装。</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20.2</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w:t>
      </w:r>
      <w:r>
        <w:rPr>
          <w:rFonts w:hint="eastAsia" w:ascii="宋体" w:hAnsi="宋体" w:cs="Times New Roman"/>
          <w:b/>
          <w:color w:val="auto"/>
          <w:sz w:val="24"/>
          <w:szCs w:val="20"/>
          <w:lang w:val="zh-CN"/>
        </w:rPr>
        <w:t>正本和副本</w:t>
      </w:r>
      <w:r>
        <w:rPr>
          <w:rFonts w:hint="eastAsia" w:ascii="宋体" w:hAnsi="宋体" w:cs="Times New Roman"/>
          <w:color w:val="auto"/>
          <w:sz w:val="24"/>
          <w:szCs w:val="20"/>
          <w:lang w:val="zh-CN"/>
        </w:rPr>
        <w:t>分开密封装在单独的封包中，并在封包上标明“正</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本”、“副本”字样。</w:t>
      </w:r>
    </w:p>
    <w:p>
      <w:pPr>
        <w:spacing w:line="360" w:lineRule="auto"/>
        <w:ind w:left="720" w:hanging="720" w:hangingChars="300"/>
        <w:rPr>
          <w:rFonts w:ascii="宋体" w:hAnsi="宋体" w:cs="Times New Roman"/>
          <w:color w:val="auto"/>
          <w:sz w:val="24"/>
          <w:szCs w:val="20"/>
          <w:lang w:val="zh-CN"/>
        </w:rPr>
      </w:pPr>
      <w:r>
        <w:rPr>
          <w:rFonts w:ascii="宋体" w:hAnsi="宋体" w:cs="Times New Roman"/>
          <w:color w:val="auto"/>
          <w:sz w:val="24"/>
          <w:szCs w:val="20"/>
        </w:rPr>
        <w:t>20.3</w:t>
      </w:r>
      <w:r>
        <w:rPr>
          <w:rFonts w:hint="eastAsia" w:ascii="宋体" w:hAnsi="宋体" w:cs="Times New Roman" w:eastAsiaTheme="minorEastAsia"/>
          <w:color w:val="auto"/>
          <w:spacing w:val="-6"/>
          <w:sz w:val="24"/>
          <w:szCs w:val="20"/>
          <w:lang w:val="zh-CN"/>
        </w:rPr>
        <w:t>如果未按要求加写密封、标记或存在错误，采购代理机构对其误投或提前启封概不负责。</w:t>
      </w:r>
    </w:p>
    <w:p>
      <w:pPr>
        <w:spacing w:line="360" w:lineRule="auto"/>
        <w:ind w:left="720" w:hanging="720" w:hangingChars="300"/>
        <w:rPr>
          <w:rFonts w:hint="eastAsia"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0.4</w:t>
      </w:r>
      <w:r>
        <w:rPr>
          <w:rFonts w:hint="eastAsia" w:ascii="宋体" w:hAnsi="宋体" w:cs="Times New Roman"/>
          <w:color w:val="auto"/>
          <w:sz w:val="24"/>
          <w:szCs w:val="20"/>
        </w:rPr>
        <w:t>为方便开标时唱标，投标人应将《开标一览表》原件一份</w:t>
      </w:r>
      <w:r>
        <w:rPr>
          <w:rFonts w:hint="eastAsia" w:ascii="宋体" w:hAnsi="宋体" w:cs="Times New Roman"/>
          <w:color w:val="auto"/>
          <w:spacing w:val="-6"/>
          <w:kern w:val="0"/>
          <w:sz w:val="24"/>
          <w:szCs w:val="20"/>
        </w:rPr>
        <w:t>装入一个信封，单独密封提交</w:t>
      </w:r>
      <w:r>
        <w:rPr>
          <w:rFonts w:hint="eastAsia" w:ascii="宋体" w:hAnsi="宋体" w:cs="Times New Roman"/>
          <w:color w:val="auto"/>
          <w:sz w:val="24"/>
          <w:szCs w:val="20"/>
        </w:rPr>
        <w:t>，</w:t>
      </w:r>
    </w:p>
    <w:p>
      <w:pPr>
        <w:spacing w:line="360" w:lineRule="auto"/>
        <w:ind w:left="718" w:leftChars="342" w:firstLine="0" w:firstLineChars="0"/>
        <w:rPr>
          <w:rFonts w:ascii="宋体" w:hAnsi="宋体" w:cs="Times New Roman"/>
          <w:b/>
          <w:color w:val="auto"/>
          <w:sz w:val="24"/>
          <w:szCs w:val="20"/>
        </w:rPr>
      </w:pPr>
      <w:r>
        <w:rPr>
          <w:rFonts w:hint="eastAsia" w:ascii="宋体" w:hAnsi="宋体" w:cs="Times New Roman"/>
          <w:color w:val="auto"/>
          <w:sz w:val="24"/>
          <w:szCs w:val="20"/>
        </w:rPr>
        <w:t>并在信封上注明“开标一览表”字样。未单独提交或单独提交的上述资料未按照招标文件规定的格式填写完整并签字、盖章的采购代理机构</w:t>
      </w:r>
      <w:r>
        <w:rPr>
          <w:rFonts w:hint="eastAsia" w:ascii="宋体" w:hAnsi="宋体" w:cs="Times New Roman"/>
          <w:b/>
          <w:color w:val="auto"/>
          <w:sz w:val="24"/>
          <w:szCs w:val="20"/>
        </w:rPr>
        <w:t>拒绝</w:t>
      </w:r>
      <w:r>
        <w:rPr>
          <w:rFonts w:hint="eastAsia" w:ascii="宋体" w:hAnsi="宋体" w:cs="Times New Roman"/>
          <w:color w:val="auto"/>
          <w:sz w:val="24"/>
          <w:szCs w:val="20"/>
        </w:rPr>
        <w:t>其投标。</w:t>
      </w:r>
    </w:p>
    <w:p>
      <w:pPr>
        <w:spacing w:line="360" w:lineRule="auto"/>
        <w:ind w:left="720" w:hanging="720" w:hangingChars="300"/>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0.5</w:t>
      </w:r>
      <w:r>
        <w:rPr>
          <w:rFonts w:hint="eastAsia" w:ascii="宋体" w:hAnsi="宋体" w:cs="Times New Roman"/>
          <w:color w:val="auto"/>
          <w:sz w:val="24"/>
          <w:szCs w:val="20"/>
        </w:rPr>
        <w:t>“开标一览表”信封和投标文件各部分的封包上还应注明采购项目编号、项目名称、</w:t>
      </w:r>
      <w:r>
        <w:rPr>
          <w:rFonts w:hint="eastAsia" w:ascii="宋体" w:hAnsi="宋体" w:cs="Times New Roman"/>
          <w:color w:val="auto"/>
          <w:sz w:val="24"/>
          <w:szCs w:val="20"/>
          <w:lang w:eastAsia="zh-CN"/>
        </w:rPr>
        <w:t>包号、</w:t>
      </w:r>
      <w:r>
        <w:rPr>
          <w:rFonts w:hint="eastAsia" w:ascii="宋体" w:hAnsi="宋体" w:cs="Times New Roman"/>
          <w:color w:val="auto"/>
          <w:sz w:val="24"/>
          <w:szCs w:val="20"/>
        </w:rPr>
        <w:t>投标内容和有“在（招标文件中规定的开标日期和时间）之前不得启封”的字样，封口处加盖投标人公章。</w:t>
      </w:r>
    </w:p>
    <w:p>
      <w:pPr>
        <w:spacing w:line="360" w:lineRule="auto"/>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0.6</w:t>
      </w:r>
      <w:r>
        <w:rPr>
          <w:rFonts w:hint="eastAsia" w:ascii="宋体" w:hAnsi="宋体" w:cs="Times New Roman"/>
          <w:color w:val="auto"/>
          <w:sz w:val="24"/>
          <w:szCs w:val="20"/>
        </w:rPr>
        <w:t>未按要求密封、标记或存在错误，采购代理机构对其误投或提前启封概不负责。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auto"/>
          <w:kern w:val="0"/>
          <w:sz w:val="24"/>
          <w:szCs w:val="24"/>
          <w:lang w:val="zh-CN"/>
        </w:rPr>
        <w:t>采购代理机构规定的投标地点。</w:t>
      </w:r>
    </w:p>
    <w:p>
      <w:pPr>
        <w:numPr>
          <w:ilvl w:val="0"/>
          <w:numId w:val="21"/>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w:t>
      </w:r>
      <w:r>
        <w:rPr>
          <w:rFonts w:ascii="Helvetica" w:hAnsi="Helvetica" w:eastAsia="宋体" w:cs="Helvetica"/>
          <w:kern w:val="0"/>
          <w:sz w:val="24"/>
          <w:szCs w:val="24"/>
          <w:lang w:val="zh-CN"/>
        </w:rPr>
        <w:t>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8891595"/>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w:t>
      </w:r>
      <w:r>
        <w:rPr>
          <w:rFonts w:hint="eastAsia" w:ascii="宋体" w:hAnsi="宋体" w:eastAsia="宋体" w:cs="Times New Roman"/>
          <w:b/>
          <w:bCs/>
          <w:sz w:val="24"/>
          <w:szCs w:val="20"/>
          <w:lang w:val="zh-CN"/>
        </w:rPr>
        <w:t>身份证明（</w:t>
      </w:r>
      <w:r>
        <w:rPr>
          <w:rFonts w:hint="eastAsia" w:ascii="宋体" w:hAnsi="宋体" w:eastAsia="宋体" w:cs="Times New Roman"/>
          <w:b/>
          <w:bCs/>
          <w:color w:val="FF0000"/>
          <w:sz w:val="24"/>
          <w:szCs w:val="20"/>
          <w:u w:val="none"/>
          <w:lang w:val="zh-CN"/>
        </w:rPr>
        <w:t>法人身份证明书或法人授权委托书及有效身份证</w:t>
      </w:r>
      <w:r>
        <w:rPr>
          <w:rFonts w:hint="eastAsia" w:ascii="宋体" w:hAnsi="宋体" w:eastAsia="宋体" w:cs="Times New Roman"/>
          <w:b/>
          <w:bCs/>
          <w:sz w:val="24"/>
          <w:szCs w:val="20"/>
          <w:lang w:val="zh-CN"/>
        </w:rPr>
        <w:t>）</w:t>
      </w:r>
      <w:r>
        <w:rPr>
          <w:rFonts w:hint="eastAsia" w:ascii="宋体" w:hAnsi="宋体" w:eastAsia="宋体" w:cs="Times New Roman"/>
          <w:sz w:val="24"/>
          <w:szCs w:val="20"/>
          <w:lang w:val="zh-CN"/>
        </w:rPr>
        <w:t>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sz w:val="24"/>
          <w:szCs w:val="20"/>
          <w:lang w:val="zh-CN"/>
        </w:rPr>
        <w:t>开标时，由投标人或其推选的代表检查投标文件的密封情况，经确</w:t>
      </w:r>
      <w:r>
        <w:rPr>
          <w:rFonts w:hint="eastAsia" w:ascii="宋体" w:hAnsi="宋体" w:eastAsia="宋体" w:cs="Times New Roman"/>
          <w:color w:val="auto"/>
          <w:sz w:val="24"/>
          <w:szCs w:val="20"/>
          <w:lang w:val="zh-CN"/>
        </w:rPr>
        <w:t>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w:t>
      </w:r>
      <w:r>
        <w:rPr>
          <w:rFonts w:ascii="宋体" w:hAnsi="宋体" w:eastAsia="宋体" w:cs="Times New Roman"/>
          <w:sz w:val="24"/>
          <w:szCs w:val="20"/>
          <w:lang w:val="zh-CN"/>
        </w:rPr>
        <w:t>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sz w:val="24"/>
          <w:szCs w:val="20"/>
          <w:lang w:val="zh-CN"/>
        </w:rPr>
        <w:t>投标人代表对开标过程和开标记录有疑义，</w:t>
      </w:r>
      <w:r>
        <w:rPr>
          <w:rFonts w:ascii="宋体" w:hAnsi="宋体" w:eastAsia="宋体" w:cs="Times New Roman"/>
          <w:color w:val="auto"/>
          <w:sz w:val="24"/>
          <w:szCs w:val="20"/>
          <w:lang w:val="zh-CN"/>
        </w:rPr>
        <w:t>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w:t>
      </w:r>
      <w:r>
        <w:rPr>
          <w:rFonts w:hint="eastAsia" w:cs="Helvetica" w:asciiTheme="minorEastAsia" w:hAnsiTheme="minorEastAsia"/>
          <w:color w:val="auto"/>
          <w:kern w:val="0"/>
          <w:sz w:val="24"/>
          <w:szCs w:val="24"/>
          <w:lang w:val="zh-CN"/>
        </w:rPr>
        <w:t>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w:t>
      </w:r>
      <w:r>
        <w:rPr>
          <w:rFonts w:hint="eastAsia" w:cs="Helvetica" w:asciiTheme="minorEastAsia" w:hAnsiTheme="minorEastAsia"/>
          <w:kern w:val="0"/>
          <w:sz w:val="24"/>
          <w:szCs w:val="24"/>
          <w:lang w:val="zh-CN"/>
        </w:rPr>
        <w:t>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w:t>
      </w:r>
      <w:r>
        <w:rPr>
          <w:rFonts w:hint="eastAsia" w:ascii="宋体" w:hAnsi="宋体" w:eastAsia="宋体" w:cs="Times New Roman"/>
          <w:color w:val="auto"/>
          <w:sz w:val="24"/>
          <w:szCs w:val="20"/>
          <w:lang w:val="zh-CN"/>
        </w:rPr>
        <w:t>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auto"/>
          <w:sz w:val="24"/>
          <w:szCs w:val="20"/>
          <w:lang w:val="zh-CN"/>
        </w:rPr>
        <w:t>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8891598"/>
      <w:bookmarkStart w:id="34" w:name="_Toc272247701"/>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495861531"/>
      <w:bookmarkStart w:id="38" w:name="_Toc27224770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w:t>
      </w:r>
      <w:r>
        <w:rPr>
          <w:rFonts w:hint="eastAsia" w:ascii="宋体" w:hAnsi="宋体" w:eastAsia="宋体" w:cs="Times New Roman"/>
          <w:color w:val="auto"/>
          <w:sz w:val="24"/>
          <w:szCs w:val="20"/>
          <w:lang w:val="zh-CN"/>
        </w:rPr>
        <w:t>权为采购人、采购代理机构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环氧乙烷灭菌器</w:t>
            </w:r>
          </w:p>
        </w:tc>
        <w:tc>
          <w:tcPr>
            <w:tcW w:w="1238"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sz w:val="32"/>
          <w:szCs w:val="32"/>
          <w:lang w:eastAsia="zh-CN"/>
        </w:rPr>
      </w:pPr>
    </w:p>
    <w:p>
      <w:pPr>
        <w:keepNext w:val="0"/>
        <w:keepLines w:val="0"/>
        <w:pageBreakBefore w:val="0"/>
        <w:widowControl w:val="0"/>
        <w:numPr>
          <w:ilvl w:val="0"/>
          <w:numId w:val="36"/>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、技术参数</w:t>
      </w:r>
    </w:p>
    <w:p>
      <w:pPr>
        <w:pStyle w:val="2"/>
        <w:rPr>
          <w:rFonts w:hint="eastAsia"/>
          <w:lang w:eastAsia="zh-CN"/>
        </w:rPr>
      </w:pPr>
    </w:p>
    <w:tbl>
      <w:tblPr>
        <w:tblStyle w:val="22"/>
        <w:tblW w:w="9460" w:type="dxa"/>
        <w:tblInd w:w="93" w:type="dxa"/>
        <w:shd w:val="clear" w:color="auto" w:fill="auto"/>
        <w:tblLayout w:type="autofit"/>
        <w:tblCellMar>
          <w:top w:w="0" w:type="dxa"/>
          <w:left w:w="108" w:type="dxa"/>
          <w:bottom w:w="0" w:type="dxa"/>
          <w:right w:w="108" w:type="dxa"/>
        </w:tblCellMar>
      </w:tblPr>
      <w:tblGrid>
        <w:gridCol w:w="550"/>
        <w:gridCol w:w="1681"/>
        <w:gridCol w:w="7229"/>
      </w:tblGrid>
      <w:tr>
        <w:tblPrEx>
          <w:shd w:val="clear" w:color="auto" w:fill="auto"/>
          <w:tblCellMar>
            <w:top w:w="0" w:type="dxa"/>
            <w:left w:w="108" w:type="dxa"/>
            <w:bottom w:w="0" w:type="dxa"/>
            <w:right w:w="108" w:type="dxa"/>
          </w:tblCellMar>
        </w:tblPrEx>
        <w:trPr>
          <w:trHeight w:val="6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设备用途说明：</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用于对热、湿敏感的医疗器械和物品进行低温灭菌，对医疗器械的结构复杂度无要求。</w:t>
            </w:r>
          </w:p>
        </w:tc>
      </w:tr>
      <w:tr>
        <w:tblPrEx>
          <w:tblCellMar>
            <w:top w:w="0" w:type="dxa"/>
            <w:left w:w="108" w:type="dxa"/>
            <w:bottom w:w="0" w:type="dxa"/>
            <w:right w:w="108" w:type="dxa"/>
          </w:tblCellMar>
        </w:tblPrEx>
        <w:trPr>
          <w:trHeight w:val="391"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设备物品</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环氧乙烷灭菌器1套</w:t>
            </w:r>
          </w:p>
        </w:tc>
      </w:tr>
      <w:tr>
        <w:tblPrEx>
          <w:tblCellMar>
            <w:top w:w="0" w:type="dxa"/>
            <w:left w:w="108" w:type="dxa"/>
            <w:bottom w:w="0" w:type="dxa"/>
            <w:right w:w="108" w:type="dxa"/>
          </w:tblCellMar>
        </w:tblPrEx>
        <w:trPr>
          <w:trHeight w:val="43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技术参数及要求</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设备性能</w:t>
            </w:r>
          </w:p>
        </w:tc>
      </w:tr>
      <w:tr>
        <w:tblPrEx>
          <w:tblCellMar>
            <w:top w:w="0" w:type="dxa"/>
            <w:left w:w="108" w:type="dxa"/>
            <w:bottom w:w="0" w:type="dxa"/>
            <w:right w:w="108" w:type="dxa"/>
          </w:tblCellMar>
        </w:tblPrEx>
        <w:trPr>
          <w:trHeight w:val="3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整机原装进口。</w:t>
            </w:r>
          </w:p>
        </w:tc>
      </w:tr>
      <w:tr>
        <w:tblPrEx>
          <w:tblCellMar>
            <w:top w:w="0" w:type="dxa"/>
            <w:left w:w="108" w:type="dxa"/>
            <w:bottom w:w="0" w:type="dxa"/>
            <w:right w:w="108" w:type="dxa"/>
          </w:tblCellMar>
        </w:tblPrEx>
        <w:trPr>
          <w:trHeight w:val="6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嵌入式windows电脑控制系统，遇有故障和误差，立即停止操作并报警，打印和记录故障信息。</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彩色触摸屏，具有中文操作界面，灭菌循环实时显示主要参数，包括温度、湿度、真空度和时间，并记录和打印循环过程运行曲线。</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医用小剂量纯环氧乙烷气罐，舱门锁定后自动刺破气罐注入气体，气罐自带二维码集成批号、有效期等信息。</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设备自带气罐二维码读头，操作人员扫描气罐二维码才能启动灭菌循环，进行流程管控，保证规范操作和使用安全。</w:t>
            </w:r>
          </w:p>
        </w:tc>
      </w:tr>
      <w:tr>
        <w:tblPrEx>
          <w:tblCellMar>
            <w:top w:w="0" w:type="dxa"/>
            <w:left w:w="108" w:type="dxa"/>
            <w:bottom w:w="0" w:type="dxa"/>
            <w:right w:w="108" w:type="dxa"/>
          </w:tblCellMar>
        </w:tblPrEx>
        <w:trPr>
          <w:trHeight w:val="3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舱体为耐腐蚀不锈钢材质，方形结构有效容积≥220升。</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湿度控制范围为40%-80%，动态湿度直接测量，加湿和保湿两种算法，进一步保证湿度控制的精确性。</w:t>
            </w:r>
          </w:p>
        </w:tc>
      </w:tr>
      <w:tr>
        <w:tblPrEx>
          <w:tblCellMar>
            <w:top w:w="0" w:type="dxa"/>
            <w:left w:w="108" w:type="dxa"/>
            <w:bottom w:w="0" w:type="dxa"/>
            <w:right w:w="108" w:type="dxa"/>
          </w:tblCellMar>
        </w:tblPrEx>
        <w:trPr>
          <w:trHeight w:val="3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功能特性</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灭菌循环程序：具有55℃和38℃两档灭菌温度循环程序，55℃循环程序灭菌时间1小时，38℃循环程序灭菌时间4.5小时。</w:t>
            </w:r>
          </w:p>
        </w:tc>
      </w:tr>
      <w:tr>
        <w:tblPrEx>
          <w:tblCellMar>
            <w:top w:w="0" w:type="dxa"/>
            <w:left w:w="108" w:type="dxa"/>
            <w:bottom w:w="0" w:type="dxa"/>
            <w:right w:w="108" w:type="dxa"/>
          </w:tblCellMar>
        </w:tblPrEx>
        <w:trPr>
          <w:trHeight w:val="6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通风解析时间：根据灭菌物品的特性自由设定通风解析时间，可设范围为3-999小时。</w:t>
            </w:r>
          </w:p>
        </w:tc>
      </w:tr>
      <w:tr>
        <w:tblPrEx>
          <w:tblCellMar>
            <w:top w:w="0" w:type="dxa"/>
            <w:left w:w="108" w:type="dxa"/>
            <w:bottom w:w="0" w:type="dxa"/>
            <w:right w:w="108" w:type="dxa"/>
          </w:tblCellMar>
        </w:tblPrEx>
        <w:trPr>
          <w:trHeight w:val="3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水箱水位管理：肉眼可直接观察到水箱水位，具有水位监测功能。</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参数检测和控制：压力、温度和湿度传感器均为双配置，腔体温度三区分布，动态加湿采样，保证温度和湿度的均匀性。</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参数存储：具有数据存储功能，自动保存至少100组灭菌循环参数并可在设备上或链接web浏览器直接查看。</w:t>
            </w:r>
          </w:p>
        </w:tc>
      </w:tr>
      <w:tr>
        <w:tblPrEx>
          <w:tblCellMar>
            <w:top w:w="0" w:type="dxa"/>
            <w:left w:w="108" w:type="dxa"/>
            <w:bottom w:w="0" w:type="dxa"/>
            <w:right w:w="108" w:type="dxa"/>
          </w:tblCellMar>
        </w:tblPrEx>
        <w:trPr>
          <w:trHeight w:val="63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参数导出：灭菌器前面板应有USB数据端口，可通过U盘直接导出灭菌循环参数。</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参数打印：内置打印机，可以选择三种打印方式，能记录和打印运行中的温度、时间、压力、湿度曲线及相关辅助警报信息。</w:t>
            </w:r>
          </w:p>
        </w:tc>
      </w:tr>
      <w:tr>
        <w:tblPrEx>
          <w:tblCellMar>
            <w:top w:w="0" w:type="dxa"/>
            <w:left w:w="108" w:type="dxa"/>
            <w:bottom w:w="0" w:type="dxa"/>
            <w:right w:w="108" w:type="dxa"/>
          </w:tblCellMar>
        </w:tblPrEx>
        <w:trPr>
          <w:trHeight w:val="6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保养提示：具有预防性保养时间提醒功能，可以自动提示用户对设备进行检查和维护。</w:t>
            </w:r>
          </w:p>
        </w:tc>
      </w:tr>
      <w:tr>
        <w:tblPrEx>
          <w:tblCellMar>
            <w:top w:w="0" w:type="dxa"/>
            <w:left w:w="108" w:type="dxa"/>
            <w:bottom w:w="0" w:type="dxa"/>
            <w:right w:w="108" w:type="dxa"/>
          </w:tblCellMar>
        </w:tblPrEx>
        <w:trPr>
          <w:trHeight w:val="3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安全要求</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腔体真空：独特的文氏真空泵，采用流体力学的原理，通过外置高流量的压缩空气进行抽真空，抽真空过程中不会产生静电和电火花，杜绝燃爆风险。</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全程负压：全过程负压灭菌和解析，确保舱内气体不会向外泄漏，电脑自动检测，如有泄露，自动转为排气过程，并报警提醒用户。</w:t>
            </w:r>
          </w:p>
        </w:tc>
      </w:tr>
      <w:tr>
        <w:tblPrEx>
          <w:tblCellMar>
            <w:top w:w="0" w:type="dxa"/>
            <w:left w:w="108" w:type="dxa"/>
            <w:bottom w:w="0" w:type="dxa"/>
            <w:right w:w="108" w:type="dxa"/>
          </w:tblCellMar>
        </w:tblPrEx>
        <w:trPr>
          <w:trHeight w:val="6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门锁联动：软件控制舱门开启，灭菌时自动锁定舱门，防止灭菌过程中因为误操作打开舱门，整个灭菌循环程序结束后，系统解锁方可气动开门。</w:t>
            </w:r>
          </w:p>
        </w:tc>
      </w:tr>
      <w:tr>
        <w:tblPrEx>
          <w:tblCellMar>
            <w:top w:w="0" w:type="dxa"/>
            <w:left w:w="108" w:type="dxa"/>
            <w:bottom w:w="0" w:type="dxa"/>
            <w:right w:w="108" w:type="dxa"/>
          </w:tblCellMar>
        </w:tblPrEx>
        <w:trPr>
          <w:trHeight w:val="6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使用寿命：环氧乙烷灭菌器整机和主要部件使用寿命≥8年，提供备案产品使用说明书。</w:t>
            </w:r>
          </w:p>
        </w:tc>
      </w:tr>
      <w:tr>
        <w:tblPrEx>
          <w:tblCellMar>
            <w:top w:w="0" w:type="dxa"/>
            <w:left w:w="108" w:type="dxa"/>
            <w:bottom w:w="0" w:type="dxa"/>
            <w:right w:w="108" w:type="dxa"/>
          </w:tblCellMar>
        </w:tblPrEx>
        <w:trPr>
          <w:trHeight w:val="951"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灭菌物品环氧乙烷残留量：灭菌循环程序完成后，物品可立即发放临床使用，无需再放置数天，提供第三方检测机构出具的《灭菌物品环氧乙烷残留量检测报告》。</w:t>
            </w:r>
          </w:p>
        </w:tc>
      </w:tr>
      <w:tr>
        <w:tblPrEx>
          <w:tblCellMar>
            <w:top w:w="0" w:type="dxa"/>
            <w:left w:w="108" w:type="dxa"/>
            <w:bottom w:w="0" w:type="dxa"/>
            <w:right w:w="108" w:type="dxa"/>
          </w:tblCellMar>
        </w:tblPrEx>
        <w:trPr>
          <w:trHeight w:val="998"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环境环氧乙烷分析：每年应至少提供一次环氧乙烷灭菌间环境浓度测试，采用专用测试盒精确采集并分析用户工作环境中环氧乙烷浓度，由国外第三方实验室出具国际认可的环氧乙烷气体分析报告，提供报告样本备查。</w:t>
            </w:r>
          </w:p>
        </w:tc>
      </w:tr>
    </w:tbl>
    <w:p>
      <w:pPr>
        <w:pStyle w:val="2"/>
        <w:numPr>
          <w:ilvl w:val="0"/>
          <w:numId w:val="0"/>
        </w:numPr>
        <w:rPr>
          <w:rFonts w:hint="eastAsia"/>
          <w:lang w:eastAsia="zh-CN"/>
        </w:rPr>
      </w:pPr>
    </w:p>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（三）、商务要求：</w:t>
      </w:r>
    </w:p>
    <w:p>
      <w:pPr>
        <w:pStyle w:val="44"/>
        <w:numPr>
          <w:ilvl w:val="0"/>
          <w:numId w:val="37"/>
        </w:numPr>
        <w:spacing w:line="360" w:lineRule="auto"/>
        <w:ind w:firstLineChars="0"/>
        <w:rPr>
          <w:rFonts w:hint="eastAsia" w:ascii="宋体" w:hAnsi="宋体" w:eastAsia="宋体" w:cs="宋体"/>
          <w:sz w:val="24"/>
          <w:highlight w:val="none"/>
        </w:rPr>
      </w:pPr>
      <w:r>
        <w:rPr>
          <w:rFonts w:hint="eastAsia" w:ascii="宋体" w:hAnsi="宋体" w:eastAsia="宋体" w:cs="宋体"/>
          <w:b/>
          <w:color w:val="000000"/>
          <w:sz w:val="24"/>
          <w:szCs w:val="24"/>
          <w:highlight w:val="none"/>
        </w:rPr>
        <w:t>交货验收与工期：</w:t>
      </w:r>
      <w:r>
        <w:rPr>
          <w:rFonts w:hint="eastAsia" w:ascii="宋体" w:hAnsi="宋体" w:eastAsia="宋体" w:cs="宋体"/>
          <w:sz w:val="24"/>
          <w:highlight w:val="none"/>
        </w:rPr>
        <w:t>签定合同后按合同和招标、投标文件约定的要求和标准进行交货验收，交货期为签定合同后</w:t>
      </w:r>
      <w:r>
        <w:rPr>
          <w:rFonts w:hint="eastAsia" w:ascii="宋体" w:hAnsi="宋体" w:eastAsia="宋体" w:cs="宋体"/>
          <w:b/>
          <w:color w:val="000000"/>
          <w:sz w:val="24"/>
          <w:highlight w:val="none"/>
          <w:lang w:val="en-US" w:eastAsia="zh-CN"/>
        </w:rPr>
        <w:t>30</w:t>
      </w:r>
      <w:r>
        <w:rPr>
          <w:rFonts w:hint="eastAsia" w:ascii="宋体" w:hAnsi="宋体" w:eastAsia="宋体" w:cs="宋体"/>
          <w:b/>
          <w:color w:val="000000"/>
          <w:sz w:val="24"/>
          <w:highlight w:val="none"/>
        </w:rPr>
        <w:t>天内（日历</w:t>
      </w:r>
      <w:r>
        <w:rPr>
          <w:rFonts w:hint="eastAsia" w:ascii="宋体" w:hAnsi="宋体" w:eastAsia="宋体" w:cs="宋体"/>
          <w:b/>
          <w:color w:val="000000"/>
          <w:sz w:val="24"/>
          <w:highlight w:val="none"/>
          <w:lang w:eastAsia="zh-CN"/>
        </w:rPr>
        <w:t>天</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。“交货</w:t>
      </w:r>
      <w:r>
        <w:rPr>
          <w:rFonts w:hint="eastAsia" w:ascii="宋体" w:hAnsi="宋体" w:eastAsia="宋体" w:cs="宋体"/>
          <w:sz w:val="24"/>
          <w:highlight w:val="none"/>
        </w:rPr>
        <w:t>期”指所有货物运抵现场安装调试完毕后交付用户验收的日期。</w:t>
      </w:r>
    </w:p>
    <w:p>
      <w:pPr>
        <w:pStyle w:val="44"/>
        <w:numPr>
          <w:ilvl w:val="0"/>
          <w:numId w:val="37"/>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交货地点：阳新县人民医院指定地点。</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t>质保期：</w:t>
      </w:r>
      <w:r>
        <w:rPr>
          <w:rFonts w:hint="eastAsia" w:ascii="宋体" w:hAnsi="宋体" w:eastAsia="宋体" w:cs="宋体"/>
          <w:b/>
          <w:color w:val="000000"/>
          <w:sz w:val="24"/>
          <w:szCs w:val="24"/>
          <w:highlight w:val="none"/>
          <w:lang w:val="en-US" w:eastAsia="zh-CN"/>
        </w:rPr>
        <w:t>1年。</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  开机率≥98%，仪器故障要求12小时内应答，24小时形成解决方案。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 投标人需要在中国大陆地区设有售后服务机构和设施，并配备受过专业培训的售后服务人员。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 为保证设备正常运行，投标人应在中国境内方便的地方设置备件库，存入所有必须的备件，并保证5年以上的供应期，提供400全国免费电话。</w:t>
      </w:r>
    </w:p>
    <w:p>
      <w:pPr>
        <w:pStyle w:val="44"/>
        <w:numPr>
          <w:ilvl w:val="0"/>
          <w:numId w:val="0"/>
        </w:numPr>
        <w:spacing w:line="360" w:lineRule="auto"/>
        <w:ind w:leftChars="0"/>
        <w:rPr>
          <w:rFonts w:hint="eastAsia" w:ascii="宋体" w:hAnsi="宋体" w:eastAsia="宋体" w:cs="宋体"/>
          <w:b/>
          <w:color w:val="000000"/>
          <w:sz w:val="24"/>
          <w:szCs w:val="24"/>
          <w:highlight w:val="none"/>
        </w:rPr>
      </w:pPr>
      <w:r>
        <w:rPr>
          <w:rFonts w:hint="eastAsia" w:ascii="宋体" w:hAnsi="宋体" w:eastAsia="宋体" w:cs="宋体"/>
          <w:b w:val="0"/>
          <w:bCs w:val="0"/>
          <w:sz w:val="24"/>
          <w:szCs w:val="24"/>
          <w:lang w:val="en-US" w:eastAsia="zh-CN"/>
        </w:rPr>
        <w:t>4.4现场培训：投标人提供现场技术培训，保证使用人员能够正确操作设备的各项功能。</w:t>
      </w:r>
    </w:p>
    <w:p>
      <w:pPr>
        <w:pStyle w:val="44"/>
        <w:numPr>
          <w:ilvl w:val="0"/>
          <w:numId w:val="37"/>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付款方式：验收合格后付60%，</w:t>
      </w:r>
      <w:r>
        <w:rPr>
          <w:rFonts w:hint="eastAsia" w:ascii="宋体" w:hAnsi="宋体" w:eastAsia="宋体" w:cs="宋体"/>
          <w:b/>
          <w:color w:val="000000"/>
          <w:sz w:val="24"/>
          <w:szCs w:val="24"/>
          <w:highlight w:val="none"/>
          <w:lang w:eastAsia="zh-CN"/>
        </w:rPr>
        <w:t>剩余</w:t>
      </w:r>
      <w:r>
        <w:rPr>
          <w:rFonts w:hint="eastAsia" w:ascii="宋体" w:hAnsi="宋体" w:eastAsia="宋体" w:cs="宋体"/>
          <w:b/>
          <w:color w:val="000000"/>
          <w:sz w:val="24"/>
          <w:szCs w:val="24"/>
          <w:highlight w:val="none"/>
          <w:lang w:val="en-US" w:eastAsia="zh-CN"/>
        </w:rPr>
        <w:t>40</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待</w:t>
      </w:r>
      <w:r>
        <w:rPr>
          <w:rFonts w:hint="eastAsia" w:ascii="宋体" w:hAnsi="宋体" w:eastAsia="宋体" w:cs="宋体"/>
          <w:b/>
          <w:color w:val="000000"/>
          <w:sz w:val="24"/>
          <w:szCs w:val="24"/>
          <w:highlight w:val="none"/>
        </w:rPr>
        <w:t>保质期</w:t>
      </w:r>
      <w:r>
        <w:rPr>
          <w:rFonts w:hint="eastAsia" w:ascii="宋体" w:hAnsi="宋体" w:eastAsia="宋体" w:cs="宋体"/>
          <w:b/>
          <w:color w:val="000000"/>
          <w:sz w:val="24"/>
          <w:szCs w:val="24"/>
          <w:highlight w:val="none"/>
          <w:lang w:eastAsia="zh-CN"/>
        </w:rPr>
        <w:t>结束</w:t>
      </w:r>
      <w:r>
        <w:rPr>
          <w:rFonts w:hint="eastAsia" w:ascii="宋体" w:hAnsi="宋体" w:eastAsia="宋体" w:cs="宋体"/>
          <w:b/>
          <w:color w:val="000000"/>
          <w:sz w:val="24"/>
          <w:szCs w:val="24"/>
          <w:highlight w:val="none"/>
        </w:rPr>
        <w:t>后</w:t>
      </w:r>
      <w:r>
        <w:rPr>
          <w:rFonts w:hint="eastAsia" w:ascii="宋体" w:hAnsi="宋体" w:eastAsia="宋体" w:cs="宋体"/>
          <w:b/>
          <w:color w:val="000000"/>
          <w:sz w:val="24"/>
          <w:szCs w:val="24"/>
          <w:highlight w:val="none"/>
          <w:lang w:eastAsia="zh-CN"/>
        </w:rPr>
        <w:t>一次性</w:t>
      </w:r>
      <w:r>
        <w:rPr>
          <w:rFonts w:hint="eastAsia" w:ascii="宋体" w:hAnsi="宋体" w:eastAsia="宋体" w:cs="宋体"/>
          <w:b/>
          <w:color w:val="000000"/>
          <w:sz w:val="24"/>
          <w:szCs w:val="24"/>
          <w:highlight w:val="none"/>
        </w:rPr>
        <w:t>付清</w:t>
      </w:r>
      <w:r>
        <w:rPr>
          <w:rFonts w:hint="eastAsia" w:ascii="宋体" w:hAnsi="宋体" w:eastAsia="宋体" w:cs="宋体"/>
          <w:b/>
          <w:color w:val="000000"/>
          <w:sz w:val="24"/>
          <w:szCs w:val="24"/>
          <w:highlight w:val="none"/>
          <w:lang w:eastAsia="zh-CN"/>
        </w:rPr>
        <w:t>。</w:t>
      </w:r>
    </w:p>
    <w:p>
      <w:pPr>
        <w:pStyle w:val="44"/>
        <w:numPr>
          <w:ilvl w:val="0"/>
          <w:numId w:val="37"/>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其他要求：</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本项目采购预算控制总金额为</w:t>
      </w:r>
      <w:r>
        <w:rPr>
          <w:rFonts w:hint="eastAsia" w:ascii="宋体" w:hAnsi="宋体" w:eastAsia="宋体" w:cs="宋体"/>
          <w:b/>
          <w:sz w:val="24"/>
          <w:szCs w:val="24"/>
          <w:highlight w:val="none"/>
          <w:lang w:val="en-US" w:eastAsia="zh-CN"/>
        </w:rPr>
        <w:t>：</w:t>
      </w:r>
      <w:r>
        <w:rPr>
          <w:rFonts w:hint="eastAsia" w:ascii="宋体" w:hAnsi="宋体" w:cs="宋体"/>
          <w:b/>
          <w:bCs/>
          <w:color w:val="auto"/>
          <w:sz w:val="24"/>
          <w:szCs w:val="24"/>
          <w:shd w:val="clear" w:fill="FFFFFF"/>
          <w:lang w:val="en-US" w:eastAsia="zh-CN"/>
        </w:rPr>
        <w:t>185万元。</w:t>
      </w:r>
      <w:r>
        <w:rPr>
          <w:rFonts w:hint="eastAsia" w:ascii="宋体" w:hAnsi="宋体" w:eastAsia="宋体" w:cs="宋体"/>
          <w:sz w:val="24"/>
          <w:szCs w:val="24"/>
          <w:highlight w:val="none"/>
        </w:rPr>
        <w:t>超出预算控制金额将导致其报价无效。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投标人不得以低于成本的报价进行投标，低于成本价的将导致其投标无效。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6.3本</w:t>
      </w:r>
      <w:r>
        <w:rPr>
          <w:rFonts w:hint="eastAsia" w:ascii="宋体" w:hAnsi="宋体" w:eastAsia="宋体" w:cs="宋体"/>
          <w:sz w:val="24"/>
          <w:szCs w:val="24"/>
          <w:highlight w:val="none"/>
        </w:rPr>
        <w:t>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pStyle w:val="44"/>
        <w:numPr>
          <w:ilvl w:val="0"/>
          <w:numId w:val="0"/>
        </w:numPr>
        <w:tabs>
          <w:tab w:val="left" w:pos="426"/>
        </w:tabs>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本项目投标报价包含但不限于：设备价（包括硬件、软件）、运至合同指定地点的运输费、安装费（包括损耗、额外材料等）、保险费、安装、技术培训费、各种税费等。</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lang w:val="en-US" w:eastAsia="zh-CN"/>
        </w:rPr>
      </w:pPr>
    </w:p>
    <w:p>
      <w:pPr>
        <w:pStyle w:val="2"/>
        <w:rPr>
          <w:rFonts w:hint="eastAsia" w:ascii="宋体" w:hAnsi="宋体" w:eastAsia="宋体" w:cs="宋体"/>
          <w:b/>
          <w:bCs/>
          <w:sz w:val="32"/>
          <w:szCs w:val="32"/>
          <w:lang w:val="en-US" w:eastAsia="zh-CN"/>
        </w:rPr>
      </w:pPr>
    </w:p>
    <w:p>
      <w:pPr>
        <w:pStyle w:val="3"/>
        <w:spacing w:before="0" w:after="0" w:line="360" w:lineRule="auto"/>
        <w:jc w:val="center"/>
        <w:rPr>
          <w:rFonts w:ascii="黑体" w:hAnsi="黑体" w:eastAsia="黑体"/>
          <w:color w:val="auto"/>
          <w:highlight w:val="none"/>
        </w:rPr>
      </w:pPr>
      <w:bookmarkStart w:id="41" w:name="_Toc495861541"/>
      <w:r>
        <w:rPr>
          <w:rFonts w:hint="eastAsia" w:ascii="黑体" w:hAnsi="黑体" w:eastAsia="黑体"/>
          <w:color w:val="auto"/>
          <w:highlight w:val="none"/>
        </w:rPr>
        <w:t>第四章 资格审查方法及标准</w:t>
      </w:r>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ascii="宋体" w:hAnsi="宋体" w:cs="Times New Roman"/>
          <w:bCs w:val="0"/>
          <w:color w:val="auto"/>
          <w:sz w:val="30"/>
          <w:szCs w:val="30"/>
          <w:highlight w:val="none"/>
        </w:rPr>
      </w:pPr>
      <w:bookmarkStart w:id="42" w:name="_Toc511894514"/>
      <w:bookmarkStart w:id="43" w:name="_Toc18092"/>
      <w:bookmarkStart w:id="44" w:name="_Toc494561958"/>
      <w:r>
        <w:rPr>
          <w:rFonts w:hint="eastAsia" w:ascii="宋体" w:hAnsi="宋体" w:cs="Times New Roman"/>
          <w:bCs w:val="0"/>
          <w:color w:val="auto"/>
          <w:sz w:val="30"/>
          <w:szCs w:val="30"/>
          <w:highlight w:val="none"/>
        </w:rPr>
        <w:t>资格审查方法</w:t>
      </w:r>
      <w:bookmarkEnd w:id="42"/>
      <w:bookmarkEnd w:id="43"/>
      <w:bookmarkEnd w:id="44"/>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公开招标采购项目开标结束后，采购人成立资格审查小组，依据法律、法规及招标文件的规定，对投标人的资格进行审查，以确定投标人资格是否合格。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ascii="宋体" w:hAnsi="宋体" w:cs="Times New Roman"/>
          <w:bCs w:val="0"/>
          <w:color w:val="auto"/>
          <w:sz w:val="30"/>
          <w:szCs w:val="30"/>
          <w:highlight w:val="none"/>
        </w:rPr>
      </w:pPr>
      <w:bookmarkStart w:id="45" w:name="_Toc7531"/>
      <w:bookmarkStart w:id="46" w:name="_Toc494561959"/>
      <w:bookmarkStart w:id="47" w:name="_Toc511894515"/>
      <w:r>
        <w:rPr>
          <w:rFonts w:hint="eastAsia" w:ascii="宋体" w:hAnsi="宋体" w:cs="Times New Roman"/>
          <w:bCs w:val="0"/>
          <w:color w:val="auto"/>
          <w:sz w:val="30"/>
          <w:szCs w:val="30"/>
          <w:highlight w:val="none"/>
        </w:rPr>
        <w:t>资格审查标准</w:t>
      </w:r>
      <w:bookmarkEnd w:id="45"/>
      <w:bookmarkEnd w:id="46"/>
      <w:bookmarkEnd w:id="47"/>
    </w:p>
    <w:p>
      <w:pPr>
        <w:numPr>
          <w:ilvl w:val="0"/>
          <w:numId w:val="39"/>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资格证明文件审查</w:t>
      </w:r>
    </w:p>
    <w:p>
      <w:pPr>
        <w:tabs>
          <w:tab w:val="left" w:pos="616"/>
        </w:tabs>
        <w:spacing w:line="360" w:lineRule="auto"/>
        <w:ind w:firstLine="420"/>
        <w:rPr>
          <w:rFonts w:ascii="Helvetica" w:hAnsi="Helvetica" w:cs="Helvetica"/>
          <w:b/>
          <w:color w:val="auto"/>
          <w:kern w:val="0"/>
          <w:sz w:val="24"/>
          <w:szCs w:val="24"/>
          <w:highlight w:val="none"/>
        </w:rPr>
      </w:pPr>
      <w:r>
        <w:rPr>
          <w:rFonts w:hint="eastAsia" w:ascii="Helvetica" w:hAnsi="Helvetica" w:cs="Helvetica"/>
          <w:color w:val="auto"/>
          <w:kern w:val="0"/>
          <w:sz w:val="24"/>
          <w:szCs w:val="24"/>
          <w:highlight w:val="none"/>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highlight w:val="none"/>
        </w:rPr>
        <w:t>无效投标处理：</w:t>
      </w:r>
    </w:p>
    <w:p>
      <w:pPr>
        <w:pStyle w:val="44"/>
        <w:numPr>
          <w:ilvl w:val="0"/>
          <w:numId w:val="40"/>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应具备《政府采购法》第二十二条第一款规定的条件，</w:t>
      </w:r>
      <w:r>
        <w:rPr>
          <w:rFonts w:hint="eastAsia" w:hAnsi="宋体"/>
          <w:b/>
          <w:color w:val="auto"/>
          <w:sz w:val="24"/>
          <w:szCs w:val="24"/>
          <w:highlight w:val="none"/>
        </w:rPr>
        <w:t>提供下列材料</w:t>
      </w:r>
      <w:r>
        <w:rPr>
          <w:rFonts w:hint="eastAsia" w:ascii="宋体" w:hAnsi="宋体" w:cs="Times New Roman"/>
          <w:b/>
          <w:color w:val="auto"/>
          <w:sz w:val="24"/>
          <w:szCs w:val="24"/>
          <w:highlight w:val="none"/>
        </w:rPr>
        <w:t>：</w:t>
      </w:r>
    </w:p>
    <w:p>
      <w:pPr>
        <w:pStyle w:val="44"/>
        <w:numPr>
          <w:ilvl w:val="0"/>
          <w:numId w:val="41"/>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法人或者其他组织的营业执照等证明文件，自然人的身份证明</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sz w:val="24"/>
          <w:szCs w:val="24"/>
          <w:highlight w:val="none"/>
        </w:rPr>
        <w:t>：</w:t>
      </w:r>
    </w:p>
    <w:p>
      <w:pPr>
        <w:numPr>
          <w:ilvl w:val="0"/>
          <w:numId w:val="42"/>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法人</w:t>
      </w:r>
    </w:p>
    <w:p>
      <w:pPr>
        <w:pStyle w:val="44"/>
        <w:numPr>
          <w:ilvl w:val="1"/>
          <w:numId w:val="43"/>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企业法人（包括合伙企业）：</w:t>
      </w:r>
      <w:r>
        <w:rPr>
          <w:rFonts w:hint="eastAsia" w:ascii="宋体" w:hAnsi="宋体"/>
          <w:color w:val="auto"/>
          <w:sz w:val="24"/>
          <w:szCs w:val="24"/>
          <w:highlight w:val="none"/>
        </w:rPr>
        <w:t>提供工商部门注册的有效“企业法人营业执照”或“营业执照”；</w:t>
      </w:r>
    </w:p>
    <w:p>
      <w:pPr>
        <w:pStyle w:val="44"/>
        <w:numPr>
          <w:ilvl w:val="1"/>
          <w:numId w:val="43"/>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事业单位法人：</w:t>
      </w:r>
      <w:r>
        <w:rPr>
          <w:rFonts w:hint="eastAsia" w:ascii="宋体" w:hAnsi="宋体"/>
          <w:color w:val="auto"/>
          <w:sz w:val="24"/>
          <w:szCs w:val="24"/>
          <w:highlight w:val="none"/>
        </w:rPr>
        <w:t>提供有效的“事业单位法人证书”。</w:t>
      </w:r>
    </w:p>
    <w:p>
      <w:pPr>
        <w:numPr>
          <w:ilvl w:val="0"/>
          <w:numId w:val="42"/>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其他组织</w:t>
      </w:r>
    </w:p>
    <w:p>
      <w:pPr>
        <w:pStyle w:val="44"/>
        <w:numPr>
          <w:ilvl w:val="0"/>
          <w:numId w:val="44"/>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非企业专业服务机构：</w:t>
      </w:r>
      <w:r>
        <w:rPr>
          <w:rFonts w:hint="eastAsia" w:ascii="宋体" w:hAnsi="宋体"/>
          <w:color w:val="auto"/>
          <w:sz w:val="24"/>
          <w:szCs w:val="24"/>
          <w:highlight w:val="none"/>
        </w:rPr>
        <w:t>提供执业许可证等证明文件；</w:t>
      </w:r>
    </w:p>
    <w:p>
      <w:pPr>
        <w:pStyle w:val="44"/>
        <w:numPr>
          <w:ilvl w:val="0"/>
          <w:numId w:val="44"/>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个体工商户：</w:t>
      </w:r>
      <w:r>
        <w:rPr>
          <w:rFonts w:hint="eastAsia" w:ascii="宋体" w:hAnsi="宋体"/>
          <w:color w:val="auto"/>
          <w:sz w:val="24"/>
          <w:szCs w:val="24"/>
          <w:highlight w:val="none"/>
        </w:rPr>
        <w:t>提供有效的“个体工商户营业执照”。</w:t>
      </w:r>
    </w:p>
    <w:p>
      <w:pPr>
        <w:numPr>
          <w:ilvl w:val="0"/>
          <w:numId w:val="42"/>
        </w:numPr>
        <w:spacing w:line="360" w:lineRule="auto"/>
        <w:ind w:left="1321" w:hanging="720"/>
        <w:rPr>
          <w:rFonts w:ascii="宋体" w:hAnsi="宋体" w:cs="Times New Roman"/>
          <w:color w:val="auto"/>
          <w:sz w:val="24"/>
          <w:szCs w:val="20"/>
          <w:highlight w:val="none"/>
        </w:rPr>
      </w:pPr>
      <w:r>
        <w:rPr>
          <w:rFonts w:hint="eastAsia" w:ascii="仿宋" w:hAnsi="仿宋" w:eastAsia="仿宋" w:cs="Times New Roman"/>
          <w:b/>
          <w:color w:val="auto"/>
          <w:sz w:val="24"/>
          <w:szCs w:val="20"/>
          <w:highlight w:val="none"/>
        </w:rPr>
        <w:t>自然人：</w:t>
      </w:r>
      <w:r>
        <w:rPr>
          <w:rFonts w:hint="eastAsia" w:ascii="宋体" w:hAnsi="宋体" w:cs="Times New Roman"/>
          <w:color w:val="auto"/>
          <w:sz w:val="24"/>
          <w:szCs w:val="20"/>
          <w:highlight w:val="none"/>
        </w:rPr>
        <w:t>提供有效的自然人身份证明。（仅限中国公民）</w:t>
      </w:r>
    </w:p>
    <w:p>
      <w:pPr>
        <w:pStyle w:val="44"/>
        <w:numPr>
          <w:ilvl w:val="0"/>
          <w:numId w:val="41"/>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财务状况报告，依法缴纳税收和社会保障资金的相关材料（投标人根据自身情况提供对应的证明材料）：</w:t>
      </w:r>
    </w:p>
    <w:p>
      <w:pPr>
        <w:numPr>
          <w:ilvl w:val="0"/>
          <w:numId w:val="45"/>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财务状况报告</w:t>
      </w:r>
    </w:p>
    <w:p>
      <w:pPr>
        <w:pStyle w:val="44"/>
        <w:numPr>
          <w:ilvl w:val="0"/>
          <w:numId w:val="46"/>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法人：</w:t>
      </w:r>
      <w:r>
        <w:rPr>
          <w:rFonts w:hint="eastAsia" w:ascii="宋体" w:hAnsi="宋体"/>
          <w:color w:val="auto"/>
          <w:sz w:val="24"/>
          <w:szCs w:val="24"/>
          <w:highlight w:val="none"/>
        </w:rPr>
        <w:t>提供经第三方审计的财务报告（完整的财务报告，包括“四表一注”，即资产负债表、利润表、现金流量表、所有者权益变动表及其附注），或其基本开户银行出具的资信证明；</w:t>
      </w:r>
    </w:p>
    <w:p>
      <w:pPr>
        <w:pStyle w:val="44"/>
        <w:numPr>
          <w:ilvl w:val="0"/>
          <w:numId w:val="46"/>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部分其他组织和自然人：</w:t>
      </w:r>
      <w:r>
        <w:rPr>
          <w:rFonts w:hint="eastAsia" w:ascii="宋体" w:hAnsi="宋体"/>
          <w:color w:val="auto"/>
          <w:sz w:val="24"/>
          <w:szCs w:val="24"/>
          <w:highlight w:val="none"/>
        </w:rPr>
        <w:t>没有经第三方审计的财务报告的，可以提供银行出具的资信证明；</w:t>
      </w:r>
    </w:p>
    <w:p>
      <w:pPr>
        <w:pStyle w:val="44"/>
        <w:numPr>
          <w:ilvl w:val="0"/>
          <w:numId w:val="46"/>
        </w:numPr>
        <w:spacing w:line="360" w:lineRule="auto"/>
        <w:ind w:left="1435" w:hanging="482" w:firstLineChars="0"/>
        <w:rPr>
          <w:rFonts w:ascii="宋体" w:hAnsi="宋体"/>
          <w:color w:val="auto"/>
          <w:sz w:val="24"/>
          <w:szCs w:val="24"/>
          <w:highlight w:val="none"/>
        </w:rPr>
      </w:pPr>
      <w:r>
        <w:rPr>
          <w:rFonts w:hint="eastAsia" w:ascii="宋体" w:hAnsi="宋体"/>
          <w:color w:val="auto"/>
          <w:sz w:val="24"/>
          <w:szCs w:val="24"/>
          <w:highlight w:val="none"/>
        </w:rPr>
        <w:t>投标人没有经第三方审计的财务报告和资信证明时，也可以提供财政部门认可的政府采购专业担保机构出具的投标担保函。</w:t>
      </w:r>
    </w:p>
    <w:p>
      <w:pPr>
        <w:numPr>
          <w:ilvl w:val="0"/>
          <w:numId w:val="45"/>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依法缴纳税收和社会保障资金的证明材料</w:t>
      </w:r>
    </w:p>
    <w:p>
      <w:pPr>
        <w:pStyle w:val="44"/>
        <w:numPr>
          <w:ilvl w:val="0"/>
          <w:numId w:val="47"/>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法人</w:t>
      </w:r>
    </w:p>
    <w:p>
      <w:pPr>
        <w:pStyle w:val="44"/>
        <w:numPr>
          <w:ilvl w:val="0"/>
          <w:numId w:val="48"/>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税务登记证（国税、地税或多证合一）；</w:t>
      </w:r>
    </w:p>
    <w:p>
      <w:pPr>
        <w:pStyle w:val="44"/>
        <w:numPr>
          <w:ilvl w:val="0"/>
          <w:numId w:val="48"/>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参加政府采购活动前一段时间内缴纳增值税、营业税和企业所得税的凭据；</w:t>
      </w:r>
    </w:p>
    <w:p>
      <w:pPr>
        <w:pStyle w:val="44"/>
        <w:numPr>
          <w:ilvl w:val="0"/>
          <w:numId w:val="48"/>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社会保险登记证（或多证合一）；</w:t>
      </w:r>
    </w:p>
    <w:p>
      <w:pPr>
        <w:pStyle w:val="44"/>
        <w:numPr>
          <w:ilvl w:val="0"/>
          <w:numId w:val="48"/>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47"/>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其他组织和自然人</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参加政府采购活动前一段时间内缴纳税收的凭据；</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47"/>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依法免税或不需要缴纳社会保险资金的投标人</w:t>
      </w:r>
    </w:p>
    <w:p>
      <w:pPr>
        <w:pStyle w:val="44"/>
        <w:spacing w:line="360" w:lineRule="auto"/>
        <w:ind w:left="1441" w:firstLine="0" w:firstLineChars="0"/>
        <w:rPr>
          <w:rFonts w:ascii="宋体" w:hAnsi="宋体"/>
          <w:color w:val="auto"/>
          <w:sz w:val="24"/>
          <w:szCs w:val="24"/>
          <w:highlight w:val="none"/>
        </w:rPr>
      </w:pPr>
      <w:r>
        <w:rPr>
          <w:rFonts w:hint="eastAsia" w:ascii="宋体" w:hAnsi="宋体"/>
          <w:color w:val="auto"/>
          <w:sz w:val="24"/>
          <w:szCs w:val="24"/>
          <w:highlight w:val="none"/>
        </w:rPr>
        <w:t>提供其依法免税或不需要缴纳社会保险资金的相关证明文件。</w:t>
      </w:r>
    </w:p>
    <w:p>
      <w:pPr>
        <w:pStyle w:val="44"/>
        <w:numPr>
          <w:ilvl w:val="0"/>
          <w:numId w:val="41"/>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具备履行合同所必需的设备和专业技术能力的证明材料：</w:t>
      </w:r>
    </w:p>
    <w:p>
      <w:pPr>
        <w:numPr>
          <w:ilvl w:val="0"/>
          <w:numId w:val="50"/>
        </w:numPr>
        <w:spacing w:line="360" w:lineRule="auto"/>
        <w:ind w:left="1321" w:hanging="720"/>
        <w:rPr>
          <w:rFonts w:ascii="宋体" w:hAnsi="宋体" w:cs="Arial"/>
          <w:b/>
          <w:color w:val="auto"/>
          <w:sz w:val="24"/>
          <w:szCs w:val="20"/>
          <w:highlight w:val="none"/>
        </w:rPr>
      </w:pPr>
      <w:r>
        <w:rPr>
          <w:rFonts w:ascii="宋体" w:hAnsi="宋体" w:cs="Arial"/>
          <w:color w:val="auto"/>
          <w:sz w:val="24"/>
          <w:szCs w:val="20"/>
          <w:highlight w:val="none"/>
        </w:rPr>
        <w:t>提供具备足够数量的设施设备的证明材料；</w:t>
      </w:r>
    </w:p>
    <w:p>
      <w:pPr>
        <w:numPr>
          <w:ilvl w:val="0"/>
          <w:numId w:val="50"/>
        </w:numPr>
        <w:spacing w:line="360" w:lineRule="auto"/>
        <w:ind w:left="1321" w:hanging="720"/>
        <w:rPr>
          <w:rFonts w:ascii="宋体" w:hAnsi="宋体" w:cs="Arial"/>
          <w:color w:val="auto"/>
          <w:sz w:val="24"/>
          <w:szCs w:val="20"/>
          <w:highlight w:val="none"/>
        </w:rPr>
      </w:pPr>
      <w:r>
        <w:rPr>
          <w:rFonts w:ascii="宋体" w:hAnsi="宋体" w:cs="Arial"/>
          <w:color w:val="auto"/>
          <w:sz w:val="24"/>
          <w:szCs w:val="20"/>
          <w:highlight w:val="none"/>
        </w:rPr>
        <w:t>提供具备足够数量的技术人员的证明材料。</w:t>
      </w:r>
    </w:p>
    <w:p>
      <w:pPr>
        <w:pStyle w:val="44"/>
        <w:numPr>
          <w:ilvl w:val="0"/>
          <w:numId w:val="41"/>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参加政府采购活动前3年内在经营活动中没有重大违法记录的书面声明：</w:t>
      </w:r>
    </w:p>
    <w:p>
      <w:pPr>
        <w:numPr>
          <w:ilvl w:val="0"/>
          <w:numId w:val="51"/>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应严格按照附件格式提交“参加政府采购活动前三年内在经营活动中没有重大违法记录的书面声明函”；</w:t>
      </w:r>
    </w:p>
    <w:p>
      <w:pPr>
        <w:numPr>
          <w:ilvl w:val="0"/>
          <w:numId w:val="51"/>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政府采购法第二十二条第一款第五项所称重大违法记录，是指供应商因违法经营受到刑事处罚或者责令停产停业、吊销许可证或者执照、较大数额罚款等行政处罚；</w:t>
      </w:r>
    </w:p>
    <w:p>
      <w:pPr>
        <w:numPr>
          <w:ilvl w:val="0"/>
          <w:numId w:val="51"/>
        </w:numPr>
        <w:spacing w:line="360" w:lineRule="auto"/>
        <w:ind w:left="1321"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按照财政部《关于规范政府采购行政处罚有关问题的通知》的规定，</w:t>
      </w:r>
      <w:r>
        <w:rPr>
          <w:rFonts w:ascii="宋体" w:hAnsi="宋体" w:cs="Times New Roman"/>
          <w:color w:val="auto"/>
          <w:sz w:val="24"/>
          <w:szCs w:val="20"/>
          <w:highlight w:val="none"/>
        </w:rPr>
        <w:t>各级人民政府财政部门依法对参加政府采购活动的供应商作出的禁止参加政府采购活动等行政处罚决定在全国范围内生效。</w:t>
      </w:r>
    </w:p>
    <w:p>
      <w:pPr>
        <w:pStyle w:val="44"/>
        <w:numPr>
          <w:ilvl w:val="0"/>
          <w:numId w:val="41"/>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具备法律、行政法规规定的其他条件的证明材料：</w:t>
      </w:r>
    </w:p>
    <w:p>
      <w:pPr>
        <w:numPr>
          <w:ilvl w:val="0"/>
          <w:numId w:val="52"/>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国家对生产和销售相关产品或提供相关服务有专门法律、行政法规规定的，则必须提供取得国家有关主管部门行政许可的证明材料。</w:t>
      </w:r>
    </w:p>
    <w:p>
      <w:pPr>
        <w:pStyle w:val="44"/>
        <w:numPr>
          <w:ilvl w:val="0"/>
          <w:numId w:val="40"/>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b/>
          <w:color w:val="auto"/>
          <w:sz w:val="24"/>
          <w:szCs w:val="24"/>
          <w:highlight w:val="none"/>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4"/>
        <w:numPr>
          <w:ilvl w:val="0"/>
          <w:numId w:val="40"/>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招标文件第一章“投标人资格要求”中有特殊要求的，投标人应提供其符合特殊要求的证明材料或者情况说明；</w:t>
      </w:r>
    </w:p>
    <w:p>
      <w:pPr>
        <w:pStyle w:val="44"/>
        <w:numPr>
          <w:ilvl w:val="0"/>
          <w:numId w:val="40"/>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不符合联合体投标相关规定和要求的；</w:t>
      </w:r>
    </w:p>
    <w:p>
      <w:pPr>
        <w:pStyle w:val="44"/>
        <w:numPr>
          <w:ilvl w:val="0"/>
          <w:numId w:val="40"/>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投标人认为需提供的其它相关资格证明材料；</w:t>
      </w:r>
    </w:p>
    <w:p>
      <w:pPr>
        <w:pStyle w:val="44"/>
        <w:numPr>
          <w:ilvl w:val="0"/>
          <w:numId w:val="40"/>
        </w:numPr>
        <w:spacing w:line="360" w:lineRule="auto"/>
        <w:ind w:left="964" w:hanging="488"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资格证明文件正本应为清晰彩色影印件且加盖单位公章。</w:t>
      </w:r>
    </w:p>
    <w:p>
      <w:pPr>
        <w:numPr>
          <w:ilvl w:val="0"/>
          <w:numId w:val="39"/>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确定资格审查合格投标人</w:t>
      </w:r>
    </w:p>
    <w:p>
      <w:pPr>
        <w:pStyle w:val="44"/>
        <w:numPr>
          <w:ilvl w:val="0"/>
          <w:numId w:val="53"/>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4"/>
        <w:numPr>
          <w:ilvl w:val="0"/>
          <w:numId w:val="53"/>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资格审查合格投标人不足3家的，不进行评标。</w:t>
      </w:r>
    </w:p>
    <w:p>
      <w:pPr>
        <w:pStyle w:val="44"/>
        <w:numPr>
          <w:ilvl w:val="0"/>
          <w:numId w:val="53"/>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资格审查未通过的投标人可在结果公告质疑有效期内按公告中的联系方式获知</w:t>
      </w:r>
      <w:r>
        <w:rPr>
          <w:rFonts w:ascii="宋体" w:hAnsi="宋体" w:cs="Times New Roman"/>
          <w:color w:val="auto"/>
          <w:sz w:val="24"/>
          <w:szCs w:val="24"/>
          <w:highlight w:val="none"/>
        </w:rPr>
        <w:t>本</w:t>
      </w:r>
      <w:r>
        <w:rPr>
          <w:rFonts w:hint="eastAsia" w:ascii="宋体" w:hAnsi="宋体" w:cs="Times New Roman"/>
          <w:color w:val="auto"/>
          <w:sz w:val="24"/>
          <w:szCs w:val="24"/>
          <w:highlight w:val="none"/>
        </w:rPr>
        <w:t>单位</w:t>
      </w:r>
      <w:r>
        <w:rPr>
          <w:rFonts w:ascii="宋体" w:hAnsi="宋体" w:cs="Times New Roman"/>
          <w:color w:val="auto"/>
          <w:sz w:val="24"/>
          <w:szCs w:val="24"/>
          <w:highlight w:val="none"/>
        </w:rPr>
        <w:t>的</w:t>
      </w:r>
      <w:r>
        <w:rPr>
          <w:rFonts w:hint="eastAsia" w:ascii="宋体" w:hAnsi="宋体" w:cs="Times New Roman"/>
          <w:color w:val="auto"/>
          <w:sz w:val="24"/>
          <w:szCs w:val="24"/>
          <w:highlight w:val="none"/>
        </w:rPr>
        <w:t>资格审查情况。</w:t>
      </w:r>
    </w:p>
    <w:p>
      <w:pPr>
        <w:pStyle w:val="44"/>
        <w:numPr>
          <w:ilvl w:val="0"/>
          <w:numId w:val="53"/>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color w:val="auto"/>
          <w:sz w:val="24"/>
          <w:szCs w:val="24"/>
          <w:highlight w:val="none"/>
        </w:rPr>
        <w:t>采购人已进行资格预审的，不再进行资格审查。未通过资格预审的投标人采购代理机构</w:t>
      </w:r>
      <w:r>
        <w:rPr>
          <w:rFonts w:hint="eastAsia" w:ascii="宋体" w:hAnsi="宋体" w:cs="Times New Roman"/>
          <w:b/>
          <w:color w:val="auto"/>
          <w:sz w:val="24"/>
          <w:szCs w:val="24"/>
          <w:highlight w:val="none"/>
        </w:rPr>
        <w:t>拒绝</w:t>
      </w:r>
      <w:r>
        <w:rPr>
          <w:rFonts w:hint="eastAsia" w:ascii="宋体" w:hAnsi="宋体" w:cs="Times New Roman"/>
          <w:color w:val="auto"/>
          <w:sz w:val="24"/>
          <w:szCs w:val="24"/>
          <w:highlight w:val="none"/>
        </w:rPr>
        <w:t>其投标。</w:t>
      </w: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3"/>
        <w:numPr>
          <w:ilvl w:val="0"/>
          <w:numId w:val="0"/>
        </w:numPr>
        <w:ind w:leftChars="0"/>
        <w:jc w:val="center"/>
        <w:rPr>
          <w:rFonts w:ascii="黑体" w:hAnsi="黑体" w:eastAsia="黑体"/>
        </w:rPr>
      </w:pPr>
      <w:r>
        <w:rPr>
          <w:rFonts w:hint="eastAsia" w:ascii="黑体" w:hAnsi="黑体" w:eastAsia="黑体"/>
          <w:lang w:eastAsia="zh-CN"/>
        </w:rPr>
        <w:t>第五章</w:t>
      </w:r>
      <w:r>
        <w:rPr>
          <w:rFonts w:hint="eastAsia" w:ascii="黑体" w:hAnsi="黑体" w:eastAsia="黑体"/>
          <w:lang w:val="en-US" w:eastAsia="zh-CN"/>
        </w:rPr>
        <w:t xml:space="preserve">  </w:t>
      </w:r>
      <w:r>
        <w:rPr>
          <w:rFonts w:hint="eastAsia" w:ascii="黑体" w:hAnsi="黑体" w:eastAsia="黑体"/>
        </w:rPr>
        <w:t>评标方法、程序及标准</w:t>
      </w:r>
      <w:bookmarkEnd w:id="4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48" w:name="_Toc272247708"/>
      <w:bookmarkStart w:id="49" w:name="_Toc278891605"/>
      <w:bookmarkStart w:id="50" w:name="_Toc495861542"/>
      <w:bookmarkStart w:id="51" w:name="_Toc494561961"/>
      <w:r>
        <w:rPr>
          <w:rFonts w:hint="eastAsia" w:cs="Times New Roman" w:asciiTheme="majorEastAsia" w:hAnsiTheme="majorEastAsia"/>
          <w:bCs w:val="0"/>
          <w:sz w:val="30"/>
          <w:szCs w:val="30"/>
          <w:lang w:val="zh-CN"/>
        </w:rPr>
        <w:t>评标</w:t>
      </w:r>
      <w:bookmarkEnd w:id="48"/>
      <w:bookmarkEnd w:id="49"/>
      <w:r>
        <w:rPr>
          <w:rFonts w:hint="eastAsia" w:cs="Times New Roman" w:asciiTheme="majorEastAsia" w:hAnsiTheme="majorEastAsia"/>
          <w:bCs w:val="0"/>
          <w:sz w:val="30"/>
          <w:szCs w:val="30"/>
          <w:lang w:val="zh-CN"/>
        </w:rPr>
        <w:t>方法</w:t>
      </w:r>
      <w:bookmarkEnd w:id="50"/>
      <w:bookmarkEnd w:id="5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2" w:name="_Toc272247709"/>
      <w:bookmarkStart w:id="53" w:name="_Toc278891606"/>
      <w:bookmarkStart w:id="54" w:name="_Toc494561962"/>
      <w:bookmarkStart w:id="55" w:name="_Toc495861543"/>
      <w:r>
        <w:rPr>
          <w:rFonts w:hint="eastAsia" w:cs="Times New Roman" w:asciiTheme="majorEastAsia" w:hAnsiTheme="majorEastAsia"/>
          <w:bCs w:val="0"/>
          <w:sz w:val="30"/>
          <w:szCs w:val="30"/>
          <w:lang w:val="zh-CN"/>
        </w:rPr>
        <w:t>评标程序</w:t>
      </w:r>
      <w:bookmarkEnd w:id="52"/>
      <w:bookmarkEnd w:id="53"/>
      <w:r>
        <w:rPr>
          <w:rFonts w:hint="eastAsia" w:cs="Times New Roman" w:asciiTheme="majorEastAsia" w:hAnsiTheme="majorEastAsia"/>
          <w:bCs w:val="0"/>
          <w:sz w:val="30"/>
          <w:szCs w:val="30"/>
          <w:lang w:val="zh-CN"/>
        </w:rPr>
        <w:t>及标准</w:t>
      </w:r>
      <w:bookmarkEnd w:id="54"/>
      <w:bookmarkEnd w:id="55"/>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lang w:val="zh-CN"/>
        </w:rPr>
      </w:pPr>
    </w:p>
    <w:p>
      <w:pPr>
        <w:rPr>
          <w:rFonts w:hint="eastAsia" w:ascii="Helvetica" w:hAnsi="Helvetica" w:eastAsia="宋体" w:cs="Helvetica"/>
          <w:kern w:val="0"/>
          <w:sz w:val="24"/>
          <w:szCs w:val="24"/>
          <w:lang w:val="zh-CN"/>
        </w:rPr>
      </w:pPr>
    </w:p>
    <w:p>
      <w:pPr>
        <w:pStyle w:val="2"/>
        <w:rPr>
          <w:lang w:val="zh-CN"/>
        </w:rPr>
      </w:pP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6" w:name="_Toc494561963"/>
      <w:bookmarkStart w:id="57" w:name="_Toc495861544"/>
      <w:r>
        <w:rPr>
          <w:rFonts w:hint="eastAsia" w:cs="Times New Roman" w:asciiTheme="majorEastAsia" w:hAnsiTheme="majorEastAsia"/>
          <w:bCs w:val="0"/>
          <w:sz w:val="30"/>
          <w:szCs w:val="30"/>
          <w:lang w:val="zh-CN"/>
        </w:rPr>
        <w:t>评审因素及评分标准</w:t>
      </w:r>
      <w:bookmarkEnd w:id="56"/>
      <w:bookmarkEnd w:id="57"/>
    </w:p>
    <w:tbl>
      <w:tblPr>
        <w:tblStyle w:val="2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 评议</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5"/>
              <w:ind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kern w:val="0"/>
                <w:sz w:val="24"/>
                <w:szCs w:val="24"/>
                <w:highlight w:val="none"/>
                <w:lang w:val="en-US" w:eastAsia="zh-CN"/>
              </w:rPr>
              <w:t>50</w:t>
            </w:r>
            <w:r>
              <w:rPr>
                <w:rFonts w:hint="eastAsia" w:asciiTheme="minorEastAsia" w:hAnsiTheme="minorEastAsia" w:eastAsiaTheme="minorEastAsia" w:cstheme="minorEastAsia"/>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宋体" w:hAnsi="宋体" w:eastAsia="宋体" w:cs="宋体"/>
                <w:b/>
                <w:color w:val="000000"/>
                <w:sz w:val="24"/>
                <w:szCs w:val="24"/>
                <w:highlight w:val="none"/>
              </w:rPr>
              <w:t>★</w:t>
            </w:r>
            <w:r>
              <w:rPr>
                <w:rFonts w:hint="eastAsia" w:asciiTheme="minorEastAsia" w:hAnsiTheme="minorEastAsia" w:eastAsiaTheme="minorEastAsia" w:cstheme="minorEastAsia"/>
                <w:sz w:val="24"/>
                <w:szCs w:val="24"/>
                <w:highlight w:val="none"/>
              </w:rPr>
              <w:t>”号标识的条款，为重要技术参数，每一项负偏离，扣5分；其他参数，每一项负偏离，扣2分，</w:t>
            </w:r>
            <w:r>
              <w:rPr>
                <w:rFonts w:hint="eastAsia" w:asciiTheme="minorEastAsia" w:hAnsiTheme="minorEastAsia" w:cstheme="minorEastAsia"/>
                <w:sz w:val="24"/>
                <w:szCs w:val="24"/>
                <w:highlight w:val="none"/>
                <w:lang w:eastAsia="zh-CN"/>
              </w:rPr>
              <w:t>累计</w:t>
            </w:r>
            <w:r>
              <w:rPr>
                <w:rFonts w:hint="eastAsia" w:asciiTheme="minorEastAsia" w:hAnsiTheme="minorEastAsia" w:eastAsiaTheme="minorEastAsia" w:cstheme="minorEastAsia"/>
                <w:sz w:val="24"/>
                <w:szCs w:val="24"/>
                <w:highlight w:val="none"/>
              </w:rPr>
              <w:t>扣完</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kern w:val="0"/>
                <w:sz w:val="24"/>
                <w:szCs w:val="24"/>
              </w:rPr>
            </w:pPr>
            <w:r>
              <w:rPr>
                <w:rFonts w:hint="eastAsia" w:asciiTheme="minorEastAsia" w:hAnsiTheme="minorEastAsia" w:eastAsiaTheme="minorEastAsia" w:cstheme="minorEastAsia"/>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月至今）的类似成功案例进行评分，每提供一份得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分。（提供合同</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分；方案简单，售后服务网点较少得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投标人提供的培训方案</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专业技术情况</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培训计划等方面</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内容完整、合理、针对性强得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分；方案内容完整、计划可行符合项目需求得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分；方案内容完整基本符合项目需求得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为确保交货期而采取的保障措施,计划最完善得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分，计划较详细的得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分，计划较简单的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实施</w:t>
            </w:r>
            <w:r>
              <w:rPr>
                <w:rFonts w:hint="eastAsia" w:asciiTheme="minorEastAsia" w:hAnsiTheme="minorEastAsia" w:eastAsiaTheme="minorEastAsia" w:cstheme="minorEastAsia"/>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投标人提供的实施方案（包括安装、调试计划、验收方案）非常完整且合理、可操作性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基本完整、有可操作性得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简单欠妥、可操作性不高得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1分，未提供则不得分。 </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其他</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生产企业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向我国企业转让技术、与我国企业签订消化吸收再创新方案的供应商的进口产品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bl>
    <w:p/>
    <w:p>
      <w:r>
        <w:br w:type="page"/>
      </w:r>
    </w:p>
    <w:p>
      <w:pPr>
        <w:pStyle w:val="3"/>
        <w:numPr>
          <w:ilvl w:val="0"/>
          <w:numId w:val="1"/>
        </w:numPr>
        <w:jc w:val="center"/>
        <w:rPr>
          <w:rFonts w:ascii="黑体" w:hAnsi="黑体" w:eastAsia="黑体"/>
        </w:rPr>
      </w:pPr>
      <w:bookmarkStart w:id="58" w:name="_Toc494665943"/>
      <w:bookmarkStart w:id="59" w:name="_Toc494665546"/>
      <w:bookmarkStart w:id="60" w:name="_Toc494745310"/>
      <w:bookmarkStart w:id="61" w:name="_Toc494702263"/>
      <w:bookmarkStart w:id="62" w:name="_Toc495861545"/>
      <w:bookmarkStart w:id="63" w:name="_Toc494721093"/>
      <w:bookmarkStart w:id="64" w:name="_Toc494664993"/>
      <w:r>
        <w:rPr>
          <w:rFonts w:hint="eastAsia" w:ascii="黑体" w:hAnsi="黑体" w:eastAsia="黑体"/>
        </w:rPr>
        <w:t>合同书格式（参考）</w:t>
      </w:r>
      <w:bookmarkEnd w:id="58"/>
      <w:bookmarkEnd w:id="59"/>
      <w:bookmarkEnd w:id="60"/>
      <w:bookmarkEnd w:id="61"/>
      <w:bookmarkEnd w:id="62"/>
      <w:bookmarkEnd w:id="63"/>
      <w:bookmarkEnd w:id="64"/>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7"/>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5" w:name="_Toc494665944"/>
      <w:bookmarkStart w:id="66" w:name="_Toc494745311"/>
      <w:bookmarkStart w:id="67" w:name="_Toc494721094"/>
      <w:bookmarkStart w:id="68" w:name="_Toc494665547"/>
      <w:bookmarkStart w:id="69" w:name="_Toc494664994"/>
      <w:bookmarkStart w:id="70" w:name="_Toc495861546"/>
      <w:bookmarkStart w:id="71" w:name="_Toc494702264"/>
      <w:r>
        <w:rPr>
          <w:rFonts w:hint="eastAsia" w:ascii="黑体" w:hAnsi="黑体" w:eastAsia="黑体"/>
        </w:rPr>
        <w:t>投标文件格式（参考）</w:t>
      </w:r>
      <w:bookmarkEnd w:id="65"/>
      <w:bookmarkEnd w:id="66"/>
      <w:bookmarkEnd w:id="67"/>
      <w:bookmarkEnd w:id="68"/>
      <w:bookmarkEnd w:id="69"/>
      <w:bookmarkEnd w:id="70"/>
      <w:bookmarkEnd w:id="71"/>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2" w:name="_Toc494702265"/>
      <w:bookmarkStart w:id="73" w:name="_Toc494665548"/>
      <w:bookmarkStart w:id="74" w:name="_Toc495861547"/>
      <w:bookmarkStart w:id="75" w:name="_Toc494664995"/>
      <w:bookmarkStart w:id="76" w:name="_Toc494665945"/>
      <w:bookmarkStart w:id="77" w:name="_Toc494745312"/>
      <w:bookmarkStart w:id="78" w:name="_Toc494721095"/>
      <w:r>
        <w:rPr>
          <w:rFonts w:hint="eastAsia" w:cs="Times New Roman" w:asciiTheme="majorEastAsia" w:hAnsiTheme="majorEastAsia"/>
          <w:bCs w:val="0"/>
          <w:sz w:val="44"/>
          <w:szCs w:val="44"/>
          <w:lang w:val="zh-CN"/>
        </w:rPr>
        <w:t>第一部分 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w:t>
      </w:r>
      <w:r>
        <w:rPr>
          <w:rFonts w:hint="eastAsia" w:ascii="宋体" w:hAnsi="宋体"/>
          <w:b/>
          <w:sz w:val="36"/>
          <w:szCs w:val="36"/>
          <w:lang w:val="en-US" w:eastAsia="zh-CN"/>
        </w:rPr>
        <w:t xml:space="preserve">  </w:t>
      </w:r>
      <w:r>
        <w:rPr>
          <w:rFonts w:hint="eastAsia" w:ascii="宋体" w:hAnsi="宋体"/>
          <w:b/>
          <w:sz w:val="36"/>
          <w:szCs w:val="36"/>
        </w:rPr>
        <w:t>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9" w:name="_Toc494745313"/>
      <w:bookmarkStart w:id="80" w:name="_Toc494665946"/>
      <w:bookmarkStart w:id="81" w:name="_Toc494664996"/>
      <w:bookmarkStart w:id="82" w:name="_Toc494702266"/>
      <w:bookmarkStart w:id="83" w:name="_Toc494665549"/>
      <w:bookmarkStart w:id="84" w:name="_Toc494721096"/>
      <w:r>
        <w:rPr>
          <w:rFonts w:hint="eastAsia" w:ascii="黑体" w:hAnsi="黑体" w:eastAsia="黑体" w:cs="Times New Roman"/>
          <w:b/>
          <w:sz w:val="36"/>
          <w:szCs w:val="36"/>
        </w:rPr>
        <w:t>资格证明文件组成</w:t>
      </w:r>
      <w:bookmarkEnd w:id="79"/>
      <w:bookmarkEnd w:id="80"/>
      <w:bookmarkEnd w:id="81"/>
      <w:bookmarkEnd w:id="82"/>
      <w:bookmarkEnd w:id="83"/>
      <w:bookmarkEnd w:id="84"/>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8"/>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8"/>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5" w:name="_Toc494721097"/>
      <w:bookmarkStart w:id="86" w:name="_Toc494665550"/>
      <w:bookmarkStart w:id="87" w:name="_Toc495861548"/>
      <w:bookmarkStart w:id="88" w:name="_Toc494664997"/>
      <w:bookmarkStart w:id="89" w:name="_Toc494665947"/>
      <w:bookmarkStart w:id="90" w:name="_Toc494702267"/>
      <w:bookmarkStart w:id="91" w:name="_Toc494745314"/>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二0二一</w:t>
      </w:r>
      <w:r>
        <w:rPr>
          <w:rFonts w:hint="eastAsia" w:ascii="宋体" w:hAnsi="宋体"/>
          <w:b/>
          <w:sz w:val="36"/>
          <w:szCs w:val="36"/>
        </w:rPr>
        <w:t xml:space="preserve">  年 </w:t>
      </w:r>
      <w:r>
        <w:rPr>
          <w:rFonts w:hint="eastAsia" w:ascii="宋体" w:hAnsi="宋体"/>
          <w:b/>
          <w:sz w:val="36"/>
          <w:szCs w:val="36"/>
          <w:lang w:val="en-US" w:eastAsia="zh-CN"/>
        </w:rPr>
        <w:t xml:space="preserve">  </w:t>
      </w:r>
      <w:r>
        <w:rPr>
          <w:rFonts w:hint="eastAsia" w:ascii="宋体" w:hAnsi="宋体"/>
          <w:b/>
          <w:sz w:val="36"/>
          <w:szCs w:val="36"/>
        </w:rPr>
        <w:t>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2" w:name="_Toc494664998"/>
      <w:bookmarkStart w:id="93" w:name="_Toc494745315"/>
      <w:bookmarkStart w:id="94" w:name="_Toc494721098"/>
      <w:bookmarkStart w:id="95" w:name="_Toc494665948"/>
      <w:bookmarkStart w:id="96" w:name="_Toc494665551"/>
      <w:bookmarkStart w:id="97" w:name="_Toc494702268"/>
      <w:r>
        <w:rPr>
          <w:rFonts w:hint="eastAsia" w:ascii="黑体" w:hAnsi="黑体" w:eastAsia="黑体" w:cs="Times New Roman"/>
          <w:b/>
          <w:sz w:val="36"/>
          <w:szCs w:val="36"/>
        </w:rPr>
        <w:t>商务文件组成</w:t>
      </w:r>
      <w:bookmarkEnd w:id="92"/>
      <w:bookmarkEnd w:id="93"/>
      <w:bookmarkEnd w:id="94"/>
      <w:bookmarkEnd w:id="95"/>
      <w:bookmarkEnd w:id="96"/>
      <w:bookmarkEnd w:id="97"/>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8" w:name="_Toc494702269"/>
      <w:bookmarkStart w:id="99" w:name="_Toc494664999"/>
      <w:bookmarkStart w:id="100" w:name="_Toc494665552"/>
      <w:bookmarkStart w:id="101" w:name="_Toc494721099"/>
      <w:bookmarkStart w:id="102" w:name="_Toc495861549"/>
      <w:bookmarkStart w:id="103" w:name="_Toc494745316"/>
      <w:bookmarkStart w:id="104" w:name="_Toc4946659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5" w:name="_Toc494665000"/>
      <w:bookmarkStart w:id="106" w:name="_Toc494665553"/>
      <w:bookmarkStart w:id="107" w:name="_Toc494745317"/>
      <w:bookmarkStart w:id="108" w:name="_Toc494721100"/>
      <w:bookmarkStart w:id="109" w:name="_Toc494665950"/>
      <w:bookmarkStart w:id="110"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1"/>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11" w:name="_Toc236473298"/>
      <w:bookmarkStart w:id="112" w:name="_Toc494721101"/>
      <w:bookmarkStart w:id="113" w:name="_Toc494665554"/>
      <w:bookmarkStart w:id="114" w:name="_Toc494745318"/>
      <w:bookmarkStart w:id="115" w:name="_Toc494665951"/>
      <w:bookmarkStart w:id="116" w:name="_Toc494665001"/>
      <w:bookmarkStart w:id="117" w:name="_Toc238276242"/>
      <w:bookmarkStart w:id="118" w:name="_Toc495861550"/>
      <w:bookmarkStart w:id="119" w:name="_Toc494702271"/>
      <w:r>
        <w:rPr>
          <w:rFonts w:hint="eastAsia" w:ascii="宋体" w:hAnsi="宋体" w:eastAsia="宋体"/>
        </w:rPr>
        <w:t>投标书</w:t>
      </w:r>
      <w:bookmarkEnd w:id="111"/>
      <w:bookmarkEnd w:id="112"/>
      <w:bookmarkEnd w:id="113"/>
      <w:bookmarkEnd w:id="114"/>
      <w:bookmarkEnd w:id="115"/>
      <w:bookmarkEnd w:id="116"/>
      <w:bookmarkEnd w:id="117"/>
      <w:bookmarkEnd w:id="118"/>
      <w:bookmarkEnd w:id="119"/>
    </w:p>
    <w:p>
      <w:pPr>
        <w:spacing w:line="360" w:lineRule="auto"/>
        <w:rPr>
          <w:b/>
          <w:sz w:val="28"/>
          <w:szCs w:val="28"/>
        </w:rPr>
      </w:pPr>
      <w:r>
        <w:rPr>
          <w:rFonts w:hint="eastAsia"/>
          <w:b/>
          <w:sz w:val="28"/>
          <w:szCs w:val="28"/>
        </w:rPr>
        <w:t>采购</w:t>
      </w:r>
      <w:r>
        <w:rPr>
          <w:rFonts w:hint="eastAsia"/>
          <w:b/>
          <w:color w:val="auto"/>
          <w:sz w:val="28"/>
          <w:szCs w:val="28"/>
        </w:rPr>
        <w:t>人（或采购代理公司）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20" w:name="_Toc494665555"/>
      <w:bookmarkStart w:id="121" w:name="_Toc495861551"/>
      <w:bookmarkStart w:id="122" w:name="_Toc494665002"/>
      <w:bookmarkStart w:id="123" w:name="_Toc494745319"/>
      <w:bookmarkStart w:id="124" w:name="_Toc494665952"/>
      <w:bookmarkStart w:id="125" w:name="_Toc494721102"/>
      <w:bookmarkStart w:id="126" w:name="_Toc494702272"/>
      <w:r>
        <w:rPr>
          <w:rFonts w:hint="eastAsia" w:ascii="宋体" w:hAnsi="宋体" w:eastAsia="宋体"/>
        </w:rPr>
        <w:t>制造商中小企业声明函</w:t>
      </w:r>
      <w:bookmarkEnd w:id="120"/>
      <w:bookmarkEnd w:id="121"/>
      <w:bookmarkEnd w:id="122"/>
      <w:bookmarkEnd w:id="123"/>
      <w:bookmarkEnd w:id="124"/>
      <w:bookmarkEnd w:id="125"/>
      <w:bookmarkEnd w:id="12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2"/>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2"/>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2"/>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27" w:name="_Toc494745320"/>
      <w:bookmarkStart w:id="128" w:name="_Toc456264006"/>
      <w:bookmarkStart w:id="129" w:name="_Toc494702273"/>
      <w:bookmarkStart w:id="130" w:name="_Toc494721103"/>
      <w:bookmarkStart w:id="131" w:name="_Toc495861552"/>
      <w:bookmarkStart w:id="132" w:name="_Toc494665003"/>
      <w:bookmarkStart w:id="133" w:name="_Toc494665953"/>
      <w:bookmarkStart w:id="134" w:name="_Toc494665556"/>
      <w:r>
        <w:rPr>
          <w:rFonts w:hint="eastAsia" w:ascii="宋体" w:hAnsi="宋体" w:eastAsia="宋体"/>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5" w:name="_Toc476153619"/>
      <w:r>
        <w:rPr>
          <w:rFonts w:hint="eastAsia" w:ascii="宋体" w:hAnsi="宋体" w:eastAsia="宋体" w:cs="Times New Roman"/>
          <w:b/>
          <w:sz w:val="30"/>
          <w:szCs w:val="30"/>
          <w:lang w:val="zh-CN"/>
        </w:rPr>
        <w:t>中小企业划型标准</w:t>
      </w:r>
      <w:bookmarkEnd w:id="135"/>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2"/>
        </w:numPr>
        <w:spacing w:before="100" w:beforeAutospacing="1" w:afterLines="50" w:line="360" w:lineRule="auto"/>
        <w:ind w:left="1288" w:hanging="1288"/>
        <w:rPr>
          <w:rFonts w:ascii="宋体" w:hAnsi="宋体" w:eastAsia="宋体"/>
        </w:rPr>
      </w:pPr>
      <w:bookmarkStart w:id="136" w:name="_Toc494665004"/>
      <w:bookmarkStart w:id="137" w:name="_Toc494745321"/>
      <w:bookmarkStart w:id="138" w:name="_Toc494665954"/>
      <w:bookmarkStart w:id="139" w:name="_Toc494721104"/>
      <w:bookmarkStart w:id="140" w:name="_Toc494665557"/>
      <w:bookmarkStart w:id="141" w:name="_Toc494702274"/>
      <w:bookmarkStart w:id="142" w:name="_Toc495861553"/>
      <w:r>
        <w:rPr>
          <w:rFonts w:hint="eastAsia" w:ascii="宋体" w:hAnsi="宋体" w:eastAsia="宋体"/>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pStyle w:val="12"/>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2"/>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2"/>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color w:val="auto"/>
          <w:sz w:val="28"/>
          <w:szCs w:val="28"/>
        </w:rPr>
      </w:pPr>
      <w:r>
        <w:rPr>
          <w:rFonts w:hint="eastAsia"/>
          <w:b/>
          <w:sz w:val="28"/>
          <w:szCs w:val="28"/>
        </w:rPr>
        <w:t>采</w:t>
      </w:r>
      <w:r>
        <w:rPr>
          <w:rFonts w:hint="eastAsia"/>
          <w:b/>
          <w:color w:val="auto"/>
          <w:sz w:val="28"/>
          <w:szCs w:val="28"/>
        </w:rPr>
        <w:t>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43" w:name="_Toc494665005"/>
      <w:bookmarkStart w:id="144" w:name="_Toc494665955"/>
      <w:bookmarkStart w:id="145" w:name="_Toc495861554"/>
      <w:bookmarkStart w:id="146" w:name="_Toc494577410"/>
      <w:bookmarkStart w:id="147" w:name="_Toc494702275"/>
      <w:bookmarkStart w:id="148" w:name="_Toc494745322"/>
      <w:bookmarkStart w:id="149" w:name="_Toc494721105"/>
      <w:bookmarkStart w:id="150" w:name="_Toc494665558"/>
      <w:r>
        <w:rPr>
          <w:rFonts w:hint="eastAsia" w:ascii="宋体" w:hAnsi="宋体" w:eastAsia="宋体"/>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w:t>
            </w:r>
            <w:r>
              <w:rPr>
                <w:rFonts w:hint="eastAsia" w:ascii="宋体" w:hAnsi="宋体" w:eastAsia="宋体" w:cs="宋体"/>
                <w:kern w:val="0"/>
                <w:sz w:val="24"/>
                <w:szCs w:val="24"/>
                <w:lang w:eastAsia="zh-CN"/>
              </w:rPr>
              <w:t>拾</w:t>
            </w:r>
            <w:r>
              <w:rPr>
                <w:rFonts w:hint="eastAsia" w:ascii="宋体" w:hAnsi="宋体" w:eastAsia="宋体" w:cs="宋体"/>
                <w:kern w:val="0"/>
                <w:sz w:val="24"/>
                <w:szCs w:val="24"/>
              </w:rPr>
              <w:t>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51" w:name="_Toc494745323"/>
      <w:bookmarkStart w:id="152" w:name="_Toc494577411"/>
      <w:bookmarkStart w:id="153" w:name="_Toc494702276"/>
      <w:bookmarkStart w:id="154" w:name="_Toc494665956"/>
      <w:bookmarkStart w:id="155" w:name="_Toc494721106"/>
      <w:bookmarkStart w:id="156" w:name="_Toc495861555"/>
      <w:bookmarkStart w:id="157" w:name="_Toc494665559"/>
      <w:bookmarkStart w:id="158" w:name="_Toc494665006"/>
      <w:r>
        <w:rPr>
          <w:rFonts w:hint="eastAsia" w:ascii="宋体" w:hAnsi="宋体" w:eastAsia="宋体"/>
        </w:rPr>
        <w:t>投标报价明细表</w:t>
      </w:r>
      <w:bookmarkEnd w:id="151"/>
      <w:bookmarkEnd w:id="152"/>
      <w:bookmarkEnd w:id="153"/>
      <w:bookmarkEnd w:id="154"/>
      <w:bookmarkEnd w:id="155"/>
      <w:bookmarkEnd w:id="156"/>
      <w:bookmarkEnd w:id="157"/>
      <w:bookmarkEnd w:id="15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sz w:val="31"/>
          <w:szCs w:val="31"/>
        </w:rPr>
      </w:pPr>
      <w:bookmarkStart w:id="159" w:name="_Toc494577412"/>
      <w:bookmarkStart w:id="160" w:name="_Toc494702277"/>
      <w:bookmarkStart w:id="161" w:name="_Toc494721107"/>
      <w:bookmarkStart w:id="162" w:name="_Toc495861556"/>
      <w:bookmarkStart w:id="163" w:name="_Toc494665957"/>
      <w:bookmarkStart w:id="164" w:name="_Toc494745324"/>
      <w:bookmarkStart w:id="165" w:name="_Toc494665007"/>
      <w:bookmarkStart w:id="166" w:name="_Toc494665560"/>
      <w:r>
        <w:rPr>
          <w:rFonts w:hint="eastAsia" w:ascii="宋体" w:hAnsi="宋体" w:eastAsia="宋体"/>
          <w:sz w:val="31"/>
          <w:szCs w:val="31"/>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67" w:name="_Toc494665561"/>
      <w:bookmarkStart w:id="168" w:name="_Toc494665958"/>
      <w:bookmarkStart w:id="169" w:name="_Toc494702278"/>
      <w:bookmarkStart w:id="170" w:name="_Toc494745325"/>
      <w:bookmarkStart w:id="171" w:name="_Toc494721108"/>
      <w:bookmarkStart w:id="172" w:name="_Toc495861557"/>
      <w:bookmarkStart w:id="173" w:name="_Toc494665008"/>
      <w:r>
        <w:rPr>
          <w:rFonts w:hint="eastAsia" w:ascii="宋体" w:hAnsi="宋体" w:eastAsia="宋体"/>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74" w:name="_Toc494721109"/>
      <w:bookmarkStart w:id="175" w:name="_Toc494665562"/>
      <w:bookmarkStart w:id="176" w:name="_Toc494665959"/>
      <w:bookmarkStart w:id="177" w:name="_Toc494665009"/>
      <w:bookmarkStart w:id="178" w:name="_Toc495861558"/>
      <w:bookmarkStart w:id="179" w:name="_Toc494745326"/>
      <w:bookmarkStart w:id="180" w:name="_Toc494702279"/>
      <w:r>
        <w:rPr>
          <w:rFonts w:hint="eastAsia" w:ascii="宋体" w:hAnsi="宋体" w:eastAsia="宋体"/>
        </w:rPr>
        <w:t>交纳投标保证金的银行凭证</w:t>
      </w:r>
      <w:bookmarkEnd w:id="174"/>
      <w:bookmarkEnd w:id="175"/>
      <w:bookmarkEnd w:id="176"/>
      <w:bookmarkEnd w:id="177"/>
      <w:bookmarkEnd w:id="178"/>
      <w:bookmarkEnd w:id="179"/>
      <w:bookmarkEnd w:id="180"/>
    </w:p>
    <w:p>
      <w:pPr>
        <w:spacing w:line="480" w:lineRule="auto"/>
        <w:rPr>
          <w:rFonts w:ascii="宋体" w:hAnsi="宋体" w:cs="Courier New"/>
          <w:b/>
          <w:color w:val="auto"/>
          <w:sz w:val="28"/>
          <w:szCs w:val="28"/>
        </w:rPr>
      </w:pPr>
      <w:r>
        <w:rPr>
          <w:rFonts w:hint="eastAsia"/>
          <w:b/>
          <w:sz w:val="28"/>
          <w:szCs w:val="28"/>
        </w:rPr>
        <w:t>采购人</w:t>
      </w:r>
      <w:r>
        <w:rPr>
          <w:rFonts w:hint="eastAsia"/>
          <w:b/>
          <w:color w:val="auto"/>
          <w:sz w:val="28"/>
          <w:szCs w:val="28"/>
        </w:rPr>
        <w:t>（或代理公司）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81" w:name="_Toc236473303"/>
      <w:bookmarkStart w:id="182" w:name="_Toc238276247"/>
      <w:bookmarkStart w:id="183" w:name="_Toc494665563"/>
      <w:bookmarkStart w:id="184" w:name="_Toc495861559"/>
      <w:bookmarkStart w:id="185" w:name="_Toc494665960"/>
      <w:bookmarkStart w:id="186" w:name="_Toc494721110"/>
      <w:bookmarkStart w:id="187" w:name="_Toc494665010"/>
      <w:bookmarkStart w:id="188" w:name="_Toc494702280"/>
      <w:bookmarkStart w:id="189" w:name="_Toc494745327"/>
      <w:r>
        <w:rPr>
          <w:rFonts w:hint="eastAsia" w:ascii="宋体" w:hAnsi="宋体" w:eastAsia="宋体"/>
        </w:rPr>
        <w:t>法定代表人授权书</w:t>
      </w:r>
      <w:bookmarkEnd w:id="181"/>
      <w:bookmarkEnd w:id="182"/>
      <w:bookmarkEnd w:id="183"/>
      <w:bookmarkEnd w:id="184"/>
      <w:bookmarkEnd w:id="185"/>
      <w:bookmarkEnd w:id="186"/>
      <w:bookmarkEnd w:id="187"/>
      <w:bookmarkEnd w:id="188"/>
      <w:bookmarkEnd w:id="189"/>
    </w:p>
    <w:p>
      <w:pPr>
        <w:spacing w:line="480" w:lineRule="auto"/>
        <w:rPr>
          <w:rFonts w:ascii="宋体" w:hAnsi="宋体" w:eastAsia="宋体" w:cs="Times New Roman"/>
          <w:b/>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2"/>
        </w:numPr>
        <w:spacing w:before="100" w:beforeAutospacing="1" w:afterLines="50" w:line="360" w:lineRule="auto"/>
        <w:ind w:left="1610" w:hanging="1610"/>
        <w:rPr>
          <w:rFonts w:ascii="宋体" w:hAnsi="宋体" w:eastAsia="宋体"/>
        </w:rPr>
      </w:pPr>
      <w:bookmarkStart w:id="190" w:name="_Toc494745328"/>
      <w:bookmarkStart w:id="191" w:name="_Toc494665961"/>
      <w:bookmarkStart w:id="192" w:name="_Toc494721111"/>
      <w:bookmarkStart w:id="193" w:name="_Toc494665564"/>
      <w:bookmarkStart w:id="194" w:name="_Toc494702281"/>
      <w:bookmarkStart w:id="195" w:name="_Toc495861560"/>
      <w:bookmarkStart w:id="196" w:name="_Toc236473304"/>
      <w:bookmarkStart w:id="197" w:name="_Toc494665011"/>
      <w:bookmarkStart w:id="198" w:name="_Toc238276248"/>
      <w:r>
        <w:rPr>
          <w:rFonts w:hint="eastAsia" w:ascii="宋体" w:hAnsi="宋体" w:eastAsia="宋体"/>
        </w:rPr>
        <w:t>投标人的资格声明</w:t>
      </w:r>
      <w:bookmarkEnd w:id="190"/>
      <w:bookmarkEnd w:id="191"/>
      <w:bookmarkEnd w:id="192"/>
      <w:bookmarkEnd w:id="193"/>
      <w:bookmarkEnd w:id="194"/>
      <w:bookmarkEnd w:id="195"/>
      <w:bookmarkEnd w:id="196"/>
      <w:bookmarkEnd w:id="197"/>
      <w:bookmarkEnd w:id="198"/>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2"/>
        </w:numPr>
        <w:spacing w:before="100" w:beforeAutospacing="1" w:afterLines="50" w:line="360" w:lineRule="auto"/>
        <w:ind w:left="1610" w:hanging="1610"/>
        <w:rPr>
          <w:rFonts w:ascii="宋体" w:hAnsi="宋体" w:eastAsia="宋体"/>
        </w:rPr>
      </w:pPr>
      <w:bookmarkStart w:id="199" w:name="_Toc494665565"/>
      <w:bookmarkStart w:id="200" w:name="_Toc494665962"/>
      <w:bookmarkStart w:id="201" w:name="_Toc494721112"/>
      <w:bookmarkStart w:id="202" w:name="_Toc494745329"/>
      <w:bookmarkStart w:id="203" w:name="_Toc494665012"/>
      <w:bookmarkStart w:id="204" w:name="_Toc494702282"/>
      <w:bookmarkStart w:id="205" w:name="_Toc495861561"/>
      <w:r>
        <w:rPr>
          <w:rFonts w:hint="eastAsia" w:ascii="宋体" w:hAnsi="宋体" w:eastAsia="宋体"/>
        </w:rPr>
        <w:t>项目负责人、技术负责人简历表</w:t>
      </w:r>
      <w:bookmarkEnd w:id="199"/>
      <w:bookmarkEnd w:id="200"/>
      <w:bookmarkEnd w:id="201"/>
      <w:bookmarkEnd w:id="202"/>
      <w:bookmarkEnd w:id="203"/>
      <w:bookmarkEnd w:id="204"/>
      <w:bookmarkEnd w:id="20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06" w:name="_Toc494665566"/>
      <w:bookmarkStart w:id="207" w:name="_Toc495861562"/>
      <w:bookmarkStart w:id="208" w:name="_Toc236473307"/>
      <w:bookmarkStart w:id="209" w:name="_Toc494721113"/>
      <w:bookmarkStart w:id="210" w:name="_Toc494665963"/>
      <w:bookmarkStart w:id="211" w:name="_Toc494745330"/>
      <w:bookmarkStart w:id="212" w:name="_Toc238276251"/>
      <w:bookmarkStart w:id="213" w:name="_Toc494665013"/>
      <w:bookmarkStart w:id="214" w:name="_Toc494702283"/>
      <w:r>
        <w:rPr>
          <w:rFonts w:hint="eastAsia" w:ascii="宋体" w:hAnsi="宋体" w:eastAsia="宋体"/>
        </w:rPr>
        <w:t>项目班子成员情况表</w:t>
      </w:r>
      <w:bookmarkEnd w:id="206"/>
      <w:bookmarkEnd w:id="207"/>
      <w:bookmarkEnd w:id="208"/>
      <w:bookmarkEnd w:id="209"/>
      <w:bookmarkEnd w:id="210"/>
      <w:bookmarkEnd w:id="211"/>
      <w:bookmarkEnd w:id="212"/>
      <w:bookmarkEnd w:id="213"/>
      <w:bookmarkEnd w:id="21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15" w:name="_Toc495861563"/>
      <w:bookmarkStart w:id="216" w:name="_Toc494665567"/>
      <w:bookmarkStart w:id="217" w:name="_Toc494665964"/>
      <w:bookmarkStart w:id="218" w:name="_Toc236473312"/>
      <w:bookmarkStart w:id="219" w:name="_Toc494702284"/>
      <w:bookmarkStart w:id="220" w:name="_Toc238276256"/>
      <w:bookmarkStart w:id="221" w:name="_Toc494745331"/>
      <w:bookmarkStart w:id="222" w:name="_Toc494665014"/>
      <w:bookmarkStart w:id="223" w:name="_Toc494721114"/>
      <w:r>
        <w:rPr>
          <w:rFonts w:hint="eastAsia" w:ascii="宋体" w:hAnsi="宋体" w:eastAsia="宋体"/>
        </w:rPr>
        <w:t>投标人类似项目业绩表</w:t>
      </w:r>
      <w:bookmarkEnd w:id="215"/>
      <w:bookmarkEnd w:id="216"/>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24" w:name="_Toc494745332"/>
      <w:bookmarkStart w:id="225" w:name="_Toc494665965"/>
      <w:bookmarkStart w:id="226" w:name="_Toc494721115"/>
      <w:bookmarkStart w:id="227" w:name="_Toc494702285"/>
      <w:bookmarkStart w:id="228" w:name="_Toc494665015"/>
      <w:bookmarkStart w:id="229" w:name="_Toc495861564"/>
      <w:bookmarkStart w:id="230" w:name="_Toc494665568"/>
      <w:r>
        <w:rPr>
          <w:rFonts w:hint="eastAsia" w:ascii="宋体" w:hAnsi="宋体" w:eastAsia="宋体"/>
        </w:rPr>
        <w:t>符合性审查对照表</w:t>
      </w:r>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31" w:name="_Toc494721116"/>
      <w:bookmarkStart w:id="232" w:name="_Toc494665016"/>
      <w:bookmarkStart w:id="233" w:name="_Toc495861565"/>
      <w:bookmarkStart w:id="234" w:name="_Toc494745333"/>
      <w:bookmarkStart w:id="235" w:name="_Toc494665569"/>
      <w:bookmarkStart w:id="236" w:name="_Toc494702286"/>
      <w:bookmarkStart w:id="237" w:name="_Toc494665966"/>
      <w:r>
        <w:rPr>
          <w:rFonts w:hint="eastAsia" w:ascii="宋体" w:hAnsi="宋体" w:eastAsia="宋体"/>
        </w:rPr>
        <w:t>商务要求响应、偏离说明表</w:t>
      </w:r>
      <w:bookmarkEnd w:id="231"/>
      <w:bookmarkEnd w:id="232"/>
      <w:bookmarkEnd w:id="233"/>
      <w:bookmarkEnd w:id="234"/>
      <w:bookmarkEnd w:id="235"/>
      <w:bookmarkEnd w:id="236"/>
      <w:bookmarkEnd w:id="23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38" w:name="_Toc494721117"/>
      <w:bookmarkStart w:id="239" w:name="_Toc494665967"/>
      <w:bookmarkStart w:id="240" w:name="_Toc494665017"/>
      <w:bookmarkStart w:id="241" w:name="_Toc494665570"/>
      <w:bookmarkStart w:id="242" w:name="_Toc495861566"/>
      <w:bookmarkStart w:id="243" w:name="_Toc494702287"/>
      <w:bookmarkStart w:id="244" w:name="_Toc494745334"/>
      <w:r>
        <w:rPr>
          <w:rFonts w:hint="eastAsia" w:ascii="宋体" w:hAnsi="宋体" w:eastAsia="宋体"/>
        </w:rPr>
        <w:t>商务要求“★”号条款响应、偏离说明表</w:t>
      </w:r>
      <w:bookmarkEnd w:id="238"/>
      <w:bookmarkEnd w:id="239"/>
      <w:bookmarkEnd w:id="240"/>
      <w:bookmarkEnd w:id="241"/>
      <w:bookmarkEnd w:id="242"/>
      <w:bookmarkEnd w:id="243"/>
      <w:bookmarkEnd w:id="24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45" w:name="_Toc494702288"/>
      <w:bookmarkStart w:id="246" w:name="_Toc494721118"/>
      <w:bookmarkStart w:id="247" w:name="_Toc494665571"/>
      <w:bookmarkStart w:id="248" w:name="_Toc494665018"/>
      <w:bookmarkStart w:id="249" w:name="_Toc494745335"/>
      <w:bookmarkStart w:id="250" w:name="_Toc495861567"/>
      <w:bookmarkStart w:id="251" w:name="_Toc494665968"/>
      <w:r>
        <w:rPr>
          <w:rFonts w:hint="eastAsia" w:ascii="宋体" w:hAnsi="宋体" w:eastAsia="宋体"/>
        </w:rPr>
        <w:t>商务评议对照表</w:t>
      </w:r>
      <w:bookmarkEnd w:id="245"/>
      <w:bookmarkEnd w:id="246"/>
      <w:bookmarkEnd w:id="247"/>
      <w:bookmarkEnd w:id="248"/>
      <w:bookmarkEnd w:id="249"/>
      <w:bookmarkEnd w:id="250"/>
      <w:bookmarkEnd w:id="25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2" w:name="_Toc494702289"/>
      <w:bookmarkStart w:id="253" w:name="_Toc494665969"/>
      <w:bookmarkStart w:id="254" w:name="_Toc494745336"/>
      <w:bookmarkStart w:id="255" w:name="_Toc494721119"/>
      <w:bookmarkStart w:id="256" w:name="_Toc494665572"/>
      <w:bookmarkStart w:id="257" w:name="_Toc494665019"/>
      <w:bookmarkStart w:id="258" w:name="_Toc495861568"/>
      <w:r>
        <w:rPr>
          <w:rFonts w:hint="eastAsia" w:ascii="宋体" w:hAnsi="宋体" w:eastAsia="宋体"/>
        </w:rPr>
        <w:t>技术、服务要求响应、偏离说明表</w:t>
      </w:r>
      <w:bookmarkEnd w:id="252"/>
      <w:bookmarkEnd w:id="253"/>
      <w:bookmarkEnd w:id="254"/>
      <w:bookmarkEnd w:id="255"/>
      <w:bookmarkEnd w:id="256"/>
      <w:bookmarkEnd w:id="257"/>
      <w:bookmarkEnd w:id="25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9" w:name="_Toc494721120"/>
      <w:bookmarkStart w:id="260" w:name="_Toc494665573"/>
      <w:bookmarkStart w:id="261" w:name="_Toc494745337"/>
      <w:bookmarkStart w:id="262" w:name="_Toc494702290"/>
      <w:bookmarkStart w:id="263" w:name="_Toc494665970"/>
      <w:bookmarkStart w:id="264" w:name="_Toc495861569"/>
      <w:bookmarkStart w:id="265" w:name="_Toc494665020"/>
      <w:bookmarkStart w:id="266" w:name="_Toc329859066"/>
      <w:r>
        <w:rPr>
          <w:rFonts w:hint="eastAsia" w:ascii="宋体" w:hAnsi="宋体" w:eastAsia="宋体"/>
        </w:rPr>
        <w:t>技术、服务要求“★”号条款响应、偏离说明表</w:t>
      </w:r>
      <w:bookmarkEnd w:id="259"/>
      <w:bookmarkEnd w:id="260"/>
      <w:bookmarkEnd w:id="261"/>
      <w:bookmarkEnd w:id="262"/>
      <w:bookmarkEnd w:id="263"/>
      <w:bookmarkEnd w:id="264"/>
      <w:bookmarkEnd w:id="2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6"/>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67" w:name="_Toc495861570"/>
      <w:bookmarkStart w:id="268" w:name="_Toc494721121"/>
      <w:bookmarkStart w:id="269" w:name="_Toc494665574"/>
      <w:bookmarkStart w:id="270" w:name="_Toc494745338"/>
      <w:bookmarkStart w:id="271" w:name="_Toc494665971"/>
      <w:bookmarkStart w:id="272" w:name="_Toc494665021"/>
      <w:bookmarkStart w:id="273" w:name="_Toc494702291"/>
      <w:r>
        <w:rPr>
          <w:rFonts w:hint="eastAsia" w:ascii="宋体" w:hAnsi="宋体" w:eastAsia="宋体"/>
        </w:rPr>
        <w:t>技术、服务评议对照表</w:t>
      </w:r>
      <w:bookmarkEnd w:id="267"/>
      <w:bookmarkEnd w:id="268"/>
      <w:bookmarkEnd w:id="269"/>
      <w:bookmarkEnd w:id="270"/>
      <w:bookmarkEnd w:id="271"/>
      <w:bookmarkEnd w:id="272"/>
      <w:bookmarkEnd w:id="27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广州穗科建设管理有限公司</w:t>
    </w:r>
    <w:r>
      <w:rPr>
        <w:rFonts w:hint="eastAsia" w:asciiTheme="minorEastAsia" w:hAnsiTheme="minorEastAsia"/>
      </w:rPr>
      <w:t>制</w:t>
    </w:r>
  </w:p>
  <w:p>
    <w:pPr>
      <w:pStyle w:val="16"/>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lear" w:pos="4153"/>
      </w:tabs>
      <w:jc w:val="left"/>
      <w:rPr>
        <w:rFonts w:hint="eastAsia" w:eastAsiaTheme="minorEastAsia"/>
        <w:b/>
        <w:u w:val="none"/>
        <w:lang w:eastAsia="zh-CN"/>
      </w:rPr>
    </w:pPr>
    <w:r>
      <w:rPr>
        <w:rFonts w:hint="eastAsia"/>
        <w:b/>
        <w:u w:val="none"/>
      </w:rPr>
      <w:t>项目名称</w:t>
    </w:r>
    <w:r>
      <w:rPr>
        <w:rFonts w:hint="eastAsia" w:asciiTheme="minorEastAsia" w:hAnsiTheme="minorEastAsia"/>
        <w:b/>
        <w:u w:val="none"/>
      </w:rPr>
      <w:t>：</w:t>
    </w:r>
    <w:r>
      <w:rPr>
        <w:rFonts w:hint="eastAsia"/>
        <w:b/>
        <w:u w:val="none"/>
        <w:lang w:eastAsia="zh-CN"/>
      </w:rPr>
      <w:t>阳新县人民医院城东新院区医疗设备采购项目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350B5"/>
    <w:multiLevelType w:val="singleLevel"/>
    <w:tmpl w:val="C97350B5"/>
    <w:lvl w:ilvl="0" w:tentative="0">
      <w:start w:val="2"/>
      <w:numFmt w:val="chineseCounting"/>
      <w:suff w:val="nothing"/>
      <w:lvlText w:val="（%1）"/>
      <w:lvlJc w:val="left"/>
      <w:rPr>
        <w:rFonts w:hint="eastAsia"/>
      </w:rPr>
    </w:lvl>
  </w:abstractNum>
  <w:abstractNum w:abstractNumId="1">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1"/>
    <w:multiLevelType w:val="multilevel"/>
    <w:tmpl w:val="00000021"/>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2C"/>
    <w:multiLevelType w:val="multilevel"/>
    <w:tmpl w:val="0000002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0000006E"/>
    <w:multiLevelType w:val="multilevel"/>
    <w:tmpl w:val="0000006E"/>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3">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7">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0">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1">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4">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5">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6">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9">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0">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1">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2">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4">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B81BFFD"/>
    <w:multiLevelType w:val="singleLevel"/>
    <w:tmpl w:val="6B81BFFD"/>
    <w:lvl w:ilvl="0" w:tentative="0">
      <w:start w:val="4"/>
      <w:numFmt w:val="chineseCounting"/>
      <w:suff w:val="nothing"/>
      <w:lvlText w:val="%1、"/>
      <w:lvlJc w:val="left"/>
      <w:rPr>
        <w:rFonts w:hint="eastAsia"/>
      </w:rPr>
    </w:lvl>
  </w:abstractNum>
  <w:abstractNum w:abstractNumId="6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4"/>
  </w:num>
  <w:num w:numId="2">
    <w:abstractNumId w:val="65"/>
  </w:num>
  <w:num w:numId="3">
    <w:abstractNumId w:val="46"/>
  </w:num>
  <w:num w:numId="4">
    <w:abstractNumId w:val="56"/>
  </w:num>
  <w:num w:numId="5">
    <w:abstractNumId w:val="19"/>
  </w:num>
  <w:num w:numId="6">
    <w:abstractNumId w:val="52"/>
  </w:num>
  <w:num w:numId="7">
    <w:abstractNumId w:val="32"/>
  </w:num>
  <w:num w:numId="8">
    <w:abstractNumId w:val="23"/>
  </w:num>
  <w:num w:numId="9">
    <w:abstractNumId w:val="62"/>
  </w:num>
  <w:num w:numId="10">
    <w:abstractNumId w:val="47"/>
  </w:num>
  <w:num w:numId="11">
    <w:abstractNumId w:val="58"/>
  </w:num>
  <w:num w:numId="12">
    <w:abstractNumId w:val="45"/>
  </w:num>
  <w:num w:numId="13">
    <w:abstractNumId w:val="22"/>
  </w:num>
  <w:num w:numId="14">
    <w:abstractNumId w:val="39"/>
  </w:num>
  <w:num w:numId="15">
    <w:abstractNumId w:val="40"/>
  </w:num>
  <w:num w:numId="16">
    <w:abstractNumId w:val="26"/>
  </w:num>
  <w:num w:numId="17">
    <w:abstractNumId w:val="25"/>
  </w:num>
  <w:num w:numId="18">
    <w:abstractNumId w:val="72"/>
  </w:num>
  <w:num w:numId="19">
    <w:abstractNumId w:val="27"/>
  </w:num>
  <w:num w:numId="20">
    <w:abstractNumId w:val="44"/>
  </w:num>
  <w:num w:numId="21">
    <w:abstractNumId w:val="51"/>
  </w:num>
  <w:num w:numId="22">
    <w:abstractNumId w:val="75"/>
  </w:num>
  <w:num w:numId="23">
    <w:abstractNumId w:val="57"/>
  </w:num>
  <w:num w:numId="24">
    <w:abstractNumId w:val="68"/>
  </w:num>
  <w:num w:numId="25">
    <w:abstractNumId w:val="73"/>
  </w:num>
  <w:num w:numId="26">
    <w:abstractNumId w:val="55"/>
  </w:num>
  <w:num w:numId="27">
    <w:abstractNumId w:val="24"/>
  </w:num>
  <w:num w:numId="28">
    <w:abstractNumId w:val="36"/>
  </w:num>
  <w:num w:numId="29">
    <w:abstractNumId w:val="69"/>
  </w:num>
  <w:num w:numId="30">
    <w:abstractNumId w:val="63"/>
  </w:num>
  <w:num w:numId="31">
    <w:abstractNumId w:val="50"/>
  </w:num>
  <w:num w:numId="32">
    <w:abstractNumId w:val="61"/>
  </w:num>
  <w:num w:numId="33">
    <w:abstractNumId w:val="41"/>
  </w:num>
  <w:num w:numId="34">
    <w:abstractNumId w:val="64"/>
  </w:num>
  <w:num w:numId="35">
    <w:abstractNumId w:val="18"/>
  </w:num>
  <w:num w:numId="36">
    <w:abstractNumId w:val="0"/>
  </w:num>
  <w:num w:numId="37">
    <w:abstractNumId w:val="21"/>
  </w:num>
  <w:num w:numId="38">
    <w:abstractNumId w:val="12"/>
  </w:num>
  <w:num w:numId="39">
    <w:abstractNumId w:val="8"/>
  </w:num>
  <w:num w:numId="40">
    <w:abstractNumId w:val="7"/>
  </w:num>
  <w:num w:numId="41">
    <w:abstractNumId w:val="13"/>
  </w:num>
  <w:num w:numId="42">
    <w:abstractNumId w:val="3"/>
  </w:num>
  <w:num w:numId="43">
    <w:abstractNumId w:val="11"/>
  </w:num>
  <w:num w:numId="44">
    <w:abstractNumId w:val="4"/>
  </w:num>
  <w:num w:numId="45">
    <w:abstractNumId w:val="14"/>
  </w:num>
  <w:num w:numId="46">
    <w:abstractNumId w:val="2"/>
  </w:num>
  <w:num w:numId="47">
    <w:abstractNumId w:val="6"/>
  </w:num>
  <w:num w:numId="48">
    <w:abstractNumId w:val="1"/>
  </w:num>
  <w:num w:numId="49">
    <w:abstractNumId w:val="15"/>
  </w:num>
  <w:num w:numId="50">
    <w:abstractNumId w:val="5"/>
  </w:num>
  <w:num w:numId="51">
    <w:abstractNumId w:val="10"/>
  </w:num>
  <w:num w:numId="52">
    <w:abstractNumId w:val="9"/>
  </w:num>
  <w:num w:numId="53">
    <w:abstractNumId w:val="16"/>
  </w:num>
  <w:num w:numId="54">
    <w:abstractNumId w:val="48"/>
  </w:num>
  <w:num w:numId="55">
    <w:abstractNumId w:val="34"/>
  </w:num>
  <w:num w:numId="56">
    <w:abstractNumId w:val="60"/>
  </w:num>
  <w:num w:numId="57">
    <w:abstractNumId w:val="76"/>
  </w:num>
  <w:num w:numId="58">
    <w:abstractNumId w:val="35"/>
  </w:num>
  <w:num w:numId="59">
    <w:abstractNumId w:val="33"/>
  </w:num>
  <w:num w:numId="60">
    <w:abstractNumId w:val="17"/>
  </w:num>
  <w:num w:numId="61">
    <w:abstractNumId w:val="59"/>
    <w:lvlOverride w:ilvl="0">
      <w:startOverride w:val="1"/>
    </w:lvlOverride>
  </w:num>
  <w:num w:numId="62">
    <w:abstractNumId w:val="30"/>
  </w:num>
  <w:num w:numId="63">
    <w:abstractNumId w:val="42"/>
  </w:num>
  <w:num w:numId="64">
    <w:abstractNumId w:val="74"/>
  </w:num>
  <w:num w:numId="65">
    <w:abstractNumId w:val="67"/>
  </w:num>
  <w:num w:numId="66">
    <w:abstractNumId w:val="53"/>
  </w:num>
  <w:num w:numId="67">
    <w:abstractNumId w:val="29"/>
  </w:num>
  <w:num w:numId="68">
    <w:abstractNumId w:val="38"/>
  </w:num>
  <w:num w:numId="69">
    <w:abstractNumId w:val="70"/>
  </w:num>
  <w:num w:numId="70">
    <w:abstractNumId w:val="49"/>
  </w:num>
  <w:num w:numId="71">
    <w:abstractNumId w:val="71"/>
  </w:num>
  <w:num w:numId="72">
    <w:abstractNumId w:val="28"/>
  </w:num>
  <w:num w:numId="73">
    <w:abstractNumId w:val="66"/>
  </w:num>
  <w:num w:numId="74">
    <w:abstractNumId w:val="37"/>
  </w:num>
  <w:num w:numId="75">
    <w:abstractNumId w:val="20"/>
  </w:num>
  <w:num w:numId="76">
    <w:abstractNumId w:val="31"/>
  </w:num>
  <w:num w:numId="7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6E775AC"/>
    <w:rsid w:val="0A6722A5"/>
    <w:rsid w:val="0D041CCA"/>
    <w:rsid w:val="0D6F5C11"/>
    <w:rsid w:val="0EC5659F"/>
    <w:rsid w:val="0EF80799"/>
    <w:rsid w:val="0F094BCA"/>
    <w:rsid w:val="0F1858A5"/>
    <w:rsid w:val="10E27459"/>
    <w:rsid w:val="10E55AF8"/>
    <w:rsid w:val="11923040"/>
    <w:rsid w:val="11957B06"/>
    <w:rsid w:val="12CD1E3A"/>
    <w:rsid w:val="14A94CF4"/>
    <w:rsid w:val="159A33B0"/>
    <w:rsid w:val="167F0D15"/>
    <w:rsid w:val="190C4850"/>
    <w:rsid w:val="196041C6"/>
    <w:rsid w:val="1B294203"/>
    <w:rsid w:val="1CBF58E5"/>
    <w:rsid w:val="209A783A"/>
    <w:rsid w:val="21301669"/>
    <w:rsid w:val="22AD30BD"/>
    <w:rsid w:val="22E72707"/>
    <w:rsid w:val="236061AB"/>
    <w:rsid w:val="23FD7B71"/>
    <w:rsid w:val="24F63638"/>
    <w:rsid w:val="26F855C1"/>
    <w:rsid w:val="288276C8"/>
    <w:rsid w:val="28EC18A1"/>
    <w:rsid w:val="295E2013"/>
    <w:rsid w:val="2965017D"/>
    <w:rsid w:val="2C177BE4"/>
    <w:rsid w:val="2C312DD5"/>
    <w:rsid w:val="2DC5093D"/>
    <w:rsid w:val="304A6516"/>
    <w:rsid w:val="30E54079"/>
    <w:rsid w:val="311A7283"/>
    <w:rsid w:val="31614F93"/>
    <w:rsid w:val="31782EB3"/>
    <w:rsid w:val="31FC5DB5"/>
    <w:rsid w:val="32561369"/>
    <w:rsid w:val="34D428EB"/>
    <w:rsid w:val="350B2553"/>
    <w:rsid w:val="35697647"/>
    <w:rsid w:val="365A1F4A"/>
    <w:rsid w:val="3D955D30"/>
    <w:rsid w:val="3DC650B7"/>
    <w:rsid w:val="3E2063AB"/>
    <w:rsid w:val="3F8E7518"/>
    <w:rsid w:val="404F533F"/>
    <w:rsid w:val="41C32F69"/>
    <w:rsid w:val="4213428A"/>
    <w:rsid w:val="425732F6"/>
    <w:rsid w:val="44950120"/>
    <w:rsid w:val="45805AFC"/>
    <w:rsid w:val="493A18C5"/>
    <w:rsid w:val="4B3F4111"/>
    <w:rsid w:val="4C2D33F0"/>
    <w:rsid w:val="4CEB4BB9"/>
    <w:rsid w:val="4F10670E"/>
    <w:rsid w:val="50BE0AEE"/>
    <w:rsid w:val="517A21E4"/>
    <w:rsid w:val="51C24008"/>
    <w:rsid w:val="527F3B83"/>
    <w:rsid w:val="534C13AF"/>
    <w:rsid w:val="5F01496B"/>
    <w:rsid w:val="615B2B13"/>
    <w:rsid w:val="61FC1355"/>
    <w:rsid w:val="625D4F5F"/>
    <w:rsid w:val="628C48D0"/>
    <w:rsid w:val="62A53815"/>
    <w:rsid w:val="63BF1EF6"/>
    <w:rsid w:val="6525551B"/>
    <w:rsid w:val="65F60381"/>
    <w:rsid w:val="668C644E"/>
    <w:rsid w:val="677E0586"/>
    <w:rsid w:val="68713C99"/>
    <w:rsid w:val="69222A26"/>
    <w:rsid w:val="6D001766"/>
    <w:rsid w:val="6D1E19C3"/>
    <w:rsid w:val="6DEA08AB"/>
    <w:rsid w:val="740F4333"/>
    <w:rsid w:val="794842A6"/>
    <w:rsid w:val="7BC0350F"/>
    <w:rsid w:val="7C202697"/>
    <w:rsid w:val="7C2D6501"/>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9">
    <w:name w:val="Body Text Indent"/>
    <w:basedOn w:val="1"/>
    <w:next w:val="10"/>
    <w:semiHidden/>
    <w:qFormat/>
    <w:uiPriority w:val="0"/>
    <w:pPr>
      <w:spacing w:line="360" w:lineRule="auto"/>
      <w:ind w:left="720" w:hanging="720" w:hangingChars="300"/>
    </w:pPr>
    <w:rPr>
      <w:sz w:val="24"/>
      <w:szCs w:val="20"/>
    </w:rPr>
  </w:style>
  <w:style w:type="paragraph" w:styleId="10">
    <w:name w:val="Body Text First Indent 2"/>
    <w:basedOn w:val="9"/>
    <w:next w:val="1"/>
    <w:qFormat/>
    <w:uiPriority w:val="0"/>
    <w:pPr>
      <w:widowControl w:val="0"/>
      <w:spacing w:after="120"/>
      <w:ind w:left="420" w:leftChars="200" w:firstLine="420" w:firstLineChars="200"/>
    </w:pPr>
    <w:rPr>
      <w:color w:val="auto"/>
      <w:sz w:val="21"/>
      <w:szCs w:val="24"/>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39"/>
    <w:qFormat/>
    <w:uiPriority w:val="0"/>
    <w:rPr>
      <w:rFonts w:ascii="宋体" w:hAnsi="Courier New" w:cs="Courier New"/>
      <w:szCs w:val="21"/>
    </w:rPr>
  </w:style>
  <w:style w:type="paragraph" w:styleId="13">
    <w:name w:val="Date"/>
    <w:basedOn w:val="1"/>
    <w:next w:val="1"/>
    <w:qFormat/>
    <w:uiPriority w:val="0"/>
    <w:pPr>
      <w:ind w:left="100" w:leftChars="2500"/>
    </w:pPr>
    <w:rPr>
      <w:rFonts w:ascii="楷体_GB2312" w:eastAsia="楷体_GB2312"/>
      <w:b/>
      <w:bCs/>
      <w:sz w:val="32"/>
    </w:rPr>
  </w:style>
  <w:style w:type="paragraph" w:styleId="14">
    <w:name w:val="endnote text"/>
    <w:basedOn w:val="1"/>
    <w:link w:val="38"/>
    <w:unhideWhenUsed/>
    <w:qFormat/>
    <w:uiPriority w:val="99"/>
    <w:pPr>
      <w:snapToGrid w:val="0"/>
      <w:jc w:val="left"/>
    </w:pPr>
  </w:style>
  <w:style w:type="paragraph" w:styleId="15">
    <w:name w:val="Balloon Text"/>
    <w:basedOn w:val="1"/>
    <w:link w:val="32"/>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1"/>
    <w:qFormat/>
    <w:uiPriority w:val="29"/>
    <w:rPr>
      <w:i/>
      <w:iCs/>
      <w:color w:val="000000" w:themeColor="text1"/>
      <w14:textFill>
        <w14:solidFill>
          <w14:schemeClr w14:val="tx1"/>
        </w14:solidFill>
      </w14:textFill>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43"/>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qFormat/>
    <w:uiPriority w:val="99"/>
    <w:rPr>
      <w:sz w:val="21"/>
    </w:rPr>
  </w:style>
  <w:style w:type="paragraph" w:customStyle="1" w:styleId="2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0">
    <w:name w:val="页眉 Char"/>
    <w:basedOn w:val="24"/>
    <w:link w:val="17"/>
    <w:qFormat/>
    <w:uiPriority w:val="99"/>
    <w:rPr>
      <w:sz w:val="18"/>
      <w:szCs w:val="18"/>
    </w:rPr>
  </w:style>
  <w:style w:type="character" w:customStyle="1" w:styleId="31">
    <w:name w:val="页脚 Char"/>
    <w:basedOn w:val="24"/>
    <w:link w:val="16"/>
    <w:qFormat/>
    <w:uiPriority w:val="99"/>
    <w:rPr>
      <w:sz w:val="18"/>
      <w:szCs w:val="18"/>
    </w:rPr>
  </w:style>
  <w:style w:type="character" w:customStyle="1" w:styleId="32">
    <w:name w:val="批注框文本 Char"/>
    <w:basedOn w:val="24"/>
    <w:link w:val="15"/>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4"/>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Char"/>
    <w:basedOn w:val="24"/>
    <w:link w:val="7"/>
    <w:qFormat/>
    <w:uiPriority w:val="99"/>
  </w:style>
  <w:style w:type="character" w:customStyle="1" w:styleId="37">
    <w:name w:val="标题 2 Char"/>
    <w:basedOn w:val="24"/>
    <w:link w:val="4"/>
    <w:qFormat/>
    <w:uiPriority w:val="9"/>
    <w:rPr>
      <w:rFonts w:asciiTheme="majorHAnsi" w:hAnsiTheme="majorHAnsi" w:eastAsiaTheme="majorEastAsia" w:cstheme="majorBidi"/>
      <w:b/>
      <w:bCs/>
      <w:sz w:val="32"/>
      <w:szCs w:val="32"/>
    </w:rPr>
  </w:style>
  <w:style w:type="character" w:customStyle="1" w:styleId="38">
    <w:name w:val="尾注文本 Char"/>
    <w:basedOn w:val="24"/>
    <w:link w:val="14"/>
    <w:semiHidden/>
    <w:qFormat/>
    <w:uiPriority w:val="99"/>
  </w:style>
  <w:style w:type="character" w:customStyle="1" w:styleId="39">
    <w:name w:val="纯文本 Char"/>
    <w:link w:val="12"/>
    <w:qFormat/>
    <w:uiPriority w:val="0"/>
    <w:rPr>
      <w:rFonts w:ascii="宋体" w:hAnsi="Courier New" w:cs="Courier New"/>
      <w:szCs w:val="21"/>
    </w:rPr>
  </w:style>
  <w:style w:type="character" w:customStyle="1" w:styleId="40">
    <w:name w:val="纯文本 Char1"/>
    <w:basedOn w:val="24"/>
    <w:semiHidden/>
    <w:qFormat/>
    <w:uiPriority w:val="99"/>
    <w:rPr>
      <w:rFonts w:ascii="宋体" w:hAnsi="Courier New" w:eastAsia="宋体" w:cs="Courier New"/>
      <w:szCs w:val="21"/>
    </w:rPr>
  </w:style>
  <w:style w:type="character" w:customStyle="1" w:styleId="41">
    <w:name w:val="引用 Char"/>
    <w:basedOn w:val="24"/>
    <w:link w:val="19"/>
    <w:qFormat/>
    <w:uiPriority w:val="29"/>
    <w:rPr>
      <w:i/>
      <w:iCs/>
      <w:color w:val="000000" w:themeColor="text1"/>
      <w14:textFill>
        <w14:solidFill>
          <w14:schemeClr w14:val="tx1"/>
        </w14:solidFill>
      </w14:textFill>
    </w:rPr>
  </w:style>
  <w:style w:type="character" w:customStyle="1" w:styleId="42">
    <w:name w:val="正文缩进 Char"/>
    <w:link w:val="6"/>
    <w:qFormat/>
    <w:uiPriority w:val="0"/>
  </w:style>
  <w:style w:type="character" w:customStyle="1" w:styleId="43">
    <w:name w:val="批注主题 Char"/>
    <w:basedOn w:val="36"/>
    <w:link w:val="21"/>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表头黑体三号加粗"/>
    <w:basedOn w:val="1"/>
    <w:qFormat/>
    <w:uiPriority w:val="0"/>
    <w:pPr>
      <w:jc w:val="center"/>
    </w:pPr>
    <w:rPr>
      <w:rFonts w:ascii="黑体" w:hAnsi="黑体" w:eastAsia="黑体"/>
      <w:sz w:val="32"/>
      <w:szCs w:val="32"/>
    </w:rPr>
  </w:style>
  <w:style w:type="character" w:customStyle="1" w:styleId="47">
    <w:name w:val="font21"/>
    <w:basedOn w:val="24"/>
    <w:qFormat/>
    <w:uiPriority w:val="0"/>
    <w:rPr>
      <w:rFonts w:hint="eastAsia" w:ascii="宋体" w:hAnsi="宋体" w:eastAsia="宋体" w:cs="宋体"/>
      <w:color w:val="000000"/>
      <w:sz w:val="20"/>
      <w:szCs w:val="20"/>
      <w:u w:val="none"/>
    </w:rPr>
  </w:style>
  <w:style w:type="character" w:customStyle="1" w:styleId="48">
    <w:name w:val="font01"/>
    <w:basedOn w:val="24"/>
    <w:qFormat/>
    <w:uiPriority w:val="0"/>
    <w:rPr>
      <w:rFonts w:hint="eastAsia" w:ascii="宋体" w:hAnsi="宋体" w:eastAsia="宋体" w:cs="宋体"/>
      <w:color w:val="000000"/>
      <w:sz w:val="20"/>
      <w:szCs w:val="20"/>
      <w:u w:val="none"/>
      <w:vertAlign w:val="superscript"/>
    </w:rPr>
  </w:style>
  <w:style w:type="character" w:customStyle="1" w:styleId="49">
    <w:name w:val="font41"/>
    <w:basedOn w:val="24"/>
    <w:qFormat/>
    <w:uiPriority w:val="0"/>
    <w:rPr>
      <w:rFonts w:hint="eastAsia" w:ascii="宋体" w:hAnsi="宋体" w:eastAsia="宋体" w:cs="宋体"/>
      <w:color w:val="000000"/>
      <w:sz w:val="20"/>
      <w:szCs w:val="20"/>
      <w:u w:val="none"/>
    </w:rPr>
  </w:style>
  <w:style w:type="character" w:customStyle="1" w:styleId="50">
    <w:name w:val="UserStyle_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4</TotalTime>
  <ScaleCrop>false</ScaleCrop>
  <LinksUpToDate>false</LinksUpToDate>
  <CharactersWithSpaces>44767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2021-04-22T08:41:00Z</cp:lastPrinted>
  <dcterms:modified xsi:type="dcterms:W3CDTF">2021-04-26T07:46:03Z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B0FB93F9673A4338BD4CC3189FE9D1BE</vt:lpwstr>
  </property>
</Properties>
</file>