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Cs w:val="21"/>
        </w:rPr>
      </w:pPr>
      <w:r>
        <w:rPr>
          <w:rFonts w:hint="eastAsia"/>
          <w:sz w:val="24"/>
          <w:szCs w:val="24"/>
        </w:rPr>
        <w:t>附件：</w:t>
      </w:r>
      <w:r>
        <w:rPr>
          <w:rFonts w:hint="eastAsia"/>
          <w:szCs w:val="21"/>
        </w:rPr>
        <w:t xml:space="preserve">                         </w:t>
      </w:r>
    </w:p>
    <w:p>
      <w:pPr>
        <w:adjustRightInd w:val="0"/>
        <w:snapToGrid w:val="0"/>
        <w:spacing w:line="360" w:lineRule="auto"/>
        <w:ind w:firstLine="2660" w:firstLineChars="950"/>
        <w:rPr>
          <w:b/>
          <w:bCs/>
          <w:sz w:val="28"/>
          <w:szCs w:val="28"/>
          <w:lang w:val="hr-HR"/>
        </w:rPr>
      </w:pPr>
      <w:r>
        <w:rPr>
          <w:rFonts w:hint="eastAsia"/>
          <w:b/>
          <w:bCs/>
          <w:sz w:val="28"/>
          <w:szCs w:val="28"/>
          <w:lang w:val="hr-HR"/>
        </w:rPr>
        <w:t>采购需求</w:t>
      </w:r>
    </w:p>
    <w:p>
      <w:pPr>
        <w:adjustRightInd w:val="0"/>
        <w:snapToGrid w:val="0"/>
        <w:spacing w:line="360" w:lineRule="auto"/>
        <w:ind w:firstLine="1260" w:firstLineChars="450"/>
        <w:jc w:val="center"/>
        <w:rPr>
          <w:b/>
          <w:bCs/>
          <w:sz w:val="28"/>
          <w:szCs w:val="28"/>
          <w:lang w:val="hr-HR"/>
        </w:rPr>
      </w:pPr>
    </w:p>
    <w:p>
      <w:pPr>
        <w:adjustRightInd w:val="0"/>
        <w:snapToGrid w:val="0"/>
        <w:spacing w:line="360" w:lineRule="auto"/>
        <w:rPr>
          <w:sz w:val="24"/>
        </w:rPr>
      </w:pPr>
      <w:r>
        <w:rPr>
          <w:rFonts w:hint="eastAsia" w:ascii="宋体" w:hAnsi="宋体"/>
          <w:b/>
          <w:bCs/>
          <w:color w:val="000000" w:themeColor="text1"/>
          <w:sz w:val="28"/>
        </w:rPr>
        <w:t xml:space="preserve">一、采购内容及规模：详见工程量清单 </w:t>
      </w:r>
      <w:r>
        <w:rPr>
          <w:rFonts w:hint="eastAsia"/>
          <w:sz w:val="24"/>
        </w:rPr>
        <w:t xml:space="preserve">   </w:t>
      </w:r>
    </w:p>
    <w:p>
      <w:pPr>
        <w:adjustRightInd w:val="0"/>
        <w:snapToGrid w:val="0"/>
        <w:spacing w:line="360" w:lineRule="auto"/>
        <w:ind w:firstLine="2040" w:firstLineChars="850"/>
      </w:pPr>
      <w:r>
        <w:rPr>
          <w:rFonts w:hint="eastAsia"/>
          <w:sz w:val="24"/>
        </w:rPr>
        <w:t xml:space="preserve">  </w:t>
      </w:r>
    </w:p>
    <w:p>
      <w:pPr>
        <w:adjustRightInd w:val="0"/>
        <w:snapToGrid w:val="0"/>
        <w:spacing w:line="360" w:lineRule="auto"/>
        <w:ind w:firstLine="600" w:firstLineChars="250"/>
        <w:rPr>
          <w:sz w:val="24"/>
        </w:rPr>
      </w:pPr>
      <w:r>
        <w:rPr>
          <w:sz w:val="24"/>
        </w:rPr>
        <w:object>
          <v:shape id="_x0000_i1025" o:spt="75" type="#_x0000_t75" style="height:41.9pt;width:285.85pt;" o:ole="t" filled="f" o:preferrelative="t" stroked="f" coordsize="21600,21600">
            <v:path/>
            <v:fill on="f" focussize="0,0"/>
            <v:stroke on="f" joinstyle="miter"/>
            <v:imagedata r:id="rId5" o:title=""/>
            <o:lock v:ext="edit" aspectratio="t"/>
            <w10:wrap type="none"/>
            <w10:anchorlock/>
          </v:shape>
          <o:OLEObject Type="Embed" ProgID="Package" ShapeID="_x0000_i1025" DrawAspect="Content" ObjectID="_1468075725" r:id="rId4">
            <o:LockedField>false</o:LockedField>
          </o:OLEObject>
        </w:object>
      </w:r>
    </w:p>
    <w:p>
      <w:pPr>
        <w:adjustRightInd w:val="0"/>
        <w:snapToGrid w:val="0"/>
        <w:spacing w:line="360" w:lineRule="auto"/>
        <w:ind w:firstLine="600" w:firstLineChars="250"/>
        <w:rPr>
          <w:sz w:val="24"/>
        </w:rPr>
      </w:pPr>
    </w:p>
    <w:p>
      <w:pPr>
        <w:adjustRightInd w:val="0"/>
        <w:snapToGrid w:val="0"/>
        <w:spacing w:line="360" w:lineRule="auto"/>
        <w:ind w:left="332" w:hanging="330" w:hangingChars="118"/>
        <w:rPr>
          <w:rFonts w:ascii="宋体" w:hAnsi="宋体"/>
          <w:b/>
          <w:bCs/>
          <w:color w:val="000000" w:themeColor="text1"/>
          <w:sz w:val="28"/>
        </w:rPr>
      </w:pPr>
      <w:r>
        <w:rPr>
          <w:rFonts w:hint="eastAsia" w:ascii="宋体" w:hAnsi="宋体"/>
          <w:b/>
          <w:bCs/>
          <w:color w:val="000000" w:themeColor="text1"/>
          <w:sz w:val="28"/>
        </w:rPr>
        <w:t>二、项目概述</w:t>
      </w:r>
    </w:p>
    <w:p>
      <w:pPr>
        <w:spacing w:line="600" w:lineRule="exact"/>
        <w:ind w:firstLine="560" w:firstLineChars="200"/>
        <w:rPr>
          <w:rFonts w:ascii="宋体" w:hAnsi="宋体" w:cs="宋体"/>
          <w:bCs/>
          <w:color w:val="000000" w:themeColor="text1"/>
          <w:kern w:val="0"/>
          <w:sz w:val="28"/>
        </w:rPr>
      </w:pPr>
      <w:r>
        <w:rPr>
          <w:rFonts w:hint="eastAsia" w:ascii="宋体" w:hAnsi="宋体" w:cs="宋体"/>
          <w:bCs/>
          <w:color w:val="000000" w:themeColor="text1"/>
          <w:kern w:val="0"/>
          <w:sz w:val="28"/>
        </w:rPr>
        <w:t>1、本工程名：阳新县华生化工有限责任公司废旧设备拆除项目</w:t>
      </w:r>
    </w:p>
    <w:p>
      <w:pPr>
        <w:spacing w:line="600" w:lineRule="exact"/>
        <w:ind w:firstLine="560" w:firstLineChars="200"/>
        <w:rPr>
          <w:rFonts w:ascii="宋体" w:hAnsi="宋体" w:cs="宋体"/>
          <w:bCs/>
          <w:color w:val="000000" w:themeColor="text1"/>
          <w:kern w:val="0"/>
          <w:sz w:val="28"/>
        </w:rPr>
      </w:pPr>
      <w:r>
        <w:rPr>
          <w:rFonts w:hint="eastAsia" w:ascii="宋体" w:hAnsi="宋体" w:cs="宋体"/>
          <w:bCs/>
          <w:color w:val="000000" w:themeColor="text1"/>
          <w:kern w:val="0"/>
          <w:sz w:val="28"/>
        </w:rPr>
        <w:t>2、招标范围：废旧设备拆除</w:t>
      </w:r>
    </w:p>
    <w:p>
      <w:pPr>
        <w:spacing w:line="600" w:lineRule="exact"/>
        <w:ind w:firstLine="560" w:firstLineChars="200"/>
        <w:rPr>
          <w:rFonts w:ascii="宋体" w:hAnsi="宋体" w:cs="宋体"/>
          <w:bCs/>
          <w:color w:val="000000" w:themeColor="text1"/>
          <w:kern w:val="0"/>
          <w:sz w:val="28"/>
        </w:rPr>
      </w:pPr>
      <w:r>
        <w:rPr>
          <w:rFonts w:hint="eastAsia" w:ascii="宋体" w:hAnsi="宋体" w:cs="宋体"/>
          <w:bCs/>
          <w:color w:val="000000" w:themeColor="text1"/>
          <w:kern w:val="0"/>
          <w:sz w:val="28"/>
        </w:rPr>
        <w:t>3、工程地址：阳新县富池镇</w:t>
      </w:r>
    </w:p>
    <w:p>
      <w:pPr>
        <w:spacing w:line="600" w:lineRule="exact"/>
        <w:ind w:firstLine="560" w:firstLineChars="200"/>
        <w:rPr>
          <w:rFonts w:ascii="宋体" w:hAnsi="宋体" w:cs="宋体"/>
          <w:bCs/>
          <w:color w:val="000000" w:themeColor="text1"/>
          <w:kern w:val="0"/>
          <w:sz w:val="28"/>
        </w:rPr>
      </w:pPr>
      <w:r>
        <w:rPr>
          <w:rFonts w:hint="eastAsia" w:ascii="宋体" w:hAnsi="宋体" w:cs="宋体"/>
          <w:bCs/>
          <w:color w:val="000000" w:themeColor="text1"/>
          <w:kern w:val="0"/>
          <w:sz w:val="28"/>
        </w:rPr>
        <w:t>4、质量目标：达到国家规定的验收合格标准</w:t>
      </w:r>
    </w:p>
    <w:p>
      <w:pPr>
        <w:spacing w:line="600" w:lineRule="exact"/>
        <w:ind w:firstLine="560" w:firstLineChars="200"/>
        <w:rPr>
          <w:rFonts w:ascii="宋体" w:hAnsi="宋体" w:cs="宋体"/>
          <w:bCs/>
          <w:color w:val="000000" w:themeColor="text1"/>
          <w:kern w:val="0"/>
          <w:sz w:val="28"/>
        </w:rPr>
      </w:pPr>
      <w:r>
        <w:rPr>
          <w:rFonts w:hint="eastAsia" w:ascii="宋体" w:hAnsi="宋体" w:cs="宋体"/>
          <w:bCs/>
          <w:color w:val="000000" w:themeColor="text1"/>
          <w:kern w:val="0"/>
          <w:sz w:val="28"/>
        </w:rPr>
        <w:t>5、采购预算：</w:t>
      </w:r>
      <w:r>
        <w:rPr>
          <w:rFonts w:hint="eastAsia" w:ascii="宋体" w:hAnsi="宋体" w:cs="宋体"/>
          <w:bCs/>
          <w:color w:val="000000" w:themeColor="text1"/>
          <w:kern w:val="0"/>
          <w:sz w:val="28"/>
          <w:u w:val="single"/>
        </w:rPr>
        <w:t>94.5618</w:t>
      </w:r>
      <w:r>
        <w:rPr>
          <w:rFonts w:hint="eastAsia" w:ascii="宋体" w:hAnsi="宋体" w:cs="宋体"/>
          <w:bCs/>
          <w:color w:val="000000" w:themeColor="text1"/>
          <w:kern w:val="0"/>
          <w:sz w:val="28"/>
        </w:rPr>
        <w:t>万元，超过预算作无效投标处理。</w:t>
      </w:r>
    </w:p>
    <w:p>
      <w:pPr>
        <w:rPr>
          <w:rFonts w:ascii="宋体" w:hAnsi="宋体"/>
          <w:bCs/>
          <w:color w:val="000000" w:themeColor="text1"/>
          <w:sz w:val="28"/>
        </w:rPr>
      </w:pPr>
    </w:p>
    <w:p>
      <w:pPr>
        <w:adjustRightInd w:val="0"/>
        <w:snapToGrid w:val="0"/>
        <w:spacing w:line="360" w:lineRule="auto"/>
        <w:ind w:left="332" w:hanging="330" w:hangingChars="118"/>
        <w:rPr>
          <w:rFonts w:ascii="宋体" w:hAnsi="宋体"/>
          <w:b/>
          <w:bCs/>
          <w:color w:val="000000" w:themeColor="text1"/>
          <w:sz w:val="28"/>
        </w:rPr>
      </w:pPr>
      <w:r>
        <w:rPr>
          <w:rFonts w:hint="eastAsia" w:ascii="宋体" w:hAnsi="宋体"/>
          <w:b/>
          <w:bCs/>
          <w:color w:val="000000" w:themeColor="text1"/>
          <w:sz w:val="28"/>
        </w:rPr>
        <w:t>三、商务服务要求：</w:t>
      </w:r>
    </w:p>
    <w:p>
      <w:pPr>
        <w:spacing w:line="360" w:lineRule="auto"/>
        <w:ind w:firstLine="560" w:firstLineChars="200"/>
        <w:rPr>
          <w:rFonts w:ascii="宋体" w:hAnsi="宋体"/>
          <w:bCs/>
          <w:color w:val="000000" w:themeColor="text1"/>
          <w:sz w:val="28"/>
        </w:rPr>
      </w:pPr>
      <w:r>
        <w:rPr>
          <w:rFonts w:hint="eastAsia" w:ascii="宋体" w:hAnsi="宋体"/>
          <w:bCs/>
          <w:color w:val="000000" w:themeColor="text1"/>
          <w:sz w:val="28"/>
        </w:rPr>
        <w:t>1、工期：</w:t>
      </w:r>
      <w:r>
        <w:rPr>
          <w:rFonts w:hint="eastAsia" w:ascii="宋体" w:hAnsi="宋体"/>
          <w:bCs/>
          <w:color w:val="000000" w:themeColor="text1"/>
          <w:sz w:val="28"/>
          <w:u w:val="single"/>
        </w:rPr>
        <w:t>10日历天</w:t>
      </w:r>
    </w:p>
    <w:p>
      <w:pPr>
        <w:spacing w:line="360" w:lineRule="auto"/>
        <w:ind w:firstLine="560" w:firstLineChars="200"/>
        <w:rPr>
          <w:rFonts w:ascii="宋体" w:hAnsi="宋体" w:cs="宋体"/>
          <w:bCs/>
          <w:color w:val="000000" w:themeColor="text1"/>
          <w:kern w:val="0"/>
          <w:sz w:val="28"/>
        </w:rPr>
      </w:pPr>
      <w:r>
        <w:rPr>
          <w:rFonts w:hint="eastAsia" w:ascii="宋体" w:hAnsi="宋体"/>
          <w:bCs/>
          <w:color w:val="000000" w:themeColor="text1"/>
          <w:sz w:val="28"/>
        </w:rPr>
        <w:t>2、付款方</w:t>
      </w:r>
      <w:r>
        <w:rPr>
          <w:rFonts w:hint="eastAsia" w:ascii="宋体" w:hAnsi="宋体" w:cs="宋体"/>
          <w:bCs/>
          <w:color w:val="000000" w:themeColor="text1"/>
          <w:kern w:val="0"/>
          <w:sz w:val="28"/>
        </w:rPr>
        <w:t>式：合同签订后完成项目一半付合同款的40%，剩余款项验收合格后付清。</w:t>
      </w:r>
      <w:r>
        <w:rPr>
          <w:rFonts w:ascii="宋体" w:hAnsi="宋体" w:cs="宋体"/>
          <w:bCs/>
          <w:color w:val="000000" w:themeColor="text1"/>
          <w:kern w:val="0"/>
          <w:sz w:val="28"/>
        </w:rPr>
        <w:br w:type="page"/>
      </w:r>
    </w:p>
    <w:p>
      <w:pPr>
        <w:spacing w:line="360" w:lineRule="auto"/>
        <w:rPr>
          <w:sz w:val="24"/>
          <w:szCs w:val="24"/>
        </w:rPr>
      </w:pPr>
      <w:r>
        <w:rPr>
          <w:rFonts w:hint="eastAsia"/>
          <w:sz w:val="24"/>
          <w:szCs w:val="24"/>
        </w:rPr>
        <w:t>附件：</w:t>
      </w:r>
    </w:p>
    <w:p>
      <w:pPr>
        <w:jc w:val="center"/>
        <w:rPr>
          <w:sz w:val="32"/>
          <w:szCs w:val="32"/>
        </w:rPr>
      </w:pPr>
      <w:r>
        <w:rPr>
          <w:rFonts w:hint="eastAsia"/>
          <w:sz w:val="32"/>
          <w:szCs w:val="32"/>
        </w:rPr>
        <w:t>供应商报名表</w:t>
      </w:r>
    </w:p>
    <w:p>
      <w:pPr>
        <w:rPr>
          <w:sz w:val="24"/>
          <w:szCs w:val="24"/>
        </w:rPr>
      </w:pPr>
      <w:r>
        <w:rPr>
          <w:rFonts w:hint="eastAsia"/>
          <w:sz w:val="24"/>
          <w:szCs w:val="24"/>
        </w:rPr>
        <w:t>项目编号：</w:t>
      </w:r>
      <w:r>
        <w:rPr>
          <w:rFonts w:hint="eastAsia"/>
          <w:sz w:val="24"/>
          <w:szCs w:val="24"/>
          <w:u w:val="single"/>
        </w:rPr>
        <w:t xml:space="preserve">                          </w:t>
      </w:r>
    </w:p>
    <w:p>
      <w:pPr>
        <w:widowControl/>
        <w:spacing w:line="400" w:lineRule="exact"/>
        <w:rPr>
          <w:sz w:val="24"/>
          <w:szCs w:val="24"/>
        </w:rPr>
      </w:pPr>
      <w:r>
        <w:rPr>
          <w:rFonts w:hint="eastAsia"/>
          <w:sz w:val="24"/>
          <w:szCs w:val="24"/>
        </w:rPr>
        <w:t>项目名称：</w:t>
      </w:r>
      <w:r>
        <w:rPr>
          <w:rFonts w:hint="eastAsia"/>
          <w:sz w:val="24"/>
          <w:szCs w:val="24"/>
          <w:u w:val="single"/>
        </w:rPr>
        <w:t xml:space="preserve"> </w:t>
      </w:r>
      <w:r>
        <w:rPr>
          <w:rFonts w:hint="eastAsia"/>
          <w:bCs/>
          <w:sz w:val="24"/>
          <w:szCs w:val="24"/>
          <w:u w:val="single"/>
        </w:rPr>
        <w:t xml:space="preserve">                         </w:t>
      </w:r>
      <w:r>
        <w:rPr>
          <w:rFonts w:hint="eastAsia"/>
          <w:sz w:val="24"/>
          <w:szCs w:val="24"/>
        </w:rPr>
        <w:t xml:space="preserve"> </w:t>
      </w:r>
    </w:p>
    <w:tbl>
      <w:tblPr>
        <w:tblStyle w:val="7"/>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供应商名称（盖章）</w:t>
            </w:r>
          </w:p>
        </w:tc>
        <w:tc>
          <w:tcPr>
            <w:tcW w:w="6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联系人姓名</w:t>
            </w:r>
          </w:p>
        </w:tc>
        <w:tc>
          <w:tcPr>
            <w:tcW w:w="6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联系人电话（办公电话和手机）</w:t>
            </w:r>
          </w:p>
        </w:tc>
        <w:tc>
          <w:tcPr>
            <w:tcW w:w="6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联系人邮箱</w:t>
            </w:r>
          </w:p>
        </w:tc>
        <w:tc>
          <w:tcPr>
            <w:tcW w:w="642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供应商提供的</w:t>
            </w:r>
          </w:p>
          <w:p>
            <w:pPr>
              <w:widowControl/>
              <w:spacing w:before="100" w:beforeAutospacing="1" w:after="100" w:afterAutospacing="1"/>
              <w:jc w:val="left"/>
              <w:rPr>
                <w:rFonts w:ascii="宋体" w:hAnsi="宋体" w:cs="宋体"/>
                <w:kern w:val="0"/>
                <w:sz w:val="24"/>
                <w:szCs w:val="24"/>
              </w:rPr>
            </w:pPr>
            <w:r>
              <w:rPr>
                <w:rFonts w:hint="eastAsia" w:cs="宋体" w:asciiTheme="minorEastAsia" w:hAnsiTheme="minorEastAsia" w:eastAsiaTheme="minorEastAsia"/>
                <w:kern w:val="0"/>
                <w:sz w:val="24"/>
                <w:szCs w:val="24"/>
              </w:rPr>
              <w:t>报名资料</w:t>
            </w:r>
          </w:p>
        </w:tc>
        <w:tc>
          <w:tcPr>
            <w:tcW w:w="64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315" w:firstLineChars="150"/>
              <w:rPr>
                <w:rFonts w:ascii="宋体" w:hAnsi="宋体" w:cs="宋体"/>
                <w:color w:val="000000"/>
                <w:szCs w:val="21"/>
              </w:rPr>
            </w:pPr>
            <w:r>
              <w:rPr>
                <w:rFonts w:hint="eastAsia" w:ascii="宋体" w:hAnsi="宋体" w:cs="宋体"/>
                <w:color w:val="000000"/>
                <w:szCs w:val="21"/>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4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315" w:firstLineChars="150"/>
              <w:rPr>
                <w:rFonts w:ascii="宋体" w:hAnsi="宋体" w:cs="宋体"/>
                <w:color w:val="000000"/>
                <w:szCs w:val="21"/>
              </w:rPr>
            </w:pPr>
            <w:r>
              <w:rPr>
                <w:rFonts w:hint="eastAsia" w:ascii="宋体" w:hAnsi="宋体" w:cs="宋体"/>
                <w:color w:val="000000"/>
                <w:szCs w:val="21"/>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4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315" w:firstLineChars="150"/>
              <w:rPr>
                <w:rFonts w:ascii="宋体" w:hAnsi="宋体" w:cs="宋体"/>
                <w:color w:val="000000"/>
                <w:szCs w:val="21"/>
              </w:rPr>
            </w:pPr>
            <w:r>
              <w:rPr>
                <w:rFonts w:hint="eastAsia" w:ascii="宋体" w:hAnsi="宋体" w:cs="宋体"/>
                <w:color w:val="000000"/>
                <w:szCs w:val="21"/>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4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315" w:firstLineChars="150"/>
              <w:rPr>
                <w:rFonts w:ascii="宋体" w:hAnsi="宋体" w:cs="宋体"/>
                <w:color w:val="000000"/>
                <w:szCs w:val="21"/>
              </w:rPr>
            </w:pPr>
            <w:r>
              <w:rPr>
                <w:rFonts w:hint="eastAsia" w:ascii="宋体" w:hAnsi="宋体" w:cs="宋体"/>
                <w:color w:val="000000"/>
                <w:szCs w:val="21"/>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4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315" w:firstLineChars="150"/>
              <w:rPr>
                <w:rFonts w:ascii="宋体" w:hAnsi="宋体" w:cs="宋体"/>
                <w:color w:val="000000"/>
                <w:szCs w:val="21"/>
              </w:rPr>
            </w:pPr>
            <w:r>
              <w:rPr>
                <w:rFonts w:hint="eastAsia" w:ascii="宋体" w:hAnsi="宋体" w:cs="宋体"/>
                <w:color w:val="000000"/>
                <w:szCs w:val="21"/>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34"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4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315" w:firstLineChars="150"/>
              <w:rPr>
                <w:rFonts w:ascii="宋体" w:hAnsi="宋体" w:cs="宋体"/>
                <w:color w:val="000000"/>
                <w:szCs w:val="21"/>
              </w:rPr>
            </w:pPr>
            <w:r>
              <w:rPr>
                <w:rFonts w:hint="eastAsia" w:ascii="宋体" w:hAnsi="宋体" w:cs="宋体"/>
                <w:color w:val="000000"/>
                <w:szCs w:val="21"/>
              </w:rPr>
              <w:t>6.未被列入 “信用中国”网站（www.creditchina.gov.cn）失信被执行人、重大税收违法案件当事人名单、政府采购严重违法失信行为记录名单的网页打印件。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34" w:type="dxa"/>
            <w:vMerge w:val="continue"/>
            <w:tcBorders>
              <w:left w:val="single" w:color="auto" w:sz="4" w:space="0"/>
              <w:right w:val="single" w:color="auto" w:sz="4" w:space="0"/>
            </w:tcBorders>
            <w:vAlign w:val="center"/>
          </w:tcPr>
          <w:p>
            <w:pPr>
              <w:widowControl/>
              <w:jc w:val="left"/>
              <w:rPr>
                <w:rFonts w:ascii="宋体" w:hAnsi="宋体" w:cs="宋体"/>
                <w:kern w:val="0"/>
                <w:sz w:val="24"/>
                <w:szCs w:val="24"/>
              </w:rPr>
            </w:pPr>
          </w:p>
        </w:tc>
        <w:tc>
          <w:tcPr>
            <w:tcW w:w="64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315" w:firstLineChars="150"/>
              <w:rPr>
                <w:rFonts w:ascii="宋体" w:hAnsi="宋体" w:cs="宋体"/>
                <w:color w:val="000000"/>
                <w:szCs w:val="21"/>
              </w:rPr>
            </w:pPr>
            <w:r>
              <w:rPr>
                <w:rFonts w:hint="eastAsia" w:ascii="宋体" w:hAnsi="宋体" w:cs="宋体"/>
                <w:color w:val="000000"/>
                <w:szCs w:val="21"/>
              </w:rPr>
              <w:t>7.特定条件：</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（1）申请人应具备行政主管部门核发的机电工程施工总承包叁级以上资质，须具备有效的安全生产许可证，并在人员、设备、资金等方面具有相应的施工能力。</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申请人拟派项目经理须具备有效注册建造师职业资格；具备有效的安全生产考核合格证书（B证）；针对本项目磋商、合同洽谈、签订等全部活动的授权人须是拟派本项目的项目经理，近三年（投标截止日往前推算3年）以项目经理身份至少承担过一个已完工类似工程业绩，（提供的业绩信息必须同全国建筑市场监管公共服务平台公开的信息一致，须提供相应网站截图、县级以上公共交易服务平台中标公示截图、施工合同和工程竣工验收证明，以竣工时间为准）,具备有效的安全生产考核合格证书（B证），且未担任其他在施建设工程项目的项目经理。项目管理机构还应配备具有岗位证的施工员、质量员、标准员、材料员、机械员、资料员、劳务员、安全员等相应专业管理人员，其中安全员还应具备安全生产考核合格证书（C证），项目技术负责人必须具有相关专业中级工程师及以上职称或注册建造师执业资格；提供所在单位为其缴纳的社保部门出具的社保记录证明及有效的劳动合同。（3）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p>
            <w:pPr>
              <w:adjustRightInd w:val="0"/>
              <w:snapToGrid w:val="0"/>
              <w:spacing w:line="360" w:lineRule="exact"/>
              <w:ind w:firstLine="420" w:firstLineChars="200"/>
              <w:rPr>
                <w:rFonts w:ascii="宋体" w:hAnsi="宋体" w:cs="宋体"/>
                <w:color w:val="000000"/>
                <w:szCs w:val="21"/>
              </w:rPr>
            </w:pPr>
            <w:r>
              <w:rPr>
                <w:rFonts w:hint="eastAsia" w:asciiTheme="minorEastAsia" w:hAnsiTheme="minorEastAsia" w:eastAsiaTheme="minorEastAsia"/>
                <w:szCs w:val="21"/>
              </w:rPr>
              <w:t>(4)</w:t>
            </w:r>
            <w:bookmarkStart w:id="0" w:name="_GoBack"/>
            <w:bookmarkEnd w:id="0"/>
            <w:r>
              <w:rPr>
                <w:rFonts w:hint="eastAsia" w:asciiTheme="minorEastAsia" w:hAnsiTheme="minorEastAsia" w:eastAsiaTheme="minorEastAsia"/>
                <w:szCs w:val="21"/>
              </w:rPr>
              <w:t>本项目不接受联合体及有不良记录的企业报名。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234" w:type="dxa"/>
            <w:tcBorders>
              <w:left w:val="single" w:color="auto" w:sz="4" w:space="0"/>
              <w:bottom w:val="single" w:color="auto" w:sz="4" w:space="0"/>
              <w:right w:val="single" w:color="auto" w:sz="4" w:space="0"/>
            </w:tcBorders>
            <w:vAlign w:val="center"/>
          </w:tcPr>
          <w:p>
            <w:pPr>
              <w:widowControl/>
              <w:jc w:val="left"/>
              <w:rPr>
                <w:rFonts w:ascii="宋体" w:hAnsi="宋体" w:cs="宋体"/>
                <w:b/>
                <w:kern w:val="0"/>
                <w:sz w:val="24"/>
                <w:szCs w:val="24"/>
              </w:rPr>
            </w:pPr>
            <w:r>
              <w:rPr>
                <w:rFonts w:hint="eastAsia" w:ascii="宋体" w:hAnsi="宋体" w:cs="宋体"/>
                <w:b/>
                <w:kern w:val="0"/>
                <w:sz w:val="24"/>
                <w:szCs w:val="24"/>
              </w:rPr>
              <w:t>供应商意见</w:t>
            </w:r>
          </w:p>
        </w:tc>
        <w:tc>
          <w:tcPr>
            <w:tcW w:w="6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315" w:firstLineChars="150"/>
              <w:rPr>
                <w:b/>
                <w:sz w:val="24"/>
                <w:szCs w:val="24"/>
              </w:rPr>
            </w:pPr>
            <w:r>
              <w:rPr>
                <w:rFonts w:hint="eastAsia" w:ascii="宋体" w:hAnsi="宋体" w:cs="宋体"/>
                <w:color w:val="000000"/>
                <w:szCs w:val="21"/>
              </w:rPr>
              <w:t>供应商可对本项目采购需求的公正性、专业性、合理性等提出自己正确的意见、建议等（可另页详细表述）。</w:t>
            </w:r>
          </w:p>
        </w:tc>
      </w:tr>
    </w:tbl>
    <w:p>
      <w:pPr>
        <w:spacing w:line="240" w:lineRule="exact"/>
        <w:ind w:firstLine="480" w:firstLineChars="200"/>
        <w:rPr>
          <w:bCs/>
          <w:sz w:val="24"/>
          <w:szCs w:val="24"/>
        </w:rPr>
      </w:pPr>
    </w:p>
    <w:p>
      <w:pPr>
        <w:spacing w:line="360" w:lineRule="auto"/>
        <w:ind w:firstLine="480" w:firstLineChars="200"/>
        <w:rPr>
          <w:bCs/>
          <w:sz w:val="24"/>
          <w:szCs w:val="24"/>
        </w:rPr>
      </w:pPr>
    </w:p>
    <w:p>
      <w:pPr>
        <w:spacing w:line="360" w:lineRule="auto"/>
        <w:ind w:firstLine="480" w:firstLineChars="200"/>
        <w:rPr>
          <w:b/>
          <w:bCs/>
          <w:sz w:val="24"/>
          <w:szCs w:val="24"/>
        </w:rPr>
      </w:pPr>
      <w:r>
        <w:rPr>
          <w:rFonts w:hint="eastAsia"/>
          <w:b/>
          <w:bCs/>
          <w:sz w:val="24"/>
          <w:szCs w:val="24"/>
        </w:rPr>
        <w:t>注意事项：</w:t>
      </w:r>
    </w:p>
    <w:p>
      <w:pPr>
        <w:spacing w:line="360" w:lineRule="auto"/>
        <w:ind w:firstLine="480" w:firstLineChars="200"/>
        <w:rPr>
          <w:b/>
          <w:bCs/>
          <w:sz w:val="24"/>
          <w:szCs w:val="24"/>
        </w:rPr>
      </w:pPr>
      <w:r>
        <w:rPr>
          <w:rFonts w:hint="eastAsia"/>
          <w:b/>
          <w:bCs/>
          <w:sz w:val="24"/>
          <w:szCs w:val="24"/>
        </w:rPr>
        <w:t>1.供应商必须严格按照公告的内容和要求，完整递交有关资料，逾期递交的将予以拒收。</w:t>
      </w:r>
    </w:p>
    <w:p>
      <w:pPr>
        <w:spacing w:line="360" w:lineRule="auto"/>
        <w:ind w:firstLine="480" w:firstLineChars="200"/>
        <w:rPr>
          <w:b/>
          <w:bCs/>
          <w:sz w:val="24"/>
          <w:szCs w:val="24"/>
        </w:rPr>
      </w:pPr>
      <w:r>
        <w:rPr>
          <w:b/>
          <w:bCs/>
          <w:sz w:val="24"/>
          <w:szCs w:val="24"/>
        </w:rPr>
        <w:t xml:space="preserve">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spacing w:line="360" w:lineRule="auto"/>
        <w:ind w:firstLine="480" w:firstLineChars="200"/>
        <w:rPr>
          <w:b/>
          <w:bCs/>
          <w:sz w:val="24"/>
          <w:szCs w:val="24"/>
        </w:rPr>
      </w:pPr>
      <w:r>
        <w:rPr>
          <w:rFonts w:hint="eastAsia"/>
          <w:b/>
          <w:bCs/>
          <w:sz w:val="24"/>
          <w:szCs w:val="24"/>
        </w:rPr>
        <w:t>3.须在邮件（附件文件名注明公司全称）注明公司全称、项目名称及项目编号（不注明我单位将拒收报名邮件）。</w:t>
      </w:r>
      <w:r>
        <w:rPr>
          <w:rFonts w:hint="eastAsia"/>
          <w:bCs/>
          <w:sz w:val="24"/>
          <w:szCs w:val="24"/>
        </w:rPr>
        <w:t xml:space="preserve">  </w:t>
      </w:r>
      <w:r>
        <w:rPr>
          <w:rFonts w:hint="eastAsia"/>
          <w:b/>
          <w:bCs/>
          <w:sz w:val="24"/>
          <w:szCs w:val="24"/>
        </w:rPr>
        <w:t xml:space="preserve">     </w:t>
      </w: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spacing w:line="360" w:lineRule="auto"/>
        <w:ind w:firstLine="480" w:firstLineChars="200"/>
        <w:rPr>
          <w:b/>
          <w:bCs/>
          <w:sz w:val="24"/>
          <w:szCs w:val="24"/>
        </w:rPr>
      </w:pPr>
    </w:p>
    <w:p>
      <w:pPr>
        <w:pStyle w:val="2"/>
      </w:pPr>
    </w:p>
    <w:p>
      <w:pPr>
        <w:spacing w:line="500" w:lineRule="exact"/>
        <w:jc w:val="center"/>
        <w:outlineLvl w:val="0"/>
        <w:rPr>
          <w:rFonts w:ascii="宋体" w:hAnsi="宋体" w:cs="Times New Roman"/>
          <w:b/>
          <w:sz w:val="36"/>
          <w:szCs w:val="36"/>
          <w:lang w:val="hr-HR" w:bidi="ar-EG"/>
        </w:rPr>
      </w:pPr>
      <w:r>
        <w:rPr>
          <w:rFonts w:ascii="宋体" w:hAnsi="宋体" w:cs="Times New Roman"/>
          <w:b/>
          <w:sz w:val="36"/>
          <w:szCs w:val="36"/>
          <w:lang w:val="hr-HR" w:bidi="ar-EG"/>
        </w:rPr>
        <w:t>评分标准</w:t>
      </w:r>
    </w:p>
    <w:p>
      <w:pPr>
        <w:adjustRightInd w:val="0"/>
        <w:snapToGrid w:val="0"/>
        <w:spacing w:line="360" w:lineRule="auto"/>
        <w:outlineLvl w:val="0"/>
        <w:rPr>
          <w:rFonts w:ascii="Times New Roman" w:hAnsi="Times New Roman" w:cs="Times New Roman"/>
          <w:b/>
          <w:sz w:val="24"/>
        </w:rPr>
      </w:pPr>
    </w:p>
    <w:tbl>
      <w:tblPr>
        <w:tblStyle w:val="7"/>
        <w:tblW w:w="9356"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1275"/>
        <w:gridCol w:w="426"/>
        <w:gridCol w:w="5528"/>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52"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color w:val="000000"/>
                <w:sz w:val="24"/>
              </w:rPr>
            </w:pPr>
            <w:r>
              <w:rPr>
                <w:rFonts w:hint="eastAsia" w:ascii="宋体" w:hAnsi="宋体"/>
                <w:b/>
                <w:color w:val="000000"/>
                <w:sz w:val="24"/>
              </w:rPr>
              <w:t>条款内容</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color w:val="000000"/>
                <w:sz w:val="24"/>
              </w:rPr>
            </w:pPr>
            <w:r>
              <w:rPr>
                <w:rFonts w:hint="eastAsia" w:ascii="宋体" w:hAnsi="宋体"/>
                <w:b/>
                <w:color w:val="000000"/>
                <w:sz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gridSpan w:val="2"/>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color w:val="000000"/>
                <w:sz w:val="24"/>
              </w:rPr>
            </w:pPr>
            <w:r>
              <w:rPr>
                <w:rFonts w:hint="eastAsia" w:ascii="宋体" w:hAnsi="宋体"/>
                <w:b/>
                <w:color w:val="000000"/>
                <w:sz w:val="24"/>
              </w:rPr>
              <w:t>分值构成</w:t>
            </w:r>
          </w:p>
          <w:p>
            <w:pPr>
              <w:pStyle w:val="11"/>
              <w:jc w:val="center"/>
              <w:rPr>
                <w:rFonts w:ascii="宋体" w:hAnsi="宋体"/>
                <w:b/>
                <w:color w:val="000000"/>
                <w:sz w:val="24"/>
              </w:rPr>
            </w:pPr>
            <w:r>
              <w:rPr>
                <w:rFonts w:hint="eastAsia" w:ascii="宋体" w:hAnsi="宋体"/>
                <w:b/>
                <w:color w:val="000000"/>
                <w:sz w:val="24"/>
              </w:rPr>
              <w:t>(总分100分)</w:t>
            </w:r>
          </w:p>
        </w:tc>
        <w:tc>
          <w:tcPr>
            <w:tcW w:w="6804" w:type="dxa"/>
            <w:gridSpan w:val="3"/>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color w:val="000000"/>
                <w:sz w:val="24"/>
              </w:rPr>
            </w:pPr>
            <w:r>
              <w:rPr>
                <w:rFonts w:hint="eastAsia" w:ascii="宋体" w:hAnsi="宋体"/>
                <w:b/>
                <w:color w:val="000000"/>
                <w:sz w:val="24"/>
              </w:rPr>
              <w:t xml:space="preserve">价格部分：30分  技术部分：60分  商务部分：10分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7" w:type="dxa"/>
            <w:shd w:val="clear" w:color="auto" w:fill="auto"/>
            <w:noWrap/>
            <w:vAlign w:val="center"/>
          </w:tcPr>
          <w:p>
            <w:pPr>
              <w:widowControl/>
              <w:jc w:val="left"/>
              <w:rPr>
                <w:rFonts w:ascii="宋体" w:hAnsi="宋体"/>
                <w:color w:val="000000"/>
                <w:sz w:val="24"/>
              </w:rPr>
            </w:pPr>
            <w:r>
              <w:rPr>
                <w:rFonts w:hint="eastAsia" w:ascii="宋体" w:hAnsi="宋体"/>
                <w:color w:val="000000"/>
                <w:sz w:val="24"/>
              </w:rPr>
              <w:t>评审内容</w:t>
            </w:r>
          </w:p>
        </w:tc>
        <w:tc>
          <w:tcPr>
            <w:tcW w:w="1701" w:type="dxa"/>
            <w:gridSpan w:val="2"/>
            <w:shd w:val="clear" w:color="auto" w:fill="auto"/>
            <w:vAlign w:val="center"/>
          </w:tcPr>
          <w:p>
            <w:pPr>
              <w:widowControl/>
              <w:jc w:val="left"/>
              <w:rPr>
                <w:rFonts w:ascii="宋体" w:hAnsi="宋体"/>
                <w:color w:val="000000"/>
                <w:sz w:val="24"/>
              </w:rPr>
            </w:pPr>
            <w:r>
              <w:rPr>
                <w:rFonts w:hint="eastAsia" w:ascii="宋体" w:hAnsi="宋体"/>
                <w:color w:val="000000"/>
                <w:sz w:val="24"/>
              </w:rPr>
              <w:t>评审项目</w:t>
            </w:r>
          </w:p>
        </w:tc>
        <w:tc>
          <w:tcPr>
            <w:tcW w:w="5528" w:type="dxa"/>
            <w:shd w:val="clear" w:color="auto" w:fill="auto"/>
            <w:vAlign w:val="center"/>
          </w:tcPr>
          <w:p>
            <w:pPr>
              <w:widowControl/>
              <w:jc w:val="center"/>
              <w:rPr>
                <w:rFonts w:ascii="宋体" w:hAnsi="宋体"/>
                <w:color w:val="000000"/>
                <w:sz w:val="24"/>
              </w:rPr>
            </w:pPr>
            <w:r>
              <w:rPr>
                <w:rFonts w:hint="eastAsia" w:ascii="宋体" w:hAnsi="宋体"/>
                <w:color w:val="000000"/>
                <w:sz w:val="24"/>
              </w:rPr>
              <w:t>评分标准</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277" w:type="dxa"/>
            <w:shd w:val="clear" w:color="auto" w:fill="auto"/>
            <w:vAlign w:val="center"/>
          </w:tcPr>
          <w:p>
            <w:pPr>
              <w:widowControl/>
              <w:jc w:val="left"/>
              <w:rPr>
                <w:rFonts w:ascii="宋体" w:hAnsi="宋体"/>
                <w:color w:val="000000"/>
                <w:sz w:val="24"/>
              </w:rPr>
            </w:pPr>
            <w:r>
              <w:rPr>
                <w:rFonts w:hint="eastAsia" w:ascii="宋体" w:hAnsi="宋体"/>
                <w:color w:val="000000"/>
                <w:sz w:val="24"/>
              </w:rPr>
              <w:t>价格部分</w:t>
            </w:r>
            <w:r>
              <w:rPr>
                <w:rFonts w:hint="eastAsia" w:ascii="宋体" w:hAnsi="宋体"/>
                <w:color w:val="000000"/>
                <w:sz w:val="24"/>
              </w:rPr>
              <w:br w:type="textWrapping"/>
            </w:r>
            <w:r>
              <w:rPr>
                <w:rFonts w:hint="eastAsia" w:ascii="宋体" w:hAnsi="宋体"/>
                <w:color w:val="000000"/>
                <w:sz w:val="24"/>
              </w:rPr>
              <w:t>（30分）</w:t>
            </w:r>
          </w:p>
        </w:tc>
        <w:tc>
          <w:tcPr>
            <w:tcW w:w="1701" w:type="dxa"/>
            <w:gridSpan w:val="2"/>
            <w:shd w:val="clear" w:color="auto" w:fill="auto"/>
            <w:vAlign w:val="center"/>
          </w:tcPr>
          <w:p>
            <w:pPr>
              <w:widowControl/>
              <w:jc w:val="left"/>
              <w:rPr>
                <w:rFonts w:ascii="宋体" w:hAnsi="宋体"/>
                <w:color w:val="000000"/>
                <w:sz w:val="24"/>
              </w:rPr>
            </w:pPr>
            <w:r>
              <w:rPr>
                <w:rFonts w:hint="eastAsia" w:ascii="宋体" w:hAnsi="宋体"/>
                <w:color w:val="000000"/>
                <w:sz w:val="24"/>
              </w:rPr>
              <w:t>最终报价</w:t>
            </w:r>
          </w:p>
        </w:tc>
        <w:tc>
          <w:tcPr>
            <w:tcW w:w="5528" w:type="dxa"/>
            <w:shd w:val="clear" w:color="auto" w:fill="auto"/>
            <w:vAlign w:val="center"/>
          </w:tcPr>
          <w:p>
            <w:pPr>
              <w:pStyle w:val="11"/>
              <w:adjustRightInd w:val="0"/>
              <w:snapToGrid w:val="0"/>
              <w:spacing w:line="320" w:lineRule="exact"/>
              <w:rPr>
                <w:rFonts w:asciiTheme="minorEastAsia" w:hAnsiTheme="minorEastAsia" w:eastAsiaTheme="minorEastAsia" w:cstheme="minorBidi"/>
                <w:color w:val="000000" w:themeColor="text1"/>
                <w:szCs w:val="21"/>
              </w:rPr>
            </w:pPr>
            <w:r>
              <w:rPr>
                <w:rFonts w:hint="eastAsia" w:asciiTheme="minorEastAsia" w:hAnsiTheme="minorEastAsia" w:eastAsiaTheme="minorEastAsia" w:cstheme="minorBidi"/>
                <w:color w:val="000000" w:themeColor="text1"/>
                <w:szCs w:val="21"/>
              </w:rPr>
              <w:t>综合评分法中的价格分统一采用低价优先法计算，即满足磋商文件要求且最后报价最低的供应商的价格为磋商基准价，其价格分为满分。其他供应商的价格分统一按照下列公式计算：</w:t>
            </w:r>
          </w:p>
          <w:p>
            <w:pPr>
              <w:pStyle w:val="11"/>
              <w:adjustRightInd w:val="0"/>
              <w:snapToGrid w:val="0"/>
              <w:spacing w:line="320" w:lineRule="exact"/>
              <w:rPr>
                <w:rFonts w:asciiTheme="minorEastAsia" w:hAnsiTheme="minorEastAsia" w:eastAsiaTheme="minorEastAsia" w:cstheme="minorBidi"/>
                <w:color w:val="000000" w:themeColor="text1"/>
                <w:szCs w:val="21"/>
              </w:rPr>
            </w:pPr>
            <w:r>
              <w:rPr>
                <w:rFonts w:hint="eastAsia" w:asciiTheme="minorEastAsia" w:hAnsiTheme="minorEastAsia" w:eastAsiaTheme="minorEastAsia" w:cstheme="minorBidi"/>
                <w:color w:val="000000" w:themeColor="text1"/>
                <w:szCs w:val="21"/>
              </w:rPr>
              <w:t>　　磋商报价得分=（磋商基准价/最后磋商报价）×价格权值×100，计算时保留两位小数。</w:t>
            </w:r>
          </w:p>
          <w:p>
            <w:pPr>
              <w:widowControl/>
              <w:ind w:firstLine="405"/>
              <w:jc w:val="left"/>
              <w:rPr>
                <w:rFonts w:ascii="宋体" w:hAnsi="宋体"/>
                <w:color w:val="000000"/>
                <w:sz w:val="24"/>
              </w:rPr>
            </w:pPr>
            <w:r>
              <w:rPr>
                <w:rFonts w:hint="eastAsia" w:asciiTheme="minorEastAsia" w:hAnsiTheme="minorEastAsia"/>
                <w:color w:val="000000" w:themeColor="text1"/>
                <w:szCs w:val="21"/>
              </w:rPr>
              <w:t>项目评审过程中，不得去掉最后报价中的最高报价和最低报价。</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77" w:type="dxa"/>
            <w:vMerge w:val="restart"/>
            <w:shd w:val="clear" w:color="auto" w:fill="auto"/>
            <w:vAlign w:val="center"/>
          </w:tcPr>
          <w:p>
            <w:pPr>
              <w:widowControl/>
              <w:jc w:val="left"/>
              <w:rPr>
                <w:rFonts w:ascii="宋体" w:hAnsi="宋体"/>
                <w:color w:val="000000"/>
                <w:sz w:val="24"/>
              </w:rPr>
            </w:pPr>
            <w:r>
              <w:rPr>
                <w:rFonts w:hint="eastAsia" w:ascii="宋体" w:hAnsi="宋体"/>
                <w:color w:val="000000"/>
                <w:sz w:val="24"/>
              </w:rPr>
              <w:t>技术部分</w:t>
            </w:r>
            <w:r>
              <w:rPr>
                <w:rFonts w:hint="eastAsia" w:ascii="宋体" w:hAnsi="宋体"/>
                <w:color w:val="000000"/>
                <w:sz w:val="24"/>
              </w:rPr>
              <w:br w:type="textWrapping"/>
            </w:r>
            <w:r>
              <w:rPr>
                <w:rFonts w:hint="eastAsia" w:ascii="宋体" w:hAnsi="宋体"/>
                <w:color w:val="000000"/>
                <w:sz w:val="24"/>
              </w:rPr>
              <w:t>（60分）</w:t>
            </w:r>
          </w:p>
        </w:tc>
        <w:tc>
          <w:tcPr>
            <w:tcW w:w="1701" w:type="dxa"/>
            <w:gridSpan w:val="2"/>
            <w:shd w:val="clear" w:color="auto" w:fill="auto"/>
            <w:vAlign w:val="center"/>
          </w:tcPr>
          <w:p>
            <w:pPr>
              <w:rPr>
                <w:rFonts w:ascii="宋体" w:hAnsi="宋体"/>
                <w:color w:val="000000"/>
                <w:sz w:val="24"/>
              </w:rPr>
            </w:pPr>
            <w:r>
              <w:rPr>
                <w:rFonts w:hint="eastAsia" w:asciiTheme="minorEastAsia" w:hAnsiTheme="minorEastAsia"/>
                <w:sz w:val="22"/>
              </w:rPr>
              <w:t>施工方案</w:t>
            </w:r>
          </w:p>
        </w:tc>
        <w:tc>
          <w:tcPr>
            <w:tcW w:w="5528" w:type="dxa"/>
            <w:shd w:val="clear" w:color="auto" w:fill="auto"/>
            <w:vAlign w:val="center"/>
          </w:tcPr>
          <w:p>
            <w:pPr>
              <w:rPr>
                <w:rFonts w:ascii="宋体" w:hAnsi="宋体"/>
                <w:color w:val="000000"/>
                <w:sz w:val="24"/>
              </w:rPr>
            </w:pPr>
            <w:r>
              <w:rPr>
                <w:rFonts w:hint="eastAsia" w:asciiTheme="minorEastAsia" w:hAnsiTheme="minorEastAsia"/>
                <w:sz w:val="22"/>
              </w:rPr>
              <w:t>供应商的施工方案先进可行，施工技术措施符合本项目场地条件及工程特点要求，且详细的得8-10分；施工方案满足本项目要求，施工技术措施符合本项目场地条件和工程特点要求的得5-7分；施工方案基本可行，施工措施制定不详细的得0-4分。</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77" w:type="dxa"/>
            <w:vMerge w:val="continue"/>
            <w:vAlign w:val="center"/>
          </w:tcPr>
          <w:p>
            <w:pPr>
              <w:widowControl/>
              <w:jc w:val="left"/>
              <w:rPr>
                <w:rFonts w:ascii="宋体" w:hAnsi="宋体"/>
                <w:color w:val="000000"/>
                <w:sz w:val="24"/>
              </w:rPr>
            </w:pPr>
          </w:p>
        </w:tc>
        <w:tc>
          <w:tcPr>
            <w:tcW w:w="1701" w:type="dxa"/>
            <w:gridSpan w:val="2"/>
            <w:shd w:val="clear" w:color="auto" w:fill="auto"/>
            <w:vAlign w:val="center"/>
          </w:tcPr>
          <w:p>
            <w:pPr>
              <w:rPr>
                <w:rFonts w:ascii="宋体" w:hAnsi="宋体"/>
                <w:color w:val="000000"/>
                <w:sz w:val="24"/>
              </w:rPr>
            </w:pPr>
            <w:r>
              <w:rPr>
                <w:rFonts w:hint="eastAsia" w:asciiTheme="minorEastAsia" w:hAnsiTheme="minorEastAsia"/>
                <w:sz w:val="22"/>
              </w:rPr>
              <w:t>施工重点难点分析</w:t>
            </w:r>
          </w:p>
        </w:tc>
        <w:tc>
          <w:tcPr>
            <w:tcW w:w="5528" w:type="dxa"/>
            <w:shd w:val="clear" w:color="auto" w:fill="auto"/>
            <w:vAlign w:val="center"/>
          </w:tcPr>
          <w:p>
            <w:pPr>
              <w:rPr>
                <w:rFonts w:ascii="宋体" w:hAnsi="宋体"/>
                <w:color w:val="000000"/>
                <w:sz w:val="24"/>
              </w:rPr>
            </w:pPr>
            <w:r>
              <w:rPr>
                <w:rFonts w:hint="eastAsia" w:asciiTheme="minorEastAsia" w:hAnsiTheme="minorEastAsia"/>
                <w:sz w:val="22"/>
              </w:rPr>
              <w:t>供应商针对本项目制定的施工重点难点分析报告非常详细，思路清晰，完全符合项目实际情况的得8-10分；供应商针对本项目制定的施工重点难点分析报告基本详细，符合项目实际情况的得5-7分；供应商针对本项目制定的施工重点难点分析报告简单描述，勉强符合项目实际情况的得0-4分。</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77" w:type="dxa"/>
            <w:vMerge w:val="continue"/>
            <w:vAlign w:val="center"/>
          </w:tcPr>
          <w:p>
            <w:pPr>
              <w:widowControl/>
              <w:jc w:val="left"/>
              <w:rPr>
                <w:rFonts w:ascii="宋体" w:hAnsi="宋体"/>
                <w:color w:val="000000"/>
                <w:sz w:val="24"/>
              </w:rPr>
            </w:pPr>
          </w:p>
        </w:tc>
        <w:tc>
          <w:tcPr>
            <w:tcW w:w="1701" w:type="dxa"/>
            <w:gridSpan w:val="2"/>
            <w:shd w:val="clear" w:color="auto" w:fill="auto"/>
            <w:vAlign w:val="center"/>
          </w:tcPr>
          <w:p>
            <w:pPr>
              <w:rPr>
                <w:rFonts w:ascii="宋体" w:hAnsi="宋体"/>
                <w:color w:val="000000"/>
                <w:sz w:val="24"/>
              </w:rPr>
            </w:pPr>
            <w:r>
              <w:rPr>
                <w:rFonts w:hint="eastAsia" w:asciiTheme="minorEastAsia" w:hAnsiTheme="minorEastAsia"/>
                <w:sz w:val="22"/>
              </w:rPr>
              <w:t>质量保障措施</w:t>
            </w:r>
          </w:p>
        </w:tc>
        <w:tc>
          <w:tcPr>
            <w:tcW w:w="5528" w:type="dxa"/>
            <w:shd w:val="clear" w:color="auto" w:fill="auto"/>
            <w:vAlign w:val="center"/>
          </w:tcPr>
          <w:p>
            <w:pPr>
              <w:rPr>
                <w:rFonts w:ascii="宋体" w:hAnsi="宋体"/>
                <w:color w:val="000000"/>
                <w:sz w:val="24"/>
              </w:rPr>
            </w:pPr>
            <w:r>
              <w:rPr>
                <w:rFonts w:hint="eastAsia" w:asciiTheme="minorEastAsia" w:hAnsiTheme="minorEastAsia"/>
                <w:sz w:val="22"/>
              </w:rPr>
              <w:t>供应商针对本项目的质量保障措施配置科学合理、规章制度健全、岗位职责及质量管理目标明确得6分；质量保障措施配置合理、规章制度健全、岗位职责及质量管理目标明确的得3-5分；质量保障措施配置基本合理、规章制度健全、岗位职责及质量管理目标基本明确的得0-2分。</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77" w:type="dxa"/>
            <w:vMerge w:val="continue"/>
            <w:vAlign w:val="center"/>
          </w:tcPr>
          <w:p>
            <w:pPr>
              <w:widowControl/>
              <w:jc w:val="left"/>
              <w:rPr>
                <w:rFonts w:ascii="宋体" w:hAnsi="宋体"/>
                <w:color w:val="000000"/>
                <w:sz w:val="24"/>
              </w:rPr>
            </w:pPr>
          </w:p>
        </w:tc>
        <w:tc>
          <w:tcPr>
            <w:tcW w:w="1701" w:type="dxa"/>
            <w:gridSpan w:val="2"/>
            <w:shd w:val="clear" w:color="auto" w:fill="auto"/>
            <w:vAlign w:val="center"/>
          </w:tcPr>
          <w:p>
            <w:pPr>
              <w:rPr>
                <w:rFonts w:ascii="宋体" w:hAnsi="宋体"/>
                <w:color w:val="000000"/>
                <w:sz w:val="24"/>
              </w:rPr>
            </w:pPr>
            <w:r>
              <w:rPr>
                <w:rFonts w:hint="eastAsia" w:asciiTheme="minorEastAsia" w:hAnsiTheme="minorEastAsia"/>
                <w:sz w:val="22"/>
              </w:rPr>
              <w:t>安全、文明管理体系与措施</w:t>
            </w:r>
          </w:p>
        </w:tc>
        <w:tc>
          <w:tcPr>
            <w:tcW w:w="5528" w:type="dxa"/>
            <w:shd w:val="clear" w:color="auto" w:fill="auto"/>
            <w:vAlign w:val="center"/>
          </w:tcPr>
          <w:p>
            <w:pPr>
              <w:rPr>
                <w:rFonts w:ascii="宋体" w:hAnsi="宋体"/>
                <w:color w:val="000000"/>
                <w:sz w:val="24"/>
              </w:rPr>
            </w:pPr>
            <w:r>
              <w:rPr>
                <w:rFonts w:hint="eastAsia" w:asciiTheme="minorEastAsia" w:hAnsiTheme="minorEastAsia"/>
                <w:sz w:val="22"/>
              </w:rPr>
              <w:t>供应商的安全生产、文明施工管理资源配置科学合理、管理制度健全、安全生产预案与措施针对性强的得5-6分；安全生产、文明施工管理资源配置合理、管理制度健全、安全生产预案与措施完善的得3-4分；安全生产、文明施工管理资源配置基本合理、管理制度健全、安全生产预案与措施勉强完善的得0-2分。</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77" w:type="dxa"/>
            <w:vMerge w:val="continue"/>
            <w:vAlign w:val="center"/>
          </w:tcPr>
          <w:p>
            <w:pPr>
              <w:widowControl/>
              <w:jc w:val="left"/>
              <w:rPr>
                <w:rFonts w:ascii="宋体" w:hAnsi="宋体"/>
                <w:color w:val="000000"/>
                <w:sz w:val="24"/>
              </w:rPr>
            </w:pPr>
          </w:p>
        </w:tc>
        <w:tc>
          <w:tcPr>
            <w:tcW w:w="1701" w:type="dxa"/>
            <w:gridSpan w:val="2"/>
            <w:shd w:val="clear" w:color="auto" w:fill="auto"/>
            <w:vAlign w:val="center"/>
          </w:tcPr>
          <w:p>
            <w:pPr>
              <w:rPr>
                <w:rFonts w:ascii="宋体" w:hAnsi="宋体"/>
                <w:color w:val="000000"/>
                <w:sz w:val="24"/>
              </w:rPr>
            </w:pPr>
            <w:r>
              <w:rPr>
                <w:rFonts w:hint="eastAsia" w:asciiTheme="minorEastAsia" w:hAnsiTheme="minorEastAsia"/>
                <w:sz w:val="22"/>
              </w:rPr>
              <w:t>施工环保措施计划、减少噪音、降低环境污染</w:t>
            </w:r>
          </w:p>
        </w:tc>
        <w:tc>
          <w:tcPr>
            <w:tcW w:w="5528" w:type="dxa"/>
            <w:shd w:val="clear" w:color="auto" w:fill="auto"/>
            <w:vAlign w:val="center"/>
          </w:tcPr>
          <w:p>
            <w:pPr>
              <w:rPr>
                <w:rFonts w:ascii="宋体" w:hAnsi="宋体"/>
                <w:color w:val="000000"/>
                <w:sz w:val="24"/>
              </w:rPr>
            </w:pPr>
            <w:r>
              <w:rPr>
                <w:rFonts w:hint="eastAsia" w:asciiTheme="minorEastAsia" w:hAnsiTheme="minorEastAsia"/>
                <w:sz w:val="22"/>
              </w:rPr>
              <w:t>供应商的施工环保措施计划、减少噪音、降低环境污染等措施科学先进、合理的得5-6分；施工环保措施计划、减少噪音、降低环境污染等措施合理的得3-4分；施工环保措施计划、减少噪音、降低环境污染等措施基本合理的得0-2分。</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7" w:type="dxa"/>
            <w:vMerge w:val="continue"/>
            <w:vAlign w:val="center"/>
          </w:tcPr>
          <w:p>
            <w:pPr>
              <w:widowControl/>
              <w:jc w:val="left"/>
              <w:rPr>
                <w:rFonts w:ascii="宋体" w:hAnsi="宋体"/>
                <w:color w:val="000000"/>
                <w:sz w:val="24"/>
              </w:rPr>
            </w:pPr>
          </w:p>
        </w:tc>
        <w:tc>
          <w:tcPr>
            <w:tcW w:w="1701" w:type="dxa"/>
            <w:gridSpan w:val="2"/>
            <w:shd w:val="clear" w:color="auto" w:fill="auto"/>
            <w:vAlign w:val="center"/>
          </w:tcPr>
          <w:p>
            <w:pPr>
              <w:rPr>
                <w:rFonts w:ascii="宋体" w:hAnsi="宋体"/>
                <w:color w:val="000000"/>
                <w:sz w:val="24"/>
              </w:rPr>
            </w:pPr>
            <w:r>
              <w:rPr>
                <w:rFonts w:hint="eastAsia" w:asciiTheme="minorEastAsia" w:hAnsiTheme="minorEastAsia"/>
                <w:sz w:val="22"/>
              </w:rPr>
              <w:t>工程进度保障措施</w:t>
            </w:r>
          </w:p>
        </w:tc>
        <w:tc>
          <w:tcPr>
            <w:tcW w:w="5528" w:type="dxa"/>
            <w:shd w:val="clear" w:color="auto" w:fill="auto"/>
            <w:vAlign w:val="center"/>
          </w:tcPr>
          <w:p>
            <w:pPr>
              <w:rPr>
                <w:rFonts w:ascii="宋体" w:hAnsi="宋体"/>
                <w:color w:val="000000"/>
                <w:sz w:val="24"/>
              </w:rPr>
            </w:pPr>
            <w:r>
              <w:rPr>
                <w:rFonts w:hint="eastAsia" w:asciiTheme="minorEastAsia" w:hAnsiTheme="minorEastAsia"/>
                <w:sz w:val="22"/>
              </w:rPr>
              <w:t>供应商的工程进度保障措施完善合理，且完全符合项目特点得6分；工程进度保障措施较合理得3-5分；工程进度保障措施基本合理得0-2分。</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7" w:type="dxa"/>
            <w:vMerge w:val="continue"/>
            <w:vAlign w:val="center"/>
          </w:tcPr>
          <w:p>
            <w:pPr>
              <w:widowControl/>
              <w:jc w:val="left"/>
              <w:rPr>
                <w:rFonts w:ascii="宋体" w:hAnsi="宋体"/>
                <w:color w:val="000000"/>
                <w:sz w:val="24"/>
              </w:rPr>
            </w:pPr>
          </w:p>
        </w:tc>
        <w:tc>
          <w:tcPr>
            <w:tcW w:w="1701" w:type="dxa"/>
            <w:gridSpan w:val="2"/>
            <w:shd w:val="clear" w:color="auto" w:fill="auto"/>
            <w:vAlign w:val="center"/>
          </w:tcPr>
          <w:p>
            <w:pPr>
              <w:rPr>
                <w:rFonts w:ascii="宋体" w:hAnsi="宋体"/>
                <w:color w:val="000000"/>
                <w:sz w:val="24"/>
              </w:rPr>
            </w:pPr>
            <w:r>
              <w:rPr>
                <w:rFonts w:hint="eastAsia" w:asciiTheme="minorEastAsia" w:hAnsiTheme="minorEastAsia"/>
                <w:sz w:val="22"/>
              </w:rPr>
              <w:t>资源配备计划</w:t>
            </w:r>
          </w:p>
        </w:tc>
        <w:tc>
          <w:tcPr>
            <w:tcW w:w="5528" w:type="dxa"/>
            <w:shd w:val="clear" w:color="auto" w:fill="auto"/>
          </w:tcPr>
          <w:p>
            <w:pPr>
              <w:rPr>
                <w:rFonts w:ascii="宋体" w:hAnsi="宋体"/>
                <w:color w:val="000000"/>
                <w:sz w:val="24"/>
              </w:rPr>
            </w:pPr>
            <w:r>
              <w:rPr>
                <w:rFonts w:hint="eastAsia" w:asciiTheme="minorEastAsia" w:hAnsiTheme="minorEastAsia"/>
                <w:sz w:val="22"/>
              </w:rPr>
              <w:t>供应商的资金使用和主要材料用量的计算说明详细完善、思路清晰，劳动力与施工机械设备安排计划科学合理的得5-6分；资金使用和主要材料的计算说明基本详细，劳动力与施工机械设备安排计划合理的得3-4分；资金使用和主要材料用量的计算说明简单描述，劳动力与施工机械设备安排计划基本合理的得0-2分。</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7" w:type="dxa"/>
            <w:vMerge w:val="continue"/>
            <w:vAlign w:val="center"/>
          </w:tcPr>
          <w:p>
            <w:pPr>
              <w:widowControl/>
              <w:jc w:val="left"/>
              <w:rPr>
                <w:rFonts w:ascii="宋体" w:hAnsi="宋体"/>
                <w:color w:val="000000"/>
                <w:sz w:val="24"/>
              </w:rPr>
            </w:pPr>
          </w:p>
        </w:tc>
        <w:tc>
          <w:tcPr>
            <w:tcW w:w="1701" w:type="dxa"/>
            <w:gridSpan w:val="2"/>
            <w:shd w:val="clear" w:color="auto" w:fill="auto"/>
            <w:vAlign w:val="center"/>
          </w:tcPr>
          <w:p>
            <w:pPr>
              <w:rPr>
                <w:rFonts w:ascii="宋体" w:hAnsi="宋体"/>
                <w:color w:val="000000"/>
                <w:sz w:val="24"/>
              </w:rPr>
            </w:pPr>
            <w:r>
              <w:rPr>
                <w:rFonts w:hint="eastAsia" w:asciiTheme="minorEastAsia" w:hAnsiTheme="minorEastAsia"/>
                <w:sz w:val="22"/>
              </w:rPr>
              <w:t>质量服务承诺</w:t>
            </w:r>
          </w:p>
        </w:tc>
        <w:tc>
          <w:tcPr>
            <w:tcW w:w="5528" w:type="dxa"/>
            <w:shd w:val="clear" w:color="auto" w:fill="auto"/>
            <w:vAlign w:val="center"/>
          </w:tcPr>
          <w:p>
            <w:pPr>
              <w:rPr>
                <w:rFonts w:ascii="宋体" w:hAnsi="宋体"/>
                <w:color w:val="000000"/>
                <w:sz w:val="24"/>
              </w:rPr>
            </w:pPr>
            <w:r>
              <w:rPr>
                <w:rFonts w:hint="eastAsia" w:asciiTheme="minorEastAsia" w:hAnsiTheme="minorEastAsia"/>
                <w:sz w:val="22"/>
              </w:rPr>
              <w:t>供应商有保证工程质量的承诺且有具体的经济处罚措施的的得4分，没有得0分。（提供承诺书原件并加盖公章）</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7" w:type="dxa"/>
            <w:vMerge w:val="continue"/>
            <w:vAlign w:val="center"/>
          </w:tcPr>
          <w:p>
            <w:pPr>
              <w:widowControl/>
              <w:jc w:val="left"/>
              <w:rPr>
                <w:rFonts w:ascii="宋体" w:hAnsi="宋体"/>
                <w:color w:val="000000"/>
                <w:sz w:val="24"/>
              </w:rPr>
            </w:pPr>
          </w:p>
        </w:tc>
        <w:tc>
          <w:tcPr>
            <w:tcW w:w="1701" w:type="dxa"/>
            <w:gridSpan w:val="2"/>
            <w:shd w:val="clear" w:color="auto" w:fill="auto"/>
            <w:vAlign w:val="center"/>
          </w:tcPr>
          <w:p>
            <w:pPr>
              <w:rPr>
                <w:rFonts w:ascii="宋体" w:hAnsi="宋体"/>
                <w:color w:val="000000"/>
                <w:sz w:val="24"/>
              </w:rPr>
            </w:pPr>
            <w:r>
              <w:rPr>
                <w:rFonts w:hint="eastAsia" w:asciiTheme="minorEastAsia" w:hAnsiTheme="minorEastAsia"/>
                <w:sz w:val="22"/>
              </w:rPr>
              <w:t>售后服务承诺</w:t>
            </w:r>
          </w:p>
        </w:tc>
        <w:tc>
          <w:tcPr>
            <w:tcW w:w="5528" w:type="dxa"/>
            <w:shd w:val="clear" w:color="auto" w:fill="auto"/>
            <w:vAlign w:val="center"/>
          </w:tcPr>
          <w:p>
            <w:pPr>
              <w:rPr>
                <w:rFonts w:asciiTheme="minorEastAsia" w:hAnsiTheme="minorEastAsia"/>
                <w:sz w:val="22"/>
              </w:rPr>
            </w:pPr>
            <w:r>
              <w:rPr>
                <w:rFonts w:hint="eastAsia" w:asciiTheme="minorEastAsia" w:hAnsiTheme="minorEastAsia"/>
                <w:sz w:val="22"/>
              </w:rPr>
              <w:t>1.供应商有明确的售后服务措施（包括质保期和故障响应时间），且承诺具体可行，具有一定优势，最高得3分；</w:t>
            </w:r>
          </w:p>
          <w:p>
            <w:pPr>
              <w:rPr>
                <w:rFonts w:ascii="宋体" w:hAnsi="宋体"/>
                <w:color w:val="000000"/>
                <w:sz w:val="24"/>
              </w:rPr>
            </w:pPr>
            <w:r>
              <w:rPr>
                <w:rFonts w:hint="eastAsia" w:asciiTheme="minorEastAsia" w:hAnsiTheme="minorEastAsia"/>
                <w:sz w:val="22"/>
              </w:rPr>
              <w:t>2.供应商有售后质保承诺的得3分，否则不得分。（提供承诺书原件并加盖公章）</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277" w:type="dxa"/>
            <w:vMerge w:val="restart"/>
            <w:shd w:val="clear" w:color="auto" w:fill="auto"/>
            <w:vAlign w:val="center"/>
          </w:tcPr>
          <w:p>
            <w:pPr>
              <w:widowControl/>
              <w:jc w:val="left"/>
              <w:rPr>
                <w:rFonts w:ascii="宋体" w:hAnsi="宋体"/>
                <w:color w:val="000000"/>
                <w:sz w:val="24"/>
              </w:rPr>
            </w:pPr>
            <w:r>
              <w:rPr>
                <w:rFonts w:hint="eastAsia" w:ascii="宋体" w:hAnsi="宋体"/>
                <w:color w:val="000000"/>
                <w:sz w:val="24"/>
              </w:rPr>
              <w:t>商务部分</w:t>
            </w:r>
            <w:r>
              <w:rPr>
                <w:rFonts w:hint="eastAsia" w:ascii="宋体" w:hAnsi="宋体"/>
                <w:color w:val="000000"/>
                <w:sz w:val="24"/>
              </w:rPr>
              <w:br w:type="textWrapping"/>
            </w:r>
            <w:r>
              <w:rPr>
                <w:rFonts w:hint="eastAsia" w:ascii="宋体" w:hAnsi="宋体"/>
                <w:color w:val="000000"/>
                <w:sz w:val="24"/>
              </w:rPr>
              <w:t>（10分）</w:t>
            </w:r>
          </w:p>
        </w:tc>
        <w:tc>
          <w:tcPr>
            <w:tcW w:w="1701" w:type="dxa"/>
            <w:gridSpan w:val="2"/>
            <w:shd w:val="clear" w:color="auto" w:fill="auto"/>
            <w:vAlign w:val="center"/>
          </w:tcPr>
          <w:p>
            <w:pPr>
              <w:widowControl/>
              <w:jc w:val="left"/>
              <w:rPr>
                <w:rFonts w:ascii="宋体" w:hAnsi="宋体"/>
                <w:color w:val="000000"/>
                <w:sz w:val="24"/>
              </w:rPr>
            </w:pPr>
            <w:r>
              <w:rPr>
                <w:rFonts w:hint="eastAsia" w:ascii="宋体" w:hAnsi="宋体"/>
                <w:color w:val="000000"/>
                <w:sz w:val="24"/>
              </w:rPr>
              <w:t>认证体系</w:t>
            </w:r>
          </w:p>
        </w:tc>
        <w:tc>
          <w:tcPr>
            <w:tcW w:w="5528" w:type="dxa"/>
            <w:shd w:val="clear" w:color="auto" w:fill="auto"/>
            <w:vAlign w:val="center"/>
          </w:tcPr>
          <w:p>
            <w:pPr>
              <w:widowControl/>
              <w:jc w:val="left"/>
              <w:rPr>
                <w:rFonts w:ascii="宋体" w:hAnsi="宋体"/>
                <w:color w:val="000000"/>
                <w:sz w:val="24"/>
              </w:rPr>
            </w:pPr>
            <w:r>
              <w:rPr>
                <w:rFonts w:hint="eastAsia" w:ascii="宋体" w:hAnsi="宋体"/>
                <w:color w:val="000000"/>
                <w:sz w:val="24"/>
              </w:rPr>
              <w:t>职业健康安全管理体系认证、质量管理体系、环境管理体系，三大体系认证齐全3分（须提供网页查询截图）</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77" w:type="dxa"/>
            <w:vMerge w:val="continue"/>
            <w:vAlign w:val="center"/>
          </w:tcPr>
          <w:p>
            <w:pPr>
              <w:widowControl/>
              <w:jc w:val="left"/>
              <w:rPr>
                <w:rFonts w:ascii="宋体" w:hAnsi="宋体"/>
                <w:color w:val="000000"/>
                <w:sz w:val="24"/>
              </w:rPr>
            </w:pPr>
          </w:p>
        </w:tc>
        <w:tc>
          <w:tcPr>
            <w:tcW w:w="1701" w:type="dxa"/>
            <w:gridSpan w:val="2"/>
            <w:shd w:val="clear" w:color="auto" w:fill="auto"/>
            <w:vAlign w:val="center"/>
          </w:tcPr>
          <w:p>
            <w:pPr>
              <w:widowControl/>
              <w:jc w:val="left"/>
              <w:rPr>
                <w:rFonts w:ascii="宋体" w:hAnsi="宋体"/>
                <w:color w:val="000000"/>
                <w:sz w:val="24"/>
              </w:rPr>
            </w:pPr>
            <w:r>
              <w:rPr>
                <w:rFonts w:hint="eastAsia" w:ascii="宋体" w:hAnsi="宋体" w:cs="Times New Roman"/>
                <w:color w:val="000000"/>
                <w:sz w:val="24"/>
              </w:rPr>
              <w:t>承诺</w:t>
            </w:r>
          </w:p>
        </w:tc>
        <w:tc>
          <w:tcPr>
            <w:tcW w:w="5528" w:type="dxa"/>
            <w:shd w:val="clear" w:color="auto" w:fill="auto"/>
            <w:vAlign w:val="center"/>
          </w:tcPr>
          <w:p>
            <w:pPr>
              <w:widowControl/>
              <w:jc w:val="left"/>
              <w:rPr>
                <w:rFonts w:ascii="宋体" w:hAnsi="宋体" w:cs="Times New Roman"/>
                <w:color w:val="000000"/>
                <w:sz w:val="24"/>
              </w:rPr>
            </w:pPr>
            <w:r>
              <w:rPr>
                <w:rFonts w:hint="eastAsia" w:ascii="宋体" w:hAnsi="宋体" w:cs="Times New Roman"/>
                <w:color w:val="000000"/>
                <w:sz w:val="24"/>
              </w:rPr>
              <w:t>1.供应商承诺施工过程中不随意更换项目经理、技术负责人得1 分，否则得 0 分；</w:t>
            </w:r>
          </w:p>
          <w:p>
            <w:pPr>
              <w:widowControl/>
              <w:jc w:val="left"/>
              <w:rPr>
                <w:rFonts w:ascii="宋体" w:hAnsi="宋体" w:cs="Times New Roman"/>
                <w:color w:val="000000"/>
                <w:sz w:val="24"/>
              </w:rPr>
            </w:pPr>
            <w:r>
              <w:rPr>
                <w:rFonts w:hint="eastAsia" w:ascii="宋体" w:hAnsi="宋体" w:cs="Times New Roman"/>
                <w:color w:val="000000"/>
                <w:sz w:val="24"/>
              </w:rPr>
              <w:t>2.供应商承诺创建优质工程并有相应完善的管理措施的得 1分，否则得 0 分；</w:t>
            </w:r>
          </w:p>
          <w:p>
            <w:pPr>
              <w:widowControl/>
              <w:jc w:val="left"/>
              <w:rPr>
                <w:rFonts w:ascii="宋体" w:hAnsi="宋体" w:cs="Times New Roman"/>
                <w:color w:val="000000"/>
                <w:sz w:val="24"/>
              </w:rPr>
            </w:pPr>
            <w:r>
              <w:rPr>
                <w:rFonts w:hint="eastAsia" w:ascii="宋体" w:hAnsi="宋体" w:cs="Times New Roman"/>
                <w:color w:val="000000"/>
                <w:sz w:val="24"/>
              </w:rPr>
              <w:t>3.供应商承诺施工过程中保障施工人员权益（包括但不限于不拖欠施工人员工资、保障施工人员福利等）的得1分，否则得 0 分。</w:t>
            </w:r>
          </w:p>
          <w:p>
            <w:pPr>
              <w:widowControl/>
              <w:jc w:val="left"/>
              <w:rPr>
                <w:rFonts w:ascii="宋体" w:hAnsi="宋体"/>
                <w:color w:val="000000"/>
                <w:sz w:val="24"/>
              </w:rPr>
            </w:pPr>
            <w:r>
              <w:rPr>
                <w:rFonts w:hint="eastAsia" w:ascii="宋体" w:hAnsi="宋体" w:cs="Times New Roman"/>
                <w:color w:val="000000"/>
                <w:sz w:val="24"/>
              </w:rPr>
              <w:t>（提供以上承诺书原件并加盖公章）</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77" w:type="dxa"/>
            <w:vMerge w:val="continue"/>
            <w:vAlign w:val="center"/>
          </w:tcPr>
          <w:p>
            <w:pPr>
              <w:widowControl/>
              <w:jc w:val="left"/>
              <w:rPr>
                <w:rFonts w:ascii="宋体" w:hAnsi="宋体"/>
                <w:color w:val="000000"/>
                <w:sz w:val="24"/>
              </w:rPr>
            </w:pPr>
          </w:p>
        </w:tc>
        <w:tc>
          <w:tcPr>
            <w:tcW w:w="1701" w:type="dxa"/>
            <w:gridSpan w:val="2"/>
            <w:shd w:val="clear" w:color="auto" w:fill="auto"/>
            <w:vAlign w:val="center"/>
          </w:tcPr>
          <w:p>
            <w:pPr>
              <w:widowControl/>
              <w:jc w:val="left"/>
              <w:rPr>
                <w:rFonts w:ascii="宋体" w:hAnsi="宋体"/>
                <w:color w:val="000000"/>
                <w:sz w:val="24"/>
              </w:rPr>
            </w:pPr>
            <w:r>
              <w:rPr>
                <w:rFonts w:hint="eastAsia" w:cs="Times New Roman"/>
                <w:color w:val="000000"/>
                <w:sz w:val="24"/>
              </w:rPr>
              <w:t>投标文件的制作</w:t>
            </w:r>
          </w:p>
        </w:tc>
        <w:tc>
          <w:tcPr>
            <w:tcW w:w="5528" w:type="dxa"/>
            <w:shd w:val="clear" w:color="auto" w:fill="auto"/>
            <w:vAlign w:val="center"/>
          </w:tcPr>
          <w:p>
            <w:pPr>
              <w:widowControl/>
              <w:jc w:val="left"/>
              <w:rPr>
                <w:rFonts w:ascii="宋体" w:hAnsi="宋体"/>
                <w:color w:val="000000"/>
                <w:sz w:val="24"/>
              </w:rPr>
            </w:pPr>
            <w:r>
              <w:rPr>
                <w:rFonts w:hint="eastAsia" w:ascii="宋体" w:hAnsi="宋体" w:cs="Times New Roman"/>
                <w:color w:val="000000"/>
                <w:sz w:val="24"/>
              </w:rPr>
              <w:t>投标文件制作。投标文件全面响应招标文件要求，编制完整、非活页装订，且有详细目录、连续页码、目录与有关材料装订顺序对应清晰、查阅方便得</w:t>
            </w:r>
            <w:r>
              <w:rPr>
                <w:rFonts w:hint="eastAsia" w:ascii="宋体" w:hAnsi="宋体"/>
                <w:color w:val="000000"/>
                <w:sz w:val="24"/>
              </w:rPr>
              <w:t>4</w:t>
            </w:r>
            <w:r>
              <w:rPr>
                <w:rFonts w:hint="eastAsia" w:ascii="宋体" w:hAnsi="宋体" w:cs="Times New Roman"/>
                <w:color w:val="000000"/>
                <w:sz w:val="24"/>
              </w:rPr>
              <w:t>分。编排杂乱无章、叙述答非所问、资料残缺不全、资料模糊不清、前后不一致等，每处扣</w:t>
            </w:r>
            <w:r>
              <w:rPr>
                <w:rFonts w:hint="eastAsia" w:ascii="宋体" w:hAnsi="宋体"/>
                <w:color w:val="000000"/>
                <w:sz w:val="24"/>
              </w:rPr>
              <w:t>1</w:t>
            </w:r>
            <w:r>
              <w:rPr>
                <w:rFonts w:hint="eastAsia" w:ascii="宋体" w:hAnsi="宋体" w:cs="Times New Roman"/>
                <w:color w:val="000000"/>
                <w:sz w:val="24"/>
              </w:rPr>
              <w:t>分，扣完为止；</w:t>
            </w:r>
          </w:p>
        </w:tc>
        <w:tc>
          <w:tcPr>
            <w:tcW w:w="850" w:type="dxa"/>
            <w:shd w:val="clear" w:color="auto" w:fill="auto"/>
            <w:vAlign w:val="center"/>
          </w:tcPr>
          <w:p>
            <w:pPr>
              <w:widowControl/>
              <w:jc w:val="center"/>
              <w:rPr>
                <w:rFonts w:ascii="宋体" w:hAnsi="宋体"/>
                <w:color w:val="000000"/>
                <w:sz w:val="24"/>
              </w:rPr>
            </w:pPr>
            <w:r>
              <w:rPr>
                <w:rFonts w:hint="eastAsia" w:ascii="宋体" w:hAnsi="宋体"/>
                <w:color w:val="000000"/>
                <w:sz w:val="24"/>
              </w:rPr>
              <w:t>4</w:t>
            </w:r>
          </w:p>
        </w:tc>
      </w:tr>
    </w:tbl>
    <w:p>
      <w:pPr>
        <w:adjustRightInd w:val="0"/>
        <w:snapToGrid w:val="0"/>
        <w:spacing w:line="360" w:lineRule="auto"/>
        <w:outlineLvl w:val="0"/>
        <w:rPr>
          <w:rFonts w:ascii="Times New Roman" w:hAnsi="Times New Roman" w:cs="Times New Roman"/>
          <w:b/>
          <w:sz w:val="24"/>
        </w:rPr>
      </w:pPr>
    </w:p>
    <w:p>
      <w:pPr>
        <w:adjustRightInd w:val="0"/>
        <w:snapToGrid w:val="0"/>
        <w:spacing w:line="360" w:lineRule="auto"/>
        <w:outlineLvl w:val="0"/>
        <w:rPr>
          <w:rFonts w:ascii="Times New Roman" w:hAnsi="Times New Roman" w:cs="Times New Roman"/>
          <w:b/>
          <w:sz w:val="24"/>
        </w:rPr>
      </w:pPr>
      <w:r>
        <w:rPr>
          <w:rFonts w:hint="eastAsia" w:ascii="Times New Roman" w:hAnsi="Times New Roman" w:cs="Times New Roman"/>
          <w:b/>
          <w:sz w:val="24"/>
        </w:rPr>
        <w:t>备注：</w:t>
      </w:r>
    </w:p>
    <w:p>
      <w:pPr>
        <w:adjustRightInd w:val="0"/>
        <w:snapToGrid w:val="0"/>
        <w:spacing w:line="360" w:lineRule="auto"/>
        <w:ind w:firstLine="630" w:firstLineChars="300"/>
        <w:outlineLvl w:val="0"/>
        <w:rPr>
          <w:rFonts w:ascii="Times New Roman" w:hAnsi="Times New Roman" w:cs="Times New Roman"/>
          <w:b/>
          <w:szCs w:val="21"/>
        </w:rPr>
      </w:pPr>
      <w:r>
        <w:rPr>
          <w:rFonts w:hint="eastAsia" w:ascii="Times New Roman" w:hAnsi="Times New Roman" w:cs="Times New Roman"/>
          <w:b/>
          <w:szCs w:val="21"/>
        </w:rPr>
        <w:t>1.商务标计算按报价人最终报价计算。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证明材料需提供真彩扫描打印件。</w:t>
      </w:r>
    </w:p>
    <w:p>
      <w:pPr>
        <w:adjustRightInd w:val="0"/>
        <w:snapToGrid w:val="0"/>
        <w:spacing w:line="360" w:lineRule="auto"/>
        <w:ind w:firstLine="630" w:firstLineChars="300"/>
        <w:outlineLvl w:val="0"/>
        <w:rPr>
          <w:rFonts w:ascii="Times New Roman" w:hAnsi="Times New Roman" w:cs="Times New Roman"/>
          <w:b/>
          <w:szCs w:val="21"/>
        </w:rPr>
      </w:pPr>
      <w:r>
        <w:rPr>
          <w:rFonts w:hint="eastAsia" w:ascii="Times New Roman" w:hAnsi="Times New Roman" w:cs="Times New Roman"/>
          <w:b/>
          <w:szCs w:val="21"/>
        </w:rPr>
        <w:t>2. 如供应商的最终报价低于项目采购预算的 80%，磋商小组可启动磋商报价低于成本问询程序：要求供应商作出书面说明并提供相关证明材料，如供应商在 30 分钟内无法提供或者磋商小组认为报价低于成本价时，磋商小组应当将其视为无效投标。</w:t>
      </w:r>
    </w:p>
    <w:p/>
    <w:p>
      <w:pPr>
        <w:pStyle w:val="6"/>
      </w:pPr>
    </w:p>
    <w:sectPr>
      <w:pgSz w:w="11906" w:h="16838"/>
      <w:pgMar w:top="964" w:right="1418" w:bottom="964"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747C"/>
    <w:rsid w:val="00002A7A"/>
    <w:rsid w:val="00004756"/>
    <w:rsid w:val="0001237D"/>
    <w:rsid w:val="000737D8"/>
    <w:rsid w:val="000945F2"/>
    <w:rsid w:val="000A2D1C"/>
    <w:rsid w:val="000E7FC7"/>
    <w:rsid w:val="001002F4"/>
    <w:rsid w:val="0011624F"/>
    <w:rsid w:val="001E26B0"/>
    <w:rsid w:val="001E70E6"/>
    <w:rsid w:val="00205D0C"/>
    <w:rsid w:val="002214D9"/>
    <w:rsid w:val="002625AA"/>
    <w:rsid w:val="00293733"/>
    <w:rsid w:val="002A5B8C"/>
    <w:rsid w:val="002B0C84"/>
    <w:rsid w:val="002C0599"/>
    <w:rsid w:val="002C5CFE"/>
    <w:rsid w:val="00331095"/>
    <w:rsid w:val="00357C9C"/>
    <w:rsid w:val="003678DA"/>
    <w:rsid w:val="003877A6"/>
    <w:rsid w:val="003E2801"/>
    <w:rsid w:val="003F163A"/>
    <w:rsid w:val="003F747C"/>
    <w:rsid w:val="00400B5D"/>
    <w:rsid w:val="00465143"/>
    <w:rsid w:val="004938BC"/>
    <w:rsid w:val="004A2DC5"/>
    <w:rsid w:val="004D7F91"/>
    <w:rsid w:val="00520CFF"/>
    <w:rsid w:val="005430D6"/>
    <w:rsid w:val="005A636F"/>
    <w:rsid w:val="005B2F82"/>
    <w:rsid w:val="005B5BAE"/>
    <w:rsid w:val="00621AF9"/>
    <w:rsid w:val="00697466"/>
    <w:rsid w:val="006D7A04"/>
    <w:rsid w:val="00713122"/>
    <w:rsid w:val="00713C8C"/>
    <w:rsid w:val="00744107"/>
    <w:rsid w:val="00756B56"/>
    <w:rsid w:val="00776E61"/>
    <w:rsid w:val="007851B6"/>
    <w:rsid w:val="0079560D"/>
    <w:rsid w:val="00795E54"/>
    <w:rsid w:val="007A1751"/>
    <w:rsid w:val="007C4C5F"/>
    <w:rsid w:val="007D164E"/>
    <w:rsid w:val="007D2141"/>
    <w:rsid w:val="007D2E62"/>
    <w:rsid w:val="008058E1"/>
    <w:rsid w:val="00852BA5"/>
    <w:rsid w:val="008A46B5"/>
    <w:rsid w:val="008E5440"/>
    <w:rsid w:val="00925E2D"/>
    <w:rsid w:val="009444E9"/>
    <w:rsid w:val="00952370"/>
    <w:rsid w:val="0095521B"/>
    <w:rsid w:val="00961418"/>
    <w:rsid w:val="00970EEF"/>
    <w:rsid w:val="00981853"/>
    <w:rsid w:val="009F0387"/>
    <w:rsid w:val="00A008CE"/>
    <w:rsid w:val="00A00D19"/>
    <w:rsid w:val="00A03292"/>
    <w:rsid w:val="00A23481"/>
    <w:rsid w:val="00A23678"/>
    <w:rsid w:val="00A41C5C"/>
    <w:rsid w:val="00A66C32"/>
    <w:rsid w:val="00A75441"/>
    <w:rsid w:val="00AD7993"/>
    <w:rsid w:val="00AF3231"/>
    <w:rsid w:val="00AF3B70"/>
    <w:rsid w:val="00B0766E"/>
    <w:rsid w:val="00B15D44"/>
    <w:rsid w:val="00B2604D"/>
    <w:rsid w:val="00B332A1"/>
    <w:rsid w:val="00B64536"/>
    <w:rsid w:val="00B93516"/>
    <w:rsid w:val="00BE52FE"/>
    <w:rsid w:val="00C170BC"/>
    <w:rsid w:val="00C32239"/>
    <w:rsid w:val="00C56843"/>
    <w:rsid w:val="00C7388A"/>
    <w:rsid w:val="00C8494F"/>
    <w:rsid w:val="00CE7CDE"/>
    <w:rsid w:val="00D12139"/>
    <w:rsid w:val="00D30BE3"/>
    <w:rsid w:val="00D330A0"/>
    <w:rsid w:val="00D617A0"/>
    <w:rsid w:val="00DA5147"/>
    <w:rsid w:val="00E56B5E"/>
    <w:rsid w:val="00E91FD4"/>
    <w:rsid w:val="00E958CC"/>
    <w:rsid w:val="00EA7734"/>
    <w:rsid w:val="00EB14FB"/>
    <w:rsid w:val="00EC1249"/>
    <w:rsid w:val="00EF287E"/>
    <w:rsid w:val="00F1076F"/>
    <w:rsid w:val="00F10B41"/>
    <w:rsid w:val="00F46CC0"/>
    <w:rsid w:val="00F84BCB"/>
    <w:rsid w:val="00FE3DDA"/>
    <w:rsid w:val="00FF1338"/>
    <w:rsid w:val="069B34BC"/>
    <w:rsid w:val="6C65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Balloon Text"/>
    <w:basedOn w:val="1"/>
    <w:link w:val="12"/>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line="440" w:lineRule="exact"/>
      <w:jc w:val="left"/>
    </w:pPr>
    <w:rPr>
      <w:rFonts w:eastAsia="黑体" w:asciiTheme="minorHAnsi" w:hAnsiTheme="minorHAnsi" w:cstheme="minorBidi"/>
      <w:b/>
      <w:kern w:val="0"/>
      <w:sz w:val="28"/>
      <w:szCs w:val="24"/>
    </w:rPr>
  </w:style>
  <w:style w:type="character" w:customStyle="1" w:styleId="9">
    <w:name w:val="页眉 Char"/>
    <w:basedOn w:val="8"/>
    <w:link w:val="5"/>
    <w:semiHidden/>
    <w:qFormat/>
    <w:uiPriority w:val="99"/>
    <w:rPr>
      <w:rFonts w:ascii="Calibri" w:hAnsi="Calibri" w:eastAsia="宋体" w:cs="黑体"/>
      <w:sz w:val="18"/>
      <w:szCs w:val="18"/>
    </w:rPr>
  </w:style>
  <w:style w:type="character" w:customStyle="1" w:styleId="10">
    <w:name w:val="页脚 Char"/>
    <w:basedOn w:val="8"/>
    <w:link w:val="4"/>
    <w:semiHidden/>
    <w:qFormat/>
    <w:uiPriority w:val="99"/>
    <w:rPr>
      <w:rFonts w:ascii="Calibri" w:hAnsi="Calibri" w:eastAsia="宋体" w:cs="黑体"/>
      <w:sz w:val="18"/>
      <w:szCs w:val="18"/>
    </w:rPr>
  </w:style>
  <w:style w:type="paragraph" w:customStyle="1" w:styleId="1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批注框文本 Char"/>
    <w:basedOn w:val="8"/>
    <w:link w:val="3"/>
    <w:semiHidden/>
    <w:qFormat/>
    <w:uiPriority w:val="99"/>
    <w:rPr>
      <w:rFonts w:ascii="Calibri" w:hAnsi="Calibri" w:eastAsia="宋体" w:cs="黑体"/>
      <w:sz w:val="18"/>
      <w:szCs w:val="18"/>
    </w:rPr>
  </w:style>
  <w:style w:type="paragraph" w:customStyle="1" w:styleId="13">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3384</Words>
  <Characters>420</Characters>
  <Lines>3</Lines>
  <Paragraphs>7</Paragraphs>
  <TotalTime>4</TotalTime>
  <ScaleCrop>false</ScaleCrop>
  <LinksUpToDate>false</LinksUpToDate>
  <CharactersWithSpaces>3797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2021-04-20T06:08:00Z</dcterms:created>
  <dc:creator>Administrator</dc:creator>
  <cp:lastModifiedBy>Lenovo</cp:lastModifiedBy>
  <cp:lastPrinted>2020-07-31T03:13:00Z</cp:lastPrinted>
  <dcterms:modified xsi:type="dcterms:W3CDTF">2021-04-29T06:28:29Z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B9E618A4A25E426193C807AFBB0DD52F</vt:lpwstr>
  </property>
</Properties>
</file>