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eastAsia="zh-CN"/>
        </w:rPr>
      </w:pPr>
      <w:r>
        <w:rPr>
          <w:rFonts w:hint="eastAsia" w:ascii="宋体" w:hAnsi="宋体"/>
          <w:b/>
          <w:bCs/>
          <w:sz w:val="32"/>
          <w:szCs w:val="32"/>
          <w:lang w:eastAsia="zh-CN"/>
        </w:rPr>
        <w:t>阳新县2021年松墨天牛化学防治项目采购需求</w:t>
      </w:r>
    </w:p>
    <w:p>
      <w:pPr>
        <w:pStyle w:val="5"/>
        <w:rPr>
          <w:rFonts w:hint="eastAsia"/>
          <w:lang w:eastAsia="zh-CN"/>
        </w:rPr>
      </w:pPr>
    </w:p>
    <w:p>
      <w:pPr>
        <w:pStyle w:val="5"/>
        <w:rPr>
          <w:rFonts w:hint="eastAsia"/>
          <w:lang w:eastAsia="zh-CN"/>
        </w:rPr>
      </w:pPr>
    </w:p>
    <w:p>
      <w:pPr>
        <w:pStyle w:val="5"/>
        <w:rPr>
          <w:rFonts w:hint="eastAsia"/>
          <w:sz w:val="28"/>
          <w:szCs w:val="24"/>
          <w:lang w:eastAsia="zh-CN"/>
        </w:rPr>
      </w:pPr>
      <w:r>
        <w:rPr>
          <w:rFonts w:hint="eastAsia"/>
          <w:sz w:val="28"/>
          <w:szCs w:val="24"/>
          <w:lang w:eastAsia="zh-CN"/>
        </w:rPr>
        <w:t>采购单位：阳新县森林病虫防治检疫站</w:t>
      </w:r>
    </w:p>
    <w:p>
      <w:pPr>
        <w:pStyle w:val="5"/>
        <w:rPr>
          <w:rFonts w:hint="eastAsia"/>
          <w:sz w:val="28"/>
          <w:szCs w:val="24"/>
          <w:lang w:eastAsia="zh-CN"/>
        </w:rPr>
      </w:pPr>
      <w:r>
        <w:rPr>
          <w:rFonts w:hint="eastAsia"/>
          <w:sz w:val="28"/>
          <w:szCs w:val="24"/>
          <w:lang w:eastAsia="zh-CN"/>
        </w:rPr>
        <w:t>联 系 人：汪站长</w:t>
      </w:r>
    </w:p>
    <w:p>
      <w:pPr>
        <w:pStyle w:val="5"/>
        <w:rPr>
          <w:rFonts w:hint="eastAsia"/>
          <w:sz w:val="28"/>
          <w:szCs w:val="24"/>
          <w:lang w:eastAsia="zh-CN"/>
        </w:rPr>
      </w:pPr>
      <w:r>
        <w:rPr>
          <w:rFonts w:hint="eastAsia"/>
          <w:sz w:val="28"/>
          <w:szCs w:val="24"/>
          <w:lang w:eastAsia="zh-CN"/>
        </w:rPr>
        <w:t>联系电话：</w:t>
      </w:r>
      <w:r>
        <w:rPr>
          <w:rFonts w:hint="eastAsia" w:ascii="宋体" w:hAnsi="宋体" w:eastAsia="宋体" w:cs="宋体"/>
          <w:sz w:val="28"/>
          <w:szCs w:val="24"/>
          <w:lang w:eastAsia="zh-CN"/>
        </w:rPr>
        <w:t>0714-7327151</w:t>
      </w:r>
    </w:p>
    <w:p>
      <w:pPr>
        <w:pStyle w:val="5"/>
        <w:rPr>
          <w:rFonts w:hint="eastAsia"/>
          <w:sz w:val="28"/>
          <w:szCs w:val="24"/>
          <w:lang w:eastAsia="zh-CN"/>
        </w:rPr>
      </w:pPr>
      <w:r>
        <w:rPr>
          <w:rFonts w:hint="eastAsia"/>
          <w:sz w:val="28"/>
          <w:szCs w:val="24"/>
          <w:lang w:eastAsia="zh-CN"/>
        </w:rPr>
        <w:t>采购方式：竞争性磋商</w:t>
      </w:r>
    </w:p>
    <w:p>
      <w:pPr>
        <w:jc w:val="center"/>
        <w:rPr>
          <w:rFonts w:hint="eastAsia" w:ascii="宋体" w:hAnsi="宋体"/>
          <w:sz w:val="32"/>
          <w:szCs w:val="32"/>
          <w:lang w:val="en-US" w:eastAsia="zh-CN"/>
        </w:rPr>
        <w:sectPr>
          <w:pgSz w:w="11906" w:h="16838"/>
          <w:pgMar w:top="1440" w:right="1800" w:bottom="1440" w:left="1800" w:header="851" w:footer="992" w:gutter="0"/>
          <w:cols w:space="425" w:num="1"/>
          <w:docGrid w:type="lines" w:linePitch="312" w:charSpace="0"/>
        </w:sectPr>
      </w:pPr>
    </w:p>
    <w:p>
      <w:pPr>
        <w:jc w:val="both"/>
        <w:outlineLvl w:val="0"/>
        <w:rPr>
          <w:rFonts w:hint="eastAsia" w:ascii="宋体" w:hAnsi="宋体"/>
          <w:sz w:val="24"/>
          <w:szCs w:val="24"/>
          <w:lang w:val="en-US" w:eastAsia="zh-CN"/>
        </w:rPr>
      </w:pPr>
      <w:r>
        <w:rPr>
          <w:rFonts w:hint="eastAsia" w:ascii="宋体" w:hAnsi="宋体"/>
          <w:sz w:val="24"/>
          <w:szCs w:val="24"/>
          <w:lang w:val="en-US" w:eastAsia="zh-CN"/>
        </w:rPr>
        <w:t>附表1：采购需求</w:t>
      </w:r>
    </w:p>
    <w:p>
      <w:pPr>
        <w:pStyle w:val="11"/>
        <w:numPr>
          <w:ilvl w:val="0"/>
          <w:numId w:val="0"/>
        </w:numPr>
        <w:ind w:leftChars="0"/>
        <w:outlineLvl w:val="1"/>
        <w:rPr>
          <w:rFonts w:hint="eastAsia" w:ascii="宋体" w:hAnsi="宋体" w:eastAsia="宋体" w:cs="宋体"/>
          <w:bCs w:val="0"/>
          <w:sz w:val="30"/>
          <w:szCs w:val="30"/>
          <w:lang w:val="zh-CN"/>
        </w:rPr>
      </w:pPr>
      <w:r>
        <w:rPr>
          <w:rFonts w:hint="eastAsia" w:ascii="宋体" w:hAnsi="宋体" w:eastAsia="宋体" w:cs="宋体"/>
          <w:bCs w:val="0"/>
          <w:sz w:val="30"/>
          <w:szCs w:val="30"/>
          <w:lang w:val="zh-CN"/>
        </w:rPr>
        <w:t>一、</w:t>
      </w:r>
      <w:bookmarkStart w:id="0" w:name="_Toc494561954"/>
      <w:bookmarkStart w:id="1" w:name="_Toc495861535"/>
      <w:r>
        <w:rPr>
          <w:rFonts w:hint="eastAsia" w:ascii="宋体" w:hAnsi="宋体" w:eastAsia="宋体" w:cs="宋体"/>
          <w:bCs w:val="0"/>
          <w:sz w:val="30"/>
          <w:szCs w:val="30"/>
          <w:lang w:val="zh-CN"/>
        </w:rPr>
        <w:t>项目基本情况</w:t>
      </w:r>
    </w:p>
    <w:bookmarkEnd w:id="0"/>
    <w:bookmarkEnd w:id="1"/>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lang w:val="zh-CN" w:eastAsia="zh-CN"/>
        </w:rPr>
        <w:t>、项目名称：阳新县2021年松墨天牛化学防治项目。</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lang w:val="zh-CN" w:eastAsia="zh-CN"/>
        </w:rPr>
        <w:t>、项目内容：对阳新县2021年松墨天牛虫口密度大的枫林镇、龙港镇、白沙镇、七峰山林场的2万亩松林，在松墨天牛发生高峰期进行飞机喷药防治。防治两次，两次化学防治均为同一区域。</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w:t>
      </w:r>
      <w:r>
        <w:rPr>
          <w:rFonts w:hint="eastAsia" w:ascii="宋体" w:hAnsi="宋体" w:eastAsia="宋体" w:cs="宋体"/>
          <w:b w:val="0"/>
          <w:bCs/>
          <w:color w:val="auto"/>
          <w:sz w:val="28"/>
          <w:szCs w:val="28"/>
          <w:lang w:val="zh-CN" w:eastAsia="zh-CN"/>
        </w:rPr>
        <w:t>、服务期限：</w:t>
      </w:r>
      <w:r>
        <w:rPr>
          <w:rFonts w:hint="eastAsia" w:ascii="宋体" w:hAnsi="宋体" w:eastAsia="宋体" w:cs="宋体"/>
          <w:b w:val="0"/>
          <w:bCs/>
          <w:color w:val="auto"/>
          <w:sz w:val="28"/>
          <w:szCs w:val="28"/>
          <w:lang w:val="en-US" w:eastAsia="zh-CN"/>
        </w:rPr>
        <w:t>3个月</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en-US" w:eastAsia="zh-CN"/>
        </w:rPr>
        <w:t>4、</w:t>
      </w:r>
      <w:r>
        <w:rPr>
          <w:rFonts w:hint="eastAsia" w:ascii="宋体" w:hAnsi="宋体" w:eastAsia="宋体" w:cs="宋体"/>
          <w:b w:val="0"/>
          <w:bCs/>
          <w:color w:val="auto"/>
          <w:sz w:val="28"/>
          <w:szCs w:val="28"/>
          <w:lang w:val="zh-CN" w:eastAsia="zh-CN"/>
        </w:rPr>
        <w:t>时间要求：分两次进行</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zh-CN" w:eastAsia="zh-CN"/>
        </w:rPr>
        <w:t>第一次防治时间：松墨天牛羽化初期（约5月下旬）；</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zh-CN" w:eastAsia="zh-CN"/>
        </w:rPr>
        <w:t>第二次防治时间：松墨天牛羽化盛期（约6月下旬）。</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zh-CN" w:eastAsia="zh-CN"/>
        </w:rPr>
        <w:t>具体时间根据当地松墨天牛发育情况而定，具体时间按招标人要求执行，必须保证在规定的时间内完成化学防治作业。</w:t>
      </w:r>
    </w:p>
    <w:p>
      <w:pPr>
        <w:pStyle w:val="3"/>
        <w:numPr>
          <w:ilvl w:val="0"/>
          <w:numId w:val="0"/>
        </w:numPr>
        <w:spacing w:before="0" w:after="0" w:line="360" w:lineRule="auto"/>
        <w:ind w:leftChars="0"/>
        <w:jc w:val="left"/>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二、</w:t>
      </w:r>
      <w:bookmarkStart w:id="2" w:name="_Toc495861536"/>
      <w:bookmarkStart w:id="3" w:name="_Toc494561955"/>
      <w:r>
        <w:rPr>
          <w:rFonts w:hint="eastAsia" w:ascii="宋体" w:hAnsi="宋体" w:eastAsia="宋体" w:cs="宋体"/>
          <w:bCs w:val="0"/>
          <w:color w:val="auto"/>
          <w:sz w:val="30"/>
          <w:szCs w:val="30"/>
          <w:lang w:val="zh-CN"/>
        </w:rPr>
        <w:t>服务要求</w:t>
      </w:r>
      <w:bookmarkEnd w:id="2"/>
      <w:bookmarkEnd w:id="3"/>
    </w:p>
    <w:p>
      <w:pPr>
        <w:spacing w:line="500" w:lineRule="exact"/>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（一）化学防治区域：枫林镇、龙港镇、白沙镇、七峰山林场</w:t>
      </w:r>
    </w:p>
    <w:p>
      <w:pPr>
        <w:spacing w:line="500" w:lineRule="exact"/>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（二）化学防治时间要求：</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分两次进行：</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第一次防治时间：松墨天牛羽化初期（约5月下旬）；</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第二次防治时间：松墨天牛羽化盛期（约6中下旬）。</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具体时间根据当地松墨天牛发育情况而定，具体时间按招标人要求执行，必须保证在规定的时间内完成化学防治作业。</w:t>
      </w:r>
    </w:p>
    <w:p>
      <w:pPr>
        <w:spacing w:line="500" w:lineRule="exact"/>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（三）施用药剂要求：</w:t>
      </w:r>
    </w:p>
    <w:p>
      <w:pPr>
        <w:spacing w:line="500" w:lineRule="exact"/>
        <w:ind w:firstLine="560" w:firstLineChars="200"/>
        <w:jc w:val="both"/>
        <w:outlineLvl w:val="9"/>
        <w:rPr>
          <w:rFonts w:hint="eastAsia" w:ascii="宋体" w:hAnsi="宋体" w:eastAsia="宋体" w:cs="宋体"/>
          <w:b w:val="0"/>
          <w:color w:val="auto"/>
          <w:kern w:val="2"/>
          <w:sz w:val="28"/>
          <w:szCs w:val="24"/>
          <w:lang w:val="zh-CN" w:eastAsia="zh-CN" w:bidi="ar-SA"/>
        </w:rPr>
      </w:pPr>
      <w:r>
        <w:rPr>
          <w:rFonts w:hint="eastAsia" w:ascii="宋体" w:hAnsi="宋体" w:eastAsia="宋体" w:cs="宋体"/>
          <w:color w:val="auto"/>
          <w:sz w:val="28"/>
          <w:szCs w:val="24"/>
          <w:lang w:val="zh-CN"/>
        </w:rPr>
        <w:t>1、施用药剂要求：遵循“安全、环保、高效”的原则，喷施农药采用8%氯氰菊酯微囊悬浮剂。飞机防治施药量为100ml/亩，稀释3-4倍采用飞机超低容量喷雾将药剂均匀喷洒在地面以上树干、大枝、树梢和其他天牛成虫喜欢出没之处。</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2、招标人有权对投标人提供药品进行抽查检验，检验费用由中标人承担。如发现不符合环保要求、国家规定或招标文件规定的药品视为违约，并有权追求相关法律责任。</w:t>
      </w:r>
    </w:p>
    <w:p>
      <w:pPr>
        <w:spacing w:line="500" w:lineRule="exact"/>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（四）化学防治覆盖密度要求：符合国家相关技术标准，能够达到化学防治效果要求。</w:t>
      </w:r>
    </w:p>
    <w:p>
      <w:pPr>
        <w:spacing w:line="500" w:lineRule="exact"/>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（五）项目实施过程中所有安全问题都由乙方负责。若发生安全事故（包括次生灾害事故），责任由中标单位全部负责并赔偿所有损失。</w:t>
      </w:r>
    </w:p>
    <w:p>
      <w:pPr>
        <w:spacing w:line="500" w:lineRule="exact"/>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（六）其他要求</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1、服务期间因出现其它变更情况而产生的费用，招标人不予支付。</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2、中标人不得提供虚假业绩、荣誉、认证、授权等资料，如出现上述情形，招标人向监督部门提出申请并经批准后，可取消其中标资格，并与其立即解除合同，由此引起的经济损失全部由中标人承担，招标人有保留追究投标人相关法律责任的权力。</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3、服务成果验收</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服务期满或完成服务成果后，招标人应对服务的成果进行详细而全面的检验。招标人有权限根据检验结果,如发现不合格要求中标人立即采取有效的弥补措施并且招标人保留提出索赔的权利和追究其法律责任的权利。检验合格后，由招标人或者委托的机构进行验收，作为付款凭据之一。</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4、质量保证期</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自验收合格之日起不低于1个月，国家主管部门或者行业标准对服务本身有更高要求的，从其规定并在合同中约定，中标人亦可提报更长的质保期。</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质量保证期内，如果证实服务成果是有缺陷的，包括潜在的缺陷或者使用不符合要求等，中标人应立即采取补救方案，保证达到合同规定的服务要求。如果中标人在收到通知后3天内未能弥补缺陷，招标人可自行采取必要的补救措施，但风险和费用由中标人承担，招标人同时保留通过法律途径进行索赔的权利。</w:t>
      </w:r>
    </w:p>
    <w:p>
      <w:pPr>
        <w:spacing w:line="500" w:lineRule="exact"/>
        <w:ind w:firstLine="560" w:firstLineChars="200"/>
        <w:jc w:val="both"/>
        <w:outlineLvl w:val="9"/>
        <w:rPr>
          <w:rFonts w:hint="eastAsia" w:ascii="宋体" w:hAnsi="宋体" w:eastAsia="宋体" w:cs="宋体"/>
          <w:color w:val="auto"/>
          <w:sz w:val="28"/>
          <w:szCs w:val="24"/>
          <w:lang w:val="zh-CN"/>
        </w:rPr>
      </w:pPr>
      <w:r>
        <w:rPr>
          <w:rFonts w:hint="eastAsia" w:ascii="宋体" w:hAnsi="宋体" w:eastAsia="宋体" w:cs="宋体"/>
          <w:color w:val="auto"/>
          <w:sz w:val="28"/>
          <w:szCs w:val="24"/>
          <w:lang w:val="zh-CN"/>
        </w:rPr>
        <w:t>5、服务保障</w:t>
      </w:r>
    </w:p>
    <w:p>
      <w:pPr>
        <w:spacing w:line="500" w:lineRule="exact"/>
        <w:ind w:firstLine="560" w:firstLineChars="200"/>
        <w:jc w:val="both"/>
        <w:outlineLvl w:val="9"/>
        <w:rPr>
          <w:rFonts w:hint="eastAsia" w:ascii="宋体" w:hAnsi="宋体" w:eastAsia="宋体" w:cs="宋体"/>
          <w:sz w:val="28"/>
          <w:szCs w:val="24"/>
          <w:lang w:val="zh-CN"/>
        </w:rPr>
      </w:pPr>
      <w:r>
        <w:rPr>
          <w:rFonts w:hint="eastAsia" w:ascii="宋体" w:hAnsi="宋体" w:eastAsia="宋体" w:cs="宋体"/>
          <w:color w:val="auto"/>
          <w:sz w:val="28"/>
          <w:szCs w:val="24"/>
          <w:lang w:val="zh-CN"/>
        </w:rPr>
        <w:t>中标人应提供及时周到的技术服务，应保证在服务期内每月至少一次上门回访</w:t>
      </w:r>
      <w:r>
        <w:rPr>
          <w:rFonts w:hint="eastAsia" w:ascii="宋体" w:hAnsi="宋体" w:eastAsia="宋体" w:cs="宋体"/>
          <w:sz w:val="28"/>
          <w:szCs w:val="24"/>
          <w:lang w:val="zh-CN"/>
        </w:rPr>
        <w:t>。</w:t>
      </w:r>
    </w:p>
    <w:p>
      <w:pPr>
        <w:spacing w:line="500" w:lineRule="exact"/>
        <w:jc w:val="both"/>
        <w:outlineLvl w:val="1"/>
        <w:rPr>
          <w:rFonts w:hint="eastAsia" w:ascii="宋体" w:hAnsi="宋体" w:cs="宋体"/>
          <w:sz w:val="28"/>
          <w:szCs w:val="28"/>
          <w:lang w:val="en-US" w:eastAsia="zh-CN"/>
        </w:rPr>
      </w:pPr>
      <w:r>
        <w:rPr>
          <w:rFonts w:hint="eastAsia" w:ascii="宋体" w:hAnsi="宋体" w:cs="宋体"/>
          <w:b/>
          <w:bCs/>
          <w:sz w:val="28"/>
          <w:szCs w:val="28"/>
          <w:lang w:eastAsia="zh-CN"/>
        </w:rPr>
        <w:t>三、供应商资格条件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（一）供应商应具备《政府采购法》第二十二条第一款之规定的基本条件；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4"/>
        </w:rPr>
        <w:t>参加本次政府采购活动前三年内，在经营活动中没有重大违法记录并须提交《参加政府采购活动前3年内在经营活动中没有重大违法记录的书面声明》，且必须未被列入"信用中国"网站失信被执行人、重大税收违法案件当事人、未被中国政府采购网列入严重违法失信行为记录名单（须提供</w:t>
      </w:r>
      <w:r>
        <w:rPr>
          <w:rFonts w:hint="eastAsia" w:ascii="宋体" w:hAnsi="宋体" w:eastAsia="宋体" w:cs="宋体"/>
          <w:color w:val="auto"/>
          <w:sz w:val="28"/>
          <w:szCs w:val="24"/>
          <w:lang w:eastAsia="zh-CN"/>
        </w:rPr>
        <w:t>网页</w:t>
      </w:r>
      <w:r>
        <w:rPr>
          <w:rFonts w:hint="eastAsia" w:ascii="宋体" w:hAnsi="宋体" w:eastAsia="宋体" w:cs="宋体"/>
          <w:color w:val="auto"/>
          <w:sz w:val="28"/>
          <w:szCs w:val="24"/>
        </w:rPr>
        <w:t>截图）</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val="en-US" w:eastAsia="zh-CN" w:bidi="ar"/>
        </w:rPr>
        <w:t>特定条件</w:t>
      </w:r>
      <w:r>
        <w:rPr>
          <w:rFonts w:hint="eastAsia" w:ascii="宋体" w:hAnsi="宋体" w:eastAsia="宋体" w:cs="宋体"/>
          <w:color w:val="auto"/>
          <w:sz w:val="28"/>
          <w:szCs w:val="28"/>
          <w:highlight w:val="none"/>
          <w:lang w:val="en-US" w:eastAsia="zh-CN" w:bidi="ar"/>
        </w:rPr>
        <w:t>：供应商须具备工商行政主管部门核发的有效法人营业执照，并具备相关的履约能力（如森林病虫害防治内容等）</w:t>
      </w:r>
      <w:r>
        <w:rPr>
          <w:rFonts w:hint="eastAsia" w:ascii="宋体" w:hAnsi="宋体" w:eastAsia="宋体" w:cs="宋体"/>
          <w:color w:val="auto"/>
          <w:sz w:val="28"/>
          <w:szCs w:val="28"/>
          <w:lang w:val="en-US" w:eastAsia="zh-CN"/>
        </w:rPr>
        <w:t>；</w:t>
      </w:r>
    </w:p>
    <w:p>
      <w:pPr>
        <w:pStyle w:val="5"/>
        <w:keepNext w:val="0"/>
        <w:keepLines w:val="0"/>
        <w:pageBreakBefore w:val="0"/>
        <w:widowControl/>
        <w:kinsoku/>
        <w:wordWrap/>
        <w:overflowPunct/>
        <w:topLinePunct w:val="0"/>
        <w:autoSpaceDE/>
        <w:autoSpaceDN/>
        <w:bidi w:val="0"/>
        <w:adjustRightInd/>
        <w:snapToGrid/>
        <w:spacing w:line="480" w:lineRule="exact"/>
        <w:ind w:firstLine="280" w:firstLineChars="100"/>
        <w:textAlignment w:val="auto"/>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（四）本项目不接受联合体投标</w:t>
      </w:r>
      <w:r>
        <w:rPr>
          <w:rFonts w:hint="eastAsia" w:ascii="宋体" w:hAnsi="宋体" w:eastAsia="宋体" w:cs="宋体"/>
          <w:sz w:val="28"/>
          <w:szCs w:val="28"/>
          <w:lang w:eastAsia="zh-CN"/>
        </w:rPr>
        <w:t>。</w:t>
      </w:r>
    </w:p>
    <w:p>
      <w:pPr>
        <w:jc w:val="both"/>
        <w:outlineLvl w:val="0"/>
        <w:rPr>
          <w:rFonts w:hint="eastAsia" w:ascii="宋体" w:hAnsi="宋体"/>
          <w:sz w:val="24"/>
          <w:szCs w:val="24"/>
          <w:lang w:val="en-US" w:eastAsia="zh-CN"/>
        </w:rPr>
        <w:sectPr>
          <w:footerReference r:id="rId5" w:type="default"/>
          <w:pgSz w:w="11906" w:h="16838"/>
          <w:pgMar w:top="1440" w:right="1800" w:bottom="1117" w:left="1800" w:header="851" w:footer="992" w:gutter="0"/>
          <w:cols w:space="425" w:num="1"/>
          <w:docGrid w:type="lines" w:linePitch="312" w:charSpace="0"/>
        </w:sectPr>
      </w:pPr>
    </w:p>
    <w:p>
      <w:pPr>
        <w:jc w:val="both"/>
        <w:outlineLvl w:val="0"/>
        <w:rPr>
          <w:rFonts w:hint="eastAsia" w:ascii="宋体" w:hAnsi="宋体"/>
          <w:sz w:val="24"/>
          <w:szCs w:val="24"/>
          <w:lang w:val="hr-HR" w:eastAsia="zh-CN"/>
        </w:rPr>
      </w:pPr>
      <w:r>
        <w:rPr>
          <w:rFonts w:hint="eastAsia" w:ascii="宋体" w:hAnsi="宋体"/>
          <w:sz w:val="24"/>
          <w:szCs w:val="24"/>
          <w:lang w:val="en-US" w:eastAsia="zh-CN"/>
        </w:rPr>
        <w:t>附表2：评分</w:t>
      </w:r>
      <w:r>
        <w:rPr>
          <w:rFonts w:hint="eastAsia" w:ascii="宋体" w:hAnsi="宋体"/>
          <w:sz w:val="24"/>
          <w:szCs w:val="24"/>
          <w:lang w:val="hr-HR" w:eastAsia="zh-CN"/>
        </w:rPr>
        <w:t>标准</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30"/>
        <w:gridCol w:w="891"/>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8" w:type="dxa"/>
            <w:vAlign w:val="center"/>
          </w:tcPr>
          <w:p>
            <w:pPr>
              <w:pStyle w:val="6"/>
              <w:jc w:val="center"/>
              <w:rPr>
                <w:rFonts w:ascii="宋体" w:hAnsi="宋体" w:eastAsia="宋体" w:cs="宋体"/>
                <w:bCs/>
                <w:color w:val="auto"/>
              </w:rPr>
            </w:pPr>
            <w:r>
              <w:rPr>
                <w:rFonts w:hint="eastAsia" w:ascii="宋体" w:hAnsi="宋体" w:eastAsia="宋体" w:cs="宋体"/>
                <w:bCs/>
                <w:color w:val="auto"/>
              </w:rPr>
              <w:t>评标项目</w:t>
            </w:r>
          </w:p>
        </w:tc>
        <w:tc>
          <w:tcPr>
            <w:tcW w:w="1230" w:type="dxa"/>
            <w:vAlign w:val="center"/>
          </w:tcPr>
          <w:p>
            <w:pPr>
              <w:pStyle w:val="6"/>
              <w:jc w:val="center"/>
              <w:rPr>
                <w:rFonts w:ascii="宋体" w:hAnsi="宋体" w:eastAsia="宋体" w:cs="宋体"/>
                <w:bCs/>
                <w:color w:val="auto"/>
              </w:rPr>
            </w:pPr>
            <w:r>
              <w:rPr>
                <w:rFonts w:hint="eastAsia" w:ascii="宋体" w:hAnsi="宋体" w:eastAsia="宋体" w:cs="宋体"/>
                <w:bCs/>
                <w:color w:val="auto"/>
              </w:rPr>
              <w:t>评标分项</w:t>
            </w:r>
          </w:p>
        </w:tc>
        <w:tc>
          <w:tcPr>
            <w:tcW w:w="891" w:type="dxa"/>
            <w:vAlign w:val="center"/>
          </w:tcPr>
          <w:p>
            <w:pPr>
              <w:pStyle w:val="6"/>
              <w:jc w:val="center"/>
              <w:rPr>
                <w:rFonts w:ascii="宋体" w:hAnsi="宋体" w:eastAsia="宋体" w:cs="宋体"/>
                <w:bCs/>
                <w:color w:val="auto"/>
              </w:rPr>
            </w:pPr>
            <w:r>
              <w:rPr>
                <w:rFonts w:hint="eastAsia" w:ascii="宋体" w:hAnsi="宋体" w:eastAsia="宋体" w:cs="宋体"/>
                <w:bCs/>
                <w:color w:val="auto"/>
              </w:rPr>
              <w:t>分值</w:t>
            </w:r>
          </w:p>
        </w:tc>
        <w:tc>
          <w:tcPr>
            <w:tcW w:w="6172" w:type="dxa"/>
            <w:vAlign w:val="center"/>
          </w:tcPr>
          <w:p>
            <w:pPr>
              <w:pStyle w:val="6"/>
              <w:jc w:val="center"/>
              <w:rPr>
                <w:rFonts w:ascii="宋体" w:hAnsi="宋体" w:eastAsia="宋体" w:cs="宋体"/>
                <w:bCs/>
                <w:color w:val="auto"/>
              </w:rPr>
            </w:pPr>
            <w:r>
              <w:rPr>
                <w:rFonts w:hint="eastAsia" w:ascii="宋体" w:hAnsi="宋体" w:eastAsia="宋体" w:cs="宋体"/>
                <w:bCs/>
                <w:color w:val="auto"/>
              </w:rPr>
              <w:t>评标打分细则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8" w:type="dxa"/>
            <w:vAlign w:val="center"/>
          </w:tcPr>
          <w:p>
            <w:pPr>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价格部分</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0分</w:t>
            </w:r>
          </w:p>
        </w:tc>
        <w:tc>
          <w:tcPr>
            <w:tcW w:w="1230" w:type="dxa"/>
            <w:vAlign w:val="center"/>
          </w:tcPr>
          <w:p>
            <w:pPr>
              <w:autoSpaceDE w:val="0"/>
              <w:autoSpaceDN w:val="0"/>
              <w:adjustRightInd w:val="0"/>
              <w:jc w:val="center"/>
              <w:rPr>
                <w:rFonts w:ascii="宋体" w:hAnsi="宋体" w:eastAsia="宋体" w:cs="宋体"/>
                <w:bCs/>
                <w:color w:val="auto"/>
                <w:sz w:val="24"/>
              </w:rPr>
            </w:pPr>
          </w:p>
          <w:p>
            <w:pPr>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报价得分</w:t>
            </w:r>
          </w:p>
        </w:tc>
        <w:tc>
          <w:tcPr>
            <w:tcW w:w="891" w:type="dxa"/>
            <w:vAlign w:val="center"/>
          </w:tcPr>
          <w:p>
            <w:pPr>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0分</w:t>
            </w:r>
          </w:p>
        </w:tc>
        <w:tc>
          <w:tcPr>
            <w:tcW w:w="6172" w:type="dxa"/>
          </w:tcPr>
          <w:p>
            <w:pPr>
              <w:autoSpaceDE w:val="0"/>
              <w:autoSpaceDN w:val="0"/>
              <w:adjustRightInd w:val="0"/>
              <w:rPr>
                <w:rFonts w:ascii="宋体" w:hAnsi="宋体" w:eastAsia="宋体" w:cs="宋体"/>
                <w:bCs/>
                <w:color w:val="auto"/>
                <w:sz w:val="24"/>
              </w:rPr>
            </w:pPr>
            <w:r>
              <w:rPr>
                <w:rFonts w:hint="eastAsia" w:ascii="宋体" w:hAnsi="宋体" w:eastAsia="宋体" w:cs="宋体"/>
                <w:bCs/>
                <w:color w:val="auto"/>
                <w:sz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78" w:type="dxa"/>
            <w:vMerge w:val="restart"/>
            <w:vAlign w:val="center"/>
          </w:tcPr>
          <w:p>
            <w:pPr>
              <w:pStyle w:val="6"/>
              <w:jc w:val="center"/>
              <w:rPr>
                <w:rFonts w:ascii="宋体" w:hAnsi="宋体" w:eastAsia="宋体" w:cs="宋体"/>
                <w:bCs/>
                <w:color w:val="auto"/>
              </w:rPr>
            </w:pPr>
            <w:r>
              <w:rPr>
                <w:rFonts w:hint="eastAsia" w:ascii="宋体" w:hAnsi="宋体" w:eastAsia="宋体" w:cs="宋体"/>
                <w:bCs/>
                <w:color w:val="auto"/>
              </w:rPr>
              <w:t>商务部分2</w:t>
            </w:r>
            <w:r>
              <w:rPr>
                <w:rFonts w:hint="eastAsia" w:ascii="宋体" w:hAnsi="宋体" w:cs="宋体"/>
                <w:bCs/>
                <w:color w:val="auto"/>
                <w:lang w:val="en-US" w:eastAsia="zh-CN"/>
              </w:rPr>
              <w:t>0</w:t>
            </w:r>
            <w:r>
              <w:rPr>
                <w:rFonts w:hint="eastAsia" w:ascii="宋体" w:hAnsi="宋体" w:eastAsia="宋体" w:cs="宋体"/>
                <w:bCs/>
                <w:color w:val="auto"/>
              </w:rPr>
              <w:t>分</w:t>
            </w:r>
          </w:p>
        </w:tc>
        <w:tc>
          <w:tcPr>
            <w:tcW w:w="1230" w:type="dxa"/>
            <w:vAlign w:val="center"/>
          </w:tcPr>
          <w:p>
            <w:pPr>
              <w:widowControl/>
              <w:jc w:val="center"/>
              <w:outlineLvl w:val="1"/>
              <w:rPr>
                <w:rFonts w:ascii="宋体" w:hAnsi="宋体" w:eastAsia="宋体" w:cs="宋体"/>
                <w:bCs/>
                <w:color w:val="auto"/>
                <w:kern w:val="0"/>
                <w:sz w:val="24"/>
              </w:rPr>
            </w:pPr>
            <w:r>
              <w:rPr>
                <w:rFonts w:hint="eastAsia" w:ascii="宋体" w:hAnsi="宋体" w:eastAsia="宋体" w:cs="宋体"/>
                <w:bCs/>
                <w:color w:val="auto"/>
                <w:sz w:val="24"/>
              </w:rPr>
              <w:t>防治业绩</w:t>
            </w:r>
          </w:p>
        </w:tc>
        <w:tc>
          <w:tcPr>
            <w:tcW w:w="891" w:type="dxa"/>
            <w:vAlign w:val="center"/>
          </w:tcPr>
          <w:p>
            <w:pPr>
              <w:pStyle w:val="6"/>
              <w:jc w:val="center"/>
              <w:rPr>
                <w:rFonts w:ascii="宋体" w:hAnsi="宋体" w:eastAsia="宋体" w:cs="宋体"/>
                <w:bCs/>
                <w:color w:val="auto"/>
              </w:rPr>
            </w:pPr>
            <w:r>
              <w:rPr>
                <w:rFonts w:hint="eastAsia" w:ascii="宋体" w:hAnsi="宋体" w:eastAsia="宋体" w:cs="宋体"/>
                <w:bCs/>
                <w:color w:val="auto"/>
                <w:lang w:val="en-US" w:eastAsia="zh-CN"/>
              </w:rPr>
              <w:t>10</w:t>
            </w:r>
            <w:r>
              <w:rPr>
                <w:rFonts w:hint="eastAsia" w:ascii="宋体" w:hAnsi="宋体" w:eastAsia="宋体" w:cs="宋体"/>
                <w:bCs/>
                <w:color w:val="auto"/>
              </w:rPr>
              <w:t>分</w:t>
            </w:r>
          </w:p>
        </w:tc>
        <w:tc>
          <w:tcPr>
            <w:tcW w:w="6172" w:type="dxa"/>
            <w:vAlign w:val="center"/>
          </w:tcPr>
          <w:p>
            <w:pPr>
              <w:autoSpaceDE w:val="0"/>
              <w:autoSpaceDN w:val="0"/>
              <w:adjustRightInd w:val="0"/>
              <w:rPr>
                <w:rFonts w:ascii="宋体" w:hAnsi="宋体" w:eastAsia="宋体" w:cs="宋体"/>
                <w:bCs/>
                <w:color w:val="auto"/>
                <w:sz w:val="24"/>
              </w:rPr>
            </w:pPr>
            <w:r>
              <w:rPr>
                <w:rFonts w:hint="eastAsia" w:ascii="宋体" w:hAnsi="宋体" w:eastAsia="宋体" w:cs="宋体"/>
                <w:bCs/>
                <w:color w:val="auto"/>
                <w:sz w:val="24"/>
              </w:rPr>
              <w:t>近三年（2018年4月至今）类似项目（松材线虫病和松墨天牛相关），每提供1份得</w:t>
            </w:r>
            <w:r>
              <w:rPr>
                <w:rFonts w:hint="eastAsia" w:ascii="宋体" w:hAnsi="宋体" w:cs="宋体"/>
                <w:bCs/>
                <w:color w:val="auto"/>
                <w:sz w:val="24"/>
                <w:lang w:val="en-US" w:eastAsia="zh-CN"/>
              </w:rPr>
              <w:t>1</w:t>
            </w:r>
            <w:bookmarkStart w:id="4" w:name="_GoBack"/>
            <w:bookmarkEnd w:id="4"/>
            <w:r>
              <w:rPr>
                <w:rFonts w:hint="eastAsia" w:ascii="宋体" w:hAnsi="宋体" w:eastAsia="宋体" w:cs="宋体"/>
                <w:bCs/>
                <w:color w:val="auto"/>
                <w:sz w:val="24"/>
              </w:rPr>
              <w:t>分，满分1</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分；需提供中标通知书、合同及网上公示截图。（提供真彩扫描打印件并加盖公章）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78" w:type="dxa"/>
            <w:vMerge w:val="continue"/>
            <w:vAlign w:val="center"/>
          </w:tcPr>
          <w:p>
            <w:pPr>
              <w:pStyle w:val="6"/>
              <w:jc w:val="center"/>
              <w:rPr>
                <w:rFonts w:ascii="宋体" w:hAnsi="宋体" w:eastAsia="宋体" w:cs="宋体"/>
                <w:bCs/>
                <w:color w:val="auto"/>
              </w:rPr>
            </w:pPr>
          </w:p>
        </w:tc>
        <w:tc>
          <w:tcPr>
            <w:tcW w:w="1230" w:type="dxa"/>
            <w:vAlign w:val="center"/>
          </w:tcPr>
          <w:p>
            <w:pPr>
              <w:widowControl/>
              <w:jc w:val="center"/>
              <w:outlineLvl w:val="1"/>
              <w:rPr>
                <w:rFonts w:ascii="宋体" w:hAnsi="宋体" w:eastAsia="宋体" w:cs="宋体"/>
                <w:bCs/>
                <w:color w:val="auto"/>
                <w:sz w:val="24"/>
              </w:rPr>
            </w:pPr>
            <w:r>
              <w:rPr>
                <w:rFonts w:hint="eastAsia" w:ascii="宋体" w:hAnsi="宋体" w:eastAsia="宋体" w:cs="宋体"/>
                <w:bCs/>
                <w:color w:val="auto"/>
                <w:sz w:val="24"/>
              </w:rPr>
              <w:t>防治农药授权</w:t>
            </w:r>
          </w:p>
        </w:tc>
        <w:tc>
          <w:tcPr>
            <w:tcW w:w="891" w:type="dxa"/>
            <w:vAlign w:val="center"/>
          </w:tcPr>
          <w:p>
            <w:pPr>
              <w:pStyle w:val="6"/>
              <w:jc w:val="center"/>
              <w:rPr>
                <w:rFonts w:ascii="宋体" w:hAnsi="宋体" w:eastAsia="宋体" w:cs="宋体"/>
                <w:bCs/>
                <w:color w:val="auto"/>
              </w:rPr>
            </w:pPr>
            <w:r>
              <w:rPr>
                <w:rFonts w:hint="eastAsia" w:ascii="宋体" w:hAnsi="宋体" w:eastAsia="宋体" w:cs="宋体"/>
                <w:bCs/>
                <w:color w:val="auto"/>
              </w:rPr>
              <w:t>10分</w:t>
            </w:r>
          </w:p>
        </w:tc>
        <w:tc>
          <w:tcPr>
            <w:tcW w:w="6172" w:type="dxa"/>
            <w:vAlign w:val="center"/>
          </w:tcPr>
          <w:p>
            <w:pPr>
              <w:autoSpaceDE w:val="0"/>
              <w:autoSpaceDN w:val="0"/>
              <w:adjustRightInd w:val="0"/>
              <w:rPr>
                <w:rFonts w:ascii="宋体" w:hAnsi="宋体" w:eastAsia="宋体" w:cs="宋体"/>
                <w:bCs/>
                <w:color w:val="auto"/>
                <w:sz w:val="24"/>
                <w:highlight w:val="none"/>
              </w:rPr>
            </w:pPr>
            <w:r>
              <w:rPr>
                <w:rFonts w:hint="eastAsia" w:ascii="宋体" w:hAnsi="宋体" w:eastAsia="宋体" w:cs="宋体"/>
                <w:bCs/>
                <w:color w:val="auto"/>
                <w:sz w:val="24"/>
                <w:highlight w:val="none"/>
              </w:rPr>
              <w:t>防治选用药剂为防治对象为天牛的≥8%氯氰菊酯微囊悬浮剂，需提供以下证明材料：投标人需提供药剂生产制造厂家针对本项目出具的合法授权书原件；投标人需提供药剂生产制造厂家农药产品三证（农药登记证、农药生产许可证和企业标准），三证均须在有效期内，三证均须加盖生产制造厂家</w:t>
            </w:r>
            <w:r>
              <w:rPr>
                <w:rFonts w:hint="eastAsia" w:ascii="宋体" w:hAnsi="宋体" w:eastAsia="宋体" w:cs="宋体"/>
                <w:bCs/>
                <w:color w:val="auto"/>
                <w:sz w:val="24"/>
                <w:highlight w:val="none"/>
                <w:lang w:eastAsia="zh-CN"/>
              </w:rPr>
              <w:t>公</w:t>
            </w:r>
            <w:r>
              <w:rPr>
                <w:rFonts w:hint="eastAsia" w:ascii="宋体" w:hAnsi="宋体" w:eastAsia="宋体" w:cs="宋体"/>
                <w:bCs/>
                <w:color w:val="auto"/>
                <w:sz w:val="24"/>
                <w:highlight w:val="none"/>
              </w:rPr>
              <w:t>章；投标人需提供农药2021年第三方检测报告。每提供1份得2分，满分10分（提供</w:t>
            </w:r>
            <w:r>
              <w:rPr>
                <w:rFonts w:hint="eastAsia" w:ascii="宋体" w:hAnsi="宋体" w:eastAsia="宋体" w:cs="宋体"/>
                <w:bCs/>
                <w:color w:val="auto"/>
                <w:sz w:val="24"/>
                <w:highlight w:val="none"/>
                <w:lang w:eastAsia="zh-CN"/>
              </w:rPr>
              <w:t>证件的</w:t>
            </w:r>
            <w:r>
              <w:rPr>
                <w:rFonts w:hint="eastAsia" w:ascii="宋体" w:hAnsi="宋体" w:eastAsia="宋体" w:cs="宋体"/>
                <w:bCs/>
                <w:color w:val="auto"/>
                <w:sz w:val="24"/>
                <w:highlight w:val="none"/>
              </w:rPr>
              <w:t>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78" w:type="dxa"/>
            <w:vMerge w:val="restart"/>
            <w:vAlign w:val="center"/>
          </w:tcPr>
          <w:p>
            <w:pPr>
              <w:pStyle w:val="6"/>
              <w:jc w:val="center"/>
              <w:rPr>
                <w:rFonts w:ascii="宋体" w:hAnsi="宋体" w:eastAsia="宋体" w:cs="宋体"/>
                <w:bCs/>
                <w:color w:val="auto"/>
              </w:rPr>
            </w:pPr>
            <w:r>
              <w:rPr>
                <w:rFonts w:hint="eastAsia" w:ascii="宋体" w:hAnsi="宋体" w:cs="宋体"/>
                <w:bCs/>
                <w:color w:val="auto"/>
                <w:lang w:eastAsia="zh-CN"/>
              </w:rPr>
              <w:t>技术部分</w:t>
            </w:r>
            <w:r>
              <w:rPr>
                <w:rFonts w:hint="eastAsia" w:ascii="宋体" w:hAnsi="宋体" w:eastAsia="宋体" w:cs="宋体"/>
                <w:bCs/>
                <w:color w:val="auto"/>
              </w:rPr>
              <w:t>5</w:t>
            </w:r>
            <w:r>
              <w:rPr>
                <w:rFonts w:hint="eastAsia" w:ascii="宋体" w:hAnsi="宋体" w:cs="宋体"/>
                <w:bCs/>
                <w:color w:val="auto"/>
                <w:lang w:val="en-US" w:eastAsia="zh-CN"/>
              </w:rPr>
              <w:t>0</w:t>
            </w:r>
            <w:r>
              <w:rPr>
                <w:rFonts w:hint="eastAsia" w:ascii="宋体" w:hAnsi="宋体" w:eastAsia="宋体" w:cs="宋体"/>
                <w:bCs/>
                <w:color w:val="auto"/>
              </w:rPr>
              <w:t>分</w:t>
            </w:r>
          </w:p>
        </w:tc>
        <w:tc>
          <w:tcPr>
            <w:tcW w:w="1230" w:type="dxa"/>
            <w:vAlign w:val="center"/>
          </w:tcPr>
          <w:p>
            <w:pPr>
              <w:autoSpaceDE w:val="0"/>
              <w:autoSpaceDN w:val="0"/>
              <w:adjustRightInd w:val="0"/>
              <w:jc w:val="center"/>
              <w:rPr>
                <w:rFonts w:ascii="宋体" w:hAnsi="宋体" w:eastAsia="宋体" w:cs="宋体"/>
                <w:bCs/>
                <w:color w:val="auto"/>
                <w:sz w:val="24"/>
              </w:rPr>
            </w:pPr>
            <w:r>
              <w:rPr>
                <w:rFonts w:hint="eastAsia" w:ascii="宋体" w:hAnsi="宋体" w:eastAsia="宋体" w:cs="宋体"/>
                <w:color w:val="auto"/>
                <w:sz w:val="24"/>
              </w:rPr>
              <w:t>技术方案和设计</w:t>
            </w:r>
          </w:p>
        </w:tc>
        <w:tc>
          <w:tcPr>
            <w:tcW w:w="891" w:type="dxa"/>
            <w:vAlign w:val="center"/>
          </w:tcPr>
          <w:p>
            <w:pPr>
              <w:autoSpaceDE w:val="0"/>
              <w:autoSpaceDN w:val="0"/>
              <w:adjustRightInd w:val="0"/>
              <w:jc w:val="center"/>
              <w:rPr>
                <w:rFonts w:ascii="宋体" w:hAnsi="宋体" w:eastAsia="宋体" w:cs="宋体"/>
                <w:color w:val="auto"/>
                <w:sz w:val="24"/>
              </w:rPr>
            </w:pPr>
            <w:r>
              <w:rPr>
                <w:rFonts w:hint="eastAsia" w:ascii="宋体" w:hAnsi="宋体" w:eastAsia="宋体" w:cs="宋体"/>
                <w:color w:val="auto"/>
                <w:sz w:val="24"/>
              </w:rPr>
              <w:t>20分</w:t>
            </w:r>
          </w:p>
        </w:tc>
        <w:tc>
          <w:tcPr>
            <w:tcW w:w="6172" w:type="dxa"/>
            <w:vAlign w:val="center"/>
          </w:tcPr>
          <w:p>
            <w:pPr>
              <w:widowControl/>
              <w:outlineLvl w:val="1"/>
              <w:rPr>
                <w:rFonts w:ascii="宋体" w:hAnsi="宋体" w:eastAsia="宋体" w:cs="宋体"/>
                <w:bCs/>
                <w:color w:val="auto"/>
                <w:sz w:val="24"/>
              </w:rPr>
            </w:pPr>
            <w:r>
              <w:rPr>
                <w:rFonts w:hint="eastAsia" w:ascii="宋体" w:hAnsi="宋体" w:eastAsia="宋体" w:cs="宋体"/>
                <w:bCs/>
                <w:color w:val="auto"/>
                <w:sz w:val="24"/>
              </w:rPr>
              <w:t>对本项目的</w:t>
            </w:r>
            <w:r>
              <w:rPr>
                <w:rFonts w:hint="eastAsia" w:ascii="宋体" w:hAnsi="宋体" w:eastAsia="宋体" w:cs="宋体"/>
                <w:color w:val="auto"/>
                <w:sz w:val="24"/>
              </w:rPr>
              <w:t>技术方案和设计</w:t>
            </w:r>
            <w:r>
              <w:rPr>
                <w:rFonts w:hint="eastAsia" w:ascii="宋体" w:hAnsi="宋体" w:eastAsia="宋体" w:cs="宋体"/>
                <w:bCs/>
                <w:color w:val="auto"/>
                <w:sz w:val="24"/>
              </w:rPr>
              <w:t>准确，合理，符合阳新县实际。</w:t>
            </w:r>
          </w:p>
          <w:p>
            <w:pPr>
              <w:widowControl/>
              <w:outlineLvl w:val="1"/>
              <w:rPr>
                <w:rFonts w:ascii="宋体" w:hAnsi="宋体" w:eastAsia="宋体" w:cs="宋体"/>
                <w:color w:val="auto"/>
                <w:kern w:val="0"/>
                <w:sz w:val="24"/>
              </w:rPr>
            </w:pPr>
            <w:r>
              <w:rPr>
                <w:rFonts w:hint="eastAsia" w:ascii="宋体" w:hAnsi="宋体" w:eastAsia="宋体" w:cs="宋体"/>
                <w:color w:val="auto"/>
                <w:sz w:val="24"/>
              </w:rPr>
              <w:t>1、方案合理、设计规范、操作性强</w:t>
            </w:r>
            <w:r>
              <w:rPr>
                <w:rFonts w:hint="eastAsia" w:ascii="宋体" w:hAnsi="宋体" w:eastAsia="宋体" w:cs="宋体"/>
                <w:color w:val="auto"/>
                <w:kern w:val="0"/>
                <w:sz w:val="24"/>
              </w:rPr>
              <w:t>的得14-20分；</w:t>
            </w:r>
          </w:p>
          <w:p>
            <w:pPr>
              <w:widowControl/>
              <w:outlineLvl w:val="1"/>
              <w:rPr>
                <w:rFonts w:ascii="宋体" w:hAnsi="宋体" w:eastAsia="宋体" w:cs="宋体"/>
                <w:color w:val="auto"/>
                <w:sz w:val="24"/>
              </w:rPr>
            </w:pPr>
            <w:r>
              <w:rPr>
                <w:rFonts w:hint="eastAsia" w:ascii="宋体" w:hAnsi="宋体" w:eastAsia="宋体" w:cs="宋体"/>
                <w:color w:val="auto"/>
                <w:sz w:val="24"/>
              </w:rPr>
              <w:t>2、方案、设计、操作性一般</w:t>
            </w:r>
            <w:r>
              <w:rPr>
                <w:rFonts w:hint="eastAsia" w:ascii="宋体" w:hAnsi="宋体" w:eastAsia="宋体" w:cs="宋体"/>
                <w:color w:val="auto"/>
                <w:kern w:val="0"/>
                <w:sz w:val="24"/>
              </w:rPr>
              <w:t>的得6-13分；</w:t>
            </w:r>
          </w:p>
          <w:p>
            <w:pPr>
              <w:widowControl/>
              <w:outlineLvl w:val="1"/>
              <w:rPr>
                <w:rFonts w:ascii="宋体" w:hAnsi="宋体" w:eastAsia="宋体" w:cs="宋体"/>
                <w:bCs/>
                <w:color w:val="auto"/>
                <w:sz w:val="24"/>
              </w:rPr>
            </w:pPr>
            <w:r>
              <w:rPr>
                <w:rFonts w:hint="eastAsia" w:ascii="宋体" w:hAnsi="宋体" w:eastAsia="宋体" w:cs="宋体"/>
                <w:color w:val="auto"/>
                <w:sz w:val="24"/>
              </w:rPr>
              <w:t>3、方案、设计、操作性、有缺陷和不足</w:t>
            </w:r>
            <w:r>
              <w:rPr>
                <w:rFonts w:hint="eastAsia" w:ascii="宋体" w:hAnsi="宋体" w:eastAsia="宋体" w:cs="宋体"/>
                <w:color w:val="auto"/>
                <w:kern w:val="0"/>
                <w:sz w:val="24"/>
              </w:rPr>
              <w:t>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8" w:type="dxa"/>
            <w:vMerge w:val="continue"/>
            <w:vAlign w:val="center"/>
          </w:tcPr>
          <w:p>
            <w:pPr>
              <w:pStyle w:val="6"/>
              <w:jc w:val="center"/>
              <w:rPr>
                <w:rFonts w:ascii="宋体" w:hAnsi="宋体" w:eastAsia="宋体" w:cs="宋体"/>
                <w:bCs/>
                <w:color w:val="auto"/>
              </w:rPr>
            </w:pPr>
          </w:p>
        </w:tc>
        <w:tc>
          <w:tcPr>
            <w:tcW w:w="1230" w:type="dxa"/>
            <w:vAlign w:val="center"/>
          </w:tcPr>
          <w:p>
            <w:pPr>
              <w:autoSpaceDE w:val="0"/>
              <w:autoSpaceDN w:val="0"/>
              <w:adjustRightInd w:val="0"/>
              <w:jc w:val="center"/>
              <w:rPr>
                <w:rFonts w:ascii="宋体" w:hAnsi="宋体" w:eastAsia="宋体" w:cs="宋体"/>
                <w:color w:val="auto"/>
                <w:sz w:val="24"/>
              </w:rPr>
            </w:pPr>
            <w:r>
              <w:rPr>
                <w:rFonts w:hint="eastAsia" w:ascii="宋体" w:hAnsi="宋体" w:eastAsia="宋体" w:cs="宋体"/>
                <w:color w:val="auto"/>
                <w:sz w:val="24"/>
              </w:rPr>
              <w:t>人员配置</w:t>
            </w:r>
          </w:p>
        </w:tc>
        <w:tc>
          <w:tcPr>
            <w:tcW w:w="891" w:type="dxa"/>
            <w:vAlign w:val="center"/>
          </w:tcPr>
          <w:p>
            <w:pPr>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4分</w:t>
            </w:r>
          </w:p>
        </w:tc>
        <w:tc>
          <w:tcPr>
            <w:tcW w:w="6172" w:type="dxa"/>
            <w:vAlign w:val="center"/>
          </w:tcPr>
          <w:p>
            <w:pPr>
              <w:autoSpaceDE w:val="0"/>
              <w:autoSpaceDN w:val="0"/>
              <w:adjustRightInd w:val="0"/>
              <w:rPr>
                <w:rFonts w:ascii="宋体" w:hAnsi="宋体" w:eastAsia="宋体" w:cs="宋体"/>
                <w:color w:val="auto"/>
                <w:sz w:val="24"/>
              </w:rPr>
            </w:pPr>
            <w:r>
              <w:rPr>
                <w:rFonts w:hint="eastAsia" w:ascii="宋体" w:hAnsi="宋体" w:eastAsia="宋体" w:cs="宋体"/>
                <w:bCs/>
                <w:color w:val="auto"/>
                <w:sz w:val="24"/>
              </w:rPr>
              <w:t>项目组技术人员具有林业有害生物防治员中级及以上资格证书，每提供一名得1分，满分4分；（提供证件的真彩扫描打印件并加盖公章）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8" w:type="dxa"/>
            <w:vMerge w:val="continue"/>
            <w:vAlign w:val="center"/>
          </w:tcPr>
          <w:p>
            <w:pPr>
              <w:pStyle w:val="6"/>
              <w:jc w:val="center"/>
              <w:rPr>
                <w:rFonts w:ascii="宋体" w:hAnsi="宋体" w:eastAsia="宋体" w:cs="宋体"/>
                <w:bCs/>
                <w:color w:val="auto"/>
              </w:rPr>
            </w:pPr>
          </w:p>
        </w:tc>
        <w:tc>
          <w:tcPr>
            <w:tcW w:w="1230" w:type="dxa"/>
            <w:vAlign w:val="center"/>
          </w:tcPr>
          <w:p>
            <w:pPr>
              <w:autoSpaceDE w:val="0"/>
              <w:autoSpaceDN w:val="0"/>
              <w:adjustRightInd w:val="0"/>
              <w:jc w:val="center"/>
              <w:rPr>
                <w:rFonts w:ascii="宋体" w:hAnsi="宋体" w:eastAsia="宋体" w:cs="宋体"/>
                <w:color w:val="auto"/>
                <w:sz w:val="24"/>
              </w:rPr>
            </w:pPr>
            <w:r>
              <w:rPr>
                <w:rFonts w:hint="eastAsia" w:ascii="宋体" w:hAnsi="宋体" w:eastAsia="宋体" w:cs="宋体"/>
                <w:color w:val="auto"/>
                <w:sz w:val="24"/>
              </w:rPr>
              <w:t>器械配置</w:t>
            </w:r>
          </w:p>
        </w:tc>
        <w:tc>
          <w:tcPr>
            <w:tcW w:w="891" w:type="dxa"/>
            <w:vAlign w:val="center"/>
          </w:tcPr>
          <w:p>
            <w:pPr>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10分</w:t>
            </w:r>
          </w:p>
        </w:tc>
        <w:tc>
          <w:tcPr>
            <w:tcW w:w="6172" w:type="dxa"/>
            <w:vAlign w:val="center"/>
          </w:tcPr>
          <w:p>
            <w:pPr>
              <w:autoSpaceDE w:val="0"/>
              <w:autoSpaceDN w:val="0"/>
              <w:adjustRightInd w:val="0"/>
              <w:rPr>
                <w:rFonts w:ascii="宋体" w:hAnsi="宋体" w:eastAsia="宋体" w:cs="宋体"/>
                <w:color w:val="auto"/>
                <w:sz w:val="24"/>
                <w:highlight w:val="none"/>
              </w:rPr>
            </w:pPr>
            <w:r>
              <w:rPr>
                <w:rFonts w:hint="eastAsia" w:ascii="宋体" w:hAnsi="宋体" w:eastAsia="宋体" w:cs="宋体"/>
                <w:bCs/>
                <w:color w:val="auto"/>
                <w:sz w:val="24"/>
                <w:highlight w:val="none"/>
              </w:rPr>
              <w:t>各种作业器械配备齐全，搭配科学合理</w:t>
            </w:r>
            <w:r>
              <w:rPr>
                <w:rFonts w:hint="eastAsia" w:ascii="宋体" w:hAnsi="宋体" w:eastAsia="宋体" w:cs="宋体"/>
                <w:bCs/>
                <w:color w:val="auto"/>
                <w:sz w:val="24"/>
                <w:highlight w:val="none"/>
                <w:lang w:eastAsia="zh-CN"/>
              </w:rPr>
              <w:t>进行评审，</w:t>
            </w:r>
            <w:r>
              <w:rPr>
                <w:rFonts w:hint="eastAsia" w:ascii="宋体" w:hAnsi="宋体" w:eastAsia="宋体" w:cs="宋体"/>
                <w:bCs/>
                <w:color w:val="auto"/>
                <w:sz w:val="24"/>
                <w:highlight w:val="none"/>
              </w:rPr>
              <w:t>科学、合理、可行、针对性强的得</w:t>
            </w:r>
            <w:r>
              <w:rPr>
                <w:rFonts w:hint="eastAsia" w:ascii="宋体" w:hAnsi="宋体" w:eastAsia="宋体" w:cs="宋体"/>
                <w:bCs/>
                <w:color w:val="auto"/>
                <w:sz w:val="24"/>
                <w:highlight w:val="none"/>
                <w:lang w:val="en-US" w:eastAsia="zh-CN"/>
              </w:rPr>
              <w:t>7-10</w:t>
            </w:r>
            <w:r>
              <w:rPr>
                <w:rFonts w:hint="eastAsia" w:ascii="宋体" w:hAnsi="宋体" w:eastAsia="宋体" w:cs="宋体"/>
                <w:bCs/>
                <w:color w:val="auto"/>
                <w:sz w:val="24"/>
                <w:highlight w:val="none"/>
              </w:rPr>
              <w:t>分，基本合理、可行的得</w:t>
            </w:r>
            <w:r>
              <w:rPr>
                <w:rFonts w:hint="eastAsia" w:ascii="宋体" w:hAnsi="宋体" w:eastAsia="宋体" w:cs="宋体"/>
                <w:bCs/>
                <w:color w:val="auto"/>
                <w:sz w:val="24"/>
                <w:highlight w:val="none"/>
                <w:lang w:val="en-US" w:eastAsia="zh-CN"/>
              </w:rPr>
              <w:t>4-6</w:t>
            </w:r>
            <w:r>
              <w:rPr>
                <w:rFonts w:hint="eastAsia" w:ascii="宋体" w:hAnsi="宋体" w:eastAsia="宋体" w:cs="宋体"/>
                <w:bCs/>
                <w:color w:val="auto"/>
                <w:sz w:val="24"/>
                <w:highlight w:val="none"/>
              </w:rPr>
              <w:t>分，欠合理，可行得</w:t>
            </w:r>
            <w:r>
              <w:rPr>
                <w:rFonts w:hint="eastAsia" w:ascii="宋体" w:hAnsi="宋体" w:eastAsia="宋体" w:cs="宋体"/>
                <w:bCs/>
                <w:color w:val="auto"/>
                <w:sz w:val="24"/>
                <w:highlight w:val="none"/>
                <w:lang w:val="en-US" w:eastAsia="zh-CN"/>
              </w:rPr>
              <w:t>0-3</w:t>
            </w:r>
            <w:r>
              <w:rPr>
                <w:rFonts w:hint="eastAsia" w:ascii="宋体" w:hAnsi="宋体" w:eastAsia="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78" w:type="dxa"/>
            <w:vMerge w:val="continue"/>
            <w:vAlign w:val="center"/>
          </w:tcPr>
          <w:p>
            <w:pPr>
              <w:pStyle w:val="6"/>
              <w:jc w:val="center"/>
              <w:rPr>
                <w:rFonts w:ascii="宋体" w:hAnsi="宋体" w:eastAsia="宋体" w:cs="宋体"/>
                <w:bCs/>
                <w:color w:val="auto"/>
              </w:rPr>
            </w:pPr>
          </w:p>
        </w:tc>
        <w:tc>
          <w:tcPr>
            <w:tcW w:w="1230" w:type="dxa"/>
            <w:vAlign w:val="center"/>
          </w:tcPr>
          <w:p>
            <w:pPr>
              <w:autoSpaceDE w:val="0"/>
              <w:autoSpaceDN w:val="0"/>
              <w:adjustRightInd w:val="0"/>
              <w:jc w:val="center"/>
              <w:rPr>
                <w:rFonts w:ascii="宋体" w:hAnsi="宋体" w:eastAsia="宋体" w:cs="宋体"/>
                <w:color w:val="auto"/>
                <w:sz w:val="24"/>
              </w:rPr>
            </w:pPr>
            <w:r>
              <w:rPr>
                <w:rFonts w:hint="eastAsia" w:ascii="宋体" w:hAnsi="宋体" w:eastAsia="宋体" w:cs="宋体"/>
                <w:color w:val="auto"/>
                <w:sz w:val="24"/>
              </w:rPr>
              <w:t>安全保障措施</w:t>
            </w:r>
          </w:p>
        </w:tc>
        <w:tc>
          <w:tcPr>
            <w:tcW w:w="891" w:type="dxa"/>
            <w:vAlign w:val="center"/>
          </w:tcPr>
          <w:p>
            <w:pPr>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lang w:val="en-US" w:eastAsia="zh-CN"/>
              </w:rPr>
              <w:t>6</w:t>
            </w:r>
            <w:r>
              <w:rPr>
                <w:rFonts w:hint="eastAsia" w:ascii="宋体" w:hAnsi="宋体" w:eastAsia="宋体" w:cs="宋体"/>
                <w:bCs/>
                <w:color w:val="auto"/>
                <w:sz w:val="24"/>
              </w:rPr>
              <w:t>分</w:t>
            </w:r>
          </w:p>
        </w:tc>
        <w:tc>
          <w:tcPr>
            <w:tcW w:w="6172" w:type="dxa"/>
            <w:vAlign w:val="center"/>
          </w:tcPr>
          <w:p>
            <w:pPr>
              <w:autoSpaceDE w:val="0"/>
              <w:autoSpaceDN w:val="0"/>
              <w:adjustRightInd w:val="0"/>
              <w:rPr>
                <w:rFonts w:ascii="宋体" w:hAnsi="宋体" w:eastAsia="宋体" w:cs="宋体"/>
                <w:color w:val="auto"/>
                <w:sz w:val="24"/>
              </w:rPr>
            </w:pPr>
            <w:r>
              <w:rPr>
                <w:rFonts w:hint="eastAsia" w:ascii="宋体" w:hAnsi="宋体" w:eastAsia="宋体" w:cs="宋体"/>
                <w:bCs/>
                <w:color w:val="auto"/>
                <w:sz w:val="24"/>
              </w:rPr>
              <w:t>提供作业人员近一年不低于50万元的意外伤害保险证明材料，一人得1分，最高得</w:t>
            </w:r>
            <w:r>
              <w:rPr>
                <w:rFonts w:hint="eastAsia" w:ascii="宋体" w:hAnsi="宋体" w:eastAsia="宋体" w:cs="宋体"/>
                <w:bCs/>
                <w:color w:val="auto"/>
                <w:sz w:val="24"/>
                <w:lang w:val="en-US" w:eastAsia="zh-CN"/>
              </w:rPr>
              <w:t>6</w:t>
            </w:r>
            <w:r>
              <w:rPr>
                <w:rFonts w:hint="eastAsia" w:ascii="宋体" w:hAnsi="宋体" w:eastAsia="宋体" w:cs="宋体"/>
                <w:bCs/>
                <w:color w:val="auto"/>
                <w:sz w:val="24"/>
              </w:rPr>
              <w:t>分。</w:t>
            </w:r>
            <w:r>
              <w:rPr>
                <w:rFonts w:hint="eastAsia" w:ascii="宋体" w:hAnsi="宋体" w:eastAsia="宋体" w:cs="宋体"/>
                <w:color w:val="auto"/>
                <w:sz w:val="24"/>
              </w:rPr>
              <w:t>（</w:t>
            </w:r>
            <w:r>
              <w:rPr>
                <w:rFonts w:hint="eastAsia" w:ascii="宋体" w:hAnsi="宋体" w:eastAsia="宋体" w:cs="宋体"/>
                <w:bCs/>
                <w:color w:val="auto"/>
                <w:sz w:val="24"/>
              </w:rPr>
              <w:t>提供证件的真彩扫描打印件并加盖公章）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8" w:type="dxa"/>
            <w:vMerge w:val="continue"/>
            <w:vAlign w:val="center"/>
          </w:tcPr>
          <w:p>
            <w:pPr>
              <w:pStyle w:val="6"/>
              <w:jc w:val="center"/>
              <w:rPr>
                <w:rFonts w:ascii="宋体" w:hAnsi="宋体" w:eastAsia="宋体" w:cs="宋体"/>
                <w:bCs/>
                <w:color w:val="auto"/>
              </w:rPr>
            </w:pPr>
          </w:p>
        </w:tc>
        <w:tc>
          <w:tcPr>
            <w:tcW w:w="1230" w:type="dxa"/>
            <w:vAlign w:val="center"/>
          </w:tcPr>
          <w:p>
            <w:pPr>
              <w:autoSpaceDE w:val="0"/>
              <w:autoSpaceDN w:val="0"/>
              <w:adjustRightInd w:val="0"/>
              <w:jc w:val="center"/>
              <w:rPr>
                <w:rFonts w:ascii="宋体" w:hAnsi="宋体" w:eastAsia="宋体" w:cs="宋体"/>
                <w:color w:val="auto"/>
                <w:sz w:val="24"/>
              </w:rPr>
            </w:pPr>
            <w:r>
              <w:rPr>
                <w:rFonts w:hint="eastAsia" w:ascii="宋体" w:hAnsi="宋体" w:eastAsia="宋体" w:cs="宋体"/>
                <w:color w:val="auto"/>
                <w:sz w:val="24"/>
              </w:rPr>
              <w:t>效果保障措施</w:t>
            </w:r>
          </w:p>
        </w:tc>
        <w:tc>
          <w:tcPr>
            <w:tcW w:w="891" w:type="dxa"/>
            <w:vAlign w:val="center"/>
          </w:tcPr>
          <w:p>
            <w:pPr>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5分</w:t>
            </w:r>
          </w:p>
        </w:tc>
        <w:tc>
          <w:tcPr>
            <w:tcW w:w="6172" w:type="dxa"/>
            <w:vAlign w:val="center"/>
          </w:tcPr>
          <w:p>
            <w:pPr>
              <w:autoSpaceDE w:val="0"/>
              <w:autoSpaceDN w:val="0"/>
              <w:adjustRightIn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根据效果保障措施内容及其合理性</w:t>
            </w:r>
            <w:r>
              <w:rPr>
                <w:rFonts w:hint="eastAsia" w:ascii="宋体" w:hAnsi="宋体" w:eastAsia="宋体" w:cs="宋体"/>
                <w:color w:val="auto"/>
                <w:sz w:val="24"/>
                <w:highlight w:val="none"/>
                <w:lang w:eastAsia="zh-CN"/>
              </w:rPr>
              <w:t>进行评审</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科学、合理、可行得5分，基本合理、可行的得3分，欠合理，可行得1分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8" w:type="dxa"/>
            <w:vMerge w:val="continue"/>
            <w:vAlign w:val="center"/>
          </w:tcPr>
          <w:p>
            <w:pPr>
              <w:pStyle w:val="6"/>
              <w:jc w:val="center"/>
              <w:rPr>
                <w:rFonts w:ascii="宋体" w:hAnsi="宋体" w:eastAsia="宋体" w:cs="宋体"/>
                <w:bCs/>
                <w:color w:val="auto"/>
              </w:rPr>
            </w:pPr>
          </w:p>
        </w:tc>
        <w:tc>
          <w:tcPr>
            <w:tcW w:w="1230" w:type="dxa"/>
            <w:vAlign w:val="center"/>
          </w:tcPr>
          <w:p>
            <w:pPr>
              <w:autoSpaceDE w:val="0"/>
              <w:autoSpaceDN w:val="0"/>
              <w:adjustRightInd w:val="0"/>
              <w:jc w:val="center"/>
              <w:rPr>
                <w:rFonts w:ascii="宋体" w:hAnsi="宋体" w:eastAsia="宋体" w:cs="宋体"/>
                <w:color w:val="auto"/>
                <w:sz w:val="24"/>
              </w:rPr>
            </w:pPr>
            <w:r>
              <w:rPr>
                <w:rFonts w:hint="eastAsia" w:ascii="宋体" w:hAnsi="宋体" w:eastAsia="宋体" w:cs="宋体"/>
                <w:color w:val="auto"/>
                <w:sz w:val="24"/>
              </w:rPr>
              <w:t>应急服务措施</w:t>
            </w:r>
          </w:p>
        </w:tc>
        <w:tc>
          <w:tcPr>
            <w:tcW w:w="891" w:type="dxa"/>
            <w:vAlign w:val="center"/>
          </w:tcPr>
          <w:p>
            <w:pPr>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5分</w:t>
            </w:r>
          </w:p>
        </w:tc>
        <w:tc>
          <w:tcPr>
            <w:tcW w:w="6172" w:type="dxa"/>
            <w:vAlign w:val="center"/>
          </w:tcPr>
          <w:p>
            <w:pPr>
              <w:autoSpaceDE w:val="0"/>
              <w:autoSpaceDN w:val="0"/>
              <w:adjustRightInd w:val="0"/>
              <w:rPr>
                <w:rFonts w:ascii="宋体" w:hAnsi="宋体" w:eastAsia="宋体" w:cs="宋体"/>
                <w:color w:val="auto"/>
                <w:sz w:val="24"/>
                <w:highlight w:val="none"/>
              </w:rPr>
            </w:pPr>
            <w:r>
              <w:rPr>
                <w:rFonts w:hint="eastAsia" w:ascii="宋体" w:hAnsi="宋体" w:eastAsia="宋体" w:cs="宋体"/>
                <w:color w:val="auto"/>
                <w:sz w:val="24"/>
                <w:highlight w:val="none"/>
              </w:rPr>
              <w:t>根据投标人的管理制度科学完备性，以及应急保障机制健全、方案周详、措施得当等方面进行综合评定，</w:t>
            </w:r>
            <w:r>
              <w:rPr>
                <w:rFonts w:hint="eastAsia" w:ascii="宋体" w:hAnsi="宋体" w:eastAsia="宋体" w:cs="宋体"/>
                <w:bCs/>
                <w:color w:val="auto"/>
                <w:sz w:val="24"/>
                <w:highlight w:val="none"/>
              </w:rPr>
              <w:t>科学、合理、针对性强5分；合理、可行得3分；欠合理，基本可行得1分</w:t>
            </w: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sz w:val="21"/>
          <w:szCs w:val="21"/>
          <w:lang w:val="en-US" w:eastAsia="zh-CN"/>
        </w:rPr>
      </w:pPr>
      <w:r>
        <w:rPr>
          <w:rFonts w:hint="eastAsia" w:ascii="宋体" w:hAnsi="宋体" w:eastAsia="宋体" w:cs="宋体"/>
          <w:b w:val="0"/>
          <w:bCs/>
          <w:color w:val="auto"/>
          <w:sz w:val="21"/>
          <w:szCs w:val="21"/>
        </w:rPr>
        <w:t>备注：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证明材料需提供真彩扫描打印件。</w:t>
      </w:r>
    </w:p>
    <w:p>
      <w:pPr>
        <w:adjustRightInd w:val="0"/>
        <w:snapToGrid w:val="0"/>
        <w:spacing w:line="360" w:lineRule="auto"/>
        <w:outlineLvl w:val="0"/>
        <w:rPr>
          <w:sz w:val="24"/>
          <w:szCs w:val="24"/>
        </w:rPr>
      </w:pPr>
      <w:r>
        <w:rPr>
          <w:rFonts w:hint="eastAsia"/>
          <w:sz w:val="24"/>
          <w:szCs w:val="24"/>
        </w:rPr>
        <w:t>附件</w:t>
      </w:r>
      <w:r>
        <w:rPr>
          <w:rFonts w:hint="eastAsia"/>
          <w:sz w:val="24"/>
          <w:szCs w:val="24"/>
          <w:lang w:val="en-US" w:eastAsia="zh-CN"/>
        </w:rPr>
        <w:t>3</w:t>
      </w:r>
      <w:r>
        <w:rPr>
          <w:rFonts w:hint="eastAsia"/>
          <w:sz w:val="24"/>
          <w:szCs w:val="24"/>
        </w:rPr>
        <w:t>：供应商报名表</w:t>
      </w:r>
    </w:p>
    <w:p>
      <w:pPr>
        <w:bidi w:val="0"/>
        <w:jc w:val="center"/>
        <w:rPr>
          <w:sz w:val="28"/>
          <w:szCs w:val="28"/>
        </w:rPr>
      </w:pPr>
      <w:r>
        <w:rPr>
          <w:rFonts w:hint="eastAsia"/>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i w:val="0"/>
          <w:caps w:val="0"/>
          <w:color w:val="auto"/>
          <w:spacing w:val="0"/>
          <w:sz w:val="24"/>
          <w:szCs w:val="24"/>
          <w:u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项目编号：</w:t>
      </w:r>
    </w:p>
    <w:tbl>
      <w:tblPr>
        <w:tblStyle w:val="7"/>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restart"/>
            <w:tcBorders>
              <w:top w:val="single" w:color="auto" w:sz="4" w:space="0"/>
              <w:left w:val="single" w:color="auto" w:sz="4" w:space="0"/>
              <w:right w:val="single" w:color="auto" w:sz="4" w:space="0"/>
            </w:tcBorders>
            <w:vAlign w:val="center"/>
          </w:tcPr>
          <w:p>
            <w:pPr>
              <w:bidi w:val="0"/>
              <w:rPr>
                <w:rFonts w:hint="eastAsia" w:eastAsia="宋体" w:cs="Times New Roman"/>
                <w:sz w:val="24"/>
                <w:szCs w:val="24"/>
              </w:rPr>
            </w:pPr>
            <w:r>
              <w:rPr>
                <w:rFonts w:hint="eastAsia" w:eastAsia="宋体" w:cs="Times New Roman"/>
                <w:sz w:val="24"/>
                <w:szCs w:val="24"/>
              </w:rPr>
              <w:t>供应商提供的</w:t>
            </w:r>
          </w:p>
          <w:p>
            <w:pPr>
              <w:bidi w:val="0"/>
              <w:rPr>
                <w:rFonts w:hint="eastAsia" w:eastAsia="宋体" w:cs="Times New Roman"/>
                <w:sz w:val="24"/>
                <w:szCs w:val="24"/>
              </w:rPr>
            </w:pPr>
            <w:r>
              <w:rPr>
                <w:rFonts w:hint="eastAsia" w:eastAsia="宋体" w:cs="Times New Roman"/>
                <w:sz w:val="24"/>
                <w:szCs w:val="24"/>
              </w:rPr>
              <w:t>报名资料</w:t>
            </w: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6.未被列入“信用中国”网站（www.creditchina.gov.cn）失信被执行人、重大税收违法案件当事人名单、“中国政府采购网”（www.ccgp.gov.cn）政府采购严重违法失信行为记录名单（须提供网页截图）。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7.供应商须具备工商行政主管部门核发的有效法人营业执照，并具备相关的履约能力（如森林病虫害防治内容等）。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7710"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6"/>
        <w:shd w:val="clear" w:color="auto" w:fill="FFFFFF"/>
        <w:spacing w:beforeAutospacing="0" w:afterAutospacing="0"/>
        <w:ind w:left="150"/>
        <w:rPr>
          <w:rStyle w:val="10"/>
          <w:b w:val="0"/>
          <w:color w:val="000000" w:themeColor="text1"/>
          <w:sz w:val="20"/>
          <w:szCs w:val="20"/>
          <w14:textFill>
            <w14:solidFill>
              <w14:schemeClr w14:val="tx1"/>
            </w14:solidFill>
          </w14:textFill>
        </w:rPr>
      </w:pPr>
      <w:r>
        <w:rPr>
          <w:rStyle w:val="10"/>
          <w:rFonts w:hint="eastAsia"/>
          <w:b w:val="0"/>
          <w:color w:val="000000" w:themeColor="text1"/>
          <w:sz w:val="20"/>
          <w:szCs w:val="20"/>
          <w14:textFill>
            <w14:solidFill>
              <w14:schemeClr w14:val="tx1"/>
            </w14:solidFill>
          </w14:textFill>
        </w:rPr>
        <w:t>注意事项：</w:t>
      </w:r>
    </w:p>
    <w:p>
      <w:pPr>
        <w:pStyle w:val="6"/>
        <w:shd w:val="clear" w:color="auto" w:fill="FFFFFF"/>
        <w:spacing w:beforeAutospacing="0" w:afterAutospacing="0"/>
        <w:ind w:left="150" w:firstLine="400" w:firstLineChars="200"/>
        <w:rPr>
          <w:rStyle w:val="10"/>
          <w:b w:val="0"/>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1.供应商必须严格按照公告的内容和要求，完整递交有关资料，</w:t>
      </w:r>
      <w:r>
        <w:rPr>
          <w:rStyle w:val="10"/>
          <w:rFonts w:hint="eastAsia"/>
          <w:b w:val="0"/>
          <w:color w:val="000000" w:themeColor="text1"/>
          <w:sz w:val="20"/>
          <w:szCs w:val="20"/>
          <w14:textFill>
            <w14:solidFill>
              <w14:schemeClr w14:val="tx1"/>
            </w14:solidFill>
          </w14:textFill>
        </w:rPr>
        <w:t>逾期递交的将予以拒收。</w:t>
      </w:r>
    </w:p>
    <w:p>
      <w:pPr>
        <w:pStyle w:val="6"/>
        <w:shd w:val="clear" w:color="auto" w:fill="FFFFFF"/>
        <w:spacing w:beforeAutospacing="0" w:afterAutospacing="0"/>
        <w:ind w:left="150" w:firstLine="400" w:firstLineChars="200"/>
        <w:rPr>
          <w:rFonts w:ascii="微软雅黑" w:hAnsi="微软雅黑" w:eastAsia="微软雅黑"/>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ascii="宋体" w:hAnsi="宋体" w:cs="宋体"/>
          <w:bCs/>
          <w:color w:val="000000" w:themeColor="text1"/>
          <w:sz w:val="20"/>
          <w:szCs w:val="20"/>
          <w14:textFill>
            <w14:solidFill>
              <w14:schemeClr w14:val="tx1"/>
            </w14:solidFill>
          </w14:textFill>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6"/>
        <w:shd w:val="clear" w:color="auto" w:fill="FFFFFF"/>
        <w:spacing w:beforeAutospacing="0" w:afterAutospacing="0"/>
        <w:ind w:left="150" w:firstLine="400" w:firstLineChars="200"/>
      </w:pPr>
      <w:r>
        <w:rPr>
          <w:rFonts w:hint="eastAsia"/>
          <w:color w:val="000000" w:themeColor="text1"/>
          <w:sz w:val="20"/>
          <w:szCs w:val="20"/>
          <w14:textFill>
            <w14:solidFill>
              <w14:schemeClr w14:val="tx1"/>
            </w14:solidFill>
          </w14:textFill>
        </w:rPr>
        <w:t>3.须在邮件（附件文件名注明公司全称）注明公司全称、项目名称及项目编号（不注明我单位将拒收报名邮件）。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4"/>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B01A4"/>
    <w:rsid w:val="032707F3"/>
    <w:rsid w:val="27FF3CA7"/>
    <w:rsid w:val="4E86432B"/>
    <w:rsid w:val="678B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2">
    <w:name w:val="heading 4"/>
    <w:basedOn w:val="1"/>
    <w:next w:val="1"/>
    <w:unhideWhenUsed/>
    <w:qFormat/>
    <w:uiPriority w:val="9"/>
    <w:pPr>
      <w:keepNext/>
      <w:keepLines/>
      <w:widowControl w:val="0"/>
      <w:suppressLineNumbers w:val="0"/>
      <w:spacing w:before="280" w:beforeAutospacing="0" w:after="290" w:afterAutospacing="0" w:line="374" w:lineRule="auto"/>
      <w:ind w:left="0" w:right="0"/>
      <w:jc w:val="both"/>
      <w:outlineLvl w:val="3"/>
    </w:pPr>
    <w:rPr>
      <w:rFonts w:hint="default" w:ascii="Calibri Light" w:hAnsi="Calibri Light" w:eastAsia="Calibri Light" w:cs="Times New Roman"/>
      <w:b/>
      <w:kern w:val="2"/>
      <w:sz w:val="28"/>
      <w:szCs w:val="2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6">
    <w:name w:val="Normal (Web)"/>
    <w:basedOn w:val="1"/>
    <w:unhideWhenUsed/>
    <w:qFormat/>
    <w:uiPriority w:val="0"/>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customStyle="1" w:styleId="1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2021-04-29T02:48:00Z</dcterms:created>
  <dc:creator>Stone</dc:creator>
  <cp:lastModifiedBy>Stone</cp:lastModifiedBy>
  <cp:lastPrinted>2021-04-29T06:01:00Z</cp:lastPrinted>
  <dcterms:modified xsi:type="dcterms:W3CDTF">2021-04-29T06:39:42Z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AF5061B425844B4EBC621209B7CE3770</vt:lpwstr>
  </property>
</Properties>
</file>