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jc w:val="center"/>
        <w:outlineLvl w:val="0"/>
        <w:rPr>
          <w:rFonts w:ascii="Cambria" w:hAnsi="Cambria" w:eastAsia="方正小标宋简体"/>
          <w:b/>
          <w:bCs/>
          <w:color w:val="000000"/>
          <w:sz w:val="44"/>
          <w:szCs w:val="44"/>
        </w:rPr>
      </w:pPr>
      <w:r>
        <w:rPr>
          <w:rFonts w:ascii="Cambria" w:hAnsi="Cambria" w:eastAsia="方正小标宋简体"/>
          <w:b/>
          <w:bCs/>
          <w:color w:val="000000"/>
          <w:sz w:val="44"/>
          <w:szCs w:val="44"/>
        </w:rPr>
        <w:t>阳新县政府集中采购采购需求</w:t>
      </w:r>
    </w:p>
    <w:p>
      <w:pPr>
        <w:shd w:val="clear" w:color="auto" w:fill="FFFFFF"/>
        <w:spacing w:after="240" w:afterLines="100"/>
        <w:ind w:left="1134" w:leftChars="540"/>
        <w:rPr>
          <w:rFonts w:ascii="黑体" w:hAnsi="Calibri" w:eastAsia="黑体"/>
          <w:color w:val="000000"/>
        </w:rPr>
      </w:pPr>
      <w:r>
        <w:rPr>
          <w:rFonts w:hint="eastAsia" w:ascii="黑体" w:hAnsi="Calibri" w:eastAsia="黑体"/>
          <w:color w:val="000000"/>
        </w:rPr>
        <w:t xml:space="preserve"> </w:t>
      </w:r>
    </w:p>
    <w:p>
      <w:pPr>
        <w:shd w:val="clear" w:color="auto" w:fill="FFFFFF"/>
        <w:spacing w:after="240" w:afterLines="100"/>
        <w:ind w:left="1134" w:leftChars="540"/>
        <w:rPr>
          <w:rFonts w:hint="eastAsia" w:ascii="黑体" w:hAnsi="Calibri" w:eastAsia="黑体"/>
          <w:color w:val="000000"/>
          <w:sz w:val="44"/>
          <w:szCs w:val="44"/>
        </w:rPr>
      </w:pPr>
      <w:r>
        <w:rPr>
          <w:rFonts w:hint="eastAsia" w:ascii="黑体" w:hAnsi="Calibri" w:eastAsia="黑体"/>
          <w:color w:val="000000"/>
          <w:sz w:val="44"/>
          <w:szCs w:val="44"/>
        </w:rPr>
        <w:t xml:space="preserve"> </w:t>
      </w:r>
    </w:p>
    <w:p>
      <w:pPr>
        <w:shd w:val="clear" w:color="auto" w:fill="FFFFFF"/>
        <w:spacing w:line="560" w:lineRule="exact"/>
        <w:ind w:left="1134" w:leftChars="540"/>
        <w:rPr>
          <w:rFonts w:hint="default" w:ascii="仿宋_GB2312" w:hAnsi="Calibri" w:eastAsia="仿宋_GB2312"/>
          <w:color w:val="000000"/>
          <w:sz w:val="28"/>
          <w:szCs w:val="28"/>
          <w:lang w:val="en-US" w:eastAsia="zh-CN"/>
        </w:rPr>
      </w:pPr>
      <w:r>
        <w:rPr>
          <w:rFonts w:hint="eastAsia" w:ascii="黑体" w:hAnsi="Calibri" w:eastAsia="黑体"/>
          <w:color w:val="000000"/>
          <w:sz w:val="28"/>
          <w:szCs w:val="28"/>
        </w:rPr>
        <w:t>项目名称</w:t>
      </w:r>
      <w:r>
        <w:rPr>
          <w:rFonts w:hint="eastAsia" w:ascii="仿宋_GB2312" w:hAnsi="Calibri" w:eastAsia="仿宋_GB2312"/>
          <w:color w:val="000000"/>
          <w:sz w:val="28"/>
          <w:szCs w:val="28"/>
        </w:rPr>
        <w:t>：</w:t>
      </w:r>
      <w:r>
        <w:rPr>
          <w:rStyle w:val="39"/>
          <w:rFonts w:hint="eastAsia" w:ascii="Times New Roman" w:hAnsi="Times New Roman" w:cs="Times New Roman"/>
          <w:bCs/>
          <w:sz w:val="24"/>
          <w:lang w:eastAsia="zh-CN" w:bidi="ar-EG"/>
        </w:rPr>
        <w:t>阳新县</w:t>
      </w:r>
      <w:r>
        <w:rPr>
          <w:rStyle w:val="39"/>
          <w:rFonts w:hint="eastAsia" w:ascii="Times New Roman" w:hAnsi="Times New Roman" w:cs="Times New Roman"/>
          <w:bCs/>
          <w:sz w:val="24"/>
          <w:lang w:val="en-US" w:eastAsia="zh-CN" w:bidi="ar-EG"/>
        </w:rPr>
        <w:t>人民医院病案首页全流程编码质控平台及DRG绩效管理系统</w:t>
      </w:r>
      <w:r>
        <w:rPr>
          <w:rStyle w:val="39"/>
          <w:rFonts w:hint="eastAsia" w:ascii="Times New Roman" w:hAnsi="Times New Roman" w:cs="Times New Roman"/>
          <w:bCs/>
          <w:sz w:val="24"/>
          <w:lang w:eastAsia="zh-CN" w:bidi="ar-EG"/>
        </w:rPr>
        <w:t>采购</w:t>
      </w:r>
      <w:r>
        <w:rPr>
          <w:rStyle w:val="39"/>
          <w:rFonts w:ascii="Times New Roman" w:hAnsi="Times New Roman" w:cs="Times New Roman"/>
          <w:bCs/>
          <w:sz w:val="24"/>
          <w:lang w:bidi="ar-EG"/>
        </w:rPr>
        <w:t>项目</w:t>
      </w:r>
    </w:p>
    <w:p>
      <w:pPr>
        <w:shd w:val="clear" w:color="auto" w:fill="FFFFFF"/>
        <w:spacing w:line="560" w:lineRule="exact"/>
        <w:ind w:left="1134" w:leftChars="540"/>
        <w:rPr>
          <w:rFonts w:hint="default" w:ascii="仿宋_GB2312" w:hAnsi="Calibri" w:eastAsia="仿宋_GB2312"/>
          <w:color w:val="000000"/>
          <w:sz w:val="28"/>
          <w:szCs w:val="28"/>
          <w:lang w:val="en-US" w:eastAsia="zh-CN"/>
        </w:rPr>
      </w:pPr>
      <w:r>
        <w:rPr>
          <w:rFonts w:hint="eastAsia" w:ascii="黑体" w:hAnsi="Calibri" w:eastAsia="黑体"/>
          <w:color w:val="000000"/>
          <w:sz w:val="28"/>
          <w:szCs w:val="28"/>
          <w:lang w:val="en-US" w:eastAsia="zh-CN"/>
        </w:rPr>
        <w:t>采购单位：</w:t>
      </w:r>
      <w:r>
        <w:rPr>
          <w:rStyle w:val="39"/>
          <w:rFonts w:hint="eastAsia" w:ascii="Times New Roman" w:hAnsi="Times New Roman" w:cs="Times New Roman"/>
          <w:bCs/>
          <w:sz w:val="24"/>
          <w:lang w:eastAsia="zh-CN" w:bidi="ar-EG"/>
        </w:rPr>
        <w:t>阳新县</w:t>
      </w:r>
      <w:r>
        <w:rPr>
          <w:rStyle w:val="39"/>
          <w:rFonts w:hint="eastAsia" w:ascii="Times New Roman" w:hAnsi="Times New Roman" w:cs="Times New Roman"/>
          <w:bCs/>
          <w:sz w:val="24"/>
          <w:lang w:val="en-US" w:eastAsia="zh-CN" w:bidi="ar-EG"/>
        </w:rPr>
        <w:t>人民医院</w:t>
      </w:r>
    </w:p>
    <w:p>
      <w:pPr>
        <w:shd w:val="clear" w:color="auto" w:fill="FFFFFF"/>
        <w:spacing w:line="560" w:lineRule="exact"/>
        <w:ind w:left="1134" w:leftChars="540"/>
        <w:rPr>
          <w:rFonts w:hint="default" w:ascii="仿宋_GB2312" w:hAnsi="Calibri" w:eastAsia="仿宋_GB2312"/>
          <w:color w:val="000000"/>
          <w:sz w:val="28"/>
          <w:szCs w:val="28"/>
          <w:lang w:val="en-US" w:eastAsia="zh-CN"/>
        </w:rPr>
      </w:pPr>
      <w:r>
        <w:rPr>
          <w:rFonts w:hint="eastAsia" w:ascii="黑体" w:hAnsi="Calibri" w:eastAsia="黑体"/>
          <w:color w:val="000000"/>
          <w:sz w:val="28"/>
          <w:szCs w:val="28"/>
        </w:rPr>
        <w:t>联 系 人</w:t>
      </w:r>
      <w:r>
        <w:rPr>
          <w:rFonts w:hint="eastAsia" w:ascii="仿宋_GB2312" w:hAnsi="Calibri" w:eastAsia="仿宋_GB2312"/>
          <w:color w:val="000000"/>
          <w:sz w:val="28"/>
          <w:szCs w:val="28"/>
        </w:rPr>
        <w:t>：</w:t>
      </w:r>
      <w:r>
        <w:rPr>
          <w:rFonts w:hint="eastAsia" w:asciiTheme="majorEastAsia" w:hAnsiTheme="majorEastAsia" w:eastAsiaTheme="majorEastAsia" w:cstheme="majorEastAsia"/>
          <w:i w:val="0"/>
          <w:caps w:val="0"/>
          <w:color w:val="000000"/>
          <w:spacing w:val="0"/>
          <w:sz w:val="24"/>
          <w:szCs w:val="24"/>
          <w:shd w:val="clear" w:fill="FFFFFF"/>
          <w:lang w:val="en-US" w:eastAsia="zh-CN"/>
        </w:rPr>
        <w:t>马哲</w:t>
      </w:r>
    </w:p>
    <w:p>
      <w:pPr>
        <w:shd w:val="clear" w:color="auto" w:fill="FFFFFF"/>
        <w:spacing w:line="560" w:lineRule="exact"/>
        <w:ind w:left="1134" w:leftChars="540"/>
        <w:rPr>
          <w:rFonts w:hint="default" w:ascii="仿宋_GB2312" w:hAnsi="Calibri" w:eastAsia="仿宋_GB2312"/>
          <w:color w:val="000000"/>
          <w:sz w:val="28"/>
          <w:szCs w:val="28"/>
          <w:lang w:val="en-US" w:eastAsia="zh-CN"/>
        </w:rPr>
      </w:pPr>
      <w:r>
        <w:rPr>
          <w:rFonts w:hint="eastAsia" w:ascii="黑体" w:hAnsi="Calibri" w:eastAsia="黑体"/>
          <w:color w:val="000000"/>
          <w:sz w:val="28"/>
          <w:szCs w:val="28"/>
        </w:rPr>
        <w:t>联系电话：</w:t>
      </w:r>
      <w:r>
        <w:rPr>
          <w:rFonts w:hint="eastAsia" w:asciiTheme="majorEastAsia" w:hAnsiTheme="majorEastAsia" w:eastAsiaTheme="majorEastAsia" w:cstheme="majorEastAsia"/>
          <w:i w:val="0"/>
          <w:caps w:val="0"/>
          <w:color w:val="000000"/>
          <w:spacing w:val="0"/>
          <w:sz w:val="24"/>
          <w:szCs w:val="24"/>
          <w:shd w:val="clear" w:fill="FFFFFF"/>
          <w:lang w:val="en-US" w:eastAsia="zh-CN"/>
        </w:rPr>
        <w:t>13597618123</w:t>
      </w:r>
    </w:p>
    <w:p>
      <w:pPr>
        <w:shd w:val="clear" w:color="auto" w:fill="FFFFFF"/>
        <w:spacing w:line="560" w:lineRule="exact"/>
        <w:ind w:left="1134" w:leftChars="540"/>
        <w:rPr>
          <w:rFonts w:hint="eastAsia" w:ascii="黑体" w:hAnsi="Calibri" w:eastAsia="黑体"/>
          <w:color w:val="000000"/>
          <w:sz w:val="28"/>
          <w:szCs w:val="28"/>
        </w:rPr>
        <w:sectPr>
          <w:pgSz w:w="11905" w:h="16838"/>
          <w:pgMar w:top="1440" w:right="1800" w:bottom="1440" w:left="1800" w:header="720" w:footer="720" w:gutter="0"/>
          <w:cols w:space="0" w:num="1"/>
          <w:rtlGutter w:val="0"/>
          <w:docGrid w:linePitch="0" w:charSpace="0"/>
        </w:sectPr>
      </w:pPr>
      <w:r>
        <w:rPr>
          <w:rFonts w:hint="eastAsia" w:ascii="黑体" w:hAnsi="Calibri" w:eastAsia="黑体"/>
          <w:color w:val="000000"/>
          <w:sz w:val="28"/>
          <w:szCs w:val="28"/>
        </w:rPr>
        <w:t>采购方式：</w:t>
      </w:r>
      <w:r>
        <w:rPr>
          <w:rFonts w:hint="eastAsia" w:ascii="仿宋_GB2312" w:hAnsi="Calibri" w:eastAsia="仿宋_GB2312"/>
          <w:color w:val="000000"/>
          <w:sz w:val="28"/>
          <w:szCs w:val="28"/>
        </w:rPr>
        <w:t>竞争性磋商</w:t>
      </w:r>
    </w:p>
    <w:p>
      <w:pPr>
        <w:rPr>
          <w:rFonts w:hint="eastAsia" w:ascii="Times New Roman" w:hAnsi="Times New Roman" w:cs="Times New Roman"/>
          <w:bCs/>
          <w:color w:val="000000" w:themeColor="text1"/>
          <w:sz w:val="30"/>
          <w:szCs w:val="30"/>
          <w:lang w:eastAsia="zh-CN"/>
          <w14:textFill>
            <w14:solidFill>
              <w14:schemeClr w14:val="tx1"/>
            </w14:solidFill>
          </w14:textFill>
        </w:rPr>
      </w:pPr>
    </w:p>
    <w:p>
      <w:pPr>
        <w:rPr>
          <w:rFonts w:hint="default" w:ascii="Times New Roman" w:hAnsi="Times New Roman" w:cs="Times New Roman"/>
          <w:bCs/>
          <w:color w:val="000000" w:themeColor="text1"/>
          <w:sz w:val="30"/>
          <w:szCs w:val="30"/>
          <w:lang w:val="en-US" w:eastAsia="zh-CN"/>
          <w14:textFill>
            <w14:solidFill>
              <w14:schemeClr w14:val="tx1"/>
            </w14:solidFill>
          </w14:textFill>
        </w:rPr>
      </w:pPr>
      <w:r>
        <w:rPr>
          <w:rFonts w:hint="eastAsia" w:ascii="Times New Roman" w:hAnsi="Times New Roman" w:cs="Times New Roman"/>
          <w:bCs/>
          <w:color w:val="000000" w:themeColor="text1"/>
          <w:sz w:val="30"/>
          <w:szCs w:val="30"/>
          <w:lang w:eastAsia="zh-CN"/>
          <w14:textFill>
            <w14:solidFill>
              <w14:schemeClr w14:val="tx1"/>
            </w14:solidFill>
          </w14:textFill>
        </w:rPr>
        <w:t>附件</w:t>
      </w:r>
      <w:r>
        <w:rPr>
          <w:rFonts w:hint="eastAsia" w:ascii="Times New Roman" w:hAnsi="Times New Roman" w:cs="Times New Roman"/>
          <w:bCs/>
          <w:color w:val="000000" w:themeColor="text1"/>
          <w:sz w:val="30"/>
          <w:szCs w:val="30"/>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仿宋"/>
          <w:b/>
          <w:bCs w:val="0"/>
          <w:color w:val="000000" w:themeColor="text1"/>
          <w:sz w:val="52"/>
          <w:szCs w:val="52"/>
          <w14:textFill>
            <w14:solidFill>
              <w14:schemeClr w14:val="tx1"/>
            </w14:solidFill>
          </w14:textFill>
        </w:rPr>
      </w:pPr>
      <w:r>
        <w:rPr>
          <w:rFonts w:hint="eastAsia" w:ascii="Times New Roman" w:hAnsi="Times New Roman" w:cs="Times New Roman"/>
          <w:b/>
          <w:bCs w:val="0"/>
          <w:color w:val="000000" w:themeColor="text1"/>
          <w:sz w:val="36"/>
          <w:szCs w:val="36"/>
          <w:lang w:eastAsia="zh-CN"/>
          <w14:textFill>
            <w14:solidFill>
              <w14:schemeClr w14:val="tx1"/>
            </w14:solidFill>
          </w14:textFill>
        </w:rPr>
        <w:t>阳新县</w:t>
      </w:r>
      <w:r>
        <w:rPr>
          <w:rFonts w:hint="eastAsia" w:ascii="Times New Roman" w:hAnsi="Times New Roman" w:cs="Times New Roman"/>
          <w:b/>
          <w:bCs w:val="0"/>
          <w:color w:val="000000" w:themeColor="text1"/>
          <w:sz w:val="36"/>
          <w:szCs w:val="36"/>
          <w:lang w:val="en-US" w:eastAsia="zh-CN"/>
          <w14:textFill>
            <w14:solidFill>
              <w14:schemeClr w14:val="tx1"/>
            </w14:solidFill>
          </w14:textFill>
        </w:rPr>
        <w:t>人民医院病案首页全流程编码质控平台及DRG绩效管理系统</w:t>
      </w:r>
      <w:r>
        <w:rPr>
          <w:rFonts w:hint="eastAsia" w:ascii="Times New Roman" w:hAnsi="Times New Roman" w:cs="Times New Roman"/>
          <w:b/>
          <w:bCs w:val="0"/>
          <w:color w:val="000000" w:themeColor="text1"/>
          <w:sz w:val="36"/>
          <w:szCs w:val="36"/>
          <w:lang w:eastAsia="zh-CN"/>
          <w14:textFill>
            <w14:solidFill>
              <w14:schemeClr w14:val="tx1"/>
            </w14:solidFill>
          </w14:textFill>
        </w:rPr>
        <w:t>采购</w:t>
      </w:r>
      <w:r>
        <w:rPr>
          <w:rFonts w:ascii="Times New Roman" w:hAnsi="Times New Roman" w:cs="Times New Roman"/>
          <w:b/>
          <w:bCs w:val="0"/>
          <w:color w:val="000000" w:themeColor="text1"/>
          <w:sz w:val="36"/>
          <w:szCs w:val="36"/>
          <w14:textFill>
            <w14:solidFill>
              <w14:schemeClr w14:val="tx1"/>
            </w14:solidFill>
          </w14:textFill>
        </w:rPr>
        <w:t>项目</w:t>
      </w:r>
      <w:r>
        <w:rPr>
          <w:rFonts w:hint="eastAsia" w:ascii="宋体" w:hAnsi="宋体" w:cs="仿宋"/>
          <w:b/>
          <w:bCs w:val="0"/>
          <w:color w:val="000000" w:themeColor="text1"/>
          <w:sz w:val="40"/>
          <w:szCs w:val="40"/>
          <w14:textFill>
            <w14:solidFill>
              <w14:schemeClr w14:val="tx1"/>
            </w14:solidFill>
          </w14:textFill>
        </w:rPr>
        <w:t>采购需求</w:t>
      </w:r>
    </w:p>
    <w:p>
      <w:pPr>
        <w:spacing w:line="440" w:lineRule="exact"/>
        <w:rPr>
          <w:rFonts w:ascii="宋体" w:hAnsi="宋体"/>
          <w:color w:val="000000" w:themeColor="text1"/>
          <w:sz w:val="24"/>
          <w:szCs w:val="24"/>
          <w14:textFill>
            <w14:solidFill>
              <w14:schemeClr w14:val="tx1"/>
            </w14:solidFill>
          </w14:textFill>
        </w:rPr>
      </w:pPr>
    </w:p>
    <w:p>
      <w:pPr>
        <w:autoSpaceDE w:val="0"/>
        <w:autoSpaceDN w:val="0"/>
        <w:jc w:val="center"/>
        <w:outlineLvl w:val="0"/>
        <w:rPr>
          <w:rFonts w:ascii="宋体" w:hAnsi="宋体"/>
          <w:bCs/>
          <w:color w:val="000000" w:themeColor="text1"/>
          <w:szCs w:val="28"/>
          <w14:textFill>
            <w14:solidFill>
              <w14:schemeClr w14:val="tx1"/>
            </w14:solidFill>
          </w14:textFill>
        </w:rPr>
      </w:pPr>
    </w:p>
    <w:p>
      <w:pPr>
        <w:spacing w:line="440" w:lineRule="exact"/>
        <w:rPr>
          <w:rFonts w:hint="default" w:ascii="宋体" w:hAnsi="宋体" w:cs="仿宋"/>
          <w:color w:val="000000" w:themeColor="text1"/>
          <w:sz w:val="24"/>
          <w:lang w:val="en-US"/>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w:t>
      </w:r>
      <w:r>
        <w:rPr>
          <w:rFonts w:hint="eastAsia" w:asciiTheme="majorEastAsia" w:hAnsiTheme="majorEastAsia" w:eastAsiaTheme="majorEastAsia" w:cstheme="majorEastAsia"/>
          <w:i w:val="0"/>
          <w:caps w:val="0"/>
          <w:color w:val="000000"/>
          <w:spacing w:val="0"/>
          <w:sz w:val="24"/>
          <w:szCs w:val="24"/>
          <w:shd w:val="clear" w:fill="FFFFFF"/>
        </w:rPr>
        <w:t>阳新县</w:t>
      </w:r>
      <w:r>
        <w:rPr>
          <w:rFonts w:hint="eastAsia" w:asciiTheme="majorEastAsia" w:hAnsiTheme="majorEastAsia" w:eastAsiaTheme="majorEastAsia" w:cstheme="majorEastAsia"/>
          <w:i w:val="0"/>
          <w:caps w:val="0"/>
          <w:color w:val="000000"/>
          <w:spacing w:val="0"/>
          <w:sz w:val="24"/>
          <w:szCs w:val="24"/>
          <w:shd w:val="clear" w:fill="FFFFFF"/>
          <w:lang w:val="en-US" w:eastAsia="zh-CN"/>
        </w:rPr>
        <w:t>人民医院</w:t>
      </w:r>
    </w:p>
    <w:p>
      <w:pPr>
        <w:spacing w:line="44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联系人：</w:t>
      </w:r>
      <w:r>
        <w:rPr>
          <w:rFonts w:hint="eastAsia" w:asciiTheme="majorEastAsia" w:hAnsiTheme="majorEastAsia" w:eastAsiaTheme="majorEastAsia" w:cstheme="majorEastAsia"/>
          <w:i w:val="0"/>
          <w:caps w:val="0"/>
          <w:color w:val="000000"/>
          <w:spacing w:val="0"/>
          <w:sz w:val="24"/>
          <w:szCs w:val="24"/>
          <w:shd w:val="clear" w:fill="FFFFFF"/>
          <w:lang w:val="en-US" w:eastAsia="zh-CN"/>
        </w:rPr>
        <w:t>马哲</w:t>
      </w:r>
    </w:p>
    <w:p>
      <w:pPr>
        <w:spacing w:line="44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联系电话：</w:t>
      </w:r>
      <w:r>
        <w:rPr>
          <w:rFonts w:hint="eastAsia" w:asciiTheme="majorEastAsia" w:hAnsiTheme="majorEastAsia" w:eastAsiaTheme="majorEastAsia" w:cstheme="majorEastAsia"/>
          <w:i w:val="0"/>
          <w:caps w:val="0"/>
          <w:color w:val="000000"/>
          <w:spacing w:val="0"/>
          <w:sz w:val="24"/>
          <w:szCs w:val="24"/>
          <w:shd w:val="clear" w:fill="FFFFFF"/>
          <w:lang w:val="en-US" w:eastAsia="zh-CN"/>
        </w:rPr>
        <w:t>1359761812</w:t>
      </w:r>
    </w:p>
    <w:p>
      <w:pPr>
        <w:spacing w:line="440" w:lineRule="exact"/>
        <w:rPr>
          <w:rFonts w:hint="eastAsia" w:ascii="宋体" w:hAnsi="宋体" w:cs="仿宋"/>
          <w:color w:val="000000" w:themeColor="text1"/>
          <w:sz w:val="24"/>
          <w:lang w:eastAsia="zh-CN"/>
          <w14:textFill>
            <w14:solidFill>
              <w14:schemeClr w14:val="tx1"/>
            </w14:solidFill>
          </w14:textFill>
        </w:rPr>
      </w:pPr>
      <w:r>
        <w:rPr>
          <w:rFonts w:hint="eastAsia" w:ascii="宋体" w:hAnsi="宋体" w:cs="仿宋"/>
          <w:color w:val="000000" w:themeColor="text1"/>
          <w:sz w:val="24"/>
          <w14:textFill>
            <w14:solidFill>
              <w14:schemeClr w14:val="tx1"/>
            </w14:solidFill>
          </w14:textFill>
        </w:rPr>
        <w:t>地址：</w:t>
      </w:r>
      <w:r>
        <w:rPr>
          <w:rFonts w:hint="eastAsia" w:asciiTheme="majorEastAsia" w:hAnsiTheme="majorEastAsia" w:eastAsiaTheme="majorEastAsia" w:cstheme="majorEastAsia"/>
          <w:i w:val="0"/>
          <w:caps w:val="0"/>
          <w:color w:val="000000"/>
          <w:spacing w:val="0"/>
          <w:sz w:val="24"/>
          <w:szCs w:val="24"/>
          <w:shd w:val="clear" w:fill="FFFFFF"/>
        </w:rPr>
        <w:t>阳新县兴国镇儒学垴路81号</w:t>
      </w:r>
    </w:p>
    <w:p>
      <w:pPr>
        <w:spacing w:line="44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采购预算：</w:t>
      </w:r>
      <w:r>
        <w:rPr>
          <w:rFonts w:hint="eastAsia" w:ascii="宋体" w:hAnsi="宋体" w:cs="仿宋"/>
          <w:color w:val="000000" w:themeColor="text1"/>
          <w:sz w:val="24"/>
          <w:lang w:val="en-US" w:eastAsia="zh-CN"/>
          <w14:textFill>
            <w14:solidFill>
              <w14:schemeClr w14:val="tx1"/>
            </w14:solidFill>
          </w14:textFill>
        </w:rPr>
        <w:t>92</w:t>
      </w:r>
      <w:r>
        <w:rPr>
          <w:rFonts w:hint="eastAsia" w:ascii="宋体" w:hAnsi="宋体" w:cs="仿宋"/>
          <w:color w:val="000000" w:themeColor="text1"/>
          <w:sz w:val="24"/>
          <w14:textFill>
            <w14:solidFill>
              <w14:schemeClr w14:val="tx1"/>
            </w14:solidFill>
          </w14:textFill>
        </w:rPr>
        <w:t>万元（</w:t>
      </w:r>
      <w:r>
        <w:rPr>
          <w:rFonts w:hint="eastAsia" w:ascii="宋体" w:hAnsi="宋体" w:cs="仿宋"/>
          <w:color w:val="000000" w:themeColor="text1"/>
          <w:sz w:val="24"/>
          <w:lang w:eastAsia="zh-CN"/>
          <w14:textFill>
            <w14:solidFill>
              <w14:schemeClr w14:val="tx1"/>
            </w14:solidFill>
          </w14:textFill>
        </w:rPr>
        <w:t>阳财</w:t>
      </w:r>
      <w:r>
        <w:rPr>
          <w:rFonts w:hint="eastAsia" w:ascii="宋体" w:hAnsi="宋体" w:cs="仿宋"/>
          <w:color w:val="000000" w:themeColor="text1"/>
          <w:sz w:val="24"/>
          <w14:textFill>
            <w14:solidFill>
              <w14:schemeClr w14:val="tx1"/>
            </w14:solidFill>
          </w14:textFill>
        </w:rPr>
        <w:t>采计</w:t>
      </w:r>
      <w:r>
        <w:rPr>
          <w:rFonts w:hint="eastAsia" w:ascii="宋体" w:hAnsi="宋体" w:cs="仿宋"/>
          <w:color w:val="000000" w:themeColor="text1"/>
          <w:sz w:val="24"/>
          <w:lang w:eastAsia="zh-CN"/>
          <w14:textFill>
            <w14:solidFill>
              <w14:schemeClr w14:val="tx1"/>
            </w14:solidFill>
          </w14:textFill>
        </w:rPr>
        <w:t>备</w:t>
      </w:r>
      <w:r>
        <w:rPr>
          <w:rFonts w:hint="eastAsia" w:ascii="宋体" w:hAnsi="宋体" w:cs="仿宋"/>
          <w:color w:val="000000" w:themeColor="text1"/>
          <w:sz w:val="24"/>
          <w14:textFill>
            <w14:solidFill>
              <w14:schemeClr w14:val="tx1"/>
            </w14:solidFill>
          </w14:textFill>
        </w:rPr>
        <w:t>〔20</w:t>
      </w:r>
      <w:r>
        <w:rPr>
          <w:rFonts w:hint="eastAsia" w:ascii="宋体" w:hAnsi="宋体" w:cs="仿宋"/>
          <w:color w:val="000000" w:themeColor="text1"/>
          <w:sz w:val="24"/>
          <w:lang w:val="en-US" w:eastAsia="zh-CN"/>
          <w14:textFill>
            <w14:solidFill>
              <w14:schemeClr w14:val="tx1"/>
            </w14:solidFill>
          </w14:textFill>
        </w:rPr>
        <w:t>21</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lang w:val="en-US" w:eastAsia="zh-CN"/>
          <w14:textFill>
            <w14:solidFill>
              <w14:schemeClr w14:val="tx1"/>
            </w14:solidFill>
          </w14:textFill>
        </w:rPr>
        <w:t>A72</w:t>
      </w:r>
      <w:r>
        <w:rPr>
          <w:rFonts w:hint="eastAsia" w:ascii="宋体" w:hAnsi="宋体" w:cs="仿宋"/>
          <w:color w:val="000000" w:themeColor="text1"/>
          <w:sz w:val="24"/>
          <w14:textFill>
            <w14:solidFill>
              <w14:schemeClr w14:val="tx1"/>
            </w14:solidFill>
          </w14:textFill>
        </w:rPr>
        <w:t>号）</w:t>
      </w:r>
    </w:p>
    <w:p>
      <w:pPr>
        <w:widowControl/>
        <w:spacing w:line="400" w:lineRule="exact"/>
        <w:outlineLvl w:val="0"/>
        <w:rPr>
          <w:rFonts w:ascii="宋体" w:hAnsi="宋体"/>
          <w:bCs/>
          <w:color w:val="000000" w:themeColor="text1"/>
          <w:sz w:val="24"/>
          <w14:textFill>
            <w14:solidFill>
              <w14:schemeClr w14:val="tx1"/>
            </w14:solidFill>
          </w14:textFill>
        </w:rPr>
      </w:pPr>
    </w:p>
    <w:p>
      <w:pPr>
        <w:widowControl/>
        <w:numPr>
          <w:ilvl w:val="0"/>
          <w:numId w:val="2"/>
        </w:numPr>
        <w:spacing w:line="400" w:lineRule="exact"/>
        <w:outlineLvl w:val="0"/>
        <w:rPr>
          <w:rFonts w:ascii="仿宋_GB2312" w:hAnsi="宋体" w:eastAsia="仿宋_GB2312" w:cs="宋体"/>
          <w:color w:val="000000" w:themeColor="text1"/>
          <w:kern w:val="0"/>
          <w:sz w:val="24"/>
          <w14:textFill>
            <w14:solidFill>
              <w14:schemeClr w14:val="tx1"/>
            </w14:solidFill>
          </w14:textFill>
        </w:rPr>
      </w:pPr>
      <w:r>
        <w:rPr>
          <w:rFonts w:hint="eastAsia" w:ascii="宋体" w:hAnsi="宋体"/>
          <w:b/>
          <w:bCs w:val="0"/>
          <w:color w:val="000000" w:themeColor="text1"/>
          <w:sz w:val="24"/>
          <w14:textFill>
            <w14:solidFill>
              <w14:schemeClr w14:val="tx1"/>
            </w14:solidFill>
          </w14:textFill>
        </w:rPr>
        <w:t>供应商资格要求</w:t>
      </w:r>
    </w:p>
    <w:p>
      <w:pPr>
        <w:spacing w:line="440" w:lineRule="exac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（一）应具备《政府采购法》第二十二条第一款规定的条件。</w:t>
      </w:r>
    </w:p>
    <w:p>
      <w:pPr>
        <w:spacing w:line="440" w:lineRule="exac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（二）未被列入“信用中国</w:t>
      </w:r>
      <w:r>
        <w:rPr>
          <w:rFonts w:hint="eastAsia" w:ascii="宋体" w:hAnsi="宋体" w:cs="仿宋"/>
          <w:color w:val="000000" w:themeColor="text1"/>
          <w:sz w:val="24"/>
          <w:lang w:eastAsia="zh-CN"/>
          <w14:textFill>
            <w14:solidFill>
              <w14:schemeClr w14:val="tx1"/>
            </w14:solidFill>
          </w14:textFill>
        </w:rPr>
        <w:t>网</w:t>
      </w:r>
      <w:r>
        <w:rPr>
          <w:rFonts w:hint="eastAsia" w:ascii="宋体" w:hAnsi="宋体" w:cs="仿宋"/>
          <w:color w:val="000000" w:themeColor="text1"/>
          <w:sz w:val="24"/>
          <w14:textFill>
            <w14:solidFill>
              <w14:schemeClr w14:val="tx1"/>
            </w14:solidFill>
          </w14:textFill>
        </w:rPr>
        <w:t>”失信被执行人、重大税收违法案件当事人名单</w:t>
      </w:r>
      <w:r>
        <w:rPr>
          <w:rFonts w:hint="eastAsia" w:ascii="宋体" w:hAnsi="宋体" w:cs="仿宋"/>
          <w:color w:val="000000" w:themeColor="text1"/>
          <w:sz w:val="24"/>
          <w:lang w:eastAsia="zh-CN"/>
          <w14:textFill>
            <w14:solidFill>
              <w14:schemeClr w14:val="tx1"/>
            </w14:solidFill>
          </w14:textFill>
        </w:rPr>
        <w:t>；</w:t>
      </w:r>
      <w:r>
        <w:rPr>
          <w:rStyle w:val="39"/>
          <w:rFonts w:ascii="Times New Roman" w:hAnsi="Times New Roman" w:cs="Times New Roman"/>
          <w:color w:val="000000" w:themeColor="text1"/>
          <w:kern w:val="0"/>
          <w:sz w:val="24"/>
          <w14:textFill>
            <w14:solidFill>
              <w14:schemeClr w14:val="tx1"/>
            </w14:solidFill>
          </w14:textFill>
        </w:rPr>
        <w:t>“中国政府采购网”</w:t>
      </w:r>
      <w:r>
        <w:rPr>
          <w:rFonts w:hint="eastAsia" w:ascii="宋体" w:hAnsi="宋体" w:cs="仿宋"/>
          <w:color w:val="000000" w:themeColor="text1"/>
          <w:sz w:val="24"/>
          <w14:textFill>
            <w14:solidFill>
              <w14:schemeClr w14:val="tx1"/>
            </w14:solidFill>
          </w14:textFill>
        </w:rPr>
        <w:t>政府采购严重违法失信行为记录名单。</w:t>
      </w:r>
    </w:p>
    <w:p>
      <w:pPr>
        <w:spacing w:line="440" w:lineRule="exact"/>
        <w:rPr>
          <w:rFonts w:ascii="宋体" w:hAnsi="宋体" w:cs="仿宋"/>
          <w:color w:val="000000" w:themeColor="text1"/>
          <w:sz w:val="24"/>
          <w14:textFill>
            <w14:solidFill>
              <w14:schemeClr w14:val="tx1"/>
            </w14:solidFill>
          </w14:textFill>
        </w:rPr>
      </w:pPr>
    </w:p>
    <w:p>
      <w:pPr>
        <w:numPr>
          <w:ilvl w:val="0"/>
          <w:numId w:val="2"/>
        </w:numPr>
        <w:spacing w:line="440" w:lineRule="exact"/>
        <w:rPr>
          <w:rFonts w:ascii="宋体" w:hAnsi="宋体"/>
          <w:b/>
          <w:bCs w:val="0"/>
          <w:color w:val="000000" w:themeColor="text1"/>
          <w:sz w:val="24"/>
          <w14:textFill>
            <w14:solidFill>
              <w14:schemeClr w14:val="tx1"/>
            </w14:solidFill>
          </w14:textFill>
        </w:rPr>
      </w:pPr>
      <w:r>
        <w:rPr>
          <w:rFonts w:hint="eastAsia" w:ascii="宋体" w:hAnsi="宋体"/>
          <w:b/>
          <w:bCs w:val="0"/>
          <w:color w:val="000000" w:themeColor="text1"/>
          <w:sz w:val="24"/>
          <w14:textFill>
            <w14:solidFill>
              <w14:schemeClr w14:val="tx1"/>
            </w14:solidFill>
          </w14:textFill>
        </w:rPr>
        <w:t>采购内容：</w:t>
      </w:r>
    </w:p>
    <w:tbl>
      <w:tblPr>
        <w:tblStyle w:val="13"/>
        <w:tblW w:w="9030" w:type="dxa"/>
        <w:tblInd w:w="41" w:type="dxa"/>
        <w:tblLayout w:type="fixed"/>
        <w:tblCellMar>
          <w:top w:w="15" w:type="dxa"/>
          <w:left w:w="15" w:type="dxa"/>
          <w:bottom w:w="15" w:type="dxa"/>
          <w:right w:w="15" w:type="dxa"/>
        </w:tblCellMar>
      </w:tblPr>
      <w:tblGrid>
        <w:gridCol w:w="637"/>
        <w:gridCol w:w="2970"/>
        <w:gridCol w:w="885"/>
        <w:gridCol w:w="1110"/>
        <w:gridCol w:w="1905"/>
        <w:gridCol w:w="1523"/>
      </w:tblGrid>
      <w:tr>
        <w:tblPrEx>
          <w:tblCellMar>
            <w:top w:w="15" w:type="dxa"/>
            <w:left w:w="15" w:type="dxa"/>
            <w:bottom w:w="15" w:type="dxa"/>
            <w:right w:w="15" w:type="dxa"/>
          </w:tblCellMar>
        </w:tblPrEx>
        <w:trPr>
          <w:trHeight w:val="556" w:hRule="atLeast"/>
        </w:trPr>
        <w:tc>
          <w:tcPr>
            <w:tcW w:w="637" w:type="dxa"/>
            <w:tcBorders>
              <w:top w:val="single" w:color="000000" w:sz="4" w:space="0"/>
              <w:left w:val="single" w:color="000000" w:sz="4" w:space="0"/>
              <w:bottom w:val="single" w:color="000000" w:sz="4" w:space="0"/>
              <w:right w:val="single" w:color="000000" w:sz="4" w:space="0"/>
            </w:tcBorders>
            <w:shd w:val="pct5" w:color="FFFFFF" w:fill="CFCECE"/>
            <w:noWrap w:val="0"/>
            <w:vAlign w:val="center"/>
          </w:tcPr>
          <w:p>
            <w:pPr>
              <w:widowControl/>
              <w:jc w:val="center"/>
              <w:textAlignment w:val="center"/>
              <w:rPr>
                <w:rFonts w:ascii="Arial" w:hAnsi="Arial" w:cs="Arial"/>
                <w:b/>
                <w:color w:val="000000"/>
                <w:szCs w:val="21"/>
              </w:rPr>
            </w:pPr>
            <w:bookmarkStart w:id="0" w:name="_Toc339378680"/>
            <w:bookmarkStart w:id="1" w:name="_Toc338065594"/>
            <w:r>
              <w:rPr>
                <w:rFonts w:ascii="Arial" w:hAnsi="Arial" w:cs="Arial"/>
                <w:b/>
                <w:color w:val="000000"/>
                <w:kern w:val="0"/>
                <w:szCs w:val="21"/>
              </w:rPr>
              <w:t>序号</w:t>
            </w:r>
          </w:p>
        </w:tc>
        <w:tc>
          <w:tcPr>
            <w:tcW w:w="2970" w:type="dxa"/>
            <w:tcBorders>
              <w:top w:val="single" w:color="000000" w:sz="4" w:space="0"/>
              <w:left w:val="single" w:color="000000" w:sz="4" w:space="0"/>
              <w:bottom w:val="single" w:color="000000" w:sz="4" w:space="0"/>
              <w:right w:val="single" w:color="000000" w:sz="4" w:space="0"/>
            </w:tcBorders>
            <w:shd w:val="pct5" w:color="FFFFFF" w:fill="CFCECE"/>
            <w:noWrap w:val="0"/>
            <w:vAlign w:val="center"/>
          </w:tcPr>
          <w:p>
            <w:pPr>
              <w:widowControl/>
              <w:jc w:val="center"/>
              <w:textAlignment w:val="center"/>
              <w:rPr>
                <w:rFonts w:ascii="Arial" w:hAnsi="Arial" w:cs="Arial"/>
                <w:b/>
                <w:color w:val="000000"/>
                <w:szCs w:val="21"/>
              </w:rPr>
            </w:pPr>
            <w:r>
              <w:rPr>
                <w:rFonts w:ascii="Arial" w:hAnsi="Arial" w:cs="Arial"/>
                <w:b/>
                <w:color w:val="000000"/>
                <w:kern w:val="0"/>
                <w:szCs w:val="21"/>
              </w:rPr>
              <w:t>产品名称</w:t>
            </w:r>
          </w:p>
        </w:tc>
        <w:tc>
          <w:tcPr>
            <w:tcW w:w="885" w:type="dxa"/>
            <w:tcBorders>
              <w:top w:val="single" w:color="000000" w:sz="4" w:space="0"/>
              <w:left w:val="single" w:color="000000" w:sz="4" w:space="0"/>
              <w:bottom w:val="single" w:color="000000" w:sz="4" w:space="0"/>
              <w:right w:val="single" w:color="000000" w:sz="4" w:space="0"/>
            </w:tcBorders>
            <w:shd w:val="pct5" w:color="FFFFFF" w:fill="CFCECE"/>
            <w:noWrap w:val="0"/>
            <w:vAlign w:val="center"/>
          </w:tcPr>
          <w:p>
            <w:pPr>
              <w:widowControl/>
              <w:jc w:val="center"/>
              <w:textAlignment w:val="center"/>
              <w:rPr>
                <w:rFonts w:ascii="Arial" w:hAnsi="Arial" w:cs="Arial"/>
                <w:b/>
                <w:color w:val="000000"/>
                <w:szCs w:val="21"/>
              </w:rPr>
            </w:pPr>
            <w:r>
              <w:rPr>
                <w:rFonts w:ascii="Arial" w:hAnsi="Arial" w:cs="Arial"/>
                <w:b/>
                <w:color w:val="000000"/>
                <w:kern w:val="0"/>
                <w:szCs w:val="21"/>
              </w:rPr>
              <w:t>数量</w:t>
            </w:r>
          </w:p>
        </w:tc>
        <w:tc>
          <w:tcPr>
            <w:tcW w:w="1110" w:type="dxa"/>
            <w:tcBorders>
              <w:top w:val="single" w:color="000000" w:sz="4" w:space="0"/>
              <w:left w:val="single" w:color="000000" w:sz="4" w:space="0"/>
              <w:bottom w:val="single" w:color="000000" w:sz="4" w:space="0"/>
              <w:right w:val="single" w:color="000000" w:sz="4" w:space="0"/>
            </w:tcBorders>
            <w:shd w:val="pct5" w:color="FFFFFF" w:fill="CFCECE"/>
            <w:noWrap w:val="0"/>
            <w:vAlign w:val="center"/>
          </w:tcPr>
          <w:p>
            <w:pPr>
              <w:widowControl/>
              <w:jc w:val="center"/>
              <w:textAlignment w:val="center"/>
              <w:rPr>
                <w:rFonts w:ascii="Arial" w:hAnsi="Arial" w:cs="Arial"/>
                <w:b/>
                <w:color w:val="000000"/>
                <w:szCs w:val="21"/>
              </w:rPr>
            </w:pPr>
            <w:r>
              <w:rPr>
                <w:rFonts w:ascii="Arial" w:hAnsi="Arial" w:cs="Arial"/>
                <w:b/>
                <w:color w:val="000000"/>
                <w:szCs w:val="21"/>
              </w:rPr>
              <w:t>单位</w:t>
            </w:r>
          </w:p>
        </w:tc>
        <w:tc>
          <w:tcPr>
            <w:tcW w:w="1905" w:type="dxa"/>
            <w:tcBorders>
              <w:top w:val="single" w:color="000000" w:sz="4" w:space="0"/>
              <w:left w:val="single" w:color="000000" w:sz="4" w:space="0"/>
              <w:bottom w:val="single" w:color="000000" w:sz="4" w:space="0"/>
              <w:right w:val="single" w:color="000000" w:sz="4" w:space="0"/>
            </w:tcBorders>
            <w:shd w:val="pct5" w:color="FFFFFF" w:fill="CFCECE"/>
            <w:noWrap w:val="0"/>
            <w:vAlign w:val="center"/>
          </w:tcPr>
          <w:p>
            <w:pPr>
              <w:widowControl/>
              <w:jc w:val="center"/>
              <w:textAlignment w:val="center"/>
              <w:rPr>
                <w:rFonts w:ascii="Arial" w:hAnsi="Arial" w:cs="Arial"/>
                <w:b/>
                <w:color w:val="000000"/>
                <w:kern w:val="0"/>
                <w:szCs w:val="21"/>
              </w:rPr>
            </w:pPr>
            <w:r>
              <w:rPr>
                <w:rFonts w:ascii="Arial" w:hAnsi="Arial" w:cs="Arial"/>
                <w:b/>
                <w:color w:val="000000"/>
                <w:kern w:val="0"/>
                <w:szCs w:val="21"/>
              </w:rPr>
              <w:t>备注</w:t>
            </w:r>
          </w:p>
        </w:tc>
        <w:tc>
          <w:tcPr>
            <w:tcW w:w="1523" w:type="dxa"/>
            <w:tcBorders>
              <w:top w:val="single" w:color="000000" w:sz="4" w:space="0"/>
              <w:left w:val="single" w:color="000000" w:sz="4" w:space="0"/>
              <w:bottom w:val="single" w:color="000000" w:sz="4" w:space="0"/>
              <w:right w:val="single" w:color="000000" w:sz="4" w:space="0"/>
            </w:tcBorders>
            <w:shd w:val="pct5" w:color="FFFFFF" w:fill="CFCECE"/>
            <w:noWrap w:val="0"/>
            <w:vAlign w:val="center"/>
          </w:tcPr>
          <w:p>
            <w:pPr>
              <w:widowControl/>
              <w:jc w:val="center"/>
              <w:textAlignment w:val="center"/>
              <w:rPr>
                <w:rFonts w:ascii="Arial" w:hAnsi="Arial" w:cs="Arial"/>
                <w:b/>
                <w:color w:val="000000"/>
                <w:szCs w:val="21"/>
              </w:rPr>
            </w:pPr>
            <w:r>
              <w:rPr>
                <w:rFonts w:ascii="Arial" w:hAnsi="Arial" w:cs="Arial"/>
                <w:b/>
                <w:color w:val="000000"/>
                <w:kern w:val="0"/>
                <w:szCs w:val="21"/>
              </w:rPr>
              <w:t>货物/服务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Arial" w:hAnsi="Arial" w:cs="Arial"/>
                <w:color w:val="000000"/>
                <w:szCs w:val="21"/>
              </w:rPr>
            </w:pPr>
            <w:r>
              <w:rPr>
                <w:rFonts w:hint="eastAsia" w:ascii="Arial" w:hAnsi="Arial" w:cs="Arial"/>
                <w:color w:val="000000"/>
                <w:szCs w:val="21"/>
              </w:rPr>
              <w:t>病案首页质控管理及DRG系统</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Arial" w:hAnsi="Arial" w:cs="Arial"/>
                <w:color w:val="000000"/>
                <w:szCs w:val="21"/>
              </w:rPr>
            </w:pPr>
            <w:r>
              <w:rPr>
                <w:rFonts w:hint="eastAsia" w:ascii="Arial" w:hAnsi="Arial" w:cs="Arial"/>
                <w:color w:val="000000"/>
                <w:szCs w:val="21"/>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color w:val="000000"/>
                <w:szCs w:val="21"/>
              </w:rPr>
            </w:pPr>
            <w:r>
              <w:rPr>
                <w:rFonts w:hint="eastAsia" w:ascii="Arial" w:hAnsi="Arial" w:cs="Arial"/>
                <w:color w:val="000000"/>
                <w:szCs w:val="21"/>
              </w:rPr>
              <w:t>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color w:val="000000"/>
                <w:szCs w:val="21"/>
              </w:rPr>
            </w:pPr>
            <w:r>
              <w:rPr>
                <w:rFonts w:hint="eastAsia" w:ascii="Arial" w:hAnsi="Arial" w:cs="Arial"/>
                <w:color w:val="000000"/>
                <w:szCs w:val="21"/>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color w:val="000000"/>
                <w:szCs w:val="21"/>
              </w:rPr>
            </w:pPr>
            <w:r>
              <w:rPr>
                <w:rFonts w:hint="eastAsia" w:ascii="Arial" w:hAnsi="Arial" w:cs="Arial"/>
                <w:color w:val="000000"/>
                <w:szCs w:val="21"/>
              </w:rPr>
              <w:t>服务</w:t>
            </w:r>
          </w:p>
        </w:tc>
      </w:tr>
    </w:tbl>
    <w:p>
      <w:pPr>
        <w:pStyle w:val="42"/>
        <w:ind w:firstLine="0" w:firstLineChars="0"/>
        <w:rPr>
          <w:lang w:val="zh-CN"/>
        </w:rPr>
      </w:pPr>
    </w:p>
    <w:bookmarkEnd w:id="0"/>
    <w:bookmarkEnd w:id="1"/>
    <w:p>
      <w:pPr>
        <w:numPr>
          <w:ilvl w:val="0"/>
          <w:numId w:val="2"/>
        </w:numPr>
        <w:spacing w:line="440" w:lineRule="exact"/>
        <w:rPr>
          <w:rFonts w:hint="eastAsia" w:ascii="宋体" w:hAnsi="宋体"/>
          <w:b/>
          <w:bCs w:val="0"/>
          <w:color w:val="000000" w:themeColor="text1"/>
          <w:sz w:val="24"/>
          <w:lang w:val="zh-CN"/>
          <w14:textFill>
            <w14:solidFill>
              <w14:schemeClr w14:val="tx1"/>
            </w14:solidFill>
          </w14:textFill>
        </w:rPr>
      </w:pPr>
      <w:r>
        <w:rPr>
          <w:rFonts w:hint="eastAsia" w:ascii="宋体" w:hAnsi="宋体"/>
          <w:b/>
          <w:bCs w:val="0"/>
          <w:color w:val="000000" w:themeColor="text1"/>
          <w:sz w:val="24"/>
          <w:lang w:val="zh-CN"/>
          <w14:textFill>
            <w14:solidFill>
              <w14:schemeClr w14:val="tx1"/>
            </w14:solidFill>
          </w14:textFill>
        </w:rPr>
        <w:t>项目建设内容</w:t>
      </w:r>
    </w:p>
    <w:p>
      <w:pPr>
        <w:numPr>
          <w:ilvl w:val="0"/>
          <w:numId w:val="3"/>
        </w:numPr>
        <w:spacing w:line="360" w:lineRule="auto"/>
        <w:rPr>
          <w:rFonts w:ascii="宋体" w:hAnsi="宋体" w:cs="宋体"/>
          <w:b/>
          <w:bCs/>
          <w:snapToGrid w:val="0"/>
          <w:kern w:val="0"/>
          <w:sz w:val="22"/>
          <w:szCs w:val="21"/>
        </w:rPr>
      </w:pPr>
      <w:bookmarkStart w:id="2" w:name="_Toc19776838"/>
      <w:r>
        <w:rPr>
          <w:rFonts w:hint="eastAsia" w:ascii="宋体" w:hAnsi="宋体" w:cs="宋体"/>
          <w:b/>
          <w:bCs/>
          <w:snapToGrid w:val="0"/>
          <w:kern w:val="0"/>
          <w:sz w:val="22"/>
          <w:szCs w:val="21"/>
        </w:rPr>
        <w:t>建设总体要求</w:t>
      </w:r>
      <w:bookmarkEnd w:id="2"/>
    </w:p>
    <w:p>
      <w:pPr>
        <w:spacing w:line="360" w:lineRule="auto"/>
        <w:rPr>
          <w:rFonts w:ascii="宋体" w:hAnsi="宋体" w:cs="宋体"/>
          <w:bCs/>
          <w:snapToGrid w:val="0"/>
          <w:kern w:val="0"/>
          <w:sz w:val="22"/>
          <w:szCs w:val="21"/>
        </w:rPr>
      </w:pPr>
      <w:r>
        <w:rPr>
          <w:rFonts w:hint="eastAsia" w:ascii="宋体" w:hAnsi="宋体" w:cs="宋体"/>
          <w:bCs/>
          <w:snapToGrid w:val="0"/>
          <w:kern w:val="0"/>
          <w:sz w:val="22"/>
          <w:szCs w:val="21"/>
        </w:rPr>
        <w:t>依据《关于印发疾病诊断相关分组（DRG）付费国家试点技术规范和分组方案的通知》，《国家医疗保障DRG分组与付费技术规范》和《国家医疗保障DRG（CHS-DRG）分组方案》,国家卫生健康委员会发布的《住院病案首页数据填写质量规范（暂行）》和《住医院病案首页数据质量管理与控制指标（2016版）》、《国务院办公厅关于加强三级公立医院绩效考核工作的意见》（国办发〔2019〕4号）、《关于加强二级公立医院绩效考核工作的通知》（国卫办医发〔2019〕23号）、《三级综合医院医疗质量管理与控制指标（2011年版）》《疾病分类代码国家临床版2.0》、《手术操作分类代码国家临床版3.0》等相关文件规定，在满足医院病案首页数据质量控制的功能模块、数据交互等要求下，系统功能设计应至少包含病案首页质量管理全部业务流程，并具有二/三级公立医院绩效考数据上报功能，结合先进病案管理理念，提出优化建议、新增相应功能模块，同时满足以下基本要求：</w:t>
      </w:r>
    </w:p>
    <w:p>
      <w:pPr>
        <w:numPr>
          <w:ilvl w:val="0"/>
          <w:numId w:val="4"/>
        </w:numPr>
        <w:spacing w:line="360" w:lineRule="auto"/>
        <w:rPr>
          <w:rFonts w:ascii="宋体" w:hAnsi="宋体" w:cs="宋体"/>
          <w:b/>
          <w:bCs/>
          <w:snapToGrid w:val="0"/>
          <w:kern w:val="0"/>
          <w:sz w:val="22"/>
          <w:szCs w:val="21"/>
        </w:rPr>
      </w:pPr>
      <w:r>
        <w:rPr>
          <w:rFonts w:hint="eastAsia" w:ascii="宋体" w:hAnsi="宋体" w:cs="宋体"/>
          <w:b/>
          <w:bCs/>
          <w:snapToGrid w:val="0"/>
          <w:kern w:val="0"/>
          <w:sz w:val="22"/>
          <w:szCs w:val="21"/>
        </w:rPr>
        <w:t>整体性设计</w:t>
      </w:r>
    </w:p>
    <w:p>
      <w:pPr>
        <w:spacing w:line="360" w:lineRule="auto"/>
        <w:rPr>
          <w:rFonts w:ascii="宋体" w:hAnsi="宋体" w:cs="宋体"/>
          <w:bCs/>
          <w:snapToGrid w:val="0"/>
          <w:kern w:val="0"/>
          <w:sz w:val="22"/>
          <w:szCs w:val="21"/>
        </w:rPr>
      </w:pPr>
      <w:r>
        <w:rPr>
          <w:rFonts w:hint="eastAsia" w:ascii="宋体" w:hAnsi="宋体" w:cs="宋体"/>
          <w:bCs/>
          <w:snapToGrid w:val="0"/>
          <w:kern w:val="0"/>
          <w:sz w:val="22"/>
          <w:szCs w:val="21"/>
        </w:rPr>
        <w:t>在项目建设中需要遵循“总体规划、分步实施”原则进行项目整体性规划和设计，保证项目整体建设功效的发挥。</w:t>
      </w:r>
    </w:p>
    <w:p>
      <w:pPr>
        <w:numPr>
          <w:ilvl w:val="0"/>
          <w:numId w:val="4"/>
        </w:numPr>
        <w:spacing w:line="360" w:lineRule="auto"/>
        <w:rPr>
          <w:rFonts w:ascii="宋体" w:hAnsi="宋体" w:cs="宋体"/>
          <w:b/>
          <w:bCs/>
          <w:snapToGrid w:val="0"/>
          <w:kern w:val="0"/>
          <w:sz w:val="22"/>
          <w:szCs w:val="21"/>
        </w:rPr>
      </w:pPr>
      <w:r>
        <w:rPr>
          <w:rFonts w:hint="eastAsia" w:ascii="宋体" w:hAnsi="宋体" w:cs="宋体"/>
          <w:b/>
          <w:bCs/>
          <w:snapToGrid w:val="0"/>
          <w:kern w:val="0"/>
          <w:sz w:val="22"/>
          <w:szCs w:val="21"/>
        </w:rPr>
        <w:t>系统性推进</w:t>
      </w:r>
    </w:p>
    <w:p>
      <w:pPr>
        <w:spacing w:line="360" w:lineRule="auto"/>
        <w:rPr>
          <w:rFonts w:ascii="宋体" w:hAnsi="宋体" w:cs="宋体"/>
          <w:bCs/>
          <w:snapToGrid w:val="0"/>
          <w:kern w:val="0"/>
          <w:sz w:val="22"/>
          <w:szCs w:val="21"/>
        </w:rPr>
      </w:pPr>
      <w:r>
        <w:rPr>
          <w:rFonts w:hint="eastAsia" w:ascii="宋体" w:hAnsi="宋体" w:cs="宋体"/>
          <w:bCs/>
          <w:snapToGrid w:val="0"/>
          <w:kern w:val="0"/>
          <w:sz w:val="22"/>
          <w:szCs w:val="21"/>
        </w:rPr>
        <w:t>业务协同、配套资源以及HIS、病案和信息化人员专业技术实施团队等多方面内容，必须系统加以考虑，保证项目有序、可控完成项目实施和建设。</w:t>
      </w:r>
    </w:p>
    <w:p>
      <w:pPr>
        <w:numPr>
          <w:ilvl w:val="0"/>
          <w:numId w:val="4"/>
        </w:numPr>
        <w:spacing w:line="360" w:lineRule="auto"/>
        <w:rPr>
          <w:rFonts w:ascii="宋体" w:hAnsi="宋体" w:cs="宋体"/>
          <w:b/>
          <w:bCs/>
          <w:snapToGrid w:val="0"/>
          <w:kern w:val="0"/>
          <w:sz w:val="22"/>
          <w:szCs w:val="21"/>
        </w:rPr>
      </w:pPr>
      <w:r>
        <w:rPr>
          <w:rFonts w:hint="eastAsia" w:ascii="宋体" w:hAnsi="宋体" w:cs="宋体"/>
          <w:b/>
          <w:bCs/>
          <w:snapToGrid w:val="0"/>
          <w:kern w:val="0"/>
          <w:sz w:val="22"/>
          <w:szCs w:val="21"/>
        </w:rPr>
        <w:t>过程性管理</w:t>
      </w:r>
    </w:p>
    <w:p>
      <w:pPr>
        <w:spacing w:line="360" w:lineRule="auto"/>
        <w:rPr>
          <w:rFonts w:ascii="宋体" w:hAnsi="宋体" w:cs="宋体"/>
          <w:bCs/>
          <w:snapToGrid w:val="0"/>
          <w:kern w:val="0"/>
          <w:sz w:val="22"/>
          <w:szCs w:val="21"/>
        </w:rPr>
      </w:pPr>
      <w:r>
        <w:rPr>
          <w:rFonts w:hint="eastAsia" w:ascii="宋体" w:hAnsi="宋体" w:cs="宋体"/>
          <w:bCs/>
          <w:snapToGrid w:val="0"/>
          <w:kern w:val="0"/>
          <w:sz w:val="22"/>
          <w:szCs w:val="21"/>
        </w:rPr>
        <w:t>须符合病案首页管理相关制度要求，实现实时监控、可追溯及痕迹化管理。</w:t>
      </w:r>
    </w:p>
    <w:p>
      <w:pPr>
        <w:numPr>
          <w:ilvl w:val="0"/>
          <w:numId w:val="4"/>
        </w:numPr>
        <w:spacing w:line="360" w:lineRule="auto"/>
        <w:rPr>
          <w:rFonts w:ascii="宋体" w:hAnsi="宋体" w:cs="宋体"/>
          <w:b/>
          <w:bCs/>
          <w:snapToGrid w:val="0"/>
          <w:kern w:val="0"/>
          <w:sz w:val="22"/>
          <w:szCs w:val="21"/>
        </w:rPr>
      </w:pPr>
      <w:r>
        <w:rPr>
          <w:rFonts w:hint="eastAsia" w:ascii="宋体" w:hAnsi="宋体" w:cs="宋体"/>
          <w:b/>
          <w:bCs/>
          <w:snapToGrid w:val="0"/>
          <w:kern w:val="0"/>
          <w:sz w:val="22"/>
          <w:szCs w:val="21"/>
        </w:rPr>
        <w:t>网络安全管理</w:t>
      </w:r>
    </w:p>
    <w:p>
      <w:pPr>
        <w:spacing w:line="360" w:lineRule="auto"/>
        <w:rPr>
          <w:rFonts w:ascii="宋体" w:hAnsi="宋体" w:cs="宋体"/>
          <w:bCs/>
          <w:snapToGrid w:val="0"/>
          <w:color w:val="auto"/>
          <w:kern w:val="0"/>
          <w:sz w:val="22"/>
          <w:szCs w:val="21"/>
        </w:rPr>
      </w:pPr>
      <w:r>
        <w:rPr>
          <w:rFonts w:hint="eastAsia" w:ascii="宋体" w:hAnsi="宋体" w:cs="宋体"/>
          <w:bCs/>
          <w:snapToGrid w:val="0"/>
          <w:kern w:val="0"/>
          <w:sz w:val="22"/>
          <w:szCs w:val="21"/>
        </w:rPr>
        <w:t>依据《信息安全等级保护管理办法》，系统保护等级为三级，安全保护应达到三级系统相关标准，使用双因子身份认证登录，并采用有效手段确保系统设计、开发、运行与数据安全。</w:t>
      </w:r>
      <w:r>
        <w:rPr>
          <w:rFonts w:hint="eastAsia" w:ascii="宋体" w:hAnsi="宋体" w:cs="宋体"/>
          <w:bCs/>
          <w:snapToGrid w:val="0"/>
          <w:color w:val="auto"/>
          <w:kern w:val="0"/>
          <w:sz w:val="22"/>
          <w:szCs w:val="21"/>
        </w:rPr>
        <w:t>并具备信息系统安全等级保护3级认证。</w:t>
      </w:r>
    </w:p>
    <w:p>
      <w:pPr>
        <w:numPr>
          <w:ilvl w:val="0"/>
          <w:numId w:val="4"/>
        </w:numPr>
        <w:spacing w:line="360" w:lineRule="auto"/>
        <w:rPr>
          <w:rFonts w:ascii="宋体" w:hAnsi="宋体" w:cs="宋体"/>
          <w:b/>
          <w:bCs/>
          <w:snapToGrid w:val="0"/>
          <w:kern w:val="0"/>
          <w:sz w:val="22"/>
          <w:szCs w:val="21"/>
        </w:rPr>
      </w:pPr>
      <w:r>
        <w:rPr>
          <w:rFonts w:hint="eastAsia" w:ascii="宋体" w:hAnsi="宋体" w:cs="宋体"/>
          <w:b/>
          <w:bCs/>
          <w:snapToGrid w:val="0"/>
          <w:kern w:val="0"/>
          <w:sz w:val="22"/>
          <w:szCs w:val="21"/>
        </w:rPr>
        <w:t>先进性和成熟性</w:t>
      </w:r>
    </w:p>
    <w:p>
      <w:pPr>
        <w:spacing w:line="360" w:lineRule="auto"/>
        <w:rPr>
          <w:rFonts w:ascii="宋体" w:hAnsi="宋体" w:cs="宋体"/>
          <w:bCs/>
          <w:snapToGrid w:val="0"/>
          <w:kern w:val="0"/>
          <w:sz w:val="22"/>
          <w:szCs w:val="21"/>
        </w:rPr>
      </w:pPr>
      <w:r>
        <w:rPr>
          <w:rFonts w:hint="eastAsia" w:ascii="宋体" w:hAnsi="宋体" w:cs="宋体"/>
          <w:bCs/>
          <w:snapToGrid w:val="0"/>
          <w:kern w:val="0"/>
          <w:sz w:val="22"/>
          <w:szCs w:val="21"/>
        </w:rPr>
        <w:t>整体系统设计应充分体现先进的管理思想和理念，采用先进的、成熟的且可持续发展的技术方法，把先进的管理思想和理念与实际工作相结合。采用开放的体系结构，通过引入先进、开放的技术和成熟的实施方法，实现病案首页的全流程质控管理和应用目标。</w:t>
      </w:r>
    </w:p>
    <w:p>
      <w:pPr>
        <w:numPr>
          <w:ilvl w:val="0"/>
          <w:numId w:val="4"/>
        </w:numPr>
        <w:spacing w:line="360" w:lineRule="auto"/>
        <w:rPr>
          <w:rFonts w:ascii="宋体" w:hAnsi="宋体" w:cs="宋体"/>
          <w:b/>
          <w:bCs/>
          <w:snapToGrid w:val="0"/>
          <w:kern w:val="0"/>
          <w:sz w:val="22"/>
          <w:szCs w:val="21"/>
        </w:rPr>
      </w:pPr>
      <w:r>
        <w:rPr>
          <w:rFonts w:hint="eastAsia" w:ascii="宋体" w:hAnsi="宋体" w:cs="宋体"/>
          <w:b/>
          <w:bCs/>
          <w:snapToGrid w:val="0"/>
          <w:kern w:val="0"/>
          <w:sz w:val="22"/>
          <w:szCs w:val="21"/>
        </w:rPr>
        <w:t>前瞻性和完整性</w:t>
      </w:r>
    </w:p>
    <w:p>
      <w:pPr>
        <w:spacing w:line="360" w:lineRule="auto"/>
        <w:rPr>
          <w:rFonts w:ascii="宋体" w:hAnsi="宋体" w:cs="宋体"/>
          <w:bCs/>
          <w:snapToGrid w:val="0"/>
          <w:kern w:val="0"/>
          <w:sz w:val="22"/>
          <w:szCs w:val="21"/>
        </w:rPr>
      </w:pPr>
      <w:r>
        <w:rPr>
          <w:rFonts w:hint="eastAsia" w:ascii="宋体" w:hAnsi="宋体" w:cs="宋体"/>
          <w:bCs/>
          <w:snapToGrid w:val="0"/>
          <w:kern w:val="0"/>
          <w:sz w:val="22"/>
          <w:szCs w:val="21"/>
        </w:rPr>
        <w:t>系统平台和架构要具有良好的前瞻性和可扩展性，不仅仅要完全满足本次系统建设要求，而且要满足以后对于系统功能扩展的要求，保证系统建设的一致性、系统性和完整性，系统和架构满足与其他数据管理系统、医院相关业务系统无缝、实时对接。系统设计要有前瞻性和现实性，既要总结过去、立足现在、放眼未来，具有一定高度，又要切合实际、合理规划、便于实施；在系统功能设计中注意用新理念、新思维、新方法来指导破解病案首页数据管理工作中的难题，提高科学性和实效性。</w:t>
      </w:r>
    </w:p>
    <w:p>
      <w:pPr>
        <w:numPr>
          <w:ilvl w:val="0"/>
          <w:numId w:val="2"/>
        </w:numPr>
        <w:spacing w:line="440" w:lineRule="exact"/>
        <w:rPr>
          <w:rFonts w:hint="eastAsia" w:ascii="宋体" w:hAnsi="宋体"/>
          <w:b/>
          <w:bCs w:val="0"/>
          <w:color w:val="000000" w:themeColor="text1"/>
          <w:sz w:val="24"/>
          <w:lang w:val="zh-CN"/>
          <w14:textFill>
            <w14:solidFill>
              <w14:schemeClr w14:val="tx1"/>
            </w14:solidFill>
          </w14:textFill>
        </w:rPr>
      </w:pPr>
      <w:r>
        <w:rPr>
          <w:rFonts w:hint="eastAsia" w:ascii="宋体" w:hAnsi="宋体"/>
          <w:b/>
          <w:bCs w:val="0"/>
          <w:color w:val="000000" w:themeColor="text1"/>
          <w:sz w:val="24"/>
          <w:lang w:val="zh-CN"/>
          <w14:textFill>
            <w14:solidFill>
              <w14:schemeClr w14:val="tx1"/>
            </w14:solidFill>
          </w14:textFill>
        </w:rPr>
        <w:t>技术、服务要求</w:t>
      </w:r>
    </w:p>
    <w:p>
      <w:pPr>
        <w:spacing w:line="360" w:lineRule="auto"/>
        <w:ind w:firstLine="480" w:firstLineChars="200"/>
        <w:rPr>
          <w:rFonts w:ascii="宋体" w:hAnsi="宋体" w:cs="宋体"/>
          <w:sz w:val="24"/>
          <w:szCs w:val="24"/>
        </w:rPr>
      </w:pPr>
      <w:r>
        <w:rPr>
          <w:rFonts w:hint="eastAsia" w:ascii="宋体" w:hAnsi="宋体" w:cs="宋体"/>
          <w:sz w:val="24"/>
          <w:szCs w:val="24"/>
        </w:rPr>
        <w:t>说明：1）供应商在投标文件《技术、服务要求响应、偏离说明表》中未对以下技术、服务要求逐条说明响应或偏离情况的，其投标按照无效投标处理。</w:t>
      </w:r>
    </w:p>
    <w:p>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下表中标注有“※”号的条款，为</w:t>
      </w:r>
      <w:r>
        <w:rPr>
          <w:rFonts w:hint="eastAsia" w:ascii="宋体" w:hAnsi="宋体" w:cs="宋体"/>
          <w:b/>
          <w:sz w:val="24"/>
          <w:szCs w:val="24"/>
        </w:rPr>
        <w:t>第三部分“三、评分标准”</w:t>
      </w:r>
      <w:r>
        <w:rPr>
          <w:rFonts w:hint="eastAsia" w:ascii="宋体" w:hAnsi="宋体" w:cs="宋体"/>
          <w:sz w:val="24"/>
          <w:szCs w:val="24"/>
        </w:rPr>
        <w:t>中的评分内容。（★号内容不满足视为废标条款）</w:t>
      </w:r>
    </w:p>
    <w:tbl>
      <w:tblPr>
        <w:tblStyle w:val="13"/>
        <w:tblW w:w="9381" w:type="dxa"/>
        <w:jc w:val="center"/>
        <w:tblLayout w:type="fixed"/>
        <w:tblCellMar>
          <w:top w:w="0" w:type="dxa"/>
          <w:left w:w="108" w:type="dxa"/>
          <w:bottom w:w="0" w:type="dxa"/>
          <w:right w:w="108" w:type="dxa"/>
        </w:tblCellMar>
      </w:tblPr>
      <w:tblGrid>
        <w:gridCol w:w="645"/>
        <w:gridCol w:w="1350"/>
        <w:gridCol w:w="6647"/>
        <w:gridCol w:w="739"/>
      </w:tblGrid>
      <w:tr>
        <w:tblPrEx>
          <w:tblCellMar>
            <w:top w:w="0" w:type="dxa"/>
            <w:left w:w="108" w:type="dxa"/>
            <w:bottom w:w="0" w:type="dxa"/>
            <w:right w:w="108" w:type="dxa"/>
          </w:tblCellMar>
        </w:tblPrEx>
        <w:trPr>
          <w:trHeight w:val="240" w:hRule="atLeast"/>
          <w:jc w:val="center"/>
        </w:trPr>
        <w:tc>
          <w:tcPr>
            <w:tcW w:w="645" w:type="dxa"/>
            <w:tcBorders>
              <w:top w:val="single" w:color="auto" w:sz="4" w:space="0"/>
              <w:left w:val="single" w:color="auto" w:sz="4" w:space="0"/>
              <w:bottom w:val="single" w:color="auto" w:sz="4" w:space="0"/>
              <w:right w:val="single" w:color="auto" w:sz="4" w:space="0"/>
            </w:tcBorders>
            <w:shd w:val="pct5" w:color="FFFFFF" w:fill="CFCECE"/>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1350" w:type="dxa"/>
            <w:tcBorders>
              <w:top w:val="single" w:color="auto" w:sz="4" w:space="0"/>
              <w:left w:val="nil"/>
              <w:bottom w:val="single" w:color="auto" w:sz="4" w:space="0"/>
              <w:right w:val="single" w:color="auto" w:sz="4" w:space="0"/>
            </w:tcBorders>
            <w:shd w:val="pct5" w:color="FFFFFF" w:fill="CFCECE"/>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名称</w:t>
            </w:r>
          </w:p>
        </w:tc>
        <w:tc>
          <w:tcPr>
            <w:tcW w:w="6647" w:type="dxa"/>
            <w:tcBorders>
              <w:top w:val="single" w:color="auto" w:sz="4" w:space="0"/>
              <w:left w:val="nil"/>
              <w:bottom w:val="single" w:color="auto" w:sz="4" w:space="0"/>
              <w:right w:val="single" w:color="auto" w:sz="4" w:space="0"/>
            </w:tcBorders>
            <w:shd w:val="pct5" w:color="FFFFFF" w:fill="CFCECE"/>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规格要求及技术参数</w:t>
            </w:r>
          </w:p>
        </w:tc>
        <w:tc>
          <w:tcPr>
            <w:tcW w:w="739" w:type="dxa"/>
            <w:tcBorders>
              <w:top w:val="single" w:color="auto" w:sz="4" w:space="0"/>
              <w:left w:val="nil"/>
              <w:bottom w:val="single" w:color="auto" w:sz="4" w:space="0"/>
              <w:right w:val="single" w:color="auto" w:sz="4" w:space="0"/>
            </w:tcBorders>
            <w:shd w:val="pct5" w:color="FFFFFF" w:fill="CFCECE"/>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评分点</w:t>
            </w: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387" w:hRule="atLeast"/>
          <w:jc w:val="center"/>
        </w:trPr>
        <w:tc>
          <w:tcPr>
            <w:tcW w:w="9381" w:type="dxa"/>
            <w:gridSpan w:val="4"/>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一、基本要求</w:t>
            </w:r>
          </w:p>
        </w:tc>
      </w:tr>
      <w:tr>
        <w:tblPrEx>
          <w:tblCellMar>
            <w:top w:w="0" w:type="dxa"/>
            <w:left w:w="108" w:type="dxa"/>
            <w:bottom w:w="0" w:type="dxa"/>
            <w:right w:w="108" w:type="dxa"/>
          </w:tblCellMar>
        </w:tblPrEx>
        <w:trPr>
          <w:trHeight w:val="387"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技术架构要求</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color w:val="auto"/>
                <w:sz w:val="22"/>
                <w:szCs w:val="22"/>
              </w:rPr>
              <w:t>1.1</w:t>
            </w:r>
            <w:r>
              <w:rPr>
                <w:rFonts w:hint="eastAsia" w:ascii="宋体" w:hAnsi="宋体" w:eastAsia="宋体" w:cs="宋体"/>
                <w:bCs/>
                <w:snapToGrid w:val="0"/>
                <w:color w:val="auto"/>
                <w:kern w:val="0"/>
                <w:sz w:val="22"/>
                <w:szCs w:val="22"/>
              </w:rPr>
              <w:t>体系结构：系统采用B/S技术架构，使用人员通过浏览器登陆系统。</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trHeight w:val="323"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1.2</w:t>
            </w:r>
            <w:r>
              <w:rPr>
                <w:rFonts w:hint="eastAsia" w:ascii="宋体" w:hAnsi="宋体" w:eastAsia="宋体" w:cs="宋体"/>
                <w:bCs/>
                <w:snapToGrid w:val="0"/>
                <w:color w:val="auto"/>
                <w:kern w:val="0"/>
                <w:sz w:val="22"/>
                <w:szCs w:val="22"/>
              </w:rPr>
              <w:t>支持WINNT或unix等主流操作系统，支持大型分布式关系数据库管理系统，提供强大的数据分析与挖掘能力，采用TCP/IP(传输控制协议/网际协议)网络协议。</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trHeight w:val="322"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color w:val="auto"/>
                <w:sz w:val="22"/>
                <w:szCs w:val="22"/>
              </w:rPr>
              <w:t>1.3</w:t>
            </w:r>
            <w:r>
              <w:rPr>
                <w:rFonts w:hint="eastAsia" w:ascii="宋体" w:hAnsi="宋体" w:eastAsia="宋体" w:cs="宋体"/>
                <w:bCs/>
                <w:snapToGrid w:val="0"/>
                <w:color w:val="auto"/>
                <w:kern w:val="0"/>
                <w:sz w:val="22"/>
                <w:szCs w:val="22"/>
              </w:rPr>
              <w:t>服务器操作系统：采用linux或Windows Server 2008及以上版本。</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trHeight w:val="556"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color w:val="auto"/>
                <w:sz w:val="22"/>
                <w:szCs w:val="22"/>
              </w:rPr>
              <w:t>1.4</w:t>
            </w:r>
            <w:r>
              <w:rPr>
                <w:rFonts w:hint="eastAsia" w:ascii="宋体" w:hAnsi="宋体" w:eastAsia="宋体" w:cs="宋体"/>
                <w:bCs/>
                <w:snapToGrid w:val="0"/>
                <w:color w:val="auto"/>
                <w:kern w:val="0"/>
                <w:sz w:val="22"/>
                <w:szCs w:val="22"/>
              </w:rPr>
              <w:t>数据库系统：支持mysql/SQL Server/Oracle。</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trHeight w:val="87"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color w:val="auto"/>
                <w:sz w:val="22"/>
                <w:szCs w:val="22"/>
              </w:rPr>
              <w:t>1.5</w:t>
            </w:r>
            <w:r>
              <w:rPr>
                <w:rFonts w:hint="eastAsia" w:ascii="宋体" w:hAnsi="宋体" w:eastAsia="宋体" w:cs="宋体"/>
                <w:bCs/>
                <w:snapToGrid w:val="0"/>
                <w:color w:val="auto"/>
                <w:kern w:val="0"/>
                <w:sz w:val="22"/>
                <w:szCs w:val="22"/>
              </w:rPr>
              <w:t>成熟软件产品：具备病案首页编码质控管理系统软件著作权。</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trHeight w:val="87"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bidi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1.6</w:t>
            </w:r>
            <w:r>
              <w:rPr>
                <w:rFonts w:hint="eastAsia" w:ascii="宋体" w:hAnsi="宋体" w:eastAsia="宋体" w:cs="宋体"/>
                <w:bCs/>
                <w:snapToGrid w:val="0"/>
                <w:color w:val="auto"/>
                <w:kern w:val="0"/>
                <w:sz w:val="22"/>
                <w:szCs w:val="22"/>
              </w:rPr>
              <w:t>访问方式：采用前置机的建设方式，实现医院各科室内网进行访问。</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trHeight w:val="87"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color w:val="auto"/>
                <w:sz w:val="22"/>
                <w:szCs w:val="22"/>
              </w:rPr>
              <w:t>1.7</w:t>
            </w:r>
            <w:r>
              <w:rPr>
                <w:rFonts w:hint="eastAsia" w:ascii="宋体" w:hAnsi="宋体" w:eastAsia="宋体" w:cs="宋体"/>
                <w:bCs/>
                <w:snapToGrid w:val="0"/>
                <w:color w:val="auto"/>
                <w:kern w:val="0"/>
                <w:sz w:val="22"/>
                <w:szCs w:val="22"/>
              </w:rPr>
              <w:t>系统安全达到国家三级等保要求：系统能提供架构安全、代码安全和身份认证安全等相关解决方案，确保系统安全不受外来攻击，保证数据安全不泄密。并具备信息系统安全等级保护3级认证。</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87"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bidi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1.8</w:t>
            </w:r>
            <w:r>
              <w:rPr>
                <w:rFonts w:hint="eastAsia" w:ascii="宋体" w:hAnsi="宋体" w:eastAsia="宋体" w:cs="宋体"/>
                <w:bCs/>
                <w:snapToGrid w:val="0"/>
                <w:color w:val="auto"/>
                <w:kern w:val="0"/>
                <w:sz w:val="22"/>
                <w:szCs w:val="22"/>
              </w:rPr>
              <w:t>质控规则支持客户自定义开关并确保每月两次更新：至少提供非编码规则质控和编码规则质控两类以上的质控。系统需支持医院自定义修改非编码规则开关选项和分数，并可以设置编码规则的开启和关闭状态。编码规则应保持持续更新，更新频次不低于每10个工作日一次。其中，非编码规则需满足《住院病案首页数据质量填写规范（2016版）》中的相关要求；编码规则需包含《病案首页信息学》以及ICD三卷编码精髓，需包括主要诊断原则和理性、编码漏编、高码低编以及合并编码等编码规则。</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p>
        </w:tc>
      </w:tr>
      <w:tr>
        <w:tblPrEx>
          <w:tblCellMar>
            <w:top w:w="0" w:type="dxa"/>
            <w:left w:w="108" w:type="dxa"/>
            <w:bottom w:w="0" w:type="dxa"/>
            <w:right w:w="108" w:type="dxa"/>
          </w:tblCellMar>
        </w:tblPrEx>
        <w:trPr>
          <w:trHeight w:val="87"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bidi w:val="0"/>
              <w:spacing w:line="400" w:lineRule="exact"/>
              <w:rPr>
                <w:rFonts w:hint="eastAsia" w:ascii="宋体" w:hAnsi="宋体" w:eastAsia="宋体" w:cs="宋体"/>
                <w:b/>
                <w:bCs/>
                <w:color w:val="auto"/>
                <w:sz w:val="22"/>
                <w:szCs w:val="22"/>
              </w:rPr>
            </w:pPr>
            <w:r>
              <w:rPr>
                <w:rFonts w:hint="eastAsia" w:ascii="宋体" w:hAnsi="宋体" w:eastAsia="宋体" w:cs="宋体"/>
                <w:bCs/>
                <w:color w:val="auto"/>
                <w:sz w:val="22"/>
                <w:szCs w:val="22"/>
              </w:rPr>
              <w:t>1.9</w:t>
            </w:r>
            <w:r>
              <w:rPr>
                <w:rFonts w:hint="eastAsia" w:ascii="宋体" w:hAnsi="宋体" w:eastAsia="宋体" w:cs="宋体"/>
                <w:bCs/>
                <w:snapToGrid w:val="0"/>
                <w:color w:val="auto"/>
                <w:kern w:val="0"/>
                <w:sz w:val="22"/>
                <w:szCs w:val="22"/>
              </w:rPr>
              <w:t>诊断名词编码联想且诊断术语词典更新至2019年国家卫健委版诊断名词库：诊断术语平台需根据卫计委2019年版诊断名词库更新。系统需能够根据用户输入的诊断名称联想提示出诊断名称的字典内容，并可为医院单独配置诊断名称字段，同时根据诊断名称直接提示出诊断编码。</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87"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bidi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1.10</w:t>
            </w:r>
            <w:r>
              <w:rPr>
                <w:rFonts w:hint="eastAsia" w:ascii="宋体" w:hAnsi="宋体" w:eastAsia="宋体" w:cs="宋体"/>
                <w:bCs/>
                <w:snapToGrid w:val="0"/>
                <w:color w:val="auto"/>
                <w:kern w:val="0"/>
                <w:sz w:val="22"/>
                <w:szCs w:val="22"/>
              </w:rPr>
              <w:t>支持手术及操作漏填查验：系统需能够根据付费医嘱数据分析病案首页中手术及操作内容是否存在漏编。</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trHeight w:val="87"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bidi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1.11</w:t>
            </w:r>
            <w:r>
              <w:rPr>
                <w:rFonts w:hint="eastAsia" w:ascii="宋体" w:hAnsi="宋体" w:eastAsia="宋体" w:cs="宋体"/>
                <w:bCs/>
                <w:snapToGrid w:val="0"/>
                <w:color w:val="auto"/>
                <w:kern w:val="0"/>
                <w:sz w:val="22"/>
                <w:szCs w:val="22"/>
              </w:rPr>
              <w:t>质控逻辑多项关联形成临床与编码知识图谱，并获软著确认：根据病历首页ICD编码之间的关系（疾病与疾病、疾病与手术、手术和手术）、以及ICD编码与相关字段（年龄、性别、新生儿体重、费用、入院病情等35项接口字段）综合判断编码逻辑的正确性，构成一套以分类结构为框架，临床知识及大数据为辅助的规则图谱。</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87"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bidi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1.12</w:t>
            </w:r>
            <w:r>
              <w:rPr>
                <w:rFonts w:hint="eastAsia" w:ascii="宋体" w:hAnsi="宋体" w:eastAsia="宋体" w:cs="宋体"/>
                <w:bCs/>
                <w:snapToGrid w:val="0"/>
                <w:color w:val="auto"/>
                <w:kern w:val="0"/>
                <w:sz w:val="22"/>
                <w:szCs w:val="22"/>
              </w:rPr>
              <w:t>基于DRG应用场景提供绩效版与医保版双分组器：须提供符合国家卫健主管部门（CN-DRG）、医保主管部门（CHS-DRG）要求的双版本分组器，可满足在病案科及临床医生端等不同场景的使用，并可随国家相应政策变化而调整。</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87"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bidi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1.13</w:t>
            </w:r>
            <w:r>
              <w:rPr>
                <w:rFonts w:hint="eastAsia" w:ascii="宋体" w:hAnsi="宋体" w:eastAsia="宋体" w:cs="宋体"/>
                <w:bCs/>
                <w:snapToGrid w:val="0"/>
                <w:color w:val="auto"/>
                <w:kern w:val="0"/>
                <w:sz w:val="22"/>
                <w:szCs w:val="22"/>
              </w:rPr>
              <w:t>安全性：系统能提供架构安全、代码安全和身份认证安全等相关解决方案，确保系统安全不受外来攻击，保证数据安全不泄密。并具备信息系统安全等级保护认证。</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trHeight w:val="87" w:hRule="atLeast"/>
          <w:jc w:val="center"/>
        </w:trPr>
        <w:tc>
          <w:tcPr>
            <w:tcW w:w="9381" w:type="dxa"/>
            <w:gridSpan w:val="4"/>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二、基本功能需求</w:t>
            </w: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病案管理</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color w:val="auto"/>
                <w:sz w:val="22"/>
                <w:szCs w:val="22"/>
              </w:rPr>
              <w:t>2.1</w:t>
            </w:r>
            <w:r>
              <w:rPr>
                <w:rFonts w:hint="eastAsia" w:ascii="宋体" w:hAnsi="宋体" w:eastAsia="宋体" w:cs="宋体"/>
                <w:bCs/>
                <w:snapToGrid w:val="0"/>
                <w:color w:val="auto"/>
                <w:kern w:val="0"/>
                <w:sz w:val="22"/>
                <w:szCs w:val="22"/>
              </w:rPr>
              <w:t>数据上传：采用自动上传的方式将数据上传至系统。</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numPr>
                <w:ilvl w:val="0"/>
                <w:numId w:val="0"/>
              </w:numPr>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color w:val="auto"/>
                <w:sz w:val="22"/>
                <w:szCs w:val="22"/>
              </w:rPr>
              <w:t>2.2</w:t>
            </w:r>
            <w:r>
              <w:rPr>
                <w:rFonts w:hint="eastAsia" w:ascii="宋体" w:hAnsi="宋体" w:eastAsia="宋体" w:cs="宋体"/>
                <w:bCs/>
                <w:snapToGrid w:val="0"/>
                <w:color w:val="auto"/>
                <w:kern w:val="0"/>
                <w:sz w:val="22"/>
                <w:szCs w:val="22"/>
              </w:rPr>
              <w:t>数据自动同步：通过视图方式，每日自动同步病案首页数据至系统。具备病案首页清洗转存工具软件著作权。</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color w:val="auto"/>
                <w:sz w:val="22"/>
                <w:szCs w:val="22"/>
              </w:rPr>
              <w:t>2.3</w:t>
            </w:r>
            <w:r>
              <w:rPr>
                <w:rFonts w:hint="eastAsia" w:ascii="宋体" w:hAnsi="宋体" w:eastAsia="宋体" w:cs="宋体"/>
                <w:bCs/>
                <w:snapToGrid w:val="0"/>
                <w:color w:val="auto"/>
                <w:kern w:val="0"/>
                <w:sz w:val="22"/>
                <w:szCs w:val="22"/>
              </w:rPr>
              <w:t>导出筛选：病案列表-导出汇总，可按照按筛选条件导出。</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2.4</w:t>
            </w:r>
            <w:r>
              <w:rPr>
                <w:rFonts w:hint="eastAsia" w:ascii="宋体" w:hAnsi="宋体" w:eastAsia="宋体" w:cs="宋体"/>
                <w:bCs/>
                <w:snapToGrid w:val="0"/>
                <w:color w:val="auto"/>
                <w:kern w:val="0"/>
                <w:sz w:val="22"/>
                <w:szCs w:val="22"/>
              </w:rPr>
              <w:t>数据本地化：使用医院内部专用网络访问本系统。</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color w:val="auto"/>
                <w:sz w:val="22"/>
                <w:szCs w:val="22"/>
              </w:rPr>
              <w:t>2.5</w:t>
            </w:r>
            <w:r>
              <w:rPr>
                <w:rFonts w:hint="eastAsia" w:ascii="宋体" w:hAnsi="宋体" w:eastAsia="宋体" w:cs="宋体"/>
                <w:bCs/>
                <w:snapToGrid w:val="0"/>
                <w:color w:val="auto"/>
                <w:kern w:val="0"/>
                <w:sz w:val="22"/>
                <w:szCs w:val="22"/>
              </w:rPr>
              <w:t>病案筛选：按照病案号、出院可是、医师、编码员、问题类型、问题属性、标杆倍率、付款方式等多种字段组合筛选导出病案。</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color w:val="auto"/>
                <w:sz w:val="22"/>
                <w:szCs w:val="22"/>
              </w:rPr>
              <w:t>2.6</w:t>
            </w:r>
            <w:r>
              <w:rPr>
                <w:rFonts w:hint="eastAsia" w:ascii="宋体" w:hAnsi="宋体" w:eastAsia="宋体" w:cs="宋体"/>
                <w:bCs/>
                <w:snapToGrid w:val="0"/>
                <w:color w:val="auto"/>
                <w:kern w:val="0"/>
                <w:sz w:val="22"/>
                <w:szCs w:val="22"/>
              </w:rPr>
              <w:t>全字段校验：对病案首页的非编码信息进行全面质控管理，并对质量进行评分。</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numPr>
                <w:ilvl w:val="0"/>
                <w:numId w:val="0"/>
              </w:numPr>
              <w:kinsoku/>
              <w:wordWrap/>
              <w:overflowPunct/>
              <w:topLinePunct w:val="0"/>
              <w:bidi w:val="0"/>
              <w:spacing w:line="40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2.7</w:t>
            </w:r>
            <w:r>
              <w:rPr>
                <w:rFonts w:hint="eastAsia" w:ascii="宋体" w:hAnsi="宋体" w:eastAsia="宋体" w:cs="宋体"/>
                <w:bCs/>
                <w:snapToGrid w:val="0"/>
                <w:color w:val="auto"/>
                <w:kern w:val="0"/>
                <w:sz w:val="22"/>
                <w:szCs w:val="22"/>
              </w:rPr>
              <w:t>病案质控：对病案首页的编码信息进行全面质控管理，支持拖拽诊断行、手术行进行排序，特别是调整主诊、第一手术的选择。具备“智能病案编码推荐”与“病案首页主诊断识别” 著作权。</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2.8</w:t>
            </w:r>
            <w:r>
              <w:rPr>
                <w:rFonts w:hint="eastAsia" w:ascii="宋体" w:hAnsi="宋体" w:eastAsia="宋体" w:cs="宋体"/>
                <w:bCs/>
                <w:snapToGrid w:val="0"/>
                <w:color w:val="auto"/>
                <w:kern w:val="0"/>
                <w:sz w:val="22"/>
                <w:szCs w:val="22"/>
              </w:rPr>
              <w:t>自动提示病案批注：提示病案问题及修改推荐提示，显示费用、权重、DRG组、费用变化、标杆值、病案得分等。</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color w:val="auto"/>
                <w:sz w:val="22"/>
                <w:szCs w:val="22"/>
              </w:rPr>
              <w:t>2.9</w:t>
            </w:r>
            <w:r>
              <w:rPr>
                <w:rFonts w:hint="eastAsia" w:ascii="宋体" w:hAnsi="宋体" w:eastAsia="宋体" w:cs="宋体"/>
                <w:bCs/>
                <w:snapToGrid w:val="0"/>
                <w:color w:val="auto"/>
                <w:kern w:val="0"/>
                <w:sz w:val="22"/>
                <w:szCs w:val="22"/>
              </w:rPr>
              <w:t>编辑再质控：支持在线编辑，编辑后再质控分组。</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2.10</w:t>
            </w:r>
            <w:r>
              <w:rPr>
                <w:rFonts w:hint="eastAsia" w:ascii="宋体" w:hAnsi="宋体" w:eastAsia="宋体" w:cs="宋体"/>
                <w:bCs/>
                <w:snapToGrid w:val="0"/>
                <w:color w:val="auto"/>
                <w:kern w:val="0"/>
                <w:sz w:val="22"/>
                <w:szCs w:val="22"/>
              </w:rPr>
              <w:t>编码员与临床医生就病案质控提供站内沟通，并存档审核存疑：病案科对无法确认病案进行存疑状态标记，自动引入存疑原因和质控结果，并推送给临床医生。</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color w:val="auto"/>
                <w:sz w:val="22"/>
                <w:szCs w:val="22"/>
              </w:rPr>
              <w:t>2.11</w:t>
            </w:r>
            <w:r>
              <w:rPr>
                <w:rFonts w:hint="eastAsia" w:ascii="宋体" w:hAnsi="宋体" w:eastAsia="宋体" w:cs="宋体"/>
                <w:bCs/>
                <w:snapToGrid w:val="0"/>
                <w:color w:val="auto"/>
                <w:kern w:val="0"/>
                <w:sz w:val="22"/>
                <w:szCs w:val="22"/>
              </w:rPr>
              <w:t>病案审核：对病案首页的编码信息等进行全面质控管理、审核。</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2.12</w:t>
            </w:r>
            <w:r>
              <w:rPr>
                <w:rFonts w:hint="eastAsia" w:ascii="宋体" w:hAnsi="宋体" w:eastAsia="宋体" w:cs="宋体"/>
                <w:bCs/>
                <w:snapToGrid w:val="0"/>
                <w:color w:val="auto"/>
                <w:kern w:val="0"/>
                <w:sz w:val="22"/>
                <w:szCs w:val="22"/>
              </w:rPr>
              <w:t>编码规则：编码规则包含《病案首页信息学》以及ICD三卷编码精髓，包括主要诊断原则和理性、编码漏编、高码低编以及合并编码等编码规则。</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2.13</w:t>
            </w:r>
            <w:r>
              <w:rPr>
                <w:rFonts w:hint="eastAsia" w:ascii="宋体" w:hAnsi="宋体" w:eastAsia="宋体" w:cs="宋体"/>
                <w:bCs/>
                <w:snapToGrid w:val="0"/>
                <w:color w:val="auto"/>
                <w:kern w:val="0"/>
                <w:sz w:val="22"/>
                <w:szCs w:val="22"/>
              </w:rPr>
              <w:t>提供并维持每季度动态更新区域标杆值：每月动态维护更新全国或区域标杆值，使医院能够及时了解自身在行业所处的水平，并保持持续更新。</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2.14</w:t>
            </w:r>
            <w:r>
              <w:rPr>
                <w:rFonts w:hint="eastAsia" w:ascii="宋体" w:hAnsi="宋体" w:eastAsia="宋体" w:cs="宋体"/>
                <w:bCs/>
                <w:snapToGrid w:val="0"/>
                <w:color w:val="auto"/>
                <w:kern w:val="0"/>
                <w:sz w:val="22"/>
                <w:szCs w:val="22"/>
              </w:rPr>
              <w:t>盈亏预测：对医院存在的潜在亏损风险进行统计，通过预判分组功能，指出医院潜在的亏损风险，并提出合理的解决性方案。</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2.15</w:t>
            </w:r>
            <w:r>
              <w:rPr>
                <w:rFonts w:hint="eastAsia" w:ascii="宋体" w:hAnsi="宋体" w:eastAsia="宋体" w:cs="宋体"/>
                <w:bCs/>
                <w:snapToGrid w:val="0"/>
                <w:color w:val="auto"/>
                <w:kern w:val="0"/>
                <w:sz w:val="22"/>
                <w:szCs w:val="22"/>
              </w:rPr>
              <w:t>质控规则经过病案质控专家验证，提供名单与质控规则修改内容的认证材料，需包含专家姓名。</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待办事项</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sz w:val="22"/>
                <w:szCs w:val="22"/>
              </w:rPr>
            </w:pPr>
            <w:r>
              <w:rPr>
                <w:rFonts w:hint="eastAsia" w:ascii="宋体" w:hAnsi="宋体" w:eastAsia="宋体" w:cs="宋体"/>
                <w:bCs/>
                <w:snapToGrid w:val="0"/>
                <w:color w:val="auto"/>
                <w:kern w:val="0"/>
                <w:sz w:val="22"/>
                <w:szCs w:val="22"/>
              </w:rPr>
              <w:t>编码员与临床医生线上沟通：编码员可将存疑病案实时反馈至临床医生，同时临床医生可看到自身待办事项即对病案科存疑的病案进行修改，同时支持病案质控功能、在线编辑功能等。</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问题分析</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bCs/>
                <w:snapToGrid w:val="0"/>
                <w:color w:val="auto"/>
                <w:kern w:val="0"/>
                <w:sz w:val="22"/>
                <w:szCs w:val="22"/>
              </w:rPr>
              <w:t>可通过月、季、年、全院、科室进行病案问题统计及分析。产出问题病案发生率、问题病案数、编码/非编码问题病案率、病案问题的分布等报表或图表，可通过点击报表进行快速穿透定位。</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得分分析</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可通过月、季、年、全院、科室进行病案问题统计及分析。产出质控排名、质控扣分项、不合格病案等报表或图表，可通过点击报表进行快速穿透定位。</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DRG入组</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6.1 DRG入组结构：按照月份、全院、科室产出入组结构图，入组趋势图、分析率趋势图；可快速定位未入组病案，提示未入组原因。</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6.2 DRG入组病案统计：可按照月份，产出全院、科室病案数、无效病案数、入组病案数、未入组病案数、入组率、死亡病案数、低风险组死亡病案、费用极高/极低病案等。并可以快速进行风险病案的排查和定位。</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6.3自定义风险病案排查，可按照科室病案、DRG病案、死亡病案、异常费用等多个维度进行快速定位、同时支持病案号、DRG、标杆倍率、主诊断等进行筛选、汇总、导出。</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6.4系统支持18版CN-DRG分组器和国家医保局版CHS-DRG分组器一健相互切换分组结果。</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绩效考核</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7.1根据《国务院办公厅关于加强三级公立医院绩效考核工作的意见》（〔2019〕4号）以及《关于加强二级公立医院绩效考核工作的通知》（国卫办医发〔2019〕23号），提供基于首页数据计算的其中9个指标的测算，助力公立医院绩效考核及等级医院评审复审工作。</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7.2服务能力：提供服务能力相关重点指标分析，包括总权重、DRG组数、CMI等指标。</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7.3服务效率：提供服务效率相关重点指标分析，包括时间消耗指数、费用消耗指数、平均住院日等指标。</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7.4市场覆盖：提供市场覆盖相关重点指标分析，包括区域内住院患者数、区域内住院患者数量占比、区域外住院患者数量占比等。</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医生端实时质控</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8.1医生端质控：支持在医生工作站界面添加实时质控按钮，临床医生完成案首页的内容填写后，可一键快速获取实时质控结果，且支持反复修改后再质控查看修改效果。质控前移至医生端，时效性更强。具备住院病案编码训练库系统软件著作权。</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8.2 （非）编码问题：对病案首页内容进行全面质控包括编码审核与非编码全字段校验，提示病案首页存在编码与非编码问题，可同步获得手术及诊断漏编提示。</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8.3 DRG预分组：提供医生端病案首页的DRG入组预分组结果，提示入组名称与权重等信息。</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8.4提供并每季度动向维护区域标杆值：动态维护更新全国或区域标杆值，使医院能够及时了解自身在行业所处的水平，并保持持续更新。</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8.5嵌入式DLL展示使医生端界面实施简单展示简洁：系统提供DLL动态文件库，HIS厂商可以直接调用该模块进行内容展示，提供美观且可配置的展示页面，同时减少HIS厂商的开发量。</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内涵质控</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9.1基于执行医嘱数据与病案首页手术及操作已填项，对比排查出存在漏填风险的手术及操作，并提供漏编项提示及相关版本编码推荐。</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9.2基于出院记录数据与病案首页诊断已填项，应用人工智能及自然语言处理技能，对比排查出存在风险的诊断，包括诊断漏填、主诊选择不合理等项，并提供漏编项提示及相关版本编码推荐。</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9.3系统支持一键查看原始的执行医嘱数据，核查漏编结果。</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决策分析</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10.1全院DRG核心指标管理：基于行业标杆值，提供全院DRG五大核心指标（DRG组数、CMI、时间消耗指数、费用消耗指数、低风险组死亡率）的行业定位分析以及行业标杆对标分析。</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10.2重点专业发展排名：基于行业标杆值，提供重点专业DRG四类核心指标（DRG组数、CMI、时间消耗指数、费用消耗指数）与行业标杆对标分析结果，获得DRG组数相对指数、CMI相对指数、时间相对指数、费用相对指数。</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10.3 DRG支付盈亏预测分析：有DRG医保支付盈亏预测分析模型。从月度、季度、年度提供DRG医保支付模式下，全院及科室潜在支付风险预测分析结果，以及潜在风险点。</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10.4病案权重分布：分析全院/科室病案权重分布现状。剖析全院/科室CMI组成结构。并分析全院/科室在各权重区间内的病案数量以及高权重的DRG病组。</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10.5</w:t>
            </w:r>
            <w:bookmarkStart w:id="3" w:name="_Toc44252491"/>
            <w:r>
              <w:rPr>
                <w:rFonts w:hint="eastAsia" w:ascii="宋体" w:hAnsi="宋体" w:eastAsia="宋体" w:cs="宋体"/>
                <w:bCs/>
                <w:snapToGrid w:val="0"/>
                <w:color w:val="auto"/>
                <w:kern w:val="0"/>
                <w:sz w:val="22"/>
                <w:szCs w:val="22"/>
              </w:rPr>
              <w:t>关键指标监测</w:t>
            </w:r>
            <w:bookmarkEnd w:id="3"/>
            <w:r>
              <w:rPr>
                <w:rFonts w:hint="eastAsia" w:ascii="宋体" w:hAnsi="宋体" w:eastAsia="宋体" w:cs="宋体"/>
                <w:bCs/>
                <w:snapToGrid w:val="0"/>
                <w:color w:val="auto"/>
                <w:kern w:val="0"/>
                <w:sz w:val="22"/>
                <w:szCs w:val="22"/>
              </w:rPr>
              <w:t>：提供四大维度关键指标分析，包括服务能力、服务效率、费用控制、医疗安全。</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10.6根据科室绩效得分，将科室分为四类级别（优、良、中、差），助力相关部门快速识别并定位存在问题的科室（级别为中或差的科室）。</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学科建设</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11.1基于行业对标及目标值对比分析，从临床学科均衡性发展（MDC）、重点专业发展、科室发展层层剖析，明确优势并定位短板，指导各学科差异化建设。</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11.2 DRG查询：DRGs病组开展情况分析、病案权重分布、DRGs病组风险等级查询。</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12</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医保预测分析</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12.1 DRG支付羸亏分析，按全院、科室、医师、DRG病组多层面，展示DRG医保支付盈亏金额。</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12.2 DRG病组费用结构分析：从DRG病组层面管理DRG医保支付盈亏风险，从支付管理的最底层管理支付盈亏，尤其是针对亏损的DRG病组，通过DRG病组的费用结构分析。</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13</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绩效考核指标管理</w:t>
            </w:r>
          </w:p>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13.1绩效管理：DRG核心指标纳入重点专业、科室、医师绩效评价体系，建立与DRG医保支付相一致的绩效管理机制。</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13.2 DRG核心指标管理： 基于行业标杆值，提供全院DRG五大核心指标（DRG组数、CMI、时间消耗指数、费用消耗指数、低风险组死亡率）的行业标杆对标分析，基于医院目标值对比分析，提供全院指标分级管理（A、B、C、D），定位问题指标（级别为C或D的指标），并提供年度、季度、月度分析结果。</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13.3重点专业DRG核心指标管理：基于行业标杆值，提供重点专业的DRG五大核心指标（DRG组数、CMI、时间消耗指数、费用消耗指数、低风险组死亡率）的行业标杆对标分析，基于医院目标值对比分析，提供重点专业的指标分级管理（A、B、C、D），定位问题指标（级别为C或D的指标），并提供年度、季度、月度分析结果。</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13.4科室绩效管理：提供科室绩效排名、科室服务能力评价、科室服务效率评价以及科室核心DRG病组评价。</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13.5医师绩效管理：提供医师绩效排名、医师服务能力评价、医师服务效率评价、医疗技术以及高产医师排名。</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13.6医院等级评审监测：预先设定本院重点病种、重点手术相关指标的目标值，基于目标值对比分析，提供指标分级（A、B、C、D）管理，定位问题指标（级别为C或D的指标）。提供月度、季度、年度指标分析结果。基于目标值对比分析结果，明确相关指标与本院发展目标之间的差距，以便制定有效的提升方案。</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13.7 DRG相关安全指标：实时监测，降低DRG支付模式下医院安全风险，如：质量安全、合理用药/耗材。</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14</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账号管理</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14.1机构管理：管理医院基本信息及规则配置。</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14.2角色管理：管理院内角色及系统使用权限。</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14.3用户管理：管理院内用户及系统使用权限。</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14.4运营日志：对修改维护的日至进行管理查询。</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14.5版本记录：显示字典与质控规则更新记录。</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p>
        </w:tc>
        <w:tc>
          <w:tcPr>
            <w:tcW w:w="13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可扩展性</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15.1与现有的HIS系统或病案管理系统相兼容，能提供完整的软件实施文档、接口文档(his接口费由中标公司承担）。</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p>
        </w:tc>
        <w:tc>
          <w:tcPr>
            <w:tcW w:w="13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15.2系统要具备一定拓展性，适应未来医院的业务需求。</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16</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双分组器</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提供符合国家卫健主管部门（CN-DRG）、医保主管部门（CHS-DRG）要求的双版本分组器，可满足在病案科及临床医生端等不同场景的使用，并可随国家相应政策变化而调整。</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17</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解决方案</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整体解决方案</w:t>
            </w:r>
          </w:p>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投标人项目工作思路清晰、总体工作架构设计完整、响应性好、可操作性强。</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18</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病案首页数据质量评测报告</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bCs/>
                <w:snapToGrid w:val="0"/>
                <w:color w:val="auto"/>
                <w:kern w:val="0"/>
                <w:sz w:val="22"/>
                <w:szCs w:val="22"/>
              </w:rPr>
            </w:pPr>
            <w:r>
              <w:rPr>
                <w:rFonts w:hint="eastAsia" w:ascii="宋体" w:hAnsi="宋体" w:eastAsia="宋体" w:cs="宋体"/>
                <w:color w:val="auto"/>
                <w:kern w:val="0"/>
                <w:sz w:val="22"/>
                <w:szCs w:val="22"/>
                <w:lang w:bidi="ar"/>
              </w:rPr>
              <w:t>依据医院实际情况，提供《病案首页数据质量评测报告》，并对其进行专业化解读</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19</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非编码规则</w:t>
            </w:r>
          </w:p>
          <w:p>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定制化</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bCs/>
                <w:snapToGrid w:val="0"/>
                <w:color w:val="auto"/>
                <w:kern w:val="0"/>
                <w:sz w:val="22"/>
                <w:szCs w:val="22"/>
              </w:rPr>
            </w:pPr>
            <w:r>
              <w:rPr>
                <w:rFonts w:hint="eastAsia" w:ascii="宋体" w:hAnsi="宋体" w:eastAsia="宋体" w:cs="宋体"/>
                <w:color w:val="auto"/>
                <w:kern w:val="0"/>
                <w:sz w:val="22"/>
                <w:szCs w:val="22"/>
                <w:lang w:bidi="ar"/>
              </w:rPr>
              <w:t>依据国家卫生健康委员会发布的《住院病案首页数据填写质量规范（暂行）》和《住医院病案首页数据质量管理与控制指标（2016版）》、《国务院办公厅关于加强三级公立医院绩效考核工作的意见》（国办发〔2019〕4号）、《三级综合医院医疗质量管理与控制指标（2011年版）》等相关文件规定，对病案首页76个必填项、共计300余条规则进行数据质控。医院可以按照本院实际情况定制符合院内质控要求的非编码规则包</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6"/>
              <w:keepNext w:val="0"/>
              <w:keepLines w:val="0"/>
              <w:pageBreakBefore w:val="0"/>
              <w:kinsoku/>
              <w:wordWrap/>
              <w:overflowPunct/>
              <w:topLinePunct w:val="0"/>
              <w:bidi w:val="0"/>
              <w:spacing w:before="156" w:after="156" w:line="40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编码规则</w:t>
            </w:r>
          </w:p>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定制化</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依据《疾病与有关健康的国际统计分类第十次修订本》、《美国国际疾病分类第九次临床修订本手术与操作》、《病案信息学》、《CN-DRGs 分组方案》（2018 版）、《国际疾病及健康统计分类》、《住院病案首页数据填写质量规范（暂行）》和《标准的临床版编码库》制定的编码规则。医院可以按照本院实际情况定制符合院内质控要求的编码规则包，每周进行规则更新</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6"/>
              <w:keepNext w:val="0"/>
              <w:keepLines w:val="0"/>
              <w:pageBreakBefore w:val="0"/>
              <w:kinsoku/>
              <w:wordWrap/>
              <w:overflowPunct/>
              <w:topLinePunct w:val="0"/>
              <w:bidi w:val="0"/>
              <w:spacing w:before="156" w:after="156" w:line="400" w:lineRule="exact"/>
              <w:ind w:firstLine="0" w:firstLineChars="0"/>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21</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编码规则答疑</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在医院查看最常见编码问题时，对某条编码规则或某病案的编码错误产生质疑时，我公司提供问题释疑服务，由编码专家团队及时进行疑问解答，做到在工作日二十四小时内响应</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6"/>
              <w:keepNext w:val="0"/>
              <w:keepLines w:val="0"/>
              <w:pageBreakBefore w:val="0"/>
              <w:kinsoku/>
              <w:wordWrap/>
              <w:overflowPunct/>
              <w:topLinePunct w:val="0"/>
              <w:bidi w:val="0"/>
              <w:spacing w:before="156" w:after="156" w:line="400" w:lineRule="exact"/>
              <w:ind w:firstLine="0" w:firstLineChars="0"/>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22</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DRG入组分析及问题咨询</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医院在对DRG未入组病案或入错组产生疑惑时，我公司提供问题咨询服务，由DRG专家团队进行原因分析。常见未入组病案主要由于主要诊断编码填写不规范、残码、乱码；常见入错组病案主要由于手术编码未识别、编码漏编导致外科组病案进入内科组</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6"/>
              <w:keepNext w:val="0"/>
              <w:keepLines w:val="0"/>
              <w:pageBreakBefore w:val="0"/>
              <w:kinsoku/>
              <w:wordWrap/>
              <w:overflowPunct/>
              <w:topLinePunct w:val="0"/>
              <w:bidi w:val="0"/>
              <w:spacing w:before="156" w:after="156" w:line="400" w:lineRule="exact"/>
              <w:ind w:firstLine="0" w:firstLineChars="0"/>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23</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数据分析服务</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每月提供一次数据分析服务，数据分析包括临床沟通、院内培训会的数据支持。服务仅限于病案首页数据的支持，以病案首页数据情况说明、远程答疑的形式提供</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6"/>
              <w:keepNext w:val="0"/>
              <w:keepLines w:val="0"/>
              <w:pageBreakBefore w:val="0"/>
              <w:kinsoku/>
              <w:wordWrap/>
              <w:overflowPunct/>
              <w:topLinePunct w:val="0"/>
              <w:bidi w:val="0"/>
              <w:spacing w:before="156" w:after="156" w:line="400" w:lineRule="exact"/>
              <w:ind w:firstLine="0" w:firstLineChars="0"/>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24</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标杆体系更新</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每季度根据行业标杆数据更新情况，使医院能够及时获悉行业最新的标杆值</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6"/>
              <w:keepNext w:val="0"/>
              <w:keepLines w:val="0"/>
              <w:pageBreakBefore w:val="0"/>
              <w:kinsoku/>
              <w:wordWrap/>
              <w:overflowPunct/>
              <w:topLinePunct w:val="0"/>
              <w:bidi w:val="0"/>
              <w:spacing w:before="156" w:after="156" w:line="400" w:lineRule="exact"/>
              <w:ind w:firstLine="0" w:firstLineChars="0"/>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25</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系统培训</w:t>
            </w:r>
          </w:p>
        </w:tc>
        <w:tc>
          <w:tcPr>
            <w:tcW w:w="66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进行系统使用培训，包括系统功能讲解、系统操作、故障处理等，保证医院相关人员能够熟练使用悦励系统，并能够处理简单的系统故障</w:t>
            </w:r>
          </w:p>
        </w:tc>
        <w:tc>
          <w:tcPr>
            <w:tcW w:w="7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6"/>
              <w:keepNext w:val="0"/>
              <w:keepLines w:val="0"/>
              <w:pageBreakBefore w:val="0"/>
              <w:kinsoku/>
              <w:wordWrap/>
              <w:overflowPunct/>
              <w:topLinePunct w:val="0"/>
              <w:bidi w:val="0"/>
              <w:spacing w:before="156" w:after="156" w:line="400" w:lineRule="exact"/>
              <w:ind w:firstLine="0" w:firstLineChars="0"/>
              <w:rPr>
                <w:rFonts w:hint="eastAsia" w:ascii="宋体" w:hAnsi="宋体" w:eastAsia="宋体" w:cs="宋体"/>
                <w:color w:val="auto"/>
                <w:sz w:val="22"/>
                <w:szCs w:val="22"/>
              </w:rPr>
            </w:pPr>
          </w:p>
        </w:tc>
      </w:tr>
    </w:tbl>
    <w:p>
      <w:pPr>
        <w:rPr>
          <w:rFonts w:ascii="Arial" w:hAnsi="Arial" w:cs="Arial"/>
          <w:szCs w:val="21"/>
        </w:rPr>
      </w:pPr>
    </w:p>
    <w:p>
      <w:pPr>
        <w:numPr>
          <w:ilvl w:val="0"/>
          <w:numId w:val="2"/>
        </w:numPr>
        <w:spacing w:line="440" w:lineRule="exact"/>
        <w:rPr>
          <w:rFonts w:hint="eastAsia" w:ascii="宋体" w:hAnsi="宋体"/>
          <w:b/>
          <w:bCs w:val="0"/>
          <w:color w:val="000000" w:themeColor="text1"/>
          <w:sz w:val="24"/>
          <w:lang w:val="zh-CN"/>
          <w14:textFill>
            <w14:solidFill>
              <w14:schemeClr w14:val="tx1"/>
            </w14:solidFill>
          </w14:textFill>
        </w:rPr>
      </w:pPr>
      <w:bookmarkStart w:id="4" w:name="_Toc511894512"/>
      <w:bookmarkStart w:id="5" w:name="_Toc494561956"/>
      <w:bookmarkStart w:id="6" w:name="_Toc516494673"/>
      <w:bookmarkStart w:id="7" w:name="_Toc511889434"/>
      <w:r>
        <w:rPr>
          <w:rFonts w:hint="eastAsia" w:ascii="宋体" w:hAnsi="宋体"/>
          <w:b/>
          <w:bCs w:val="0"/>
          <w:color w:val="000000" w:themeColor="text1"/>
          <w:sz w:val="24"/>
          <w:lang w:val="zh-CN"/>
          <w14:textFill>
            <w14:solidFill>
              <w14:schemeClr w14:val="tx1"/>
            </w14:solidFill>
          </w14:textFill>
        </w:rPr>
        <w:t>商务要求</w:t>
      </w:r>
      <w:bookmarkEnd w:id="4"/>
      <w:bookmarkEnd w:id="5"/>
      <w:bookmarkEnd w:id="6"/>
      <w:bookmarkEnd w:id="7"/>
    </w:p>
    <w:p>
      <w:pPr>
        <w:spacing w:line="360" w:lineRule="auto"/>
        <w:ind w:firstLine="482" w:firstLineChars="200"/>
        <w:rPr>
          <w:rFonts w:ascii="宋体" w:hAnsi="宋体" w:cs="宋体"/>
          <w:b/>
          <w:sz w:val="24"/>
          <w:szCs w:val="24"/>
        </w:rPr>
      </w:pPr>
      <w:r>
        <w:rPr>
          <w:rFonts w:hint="eastAsia" w:ascii="宋体" w:hAnsi="宋体" w:cs="宋体"/>
          <w:b/>
          <w:sz w:val="24"/>
          <w:szCs w:val="24"/>
        </w:rPr>
        <w:t>说明：</w:t>
      </w:r>
    </w:p>
    <w:p>
      <w:pPr>
        <w:spacing w:line="360" w:lineRule="auto"/>
        <w:ind w:firstLine="480" w:firstLineChars="200"/>
        <w:rPr>
          <w:rFonts w:ascii="宋体" w:hAnsi="宋体" w:cs="宋体"/>
          <w:b/>
          <w:sz w:val="24"/>
          <w:szCs w:val="24"/>
        </w:rPr>
      </w:pPr>
      <w:r>
        <w:rPr>
          <w:rFonts w:hint="eastAsia" w:ascii="宋体" w:hAnsi="宋体" w:cs="宋体"/>
          <w:bCs/>
          <w:sz w:val="24"/>
          <w:szCs w:val="24"/>
        </w:rPr>
        <w:t>1）</w:t>
      </w:r>
      <w:r>
        <w:rPr>
          <w:rFonts w:hint="eastAsia" w:ascii="宋体" w:hAnsi="宋体" w:cs="宋体"/>
          <w:sz w:val="24"/>
          <w:szCs w:val="24"/>
        </w:rPr>
        <w:t>供应商在投标文件《商务要求响应、偏离说明表》中未对以下商务要求逐条说明响应或偏离情况的，其投标按照</w:t>
      </w:r>
      <w:r>
        <w:rPr>
          <w:rFonts w:hint="eastAsia" w:ascii="宋体" w:hAnsi="宋体" w:cs="宋体"/>
          <w:b/>
          <w:sz w:val="24"/>
          <w:szCs w:val="24"/>
        </w:rPr>
        <w:t>无效投标处理。</w:t>
      </w:r>
    </w:p>
    <w:p>
      <w:pPr>
        <w:numPr>
          <w:ilvl w:val="0"/>
          <w:numId w:val="0"/>
        </w:numPr>
        <w:spacing w:line="360" w:lineRule="auto"/>
        <w:ind w:firstLine="480" w:firstLineChars="200"/>
        <w:rPr>
          <w:rFonts w:hint="eastAsia" w:ascii="宋体" w:hAnsi="宋体" w:cs="宋体"/>
          <w:sz w:val="24"/>
          <w:szCs w:val="24"/>
        </w:rPr>
      </w:pPr>
      <w:r>
        <w:rPr>
          <w:rFonts w:hint="eastAsia" w:ascii="宋体" w:hAnsi="宋体" w:cs="宋体"/>
          <w:sz w:val="24"/>
          <w:szCs w:val="24"/>
        </w:rPr>
        <w:t>2）下表中标注有“</w:t>
      </w:r>
      <w:r>
        <w:rPr>
          <w:rFonts w:hint="eastAsia" w:ascii="宋体" w:hAnsi="宋体" w:cs="宋体"/>
          <w:b/>
          <w:sz w:val="24"/>
          <w:szCs w:val="24"/>
        </w:rPr>
        <w:t>※</w:t>
      </w:r>
      <w:r>
        <w:rPr>
          <w:rFonts w:hint="eastAsia" w:ascii="宋体" w:hAnsi="宋体" w:cs="宋体"/>
          <w:sz w:val="24"/>
          <w:szCs w:val="24"/>
        </w:rPr>
        <w:t>”号的条款，为</w:t>
      </w:r>
      <w:r>
        <w:rPr>
          <w:rFonts w:hint="eastAsia" w:ascii="宋体" w:hAnsi="宋体" w:cs="宋体"/>
          <w:b/>
          <w:sz w:val="24"/>
          <w:szCs w:val="24"/>
        </w:rPr>
        <w:t>第三部分“三、评分标准”</w:t>
      </w:r>
      <w:r>
        <w:rPr>
          <w:rFonts w:hint="eastAsia" w:ascii="宋体" w:hAnsi="宋体" w:cs="宋体"/>
          <w:sz w:val="24"/>
          <w:szCs w:val="24"/>
        </w:rPr>
        <w:t>中的评分内容。（★号内容不满足视为废标条款）</w:t>
      </w:r>
    </w:p>
    <w:tbl>
      <w:tblPr>
        <w:tblStyle w:val="13"/>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43"/>
        <w:gridCol w:w="551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6" w:type="dxa"/>
            <w:shd w:val="pct5" w:color="FFFFFF" w:fill="CFCEC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条款号</w:t>
            </w:r>
          </w:p>
        </w:tc>
        <w:tc>
          <w:tcPr>
            <w:tcW w:w="1343" w:type="dxa"/>
            <w:shd w:val="pct5" w:color="FFFFFF" w:fill="CFCEC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条款类型</w:t>
            </w:r>
          </w:p>
        </w:tc>
        <w:tc>
          <w:tcPr>
            <w:tcW w:w="5512" w:type="dxa"/>
            <w:shd w:val="pct5" w:color="FFFFFF" w:fill="CFCEC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条款内容</w:t>
            </w:r>
          </w:p>
        </w:tc>
        <w:tc>
          <w:tcPr>
            <w:tcW w:w="860" w:type="dxa"/>
            <w:shd w:val="pct5" w:color="FFFFFF" w:fill="CFCEC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评审点</w:t>
            </w:r>
            <w:r>
              <w:rPr>
                <w:rFonts w:hint="eastAsia" w:ascii="宋体" w:hAnsi="宋体" w:eastAsia="宋体" w:cs="宋体"/>
                <w:b/>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1343"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highlight w:val="yellow"/>
              </w:rPr>
            </w:pPr>
            <w:r>
              <w:rPr>
                <w:rFonts w:hint="eastAsia" w:ascii="宋体" w:hAnsi="宋体" w:eastAsia="宋体" w:cs="宋体"/>
                <w:b/>
                <w:bCs/>
                <w:color w:val="auto"/>
                <w:kern w:val="0"/>
                <w:sz w:val="22"/>
                <w:szCs w:val="22"/>
              </w:rPr>
              <w:t>★工期要求</w:t>
            </w:r>
          </w:p>
        </w:tc>
        <w:tc>
          <w:tcPr>
            <w:tcW w:w="5512" w:type="dxa"/>
            <w:noWrap w:val="0"/>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合同签订后30个工作日内安装调试完毕。</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1343"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★质保要求</w:t>
            </w:r>
          </w:p>
        </w:tc>
        <w:tc>
          <w:tcPr>
            <w:tcW w:w="5512" w:type="dxa"/>
            <w:noWrap w:val="0"/>
            <w:vAlign w:val="center"/>
          </w:tcPr>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验收合格后，免费质保3年</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1343"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★付款方法</w:t>
            </w:r>
          </w:p>
        </w:tc>
        <w:tc>
          <w:tcPr>
            <w:tcW w:w="5512" w:type="dxa"/>
            <w:noWrap w:val="0"/>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b/>
                <w:bCs/>
                <w:color w:val="auto"/>
                <w:kern w:val="0"/>
                <w:sz w:val="22"/>
                <w:szCs w:val="22"/>
              </w:rPr>
            </w:pPr>
            <w:r>
              <w:rPr>
                <w:rFonts w:hint="eastAsia" w:ascii="宋体" w:hAnsi="宋体" w:eastAsia="宋体" w:cs="宋体"/>
                <w:bCs/>
                <w:snapToGrid w:val="0"/>
                <w:color w:val="auto"/>
                <w:kern w:val="0"/>
                <w:sz w:val="22"/>
                <w:szCs w:val="22"/>
              </w:rPr>
              <w:t>软件安装到位，甲方凭甲乙双方共同签署的《软件部署清单》付给乙方合同总额的30%；系统安装调试完毕，甲方凭甲乙双方共同签署的《软件上线验收单》付给乙方合同总额的60%；余款合同总额的10%作为质保金，三年质保期满后的一个月内付清。</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1343"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供应商综合能力</w:t>
            </w:r>
          </w:p>
        </w:tc>
        <w:tc>
          <w:tcPr>
            <w:tcW w:w="5512" w:type="dxa"/>
            <w:noWrap w:val="0"/>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bCs/>
                <w:snapToGrid w:val="0"/>
                <w:color w:val="auto"/>
                <w:kern w:val="0"/>
                <w:sz w:val="22"/>
                <w:szCs w:val="22"/>
              </w:rPr>
              <w:t>具有软件能力成熟度集成模型CMMI3级及以上证书</w:t>
            </w:r>
            <w:r>
              <w:rPr>
                <w:rFonts w:hint="eastAsia" w:ascii="宋体" w:hAnsi="宋体" w:eastAsia="宋体" w:cs="宋体"/>
                <w:color w:val="auto"/>
                <w:kern w:val="0"/>
                <w:sz w:val="22"/>
                <w:szCs w:val="22"/>
              </w:rPr>
              <w:t>；</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6" w:type="dxa"/>
            <w:vMerge w:val="restart"/>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1343" w:type="dxa"/>
            <w:vMerge w:val="restart"/>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类似业绩</w:t>
            </w:r>
          </w:p>
        </w:tc>
        <w:tc>
          <w:tcPr>
            <w:tcW w:w="5512" w:type="dxa"/>
            <w:noWrap w:val="0"/>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bCs/>
                <w:snapToGrid w:val="0"/>
                <w:color w:val="auto"/>
                <w:kern w:val="0"/>
                <w:sz w:val="22"/>
                <w:szCs w:val="22"/>
              </w:rPr>
              <w:t>5.1承揽过类似国家医疗质量上报平台接口对接服务项目</w:t>
            </w:r>
            <w:r>
              <w:rPr>
                <w:rFonts w:hint="eastAsia" w:ascii="宋体" w:hAnsi="宋体" w:eastAsia="宋体" w:cs="宋体"/>
                <w:color w:val="auto"/>
                <w:kern w:val="0"/>
                <w:sz w:val="22"/>
                <w:szCs w:val="22"/>
              </w:rPr>
              <w:t>；</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6" w:type="dxa"/>
            <w:vMerge w:val="continu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1343" w:type="dxa"/>
            <w:vMerge w:val="continue"/>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p>
        </w:tc>
        <w:tc>
          <w:tcPr>
            <w:tcW w:w="5512" w:type="dxa"/>
            <w:noWrap w:val="0"/>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5.2 2019年以来具有类似项目业绩。</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13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center"/>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项目团队能力</w:t>
            </w:r>
          </w:p>
        </w:tc>
        <w:tc>
          <w:tcPr>
            <w:tcW w:w="551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（1）项目团队人员中有具有项目管理专业认证资质。</w:t>
            </w:r>
          </w:p>
          <w:p>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项目团队人员中有具有项目管理领域商业分析（需求分析）专业人士认证。</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（3）项目团队人员中具有疾病和手术操作分类培训合格证的。</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bCs/>
                <w:snapToGrid w:val="0"/>
                <w:color w:val="auto"/>
                <w:kern w:val="0"/>
                <w:sz w:val="22"/>
                <w:szCs w:val="22"/>
              </w:rPr>
            </w:pPr>
            <w:r>
              <w:rPr>
                <w:rFonts w:hint="eastAsia" w:ascii="宋体" w:hAnsi="宋体" w:eastAsia="宋体" w:cs="宋体"/>
                <w:bCs/>
                <w:snapToGrid w:val="0"/>
                <w:color w:val="auto"/>
                <w:kern w:val="0"/>
                <w:sz w:val="22"/>
                <w:szCs w:val="22"/>
              </w:rPr>
              <w:t>（4）项目团队人员中具有相关注册管理咨询师证书的。</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w:t>
            </w:r>
          </w:p>
        </w:tc>
        <w:tc>
          <w:tcPr>
            <w:tcW w:w="1343"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b/>
                <w:bCs/>
                <w:color w:val="auto"/>
                <w:kern w:val="0"/>
                <w:sz w:val="22"/>
                <w:szCs w:val="22"/>
              </w:rPr>
              <w:t>★</w:t>
            </w:r>
            <w:r>
              <w:rPr>
                <w:rFonts w:hint="eastAsia" w:ascii="宋体" w:hAnsi="宋体" w:eastAsia="宋体" w:cs="宋体"/>
                <w:color w:val="auto"/>
                <w:kern w:val="0"/>
                <w:sz w:val="22"/>
                <w:szCs w:val="22"/>
              </w:rPr>
              <w:t>售后服务承诺函</w:t>
            </w:r>
          </w:p>
        </w:tc>
        <w:tc>
          <w:tcPr>
            <w:tcW w:w="5512" w:type="dxa"/>
            <w:noWrap w:val="0"/>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供应商需提供售后服务承诺函，包括但不限于以下内容：</w:t>
            </w:r>
          </w:p>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（1）承诺保证在合同规定时间内上线及上线系统的平稳运行。合同签订后七日内由公司项目经理带领至少2名以上软件技术人员上门进行前期准备，包括用户培训、需求调研、数据准备等。 </w:t>
            </w:r>
          </w:p>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（2）供应商提供7×24小时</w:t>
            </w:r>
            <w:r>
              <w:rPr>
                <w:rFonts w:hint="eastAsia" w:ascii="宋体" w:hAnsi="宋体" w:eastAsia="宋体" w:cs="宋体"/>
                <w:color w:val="auto"/>
                <w:sz w:val="22"/>
                <w:szCs w:val="22"/>
              </w:rPr>
              <w:t>的热线支持，在系统发生重大故障或远程无法解决时，技术人员应2小时内到达事故现场，并应于24小时内完全解决故障。</w:t>
            </w:r>
          </w:p>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（3）实现远程网络维护，作为现场维护的补充。 </w:t>
            </w:r>
          </w:p>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（4）在项目信息系统建设中，公司必须坚持长期合作、共同发展的原则，时刻跟踪最新技术，为用户提供最先进、最实用的技术及免费补丁升级等。 </w:t>
            </w:r>
          </w:p>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（5）根据项目的具体情况，公司每年主动提出建设性的意见和方案，使得医院信息化建设不断前进和完善。 </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w:t>
            </w:r>
          </w:p>
        </w:tc>
        <w:tc>
          <w:tcPr>
            <w:tcW w:w="1343" w:type="dxa"/>
            <w:noWrap w:val="0"/>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响应文件制作情况</w:t>
            </w:r>
          </w:p>
        </w:tc>
        <w:tc>
          <w:tcPr>
            <w:tcW w:w="5512" w:type="dxa"/>
            <w:noWrap w:val="0"/>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供应商须按本文件要求编制响应文件，响应文件须目录清晰准确且与页码内容相对应、 内页有连续页码、装订成册且无散页。</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
                <w:bCs/>
                <w:color w:val="auto"/>
                <w:kern w:val="0"/>
                <w:sz w:val="22"/>
                <w:szCs w:val="22"/>
              </w:rPr>
            </w:pPr>
            <w:r>
              <w:rPr>
                <w:rFonts w:hint="eastAsia" w:ascii="宋体" w:hAnsi="宋体" w:eastAsia="宋体" w:cs="宋体"/>
                <w:b/>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c>
          <w:tcPr>
            <w:tcW w:w="1343"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highlight w:val="yellow"/>
              </w:rPr>
            </w:pPr>
            <w:r>
              <w:rPr>
                <w:rFonts w:hint="eastAsia" w:ascii="宋体" w:hAnsi="宋体" w:eastAsia="宋体" w:cs="宋体"/>
                <w:color w:val="auto"/>
                <w:kern w:val="0"/>
                <w:sz w:val="22"/>
                <w:szCs w:val="22"/>
              </w:rPr>
              <w:t>报价要求</w:t>
            </w:r>
          </w:p>
        </w:tc>
        <w:tc>
          <w:tcPr>
            <w:tcW w:w="5512" w:type="dxa"/>
            <w:noWrap w:val="0"/>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的报价应包含为完成本文件提出的软件采购、功能开通所需授权、运输、安装、软件对接、集成、调试、报检以及售后服务等全部相关工作所有可能发生的费用，即所需的一切人工、物耗、工具、设备、用水、用电、保险和调研、咨询、测试、验收、评审、培训、税金等所有可能发生的一切费用，即投标总报价为“交钥匙”价。对在合同实施过程中可能发生的其他费用（如：增加线材、辅材、耗材、材料涨价、人工、运输成本增加等因素），采购人概不负责。本文件所要求内容应视为保证系统运行所需最低要求，如有遗漏，供应商应及时予以补充。否则，将不予以付款。</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w:t>
            </w:r>
          </w:p>
        </w:tc>
        <w:tc>
          <w:tcPr>
            <w:tcW w:w="1343"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★其他要求</w:t>
            </w:r>
          </w:p>
        </w:tc>
        <w:tc>
          <w:tcPr>
            <w:tcW w:w="5512" w:type="dxa"/>
            <w:noWrap w:val="0"/>
            <w:vAlign w:val="center"/>
          </w:tcPr>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（1）免费接入阳新县人民医院的所有院区，包括城东院区、儒学院区、立交桥院区、精神病院区，其中城东院区和儒学院区一期上线，其他两院区上线时间待定，其他两院区上线与否不影响合同执行；</w:t>
            </w:r>
          </w:p>
          <w:p>
            <w:pPr>
              <w:pStyle w:val="26"/>
              <w:keepNext w:val="0"/>
              <w:keepLines w:val="0"/>
              <w:pageBreakBefore w:val="0"/>
              <w:widowControl w:val="0"/>
              <w:kinsoku/>
              <w:wordWrap/>
              <w:overflowPunct/>
              <w:topLinePunct w:val="0"/>
              <w:bidi w:val="0"/>
              <w:spacing w:beforeLines="0" w:afterLines="0" w:line="400" w:lineRule="exac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（2）免费提供历史数据治理服务，协助阳新县人民医院治理近三年病案首页数据；</w:t>
            </w:r>
          </w:p>
          <w:p>
            <w:pPr>
              <w:pStyle w:val="26"/>
              <w:keepNext w:val="0"/>
              <w:keepLines w:val="0"/>
              <w:pageBreakBefore w:val="0"/>
              <w:widowControl w:val="0"/>
              <w:kinsoku/>
              <w:wordWrap/>
              <w:overflowPunct/>
              <w:topLinePunct w:val="0"/>
              <w:bidi w:val="0"/>
              <w:spacing w:beforeLines="0" w:afterLines="0" w:line="400" w:lineRule="exac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（3）免费导出卫统四上报病案首页和HQMS上报病案首页数据。</w:t>
            </w:r>
          </w:p>
          <w:p>
            <w:pPr>
              <w:pStyle w:val="26"/>
              <w:keepNext w:val="0"/>
              <w:keepLines w:val="0"/>
              <w:pageBreakBefore w:val="0"/>
              <w:widowControl w:val="0"/>
              <w:kinsoku/>
              <w:wordWrap/>
              <w:overflowPunct/>
              <w:topLinePunct w:val="0"/>
              <w:bidi w:val="0"/>
              <w:spacing w:beforeLines="0" w:afterLines="0" w:line="400" w:lineRule="exac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（4）按照医院定制个性化报表。</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6"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11</w:t>
            </w:r>
          </w:p>
        </w:tc>
        <w:tc>
          <w:tcPr>
            <w:tcW w:w="1343"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供</w:t>
            </w:r>
            <w:r>
              <w:rPr>
                <w:rFonts w:hint="eastAsia" w:ascii="宋体" w:hAnsi="宋体" w:eastAsia="宋体" w:cs="宋体"/>
                <w:color w:val="auto"/>
                <w:kern w:val="0"/>
                <w:sz w:val="22"/>
                <w:szCs w:val="22"/>
                <w:lang w:eastAsia="zh-CN"/>
              </w:rPr>
              <w:t>货地点</w:t>
            </w:r>
          </w:p>
        </w:tc>
        <w:tc>
          <w:tcPr>
            <w:tcW w:w="5512" w:type="dxa"/>
            <w:noWrap w:val="0"/>
            <w:vAlign w:val="center"/>
          </w:tcPr>
          <w:p>
            <w:pPr>
              <w:pStyle w:val="26"/>
              <w:keepNext w:val="0"/>
              <w:keepLines w:val="0"/>
              <w:pageBreakBefore w:val="0"/>
              <w:widowControl w:val="0"/>
              <w:kinsoku/>
              <w:wordWrap/>
              <w:overflowPunct/>
              <w:topLinePunct w:val="0"/>
              <w:bidi w:val="0"/>
              <w:spacing w:beforeLines="0" w:afterLines="0" w:line="400" w:lineRule="exac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阳新县人民医院指定地点</w:t>
            </w:r>
          </w:p>
        </w:tc>
        <w:tc>
          <w:tcPr>
            <w:tcW w:w="860" w:type="dxa"/>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0"/>
                <w:sz w:val="22"/>
                <w:szCs w:val="22"/>
              </w:rPr>
            </w:pPr>
          </w:p>
        </w:tc>
      </w:tr>
    </w:tbl>
    <w:p>
      <w:pPr>
        <w:rPr>
          <w:rFonts w:hint="eastAsia" w:ascii="宋体" w:hAnsi="宋体" w:cs="宋体"/>
          <w:color w:val="000000" w:themeColor="text1"/>
          <w:kern w:val="0"/>
          <w:sz w:val="32"/>
          <w:szCs w:val="32"/>
          <w:lang w:val="en-US" w:eastAsia="zh-CN" w:bidi="ar"/>
          <w14:textFill>
            <w14:solidFill>
              <w14:schemeClr w14:val="tx1"/>
            </w14:solidFill>
          </w14:textFill>
        </w:rPr>
      </w:pPr>
      <w:r>
        <w:rPr>
          <w:rFonts w:hint="eastAsia" w:ascii="宋体" w:hAnsi="宋体" w:cs="宋体"/>
          <w:color w:val="000000" w:themeColor="text1"/>
          <w:kern w:val="0"/>
          <w:sz w:val="32"/>
          <w:szCs w:val="32"/>
          <w:lang w:val="en-US" w:eastAsia="zh-CN" w:bidi="ar"/>
          <w14:textFill>
            <w14:solidFill>
              <w14:schemeClr w14:val="tx1"/>
            </w14:solidFill>
          </w14:textFill>
        </w:rPr>
        <w:br w:type="page"/>
      </w:r>
    </w:p>
    <w:p>
      <w:pPr>
        <w:pageBreakBefore w:val="0"/>
        <w:widowControl/>
        <w:kinsoku/>
        <w:wordWrap/>
        <w:overflowPunct/>
        <w:topLinePunct w:val="0"/>
        <w:bidi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六</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评审办法及评分标准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（一）评审方法</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本次评审采用综合评分法。即满分100分，其中商务服务占</w:t>
      </w:r>
      <w:r>
        <w:rPr>
          <w:rFonts w:hint="eastAsia" w:ascii="宋体" w:hAnsi="宋体" w:cs="宋体"/>
          <w:color w:val="000000"/>
          <w:sz w:val="24"/>
          <w:szCs w:val="24"/>
          <w:lang w:val="en-US" w:eastAsia="zh-CN"/>
        </w:rPr>
        <w:t>42</w:t>
      </w:r>
      <w:r>
        <w:rPr>
          <w:rFonts w:hint="eastAsia" w:ascii="宋体" w:hAnsi="宋体" w:eastAsia="宋体" w:cs="宋体"/>
          <w:color w:val="000000"/>
          <w:sz w:val="24"/>
          <w:szCs w:val="24"/>
        </w:rPr>
        <w:t>％，技术评议占</w:t>
      </w:r>
      <w:r>
        <w:rPr>
          <w:rFonts w:hint="eastAsia" w:ascii="宋体" w:hAnsi="宋体" w:cs="宋体"/>
          <w:color w:val="000000"/>
          <w:sz w:val="24"/>
          <w:szCs w:val="24"/>
          <w:lang w:val="en-US" w:eastAsia="zh-CN"/>
        </w:rPr>
        <w:t>48</w:t>
      </w:r>
      <w:r>
        <w:rPr>
          <w:rFonts w:hint="eastAsia" w:ascii="宋体" w:hAnsi="宋体" w:eastAsia="宋体" w:cs="宋体"/>
          <w:color w:val="000000"/>
          <w:sz w:val="24"/>
          <w:szCs w:val="24"/>
        </w:rPr>
        <w:t>％，报价占10%。</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（二）评审步骤</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磋商小组对响应文件的评审分为资格性符合性检查、商务服务评议和价格评议；</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1.资格性符合性检查表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磋商小组验证各供应商代表或委托授权人的身份。供应商代表或委托授权人身份与响应文件不符的、响应文件未按要求加盖印章和签字的，磋商小组有权拒绝该供应商参加磋商。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2.商务服务评议（占</w:t>
      </w:r>
      <w:r>
        <w:rPr>
          <w:rFonts w:hint="eastAsia" w:ascii="宋体" w:hAnsi="宋体" w:cs="宋体"/>
          <w:color w:val="000000"/>
          <w:sz w:val="24"/>
          <w:szCs w:val="24"/>
          <w:lang w:val="en-US" w:eastAsia="zh-CN"/>
        </w:rPr>
        <w:t>42</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磋商小组依据“商务服务评分表”中的分值及标准进行评分。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3.技术评议（占</w:t>
      </w:r>
      <w:r>
        <w:rPr>
          <w:rFonts w:hint="eastAsia" w:ascii="宋体" w:hAnsi="宋体" w:cs="宋体"/>
          <w:color w:val="000000"/>
          <w:sz w:val="24"/>
          <w:szCs w:val="24"/>
          <w:lang w:val="en-US" w:eastAsia="zh-CN"/>
        </w:rPr>
        <w:t>48</w:t>
      </w:r>
      <w:r>
        <w:rPr>
          <w:rFonts w:hint="eastAsia" w:ascii="宋体" w:hAnsi="宋体" w:eastAsia="宋体" w:cs="宋体"/>
          <w:color w:val="000000"/>
          <w:sz w:val="24"/>
          <w:szCs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磋商小组依据“服务评分表”中的分值及标准进行评分。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4.价格评议（占10%）</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价格分采用低价优先法计算，即满足磋商文件要求且最后报价最低的供应商的价格为磋商基准价，其价格分为满分。其他供应商的价格分统一按照下列公式计算：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磋商报价得分=（磋商基准价/最后磋商报价）×10%×100</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5.推荐成交候选供应商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评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（三）资格性和符合性检查表及评分标准</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themeColor="text1"/>
          <w:kern w:val="2"/>
          <w:sz w:val="22"/>
          <w:szCs w:val="22"/>
          <w:lang w:val="en-US" w:eastAsia="zh-CN" w:bidi="ar"/>
          <w14:textFill>
            <w14:solidFill>
              <w14:schemeClr w14:val="tx1"/>
            </w14:solidFill>
          </w14:textFill>
        </w:rPr>
        <w:t>1、资格性和符合性检查表</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4"/>
        <w:gridCol w:w="5393"/>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序号</w:t>
            </w:r>
          </w:p>
        </w:tc>
        <w:tc>
          <w:tcPr>
            <w:tcW w:w="5393"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评审内容</w:t>
            </w:r>
          </w:p>
        </w:tc>
        <w:tc>
          <w:tcPr>
            <w:tcW w:w="2461"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5" w:leftChars="-51" w:right="0" w:hanging="112" w:hangingChars="51"/>
              <w:jc w:val="center"/>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1</w:t>
            </w:r>
          </w:p>
        </w:tc>
        <w:tc>
          <w:tcPr>
            <w:tcW w:w="5393"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法人或者其他组织的营业执照等证明文件，自然人的身份证明</w:t>
            </w:r>
          </w:p>
        </w:tc>
        <w:tc>
          <w:tcPr>
            <w:tcW w:w="2461"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2</w:t>
            </w:r>
          </w:p>
        </w:tc>
        <w:tc>
          <w:tcPr>
            <w:tcW w:w="5393"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财务状况审计报告（企业成立时间不足一年不适用），依法缴纳税收和社会保障资金的相关材料</w:t>
            </w:r>
          </w:p>
        </w:tc>
        <w:tc>
          <w:tcPr>
            <w:tcW w:w="2461"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3</w:t>
            </w:r>
          </w:p>
        </w:tc>
        <w:tc>
          <w:tcPr>
            <w:tcW w:w="5393"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具备履行合同所必需的设备和专业技术能力的证明材料</w:t>
            </w:r>
          </w:p>
        </w:tc>
        <w:tc>
          <w:tcPr>
            <w:tcW w:w="2461"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4</w:t>
            </w:r>
          </w:p>
        </w:tc>
        <w:tc>
          <w:tcPr>
            <w:tcW w:w="5393"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参加政府采购活动前3年内在经营活动中没有重大违法记录的书面声明</w:t>
            </w:r>
          </w:p>
        </w:tc>
        <w:tc>
          <w:tcPr>
            <w:tcW w:w="2461"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5</w:t>
            </w:r>
          </w:p>
        </w:tc>
        <w:tc>
          <w:tcPr>
            <w:tcW w:w="5393"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具备法律、行政法规规定的其他条件的证明材料</w:t>
            </w:r>
          </w:p>
        </w:tc>
        <w:tc>
          <w:tcPr>
            <w:tcW w:w="2461"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6</w:t>
            </w:r>
          </w:p>
        </w:tc>
        <w:tc>
          <w:tcPr>
            <w:tcW w:w="5393"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sz w:val="22"/>
                <w:szCs w:val="22"/>
              </w:rPr>
              <w:t>未被列入“信用中国</w:t>
            </w:r>
            <w:r>
              <w:rPr>
                <w:rFonts w:hint="eastAsia" w:ascii="宋体" w:hAnsi="宋体" w:eastAsia="宋体" w:cs="宋体"/>
                <w:color w:val="000000"/>
                <w:sz w:val="22"/>
                <w:szCs w:val="22"/>
                <w:lang w:eastAsia="zh-CN"/>
              </w:rPr>
              <w:t>网</w:t>
            </w:r>
            <w:r>
              <w:rPr>
                <w:rFonts w:hint="eastAsia" w:ascii="宋体" w:hAnsi="宋体" w:eastAsia="宋体" w:cs="宋体"/>
                <w:color w:val="000000"/>
                <w:sz w:val="22"/>
                <w:szCs w:val="22"/>
              </w:rPr>
              <w:t>”失信被执行人、重大税收违法案件当事人名单</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“中国政府采购网”政府采购严重违法失信行为记录名单</w:t>
            </w:r>
          </w:p>
        </w:tc>
        <w:tc>
          <w:tcPr>
            <w:tcW w:w="2461" w:type="dxa"/>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2"/>
                <w:szCs w:val="22"/>
                <w:lang w:val="en-US"/>
                <w14:textFill>
                  <w14:solidFill>
                    <w14:schemeClr w14:val="tx1"/>
                  </w14:solidFill>
                </w14:textFill>
              </w:rPr>
            </w:pPr>
          </w:p>
        </w:tc>
      </w:tr>
    </w:tbl>
    <w:p>
      <w:pPr>
        <w:rPr>
          <w:rFonts w:hint="eastAsia" w:ascii="宋体" w:hAnsi="宋体" w:eastAsia="宋体" w:cs="宋体"/>
          <w:sz w:val="22"/>
          <w:szCs w:val="22"/>
          <w:lang w:eastAsia="zh-CN"/>
        </w:rPr>
      </w:pPr>
      <w:bookmarkStart w:id="8" w:name="_Toc420657002"/>
      <w:bookmarkStart w:id="9" w:name="_Toc511286613"/>
    </w:p>
    <w:p>
      <w:pPr>
        <w:pStyle w:val="4"/>
        <w:widowControl/>
        <w:numPr>
          <w:ilvl w:val="0"/>
          <w:numId w:val="7"/>
        </w:numPr>
        <w:tabs>
          <w:tab w:val="left" w:pos="576"/>
        </w:tabs>
        <w:spacing w:before="0" w:beforeAutospacing="0" w:after="0" w:afterAutospacing="0" w:line="560" w:lineRule="exact"/>
        <w:ind w:left="0" w:right="0" w:firstLine="442" w:firstLineChars="200"/>
        <w:rPr>
          <w:rFonts w:hint="eastAsia" w:ascii="宋体" w:hAnsi="宋体" w:eastAsia="宋体" w:cs="宋体"/>
          <w:color w:val="000000" w:themeColor="text1"/>
          <w:kern w:val="2"/>
          <w:sz w:val="22"/>
          <w:szCs w:val="22"/>
          <w:lang w:eastAsia="zh-CN"/>
          <w14:textFill>
            <w14:solidFill>
              <w14:schemeClr w14:val="tx1"/>
            </w14:solidFill>
          </w14:textFill>
        </w:rPr>
      </w:pPr>
      <w:r>
        <w:rPr>
          <w:rFonts w:hint="eastAsia" w:ascii="宋体" w:hAnsi="宋体" w:eastAsia="宋体" w:cs="宋体"/>
          <w:color w:val="000000" w:themeColor="text1"/>
          <w:kern w:val="2"/>
          <w:sz w:val="22"/>
          <w:szCs w:val="22"/>
          <w:lang w:eastAsia="zh-CN"/>
          <w14:textFill>
            <w14:solidFill>
              <w14:schemeClr w14:val="tx1"/>
            </w14:solidFill>
          </w14:textFill>
        </w:rPr>
        <w:t>评标标准</w:t>
      </w:r>
      <w:bookmarkEnd w:id="8"/>
      <w:bookmarkEnd w:id="9"/>
    </w:p>
    <w:tbl>
      <w:tblPr>
        <w:tblStyle w:val="13"/>
        <w:tblW w:w="8542" w:type="dxa"/>
        <w:tblInd w:w="132" w:type="dxa"/>
        <w:tblLayout w:type="fixed"/>
        <w:tblCellMar>
          <w:top w:w="0" w:type="dxa"/>
          <w:left w:w="108" w:type="dxa"/>
          <w:bottom w:w="0" w:type="dxa"/>
          <w:right w:w="108" w:type="dxa"/>
        </w:tblCellMar>
      </w:tblPr>
      <w:tblGrid>
        <w:gridCol w:w="494"/>
        <w:gridCol w:w="707"/>
        <w:gridCol w:w="750"/>
        <w:gridCol w:w="6591"/>
      </w:tblGrid>
      <w:tr>
        <w:tblPrEx>
          <w:tblCellMar>
            <w:top w:w="0" w:type="dxa"/>
            <w:left w:w="108" w:type="dxa"/>
            <w:bottom w:w="0" w:type="dxa"/>
            <w:right w:w="108" w:type="dxa"/>
          </w:tblCellMar>
        </w:tblPrEx>
        <w:trPr>
          <w:trHeight w:val="252" w:hRule="atLeast"/>
        </w:trPr>
        <w:tc>
          <w:tcPr>
            <w:tcW w:w="12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kern w:val="0"/>
                <w:sz w:val="20"/>
                <w:szCs w:val="20"/>
              </w:rPr>
            </w:pPr>
            <w:r>
              <w:rPr>
                <w:rFonts w:hint="eastAsia" w:ascii="宋体" w:hAnsi="宋体" w:eastAsia="宋体" w:cs="宋体"/>
                <w:b/>
                <w:kern w:val="0"/>
                <w:sz w:val="20"/>
                <w:szCs w:val="20"/>
              </w:rPr>
              <w:t>评分项目</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kern w:val="0"/>
                <w:sz w:val="20"/>
                <w:szCs w:val="20"/>
              </w:rPr>
            </w:pPr>
            <w:r>
              <w:rPr>
                <w:rFonts w:hint="eastAsia" w:ascii="宋体" w:hAnsi="宋体" w:eastAsia="宋体" w:cs="宋体"/>
                <w:b/>
                <w:kern w:val="0"/>
                <w:sz w:val="20"/>
                <w:szCs w:val="20"/>
              </w:rPr>
              <w:t>分数</w:t>
            </w:r>
          </w:p>
        </w:tc>
        <w:tc>
          <w:tcPr>
            <w:tcW w:w="65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kern w:val="0"/>
                <w:sz w:val="20"/>
                <w:szCs w:val="20"/>
              </w:rPr>
            </w:pPr>
            <w:r>
              <w:rPr>
                <w:rFonts w:hint="eastAsia" w:ascii="宋体" w:hAnsi="宋体" w:eastAsia="宋体" w:cs="宋体"/>
                <w:b/>
                <w:kern w:val="0"/>
                <w:sz w:val="20"/>
                <w:szCs w:val="20"/>
              </w:rPr>
              <w:t>评 分 标 准</w:t>
            </w:r>
          </w:p>
        </w:tc>
      </w:tr>
      <w:tr>
        <w:tblPrEx>
          <w:tblCellMar>
            <w:top w:w="0" w:type="dxa"/>
            <w:left w:w="108" w:type="dxa"/>
            <w:bottom w:w="0" w:type="dxa"/>
            <w:right w:w="108" w:type="dxa"/>
          </w:tblCellMar>
        </w:tblPrEx>
        <w:trPr>
          <w:trHeight w:val="1031" w:hRule="atLeast"/>
        </w:trPr>
        <w:tc>
          <w:tcPr>
            <w:tcW w:w="12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kern w:val="0"/>
                <w:sz w:val="20"/>
                <w:szCs w:val="20"/>
              </w:rPr>
            </w:pPr>
            <w:r>
              <w:rPr>
                <w:rFonts w:hint="eastAsia" w:ascii="宋体" w:hAnsi="宋体" w:eastAsia="宋体" w:cs="宋体"/>
                <w:b/>
                <w:bCs/>
                <w:kern w:val="0"/>
                <w:sz w:val="20"/>
                <w:szCs w:val="20"/>
                <w:lang w:bidi="ar"/>
              </w:rPr>
              <w:t>报价部分</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kern w:val="0"/>
                <w:sz w:val="20"/>
                <w:szCs w:val="20"/>
              </w:rPr>
            </w:pPr>
            <w:r>
              <w:rPr>
                <w:rFonts w:hint="eastAsia" w:ascii="宋体" w:hAnsi="宋体" w:eastAsia="宋体" w:cs="宋体"/>
                <w:b/>
                <w:bCs/>
                <w:kern w:val="0"/>
                <w:sz w:val="20"/>
                <w:szCs w:val="20"/>
                <w:lang w:bidi="ar"/>
              </w:rPr>
              <w:t>10</w:t>
            </w:r>
          </w:p>
        </w:tc>
        <w:tc>
          <w:tcPr>
            <w:tcW w:w="659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rPr>
            </w:pPr>
            <w:r>
              <w:rPr>
                <w:rFonts w:hint="eastAsia" w:ascii="Calibri" w:hAnsi="Calibri" w:eastAsia="宋体" w:cs="宋体"/>
                <w:kern w:val="2"/>
                <w:sz w:val="20"/>
                <w:szCs w:val="20"/>
                <w:lang w:val="en-US" w:eastAsia="zh-CN" w:bidi="ar"/>
              </w:rPr>
              <w:t>价格分采用低价优先法计算，即满足磋商文件要求且最后报价最低的供应商的价格为磋商基准价，其价格分为满分。其他供应商的价格分统一按照下列公式计算：报价得分</w:t>
            </w:r>
            <w:r>
              <w:rPr>
                <w:rFonts w:hint="default" w:ascii="Calibri" w:hAnsi="Calibri" w:eastAsia="宋体" w:cs="Calibri"/>
                <w:kern w:val="2"/>
                <w:sz w:val="20"/>
                <w:szCs w:val="20"/>
                <w:lang w:val="en-US" w:eastAsia="zh-CN" w:bidi="ar"/>
              </w:rPr>
              <w:t>=(</w:t>
            </w:r>
            <w:r>
              <w:rPr>
                <w:rFonts w:hint="eastAsia" w:ascii="Calibri" w:hAnsi="Calibri" w:eastAsia="宋体" w:cs="宋体"/>
                <w:kern w:val="2"/>
                <w:sz w:val="20"/>
                <w:szCs w:val="20"/>
                <w:lang w:val="en-US" w:eastAsia="zh-CN" w:bidi="ar"/>
              </w:rPr>
              <w:t>评标基准价／投标报价</w:t>
            </w:r>
            <w:r>
              <w:rPr>
                <w:rFonts w:hint="default" w:ascii="Calibri" w:hAnsi="Calibri" w:eastAsia="宋体" w:cs="Calibri"/>
                <w:kern w:val="2"/>
                <w:sz w:val="20"/>
                <w:szCs w:val="20"/>
                <w:lang w:val="en-US" w:eastAsia="zh-CN" w:bidi="ar"/>
              </w:rPr>
              <w:t>)</w:t>
            </w:r>
            <w:r>
              <w:rPr>
                <w:rFonts w:hint="eastAsia" w:ascii="Calibri" w:hAnsi="Calibri" w:eastAsia="宋体" w:cs="宋体"/>
                <w:kern w:val="2"/>
                <w:sz w:val="20"/>
                <w:szCs w:val="20"/>
                <w:lang w:val="en-US" w:eastAsia="zh-CN" w:bidi="ar"/>
              </w:rPr>
              <w:t>×</w:t>
            </w:r>
            <w:r>
              <w:rPr>
                <w:rFonts w:hint="default" w:ascii="Calibri" w:hAnsi="Calibri" w:eastAsia="宋体" w:cs="Calibri"/>
                <w:kern w:val="2"/>
                <w:sz w:val="20"/>
                <w:szCs w:val="20"/>
                <w:lang w:val="en-US" w:eastAsia="zh-CN" w:bidi="ar"/>
              </w:rPr>
              <w:t>10%</w:t>
            </w:r>
            <w:r>
              <w:rPr>
                <w:rFonts w:hint="eastAsia" w:ascii="Calibri" w:hAnsi="Calibri" w:eastAsia="宋体" w:cs="宋体"/>
                <w:kern w:val="2"/>
                <w:sz w:val="20"/>
                <w:szCs w:val="20"/>
                <w:lang w:val="en-US" w:eastAsia="zh-CN" w:bidi="ar"/>
              </w:rPr>
              <w:t>×</w:t>
            </w:r>
            <w:r>
              <w:rPr>
                <w:rFonts w:hint="default" w:ascii="Calibri" w:hAnsi="Calibri" w:eastAsia="宋体" w:cs="Calibri"/>
                <w:kern w:val="2"/>
                <w:sz w:val="20"/>
                <w:szCs w:val="20"/>
                <w:lang w:val="en-US" w:eastAsia="zh-CN" w:bidi="ar"/>
              </w:rPr>
              <w:t xml:space="preserve">100  </w:t>
            </w:r>
            <w:r>
              <w:rPr>
                <w:rFonts w:hint="eastAsia" w:ascii="Calibri" w:hAnsi="Calibri" w:eastAsia="宋体" w:cs="宋体"/>
                <w:kern w:val="2"/>
                <w:sz w:val="20"/>
                <w:szCs w:val="20"/>
                <w:lang w:val="en-US" w:eastAsia="zh-CN" w:bidi="ar"/>
              </w:rPr>
              <w:t>计算时保留两位小数。</w:t>
            </w:r>
          </w:p>
        </w:tc>
      </w:tr>
      <w:tr>
        <w:tblPrEx>
          <w:tblCellMar>
            <w:top w:w="0" w:type="dxa"/>
            <w:left w:w="108" w:type="dxa"/>
            <w:bottom w:w="0" w:type="dxa"/>
            <w:right w:w="108" w:type="dxa"/>
          </w:tblCellMar>
        </w:tblPrEx>
        <w:trPr>
          <w:trHeight w:val="701" w:hRule="atLeast"/>
        </w:trPr>
        <w:tc>
          <w:tcPr>
            <w:tcW w:w="494"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r>
              <w:rPr>
                <w:rFonts w:hint="eastAsia" w:ascii="宋体" w:hAnsi="宋体" w:eastAsia="宋体" w:cs="宋体"/>
                <w:b/>
                <w:kern w:val="0"/>
                <w:sz w:val="20"/>
                <w:szCs w:val="20"/>
              </w:rPr>
              <w:t>技术部分</w:t>
            </w:r>
            <w:r>
              <w:rPr>
                <w:rFonts w:hint="eastAsia" w:ascii="宋体" w:hAnsi="宋体" w:eastAsia="宋体" w:cs="宋体"/>
                <w:b/>
                <w:kern w:val="0"/>
                <w:sz w:val="20"/>
                <w:szCs w:val="20"/>
                <w:lang w:val="en-US" w:eastAsia="zh-CN"/>
              </w:rPr>
              <w:t>4</w:t>
            </w:r>
            <w:r>
              <w:rPr>
                <w:rFonts w:hint="eastAsia" w:ascii="宋体" w:hAnsi="宋体" w:eastAsia="宋体" w:cs="宋体"/>
                <w:b/>
                <w:kern w:val="0"/>
                <w:sz w:val="20"/>
                <w:szCs w:val="20"/>
              </w:rPr>
              <w:t>8分</w:t>
            </w:r>
          </w:p>
        </w:tc>
        <w:tc>
          <w:tcPr>
            <w:tcW w:w="707" w:type="dxa"/>
            <w:tcBorders>
              <w:top w:val="single" w:color="auto" w:sz="4" w:space="0"/>
              <w:left w:val="nil"/>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left"/>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系统功能及演示</w:t>
            </w:r>
          </w:p>
          <w:p>
            <w:pPr>
              <w:keepNext w:val="0"/>
              <w:keepLines w:val="0"/>
              <w:suppressLineNumbers w:val="0"/>
              <w:autoSpaceDE w:val="0"/>
              <w:autoSpaceDN w:val="0"/>
              <w:adjustRightInd w:val="0"/>
              <w:snapToGrid w:val="0"/>
              <w:spacing w:before="0" w:beforeAutospacing="0" w:after="0" w:afterAutospacing="0" w:line="360" w:lineRule="exact"/>
              <w:ind w:left="0" w:right="0"/>
              <w:jc w:val="left"/>
              <w:textAlignment w:val="center"/>
              <w:rPr>
                <w:rFonts w:hint="eastAsia" w:ascii="宋体" w:hAnsi="宋体" w:eastAsia="宋体" w:cs="宋体"/>
                <w:sz w:val="20"/>
                <w:szCs w:val="20"/>
              </w:rPr>
            </w:pPr>
          </w:p>
        </w:tc>
        <w:tc>
          <w:tcPr>
            <w:tcW w:w="750" w:type="dxa"/>
            <w:tcBorders>
              <w:top w:val="nil"/>
              <w:left w:val="nil"/>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kern w:val="0"/>
                <w:sz w:val="20"/>
                <w:szCs w:val="20"/>
                <w:lang w:bidi="ar"/>
              </w:rPr>
            </w:pPr>
            <w:r>
              <w:rPr>
                <w:rFonts w:hint="eastAsia" w:ascii="宋体" w:hAnsi="宋体" w:eastAsia="宋体" w:cs="宋体"/>
                <w:bCs/>
                <w:snapToGrid w:val="0"/>
                <w:kern w:val="0"/>
                <w:sz w:val="20"/>
                <w:szCs w:val="20"/>
              </w:rPr>
              <w:t>33</w:t>
            </w:r>
          </w:p>
        </w:tc>
        <w:tc>
          <w:tcPr>
            <w:tcW w:w="6591" w:type="dxa"/>
            <w:tcBorders>
              <w:top w:val="nil"/>
              <w:left w:val="nil"/>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firstLine="200" w:firstLineChars="100"/>
              <w:jc w:val="left"/>
              <w:textAlignment w:val="center"/>
              <w:rPr>
                <w:rFonts w:hint="eastAsia" w:ascii="宋体" w:hAnsi="宋体" w:eastAsia="宋体" w:cs="宋体"/>
                <w:sz w:val="20"/>
                <w:szCs w:val="20"/>
              </w:rPr>
            </w:pPr>
            <w:r>
              <w:rPr>
                <w:rFonts w:hint="eastAsia" w:ascii="宋体" w:hAnsi="宋体" w:eastAsia="宋体" w:cs="宋体"/>
                <w:sz w:val="20"/>
                <w:szCs w:val="20"/>
              </w:rPr>
              <w:t>所演示的系统功能指标或响应文件中的技术资料（无法演示的技术要求必须在响应文件中体现）全部符合本文件</w:t>
            </w:r>
            <w:bookmarkStart w:id="10" w:name="_GoBack"/>
            <w:bookmarkEnd w:id="10"/>
            <w:r>
              <w:rPr>
                <w:rFonts w:hint="eastAsia" w:ascii="宋体" w:hAnsi="宋体" w:eastAsia="宋体" w:cs="宋体"/>
                <w:sz w:val="20"/>
                <w:szCs w:val="20"/>
              </w:rPr>
              <w:t>要求得33分，带“</w:t>
            </w:r>
            <w:r>
              <w:rPr>
                <w:rFonts w:hint="eastAsia" w:ascii="宋体" w:hAnsi="宋体" w:eastAsia="宋体" w:cs="宋体"/>
                <w:b/>
                <w:sz w:val="20"/>
                <w:szCs w:val="20"/>
              </w:rPr>
              <w:t>※</w:t>
            </w:r>
            <w:r>
              <w:rPr>
                <w:rFonts w:hint="eastAsia" w:ascii="宋体" w:hAnsi="宋体" w:eastAsia="宋体" w:cs="宋体"/>
                <w:sz w:val="20"/>
                <w:szCs w:val="20"/>
              </w:rPr>
              <w:t>”号的重要功能指标有负偏离的，每一项扣</w:t>
            </w:r>
            <w:r>
              <w:rPr>
                <w:rFonts w:hint="eastAsia" w:ascii="宋体" w:hAnsi="宋体" w:eastAsia="宋体" w:cs="宋体"/>
                <w:sz w:val="20"/>
                <w:szCs w:val="20"/>
                <w:lang w:val="en-US" w:eastAsia="zh-CN"/>
              </w:rPr>
              <w:t>2</w:t>
            </w:r>
            <w:r>
              <w:rPr>
                <w:rFonts w:hint="eastAsia" w:ascii="宋体" w:hAnsi="宋体" w:eastAsia="宋体" w:cs="宋体"/>
                <w:sz w:val="20"/>
                <w:szCs w:val="20"/>
              </w:rPr>
              <w:t>分，未带“</w:t>
            </w:r>
            <w:r>
              <w:rPr>
                <w:rFonts w:hint="eastAsia" w:ascii="宋体" w:hAnsi="宋体" w:eastAsia="宋体" w:cs="宋体"/>
                <w:b/>
                <w:sz w:val="20"/>
                <w:szCs w:val="20"/>
              </w:rPr>
              <w:t>※</w:t>
            </w:r>
            <w:r>
              <w:rPr>
                <w:rFonts w:hint="eastAsia" w:ascii="宋体" w:hAnsi="宋体" w:eastAsia="宋体" w:cs="宋体"/>
                <w:sz w:val="20"/>
                <w:szCs w:val="20"/>
              </w:rPr>
              <w:t>”号的一般性功能指标有负偏离的，每一项扣</w:t>
            </w:r>
            <w:r>
              <w:rPr>
                <w:rFonts w:hint="eastAsia" w:ascii="宋体" w:hAnsi="宋体" w:eastAsia="宋体" w:cs="宋体"/>
                <w:sz w:val="20"/>
                <w:szCs w:val="20"/>
                <w:lang w:val="en-US" w:eastAsia="zh-CN"/>
              </w:rPr>
              <w:t>1</w:t>
            </w:r>
            <w:r>
              <w:rPr>
                <w:rFonts w:hint="eastAsia" w:ascii="宋体" w:hAnsi="宋体" w:eastAsia="宋体" w:cs="宋体"/>
                <w:sz w:val="20"/>
                <w:szCs w:val="20"/>
              </w:rPr>
              <w:t>分。扣完为止。</w:t>
            </w:r>
          </w:p>
          <w:p>
            <w:pPr>
              <w:keepNext w:val="0"/>
              <w:keepLines w:val="0"/>
              <w:suppressLineNumbers w:val="0"/>
              <w:autoSpaceDE w:val="0"/>
              <w:autoSpaceDN w:val="0"/>
              <w:adjustRightInd w:val="0"/>
              <w:snapToGrid w:val="0"/>
              <w:spacing w:before="0" w:beforeAutospacing="0" w:after="0" w:afterAutospacing="0" w:line="360" w:lineRule="exact"/>
              <w:ind w:left="0" w:right="0" w:firstLine="201" w:firstLineChars="100"/>
              <w:jc w:val="left"/>
              <w:textAlignment w:val="center"/>
              <w:rPr>
                <w:rFonts w:hint="eastAsia" w:ascii="宋体" w:hAnsi="宋体" w:eastAsia="宋体" w:cs="宋体"/>
                <w:b/>
                <w:bCs/>
                <w:sz w:val="20"/>
                <w:szCs w:val="20"/>
              </w:rPr>
            </w:pPr>
            <w:r>
              <w:rPr>
                <w:rFonts w:hint="eastAsia" w:ascii="宋体" w:hAnsi="宋体" w:eastAsia="宋体" w:cs="宋体"/>
                <w:b/>
                <w:bCs/>
                <w:sz w:val="20"/>
                <w:szCs w:val="20"/>
              </w:rPr>
              <w:t>注：1、评审专家根据供应商系统演示的各项功能介绍以及响应文件中所体现的技术资料是否满足本文件的采购需求来评定，全部满足的得满分，有偏离的根据上述标准进行扣分。</w:t>
            </w:r>
          </w:p>
          <w:p>
            <w:pPr>
              <w:keepNext w:val="0"/>
              <w:keepLines w:val="0"/>
              <w:suppressLineNumbers w:val="0"/>
              <w:autoSpaceDE w:val="0"/>
              <w:autoSpaceDN w:val="0"/>
              <w:adjustRightInd w:val="0"/>
              <w:snapToGrid w:val="0"/>
              <w:spacing w:before="0" w:beforeAutospacing="0" w:after="0" w:afterAutospacing="0" w:line="360" w:lineRule="exact"/>
              <w:ind w:left="0" w:right="0" w:firstLine="201" w:firstLineChars="100"/>
              <w:jc w:val="left"/>
              <w:textAlignment w:val="center"/>
              <w:rPr>
                <w:rFonts w:hint="eastAsia" w:ascii="宋体" w:hAnsi="宋体" w:eastAsia="宋体" w:cs="宋体"/>
                <w:b/>
                <w:bCs/>
                <w:sz w:val="20"/>
                <w:szCs w:val="20"/>
              </w:rPr>
            </w:pPr>
            <w:r>
              <w:rPr>
                <w:rFonts w:hint="eastAsia" w:ascii="宋体" w:hAnsi="宋体" w:eastAsia="宋体" w:cs="宋体"/>
                <w:b/>
                <w:bCs/>
                <w:sz w:val="20"/>
                <w:szCs w:val="20"/>
              </w:rPr>
              <w:t>2、供应商采用PPT方式演示或视频演示（评审现场网络进行了屏蔽，各供应商的演示素材请使用无需网络支持版本，演示所需设备各供应商自备）。</w:t>
            </w:r>
          </w:p>
          <w:p>
            <w:pPr>
              <w:keepNext w:val="0"/>
              <w:keepLines w:val="0"/>
              <w:suppressLineNumbers w:val="0"/>
              <w:autoSpaceDE w:val="0"/>
              <w:autoSpaceDN w:val="0"/>
              <w:adjustRightInd w:val="0"/>
              <w:snapToGrid w:val="0"/>
              <w:spacing w:before="0" w:beforeAutospacing="0" w:after="0" w:afterAutospacing="0" w:line="360" w:lineRule="exact"/>
              <w:ind w:left="0" w:right="0" w:firstLine="201" w:firstLineChars="100"/>
              <w:textAlignment w:val="center"/>
              <w:rPr>
                <w:rFonts w:hint="eastAsia" w:ascii="宋体" w:hAnsi="宋体" w:eastAsia="宋体" w:cs="宋体"/>
                <w:sz w:val="20"/>
                <w:szCs w:val="20"/>
              </w:rPr>
            </w:pPr>
            <w:r>
              <w:rPr>
                <w:rFonts w:hint="eastAsia" w:ascii="宋体" w:hAnsi="宋体" w:eastAsia="宋体" w:cs="宋体"/>
                <w:b/>
                <w:bCs/>
                <w:snapToGrid w:val="0"/>
                <w:kern w:val="0"/>
                <w:sz w:val="20"/>
                <w:szCs w:val="20"/>
              </w:rPr>
              <w:t>3、双分组器不计入此项评分。</w:t>
            </w:r>
          </w:p>
        </w:tc>
      </w:tr>
      <w:tr>
        <w:tblPrEx>
          <w:tblCellMar>
            <w:top w:w="0" w:type="dxa"/>
            <w:left w:w="108" w:type="dxa"/>
            <w:bottom w:w="0" w:type="dxa"/>
            <w:right w:w="108" w:type="dxa"/>
          </w:tblCellMar>
        </w:tblPrEx>
        <w:trPr>
          <w:trHeight w:val="701" w:hRule="atLeast"/>
        </w:trPr>
        <w:tc>
          <w:tcPr>
            <w:tcW w:w="4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tc>
        <w:tc>
          <w:tcPr>
            <w:tcW w:w="707" w:type="dxa"/>
            <w:tcBorders>
              <w:top w:val="single" w:color="auto" w:sz="4" w:space="0"/>
              <w:left w:val="nil"/>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双分组器</w:t>
            </w:r>
          </w:p>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sz w:val="20"/>
                <w:szCs w:val="20"/>
              </w:rPr>
            </w:pPr>
          </w:p>
        </w:tc>
        <w:tc>
          <w:tcPr>
            <w:tcW w:w="750" w:type="dxa"/>
            <w:tcBorders>
              <w:top w:val="nil"/>
              <w:left w:val="nil"/>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kern w:val="0"/>
                <w:sz w:val="20"/>
                <w:szCs w:val="20"/>
                <w:lang w:bidi="ar"/>
              </w:rPr>
            </w:pPr>
            <w:r>
              <w:rPr>
                <w:rFonts w:hint="eastAsia" w:ascii="宋体" w:hAnsi="宋体" w:eastAsia="宋体" w:cs="宋体"/>
                <w:bCs/>
                <w:snapToGrid w:val="0"/>
                <w:kern w:val="0"/>
                <w:sz w:val="20"/>
                <w:szCs w:val="20"/>
              </w:rPr>
              <w:t>5</w:t>
            </w:r>
          </w:p>
        </w:tc>
        <w:tc>
          <w:tcPr>
            <w:tcW w:w="6591" w:type="dxa"/>
            <w:tcBorders>
              <w:top w:val="nil"/>
              <w:left w:val="nil"/>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left"/>
              <w:textAlignment w:val="center"/>
              <w:rPr>
                <w:rFonts w:hint="eastAsia" w:ascii="宋体" w:hAnsi="宋体" w:eastAsia="宋体" w:cs="宋体"/>
                <w:sz w:val="20"/>
                <w:szCs w:val="20"/>
              </w:rPr>
            </w:pPr>
            <w:r>
              <w:rPr>
                <w:rFonts w:hint="eastAsia" w:ascii="宋体" w:hAnsi="宋体" w:eastAsia="宋体" w:cs="宋体"/>
                <w:bCs/>
                <w:snapToGrid w:val="0"/>
                <w:kern w:val="0"/>
                <w:sz w:val="20"/>
                <w:szCs w:val="20"/>
              </w:rPr>
              <w:t>提供符合国家相关部门【包含但不限于：卫健主管部门（CN-DRG）、医保主管部门（CHS-DRG）】要求的双版本分组器，可满足在病案科及临床医生端等不同场景的使用，并可随国家相应政策变化而调整，满足得5分，不满足不得分。</w:t>
            </w:r>
          </w:p>
        </w:tc>
      </w:tr>
      <w:tr>
        <w:tblPrEx>
          <w:tblCellMar>
            <w:top w:w="0" w:type="dxa"/>
            <w:left w:w="108" w:type="dxa"/>
            <w:bottom w:w="0" w:type="dxa"/>
            <w:right w:w="108" w:type="dxa"/>
          </w:tblCellMar>
        </w:tblPrEx>
        <w:trPr>
          <w:trHeight w:val="1880" w:hRule="atLeast"/>
        </w:trPr>
        <w:tc>
          <w:tcPr>
            <w:tcW w:w="4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tc>
        <w:tc>
          <w:tcPr>
            <w:tcW w:w="707" w:type="dxa"/>
            <w:tcBorders>
              <w:top w:val="single" w:color="auto" w:sz="4" w:space="0"/>
              <w:left w:val="nil"/>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both"/>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整体方案设计</w:t>
            </w:r>
          </w:p>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kern w:val="0"/>
                <w:sz w:val="20"/>
                <w:szCs w:val="20"/>
              </w:rPr>
            </w:pPr>
          </w:p>
        </w:tc>
        <w:tc>
          <w:tcPr>
            <w:tcW w:w="750" w:type="dxa"/>
            <w:tcBorders>
              <w:top w:val="nil"/>
              <w:left w:val="nil"/>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kern w:val="0"/>
                <w:sz w:val="20"/>
                <w:szCs w:val="20"/>
                <w:lang w:bidi="ar"/>
              </w:rPr>
            </w:pPr>
            <w:r>
              <w:rPr>
                <w:rFonts w:hint="eastAsia" w:ascii="宋体" w:hAnsi="宋体" w:eastAsia="宋体" w:cs="宋体"/>
                <w:bCs/>
                <w:snapToGrid w:val="0"/>
                <w:kern w:val="0"/>
                <w:sz w:val="20"/>
                <w:szCs w:val="20"/>
              </w:rPr>
              <w:t>8</w:t>
            </w:r>
          </w:p>
        </w:tc>
        <w:tc>
          <w:tcPr>
            <w:tcW w:w="6591" w:type="dxa"/>
            <w:tcBorders>
              <w:top w:val="nil"/>
              <w:left w:val="nil"/>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left"/>
              <w:textAlignment w:val="center"/>
              <w:rPr>
                <w:rFonts w:hint="eastAsia" w:ascii="宋体" w:hAnsi="宋体" w:eastAsia="宋体" w:cs="宋体"/>
                <w:sz w:val="20"/>
                <w:szCs w:val="20"/>
              </w:rPr>
            </w:pPr>
            <w:r>
              <w:rPr>
                <w:rFonts w:hint="eastAsia" w:ascii="宋体" w:hAnsi="宋体" w:eastAsia="宋体" w:cs="宋体"/>
                <w:bCs/>
                <w:snapToGrid w:val="0"/>
                <w:kern w:val="0"/>
                <w:sz w:val="20"/>
                <w:szCs w:val="20"/>
              </w:rPr>
              <w:t>供应商项目工作思路清晰、总体工作架构设计完整、响应性好、可操作性强的得</w:t>
            </w:r>
            <w:r>
              <w:rPr>
                <w:rFonts w:hint="eastAsia" w:ascii="宋体" w:hAnsi="宋体" w:eastAsia="宋体" w:cs="宋体"/>
                <w:bCs/>
                <w:snapToGrid w:val="0"/>
                <w:kern w:val="0"/>
                <w:sz w:val="20"/>
                <w:szCs w:val="20"/>
                <w:lang w:val="en-US" w:eastAsia="zh-CN"/>
              </w:rPr>
              <w:t>8</w:t>
            </w:r>
            <w:r>
              <w:rPr>
                <w:rFonts w:hint="eastAsia" w:ascii="宋体" w:hAnsi="宋体" w:eastAsia="宋体" w:cs="宋体"/>
                <w:bCs/>
                <w:snapToGrid w:val="0"/>
                <w:kern w:val="0"/>
                <w:sz w:val="20"/>
                <w:szCs w:val="20"/>
              </w:rPr>
              <w:t>分；供应商工作思路基本清晰、总体工作架构设计基本完整无重大缺漏、有一定响应性、可操作性较强的得</w:t>
            </w:r>
            <w:r>
              <w:rPr>
                <w:rFonts w:hint="eastAsia" w:ascii="宋体" w:hAnsi="宋体" w:eastAsia="宋体" w:cs="宋体"/>
                <w:bCs/>
                <w:snapToGrid w:val="0"/>
                <w:kern w:val="0"/>
                <w:sz w:val="20"/>
                <w:szCs w:val="20"/>
                <w:lang w:val="en-US" w:eastAsia="zh-CN"/>
              </w:rPr>
              <w:t>6</w:t>
            </w:r>
            <w:r>
              <w:rPr>
                <w:rFonts w:hint="eastAsia" w:ascii="宋体" w:hAnsi="宋体" w:eastAsia="宋体" w:cs="宋体"/>
                <w:bCs/>
                <w:snapToGrid w:val="0"/>
                <w:kern w:val="0"/>
                <w:sz w:val="20"/>
                <w:szCs w:val="20"/>
              </w:rPr>
              <w:t>分；供应商工作思路模糊、总体工作架构设计有较大缺漏、响应性差、可操作性不强的得</w:t>
            </w:r>
            <w:r>
              <w:rPr>
                <w:rFonts w:hint="eastAsia" w:ascii="宋体" w:hAnsi="宋体" w:eastAsia="宋体" w:cs="宋体"/>
                <w:bCs/>
                <w:snapToGrid w:val="0"/>
                <w:kern w:val="0"/>
                <w:sz w:val="20"/>
                <w:szCs w:val="20"/>
                <w:lang w:val="en-US" w:eastAsia="zh-CN"/>
              </w:rPr>
              <w:t>4</w:t>
            </w:r>
            <w:r>
              <w:rPr>
                <w:rFonts w:hint="eastAsia" w:ascii="宋体" w:hAnsi="宋体" w:eastAsia="宋体" w:cs="宋体"/>
                <w:bCs/>
                <w:snapToGrid w:val="0"/>
                <w:kern w:val="0"/>
                <w:sz w:val="20"/>
                <w:szCs w:val="20"/>
              </w:rPr>
              <w:t>分，没有提供或提供内容与项目无关不得分。</w:t>
            </w:r>
          </w:p>
        </w:tc>
      </w:tr>
      <w:tr>
        <w:tblPrEx>
          <w:tblCellMar>
            <w:top w:w="0" w:type="dxa"/>
            <w:left w:w="108" w:type="dxa"/>
            <w:bottom w:w="0" w:type="dxa"/>
            <w:right w:w="108" w:type="dxa"/>
          </w:tblCellMar>
        </w:tblPrEx>
        <w:trPr>
          <w:trHeight w:val="722" w:hRule="atLeast"/>
        </w:trPr>
        <w:tc>
          <w:tcPr>
            <w:tcW w:w="4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tc>
        <w:tc>
          <w:tcPr>
            <w:tcW w:w="707" w:type="dxa"/>
            <w:tcBorders>
              <w:top w:val="single" w:color="auto" w:sz="4" w:space="0"/>
              <w:left w:val="nil"/>
              <w:right w:val="single" w:color="000000"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sz w:val="20"/>
                <w:szCs w:val="20"/>
              </w:rPr>
            </w:pPr>
            <w:r>
              <w:rPr>
                <w:rFonts w:hint="eastAsia" w:ascii="宋体" w:hAnsi="宋体" w:eastAsia="宋体" w:cs="宋体"/>
                <w:sz w:val="20"/>
                <w:szCs w:val="20"/>
              </w:rPr>
              <w:t>验收方案</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659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cs="宋体"/>
                <w:sz w:val="20"/>
                <w:szCs w:val="20"/>
              </w:rPr>
            </w:pPr>
            <w:r>
              <w:rPr>
                <w:rFonts w:hint="eastAsia" w:ascii="宋体" w:hAnsi="宋体" w:eastAsia="宋体" w:cs="宋体"/>
                <w:sz w:val="20"/>
                <w:szCs w:val="20"/>
              </w:rPr>
              <w:t>有针对性的验收方案计划，且合理可行的得</w:t>
            </w:r>
            <w:r>
              <w:rPr>
                <w:rFonts w:hint="eastAsia" w:ascii="宋体" w:hAnsi="宋体" w:eastAsia="宋体" w:cs="宋体"/>
                <w:sz w:val="20"/>
                <w:szCs w:val="20"/>
                <w:lang w:val="en-US" w:eastAsia="zh-CN"/>
              </w:rPr>
              <w:t>2</w:t>
            </w:r>
            <w:r>
              <w:rPr>
                <w:rFonts w:hint="eastAsia" w:ascii="宋体" w:hAnsi="宋体" w:eastAsia="宋体" w:cs="宋体"/>
                <w:sz w:val="20"/>
                <w:szCs w:val="20"/>
              </w:rPr>
              <w:t>分，未提供的此项不得分。</w:t>
            </w:r>
          </w:p>
        </w:tc>
      </w:tr>
      <w:tr>
        <w:tblPrEx>
          <w:tblCellMar>
            <w:top w:w="0" w:type="dxa"/>
            <w:left w:w="108" w:type="dxa"/>
            <w:bottom w:w="0" w:type="dxa"/>
            <w:right w:w="108" w:type="dxa"/>
          </w:tblCellMar>
        </w:tblPrEx>
        <w:trPr>
          <w:trHeight w:val="353" w:hRule="atLeast"/>
        </w:trPr>
        <w:tc>
          <w:tcPr>
            <w:tcW w:w="494" w:type="dxa"/>
            <w:vMerge w:val="restart"/>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r>
              <w:rPr>
                <w:rFonts w:hint="eastAsia" w:ascii="宋体" w:hAnsi="宋体" w:eastAsia="宋体" w:cs="宋体"/>
                <w:b/>
                <w:kern w:val="0"/>
                <w:sz w:val="20"/>
                <w:szCs w:val="20"/>
              </w:rPr>
              <w:t>商务部分</w:t>
            </w:r>
            <w:r>
              <w:rPr>
                <w:rFonts w:hint="eastAsia" w:ascii="宋体" w:hAnsi="宋体" w:eastAsia="宋体" w:cs="宋体"/>
                <w:b/>
                <w:kern w:val="0"/>
                <w:sz w:val="20"/>
                <w:szCs w:val="20"/>
                <w:lang w:val="en-US" w:eastAsia="zh-CN"/>
              </w:rPr>
              <w:t>4</w:t>
            </w:r>
            <w:r>
              <w:rPr>
                <w:rFonts w:hint="eastAsia" w:ascii="宋体" w:hAnsi="宋体" w:eastAsia="宋体" w:cs="宋体"/>
                <w:b/>
                <w:kern w:val="0"/>
                <w:sz w:val="20"/>
                <w:szCs w:val="20"/>
              </w:rPr>
              <w:t>2分</w:t>
            </w:r>
          </w:p>
        </w:tc>
        <w:tc>
          <w:tcPr>
            <w:tcW w:w="707" w:type="dxa"/>
            <w:tcBorders>
              <w:top w:val="single" w:color="auto" w:sz="4" w:space="0"/>
              <w:left w:val="nil"/>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0"/>
                <w:szCs w:val="20"/>
              </w:rPr>
            </w:pPr>
            <w:r>
              <w:rPr>
                <w:rFonts w:hint="eastAsia" w:ascii="宋体" w:hAnsi="宋体" w:eastAsia="宋体" w:cs="宋体"/>
                <w:sz w:val="20"/>
                <w:szCs w:val="20"/>
              </w:rPr>
              <w:t>项目业绩</w:t>
            </w:r>
          </w:p>
          <w:p>
            <w:pPr>
              <w:keepNext w:val="0"/>
              <w:keepLines w:val="0"/>
              <w:suppressLineNumbers w:val="0"/>
              <w:spacing w:before="0" w:beforeAutospacing="0" w:after="0" w:afterAutospacing="0" w:line="360" w:lineRule="exact"/>
              <w:ind w:left="0" w:right="0"/>
              <w:jc w:val="left"/>
              <w:rPr>
                <w:rFonts w:hint="eastAsia" w:ascii="宋体" w:hAnsi="宋体" w:eastAsia="宋体" w:cs="宋体"/>
                <w:sz w:val="20"/>
                <w:szCs w:val="20"/>
              </w:rPr>
            </w:pPr>
          </w:p>
        </w:tc>
        <w:tc>
          <w:tcPr>
            <w:tcW w:w="750" w:type="dxa"/>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0"/>
                <w:szCs w:val="20"/>
              </w:rPr>
            </w:pPr>
            <w:r>
              <w:rPr>
                <w:rFonts w:hint="eastAsia" w:ascii="宋体" w:hAnsi="宋体" w:eastAsia="宋体" w:cs="宋体"/>
                <w:sz w:val="20"/>
                <w:szCs w:val="20"/>
              </w:rPr>
              <w:t>8</w:t>
            </w:r>
          </w:p>
        </w:tc>
        <w:tc>
          <w:tcPr>
            <w:tcW w:w="659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cs="宋体"/>
                <w:sz w:val="20"/>
                <w:szCs w:val="20"/>
              </w:rPr>
            </w:pPr>
            <w:r>
              <w:rPr>
                <w:rFonts w:hint="eastAsia" w:ascii="宋体" w:hAnsi="宋体" w:eastAsia="宋体" w:cs="宋体"/>
                <w:sz w:val="20"/>
                <w:szCs w:val="20"/>
              </w:rPr>
              <w:t>供应商近几年（2019年1月至今）承揽过类似本项目的业绩，每提供1个得2分，最高得8分，没有不得分。</w:t>
            </w:r>
          </w:p>
          <w:p>
            <w:pPr>
              <w:keepNext w:val="0"/>
              <w:keepLines w:val="0"/>
              <w:suppressLineNumbers w:val="0"/>
              <w:spacing w:before="0" w:beforeAutospacing="0" w:after="0" w:afterAutospacing="0" w:line="360" w:lineRule="exact"/>
              <w:ind w:left="0" w:right="0"/>
              <w:jc w:val="left"/>
              <w:rPr>
                <w:rFonts w:hint="eastAsia" w:ascii="宋体" w:hAnsi="宋体" w:eastAsia="宋体" w:cs="宋体"/>
                <w:sz w:val="20"/>
                <w:szCs w:val="20"/>
              </w:rPr>
            </w:pPr>
            <w:r>
              <w:rPr>
                <w:rFonts w:hint="eastAsia" w:ascii="宋体" w:hAnsi="宋体" w:eastAsia="宋体" w:cs="宋体"/>
                <w:sz w:val="20"/>
                <w:szCs w:val="20"/>
              </w:rPr>
              <w:t>注：【供应商需提供项目案例的中标通知书或合同或相关证明文件资料原件复印件并加盖公章（以中标时间或合同签订时间为准）】。</w:t>
            </w:r>
          </w:p>
        </w:tc>
      </w:tr>
      <w:tr>
        <w:tblPrEx>
          <w:tblCellMar>
            <w:top w:w="0" w:type="dxa"/>
            <w:left w:w="108" w:type="dxa"/>
            <w:bottom w:w="0" w:type="dxa"/>
            <w:right w:w="108" w:type="dxa"/>
          </w:tblCellMar>
        </w:tblPrEx>
        <w:trPr>
          <w:trHeight w:val="658" w:hRule="atLeast"/>
        </w:trPr>
        <w:tc>
          <w:tcPr>
            <w:tcW w:w="4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tc>
        <w:tc>
          <w:tcPr>
            <w:tcW w:w="707" w:type="dxa"/>
            <w:tcBorders>
              <w:top w:val="single" w:color="auto" w:sz="4" w:space="0"/>
              <w:left w:val="nil"/>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0"/>
                <w:szCs w:val="20"/>
              </w:rPr>
            </w:pPr>
            <w:r>
              <w:rPr>
                <w:rFonts w:hint="eastAsia" w:ascii="宋体" w:hAnsi="宋体" w:eastAsia="宋体" w:cs="宋体"/>
                <w:bCs/>
                <w:snapToGrid w:val="0"/>
                <w:kern w:val="0"/>
                <w:sz w:val="20"/>
                <w:szCs w:val="20"/>
              </w:rPr>
              <w:t>服务能力</w:t>
            </w:r>
          </w:p>
        </w:tc>
        <w:tc>
          <w:tcPr>
            <w:tcW w:w="750" w:type="dxa"/>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0"/>
                <w:szCs w:val="20"/>
              </w:rPr>
            </w:pPr>
            <w:r>
              <w:rPr>
                <w:rFonts w:hint="eastAsia" w:ascii="宋体" w:hAnsi="宋体" w:eastAsia="宋体" w:cs="宋体"/>
                <w:sz w:val="20"/>
                <w:szCs w:val="20"/>
              </w:rPr>
              <w:t>2</w:t>
            </w:r>
          </w:p>
        </w:tc>
        <w:tc>
          <w:tcPr>
            <w:tcW w:w="659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cs="宋体"/>
                <w:sz w:val="20"/>
                <w:szCs w:val="20"/>
              </w:rPr>
            </w:pPr>
            <w:r>
              <w:rPr>
                <w:rFonts w:hint="eastAsia" w:ascii="宋体" w:hAnsi="宋体" w:eastAsia="宋体" w:cs="宋体"/>
                <w:bCs/>
                <w:snapToGrid w:val="0"/>
                <w:kern w:val="0"/>
                <w:sz w:val="20"/>
                <w:szCs w:val="20"/>
              </w:rPr>
              <w:t>供应商具有软件能力成熟度集成模型</w:t>
            </w:r>
            <w:r>
              <w:rPr>
                <w:rFonts w:hint="eastAsia" w:ascii="宋体" w:hAnsi="宋体" w:eastAsia="宋体" w:cs="宋体"/>
                <w:sz w:val="20"/>
                <w:szCs w:val="20"/>
              </w:rPr>
              <w:t>CMMI3及以上认证得2分，通过CMMI2、CMMI1得1分。</w:t>
            </w:r>
          </w:p>
        </w:tc>
      </w:tr>
      <w:tr>
        <w:tblPrEx>
          <w:tblCellMar>
            <w:top w:w="0" w:type="dxa"/>
            <w:left w:w="108" w:type="dxa"/>
            <w:bottom w:w="0" w:type="dxa"/>
            <w:right w:w="108" w:type="dxa"/>
          </w:tblCellMar>
        </w:tblPrEx>
        <w:trPr>
          <w:trHeight w:val="1051" w:hRule="atLeast"/>
        </w:trPr>
        <w:tc>
          <w:tcPr>
            <w:tcW w:w="4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tc>
        <w:tc>
          <w:tcPr>
            <w:tcW w:w="707" w:type="dxa"/>
            <w:tcBorders>
              <w:top w:val="single" w:color="auto" w:sz="4" w:space="0"/>
              <w:left w:val="nil"/>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质控规则</w:t>
            </w:r>
          </w:p>
          <w:p>
            <w:pPr>
              <w:keepNext w:val="0"/>
              <w:keepLines w:val="0"/>
              <w:suppressLineNumbers w:val="0"/>
              <w:autoSpaceDE w:val="0"/>
              <w:autoSpaceDN w:val="0"/>
              <w:adjustRightInd w:val="0"/>
              <w:snapToGrid w:val="0"/>
              <w:spacing w:before="0" w:beforeAutospacing="0" w:after="0" w:afterAutospacing="0" w:line="360" w:lineRule="exact"/>
              <w:ind w:left="0" w:right="0"/>
              <w:jc w:val="left"/>
              <w:textAlignment w:val="center"/>
              <w:rPr>
                <w:rFonts w:hint="eastAsia" w:ascii="宋体" w:hAnsi="宋体" w:eastAsia="宋体" w:cs="宋体"/>
                <w:bCs/>
                <w:snapToGrid w:val="0"/>
                <w:kern w:val="0"/>
                <w:sz w:val="20"/>
                <w:szCs w:val="20"/>
              </w:rPr>
            </w:pPr>
          </w:p>
        </w:tc>
        <w:tc>
          <w:tcPr>
            <w:tcW w:w="750" w:type="dxa"/>
            <w:tcBorders>
              <w:top w:val="single" w:color="auto" w:sz="4" w:space="0"/>
              <w:left w:val="nil"/>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sz w:val="20"/>
                <w:szCs w:val="20"/>
              </w:rPr>
            </w:pPr>
            <w:r>
              <w:rPr>
                <w:rFonts w:hint="eastAsia" w:ascii="宋体" w:hAnsi="宋体" w:eastAsia="宋体" w:cs="宋体"/>
                <w:bCs/>
                <w:snapToGrid w:val="0"/>
                <w:kern w:val="0"/>
                <w:sz w:val="20"/>
                <w:szCs w:val="20"/>
              </w:rPr>
              <w:t>5</w:t>
            </w:r>
          </w:p>
        </w:tc>
        <w:tc>
          <w:tcPr>
            <w:tcW w:w="6591" w:type="dxa"/>
            <w:tcBorders>
              <w:top w:val="nil"/>
              <w:left w:val="nil"/>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left"/>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质控规则经过相关医院病案科验证，提供名单与质控规则修改内容的认证材料（包含但不限于医院名称和姓名），每提供一家医院得0.5分，最多得5分。只提供名单，无法提供认证材料的不得分。</w:t>
            </w:r>
          </w:p>
        </w:tc>
      </w:tr>
      <w:tr>
        <w:tblPrEx>
          <w:tblCellMar>
            <w:top w:w="0" w:type="dxa"/>
            <w:left w:w="108" w:type="dxa"/>
            <w:bottom w:w="0" w:type="dxa"/>
            <w:right w:w="108" w:type="dxa"/>
          </w:tblCellMar>
        </w:tblPrEx>
        <w:trPr>
          <w:trHeight w:val="833" w:hRule="atLeast"/>
        </w:trPr>
        <w:tc>
          <w:tcPr>
            <w:tcW w:w="4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tc>
        <w:tc>
          <w:tcPr>
            <w:tcW w:w="707" w:type="dxa"/>
            <w:tcBorders>
              <w:top w:val="single" w:color="auto" w:sz="4" w:space="0"/>
              <w:left w:val="nil"/>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培训方案</w:t>
            </w:r>
          </w:p>
        </w:tc>
        <w:tc>
          <w:tcPr>
            <w:tcW w:w="750" w:type="dxa"/>
            <w:tcBorders>
              <w:top w:val="single" w:color="auto" w:sz="4" w:space="0"/>
              <w:left w:val="nil"/>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8</w:t>
            </w:r>
          </w:p>
        </w:tc>
        <w:tc>
          <w:tcPr>
            <w:tcW w:w="6591" w:type="dxa"/>
            <w:tcBorders>
              <w:top w:val="nil"/>
              <w:left w:val="nil"/>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left"/>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供应商提供针对本项目涉及的系统使用组织用户开展现场集中培训方案，</w:t>
            </w:r>
            <w:r>
              <w:rPr>
                <w:rFonts w:hint="eastAsia" w:ascii="宋体" w:hAnsi="宋体" w:eastAsia="宋体" w:cs="宋体"/>
                <w:sz w:val="20"/>
                <w:szCs w:val="20"/>
              </w:rPr>
              <w:t>方案科学、合理、针对性强</w:t>
            </w:r>
            <w:r>
              <w:rPr>
                <w:rFonts w:hint="eastAsia" w:ascii="宋体" w:hAnsi="宋体" w:eastAsia="宋体" w:cs="宋体"/>
                <w:sz w:val="20"/>
                <w:szCs w:val="20"/>
                <w:lang w:val="en-US" w:eastAsia="zh-CN"/>
              </w:rPr>
              <w:t>8</w:t>
            </w:r>
            <w:r>
              <w:rPr>
                <w:rFonts w:hint="eastAsia" w:ascii="宋体" w:hAnsi="宋体" w:eastAsia="宋体" w:cs="宋体"/>
                <w:sz w:val="20"/>
                <w:szCs w:val="20"/>
              </w:rPr>
              <w:t>分；合理、可行得</w:t>
            </w:r>
            <w:r>
              <w:rPr>
                <w:rFonts w:hint="eastAsia" w:ascii="宋体" w:hAnsi="宋体" w:eastAsia="宋体" w:cs="宋体"/>
                <w:sz w:val="20"/>
                <w:szCs w:val="20"/>
                <w:lang w:val="en-US" w:eastAsia="zh-CN"/>
              </w:rPr>
              <w:t>5</w:t>
            </w:r>
            <w:r>
              <w:rPr>
                <w:rFonts w:hint="eastAsia" w:ascii="宋体" w:hAnsi="宋体" w:eastAsia="宋体" w:cs="宋体"/>
                <w:sz w:val="20"/>
                <w:szCs w:val="20"/>
              </w:rPr>
              <w:t>分；欠合理，基本可行得</w:t>
            </w:r>
            <w:r>
              <w:rPr>
                <w:rFonts w:hint="eastAsia" w:ascii="宋体" w:hAnsi="宋体" w:eastAsia="宋体" w:cs="宋体"/>
                <w:sz w:val="20"/>
                <w:szCs w:val="20"/>
                <w:lang w:val="en-US" w:eastAsia="zh-CN"/>
              </w:rPr>
              <w:t>3</w:t>
            </w:r>
            <w:r>
              <w:rPr>
                <w:rFonts w:hint="eastAsia" w:ascii="宋体" w:hAnsi="宋体" w:eastAsia="宋体" w:cs="宋体"/>
                <w:sz w:val="20"/>
                <w:szCs w:val="20"/>
              </w:rPr>
              <w:t>分</w:t>
            </w:r>
            <w:r>
              <w:rPr>
                <w:rFonts w:hint="eastAsia" w:ascii="宋体" w:hAnsi="宋体" w:eastAsia="宋体" w:cs="宋体"/>
                <w:bCs/>
                <w:snapToGrid w:val="0"/>
                <w:kern w:val="0"/>
                <w:sz w:val="20"/>
                <w:szCs w:val="20"/>
              </w:rPr>
              <w:t>，不提供不得分。</w:t>
            </w:r>
          </w:p>
        </w:tc>
      </w:tr>
      <w:tr>
        <w:tblPrEx>
          <w:tblCellMar>
            <w:top w:w="0" w:type="dxa"/>
            <w:left w:w="108" w:type="dxa"/>
            <w:bottom w:w="0" w:type="dxa"/>
            <w:right w:w="108" w:type="dxa"/>
          </w:tblCellMar>
        </w:tblPrEx>
        <w:trPr>
          <w:trHeight w:val="662" w:hRule="atLeast"/>
        </w:trPr>
        <w:tc>
          <w:tcPr>
            <w:tcW w:w="4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b/>
                <w:kern w:val="0"/>
                <w:sz w:val="20"/>
                <w:szCs w:val="20"/>
              </w:rPr>
            </w:pPr>
          </w:p>
        </w:tc>
        <w:tc>
          <w:tcPr>
            <w:tcW w:w="707" w:type="dxa"/>
            <w:vMerge w:val="restart"/>
            <w:tcBorders>
              <w:top w:val="single" w:color="auto" w:sz="4" w:space="0"/>
              <w:left w:val="nil"/>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项目团队</w:t>
            </w:r>
          </w:p>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kern w:val="0"/>
                <w:sz w:val="20"/>
                <w:szCs w:val="20"/>
              </w:rPr>
            </w:pPr>
          </w:p>
        </w:tc>
        <w:tc>
          <w:tcPr>
            <w:tcW w:w="750"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Cs/>
                <w:snapToGrid w:val="0"/>
                <w:kern w:val="0"/>
                <w:sz w:val="20"/>
                <w:szCs w:val="20"/>
              </w:rPr>
            </w:pPr>
            <w:r>
              <w:rPr>
                <w:rFonts w:hint="eastAsia" w:ascii="宋体" w:hAnsi="宋体" w:eastAsia="宋体" w:cs="宋体"/>
                <w:kern w:val="0"/>
                <w:sz w:val="20"/>
                <w:szCs w:val="20"/>
                <w:lang w:bidi="ar"/>
              </w:rPr>
              <w:t>2</w:t>
            </w:r>
          </w:p>
        </w:tc>
        <w:tc>
          <w:tcPr>
            <w:tcW w:w="659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bCs/>
                <w:snapToGrid w:val="0"/>
                <w:kern w:val="0"/>
                <w:sz w:val="20"/>
                <w:szCs w:val="20"/>
              </w:rPr>
            </w:pPr>
            <w:r>
              <w:rPr>
                <w:rFonts w:hint="eastAsia" w:ascii="宋体" w:hAnsi="宋体" w:eastAsia="宋体" w:cs="宋体"/>
                <w:sz w:val="20"/>
                <w:szCs w:val="20"/>
              </w:rPr>
              <w:t>供应商详细列明拟投入本项目的团队人员，且人员安排计划内容详细、有针对性的得2分，其次得1分。未提供的不得分。</w:t>
            </w:r>
          </w:p>
        </w:tc>
      </w:tr>
      <w:tr>
        <w:tblPrEx>
          <w:tblCellMar>
            <w:top w:w="0" w:type="dxa"/>
            <w:left w:w="108" w:type="dxa"/>
            <w:bottom w:w="0" w:type="dxa"/>
            <w:right w:w="108" w:type="dxa"/>
          </w:tblCellMar>
        </w:tblPrEx>
        <w:trPr>
          <w:trHeight w:val="838" w:hRule="atLeast"/>
        </w:trPr>
        <w:tc>
          <w:tcPr>
            <w:tcW w:w="494"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rPr>
            </w:pPr>
          </w:p>
        </w:tc>
        <w:tc>
          <w:tcPr>
            <w:tcW w:w="707" w:type="dxa"/>
            <w:vMerge w:val="continue"/>
            <w:tcBorders>
              <w:left w:val="nil"/>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kern w:val="0"/>
                <w:sz w:val="20"/>
                <w:szCs w:val="20"/>
              </w:rPr>
            </w:pPr>
          </w:p>
        </w:tc>
        <w:tc>
          <w:tcPr>
            <w:tcW w:w="750" w:type="dxa"/>
            <w:tcBorders>
              <w:top w:val="single" w:color="auto" w:sz="4" w:space="0"/>
              <w:left w:val="nil"/>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kern w:val="0"/>
                <w:sz w:val="20"/>
                <w:szCs w:val="20"/>
                <w:lang w:bidi="ar"/>
              </w:rPr>
            </w:pPr>
            <w:r>
              <w:rPr>
                <w:rFonts w:hint="eastAsia" w:ascii="宋体" w:hAnsi="宋体" w:eastAsia="宋体" w:cs="宋体"/>
                <w:bCs/>
                <w:snapToGrid w:val="0"/>
                <w:kern w:val="0"/>
                <w:sz w:val="20"/>
                <w:szCs w:val="20"/>
              </w:rPr>
              <w:t>8</w:t>
            </w:r>
          </w:p>
        </w:tc>
        <w:tc>
          <w:tcPr>
            <w:tcW w:w="65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textAlignment w:val="center"/>
              <w:rPr>
                <w:rFonts w:hint="eastAsia" w:ascii="宋体" w:hAnsi="宋体" w:eastAsia="宋体" w:cs="宋体"/>
                <w:sz w:val="20"/>
                <w:szCs w:val="20"/>
              </w:rPr>
            </w:pPr>
            <w:r>
              <w:rPr>
                <w:rFonts w:hint="eastAsia" w:ascii="宋体" w:hAnsi="宋体" w:eastAsia="宋体" w:cs="宋体"/>
                <w:bCs/>
                <w:snapToGrid w:val="0"/>
                <w:kern w:val="0"/>
                <w:sz w:val="20"/>
                <w:szCs w:val="20"/>
              </w:rPr>
              <w:t>供应商拟派项目团队人员中具有相关专业认证的每个得1分，最多得8。</w:t>
            </w:r>
            <w:r>
              <w:rPr>
                <w:rFonts w:hint="eastAsia" w:ascii="宋体" w:hAnsi="宋体" w:eastAsia="宋体" w:cs="宋体"/>
                <w:b/>
                <w:snapToGrid w:val="0"/>
                <w:kern w:val="0"/>
                <w:sz w:val="20"/>
                <w:szCs w:val="20"/>
              </w:rPr>
              <w:t>注：1、响应文件中须附证书复印件作为证明材料，没有证明材料不得分。2、1人持多项证书不重复得分。3、需要提供项目团队人员社保证明材料。</w:t>
            </w:r>
          </w:p>
        </w:tc>
      </w:tr>
      <w:tr>
        <w:tblPrEx>
          <w:tblCellMar>
            <w:top w:w="0" w:type="dxa"/>
            <w:left w:w="108" w:type="dxa"/>
            <w:bottom w:w="0" w:type="dxa"/>
            <w:right w:w="108" w:type="dxa"/>
          </w:tblCellMar>
        </w:tblPrEx>
        <w:trPr>
          <w:trHeight w:val="838" w:hRule="atLeast"/>
        </w:trPr>
        <w:tc>
          <w:tcPr>
            <w:tcW w:w="494"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rPr>
            </w:pPr>
          </w:p>
        </w:tc>
        <w:tc>
          <w:tcPr>
            <w:tcW w:w="707" w:type="dxa"/>
            <w:tcBorders>
              <w:top w:val="single" w:color="auto" w:sz="4" w:space="0"/>
              <w:left w:val="nil"/>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kern w:val="0"/>
                <w:sz w:val="20"/>
                <w:szCs w:val="20"/>
              </w:rPr>
            </w:pPr>
            <w:r>
              <w:rPr>
                <w:rFonts w:hint="eastAsia" w:ascii="宋体" w:hAnsi="宋体" w:eastAsia="宋体" w:cs="宋体"/>
                <w:bCs/>
                <w:snapToGrid w:val="0"/>
                <w:kern w:val="0"/>
                <w:sz w:val="20"/>
                <w:szCs w:val="20"/>
              </w:rPr>
              <w:t>售后服务</w:t>
            </w:r>
          </w:p>
        </w:tc>
        <w:tc>
          <w:tcPr>
            <w:tcW w:w="750" w:type="dxa"/>
            <w:tcBorders>
              <w:top w:val="single" w:color="auto" w:sz="4" w:space="0"/>
              <w:left w:val="nil"/>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textAlignment w:val="center"/>
              <w:rPr>
                <w:rFonts w:hint="eastAsia" w:ascii="宋体" w:hAnsi="宋体" w:eastAsia="宋体" w:cs="宋体"/>
                <w:bCs/>
                <w:snapToGrid w:val="0"/>
                <w:kern w:val="0"/>
                <w:sz w:val="20"/>
                <w:szCs w:val="20"/>
              </w:rPr>
            </w:pPr>
            <w:r>
              <w:rPr>
                <w:rFonts w:hint="eastAsia" w:ascii="宋体" w:hAnsi="宋体" w:eastAsia="宋体" w:cs="宋体"/>
                <w:bCs/>
                <w:snapToGrid w:val="0"/>
                <w:kern w:val="0"/>
                <w:sz w:val="20"/>
                <w:szCs w:val="20"/>
              </w:rPr>
              <w:t>7</w:t>
            </w:r>
          </w:p>
        </w:tc>
        <w:tc>
          <w:tcPr>
            <w:tcW w:w="6591" w:type="dxa"/>
            <w:tcBorders>
              <w:top w:val="single" w:color="auto" w:sz="4" w:space="0"/>
              <w:left w:val="nil"/>
              <w:bottom w:val="single" w:color="auto" w:sz="4" w:space="0"/>
              <w:right w:val="single" w:color="auto" w:sz="4" w:space="0"/>
            </w:tcBorders>
            <w:vAlign w:val="center"/>
          </w:tcPr>
          <w:p>
            <w:pPr>
              <w:keepNext w:val="0"/>
              <w:keepLines w:val="0"/>
              <w:numPr>
                <w:ilvl w:val="0"/>
                <w:numId w:val="8"/>
              </w:numPr>
              <w:suppressLineNumbers w:val="0"/>
              <w:spacing w:before="0" w:beforeAutospacing="0" w:after="0" w:afterAutospacing="0" w:line="360" w:lineRule="exact"/>
              <w:ind w:left="0" w:right="0"/>
              <w:rPr>
                <w:rFonts w:hint="eastAsia" w:ascii="宋体" w:hAnsi="宋体" w:eastAsia="宋体" w:cs="宋体"/>
                <w:sz w:val="20"/>
                <w:szCs w:val="20"/>
              </w:rPr>
            </w:pPr>
            <w:r>
              <w:rPr>
                <w:rFonts w:hint="eastAsia" w:ascii="宋体" w:hAnsi="宋体" w:eastAsia="宋体" w:cs="宋体"/>
                <w:sz w:val="20"/>
                <w:szCs w:val="20"/>
              </w:rPr>
              <w:t>供应商提供售后服务方案</w:t>
            </w:r>
            <w:r>
              <w:rPr>
                <w:rFonts w:hint="eastAsia" w:ascii="宋体" w:hAnsi="宋体" w:eastAsia="宋体" w:cs="宋体"/>
                <w:sz w:val="20"/>
                <w:szCs w:val="20"/>
                <w:lang w:eastAsia="zh-CN"/>
              </w:rPr>
              <w:t>，</w:t>
            </w:r>
            <w:r>
              <w:rPr>
                <w:rFonts w:ascii="宋体" w:hAnsi="宋体" w:eastAsia="宋体" w:cs="宋体"/>
                <w:sz w:val="20"/>
                <w:szCs w:val="20"/>
              </w:rPr>
              <w:t>方案科学、合理、针对性强</w:t>
            </w:r>
            <w:r>
              <w:rPr>
                <w:rFonts w:hint="eastAsia" w:ascii="宋体" w:hAnsi="宋体" w:cs="宋体"/>
                <w:sz w:val="20"/>
                <w:szCs w:val="20"/>
                <w:lang w:val="en-US" w:eastAsia="zh-CN"/>
              </w:rPr>
              <w:t>3</w:t>
            </w:r>
            <w:r>
              <w:rPr>
                <w:rFonts w:ascii="宋体" w:hAnsi="宋体" w:eastAsia="宋体" w:cs="宋体"/>
                <w:sz w:val="20"/>
                <w:szCs w:val="20"/>
              </w:rPr>
              <w:t>分；合理、可行得</w:t>
            </w:r>
            <w:r>
              <w:rPr>
                <w:rFonts w:hint="eastAsia" w:ascii="宋体" w:hAnsi="宋体" w:cs="宋体"/>
                <w:sz w:val="20"/>
                <w:szCs w:val="20"/>
                <w:lang w:val="en-US" w:eastAsia="zh-CN"/>
              </w:rPr>
              <w:t>2分</w:t>
            </w:r>
            <w:r>
              <w:rPr>
                <w:rFonts w:ascii="宋体" w:hAnsi="宋体" w:eastAsia="宋体" w:cs="宋体"/>
                <w:sz w:val="20"/>
                <w:szCs w:val="20"/>
              </w:rPr>
              <w:t>；欠合理，基本可行得</w:t>
            </w:r>
            <w:r>
              <w:rPr>
                <w:rFonts w:hint="eastAsia" w:ascii="宋体" w:hAnsi="宋体" w:cs="宋体"/>
                <w:sz w:val="20"/>
                <w:szCs w:val="20"/>
                <w:lang w:val="en-US" w:eastAsia="zh-CN"/>
              </w:rPr>
              <w:t>1</w:t>
            </w:r>
            <w:r>
              <w:rPr>
                <w:rFonts w:ascii="宋体" w:hAnsi="宋体" w:eastAsia="宋体" w:cs="宋体"/>
                <w:sz w:val="20"/>
                <w:szCs w:val="20"/>
              </w:rPr>
              <w:t>分</w:t>
            </w:r>
            <w:r>
              <w:rPr>
                <w:rFonts w:hint="eastAsia" w:ascii="宋体" w:hAnsi="宋体" w:eastAsia="宋体" w:cs="宋体"/>
                <w:bCs/>
                <w:snapToGrid w:val="0"/>
                <w:kern w:val="0"/>
                <w:sz w:val="20"/>
                <w:szCs w:val="20"/>
              </w:rPr>
              <w:t>，</w:t>
            </w:r>
            <w:r>
              <w:rPr>
                <w:rFonts w:hint="eastAsia" w:ascii="宋体" w:hAnsi="宋体" w:eastAsia="宋体" w:cs="宋体"/>
                <w:sz w:val="20"/>
                <w:szCs w:val="20"/>
              </w:rPr>
              <w:t>未提供不得分。</w:t>
            </w:r>
          </w:p>
          <w:p>
            <w:pPr>
              <w:keepNext w:val="0"/>
              <w:keepLines w:val="0"/>
              <w:numPr>
                <w:ilvl w:val="0"/>
                <w:numId w:val="8"/>
              </w:numPr>
              <w:suppressLineNumbers w:val="0"/>
              <w:spacing w:before="0" w:beforeAutospacing="0" w:after="0" w:afterAutospacing="0" w:line="360" w:lineRule="exact"/>
              <w:ind w:left="0" w:right="0"/>
              <w:rPr>
                <w:rFonts w:hint="eastAsia" w:ascii="宋体" w:hAnsi="宋体" w:eastAsia="宋体" w:cs="宋体"/>
                <w:sz w:val="20"/>
                <w:szCs w:val="20"/>
              </w:rPr>
            </w:pPr>
            <w:r>
              <w:rPr>
                <w:rFonts w:hint="eastAsia" w:ascii="宋体" w:hAnsi="宋体" w:eastAsia="宋体" w:cs="宋体"/>
                <w:sz w:val="20"/>
                <w:szCs w:val="20"/>
              </w:rPr>
              <w:t>为保证系统的稳定性，承诺系统上线后能无条件提供驻场维护的得</w:t>
            </w:r>
            <w:r>
              <w:rPr>
                <w:rFonts w:hint="eastAsia" w:ascii="宋体" w:hAnsi="宋体" w:eastAsia="宋体" w:cs="宋体"/>
                <w:sz w:val="20"/>
                <w:szCs w:val="20"/>
                <w:lang w:val="en-US" w:eastAsia="zh-CN"/>
              </w:rPr>
              <w:t>2</w:t>
            </w:r>
            <w:r>
              <w:rPr>
                <w:rFonts w:hint="eastAsia" w:ascii="宋体" w:hAnsi="宋体" w:eastAsia="宋体" w:cs="宋体"/>
                <w:sz w:val="20"/>
                <w:szCs w:val="20"/>
              </w:rPr>
              <w:t>分，未承诺不得分。</w:t>
            </w:r>
          </w:p>
          <w:p>
            <w:pPr>
              <w:keepNext w:val="0"/>
              <w:keepLines w:val="0"/>
              <w:suppressLineNumbers w:val="0"/>
              <w:spacing w:before="0" w:beforeAutospacing="0" w:after="0" w:afterAutospacing="0" w:line="360" w:lineRule="exact"/>
              <w:ind w:left="0" w:right="0"/>
              <w:rPr>
                <w:rFonts w:hint="eastAsia" w:ascii="宋体" w:hAnsi="宋体" w:eastAsia="宋体" w:cs="宋体"/>
                <w:b/>
                <w:snapToGrid w:val="0"/>
                <w:kern w:val="0"/>
                <w:sz w:val="20"/>
                <w:szCs w:val="20"/>
              </w:rPr>
            </w:pPr>
            <w:r>
              <w:rPr>
                <w:rFonts w:hint="eastAsia" w:ascii="宋体" w:hAnsi="宋体" w:eastAsia="宋体" w:cs="宋体"/>
                <w:sz w:val="20"/>
                <w:szCs w:val="20"/>
              </w:rPr>
              <w:t>3、供应商能提供应急服务响应承诺，应急措施合理、可行，有针对性的得</w:t>
            </w:r>
            <w:r>
              <w:rPr>
                <w:rFonts w:hint="eastAsia" w:ascii="宋体" w:hAnsi="宋体" w:eastAsia="宋体" w:cs="宋体"/>
                <w:sz w:val="20"/>
                <w:szCs w:val="20"/>
                <w:lang w:val="en-US" w:eastAsia="zh-CN"/>
              </w:rPr>
              <w:t>2</w:t>
            </w:r>
            <w:r>
              <w:rPr>
                <w:rFonts w:hint="eastAsia" w:ascii="宋体" w:hAnsi="宋体" w:eastAsia="宋体" w:cs="宋体"/>
                <w:sz w:val="20"/>
                <w:szCs w:val="20"/>
              </w:rPr>
              <w:t>分，未提供承诺的不得分。</w:t>
            </w:r>
          </w:p>
        </w:tc>
      </w:tr>
      <w:tr>
        <w:tblPrEx>
          <w:tblCellMar>
            <w:top w:w="0" w:type="dxa"/>
            <w:left w:w="108" w:type="dxa"/>
            <w:bottom w:w="0" w:type="dxa"/>
            <w:right w:w="108" w:type="dxa"/>
          </w:tblCellMar>
        </w:tblPrEx>
        <w:trPr>
          <w:trHeight w:val="838" w:hRule="atLeast"/>
        </w:trPr>
        <w:tc>
          <w:tcPr>
            <w:tcW w:w="494"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rPr>
            </w:pPr>
          </w:p>
        </w:tc>
        <w:tc>
          <w:tcPr>
            <w:tcW w:w="707" w:type="dxa"/>
            <w:tcBorders>
              <w:top w:val="single" w:color="auto" w:sz="4" w:space="0"/>
              <w:left w:val="nil"/>
              <w:right w:val="single" w:color="000000"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sz w:val="20"/>
                <w:szCs w:val="20"/>
              </w:rPr>
            </w:pPr>
            <w:r>
              <w:rPr>
                <w:rFonts w:hint="eastAsia" w:ascii="宋体" w:hAnsi="宋体" w:eastAsia="宋体" w:cs="宋体"/>
                <w:sz w:val="20"/>
                <w:szCs w:val="20"/>
              </w:rPr>
              <w:t>响应文件制作</w:t>
            </w: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200" w:firstLineChars="100"/>
              <w:rPr>
                <w:rFonts w:hint="eastAsia" w:ascii="宋体" w:hAnsi="宋体" w:eastAsia="宋体" w:cs="宋体"/>
                <w:sz w:val="20"/>
                <w:szCs w:val="20"/>
              </w:rPr>
            </w:pPr>
            <w:r>
              <w:rPr>
                <w:rFonts w:hint="eastAsia" w:ascii="宋体" w:hAnsi="宋体" w:eastAsia="宋体" w:cs="宋体"/>
                <w:sz w:val="20"/>
                <w:szCs w:val="20"/>
              </w:rPr>
              <w:t>2</w:t>
            </w:r>
          </w:p>
        </w:tc>
        <w:tc>
          <w:tcPr>
            <w:tcW w:w="659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sz w:val="20"/>
                <w:szCs w:val="20"/>
              </w:rPr>
            </w:pPr>
            <w:r>
              <w:rPr>
                <w:rFonts w:hint="eastAsia" w:ascii="宋体" w:hAnsi="宋体" w:eastAsia="宋体" w:cs="宋体"/>
                <w:sz w:val="20"/>
                <w:szCs w:val="20"/>
              </w:rPr>
              <w:t>根据磋商文件规定的格式、顺序编制，有目录、编页码、制作规范、完整、没有缺漏项，并有连续页码和索引便于评审的得2分，其次得1分。</w:t>
            </w:r>
          </w:p>
        </w:tc>
      </w:tr>
      <w:tr>
        <w:tblPrEx>
          <w:tblCellMar>
            <w:top w:w="0" w:type="dxa"/>
            <w:left w:w="108" w:type="dxa"/>
            <w:bottom w:w="0" w:type="dxa"/>
            <w:right w:w="108" w:type="dxa"/>
          </w:tblCellMar>
        </w:tblPrEx>
        <w:trPr>
          <w:trHeight w:val="456" w:hRule="atLeast"/>
        </w:trPr>
        <w:tc>
          <w:tcPr>
            <w:tcW w:w="12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b/>
                <w:bCs/>
                <w:sz w:val="20"/>
                <w:szCs w:val="20"/>
              </w:rPr>
            </w:pPr>
            <w:r>
              <w:rPr>
                <w:rFonts w:hint="eastAsia" w:ascii="宋体" w:hAnsi="宋体" w:eastAsia="宋体" w:cs="宋体"/>
                <w:b/>
                <w:bCs/>
                <w:sz w:val="20"/>
                <w:szCs w:val="20"/>
              </w:rPr>
              <w:t>合    计</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100</w:t>
            </w:r>
          </w:p>
        </w:tc>
        <w:tc>
          <w:tcPr>
            <w:tcW w:w="659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200" w:firstLineChars="100"/>
              <w:jc w:val="left"/>
              <w:rPr>
                <w:rFonts w:hint="eastAsia" w:ascii="宋体" w:hAnsi="宋体" w:eastAsia="宋体" w:cs="宋体"/>
                <w:sz w:val="20"/>
                <w:szCs w:val="20"/>
              </w:rPr>
            </w:pPr>
            <w:r>
              <w:rPr>
                <w:rFonts w:hint="eastAsia" w:ascii="宋体" w:hAnsi="宋体" w:eastAsia="宋体" w:cs="宋体"/>
                <w:sz w:val="20"/>
                <w:szCs w:val="20"/>
              </w:rPr>
              <w:t>　</w:t>
            </w:r>
          </w:p>
        </w:tc>
      </w:tr>
    </w:tbl>
    <w:p>
      <w:pPr>
        <w:numPr>
          <w:ilvl w:val="0"/>
          <w:numId w:val="0"/>
        </w:numPr>
        <w:rPr>
          <w:rFonts w:hint="eastAsia" w:ascii="宋体" w:hAnsi="宋体" w:eastAsia="宋体" w:cs="宋体"/>
          <w:sz w:val="22"/>
          <w:szCs w:val="22"/>
          <w:lang w:val="en-US"/>
        </w:rPr>
      </w:pPr>
    </w:p>
    <w:p>
      <w:pPr>
        <w:widowControl/>
        <w:jc w:val="left"/>
        <w:textAlignment w:val="center"/>
        <w:rPr>
          <w:rFonts w:hint="eastAsia" w:ascii="宋体" w:hAnsi="宋体" w:eastAsia="宋体" w:cs="宋体"/>
          <w:color w:val="000000"/>
          <w:sz w:val="22"/>
          <w:szCs w:val="22"/>
        </w:rPr>
      </w:pPr>
      <w:r>
        <w:rPr>
          <w:rFonts w:hint="eastAsia" w:ascii="宋体" w:hAnsi="宋体" w:eastAsia="宋体" w:cs="宋体"/>
          <w:b/>
          <w:bCs/>
          <w:color w:val="000000" w:themeColor="text1"/>
          <w:sz w:val="22"/>
          <w:szCs w:val="22"/>
          <w14:textFill>
            <w14:solidFill>
              <w14:schemeClr w14:val="tx1"/>
            </w14:solidFill>
          </w14:textFill>
        </w:rPr>
        <w:t>备注</w:t>
      </w:r>
      <w:r>
        <w:rPr>
          <w:rFonts w:hint="eastAsia" w:ascii="宋体" w:hAnsi="宋体" w:eastAsia="宋体" w:cs="宋体"/>
          <w:color w:val="000000"/>
          <w:sz w:val="22"/>
          <w:szCs w:val="22"/>
        </w:rPr>
        <w:t>：</w:t>
      </w:r>
    </w:p>
    <w:p>
      <w:pPr>
        <w:widowControl/>
        <w:ind w:firstLine="663" w:firstLineChars="300"/>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以上所有须提供的证件、证书、有关资料等，</w:t>
      </w:r>
      <w:r>
        <w:rPr>
          <w:rFonts w:hint="eastAsia" w:ascii="宋体" w:hAnsi="宋体" w:eastAsia="宋体" w:cs="宋体"/>
          <w:b/>
          <w:bCs/>
          <w:color w:val="000000"/>
          <w:sz w:val="22"/>
          <w:szCs w:val="22"/>
          <w:lang w:val="en-US" w:eastAsia="zh-CN"/>
        </w:rPr>
        <w:t>供应商</w:t>
      </w:r>
      <w:r>
        <w:rPr>
          <w:rFonts w:hint="eastAsia" w:ascii="宋体" w:hAnsi="宋体" w:eastAsia="宋体" w:cs="宋体"/>
          <w:b/>
          <w:bCs/>
          <w:color w:val="000000"/>
          <w:sz w:val="22"/>
          <w:szCs w:val="22"/>
        </w:rPr>
        <w:t>都必须提供真彩扫描打印件并加盖公章，供专家评委评审，否则不得分。</w:t>
      </w:r>
    </w:p>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br w:type="page"/>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226" w:right="-226"/>
        <w:jc w:val="both"/>
        <w:rPr>
          <w:rFonts w:hint="eastAsia" w:ascii="宋体" w:hAnsi="宋体" w:cs="宋体"/>
          <w:color w:val="000000" w:themeColor="text1"/>
          <w:kern w:val="0"/>
          <w:sz w:val="32"/>
          <w:szCs w:val="32"/>
          <w:lang w:val="en-US" w:eastAsia="zh-CN" w:bidi="ar"/>
          <w14:textFill>
            <w14:solidFill>
              <w14:schemeClr w14:val="tx1"/>
            </w14:solidFill>
          </w14:textFill>
        </w:rPr>
      </w:pPr>
      <w:r>
        <w:rPr>
          <w:rFonts w:hint="eastAsia" w:ascii="宋体" w:hAnsi="宋体" w:cs="宋体"/>
          <w:color w:val="000000" w:themeColor="text1"/>
          <w:kern w:val="0"/>
          <w:sz w:val="32"/>
          <w:szCs w:val="32"/>
          <w:lang w:val="en-US" w:eastAsia="zh-CN" w:bidi="ar"/>
          <w14:textFill>
            <w14:solidFill>
              <w14:schemeClr w14:val="tx1"/>
            </w14:solidFill>
          </w14:textFill>
        </w:rPr>
        <w:t>附件2：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226" w:right="-226"/>
        <w:jc w:val="center"/>
        <w:rPr>
          <w:color w:val="000000" w:themeColor="text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供应商报名表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226" w:right="-226"/>
        <w:jc w:val="both"/>
        <w:rPr>
          <w:color w:val="000000" w:themeColor="text1"/>
          <w14:textFill>
            <w14:solidFill>
              <w14:schemeClr w14:val="tx1"/>
            </w14:solidFill>
          </w14:textFill>
        </w:rPr>
      </w:pPr>
      <w:r>
        <w:rPr>
          <w:rFonts w:ascii="微软雅黑" w:hAnsi="微软雅黑" w:eastAsia="微软雅黑" w:cs="Calibri"/>
          <w:color w:val="000000" w:themeColor="text1"/>
          <w:kern w:val="0"/>
          <w:sz w:val="24"/>
          <w:szCs w:val="24"/>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26" w:right="-226"/>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项目编号：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226" w:right="-226"/>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项目名称：</w:t>
      </w:r>
    </w:p>
    <w:tbl>
      <w:tblPr>
        <w:tblStyle w:val="13"/>
        <w:tblW w:w="8519" w:type="dxa"/>
        <w:tblInd w:w="-22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237"/>
        <w:gridCol w:w="62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0" w:hRule="atLeast"/>
        </w:trPr>
        <w:tc>
          <w:tcPr>
            <w:tcW w:w="2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供应商名称（盖章）</w:t>
            </w:r>
          </w:p>
        </w:tc>
        <w:tc>
          <w:tcPr>
            <w:tcW w:w="62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2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联系人姓名</w:t>
            </w:r>
          </w:p>
        </w:tc>
        <w:tc>
          <w:tcPr>
            <w:tcW w:w="62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2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联系人电话（办公电话和手机）</w:t>
            </w:r>
          </w:p>
        </w:tc>
        <w:tc>
          <w:tcPr>
            <w:tcW w:w="62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2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联系人邮箱</w:t>
            </w:r>
          </w:p>
        </w:tc>
        <w:tc>
          <w:tcPr>
            <w:tcW w:w="62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23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供应商提供的报名资料</w:t>
            </w:r>
          </w:p>
        </w:tc>
        <w:tc>
          <w:tcPr>
            <w:tcW w:w="62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default" w:ascii="Times New Roman" w:hAnsi="Times New Roman" w:eastAsia="微软雅黑" w:cs="Times New Roman"/>
                <w:color w:val="000000" w:themeColor="text1"/>
                <w:kern w:val="0"/>
                <w:sz w:val="24"/>
                <w:szCs w:val="21"/>
                <w:lang w:val="en-US" w:eastAsia="zh-CN" w:bidi="ar"/>
                <w14:textFill>
                  <w14:solidFill>
                    <w14:schemeClr w14:val="tx1"/>
                  </w14:solidFill>
                </w14:textFill>
              </w:rPr>
              <w:t>1.</w:t>
            </w: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法人或者其他组织的营业执照等证明文件，如供应商是自然人的提供身份证明材料。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23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themeColor="text1"/>
                <w:sz w:val="24"/>
                <w:szCs w:val="24"/>
                <w14:textFill>
                  <w14:solidFill>
                    <w14:schemeClr w14:val="tx1"/>
                  </w14:solidFill>
                </w14:textFill>
              </w:rPr>
            </w:pPr>
          </w:p>
        </w:tc>
        <w:tc>
          <w:tcPr>
            <w:tcW w:w="62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default" w:ascii="Times New Roman" w:hAnsi="Times New Roman" w:eastAsia="微软雅黑" w:cs="Times New Roman"/>
                <w:color w:val="000000" w:themeColor="text1"/>
                <w:kern w:val="0"/>
                <w:sz w:val="24"/>
                <w:szCs w:val="21"/>
                <w:lang w:val="en-US" w:eastAsia="zh-CN" w:bidi="ar"/>
                <w14:textFill>
                  <w14:solidFill>
                    <w14:schemeClr w14:val="tx1"/>
                  </w14:solidFill>
                </w14:textFill>
              </w:rPr>
              <w:t>2.</w:t>
            </w: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财务状况报告，依法缴纳税收和社会保障资金的相关材料。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23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themeColor="text1"/>
                <w:sz w:val="24"/>
                <w:szCs w:val="24"/>
                <w14:textFill>
                  <w14:solidFill>
                    <w14:schemeClr w14:val="tx1"/>
                  </w14:solidFill>
                </w14:textFill>
              </w:rPr>
            </w:pPr>
          </w:p>
        </w:tc>
        <w:tc>
          <w:tcPr>
            <w:tcW w:w="62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default" w:ascii="Times New Roman" w:hAnsi="Times New Roman" w:eastAsia="微软雅黑" w:cs="Times New Roman"/>
                <w:color w:val="000000" w:themeColor="text1"/>
                <w:kern w:val="0"/>
                <w:sz w:val="24"/>
                <w:szCs w:val="21"/>
                <w:lang w:val="en-US" w:eastAsia="zh-CN" w:bidi="ar"/>
                <w14:textFill>
                  <w14:solidFill>
                    <w14:schemeClr w14:val="tx1"/>
                  </w14:solidFill>
                </w14:textFill>
              </w:rPr>
              <w:t>3.</w:t>
            </w: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具备履行合同所必需的设备和专业技术能力的证明材料。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23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themeColor="text1"/>
                <w:sz w:val="24"/>
                <w:szCs w:val="24"/>
                <w14:textFill>
                  <w14:solidFill>
                    <w14:schemeClr w14:val="tx1"/>
                  </w14:solidFill>
                </w14:textFill>
              </w:rPr>
            </w:pPr>
          </w:p>
        </w:tc>
        <w:tc>
          <w:tcPr>
            <w:tcW w:w="62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default" w:ascii="Times New Roman" w:hAnsi="Times New Roman" w:eastAsia="微软雅黑" w:cs="Times New Roman"/>
                <w:color w:val="000000" w:themeColor="text1"/>
                <w:kern w:val="0"/>
                <w:sz w:val="24"/>
                <w:szCs w:val="21"/>
                <w:lang w:val="en-US" w:eastAsia="zh-CN" w:bidi="ar"/>
                <w14:textFill>
                  <w14:solidFill>
                    <w14:schemeClr w14:val="tx1"/>
                  </w14:solidFill>
                </w14:textFill>
              </w:rPr>
              <w:t>4.</w:t>
            </w: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参加政府采购活动前</w:t>
            </w:r>
            <w:r>
              <w:rPr>
                <w:rFonts w:hint="default" w:ascii="Times New Roman" w:hAnsi="Times New Roman" w:eastAsia="微软雅黑" w:cs="Times New Roman"/>
                <w:color w:val="000000" w:themeColor="text1"/>
                <w:kern w:val="0"/>
                <w:sz w:val="24"/>
                <w:szCs w:val="21"/>
                <w:lang w:val="en-US" w:eastAsia="zh-CN" w:bidi="ar"/>
                <w14:textFill>
                  <w14:solidFill>
                    <w14:schemeClr w14:val="tx1"/>
                  </w14:solidFill>
                </w14:textFill>
              </w:rPr>
              <w:t>3</w:t>
            </w: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年内在经营活动中没有重大违法记录的书面声明。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23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themeColor="text1"/>
                <w:sz w:val="24"/>
                <w:szCs w:val="24"/>
                <w14:textFill>
                  <w14:solidFill>
                    <w14:schemeClr w14:val="tx1"/>
                  </w14:solidFill>
                </w14:textFill>
              </w:rPr>
            </w:pPr>
          </w:p>
        </w:tc>
        <w:tc>
          <w:tcPr>
            <w:tcW w:w="62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default" w:ascii="Times New Roman" w:hAnsi="Times New Roman" w:eastAsia="微软雅黑" w:cs="Times New Roman"/>
                <w:color w:val="000000" w:themeColor="text1"/>
                <w:kern w:val="0"/>
                <w:sz w:val="24"/>
                <w:szCs w:val="21"/>
                <w:lang w:val="en-US" w:eastAsia="zh-CN" w:bidi="ar"/>
                <w14:textFill>
                  <w14:solidFill>
                    <w14:schemeClr w14:val="tx1"/>
                  </w14:solidFill>
                </w14:textFill>
              </w:rPr>
              <w:t>5.</w:t>
            </w: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具备法律、行政法规规定的其他条件的证明材料。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23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themeColor="text1"/>
                <w:sz w:val="24"/>
                <w:szCs w:val="24"/>
                <w14:textFill>
                  <w14:solidFill>
                    <w14:schemeClr w14:val="tx1"/>
                  </w14:solidFill>
                </w14:textFill>
              </w:rPr>
            </w:pPr>
          </w:p>
        </w:tc>
        <w:tc>
          <w:tcPr>
            <w:tcW w:w="62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15" w:lineRule="atLeast"/>
              <w:jc w:val="left"/>
              <w:rPr>
                <w:color w:val="000000" w:themeColor="text1"/>
                <w14:textFill>
                  <w14:solidFill>
                    <w14:schemeClr w14:val="tx1"/>
                  </w14:solidFill>
                </w14:textFill>
              </w:rPr>
            </w:pPr>
            <w:r>
              <w:rPr>
                <w:rFonts w:hint="default" w:ascii="Times New Roman" w:hAnsi="Times New Roman" w:eastAsia="微软雅黑" w:cs="Times New Roman"/>
                <w:color w:val="000000" w:themeColor="text1"/>
                <w:kern w:val="0"/>
                <w:sz w:val="24"/>
                <w:szCs w:val="21"/>
                <w:lang w:val="en-US" w:eastAsia="zh-CN" w:bidi="ar"/>
                <w14:textFill>
                  <w14:solidFill>
                    <w14:schemeClr w14:val="tx1"/>
                  </w14:solidFill>
                </w14:textFill>
              </w:rPr>
              <w:t>6.</w:t>
            </w:r>
            <w:r>
              <w:rPr>
                <w:rFonts w:hint="eastAsia" w:ascii="宋体" w:hAnsi="宋体" w:cs="仿宋"/>
                <w:color w:val="000000" w:themeColor="text1"/>
                <w:sz w:val="24"/>
                <w14:textFill>
                  <w14:solidFill>
                    <w14:schemeClr w14:val="tx1"/>
                  </w14:solidFill>
                </w14:textFill>
              </w:rPr>
              <w:t>未被列入“信用中国</w:t>
            </w:r>
            <w:r>
              <w:rPr>
                <w:rFonts w:hint="eastAsia" w:ascii="宋体" w:hAnsi="宋体" w:cs="仿宋"/>
                <w:color w:val="000000" w:themeColor="text1"/>
                <w:sz w:val="24"/>
                <w:lang w:eastAsia="zh-CN"/>
                <w14:textFill>
                  <w14:solidFill>
                    <w14:schemeClr w14:val="tx1"/>
                  </w14:solidFill>
                </w14:textFill>
              </w:rPr>
              <w:t>网</w:t>
            </w:r>
            <w:r>
              <w:rPr>
                <w:rFonts w:hint="eastAsia" w:ascii="宋体" w:hAnsi="宋体" w:cs="仿宋"/>
                <w:color w:val="000000" w:themeColor="text1"/>
                <w:sz w:val="24"/>
                <w14:textFill>
                  <w14:solidFill>
                    <w14:schemeClr w14:val="tx1"/>
                  </w14:solidFill>
                </w14:textFill>
              </w:rPr>
              <w:t>”失信被执行人、重大税收违法案件当事人名单</w:t>
            </w:r>
            <w:r>
              <w:rPr>
                <w:rFonts w:hint="eastAsia" w:ascii="宋体" w:hAnsi="宋体" w:cs="仿宋"/>
                <w:color w:val="000000" w:themeColor="text1"/>
                <w:sz w:val="24"/>
                <w:lang w:eastAsia="zh-CN"/>
                <w14:textFill>
                  <w14:solidFill>
                    <w14:schemeClr w14:val="tx1"/>
                  </w14:solidFill>
                </w14:textFill>
              </w:rPr>
              <w:t>；</w:t>
            </w:r>
            <w:r>
              <w:rPr>
                <w:rStyle w:val="39"/>
                <w:rFonts w:ascii="Times New Roman" w:hAnsi="Times New Roman" w:cs="Times New Roman"/>
                <w:color w:val="000000" w:themeColor="text1"/>
                <w:kern w:val="0"/>
                <w:sz w:val="24"/>
                <w14:textFill>
                  <w14:solidFill>
                    <w14:schemeClr w14:val="tx1"/>
                  </w14:solidFill>
                </w14:textFill>
              </w:rPr>
              <w:t>“中国政府采购网”</w:t>
            </w:r>
            <w:r>
              <w:rPr>
                <w:rFonts w:hint="eastAsia" w:ascii="宋体" w:hAnsi="宋体" w:cs="仿宋"/>
                <w:color w:val="000000" w:themeColor="text1"/>
                <w:sz w:val="24"/>
                <w14:textFill>
                  <w14:solidFill>
                    <w14:schemeClr w14:val="tx1"/>
                  </w14:solidFill>
                </w14:textFill>
              </w:rPr>
              <w:t>政府采购严重违法失信行为</w:t>
            </w:r>
            <w:r>
              <w:rPr>
                <w:rFonts w:hint="eastAsia" w:ascii="Times New Roman" w:hAnsi="Times New Roman" w:eastAsia="宋体" w:cs="宋体"/>
                <w:color w:val="000000" w:themeColor="text1"/>
                <w:kern w:val="0"/>
                <w:sz w:val="24"/>
                <w:szCs w:val="21"/>
                <w:lang w:val="en-US" w:eastAsia="zh-CN" w:bidi="ar"/>
                <w14:textFill>
                  <w14:solidFill>
                    <w14:schemeClr w14:val="tx1"/>
                  </w14:solidFill>
                </w14:textFill>
              </w:rPr>
              <w:t>名单的网页打印件。</w:t>
            </w:r>
          </w:p>
        </w:tc>
      </w:tr>
    </w:tbl>
    <w:p>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color w:val="000000" w:themeColor="text1"/>
          <w:sz w:val="21"/>
          <w:szCs w:val="16"/>
          <w14:textFill>
            <w14:solidFill>
              <w14:schemeClr w14:val="tx1"/>
            </w14:solidFill>
          </w14:textFill>
        </w:rPr>
      </w:pPr>
      <w:r>
        <w:rPr>
          <w:color w:val="000000" w:themeColor="text1"/>
          <w:sz w:val="21"/>
          <w:szCs w:val="16"/>
          <w14:textFill>
            <w14:solidFill>
              <w14:schemeClr w14:val="tx1"/>
            </w14:solidFill>
          </w14:textFill>
        </w:rPr>
        <w:t>注意事项：</w:t>
      </w:r>
      <w:r>
        <w:rPr>
          <w:color w:val="000000" w:themeColor="text1"/>
          <w:sz w:val="21"/>
          <w:szCs w:val="16"/>
          <w14:textFill>
            <w14:solidFill>
              <w14:schemeClr w14:val="tx1"/>
            </w14:solidFill>
          </w14:textFill>
        </w:rPr>
        <w:br w:type="textWrapping"/>
      </w:r>
      <w:r>
        <w:rPr>
          <w:color w:val="000000" w:themeColor="text1"/>
          <w:sz w:val="21"/>
          <w:szCs w:val="16"/>
          <w14:textFill>
            <w14:solidFill>
              <w14:schemeClr w14:val="tx1"/>
            </w14:solidFill>
          </w14:textFill>
        </w:rPr>
        <w:t>1.供应商必须严格按照公告的内容和要求，完整递交有关资料，逾期递交的将予以拒收。</w:t>
      </w:r>
      <w:r>
        <w:rPr>
          <w:color w:val="000000" w:themeColor="text1"/>
          <w:sz w:val="21"/>
          <w:szCs w:val="16"/>
          <w14:textFill>
            <w14:solidFill>
              <w14:schemeClr w14:val="tx1"/>
            </w14:solidFill>
          </w14:textFill>
        </w:rPr>
        <w:br w:type="textWrapping"/>
      </w:r>
      <w:r>
        <w:rPr>
          <w:color w:val="000000" w:themeColor="text1"/>
          <w:sz w:val="21"/>
          <w:szCs w:val="16"/>
          <w14:textFill>
            <w14:solidFill>
              <w14:schemeClr w14:val="tx1"/>
            </w14:solidFill>
          </w14:textFill>
        </w:rPr>
        <w:t>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r>
        <w:rPr>
          <w:color w:val="000000" w:themeColor="text1"/>
          <w:sz w:val="21"/>
          <w:szCs w:val="16"/>
          <w14:textFill>
            <w14:solidFill>
              <w14:schemeClr w14:val="tx1"/>
            </w14:solidFill>
          </w14:textFill>
        </w:rPr>
        <w:br w:type="textWrapping"/>
      </w:r>
      <w:r>
        <w:rPr>
          <w:color w:val="000000" w:themeColor="text1"/>
          <w:sz w:val="21"/>
          <w:szCs w:val="16"/>
          <w14:textFill>
            <w14:solidFill>
              <w14:schemeClr w14:val="tx1"/>
            </w14:solidFill>
          </w14:textFill>
        </w:rPr>
        <w:t>3.须在邮件（附件文件名注明公司全称）注明公司全称、项目名称及项目编号（不注明我单位将拒收报名邮件）。</w:t>
      </w:r>
    </w:p>
    <w:p>
      <w:pPr>
        <w:pStyle w:val="27"/>
        <w:rPr>
          <w:rFonts w:hint="default"/>
          <w:color w:val="000000" w:themeColor="text1"/>
          <w:lang w:val="en-US"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decorative"/>
    <w:pitch w:val="default"/>
    <w:sig w:usb0="80000287" w:usb1="280F3C52" w:usb2="00000016" w:usb3="00000000" w:csb0="0004001F" w:csb1="00000000"/>
  </w:font>
  <w:font w:name="方正小标宋简体">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1B6E8"/>
    <w:multiLevelType w:val="singleLevel"/>
    <w:tmpl w:val="ABA1B6E8"/>
    <w:lvl w:ilvl="0" w:tentative="0">
      <w:start w:val="2"/>
      <w:numFmt w:val="decimal"/>
      <w:suff w:val="nothing"/>
      <w:lvlText w:val="%1）"/>
      <w:lvlJc w:val="left"/>
    </w:lvl>
  </w:abstractNum>
  <w:abstractNum w:abstractNumId="1">
    <w:nsid w:val="00000004"/>
    <w:multiLevelType w:val="multilevel"/>
    <w:tmpl w:val="00000004"/>
    <w:lvl w:ilvl="0" w:tentative="0">
      <w:start w:val="1"/>
      <w:numFmt w:val="decimal"/>
      <w:lvlText w:val="(%1)"/>
      <w:lvlJc w:val="left"/>
      <w:pPr>
        <w:ind w:left="842" w:hanging="420"/>
      </w:pPr>
      <w:rPr>
        <w:rFonts w:hint="default"/>
      </w:rPr>
    </w:lvl>
    <w:lvl w:ilvl="1" w:tentative="0">
      <w:start w:val="1"/>
      <w:numFmt w:val="bullet"/>
      <w:lvlText w:val=""/>
      <w:lvlJc w:val="left"/>
      <w:pPr>
        <w:ind w:left="1262" w:hanging="420"/>
      </w:pPr>
    </w:lvl>
    <w:lvl w:ilvl="2" w:tentative="0">
      <w:start w:val="1"/>
      <w:numFmt w:val="bullet"/>
      <w:lvlText w:val=""/>
      <w:lvlJc w:val="left"/>
      <w:pPr>
        <w:ind w:left="1682" w:hanging="420"/>
      </w:pPr>
    </w:lvl>
    <w:lvl w:ilvl="3" w:tentative="0">
      <w:start w:val="1"/>
      <w:numFmt w:val="bullet"/>
      <w:lvlText w:val=""/>
      <w:lvlJc w:val="left"/>
      <w:pPr>
        <w:ind w:left="2102" w:hanging="420"/>
      </w:pPr>
    </w:lvl>
    <w:lvl w:ilvl="4" w:tentative="0">
      <w:start w:val="1"/>
      <w:numFmt w:val="bullet"/>
      <w:lvlText w:val=""/>
      <w:lvlJc w:val="left"/>
      <w:pPr>
        <w:ind w:left="2522" w:hanging="420"/>
      </w:pPr>
    </w:lvl>
    <w:lvl w:ilvl="5" w:tentative="0">
      <w:start w:val="1"/>
      <w:numFmt w:val="bullet"/>
      <w:lvlText w:val=""/>
      <w:lvlJc w:val="left"/>
      <w:pPr>
        <w:ind w:left="2942" w:hanging="420"/>
      </w:pPr>
    </w:lvl>
    <w:lvl w:ilvl="6" w:tentative="0">
      <w:start w:val="1"/>
      <w:numFmt w:val="bullet"/>
      <w:lvlText w:val=""/>
      <w:lvlJc w:val="left"/>
      <w:pPr>
        <w:ind w:left="3362" w:hanging="420"/>
      </w:pPr>
    </w:lvl>
    <w:lvl w:ilvl="7" w:tentative="0">
      <w:start w:val="1"/>
      <w:numFmt w:val="bullet"/>
      <w:lvlText w:val=""/>
      <w:lvlJc w:val="left"/>
      <w:pPr>
        <w:ind w:left="3782" w:hanging="420"/>
      </w:pPr>
    </w:lvl>
    <w:lvl w:ilvl="8" w:tentative="0">
      <w:start w:val="1"/>
      <w:numFmt w:val="bullet"/>
      <w:lvlText w:val=""/>
      <w:lvlJc w:val="left"/>
      <w:pPr>
        <w:ind w:left="4202" w:hanging="420"/>
      </w:pPr>
    </w:lvl>
  </w:abstractNum>
  <w:abstractNum w:abstractNumId="2">
    <w:nsid w:val="00000009"/>
    <w:multiLevelType w:val="multilevel"/>
    <w:tmpl w:val="00000009"/>
    <w:lvl w:ilvl="0" w:tentative="0">
      <w:start w:val="1"/>
      <w:numFmt w:val="decimal"/>
      <w:lvlText w:val="%1"/>
      <w:lvlJc w:val="left"/>
      <w:pPr>
        <w:ind w:left="420" w:hanging="420"/>
      </w:pPr>
    </w:lvl>
    <w:lvl w:ilvl="1" w:tentative="0">
      <w:start w:val="1"/>
      <w:numFmt w:val="decimal"/>
      <w:lvlText w:val="%1.%2"/>
      <w:lvlJc w:val="left"/>
      <w:pPr>
        <w:ind w:left="840" w:hanging="420"/>
      </w:pPr>
    </w:lvl>
    <w:lvl w:ilvl="2" w:tentative="0">
      <w:start w:val="1"/>
      <w:numFmt w:val="decimal"/>
      <w:lvlText w:val="%1.%2.%3"/>
      <w:lvlJc w:val="right"/>
      <w:pPr>
        <w:ind w:left="863" w:hanging="11"/>
      </w:pPr>
    </w:lvl>
    <w:lvl w:ilvl="3" w:tentative="0">
      <w:start w:val="1"/>
      <w:numFmt w:val="decimal"/>
      <w:lvlText w:val="%1.%2.%3.%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C"/>
    <w:multiLevelType w:val="singleLevel"/>
    <w:tmpl w:val="0000000C"/>
    <w:lvl w:ilvl="0" w:tentative="0">
      <w:start w:val="2"/>
      <w:numFmt w:val="decimal"/>
      <w:suff w:val="nothing"/>
      <w:lvlText w:val="（%1）"/>
      <w:lvlJc w:val="left"/>
      <w:pPr>
        <w:ind w:left="0" w:firstLine="0"/>
      </w:pPr>
    </w:lvl>
  </w:abstractNum>
  <w:abstractNum w:abstractNumId="4">
    <w:nsid w:val="05DA5656"/>
    <w:multiLevelType w:val="singleLevel"/>
    <w:tmpl w:val="05DA5656"/>
    <w:lvl w:ilvl="0" w:tentative="0">
      <w:start w:val="1"/>
      <w:numFmt w:val="decimal"/>
      <w:suff w:val="nothing"/>
      <w:lvlText w:val="%1、"/>
      <w:lvlJc w:val="left"/>
    </w:lvl>
  </w:abstractNum>
  <w:abstractNum w:abstractNumId="5">
    <w:nsid w:val="3171812D"/>
    <w:multiLevelType w:val="singleLevel"/>
    <w:tmpl w:val="3171812D"/>
    <w:lvl w:ilvl="0" w:tentative="0">
      <w:start w:val="2"/>
      <w:numFmt w:val="decimal"/>
      <w:suff w:val="nothing"/>
      <w:lvlText w:val="%1、"/>
      <w:lvlJc w:val="left"/>
    </w:lvl>
  </w:abstractNum>
  <w:abstractNum w:abstractNumId="6">
    <w:nsid w:val="45C42C9A"/>
    <w:multiLevelType w:val="multilevel"/>
    <w:tmpl w:val="45C42C9A"/>
    <w:lvl w:ilvl="0" w:tentative="0">
      <w:start w:val="1"/>
      <w:numFmt w:val="decimal"/>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lvlText w:val="%1.%2.%3"/>
      <w:lvlJc w:val="left"/>
      <w:pPr>
        <w:tabs>
          <w:tab w:val="left" w:pos="1260"/>
        </w:tabs>
        <w:ind w:left="126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7">
    <w:nsid w:val="5B14ADAE"/>
    <w:multiLevelType w:val="multilevel"/>
    <w:tmpl w:val="5B14ADAE"/>
    <w:lvl w:ilvl="0" w:tentative="0">
      <w:start w:val="1"/>
      <w:numFmt w:val="japaneseCounting"/>
      <w:lvlText w:val="%1、"/>
      <w:lvlJc w:val="left"/>
      <w:pPr>
        <w:ind w:left="510" w:hanging="510"/>
      </w:pPr>
      <w:rPr>
        <w:rFonts w:hint="eastAsia" w:ascii="宋体"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lvlOverride w:ilvl="0">
      <w:startOverride w:val="2"/>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06"/>
    <w:rsid w:val="00000B78"/>
    <w:rsid w:val="00013B24"/>
    <w:rsid w:val="00013F7B"/>
    <w:rsid w:val="00016CF2"/>
    <w:rsid w:val="00022061"/>
    <w:rsid w:val="00022AE2"/>
    <w:rsid w:val="00032041"/>
    <w:rsid w:val="00034368"/>
    <w:rsid w:val="0003694F"/>
    <w:rsid w:val="00043D6D"/>
    <w:rsid w:val="00054214"/>
    <w:rsid w:val="00064D59"/>
    <w:rsid w:val="00085B9E"/>
    <w:rsid w:val="000B075B"/>
    <w:rsid w:val="000B593D"/>
    <w:rsid w:val="000C577B"/>
    <w:rsid w:val="000D1808"/>
    <w:rsid w:val="000D7914"/>
    <w:rsid w:val="000E32DC"/>
    <w:rsid w:val="000F660D"/>
    <w:rsid w:val="00104503"/>
    <w:rsid w:val="00105929"/>
    <w:rsid w:val="00114374"/>
    <w:rsid w:val="0011515A"/>
    <w:rsid w:val="0011539F"/>
    <w:rsid w:val="00121EBD"/>
    <w:rsid w:val="00124017"/>
    <w:rsid w:val="00151BE5"/>
    <w:rsid w:val="00155B8F"/>
    <w:rsid w:val="00161BDE"/>
    <w:rsid w:val="0016278A"/>
    <w:rsid w:val="00171A99"/>
    <w:rsid w:val="001744A1"/>
    <w:rsid w:val="0017689E"/>
    <w:rsid w:val="001803C8"/>
    <w:rsid w:val="00185FF2"/>
    <w:rsid w:val="00197E9C"/>
    <w:rsid w:val="001C0315"/>
    <w:rsid w:val="001D30B7"/>
    <w:rsid w:val="001D3CAE"/>
    <w:rsid w:val="001D45C6"/>
    <w:rsid w:val="001D6A65"/>
    <w:rsid w:val="001D6FCD"/>
    <w:rsid w:val="001D7BC7"/>
    <w:rsid w:val="001E28D6"/>
    <w:rsid w:val="001E324E"/>
    <w:rsid w:val="001E74C4"/>
    <w:rsid w:val="00204465"/>
    <w:rsid w:val="002141A4"/>
    <w:rsid w:val="00215816"/>
    <w:rsid w:val="00223824"/>
    <w:rsid w:val="00240EE9"/>
    <w:rsid w:val="00246491"/>
    <w:rsid w:val="00247E24"/>
    <w:rsid w:val="00250019"/>
    <w:rsid w:val="00253242"/>
    <w:rsid w:val="00254C50"/>
    <w:rsid w:val="0026176C"/>
    <w:rsid w:val="00264C02"/>
    <w:rsid w:val="00282981"/>
    <w:rsid w:val="00286BD4"/>
    <w:rsid w:val="00290A1F"/>
    <w:rsid w:val="00293A0B"/>
    <w:rsid w:val="002A33E1"/>
    <w:rsid w:val="002A469E"/>
    <w:rsid w:val="002D3969"/>
    <w:rsid w:val="002E5A49"/>
    <w:rsid w:val="002E5BF2"/>
    <w:rsid w:val="002F0C1A"/>
    <w:rsid w:val="002F14C2"/>
    <w:rsid w:val="002F2BA7"/>
    <w:rsid w:val="00304B42"/>
    <w:rsid w:val="00315740"/>
    <w:rsid w:val="00317050"/>
    <w:rsid w:val="00320BAF"/>
    <w:rsid w:val="00334518"/>
    <w:rsid w:val="00342854"/>
    <w:rsid w:val="00351622"/>
    <w:rsid w:val="00356EF1"/>
    <w:rsid w:val="003577BA"/>
    <w:rsid w:val="00366DDC"/>
    <w:rsid w:val="00374055"/>
    <w:rsid w:val="0037752E"/>
    <w:rsid w:val="003841E7"/>
    <w:rsid w:val="0039696A"/>
    <w:rsid w:val="003A1E07"/>
    <w:rsid w:val="003A532E"/>
    <w:rsid w:val="003C5ACE"/>
    <w:rsid w:val="003D24F8"/>
    <w:rsid w:val="003D3D7E"/>
    <w:rsid w:val="003D5423"/>
    <w:rsid w:val="003E38AA"/>
    <w:rsid w:val="003F3E3F"/>
    <w:rsid w:val="003F4C9E"/>
    <w:rsid w:val="003F58F2"/>
    <w:rsid w:val="004018E6"/>
    <w:rsid w:val="0040512A"/>
    <w:rsid w:val="00407DF4"/>
    <w:rsid w:val="00421668"/>
    <w:rsid w:val="00423959"/>
    <w:rsid w:val="00441BD8"/>
    <w:rsid w:val="00445A74"/>
    <w:rsid w:val="00454F01"/>
    <w:rsid w:val="00466AC4"/>
    <w:rsid w:val="00475943"/>
    <w:rsid w:val="0048111A"/>
    <w:rsid w:val="0049670C"/>
    <w:rsid w:val="004A1D47"/>
    <w:rsid w:val="004A3A06"/>
    <w:rsid w:val="004C1A0D"/>
    <w:rsid w:val="004F69AD"/>
    <w:rsid w:val="005029B3"/>
    <w:rsid w:val="0052490D"/>
    <w:rsid w:val="00526A9C"/>
    <w:rsid w:val="00551BAE"/>
    <w:rsid w:val="00555E29"/>
    <w:rsid w:val="00560521"/>
    <w:rsid w:val="00563E17"/>
    <w:rsid w:val="0056450B"/>
    <w:rsid w:val="00574464"/>
    <w:rsid w:val="00584480"/>
    <w:rsid w:val="00584F81"/>
    <w:rsid w:val="00594EAB"/>
    <w:rsid w:val="00596492"/>
    <w:rsid w:val="00596A48"/>
    <w:rsid w:val="005A5169"/>
    <w:rsid w:val="005B2F44"/>
    <w:rsid w:val="005C1F9C"/>
    <w:rsid w:val="005C39C9"/>
    <w:rsid w:val="005C4316"/>
    <w:rsid w:val="005C4349"/>
    <w:rsid w:val="005C47E3"/>
    <w:rsid w:val="005C4FA8"/>
    <w:rsid w:val="005D5DA3"/>
    <w:rsid w:val="005D7493"/>
    <w:rsid w:val="005D75A4"/>
    <w:rsid w:val="005F1C6E"/>
    <w:rsid w:val="005F2CF6"/>
    <w:rsid w:val="005F646A"/>
    <w:rsid w:val="005F72CD"/>
    <w:rsid w:val="00606DAF"/>
    <w:rsid w:val="006116B1"/>
    <w:rsid w:val="00614E39"/>
    <w:rsid w:val="00620DCD"/>
    <w:rsid w:val="00623CD1"/>
    <w:rsid w:val="006321B0"/>
    <w:rsid w:val="00643D40"/>
    <w:rsid w:val="00643FF0"/>
    <w:rsid w:val="00647848"/>
    <w:rsid w:val="00663A98"/>
    <w:rsid w:val="00670515"/>
    <w:rsid w:val="006733DD"/>
    <w:rsid w:val="006807D6"/>
    <w:rsid w:val="006822DC"/>
    <w:rsid w:val="006823C1"/>
    <w:rsid w:val="0069144D"/>
    <w:rsid w:val="006925F1"/>
    <w:rsid w:val="006952E1"/>
    <w:rsid w:val="006A0501"/>
    <w:rsid w:val="006A4AEC"/>
    <w:rsid w:val="006B2ADE"/>
    <w:rsid w:val="006C000E"/>
    <w:rsid w:val="006D1A84"/>
    <w:rsid w:val="006F1B8C"/>
    <w:rsid w:val="006F495D"/>
    <w:rsid w:val="007072B9"/>
    <w:rsid w:val="007218FF"/>
    <w:rsid w:val="007220CF"/>
    <w:rsid w:val="00723162"/>
    <w:rsid w:val="00736007"/>
    <w:rsid w:val="00737E9C"/>
    <w:rsid w:val="007578DE"/>
    <w:rsid w:val="00757955"/>
    <w:rsid w:val="00761B20"/>
    <w:rsid w:val="00771ABA"/>
    <w:rsid w:val="00771F9C"/>
    <w:rsid w:val="0078287F"/>
    <w:rsid w:val="00795AA7"/>
    <w:rsid w:val="007C0E92"/>
    <w:rsid w:val="007D08EB"/>
    <w:rsid w:val="007D2D42"/>
    <w:rsid w:val="007D56BE"/>
    <w:rsid w:val="007D6C8C"/>
    <w:rsid w:val="007E35E0"/>
    <w:rsid w:val="007E55BB"/>
    <w:rsid w:val="007F09B5"/>
    <w:rsid w:val="007F5040"/>
    <w:rsid w:val="007F609F"/>
    <w:rsid w:val="007F7E90"/>
    <w:rsid w:val="00803B22"/>
    <w:rsid w:val="0081248A"/>
    <w:rsid w:val="00812F3E"/>
    <w:rsid w:val="0082378F"/>
    <w:rsid w:val="00825FB3"/>
    <w:rsid w:val="008270DB"/>
    <w:rsid w:val="00841888"/>
    <w:rsid w:val="0084567B"/>
    <w:rsid w:val="008456C7"/>
    <w:rsid w:val="0085032B"/>
    <w:rsid w:val="008544B6"/>
    <w:rsid w:val="0086031C"/>
    <w:rsid w:val="00861C9D"/>
    <w:rsid w:val="008667A3"/>
    <w:rsid w:val="008766EF"/>
    <w:rsid w:val="00876999"/>
    <w:rsid w:val="008769E5"/>
    <w:rsid w:val="008804A0"/>
    <w:rsid w:val="0088360F"/>
    <w:rsid w:val="0088389F"/>
    <w:rsid w:val="00885CA6"/>
    <w:rsid w:val="008A64F1"/>
    <w:rsid w:val="008B3446"/>
    <w:rsid w:val="008B40F8"/>
    <w:rsid w:val="008B7CBB"/>
    <w:rsid w:val="008B7F6C"/>
    <w:rsid w:val="008C48CB"/>
    <w:rsid w:val="008C7539"/>
    <w:rsid w:val="008D0D58"/>
    <w:rsid w:val="008E07BE"/>
    <w:rsid w:val="009038EF"/>
    <w:rsid w:val="009210E8"/>
    <w:rsid w:val="00932F9E"/>
    <w:rsid w:val="00940B1B"/>
    <w:rsid w:val="0095205D"/>
    <w:rsid w:val="00961FC5"/>
    <w:rsid w:val="00963346"/>
    <w:rsid w:val="00985B42"/>
    <w:rsid w:val="009A074F"/>
    <w:rsid w:val="009D6361"/>
    <w:rsid w:val="009E154F"/>
    <w:rsid w:val="009E57B8"/>
    <w:rsid w:val="009F6AA5"/>
    <w:rsid w:val="00A03BBC"/>
    <w:rsid w:val="00A075FA"/>
    <w:rsid w:val="00A12EDF"/>
    <w:rsid w:val="00A16245"/>
    <w:rsid w:val="00A24427"/>
    <w:rsid w:val="00A277CE"/>
    <w:rsid w:val="00A31032"/>
    <w:rsid w:val="00A33364"/>
    <w:rsid w:val="00A44076"/>
    <w:rsid w:val="00A55C7A"/>
    <w:rsid w:val="00A63016"/>
    <w:rsid w:val="00A77436"/>
    <w:rsid w:val="00A92D49"/>
    <w:rsid w:val="00AA2440"/>
    <w:rsid w:val="00AD26AF"/>
    <w:rsid w:val="00AD346C"/>
    <w:rsid w:val="00AD6CE4"/>
    <w:rsid w:val="00AE4F15"/>
    <w:rsid w:val="00AE6394"/>
    <w:rsid w:val="00AE775B"/>
    <w:rsid w:val="00AF0973"/>
    <w:rsid w:val="00AF1ECE"/>
    <w:rsid w:val="00B07337"/>
    <w:rsid w:val="00B14550"/>
    <w:rsid w:val="00B21BF0"/>
    <w:rsid w:val="00B340BB"/>
    <w:rsid w:val="00B41C14"/>
    <w:rsid w:val="00B66E59"/>
    <w:rsid w:val="00B66F13"/>
    <w:rsid w:val="00B903DC"/>
    <w:rsid w:val="00B9334A"/>
    <w:rsid w:val="00B9441C"/>
    <w:rsid w:val="00BB2E90"/>
    <w:rsid w:val="00BB5C53"/>
    <w:rsid w:val="00BB7C43"/>
    <w:rsid w:val="00BC1AC6"/>
    <w:rsid w:val="00BC7103"/>
    <w:rsid w:val="00BD7DF3"/>
    <w:rsid w:val="00BE64B4"/>
    <w:rsid w:val="00C04ACE"/>
    <w:rsid w:val="00C07C78"/>
    <w:rsid w:val="00C10DF6"/>
    <w:rsid w:val="00C26744"/>
    <w:rsid w:val="00C3222C"/>
    <w:rsid w:val="00C33006"/>
    <w:rsid w:val="00C3300F"/>
    <w:rsid w:val="00C452E6"/>
    <w:rsid w:val="00C51F14"/>
    <w:rsid w:val="00C53CCF"/>
    <w:rsid w:val="00C5567E"/>
    <w:rsid w:val="00C674FA"/>
    <w:rsid w:val="00C73B7F"/>
    <w:rsid w:val="00C958B9"/>
    <w:rsid w:val="00CA1FA5"/>
    <w:rsid w:val="00CA439E"/>
    <w:rsid w:val="00CA53CF"/>
    <w:rsid w:val="00CA6425"/>
    <w:rsid w:val="00CA6749"/>
    <w:rsid w:val="00CB18BF"/>
    <w:rsid w:val="00CC0337"/>
    <w:rsid w:val="00CE756E"/>
    <w:rsid w:val="00CF132F"/>
    <w:rsid w:val="00CF339F"/>
    <w:rsid w:val="00CF5E41"/>
    <w:rsid w:val="00D01B41"/>
    <w:rsid w:val="00D11528"/>
    <w:rsid w:val="00D14E89"/>
    <w:rsid w:val="00D23BD9"/>
    <w:rsid w:val="00D417F0"/>
    <w:rsid w:val="00D47054"/>
    <w:rsid w:val="00D67C6C"/>
    <w:rsid w:val="00D72FA9"/>
    <w:rsid w:val="00D74B40"/>
    <w:rsid w:val="00D75237"/>
    <w:rsid w:val="00D831ED"/>
    <w:rsid w:val="00D969AF"/>
    <w:rsid w:val="00DA516B"/>
    <w:rsid w:val="00DA5E4B"/>
    <w:rsid w:val="00DA6AD9"/>
    <w:rsid w:val="00DB708B"/>
    <w:rsid w:val="00DC3B09"/>
    <w:rsid w:val="00DD076C"/>
    <w:rsid w:val="00DD71B0"/>
    <w:rsid w:val="00DE4D8D"/>
    <w:rsid w:val="00E01345"/>
    <w:rsid w:val="00E129F6"/>
    <w:rsid w:val="00E15396"/>
    <w:rsid w:val="00E2531C"/>
    <w:rsid w:val="00E33C0D"/>
    <w:rsid w:val="00E4307D"/>
    <w:rsid w:val="00E47C92"/>
    <w:rsid w:val="00E536D8"/>
    <w:rsid w:val="00E5546D"/>
    <w:rsid w:val="00E56AE6"/>
    <w:rsid w:val="00E622C9"/>
    <w:rsid w:val="00E6647C"/>
    <w:rsid w:val="00E677B5"/>
    <w:rsid w:val="00E727DB"/>
    <w:rsid w:val="00E771D3"/>
    <w:rsid w:val="00E90484"/>
    <w:rsid w:val="00E9351C"/>
    <w:rsid w:val="00EA748E"/>
    <w:rsid w:val="00EB0A07"/>
    <w:rsid w:val="00EB706B"/>
    <w:rsid w:val="00EB7BC5"/>
    <w:rsid w:val="00EC0CA6"/>
    <w:rsid w:val="00ED43B3"/>
    <w:rsid w:val="00ED5511"/>
    <w:rsid w:val="00EE18A1"/>
    <w:rsid w:val="00EE54FE"/>
    <w:rsid w:val="00F0066F"/>
    <w:rsid w:val="00F14706"/>
    <w:rsid w:val="00F15B1F"/>
    <w:rsid w:val="00F2493F"/>
    <w:rsid w:val="00F302F1"/>
    <w:rsid w:val="00F50AAE"/>
    <w:rsid w:val="00F62A51"/>
    <w:rsid w:val="00F66A97"/>
    <w:rsid w:val="00F72DDE"/>
    <w:rsid w:val="00F83406"/>
    <w:rsid w:val="00F84711"/>
    <w:rsid w:val="00F9267B"/>
    <w:rsid w:val="00F9533B"/>
    <w:rsid w:val="00FA169A"/>
    <w:rsid w:val="00FB004A"/>
    <w:rsid w:val="00FB2C15"/>
    <w:rsid w:val="00FC2A4B"/>
    <w:rsid w:val="00FD6079"/>
    <w:rsid w:val="00FE0319"/>
    <w:rsid w:val="00FF3E94"/>
    <w:rsid w:val="00FF7949"/>
    <w:rsid w:val="01E119CA"/>
    <w:rsid w:val="030E189E"/>
    <w:rsid w:val="0C343BF2"/>
    <w:rsid w:val="0C35423D"/>
    <w:rsid w:val="0C4F2706"/>
    <w:rsid w:val="104E2E85"/>
    <w:rsid w:val="17B82136"/>
    <w:rsid w:val="1A2D0B6E"/>
    <w:rsid w:val="2FE10E49"/>
    <w:rsid w:val="3CCA6797"/>
    <w:rsid w:val="3CDD690C"/>
    <w:rsid w:val="3DAB7272"/>
    <w:rsid w:val="425409A0"/>
    <w:rsid w:val="43AF7050"/>
    <w:rsid w:val="462F7C5F"/>
    <w:rsid w:val="4A20660F"/>
    <w:rsid w:val="4AC92EC2"/>
    <w:rsid w:val="4B6379BA"/>
    <w:rsid w:val="4D69159D"/>
    <w:rsid w:val="500F3C3C"/>
    <w:rsid w:val="5A6D737A"/>
    <w:rsid w:val="5D101F78"/>
    <w:rsid w:val="636C2529"/>
    <w:rsid w:val="67DB5DDF"/>
    <w:rsid w:val="6BE56E04"/>
    <w:rsid w:val="6D1E6659"/>
    <w:rsid w:val="72F3735F"/>
    <w:rsid w:val="74BB0104"/>
    <w:rsid w:val="77B32C76"/>
    <w:rsid w:val="7A134EC4"/>
    <w:rsid w:val="7CBB4DB2"/>
    <w:rsid w:val="7D4328D5"/>
    <w:rsid w:val="7E950C62"/>
    <w:rsid w:val="7F20734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name="header"/>
    <w:lsdException w:qFormat="1"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locked/>
    <w:uiPriority w:val="0"/>
    <w:pPr>
      <w:keepNext/>
      <w:keepLines/>
      <w:numPr>
        <w:ilvl w:val="1"/>
        <w:numId w:val="1"/>
      </w:numPr>
      <w:tabs>
        <w:tab w:val="clear" w:pos="576"/>
      </w:tabs>
      <w:spacing w:before="260" w:after="260" w:line="416" w:lineRule="auto"/>
      <w:ind w:left="0" w:firstLine="0"/>
      <w:outlineLvl w:val="1"/>
    </w:pPr>
    <w:rPr>
      <w:rFonts w:ascii="Cambria" w:hAnsi="Cambria" w:eastAsia="宋体" w:cs="Times New Roman"/>
      <w:b/>
      <w:bCs/>
      <w:kern w:val="0"/>
      <w:sz w:val="28"/>
      <w:szCs w:val="28"/>
    </w:rPr>
  </w:style>
  <w:style w:type="paragraph" w:styleId="5">
    <w:name w:val="heading 4"/>
    <w:basedOn w:val="1"/>
    <w:next w:val="1"/>
    <w:unhideWhenUsed/>
    <w:qFormat/>
    <w:locked/>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unhideWhenUsed/>
    <w:qFormat/>
    <w:uiPriority w:val="0"/>
    <w:pPr>
      <w:spacing w:line="360" w:lineRule="auto"/>
      <w:ind w:firstLine="420"/>
      <w:jc w:val="left"/>
    </w:pPr>
    <w:rPr>
      <w:rFonts w:ascii="Times New Roman" w:hAnsi="Times New Roman"/>
      <w:sz w:val="24"/>
      <w:szCs w:val="20"/>
    </w:rPr>
  </w:style>
  <w:style w:type="paragraph" w:styleId="7">
    <w:name w:val="Date"/>
    <w:basedOn w:val="1"/>
    <w:next w:val="1"/>
    <w:link w:val="36"/>
    <w:unhideWhenUsed/>
    <w:qFormat/>
    <w:uiPriority w:val="0"/>
    <w:pPr>
      <w:ind w:left="100" w:leftChars="2500"/>
    </w:pPr>
  </w:style>
  <w:style w:type="paragraph" w:styleId="8">
    <w:name w:val="Balloon Text"/>
    <w:basedOn w:val="1"/>
    <w:link w:val="35"/>
    <w:unhideWhenUsed/>
    <w:qFormat/>
    <w:uiPriority w:val="0"/>
    <w:rPr>
      <w:sz w:val="18"/>
      <w:szCs w:val="18"/>
    </w:rPr>
  </w:style>
  <w:style w:type="paragraph" w:styleId="9">
    <w:name w:val="footer"/>
    <w:basedOn w:val="1"/>
    <w:link w:val="33"/>
    <w:unhideWhenUsed/>
    <w:qFormat/>
    <w:uiPriority w:val="99"/>
    <w:pPr>
      <w:tabs>
        <w:tab w:val="center" w:pos="4153"/>
        <w:tab w:val="right" w:pos="8306"/>
      </w:tabs>
      <w:snapToGrid w:val="0"/>
      <w:jc w:val="left"/>
    </w:pPr>
    <w:rPr>
      <w:kern w:val="0"/>
      <w:sz w:val="18"/>
      <w:szCs w:val="18"/>
    </w:rPr>
  </w:style>
  <w:style w:type="paragraph" w:styleId="10">
    <w:name w:val="header"/>
    <w:basedOn w:val="1"/>
    <w:link w:val="32"/>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locked/>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locked/>
    <w:uiPriority w:val="0"/>
    <w:rPr>
      <w:b/>
    </w:rPr>
  </w:style>
  <w:style w:type="character" w:styleId="17">
    <w:name w:val="FollowedHyperlink"/>
    <w:basedOn w:val="15"/>
    <w:semiHidden/>
    <w:unhideWhenUsed/>
    <w:qFormat/>
    <w:uiPriority w:val="0"/>
    <w:rPr>
      <w:color w:val="333333"/>
      <w:u w:val="none"/>
    </w:rPr>
  </w:style>
  <w:style w:type="character" w:styleId="18">
    <w:name w:val="Emphasis"/>
    <w:basedOn w:val="15"/>
    <w:qFormat/>
    <w:locked/>
    <w:uiPriority w:val="0"/>
  </w:style>
  <w:style w:type="character" w:styleId="19">
    <w:name w:val="HTML Definition"/>
    <w:basedOn w:val="15"/>
    <w:semiHidden/>
    <w:unhideWhenUsed/>
    <w:qFormat/>
    <w:uiPriority w:val="0"/>
  </w:style>
  <w:style w:type="character" w:styleId="20">
    <w:name w:val="HTML Variable"/>
    <w:basedOn w:val="15"/>
    <w:semiHidden/>
    <w:unhideWhenUsed/>
    <w:qFormat/>
    <w:uiPriority w:val="0"/>
  </w:style>
  <w:style w:type="character" w:styleId="21">
    <w:name w:val="Hyperlink"/>
    <w:basedOn w:val="15"/>
    <w:semiHidden/>
    <w:unhideWhenUsed/>
    <w:qFormat/>
    <w:uiPriority w:val="0"/>
    <w:rPr>
      <w:color w:val="333333"/>
      <w:u w:val="none"/>
    </w:rPr>
  </w:style>
  <w:style w:type="character" w:styleId="22">
    <w:name w:val="HTML Code"/>
    <w:basedOn w:val="15"/>
    <w:semiHidden/>
    <w:unhideWhenUsed/>
    <w:qFormat/>
    <w:uiPriority w:val="0"/>
    <w:rPr>
      <w:rFonts w:hint="default" w:ascii="Consolas" w:hAnsi="Consolas" w:eastAsia="Consolas" w:cs="Consolas"/>
      <w:color w:val="C7254E"/>
      <w:sz w:val="21"/>
      <w:szCs w:val="21"/>
      <w:shd w:val="clear" w:fill="F9F2F4"/>
    </w:rPr>
  </w:style>
  <w:style w:type="character" w:styleId="23">
    <w:name w:val="HTML Cite"/>
    <w:basedOn w:val="15"/>
    <w:semiHidden/>
    <w:unhideWhenUsed/>
    <w:qFormat/>
    <w:uiPriority w:val="0"/>
  </w:style>
  <w:style w:type="character" w:styleId="24">
    <w:name w:val="HTML Keyboard"/>
    <w:basedOn w:val="15"/>
    <w:semiHidden/>
    <w:unhideWhenUsed/>
    <w:qFormat/>
    <w:uiPriority w:val="0"/>
    <w:rPr>
      <w:rFonts w:ascii="Consolas" w:hAnsi="Consolas" w:eastAsia="Consolas" w:cs="Consolas"/>
      <w:color w:val="FFFFFF"/>
      <w:sz w:val="21"/>
      <w:szCs w:val="21"/>
      <w:shd w:val="clear" w:fill="333333"/>
    </w:rPr>
  </w:style>
  <w:style w:type="character" w:styleId="25">
    <w:name w:val="HTML Sample"/>
    <w:basedOn w:val="15"/>
    <w:semiHidden/>
    <w:unhideWhenUsed/>
    <w:qFormat/>
    <w:uiPriority w:val="0"/>
    <w:rPr>
      <w:rFonts w:hint="default" w:ascii="Consolas" w:hAnsi="Consolas" w:eastAsia="Consolas" w:cs="Consolas"/>
      <w:sz w:val="21"/>
      <w:szCs w:val="21"/>
    </w:rPr>
  </w:style>
  <w:style w:type="paragraph" w:customStyle="1" w:styleId="26">
    <w:name w:val="正文（缩进）"/>
    <w:basedOn w:val="1"/>
    <w:qFormat/>
    <w:uiPriority w:val="0"/>
    <w:pPr>
      <w:spacing w:beforeLines="50" w:afterLines="50" w:line="360" w:lineRule="auto"/>
      <w:ind w:firstLine="480" w:firstLineChars="200"/>
    </w:pPr>
    <w:rPr>
      <w:rFonts w:eastAsia="宋体"/>
      <w:sz w:val="24"/>
    </w:rPr>
  </w:style>
  <w:style w:type="paragraph" w:customStyle="1" w:styleId="27">
    <w:name w:val="文档正文"/>
    <w:basedOn w:val="6"/>
    <w:qFormat/>
    <w:uiPriority w:val="0"/>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9">
    <w:name w:val="p0"/>
    <w:basedOn w:val="1"/>
    <w:qFormat/>
    <w:uiPriority w:val="0"/>
    <w:pPr>
      <w:widowControl/>
    </w:pPr>
    <w:rPr>
      <w:rFonts w:ascii="Times New Roman" w:hAnsi="Times New Roman"/>
      <w:kern w:val="0"/>
      <w:szCs w:val="21"/>
    </w:rPr>
  </w:style>
  <w:style w:type="paragraph" w:customStyle="1" w:styleId="30">
    <w:name w:val="样式7"/>
    <w:basedOn w:val="1"/>
    <w:link w:val="34"/>
    <w:qFormat/>
    <w:uiPriority w:val="0"/>
    <w:pPr>
      <w:tabs>
        <w:tab w:val="left" w:pos="360"/>
      </w:tabs>
      <w:outlineLvl w:val="3"/>
    </w:pPr>
    <w:rPr>
      <w:rFonts w:eastAsia="微软雅黑" w:cs="Calibri"/>
      <w:color w:val="000000"/>
      <w:sz w:val="28"/>
      <w:szCs w:val="28"/>
    </w:rPr>
  </w:style>
  <w:style w:type="paragraph" w:customStyle="1" w:styleId="31">
    <w:name w:val="列出段落1"/>
    <w:basedOn w:val="1"/>
    <w:qFormat/>
    <w:uiPriority w:val="34"/>
    <w:pPr>
      <w:ind w:firstLine="420" w:firstLineChars="200"/>
    </w:pPr>
  </w:style>
  <w:style w:type="character" w:customStyle="1" w:styleId="32">
    <w:name w:val="页眉 Char"/>
    <w:link w:val="10"/>
    <w:semiHidden/>
    <w:qFormat/>
    <w:locked/>
    <w:uiPriority w:val="99"/>
    <w:rPr>
      <w:rFonts w:ascii="Calibri" w:hAnsi="Calibri" w:eastAsia="宋体" w:cs="Times New Roman"/>
      <w:sz w:val="18"/>
      <w:szCs w:val="18"/>
    </w:rPr>
  </w:style>
  <w:style w:type="character" w:customStyle="1" w:styleId="33">
    <w:name w:val="页脚 Char"/>
    <w:link w:val="9"/>
    <w:qFormat/>
    <w:uiPriority w:val="99"/>
    <w:rPr>
      <w:sz w:val="18"/>
      <w:szCs w:val="18"/>
    </w:rPr>
  </w:style>
  <w:style w:type="character" w:customStyle="1" w:styleId="34">
    <w:name w:val="样式7 Char"/>
    <w:basedOn w:val="15"/>
    <w:link w:val="30"/>
    <w:qFormat/>
    <w:locked/>
    <w:uiPriority w:val="0"/>
    <w:rPr>
      <w:rFonts w:eastAsia="微软雅黑" w:cs="Calibri"/>
      <w:color w:val="000000"/>
      <w:kern w:val="2"/>
      <w:sz w:val="28"/>
      <w:szCs w:val="28"/>
    </w:rPr>
  </w:style>
  <w:style w:type="character" w:customStyle="1" w:styleId="35">
    <w:name w:val="批注框文本 Char"/>
    <w:basedOn w:val="15"/>
    <w:link w:val="8"/>
    <w:semiHidden/>
    <w:qFormat/>
    <w:uiPriority w:val="0"/>
    <w:rPr>
      <w:rFonts w:cs="Times New Roman"/>
      <w:kern w:val="2"/>
      <w:sz w:val="18"/>
      <w:szCs w:val="18"/>
    </w:rPr>
  </w:style>
  <w:style w:type="character" w:customStyle="1" w:styleId="36">
    <w:name w:val="日期 Char"/>
    <w:basedOn w:val="15"/>
    <w:link w:val="7"/>
    <w:semiHidden/>
    <w:qFormat/>
    <w:uiPriority w:val="0"/>
    <w:rPr>
      <w:rFonts w:cs="Times New Roman"/>
      <w:kern w:val="2"/>
      <w:sz w:val="21"/>
      <w:szCs w:val="22"/>
    </w:rPr>
  </w:style>
  <w:style w:type="character" w:customStyle="1" w:styleId="37">
    <w:name w:val="font01"/>
    <w:qFormat/>
    <w:uiPriority w:val="0"/>
    <w:rPr>
      <w:rFonts w:hint="eastAsia" w:ascii="宋体" w:hAnsi="宋体" w:eastAsia="宋体" w:cs="宋体"/>
      <w:color w:val="000000"/>
      <w:sz w:val="18"/>
      <w:szCs w:val="18"/>
      <w:u w:val="none"/>
    </w:rPr>
  </w:style>
  <w:style w:type="paragraph" w:customStyle="1" w:styleId="38">
    <w:name w:val="_Style 3"/>
    <w:basedOn w:val="1"/>
    <w:qFormat/>
    <w:uiPriority w:val="0"/>
    <w:rPr>
      <w:rFonts w:ascii="Times New Roman" w:hAnsi="Times New Roman"/>
      <w:sz w:val="28"/>
      <w:szCs w:val="24"/>
    </w:rPr>
  </w:style>
  <w:style w:type="character" w:customStyle="1" w:styleId="39">
    <w:name w:val="NormalCharacter"/>
    <w:semiHidden/>
    <w:qFormat/>
    <w:uiPriority w:val="0"/>
  </w:style>
  <w:style w:type="character" w:customStyle="1" w:styleId="40">
    <w:name w:val="layui-this"/>
    <w:basedOn w:val="15"/>
    <w:qFormat/>
    <w:uiPriority w:val="0"/>
    <w:rPr>
      <w:bdr w:val="single" w:color="EEEEEE" w:sz="6" w:space="0"/>
      <w:shd w:val="clear" w:fill="FFFFFF"/>
    </w:rPr>
  </w:style>
  <w:style w:type="character" w:customStyle="1" w:styleId="41">
    <w:name w:val="first-child"/>
    <w:basedOn w:val="15"/>
    <w:qFormat/>
    <w:uiPriority w:val="0"/>
  </w:style>
  <w:style w:type="paragraph" w:customStyle="1" w:styleId="42">
    <w:name w:val="正文缩进1"/>
    <w:basedOn w:val="1"/>
    <w:qFormat/>
    <w:uiPriority w:val="0"/>
    <w:pPr>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8BC9F-56EC-409E-9003-5979FDA4D02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830</Words>
  <Characters>4732</Characters>
  <Lines>39</Lines>
  <Paragraphs>11</Paragraphs>
  <TotalTime>0</TotalTime>
  <ScaleCrop>false</ScaleCrop>
  <LinksUpToDate>false</LinksUpToDate>
  <CharactersWithSpaces>5551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2017-03-15T08:42:00Z</dcterms:created>
  <dc:creator>舒雪飞/资产与后勤管理处、招投标管理办公室/武汉交通职业学院</dc:creator>
  <cp:lastModifiedBy>Administrator</cp:lastModifiedBy>
  <cp:lastPrinted>2018-04-09T02:55:00Z</cp:lastPrinted>
  <dcterms:modified xsi:type="dcterms:W3CDTF">2021-05-18T02:53:34Z</dcterms:modified>
  <dc:title>湖北省机构编制委员会办公室</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