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sz w:val="24"/>
          <w:szCs w:val="24"/>
        </w:rPr>
      </w:pPr>
      <w:bookmarkStart w:id="1" w:name="_GoBack"/>
      <w:bookmarkEnd w:id="1"/>
      <w:r>
        <w:rPr>
          <w:sz w:val="24"/>
          <w:szCs w:val="24"/>
        </w:rPr>
        <w:t>附件</w:t>
      </w:r>
      <w:r>
        <w:rPr>
          <w:rFonts w:hint="eastAsia"/>
          <w:sz w:val="24"/>
          <w:szCs w:val="24"/>
        </w:rPr>
        <w:t>一</w:t>
      </w:r>
      <w:r>
        <w:rPr>
          <w:sz w:val="24"/>
          <w:szCs w:val="24"/>
        </w:rPr>
        <w:t>：项目采购需求：</w:t>
      </w:r>
    </w:p>
    <w:p>
      <w:pPr>
        <w:numPr>
          <w:ilvl w:val="0"/>
          <w:numId w:val="0"/>
        </w:numPr>
        <w:spacing w:line="360" w:lineRule="auto"/>
        <w:jc w:val="center"/>
        <w:rPr>
          <w:rFonts w:ascii="Times New Roman" w:hAnsi="Times New Roman" w:cs="Times New Roman"/>
          <w:b/>
          <w:sz w:val="36"/>
          <w:szCs w:val="36"/>
        </w:rPr>
      </w:pPr>
      <w:r>
        <w:rPr>
          <w:rFonts w:ascii="Times New Roman" w:hAnsi="Times New Roman" w:cs="Times New Roman"/>
          <w:b/>
          <w:sz w:val="36"/>
          <w:szCs w:val="36"/>
          <w:lang w:val="hr-HR" w:bidi="ar-EG"/>
        </w:rPr>
        <w:t>采购</w:t>
      </w:r>
      <w:r>
        <w:rPr>
          <w:rFonts w:ascii="Times New Roman" w:hAnsi="Times New Roman" w:cs="Times New Roman"/>
          <w:b/>
          <w:sz w:val="36"/>
          <w:szCs w:val="36"/>
        </w:rPr>
        <w:t>货物</w:t>
      </w:r>
      <w:r>
        <w:rPr>
          <w:rFonts w:hint="eastAsia" w:ascii="Times New Roman" w:hAnsi="Times New Roman" w:cs="Times New Roman"/>
          <w:b/>
          <w:sz w:val="36"/>
          <w:szCs w:val="36"/>
        </w:rPr>
        <w:t>（服务）</w:t>
      </w:r>
      <w:r>
        <w:rPr>
          <w:rFonts w:ascii="Times New Roman" w:hAnsi="Times New Roman" w:cs="Times New Roman"/>
          <w:b/>
          <w:sz w:val="36"/>
          <w:szCs w:val="36"/>
        </w:rPr>
        <w:t>要求</w:t>
      </w:r>
    </w:p>
    <w:p>
      <w:pPr>
        <w:pStyle w:val="21"/>
        <w:ind w:left="1140" w:firstLine="0" w:firstLineChars="0"/>
        <w:jc w:val="center"/>
        <w:rPr>
          <w:rFonts w:hint="eastAsia" w:ascii="黑体" w:hAnsi="Calibri" w:eastAsia="黑体" w:cs="黑体"/>
          <w:color w:val="auto"/>
          <w:sz w:val="28"/>
          <w:szCs w:val="28"/>
          <w:lang w:eastAsia="zh-CN"/>
        </w:rPr>
      </w:pPr>
    </w:p>
    <w:p>
      <w:pPr>
        <w:spacing w:line="360" w:lineRule="auto"/>
        <w:rPr>
          <w:rFonts w:hint="eastAsia" w:ascii="宋体" w:hAnsi="宋体" w:eastAsia="宋体"/>
          <w:bCs/>
          <w:kern w:val="44"/>
          <w:sz w:val="24"/>
          <w:lang w:eastAsia="zh-CN"/>
        </w:rPr>
      </w:pPr>
      <w:r>
        <w:rPr>
          <w:rFonts w:hint="eastAsia" w:ascii="宋体" w:hAnsi="宋体"/>
          <w:bCs/>
          <w:kern w:val="44"/>
          <w:sz w:val="24"/>
        </w:rPr>
        <w:t>1、采购内容：</w:t>
      </w:r>
      <w:r>
        <w:rPr>
          <w:rFonts w:hint="eastAsia" w:ascii="宋体" w:hAnsi="宋体" w:eastAsia="宋体" w:cs="宋体"/>
          <w:bCs/>
          <w:kern w:val="0"/>
          <w:sz w:val="24"/>
          <w:szCs w:val="24"/>
          <w:lang w:eastAsia="zh-CN"/>
        </w:rPr>
        <w:t>2017年度阳新县浮屠镇山下村陈朝玉等26个土地开发项目-新增翻耕项目</w:t>
      </w:r>
    </w:p>
    <w:p>
      <w:pPr>
        <w:spacing w:line="360" w:lineRule="auto"/>
        <w:rPr>
          <w:rFonts w:ascii="宋体" w:hAnsi="宋体"/>
          <w:bCs/>
          <w:kern w:val="44"/>
          <w:sz w:val="24"/>
        </w:rPr>
      </w:pPr>
      <w:r>
        <w:rPr>
          <w:rFonts w:hint="eastAsia" w:ascii="宋体" w:hAnsi="宋体"/>
          <w:bCs/>
          <w:kern w:val="44"/>
          <w:sz w:val="24"/>
        </w:rPr>
        <w:t>2、工期：</w:t>
      </w:r>
      <w:r>
        <w:rPr>
          <w:rFonts w:hint="eastAsia"/>
          <w:sz w:val="24"/>
        </w:rPr>
        <w:t>合同签订后</w:t>
      </w:r>
      <w:r>
        <w:rPr>
          <w:rFonts w:hint="eastAsia" w:ascii="宋体" w:hAnsi="宋体"/>
          <w:bCs/>
          <w:kern w:val="44"/>
          <w:sz w:val="24"/>
          <w:u w:val="single"/>
          <w:lang w:val="en-US" w:eastAsia="zh-CN"/>
        </w:rPr>
        <w:t xml:space="preserve">  90  </w:t>
      </w:r>
      <w:r>
        <w:rPr>
          <w:rFonts w:hint="eastAsia" w:ascii="宋体" w:hAnsi="宋体"/>
          <w:bCs/>
          <w:kern w:val="44"/>
          <w:sz w:val="24"/>
        </w:rPr>
        <w:t>日历天。开工时间以建设单位开工令为准。</w:t>
      </w:r>
    </w:p>
    <w:p>
      <w:pPr>
        <w:spacing w:line="360" w:lineRule="auto"/>
        <w:rPr>
          <w:rFonts w:hint="eastAsia" w:ascii="宋体" w:hAnsi="宋体" w:eastAsia="宋体"/>
          <w:bCs/>
          <w:kern w:val="44"/>
          <w:sz w:val="24"/>
          <w:lang w:val="en-US" w:eastAsia="zh-CN"/>
        </w:rPr>
      </w:pPr>
      <w:r>
        <w:rPr>
          <w:rFonts w:hint="eastAsia" w:ascii="宋体" w:hAnsi="宋体"/>
          <w:bCs/>
          <w:kern w:val="44"/>
          <w:sz w:val="24"/>
        </w:rPr>
        <w:t>3、施工地点：阳新县</w:t>
      </w:r>
    </w:p>
    <w:p>
      <w:pPr>
        <w:spacing w:line="360" w:lineRule="auto"/>
        <w:rPr>
          <w:rFonts w:ascii="宋体" w:hAnsi="宋体"/>
          <w:bCs/>
          <w:kern w:val="44"/>
          <w:sz w:val="24"/>
        </w:rPr>
      </w:pPr>
      <w:r>
        <w:rPr>
          <w:rFonts w:hint="eastAsia" w:ascii="宋体" w:hAnsi="宋体"/>
          <w:bCs/>
          <w:kern w:val="44"/>
          <w:sz w:val="24"/>
        </w:rPr>
        <w:t>4、采购预算：</w:t>
      </w:r>
      <w:r>
        <w:rPr>
          <w:rFonts w:hint="eastAsia" w:ascii="宋体" w:hAnsi="宋体" w:eastAsia="宋体" w:cs="宋体"/>
          <w:kern w:val="0"/>
          <w:szCs w:val="21"/>
          <w:lang w:val="en-US" w:eastAsia="zh-CN"/>
        </w:rPr>
        <w:t>251.8932</w:t>
      </w:r>
      <w:r>
        <w:rPr>
          <w:rFonts w:hint="eastAsia" w:ascii="宋体" w:hAnsi="宋体"/>
          <w:bCs/>
          <w:kern w:val="44"/>
          <w:sz w:val="24"/>
        </w:rPr>
        <w:t>万元，超过预算作无效投标处理。</w:t>
      </w:r>
    </w:p>
    <w:p>
      <w:pPr>
        <w:spacing w:line="360" w:lineRule="auto"/>
        <w:rPr>
          <w:rFonts w:hint="eastAsia" w:ascii="宋体" w:hAnsi="宋体" w:eastAsia="宋体"/>
          <w:bCs/>
          <w:kern w:val="44"/>
          <w:sz w:val="24"/>
          <w:lang w:eastAsia="zh-CN"/>
        </w:rPr>
      </w:pPr>
      <w:r>
        <w:rPr>
          <w:rFonts w:hint="eastAsia" w:ascii="宋体" w:hAnsi="宋体"/>
          <w:bCs/>
          <w:kern w:val="44"/>
          <w:sz w:val="24"/>
        </w:rPr>
        <w:t>5、质量目标：达到国家规定的验收合格标准</w:t>
      </w:r>
      <w:r>
        <w:rPr>
          <w:rFonts w:hint="eastAsia" w:ascii="宋体" w:hAnsi="宋体"/>
          <w:bCs/>
          <w:kern w:val="44"/>
          <w:sz w:val="24"/>
          <w:lang w:eastAsia="zh-CN"/>
        </w:rPr>
        <w:t>。</w:t>
      </w:r>
    </w:p>
    <w:p>
      <w:pPr>
        <w:spacing w:line="360" w:lineRule="auto"/>
        <w:rPr>
          <w:rFonts w:ascii="宋体" w:hAnsi="宋体"/>
          <w:bCs/>
          <w:kern w:val="44"/>
          <w:sz w:val="24"/>
        </w:rPr>
      </w:pPr>
      <w:r>
        <w:rPr>
          <w:rFonts w:hint="eastAsia" w:ascii="宋体" w:hAnsi="宋体"/>
          <w:bCs/>
          <w:kern w:val="44"/>
          <w:sz w:val="24"/>
        </w:rPr>
        <w:t>6、工程量清单见附件。</w:t>
      </w:r>
    </w:p>
    <w:p>
      <w:pPr>
        <w:pStyle w:val="21"/>
        <w:widowControl w:val="0"/>
        <w:numPr>
          <w:ilvl w:val="0"/>
          <w:numId w:val="0"/>
        </w:numPr>
        <w:spacing w:line="360" w:lineRule="auto"/>
        <w:jc w:val="left"/>
        <w:rPr>
          <w:rFonts w:hint="eastAsia" w:ascii="黑体" w:hAnsi="Calibri" w:eastAsia="黑体" w:cs="黑体"/>
          <w:color w:val="auto"/>
          <w:sz w:val="28"/>
          <w:szCs w:val="28"/>
          <w:lang w:eastAsia="zh-CN"/>
        </w:rPr>
      </w:pPr>
      <w:r>
        <w:rPr>
          <w:rFonts w:hint="eastAsia" w:ascii="宋体" w:hAnsi="宋体"/>
          <w:bCs/>
          <w:kern w:val="44"/>
          <w:sz w:val="24"/>
        </w:rPr>
        <w:t>7、付款方式：以双方协商为准</w:t>
      </w:r>
    </w:p>
    <w:p>
      <w:pPr>
        <w:rPr>
          <w:rFonts w:hint="eastAsia" w:ascii="Times New Roman" w:hAnsi="Times New Roman" w:eastAsia="宋体" w:cs="Times New Roman"/>
          <w:b/>
          <w:sz w:val="36"/>
          <w:szCs w:val="36"/>
          <w:lang w:eastAsia="zh-CN"/>
        </w:rPr>
      </w:pPr>
      <w:r>
        <w:rPr>
          <w:rFonts w:ascii="Times New Roman" w:hAnsi="Times New Roman" w:cs="Times New Roman"/>
          <w:b/>
          <w:sz w:val="36"/>
          <w:szCs w:val="36"/>
        </w:rPr>
        <w:pict>
          <v:shape id="_x0000_s2050" o:spid="_x0000_s2050" o:spt="75" type="#_x0000_t75" style="position:absolute;left:0pt;margin-left:-31.6pt;margin-top:57.1pt;height:42.75pt;width:443.25pt;mso-wrap-distance-bottom:0pt;mso-wrap-distance-left:9pt;mso-wrap-distance-right:9pt;mso-wrap-distance-top:0pt;z-index:251659264;mso-width-relative:page;mso-height-relative:page;" o:ole="t" filled="f" o:preferrelative="t" stroked="f" coordsize="21600,21600">
            <v:path/>
            <v:fill on="f" focussize="0,0"/>
            <v:stroke on="f"/>
            <v:imagedata r:id="rId6" o:title=""/>
            <o:lock v:ext="edit" aspectratio="t"/>
            <w10:wrap type="square"/>
          </v:shape>
          <o:OLEObject Type="Embed" ProgID="Package" ShapeID="_x0000_s2050" DrawAspect="Content" ObjectID="_1468075725" r:id="rId5">
            <o:LockedField>false</o:LockedField>
          </o:OLEObject>
        </w:pict>
      </w:r>
      <w:r>
        <w:rPr>
          <w:rFonts w:hint="eastAsia" w:ascii="Times New Roman" w:hAnsi="Times New Roman" w:cs="Times New Roman"/>
          <w:b/>
          <w:sz w:val="36"/>
          <w:szCs w:val="36"/>
          <w:lang w:eastAsia="zh-CN"/>
        </w:rPr>
        <w:t>附件：</w:t>
      </w:r>
      <w:r>
        <w:rPr>
          <w:rFonts w:ascii="Times New Roman" w:hAnsi="Times New Roman" w:cs="Times New Roman"/>
          <w:b/>
          <w:sz w:val="36"/>
          <w:szCs w:val="36"/>
        </w:rPr>
        <w:br w:type="page"/>
      </w:r>
    </w:p>
    <w:p>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评审办法及评分标准</w:t>
      </w:r>
    </w:p>
    <w:p>
      <w:pPr>
        <w:pStyle w:val="13"/>
        <w:spacing w:line="500" w:lineRule="exact"/>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根据《中华人民共和国政府采购法》、《中华人民共和国政府采购法实施条例》、《政府采购竞争性磋商采购方式管理暂行办法》及省、市有关规定，磋商小组成员按照客观、公正、谨慎的原则，根据采购文件规定的评审程序、评审方法和评审标准进行独立评审，确定成交供应商。</w:t>
      </w:r>
    </w:p>
    <w:p>
      <w:pPr>
        <w:pStyle w:val="13"/>
        <w:spacing w:line="500" w:lineRule="exact"/>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本次采购遵循公平竞争原则、公正原则和诚实信用原则。</w:t>
      </w:r>
    </w:p>
    <w:p>
      <w:pPr>
        <w:adjustRightInd w:val="0"/>
        <w:snapToGrid w:val="0"/>
        <w:spacing w:line="360" w:lineRule="auto"/>
        <w:rPr>
          <w:b/>
          <w:bCs/>
          <w:sz w:val="24"/>
          <w:lang w:val="zh-CN"/>
        </w:rPr>
      </w:pPr>
      <w:r>
        <w:rPr>
          <w:rFonts w:hint="eastAsia"/>
          <w:b/>
          <w:bCs/>
          <w:sz w:val="24"/>
          <w:lang w:val="zh-CN"/>
        </w:rPr>
        <w:t>（一）评审方法</w:t>
      </w:r>
    </w:p>
    <w:p>
      <w:pPr>
        <w:adjustRightInd w:val="0"/>
        <w:snapToGrid w:val="0"/>
        <w:spacing w:line="360" w:lineRule="auto"/>
        <w:ind w:firstLine="480" w:firstLineChars="200"/>
        <w:rPr>
          <w:bCs/>
          <w:sz w:val="24"/>
        </w:rPr>
      </w:pPr>
      <w:r>
        <w:rPr>
          <w:rFonts w:hint="eastAsia"/>
          <w:bCs/>
          <w:sz w:val="24"/>
          <w:lang w:val="zh-CN"/>
        </w:rPr>
        <w:t>本次评审采用综合评分法。即满分</w:t>
      </w:r>
      <w:r>
        <w:rPr>
          <w:bCs/>
          <w:sz w:val="24"/>
          <w:lang w:val="zh-CN"/>
        </w:rPr>
        <w:t>100</w:t>
      </w:r>
      <w:r>
        <w:rPr>
          <w:rFonts w:hint="eastAsia"/>
          <w:bCs/>
          <w:sz w:val="24"/>
          <w:lang w:val="zh-CN"/>
        </w:rPr>
        <w:t>分，其中综合评议占</w:t>
      </w:r>
      <w:r>
        <w:rPr>
          <w:rFonts w:hint="eastAsia"/>
          <w:bCs/>
          <w:sz w:val="24"/>
          <w:lang w:val="en-US" w:eastAsia="zh-CN"/>
        </w:rPr>
        <w:t>10</w:t>
      </w:r>
      <w:r>
        <w:rPr>
          <w:bCs/>
          <w:sz w:val="24"/>
          <w:lang w:val="zh-CN"/>
        </w:rPr>
        <w:t>%</w:t>
      </w:r>
      <w:r>
        <w:rPr>
          <w:rFonts w:hint="eastAsia"/>
          <w:bCs/>
          <w:sz w:val="24"/>
          <w:lang w:val="zh-CN"/>
        </w:rPr>
        <w:t>，技术评议占</w:t>
      </w:r>
      <w:r>
        <w:rPr>
          <w:rFonts w:hint="eastAsia"/>
          <w:bCs/>
          <w:sz w:val="24"/>
          <w:lang w:val="en-US" w:eastAsia="zh-CN"/>
        </w:rPr>
        <w:t>60</w:t>
      </w:r>
      <w:r>
        <w:rPr>
          <w:rFonts w:hint="eastAsia"/>
          <w:bCs/>
          <w:sz w:val="24"/>
          <w:lang w:val="zh-CN"/>
        </w:rPr>
        <w:t>％，报价占</w:t>
      </w:r>
      <w:r>
        <w:rPr>
          <w:rFonts w:hint="eastAsia"/>
          <w:bCs/>
          <w:sz w:val="24"/>
          <w:lang w:val="en-US" w:eastAsia="zh-CN"/>
        </w:rPr>
        <w:t>30</w:t>
      </w:r>
      <w:r>
        <w:rPr>
          <w:bCs/>
          <w:sz w:val="24"/>
          <w:lang w:val="zh-CN"/>
        </w:rPr>
        <w:t>%</w:t>
      </w:r>
      <w:r>
        <w:rPr>
          <w:rFonts w:hint="eastAsia"/>
          <w:bCs/>
          <w:sz w:val="24"/>
          <w:lang w:val="zh-CN"/>
        </w:rPr>
        <w:t>。</w:t>
      </w:r>
    </w:p>
    <w:p>
      <w:pPr>
        <w:adjustRightInd w:val="0"/>
        <w:snapToGrid w:val="0"/>
        <w:spacing w:line="360" w:lineRule="auto"/>
        <w:rPr>
          <w:b/>
          <w:bCs/>
          <w:sz w:val="24"/>
          <w:lang w:val="zh-CN"/>
        </w:rPr>
      </w:pPr>
      <w:r>
        <w:rPr>
          <w:rFonts w:hint="eastAsia"/>
          <w:b/>
          <w:bCs/>
          <w:sz w:val="24"/>
          <w:lang w:val="zh-CN"/>
        </w:rPr>
        <w:t>（二）评审步骤</w:t>
      </w:r>
    </w:p>
    <w:p>
      <w:pPr>
        <w:adjustRightInd w:val="0"/>
        <w:snapToGrid w:val="0"/>
        <w:spacing w:line="360" w:lineRule="auto"/>
        <w:rPr>
          <w:bCs/>
          <w:sz w:val="24"/>
          <w:lang w:val="zh-CN"/>
        </w:rPr>
      </w:pPr>
      <w:r>
        <w:rPr>
          <w:rFonts w:hint="eastAsia"/>
          <w:bCs/>
          <w:sz w:val="24"/>
          <w:lang w:val="zh-CN"/>
        </w:rPr>
        <w:t>磋商小组对响应文件的评审分为资格性符合性检查、商务服务评议和价格评议：</w:t>
      </w:r>
    </w:p>
    <w:p>
      <w:pPr>
        <w:adjustRightInd w:val="0"/>
        <w:snapToGrid w:val="0"/>
        <w:spacing w:line="360" w:lineRule="auto"/>
        <w:rPr>
          <w:bCs/>
          <w:sz w:val="24"/>
          <w:lang w:val="zh-CN"/>
        </w:rPr>
      </w:pPr>
      <w:r>
        <w:rPr>
          <w:bCs/>
          <w:sz w:val="24"/>
          <w:lang w:val="zh-CN"/>
        </w:rPr>
        <w:t>1.</w:t>
      </w:r>
      <w:r>
        <w:rPr>
          <w:rFonts w:hint="eastAsia"/>
          <w:bCs/>
          <w:sz w:val="24"/>
          <w:lang w:val="zh-CN"/>
        </w:rPr>
        <w:t>资格性符合性检查表</w:t>
      </w:r>
    </w:p>
    <w:p>
      <w:pPr>
        <w:adjustRightInd w:val="0"/>
        <w:snapToGrid w:val="0"/>
        <w:spacing w:line="360" w:lineRule="auto"/>
        <w:ind w:firstLine="480" w:firstLineChars="200"/>
        <w:rPr>
          <w:bCs/>
          <w:sz w:val="24"/>
          <w:lang w:val="zh-CN"/>
        </w:rPr>
      </w:pPr>
      <w:r>
        <w:rPr>
          <w:rFonts w:hint="eastAsia"/>
          <w:bCs/>
          <w:sz w:val="24"/>
          <w:lang w:val="zh-CN"/>
        </w:rPr>
        <w:t>磋商小组验证各供应商代表或委托授权人的身份。供应商代表或委托授权人身份与响应文件不符的、响应文件未按要求加盖印章和签字的，磋商小组有权拒绝该供应商参加磋商。</w:t>
      </w:r>
    </w:p>
    <w:p>
      <w:pPr>
        <w:adjustRightInd w:val="0"/>
        <w:snapToGrid w:val="0"/>
        <w:spacing w:line="360" w:lineRule="auto"/>
        <w:rPr>
          <w:bCs/>
          <w:sz w:val="24"/>
        </w:rPr>
      </w:pPr>
      <w:r>
        <w:rPr>
          <w:bCs/>
          <w:sz w:val="24"/>
          <w:lang w:val="zh-CN"/>
        </w:rPr>
        <w:t>2.</w:t>
      </w:r>
      <w:r>
        <w:rPr>
          <w:rFonts w:hint="eastAsia"/>
          <w:bCs/>
          <w:sz w:val="24"/>
          <w:lang w:val="zh-CN"/>
        </w:rPr>
        <w:t>综合评议（占</w:t>
      </w:r>
      <w:r>
        <w:rPr>
          <w:rFonts w:hint="eastAsia"/>
          <w:bCs/>
          <w:sz w:val="24"/>
        </w:rPr>
        <w:t>10</w:t>
      </w:r>
      <w:r>
        <w:rPr>
          <w:bCs/>
          <w:sz w:val="24"/>
          <w:lang w:val="zh-CN"/>
        </w:rPr>
        <w:t>%</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磋商小组依据“综合评议评分表”中的分值及标准进行评分。</w:t>
      </w:r>
    </w:p>
    <w:p>
      <w:pPr>
        <w:adjustRightInd w:val="0"/>
        <w:snapToGrid w:val="0"/>
        <w:spacing w:line="360" w:lineRule="auto"/>
        <w:rPr>
          <w:bCs/>
          <w:sz w:val="24"/>
        </w:rPr>
      </w:pPr>
      <w:r>
        <w:rPr>
          <w:bCs/>
          <w:sz w:val="24"/>
          <w:lang w:val="zh-CN"/>
        </w:rPr>
        <w:t>3.</w:t>
      </w:r>
      <w:r>
        <w:rPr>
          <w:rFonts w:hint="eastAsia"/>
          <w:bCs/>
          <w:sz w:val="24"/>
          <w:lang w:val="zh-CN"/>
        </w:rPr>
        <w:t>技术服务评议（占</w:t>
      </w:r>
      <w:r>
        <w:rPr>
          <w:rFonts w:hint="eastAsia"/>
          <w:bCs/>
          <w:sz w:val="24"/>
          <w:lang w:val="en-US" w:eastAsia="zh-CN"/>
        </w:rPr>
        <w:t>6</w:t>
      </w:r>
      <w:r>
        <w:rPr>
          <w:rFonts w:hint="eastAsia"/>
          <w:bCs/>
          <w:sz w:val="24"/>
        </w:rPr>
        <w:t>0</w:t>
      </w:r>
      <w:r>
        <w:rPr>
          <w:bCs/>
          <w:sz w:val="24"/>
          <w:lang w:val="zh-CN"/>
        </w:rPr>
        <w:t>%</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磋商小组依据“技术服务评议评分表”中的分值及标准进行评分。</w:t>
      </w:r>
    </w:p>
    <w:p>
      <w:pPr>
        <w:adjustRightInd w:val="0"/>
        <w:snapToGrid w:val="0"/>
        <w:spacing w:line="360" w:lineRule="auto"/>
        <w:rPr>
          <w:bCs/>
          <w:sz w:val="24"/>
          <w:lang w:val="zh-CN"/>
        </w:rPr>
      </w:pPr>
      <w:r>
        <w:rPr>
          <w:bCs/>
          <w:sz w:val="24"/>
          <w:lang w:val="zh-CN"/>
        </w:rPr>
        <w:t>4.</w:t>
      </w:r>
      <w:r>
        <w:rPr>
          <w:rFonts w:hint="eastAsia"/>
          <w:bCs/>
          <w:sz w:val="24"/>
          <w:lang w:val="zh-CN"/>
        </w:rPr>
        <w:t>价格评议（占</w:t>
      </w:r>
      <w:r>
        <w:rPr>
          <w:rFonts w:hint="eastAsia"/>
          <w:bCs/>
          <w:sz w:val="24"/>
          <w:lang w:val="en-US" w:eastAsia="zh-CN"/>
        </w:rPr>
        <w:t>3</w:t>
      </w:r>
      <w:r>
        <w:rPr>
          <w:bCs/>
          <w:sz w:val="24"/>
          <w:lang w:val="zh-CN"/>
        </w:rPr>
        <w:t>0%</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价格分采用低价优先法计算，即满足磋商文件要求且最后报价最低的供应商的价格为磋商基准价，其价格分为满分。其他供应商的价格分统一按照下列公式计算：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firstLine="480" w:firstLineChars="200"/>
        <w:rPr>
          <w:bCs/>
          <w:sz w:val="24"/>
          <w:lang w:val="zh-CN"/>
        </w:rPr>
      </w:pPr>
      <w:r>
        <w:rPr>
          <w:rFonts w:hint="eastAsia"/>
          <w:bCs/>
          <w:sz w:val="24"/>
          <w:lang w:val="zh-CN"/>
        </w:rPr>
        <w:t>磋商报价得分</w:t>
      </w:r>
      <w:r>
        <w:rPr>
          <w:bCs/>
          <w:sz w:val="24"/>
          <w:lang w:val="zh-CN"/>
        </w:rPr>
        <w:t>=</w:t>
      </w:r>
      <w:r>
        <w:rPr>
          <w:rFonts w:hint="eastAsia"/>
          <w:bCs/>
          <w:sz w:val="24"/>
          <w:lang w:val="zh-CN"/>
        </w:rPr>
        <w:t>（磋商基准价</w:t>
      </w:r>
      <w:r>
        <w:rPr>
          <w:bCs/>
          <w:sz w:val="24"/>
          <w:lang w:val="zh-CN"/>
        </w:rPr>
        <w:t>/</w:t>
      </w:r>
      <w:r>
        <w:rPr>
          <w:rFonts w:hint="eastAsia"/>
          <w:bCs/>
          <w:sz w:val="24"/>
          <w:lang w:val="zh-CN"/>
        </w:rPr>
        <w:t>最后磋商报价）×</w:t>
      </w:r>
      <w:r>
        <w:rPr>
          <w:rFonts w:hint="eastAsia" w:ascii="宋体" w:hAnsi="宋体" w:cs="宋体"/>
          <w:color w:val="000000"/>
        </w:rPr>
        <w:t>价格权值</w:t>
      </w:r>
      <w:r>
        <w:rPr>
          <w:rFonts w:hint="eastAsia"/>
          <w:bCs/>
          <w:sz w:val="24"/>
          <w:lang w:val="zh-CN"/>
        </w:rPr>
        <w:t>×</w:t>
      </w:r>
      <w:r>
        <w:rPr>
          <w:bCs/>
          <w:sz w:val="24"/>
          <w:lang w:val="zh-CN"/>
        </w:rPr>
        <w:t>100</w:t>
      </w:r>
    </w:p>
    <w:p>
      <w:pPr>
        <w:adjustRightInd w:val="0"/>
        <w:snapToGrid w:val="0"/>
        <w:spacing w:line="360" w:lineRule="auto"/>
        <w:rPr>
          <w:bCs/>
          <w:sz w:val="24"/>
          <w:lang w:val="zh-CN"/>
        </w:rPr>
      </w:pPr>
      <w:r>
        <w:rPr>
          <w:bCs/>
          <w:sz w:val="24"/>
          <w:lang w:val="zh-CN"/>
        </w:rPr>
        <w:t>5.</w:t>
      </w:r>
      <w:r>
        <w:rPr>
          <w:rFonts w:hint="eastAsia"/>
          <w:bCs/>
          <w:sz w:val="24"/>
          <w:lang w:val="zh-CN"/>
        </w:rPr>
        <w:t>推荐成交候选供应商</w:t>
      </w:r>
    </w:p>
    <w:p>
      <w:pPr>
        <w:rPr>
          <w:rFonts w:ascii="Times New Roman" w:hAnsi="Times New Roman" w:cs="Times New Roman"/>
          <w:b/>
          <w:sz w:val="36"/>
          <w:szCs w:val="36"/>
        </w:rPr>
      </w:pPr>
      <w:r>
        <w:rPr>
          <w:rFonts w:hint="eastAsia"/>
          <w:bCs/>
          <w:sz w:val="24"/>
          <w:lang w:val="zh-CN"/>
        </w:rPr>
        <w:t>评磋商小组应当根据综合评分情况，按照评审得分由高到低顺序推荐</w:t>
      </w:r>
      <w:r>
        <w:rPr>
          <w:bCs/>
          <w:sz w:val="24"/>
          <w:lang w:val="zh-CN"/>
        </w:rPr>
        <w:t>3</w:t>
      </w:r>
      <w:r>
        <w:rPr>
          <w:rFonts w:hint="eastAsia"/>
          <w:bCs/>
          <w:sz w:val="24"/>
          <w:lang w:val="zh-CN"/>
        </w:rPr>
        <w:t>名以上成交候选供应商，并编写评审报告。评审得分相同的，按照最后报价由低到高的顺序推荐。评审得分且最后报价相同的，按照技术指标优劣顺序推荐。</w:t>
      </w:r>
      <w:r>
        <w:rPr>
          <w:rFonts w:ascii="Times New Roman" w:hAnsi="Times New Roman" w:cs="Times New Roman"/>
          <w:b/>
          <w:sz w:val="36"/>
          <w:szCs w:val="36"/>
        </w:rPr>
        <w:br w:type="page"/>
      </w:r>
    </w:p>
    <w:p>
      <w:pPr>
        <w:pStyle w:val="21"/>
      </w:pPr>
    </w:p>
    <w:p>
      <w:pPr>
        <w:pStyle w:val="4"/>
        <w:spacing w:before="0" w:after="0" w:line="360" w:lineRule="auto"/>
        <w:jc w:val="center"/>
        <w:rPr>
          <w:rFonts w:hint="eastAsia" w:ascii="宋体" w:hAnsi="宋体" w:eastAsia="宋体"/>
        </w:rPr>
      </w:pPr>
      <w:bookmarkStart w:id="0" w:name="_Toc425944899"/>
      <w:r>
        <w:rPr>
          <w:rFonts w:hint="eastAsia" w:ascii="宋体" w:hAnsi="宋体" w:eastAsia="宋体"/>
        </w:rPr>
        <w:t>评审方法前附表</w:t>
      </w:r>
      <w:bookmarkEnd w:id="0"/>
    </w:p>
    <w:tbl>
      <w:tblPr>
        <w:tblStyle w:val="17"/>
        <w:tblW w:w="93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3"/>
        <w:gridCol w:w="1198"/>
        <w:gridCol w:w="558"/>
        <w:gridCol w:w="6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863" w:type="dxa"/>
          </w:tcPr>
          <w:p>
            <w:pPr>
              <w:jc w:val="center"/>
              <w:rPr>
                <w:rFonts w:ascii="宋体" w:hAnsi="宋体" w:cs="宋体"/>
                <w:b/>
                <w:sz w:val="24"/>
                <w:szCs w:val="20"/>
              </w:rPr>
            </w:pPr>
          </w:p>
        </w:tc>
        <w:tc>
          <w:tcPr>
            <w:tcW w:w="1198" w:type="dxa"/>
            <w:vAlign w:val="center"/>
          </w:tcPr>
          <w:p>
            <w:pPr>
              <w:spacing w:line="360" w:lineRule="auto"/>
              <w:jc w:val="center"/>
              <w:rPr>
                <w:rFonts w:ascii="宋体" w:hAnsi="宋体" w:cs="宋体"/>
                <w:b/>
                <w:color w:val="000000"/>
                <w:sz w:val="20"/>
                <w:szCs w:val="18"/>
              </w:rPr>
            </w:pPr>
            <w:r>
              <w:rPr>
                <w:rFonts w:hint="eastAsia" w:ascii="宋体" w:hAnsi="宋体" w:cs="宋体"/>
                <w:b/>
                <w:color w:val="000000"/>
                <w:sz w:val="20"/>
                <w:szCs w:val="18"/>
              </w:rPr>
              <w:t>评审因素</w:t>
            </w:r>
          </w:p>
        </w:tc>
        <w:tc>
          <w:tcPr>
            <w:tcW w:w="558" w:type="dxa"/>
            <w:vAlign w:val="center"/>
          </w:tcPr>
          <w:p>
            <w:pPr>
              <w:spacing w:line="360" w:lineRule="auto"/>
              <w:ind w:left="-73" w:leftChars="-35" w:right="-80" w:rightChars="-38"/>
              <w:jc w:val="center"/>
              <w:rPr>
                <w:rFonts w:ascii="宋体" w:hAnsi="宋体" w:cs="宋体"/>
                <w:b/>
                <w:color w:val="000000"/>
                <w:sz w:val="20"/>
                <w:szCs w:val="18"/>
              </w:rPr>
            </w:pPr>
            <w:r>
              <w:rPr>
                <w:rFonts w:hint="eastAsia" w:ascii="宋体" w:hAnsi="宋体" w:cs="宋体"/>
                <w:b/>
                <w:color w:val="000000"/>
                <w:sz w:val="20"/>
                <w:szCs w:val="18"/>
              </w:rPr>
              <w:t>分值</w:t>
            </w:r>
          </w:p>
        </w:tc>
        <w:tc>
          <w:tcPr>
            <w:tcW w:w="6780" w:type="dxa"/>
            <w:vAlign w:val="center"/>
          </w:tcPr>
          <w:p>
            <w:pPr>
              <w:spacing w:line="360" w:lineRule="auto"/>
              <w:jc w:val="center"/>
              <w:rPr>
                <w:rFonts w:ascii="宋体" w:hAnsi="宋体" w:cs="宋体"/>
                <w:b/>
                <w:color w:val="000000"/>
                <w:sz w:val="20"/>
                <w:szCs w:val="18"/>
              </w:rPr>
            </w:pPr>
            <w:r>
              <w:rPr>
                <w:rFonts w:hint="eastAsia" w:ascii="宋体" w:hAnsi="宋体" w:cs="宋体"/>
                <w:b/>
                <w:color w:val="000000"/>
                <w:sz w:val="20"/>
                <w:szCs w:val="1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jc w:val="center"/>
        </w:trPr>
        <w:tc>
          <w:tcPr>
            <w:tcW w:w="863" w:type="dxa"/>
          </w:tcPr>
          <w:p>
            <w:pPr>
              <w:pStyle w:val="2"/>
              <w:spacing w:line="276" w:lineRule="auto"/>
              <w:jc w:val="center"/>
              <w:rPr>
                <w:rFonts w:ascii="宋体" w:hAnsi="宋体" w:cs="宋体"/>
                <w:b/>
                <w:bCs w:val="0"/>
                <w:color w:val="000000"/>
                <w:spacing w:val="0"/>
              </w:rPr>
            </w:pPr>
            <w:r>
              <w:rPr>
                <w:rFonts w:hint="eastAsia" w:ascii="宋体" w:hAnsi="宋体" w:cs="宋体"/>
                <w:b/>
                <w:bCs w:val="0"/>
                <w:color w:val="000000"/>
                <w:spacing w:val="0"/>
              </w:rPr>
              <w:t>商务</w:t>
            </w:r>
          </w:p>
          <w:p>
            <w:pPr>
              <w:spacing w:line="276" w:lineRule="auto"/>
              <w:jc w:val="center"/>
              <w:rPr>
                <w:rFonts w:ascii="宋体" w:hAnsi="宋体" w:cs="宋体"/>
                <w:b/>
                <w:color w:val="000000"/>
                <w:sz w:val="24"/>
              </w:rPr>
            </w:pPr>
            <w:r>
              <w:rPr>
                <w:rFonts w:hint="eastAsia" w:ascii="宋体" w:hAnsi="宋体" w:cs="宋体"/>
                <w:b/>
                <w:color w:val="000000"/>
                <w:sz w:val="24"/>
              </w:rPr>
              <w:t>报价</w:t>
            </w:r>
          </w:p>
          <w:p>
            <w:pPr>
              <w:spacing w:line="276" w:lineRule="auto"/>
              <w:jc w:val="center"/>
              <w:rPr>
                <w:rFonts w:ascii="宋体" w:hAnsi="宋体" w:cs="宋体"/>
                <w:b/>
                <w:bCs/>
                <w:color w:val="000000"/>
                <w:sz w:val="24"/>
              </w:rPr>
            </w:pPr>
            <w:r>
              <w:rPr>
                <w:rFonts w:hint="eastAsia" w:ascii="宋体" w:hAnsi="宋体" w:cs="宋体"/>
                <w:bCs/>
                <w:color w:val="000000"/>
                <w:sz w:val="22"/>
                <w:szCs w:val="21"/>
              </w:rPr>
              <w:t>（30分）</w:t>
            </w:r>
          </w:p>
        </w:tc>
        <w:tc>
          <w:tcPr>
            <w:tcW w:w="1198" w:type="dxa"/>
          </w:tcPr>
          <w:p>
            <w:pPr>
              <w:pStyle w:val="2"/>
              <w:spacing w:line="276" w:lineRule="auto"/>
              <w:jc w:val="center"/>
              <w:rPr>
                <w:rFonts w:ascii="宋体" w:hAnsi="宋体" w:cs="宋体"/>
                <w:bCs w:val="0"/>
                <w:color w:val="000000"/>
                <w:spacing w:val="0"/>
                <w:kern w:val="2"/>
                <w:sz w:val="21"/>
              </w:rPr>
            </w:pPr>
          </w:p>
          <w:p>
            <w:pPr>
              <w:pStyle w:val="2"/>
              <w:spacing w:line="276" w:lineRule="auto"/>
              <w:jc w:val="center"/>
              <w:rPr>
                <w:rFonts w:ascii="宋体" w:hAnsi="宋体" w:cs="宋体"/>
                <w:bCs w:val="0"/>
                <w:color w:val="000000"/>
                <w:spacing w:val="0"/>
                <w:kern w:val="2"/>
                <w:sz w:val="21"/>
              </w:rPr>
            </w:pPr>
            <w:r>
              <w:rPr>
                <w:rFonts w:hint="eastAsia" w:ascii="宋体" w:hAnsi="宋体" w:cs="宋体"/>
                <w:bCs w:val="0"/>
                <w:color w:val="000000"/>
                <w:spacing w:val="0"/>
                <w:kern w:val="2"/>
                <w:sz w:val="21"/>
              </w:rPr>
              <w:t>报价得分</w:t>
            </w:r>
          </w:p>
        </w:tc>
        <w:tc>
          <w:tcPr>
            <w:tcW w:w="558" w:type="dxa"/>
            <w:vAlign w:val="center"/>
          </w:tcPr>
          <w:p>
            <w:pPr>
              <w:pStyle w:val="2"/>
              <w:spacing w:line="276" w:lineRule="auto"/>
              <w:jc w:val="center"/>
              <w:rPr>
                <w:rFonts w:ascii="宋体" w:hAnsi="宋体" w:cs="宋体"/>
                <w:bCs w:val="0"/>
                <w:color w:val="000000"/>
                <w:spacing w:val="0"/>
                <w:kern w:val="2"/>
                <w:sz w:val="21"/>
              </w:rPr>
            </w:pPr>
            <w:r>
              <w:rPr>
                <w:rFonts w:hint="eastAsia" w:ascii="宋体" w:hAnsi="宋体" w:cs="宋体"/>
                <w:bCs w:val="0"/>
                <w:color w:val="000000"/>
                <w:spacing w:val="0"/>
                <w:kern w:val="2"/>
                <w:sz w:val="21"/>
              </w:rPr>
              <w:t>30</w:t>
            </w:r>
          </w:p>
        </w:tc>
        <w:tc>
          <w:tcPr>
            <w:tcW w:w="6780" w:type="dxa"/>
          </w:tcPr>
          <w:p>
            <w:pPr>
              <w:spacing w:line="276" w:lineRule="auto"/>
              <w:rPr>
                <w:rFonts w:ascii="宋体" w:hAnsi="宋体" w:cs="宋体"/>
                <w:color w:val="000000"/>
              </w:rPr>
            </w:pPr>
            <w:r>
              <w:rPr>
                <w:rFonts w:hint="eastAsia" w:ascii="宋体" w:hAnsi="宋体" w:cs="宋体"/>
                <w:color w:val="000000"/>
              </w:rPr>
              <w:t>综合评分法中的价格分统一采用低价优先法计算，即满足磋商文件要求且最后报价最低的供应商的价格为磋商基准价，其价格分为满分。其他供应商的价格分统一按照下列公式计算：</w:t>
            </w:r>
          </w:p>
          <w:p>
            <w:pPr>
              <w:spacing w:line="276" w:lineRule="auto"/>
              <w:rPr>
                <w:rFonts w:hint="eastAsia" w:ascii="宋体" w:hAnsi="宋体" w:cs="宋体"/>
                <w:color w:val="000000"/>
              </w:rPr>
            </w:pPr>
            <w:r>
              <w:rPr>
                <w:rFonts w:hint="eastAsia" w:ascii="宋体" w:hAnsi="宋体" w:cs="宋体"/>
                <w:color w:val="000000"/>
              </w:rPr>
              <w:t>磋商报价得分=（磋商基准价/最后磋商报价）×价格权值×100</w:t>
            </w:r>
          </w:p>
          <w:p>
            <w:pPr>
              <w:spacing w:line="276" w:lineRule="auto"/>
              <w:rPr>
                <w:rFonts w:ascii="宋体" w:hAnsi="宋体" w:cs="宋体"/>
                <w:color w:val="000000"/>
              </w:rPr>
            </w:pPr>
            <w:r>
              <w:rPr>
                <w:rFonts w:hint="eastAsia" w:ascii="Calibri" w:hAnsi="Calibri" w:eastAsia="宋体" w:cs="黑体"/>
                <w:kern w:val="2"/>
                <w:sz w:val="21"/>
                <w:szCs w:val="22"/>
                <w:lang w:val="en-US" w:eastAsia="zh-CN" w:bidi="ar-SA"/>
              </w:rPr>
              <w:t>为保证服务质量，投标报价低于采购预算</w:t>
            </w:r>
            <w:r>
              <w:rPr>
                <w:rFonts w:hint="eastAsia" w:cs="黑体"/>
                <w:kern w:val="2"/>
                <w:sz w:val="21"/>
                <w:szCs w:val="22"/>
                <w:lang w:val="en-US" w:eastAsia="zh-CN" w:bidi="ar-SA"/>
              </w:rPr>
              <w:t>85</w:t>
            </w:r>
            <w:r>
              <w:rPr>
                <w:rFonts w:hint="eastAsia" w:ascii="Calibri" w:hAnsi="Calibri" w:eastAsia="宋体" w:cs="黑体"/>
                <w:kern w:val="2"/>
                <w:sz w:val="21"/>
                <w:szCs w:val="22"/>
                <w:lang w:val="en-US" w:eastAsia="zh-CN" w:bidi="ar-SA"/>
              </w:rPr>
              <w:t>%时，评标委员会将对其进行成本分析，评标委员会认为报价低于成本价时将否决其投标</w:t>
            </w:r>
            <w:r>
              <w:rPr>
                <w:rFonts w:hint="eastAsia" w:cs="黑体"/>
                <w:kern w:val="2"/>
                <w:sz w:val="21"/>
                <w:szCs w:val="22"/>
                <w:lang w:val="en-US" w:eastAsia="zh-CN" w:bidi="ar-SA"/>
              </w:rPr>
              <w:t>。</w:t>
            </w:r>
            <w:r>
              <w:rPr>
                <w:rFonts w:hint="eastAsia" w:ascii="宋体" w:hAnsi="宋体" w:cs="宋体"/>
                <w:color w:val="00000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863" w:type="dxa"/>
            <w:vMerge w:val="restart"/>
            <w:vAlign w:val="center"/>
          </w:tcPr>
          <w:p>
            <w:pPr>
              <w:spacing w:line="276" w:lineRule="auto"/>
              <w:jc w:val="center"/>
              <w:rPr>
                <w:rFonts w:ascii="宋体" w:hAnsi="宋体" w:cs="宋体"/>
                <w:b/>
                <w:bCs/>
                <w:sz w:val="24"/>
                <w:szCs w:val="28"/>
              </w:rPr>
            </w:pPr>
            <w:r>
              <w:rPr>
                <w:rFonts w:hint="eastAsia" w:ascii="宋体" w:hAnsi="宋体" w:cs="宋体"/>
                <w:b/>
                <w:bCs/>
                <w:sz w:val="24"/>
                <w:szCs w:val="28"/>
              </w:rPr>
              <w:t>技</w:t>
            </w:r>
          </w:p>
          <w:p>
            <w:pPr>
              <w:spacing w:line="276" w:lineRule="auto"/>
              <w:jc w:val="center"/>
              <w:rPr>
                <w:rFonts w:ascii="宋体" w:hAnsi="宋体" w:cs="宋体"/>
                <w:b/>
                <w:bCs/>
                <w:sz w:val="24"/>
                <w:szCs w:val="28"/>
              </w:rPr>
            </w:pPr>
            <w:r>
              <w:rPr>
                <w:rFonts w:hint="eastAsia" w:ascii="宋体" w:hAnsi="宋体" w:cs="宋体"/>
                <w:b/>
                <w:bCs/>
                <w:sz w:val="24"/>
                <w:szCs w:val="28"/>
              </w:rPr>
              <w:t>术</w:t>
            </w:r>
          </w:p>
          <w:p>
            <w:pPr>
              <w:spacing w:line="276" w:lineRule="auto"/>
              <w:jc w:val="center"/>
              <w:rPr>
                <w:rFonts w:ascii="宋体" w:hAnsi="宋体" w:cs="宋体"/>
                <w:b/>
                <w:bCs/>
                <w:sz w:val="24"/>
                <w:szCs w:val="28"/>
              </w:rPr>
            </w:pPr>
            <w:r>
              <w:rPr>
                <w:rFonts w:hint="eastAsia" w:ascii="宋体" w:hAnsi="宋体" w:cs="宋体"/>
                <w:b/>
                <w:bCs/>
                <w:sz w:val="24"/>
                <w:szCs w:val="28"/>
              </w:rPr>
              <w:t>服</w:t>
            </w:r>
          </w:p>
          <w:p>
            <w:pPr>
              <w:spacing w:line="276" w:lineRule="auto"/>
              <w:jc w:val="center"/>
              <w:rPr>
                <w:rFonts w:ascii="宋体" w:hAnsi="宋体" w:cs="宋体"/>
                <w:b/>
                <w:bCs/>
                <w:sz w:val="24"/>
                <w:szCs w:val="28"/>
              </w:rPr>
            </w:pPr>
            <w:r>
              <w:rPr>
                <w:rFonts w:hint="eastAsia" w:ascii="宋体" w:hAnsi="宋体" w:cs="宋体"/>
                <w:b/>
                <w:bCs/>
                <w:sz w:val="24"/>
                <w:szCs w:val="28"/>
              </w:rPr>
              <w:t>务</w:t>
            </w:r>
          </w:p>
          <w:p>
            <w:pPr>
              <w:spacing w:line="276" w:lineRule="auto"/>
              <w:jc w:val="center"/>
              <w:rPr>
                <w:rFonts w:ascii="宋体" w:hAnsi="宋体" w:cs="宋体"/>
                <w:b/>
                <w:bCs/>
                <w:sz w:val="24"/>
                <w:szCs w:val="28"/>
              </w:rPr>
            </w:pPr>
            <w:r>
              <w:rPr>
                <w:rFonts w:hint="eastAsia" w:ascii="宋体" w:hAnsi="宋体" w:cs="宋体"/>
                <w:b/>
                <w:bCs/>
                <w:sz w:val="24"/>
                <w:szCs w:val="28"/>
              </w:rPr>
              <w:t>评</w:t>
            </w:r>
          </w:p>
          <w:p>
            <w:pPr>
              <w:spacing w:line="276" w:lineRule="auto"/>
              <w:jc w:val="center"/>
              <w:rPr>
                <w:rFonts w:ascii="宋体" w:hAnsi="宋体" w:cs="宋体"/>
                <w:b/>
                <w:bCs/>
                <w:sz w:val="24"/>
                <w:szCs w:val="28"/>
              </w:rPr>
            </w:pPr>
            <w:r>
              <w:rPr>
                <w:rFonts w:hint="eastAsia" w:ascii="宋体" w:hAnsi="宋体" w:cs="宋体"/>
                <w:b/>
                <w:bCs/>
                <w:sz w:val="24"/>
                <w:szCs w:val="28"/>
              </w:rPr>
              <w:t>议</w:t>
            </w:r>
          </w:p>
          <w:p>
            <w:pPr>
              <w:pStyle w:val="2"/>
              <w:rPr>
                <w:rFonts w:ascii="宋体" w:hAnsi="宋体" w:cs="宋体"/>
              </w:rPr>
            </w:pPr>
            <w:r>
              <w:rPr>
                <w:rFonts w:hint="eastAsia" w:ascii="宋体" w:hAnsi="宋体" w:cs="宋体"/>
                <w:bCs w:val="0"/>
                <w:color w:val="000000"/>
                <w:sz w:val="21"/>
                <w:szCs w:val="20"/>
              </w:rPr>
              <w:t>（60分）</w:t>
            </w: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施工方案</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10</w:t>
            </w:r>
          </w:p>
        </w:tc>
        <w:tc>
          <w:tcPr>
            <w:tcW w:w="6780" w:type="dxa"/>
            <w:vAlign w:val="center"/>
          </w:tcPr>
          <w:p>
            <w:pPr>
              <w:spacing w:line="276" w:lineRule="auto"/>
              <w:rPr>
                <w:rFonts w:ascii="宋体" w:hAnsi="宋体" w:cs="宋体"/>
                <w:color w:val="000000"/>
              </w:rPr>
            </w:pPr>
            <w:r>
              <w:rPr>
                <w:rFonts w:hint="eastAsia" w:ascii="宋体" w:hAnsi="宋体" w:cs="宋体"/>
                <w:color w:val="000000"/>
              </w:rPr>
              <w:t>供应商的施工方案先进可行，施工技术措施符合本项目场地条件及工程特点要求，且详细的得8-10分；施工方案满足本项目要求，施工技术措施符合本项目场地条件和工程特点要求的得5-7分；施工方案基本可行，施工措施制定不详细的得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施工重点难点分析</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10</w:t>
            </w:r>
          </w:p>
        </w:tc>
        <w:tc>
          <w:tcPr>
            <w:tcW w:w="6780" w:type="dxa"/>
            <w:vAlign w:val="center"/>
          </w:tcPr>
          <w:p>
            <w:pPr>
              <w:spacing w:line="276" w:lineRule="auto"/>
              <w:rPr>
                <w:rFonts w:ascii="宋体" w:hAnsi="宋体" w:cs="宋体"/>
                <w:color w:val="000000"/>
              </w:rPr>
            </w:pPr>
            <w:r>
              <w:rPr>
                <w:rFonts w:hint="eastAsia" w:ascii="宋体" w:hAnsi="宋体" w:cs="宋体"/>
                <w:color w:val="000000"/>
              </w:rPr>
              <w:t>供应商针对本项目制定的施工重点难点分析报告非常详细，思路清晰，完全符合项目实际情况的得8-10分；供应商针对本项目制定的施工重点难点分析报告基本详细，符合项目实际情况的得5-7分；供应商针对本项目制定的施工重点难点分析报告简单描述，勉强符合项目实际情况的得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质量保障措施</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6780" w:type="dxa"/>
            <w:vAlign w:val="center"/>
          </w:tcPr>
          <w:p>
            <w:pPr>
              <w:spacing w:line="276" w:lineRule="auto"/>
              <w:rPr>
                <w:rFonts w:ascii="宋体" w:hAnsi="宋体" w:cs="宋体"/>
                <w:color w:val="000000"/>
              </w:rPr>
            </w:pPr>
            <w:r>
              <w:rPr>
                <w:rFonts w:hint="eastAsia" w:ascii="宋体" w:hAnsi="宋体" w:cs="宋体"/>
                <w:color w:val="000000"/>
              </w:rPr>
              <w:t>供应商针对本项目的质量保障措施配置科学合理、规章制度健全、岗位职责及质量管理目标明确得6分；质量保障措施配置合理、规章制度健全、岗位职责及质量管理目标明确的得3-5分；质量保障措施配置基本合理、规章制度健全、岗位职责及质量管理目标基本明确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安全、文明管理体系与措施</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6780" w:type="dxa"/>
            <w:vAlign w:val="center"/>
          </w:tcPr>
          <w:p>
            <w:pPr>
              <w:spacing w:line="276" w:lineRule="auto"/>
              <w:rPr>
                <w:rFonts w:ascii="宋体" w:hAnsi="宋体" w:cs="宋体"/>
                <w:color w:val="000000"/>
              </w:rPr>
            </w:pPr>
            <w:r>
              <w:rPr>
                <w:rFonts w:hint="eastAsia" w:ascii="宋体" w:hAnsi="宋体" w:cs="宋体"/>
                <w:color w:val="000000"/>
              </w:rPr>
              <w:t>供应商的安全生产、文明施工管理资源配置科学合理、管理制度健全、安全生产预案与措施针对性强的得5-6分；安全生产、文明施工管理资源配置合理、管理制度健全、安全生产预案与措施完善的得3-4分；安全生产、文明施工管理资源配置基本合理、管理制度健全、安全生产预案与措施勉强完善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施工环保措施计划、减少噪音、降低环境污染</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6780" w:type="dxa"/>
            <w:vAlign w:val="center"/>
          </w:tcPr>
          <w:p>
            <w:pPr>
              <w:spacing w:line="276" w:lineRule="auto"/>
              <w:rPr>
                <w:rFonts w:ascii="宋体" w:hAnsi="宋体" w:cs="宋体"/>
                <w:color w:val="000000"/>
              </w:rPr>
            </w:pPr>
            <w:r>
              <w:rPr>
                <w:rFonts w:hint="eastAsia" w:ascii="宋体" w:hAnsi="宋体" w:cs="宋体"/>
                <w:color w:val="000000"/>
              </w:rPr>
              <w:t>供应商的施工环保措施计划、减少噪音、降低环境污染等措施科学先进、合理的得5-6分；施工环保措施计划、减少噪音、降低环境污染等措施合理的得3-4分；施工环保措施计划、减少噪音、降低环境污染等措施基本合理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工程进度保障措施</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6780" w:type="dxa"/>
            <w:vAlign w:val="center"/>
          </w:tcPr>
          <w:p>
            <w:pPr>
              <w:spacing w:line="276" w:lineRule="auto"/>
              <w:rPr>
                <w:rFonts w:ascii="宋体" w:hAnsi="宋体" w:cs="宋体"/>
                <w:color w:val="000000"/>
              </w:rPr>
            </w:pPr>
            <w:r>
              <w:rPr>
                <w:rFonts w:hint="eastAsia" w:ascii="宋体" w:hAnsi="宋体" w:cs="宋体"/>
                <w:color w:val="000000"/>
              </w:rPr>
              <w:t>供应商的工程进度保障措施完善合理，且完全符合项目特点得6分；工程进度保障措施较合理得3-5分；工程进度保障措施基本合理得0-2分。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资源配备计划</w:t>
            </w:r>
          </w:p>
        </w:tc>
        <w:tc>
          <w:tcPr>
            <w:tcW w:w="55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6</w:t>
            </w:r>
          </w:p>
        </w:tc>
        <w:tc>
          <w:tcPr>
            <w:tcW w:w="6780" w:type="dxa"/>
          </w:tcPr>
          <w:p>
            <w:pPr>
              <w:spacing w:line="276" w:lineRule="auto"/>
              <w:rPr>
                <w:rFonts w:ascii="宋体" w:hAnsi="宋体" w:cs="宋体"/>
                <w:color w:val="000000"/>
              </w:rPr>
            </w:pPr>
            <w:r>
              <w:rPr>
                <w:rFonts w:hint="eastAsia" w:ascii="宋体" w:hAnsi="宋体" w:cs="宋体"/>
                <w:color w:val="000000"/>
              </w:rPr>
              <w:t>供应商的资金使用和主要材料用量的计算说明详细完善、思路清晰，劳动力与施工机械设备安排计划科学合理的得5-6分；资金使用和主要材料的计算说明基本详细，劳动力与施工机械设备安排计划合理的得3-4分；资金使用和主要材料用量的计算说明简单描述，劳动力与施工机械设备安排计划基本合理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质量服务承诺</w:t>
            </w:r>
          </w:p>
        </w:tc>
        <w:tc>
          <w:tcPr>
            <w:tcW w:w="55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4</w:t>
            </w:r>
          </w:p>
        </w:tc>
        <w:tc>
          <w:tcPr>
            <w:tcW w:w="6780" w:type="dxa"/>
            <w:vAlign w:val="center"/>
          </w:tcPr>
          <w:p>
            <w:pPr>
              <w:spacing w:line="276" w:lineRule="auto"/>
              <w:rPr>
                <w:rFonts w:ascii="宋体" w:hAnsi="宋体" w:cs="宋体"/>
                <w:color w:val="000000"/>
              </w:rPr>
            </w:pPr>
            <w:r>
              <w:rPr>
                <w:rFonts w:hint="eastAsia" w:ascii="宋体" w:hAnsi="宋体" w:cs="宋体"/>
                <w:color w:val="000000"/>
              </w:rPr>
              <w:t>供应商有保证工程质量的承诺且有具体的经济处罚措施的的得4分，没有得0分。（提供承诺书原件并加盖公章）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售后服务承诺</w:t>
            </w:r>
          </w:p>
        </w:tc>
        <w:tc>
          <w:tcPr>
            <w:tcW w:w="55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6</w:t>
            </w:r>
          </w:p>
        </w:tc>
        <w:tc>
          <w:tcPr>
            <w:tcW w:w="6780" w:type="dxa"/>
            <w:vAlign w:val="center"/>
          </w:tcPr>
          <w:p>
            <w:pPr>
              <w:spacing w:line="276" w:lineRule="auto"/>
              <w:rPr>
                <w:rFonts w:ascii="宋体" w:hAnsi="宋体" w:cs="宋体"/>
                <w:color w:val="000000"/>
              </w:rPr>
            </w:pPr>
            <w:r>
              <w:rPr>
                <w:rFonts w:hint="eastAsia" w:ascii="宋体" w:hAnsi="宋体" w:cs="宋体"/>
                <w:color w:val="000000"/>
              </w:rPr>
              <w:t>1.供应商有明确的售后服务措施（包括质保期和故障响应时间），且承诺具体可行，具有一定优势，最高得3分；</w:t>
            </w:r>
          </w:p>
          <w:p>
            <w:pPr>
              <w:spacing w:line="276" w:lineRule="auto"/>
              <w:rPr>
                <w:rFonts w:ascii="宋体" w:hAnsi="宋体" w:cs="宋体"/>
                <w:color w:val="000000"/>
              </w:rPr>
            </w:pPr>
            <w:r>
              <w:rPr>
                <w:rFonts w:hint="eastAsia" w:ascii="宋体" w:hAnsi="宋体" w:cs="宋体"/>
                <w:color w:val="000000"/>
              </w:rPr>
              <w:t>2.供应商有售后质保承诺的得3分，否则不得分。（提供承诺书原件并加盖公章）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2619" w:type="dxa"/>
            <w:gridSpan w:val="3"/>
            <w:vAlign w:val="center"/>
          </w:tcPr>
          <w:p>
            <w:pPr>
              <w:spacing w:line="276" w:lineRule="auto"/>
              <w:ind w:left="-105" w:leftChars="-50" w:right="-105" w:rightChars="-50"/>
              <w:jc w:val="center"/>
              <w:rPr>
                <w:rFonts w:ascii="宋体" w:hAnsi="宋体" w:cs="宋体"/>
              </w:rPr>
            </w:pPr>
            <w:r>
              <w:rPr>
                <w:rFonts w:hint="eastAsia" w:ascii="宋体" w:hAnsi="宋体" w:cs="宋体"/>
              </w:rPr>
              <w:t>技术分合计</w:t>
            </w:r>
          </w:p>
        </w:tc>
        <w:tc>
          <w:tcPr>
            <w:tcW w:w="6780" w:type="dxa"/>
            <w:vAlign w:val="center"/>
          </w:tcPr>
          <w:p>
            <w:pPr>
              <w:spacing w:line="276" w:lineRule="auto"/>
              <w:ind w:left="-105" w:leftChars="-50" w:right="-105" w:rightChars="-50"/>
              <w:jc w:val="center"/>
              <w:rPr>
                <w:rFonts w:ascii="宋体" w:hAnsi="宋体" w:cs="宋体"/>
              </w:rPr>
            </w:pPr>
            <w:r>
              <w:rPr>
                <w:rFonts w:hint="eastAsia" w:ascii="宋体" w:hAnsi="宋体" w:cs="宋体"/>
              </w:rPr>
              <w:t>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restart"/>
            <w:vAlign w:val="center"/>
          </w:tcPr>
          <w:p>
            <w:pPr>
              <w:spacing w:line="276" w:lineRule="auto"/>
              <w:jc w:val="center"/>
              <w:rPr>
                <w:rFonts w:ascii="宋体" w:hAnsi="宋体" w:cs="宋体"/>
              </w:rPr>
            </w:pPr>
            <w:r>
              <w:rPr>
                <w:rFonts w:hint="eastAsia" w:ascii="宋体" w:hAnsi="宋体" w:cs="宋体"/>
              </w:rPr>
              <w:t>综</w:t>
            </w:r>
          </w:p>
          <w:p>
            <w:pPr>
              <w:spacing w:line="276" w:lineRule="auto"/>
              <w:jc w:val="center"/>
              <w:rPr>
                <w:rFonts w:ascii="宋体" w:hAnsi="宋体" w:cs="宋体"/>
              </w:rPr>
            </w:pPr>
            <w:r>
              <w:rPr>
                <w:rFonts w:hint="eastAsia" w:ascii="宋体" w:hAnsi="宋体" w:cs="宋体"/>
              </w:rPr>
              <w:t>合</w:t>
            </w:r>
          </w:p>
          <w:p>
            <w:pPr>
              <w:spacing w:line="276" w:lineRule="auto"/>
              <w:jc w:val="center"/>
              <w:rPr>
                <w:rFonts w:ascii="宋体" w:hAnsi="宋体" w:cs="宋体"/>
              </w:rPr>
            </w:pPr>
            <w:r>
              <w:rPr>
                <w:rFonts w:hint="eastAsia" w:ascii="宋体" w:hAnsi="宋体" w:cs="宋体"/>
              </w:rPr>
              <w:t>评</w:t>
            </w:r>
          </w:p>
          <w:p>
            <w:pPr>
              <w:spacing w:line="276" w:lineRule="auto"/>
              <w:jc w:val="center"/>
              <w:rPr>
                <w:rFonts w:ascii="宋体" w:hAnsi="宋体" w:cs="宋体"/>
              </w:rPr>
            </w:pPr>
            <w:r>
              <w:rPr>
                <w:rFonts w:hint="eastAsia" w:ascii="宋体" w:hAnsi="宋体" w:cs="宋体"/>
              </w:rPr>
              <w:t>议</w:t>
            </w:r>
          </w:p>
          <w:p>
            <w:pPr>
              <w:spacing w:line="276" w:lineRule="auto"/>
              <w:jc w:val="center"/>
              <w:rPr>
                <w:rFonts w:ascii="宋体" w:hAnsi="宋体" w:cs="宋体"/>
                <w:b/>
                <w:sz w:val="24"/>
                <w:szCs w:val="20"/>
              </w:rPr>
            </w:pPr>
            <w:r>
              <w:rPr>
                <w:rFonts w:hint="eastAsia" w:ascii="宋体" w:hAnsi="宋体" w:cs="宋体"/>
              </w:rPr>
              <w:t>（10分）</w:t>
            </w:r>
          </w:p>
        </w:tc>
        <w:tc>
          <w:tcPr>
            <w:tcW w:w="1198" w:type="dxa"/>
            <w:vAlign w:val="center"/>
          </w:tcPr>
          <w:p>
            <w:pPr>
              <w:spacing w:line="400" w:lineRule="exact"/>
              <w:rPr>
                <w:rFonts w:asciiTheme="minorEastAsia" w:hAnsiTheme="minorEastAsia"/>
                <w:color w:val="000000"/>
                <w:szCs w:val="21"/>
              </w:rPr>
            </w:pPr>
            <w:r>
              <w:rPr>
                <w:rFonts w:hint="eastAsia" w:asciiTheme="minorEastAsia" w:hAnsiTheme="minorEastAsia"/>
                <w:color w:val="000000"/>
                <w:szCs w:val="21"/>
              </w:rPr>
              <w:t>项目管</w:t>
            </w:r>
          </w:p>
          <w:p>
            <w:pPr>
              <w:spacing w:line="400" w:lineRule="exact"/>
              <w:rPr>
                <w:rFonts w:hint="eastAsia" w:ascii="宋体" w:hAnsi="宋体" w:eastAsia="宋体" w:cs="宋体"/>
                <w:color w:val="000000"/>
                <w:lang w:val="en-US" w:eastAsia="zh-CN"/>
              </w:rPr>
            </w:pPr>
            <w:r>
              <w:rPr>
                <w:rFonts w:hint="eastAsia" w:asciiTheme="minorEastAsia" w:hAnsiTheme="minorEastAsia"/>
                <w:color w:val="000000"/>
                <w:szCs w:val="21"/>
              </w:rPr>
              <w:t>理机构</w:t>
            </w:r>
          </w:p>
        </w:tc>
        <w:tc>
          <w:tcPr>
            <w:tcW w:w="558" w:type="dxa"/>
            <w:vAlign w:val="center"/>
          </w:tcPr>
          <w:p>
            <w:pPr>
              <w:spacing w:line="320" w:lineRule="exact"/>
              <w:ind w:left="-48" w:leftChars="-23" w:right="-36" w:rightChars="-17"/>
              <w:jc w:val="center"/>
              <w:rPr>
                <w:rFonts w:ascii="宋体" w:hAnsi="宋体" w:cs="宋体"/>
                <w:b w:val="0"/>
                <w:bCs/>
                <w:color w:val="000000"/>
              </w:rPr>
            </w:pPr>
            <w:r>
              <w:rPr>
                <w:rFonts w:hint="eastAsia" w:asciiTheme="minorEastAsia" w:hAnsiTheme="minorEastAsia"/>
                <w:b w:val="0"/>
                <w:bCs/>
                <w:color w:val="000000"/>
                <w:szCs w:val="21"/>
              </w:rPr>
              <w:t>4</w:t>
            </w:r>
          </w:p>
        </w:tc>
        <w:tc>
          <w:tcPr>
            <w:tcW w:w="6780" w:type="dxa"/>
            <w:vAlign w:val="center"/>
          </w:tcPr>
          <w:p>
            <w:pPr>
              <w:rPr>
                <w:rFonts w:asciiTheme="minorEastAsia" w:hAnsiTheme="minorEastAsia"/>
                <w:szCs w:val="21"/>
              </w:rPr>
            </w:pPr>
            <w:r>
              <w:rPr>
                <w:rFonts w:hint="eastAsia" w:asciiTheme="minorEastAsia" w:hAnsiTheme="minorEastAsia"/>
                <w:szCs w:val="21"/>
              </w:rPr>
              <w:t>1、项目经理具有水利水电工程类专业中级技术职称的得1分，其他情况得0分；</w:t>
            </w:r>
          </w:p>
          <w:p>
            <w:pPr>
              <w:rPr>
                <w:rFonts w:ascii="宋体" w:hAnsi="宋体" w:cs="宋体"/>
                <w:color w:val="000000"/>
              </w:rPr>
            </w:pPr>
            <w:r>
              <w:rPr>
                <w:rFonts w:hint="eastAsia" w:asciiTheme="minorEastAsia" w:hAnsiTheme="minorEastAsia"/>
                <w:szCs w:val="21"/>
                <w:lang w:val="en-US" w:eastAsia="zh-CN"/>
              </w:rPr>
              <w:t>2</w:t>
            </w:r>
            <w:r>
              <w:rPr>
                <w:rFonts w:hint="eastAsia" w:asciiTheme="minorEastAsia" w:hAnsiTheme="minorEastAsia"/>
                <w:szCs w:val="21"/>
              </w:rPr>
              <w:t>、其它管理人员：管理人员（此处不包括项目经理和技术负责人）可包括且不限于项目副经理、工程技术部负责人、合同管理人员、安全管理人员、财务人员、五大员等。根据以上管理人员的工作经验、具备的相应资格证书、技术职称等综合打分，满足工程需求的得3分，否则在大于或等于0且小于2分之间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400" w:lineRule="exact"/>
              <w:rPr>
                <w:rFonts w:ascii="宋体" w:hAnsi="宋体" w:cs="宋体"/>
                <w:color w:val="000000"/>
              </w:rPr>
            </w:pPr>
            <w:r>
              <w:rPr>
                <w:rFonts w:hint="eastAsia" w:asciiTheme="minorEastAsia" w:hAnsiTheme="minorEastAsia"/>
                <w:szCs w:val="21"/>
              </w:rPr>
              <w:t>承诺</w:t>
            </w:r>
          </w:p>
        </w:tc>
        <w:tc>
          <w:tcPr>
            <w:tcW w:w="558" w:type="dxa"/>
            <w:vAlign w:val="center"/>
          </w:tcPr>
          <w:p>
            <w:pPr>
              <w:spacing w:line="260" w:lineRule="exact"/>
              <w:jc w:val="center"/>
              <w:rPr>
                <w:rFonts w:ascii="宋体" w:hAnsi="宋体" w:cs="宋体"/>
                <w:b w:val="0"/>
                <w:bCs/>
                <w:color w:val="000000"/>
              </w:rPr>
            </w:pPr>
            <w:r>
              <w:rPr>
                <w:rFonts w:hint="eastAsia" w:asciiTheme="minorEastAsia" w:hAnsiTheme="minorEastAsia"/>
                <w:b w:val="0"/>
                <w:bCs/>
                <w:szCs w:val="21"/>
              </w:rPr>
              <w:t>4</w:t>
            </w:r>
          </w:p>
        </w:tc>
        <w:tc>
          <w:tcPr>
            <w:tcW w:w="6780" w:type="dxa"/>
            <w:vAlign w:val="center"/>
          </w:tcPr>
          <w:p>
            <w:pPr>
              <w:spacing w:line="260" w:lineRule="exact"/>
              <w:rPr>
                <w:rFonts w:asciiTheme="minorEastAsia" w:hAnsiTheme="minorEastAsia"/>
                <w:szCs w:val="21"/>
              </w:rPr>
            </w:pPr>
            <w:r>
              <w:rPr>
                <w:rFonts w:hint="eastAsia" w:asciiTheme="minorEastAsia" w:hAnsiTheme="minorEastAsia"/>
                <w:szCs w:val="21"/>
              </w:rPr>
              <w:t>1）承诺创建优质工程并有相应完善的管理措施的得1分，否则得0分；</w:t>
            </w:r>
          </w:p>
          <w:p>
            <w:pPr>
              <w:spacing w:line="260" w:lineRule="exact"/>
              <w:rPr>
                <w:rFonts w:asciiTheme="minorEastAsia" w:hAnsiTheme="minorEastAsia"/>
                <w:szCs w:val="21"/>
              </w:rPr>
            </w:pPr>
            <w:r>
              <w:rPr>
                <w:rFonts w:hint="eastAsia" w:asciiTheme="minorEastAsia" w:hAnsiTheme="minorEastAsia"/>
                <w:szCs w:val="21"/>
              </w:rPr>
              <w:t>2）承诺施工过程中保障施工人员权益（包括但不限于为施工人员办理相关保险、不拖欠施工人员工资、保障施工人员福利等）的得1分，否则得0分；</w:t>
            </w:r>
          </w:p>
          <w:p>
            <w:pPr>
              <w:spacing w:line="260" w:lineRule="exact"/>
              <w:rPr>
                <w:rFonts w:asciiTheme="minorEastAsia" w:hAnsiTheme="minorEastAsia"/>
                <w:szCs w:val="21"/>
              </w:rPr>
            </w:pPr>
            <w:r>
              <w:rPr>
                <w:rFonts w:hint="eastAsia" w:asciiTheme="minorEastAsia" w:hAnsiTheme="minorEastAsia"/>
                <w:szCs w:val="21"/>
              </w:rPr>
              <w:t>3）承诺施工过程中保证项目经理和技术负责人月驻工地时间、不随意更换项目经理和技术负责人的得2分，否则得0分。</w:t>
            </w:r>
          </w:p>
          <w:p>
            <w:pPr>
              <w:spacing w:line="260" w:lineRule="exact"/>
              <w:rPr>
                <w:rFonts w:ascii="宋体" w:hAnsi="宋体" w:cs="宋体"/>
                <w:color w:val="000000"/>
              </w:rPr>
            </w:pPr>
            <w:r>
              <w:rPr>
                <w:rFonts w:hint="eastAsia" w:asciiTheme="minorEastAsia" w:hAnsiTheme="minorEastAsia"/>
                <w:szCs w:val="21"/>
              </w:rPr>
              <w:t>注：2、3所述承诺须具有具体的违约处罚措施（不得低于招标文件专用合同条款的要求）才得分，否则得0分。(提供相关证明文件原件真彩扫描件,并加盖公章予以证明)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400" w:lineRule="exact"/>
              <w:rPr>
                <w:rFonts w:ascii="宋体" w:hAnsi="宋体" w:cs="宋体"/>
                <w:color w:val="000000"/>
              </w:rPr>
            </w:pPr>
            <w:r>
              <w:rPr>
                <w:rFonts w:hint="eastAsia" w:asciiTheme="minorEastAsia" w:hAnsiTheme="minorEastAsia"/>
                <w:color w:val="000000"/>
                <w:szCs w:val="21"/>
              </w:rPr>
              <w:t>投标文件的制作</w:t>
            </w:r>
          </w:p>
        </w:tc>
        <w:tc>
          <w:tcPr>
            <w:tcW w:w="558" w:type="dxa"/>
            <w:vAlign w:val="center"/>
          </w:tcPr>
          <w:p>
            <w:pPr>
              <w:spacing w:line="320" w:lineRule="exact"/>
              <w:ind w:left="-48" w:leftChars="-23" w:right="-36" w:rightChars="-17"/>
              <w:jc w:val="center"/>
              <w:rPr>
                <w:rFonts w:ascii="宋体" w:hAnsi="宋体" w:cs="宋体"/>
                <w:b w:val="0"/>
                <w:bCs/>
                <w:color w:val="000000"/>
              </w:rPr>
            </w:pPr>
            <w:r>
              <w:rPr>
                <w:rFonts w:hint="eastAsia" w:asciiTheme="minorEastAsia" w:hAnsiTheme="minorEastAsia"/>
                <w:b w:val="0"/>
                <w:bCs/>
                <w:color w:val="000000"/>
                <w:szCs w:val="21"/>
              </w:rPr>
              <w:t>2</w:t>
            </w:r>
          </w:p>
        </w:tc>
        <w:tc>
          <w:tcPr>
            <w:tcW w:w="6780" w:type="dxa"/>
            <w:vAlign w:val="center"/>
          </w:tcPr>
          <w:p>
            <w:pPr>
              <w:spacing w:line="400" w:lineRule="exact"/>
              <w:rPr>
                <w:rFonts w:ascii="宋体" w:hAnsi="宋体" w:cs="宋体"/>
                <w:color w:val="000000"/>
              </w:rPr>
            </w:pPr>
            <w:r>
              <w:rPr>
                <w:rFonts w:hint="eastAsia" w:cs="宋体" w:asciiTheme="minorEastAsia" w:hAnsiTheme="minorEastAsia"/>
                <w:color w:val="000000"/>
                <w:szCs w:val="21"/>
                <w:shd w:val="clear" w:color="050000" w:fill="auto"/>
              </w:rPr>
              <w:t>投标文件制作。投标文件全面响应招标文件要求，编制完整、非活页装订，且有详细目录、连续页码、目录与有关材料装订顺序对应清晰、查阅方便得2分。编排杂乱无章、叙述答非所问、资料残缺不全、资料模糊不清、前后不一致等，</w:t>
            </w:r>
            <w:r>
              <w:rPr>
                <w:rFonts w:hint="eastAsia" w:asciiTheme="minorEastAsia" w:hAnsiTheme="minorEastAsia"/>
                <w:color w:val="000000"/>
                <w:szCs w:val="21"/>
              </w:rPr>
              <w:t>每处扣0.5分，扣完为止</w:t>
            </w:r>
            <w:r>
              <w:rPr>
                <w:rFonts w:hint="eastAsia" w:cs="宋体" w:asciiTheme="minorEastAsia" w:hAnsiTheme="minorEastAsia"/>
                <w:color w:val="000000"/>
                <w:szCs w:val="21"/>
                <w:shd w:val="clear" w:color="050000"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2619" w:type="dxa"/>
            <w:gridSpan w:val="3"/>
            <w:vAlign w:val="center"/>
          </w:tcPr>
          <w:p>
            <w:pPr>
              <w:spacing w:line="276" w:lineRule="auto"/>
              <w:ind w:left="-105" w:leftChars="-50" w:right="-105" w:rightChars="-50"/>
              <w:jc w:val="center"/>
              <w:rPr>
                <w:rFonts w:ascii="宋体" w:hAnsi="宋体" w:cs="宋体"/>
              </w:rPr>
            </w:pPr>
            <w:r>
              <w:rPr>
                <w:rFonts w:hint="eastAsia" w:ascii="宋体" w:hAnsi="宋体" w:cs="宋体"/>
              </w:rPr>
              <w:t>商务</w:t>
            </w:r>
            <w:r>
              <w:rPr>
                <w:rFonts w:hint="eastAsia" w:ascii="宋体" w:hAnsi="宋体" w:cs="宋体"/>
                <w:lang w:eastAsia="zh-CN"/>
              </w:rPr>
              <w:t>综合</w:t>
            </w:r>
            <w:r>
              <w:rPr>
                <w:rFonts w:hint="eastAsia" w:ascii="宋体" w:hAnsi="宋体" w:cs="宋体"/>
              </w:rPr>
              <w:t>分合计</w:t>
            </w:r>
          </w:p>
        </w:tc>
        <w:tc>
          <w:tcPr>
            <w:tcW w:w="6780" w:type="dxa"/>
            <w:vAlign w:val="center"/>
          </w:tcPr>
          <w:p>
            <w:pPr>
              <w:spacing w:line="276" w:lineRule="auto"/>
              <w:ind w:left="-105" w:leftChars="-50" w:right="-105" w:rightChars="-50"/>
              <w:jc w:val="center"/>
              <w:rPr>
                <w:rFonts w:ascii="宋体" w:hAnsi="宋体" w:cs="宋体"/>
              </w:rPr>
            </w:pPr>
            <w:r>
              <w:rPr>
                <w:rFonts w:hint="eastAsia" w:ascii="宋体" w:hAnsi="宋体" w:cs="宋体"/>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2619" w:type="dxa"/>
            <w:gridSpan w:val="3"/>
            <w:vAlign w:val="center"/>
          </w:tcPr>
          <w:p>
            <w:pPr>
              <w:spacing w:line="276" w:lineRule="auto"/>
              <w:ind w:left="-105" w:leftChars="-50" w:right="-105" w:rightChars="-50"/>
              <w:jc w:val="center"/>
              <w:rPr>
                <w:rFonts w:ascii="宋体" w:hAnsi="宋体" w:cs="宋体"/>
              </w:rPr>
            </w:pPr>
            <w:r>
              <w:rPr>
                <w:rFonts w:hint="eastAsia" w:ascii="宋体" w:hAnsi="宋体" w:cs="宋体"/>
              </w:rPr>
              <w:t>得分总计</w:t>
            </w:r>
          </w:p>
        </w:tc>
        <w:tc>
          <w:tcPr>
            <w:tcW w:w="6780" w:type="dxa"/>
            <w:vAlign w:val="center"/>
          </w:tcPr>
          <w:p>
            <w:pPr>
              <w:spacing w:line="276" w:lineRule="auto"/>
              <w:ind w:left="-105" w:leftChars="-50" w:right="-105" w:rightChars="-50"/>
              <w:jc w:val="center"/>
              <w:rPr>
                <w:rFonts w:ascii="宋体" w:hAnsi="宋体" w:cs="宋体"/>
              </w:rPr>
            </w:pPr>
            <w:r>
              <w:rPr>
                <w:rFonts w:hint="eastAsia" w:ascii="宋体" w:hAnsi="宋体" w:cs="宋体"/>
              </w:rPr>
              <w:t>100分</w:t>
            </w:r>
          </w:p>
        </w:tc>
      </w:tr>
    </w:tbl>
    <w:p>
      <w:pPr>
        <w:rPr>
          <w:rFonts w:hint="eastAsia" w:ascii="宋体" w:hAnsi="宋体"/>
          <w:color w:val="000000"/>
          <w:szCs w:val="21"/>
        </w:rPr>
      </w:pPr>
    </w:p>
    <w:p>
      <w:pPr>
        <w:rPr>
          <w:rFonts w:ascii="宋体" w:hAnsi="宋体"/>
          <w:color w:val="000000"/>
          <w:szCs w:val="21"/>
        </w:rPr>
      </w:pPr>
      <w:r>
        <w:rPr>
          <w:rFonts w:hint="eastAsia" w:ascii="宋体" w:hAnsi="宋体"/>
          <w:color w:val="000000"/>
          <w:szCs w:val="21"/>
        </w:rPr>
        <w:t>备注：</w:t>
      </w:r>
    </w:p>
    <w:p>
      <w:pPr>
        <w:widowControl/>
        <w:numPr>
          <w:ilvl w:val="0"/>
          <w:numId w:val="1"/>
        </w:numPr>
        <w:jc w:val="left"/>
        <w:rPr>
          <w:rFonts w:hint="eastAsia" w:ascii="宋体" w:hAnsi="宋体"/>
          <w:szCs w:val="21"/>
        </w:rPr>
      </w:pPr>
      <w:r>
        <w:rPr>
          <w:rFonts w:hint="eastAsia" w:ascii="宋体" w:hAnsi="宋体"/>
          <w:szCs w:val="21"/>
        </w:rPr>
        <w:t>商务标计算按报价人最终报价计算。本次评标采用综合评分法。磋商小组对满足竞争性磋商文件实质性要求的报价文件，按照本章规定的评分标准进行打分，并按得分由高到低顺序推荐中标候选人。评审得分相同的，按照最后报价由低到高的顺序推荐。评审得分且最后报价相同的，按照技术指标优劣顺序推荐。证明材料需提供真彩扫描打印件。</w:t>
      </w:r>
    </w:p>
    <w:p>
      <w:pPr>
        <w:widowControl/>
        <w:numPr>
          <w:ilvl w:val="0"/>
          <w:numId w:val="1"/>
        </w:numPr>
        <w:jc w:val="left"/>
        <w:rPr>
          <w:rFonts w:ascii="宋体" w:hAnsi="宋体"/>
          <w:szCs w:val="21"/>
        </w:rPr>
      </w:pPr>
      <w:r>
        <w:rPr>
          <w:rFonts w:hint="eastAsia" w:ascii="宋体" w:hAnsi="宋体" w:cs="宋体"/>
          <w:bCs/>
          <w:color w:val="000000"/>
        </w:rPr>
        <w:t>如供应商的最终报价低于采购预算的8</w:t>
      </w:r>
      <w:r>
        <w:rPr>
          <w:rFonts w:hint="eastAsia" w:ascii="宋体" w:hAnsi="宋体" w:cs="宋体"/>
          <w:bCs/>
          <w:color w:val="000000"/>
          <w:lang w:val="en-US" w:eastAsia="zh-CN"/>
        </w:rPr>
        <w:t>5</w:t>
      </w:r>
      <w:r>
        <w:rPr>
          <w:rFonts w:hint="eastAsia" w:ascii="宋体" w:hAnsi="宋体" w:cs="宋体"/>
          <w:bCs/>
          <w:color w:val="000000"/>
        </w:rPr>
        <w:t>%，磋商小组可启动磋商报价低于成本问询程序：要求供应商作出书面说明并提供相关证明材料，如供应商在 30 分钟内无法提供不低于成本的相关证明材料， 由磋商小组认定该供应商以低于成本价恶意竞标将并否决其投标</w:t>
      </w:r>
      <w:r>
        <w:rPr>
          <w:rFonts w:hint="eastAsia" w:ascii="宋体" w:hAnsi="宋体" w:cs="宋体"/>
          <w:bCs/>
          <w:color w:val="000000"/>
          <w:lang w:val="en-US" w:eastAsia="zh-CN"/>
        </w:rPr>
        <w:t>.</w:t>
      </w:r>
    </w:p>
    <w:p>
      <w:pPr>
        <w:rPr>
          <w:rFonts w:hint="eastAsia"/>
          <w:lang w:val="en-US" w:eastAsia="zh-CN"/>
        </w:rPr>
      </w:pPr>
      <w:r>
        <w:rPr>
          <w:rFonts w:hint="eastAsia"/>
          <w:lang w:val="en-US" w:eastAsia="zh-CN"/>
        </w:rPr>
        <w:br w:type="page"/>
      </w:r>
    </w:p>
    <w:p>
      <w:pPr>
        <w:rPr>
          <w:rFonts w:hint="default" w:eastAsia="宋体"/>
          <w:lang w:val="en-US" w:eastAsia="zh-CN"/>
        </w:rPr>
      </w:pPr>
      <w:r>
        <w:rPr>
          <w:rFonts w:hint="eastAsia"/>
          <w:lang w:val="en-US" w:eastAsia="zh-CN"/>
        </w:rPr>
        <w:t>附件二</w:t>
      </w:r>
    </w:p>
    <w:p>
      <w:pPr>
        <w:jc w:val="center"/>
        <w:rPr>
          <w:sz w:val="32"/>
          <w:szCs w:val="32"/>
        </w:rPr>
      </w:pPr>
      <w:r>
        <w:rPr>
          <w:rFonts w:hint="eastAsia"/>
          <w:sz w:val="32"/>
          <w:szCs w:val="32"/>
        </w:rPr>
        <w:t>供应商报名表</w:t>
      </w:r>
    </w:p>
    <w:p>
      <w:pP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 xml:space="preserve">项目名称：  </w:t>
      </w:r>
      <w:r>
        <w:rPr>
          <w:rFonts w:hint="eastAsia"/>
          <w:sz w:val="28"/>
          <w:szCs w:val="28"/>
          <w:u w:val="single"/>
        </w:rPr>
        <w:t xml:space="preserve">                </w:t>
      </w:r>
      <w:r>
        <w:rPr>
          <w:rFonts w:hint="eastAsia"/>
          <w:sz w:val="28"/>
          <w:szCs w:val="28"/>
        </w:rPr>
        <w:t xml:space="preserve">                       </w:t>
      </w:r>
    </w:p>
    <w:tbl>
      <w:tblPr>
        <w:tblStyle w:val="17"/>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供应商名称（盖章）</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联系人姓名</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联系人电话</w:t>
            </w:r>
          </w:p>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（办公电话和手机）</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联系人邮箱</w:t>
            </w:r>
          </w:p>
        </w:tc>
        <w:tc>
          <w:tcPr>
            <w:tcW w:w="58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供应商提供的</w:t>
            </w:r>
          </w:p>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报名资料</w:t>
            </w: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1.</w:t>
            </w:r>
            <w:r>
              <w:rPr>
                <w:rFonts w:hint="eastAsia" w:ascii="宋体" w:hAnsi="宋体" w:eastAsia="宋体" w:cs="宋体"/>
                <w:kern w:val="0"/>
                <w:szCs w:val="21"/>
              </w:rPr>
              <w:t>法人或者其他组织的营业执照等证明文件，如供应商是自然人的提供身份证明材料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2.</w:t>
            </w:r>
            <w:r>
              <w:rPr>
                <w:rFonts w:hint="eastAsia" w:ascii="宋体" w:hAnsi="宋体" w:eastAsia="宋体" w:cs="宋体"/>
                <w:kern w:val="0"/>
                <w:szCs w:val="21"/>
              </w:rPr>
              <w:t>财务状况报告必须无亏损，依法缴纳税收和社会保障资金的相关材料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3.</w:t>
            </w:r>
            <w:r>
              <w:rPr>
                <w:rFonts w:hint="eastAsia" w:ascii="宋体" w:hAnsi="宋体" w:eastAsia="宋体" w:cs="宋体"/>
                <w:kern w:val="0"/>
                <w:szCs w:val="21"/>
              </w:rPr>
              <w:t>具备履行合同所必需的设备和专业技术能力的证明材料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4.</w:t>
            </w:r>
            <w:r>
              <w:rPr>
                <w:rFonts w:hint="eastAsia" w:ascii="宋体" w:hAnsi="宋体" w:eastAsia="宋体" w:cs="宋体"/>
                <w:kern w:val="0"/>
                <w:szCs w:val="21"/>
              </w:rPr>
              <w:t>参加政府采购活动前3年内在经营活动中没有重大违法记录的书面声明</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5.</w:t>
            </w:r>
            <w:r>
              <w:rPr>
                <w:rFonts w:hint="eastAsia" w:ascii="宋体" w:hAnsi="宋体" w:eastAsia="宋体" w:cs="宋体"/>
                <w:kern w:val="0"/>
                <w:szCs w:val="21"/>
              </w:rPr>
              <w:t>具备法律、行政法规规定的其他条件的证明材料</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6.</w:t>
            </w:r>
            <w:r>
              <w:rPr>
                <w:rFonts w:hint="eastAsia" w:ascii="宋体" w:hAnsi="宋体" w:eastAsia="宋体" w:cs="宋体"/>
                <w:kern w:val="0"/>
                <w:szCs w:val="21"/>
              </w:rPr>
              <w:t>未被列入 “信用中国”网站（www.creditchina.gov.cn）失信被执行人、重大税收违法案件当事人名单、政府采购严重违法失信行为记录名单的网页打印件</w:t>
            </w:r>
            <w:r>
              <w:rPr>
                <w:rFonts w:hint="eastAsia" w:ascii="宋体" w:hAnsi="宋体" w:eastAsia="宋体" w:cs="宋体"/>
                <w:bCs/>
                <w:color w:val="000000" w:themeColor="text1"/>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vMerge w:val="continue"/>
            <w:tcBorders>
              <w:left w:val="single" w:color="auto" w:sz="4" w:space="0"/>
              <w:right w:val="single" w:color="auto" w:sz="4" w:space="0"/>
            </w:tcBorders>
            <w:vAlign w:val="center"/>
          </w:tcPr>
          <w:p>
            <w:pPr>
              <w:widowControl/>
              <w:adjustRightInd w:val="0"/>
              <w:snapToGrid w:val="0"/>
              <w:spacing w:line="360" w:lineRule="auto"/>
              <w:jc w:val="left"/>
              <w:rPr>
                <w:rFonts w:hint="eastAsia" w:ascii="宋体" w:hAnsi="宋体" w:eastAsia="宋体" w:cs="宋体"/>
                <w:kern w:val="0"/>
                <w:szCs w:val="21"/>
              </w:rPr>
            </w:pPr>
          </w:p>
        </w:tc>
        <w:tc>
          <w:tcPr>
            <w:tcW w:w="5816" w:type="dxa"/>
            <w:tcBorders>
              <w:top w:val="single" w:color="auto" w:sz="4" w:space="0"/>
              <w:left w:val="single" w:color="auto" w:sz="4" w:space="0"/>
              <w:bottom w:val="single" w:color="auto" w:sz="4" w:space="0"/>
              <w:right w:val="single" w:color="auto" w:sz="4" w:space="0"/>
            </w:tcBorders>
          </w:tcPr>
          <w:p>
            <w:pPr>
              <w:widowControl/>
              <w:numPr>
                <w:ilvl w:val="0"/>
                <w:numId w:val="2"/>
              </w:numPr>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color w:val="000000" w:themeColor="text1"/>
                <w:szCs w:val="21"/>
              </w:rPr>
              <w:t>本次招标</w:t>
            </w:r>
            <w:r>
              <w:rPr>
                <w:rFonts w:hint="eastAsia"/>
                <w:color w:val="000000" w:themeColor="text1"/>
                <w:szCs w:val="21"/>
                <w:lang w:eastAsia="zh-CN"/>
              </w:rPr>
              <w:t>不</w:t>
            </w:r>
            <w:r>
              <w:rPr>
                <w:rFonts w:hint="eastAsia"/>
                <w:color w:val="000000" w:themeColor="text1"/>
                <w:szCs w:val="21"/>
              </w:rPr>
              <w:t>接受联合体</w:t>
            </w:r>
            <w:r>
              <w:rPr>
                <w:rFonts w:hint="eastAsia"/>
                <w:color w:val="000000" w:themeColor="text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114" w:type="dxa"/>
            <w:tcBorders>
              <w:left w:val="single" w:color="auto" w:sz="4" w:space="0"/>
              <w:right w:val="single" w:color="auto" w:sz="4" w:space="0"/>
            </w:tcBorders>
            <w:vAlign w:val="center"/>
          </w:tcPr>
          <w:p>
            <w:pPr>
              <w:widowControl/>
              <w:adjustRightInd w:val="0"/>
              <w:snapToGrid w:val="0"/>
              <w:spacing w:line="360" w:lineRule="auto"/>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特定条件</w:t>
            </w: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bCs/>
                <w:kern w:val="0"/>
                <w:szCs w:val="21"/>
                <w:lang w:eastAsia="zh-CN"/>
              </w:rPr>
            </w:pPr>
            <w:r>
              <w:rPr>
                <w:rFonts w:hint="eastAsia" w:ascii="宋体" w:hAnsi="宋体" w:eastAsia="宋体" w:cs="宋体"/>
                <w:bCs/>
                <w:kern w:val="0"/>
                <w:szCs w:val="21"/>
                <w:lang w:eastAsia="zh-CN"/>
              </w:rPr>
              <w:t>1.供应商应具有水利水电工程施工总承包叁级及以上资质，安全生产许可证在有效期内；</w:t>
            </w:r>
          </w:p>
          <w:p>
            <w:pPr>
              <w:adjustRightInd w:val="0"/>
              <w:snapToGrid w:val="0"/>
              <w:spacing w:line="360" w:lineRule="auto"/>
              <w:rPr>
                <w:rFonts w:hint="eastAsia" w:ascii="宋体" w:hAnsi="宋体" w:eastAsia="宋体" w:cs="宋体"/>
                <w:bCs/>
                <w:kern w:val="0"/>
                <w:szCs w:val="21"/>
                <w:lang w:eastAsia="zh-CN"/>
              </w:rPr>
            </w:pPr>
            <w:r>
              <w:rPr>
                <w:rFonts w:hint="eastAsia" w:ascii="宋体" w:hAnsi="宋体" w:eastAsia="宋体" w:cs="宋体"/>
                <w:bCs/>
                <w:kern w:val="0"/>
                <w:szCs w:val="21"/>
                <w:lang w:eastAsia="zh-CN"/>
              </w:rPr>
              <w:t>2.在人员、设备、资金等方面具有相应的施工能力；</w:t>
            </w:r>
          </w:p>
          <w:p>
            <w:pPr>
              <w:adjustRightInd w:val="0"/>
              <w:snapToGrid w:val="0"/>
              <w:spacing w:line="360" w:lineRule="auto"/>
              <w:jc w:val="left"/>
              <w:rPr>
                <w:rFonts w:hint="default" w:ascii="宋体" w:hAnsi="宋体" w:eastAsia="宋体" w:cs="宋体"/>
                <w:bCs/>
                <w:color w:val="000000" w:themeColor="text1"/>
                <w:kern w:val="0"/>
                <w:sz w:val="21"/>
                <w:szCs w:val="21"/>
                <w:lang w:val="en-US" w:eastAsia="zh-CN" w:bidi="ar-SA"/>
              </w:rPr>
            </w:pPr>
            <w:r>
              <w:rPr>
                <w:rFonts w:hint="eastAsia" w:ascii="宋体" w:hAnsi="宋体" w:eastAsia="宋体" w:cs="宋体"/>
                <w:bCs/>
                <w:kern w:val="0"/>
                <w:szCs w:val="21"/>
                <w:lang w:eastAsia="zh-CN"/>
              </w:rPr>
              <w:t>3.供应商拟派的项目经理须具备水利水电工程专业贰级及以上注册建造师证书和《安全生产考核证书》B证，且未担任其他在施建设工程项目的项目经理，项目技术负责人必须具有水利水电工程相关专业中级工程师及以上职称或注册建造师执业资格；提供所在单位为其缴纳的社保部门出具的社保记录证明及有效的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114" w:type="dxa"/>
            <w:tcBorders>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供应商意见</w:t>
            </w:r>
          </w:p>
        </w:tc>
        <w:tc>
          <w:tcPr>
            <w:tcW w:w="581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rFonts w:hint="eastAsia" w:ascii="宋体" w:hAnsi="宋体" w:eastAsia="宋体" w:cs="宋体"/>
                <w:bCs/>
                <w:color w:val="000000" w:themeColor="text1"/>
                <w:kern w:val="0"/>
                <w:sz w:val="21"/>
                <w:szCs w:val="21"/>
                <w:lang w:val="en-US" w:eastAsia="zh-CN" w:bidi="ar-SA"/>
              </w:rPr>
            </w:pPr>
            <w:r>
              <w:rPr>
                <w:rFonts w:hint="eastAsia" w:ascii="宋体" w:hAnsi="宋体" w:eastAsia="宋体" w:cs="宋体"/>
                <w:bCs/>
                <w:color w:val="000000" w:themeColor="text1"/>
                <w:kern w:val="0"/>
                <w:sz w:val="21"/>
                <w:szCs w:val="21"/>
                <w:lang w:val="en-US" w:eastAsia="zh-CN" w:bidi="ar-SA"/>
              </w:rPr>
              <w:t>供应商可对本项目采购需求及评分标准的公正性、专业性、合理性等提出自己正确的意见、建议等（可另页详细表述）。</w:t>
            </w:r>
          </w:p>
        </w:tc>
      </w:tr>
    </w:tbl>
    <w:p>
      <w:pPr>
        <w:pStyle w:val="14"/>
        <w:shd w:val="clear" w:color="auto" w:fill="FFFFFF"/>
        <w:spacing w:before="150" w:beforeAutospacing="0" w:after="150" w:afterAutospacing="0" w:line="360" w:lineRule="atLeast"/>
        <w:ind w:left="150"/>
        <w:rPr>
          <w:rStyle w:val="20"/>
          <w:b w:val="0"/>
          <w:color w:val="000000" w:themeColor="text1"/>
        </w:rPr>
      </w:pPr>
      <w:r>
        <w:rPr>
          <w:rStyle w:val="20"/>
          <w:rFonts w:hint="eastAsia"/>
          <w:b w:val="0"/>
          <w:color w:val="000000" w:themeColor="text1"/>
        </w:rPr>
        <w:t>注意事项：</w:t>
      </w:r>
    </w:p>
    <w:p>
      <w:pPr>
        <w:pStyle w:val="14"/>
        <w:shd w:val="clear" w:color="auto" w:fill="FFFFFF"/>
        <w:spacing w:before="150" w:beforeAutospacing="0" w:after="150" w:afterAutospacing="0" w:line="360" w:lineRule="atLeast"/>
        <w:ind w:left="150" w:firstLine="480" w:firstLineChars="200"/>
        <w:rPr>
          <w:rStyle w:val="20"/>
          <w:b w:val="0"/>
          <w:color w:val="000000" w:themeColor="text1"/>
        </w:rPr>
      </w:pPr>
      <w:r>
        <w:rPr>
          <w:rFonts w:hint="eastAsia"/>
          <w:color w:val="000000" w:themeColor="text1"/>
        </w:rPr>
        <w:t>1.供应商必须严格按照公告的内容和要求，完整递交有关资料，</w:t>
      </w:r>
      <w:r>
        <w:rPr>
          <w:rStyle w:val="20"/>
          <w:rFonts w:hint="eastAsia"/>
          <w:b w:val="0"/>
          <w:color w:val="000000" w:themeColor="text1"/>
        </w:rPr>
        <w:t>逾期递交的将予以拒收。</w:t>
      </w:r>
    </w:p>
    <w:p>
      <w:pPr>
        <w:pStyle w:val="14"/>
        <w:shd w:val="clear" w:color="auto" w:fill="FFFFFF"/>
        <w:spacing w:before="150" w:beforeAutospacing="0" w:after="150" w:afterAutospacing="0" w:line="360" w:lineRule="atLeast"/>
        <w:ind w:left="150" w:firstLine="480" w:firstLineChars="200"/>
        <w:rPr>
          <w:rFonts w:ascii="微软雅黑" w:hAnsi="微软雅黑" w:eastAsia="微软雅黑"/>
          <w:color w:val="000000" w:themeColor="text1"/>
          <w:sz w:val="18"/>
          <w:szCs w:val="18"/>
        </w:rPr>
      </w:pPr>
      <w:r>
        <w:rPr>
          <w:rFonts w:ascii="宋体" w:hAnsi="宋体" w:cs="宋体"/>
          <w:color w:val="000000" w:themeColor="text1"/>
          <w:szCs w:val="24"/>
        </w:rPr>
        <w:t>2.</w:t>
      </w:r>
      <w:r>
        <w:rPr>
          <w:rFonts w:ascii="宋体" w:hAnsi="宋体" w:cs="宋体"/>
          <w:bCs/>
          <w:color w:val="000000" w:themeColor="text1"/>
          <w:szCs w:val="24"/>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r>
        <w:rPr>
          <w:rFonts w:hint="eastAsia"/>
          <w:color w:val="000000" w:themeColor="text1"/>
        </w:rPr>
        <w:t>3.须在邮件（附件文件名注明公司全称）注明公司全称、项目名称及项目编号（不注明我单位将拒收报名邮件）。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CBQfdDXAQAAsAMAAA4AAAAAAAAAAQAgAAAA&#10;HgEAAGRycy9lMm9Eb2MueG1sUEsFBgAAAAAGAAYAWQEAAGc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BD90A"/>
    <w:multiLevelType w:val="singleLevel"/>
    <w:tmpl w:val="A4FBD90A"/>
    <w:lvl w:ilvl="0" w:tentative="0">
      <w:start w:val="7"/>
      <w:numFmt w:val="decimal"/>
      <w:lvlText w:val="%1."/>
      <w:lvlJc w:val="left"/>
      <w:pPr>
        <w:tabs>
          <w:tab w:val="left" w:pos="312"/>
        </w:tabs>
      </w:pPr>
    </w:lvl>
  </w:abstractNum>
  <w:abstractNum w:abstractNumId="1">
    <w:nsid w:val="F7234C54"/>
    <w:multiLevelType w:val="singleLevel"/>
    <w:tmpl w:val="F7234C5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BFD"/>
    <w:rsid w:val="00023CBA"/>
    <w:rsid w:val="00024ED8"/>
    <w:rsid w:val="0002546C"/>
    <w:rsid w:val="000274B8"/>
    <w:rsid w:val="00033E96"/>
    <w:rsid w:val="00037A6F"/>
    <w:rsid w:val="00040735"/>
    <w:rsid w:val="00050608"/>
    <w:rsid w:val="000527BB"/>
    <w:rsid w:val="000549A9"/>
    <w:rsid w:val="00056AED"/>
    <w:rsid w:val="00064C78"/>
    <w:rsid w:val="0008654C"/>
    <w:rsid w:val="000867B4"/>
    <w:rsid w:val="00087E3A"/>
    <w:rsid w:val="0009726D"/>
    <w:rsid w:val="000A3309"/>
    <w:rsid w:val="000A6872"/>
    <w:rsid w:val="000B3AFC"/>
    <w:rsid w:val="000C6BBE"/>
    <w:rsid w:val="000C7A81"/>
    <w:rsid w:val="00101CA6"/>
    <w:rsid w:val="00104393"/>
    <w:rsid w:val="00112B11"/>
    <w:rsid w:val="00120CEA"/>
    <w:rsid w:val="00122B5C"/>
    <w:rsid w:val="00127B67"/>
    <w:rsid w:val="00167F38"/>
    <w:rsid w:val="00172A27"/>
    <w:rsid w:val="0019680B"/>
    <w:rsid w:val="001A2453"/>
    <w:rsid w:val="001C3F98"/>
    <w:rsid w:val="001D00A2"/>
    <w:rsid w:val="001F7783"/>
    <w:rsid w:val="00227C74"/>
    <w:rsid w:val="00232881"/>
    <w:rsid w:val="0023592C"/>
    <w:rsid w:val="00241FC1"/>
    <w:rsid w:val="00247E29"/>
    <w:rsid w:val="00250BFB"/>
    <w:rsid w:val="00251305"/>
    <w:rsid w:val="00251DA2"/>
    <w:rsid w:val="0027306D"/>
    <w:rsid w:val="00286F91"/>
    <w:rsid w:val="002912E3"/>
    <w:rsid w:val="002B2C7F"/>
    <w:rsid w:val="002B3115"/>
    <w:rsid w:val="002C0DCE"/>
    <w:rsid w:val="002C2BE3"/>
    <w:rsid w:val="002C55AE"/>
    <w:rsid w:val="002D20BD"/>
    <w:rsid w:val="002D2CFE"/>
    <w:rsid w:val="002E3FA6"/>
    <w:rsid w:val="002F48B3"/>
    <w:rsid w:val="002F4AFA"/>
    <w:rsid w:val="002F7250"/>
    <w:rsid w:val="00301A1C"/>
    <w:rsid w:val="00302295"/>
    <w:rsid w:val="003241BB"/>
    <w:rsid w:val="00334D3C"/>
    <w:rsid w:val="00335DA3"/>
    <w:rsid w:val="00340104"/>
    <w:rsid w:val="00354132"/>
    <w:rsid w:val="00364E6E"/>
    <w:rsid w:val="0038354E"/>
    <w:rsid w:val="00384F78"/>
    <w:rsid w:val="003A3307"/>
    <w:rsid w:val="003B7B1B"/>
    <w:rsid w:val="003E7010"/>
    <w:rsid w:val="003F43BF"/>
    <w:rsid w:val="00407960"/>
    <w:rsid w:val="004136C5"/>
    <w:rsid w:val="0042465C"/>
    <w:rsid w:val="004357AA"/>
    <w:rsid w:val="004451C8"/>
    <w:rsid w:val="004465E5"/>
    <w:rsid w:val="00450AE4"/>
    <w:rsid w:val="0045317F"/>
    <w:rsid w:val="00455635"/>
    <w:rsid w:val="00462B04"/>
    <w:rsid w:val="00465FFA"/>
    <w:rsid w:val="00471D57"/>
    <w:rsid w:val="0048332F"/>
    <w:rsid w:val="0048653B"/>
    <w:rsid w:val="00487186"/>
    <w:rsid w:val="004A769B"/>
    <w:rsid w:val="004B38AE"/>
    <w:rsid w:val="004B5D9E"/>
    <w:rsid w:val="004C102D"/>
    <w:rsid w:val="004C21DE"/>
    <w:rsid w:val="004C2FBC"/>
    <w:rsid w:val="004E0358"/>
    <w:rsid w:val="00501094"/>
    <w:rsid w:val="0051315F"/>
    <w:rsid w:val="0051396C"/>
    <w:rsid w:val="00526415"/>
    <w:rsid w:val="0053126C"/>
    <w:rsid w:val="00532D66"/>
    <w:rsid w:val="005363F4"/>
    <w:rsid w:val="005517D8"/>
    <w:rsid w:val="00552BF4"/>
    <w:rsid w:val="00557E5B"/>
    <w:rsid w:val="0056029B"/>
    <w:rsid w:val="00577CD8"/>
    <w:rsid w:val="00587588"/>
    <w:rsid w:val="00587B63"/>
    <w:rsid w:val="005967B6"/>
    <w:rsid w:val="00597933"/>
    <w:rsid w:val="005A2FA8"/>
    <w:rsid w:val="005B3427"/>
    <w:rsid w:val="005C7953"/>
    <w:rsid w:val="005D0EA4"/>
    <w:rsid w:val="005E47BA"/>
    <w:rsid w:val="0060427B"/>
    <w:rsid w:val="00604A95"/>
    <w:rsid w:val="006101C6"/>
    <w:rsid w:val="0062072B"/>
    <w:rsid w:val="0065413A"/>
    <w:rsid w:val="0066049D"/>
    <w:rsid w:val="00667E7D"/>
    <w:rsid w:val="00673A2E"/>
    <w:rsid w:val="00674BD9"/>
    <w:rsid w:val="00680095"/>
    <w:rsid w:val="00681F25"/>
    <w:rsid w:val="006B1667"/>
    <w:rsid w:val="006B393A"/>
    <w:rsid w:val="006B566D"/>
    <w:rsid w:val="006B5F1F"/>
    <w:rsid w:val="006C22D5"/>
    <w:rsid w:val="006D5ED3"/>
    <w:rsid w:val="00700383"/>
    <w:rsid w:val="00710283"/>
    <w:rsid w:val="00714951"/>
    <w:rsid w:val="00731C4C"/>
    <w:rsid w:val="00737F1A"/>
    <w:rsid w:val="0074795C"/>
    <w:rsid w:val="00754B48"/>
    <w:rsid w:val="00770BDF"/>
    <w:rsid w:val="007779CC"/>
    <w:rsid w:val="00783B2B"/>
    <w:rsid w:val="00785A5A"/>
    <w:rsid w:val="007A1F2A"/>
    <w:rsid w:val="007B43B5"/>
    <w:rsid w:val="00806578"/>
    <w:rsid w:val="00813A8C"/>
    <w:rsid w:val="0082060A"/>
    <w:rsid w:val="00841971"/>
    <w:rsid w:val="00842F5C"/>
    <w:rsid w:val="00843EA0"/>
    <w:rsid w:val="00845C04"/>
    <w:rsid w:val="00855B79"/>
    <w:rsid w:val="0085685E"/>
    <w:rsid w:val="00862199"/>
    <w:rsid w:val="0086302C"/>
    <w:rsid w:val="00877547"/>
    <w:rsid w:val="008C1458"/>
    <w:rsid w:val="008D1697"/>
    <w:rsid w:val="008D3473"/>
    <w:rsid w:val="008D594A"/>
    <w:rsid w:val="008D5B51"/>
    <w:rsid w:val="008E2B15"/>
    <w:rsid w:val="00901DA9"/>
    <w:rsid w:val="009111CF"/>
    <w:rsid w:val="00912E34"/>
    <w:rsid w:val="00917353"/>
    <w:rsid w:val="0092386A"/>
    <w:rsid w:val="00923DAF"/>
    <w:rsid w:val="009328B6"/>
    <w:rsid w:val="00935480"/>
    <w:rsid w:val="00960937"/>
    <w:rsid w:val="00965878"/>
    <w:rsid w:val="00972423"/>
    <w:rsid w:val="00984E78"/>
    <w:rsid w:val="009A662A"/>
    <w:rsid w:val="009B48B8"/>
    <w:rsid w:val="009D463C"/>
    <w:rsid w:val="009D546E"/>
    <w:rsid w:val="009D6071"/>
    <w:rsid w:val="009D6CBD"/>
    <w:rsid w:val="009F32BA"/>
    <w:rsid w:val="009F57B7"/>
    <w:rsid w:val="00A03FCC"/>
    <w:rsid w:val="00A04C63"/>
    <w:rsid w:val="00A07E51"/>
    <w:rsid w:val="00A51660"/>
    <w:rsid w:val="00A767BF"/>
    <w:rsid w:val="00A77B29"/>
    <w:rsid w:val="00A80F76"/>
    <w:rsid w:val="00AA0343"/>
    <w:rsid w:val="00AA16B1"/>
    <w:rsid w:val="00AC4743"/>
    <w:rsid w:val="00AC4FF6"/>
    <w:rsid w:val="00AC6171"/>
    <w:rsid w:val="00AC7064"/>
    <w:rsid w:val="00AD4497"/>
    <w:rsid w:val="00AD466D"/>
    <w:rsid w:val="00AD57E9"/>
    <w:rsid w:val="00AE0050"/>
    <w:rsid w:val="00AE009B"/>
    <w:rsid w:val="00AE2C55"/>
    <w:rsid w:val="00AE565A"/>
    <w:rsid w:val="00AF42F0"/>
    <w:rsid w:val="00B17A0A"/>
    <w:rsid w:val="00B2763F"/>
    <w:rsid w:val="00B27FDA"/>
    <w:rsid w:val="00B37D97"/>
    <w:rsid w:val="00B422CC"/>
    <w:rsid w:val="00B54BA9"/>
    <w:rsid w:val="00B71E64"/>
    <w:rsid w:val="00B76C43"/>
    <w:rsid w:val="00B80D41"/>
    <w:rsid w:val="00B87DB2"/>
    <w:rsid w:val="00BC0370"/>
    <w:rsid w:val="00BD0E7D"/>
    <w:rsid w:val="00BD15BE"/>
    <w:rsid w:val="00BE7C0F"/>
    <w:rsid w:val="00C00883"/>
    <w:rsid w:val="00C045C9"/>
    <w:rsid w:val="00C41FC1"/>
    <w:rsid w:val="00C4672B"/>
    <w:rsid w:val="00C554DF"/>
    <w:rsid w:val="00C704DC"/>
    <w:rsid w:val="00C7583C"/>
    <w:rsid w:val="00C77263"/>
    <w:rsid w:val="00C8060B"/>
    <w:rsid w:val="00C862D3"/>
    <w:rsid w:val="00C94576"/>
    <w:rsid w:val="00CA2ADF"/>
    <w:rsid w:val="00CB1F38"/>
    <w:rsid w:val="00CD3343"/>
    <w:rsid w:val="00CE7D0E"/>
    <w:rsid w:val="00D049F5"/>
    <w:rsid w:val="00D12C9E"/>
    <w:rsid w:val="00D239DE"/>
    <w:rsid w:val="00D2556F"/>
    <w:rsid w:val="00D34002"/>
    <w:rsid w:val="00D35226"/>
    <w:rsid w:val="00D354CC"/>
    <w:rsid w:val="00D51D16"/>
    <w:rsid w:val="00D538BD"/>
    <w:rsid w:val="00D57782"/>
    <w:rsid w:val="00D63126"/>
    <w:rsid w:val="00D64C90"/>
    <w:rsid w:val="00D665CD"/>
    <w:rsid w:val="00D70B51"/>
    <w:rsid w:val="00D71D31"/>
    <w:rsid w:val="00D76028"/>
    <w:rsid w:val="00D85A87"/>
    <w:rsid w:val="00D9157E"/>
    <w:rsid w:val="00DA12FB"/>
    <w:rsid w:val="00DA3AC3"/>
    <w:rsid w:val="00DB7FCC"/>
    <w:rsid w:val="00DC47E0"/>
    <w:rsid w:val="00DE729E"/>
    <w:rsid w:val="00DE75E6"/>
    <w:rsid w:val="00DF4031"/>
    <w:rsid w:val="00DF5BE5"/>
    <w:rsid w:val="00DF750C"/>
    <w:rsid w:val="00E10DD5"/>
    <w:rsid w:val="00E14B01"/>
    <w:rsid w:val="00E20A1B"/>
    <w:rsid w:val="00E401E6"/>
    <w:rsid w:val="00E40ED1"/>
    <w:rsid w:val="00E433B2"/>
    <w:rsid w:val="00E44BA6"/>
    <w:rsid w:val="00E52266"/>
    <w:rsid w:val="00E52889"/>
    <w:rsid w:val="00E61009"/>
    <w:rsid w:val="00E6320A"/>
    <w:rsid w:val="00E643E2"/>
    <w:rsid w:val="00E652DF"/>
    <w:rsid w:val="00E721AB"/>
    <w:rsid w:val="00E85276"/>
    <w:rsid w:val="00E901E4"/>
    <w:rsid w:val="00E94B33"/>
    <w:rsid w:val="00EA5552"/>
    <w:rsid w:val="00EA7180"/>
    <w:rsid w:val="00EB4E46"/>
    <w:rsid w:val="00EB5D3C"/>
    <w:rsid w:val="00EB7758"/>
    <w:rsid w:val="00ED3F8E"/>
    <w:rsid w:val="00EE5A92"/>
    <w:rsid w:val="00EF6F42"/>
    <w:rsid w:val="00F00A58"/>
    <w:rsid w:val="00F015B2"/>
    <w:rsid w:val="00F06506"/>
    <w:rsid w:val="00F10D7E"/>
    <w:rsid w:val="00F22277"/>
    <w:rsid w:val="00F232EB"/>
    <w:rsid w:val="00F27BC7"/>
    <w:rsid w:val="00F33A46"/>
    <w:rsid w:val="00F35110"/>
    <w:rsid w:val="00F52DE9"/>
    <w:rsid w:val="00F67B38"/>
    <w:rsid w:val="00F75C7B"/>
    <w:rsid w:val="00F7772A"/>
    <w:rsid w:val="00F83087"/>
    <w:rsid w:val="00F85D93"/>
    <w:rsid w:val="00F959CE"/>
    <w:rsid w:val="00F95A75"/>
    <w:rsid w:val="00FA7FE1"/>
    <w:rsid w:val="00FB6F4C"/>
    <w:rsid w:val="00FD4208"/>
    <w:rsid w:val="00FE7F1F"/>
    <w:rsid w:val="00FF19EE"/>
    <w:rsid w:val="00FF427F"/>
    <w:rsid w:val="01790D18"/>
    <w:rsid w:val="04793D1F"/>
    <w:rsid w:val="0C45417B"/>
    <w:rsid w:val="0C5510B9"/>
    <w:rsid w:val="0E1331EC"/>
    <w:rsid w:val="0E320096"/>
    <w:rsid w:val="0EAD5531"/>
    <w:rsid w:val="11A51AC2"/>
    <w:rsid w:val="127E70F0"/>
    <w:rsid w:val="141B7793"/>
    <w:rsid w:val="14D62568"/>
    <w:rsid w:val="18C45DF2"/>
    <w:rsid w:val="18D576C9"/>
    <w:rsid w:val="1C5B20D6"/>
    <w:rsid w:val="1C987838"/>
    <w:rsid w:val="1D3A4920"/>
    <w:rsid w:val="1DF625FB"/>
    <w:rsid w:val="202042A9"/>
    <w:rsid w:val="23656384"/>
    <w:rsid w:val="247C672C"/>
    <w:rsid w:val="24872877"/>
    <w:rsid w:val="25AA7995"/>
    <w:rsid w:val="27B106C6"/>
    <w:rsid w:val="28E36878"/>
    <w:rsid w:val="2AE24380"/>
    <w:rsid w:val="2BFD7314"/>
    <w:rsid w:val="2C772B92"/>
    <w:rsid w:val="2F747B39"/>
    <w:rsid w:val="35055FED"/>
    <w:rsid w:val="36402EC4"/>
    <w:rsid w:val="36620CC0"/>
    <w:rsid w:val="383340C7"/>
    <w:rsid w:val="39CF47DA"/>
    <w:rsid w:val="39DE3B7B"/>
    <w:rsid w:val="3BC900F9"/>
    <w:rsid w:val="3E6350B2"/>
    <w:rsid w:val="3F524F8F"/>
    <w:rsid w:val="4021663B"/>
    <w:rsid w:val="435C72CE"/>
    <w:rsid w:val="469F68E0"/>
    <w:rsid w:val="4C7D3FD0"/>
    <w:rsid w:val="50BB5463"/>
    <w:rsid w:val="536F1C69"/>
    <w:rsid w:val="55920551"/>
    <w:rsid w:val="570C6CFC"/>
    <w:rsid w:val="588F544A"/>
    <w:rsid w:val="5A452253"/>
    <w:rsid w:val="5B663F46"/>
    <w:rsid w:val="5CBA3BBE"/>
    <w:rsid w:val="5CBE6072"/>
    <w:rsid w:val="5DB549BD"/>
    <w:rsid w:val="5F4B73FF"/>
    <w:rsid w:val="60577F0C"/>
    <w:rsid w:val="60F426AC"/>
    <w:rsid w:val="61545FAA"/>
    <w:rsid w:val="623E5D6C"/>
    <w:rsid w:val="629D22A4"/>
    <w:rsid w:val="63BF4A1A"/>
    <w:rsid w:val="64A74286"/>
    <w:rsid w:val="64C45C5E"/>
    <w:rsid w:val="65336FCC"/>
    <w:rsid w:val="670269E3"/>
    <w:rsid w:val="671C65C7"/>
    <w:rsid w:val="68CD2E01"/>
    <w:rsid w:val="68F0582B"/>
    <w:rsid w:val="6AAA6CCA"/>
    <w:rsid w:val="6B2E3BA7"/>
    <w:rsid w:val="721C79F3"/>
    <w:rsid w:val="72AA3ED9"/>
    <w:rsid w:val="7330683B"/>
    <w:rsid w:val="73B13682"/>
    <w:rsid w:val="757375BD"/>
    <w:rsid w:val="77471B72"/>
    <w:rsid w:val="786E620A"/>
    <w:rsid w:val="7AC45324"/>
    <w:rsid w:val="7AD21950"/>
    <w:rsid w:val="7F894542"/>
    <w:rsid w:val="7F8D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22"/>
    <w:qFormat/>
    <w:uiPriority w:val="9"/>
    <w:pPr>
      <w:keepNext/>
      <w:keepLines/>
      <w:spacing w:before="340" w:after="330" w:line="576" w:lineRule="auto"/>
      <w:outlineLvl w:val="0"/>
    </w:pPr>
    <w:rPr>
      <w:b/>
      <w:bCs/>
      <w:kern w:val="44"/>
      <w:sz w:val="44"/>
      <w:szCs w:val="44"/>
    </w:rPr>
  </w:style>
  <w:style w:type="paragraph" w:styleId="4">
    <w:name w:val="heading 2"/>
    <w:basedOn w:val="5"/>
    <w:next w:val="5"/>
    <w:semiHidden/>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customStyle="1" w:styleId="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w:basedOn w:val="1"/>
    <w:link w:val="27"/>
    <w:unhideWhenUsed/>
    <w:qFormat/>
    <w:uiPriority w:val="99"/>
    <w:rPr>
      <w:rFonts w:ascii="宋体" w:hAnsiTheme="minorHAnsi" w:eastAsiaTheme="minorEastAsia" w:cstheme="minorBidi"/>
      <w:sz w:val="24"/>
    </w:rPr>
  </w:style>
  <w:style w:type="paragraph" w:styleId="7">
    <w:name w:val="Body Text Indent"/>
    <w:basedOn w:val="1"/>
    <w:next w:val="8"/>
    <w:qFormat/>
    <w:uiPriority w:val="0"/>
    <w:pPr>
      <w:spacing w:after="120"/>
      <w:ind w:left="420" w:leftChars="200"/>
    </w:pPr>
    <w:rPr>
      <w:kern w:val="0"/>
      <w:sz w:val="20"/>
    </w:rPr>
  </w:style>
  <w:style w:type="paragraph" w:styleId="8">
    <w:name w:val="envelope return"/>
    <w:basedOn w:val="1"/>
    <w:unhideWhenUsed/>
    <w:qFormat/>
    <w:uiPriority w:val="99"/>
    <w:pPr>
      <w:snapToGrid w:val="0"/>
    </w:pPr>
    <w:rPr>
      <w:rFonts w:ascii="Arial" w:hAnsi="Arial"/>
    </w:rPr>
  </w:style>
  <w:style w:type="paragraph" w:styleId="9">
    <w:name w:val="Balloon Text"/>
    <w:basedOn w:val="1"/>
    <w:link w:val="25"/>
    <w:unhideWhenUsed/>
    <w:qFormat/>
    <w:uiPriority w:val="99"/>
    <w:rPr>
      <w:sz w:val="18"/>
      <w:szCs w:val="18"/>
    </w:rPr>
  </w:style>
  <w:style w:type="paragraph" w:styleId="10">
    <w:name w:val="footer"/>
    <w:basedOn w:val="1"/>
    <w:link w:val="24"/>
    <w:unhideWhenUsed/>
    <w:qFormat/>
    <w:uiPriority w:val="0"/>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13">
    <w:name w:val="Body Text 2"/>
    <w:basedOn w:val="1"/>
    <w:qFormat/>
    <w:uiPriority w:val="0"/>
    <w:pPr>
      <w:adjustRightInd w:val="0"/>
      <w:snapToGrid w:val="0"/>
      <w:spacing w:line="480" w:lineRule="atLeast"/>
    </w:pPr>
    <w:rPr>
      <w:rFonts w:ascii="宋体" w:hAnsi="宋体"/>
      <w:sz w:val="28"/>
      <w:szCs w:val="20"/>
    </w:rPr>
  </w:style>
  <w:style w:type="paragraph" w:styleId="14">
    <w:name w:val="Normal (Web)"/>
    <w:basedOn w:val="1"/>
    <w:unhideWhenUsed/>
    <w:qFormat/>
    <w:uiPriority w:val="0"/>
    <w:pPr>
      <w:spacing w:beforeAutospacing="1" w:afterAutospacing="1"/>
      <w:jc w:val="left"/>
    </w:pPr>
    <w:rPr>
      <w:rFonts w:cs="Times New Roman"/>
      <w:kern w:val="0"/>
      <w:sz w:val="24"/>
    </w:rPr>
  </w:style>
  <w:style w:type="paragraph" w:styleId="15">
    <w:name w:val="Title"/>
    <w:basedOn w:val="1"/>
    <w:next w:val="1"/>
    <w:link w:val="26"/>
    <w:qFormat/>
    <w:uiPriority w:val="0"/>
    <w:pPr>
      <w:spacing w:before="240" w:after="60"/>
      <w:jc w:val="center"/>
      <w:outlineLvl w:val="0"/>
    </w:pPr>
    <w:rPr>
      <w:rFonts w:ascii="Cambria" w:hAnsi="Cambria" w:eastAsia="方正小标宋简体" w:cs="Times New Roman"/>
      <w:b/>
      <w:bCs/>
      <w:sz w:val="32"/>
      <w:szCs w:val="32"/>
    </w:rPr>
  </w:style>
  <w:style w:type="paragraph" w:styleId="16">
    <w:name w:val="Body Text First Indent 2"/>
    <w:basedOn w:val="7"/>
    <w:qFormat/>
    <w:uiPriority w:val="0"/>
    <w:pPr>
      <w:widowControl w:val="0"/>
      <w:spacing w:after="120"/>
      <w:ind w:left="420" w:leftChars="200" w:firstLine="420" w:firstLineChars="200"/>
      <w:jc w:val="both"/>
    </w:pPr>
    <w:rPr>
      <w:kern w:val="2"/>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paragraph" w:customStyle="1" w:styleId="2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22">
    <w:name w:val="标题 1 Char"/>
    <w:basedOn w:val="19"/>
    <w:link w:val="3"/>
    <w:qFormat/>
    <w:uiPriority w:val="9"/>
    <w:rPr>
      <w:rFonts w:eastAsia="宋体"/>
      <w:b/>
      <w:bCs/>
      <w:kern w:val="44"/>
      <w:sz w:val="44"/>
      <w:szCs w:val="44"/>
    </w:rPr>
  </w:style>
  <w:style w:type="character" w:customStyle="1" w:styleId="23">
    <w:name w:val="页眉 Char"/>
    <w:basedOn w:val="19"/>
    <w:link w:val="11"/>
    <w:qFormat/>
    <w:uiPriority w:val="99"/>
    <w:rPr>
      <w:sz w:val="18"/>
      <w:szCs w:val="18"/>
    </w:rPr>
  </w:style>
  <w:style w:type="character" w:customStyle="1" w:styleId="24">
    <w:name w:val="页脚 Char"/>
    <w:basedOn w:val="19"/>
    <w:link w:val="10"/>
    <w:qFormat/>
    <w:uiPriority w:val="99"/>
    <w:rPr>
      <w:sz w:val="18"/>
      <w:szCs w:val="18"/>
    </w:rPr>
  </w:style>
  <w:style w:type="character" w:customStyle="1" w:styleId="25">
    <w:name w:val="批注框文本 Char"/>
    <w:basedOn w:val="19"/>
    <w:link w:val="9"/>
    <w:semiHidden/>
    <w:qFormat/>
    <w:uiPriority w:val="99"/>
    <w:rPr>
      <w:sz w:val="18"/>
      <w:szCs w:val="18"/>
    </w:rPr>
  </w:style>
  <w:style w:type="character" w:customStyle="1" w:styleId="26">
    <w:name w:val="标题 Char"/>
    <w:basedOn w:val="19"/>
    <w:link w:val="15"/>
    <w:qFormat/>
    <w:uiPriority w:val="0"/>
    <w:rPr>
      <w:rFonts w:ascii="Cambria" w:hAnsi="Cambria" w:eastAsia="方正小标宋简体"/>
      <w:b/>
      <w:bCs/>
      <w:kern w:val="2"/>
      <w:sz w:val="32"/>
      <w:szCs w:val="32"/>
    </w:rPr>
  </w:style>
  <w:style w:type="character" w:customStyle="1" w:styleId="27">
    <w:name w:val="正文文本 Char"/>
    <w:basedOn w:val="19"/>
    <w:link w:val="6"/>
    <w:qFormat/>
    <w:uiPriority w:val="99"/>
    <w:rPr>
      <w:rFonts w:ascii="宋体" w:hAnsiTheme="minorHAnsi" w:eastAsiaTheme="minorEastAsia" w:cstheme="minorBidi"/>
      <w:kern w:val="2"/>
      <w:sz w:val="24"/>
      <w:szCs w:val="22"/>
    </w:rPr>
  </w:style>
  <w:style w:type="paragraph" w:styleId="28">
    <w:name w:val="List Paragraph"/>
    <w:basedOn w:val="1"/>
    <w:unhideWhenUsed/>
    <w:qFormat/>
    <w:uiPriority w:val="99"/>
    <w:pPr>
      <w:ind w:firstLine="420" w:firstLineChars="200"/>
    </w:pPr>
  </w:style>
  <w:style w:type="paragraph" w:customStyle="1" w:styleId="29">
    <w:name w:val="正文 New New New New New New New New New"/>
    <w:qFormat/>
    <w:uiPriority w:val="0"/>
    <w:pPr>
      <w:widowControl w:val="0"/>
      <w:jc w:val="both"/>
    </w:pPr>
    <w:rPr>
      <w:rFonts w:hint="eastAsia" w:ascii="Times New Roman" w:hAnsi="Times New Roman" w:eastAsia="宋体" w:cs="Calibri"/>
      <w:kern w:val="2"/>
      <w:sz w:val="21"/>
      <w:lang w:val="en-US" w:eastAsia="zh-CN" w:bidi="ar-SA"/>
    </w:rPr>
  </w:style>
  <w:style w:type="paragraph" w:customStyle="1" w:styleId="30">
    <w:name w:val="文档正文"/>
    <w:basedOn w:val="1"/>
    <w:qFormat/>
    <w:uiPriority w:val="0"/>
    <w:pPr>
      <w:adjustRightInd w:val="0"/>
      <w:spacing w:line="312" w:lineRule="atLeast"/>
      <w:ind w:firstLine="567"/>
      <w:textAlignment w:val="baseline"/>
    </w:pPr>
    <w:rPr>
      <w:rFonts w:ascii="长城仿宋" w:hAnsi="Times New Roman" w:eastAsia="长城仿宋" w:cs="Times New Roman"/>
      <w:kern w:val="0"/>
      <w:sz w:val="28"/>
      <w:szCs w:val="24"/>
    </w:rPr>
  </w:style>
  <w:style w:type="paragraph" w:customStyle="1" w:styleId="31">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32">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33">
    <w:name w:val="Table Paragraph"/>
    <w:basedOn w:val="1"/>
    <w:qFormat/>
    <w:uiPriority w:val="1"/>
    <w:pPr>
      <w:autoSpaceDE w:val="0"/>
      <w:autoSpaceDN w:val="0"/>
      <w:adjustRightInd w:val="0"/>
      <w:jc w:val="left"/>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6D148-545F-4857-BDAD-11D14E4685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638</Words>
  <Characters>3637</Characters>
  <Lines>30</Lines>
  <Paragraphs>8</Paragraphs>
  <TotalTime>2</TotalTime>
  <ScaleCrop>false</ScaleCrop>
  <LinksUpToDate>false</LinksUpToDate>
  <CharactersWithSpaces>4267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2019-10-31T02:40:00Z</dcterms:created>
  <dc:creator>wangh</dc:creator>
  <cp:lastModifiedBy>Lenovo</cp:lastModifiedBy>
  <cp:lastPrinted>2021-03-19T01:47:00Z</cp:lastPrinted>
  <dcterms:modified xsi:type="dcterms:W3CDTF">2021-06-07T07:24:55Z</dcterms:modified>
  <dc:title>湖北省省级政府采购需求公示</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D1770F462E814BEA9B9D0466925AA62F</vt:lpwstr>
  </property>
</Properties>
</file>