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lang w:eastAsia="zh-CN"/>
        </w:rPr>
      </w:pPr>
      <w:r>
        <w:rPr>
          <w:rFonts w:hint="eastAsia" w:ascii="宋体" w:hAnsi="宋体"/>
          <w:b/>
          <w:bCs/>
          <w:sz w:val="36"/>
          <w:szCs w:val="36"/>
          <w:lang w:val="en-US" w:eastAsia="zh-CN"/>
        </w:rPr>
        <w:t>阳新县妇幼保健院改扩建重症病区（ICU）建设项目</w:t>
      </w:r>
      <w:r>
        <w:rPr>
          <w:rFonts w:hint="eastAsia" w:ascii="宋体" w:hAnsi="宋体"/>
          <w:b/>
          <w:bCs/>
          <w:sz w:val="36"/>
          <w:szCs w:val="36"/>
          <w:lang w:eastAsia="zh-CN"/>
        </w:rPr>
        <w:t>采购需求</w:t>
      </w:r>
    </w:p>
    <w:p>
      <w:pPr>
        <w:pStyle w:val="6"/>
        <w:rPr>
          <w:rFonts w:hint="eastAsia"/>
          <w:lang w:eastAsia="zh-CN"/>
        </w:rPr>
      </w:pPr>
    </w:p>
    <w:p>
      <w:pPr>
        <w:pStyle w:val="6"/>
        <w:rPr>
          <w:rFonts w:hint="eastAsia" w:ascii="宋体" w:hAnsi="宋体" w:eastAsia="宋体" w:cs="宋体"/>
          <w:sz w:val="28"/>
          <w:szCs w:val="24"/>
          <w:lang w:eastAsia="zh-CN"/>
        </w:rPr>
      </w:pPr>
      <w:r>
        <w:rPr>
          <w:rFonts w:hint="eastAsia" w:ascii="宋体" w:hAnsi="宋体" w:eastAsia="宋体" w:cs="宋体"/>
          <w:sz w:val="28"/>
          <w:szCs w:val="24"/>
          <w:lang w:eastAsia="zh-CN"/>
        </w:rPr>
        <w:t>采购单位：阳新县妇幼保健院</w:t>
      </w:r>
    </w:p>
    <w:p>
      <w:pPr>
        <w:pStyle w:val="6"/>
        <w:rPr>
          <w:rFonts w:hint="eastAsia" w:ascii="宋体" w:hAnsi="宋体" w:eastAsia="宋体" w:cs="宋体"/>
          <w:color w:val="auto"/>
          <w:sz w:val="28"/>
          <w:szCs w:val="24"/>
          <w:lang w:eastAsia="zh-CN"/>
        </w:rPr>
      </w:pPr>
      <w:r>
        <w:rPr>
          <w:rFonts w:hint="eastAsia" w:ascii="宋体" w:hAnsi="宋体" w:eastAsia="宋体" w:cs="宋体"/>
          <w:sz w:val="28"/>
          <w:szCs w:val="24"/>
          <w:lang w:eastAsia="zh-CN"/>
        </w:rPr>
        <w:t>联 系 人：</w:t>
      </w:r>
      <w:r>
        <w:rPr>
          <w:rFonts w:hint="eastAsia" w:ascii="宋体" w:hAnsi="宋体" w:eastAsia="宋体" w:cs="宋体"/>
          <w:color w:val="auto"/>
          <w:sz w:val="28"/>
          <w:szCs w:val="24"/>
          <w:lang w:eastAsia="zh-CN"/>
        </w:rPr>
        <w:t>柯主任</w:t>
      </w:r>
    </w:p>
    <w:p>
      <w:pPr>
        <w:pStyle w:val="6"/>
        <w:rPr>
          <w:rFonts w:hint="eastAsia" w:ascii="宋体" w:hAnsi="宋体" w:eastAsia="宋体" w:cs="宋体"/>
          <w:color w:val="auto"/>
          <w:sz w:val="28"/>
          <w:szCs w:val="24"/>
          <w:lang w:eastAsia="zh-CN"/>
        </w:rPr>
      </w:pPr>
      <w:r>
        <w:rPr>
          <w:rFonts w:hint="eastAsia" w:ascii="宋体" w:hAnsi="宋体" w:eastAsia="宋体" w:cs="宋体"/>
          <w:color w:val="auto"/>
          <w:sz w:val="28"/>
          <w:szCs w:val="24"/>
          <w:lang w:eastAsia="zh-CN"/>
        </w:rPr>
        <w:t>联系电话：0714-7813100</w:t>
      </w:r>
    </w:p>
    <w:p>
      <w:pPr>
        <w:pStyle w:val="6"/>
        <w:rPr>
          <w:rFonts w:hint="eastAsia" w:ascii="宋体" w:hAnsi="宋体" w:eastAsia="宋体" w:cs="宋体"/>
          <w:sz w:val="28"/>
          <w:szCs w:val="24"/>
          <w:lang w:eastAsia="zh-CN"/>
        </w:rPr>
      </w:pPr>
      <w:r>
        <w:rPr>
          <w:rFonts w:hint="eastAsia" w:ascii="宋体" w:hAnsi="宋体" w:eastAsia="宋体" w:cs="宋体"/>
          <w:sz w:val="28"/>
          <w:szCs w:val="24"/>
          <w:lang w:eastAsia="zh-CN"/>
        </w:rPr>
        <w:t>采购方式：竞争性磋商</w:t>
      </w:r>
    </w:p>
    <w:p>
      <w:pPr>
        <w:rPr>
          <w:rFonts w:hint="eastAsia"/>
          <w:sz w:val="28"/>
          <w:szCs w:val="24"/>
          <w:lang w:eastAsia="zh-CN"/>
        </w:rPr>
      </w:pPr>
    </w:p>
    <w:p>
      <w:pPr>
        <w:pStyle w:val="6"/>
        <w:rPr>
          <w:rFonts w:hint="eastAsia"/>
          <w:sz w:val="28"/>
          <w:szCs w:val="24"/>
          <w:lang w:eastAsia="zh-CN"/>
        </w:rPr>
      </w:pPr>
    </w:p>
    <w:p>
      <w:pPr>
        <w:rPr>
          <w:rFonts w:hint="eastAsia"/>
          <w:sz w:val="28"/>
          <w:szCs w:val="24"/>
          <w:lang w:eastAsia="zh-CN"/>
        </w:rPr>
      </w:pPr>
    </w:p>
    <w:p>
      <w:pPr>
        <w:pStyle w:val="6"/>
        <w:rPr>
          <w:rFonts w:hint="eastAsia"/>
          <w:sz w:val="28"/>
          <w:szCs w:val="24"/>
          <w:lang w:eastAsia="zh-CN"/>
        </w:rPr>
      </w:pPr>
    </w:p>
    <w:p>
      <w:pPr>
        <w:rPr>
          <w:rFonts w:hint="eastAsia"/>
          <w:sz w:val="28"/>
          <w:szCs w:val="24"/>
          <w:lang w:eastAsia="zh-CN"/>
        </w:rPr>
      </w:pPr>
    </w:p>
    <w:p>
      <w:pPr>
        <w:pStyle w:val="6"/>
        <w:rPr>
          <w:rFonts w:hint="eastAsia"/>
          <w:sz w:val="28"/>
          <w:szCs w:val="24"/>
          <w:lang w:eastAsia="zh-CN"/>
        </w:rPr>
      </w:pPr>
    </w:p>
    <w:p>
      <w:pPr>
        <w:rPr>
          <w:rFonts w:hint="eastAsia"/>
          <w:sz w:val="28"/>
          <w:szCs w:val="24"/>
          <w:lang w:eastAsia="zh-CN"/>
        </w:rPr>
      </w:pPr>
    </w:p>
    <w:p>
      <w:pPr>
        <w:pStyle w:val="6"/>
        <w:rPr>
          <w:rFonts w:hint="eastAsia"/>
          <w:sz w:val="28"/>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1"/>
          <w:rFonts w:hint="eastAsia" w:ascii="宋体" w:hAnsi="宋体" w:eastAsia="宋体" w:cs="宋体"/>
          <w:sz w:val="24"/>
          <w:szCs w:val="2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outlineLvl w:val="0"/>
        <w:rPr>
          <w:rStyle w:val="11"/>
          <w:rFonts w:hint="eastAsia" w:ascii="宋体" w:hAnsi="宋体" w:eastAsia="宋体" w:cs="宋体"/>
          <w:sz w:val="28"/>
          <w:szCs w:val="28"/>
        </w:rPr>
      </w:pPr>
      <w:r>
        <w:rPr>
          <w:rStyle w:val="11"/>
          <w:rFonts w:hint="eastAsia" w:ascii="宋体" w:hAnsi="宋体" w:cs="宋体"/>
          <w:sz w:val="28"/>
          <w:szCs w:val="28"/>
          <w:lang w:val="en-US" w:eastAsia="zh-CN"/>
        </w:rPr>
        <w:t>一</w:t>
      </w:r>
      <w:r>
        <w:rPr>
          <w:rStyle w:val="11"/>
          <w:rFonts w:hint="eastAsia" w:ascii="宋体" w:hAnsi="宋体" w:eastAsia="宋体" w:cs="宋体"/>
          <w:sz w:val="28"/>
          <w:szCs w:val="28"/>
        </w:rPr>
        <w:t>、供应商资格要求</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shd w:val="clear" w:color="auto" w:fill="FFFFFF"/>
        </w:rPr>
        <w:t>1、</w:t>
      </w:r>
      <w:r>
        <w:rPr>
          <w:rFonts w:hint="eastAsia" w:ascii="宋体" w:hAnsi="宋体" w:eastAsia="宋体" w:cs="宋体"/>
          <w:sz w:val="24"/>
          <w:szCs w:val="24"/>
          <w:lang w:eastAsia="zh-CN"/>
        </w:rPr>
        <w:t>《政府采购法》第二十二条第一款之规定的条件，提供下列材料：</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（1）法人或者其他组织的营业执照等证明文件，如供应商是自然人的提供身份证明材料；</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（2）财务状况报告，依法缴纳税收和社会保障资金的相关材料；</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（3）具备履行合同所必需的设备和专业技术能力的证明材料；</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（4）参加政府采购活动前3年内在经营活动中没有重大违法记录的书面声明；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rPr>
      </w:pPr>
      <w:r>
        <w:rPr>
          <w:rFonts w:hint="eastAsia" w:ascii="宋体" w:hAnsi="宋体" w:eastAsia="宋体" w:cs="宋体"/>
          <w:sz w:val="24"/>
          <w:szCs w:val="24"/>
          <w:lang w:eastAsia="zh-CN"/>
        </w:rPr>
        <w:t>（5）具备法律、行政法规规定的其他条件的证明材料。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2、未被列入“信用中国”网站(www.creditchina.gov.cn)失信被执行人、重大税收违法案件当事人名单、政府采购严重违法失信行为记录名单</w:t>
      </w:r>
      <w:r>
        <w:rPr>
          <w:rFonts w:hint="eastAsia" w:ascii="宋体" w:hAnsi="宋体" w:cs="宋体"/>
          <w:kern w:val="0"/>
          <w:sz w:val="24"/>
          <w:szCs w:val="24"/>
          <w:lang w:val="en-US" w:eastAsia="zh-CN" w:bidi="ar-SA"/>
        </w:rPr>
        <w:t>的网页打印件。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3、特定条件：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本次招标要求申请人须同时具备相关主管部门颁发的建筑机电安装工程专业承包叁级及以上资质并取得相应的安全生产许可证，并在人员、设备、资金等方面具有相应的施工能力，其中，项目管理机构还应配备具有岗位证的施工员、安全员等相应专业管理人员，安全员还应具有安全考核证书（C 证）。其中，申请人拟派项目经理须具备机电专业二级及以上注册建造师执业资格、有效的安全生产考核合格证书（B证）以及未担任其他在施建设项目的建造师，项目技术负责人必须具有机电工程专业注册建造师执业资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（2）在“湖北省公共资源招标投标信用信息平台”（http://www.hbcxpt.cn/）未被列入黑名单。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（3）未在被禁止参加政府采购活动期限内的书面声明。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本项目不接受联合体形式的投标。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kern w:val="0"/>
          <w:sz w:val="24"/>
          <w:szCs w:val="24"/>
          <w:lang w:val="en-US" w:eastAsia="zh-CN" w:bidi="ar-SA"/>
        </w:rPr>
      </w:pPr>
    </w:p>
    <w:p>
      <w:pPr>
        <w:jc w:val="both"/>
        <w:outlineLvl w:val="0"/>
        <w:rPr>
          <w:rFonts w:hint="eastAsia" w:ascii="宋体" w:hAnsi="宋体"/>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both"/>
        <w:outlineLvl w:val="0"/>
        <w:rPr>
          <w:rFonts w:hint="eastAsia" w:ascii="宋体" w:hAnsi="宋体"/>
          <w:sz w:val="24"/>
          <w:szCs w:val="24"/>
          <w:lang w:val="en-US" w:eastAsia="zh-CN"/>
        </w:rPr>
      </w:pPr>
      <w:r>
        <w:rPr>
          <w:rFonts w:hint="eastAsia" w:ascii="宋体" w:hAnsi="宋体"/>
          <w:sz w:val="24"/>
          <w:szCs w:val="24"/>
          <w:lang w:val="en-US" w:eastAsia="zh-CN"/>
        </w:rPr>
        <w:t>附表1：采购需求</w:t>
      </w:r>
    </w:p>
    <w:p>
      <w:pPr>
        <w:numPr>
          <w:ilvl w:val="0"/>
          <w:numId w:val="1"/>
        </w:numPr>
        <w:spacing w:line="360" w:lineRule="auto"/>
        <w:rPr>
          <w:rFonts w:hint="eastAsia" w:ascii="宋体" w:hAnsi="宋体" w:eastAsia="宋体" w:cs="宋体"/>
          <w:b/>
          <w:sz w:val="24"/>
          <w:szCs w:val="24"/>
        </w:rPr>
      </w:pPr>
      <w:r>
        <w:rPr>
          <w:rFonts w:hint="eastAsia" w:ascii="宋体" w:hAnsi="宋体" w:eastAsia="宋体" w:cs="宋体"/>
          <w:b/>
          <w:sz w:val="24"/>
          <w:szCs w:val="24"/>
        </w:rPr>
        <w:t>项目简介：</w:t>
      </w:r>
    </w:p>
    <w:p>
      <w:pPr>
        <w:numPr>
          <w:ilvl w:val="1"/>
          <w:numId w:val="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工程量及相关技术要求详见本项目附件《工程量清单》。</w:t>
      </w:r>
    </w:p>
    <w:p>
      <w:pPr>
        <w:numPr>
          <w:ilvl w:val="0"/>
          <w:numId w:val="1"/>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bookmarkStart w:id="0" w:name="_Toc24600"/>
      <w:r>
        <w:rPr>
          <w:rFonts w:hint="eastAsia" w:ascii="宋体" w:hAnsi="宋体" w:eastAsia="宋体" w:cs="宋体"/>
          <w:b/>
          <w:color w:val="auto"/>
          <w:sz w:val="24"/>
          <w:szCs w:val="24"/>
        </w:rPr>
        <w:t>商务要求</w:t>
      </w:r>
      <w:bookmarkEnd w:id="0"/>
    </w:p>
    <w:p>
      <w:pPr>
        <w:spacing w:line="360" w:lineRule="auto"/>
        <w:ind w:firstLine="480" w:firstLineChars="200"/>
        <w:rPr>
          <w:rFonts w:hint="eastAsia" w:ascii="宋体" w:hAnsi="宋体" w:eastAsia="宋体" w:cs="宋体"/>
          <w:color w:val="auto"/>
          <w:sz w:val="24"/>
          <w:szCs w:val="24"/>
          <w:lang w:eastAsia="zh-CN"/>
        </w:rPr>
      </w:pPr>
      <w:bookmarkStart w:id="1" w:name="_Toc10491"/>
      <w:r>
        <w:rPr>
          <w:rFonts w:hint="eastAsia" w:ascii="宋体" w:hAnsi="宋体" w:eastAsia="宋体" w:cs="宋体"/>
          <w:color w:val="auto"/>
          <w:sz w:val="24"/>
          <w:szCs w:val="24"/>
        </w:rPr>
        <w:t>1.工期</w:t>
      </w:r>
      <w:bookmarkEnd w:id="1"/>
      <w:r>
        <w:rPr>
          <w:rFonts w:hint="eastAsia" w:ascii="宋体" w:hAnsi="宋体" w:eastAsia="宋体" w:cs="宋体"/>
          <w:color w:val="auto"/>
          <w:sz w:val="24"/>
          <w:szCs w:val="24"/>
        </w:rPr>
        <w:t>：</w:t>
      </w:r>
      <w:bookmarkStart w:id="2" w:name="_Toc17161"/>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日历</w:t>
      </w:r>
      <w:r>
        <w:rPr>
          <w:rFonts w:hint="eastAsia" w:ascii="宋体" w:hAnsi="宋体" w:eastAsia="宋体" w:cs="宋体"/>
          <w:color w:val="auto"/>
          <w:sz w:val="24"/>
          <w:szCs w:val="24"/>
          <w:lang w:eastAsia="zh-CN"/>
        </w:rPr>
        <w:t>天</w:t>
      </w:r>
    </w:p>
    <w:bookmarkEnd w:id="2"/>
    <w:p>
      <w:pPr>
        <w:spacing w:line="360" w:lineRule="auto"/>
        <w:ind w:firstLine="480" w:firstLineChars="200"/>
        <w:rPr>
          <w:rFonts w:hint="eastAsia" w:ascii="宋体" w:hAnsi="宋体" w:eastAsia="宋体" w:cs="宋体"/>
          <w:color w:val="auto"/>
          <w:sz w:val="24"/>
          <w:szCs w:val="24"/>
        </w:rPr>
      </w:pPr>
      <w:bookmarkStart w:id="3" w:name="_Toc5613"/>
      <w:r>
        <w:rPr>
          <w:rFonts w:hint="eastAsia" w:ascii="宋体" w:hAnsi="宋体" w:eastAsia="宋体" w:cs="宋体"/>
          <w:color w:val="auto"/>
          <w:sz w:val="24"/>
          <w:szCs w:val="24"/>
        </w:rPr>
        <w:t>2.</w:t>
      </w:r>
      <w:bookmarkEnd w:id="3"/>
      <w:r>
        <w:rPr>
          <w:rFonts w:hint="eastAsia" w:ascii="宋体" w:hAnsi="宋体" w:eastAsia="宋体" w:cs="宋体"/>
          <w:color w:val="auto"/>
          <w:sz w:val="24"/>
          <w:szCs w:val="24"/>
          <w:lang w:val="en-US" w:eastAsia="zh-CN"/>
        </w:rPr>
        <w:t>最高限价</w:t>
      </w: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磋商公告</w:t>
      </w:r>
      <w:r>
        <w:rPr>
          <w:rFonts w:hint="eastAsia" w:ascii="宋体" w:hAnsi="宋体" w:eastAsia="宋体" w:cs="宋体"/>
          <w:color w:val="auto"/>
          <w:sz w:val="24"/>
          <w:szCs w:val="24"/>
        </w:rPr>
        <w:t>”</w:t>
      </w:r>
    </w:p>
    <w:p>
      <w:pPr>
        <w:spacing w:line="360" w:lineRule="auto"/>
        <w:ind w:left="1919" w:leftChars="228" w:hanging="1440" w:hangingChars="600"/>
        <w:rPr>
          <w:rFonts w:hint="eastAsia" w:ascii="宋体" w:hAnsi="宋体" w:eastAsia="宋体" w:cs="宋体"/>
          <w:color w:val="auto"/>
          <w:sz w:val="24"/>
          <w:szCs w:val="24"/>
          <w:lang w:val="en-US" w:eastAsia="zh-CN"/>
        </w:rPr>
      </w:pPr>
      <w:bookmarkStart w:id="4" w:name="_Toc31879"/>
      <w:r>
        <w:rPr>
          <w:rFonts w:hint="eastAsia" w:ascii="宋体" w:hAnsi="宋体" w:eastAsia="宋体" w:cs="宋体"/>
          <w:color w:val="auto"/>
          <w:sz w:val="24"/>
          <w:szCs w:val="24"/>
        </w:rPr>
        <w:t>3.付款方式</w:t>
      </w:r>
      <w:bookmarkEnd w:id="4"/>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验收合格交付使用后付</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0%，质保期满后付30%，余额二年内付清</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4.施工地点：阳新县妇幼保健院内</w:t>
      </w:r>
    </w:p>
    <w:p>
      <w:pPr>
        <w:spacing w:line="360" w:lineRule="auto"/>
        <w:ind w:firstLine="480" w:firstLineChars="200"/>
        <w:rPr>
          <w:rFonts w:hint="eastAsia" w:ascii="宋体" w:hAnsi="宋体" w:eastAsia="宋体" w:cs="宋体"/>
          <w:color w:val="auto"/>
          <w:lang w:val="en-US" w:eastAsia="zh-CN"/>
        </w:rPr>
      </w:pPr>
      <w:r>
        <w:rPr>
          <w:rFonts w:hint="eastAsia" w:ascii="宋体" w:hAnsi="宋体" w:eastAsia="宋体" w:cs="宋体"/>
          <w:bCs w:val="0"/>
          <w:color w:val="auto"/>
          <w:spacing w:val="0"/>
          <w:kern w:val="2"/>
          <w:sz w:val="24"/>
          <w:szCs w:val="24"/>
          <w:lang w:val="en-US" w:eastAsia="zh-CN" w:bidi="ar-SA"/>
        </w:rPr>
        <w:t>5.质保期：1年</w:t>
      </w:r>
    </w:p>
    <w:p>
      <w:pPr>
        <w:numPr>
          <w:ilvl w:val="0"/>
          <w:numId w:val="1"/>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其他要求</w:t>
      </w:r>
    </w:p>
    <w:p>
      <w:pPr>
        <w:numPr>
          <w:ilvl w:val="1"/>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施工要求：采购人有严格的规章管理制度和安全保卫措施，成交供应商必须遵守采购人各项管理制度，包括拟投入的人员、设备及材料进出管理等。</w:t>
      </w:r>
    </w:p>
    <w:p>
      <w:pPr>
        <w:numPr>
          <w:ilvl w:val="1"/>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工程质量目标：严格按国家规范要求，确保合格。</w:t>
      </w:r>
    </w:p>
    <w:p>
      <w:pPr>
        <w:numPr>
          <w:ilvl w:val="1"/>
          <w:numId w:val="3"/>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服务承诺：保证本项目能及时足额支付工人工资，提供本项目无重大安全责任事故和能保证不更换拟派项目班子的承诺。</w:t>
      </w:r>
    </w:p>
    <w:p>
      <w:pPr>
        <w:numPr>
          <w:ilvl w:val="1"/>
          <w:numId w:val="3"/>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根据本项目实际情况及工程量清单内容在投标文件中将主要施工方法、拟投入的主要物资计划、拟投入的主要施工机械计划、 劳动力安排计划、确保工程质量的技术组织措施、确保安全生产的技术组织措施、确保工期的技术组织措施、确保文明施工的技术组织措施、施工总进度表或施工网络图予以详细说明。</w:t>
      </w:r>
    </w:p>
    <w:p>
      <w:pPr>
        <w:pStyle w:val="15"/>
        <w:ind w:left="1140" w:firstLine="0" w:firstLineChars="0"/>
        <w:rPr>
          <w:rFonts w:hint="eastAsia" w:ascii="宋体" w:hAnsi="宋体" w:eastAsia="宋体" w:cs="宋体"/>
          <w:color w:val="auto"/>
          <w:sz w:val="28"/>
          <w:szCs w:val="28"/>
        </w:rPr>
      </w:pPr>
    </w:p>
    <w:p>
      <w:pPr>
        <w:pStyle w:val="15"/>
        <w:ind w:left="0" w:leftChars="0"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工程量清单</w:t>
      </w:r>
    </w:p>
    <w:p>
      <w:pPr>
        <w:pStyle w:val="15"/>
        <w:ind w:left="0" w:leftChars="0" w:firstLine="0" w:firstLineChars="0"/>
        <w:jc w:val="center"/>
        <w:rPr>
          <w:rFonts w:hint="eastAsia" w:ascii="宋体" w:hAnsi="宋体" w:eastAsia="宋体" w:cs="宋体"/>
          <w:color w:val="auto"/>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auto"/>
          <w:sz w:val="28"/>
          <w:szCs w:val="28"/>
          <w:lang w:eastAsia="zh-CN"/>
        </w:rPr>
        <w:object>
          <v:shape id="_x0000_i1025" o:spt="75" type="#_x0000_t75" style="height:66pt;width:63.7pt;" o:ole="t" filled="f" o:preferrelative="t" stroked="f" coordsize="21600,21600">
            <v:path/>
            <v:fill on="f" focussize="0,0"/>
            <v:stroke on="f"/>
            <v:imagedata r:id="rId8" o:title=""/>
            <o:lock v:ext="edit" aspectratio="t"/>
            <w10:wrap type="none"/>
            <w10:anchorlock/>
          </v:shape>
          <o:OLEObject Type="Embed" ProgID="Package" ShapeID="_x0000_i1025" DrawAspect="Icon" ObjectID="_1468075725" r:id="rId7">
            <o:LockedField>false</o:LockedField>
          </o:OLEObject>
        </w:object>
      </w:r>
    </w:p>
    <w:p>
      <w:pPr>
        <w:adjustRightInd w:val="0"/>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附件2：供应商报名表</w:t>
      </w:r>
    </w:p>
    <w:p>
      <w:pPr>
        <w:bidi w:val="0"/>
        <w:jc w:val="center"/>
        <w:rPr>
          <w:sz w:val="28"/>
          <w:szCs w:val="28"/>
        </w:rPr>
      </w:pPr>
      <w:r>
        <w:rPr>
          <w:rFonts w:hint="eastAsia"/>
          <w:sz w:val="28"/>
          <w:szCs w:val="28"/>
        </w:rPr>
        <w:t>供应商报名表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color w:val="auto"/>
          <w:sz w:val="24"/>
          <w:szCs w:val="24"/>
        </w:rPr>
        <w:t>项目名称</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项目编号：</w:t>
      </w:r>
    </w:p>
    <w:tbl>
      <w:tblPr>
        <w:tblStyle w:val="8"/>
        <w:tblW w:w="10275" w:type="dxa"/>
        <w:tblInd w:w="-9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8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both"/>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供应商名称（盖章）</w:t>
            </w:r>
          </w:p>
        </w:tc>
        <w:tc>
          <w:tcPr>
            <w:tcW w:w="8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both"/>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8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联系人电话（办公电话和手机）</w:t>
            </w:r>
          </w:p>
        </w:tc>
        <w:tc>
          <w:tcPr>
            <w:tcW w:w="8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8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4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供应商提供的</w:t>
            </w:r>
          </w:p>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报名资料</w:t>
            </w:r>
          </w:p>
        </w:tc>
        <w:tc>
          <w:tcPr>
            <w:tcW w:w="813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cs="Times New Roman"/>
                <w:color w:val="auto"/>
                <w:sz w:val="24"/>
                <w:szCs w:val="24"/>
              </w:rPr>
            </w:pPr>
            <w:r>
              <w:rPr>
                <w:rFonts w:hint="eastAsia" w:cs="Times New Roman"/>
                <w:color w:val="auto"/>
                <w:sz w:val="24"/>
                <w:szCs w:val="24"/>
              </w:rPr>
              <w:t>1.</w:t>
            </w:r>
            <w:r>
              <w:rPr>
                <w:rFonts w:hint="eastAsia" w:ascii="宋体" w:hAnsi="宋体" w:eastAsia="宋体" w:cs="宋体"/>
                <w:color w:val="auto"/>
                <w:sz w:val="24"/>
                <w:szCs w:val="24"/>
              </w:rPr>
              <w:t>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13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cs="Times New Roman"/>
                <w:color w:val="auto"/>
                <w:sz w:val="24"/>
                <w:szCs w:val="24"/>
              </w:rPr>
            </w:pPr>
            <w:r>
              <w:rPr>
                <w:rFonts w:hint="eastAsia" w:cs="Times New Roman"/>
                <w:color w:val="auto"/>
                <w:sz w:val="24"/>
                <w:szCs w:val="24"/>
              </w:rPr>
              <w:t>2.</w:t>
            </w:r>
            <w:r>
              <w:rPr>
                <w:rFonts w:hint="eastAsia" w:ascii="宋体" w:hAnsi="宋体" w:eastAsia="宋体" w:cs="宋体"/>
                <w:color w:val="auto"/>
                <w:sz w:val="24"/>
                <w:szCs w:val="24"/>
              </w:rPr>
              <w:t>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13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cs="Times New Roman"/>
                <w:color w:val="auto"/>
                <w:sz w:val="24"/>
                <w:szCs w:val="24"/>
              </w:rPr>
            </w:pPr>
            <w:r>
              <w:rPr>
                <w:rFonts w:hint="eastAsia" w:cs="Times New Roman"/>
                <w:color w:val="auto"/>
                <w:sz w:val="24"/>
                <w:szCs w:val="24"/>
              </w:rPr>
              <w:t>3.</w:t>
            </w:r>
            <w:r>
              <w:rPr>
                <w:rFonts w:hint="eastAsia" w:ascii="宋体" w:hAnsi="宋体" w:eastAsia="宋体" w:cs="宋体"/>
                <w:color w:val="auto"/>
                <w:sz w:val="24"/>
                <w:szCs w:val="24"/>
              </w:rPr>
              <w:t>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13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cs="Times New Roman"/>
                <w:color w:val="auto"/>
                <w:sz w:val="24"/>
                <w:szCs w:val="24"/>
              </w:rPr>
            </w:pPr>
            <w:r>
              <w:rPr>
                <w:rFonts w:hint="eastAsia" w:cs="Times New Roman"/>
                <w:color w:val="auto"/>
                <w:sz w:val="24"/>
                <w:szCs w:val="24"/>
              </w:rPr>
              <w:t>4.</w:t>
            </w:r>
            <w:r>
              <w:rPr>
                <w:rFonts w:hint="eastAsia" w:ascii="宋体" w:hAnsi="宋体" w:eastAsia="宋体" w:cs="宋体"/>
                <w:color w:val="auto"/>
                <w:sz w:val="24"/>
                <w:szCs w:val="24"/>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13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cs="Times New Roman"/>
                <w:color w:val="auto"/>
                <w:sz w:val="24"/>
                <w:szCs w:val="24"/>
              </w:rPr>
            </w:pPr>
            <w:r>
              <w:rPr>
                <w:rFonts w:hint="eastAsia" w:cs="Times New Roman"/>
                <w:color w:val="auto"/>
                <w:sz w:val="24"/>
                <w:szCs w:val="24"/>
              </w:rPr>
              <w:t>5.</w:t>
            </w:r>
            <w:r>
              <w:rPr>
                <w:rFonts w:hint="eastAsia" w:ascii="宋体" w:hAnsi="宋体" w:eastAsia="宋体" w:cs="宋体"/>
                <w:color w:val="auto"/>
                <w:sz w:val="24"/>
                <w:szCs w:val="24"/>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130"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cs="Times New Roman"/>
                <w:color w:val="auto"/>
                <w:sz w:val="24"/>
                <w:szCs w:val="24"/>
              </w:rPr>
            </w:pPr>
            <w:r>
              <w:rPr>
                <w:rFonts w:hint="eastAsia" w:cs="Times New Roman"/>
                <w:color w:val="auto"/>
                <w:sz w:val="24"/>
                <w:szCs w:val="24"/>
              </w:rPr>
              <w:t>6.</w:t>
            </w:r>
            <w:r>
              <w:rPr>
                <w:rFonts w:hint="eastAsia" w:ascii="宋体" w:hAnsi="宋体" w:eastAsia="宋体" w:cs="宋体"/>
                <w:color w:val="auto"/>
                <w:sz w:val="24"/>
                <w:szCs w:val="24"/>
              </w:rPr>
              <w:t>未被列入“信用中国”网站（www.creditchina.gov.cn）失信被执行人、重大税收违法案件当事人名单、“中国政府采购网”（www.ccgp.gov.cn）政府采购严重违法失信行为记录名单的网页打印件。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2145" w:type="dxa"/>
            <w:vMerge w:val="continue"/>
            <w:tcBorders>
              <w:left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813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color w:val="auto"/>
                <w:kern w:val="2"/>
                <w:sz w:val="24"/>
                <w:szCs w:val="24"/>
                <w:lang w:val="en-US" w:eastAsia="zh-CN" w:bidi="ar-SA"/>
              </w:rPr>
            </w:pPr>
            <w:r>
              <w:rPr>
                <w:rFonts w:hint="eastAsia" w:cs="Times New Roman"/>
                <w:color w:val="auto"/>
                <w:sz w:val="24"/>
                <w:szCs w:val="24"/>
                <w:lang w:val="en-US" w:eastAsia="zh-CN"/>
              </w:rPr>
              <w:t>7.</w:t>
            </w:r>
            <w:r>
              <w:rPr>
                <w:rFonts w:hint="eastAsia" w:ascii="宋体" w:hAnsi="宋体" w:eastAsia="宋体" w:cs="宋体"/>
                <w:kern w:val="0"/>
                <w:sz w:val="24"/>
                <w:szCs w:val="24"/>
                <w:lang w:val="en-US" w:eastAsia="zh-CN" w:bidi="ar-SA"/>
              </w:rPr>
              <w:t>（</w:t>
            </w:r>
            <w:r>
              <w:rPr>
                <w:rFonts w:hint="eastAsia" w:ascii="宋体" w:hAnsi="宋体" w:eastAsia="宋体" w:cs="宋体"/>
                <w:color w:val="auto"/>
                <w:kern w:val="2"/>
                <w:sz w:val="24"/>
                <w:szCs w:val="24"/>
                <w:lang w:val="en-US" w:eastAsia="zh-CN" w:bidi="ar-SA"/>
              </w:rPr>
              <w:t>1）本次招标要求申请人须同时具备相关主管部门颁发的建筑机电安装工程专业承包叁级及以上资质并取得相应的安全生产许可证，并在人员、设备、资金等方面具有相应的施工能力，其中，项目管理机构还应配备具有岗位证的施工员、安全员等相应专业管理人员，安全员还应具有安全考核证书（C 证）。其中，申请人拟派项目经理须具备机电专业二级及以上注册建造师执业资格、有效的安全生产考核合格证书（B证）以及未担任其他在施建设项目的建造师，项目技术负责人必须具有机电工程专业注册建造师执业资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（2）在“湖北省公共资源招标投标信用信息平台”（http://www.hbcxpt.cn/）未被列入黑名单。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（3）未在被禁止参加政府采购活动期限内的书面声明。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（4）本项目不接受联合体形式的投标。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145" w:type="dxa"/>
            <w:tcBorders>
              <w:left w:val="single" w:color="auto" w:sz="4" w:space="0"/>
              <w:right w:val="single" w:color="auto" w:sz="4" w:space="0"/>
            </w:tcBorders>
            <w:vAlign w:val="center"/>
          </w:tcPr>
          <w:p>
            <w:pPr>
              <w:jc w:val="center"/>
              <w:rPr>
                <w:b/>
                <w:sz w:val="24"/>
                <w:szCs w:val="24"/>
              </w:rPr>
            </w:pPr>
            <w:r>
              <w:rPr>
                <w:rFonts w:hint="eastAsia"/>
                <w:b/>
                <w:sz w:val="24"/>
                <w:szCs w:val="24"/>
              </w:rPr>
              <w:t>建议</w:t>
            </w:r>
          </w:p>
        </w:tc>
        <w:tc>
          <w:tcPr>
            <w:tcW w:w="8130" w:type="dxa"/>
            <w:tcBorders>
              <w:top w:val="single" w:color="auto" w:sz="4" w:space="0"/>
              <w:left w:val="single" w:color="auto" w:sz="4" w:space="0"/>
              <w:bottom w:val="single" w:color="auto" w:sz="4" w:space="0"/>
              <w:right w:val="single" w:color="auto" w:sz="4" w:space="0"/>
            </w:tcBorders>
            <w:vAlign w:val="center"/>
          </w:tcPr>
          <w:p>
            <w:pPr>
              <w:jc w:val="left"/>
              <w:rPr>
                <w:b/>
                <w:sz w:val="24"/>
                <w:szCs w:val="24"/>
              </w:rPr>
            </w:pPr>
            <w:r>
              <w:rPr>
                <w:rFonts w:hint="eastAsia"/>
                <w:b/>
                <w:sz w:val="24"/>
                <w:szCs w:val="24"/>
              </w:rPr>
              <w:t>供应商可对本项目采购需求的公正性、专业性、合理性等提出自己正确的意见、建议等。</w:t>
            </w:r>
          </w:p>
        </w:tc>
      </w:tr>
    </w:tbl>
    <w:p>
      <w:pPr>
        <w:pStyle w:val="7"/>
        <w:shd w:val="clear" w:color="auto" w:fill="FFFFFF"/>
        <w:spacing w:beforeAutospacing="0" w:afterAutospacing="0"/>
        <w:ind w:left="150"/>
        <w:rPr>
          <w:rStyle w:val="11"/>
          <w:b w:val="0"/>
          <w:color w:val="000000" w:themeColor="text1"/>
          <w:sz w:val="20"/>
          <w:szCs w:val="20"/>
          <w14:textFill>
            <w14:solidFill>
              <w14:schemeClr w14:val="tx1"/>
            </w14:solidFill>
          </w14:textFill>
        </w:rPr>
      </w:pPr>
      <w:r>
        <w:rPr>
          <w:rStyle w:val="11"/>
          <w:rFonts w:hint="eastAsia"/>
          <w:b w:val="0"/>
          <w:color w:val="000000" w:themeColor="text1"/>
          <w:sz w:val="20"/>
          <w:szCs w:val="20"/>
          <w14:textFill>
            <w14:solidFill>
              <w14:schemeClr w14:val="tx1"/>
            </w14:solidFill>
          </w14:textFill>
        </w:rPr>
        <w:t>注意事项：</w:t>
      </w:r>
    </w:p>
    <w:p>
      <w:pPr>
        <w:pStyle w:val="7"/>
        <w:shd w:val="clear" w:color="auto" w:fill="FFFFFF"/>
        <w:spacing w:beforeAutospacing="0" w:afterAutospacing="0"/>
        <w:ind w:left="150" w:firstLine="400" w:firstLineChars="200"/>
        <w:rPr>
          <w:rStyle w:val="11"/>
          <w:b w:val="0"/>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1.供应商必须严格按照公告的内容和要求，完整递交有关资料，</w:t>
      </w:r>
      <w:r>
        <w:rPr>
          <w:rStyle w:val="11"/>
          <w:rFonts w:hint="eastAsia"/>
          <w:b w:val="0"/>
          <w:color w:val="000000" w:themeColor="text1"/>
          <w:sz w:val="20"/>
          <w:szCs w:val="20"/>
          <w14:textFill>
            <w14:solidFill>
              <w14:schemeClr w14:val="tx1"/>
            </w14:solidFill>
          </w14:textFill>
        </w:rPr>
        <w:t>逾期递交的将予以拒收。</w:t>
      </w:r>
    </w:p>
    <w:p>
      <w:pPr>
        <w:pStyle w:val="7"/>
        <w:shd w:val="clear" w:color="auto" w:fill="FFFFFF"/>
        <w:spacing w:beforeAutospacing="0" w:afterAutospacing="0"/>
        <w:ind w:left="150" w:firstLine="400" w:firstLineChars="200"/>
        <w:rPr>
          <w:rFonts w:ascii="微软雅黑" w:hAnsi="微软雅黑" w:eastAsia="微软雅黑"/>
          <w:color w:val="000000" w:themeColor="text1"/>
          <w:sz w:val="20"/>
          <w:szCs w:val="20"/>
          <w14:textFill>
            <w14:solidFill>
              <w14:schemeClr w14:val="tx1"/>
            </w14:solidFill>
          </w14:textFill>
        </w:rPr>
      </w:pPr>
      <w:r>
        <w:rPr>
          <w:rFonts w:ascii="宋体" w:hAnsi="宋体" w:cs="宋体"/>
          <w:color w:val="000000" w:themeColor="text1"/>
          <w:sz w:val="20"/>
          <w:szCs w:val="20"/>
          <w14:textFill>
            <w14:solidFill>
              <w14:schemeClr w14:val="tx1"/>
            </w14:solidFill>
          </w14:textFill>
        </w:rPr>
        <w:t>2.</w:t>
      </w:r>
      <w:r>
        <w:rPr>
          <w:rFonts w:ascii="宋体" w:hAnsi="宋体" w:cs="宋体"/>
          <w:bCs/>
          <w:color w:val="000000" w:themeColor="text1"/>
          <w:sz w:val="20"/>
          <w:szCs w:val="20"/>
          <w14:textFill>
            <w14:solidFill>
              <w14:schemeClr w14:val="tx1"/>
            </w14:solidFill>
          </w14:textFill>
        </w:rPr>
        <w:t>供应商所递交的资料（全部盖有单位公章）必须为一般常用电脑办公软件能够读取的清晰、易于辨识的彩色电子扫描件、照片（相关证书和证明材料的原件</w:t>
      </w:r>
      <w:r>
        <w:rPr>
          <w:rFonts w:hint="eastAsia" w:ascii="宋体" w:hAnsi="宋体" w:cs="宋体"/>
          <w:bCs/>
          <w:color w:val="000000" w:themeColor="text1"/>
          <w:sz w:val="20"/>
          <w:szCs w:val="20"/>
          <w:lang w:eastAsia="zh-CN"/>
          <w14:textFill>
            <w14:solidFill>
              <w14:schemeClr w14:val="tx1"/>
            </w14:solidFill>
          </w14:textFill>
        </w:rPr>
        <w:t>并盖章与原件一致</w:t>
      </w:r>
      <w:r>
        <w:rPr>
          <w:rFonts w:ascii="宋体" w:hAnsi="宋体" w:cs="宋体"/>
          <w:bCs/>
          <w:color w:val="000000" w:themeColor="text1"/>
          <w:sz w:val="20"/>
          <w:szCs w:val="20"/>
          <w14:textFill>
            <w14:solidFill>
              <w14:schemeClr w14:val="tx1"/>
            </w14:solidFill>
          </w14:textFill>
        </w:rPr>
        <w:t>）,并对其他递交资料内容的真实性、有效性及完整性负责，如提供文件资料有错漏、模糊不清、复印件的电子扫描件、照片、无法读取识别或弄虚作假等，一律属于无效文件。</w:t>
      </w:r>
    </w:p>
    <w:p>
      <w:pPr>
        <w:pStyle w:val="7"/>
        <w:shd w:val="clear" w:color="auto" w:fill="FFFFFF"/>
        <w:spacing w:beforeAutospacing="0" w:afterAutospacing="0"/>
        <w:ind w:left="150" w:firstLine="400" w:firstLineChars="200"/>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3.须在邮件（附件文件名注明公司全称）注明公司全称、项目名称及项目编号（不注明我单位将拒收报名邮件）。</w:t>
      </w:r>
    </w:p>
    <w:p>
      <w:pPr>
        <w:adjustRightInd w:val="0"/>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cs="宋体"/>
          <w:sz w:val="24"/>
          <w:szCs w:val="24"/>
          <w:lang w:val="en-US" w:eastAsia="zh-CN"/>
        </w:rPr>
        <w:t>3</w:t>
      </w:r>
      <w:r>
        <w:rPr>
          <w:rFonts w:hint="eastAsia" w:ascii="宋体" w:hAnsi="宋体" w:eastAsia="宋体" w:cs="宋体"/>
          <w:sz w:val="24"/>
          <w:szCs w:val="24"/>
        </w:rPr>
        <w:t>：评分标准</w:t>
      </w:r>
    </w:p>
    <w:tbl>
      <w:tblPr>
        <w:tblStyle w:val="8"/>
        <w:tblW w:w="9705" w:type="dxa"/>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2089"/>
        <w:gridCol w:w="713"/>
        <w:gridCol w:w="6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693" w:type="dxa"/>
            <w:tcBorders>
              <w:tl2br w:val="nil"/>
              <w:tr2bl w:val="nil"/>
            </w:tcBorders>
            <w:noWrap w:val="0"/>
            <w:vAlign w:val="top"/>
          </w:tcPr>
          <w:p>
            <w:pPr>
              <w:jc w:val="center"/>
              <w:rPr>
                <w:rFonts w:hint="eastAsia" w:ascii="宋体" w:hAnsi="宋体" w:eastAsia="宋体" w:cs="宋体"/>
                <w:b/>
                <w:sz w:val="24"/>
                <w:szCs w:val="20"/>
              </w:rPr>
            </w:pPr>
          </w:p>
        </w:tc>
        <w:tc>
          <w:tcPr>
            <w:tcW w:w="2089" w:type="dxa"/>
            <w:tcBorders>
              <w:tl2br w:val="nil"/>
              <w:tr2bl w:val="nil"/>
            </w:tcBorders>
            <w:noWrap w:val="0"/>
            <w:vAlign w:val="center"/>
          </w:tcPr>
          <w:p>
            <w:pPr>
              <w:spacing w:line="360" w:lineRule="auto"/>
              <w:jc w:val="center"/>
              <w:rPr>
                <w:rFonts w:hint="eastAsia" w:ascii="宋体" w:hAnsi="宋体" w:eastAsia="宋体" w:cs="宋体"/>
                <w:b/>
                <w:color w:val="000000"/>
                <w:sz w:val="24"/>
                <w:szCs w:val="22"/>
              </w:rPr>
            </w:pPr>
            <w:r>
              <w:rPr>
                <w:rFonts w:hint="eastAsia" w:ascii="宋体" w:hAnsi="宋体" w:eastAsia="宋体" w:cs="宋体"/>
                <w:b/>
                <w:color w:val="000000"/>
                <w:sz w:val="24"/>
                <w:szCs w:val="22"/>
              </w:rPr>
              <w:t>评审因素</w:t>
            </w:r>
          </w:p>
        </w:tc>
        <w:tc>
          <w:tcPr>
            <w:tcW w:w="713" w:type="dxa"/>
            <w:tcBorders>
              <w:tl2br w:val="nil"/>
              <w:tr2bl w:val="nil"/>
            </w:tcBorders>
            <w:noWrap w:val="0"/>
            <w:vAlign w:val="center"/>
          </w:tcPr>
          <w:p>
            <w:pPr>
              <w:spacing w:line="360" w:lineRule="auto"/>
              <w:ind w:left="-73" w:leftChars="-35" w:right="-80" w:rightChars="-38"/>
              <w:jc w:val="center"/>
              <w:rPr>
                <w:rFonts w:hint="eastAsia" w:ascii="宋体" w:hAnsi="宋体" w:eastAsia="宋体" w:cs="宋体"/>
                <w:b/>
                <w:color w:val="000000"/>
                <w:sz w:val="24"/>
                <w:szCs w:val="22"/>
              </w:rPr>
            </w:pPr>
            <w:r>
              <w:rPr>
                <w:rFonts w:hint="eastAsia" w:ascii="宋体" w:hAnsi="宋体" w:eastAsia="宋体" w:cs="宋体"/>
                <w:b/>
                <w:color w:val="000000"/>
                <w:sz w:val="24"/>
                <w:szCs w:val="22"/>
              </w:rPr>
              <w:t>分值</w:t>
            </w:r>
          </w:p>
        </w:tc>
        <w:tc>
          <w:tcPr>
            <w:tcW w:w="6210" w:type="dxa"/>
            <w:tcBorders>
              <w:tl2br w:val="nil"/>
              <w:tr2bl w:val="nil"/>
            </w:tcBorders>
            <w:noWrap w:val="0"/>
            <w:vAlign w:val="center"/>
          </w:tcPr>
          <w:p>
            <w:pPr>
              <w:spacing w:line="360" w:lineRule="auto"/>
              <w:jc w:val="center"/>
              <w:rPr>
                <w:rFonts w:hint="eastAsia" w:ascii="宋体" w:hAnsi="宋体" w:eastAsia="宋体" w:cs="宋体"/>
                <w:b/>
                <w:color w:val="000000"/>
                <w:sz w:val="24"/>
                <w:szCs w:val="22"/>
              </w:rPr>
            </w:pPr>
            <w:r>
              <w:rPr>
                <w:rFonts w:hint="eastAsia" w:ascii="宋体" w:hAnsi="宋体" w:eastAsia="宋体" w:cs="宋体"/>
                <w:b/>
                <w:color w:val="000000"/>
                <w:sz w:val="24"/>
                <w:szCs w:val="22"/>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93" w:type="dxa"/>
            <w:tcBorders>
              <w:tl2br w:val="nil"/>
              <w:tr2bl w:val="nil"/>
            </w:tcBorders>
            <w:noWrap w:val="0"/>
            <w:vAlign w:val="top"/>
          </w:tcPr>
          <w:p>
            <w:pPr>
              <w:spacing w:line="276" w:lineRule="auto"/>
              <w:jc w:val="center"/>
              <w:rPr>
                <w:rFonts w:hint="eastAsia" w:ascii="宋体" w:hAnsi="宋体" w:eastAsia="宋体" w:cs="宋体"/>
                <w:color w:val="auto"/>
                <w:lang w:eastAsia="zh-CN"/>
              </w:rPr>
            </w:pPr>
            <w:r>
              <w:rPr>
                <w:rFonts w:hint="eastAsia" w:ascii="宋体" w:hAnsi="宋体" w:eastAsia="宋体" w:cs="宋体"/>
                <w:color w:val="auto"/>
                <w:lang w:eastAsia="zh-CN"/>
              </w:rPr>
              <w:t>商务</w:t>
            </w:r>
          </w:p>
          <w:p>
            <w:pPr>
              <w:spacing w:line="276" w:lineRule="auto"/>
              <w:jc w:val="center"/>
              <w:rPr>
                <w:rFonts w:hint="eastAsia" w:ascii="宋体" w:hAnsi="宋体" w:eastAsia="宋体" w:cs="宋体"/>
                <w:color w:val="auto"/>
              </w:rPr>
            </w:pPr>
            <w:r>
              <w:rPr>
                <w:rFonts w:hint="eastAsia" w:ascii="宋体" w:hAnsi="宋体" w:eastAsia="宋体" w:cs="宋体"/>
                <w:color w:val="auto"/>
              </w:rPr>
              <w:t>报价</w:t>
            </w:r>
          </w:p>
          <w:p>
            <w:pPr>
              <w:spacing w:line="276" w:lineRule="auto"/>
              <w:jc w:val="center"/>
              <w:rPr>
                <w:rFonts w:hint="eastAsia" w:ascii="宋体" w:hAnsi="宋体" w:eastAsia="宋体" w:cs="宋体"/>
                <w:b/>
                <w:bCs/>
                <w:color w:val="auto"/>
                <w:sz w:val="24"/>
                <w:szCs w:val="22"/>
              </w:rPr>
            </w:pPr>
            <w:r>
              <w:rPr>
                <w:rFonts w:hint="eastAsia" w:ascii="宋体" w:hAnsi="宋体" w:eastAsia="宋体" w:cs="宋体"/>
                <w:color w:val="auto"/>
              </w:rPr>
              <w:t>30分</w:t>
            </w:r>
          </w:p>
        </w:tc>
        <w:tc>
          <w:tcPr>
            <w:tcW w:w="2089" w:type="dxa"/>
            <w:tcBorders>
              <w:tl2br w:val="nil"/>
              <w:tr2bl w:val="nil"/>
            </w:tcBorders>
            <w:noWrap w:val="0"/>
            <w:vAlign w:val="top"/>
          </w:tcPr>
          <w:p>
            <w:pPr>
              <w:pStyle w:val="2"/>
              <w:spacing w:line="276" w:lineRule="auto"/>
              <w:jc w:val="center"/>
              <w:rPr>
                <w:rFonts w:hint="eastAsia" w:ascii="宋体" w:hAnsi="宋体" w:eastAsia="宋体" w:cs="宋体"/>
                <w:bCs w:val="0"/>
                <w:color w:val="auto"/>
                <w:spacing w:val="0"/>
                <w:kern w:val="2"/>
                <w:sz w:val="21"/>
              </w:rPr>
            </w:pPr>
          </w:p>
          <w:p>
            <w:pPr>
              <w:pStyle w:val="2"/>
              <w:spacing w:line="276" w:lineRule="auto"/>
              <w:jc w:val="center"/>
              <w:rPr>
                <w:rFonts w:hint="eastAsia" w:ascii="宋体" w:hAnsi="宋体" w:eastAsia="宋体" w:cs="宋体"/>
                <w:bCs w:val="0"/>
                <w:color w:val="auto"/>
                <w:spacing w:val="0"/>
                <w:kern w:val="2"/>
                <w:sz w:val="21"/>
              </w:rPr>
            </w:pPr>
            <w:r>
              <w:rPr>
                <w:rFonts w:hint="eastAsia" w:ascii="宋体" w:hAnsi="宋体" w:eastAsia="宋体" w:cs="宋体"/>
                <w:bCs w:val="0"/>
                <w:color w:val="auto"/>
                <w:spacing w:val="0"/>
                <w:kern w:val="2"/>
                <w:sz w:val="21"/>
              </w:rPr>
              <w:t>报价得分</w:t>
            </w:r>
          </w:p>
        </w:tc>
        <w:tc>
          <w:tcPr>
            <w:tcW w:w="713" w:type="dxa"/>
            <w:tcBorders>
              <w:tl2br w:val="nil"/>
              <w:tr2bl w:val="nil"/>
            </w:tcBorders>
            <w:noWrap w:val="0"/>
            <w:vAlign w:val="center"/>
          </w:tcPr>
          <w:p>
            <w:pPr>
              <w:pStyle w:val="2"/>
              <w:spacing w:line="276" w:lineRule="auto"/>
              <w:jc w:val="center"/>
              <w:rPr>
                <w:rFonts w:hint="eastAsia" w:ascii="宋体" w:hAnsi="宋体" w:eastAsia="宋体" w:cs="宋体"/>
                <w:bCs w:val="0"/>
                <w:color w:val="auto"/>
                <w:spacing w:val="0"/>
                <w:kern w:val="2"/>
                <w:sz w:val="21"/>
                <w:lang w:eastAsia="zh-CN"/>
              </w:rPr>
            </w:pPr>
            <w:r>
              <w:rPr>
                <w:rFonts w:hint="eastAsia" w:ascii="宋体" w:hAnsi="宋体" w:eastAsia="宋体" w:cs="宋体"/>
                <w:bCs w:val="0"/>
                <w:color w:val="auto"/>
                <w:spacing w:val="0"/>
                <w:kern w:val="2"/>
                <w:sz w:val="21"/>
                <w:szCs w:val="22"/>
                <w:lang w:val="en-US" w:eastAsia="zh-CN" w:bidi="ar-SA"/>
              </w:rPr>
              <w:t>30分</w:t>
            </w:r>
          </w:p>
        </w:tc>
        <w:tc>
          <w:tcPr>
            <w:tcW w:w="6210" w:type="dxa"/>
            <w:tcBorders>
              <w:tl2br w:val="nil"/>
              <w:tr2bl w:val="nil"/>
            </w:tcBorders>
            <w:noWrap w:val="0"/>
            <w:vAlign w:val="top"/>
          </w:tcPr>
          <w:p>
            <w:pPr>
              <w:spacing w:line="276" w:lineRule="auto"/>
              <w:rPr>
                <w:rFonts w:hint="eastAsia" w:ascii="宋体" w:hAnsi="宋体" w:eastAsia="宋体" w:cs="宋体"/>
                <w:color w:val="auto"/>
                <w:sz w:val="21"/>
                <w:lang w:eastAsia="zh-CN"/>
              </w:rPr>
            </w:pPr>
            <w:r>
              <w:rPr>
                <w:rFonts w:hint="eastAsia" w:ascii="宋体" w:hAnsi="宋体" w:eastAsia="宋体" w:cs="宋体"/>
                <w:color w:val="auto"/>
                <w:sz w:val="21"/>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价格权值×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97" w:hRule="atLeast"/>
          <w:jc w:val="center"/>
        </w:trPr>
        <w:tc>
          <w:tcPr>
            <w:tcW w:w="693" w:type="dxa"/>
            <w:vMerge w:val="restart"/>
            <w:tcBorders>
              <w:tl2br w:val="nil"/>
              <w:tr2bl w:val="nil"/>
            </w:tcBorders>
            <w:noWrap w:val="0"/>
            <w:vAlign w:val="center"/>
          </w:tcPr>
          <w:p>
            <w:pPr>
              <w:spacing w:line="276" w:lineRule="auto"/>
              <w:jc w:val="center"/>
              <w:rPr>
                <w:rFonts w:hint="eastAsia" w:ascii="宋体" w:hAnsi="宋体" w:eastAsia="宋体" w:cs="宋体"/>
                <w:color w:val="auto"/>
              </w:rPr>
            </w:pPr>
            <w:r>
              <w:rPr>
                <w:rFonts w:hint="eastAsia" w:ascii="宋体" w:hAnsi="宋体" w:eastAsia="宋体" w:cs="宋体"/>
                <w:color w:val="auto"/>
              </w:rPr>
              <w:t>综</w:t>
            </w:r>
          </w:p>
          <w:p>
            <w:pPr>
              <w:spacing w:line="276" w:lineRule="auto"/>
              <w:jc w:val="center"/>
              <w:rPr>
                <w:rFonts w:hint="eastAsia" w:ascii="宋体" w:hAnsi="宋体" w:eastAsia="宋体" w:cs="宋体"/>
                <w:color w:val="auto"/>
              </w:rPr>
            </w:pPr>
            <w:r>
              <w:rPr>
                <w:rFonts w:hint="eastAsia" w:ascii="宋体" w:hAnsi="宋体" w:eastAsia="宋体" w:cs="宋体"/>
                <w:color w:val="auto"/>
              </w:rPr>
              <w:t>合</w:t>
            </w:r>
          </w:p>
          <w:p>
            <w:pPr>
              <w:spacing w:line="276" w:lineRule="auto"/>
              <w:jc w:val="center"/>
              <w:rPr>
                <w:rFonts w:hint="eastAsia" w:ascii="宋体" w:hAnsi="宋体" w:eastAsia="宋体" w:cs="宋体"/>
                <w:color w:val="auto"/>
              </w:rPr>
            </w:pPr>
            <w:r>
              <w:rPr>
                <w:rFonts w:hint="eastAsia" w:ascii="宋体" w:hAnsi="宋体" w:eastAsia="宋体" w:cs="宋体"/>
                <w:color w:val="auto"/>
              </w:rPr>
              <w:t>评</w:t>
            </w:r>
          </w:p>
          <w:p>
            <w:pPr>
              <w:jc w:val="center"/>
              <w:rPr>
                <w:rFonts w:hint="eastAsia" w:ascii="宋体" w:hAnsi="宋体" w:eastAsia="宋体" w:cs="宋体"/>
                <w:color w:val="auto"/>
              </w:rPr>
            </w:pPr>
            <w:r>
              <w:rPr>
                <w:rFonts w:hint="eastAsia" w:ascii="宋体" w:hAnsi="宋体" w:eastAsia="宋体" w:cs="宋体"/>
                <w:color w:val="auto"/>
              </w:rPr>
              <w:t>议</w:t>
            </w:r>
          </w:p>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30</w:t>
            </w:r>
          </w:p>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分</w:t>
            </w:r>
          </w:p>
        </w:tc>
        <w:tc>
          <w:tcPr>
            <w:tcW w:w="2089"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企业业绩</w:t>
            </w:r>
          </w:p>
        </w:tc>
        <w:tc>
          <w:tcPr>
            <w:tcW w:w="713"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10分</w:t>
            </w:r>
          </w:p>
        </w:tc>
        <w:tc>
          <w:tcPr>
            <w:tcW w:w="6210" w:type="dxa"/>
            <w:tcBorders>
              <w:tl2br w:val="nil"/>
              <w:tr2bl w:val="nil"/>
            </w:tcBorders>
            <w:noWrap w:val="0"/>
            <w:vAlign w:val="center"/>
          </w:tcPr>
          <w:p>
            <w:pP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近三年（</w:t>
            </w:r>
            <w:r>
              <w:rPr>
                <w:rFonts w:hint="eastAsia" w:ascii="宋体" w:hAnsi="宋体" w:eastAsia="宋体" w:cs="宋体"/>
                <w:color w:val="auto"/>
              </w:rPr>
              <w:t>投标截止前三年</w:t>
            </w:r>
            <w:r>
              <w:rPr>
                <w:rFonts w:hint="eastAsia" w:ascii="宋体" w:hAnsi="宋体" w:eastAsia="宋体" w:cs="宋体"/>
                <w:bCs w:val="0"/>
                <w:color w:val="auto"/>
                <w:spacing w:val="0"/>
                <w:kern w:val="2"/>
                <w:sz w:val="21"/>
                <w:szCs w:val="22"/>
                <w:lang w:val="en-US" w:eastAsia="zh-CN" w:bidi="ar-SA"/>
              </w:rPr>
              <w:t>）投标人具有手术室或ICU项目类似业绩，每提供一个得5分，此项最高得10分。</w:t>
            </w:r>
          </w:p>
          <w:p>
            <w:pP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（业绩以合同签订时间为准，提供施工合同或中标通知书</w:t>
            </w:r>
            <w:r>
              <w:rPr>
                <w:rFonts w:hint="eastAsia" w:ascii="宋体" w:hAnsi="宋体" w:eastAsia="宋体" w:cs="宋体"/>
                <w:color w:val="auto"/>
              </w:rPr>
              <w:t>原件真彩扫描打印件</w:t>
            </w:r>
            <w:r>
              <w:rPr>
                <w:rFonts w:hint="eastAsia" w:ascii="宋体" w:hAnsi="宋体" w:eastAsia="宋体" w:cs="宋体"/>
                <w:bCs w:val="0"/>
                <w:color w:val="auto"/>
                <w:spacing w:val="0"/>
                <w:kern w:val="2"/>
                <w:sz w:val="21"/>
                <w:szCs w:val="22"/>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63"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动线规划图</w:t>
            </w:r>
          </w:p>
        </w:tc>
        <w:tc>
          <w:tcPr>
            <w:tcW w:w="713"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5分</w:t>
            </w:r>
          </w:p>
        </w:tc>
        <w:tc>
          <w:tcPr>
            <w:tcW w:w="6210" w:type="dxa"/>
            <w:tcBorders>
              <w:tl2br w:val="nil"/>
              <w:tr2bl w:val="nil"/>
            </w:tcBorders>
            <w:noWrap w:val="0"/>
            <w:vAlign w:val="center"/>
          </w:tcPr>
          <w:p>
            <w:pP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提供动线规划图，4条动线符合医院感染控制规范，洁、污分流，动线合理得4-5分，基本合理2-3分，不合理不得分。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7"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洁净等级分区图</w:t>
            </w:r>
          </w:p>
        </w:tc>
        <w:tc>
          <w:tcPr>
            <w:tcW w:w="713"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5分</w:t>
            </w:r>
          </w:p>
        </w:tc>
        <w:tc>
          <w:tcPr>
            <w:tcW w:w="6210" w:type="dxa"/>
            <w:tcBorders>
              <w:tl2br w:val="nil"/>
              <w:tr2bl w:val="nil"/>
            </w:tcBorders>
            <w:noWrap w:val="0"/>
            <w:vAlign w:val="center"/>
          </w:tcPr>
          <w:p>
            <w:pP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提供</w:t>
            </w:r>
            <w:bookmarkStart w:id="5" w:name="_GoBack"/>
            <w:r>
              <w:rPr>
                <w:rFonts w:hint="eastAsia" w:ascii="宋体" w:hAnsi="宋体" w:eastAsia="宋体" w:cs="宋体"/>
                <w:bCs w:val="0"/>
                <w:color w:val="auto"/>
                <w:spacing w:val="0"/>
                <w:kern w:val="2"/>
                <w:sz w:val="21"/>
                <w:szCs w:val="22"/>
                <w:lang w:val="en-US" w:eastAsia="zh-CN" w:bidi="ar-SA"/>
              </w:rPr>
              <w:t>洁</w:t>
            </w:r>
            <w:bookmarkEnd w:id="5"/>
            <w:r>
              <w:rPr>
                <w:rFonts w:hint="eastAsia" w:ascii="宋体" w:hAnsi="宋体" w:eastAsia="宋体" w:cs="宋体"/>
                <w:bCs w:val="0"/>
                <w:color w:val="auto"/>
                <w:spacing w:val="0"/>
                <w:kern w:val="2"/>
                <w:sz w:val="21"/>
                <w:szCs w:val="22"/>
                <w:lang w:val="en-US" w:eastAsia="zh-CN" w:bidi="ar-SA"/>
              </w:rPr>
              <w:t>净等级分区图，洁净等级分区明确，符合医院感染控制规范，洁、污分流，动线合理得4-5分，基本合理2-3分，不合理不得分。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55"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认证证书</w:t>
            </w:r>
          </w:p>
        </w:tc>
        <w:tc>
          <w:tcPr>
            <w:tcW w:w="713"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2分</w:t>
            </w:r>
          </w:p>
        </w:tc>
        <w:tc>
          <w:tcPr>
            <w:tcW w:w="6210" w:type="dxa"/>
            <w:tcBorders>
              <w:tl2br w:val="nil"/>
              <w:tr2bl w:val="nil"/>
            </w:tcBorders>
            <w:noWrap w:val="0"/>
            <w:vAlign w:val="center"/>
          </w:tcPr>
          <w:p>
            <w:pP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供应商取得有效期内的质量管理体系认证得1分；</w:t>
            </w:r>
          </w:p>
          <w:p>
            <w:pP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AAA级及相关资信或信用等级证书得1分。</w:t>
            </w:r>
          </w:p>
          <w:p>
            <w:pP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color w:val="auto"/>
              </w:rPr>
              <w:t>（提供以上认证证书的原件真彩扫描打印件并加盖公章）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31"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现场管理人员情况项目人员配备</w:t>
            </w:r>
          </w:p>
        </w:tc>
        <w:tc>
          <w:tcPr>
            <w:tcW w:w="713" w:type="dxa"/>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6分</w:t>
            </w:r>
          </w:p>
        </w:tc>
        <w:tc>
          <w:tcPr>
            <w:tcW w:w="6210" w:type="dxa"/>
            <w:tcBorders>
              <w:tl2br w:val="nil"/>
              <w:tr2bl w:val="nil"/>
            </w:tcBorders>
            <w:noWrap w:val="0"/>
            <w:vAlign w:val="center"/>
          </w:tcPr>
          <w:p>
            <w:pP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对照投标文件名单，拟派该工程的施工管理人员(项目经理、技术负责人、施工员、质检员、安全员、材料员)配备齐全者得6分，每少一证扣1分，最多扣6分。（须提供人员相关证书真彩扫描打印件）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72"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spacing w:line="340" w:lineRule="exact"/>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服务承诺</w:t>
            </w:r>
          </w:p>
        </w:tc>
        <w:tc>
          <w:tcPr>
            <w:tcW w:w="713" w:type="dxa"/>
            <w:tcBorders>
              <w:tl2br w:val="nil"/>
              <w:tr2bl w:val="nil"/>
            </w:tcBorders>
            <w:noWrap w:val="0"/>
            <w:vAlign w:val="center"/>
          </w:tcPr>
          <w:p>
            <w:pPr>
              <w:spacing w:line="340" w:lineRule="exact"/>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2分</w:t>
            </w:r>
          </w:p>
        </w:tc>
        <w:tc>
          <w:tcPr>
            <w:tcW w:w="6210" w:type="dxa"/>
            <w:tcBorders>
              <w:tl2br w:val="nil"/>
              <w:tr2bl w:val="nil"/>
            </w:tcBorders>
            <w:noWrap w:val="0"/>
            <w:vAlign w:val="center"/>
          </w:tcPr>
          <w:p>
            <w:pPr>
              <w:bidi w:val="0"/>
              <w:rPr>
                <w:rFonts w:hint="eastAsia" w:ascii="宋体" w:hAnsi="宋体" w:eastAsia="宋体" w:cs="宋体"/>
                <w:bCs w:val="0"/>
                <w:color w:val="auto"/>
                <w:spacing w:val="0"/>
                <w:kern w:val="2"/>
                <w:szCs w:val="22"/>
                <w:lang w:val="en-US" w:eastAsia="zh-CN" w:bidi="ar-SA"/>
              </w:rPr>
            </w:pPr>
            <w:r>
              <w:rPr>
                <w:rFonts w:hint="eastAsia" w:ascii="宋体" w:hAnsi="宋体" w:eastAsia="宋体" w:cs="宋体"/>
                <w:color w:val="auto"/>
                <w:lang w:val="en-US" w:eastAsia="zh-CN"/>
              </w:rPr>
              <w:t>提供本项目无重大安全责任事故和能保证不更换拟派项目班子的承诺，得1分，没有不得分，保证能及时足额支付工人工资的承诺，得1分，没有不得分。</w:t>
            </w:r>
            <w:r>
              <w:rPr>
                <w:rFonts w:hint="eastAsia" w:ascii="宋体" w:hAnsi="宋体" w:eastAsia="宋体" w:cs="宋体"/>
                <w:color w:val="auto"/>
              </w:rPr>
              <w:t>（提供承诺书原件并加盖公章）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restart"/>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技术部分40分</w:t>
            </w: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主要施工方法</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6分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主要施工方法针对本项目的特点且符合项目实际需求的得5-6，施工方法基本可行的得3-4分，施工措施制定不详细的得0-2分。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拟投入的主要物资计划</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2分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进场计划合理、满足招标文件的要求得2分，不满足的不得分。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拟投入的主要施工机械计划</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2分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本工程所需的施工机械种类齐全、数量充足、功能先进的得2分，较齐全的得1分，不满足的不得分。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劳动力安排计划</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2分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劳动力组织合理，能满足施工要求得2分，不满足的不得分。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确保工程质量的技术组织措施</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6分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质量保证体系完整的得5-6分，措施有针对性和可行性的得3-4分，较可行的得1-2分，不可行不得分。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确保安全生产的技术组织措施</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6分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安全生产体系完整的得5-6分，措施有针对性和可行性的得3-4分，较可行的得1-2分，不可行不得分。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确保工期的技术组织措施</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5分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有针对性和可行性的得4-5分，有具体的措施的得2-3分，较可行的得0-1分。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确保文明施工的技术组织措施</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5分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文明施工体系完整的得4-5分，有针对性和可行性的得2-3分，较可行的得0-1分。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质保期的相关措施</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3分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质保期维护方案科学合理、保障措施完善的得3分，较完善的得1分，不可行不得分。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693" w:type="dxa"/>
            <w:vMerge w:val="continue"/>
            <w:tcBorders>
              <w:tl2br w:val="nil"/>
              <w:tr2bl w:val="nil"/>
            </w:tcBorders>
            <w:noWrap w:val="0"/>
            <w:vAlign w:val="center"/>
          </w:tcPr>
          <w:p>
            <w:pPr>
              <w:jc w:val="center"/>
              <w:rPr>
                <w:rFonts w:hint="eastAsia" w:ascii="宋体" w:hAnsi="宋体" w:eastAsia="宋体" w:cs="宋体"/>
                <w:bCs w:val="0"/>
                <w:color w:val="auto"/>
                <w:spacing w:val="0"/>
                <w:kern w:val="2"/>
                <w:sz w:val="21"/>
                <w:szCs w:val="22"/>
                <w:lang w:val="en-US" w:eastAsia="zh-CN" w:bidi="ar-SA"/>
              </w:rPr>
            </w:pPr>
          </w:p>
        </w:tc>
        <w:tc>
          <w:tcPr>
            <w:tcW w:w="2089"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施工总进度表或施工网络图</w:t>
            </w:r>
          </w:p>
        </w:tc>
        <w:tc>
          <w:tcPr>
            <w:tcW w:w="713" w:type="dxa"/>
            <w:tcBorders>
              <w:tl2br w:val="nil"/>
              <w:tr2bl w:val="nil"/>
            </w:tcBorders>
            <w:noWrap w:val="0"/>
            <w:vAlign w:val="center"/>
          </w:tcPr>
          <w:p>
            <w:pPr>
              <w:widowControl/>
              <w:jc w:val="center"/>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3分</w:t>
            </w:r>
          </w:p>
        </w:tc>
        <w:tc>
          <w:tcPr>
            <w:tcW w:w="6210" w:type="dxa"/>
            <w:tcBorders>
              <w:tl2br w:val="nil"/>
              <w:tr2bl w:val="nil"/>
            </w:tcBorders>
            <w:noWrap w:val="0"/>
            <w:vAlign w:val="center"/>
          </w:tcPr>
          <w:p>
            <w:pPr>
              <w:tabs>
                <w:tab w:val="left" w:pos="3504"/>
              </w:tabs>
              <w:rPr>
                <w:rFonts w:hint="eastAsia" w:ascii="宋体" w:hAnsi="宋体" w:eastAsia="宋体" w:cs="宋体"/>
                <w:bCs w:val="0"/>
                <w:color w:val="auto"/>
                <w:spacing w:val="0"/>
                <w:kern w:val="2"/>
                <w:sz w:val="21"/>
                <w:szCs w:val="22"/>
                <w:lang w:val="en-US" w:eastAsia="zh-CN" w:bidi="ar-SA"/>
              </w:rPr>
            </w:pPr>
            <w:r>
              <w:rPr>
                <w:rFonts w:hint="eastAsia" w:ascii="宋体" w:hAnsi="宋体" w:eastAsia="宋体" w:cs="宋体"/>
                <w:bCs w:val="0"/>
                <w:color w:val="auto"/>
                <w:spacing w:val="0"/>
                <w:kern w:val="2"/>
                <w:sz w:val="21"/>
                <w:szCs w:val="22"/>
                <w:lang w:val="en-US" w:eastAsia="zh-CN" w:bidi="ar-SA"/>
              </w:rPr>
              <w:t>施工进度计划及工序衔接科学合理的得3分，较合理的得1分，不可行不得分。</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备注：</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证明材料需提供真彩扫描打印件。</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 w:val="21"/>
          <w:szCs w:val="18"/>
        </w:rPr>
      </w:pPr>
      <w:r>
        <w:rPr>
          <w:rFonts w:hint="eastAsia" w:ascii="宋体" w:hAnsi="宋体" w:eastAsia="宋体" w:cs="宋体"/>
          <w:color w:val="auto"/>
          <w:szCs w:val="21"/>
        </w:rPr>
        <w:t>2.如供应商的最终报价低于项目采购预算的</w:t>
      </w:r>
      <w:r>
        <w:rPr>
          <w:rFonts w:hint="eastAsia" w:ascii="宋体" w:hAnsi="宋体" w:eastAsia="宋体" w:cs="宋体"/>
          <w:color w:val="auto"/>
          <w:szCs w:val="21"/>
          <w:lang w:val="en-US" w:eastAsia="zh-CN"/>
        </w:rPr>
        <w:t>成本价</w:t>
      </w:r>
      <w:r>
        <w:rPr>
          <w:rFonts w:hint="eastAsia" w:ascii="宋体" w:hAnsi="宋体" w:eastAsia="宋体" w:cs="宋体"/>
          <w:color w:val="auto"/>
          <w:szCs w:val="21"/>
        </w:rPr>
        <w:t>，磋商小组可启动磋商报价低于成本问询程序：要求供应商作出书面说明并提供相关证明材料，如供应商在30分钟内无法提供或者磋商小组认为报价低于成本价时，磋商小组应当将其视为无效投标。</w:t>
      </w:r>
    </w:p>
    <w:sectPr>
      <w:footerReference r:id="rId5" w:type="default"/>
      <w:pgSz w:w="11906" w:h="16838"/>
      <w:pgMar w:top="820" w:right="1286" w:bottom="109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06957"/>
    <w:multiLevelType w:val="multilevel"/>
    <w:tmpl w:val="CDD06957"/>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1D3FA732"/>
    <w:multiLevelType w:val="singleLevel"/>
    <w:tmpl w:val="1D3FA732"/>
    <w:lvl w:ilvl="0" w:tentative="0">
      <w:start w:val="1"/>
      <w:numFmt w:val="chineseCounting"/>
      <w:suff w:val="nothing"/>
      <w:lvlText w:val="%1、"/>
      <w:lvlJc w:val="left"/>
      <w:pPr>
        <w:ind w:left="0" w:firstLine="420"/>
      </w:pPr>
      <w:rPr>
        <w:rFonts w:hint="eastAsia"/>
      </w:rPr>
    </w:lvl>
  </w:abstractNum>
  <w:abstractNum w:abstractNumId="2">
    <w:nsid w:val="2E66669B"/>
    <w:multiLevelType w:val="multilevel"/>
    <w:tmpl w:val="2E66669B"/>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7752E"/>
    <w:rsid w:val="01ED7600"/>
    <w:rsid w:val="093A3892"/>
    <w:rsid w:val="0B736E0E"/>
    <w:rsid w:val="0BEB685A"/>
    <w:rsid w:val="0D530E01"/>
    <w:rsid w:val="11766337"/>
    <w:rsid w:val="18BA23B6"/>
    <w:rsid w:val="1BE7752E"/>
    <w:rsid w:val="28BF3003"/>
    <w:rsid w:val="31BF45D9"/>
    <w:rsid w:val="34271BAE"/>
    <w:rsid w:val="38F42161"/>
    <w:rsid w:val="3E112EEC"/>
    <w:rsid w:val="3E2D10F4"/>
    <w:rsid w:val="4A156359"/>
    <w:rsid w:val="4CEF46C2"/>
    <w:rsid w:val="5AA118D2"/>
    <w:rsid w:val="6345163E"/>
    <w:rsid w:val="72DF6FC1"/>
    <w:rsid w:val="752A3C61"/>
    <w:rsid w:val="758C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7">
    <w:name w:val="Normal (Web)"/>
    <w:basedOn w:val="1"/>
    <w:unhideWhenUsed/>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3">
    <w:name w:val="List Paragraph"/>
    <w:basedOn w:val="1"/>
    <w:qFormat/>
    <w:uiPriority w:val="34"/>
    <w:pPr>
      <w:ind w:firstLine="420" w:firstLineChars="200"/>
    </w:pPr>
  </w:style>
  <w:style w:type="paragraph" w:customStyle="1" w:styleId="14">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5">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2021-03-05T00:45:00Z</dcterms:created>
  <dc:creator>石</dc:creator>
  <cp:lastModifiedBy>Administrator</cp:lastModifiedBy>
  <cp:lastPrinted>2021-03-29T01:23:00Z</cp:lastPrinted>
  <dcterms:modified xsi:type="dcterms:W3CDTF">2021-06-16T08:26:55Z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DC3EAF5EAFB748728AD06728C1A6E40A</vt:lpwstr>
  </property>
</Properties>
</file>