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color w:val="000000" w:themeColor="text1"/>
          <w:sz w:val="44"/>
          <w:szCs w:val="48"/>
          <w14:textFill>
            <w14:solidFill>
              <w14:schemeClr w14:val="tx1"/>
            </w14:solidFill>
          </w14:textFill>
        </w:rPr>
      </w:pPr>
    </w:p>
    <w:p>
      <w:pPr>
        <w:pStyle w:val="10"/>
        <w:rPr>
          <w:color w:val="000000" w:themeColor="text1"/>
          <w:sz w:val="48"/>
          <w:szCs w:val="52"/>
          <w14:textFill>
            <w14:solidFill>
              <w14:schemeClr w14:val="tx1"/>
            </w14:solidFill>
          </w14:textFill>
        </w:rPr>
      </w:pPr>
      <w:bookmarkStart w:id="1" w:name="_GoBack"/>
      <w:r>
        <w:rPr>
          <w:rFonts w:hint="eastAsia"/>
          <w:color w:val="000000" w:themeColor="text1"/>
          <w:sz w:val="44"/>
          <w:szCs w:val="48"/>
          <w:lang w:eastAsia="zh-CN"/>
          <w14:textFill>
            <w14:solidFill>
              <w14:schemeClr w14:val="tx1"/>
            </w14:solidFill>
          </w14:textFill>
        </w:rPr>
        <w:t>王英镇王英村金瓜地湾生活污水处理项目</w:t>
      </w:r>
      <w:r>
        <w:rPr>
          <w:rFonts w:hint="eastAsia"/>
          <w:color w:val="000000" w:themeColor="text1"/>
          <w:sz w:val="48"/>
          <w:szCs w:val="52"/>
          <w14:textFill>
            <w14:solidFill>
              <w14:schemeClr w14:val="tx1"/>
            </w14:solidFill>
          </w14:textFill>
        </w:rPr>
        <w:t>采购需求</w:t>
      </w:r>
      <w:bookmarkEnd w:id="1"/>
    </w:p>
    <w:p>
      <w:pPr>
        <w:jc w:val="left"/>
        <w:rPr>
          <w:rFonts w:ascii="黑体" w:hAnsi="黑体" w:eastAsia="黑体"/>
          <w:b/>
          <w:bCs/>
          <w:sz w:val="28"/>
          <w:szCs w:val="32"/>
        </w:rPr>
      </w:pPr>
    </w:p>
    <w:p>
      <w:pPr>
        <w:jc w:val="left"/>
        <w:rPr>
          <w:rFonts w:ascii="黑体" w:hAnsi="黑体" w:eastAsia="黑体"/>
          <w:b/>
          <w:bCs/>
          <w:sz w:val="28"/>
          <w:szCs w:val="32"/>
        </w:rPr>
      </w:pPr>
    </w:p>
    <w:p>
      <w:pPr>
        <w:jc w:val="left"/>
        <w:rPr>
          <w:rFonts w:ascii="黑体" w:hAnsi="黑体" w:eastAsia="黑体"/>
          <w:b/>
          <w:bCs/>
          <w:sz w:val="32"/>
          <w:szCs w:val="36"/>
        </w:rPr>
      </w:pPr>
      <w:r>
        <w:rPr>
          <w:rFonts w:hint="eastAsia" w:ascii="黑体" w:hAnsi="黑体" w:eastAsia="黑体"/>
          <w:b/>
          <w:bCs/>
          <w:sz w:val="32"/>
          <w:szCs w:val="36"/>
        </w:rPr>
        <w:t>招 标 人：阳新县</w:t>
      </w:r>
      <w:r>
        <w:rPr>
          <w:rFonts w:hint="eastAsia" w:ascii="黑体" w:hAnsi="黑体" w:eastAsia="黑体"/>
          <w:b/>
          <w:bCs/>
          <w:sz w:val="32"/>
          <w:szCs w:val="36"/>
          <w:lang w:val="en-US" w:eastAsia="zh-CN"/>
        </w:rPr>
        <w:t>王英</w:t>
      </w:r>
      <w:r>
        <w:rPr>
          <w:rFonts w:hint="eastAsia" w:ascii="黑体" w:hAnsi="黑体" w:eastAsia="黑体"/>
          <w:b/>
          <w:bCs/>
          <w:sz w:val="32"/>
          <w:szCs w:val="36"/>
        </w:rPr>
        <w:t>镇人民政府</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黑体" w:hAnsi="黑体" w:eastAsia="黑体"/>
          <w:b/>
          <w:bCs/>
          <w:sz w:val="32"/>
          <w:szCs w:val="36"/>
        </w:rPr>
      </w:pPr>
      <w:r>
        <w:rPr>
          <w:rFonts w:hint="eastAsia" w:ascii="黑体" w:hAnsi="黑体" w:eastAsia="黑体"/>
          <w:b/>
          <w:bCs/>
          <w:sz w:val="32"/>
          <w:szCs w:val="36"/>
        </w:rPr>
        <w:t>联 系 人：汪书记</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黑体" w:hAnsi="黑体" w:eastAsia="黑体"/>
          <w:b/>
          <w:bCs/>
          <w:sz w:val="32"/>
          <w:szCs w:val="36"/>
        </w:rPr>
      </w:pPr>
      <w:r>
        <w:rPr>
          <w:rFonts w:hint="eastAsia" w:ascii="黑体" w:hAnsi="黑体" w:eastAsia="黑体"/>
          <w:b/>
          <w:bCs/>
          <w:sz w:val="32"/>
          <w:szCs w:val="36"/>
        </w:rPr>
        <w:t xml:space="preserve">联系电话：15871203588 </w:t>
      </w:r>
    </w:p>
    <w:p>
      <w:pPr>
        <w:jc w:val="left"/>
        <w:rPr>
          <w:rFonts w:ascii="黑体" w:hAnsi="黑体" w:eastAsia="黑体"/>
          <w:b/>
          <w:bCs/>
          <w:sz w:val="28"/>
          <w:szCs w:val="32"/>
        </w:rPr>
      </w:pPr>
      <w:r>
        <w:rPr>
          <w:rFonts w:hint="eastAsia" w:ascii="黑体" w:hAnsi="黑体" w:eastAsia="黑体"/>
          <w:b/>
          <w:bCs/>
          <w:sz w:val="32"/>
          <w:szCs w:val="36"/>
        </w:rPr>
        <w:t>采购方式：竞争性磋商</w:t>
      </w:r>
    </w:p>
    <w:p>
      <w:pPr>
        <w:jc w:val="left"/>
        <w:rPr>
          <w:rFonts w:ascii="黑体" w:hAnsi="黑体" w:eastAsia="黑体"/>
          <w:b/>
          <w:bCs/>
          <w:sz w:val="28"/>
          <w:szCs w:val="32"/>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rFonts w:hint="eastAsia"/>
          <w:sz w:val="24"/>
          <w:szCs w:val="24"/>
        </w:rPr>
      </w:pPr>
    </w:p>
    <w:p>
      <w:pPr>
        <w:pStyle w:val="2"/>
      </w:pPr>
    </w:p>
    <w:p>
      <w:pPr>
        <w:adjustRightInd w:val="0"/>
        <w:snapToGrid w:val="0"/>
        <w:spacing w:line="360" w:lineRule="auto"/>
        <w:jc w:val="left"/>
        <w:rPr>
          <w:sz w:val="24"/>
          <w:szCs w:val="24"/>
        </w:rPr>
      </w:pPr>
    </w:p>
    <w:p>
      <w:pPr>
        <w:pStyle w:val="2"/>
      </w:pPr>
    </w:p>
    <w:p>
      <w:pPr>
        <w:adjustRightInd w:val="0"/>
        <w:snapToGrid w:val="0"/>
        <w:spacing w:line="360" w:lineRule="auto"/>
        <w:jc w:val="left"/>
        <w:rPr>
          <w:sz w:val="24"/>
          <w:szCs w:val="24"/>
        </w:rPr>
      </w:pPr>
      <w:r>
        <w:rPr>
          <w:rFonts w:hint="eastAsia"/>
          <w:sz w:val="24"/>
          <w:szCs w:val="24"/>
        </w:rPr>
        <w:t>附件一：采购需求</w:t>
      </w:r>
    </w:p>
    <w:p>
      <w:pPr>
        <w:pStyle w:val="5"/>
        <w:jc w:val="center"/>
      </w:pPr>
      <w:bookmarkStart w:id="0" w:name="_Toc480553174"/>
      <w:r>
        <w:rPr>
          <w:rFonts w:hint="eastAsia"/>
        </w:rPr>
        <w:t>一、采购项目技术规格、参数及要求</w:t>
      </w:r>
      <w:bookmarkEnd w:id="0"/>
    </w:p>
    <w:p>
      <w:pPr>
        <w:spacing w:line="360" w:lineRule="auto"/>
        <w:rPr>
          <w:rFonts w:hint="eastAsia" w:ascii="宋体" w:hAnsi="宋体"/>
          <w:bCs/>
          <w:kern w:val="44"/>
          <w:sz w:val="24"/>
          <w:lang w:eastAsia="zh-CN"/>
        </w:rPr>
      </w:pPr>
      <w:r>
        <w:rPr>
          <w:rFonts w:hint="eastAsia" w:ascii="宋体" w:hAnsi="宋体"/>
          <w:bCs/>
          <w:kern w:val="44"/>
          <w:sz w:val="24"/>
        </w:rPr>
        <w:t>1、采购内容：</w:t>
      </w:r>
      <w:r>
        <w:rPr>
          <w:rFonts w:hint="eastAsia" w:ascii="宋体" w:hAnsi="宋体"/>
          <w:bCs/>
          <w:kern w:val="44"/>
          <w:sz w:val="24"/>
          <w:lang w:eastAsia="zh-CN"/>
        </w:rPr>
        <w:t>王英镇王英村金瓜地湾生活污水处理项目</w:t>
      </w:r>
    </w:p>
    <w:p>
      <w:pPr>
        <w:spacing w:line="360" w:lineRule="auto"/>
        <w:rPr>
          <w:rFonts w:ascii="宋体" w:hAnsi="宋体"/>
          <w:bCs/>
          <w:kern w:val="44"/>
          <w:sz w:val="24"/>
        </w:rPr>
      </w:pPr>
      <w:r>
        <w:rPr>
          <w:rFonts w:hint="eastAsia" w:ascii="宋体" w:hAnsi="宋体"/>
          <w:bCs/>
          <w:kern w:val="44"/>
          <w:sz w:val="24"/>
        </w:rPr>
        <w:t>2、工期：</w:t>
      </w:r>
      <w:r>
        <w:rPr>
          <w:rFonts w:hint="eastAsia"/>
          <w:sz w:val="24"/>
        </w:rPr>
        <w:t>合同签订后</w:t>
      </w:r>
      <w:r>
        <w:rPr>
          <w:rFonts w:hint="eastAsia" w:ascii="宋体" w:hAnsi="宋体"/>
          <w:bCs/>
          <w:kern w:val="44"/>
          <w:sz w:val="24"/>
          <w:u w:val="single"/>
          <w:lang w:val="en-US" w:eastAsia="zh-CN"/>
        </w:rPr>
        <w:t>9</w:t>
      </w:r>
      <w:r>
        <w:rPr>
          <w:rFonts w:hint="eastAsia" w:ascii="宋体" w:hAnsi="宋体"/>
          <w:bCs/>
          <w:kern w:val="44"/>
          <w:sz w:val="24"/>
          <w:u w:val="single"/>
        </w:rPr>
        <w:t>0</w:t>
      </w:r>
      <w:r>
        <w:rPr>
          <w:rFonts w:hint="eastAsia" w:ascii="宋体" w:hAnsi="宋体"/>
          <w:bCs/>
          <w:kern w:val="44"/>
          <w:sz w:val="24"/>
        </w:rPr>
        <w:t>日历天。开工时间以建设单位开工令为准。</w:t>
      </w:r>
    </w:p>
    <w:p>
      <w:pPr>
        <w:spacing w:line="360" w:lineRule="auto"/>
        <w:rPr>
          <w:rFonts w:hint="default" w:ascii="宋体" w:hAnsi="宋体" w:eastAsia="宋体"/>
          <w:bCs/>
          <w:kern w:val="44"/>
          <w:sz w:val="24"/>
          <w:lang w:val="en-US" w:eastAsia="zh-CN"/>
        </w:rPr>
      </w:pPr>
      <w:r>
        <w:rPr>
          <w:rFonts w:hint="eastAsia" w:ascii="宋体" w:hAnsi="宋体"/>
          <w:bCs/>
          <w:kern w:val="44"/>
          <w:sz w:val="24"/>
        </w:rPr>
        <w:t>3、施工地点：阳新县</w:t>
      </w:r>
      <w:r>
        <w:rPr>
          <w:rFonts w:hint="eastAsia" w:ascii="宋体" w:hAnsi="宋体"/>
          <w:bCs/>
          <w:kern w:val="44"/>
          <w:sz w:val="24"/>
          <w:lang w:val="en-US" w:eastAsia="zh-CN"/>
        </w:rPr>
        <w:t>王英</w:t>
      </w:r>
      <w:r>
        <w:rPr>
          <w:rFonts w:hint="eastAsia" w:ascii="宋体" w:hAnsi="宋体"/>
          <w:bCs/>
          <w:kern w:val="44"/>
          <w:sz w:val="24"/>
        </w:rPr>
        <w:t>镇</w:t>
      </w:r>
      <w:r>
        <w:rPr>
          <w:rFonts w:hint="eastAsia" w:ascii="宋体" w:hAnsi="宋体"/>
          <w:bCs/>
          <w:kern w:val="44"/>
          <w:sz w:val="24"/>
          <w:lang w:val="en-US" w:eastAsia="zh-CN"/>
        </w:rPr>
        <w:t>王英村</w:t>
      </w:r>
    </w:p>
    <w:p>
      <w:pPr>
        <w:spacing w:line="360" w:lineRule="auto"/>
        <w:rPr>
          <w:rFonts w:ascii="宋体" w:hAnsi="宋体"/>
          <w:bCs/>
          <w:kern w:val="44"/>
          <w:sz w:val="24"/>
        </w:rPr>
      </w:pPr>
      <w:r>
        <w:rPr>
          <w:rFonts w:hint="eastAsia" w:ascii="宋体" w:hAnsi="宋体"/>
          <w:bCs/>
          <w:kern w:val="44"/>
          <w:sz w:val="24"/>
        </w:rPr>
        <w:t>4、采购预算：</w:t>
      </w:r>
      <w:r>
        <w:rPr>
          <w:rFonts w:hint="eastAsia" w:ascii="宋体" w:hAnsi="宋体" w:eastAsia="宋体" w:cs="宋体"/>
          <w:color w:val="000000"/>
          <w:sz w:val="24"/>
        </w:rPr>
        <w:t>189.</w:t>
      </w:r>
      <w:r>
        <w:rPr>
          <w:rFonts w:hint="eastAsia" w:ascii="宋体" w:hAnsi="宋体" w:eastAsia="宋体" w:cs="宋体"/>
          <w:color w:val="000000"/>
          <w:sz w:val="24"/>
          <w:lang w:val="en-US" w:eastAsia="zh-CN"/>
        </w:rPr>
        <w:t>9410</w:t>
      </w:r>
      <w:r>
        <w:rPr>
          <w:rFonts w:hint="eastAsia" w:ascii="宋体" w:hAnsi="宋体"/>
          <w:bCs/>
          <w:kern w:val="44"/>
          <w:sz w:val="24"/>
        </w:rPr>
        <w:t>万元，超过预算作无效投标处理。</w:t>
      </w:r>
    </w:p>
    <w:p>
      <w:pPr>
        <w:spacing w:line="360" w:lineRule="auto"/>
        <w:rPr>
          <w:rFonts w:ascii="宋体" w:hAnsi="宋体"/>
          <w:bCs/>
          <w:kern w:val="44"/>
          <w:sz w:val="24"/>
        </w:rPr>
      </w:pPr>
      <w:r>
        <w:rPr>
          <w:rFonts w:hint="eastAsia" w:ascii="宋体" w:hAnsi="宋体"/>
          <w:bCs/>
          <w:kern w:val="44"/>
          <w:sz w:val="24"/>
        </w:rPr>
        <w:t>5、质量目标：达到国家规定的验收合格标准</w:t>
      </w:r>
    </w:p>
    <w:p>
      <w:pPr>
        <w:spacing w:line="360" w:lineRule="auto"/>
        <w:rPr>
          <w:rFonts w:ascii="宋体" w:hAnsi="宋体"/>
          <w:bCs/>
          <w:kern w:val="44"/>
          <w:sz w:val="24"/>
        </w:rPr>
      </w:pPr>
      <w:r>
        <w:rPr>
          <w:rFonts w:hint="eastAsia" w:ascii="宋体" w:hAnsi="宋体"/>
          <w:bCs/>
          <w:kern w:val="44"/>
          <w:sz w:val="24"/>
        </w:rPr>
        <w:t>6、工程量清单见附件。</w:t>
      </w:r>
    </w:p>
    <w:p>
      <w:pPr>
        <w:spacing w:line="360" w:lineRule="auto"/>
        <w:rPr>
          <w:rFonts w:hint="eastAsia" w:ascii="宋体" w:hAnsi="宋体" w:eastAsia="宋体" w:cs="宋体"/>
          <w:bCs/>
          <w:kern w:val="44"/>
          <w:sz w:val="24"/>
          <w:lang w:eastAsia="zh-CN"/>
        </w:rPr>
      </w:pPr>
      <w:r>
        <w:rPr>
          <w:rFonts w:hint="eastAsia" w:ascii="宋体" w:hAnsi="宋体"/>
          <w:bCs/>
          <w:kern w:val="44"/>
          <w:sz w:val="24"/>
        </w:rPr>
        <w:t>7、付款方式：</w:t>
      </w:r>
      <w:r>
        <w:rPr>
          <w:rFonts w:hint="eastAsia" w:ascii="宋体" w:hAnsi="宋体"/>
          <w:bCs/>
          <w:kern w:val="44"/>
          <w:sz w:val="24"/>
          <w:lang w:val="en-US" w:eastAsia="zh-CN"/>
        </w:rPr>
        <w:t>工程验收合格后付60%，余额两年内付清（最终</w:t>
      </w:r>
      <w:r>
        <w:rPr>
          <w:rFonts w:hint="eastAsia" w:ascii="宋体" w:hAnsi="宋体"/>
          <w:bCs/>
          <w:kern w:val="44"/>
          <w:sz w:val="24"/>
        </w:rPr>
        <w:t>以签</w:t>
      </w:r>
      <w:r>
        <w:rPr>
          <w:rFonts w:hint="eastAsia" w:ascii="宋体" w:hAnsi="宋体"/>
          <w:bCs/>
          <w:kern w:val="44"/>
          <w:sz w:val="24"/>
          <w:lang w:val="en-US" w:eastAsia="zh-CN"/>
        </w:rPr>
        <w:t>合同</w:t>
      </w:r>
      <w:r>
        <w:rPr>
          <w:rFonts w:hint="eastAsia" w:ascii="宋体" w:hAnsi="宋体"/>
          <w:bCs/>
          <w:kern w:val="44"/>
          <w:sz w:val="24"/>
        </w:rPr>
        <w:t>为准</w:t>
      </w:r>
      <w:r>
        <w:rPr>
          <w:rFonts w:hint="eastAsia" w:ascii="宋体" w:hAnsi="宋体"/>
          <w:bCs/>
          <w:kern w:val="44"/>
          <w:sz w:val="24"/>
          <w:lang w:eastAsia="zh-CN"/>
        </w:rPr>
        <w:t>）。</w:t>
      </w:r>
    </w:p>
    <w:p>
      <w:pPr>
        <w:pStyle w:val="13"/>
        <w:ind w:firstLine="0" w:firstLineChars="0"/>
      </w:pPr>
      <w:r>
        <w:rPr>
          <w:rFonts w:hint="eastAsia"/>
          <w:bCs/>
          <w:kern w:val="44"/>
        </w:rPr>
        <w:t>8、质量保修期：本项目保修期为1年，质量保修期自工程竣工验收合格之日起计算。</w:t>
      </w:r>
    </w:p>
    <w:p/>
    <w:p>
      <w:pPr>
        <w:pStyle w:val="2"/>
      </w:pPr>
    </w:p>
    <w:p>
      <w:pPr>
        <w:pStyle w:val="2"/>
      </w:pPr>
      <w:r>
        <w:rPr>
          <w:rFonts w:hint="eastAsia"/>
        </w:rPr>
        <w:t>工程量清单及图纸：</w:t>
      </w:r>
    </w:p>
    <w:p>
      <w:pPr>
        <w:pStyle w:val="2"/>
      </w:pPr>
      <w:r>
        <w:rPr>
          <w:rFonts w:hint="eastAsia"/>
        </w:rPr>
        <w:t xml:space="preserve">  </w:t>
      </w:r>
    </w:p>
    <w:p>
      <w:pPr>
        <w:pStyle w:val="2"/>
      </w:pPr>
    </w:p>
    <w:p>
      <w:pPr>
        <w:pStyle w:val="2"/>
      </w:pPr>
    </w:p>
    <w:p>
      <w:pPr>
        <w:pStyle w:val="2"/>
      </w:pPr>
    </w:p>
    <w:p>
      <w:pPr>
        <w:pStyle w:val="2"/>
        <w:spacing w:before="0" w:after="0"/>
      </w:pPr>
      <w:r>
        <w:rPr>
          <w:rFonts w:hint="eastAsia" w:eastAsia="宋体"/>
          <w:lang w:eastAsia="zh-CN"/>
        </w:rPr>
        <w:object>
          <v:shape id="_x0000_i1025" o:spt="75" type="#_x0000_t75" style="height:40.1pt;width:39.2pt;" o:ole="t" filled="f" o:preferrelative="t" stroked="f" coordsize="21600,21600">
            <v:path/>
            <v:fill on="f" focussize="0,0"/>
            <v:stroke on="f"/>
            <v:imagedata r:id="rId5" o:title=""/>
            <o:lock v:ext="edit" aspectratio="t"/>
            <w10:wrap type="none"/>
            <w10:anchorlock/>
          </v:shape>
          <o:OLEObject Type="Embed" ProgID="Package" ShapeID="_x0000_i1025" DrawAspect="Content" ObjectID="_1468075725" r:id="rId4">
            <o:LockedField>false</o:LockedField>
          </o:OLEObject>
        </w:object>
      </w:r>
    </w:p>
    <w:p>
      <w:pPr>
        <w:pStyle w:val="2"/>
      </w:pPr>
    </w:p>
    <w:p>
      <w:pPr>
        <w:pStyle w:val="2"/>
      </w:pPr>
    </w:p>
    <w:p>
      <w:pPr>
        <w:pStyle w:val="2"/>
      </w:pPr>
    </w:p>
    <w:p>
      <w:pPr>
        <w:pStyle w:val="2"/>
        <w:rPr>
          <w:rFonts w:hint="eastAsia" w:eastAsia="宋体"/>
          <w:lang w:eastAsia="zh-CN"/>
        </w:rPr>
      </w:pPr>
    </w:p>
    <w:p>
      <w:pPr>
        <w:pStyle w:val="2"/>
      </w:pPr>
      <w:r>
        <w:rPr>
          <w:rFonts w:hint="eastAsia" w:eastAsia="宋体"/>
          <w:lang w:eastAsia="zh-CN"/>
        </w:rPr>
        <w:object>
          <v:shape id="_x0000_i1026" o:spt="75" type="#_x0000_t75" style="height:42.75pt;width:259.5pt;" o:ole="t" filled="f" o:preferrelative="t" stroked="f" coordsize="21600,21600">
            <v:path/>
            <v:fill on="f" focussize="0,0"/>
            <v:stroke on="f"/>
            <v:imagedata r:id="rId7" o:title=""/>
            <o:lock v:ext="edit" aspectratio="t"/>
            <w10:wrap type="none"/>
            <w10:anchorlock/>
          </v:shape>
          <o:OLEObject Type="Embed" ProgID="Package" ShapeID="_x0000_i1026" DrawAspect="Content" ObjectID="_1468075726" r:id="rId6">
            <o:LockedField>false</o:LockedField>
          </o:OLEObject>
        </w:object>
      </w: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rPr>
      </w:pPr>
    </w:p>
    <w:p>
      <w:pPr>
        <w:pStyle w:val="2"/>
        <w:rPr>
          <w:rFonts w:hint="eastAsia"/>
        </w:rPr>
      </w:pPr>
    </w:p>
    <w:p>
      <w:pPr>
        <w:adjustRightInd w:val="0"/>
        <w:snapToGrid w:val="0"/>
        <w:spacing w:line="360" w:lineRule="exact"/>
        <w:rPr>
          <w:color w:val="000000"/>
          <w:sz w:val="24"/>
          <w:lang w:val="zh-CN"/>
        </w:rPr>
      </w:pPr>
      <w:r>
        <w:rPr>
          <w:rFonts w:hint="eastAsia"/>
          <w:color w:val="000000"/>
          <w:sz w:val="24"/>
          <w:lang w:val="zh-CN"/>
        </w:rPr>
        <w:t>附件</w:t>
      </w:r>
      <w:r>
        <w:rPr>
          <w:rFonts w:hint="eastAsia" w:ascii="宋体" w:hAnsi="宋体" w:cs="宋体"/>
          <w:color w:val="000000"/>
          <w:sz w:val="24"/>
          <w:lang w:val="zh-CN"/>
        </w:rPr>
        <w:t>2</w:t>
      </w:r>
      <w:r>
        <w:rPr>
          <w:rFonts w:hint="eastAsia"/>
          <w:color w:val="000000"/>
          <w:sz w:val="24"/>
          <w:lang w:val="zh-CN"/>
        </w:rPr>
        <w:t>：评审方法及评审标准</w:t>
      </w:r>
    </w:p>
    <w:p>
      <w:pPr>
        <w:jc w:val="center"/>
        <w:rPr>
          <w:b/>
          <w:sz w:val="24"/>
          <w:szCs w:val="20"/>
        </w:rPr>
      </w:pPr>
      <w:r>
        <w:rPr>
          <w:rFonts w:hint="eastAsia"/>
          <w:b/>
          <w:sz w:val="24"/>
          <w:szCs w:val="20"/>
        </w:rPr>
        <w:t>评分标准</w:t>
      </w:r>
    </w:p>
    <w:tbl>
      <w:tblPr>
        <w:tblStyle w:val="11"/>
        <w:tblW w:w="93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1198"/>
        <w:gridCol w:w="558"/>
        <w:gridCol w:w="6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63" w:type="dxa"/>
          </w:tcPr>
          <w:p>
            <w:pPr>
              <w:jc w:val="center"/>
              <w:rPr>
                <w:rFonts w:ascii="宋体" w:hAnsi="宋体" w:cs="宋体"/>
                <w:b/>
                <w:sz w:val="24"/>
                <w:szCs w:val="20"/>
              </w:rPr>
            </w:pPr>
          </w:p>
        </w:tc>
        <w:tc>
          <w:tcPr>
            <w:tcW w:w="1198"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评审因素</w:t>
            </w:r>
          </w:p>
        </w:tc>
        <w:tc>
          <w:tcPr>
            <w:tcW w:w="558" w:type="dxa"/>
            <w:vAlign w:val="center"/>
          </w:tcPr>
          <w:p>
            <w:pPr>
              <w:spacing w:line="360" w:lineRule="auto"/>
              <w:ind w:left="-73" w:leftChars="-35" w:right="-80" w:rightChars="-38"/>
              <w:jc w:val="center"/>
              <w:rPr>
                <w:rFonts w:ascii="宋体" w:hAnsi="宋体" w:cs="宋体"/>
                <w:b/>
                <w:color w:val="000000"/>
                <w:sz w:val="20"/>
                <w:szCs w:val="18"/>
              </w:rPr>
            </w:pPr>
            <w:r>
              <w:rPr>
                <w:rFonts w:hint="eastAsia" w:ascii="宋体" w:hAnsi="宋体" w:cs="宋体"/>
                <w:b/>
                <w:color w:val="000000"/>
                <w:sz w:val="20"/>
                <w:szCs w:val="18"/>
              </w:rPr>
              <w:t>分值</w:t>
            </w:r>
          </w:p>
        </w:tc>
        <w:tc>
          <w:tcPr>
            <w:tcW w:w="6780"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4" w:hRule="atLeast"/>
        </w:trPr>
        <w:tc>
          <w:tcPr>
            <w:tcW w:w="863" w:type="dxa"/>
          </w:tcPr>
          <w:p>
            <w:pPr>
              <w:pStyle w:val="2"/>
              <w:spacing w:line="276" w:lineRule="auto"/>
              <w:jc w:val="center"/>
              <w:rPr>
                <w:rFonts w:ascii="宋体" w:hAnsi="宋体" w:cs="宋体"/>
                <w:b/>
                <w:bCs w:val="0"/>
                <w:color w:val="000000"/>
                <w:spacing w:val="0"/>
              </w:rPr>
            </w:pPr>
            <w:r>
              <w:rPr>
                <w:rFonts w:hint="eastAsia" w:ascii="宋体" w:hAnsi="宋体" w:cs="宋体"/>
                <w:b/>
                <w:bCs w:val="0"/>
                <w:color w:val="000000"/>
                <w:spacing w:val="0"/>
              </w:rPr>
              <w:t>商务</w:t>
            </w:r>
          </w:p>
          <w:p>
            <w:pPr>
              <w:spacing w:line="276" w:lineRule="auto"/>
              <w:jc w:val="center"/>
              <w:rPr>
                <w:rFonts w:ascii="宋体" w:hAnsi="宋体" w:cs="宋体"/>
                <w:b/>
                <w:color w:val="000000"/>
                <w:sz w:val="24"/>
              </w:rPr>
            </w:pPr>
            <w:r>
              <w:rPr>
                <w:rFonts w:hint="eastAsia" w:ascii="宋体" w:hAnsi="宋体" w:cs="宋体"/>
                <w:b/>
                <w:color w:val="000000"/>
                <w:sz w:val="24"/>
              </w:rPr>
              <w:t>报价</w:t>
            </w:r>
          </w:p>
          <w:p>
            <w:pPr>
              <w:spacing w:line="276" w:lineRule="auto"/>
              <w:jc w:val="center"/>
              <w:rPr>
                <w:rFonts w:ascii="宋体" w:hAnsi="宋体" w:cs="宋体"/>
                <w:b/>
                <w:bCs/>
                <w:color w:val="000000"/>
                <w:sz w:val="24"/>
              </w:rPr>
            </w:pPr>
            <w:r>
              <w:rPr>
                <w:rFonts w:hint="eastAsia" w:ascii="宋体" w:hAnsi="宋体" w:cs="宋体"/>
                <w:bCs/>
                <w:color w:val="000000"/>
                <w:sz w:val="22"/>
                <w:szCs w:val="21"/>
              </w:rPr>
              <w:t>（30分）</w:t>
            </w:r>
          </w:p>
        </w:tc>
        <w:tc>
          <w:tcPr>
            <w:tcW w:w="1198" w:type="dxa"/>
          </w:tcPr>
          <w:p>
            <w:pPr>
              <w:pStyle w:val="2"/>
              <w:spacing w:line="276" w:lineRule="auto"/>
              <w:jc w:val="center"/>
              <w:rPr>
                <w:rFonts w:ascii="宋体" w:hAnsi="宋体" w:cs="宋体"/>
                <w:bCs w:val="0"/>
                <w:color w:val="000000"/>
                <w:spacing w:val="0"/>
                <w:kern w:val="2"/>
                <w:sz w:val="21"/>
              </w:rPr>
            </w:pPr>
          </w:p>
          <w:p>
            <w:pPr>
              <w:pStyle w:val="2"/>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报价得分</w:t>
            </w:r>
          </w:p>
        </w:tc>
        <w:tc>
          <w:tcPr>
            <w:tcW w:w="558" w:type="dxa"/>
            <w:vAlign w:val="center"/>
          </w:tcPr>
          <w:p>
            <w:pPr>
              <w:pStyle w:val="2"/>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30</w:t>
            </w:r>
          </w:p>
        </w:tc>
        <w:tc>
          <w:tcPr>
            <w:tcW w:w="6780" w:type="dxa"/>
          </w:tcPr>
          <w:p>
            <w:pPr>
              <w:spacing w:line="276" w:lineRule="auto"/>
              <w:rPr>
                <w:rFonts w:ascii="宋体" w:hAnsi="宋体" w:cs="宋体"/>
                <w:color w:val="000000"/>
              </w:rPr>
            </w:pPr>
            <w:r>
              <w:rPr>
                <w:rFonts w:hint="eastAsia" w:ascii="宋体" w:hAnsi="宋体" w:cs="宋体"/>
                <w:color w:val="000000"/>
              </w:rPr>
              <w:t>综合评分法中的价格分统一采用低价优先法计算，即满足磋商文件要求且最后报价最低的供应商的价格为磋商基准价，其价格分为满分。其他供应商的价格分统一按照下列公式计算：</w:t>
            </w:r>
          </w:p>
          <w:p>
            <w:pPr>
              <w:spacing w:line="276" w:lineRule="auto"/>
              <w:rPr>
                <w:rFonts w:ascii="宋体" w:hAnsi="宋体" w:cs="宋体"/>
                <w:color w:val="000000"/>
              </w:rPr>
            </w:pPr>
            <w:r>
              <w:rPr>
                <w:rFonts w:hint="eastAsia" w:ascii="宋体" w:hAnsi="宋体" w:cs="宋体"/>
                <w:color w:val="000000"/>
              </w:rPr>
              <w:t>磋商报价得分=（磋商基准价/最后磋商报价）×价格权值×100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63" w:type="dxa"/>
            <w:vMerge w:val="restart"/>
            <w:vAlign w:val="center"/>
          </w:tcPr>
          <w:p>
            <w:pPr>
              <w:spacing w:line="276" w:lineRule="auto"/>
              <w:jc w:val="center"/>
              <w:rPr>
                <w:rFonts w:ascii="宋体" w:hAnsi="宋体" w:cs="宋体"/>
                <w:b/>
                <w:bCs/>
                <w:sz w:val="24"/>
                <w:szCs w:val="28"/>
              </w:rPr>
            </w:pPr>
            <w:r>
              <w:rPr>
                <w:rFonts w:hint="eastAsia" w:ascii="宋体" w:hAnsi="宋体" w:cs="宋体"/>
                <w:b/>
                <w:bCs/>
                <w:sz w:val="24"/>
                <w:szCs w:val="28"/>
              </w:rPr>
              <w:t>技</w:t>
            </w:r>
          </w:p>
          <w:p>
            <w:pPr>
              <w:spacing w:line="276" w:lineRule="auto"/>
              <w:jc w:val="center"/>
              <w:rPr>
                <w:rFonts w:ascii="宋体" w:hAnsi="宋体" w:cs="宋体"/>
                <w:b/>
                <w:bCs/>
                <w:sz w:val="24"/>
                <w:szCs w:val="28"/>
              </w:rPr>
            </w:pPr>
            <w:r>
              <w:rPr>
                <w:rFonts w:hint="eastAsia" w:ascii="宋体" w:hAnsi="宋体" w:cs="宋体"/>
                <w:b/>
                <w:bCs/>
                <w:sz w:val="24"/>
                <w:szCs w:val="28"/>
              </w:rPr>
              <w:t>术</w:t>
            </w:r>
          </w:p>
          <w:p>
            <w:pPr>
              <w:spacing w:line="276" w:lineRule="auto"/>
              <w:jc w:val="center"/>
              <w:rPr>
                <w:rFonts w:ascii="宋体" w:hAnsi="宋体" w:cs="宋体"/>
                <w:b/>
                <w:bCs/>
                <w:sz w:val="24"/>
                <w:szCs w:val="28"/>
              </w:rPr>
            </w:pPr>
            <w:r>
              <w:rPr>
                <w:rFonts w:hint="eastAsia" w:ascii="宋体" w:hAnsi="宋体" w:cs="宋体"/>
                <w:b/>
                <w:bCs/>
                <w:sz w:val="24"/>
                <w:szCs w:val="28"/>
              </w:rPr>
              <w:t>服</w:t>
            </w:r>
          </w:p>
          <w:p>
            <w:pPr>
              <w:spacing w:line="276" w:lineRule="auto"/>
              <w:jc w:val="center"/>
              <w:rPr>
                <w:rFonts w:ascii="宋体" w:hAnsi="宋体" w:cs="宋体"/>
                <w:b/>
                <w:bCs/>
                <w:sz w:val="24"/>
                <w:szCs w:val="28"/>
              </w:rPr>
            </w:pPr>
            <w:r>
              <w:rPr>
                <w:rFonts w:hint="eastAsia" w:ascii="宋体" w:hAnsi="宋体" w:cs="宋体"/>
                <w:b/>
                <w:bCs/>
                <w:sz w:val="24"/>
                <w:szCs w:val="28"/>
              </w:rPr>
              <w:t>务</w:t>
            </w:r>
          </w:p>
          <w:p>
            <w:pPr>
              <w:spacing w:line="276" w:lineRule="auto"/>
              <w:jc w:val="center"/>
              <w:rPr>
                <w:rFonts w:ascii="宋体" w:hAnsi="宋体" w:cs="宋体"/>
                <w:b/>
                <w:bCs/>
                <w:sz w:val="24"/>
                <w:szCs w:val="28"/>
              </w:rPr>
            </w:pPr>
            <w:r>
              <w:rPr>
                <w:rFonts w:hint="eastAsia" w:ascii="宋体" w:hAnsi="宋体" w:cs="宋体"/>
                <w:b/>
                <w:bCs/>
                <w:sz w:val="24"/>
                <w:szCs w:val="28"/>
              </w:rPr>
              <w:t>评</w:t>
            </w:r>
          </w:p>
          <w:p>
            <w:pPr>
              <w:spacing w:line="276" w:lineRule="auto"/>
              <w:jc w:val="center"/>
              <w:rPr>
                <w:rFonts w:ascii="宋体" w:hAnsi="宋体" w:cs="宋体"/>
                <w:b/>
                <w:bCs/>
                <w:sz w:val="24"/>
                <w:szCs w:val="28"/>
              </w:rPr>
            </w:pPr>
            <w:r>
              <w:rPr>
                <w:rFonts w:hint="eastAsia" w:ascii="宋体" w:hAnsi="宋体" w:cs="宋体"/>
                <w:b/>
                <w:bCs/>
                <w:sz w:val="24"/>
                <w:szCs w:val="28"/>
              </w:rPr>
              <w:t>议</w:t>
            </w:r>
          </w:p>
          <w:p>
            <w:pPr>
              <w:pStyle w:val="2"/>
              <w:rPr>
                <w:rFonts w:ascii="宋体" w:hAnsi="宋体" w:cs="宋体"/>
              </w:rPr>
            </w:pPr>
            <w:r>
              <w:rPr>
                <w:rFonts w:hint="eastAsia" w:ascii="宋体" w:hAnsi="宋体" w:cs="宋体"/>
                <w:bCs w:val="0"/>
                <w:color w:val="000000"/>
                <w:sz w:val="21"/>
                <w:szCs w:val="20"/>
              </w:rPr>
              <w:t>（60分）</w:t>
            </w: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施工方案</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施工重点难点分析</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质量保障措施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针对本项目的质量保障措施配置科学合理、规章制度健全、岗位职责及质量管理目标明确得6分；质量保障措施配置合理、规章制度健全、岗位职责及质量管理目标明确的得3-5分；质量保障措施配置基本合理、规章制度健全、岗位职责及质量管理目标基本明确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安全、文明管理体系与措施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9"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施工环保措施计划、减少噪音、降低环境污染</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施工环保措施计划、减少噪音、降低环境污染等措施科学先进、合理的得5-6分；施工环保措施计划、减少噪音、降低环境污染等措施合理的得3-4分；施工环保措施计划、减少噪音、降低环境污染等措施基本合理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工程进度保障措施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供应商的工程进度保障措施完善合理，且完全符合项目特点得6分；工程进度保障措施较合理得3-5分；工程进度保障措施基本合理得0-2分。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资源配备计划</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6780" w:type="dxa"/>
          </w:tcPr>
          <w:p>
            <w:pPr>
              <w:spacing w:line="276" w:lineRule="auto"/>
              <w:rPr>
                <w:rFonts w:ascii="宋体" w:hAnsi="宋体" w:cs="宋体"/>
                <w:color w:val="000000"/>
              </w:rPr>
            </w:pPr>
            <w:r>
              <w:rPr>
                <w:rFonts w:hint="eastAsia" w:ascii="宋体" w:hAnsi="宋体" w:cs="宋体"/>
                <w:color w:val="000000"/>
              </w:rPr>
              <w:t>供应商的资金使用和主要材料用量的计算说明详细完善、思路清晰，劳动力与施工机械设备安排计划科学合理的得5-6分；资金使用和主要材料的计算说明基本详细，劳动力与施工机械设备安排计划合理的得3-4分；资金使用和主要材料用量的计算说明简单描述，劳动力与施工机械设备安排计划基本合理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质量服务承诺</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4</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供应商有保证工程质量的承诺且有具体的经济处罚措施的的得4分，没有得0分。（提供承诺书原件并加盖公章）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售后服务承诺</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1.供应商有明确的售后服务措施（包括质保期和故障响应时间），且承诺具体可行，具有一定优势，最高得3分；</w:t>
            </w:r>
          </w:p>
          <w:p>
            <w:pPr>
              <w:spacing w:line="276" w:lineRule="auto"/>
              <w:rPr>
                <w:rFonts w:ascii="宋体" w:hAnsi="宋体" w:cs="宋体"/>
                <w:color w:val="000000"/>
              </w:rPr>
            </w:pPr>
            <w:r>
              <w:rPr>
                <w:rFonts w:hint="eastAsia" w:ascii="宋体" w:hAnsi="宋体" w:cs="宋体"/>
                <w:color w:val="000000"/>
              </w:rPr>
              <w:t>2.供应商有售后质保承诺的得3分，否则不得分。（提供承诺书原件并加盖公章）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技术分合计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60分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restart"/>
            <w:vAlign w:val="center"/>
          </w:tcPr>
          <w:p>
            <w:pPr>
              <w:spacing w:line="276" w:lineRule="auto"/>
              <w:jc w:val="center"/>
              <w:rPr>
                <w:rFonts w:ascii="宋体" w:hAnsi="宋体" w:cs="宋体"/>
              </w:rPr>
            </w:pPr>
            <w:r>
              <w:rPr>
                <w:rFonts w:hint="eastAsia" w:ascii="宋体" w:hAnsi="宋体" w:cs="宋体"/>
              </w:rPr>
              <w:t>综</w:t>
            </w:r>
          </w:p>
          <w:p>
            <w:pPr>
              <w:spacing w:line="276" w:lineRule="auto"/>
              <w:jc w:val="center"/>
              <w:rPr>
                <w:rFonts w:ascii="宋体" w:hAnsi="宋体" w:cs="宋体"/>
              </w:rPr>
            </w:pPr>
            <w:r>
              <w:rPr>
                <w:rFonts w:hint="eastAsia" w:ascii="宋体" w:hAnsi="宋体" w:cs="宋体"/>
              </w:rPr>
              <w:t>合</w:t>
            </w:r>
          </w:p>
          <w:p>
            <w:pPr>
              <w:spacing w:line="276" w:lineRule="auto"/>
              <w:jc w:val="center"/>
              <w:rPr>
                <w:rFonts w:ascii="宋体" w:hAnsi="宋体" w:cs="宋体"/>
              </w:rPr>
            </w:pPr>
            <w:r>
              <w:rPr>
                <w:rFonts w:hint="eastAsia" w:ascii="宋体" w:hAnsi="宋体" w:cs="宋体"/>
              </w:rPr>
              <w:t>评</w:t>
            </w:r>
          </w:p>
          <w:p>
            <w:pPr>
              <w:spacing w:line="276" w:lineRule="auto"/>
              <w:jc w:val="center"/>
              <w:rPr>
                <w:rFonts w:ascii="宋体" w:hAnsi="宋体" w:cs="宋体"/>
              </w:rPr>
            </w:pPr>
            <w:r>
              <w:rPr>
                <w:rFonts w:hint="eastAsia" w:ascii="宋体" w:hAnsi="宋体" w:cs="宋体"/>
              </w:rPr>
              <w:t>议</w:t>
            </w:r>
          </w:p>
          <w:p>
            <w:pPr>
              <w:spacing w:line="276" w:lineRule="auto"/>
              <w:jc w:val="center"/>
              <w:rPr>
                <w:rFonts w:ascii="宋体" w:hAnsi="宋体" w:cs="宋体"/>
                <w:b/>
                <w:sz w:val="24"/>
                <w:szCs w:val="20"/>
              </w:rPr>
            </w:pPr>
            <w:r>
              <w:rPr>
                <w:rFonts w:hint="eastAsia" w:ascii="宋体" w:hAnsi="宋体" w:cs="宋体"/>
              </w:rPr>
              <w:t>（10分）</w:t>
            </w: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企业实力</w:t>
            </w:r>
          </w:p>
        </w:tc>
        <w:tc>
          <w:tcPr>
            <w:tcW w:w="558" w:type="dxa"/>
            <w:vAlign w:val="center"/>
          </w:tcPr>
          <w:p>
            <w:pPr>
              <w:spacing w:line="240" w:lineRule="exact"/>
              <w:ind w:left="-105" w:leftChars="-50" w:right="-105" w:rightChars="-50"/>
              <w:jc w:val="center"/>
              <w:rPr>
                <w:rFonts w:ascii="宋体" w:hAnsi="宋体" w:cs="宋体"/>
                <w:color w:val="000000"/>
              </w:rPr>
            </w:pPr>
            <w:r>
              <w:rPr>
                <w:rFonts w:hint="eastAsia" w:ascii="宋体" w:hAnsi="宋体" w:cs="宋体"/>
                <w:color w:val="000000"/>
              </w:rPr>
              <w:t>3</w:t>
            </w:r>
          </w:p>
        </w:tc>
        <w:tc>
          <w:tcPr>
            <w:tcW w:w="6780" w:type="dxa"/>
            <w:vAlign w:val="center"/>
          </w:tcPr>
          <w:p>
            <w:pPr>
              <w:spacing w:line="276" w:lineRule="auto"/>
              <w:rPr>
                <w:rFonts w:ascii="宋体" w:hAnsi="宋体" w:cs="宋体"/>
                <w:color w:val="000000"/>
              </w:rPr>
            </w:pPr>
            <w:r>
              <w:rPr>
                <w:rFonts w:hint="eastAsia" w:ascii="宋体" w:hAnsi="宋体" w:cs="宋体"/>
                <w:color w:val="000000"/>
              </w:rPr>
              <w:t>1.供应商具备合格有效的ISO9001质量管理体系认证证书得1分；</w:t>
            </w:r>
          </w:p>
          <w:p>
            <w:pPr>
              <w:spacing w:line="276" w:lineRule="auto"/>
              <w:rPr>
                <w:rFonts w:ascii="宋体" w:hAnsi="宋体" w:cs="宋体"/>
                <w:color w:val="000000"/>
              </w:rPr>
            </w:pPr>
            <w:r>
              <w:rPr>
                <w:rFonts w:hint="eastAsia" w:ascii="宋体" w:hAnsi="宋体" w:cs="宋体"/>
                <w:color w:val="000000"/>
              </w:rPr>
              <w:t>2.供应商具备合格有效的ISO14001环境管理体系认证证书得1分；</w:t>
            </w:r>
          </w:p>
          <w:p>
            <w:pPr>
              <w:spacing w:line="276" w:lineRule="auto"/>
              <w:rPr>
                <w:rFonts w:ascii="宋体" w:hAnsi="宋体" w:cs="宋体"/>
                <w:color w:val="000000"/>
              </w:rPr>
            </w:pPr>
            <w:r>
              <w:rPr>
                <w:rFonts w:hint="eastAsia" w:ascii="宋体" w:hAnsi="宋体" w:cs="宋体"/>
                <w:color w:val="000000"/>
              </w:rPr>
              <w:t>3.供应商具备合格有效的OHSAS18001职业健康安全管理体系认证证书得1分。</w:t>
            </w:r>
          </w:p>
          <w:p>
            <w:pPr>
              <w:spacing w:line="276" w:lineRule="auto"/>
              <w:rPr>
                <w:rFonts w:ascii="宋体" w:hAnsi="宋体" w:cs="宋体"/>
                <w:color w:val="000000"/>
              </w:rPr>
            </w:pPr>
            <w:r>
              <w:rPr>
                <w:rFonts w:hint="eastAsia" w:ascii="宋体" w:hAnsi="宋体" w:cs="宋体"/>
                <w:color w:val="000000"/>
              </w:rPr>
              <w:t>（提供以上认证证书的原件真彩扫描打印件并加盖公章）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类似项目</w:t>
            </w:r>
          </w:p>
        </w:tc>
        <w:tc>
          <w:tcPr>
            <w:tcW w:w="55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2</w:t>
            </w:r>
          </w:p>
        </w:tc>
        <w:tc>
          <w:tcPr>
            <w:tcW w:w="6780" w:type="dxa"/>
            <w:vAlign w:val="center"/>
          </w:tcPr>
          <w:p>
            <w:pPr>
              <w:spacing w:line="276" w:lineRule="auto"/>
              <w:rPr>
                <w:rFonts w:ascii="宋体" w:hAnsi="宋体" w:cs="宋体"/>
                <w:color w:val="000000"/>
              </w:rPr>
            </w:pPr>
            <w:r>
              <w:rPr>
                <w:rFonts w:hint="eastAsia" w:ascii="宋体" w:hAnsi="宋体" w:cs="宋体"/>
                <w:color w:val="000000"/>
              </w:rPr>
              <w:t>根据供应商提供的近三年（投标截止前三年）类似项目数量进行评分，每提供一个类似项目加1分，此项最高得2分。</w:t>
            </w:r>
            <w:r>
              <w:rPr>
                <w:rFonts w:hint="eastAsia" w:ascii="宋体" w:hAnsi="宋体" w:eastAsia="宋体" w:cs="宋体"/>
                <w:color w:val="000000"/>
              </w:rPr>
              <w:t>（供应商提供投标人提供施工合同及竣工验收报告）</w:t>
            </w:r>
            <w:r>
              <w:rPr>
                <w:rFonts w:hint="eastAsia" w:ascii="宋体" w:hAnsi="宋体" w:cs="宋体"/>
                <w:color w:val="000000"/>
              </w:rPr>
              <w:t>（提供原件真彩扫描打印件）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相关承诺</w:t>
            </w:r>
          </w:p>
        </w:tc>
        <w:tc>
          <w:tcPr>
            <w:tcW w:w="55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3</w:t>
            </w:r>
          </w:p>
        </w:tc>
        <w:tc>
          <w:tcPr>
            <w:tcW w:w="6780" w:type="dxa"/>
            <w:vAlign w:val="center"/>
          </w:tcPr>
          <w:p>
            <w:pPr>
              <w:spacing w:line="320" w:lineRule="exact"/>
              <w:rPr>
                <w:rFonts w:ascii="宋体" w:hAnsi="宋体" w:cs="宋体"/>
                <w:color w:val="000000"/>
              </w:rPr>
            </w:pPr>
            <w:r>
              <w:rPr>
                <w:rFonts w:hint="eastAsia" w:ascii="宋体" w:hAnsi="宋体" w:cs="宋体"/>
                <w:color w:val="000000"/>
              </w:rPr>
              <w:t>1.供应商承诺施工过程中不随意更换项目经理、技术负责人得1分，否则得 0 分；</w:t>
            </w:r>
          </w:p>
          <w:p>
            <w:pPr>
              <w:spacing w:line="320" w:lineRule="exact"/>
              <w:rPr>
                <w:rFonts w:ascii="宋体" w:hAnsi="宋体" w:cs="宋体"/>
                <w:color w:val="000000"/>
              </w:rPr>
            </w:pPr>
            <w:r>
              <w:rPr>
                <w:rFonts w:hint="eastAsia" w:ascii="宋体" w:hAnsi="宋体" w:cs="宋体"/>
                <w:color w:val="000000"/>
              </w:rPr>
              <w:t>2.供应商承诺创建优质工程并有相应完善的管理措施的得 1分，否则得 0 分；</w:t>
            </w:r>
          </w:p>
          <w:p>
            <w:pPr>
              <w:spacing w:line="320" w:lineRule="exact"/>
              <w:rPr>
                <w:rFonts w:ascii="宋体" w:hAnsi="宋体" w:cs="宋体"/>
                <w:color w:val="000000"/>
              </w:rPr>
            </w:pPr>
            <w:r>
              <w:rPr>
                <w:rFonts w:hint="eastAsia" w:ascii="宋体" w:hAnsi="宋体" w:cs="宋体"/>
                <w:color w:val="000000"/>
              </w:rPr>
              <w:t>3.供应商承诺施工过程中保障施工人员权益（包括但不限于不拖欠施工人员工资、保障施工人员福利等）的得1分，否则得 0 分。</w:t>
            </w:r>
          </w:p>
          <w:p>
            <w:pPr>
              <w:spacing w:line="276" w:lineRule="auto"/>
              <w:rPr>
                <w:rFonts w:ascii="宋体" w:hAnsi="宋体" w:cs="宋体"/>
                <w:color w:val="000000"/>
              </w:rPr>
            </w:pPr>
            <w:r>
              <w:rPr>
                <w:rFonts w:hint="eastAsia" w:ascii="宋体" w:hAnsi="宋体" w:cs="宋体"/>
                <w:color w:val="000000"/>
              </w:rPr>
              <w:t>（提供以上承诺书原件并加盖公章）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磋商响应文件的完整性</w:t>
            </w:r>
          </w:p>
        </w:tc>
        <w:tc>
          <w:tcPr>
            <w:tcW w:w="55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2</w:t>
            </w:r>
          </w:p>
        </w:tc>
        <w:tc>
          <w:tcPr>
            <w:tcW w:w="6780" w:type="dxa"/>
            <w:vAlign w:val="center"/>
          </w:tcPr>
          <w:p>
            <w:pPr>
              <w:spacing w:line="276" w:lineRule="auto"/>
              <w:rPr>
                <w:rFonts w:ascii="宋体" w:hAnsi="宋体" w:cs="宋体"/>
                <w:color w:val="000000"/>
              </w:rPr>
            </w:pPr>
            <w:r>
              <w:rPr>
                <w:rFonts w:hint="eastAsia" w:ascii="宋体" w:hAnsi="宋体" w:cs="宋体"/>
                <w:color w:val="000000"/>
              </w:rPr>
              <w:t>磋商响应文件全面响应磋商文件要求，编制完整、非活页装订，且有详细目录、连续页码、目录与有关材料装订顺序对应清晰、查阅方便得2分。编排杂乱无章、叙述答非所问、资料残缺不全、资料模糊不清、前后不一致等，每处扣0.5分，扣完为止，活页装订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商务分合计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得分总计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100分</w:t>
            </w:r>
          </w:p>
        </w:tc>
      </w:tr>
    </w:tbl>
    <w:p>
      <w:pPr>
        <w:rPr>
          <w:b/>
          <w:color w:val="000000"/>
        </w:rPr>
      </w:pPr>
      <w:r>
        <w:rPr>
          <w:rFonts w:hint="eastAsia"/>
          <w:b/>
          <w:color w:val="000000"/>
        </w:rPr>
        <w:t>备注：</w:t>
      </w:r>
    </w:p>
    <w:p>
      <w:pPr>
        <w:spacing w:line="300" w:lineRule="exact"/>
        <w:rPr>
          <w:rFonts w:ascii="宋体" w:hAnsi="宋体" w:cs="宋体"/>
          <w:bCs/>
          <w:color w:val="000000"/>
        </w:rPr>
      </w:pPr>
      <w:r>
        <w:rPr>
          <w:rFonts w:hint="eastAsia" w:ascii="宋体" w:hAnsi="宋体" w:cs="宋体"/>
          <w:bCs/>
          <w:color w:val="000000"/>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spacing w:line="300" w:lineRule="exact"/>
        <w:rPr>
          <w:rFonts w:ascii="宋体" w:hAnsi="宋体" w:cs="宋体"/>
          <w:bCs/>
          <w:color w:val="000000"/>
        </w:rPr>
      </w:pPr>
      <w:r>
        <w:rPr>
          <w:rFonts w:hint="eastAsia" w:ascii="宋体" w:hAnsi="宋体" w:cs="宋体"/>
          <w:bCs/>
          <w:color w:val="000000"/>
        </w:rPr>
        <w:t>2、商务标计算按报价人最终报价计算。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spacing w:line="300" w:lineRule="exact"/>
        <w:rPr>
          <w:rFonts w:hint="eastAsia" w:ascii="宋体" w:hAnsi="宋体" w:cs="宋体"/>
          <w:bCs/>
          <w:color w:val="000000"/>
        </w:rPr>
      </w:pPr>
      <w:r>
        <w:rPr>
          <w:rFonts w:hint="eastAsia" w:ascii="宋体" w:hAnsi="宋体" w:cs="宋体"/>
          <w:bCs/>
          <w:color w:val="000000"/>
        </w:rPr>
        <w:t>3、如供应商的最终报价低于采购预算的90%，磋商小组可启动磋商报价低于成本问询程序：要求供应商作出书面说明并提供相关证明材料，如供应商在 30 分钟内无法提供不低于成本的相关证明材料， 由磋商小组认定该供应商以低于成本价恶意竞标将并否决其投标。</w:t>
      </w:r>
    </w:p>
    <w:p>
      <w:pPr>
        <w:spacing w:line="360" w:lineRule="auto"/>
        <w:rPr>
          <w:sz w:val="24"/>
        </w:rPr>
      </w:pPr>
      <w:r>
        <w:rPr>
          <w:rFonts w:hint="eastAsia"/>
          <w:sz w:val="24"/>
        </w:rPr>
        <w:t>附件3：</w:t>
      </w:r>
    </w:p>
    <w:p>
      <w:pPr>
        <w:jc w:val="center"/>
        <w:rPr>
          <w:sz w:val="24"/>
        </w:rPr>
      </w:pPr>
      <w:r>
        <w:rPr>
          <w:rFonts w:hint="eastAsia"/>
          <w:sz w:val="24"/>
        </w:rPr>
        <w:t>供应商报名表</w:t>
      </w:r>
    </w:p>
    <w:p>
      <w:pPr>
        <w:rPr>
          <w:sz w:val="24"/>
        </w:rPr>
      </w:pPr>
      <w:r>
        <w:rPr>
          <w:rFonts w:hint="eastAsia"/>
          <w:sz w:val="24"/>
        </w:rPr>
        <w:t>项目编号：</w:t>
      </w:r>
      <w:r>
        <w:rPr>
          <w:rFonts w:hint="eastAsia"/>
          <w:sz w:val="24"/>
          <w:u w:val="single"/>
        </w:rPr>
        <w:t xml:space="preserve">                          </w:t>
      </w:r>
    </w:p>
    <w:p>
      <w:pPr>
        <w:widowControl/>
        <w:spacing w:line="400" w:lineRule="exact"/>
        <w:rPr>
          <w:sz w:val="24"/>
        </w:rPr>
      </w:pPr>
      <w:r>
        <w:rPr>
          <w:rFonts w:hint="eastAsia"/>
          <w:sz w:val="24"/>
        </w:rPr>
        <w:t>项目名称：</w:t>
      </w:r>
      <w:r>
        <w:rPr>
          <w:rFonts w:hint="eastAsia"/>
          <w:sz w:val="24"/>
          <w:u w:val="single"/>
        </w:rPr>
        <w:t xml:space="preserve"> </w:t>
      </w:r>
      <w:r>
        <w:rPr>
          <w:rFonts w:hint="eastAsia"/>
          <w:bCs/>
          <w:sz w:val="24"/>
          <w:u w:val="single"/>
        </w:rPr>
        <w:t xml:space="preserve">                         </w:t>
      </w:r>
      <w:r>
        <w:rPr>
          <w:rFonts w:hint="eastAsia"/>
          <w:sz w:val="24"/>
        </w:rPr>
        <w:t xml:space="preserve"> </w:t>
      </w:r>
    </w:p>
    <w:tbl>
      <w:tblPr>
        <w:tblStyle w:val="11"/>
        <w:tblW w:w="9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供应商名称（盖章）</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联系人姓名</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联系人电话（办公电话或手机）</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联系人邮箱</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129"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供应商提供的</w:t>
            </w:r>
          </w:p>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报名资料</w:t>
            </w: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color w:val="000000"/>
                <w:sz w:val="22"/>
              </w:rPr>
            </w:pPr>
            <w:r>
              <w:rPr>
                <w:rFonts w:hint="eastAsia"/>
                <w:color w:val="000000"/>
                <w:sz w:val="22"/>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color w:val="000000"/>
                <w:sz w:val="22"/>
              </w:rPr>
            </w:pPr>
            <w:r>
              <w:rPr>
                <w:rFonts w:hint="eastAsia"/>
                <w:color w:val="000000"/>
                <w:sz w:val="22"/>
              </w:rPr>
              <w:t>2.近三年财务状况报告，依法缴纳税收和社会保障资金的相关材料。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color w:val="000000"/>
                <w:sz w:val="22"/>
              </w:rPr>
            </w:pPr>
            <w:r>
              <w:rPr>
                <w:rFonts w:hint="eastAsia"/>
                <w:color w:val="000000"/>
                <w:sz w:val="22"/>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color w:val="000000"/>
                <w:sz w:val="22"/>
              </w:rPr>
            </w:pPr>
            <w:r>
              <w:rPr>
                <w:rFonts w:hint="eastAsia"/>
                <w:color w:val="000000"/>
                <w:sz w:val="22"/>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color w:val="000000"/>
                <w:sz w:val="22"/>
              </w:rPr>
            </w:pPr>
            <w:r>
              <w:rPr>
                <w:rFonts w:hint="eastAsia"/>
                <w:color w:val="000000"/>
                <w:sz w:val="22"/>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both"/>
              <w:rPr>
                <w:color w:val="000000"/>
                <w:sz w:val="22"/>
              </w:rPr>
            </w:pPr>
            <w:r>
              <w:rPr>
                <w:rFonts w:hint="eastAsia"/>
                <w:color w:val="000000"/>
                <w:sz w:val="22"/>
              </w:rPr>
              <w:t>6.未被列入 “信用中国”网站（www.creditchina.gov.cn）失信被执行人、重大税收违法案件当事人名单、政府采购严重违法失信行为记录名单的网页打印件。（以公告挂网之日起至投标截止之日止，此期间查询结果为准）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8"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both"/>
              <w:rPr>
                <w:rFonts w:hint="eastAsia" w:eastAsia="宋体"/>
                <w:color w:val="000000"/>
                <w:sz w:val="22"/>
              </w:rPr>
            </w:pPr>
            <w:r>
              <w:rPr>
                <w:rFonts w:hint="eastAsia"/>
                <w:color w:val="000000"/>
                <w:sz w:val="22"/>
              </w:rPr>
              <w:t>7</w:t>
            </w:r>
            <w:r>
              <w:rPr>
                <w:rFonts w:hint="eastAsia" w:eastAsia="宋体"/>
                <w:color w:val="000000"/>
                <w:sz w:val="22"/>
              </w:rPr>
              <w:t>.特定条件：</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40" w:firstLineChars="200"/>
              <w:textAlignment w:val="auto"/>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（1）申请人应具有市政工程施工总承包叁级及以上资质，安全生产许可证在有效期内。</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40" w:firstLineChars="200"/>
              <w:textAlignment w:val="auto"/>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2）申请人拟派项目经理须具备市政工程专业贰级以及上注册建造师执业资格，近三年（投标截止日往前推算3年）以项目经理身份至少承担过一个已完工类似工程业绩，（投标人提供施工合同及竣工验收报告）,具备有效的安全生产考核合格证书（B证），且未担任其他在施建设工程项目的项目经理。项目管理机构还应配备具有岗位证的施工员、质量员、标准员、材料员、机械员、资料员、劳务员、安全员等相应专业管理人员，其中安全员还应具备安全生产考核合格证书（C证），项目技术负责人必须具有相关专业中级工程师及以上职称或注册建造师执业资格。</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40" w:firstLineChars="200"/>
              <w:textAlignment w:val="auto"/>
              <w:rPr>
                <w:color w:val="000000"/>
                <w:sz w:val="22"/>
              </w:rPr>
            </w:pPr>
            <w:r>
              <w:rPr>
                <w:rFonts w:hint="eastAsia" w:ascii="宋体" w:hAnsi="宋体" w:eastAsia="宋体" w:cs="宋体"/>
                <w:kern w:val="0"/>
                <w:sz w:val="22"/>
                <w:szCs w:val="21"/>
                <w:lang w:val="en-US" w:eastAsia="zh-CN" w:bidi="ar-SA"/>
              </w:rPr>
              <w:t>（3）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29" w:type="dxa"/>
            <w:tcBorders>
              <w:left w:val="single" w:color="auto" w:sz="4" w:space="0"/>
              <w:bottom w:val="single" w:color="auto" w:sz="4" w:space="0"/>
              <w:right w:val="single" w:color="auto" w:sz="4" w:space="0"/>
            </w:tcBorders>
            <w:vAlign w:val="center"/>
          </w:tcPr>
          <w:p>
            <w:pPr>
              <w:widowControl/>
              <w:jc w:val="both"/>
              <w:rPr>
                <w:rFonts w:ascii="宋体" w:hAnsi="宋体" w:cs="宋体"/>
                <w:b/>
                <w:kern w:val="0"/>
                <w:sz w:val="22"/>
                <w:szCs w:val="21"/>
              </w:rPr>
            </w:pPr>
            <w:r>
              <w:rPr>
                <w:rFonts w:hint="eastAsia" w:ascii="宋体" w:hAnsi="宋体" w:cs="宋体"/>
                <w:b/>
                <w:kern w:val="0"/>
                <w:sz w:val="22"/>
                <w:szCs w:val="21"/>
              </w:rPr>
              <w:t>供应商意见</w:t>
            </w: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color w:val="000000"/>
                <w:sz w:val="22"/>
              </w:rPr>
            </w:pPr>
            <w:r>
              <w:rPr>
                <w:rFonts w:hint="eastAsia"/>
                <w:color w:val="000000"/>
                <w:sz w:val="22"/>
              </w:rPr>
              <w:t>供应商可对本项目采购需求的公正性、专业性、合理性等提出自己正确的意见、建议等（可另页详细表述）。</w:t>
            </w:r>
          </w:p>
        </w:tc>
      </w:tr>
    </w:tbl>
    <w:p>
      <w:pPr>
        <w:spacing w:line="240" w:lineRule="exact"/>
        <w:ind w:firstLine="480" w:firstLineChars="200"/>
        <w:rPr>
          <w:bCs/>
          <w:sz w:val="24"/>
        </w:rPr>
      </w:pPr>
    </w:p>
    <w:p>
      <w:pPr>
        <w:spacing w:line="240" w:lineRule="exact"/>
        <w:ind w:firstLine="440" w:firstLineChars="200"/>
        <w:rPr>
          <w:bCs/>
          <w:sz w:val="22"/>
          <w:szCs w:val="21"/>
        </w:rPr>
      </w:pPr>
      <w:r>
        <w:rPr>
          <w:rFonts w:hint="eastAsia"/>
          <w:bCs/>
          <w:sz w:val="22"/>
          <w:szCs w:val="21"/>
        </w:rPr>
        <w:t>注意事项：</w:t>
      </w:r>
    </w:p>
    <w:p>
      <w:pPr>
        <w:spacing w:line="240" w:lineRule="exact"/>
        <w:ind w:firstLine="440" w:firstLineChars="200"/>
        <w:rPr>
          <w:bCs/>
          <w:sz w:val="22"/>
          <w:szCs w:val="21"/>
        </w:rPr>
      </w:pPr>
      <w:r>
        <w:rPr>
          <w:rFonts w:hint="eastAsia"/>
          <w:bCs/>
          <w:sz w:val="22"/>
          <w:szCs w:val="21"/>
        </w:rPr>
        <w:t>1.供应商必须严格按照公告的内容和要求，完整递交有关资料，逾期递交的将予以拒收。</w:t>
      </w:r>
    </w:p>
    <w:p>
      <w:pPr>
        <w:spacing w:line="240" w:lineRule="exact"/>
        <w:ind w:firstLine="440" w:firstLineChars="200"/>
        <w:rPr>
          <w:bCs/>
          <w:sz w:val="22"/>
          <w:szCs w:val="21"/>
        </w:rPr>
      </w:pPr>
      <w:r>
        <w:rPr>
          <w:bCs/>
          <w:sz w:val="22"/>
          <w:szCs w:val="21"/>
        </w:rPr>
        <w:t xml:space="preserve">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pPr>
        <w:spacing w:line="240" w:lineRule="exact"/>
        <w:ind w:firstLine="440" w:firstLineChars="200"/>
      </w:pPr>
      <w:r>
        <w:rPr>
          <w:rFonts w:hint="eastAsia"/>
          <w:bCs/>
          <w:sz w:val="22"/>
          <w:szCs w:val="21"/>
        </w:rPr>
        <w:t xml:space="preserve">3.须在邮件（附件文件名注明公司全称）注明公司全称、项目名称及项目编号（不注明我单位将拒收报名邮件）。  </w:t>
      </w:r>
      <w:r>
        <w:rPr>
          <w:rFonts w:hint="eastAsia"/>
          <w:b/>
          <w:bCs/>
          <w:sz w:val="24"/>
        </w:rPr>
        <w:t xml:space="preserve">     </w:t>
      </w:r>
    </w:p>
    <w:sectPr>
      <w:pgSz w:w="11906" w:h="16838"/>
      <w:pgMar w:top="1440" w:right="1208" w:bottom="1118" w:left="15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A9640D"/>
    <w:rsid w:val="00071281"/>
    <w:rsid w:val="005B18D4"/>
    <w:rsid w:val="072317EE"/>
    <w:rsid w:val="0D6B6411"/>
    <w:rsid w:val="172779BB"/>
    <w:rsid w:val="18F86C0D"/>
    <w:rsid w:val="21583DEB"/>
    <w:rsid w:val="29A9640D"/>
    <w:rsid w:val="2D093AA8"/>
    <w:rsid w:val="2E4A4F90"/>
    <w:rsid w:val="2ECF6D2F"/>
    <w:rsid w:val="34A66F7E"/>
    <w:rsid w:val="373B7972"/>
    <w:rsid w:val="3CDF32E5"/>
    <w:rsid w:val="3D4D42EA"/>
    <w:rsid w:val="3F9D07E4"/>
    <w:rsid w:val="404E6159"/>
    <w:rsid w:val="43226391"/>
    <w:rsid w:val="444B34DB"/>
    <w:rsid w:val="47020699"/>
    <w:rsid w:val="574528EB"/>
    <w:rsid w:val="5C814436"/>
    <w:rsid w:val="5D2A050F"/>
    <w:rsid w:val="61B17928"/>
    <w:rsid w:val="67614D1D"/>
    <w:rsid w:val="69ED74D4"/>
    <w:rsid w:val="6ADF09BF"/>
    <w:rsid w:val="6B5C0A25"/>
    <w:rsid w:val="6E5D4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14"/>
    <w:qFormat/>
    <w:uiPriority w:val="9"/>
    <w:pPr>
      <w:keepNext/>
      <w:keepLines/>
      <w:spacing w:before="340" w:after="330" w:line="576" w:lineRule="auto"/>
      <w:outlineLvl w:val="0"/>
    </w:pPr>
    <w:rPr>
      <w:b/>
      <w:bCs/>
      <w:kern w:val="44"/>
      <w:sz w:val="44"/>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line="440" w:lineRule="exact"/>
      <w:jc w:val="left"/>
    </w:pPr>
    <w:rPr>
      <w:rFonts w:eastAsia="黑体"/>
      <w:b/>
      <w:kern w:val="0"/>
      <w:sz w:val="2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Title"/>
    <w:basedOn w:val="1"/>
    <w:next w:val="1"/>
    <w:qFormat/>
    <w:uiPriority w:val="0"/>
    <w:pPr>
      <w:spacing w:before="240" w:after="60"/>
      <w:jc w:val="center"/>
      <w:outlineLvl w:val="0"/>
    </w:pPr>
    <w:rPr>
      <w:rFonts w:ascii="Cambria" w:hAnsi="Cambria" w:eastAsia="方正小标宋简体" w:cs="Times New Roman"/>
      <w:b/>
      <w:bCs/>
      <w:sz w:val="32"/>
      <w:szCs w:val="32"/>
    </w:rPr>
  </w:style>
  <w:style w:type="paragraph" w:customStyle="1" w:styleId="13">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14">
    <w:name w:val="标题 1 Char"/>
    <w:basedOn w:val="12"/>
    <w:link w:val="3"/>
    <w:qFormat/>
    <w:uiPriority w:val="0"/>
    <w:rPr>
      <w:b/>
      <w:bCs/>
      <w:kern w:val="44"/>
      <w:sz w:val="44"/>
      <w:szCs w:val="44"/>
    </w:rPr>
  </w:style>
  <w:style w:type="character" w:customStyle="1" w:styleId="15">
    <w:name w:val="页眉 Char"/>
    <w:basedOn w:val="12"/>
    <w:link w:val="7"/>
    <w:qFormat/>
    <w:uiPriority w:val="0"/>
    <w:rPr>
      <w:rFonts w:ascii="Calibri" w:hAnsi="Calibri"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
  <Pages>5</Pages>
  <Words>3553</Words>
  <Characters>454</Characters>
  <Lines>3</Lines>
  <Paragraphs>7</Paragraphs>
  <TotalTime>11</TotalTime>
  <ScaleCrop>false</ScaleCrop>
  <LinksUpToDate>false</LinksUpToDate>
  <CharactersWithSpaces>4000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2020-09-08T06:21:00Z</dcterms:created>
  <dc:creator>糊涂精灵</dc:creator>
  <cp:lastModifiedBy>123</cp:lastModifiedBy>
  <cp:lastPrinted>2021-06-30T08:58:00Z</cp:lastPrinted>
  <dcterms:modified xsi:type="dcterms:W3CDTF">2021-06-30T09:37:43Z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99114E9F2D094DA4AF911660C19A8474</vt:lpwstr>
  </property>
</Properties>
</file>