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阳新县妇幼保健院产后盆底磁刺激仪采购项目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采购需求</w:t>
      </w:r>
    </w:p>
    <w:p>
      <w:pPr>
        <w:pStyle w:val="7"/>
        <w:rPr>
          <w:rFonts w:hint="eastAsia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p>
      <w:pPr>
        <w:pStyle w:val="7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采购单位：阳新县妇幼保健院</w:t>
      </w:r>
    </w:p>
    <w:p>
      <w:pPr>
        <w:pStyle w:val="7"/>
        <w:rPr>
          <w:rFonts w:hint="eastAsia" w:ascii="宋体" w:hAnsi="宋体" w:eastAsia="宋体" w:cs="宋体"/>
          <w:color w:val="auto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联 系 人：</w:t>
      </w:r>
      <w:r>
        <w:rPr>
          <w:rFonts w:hint="eastAsia" w:ascii="宋体" w:hAnsi="宋体" w:eastAsia="宋体" w:cs="宋体"/>
          <w:color w:val="auto"/>
          <w:sz w:val="28"/>
          <w:szCs w:val="24"/>
          <w:lang w:eastAsia="zh-CN"/>
        </w:rPr>
        <w:t>秦汪承</w:t>
      </w:r>
    </w:p>
    <w:p>
      <w:pPr>
        <w:pStyle w:val="7"/>
        <w:rPr>
          <w:rFonts w:hint="eastAsia" w:ascii="宋体" w:hAnsi="宋体" w:eastAsia="宋体" w:cs="宋体"/>
          <w:color w:val="auto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4"/>
          <w:lang w:eastAsia="zh-CN"/>
        </w:rPr>
        <w:t>联系电话：0714-7813011</w:t>
      </w:r>
    </w:p>
    <w:p>
      <w:pPr>
        <w:pStyle w:val="7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采购方式：询价</w:t>
      </w: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7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7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7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7"/>
        <w:rPr>
          <w:rFonts w:hint="eastAsia"/>
          <w:sz w:val="28"/>
          <w:szCs w:val="24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outlineLvl w:val="9"/>
        <w:rPr>
          <w:rStyle w:val="12"/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outlineLvl w:val="0"/>
        <w:rPr>
          <w:rStyle w:val="12"/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Style w:val="12"/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Style w:val="12"/>
          <w:rFonts w:hint="eastAsia" w:ascii="宋体" w:hAnsi="宋体" w:eastAsia="宋体" w:cs="宋体"/>
          <w:sz w:val="28"/>
          <w:szCs w:val="28"/>
        </w:rPr>
        <w:t>、供应商资格要求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应具备《政府采购法》第二十二条第一款之规定的条件，提供下列材料：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（1）法人或者其他组织的营业执照等证明文件，如供应商是自然人的提供身份证明材料；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（2）财务状况报告，依法缴纳税收和社会保障资金的相关材料；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（3）具备履行合同所必需的设备和专业技术能力的证明材料；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（4）参加政府采购活动前3年内在经营活动中没有重大违法记录的书面声明；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（5）具备法律、行政法规规定的其他条件的证明材料。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2、未被列入"信用中国"网站(www.creditchina.gov.cn)失信被执行人、重大税收违法案件当事人名单的网页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截图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，未被“中国政府采购网”(www.ccgp.gov.cn)列入政府采购严重违法失信行为记录名单的网页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截图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3、特定条件：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及针对本项目产品的生产厂家的授权书；(设备进口代理商可不提供厂家医疗器械生产许可证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FFFFFF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不接受联合体形式的投标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jc w:val="both"/>
        <w:outlineLvl w:val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附表1：采购需求</w:t>
      </w:r>
    </w:p>
    <w:p>
      <w:pPr>
        <w:pStyle w:val="14"/>
        <w:numPr>
          <w:ilvl w:val="0"/>
          <w:numId w:val="1"/>
        </w:numPr>
        <w:ind w:left="562" w:hanging="562" w:hangingChars="200"/>
        <w:jc w:val="both"/>
        <w:outlineLvl w:val="0"/>
        <w:rPr>
          <w:rFonts w:hint="eastAsia" w:ascii="Calibri" w:hAnsi="Calibri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bCs/>
          <w:sz w:val="28"/>
          <w:szCs w:val="28"/>
          <w:lang w:val="en-US" w:eastAsia="zh-CN"/>
        </w:rPr>
        <w:t>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产品名称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：磁刺激仪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一台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适用范围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：用于中枢神经和外周神经刺激，用于神经电生理检查。配合药物，用于心境低落、焦虑、失眠及性症状的辅助治疗。（见产品注册证）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（一）硬件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1.整机通过YY/T 0994-2015 磁刺激设备行业标准；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2.整机通过电磁兼容性EMC测试；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采用智能循环风冷冷却技术，相较于传统风冷（线圈外置电风扇），散热效能更佳，具有安全、无漏液风险，无需后期额外维护费用等优势；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4.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标配盆底专用和骶神经专用2个刺激线圈，可适应不同治疗场景下的患者治疗需求，更加契合临床需要；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5.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盆底专用线圈为符合盆底解剖设计的盆底铁芯线圈，铁芯线圈的磁场利用率高，线圈发热较小，并且可以使磁场聚焦在会阴部，更为精准充分的刺激盆底，从而确保临床疗效；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6.根据临床需求，盆底专用线圈和骶神经专用线圈线圈可快速、简单切换，节约医护人员时间，提高治疗效率；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7.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标配无线运动诱发电位检查模块，用于运动诱发电位检查；降低外界干扰，减少束缚，操作更便捷，提高临床诊疗效率；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8.刺激线圈、磁刺激设备主机、运动诱发电位检查模块为同一品牌，设备各部件匹配度高，兼容性好，性能更稳定，减少故障发生率及维养成本；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9.磁刺激主机、座椅、线圈等采用分体式设计，使产品在升级、更换部件、日常维护保养、维修等方面更加方便；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10.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标配盆底磁刺激专用座椅，座椅靠背角度可调，可放平至180°，可实现盆底肌刺激和双体位骶神经刺激；提高患者治疗中的舒适度、依从性与配合度；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11.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骶神经刺激具有俯卧位骶神经刺激与仰卧位骶神经双体位刺激，可根据临床实际需要满足不同患者的骶神经调控治疗；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12.标配可调节脚凳，可根据患者实际情况变换不同高度，满足多种治疗体位需求；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13.标配触控式一体机电脑，可进行触控与鼠标双模式操作软件；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14.一体机电脑整机通过电磁兼容性（EMC）认证，更安全；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15.一体机电脑支架可360°旋转，方便操作与调节，屏幕尺寸≥15寸；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16.磁刺激强度可进行电脑软件与磁刺激主机旋钮双模式调节，更加方便；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17.开放式设计平台，具备触发输入输出通用接口，可兼容肌电图等设备。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（二）主机技术指标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1.最大磁感应强度：≥6T，允差 ±20%；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2.输出脉冲重复频率：≥60Hz可调；最小可调步长为0.01Hz；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3.脉冲上升时间：50μs ±10μs；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4.脉冲持续时间：340μs ±20μs；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5.磁感应强度最大变化率范围：40kT/s～80kT/s。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（三）运动诱发电位监测模块技术指标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1.通道数：2通道；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2.数据传输方式：无线传输。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（四）软件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1.上位机软件通过GB/T 25000.51 软件工程软件产品质量要求与评价；（需提供证明材料）；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2.可实现单脉冲刺激、重复脉冲刺激和模式化刺激（含TBS模式）等多种刺激模式，满足临床多种治疗场景需要；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3.内置治疗方案库，多种临床方案供医生选择，包含压力性尿失禁、急迫性尿失禁、膀胱过度活动症、便秘、大便失禁、盆底痛等，医护人员一键选择，节约时间提高效率；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4.方案可自定义编辑，刺激强度、频率、脉冲个数、间歇时间、串时间、串数等参数可调，满足更多临床需求；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5.刺激方案具有数字和图形两种展示方式，实时展示磁刺激输出过程，更有效指导患者配合治疗，便于宣教；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6.具有智能温度保护功能，刺激线圈温度达到40℃会自动停止输出，确保治疗安全及稳定;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7.自动化报告生成与打印，也可根据需要自定义编辑，方便医护人员操作；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8.患者基本信息、临床方案、诊疗记录等信息海量存储，并可实时查询、编辑及导出数据备份保存，方便科室统计业务量及开展科研；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9.含波形设置、权限设置等多种自设功能，满足用户多种临床及科研需求；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10.兼容云互联及电子病历系统，实现设备间的数据互联互通，信息共享，减少临床工作量，提高临床的治疗效率。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（五）临床使用情况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1.提供目前在国内外发表过该品牌磁刺激仪治疗盆底相关疾病的5篇或以上的文献证明；（提供文献证明材料）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2.需提供学术方面的支持，能做到磁电联合研发，生产，销售，售后，学术，科研等一站式服务。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注：带★号参数为关键性参数，不响应或偏离每一项将增加5%的报价，关键性技术参数不响应或偏离超过3项（含3项）属无效投标；其它参数为一般技术条款，不响应或偏离每一项将增加3%的报价，一般技术参数不响应或偏离超过5项（含5项）属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9" w:firstLineChars="23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1、交货时间：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9" w:firstLineChars="23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2、交货地点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：阳新县妇幼保健院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9" w:firstLineChars="233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3、质保期：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59" w:firstLineChars="233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hr-HR" w:bidi="ar-EG"/>
        </w:rPr>
        <w:sectPr>
          <w:footerReference r:id="rId6" w:type="first"/>
          <w:footerReference r:id="rId5" w:type="default"/>
          <w:pgSz w:w="11906" w:h="16838"/>
          <w:pgMar w:top="1440" w:right="1418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4、付款方式：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验收合格交付使用后付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0%，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质保期满后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付30%，余额二年内付清</w:t>
      </w: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供应商报名表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</w:p>
    <w:tbl>
      <w:tblPr>
        <w:tblStyle w:val="9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8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6.未被列入"信用中国"网站(www.creditchina.gov.cn)失信被执行人、重大税收违法案件当事人名单的网页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截图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，未被“中国政府采购网”(www.ccgp.gov.cn)列入政府采购严重违法失信行为记录名单的网页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截图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定条件：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及针对本项目产品的生产厂家的授权书；(设备进口代理商可不提供厂家医疗器械生产许可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8.不接受联合体形式的投标。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/>
        <w:textAlignment w:val="auto"/>
        <w:rPr>
          <w:rStyle w:val="12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 w:firstLine="400" w:firstLineChars="200"/>
        <w:textAlignment w:val="auto"/>
        <w:rPr>
          <w:rStyle w:val="12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1.供应商必须严格按照公告的内容和要求，完整递交有关资料，</w:t>
      </w:r>
      <w:r>
        <w:rPr>
          <w:rStyle w:val="12"/>
          <w:rFonts w:hint="eastAsia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逾期递交的将予以拒收。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 w:firstLine="400" w:firstLineChars="200"/>
        <w:textAlignment w:val="auto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供应商所递交的资料（全部盖有单位公章）必须为一般常用电脑办公软件能够读取的清晰、易于辨识的彩色电子扫描件、照片（相关证书和证明材料的原件</w:t>
      </w:r>
      <w:r>
        <w:rPr>
          <w:rFonts w:hint="eastAsia" w:ascii="宋体" w:hAnsi="宋体" w:cs="宋体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并盖章与原件一致</w:t>
      </w:r>
      <w:r>
        <w:rPr>
          <w:rFonts w:ascii="宋体" w:hAnsi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 w:firstLine="400" w:firstLineChars="200"/>
        <w:textAlignment w:val="auto"/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3.须在邮件（附件文件名注明公司全称）注明公司全称、项目名称及项目编号（不注明我单位将拒收报名邮件）。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49650"/>
    <w:multiLevelType w:val="singleLevel"/>
    <w:tmpl w:val="406496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752E"/>
    <w:rsid w:val="032E2961"/>
    <w:rsid w:val="05AA611D"/>
    <w:rsid w:val="097A627C"/>
    <w:rsid w:val="0BC12C59"/>
    <w:rsid w:val="0BDA713F"/>
    <w:rsid w:val="0BEB685A"/>
    <w:rsid w:val="10E95100"/>
    <w:rsid w:val="18BA23B6"/>
    <w:rsid w:val="1BE7752E"/>
    <w:rsid w:val="1DEF325F"/>
    <w:rsid w:val="26834185"/>
    <w:rsid w:val="28BF3003"/>
    <w:rsid w:val="2DE6250A"/>
    <w:rsid w:val="30BA5B1E"/>
    <w:rsid w:val="30CF4436"/>
    <w:rsid w:val="32294358"/>
    <w:rsid w:val="34271BAE"/>
    <w:rsid w:val="38F42161"/>
    <w:rsid w:val="400B605D"/>
    <w:rsid w:val="400C631E"/>
    <w:rsid w:val="418437DA"/>
    <w:rsid w:val="420165A5"/>
    <w:rsid w:val="46503CF4"/>
    <w:rsid w:val="4A2A6445"/>
    <w:rsid w:val="55626F28"/>
    <w:rsid w:val="582E5305"/>
    <w:rsid w:val="5FD950BF"/>
    <w:rsid w:val="61143C88"/>
    <w:rsid w:val="667D6B26"/>
    <w:rsid w:val="670A6F03"/>
    <w:rsid w:val="6A5F465B"/>
    <w:rsid w:val="74314A74"/>
    <w:rsid w:val="758C13EA"/>
    <w:rsid w:val="794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540" w:lineRule="exact"/>
      <w:ind w:left="840" w:leftChars="400" w:firstLine="720" w:firstLineChars="225"/>
    </w:pPr>
    <w:rPr>
      <w:sz w:val="32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2021-03-05T00:45:00Z</dcterms:created>
  <dc:creator>石</dc:creator>
  <cp:lastModifiedBy>Administrator</cp:lastModifiedBy>
  <cp:lastPrinted>2021-06-23T07:39:00Z</cp:lastPrinted>
  <dcterms:modified xsi:type="dcterms:W3CDTF">2021-06-30T08:50:59Z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17BEF253497E41F0B95A811AB3C6CE15</vt:lpwstr>
  </property>
</Properties>
</file>