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jc w:val="center"/>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rPr>
        <w:t>阳新县县级政府采购</w:t>
      </w:r>
    </w:p>
    <w:p>
      <w:pPr>
        <w:pStyle w:val="5"/>
        <w:rPr>
          <w:rFonts w:hint="eastAsia" w:ascii="宋体" w:hAnsi="宋体" w:eastAsia="宋体" w:cs="宋体"/>
          <w:color w:val="auto"/>
        </w:rPr>
      </w:pPr>
    </w:p>
    <w:p>
      <w:pPr>
        <w:widowControl/>
        <w:spacing w:before="100" w:beforeAutospacing="1" w:line="720" w:lineRule="auto"/>
        <w:ind w:firstLine="964" w:firstLineChars="100"/>
        <w:jc w:val="center"/>
        <w:rPr>
          <w:rFonts w:hint="eastAsia" w:ascii="宋体" w:hAnsi="宋体" w:eastAsia="宋体" w:cs="宋体"/>
          <w:b/>
          <w:bCs/>
          <w:color w:val="auto"/>
          <w:kern w:val="0"/>
          <w:sz w:val="96"/>
          <w:szCs w:val="96"/>
        </w:rPr>
      </w:pPr>
      <w:r>
        <w:rPr>
          <w:rFonts w:hint="eastAsia" w:ascii="宋体" w:hAnsi="宋体" w:eastAsia="宋体" w:cs="宋体"/>
          <w:b/>
          <w:bCs/>
          <w:color w:val="auto"/>
          <w:kern w:val="0"/>
          <w:sz w:val="96"/>
          <w:szCs w:val="96"/>
        </w:rPr>
        <w:t>招</w:t>
      </w:r>
      <w:r>
        <w:rPr>
          <w:rFonts w:hint="eastAsia" w:ascii="宋体" w:hAnsi="宋体" w:eastAsia="宋体" w:cs="宋体"/>
          <w:b/>
          <w:bCs/>
          <w:color w:val="auto"/>
          <w:kern w:val="0"/>
          <w:sz w:val="96"/>
          <w:szCs w:val="96"/>
          <w:lang w:val="en-US" w:eastAsia="zh-CN"/>
        </w:rPr>
        <w:t xml:space="preserve"> </w:t>
      </w:r>
      <w:r>
        <w:rPr>
          <w:rFonts w:hint="eastAsia" w:ascii="宋体" w:hAnsi="宋体" w:eastAsia="宋体" w:cs="宋体"/>
          <w:b/>
          <w:bCs/>
          <w:color w:val="auto"/>
          <w:kern w:val="0"/>
          <w:sz w:val="96"/>
          <w:szCs w:val="96"/>
        </w:rPr>
        <w:t xml:space="preserve"> 标</w:t>
      </w:r>
      <w:r>
        <w:rPr>
          <w:rFonts w:hint="eastAsia" w:ascii="宋体" w:hAnsi="宋体" w:eastAsia="宋体" w:cs="宋体"/>
          <w:b/>
          <w:bCs/>
          <w:color w:val="auto"/>
          <w:kern w:val="0"/>
          <w:sz w:val="96"/>
          <w:szCs w:val="96"/>
          <w:lang w:val="en-US" w:eastAsia="zh-CN"/>
        </w:rPr>
        <w:t xml:space="preserve"> </w:t>
      </w:r>
      <w:r>
        <w:rPr>
          <w:rFonts w:hint="eastAsia" w:ascii="宋体" w:hAnsi="宋体" w:eastAsia="宋体" w:cs="宋体"/>
          <w:b/>
          <w:bCs/>
          <w:color w:val="auto"/>
          <w:kern w:val="0"/>
          <w:sz w:val="96"/>
          <w:szCs w:val="96"/>
        </w:rPr>
        <w:t xml:space="preserve"> 文</w:t>
      </w:r>
      <w:r>
        <w:rPr>
          <w:rFonts w:hint="eastAsia" w:ascii="宋体" w:hAnsi="宋体" w:eastAsia="宋体" w:cs="宋体"/>
          <w:b/>
          <w:bCs/>
          <w:color w:val="auto"/>
          <w:kern w:val="0"/>
          <w:sz w:val="96"/>
          <w:szCs w:val="96"/>
          <w:lang w:val="en-US" w:eastAsia="zh-CN"/>
        </w:rPr>
        <w:t xml:space="preserve"> </w:t>
      </w:r>
      <w:r>
        <w:rPr>
          <w:rFonts w:hint="eastAsia" w:ascii="宋体" w:hAnsi="宋体" w:eastAsia="宋体" w:cs="宋体"/>
          <w:b/>
          <w:bCs/>
          <w:color w:val="auto"/>
          <w:kern w:val="0"/>
          <w:sz w:val="96"/>
          <w:szCs w:val="96"/>
        </w:rPr>
        <w:t xml:space="preserve"> 件</w:t>
      </w:r>
    </w:p>
    <w:p>
      <w:pPr>
        <w:pStyle w:val="5"/>
        <w:rPr>
          <w:rFonts w:hint="eastAsia" w:ascii="宋体" w:hAnsi="宋体" w:eastAsia="宋体" w:cs="宋体"/>
          <w:color w:val="auto"/>
          <w:kern w:val="0"/>
          <w:sz w:val="96"/>
          <w:szCs w:val="96"/>
        </w:rPr>
      </w:pPr>
    </w:p>
    <w:p>
      <w:pPr>
        <w:pStyle w:val="5"/>
        <w:rPr>
          <w:rFonts w:hint="eastAsia" w:ascii="宋体" w:hAnsi="宋体" w:eastAsia="宋体" w:cs="宋体"/>
          <w:color w:val="auto"/>
          <w:kern w:val="0"/>
          <w:sz w:val="96"/>
          <w:szCs w:val="96"/>
        </w:rPr>
      </w:pPr>
    </w:p>
    <w:p>
      <w:pPr>
        <w:widowControl/>
        <w:spacing w:before="100" w:beforeAutospacing="1" w:line="480" w:lineRule="auto"/>
        <w:ind w:left="0" w:leftChars="0" w:firstLine="421" w:firstLineChars="131"/>
        <w:jc w:val="left"/>
        <w:rPr>
          <w:rFonts w:hint="default" w:ascii="宋体" w:hAnsi="宋体" w:eastAsia="宋体" w:cs="宋体"/>
          <w:b/>
          <w:bCs/>
          <w:color w:val="auto"/>
          <w:kern w:val="0"/>
          <w:sz w:val="20"/>
          <w:szCs w:val="20"/>
          <w:lang w:val="en-US"/>
        </w:rPr>
      </w:pPr>
      <w:r>
        <w:rPr>
          <w:rFonts w:hint="eastAsia" w:ascii="宋体" w:hAnsi="宋体" w:eastAsia="宋体" w:cs="宋体"/>
          <w:b/>
          <w:bCs/>
          <w:color w:val="auto"/>
          <w:kern w:val="0"/>
          <w:sz w:val="32"/>
          <w:szCs w:val="32"/>
        </w:rPr>
        <w:t>项目编号：</w:t>
      </w:r>
      <w:r>
        <w:rPr>
          <w:rFonts w:hint="eastAsia" w:ascii="宋体" w:hAnsi="宋体" w:eastAsia="宋体" w:cs="宋体"/>
          <w:b/>
          <w:bCs/>
          <w:color w:val="auto"/>
          <w:kern w:val="0"/>
          <w:sz w:val="32"/>
          <w:szCs w:val="32"/>
          <w:u w:val="single"/>
          <w:lang w:val="en-US" w:eastAsia="zh-CN"/>
        </w:rPr>
        <w:t xml:space="preserve">                </w:t>
      </w:r>
      <w:r>
        <w:rPr>
          <w:rFonts w:hint="eastAsia" w:ascii="宋体" w:hAnsi="宋体" w:eastAsia="宋体" w:cs="宋体"/>
          <w:b/>
          <w:bCs/>
          <w:color w:val="auto"/>
          <w:kern w:val="0"/>
          <w:sz w:val="32"/>
          <w:szCs w:val="32"/>
          <w:u w:val="single"/>
        </w:rPr>
        <w:t>131-</w:t>
      </w:r>
      <w:r>
        <w:rPr>
          <w:rFonts w:hint="eastAsia" w:ascii="宋体" w:hAnsi="宋体" w:eastAsia="宋体" w:cs="宋体"/>
          <w:b/>
          <w:bCs/>
          <w:color w:val="auto"/>
          <w:kern w:val="0"/>
          <w:sz w:val="32"/>
          <w:szCs w:val="32"/>
          <w:u w:val="single"/>
          <w:lang w:val="en-US" w:eastAsia="zh-CN"/>
        </w:rPr>
        <w:t>2021CG</w:t>
      </w:r>
      <w:r>
        <w:rPr>
          <w:rFonts w:hint="eastAsia" w:ascii="宋体" w:hAnsi="宋体" w:eastAsia="宋体" w:cs="宋体"/>
          <w:b/>
          <w:bCs/>
          <w:color w:val="auto"/>
          <w:kern w:val="0"/>
          <w:sz w:val="32"/>
          <w:szCs w:val="32"/>
          <w:u w:val="single"/>
        </w:rPr>
        <w:t>-</w:t>
      </w:r>
      <w:r>
        <w:rPr>
          <w:rFonts w:hint="eastAsia" w:ascii="宋体" w:hAnsi="宋体" w:eastAsia="宋体" w:cs="宋体"/>
          <w:b/>
          <w:bCs/>
          <w:color w:val="auto"/>
          <w:kern w:val="0"/>
          <w:sz w:val="32"/>
          <w:szCs w:val="32"/>
          <w:u w:val="single"/>
          <w:lang w:val="en-US" w:eastAsia="zh-CN"/>
        </w:rPr>
        <w:t xml:space="preserve">140                </w:t>
      </w:r>
    </w:p>
    <w:p>
      <w:pPr>
        <w:widowControl/>
        <w:spacing w:before="100" w:beforeAutospacing="1" w:line="480" w:lineRule="auto"/>
        <w:ind w:left="0" w:leftChars="0" w:firstLine="421" w:firstLineChars="131"/>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32"/>
          <w:szCs w:val="32"/>
        </w:rPr>
        <w:t>采 购 人：</w:t>
      </w:r>
      <w:r>
        <w:rPr>
          <w:rFonts w:hint="eastAsia" w:ascii="宋体" w:hAnsi="宋体" w:eastAsia="宋体" w:cs="宋体"/>
          <w:b/>
          <w:bCs/>
          <w:color w:val="auto"/>
          <w:kern w:val="0"/>
          <w:sz w:val="32"/>
          <w:szCs w:val="32"/>
          <w:u w:val="single"/>
          <w:lang w:val="en-US" w:eastAsia="zh-CN"/>
        </w:rPr>
        <w:t xml:space="preserve">                 </w:t>
      </w:r>
      <w:r>
        <w:rPr>
          <w:rFonts w:hint="eastAsia" w:ascii="宋体" w:hAnsi="宋体" w:eastAsia="宋体" w:cs="宋体"/>
          <w:b/>
          <w:bCs/>
          <w:color w:val="auto"/>
          <w:kern w:val="0"/>
          <w:sz w:val="32"/>
          <w:szCs w:val="32"/>
          <w:u w:val="single"/>
          <w:lang w:eastAsia="zh-CN"/>
        </w:rPr>
        <w:t>阳新县教育局</w:t>
      </w:r>
      <w:r>
        <w:rPr>
          <w:rFonts w:hint="eastAsia" w:ascii="宋体" w:hAnsi="宋体" w:eastAsia="宋体" w:cs="宋体"/>
          <w:b/>
          <w:bCs/>
          <w:color w:val="auto"/>
          <w:kern w:val="0"/>
          <w:sz w:val="32"/>
          <w:szCs w:val="32"/>
          <w:u w:val="single"/>
          <w:lang w:val="en-US" w:eastAsia="zh-CN"/>
        </w:rPr>
        <w:t xml:space="preserve">                 </w:t>
      </w:r>
    </w:p>
    <w:p>
      <w:pPr>
        <w:widowControl/>
        <w:spacing w:before="100" w:beforeAutospacing="1" w:line="480" w:lineRule="auto"/>
        <w:ind w:left="0" w:leftChars="0" w:firstLine="421" w:firstLineChars="131"/>
        <w:jc w:val="left"/>
        <w:rPr>
          <w:rFonts w:hint="eastAsia" w:ascii="宋体" w:hAnsi="宋体" w:eastAsia="宋体" w:cs="宋体"/>
          <w:b/>
          <w:bCs/>
          <w:color w:val="auto"/>
          <w:kern w:val="0"/>
          <w:sz w:val="32"/>
          <w:szCs w:val="32"/>
          <w:u w:val="single"/>
          <w:lang w:eastAsia="zh-CN"/>
        </w:rPr>
      </w:pPr>
      <w:r>
        <w:rPr>
          <w:rFonts w:hint="eastAsia" w:ascii="宋体" w:hAnsi="宋体" w:eastAsia="宋体" w:cs="宋体"/>
          <w:b/>
          <w:bCs/>
          <w:color w:val="auto"/>
          <w:kern w:val="0"/>
          <w:sz w:val="32"/>
          <w:szCs w:val="32"/>
        </w:rPr>
        <w:t>项目名称：</w:t>
      </w:r>
      <w:bookmarkStart w:id="225" w:name="_GoBack"/>
      <w:r>
        <w:rPr>
          <w:rFonts w:hint="eastAsia" w:ascii="宋体" w:hAnsi="宋体" w:eastAsia="宋体" w:cs="宋体"/>
          <w:b/>
          <w:bCs/>
          <w:color w:val="auto"/>
          <w:kern w:val="0"/>
          <w:sz w:val="32"/>
          <w:szCs w:val="32"/>
          <w:u w:val="single"/>
          <w:lang w:eastAsia="zh-CN"/>
        </w:rPr>
        <w:t>阳新县闰光小学科学实验器材及实验室设备采购项目</w:t>
      </w:r>
      <w:bookmarkEnd w:id="225"/>
    </w:p>
    <w:p>
      <w:pPr>
        <w:widowControl/>
        <w:spacing w:before="100" w:beforeAutospacing="1" w:line="480" w:lineRule="auto"/>
        <w:ind w:left="0" w:leftChars="0" w:firstLine="421" w:firstLineChars="131"/>
        <w:jc w:val="left"/>
        <w:rPr>
          <w:rFonts w:hint="default" w:ascii="宋体" w:hAnsi="宋体" w:eastAsia="宋体" w:cs="宋体"/>
          <w:color w:val="auto"/>
          <w:kern w:val="0"/>
          <w:sz w:val="28"/>
          <w:szCs w:val="28"/>
          <w:u w:val="single"/>
          <w:lang w:val="en-US"/>
        </w:rPr>
      </w:pPr>
      <w:r>
        <w:rPr>
          <w:rFonts w:hint="eastAsia" w:ascii="宋体" w:hAnsi="宋体" w:eastAsia="宋体" w:cs="宋体"/>
          <w:b/>
          <w:bCs/>
          <w:color w:val="auto"/>
          <w:kern w:val="0"/>
          <w:sz w:val="32"/>
          <w:szCs w:val="32"/>
        </w:rPr>
        <w:t>采购内容：</w:t>
      </w:r>
      <w:r>
        <w:rPr>
          <w:rFonts w:hint="eastAsia" w:ascii="宋体" w:hAnsi="宋体" w:eastAsia="宋体" w:cs="宋体"/>
          <w:b/>
          <w:bCs/>
          <w:color w:val="auto"/>
          <w:kern w:val="0"/>
          <w:sz w:val="32"/>
          <w:szCs w:val="32"/>
          <w:u w:val="single"/>
          <w:lang w:val="en-US" w:eastAsia="zh-CN"/>
        </w:rPr>
        <w:t xml:space="preserve">     闰光小学科学实验器材及实验室设备一批     </w:t>
      </w:r>
    </w:p>
    <w:p>
      <w:pPr>
        <w:pStyle w:val="5"/>
        <w:rPr>
          <w:rFonts w:hint="eastAsia" w:ascii="宋体" w:hAnsi="宋体" w:eastAsia="宋体" w:cs="宋体"/>
          <w:color w:val="auto"/>
          <w:kern w:val="0"/>
          <w:sz w:val="28"/>
          <w:szCs w:val="28"/>
          <w:u w:val="single"/>
        </w:rPr>
      </w:pPr>
    </w:p>
    <w:p>
      <w:pPr>
        <w:pStyle w:val="5"/>
        <w:rPr>
          <w:rFonts w:hint="eastAsia" w:ascii="宋体" w:hAnsi="宋体" w:eastAsia="宋体" w:cs="宋体"/>
          <w:color w:val="auto"/>
          <w:kern w:val="0"/>
          <w:sz w:val="28"/>
          <w:szCs w:val="28"/>
          <w:u w:val="single"/>
        </w:rPr>
      </w:pPr>
    </w:p>
    <w:p>
      <w:pPr>
        <w:pStyle w:val="5"/>
        <w:rPr>
          <w:rFonts w:hint="eastAsia" w:ascii="宋体" w:hAnsi="宋体" w:eastAsia="宋体" w:cs="宋体"/>
          <w:color w:val="auto"/>
          <w:kern w:val="0"/>
          <w:sz w:val="28"/>
          <w:szCs w:val="28"/>
          <w:u w:val="single"/>
        </w:rPr>
      </w:pPr>
    </w:p>
    <w:p>
      <w:pPr>
        <w:pStyle w:val="5"/>
        <w:rPr>
          <w:rFonts w:hint="eastAsia" w:ascii="宋体" w:hAnsi="宋体" w:eastAsia="宋体" w:cs="宋体"/>
          <w:color w:val="auto"/>
          <w:kern w:val="0"/>
          <w:sz w:val="28"/>
          <w:szCs w:val="28"/>
          <w:u w:val="single"/>
        </w:rPr>
      </w:pPr>
    </w:p>
    <w:p>
      <w:pPr>
        <w:pStyle w:val="5"/>
        <w:rPr>
          <w:rFonts w:hint="eastAsia" w:ascii="宋体" w:hAnsi="宋体" w:eastAsia="宋体" w:cs="宋体"/>
          <w:color w:val="auto"/>
          <w:kern w:val="0"/>
          <w:sz w:val="28"/>
          <w:szCs w:val="28"/>
          <w:u w:val="single"/>
        </w:rPr>
      </w:pPr>
    </w:p>
    <w:p>
      <w:pPr>
        <w:tabs>
          <w:tab w:val="left" w:pos="7939"/>
        </w:tabs>
        <w:spacing w:line="360" w:lineRule="auto"/>
        <w:jc w:val="center"/>
        <w:rPr>
          <w:rFonts w:hint="eastAsia" w:ascii="宋体" w:hAnsi="宋体" w:eastAsia="宋体" w:cs="宋体"/>
          <w:b/>
          <w:color w:val="auto"/>
          <w:sz w:val="48"/>
          <w:szCs w:val="24"/>
          <w:lang w:eastAsia="zh-CN"/>
        </w:rPr>
      </w:pPr>
      <w:r>
        <w:rPr>
          <w:rFonts w:hint="eastAsia" w:ascii="宋体" w:hAnsi="宋体" w:eastAsia="宋体" w:cs="宋体"/>
          <w:b/>
          <w:color w:val="auto"/>
          <w:sz w:val="48"/>
          <w:szCs w:val="24"/>
          <w:lang w:eastAsia="zh-CN"/>
        </w:rPr>
        <w:t>湖北天缔工程咨询有限公司</w:t>
      </w:r>
    </w:p>
    <w:p>
      <w:pPr>
        <w:ind w:firstLine="3614" w:firstLineChars="1000"/>
        <w:jc w:val="both"/>
        <w:rPr>
          <w:rFonts w:hint="eastAsia" w:ascii="宋体" w:hAnsi="宋体" w:eastAsia="宋体" w:cs="宋体"/>
          <w:b/>
          <w:color w:val="auto"/>
          <w:sz w:val="36"/>
          <w:szCs w:val="20"/>
          <w:lang w:eastAsia="zh-CN"/>
        </w:rPr>
        <w:sectPr>
          <w:headerReference r:id="rId3" w:type="default"/>
          <w:footerReference r:id="rId5" w:type="default"/>
          <w:headerReference r:id="rId4" w:type="even"/>
          <w:footerReference r:id="rId6" w:type="even"/>
          <w:pgSz w:w="11906" w:h="16838"/>
          <w:pgMar w:top="1440" w:right="1080" w:bottom="1440" w:left="1080" w:header="851" w:footer="737" w:gutter="0"/>
          <w:pgNumType w:fmt="decimal"/>
          <w:cols w:space="425" w:num="1"/>
          <w:docGrid w:type="lines" w:linePitch="312" w:charSpace="0"/>
        </w:sectPr>
      </w:pPr>
      <w:r>
        <w:rPr>
          <w:rFonts w:hint="eastAsia" w:ascii="宋体" w:hAnsi="宋体" w:eastAsia="宋体" w:cs="宋体"/>
          <w:b/>
          <w:color w:val="auto"/>
          <w:sz w:val="36"/>
          <w:szCs w:val="20"/>
        </w:rPr>
        <w:t>二</w:t>
      </w:r>
      <w:r>
        <w:rPr>
          <w:rFonts w:hint="eastAsia" w:ascii="宋体" w:hAnsi="宋体" w:eastAsia="宋体" w:cs="宋体"/>
          <w:b/>
          <w:color w:val="auto"/>
          <w:sz w:val="36"/>
          <w:szCs w:val="20"/>
          <w:lang w:eastAsia="zh-CN"/>
        </w:rPr>
        <w:t>〇二</w:t>
      </w:r>
      <w:r>
        <w:rPr>
          <w:rFonts w:hint="eastAsia" w:ascii="宋体" w:hAnsi="宋体" w:eastAsia="宋体" w:cs="宋体"/>
          <w:b/>
          <w:color w:val="auto"/>
          <w:sz w:val="36"/>
          <w:szCs w:val="20"/>
          <w:lang w:val="en-US" w:eastAsia="zh-CN"/>
        </w:rPr>
        <w:t>一</w:t>
      </w:r>
      <w:r>
        <w:rPr>
          <w:rFonts w:hint="eastAsia" w:ascii="宋体" w:hAnsi="宋体" w:eastAsia="宋体" w:cs="宋体"/>
          <w:b/>
          <w:color w:val="auto"/>
          <w:sz w:val="36"/>
          <w:szCs w:val="20"/>
        </w:rPr>
        <w:t>年</w:t>
      </w:r>
      <w:r>
        <w:rPr>
          <w:rFonts w:hint="eastAsia" w:ascii="宋体" w:hAnsi="宋体" w:eastAsia="宋体" w:cs="宋体"/>
          <w:b/>
          <w:color w:val="auto"/>
          <w:sz w:val="36"/>
          <w:szCs w:val="20"/>
          <w:lang w:eastAsia="zh-CN"/>
        </w:rPr>
        <w:t>七月</w:t>
      </w:r>
    </w:p>
    <w:p>
      <w:pPr>
        <w:keepNext w:val="0"/>
        <w:keepLines w:val="0"/>
        <w:pageBreakBefore w:val="0"/>
        <w:widowControl w:val="0"/>
        <w:tabs>
          <w:tab w:val="center" w:pos="4785"/>
          <w:tab w:val="left" w:pos="6255"/>
        </w:tabs>
        <w:kinsoku/>
        <w:wordWrap/>
        <w:overflowPunct/>
        <w:topLinePunct w:val="0"/>
        <w:autoSpaceDE/>
        <w:autoSpaceDN/>
        <w:bidi w:val="0"/>
        <w:adjustRightInd/>
        <w:snapToGrid/>
        <w:spacing w:before="312" w:beforeLines="100" w:line="48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b/>
          <w:bCs/>
          <w:color w:val="auto"/>
          <w:sz w:val="44"/>
          <w:szCs w:val="44"/>
        </w:rPr>
        <w:t>目 录</w:t>
      </w:r>
    </w:p>
    <w:sdt>
      <w:sdtPr>
        <w:rPr>
          <w:rFonts w:hint="eastAsia" w:ascii="宋体" w:hAnsi="宋体" w:eastAsia="宋体" w:cs="宋体"/>
          <w:color w:val="auto"/>
          <w:lang w:val="zh-CN"/>
        </w:rPr>
        <w:id w:val="1482579200"/>
      </w:sdtPr>
      <w:sdtEndPr>
        <w:rPr>
          <w:rFonts w:hint="eastAsia" w:ascii="宋体" w:hAnsi="宋体" w:eastAsia="宋体" w:cs="宋体"/>
          <w:b w:val="0"/>
          <w:bCs/>
          <w:color w:val="auto"/>
          <w:lang w:val="zh-CN"/>
        </w:rPr>
      </w:sdtEndPr>
      <w:sdtContent>
        <w:p>
          <w:pPr>
            <w:pStyle w:val="8"/>
            <w:keepNext w:val="0"/>
            <w:keepLines w:val="0"/>
            <w:pageBreakBefore w:val="0"/>
            <w:widowControl/>
            <w:tabs>
              <w:tab w:val="left" w:pos="1260"/>
              <w:tab w:val="right" w:leader="dot" w:pos="9514"/>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TOC \o "1-2" \h \z \u </w:instrText>
          </w:r>
          <w:r>
            <w:rPr>
              <w:rFonts w:hint="eastAsia" w:ascii="宋体" w:hAnsi="宋体" w:eastAsia="宋体" w:cs="宋体"/>
              <w:color w:val="auto"/>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_Toc24300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投标邀请书</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_Toc24300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8"/>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_Toc22183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_Toc22183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_Toc22127 </w:instrText>
          </w:r>
          <w:r>
            <w:rPr>
              <w:rFonts w:hint="eastAsia" w:ascii="宋体" w:hAnsi="宋体" w:eastAsia="宋体" w:cs="宋体"/>
              <w:color w:val="auto"/>
              <w:sz w:val="28"/>
              <w:szCs w:val="28"/>
            </w:rPr>
            <w:fldChar w:fldCharType="separate"/>
          </w:r>
          <w:r>
            <w:rPr>
              <w:rFonts w:hint="eastAsia" w:ascii="宋体" w:hAnsi="宋体" w:eastAsia="宋体" w:cs="宋体"/>
              <w:bCs/>
              <w:color w:val="auto"/>
              <w:sz w:val="28"/>
              <w:szCs w:val="28"/>
              <w:lang w:val="zh-CN" w:eastAsia="zh-CN"/>
            </w:rPr>
            <w:t>投标须知前附表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_Toc22127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_Toc30635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一、 说  明</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_Toc30635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_Toc28652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二、 招标文件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_Toc28652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_Toc31291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三、 投标文件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_Toc31291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_Toc11594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四、 开标与评标</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_Toc11594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_Toc23702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五、 投标人信用信息及查询</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_Toc23702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_Toc31222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六、 中标与合同</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_Toc31222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_Toc20989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七、 采购信息公告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_Toc20989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_Toc25513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八、 质疑及提交</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_Toc25513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_Toc8910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九、 相关条文解读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_Toc8910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_Toc1167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十、 其他注意事项</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_Toc1167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_Toc20145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十一、 适用法律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_Toc20145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_Toc31563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十二、 招标文件的解释权</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_Toc31563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8"/>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_Toc2278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 项目技术、服务及商务要求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_Toc2278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_Toc18571 </w:instrText>
          </w:r>
          <w:r>
            <w:rPr>
              <w:rFonts w:hint="eastAsia" w:ascii="宋体" w:hAnsi="宋体" w:eastAsia="宋体" w:cs="宋体"/>
              <w:color w:val="auto"/>
              <w:sz w:val="28"/>
              <w:szCs w:val="28"/>
            </w:rPr>
            <w:fldChar w:fldCharType="separate"/>
          </w:r>
          <w:r>
            <w:rPr>
              <w:rFonts w:hint="eastAsia" w:ascii="宋体" w:hAnsi="宋体" w:eastAsia="宋体" w:cs="宋体"/>
              <w:bCs/>
              <w:color w:val="auto"/>
              <w:sz w:val="28"/>
              <w:szCs w:val="28"/>
            </w:rPr>
            <w:t xml:space="preserve">一、 </w:t>
          </w:r>
          <w:r>
            <w:rPr>
              <w:rFonts w:hint="eastAsia" w:ascii="宋体" w:hAnsi="宋体" w:eastAsia="宋体" w:cs="宋体"/>
              <w:bCs/>
              <w:color w:val="auto"/>
              <w:sz w:val="28"/>
              <w:szCs w:val="28"/>
              <w:lang w:eastAsia="zh-CN"/>
            </w:rPr>
            <w:t>采购清单及</w:t>
          </w:r>
          <w:r>
            <w:rPr>
              <w:rFonts w:hint="eastAsia" w:ascii="宋体" w:hAnsi="宋体" w:eastAsia="宋体" w:cs="宋体"/>
              <w:bCs/>
              <w:color w:val="auto"/>
              <w:sz w:val="28"/>
              <w:szCs w:val="28"/>
            </w:rPr>
            <w:t>技术规格</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_Toc18571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_Toc10285 </w:instrText>
          </w:r>
          <w:r>
            <w:rPr>
              <w:rFonts w:hint="eastAsia" w:ascii="宋体" w:hAnsi="宋体" w:eastAsia="宋体" w:cs="宋体"/>
              <w:color w:val="auto"/>
              <w:sz w:val="28"/>
              <w:szCs w:val="28"/>
            </w:rPr>
            <w:fldChar w:fldCharType="separate"/>
          </w:r>
          <w:r>
            <w:rPr>
              <w:rFonts w:hint="eastAsia" w:ascii="宋体" w:hAnsi="宋体" w:eastAsia="宋体" w:cs="宋体"/>
              <w:bCs/>
              <w:color w:val="auto"/>
              <w:kern w:val="0"/>
              <w:sz w:val="28"/>
              <w:szCs w:val="28"/>
              <w:lang w:eastAsia="zh-CN"/>
            </w:rPr>
            <w:t>二、商务要求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_Toc10285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8"/>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_Toc12010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 资格审查方法及标准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_Toc12010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_Toc18266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一、 资格审查方法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_Toc18266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_Toc30067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二、 资格审查标准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_Toc30067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8"/>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_Toc19488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 评标方法、程序及标准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_Toc19488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_Toc4000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一、 评标方法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_Toc4000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_Toc28471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二、 评标程序及标准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_Toc28471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_Toc4125 </w:instrText>
          </w:r>
          <w:r>
            <w:rPr>
              <w:rFonts w:hint="eastAsia" w:ascii="宋体" w:hAnsi="宋体" w:eastAsia="宋体" w:cs="宋体"/>
              <w:color w:val="auto"/>
              <w:sz w:val="28"/>
              <w:szCs w:val="28"/>
            </w:rPr>
            <w:fldChar w:fldCharType="separate"/>
          </w:r>
          <w:r>
            <w:rPr>
              <w:rFonts w:hint="eastAsia" w:ascii="宋体" w:hAnsi="宋体" w:eastAsia="宋体" w:cs="宋体"/>
              <w:bCs/>
              <w:color w:val="auto"/>
              <w:kern w:val="0"/>
              <w:sz w:val="28"/>
              <w:szCs w:val="28"/>
            </w:rPr>
            <w:t>三、评审因素及评分标准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_Toc4125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8"/>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_Toc12859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 合同书格式（参考）</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_Toc12859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8"/>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_Toc29202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第七章 投标文件格式（参考）</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_Toc29202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_Toc9222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第一部分 资格证明文件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_Toc9222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_Toc19956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rPr>
            <w:t>附：无重大违法记录声明函格式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_Toc19956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_Toc5178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第二部分 商务文件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_Toc5178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_Toc10980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zh-CN" w:eastAsia="zh-CN"/>
            </w:rPr>
            <w:t xml:space="preserve">第三部分 </w:t>
          </w:r>
          <w:r>
            <w:rPr>
              <w:rFonts w:hint="eastAsia" w:ascii="宋体" w:hAnsi="宋体" w:eastAsia="宋体" w:cs="宋体"/>
              <w:bCs w:val="0"/>
              <w:color w:val="auto"/>
              <w:sz w:val="28"/>
              <w:szCs w:val="28"/>
              <w:lang w:val="zh-CN"/>
            </w:rPr>
            <w:t>技术、服务</w:t>
          </w:r>
          <w:r>
            <w:rPr>
              <w:rFonts w:hint="eastAsia" w:ascii="宋体" w:hAnsi="宋体" w:eastAsia="宋体" w:cs="宋体"/>
              <w:bCs w:val="0"/>
              <w:color w:val="auto"/>
              <w:sz w:val="28"/>
              <w:szCs w:val="28"/>
              <w:lang w:val="zh-CN" w:eastAsia="zh-CN"/>
            </w:rPr>
            <w:t>文件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_Toc10980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_Toc18790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附件一： </w:t>
          </w:r>
          <w:r>
            <w:rPr>
              <w:rFonts w:hint="eastAsia" w:ascii="宋体" w:hAnsi="宋体" w:eastAsia="宋体" w:cs="宋体"/>
              <w:bCs w:val="0"/>
              <w:color w:val="auto"/>
              <w:sz w:val="28"/>
              <w:szCs w:val="28"/>
              <w:highlight w:val="none"/>
            </w:rPr>
            <w:t>投标书</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_Toc18790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_Toc10642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附件二： </w:t>
          </w:r>
          <w:r>
            <w:rPr>
              <w:rFonts w:hint="eastAsia" w:ascii="宋体" w:hAnsi="宋体" w:eastAsia="宋体" w:cs="宋体"/>
              <w:bCs w:val="0"/>
              <w:color w:val="auto"/>
              <w:sz w:val="28"/>
              <w:szCs w:val="28"/>
              <w:highlight w:val="none"/>
            </w:rPr>
            <w:t>制造商中小企业声明函（适用于货物类项目）</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_Toc10642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_Toc27749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附件三： </w:t>
          </w:r>
          <w:r>
            <w:rPr>
              <w:rFonts w:hint="eastAsia" w:ascii="宋体" w:hAnsi="宋体" w:eastAsia="宋体" w:cs="宋体"/>
              <w:bCs w:val="0"/>
              <w:color w:val="auto"/>
              <w:sz w:val="28"/>
              <w:szCs w:val="28"/>
              <w:highlight w:val="none"/>
            </w:rPr>
            <w:t>中小企业声明函（适用于工程类、服务类项目）</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_Toc27749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_Toc10741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附件四： </w:t>
          </w:r>
          <w:r>
            <w:rPr>
              <w:rFonts w:hint="eastAsia" w:ascii="宋体" w:hAnsi="宋体" w:eastAsia="宋体" w:cs="宋体"/>
              <w:bCs w:val="0"/>
              <w:color w:val="auto"/>
              <w:sz w:val="28"/>
              <w:szCs w:val="28"/>
              <w:highlight w:val="none"/>
            </w:rPr>
            <w:t>中小企业划型标准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_Toc10741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_Toc31793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附件五： </w:t>
          </w:r>
          <w:r>
            <w:rPr>
              <w:rFonts w:hint="eastAsia" w:ascii="宋体" w:hAnsi="宋体" w:eastAsia="宋体" w:cs="宋体"/>
              <w:bCs w:val="0"/>
              <w:color w:val="auto"/>
              <w:sz w:val="28"/>
              <w:szCs w:val="28"/>
              <w:highlight w:val="none"/>
            </w:rPr>
            <w:t>残疾人福利性单位声明函（适用于货物类项目）</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_Toc14138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附件六： </w:t>
          </w:r>
          <w:r>
            <w:rPr>
              <w:rFonts w:hint="eastAsia" w:ascii="宋体" w:hAnsi="宋体" w:eastAsia="宋体" w:cs="宋体"/>
              <w:bCs w:val="0"/>
              <w:color w:val="auto"/>
              <w:sz w:val="28"/>
              <w:szCs w:val="28"/>
              <w:highlight w:val="none"/>
            </w:rPr>
            <w:t>残疾人福利性单位声明函（适用于工程类、服务类项目）</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_Toc14138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_Toc8402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附件七： </w:t>
          </w:r>
          <w:r>
            <w:rPr>
              <w:rFonts w:hint="eastAsia" w:ascii="宋体" w:hAnsi="宋体" w:eastAsia="宋体" w:cs="宋体"/>
              <w:bCs w:val="0"/>
              <w:color w:val="auto"/>
              <w:sz w:val="28"/>
              <w:szCs w:val="28"/>
              <w:highlight w:val="none"/>
            </w:rPr>
            <w:t>享受政府采购支持政策的残疾人福利性单位的标准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_Toc8402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_Toc26749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附件八： </w:t>
          </w:r>
          <w:r>
            <w:rPr>
              <w:rFonts w:hint="eastAsia" w:ascii="宋体" w:hAnsi="宋体" w:eastAsia="宋体" w:cs="宋体"/>
              <w:bCs w:val="0"/>
              <w:color w:val="auto"/>
              <w:sz w:val="28"/>
              <w:szCs w:val="28"/>
              <w:highlight w:val="none"/>
            </w:rPr>
            <w:t>开标一览表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_Toc26749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_Toc26148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附件九： </w:t>
          </w:r>
          <w:r>
            <w:rPr>
              <w:rFonts w:hint="eastAsia" w:ascii="宋体" w:hAnsi="宋体" w:eastAsia="宋体" w:cs="宋体"/>
              <w:bCs w:val="0"/>
              <w:color w:val="auto"/>
              <w:sz w:val="28"/>
              <w:szCs w:val="28"/>
              <w:highlight w:val="none"/>
            </w:rPr>
            <w:t>投标报价明细表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_Toc26148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xml:space="preserve">附件十： </w:t>
          </w:r>
          <w:r>
            <w:rPr>
              <w:rFonts w:hint="eastAsia" w:ascii="宋体" w:hAnsi="宋体" w:eastAsia="宋体" w:cs="宋体"/>
              <w:color w:val="auto"/>
              <w:sz w:val="28"/>
              <w:szCs w:val="28"/>
              <w:highlight w:val="none"/>
            </w:rPr>
            <w:t>小型和微型企业、监狱企业、残疾人福利性单位货物汇总表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_Toc3559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xml:space="preserve">附件十一： </w:t>
          </w:r>
          <w:r>
            <w:rPr>
              <w:rFonts w:hint="eastAsia" w:ascii="宋体" w:hAnsi="宋体" w:eastAsia="宋体" w:cs="宋体"/>
              <w:color w:val="auto"/>
              <w:sz w:val="28"/>
              <w:szCs w:val="28"/>
              <w:highlight w:val="none"/>
            </w:rPr>
            <w:t>投标货物（工程或服务）清单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_Toc3559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_Toc7141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xml:space="preserve">附件十二： </w:t>
          </w:r>
          <w:r>
            <w:rPr>
              <w:rFonts w:hint="eastAsia" w:ascii="宋体" w:hAnsi="宋体" w:eastAsia="宋体" w:cs="宋体"/>
              <w:color w:val="auto"/>
              <w:sz w:val="28"/>
              <w:szCs w:val="28"/>
              <w:highlight w:val="none"/>
            </w:rPr>
            <w:t>交纳投标保证金的银行凭证</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_Toc7141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_Toc17431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xml:space="preserve">附件十三： </w:t>
          </w:r>
          <w:r>
            <w:rPr>
              <w:rFonts w:hint="eastAsia" w:ascii="宋体" w:hAnsi="宋体" w:eastAsia="宋体" w:cs="宋体"/>
              <w:color w:val="auto"/>
              <w:sz w:val="28"/>
              <w:szCs w:val="28"/>
              <w:highlight w:val="none"/>
            </w:rPr>
            <w:t>法定代表人授权书</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_Toc17431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_Toc8320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xml:space="preserve">附件十四： </w:t>
          </w:r>
          <w:r>
            <w:rPr>
              <w:rFonts w:hint="eastAsia" w:ascii="宋体" w:hAnsi="宋体" w:eastAsia="宋体" w:cs="宋体"/>
              <w:color w:val="auto"/>
              <w:sz w:val="28"/>
              <w:szCs w:val="28"/>
              <w:highlight w:val="none"/>
            </w:rPr>
            <w:t>投标人的资格声明</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_Toc8320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_Toc25150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xml:space="preserve">附件十五： </w:t>
          </w:r>
          <w:r>
            <w:rPr>
              <w:rFonts w:hint="eastAsia" w:ascii="宋体" w:hAnsi="宋体" w:eastAsia="宋体" w:cs="宋体"/>
              <w:color w:val="auto"/>
              <w:sz w:val="28"/>
              <w:szCs w:val="28"/>
              <w:highlight w:val="none"/>
            </w:rPr>
            <w:t>项目负责人、技术负责人简历表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_Toc25150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_Toc21466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附件十六： </w:t>
          </w:r>
          <w:r>
            <w:rPr>
              <w:rFonts w:hint="eastAsia" w:ascii="宋体" w:hAnsi="宋体" w:eastAsia="宋体" w:cs="宋体"/>
              <w:bCs w:val="0"/>
              <w:color w:val="auto"/>
              <w:sz w:val="28"/>
              <w:szCs w:val="28"/>
              <w:highlight w:val="none"/>
            </w:rPr>
            <w:t>项目班子成员情况表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_Toc21466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_Toc18617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附件十七： </w:t>
          </w:r>
          <w:r>
            <w:rPr>
              <w:rFonts w:hint="eastAsia" w:ascii="宋体" w:hAnsi="宋体" w:eastAsia="宋体" w:cs="宋体"/>
              <w:bCs w:val="0"/>
              <w:color w:val="auto"/>
              <w:sz w:val="28"/>
              <w:szCs w:val="28"/>
              <w:highlight w:val="none"/>
            </w:rPr>
            <w:t>投标人类似项目业绩表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_Toc18617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_Toc9339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附件十八： </w:t>
          </w:r>
          <w:r>
            <w:rPr>
              <w:rFonts w:hint="eastAsia" w:ascii="宋体" w:hAnsi="宋体" w:eastAsia="宋体" w:cs="宋体"/>
              <w:bCs w:val="0"/>
              <w:color w:val="auto"/>
              <w:sz w:val="28"/>
              <w:szCs w:val="28"/>
              <w:highlight w:val="none"/>
            </w:rPr>
            <w:t>符合性审查对照表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_Toc9339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_Toc26711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附件十九： </w:t>
          </w:r>
          <w:r>
            <w:rPr>
              <w:rFonts w:hint="eastAsia" w:ascii="宋体" w:hAnsi="宋体" w:eastAsia="宋体" w:cs="宋体"/>
              <w:bCs w:val="0"/>
              <w:color w:val="auto"/>
              <w:sz w:val="28"/>
              <w:szCs w:val="28"/>
              <w:highlight w:val="none"/>
            </w:rPr>
            <w:t>商务要求响应、偏离说明表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_Toc26711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_Toc17362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附件二十： </w:t>
          </w:r>
          <w:r>
            <w:rPr>
              <w:rFonts w:hint="eastAsia" w:ascii="宋体" w:hAnsi="宋体" w:eastAsia="宋体" w:cs="宋体"/>
              <w:bCs w:val="0"/>
              <w:color w:val="auto"/>
              <w:sz w:val="28"/>
              <w:szCs w:val="28"/>
              <w:highlight w:val="none"/>
            </w:rPr>
            <w:t>商务要求“</w:t>
          </w:r>
          <w:r>
            <w:rPr>
              <w:rFonts w:hint="eastAsia" w:ascii="宋体" w:hAnsi="宋体" w:eastAsia="宋体" w:cs="宋体"/>
              <w:i w:val="0"/>
              <w:color w:val="auto"/>
              <w:kern w:val="0"/>
              <w:sz w:val="28"/>
              <w:szCs w:val="28"/>
              <w:lang w:val="en-US" w:eastAsia="zh-CN" w:bidi="ar"/>
            </w:rPr>
            <w:t>★</w:t>
          </w:r>
          <w:r>
            <w:rPr>
              <w:rFonts w:hint="eastAsia" w:ascii="宋体" w:hAnsi="宋体" w:eastAsia="宋体" w:cs="宋体"/>
              <w:bCs w:val="0"/>
              <w:color w:val="auto"/>
              <w:sz w:val="28"/>
              <w:szCs w:val="28"/>
              <w:highlight w:val="none"/>
            </w:rPr>
            <w:t>”号条款响应、偏离说明表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_Toc17362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_Toc5632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附件二十一： </w:t>
          </w:r>
          <w:r>
            <w:rPr>
              <w:rFonts w:hint="eastAsia" w:ascii="宋体" w:hAnsi="宋体" w:eastAsia="宋体" w:cs="宋体"/>
              <w:bCs w:val="0"/>
              <w:color w:val="auto"/>
              <w:sz w:val="28"/>
              <w:szCs w:val="28"/>
              <w:highlight w:val="none"/>
            </w:rPr>
            <w:t>商务评议对照表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_Toc5632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_Toc15775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附件二十二： </w:t>
          </w:r>
          <w:r>
            <w:rPr>
              <w:rFonts w:hint="eastAsia" w:ascii="宋体" w:hAnsi="宋体" w:eastAsia="宋体" w:cs="宋体"/>
              <w:bCs w:val="0"/>
              <w:color w:val="auto"/>
              <w:sz w:val="28"/>
              <w:szCs w:val="28"/>
              <w:highlight w:val="none"/>
            </w:rPr>
            <w:t>技术、服务要求响应、偏离说明表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_Toc15775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_Toc25504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xml:space="preserve">附件二十三： </w:t>
          </w:r>
          <w:r>
            <w:rPr>
              <w:rFonts w:hint="eastAsia" w:ascii="宋体" w:hAnsi="宋体" w:eastAsia="宋体" w:cs="宋体"/>
              <w:color w:val="auto"/>
              <w:sz w:val="28"/>
              <w:szCs w:val="28"/>
              <w:highlight w:val="none"/>
            </w:rPr>
            <w:t>技术、服务要求“</w:t>
          </w:r>
          <w:r>
            <w:rPr>
              <w:rFonts w:hint="eastAsia" w:ascii="宋体" w:hAnsi="宋体" w:eastAsia="宋体" w:cs="宋体"/>
              <w:i w:val="0"/>
              <w:color w:val="auto"/>
              <w:kern w:val="0"/>
              <w:sz w:val="28"/>
              <w:szCs w:val="28"/>
              <w:lang w:val="en-US" w:eastAsia="zh-CN" w:bidi="ar"/>
            </w:rPr>
            <w:t>★</w:t>
          </w:r>
          <w:r>
            <w:rPr>
              <w:rFonts w:hint="eastAsia" w:ascii="宋体" w:hAnsi="宋体" w:eastAsia="宋体" w:cs="宋体"/>
              <w:color w:val="auto"/>
              <w:sz w:val="28"/>
              <w:szCs w:val="28"/>
              <w:highlight w:val="none"/>
            </w:rPr>
            <w:t>”号条款响应、偏离说明表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_Toc25504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9"/>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_Toc30442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 xml:space="preserve">附件二十四： </w:t>
          </w:r>
          <w:r>
            <w:rPr>
              <w:rFonts w:hint="eastAsia" w:ascii="宋体" w:hAnsi="宋体" w:eastAsia="宋体" w:cs="宋体"/>
              <w:bCs w:val="0"/>
              <w:color w:val="auto"/>
              <w:sz w:val="28"/>
              <w:szCs w:val="28"/>
              <w:highlight w:val="none"/>
            </w:rPr>
            <w:t>技术、服务评议对照表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_Toc30442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8"/>
            <w:keepNext w:val="0"/>
            <w:keepLines w:val="0"/>
            <w:pageBreakBefore w:val="0"/>
            <w:widowControl/>
            <w:tabs>
              <w:tab w:val="left" w:pos="1260"/>
              <w:tab w:val="right" w:leader="dot" w:pos="9514"/>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rPr>
          </w:pPr>
          <w:r>
            <w:rPr>
              <w:rFonts w:hint="eastAsia" w:ascii="宋体" w:hAnsi="宋体" w:eastAsia="宋体" w:cs="宋体"/>
              <w:color w:val="auto"/>
            </w:rPr>
            <w:fldChar w:fldCharType="end"/>
          </w:r>
        </w:p>
      </w:sdtContent>
    </w:sdt>
    <w:p>
      <w:pPr>
        <w:rPr>
          <w:rFonts w:hint="eastAsia" w:ascii="宋体" w:hAnsi="宋体" w:eastAsia="宋体" w:cs="宋体"/>
          <w:color w:val="auto"/>
        </w:rPr>
      </w:pPr>
      <w:r>
        <w:rPr>
          <w:rFonts w:hint="eastAsia" w:ascii="宋体" w:hAnsi="宋体" w:eastAsia="宋体" w:cs="宋体"/>
          <w:color w:val="auto"/>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240" w:after="120" w:line="360" w:lineRule="auto"/>
        <w:ind w:left="0" w:hanging="880" w:hangingChars="200"/>
        <w:jc w:val="center"/>
        <w:textAlignment w:val="auto"/>
        <w:rPr>
          <w:rFonts w:hint="eastAsia" w:ascii="宋体" w:hAnsi="宋体" w:eastAsia="宋体" w:cs="宋体"/>
          <w:color w:val="auto"/>
        </w:rPr>
      </w:pPr>
      <w:bookmarkStart w:id="0" w:name="_Toc24300"/>
      <w:r>
        <w:rPr>
          <w:rFonts w:hint="eastAsia" w:ascii="宋体" w:hAnsi="宋体" w:eastAsia="宋体" w:cs="宋体"/>
          <w:color w:val="auto"/>
        </w:rPr>
        <w:t>投标邀请书</w:t>
      </w:r>
      <w:bookmarkEnd w:id="0"/>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阳新县闰光小学科学实验器材及实验室设备采购项目</w:t>
      </w:r>
      <w:r>
        <w:rPr>
          <w:rFonts w:hint="eastAsia" w:ascii="宋体" w:hAnsi="宋体" w:eastAsia="宋体" w:cs="宋体"/>
          <w:color w:val="auto"/>
          <w:sz w:val="24"/>
          <w:szCs w:val="24"/>
        </w:rPr>
        <w:t>的潜在投标人应在“湖北省政府采购网”、“黄石市公共资源交易信息网”及“阳新县人民政府网”获取招标文件，并于202</w:t>
      </w:r>
      <w:r>
        <w:rPr>
          <w:rFonts w:hint="eastAsia" w:ascii="宋体" w:hAnsi="宋体" w:eastAsia="宋体" w:cs="宋体"/>
          <w:color w:val="auto"/>
          <w:sz w:val="24"/>
          <w:szCs w:val="24"/>
          <w:lang w:val="en-US" w:eastAsia="zh-CN"/>
        </w:rPr>
        <w:t>1</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08</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09</w:t>
      </w:r>
      <w:r>
        <w:rPr>
          <w:rFonts w:hint="eastAsia" w:ascii="宋体" w:hAnsi="宋体" w:eastAsia="宋体" w:cs="宋体"/>
          <w:bCs/>
          <w:color w:val="auto"/>
          <w:sz w:val="24"/>
          <w:szCs w:val="24"/>
        </w:rPr>
        <w:t>日</w:t>
      </w:r>
      <w:r>
        <w:rPr>
          <w:rFonts w:hint="eastAsia" w:ascii="宋体" w:hAnsi="宋体" w:eastAsia="宋体" w:cs="宋体"/>
          <w:bCs/>
          <w:color w:val="auto"/>
          <w:sz w:val="24"/>
          <w:szCs w:val="24"/>
          <w:lang w:val="en-US" w:eastAsia="zh-CN"/>
        </w:rPr>
        <w:t>09</w:t>
      </w:r>
      <w:r>
        <w:rPr>
          <w:rFonts w:hint="eastAsia" w:ascii="宋体" w:hAnsi="宋体" w:eastAsia="宋体" w:cs="宋体"/>
          <w:bCs/>
          <w:color w:val="auto"/>
          <w:sz w:val="24"/>
          <w:szCs w:val="24"/>
        </w:rPr>
        <w:t>点</w:t>
      </w:r>
      <w:r>
        <w:rPr>
          <w:rFonts w:hint="eastAsia" w:ascii="宋体" w:hAnsi="宋体" w:eastAsia="宋体" w:cs="宋体"/>
          <w:bCs/>
          <w:color w:val="auto"/>
          <w:sz w:val="24"/>
          <w:szCs w:val="24"/>
          <w:lang w:val="en-US" w:eastAsia="zh-CN"/>
        </w:rPr>
        <w:t>00</w:t>
      </w:r>
      <w:r>
        <w:rPr>
          <w:rFonts w:hint="eastAsia" w:ascii="宋体" w:hAnsi="宋体" w:eastAsia="宋体" w:cs="宋体"/>
          <w:bCs/>
          <w:color w:val="auto"/>
          <w:sz w:val="24"/>
          <w:szCs w:val="24"/>
        </w:rPr>
        <w:t>分（北京时间）前递交投标文件</w:t>
      </w:r>
      <w:r>
        <w:rPr>
          <w:rFonts w:hint="eastAsia" w:ascii="宋体" w:hAnsi="宋体" w:eastAsia="宋体" w:cs="宋体"/>
          <w:color w:val="auto"/>
          <w:sz w:val="24"/>
          <w:szCs w:val="24"/>
        </w:rPr>
        <w:t>。</w:t>
      </w:r>
    </w:p>
    <w:p>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一、项目基本情况</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项目编号：131-202</w:t>
      </w:r>
      <w:r>
        <w:rPr>
          <w:rFonts w:hint="eastAsia" w:ascii="宋体" w:hAnsi="宋体" w:eastAsia="宋体" w:cs="宋体"/>
          <w:color w:val="auto"/>
          <w:kern w:val="0"/>
          <w:sz w:val="24"/>
          <w:szCs w:val="24"/>
          <w:shd w:val="clear" w:color="auto" w:fill="FFFFFF"/>
          <w:lang w:val="en-US" w:eastAsia="zh-CN" w:bidi="ar"/>
        </w:rPr>
        <w:t>1</w:t>
      </w:r>
      <w:r>
        <w:rPr>
          <w:rFonts w:hint="eastAsia" w:ascii="宋体" w:hAnsi="宋体" w:eastAsia="宋体" w:cs="宋体"/>
          <w:color w:val="auto"/>
          <w:kern w:val="0"/>
          <w:sz w:val="24"/>
          <w:szCs w:val="24"/>
          <w:shd w:val="clear" w:color="auto" w:fill="FFFFFF"/>
          <w:lang w:bidi="ar"/>
        </w:rPr>
        <w:t>CG-</w:t>
      </w:r>
      <w:r>
        <w:rPr>
          <w:rFonts w:hint="eastAsia" w:ascii="宋体" w:hAnsi="宋体" w:eastAsia="宋体" w:cs="宋体"/>
          <w:color w:val="auto"/>
          <w:kern w:val="0"/>
          <w:sz w:val="24"/>
          <w:szCs w:val="24"/>
          <w:shd w:val="clear" w:color="auto" w:fill="FFFFFF"/>
          <w:lang w:val="en-US" w:eastAsia="zh-CN" w:bidi="ar"/>
        </w:rPr>
        <w:t>140</w:t>
      </w:r>
      <w:r>
        <w:rPr>
          <w:rFonts w:hint="eastAsia" w:ascii="宋体" w:hAnsi="宋体" w:eastAsia="宋体" w:cs="宋体"/>
          <w:color w:val="auto"/>
          <w:kern w:val="0"/>
          <w:sz w:val="24"/>
          <w:szCs w:val="24"/>
          <w:shd w:val="clear" w:color="auto" w:fill="FFFFFF"/>
          <w:lang w:bidi="ar"/>
        </w:rPr>
        <w:t>（政府采购计划</w:t>
      </w:r>
      <w:r>
        <w:rPr>
          <w:rFonts w:hint="eastAsia" w:ascii="宋体" w:hAnsi="宋体" w:eastAsia="宋体" w:cs="宋体"/>
          <w:color w:val="auto"/>
          <w:kern w:val="0"/>
          <w:sz w:val="24"/>
          <w:szCs w:val="24"/>
          <w:shd w:val="clear" w:color="auto" w:fill="FFFFFF"/>
          <w:lang w:eastAsia="zh-CN" w:bidi="ar"/>
        </w:rPr>
        <w:t>备案</w:t>
      </w:r>
      <w:r>
        <w:rPr>
          <w:rFonts w:hint="eastAsia" w:ascii="宋体" w:hAnsi="宋体" w:eastAsia="宋体" w:cs="宋体"/>
          <w:color w:val="auto"/>
          <w:kern w:val="0"/>
          <w:sz w:val="24"/>
          <w:szCs w:val="24"/>
          <w:shd w:val="clear" w:color="auto" w:fill="FFFFFF"/>
          <w:lang w:bidi="ar"/>
        </w:rPr>
        <w:t>号：阳财采计备[202</w:t>
      </w:r>
      <w:r>
        <w:rPr>
          <w:rFonts w:hint="eastAsia" w:ascii="宋体" w:hAnsi="宋体" w:eastAsia="宋体" w:cs="宋体"/>
          <w:color w:val="auto"/>
          <w:kern w:val="0"/>
          <w:sz w:val="24"/>
          <w:szCs w:val="24"/>
          <w:shd w:val="clear" w:color="auto" w:fill="FFFFFF"/>
          <w:lang w:val="en-US" w:eastAsia="zh-CN" w:bidi="ar"/>
        </w:rPr>
        <w:t>1</w:t>
      </w:r>
      <w:r>
        <w:rPr>
          <w:rFonts w:hint="eastAsia" w:ascii="宋体" w:hAnsi="宋体" w:eastAsia="宋体" w:cs="宋体"/>
          <w:color w:val="auto"/>
          <w:kern w:val="0"/>
          <w:sz w:val="24"/>
          <w:szCs w:val="24"/>
          <w:shd w:val="clear" w:color="auto" w:fill="FFFFFF"/>
          <w:lang w:bidi="ar"/>
        </w:rPr>
        <w:t>]</w:t>
      </w:r>
      <w:r>
        <w:rPr>
          <w:rFonts w:hint="eastAsia" w:ascii="宋体" w:hAnsi="宋体" w:eastAsia="宋体" w:cs="宋体"/>
          <w:color w:val="auto"/>
          <w:kern w:val="0"/>
          <w:sz w:val="24"/>
          <w:szCs w:val="24"/>
          <w:shd w:val="clear" w:color="auto" w:fill="FFFFFF"/>
          <w:lang w:val="en-US" w:eastAsia="zh-CN" w:bidi="ar"/>
        </w:rPr>
        <w:t>A115</w:t>
      </w:r>
      <w:r>
        <w:rPr>
          <w:rFonts w:hint="eastAsia" w:ascii="宋体" w:hAnsi="宋体" w:eastAsia="宋体" w:cs="宋体"/>
          <w:color w:val="auto"/>
          <w:kern w:val="0"/>
          <w:sz w:val="24"/>
          <w:szCs w:val="24"/>
          <w:shd w:val="clear" w:color="auto" w:fill="FFFFFF"/>
          <w:lang w:bidi="ar"/>
        </w:rPr>
        <w:t>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阳新县闰光小学科学实验器材及实验室设备采购项目</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招标内容：</w:t>
      </w:r>
      <w:r>
        <w:rPr>
          <w:rFonts w:hint="eastAsia" w:ascii="宋体" w:hAnsi="宋体" w:eastAsia="宋体" w:cs="宋体"/>
          <w:color w:val="auto"/>
          <w:sz w:val="24"/>
          <w:szCs w:val="24"/>
          <w:lang w:eastAsia="zh-CN"/>
        </w:rPr>
        <w:t>闰光小学科学实验器材及实验室设备一批</w:t>
      </w:r>
      <w:r>
        <w:rPr>
          <w:rFonts w:hint="eastAsia" w:ascii="宋体" w:hAnsi="宋体" w:eastAsia="宋体" w:cs="宋体"/>
          <w:color w:val="auto"/>
          <w:sz w:val="24"/>
          <w:szCs w:val="24"/>
        </w:rPr>
        <w:t>（详见采购清单）</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万元</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资金来源：</w:t>
      </w:r>
      <w:r>
        <w:rPr>
          <w:rFonts w:hint="eastAsia" w:ascii="宋体" w:hAnsi="宋体" w:eastAsia="宋体" w:cs="宋体"/>
          <w:color w:val="auto"/>
          <w:sz w:val="24"/>
          <w:szCs w:val="24"/>
          <w:lang w:eastAsia="zh-CN"/>
        </w:rPr>
        <w:t>上级</w:t>
      </w:r>
      <w:r>
        <w:rPr>
          <w:rFonts w:hint="eastAsia" w:ascii="宋体" w:hAnsi="宋体" w:eastAsia="宋体" w:cs="宋体"/>
          <w:color w:val="auto"/>
          <w:sz w:val="24"/>
          <w:szCs w:val="24"/>
        </w:rPr>
        <w:t>拨款</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合同签订后25天</w:t>
      </w:r>
    </w:p>
    <w:p>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投标人资格要求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应具备《政府采购法》第二十二条第一款之规定的基本条件</w:t>
      </w:r>
      <w:r>
        <w:rPr>
          <w:rFonts w:hint="eastAsia" w:ascii="宋体" w:hAnsi="宋体" w:eastAsia="宋体" w:cs="宋体"/>
          <w:color w:val="auto"/>
          <w:sz w:val="24"/>
          <w:szCs w:val="24"/>
          <w:lang w:eastAsia="zh-CN"/>
        </w:rPr>
        <w:t>。</w:t>
      </w:r>
    </w:p>
    <w:p>
      <w:pPr>
        <w:pageBreakBefore w:val="0"/>
        <w:kinsoku/>
        <w:wordWrap/>
        <w:overflowPunct/>
        <w:topLinePunct w:val="0"/>
        <w:autoSpaceDE/>
        <w:autoSpaceDN/>
        <w:bidi w:val="0"/>
        <w:adjustRightInd/>
        <w:snapToGrid/>
        <w:spacing w:line="360" w:lineRule="auto"/>
        <w:ind w:left="718" w:leftChars="228"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2.未被列入"信用中国"网站(www.creditchina.gov.cn)失信被执行人、重大税收违法案件当事人、“中国政府采购网”（www.ccgp.gov.cn）政府采购严重违法失信行为记录名单（须提供网站截图）。</w:t>
      </w:r>
    </w:p>
    <w:p>
      <w:pPr>
        <w:pageBreakBefore w:val="0"/>
        <w:kinsoku/>
        <w:wordWrap/>
        <w:overflowPunct/>
        <w:topLinePunct w:val="0"/>
        <w:autoSpaceDE/>
        <w:autoSpaceDN/>
        <w:bidi w:val="0"/>
        <w:adjustRightInd/>
        <w:snapToGrid/>
        <w:spacing w:line="360" w:lineRule="auto"/>
        <w:ind w:left="718" w:leftChars="228"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不接受联合体形式的投标。</w:t>
      </w:r>
    </w:p>
    <w:p>
      <w:pPr>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val="zh-CN"/>
        </w:rPr>
        <w:t>三、招标文件获取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日17</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0(北京时间）</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招标文件下载：见附件</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bookmarkStart w:id="1" w:name="_Toc28359082"/>
      <w:bookmarkStart w:id="2" w:name="_Toc28359005"/>
      <w:bookmarkStart w:id="3" w:name="_Toc35393793"/>
      <w:bookmarkStart w:id="4" w:name="_Toc35393624"/>
      <w:r>
        <w:rPr>
          <w:rFonts w:hint="eastAsia" w:ascii="宋体" w:hAnsi="宋体" w:eastAsia="宋体" w:cs="宋体"/>
          <w:b/>
          <w:bCs/>
          <w:color w:val="auto"/>
          <w:sz w:val="24"/>
          <w:szCs w:val="24"/>
        </w:rPr>
        <w:t>四、提交投标文件</w:t>
      </w:r>
      <w:bookmarkEnd w:id="1"/>
      <w:bookmarkEnd w:id="2"/>
      <w:r>
        <w:rPr>
          <w:rFonts w:hint="eastAsia" w:ascii="宋体" w:hAnsi="宋体" w:eastAsia="宋体" w:cs="宋体"/>
          <w:b/>
          <w:bCs/>
          <w:color w:val="auto"/>
          <w:sz w:val="24"/>
          <w:szCs w:val="24"/>
        </w:rPr>
        <w:t>截止时间、开标时间和地点</w:t>
      </w:r>
      <w:bookmarkEnd w:id="3"/>
      <w:bookmarkEnd w:id="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开标时间：202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08月09日09点00</w:t>
      </w:r>
      <w:r>
        <w:rPr>
          <w:rFonts w:hint="eastAsia" w:ascii="宋体" w:hAnsi="宋体" w:eastAsia="宋体" w:cs="宋体"/>
          <w:color w:val="auto"/>
          <w:sz w:val="24"/>
          <w:szCs w:val="24"/>
        </w:rPr>
        <w:t>分（北京时间）</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投标文件递交截止时间：202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08月09日09点00</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提前半小时</w:t>
      </w:r>
      <w:r>
        <w:rPr>
          <w:rFonts w:hint="eastAsia" w:ascii="宋体" w:hAnsi="宋体" w:eastAsia="宋体" w:cs="宋体"/>
          <w:color w:val="auto"/>
          <w:sz w:val="24"/>
          <w:szCs w:val="24"/>
        </w:rPr>
        <w:t>开始接收投标文件，拒收逾期送达或者未按招标文件要求密封的投标文件）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开标地点：阳新县公共资源交易中心</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楼开标大厅（阳新县熊家垴安置小区东侧）</w:t>
      </w:r>
      <w:bookmarkStart w:id="5" w:name="_Toc35393625"/>
      <w:bookmarkStart w:id="6" w:name="_Toc28359084"/>
      <w:bookmarkStart w:id="7" w:name="_Toc28359007"/>
      <w:bookmarkStart w:id="8" w:name="_Toc35393794"/>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bookmarkEnd w:id="5"/>
      <w:bookmarkEnd w:id="6"/>
      <w:bookmarkEnd w:id="7"/>
      <w:bookmarkEnd w:id="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自本公告发布之日起5个工作日。</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bookmarkStart w:id="9" w:name="_Toc35393626"/>
      <w:bookmarkStart w:id="10" w:name="_Toc35393795"/>
      <w:r>
        <w:rPr>
          <w:rFonts w:hint="eastAsia" w:ascii="宋体" w:hAnsi="宋体" w:eastAsia="宋体" w:cs="宋体"/>
          <w:b/>
          <w:bCs/>
          <w:color w:val="auto"/>
          <w:sz w:val="24"/>
          <w:szCs w:val="24"/>
        </w:rPr>
        <w:t>六、其他补充事宜</w:t>
      </w:r>
      <w:bookmarkEnd w:id="9"/>
      <w:bookmarkEnd w:id="1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lang w:val="zh-CN"/>
        </w:rPr>
        <w:t>投标人认为招标文件、招标过程和中标结果使自己的权益受到损害的，可以在知道或者应知其权益受到损害之日起7个工作日内，向采购人或代理公司提出书面质疑。</w:t>
      </w:r>
      <w:r>
        <w:rPr>
          <w:rFonts w:hint="eastAsia" w:ascii="宋体" w:hAnsi="宋体" w:eastAsia="宋体" w:cs="宋体"/>
          <w:color w:val="auto"/>
          <w:kern w:val="0"/>
          <w:sz w:val="24"/>
          <w:szCs w:val="24"/>
        </w:rPr>
        <w:t>质疑时请提交书面质疑函一份（法人代表签字、加盖单位公章。具体要求详见本招标文件“第二章 投标人须知”中的第八条之规定），并附相关证据材料。</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2.落实政府采购强制、优先采购节能产品政策；政府采购优先采购环保产品政策；政府采购促进中小企业发展（监狱企业、残疾人福利性单位视同小微企业）等政策。</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3.是否专门面向中小企业、监狱企业、残疾人福利性单位：否。</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bookmarkStart w:id="11" w:name="_Toc35393627"/>
      <w:bookmarkStart w:id="12" w:name="_Toc28359085"/>
      <w:bookmarkStart w:id="13" w:name="_Toc35393796"/>
      <w:bookmarkStart w:id="14" w:name="_Toc28359008"/>
      <w:r>
        <w:rPr>
          <w:rFonts w:hint="eastAsia" w:ascii="宋体" w:hAnsi="宋体" w:eastAsia="宋体" w:cs="宋体"/>
          <w:b/>
          <w:bCs/>
          <w:color w:val="auto"/>
          <w:sz w:val="24"/>
          <w:szCs w:val="24"/>
        </w:rPr>
        <w:t>七、对本次招标提出询问，请按以下方式联系。</w:t>
      </w:r>
      <w:bookmarkEnd w:id="11"/>
      <w:bookmarkEnd w:id="12"/>
      <w:bookmarkEnd w:id="13"/>
      <w:bookmarkEnd w:id="14"/>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阳新县教育局</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地    址：</w:t>
      </w:r>
      <w:r>
        <w:rPr>
          <w:rFonts w:hint="eastAsia" w:ascii="宋体" w:hAnsi="宋体" w:eastAsia="宋体" w:cs="宋体"/>
          <w:color w:val="auto"/>
          <w:kern w:val="0"/>
          <w:sz w:val="24"/>
          <w:szCs w:val="24"/>
          <w:lang w:eastAsia="zh-CN"/>
        </w:rPr>
        <w:t>阳新县城东新区科技馆</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bookmarkStart w:id="15" w:name="_Toc28359009"/>
      <w:bookmarkStart w:id="16" w:name="_Toc28359086"/>
      <w:r>
        <w:rPr>
          <w:rFonts w:hint="eastAsia" w:ascii="宋体" w:hAnsi="宋体" w:eastAsia="宋体" w:cs="宋体"/>
          <w:color w:val="auto"/>
          <w:sz w:val="24"/>
          <w:szCs w:val="24"/>
          <w:lang w:val="en-US" w:eastAsia="zh-CN"/>
        </w:rPr>
        <w:t>0714-7597630</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bookmarkEnd w:id="15"/>
      <w:bookmarkEnd w:id="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湖北天缔工程咨询有限公司</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阳新县兴国镇金三角世纪城B8栋</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联系方式：15826966678</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王辉琪</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bookmarkStart w:id="17" w:name="_Toc28359087"/>
      <w:bookmarkStart w:id="18" w:name="_Toc28359010"/>
      <w:r>
        <w:rPr>
          <w:rFonts w:hint="eastAsia" w:ascii="宋体" w:hAnsi="宋体" w:eastAsia="宋体" w:cs="宋体"/>
          <w:color w:val="auto"/>
          <w:sz w:val="24"/>
          <w:szCs w:val="24"/>
          <w:lang w:val="en-US" w:eastAsia="zh-CN"/>
        </w:rPr>
        <w:t>0714-7597630</w:t>
      </w:r>
    </w:p>
    <w:bookmarkEnd w:id="17"/>
    <w:bookmarkEnd w:id="18"/>
    <w:p>
      <w:pPr>
        <w:pStyle w:val="8"/>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pPr>
        <w:pageBreakBefore w:val="0"/>
        <w:kinsoku/>
        <w:wordWrap/>
        <w:overflowPunct/>
        <w:topLinePunct w:val="0"/>
        <w:autoSpaceDE/>
        <w:autoSpaceDN/>
        <w:bidi w:val="0"/>
        <w:adjustRightInd/>
        <w:snapToGrid/>
        <w:spacing w:line="360" w:lineRule="auto"/>
        <w:ind w:firstLine="5520" w:firstLineChars="23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湖北天缔工程咨询有限公司</w:t>
      </w:r>
    </w:p>
    <w:p>
      <w:pPr>
        <w:pageBreakBefore w:val="0"/>
        <w:kinsoku/>
        <w:wordWrap/>
        <w:overflowPunct/>
        <w:topLinePunct w:val="0"/>
        <w:autoSpaceDE/>
        <w:autoSpaceDN/>
        <w:bidi w:val="0"/>
        <w:adjustRightInd/>
        <w:snapToGrid/>
        <w:spacing w:line="360" w:lineRule="auto"/>
        <w:ind w:firstLine="5760" w:firstLineChars="2400"/>
        <w:jc w:val="right"/>
        <w:textAlignment w:val="auto"/>
        <w:rPr>
          <w:rFonts w:hint="eastAsia" w:ascii="宋体" w:hAnsi="宋体" w:eastAsia="宋体" w:cs="宋体"/>
          <w:b/>
          <w:bCs/>
          <w:color w:val="auto"/>
          <w:kern w:val="36"/>
          <w:sz w:val="24"/>
          <w:szCs w:val="24"/>
          <w:lang w:eastAsia="zh-CN"/>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bookmarkStart w:id="19" w:name="_Toc495861518"/>
      <w:bookmarkEnd w:id="19"/>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日</w:t>
      </w:r>
    </w:p>
    <w:p>
      <w:pPr>
        <w:pStyle w:val="3"/>
        <w:pageBreakBefore w:val="0"/>
        <w:numPr>
          <w:ilvl w:val="0"/>
          <w:numId w:val="1"/>
        </w:numPr>
        <w:kinsoku/>
        <w:wordWrap/>
        <w:overflowPunct/>
        <w:topLinePunct w:val="0"/>
        <w:autoSpaceDE/>
        <w:autoSpaceDN/>
        <w:bidi w:val="0"/>
        <w:adjustRightInd/>
        <w:snapToGrid/>
        <w:spacing w:before="240" w:after="120" w:line="360" w:lineRule="auto"/>
        <w:ind w:left="883" w:hanging="480" w:hangingChars="200"/>
        <w:jc w:val="center"/>
        <w:textAlignment w:val="auto"/>
        <w:rPr>
          <w:rFonts w:hint="eastAsia" w:ascii="宋体" w:hAnsi="宋体" w:eastAsia="宋体" w:cs="宋体"/>
          <w:color w:val="auto"/>
          <w:sz w:val="24"/>
          <w:szCs w:val="24"/>
        </w:rPr>
        <w:sectPr>
          <w:headerReference r:id="rId7" w:type="default"/>
          <w:footerReference r:id="rId8" w:type="default"/>
          <w:pgSz w:w="11906" w:h="16838"/>
          <w:pgMar w:top="1134" w:right="1191" w:bottom="1134" w:left="1191" w:header="851" w:footer="624" w:gutter="0"/>
          <w:pgNumType w:fmt="decimal"/>
          <w:cols w:space="425" w:num="1"/>
          <w:docGrid w:type="linesAndChars" w:linePitch="312" w:charSpace="0"/>
        </w:sectPr>
      </w:pPr>
    </w:p>
    <w:p>
      <w:pPr>
        <w:pStyle w:val="3"/>
        <w:keepNext/>
        <w:keepLines/>
        <w:pageBreakBefore w:val="0"/>
        <w:widowControl w:val="0"/>
        <w:numPr>
          <w:ilvl w:val="0"/>
          <w:numId w:val="1"/>
        </w:numPr>
        <w:kinsoku/>
        <w:wordWrap/>
        <w:overflowPunct/>
        <w:topLinePunct w:val="0"/>
        <w:autoSpaceDE/>
        <w:autoSpaceDN/>
        <w:bidi w:val="0"/>
        <w:adjustRightInd/>
        <w:snapToGrid/>
        <w:spacing w:before="240" w:after="120" w:line="360" w:lineRule="auto"/>
        <w:ind w:left="0" w:hanging="880" w:hangingChars="200"/>
        <w:jc w:val="center"/>
        <w:textAlignment w:val="auto"/>
        <w:rPr>
          <w:rFonts w:hint="eastAsia" w:ascii="宋体" w:hAnsi="宋体" w:eastAsia="宋体" w:cs="宋体"/>
          <w:color w:val="auto"/>
        </w:rPr>
      </w:pPr>
      <w:bookmarkStart w:id="20" w:name="_Toc22183"/>
      <w:r>
        <w:rPr>
          <w:rFonts w:hint="eastAsia" w:ascii="宋体" w:hAnsi="宋体" w:eastAsia="宋体" w:cs="宋体"/>
          <w:color w:val="auto"/>
        </w:rPr>
        <w:t>投标人须知</w:t>
      </w:r>
      <w:bookmarkEnd w:id="20"/>
    </w:p>
    <w:p>
      <w:pPr>
        <w:keepNext/>
        <w:keepLines/>
        <w:spacing w:line="360" w:lineRule="auto"/>
        <w:jc w:val="center"/>
        <w:outlineLvl w:val="1"/>
        <w:rPr>
          <w:rFonts w:hint="eastAsia" w:ascii="宋体" w:hAnsi="宋体" w:eastAsia="宋体" w:cs="宋体"/>
          <w:b/>
          <w:bCs/>
          <w:color w:val="auto"/>
          <w:sz w:val="32"/>
          <w:szCs w:val="32"/>
          <w:lang w:val="zh-CN" w:eastAsia="zh-CN"/>
        </w:rPr>
      </w:pPr>
      <w:bookmarkStart w:id="21" w:name="_Toc494561937"/>
      <w:bookmarkStart w:id="22" w:name="_Toc22127"/>
      <w:r>
        <w:rPr>
          <w:rFonts w:hint="eastAsia" w:ascii="宋体" w:hAnsi="宋体" w:eastAsia="宋体" w:cs="宋体"/>
          <w:b/>
          <w:bCs/>
          <w:color w:val="auto"/>
          <w:sz w:val="32"/>
          <w:szCs w:val="32"/>
          <w:lang w:val="zh-CN" w:eastAsia="zh-CN"/>
        </w:rPr>
        <w:t>投标须知前附表</w:t>
      </w:r>
      <w:bookmarkEnd w:id="21"/>
      <w:bookmarkEnd w:id="22"/>
    </w:p>
    <w:tbl>
      <w:tblPr>
        <w:tblStyle w:val="12"/>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2271"/>
        <w:gridCol w:w="6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4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  称</w:t>
            </w:r>
          </w:p>
        </w:tc>
        <w:tc>
          <w:tcPr>
            <w:tcW w:w="6437"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Chars="0" w:right="57" w:rightChars="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437" w:type="dxa"/>
            <w:tcBorders>
              <w:top w:val="single" w:color="auto" w:sz="4" w:space="0"/>
              <w:left w:val="single" w:color="auto" w:sz="4" w:space="0"/>
              <w:bottom w:val="single" w:color="auto" w:sz="4" w:space="0"/>
            </w:tcBorders>
            <w:vAlign w:val="center"/>
          </w:tcPr>
          <w:p>
            <w:pPr>
              <w:rPr>
                <w:rFonts w:hint="default"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rPr>
              <w:t>131-</w:t>
            </w:r>
            <w:r>
              <w:rPr>
                <w:rFonts w:hint="eastAsia" w:ascii="宋体" w:hAnsi="宋体" w:eastAsia="宋体" w:cs="宋体"/>
                <w:b w:val="0"/>
                <w:bCs w:val="0"/>
                <w:color w:val="auto"/>
                <w:kern w:val="0"/>
                <w:sz w:val="24"/>
                <w:szCs w:val="24"/>
                <w:lang w:val="en-US" w:eastAsia="zh-CN"/>
              </w:rPr>
              <w:t>2021CG</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140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Chars="0" w:right="57" w:rightChars="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阳新县闰光小学科学实验器材及实验室设备采购项目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Chars="0" w:right="57" w:rightChars="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项目属性</w:t>
            </w:r>
          </w:p>
        </w:tc>
        <w:tc>
          <w:tcPr>
            <w:tcW w:w="6437" w:type="dxa"/>
            <w:tcBorders>
              <w:top w:val="single" w:color="auto" w:sz="4" w:space="0"/>
              <w:left w:val="single" w:color="auto" w:sz="4" w:space="0"/>
              <w:bottom w:val="single" w:color="auto" w:sz="4" w:space="0"/>
            </w:tcBorders>
            <w:vAlign w:val="center"/>
          </w:tcPr>
          <w:p>
            <w:pP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Chars="0" w:right="57" w:rightChars="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eastAsia="zh-CN"/>
              </w:rPr>
              <w:t>阳新县教育局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0" w:leftChars="0" w:right="57" w:rightChars="0" w:firstLine="0" w:firstLineChars="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5</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投标保证金</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0" w:leftChars="0" w:right="57" w:rightChars="0" w:firstLine="0" w:firstLineChars="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6</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0" w:leftChars="0" w:right="57" w:rightChars="0" w:firstLine="0" w:firstLineChars="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7</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8</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资格预审</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highlight w:val="yellow"/>
              </w:rPr>
            </w:pPr>
            <w:r>
              <w:rPr>
                <w:rFonts w:hint="eastAsia" w:ascii="宋体" w:hAnsi="宋体" w:eastAsia="宋体" w:cs="宋体"/>
                <w:b w:val="0"/>
                <w:bCs w:val="0"/>
                <w:color w:val="auto"/>
                <w:kern w:val="0"/>
                <w:sz w:val="24"/>
                <w:szCs w:val="24"/>
                <w:lang w:eastAsia="zh-CN"/>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9</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投标文件递交时间</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10</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开标时间、地点</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11</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备选方案</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不允许</w:t>
            </w:r>
          </w:p>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12</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实物样品</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不提交</w:t>
            </w:r>
          </w:p>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13</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现场考察</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不组织</w:t>
            </w:r>
          </w:p>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14</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中标后分包</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不允许</w:t>
            </w:r>
          </w:p>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15</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综合评分法</w:t>
            </w:r>
          </w:p>
          <w:p>
            <w:pPr>
              <w:rPr>
                <w:rFonts w:hint="eastAsia" w:ascii="宋体" w:hAnsi="宋体" w:eastAsia="宋体" w:cs="宋体"/>
                <w:b w:val="0"/>
                <w:bCs w:val="0"/>
                <w:color w:val="auto"/>
                <w:kern w:val="0"/>
                <w:sz w:val="24"/>
                <w:szCs w:val="24"/>
                <w:lang w:val="zh-CN" w:eastAsia="zh-CN"/>
              </w:rPr>
            </w:pPr>
            <w:r>
              <w:rPr>
                <w:rFonts w:hint="eastAsia" w:ascii="宋体" w:hAnsi="宋体" w:eastAsia="宋体" w:cs="宋体"/>
                <w:b w:val="0"/>
                <w:bCs w:val="0"/>
                <w:color w:val="auto"/>
                <w:kern w:val="0"/>
                <w:sz w:val="24"/>
                <w:szCs w:val="24"/>
                <w:lang w:eastAsia="zh-CN"/>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16</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17</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Chars="0" w:right="57" w:rightChars="0"/>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18</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质疑及提交</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详见本章“质疑及提交”要求</w:t>
            </w:r>
          </w:p>
        </w:tc>
      </w:tr>
    </w:tbl>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23" w:name="_Toc494561938"/>
      <w:bookmarkStart w:id="24" w:name="_Toc30635"/>
      <w:r>
        <w:rPr>
          <w:rFonts w:hint="eastAsia" w:ascii="宋体" w:hAnsi="宋体" w:eastAsia="宋体" w:cs="宋体"/>
          <w:bCs w:val="0"/>
          <w:color w:val="auto"/>
          <w:lang w:val="zh-CN" w:eastAsia="zh-CN"/>
        </w:rPr>
        <w:t>说  明</w:t>
      </w:r>
      <w:bookmarkEnd w:id="23"/>
      <w:bookmarkEnd w:id="24"/>
    </w:p>
    <w:p>
      <w:pPr>
        <w:numPr>
          <w:ilvl w:val="0"/>
          <w:numId w:val="3"/>
        </w:numPr>
        <w:spacing w:line="360" w:lineRule="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适用范围</w:t>
      </w:r>
    </w:p>
    <w:p>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招标文件仅适用于</w:t>
      </w:r>
      <w:r>
        <w:rPr>
          <w:rFonts w:hint="eastAsia" w:ascii="宋体" w:hAnsi="宋体" w:eastAsia="宋体" w:cs="宋体"/>
          <w:color w:val="auto"/>
          <w:sz w:val="24"/>
          <w:szCs w:val="24"/>
          <w:lang w:val="zh-CN"/>
        </w:rPr>
        <w:t>第一章“</w:t>
      </w:r>
      <w:r>
        <w:rPr>
          <w:rFonts w:hint="eastAsia" w:ascii="宋体" w:hAnsi="宋体" w:eastAsia="宋体" w:cs="宋体"/>
          <w:color w:val="auto"/>
          <w:sz w:val="24"/>
          <w:szCs w:val="24"/>
          <w:lang w:val="zh-CN" w:eastAsia="zh-CN"/>
        </w:rPr>
        <w:t>投标邀请书</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中所述项目的货物</w:t>
      </w:r>
      <w:r>
        <w:rPr>
          <w:rFonts w:hint="eastAsia" w:ascii="宋体" w:hAnsi="宋体" w:eastAsia="宋体" w:cs="宋体"/>
          <w:color w:val="auto"/>
          <w:sz w:val="24"/>
          <w:szCs w:val="24"/>
          <w:lang w:val="zh-CN"/>
        </w:rPr>
        <w:t>、工程</w:t>
      </w:r>
      <w:r>
        <w:rPr>
          <w:rFonts w:hint="eastAsia" w:ascii="宋体" w:hAnsi="宋体" w:eastAsia="宋体" w:cs="宋体"/>
          <w:color w:val="auto"/>
          <w:sz w:val="24"/>
          <w:szCs w:val="24"/>
          <w:lang w:val="zh-CN" w:eastAsia="zh-CN"/>
        </w:rPr>
        <w:t>及服务的采购。</w:t>
      </w:r>
    </w:p>
    <w:p>
      <w:pPr>
        <w:numPr>
          <w:ilvl w:val="0"/>
          <w:numId w:val="3"/>
        </w:numPr>
        <w:spacing w:line="360" w:lineRule="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rPr>
        <w:t>当事人</w:t>
      </w:r>
      <w:r>
        <w:rPr>
          <w:rFonts w:hint="eastAsia" w:ascii="宋体" w:hAnsi="宋体" w:eastAsia="宋体" w:cs="宋体"/>
          <w:b/>
          <w:color w:val="auto"/>
          <w:sz w:val="24"/>
          <w:szCs w:val="24"/>
          <w:lang w:val="zh-CN" w:eastAsia="zh-CN"/>
        </w:rPr>
        <w:t>定义</w:t>
      </w:r>
    </w:p>
    <w:p>
      <w:pPr>
        <w:numPr>
          <w:ilvl w:val="0"/>
          <w:numId w:val="4"/>
        </w:numPr>
        <w:spacing w:line="360" w:lineRule="auto"/>
        <w:ind w:left="476" w:hanging="476"/>
        <w:rPr>
          <w:rFonts w:hint="eastAsia" w:ascii="宋体" w:hAnsi="宋体" w:eastAsia="宋体" w:cs="宋体"/>
          <w:color w:val="auto"/>
          <w:sz w:val="24"/>
          <w:szCs w:val="24"/>
          <w:lang w:val="zh-CN" w:eastAsia="zh-CN"/>
        </w:rPr>
      </w:pPr>
      <w:r>
        <w:rPr>
          <w:rFonts w:hint="eastAsia" w:ascii="宋体" w:hAnsi="宋体" w:eastAsia="宋体" w:cs="宋体"/>
          <w:b/>
          <w:color w:val="auto"/>
          <w:sz w:val="24"/>
          <w:szCs w:val="24"/>
          <w:lang w:val="zh-CN" w:eastAsia="zh-CN"/>
        </w:rPr>
        <w:t>“采购人”是指：</w:t>
      </w:r>
      <w:r>
        <w:rPr>
          <w:rFonts w:hint="eastAsia" w:ascii="宋体" w:hAnsi="宋体" w:eastAsia="宋体" w:cs="宋体"/>
          <w:b w:val="0"/>
          <w:bCs w:val="0"/>
          <w:color w:val="auto"/>
          <w:kern w:val="0"/>
          <w:sz w:val="24"/>
          <w:szCs w:val="24"/>
          <w:lang w:eastAsia="zh-CN"/>
        </w:rPr>
        <w:t>阳新县教育局</w:t>
      </w:r>
      <w:r>
        <w:rPr>
          <w:rFonts w:hint="eastAsia" w:ascii="宋体" w:hAnsi="宋体" w:eastAsia="宋体" w:cs="宋体"/>
          <w:color w:val="auto"/>
          <w:sz w:val="24"/>
          <w:szCs w:val="24"/>
          <w:lang w:val="zh-CN" w:eastAsia="zh-CN"/>
        </w:rPr>
        <w:t>。</w:t>
      </w:r>
    </w:p>
    <w:p>
      <w:pPr>
        <w:numPr>
          <w:ilvl w:val="0"/>
          <w:numId w:val="4"/>
        </w:numPr>
        <w:spacing w:line="360" w:lineRule="auto"/>
        <w:ind w:left="476" w:hanging="476"/>
        <w:rPr>
          <w:rFonts w:hint="eastAsia" w:ascii="宋体" w:hAnsi="宋体" w:eastAsia="宋体" w:cs="宋体"/>
          <w:color w:val="auto"/>
          <w:sz w:val="24"/>
          <w:szCs w:val="24"/>
          <w:lang w:val="zh-CN" w:eastAsia="zh-CN"/>
        </w:rPr>
      </w:pPr>
      <w:r>
        <w:rPr>
          <w:rFonts w:hint="eastAsia" w:ascii="宋体" w:hAnsi="宋体" w:eastAsia="宋体" w:cs="宋体"/>
          <w:b/>
          <w:color w:val="auto"/>
          <w:sz w:val="24"/>
          <w:szCs w:val="24"/>
          <w:lang w:val="zh-CN" w:eastAsia="zh-CN"/>
        </w:rPr>
        <w:t>“监管部门”是指：</w:t>
      </w:r>
      <w:r>
        <w:rPr>
          <w:rFonts w:hint="eastAsia" w:ascii="宋体" w:hAnsi="宋体" w:eastAsia="宋体" w:cs="宋体"/>
          <w:color w:val="auto"/>
          <w:sz w:val="24"/>
          <w:szCs w:val="24"/>
          <w:lang w:val="zh-CN" w:eastAsia="zh-CN"/>
        </w:rPr>
        <w:t>阳新县政府采购办公室、阳新县政务服务和大数据管理局公共资源交易监督管理股。</w:t>
      </w:r>
    </w:p>
    <w:p>
      <w:pPr>
        <w:numPr>
          <w:ilvl w:val="0"/>
          <w:numId w:val="4"/>
        </w:numPr>
        <w:spacing w:line="360" w:lineRule="auto"/>
        <w:ind w:left="476" w:hanging="476"/>
        <w:rPr>
          <w:rFonts w:hint="eastAsia" w:ascii="宋体" w:hAnsi="宋体" w:eastAsia="宋体" w:cs="宋体"/>
          <w:color w:val="auto"/>
          <w:sz w:val="24"/>
          <w:szCs w:val="24"/>
          <w:lang w:val="zh-CN" w:eastAsia="zh-CN"/>
        </w:rPr>
      </w:pPr>
      <w:r>
        <w:rPr>
          <w:rFonts w:hint="eastAsia" w:ascii="宋体" w:hAnsi="宋体" w:eastAsia="宋体" w:cs="宋体"/>
          <w:b/>
          <w:color w:val="auto"/>
          <w:sz w:val="24"/>
          <w:szCs w:val="24"/>
          <w:lang w:val="zh-CN" w:eastAsia="zh-CN"/>
        </w:rPr>
        <w:t>“采购代理机构”是指：</w:t>
      </w:r>
      <w:r>
        <w:rPr>
          <w:rFonts w:hint="eastAsia" w:ascii="宋体" w:hAnsi="宋体" w:eastAsia="宋体" w:cs="宋体"/>
          <w:color w:val="auto"/>
          <w:sz w:val="24"/>
          <w:szCs w:val="24"/>
          <w:lang w:val="zh-CN" w:eastAsia="zh-CN"/>
        </w:rPr>
        <w:t>湖北天缔工程咨询有限公司。</w:t>
      </w:r>
    </w:p>
    <w:p>
      <w:pPr>
        <w:numPr>
          <w:ilvl w:val="0"/>
          <w:numId w:val="4"/>
        </w:numPr>
        <w:spacing w:line="360" w:lineRule="auto"/>
        <w:ind w:left="476" w:hanging="476"/>
        <w:rPr>
          <w:rFonts w:hint="eastAsia" w:ascii="宋体" w:hAnsi="宋体" w:eastAsia="宋体" w:cs="宋体"/>
          <w:color w:val="auto"/>
          <w:sz w:val="24"/>
          <w:szCs w:val="24"/>
          <w:lang w:val="zh-CN" w:eastAsia="zh-CN"/>
        </w:rPr>
      </w:pPr>
      <w:r>
        <w:rPr>
          <w:rFonts w:hint="eastAsia" w:ascii="宋体" w:hAnsi="宋体" w:eastAsia="宋体" w:cs="宋体"/>
          <w:b/>
          <w:color w:val="auto"/>
          <w:sz w:val="24"/>
          <w:szCs w:val="24"/>
          <w:lang w:val="zh-CN" w:eastAsia="zh-CN"/>
        </w:rPr>
        <w:t>“</w:t>
      </w:r>
      <w:r>
        <w:rPr>
          <w:rFonts w:hint="eastAsia" w:ascii="宋体" w:hAnsi="宋体" w:eastAsia="宋体" w:cs="宋体"/>
          <w:b/>
          <w:color w:val="auto"/>
          <w:sz w:val="24"/>
          <w:szCs w:val="24"/>
          <w:lang w:val="zh-CN"/>
        </w:rPr>
        <w:t>投标人</w:t>
      </w:r>
      <w:r>
        <w:rPr>
          <w:rFonts w:hint="eastAsia" w:ascii="宋体" w:hAnsi="宋体" w:eastAsia="宋体" w:cs="宋体"/>
          <w:b/>
          <w:color w:val="auto"/>
          <w:sz w:val="24"/>
          <w:szCs w:val="24"/>
          <w:lang w:val="zh-CN" w:eastAsia="zh-CN"/>
        </w:rPr>
        <w:t>”是指：</w:t>
      </w:r>
      <w:r>
        <w:rPr>
          <w:rFonts w:hint="eastAsia" w:ascii="宋体" w:hAnsi="宋体" w:eastAsia="宋体" w:cs="宋体"/>
          <w:color w:val="auto"/>
          <w:kern w:val="0"/>
          <w:sz w:val="24"/>
          <w:szCs w:val="24"/>
          <w:lang w:val="zh-CN" w:eastAsia="zh-CN"/>
        </w:rPr>
        <w:t>响应招标、参加投标竞争的法人、其他组织或者自然人。</w:t>
      </w:r>
    </w:p>
    <w:p>
      <w:pPr>
        <w:numPr>
          <w:ilvl w:val="0"/>
          <w:numId w:val="4"/>
        </w:numPr>
        <w:spacing w:line="360" w:lineRule="auto"/>
        <w:ind w:left="476" w:hanging="476"/>
        <w:rPr>
          <w:rFonts w:hint="eastAsia" w:ascii="宋体" w:hAnsi="宋体" w:eastAsia="宋体" w:cs="宋体"/>
          <w:color w:val="auto"/>
          <w:kern w:val="0"/>
          <w:sz w:val="24"/>
          <w:szCs w:val="24"/>
          <w:lang w:val="zh-CN" w:eastAsia="zh-CN"/>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zh-CN" w:eastAsia="zh-CN"/>
        </w:rPr>
        <w:t>合格的投标人</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zh-CN" w:eastAsia="zh-CN"/>
        </w:rPr>
        <w:t>是指</w:t>
      </w:r>
      <w:r>
        <w:rPr>
          <w:rFonts w:hint="eastAsia" w:ascii="宋体" w:hAnsi="宋体" w:eastAsia="宋体" w:cs="宋体"/>
          <w:b/>
          <w:color w:val="auto"/>
          <w:sz w:val="24"/>
          <w:szCs w:val="24"/>
          <w:lang w:val="zh-CN"/>
        </w:rPr>
        <w:t>：</w:t>
      </w:r>
      <w:r>
        <w:rPr>
          <w:rFonts w:hint="eastAsia" w:ascii="宋体" w:hAnsi="宋体" w:eastAsia="宋体" w:cs="宋体"/>
          <w:color w:val="auto"/>
          <w:kern w:val="0"/>
          <w:sz w:val="24"/>
          <w:szCs w:val="24"/>
          <w:lang w:val="zh-CN" w:eastAsia="zh-CN"/>
        </w:rPr>
        <w:t>资格审查和符合性审查合格的投标人。</w:t>
      </w:r>
    </w:p>
    <w:p>
      <w:pPr>
        <w:numPr>
          <w:ilvl w:val="0"/>
          <w:numId w:val="4"/>
        </w:numPr>
        <w:spacing w:line="360" w:lineRule="auto"/>
        <w:ind w:left="476" w:hanging="476"/>
        <w:rPr>
          <w:rFonts w:hint="eastAsia" w:ascii="宋体" w:hAnsi="宋体" w:eastAsia="宋体" w:cs="宋体"/>
          <w:color w:val="auto"/>
          <w:sz w:val="24"/>
          <w:szCs w:val="24"/>
          <w:lang w:val="zh-CN" w:eastAsia="zh-CN"/>
        </w:rPr>
      </w:pPr>
      <w:r>
        <w:rPr>
          <w:rFonts w:hint="eastAsia" w:ascii="宋体" w:hAnsi="宋体" w:eastAsia="宋体" w:cs="宋体"/>
          <w:b/>
          <w:color w:val="auto"/>
          <w:sz w:val="24"/>
          <w:szCs w:val="24"/>
          <w:lang w:val="zh-CN" w:eastAsia="zh-CN"/>
        </w:rPr>
        <w:t>“中标人”是指</w:t>
      </w:r>
      <w:r>
        <w:rPr>
          <w:rFonts w:hint="eastAsia" w:ascii="宋体" w:hAnsi="宋体" w:eastAsia="宋体" w:cs="宋体"/>
          <w:b/>
          <w:color w:val="auto"/>
          <w:sz w:val="24"/>
          <w:szCs w:val="24"/>
          <w:lang w:val="zh-CN"/>
        </w:rPr>
        <w:t>：</w:t>
      </w:r>
      <w:r>
        <w:rPr>
          <w:rFonts w:hint="eastAsia" w:ascii="宋体" w:hAnsi="宋体" w:eastAsia="宋体" w:cs="宋体"/>
          <w:color w:val="auto"/>
          <w:sz w:val="24"/>
          <w:szCs w:val="24"/>
          <w:lang w:val="zh-CN" w:eastAsia="zh-CN"/>
        </w:rPr>
        <w:t>经评标委员会评审，授予合同的投标人。</w:t>
      </w:r>
    </w:p>
    <w:p>
      <w:pPr>
        <w:numPr>
          <w:ilvl w:val="0"/>
          <w:numId w:val="3"/>
        </w:numPr>
        <w:spacing w:line="360" w:lineRule="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rPr>
        <w:t>项目属性及定义</w:t>
      </w:r>
    </w:p>
    <w:p>
      <w:pPr>
        <w:numPr>
          <w:ilvl w:val="0"/>
          <w:numId w:val="5"/>
        </w:numPr>
        <w:spacing w:line="360" w:lineRule="auto"/>
        <w:ind w:left="476" w:hanging="476"/>
        <w:rPr>
          <w:rFonts w:hint="eastAsia" w:ascii="宋体" w:hAnsi="宋体" w:eastAsia="宋体" w:cs="宋体"/>
          <w:color w:val="auto"/>
          <w:sz w:val="24"/>
          <w:szCs w:val="24"/>
          <w:lang w:val="zh-CN" w:eastAsia="zh-CN"/>
        </w:rPr>
      </w:pPr>
      <w:r>
        <w:rPr>
          <w:rFonts w:hint="eastAsia" w:ascii="宋体" w:hAnsi="宋体" w:eastAsia="宋体" w:cs="宋体"/>
          <w:b/>
          <w:color w:val="auto"/>
          <w:sz w:val="24"/>
          <w:szCs w:val="24"/>
          <w:lang w:val="zh-CN" w:eastAsia="zh-CN"/>
        </w:rPr>
        <w:t>“货物”是指</w:t>
      </w:r>
      <w:r>
        <w:rPr>
          <w:rFonts w:hint="eastAsia" w:ascii="宋体" w:hAnsi="宋体" w:eastAsia="宋体" w:cs="宋体"/>
          <w:color w:val="auto"/>
          <w:sz w:val="24"/>
          <w:szCs w:val="24"/>
          <w:lang w:val="zh-CN"/>
        </w:rPr>
        <w:t>：各种形态和种类的物品，包括原材料、燃料、设备、产品</w:t>
      </w:r>
      <w:r>
        <w:rPr>
          <w:rFonts w:hint="eastAsia" w:ascii="宋体" w:hAnsi="宋体" w:eastAsia="宋体" w:cs="宋体"/>
          <w:color w:val="auto"/>
          <w:sz w:val="24"/>
          <w:szCs w:val="24"/>
          <w:lang w:val="zh-CN" w:eastAsia="zh-CN"/>
        </w:rPr>
        <w:t>等。</w:t>
      </w:r>
    </w:p>
    <w:p>
      <w:pPr>
        <w:numPr>
          <w:ilvl w:val="0"/>
          <w:numId w:val="6"/>
        </w:numPr>
        <w:spacing w:line="360" w:lineRule="auto"/>
        <w:ind w:left="854" w:hanging="728"/>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招标文件中没有提及招标货物来源地的，根据《政府采购法》及相关规定均应是本国货物，另有规定的除外。</w:t>
      </w:r>
    </w:p>
    <w:p>
      <w:pPr>
        <w:numPr>
          <w:ilvl w:val="0"/>
          <w:numId w:val="6"/>
        </w:numPr>
        <w:spacing w:line="360" w:lineRule="auto"/>
        <w:ind w:left="854" w:hanging="728"/>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投标的货物应是合法生产的符合国家有关标准要求的货物，并能够按照合同规定的品牌、产地、质量、价格和有效期等履约。</w:t>
      </w:r>
    </w:p>
    <w:p>
      <w:pPr>
        <w:numPr>
          <w:ilvl w:val="0"/>
          <w:numId w:val="5"/>
        </w:numPr>
        <w:spacing w:line="360" w:lineRule="auto"/>
        <w:ind w:left="476" w:hanging="476"/>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w:t>
      </w:r>
      <w:r>
        <w:rPr>
          <w:rFonts w:hint="eastAsia" w:ascii="宋体" w:hAnsi="宋体" w:eastAsia="宋体" w:cs="宋体"/>
          <w:b/>
          <w:color w:val="auto"/>
          <w:sz w:val="24"/>
          <w:szCs w:val="24"/>
          <w:lang w:val="zh-CN"/>
        </w:rPr>
        <w:t>工程</w:t>
      </w:r>
      <w:r>
        <w:rPr>
          <w:rFonts w:hint="eastAsia" w:ascii="宋体" w:hAnsi="宋体" w:eastAsia="宋体" w:cs="宋体"/>
          <w:b/>
          <w:color w:val="auto"/>
          <w:sz w:val="24"/>
          <w:szCs w:val="24"/>
          <w:lang w:val="zh-CN" w:eastAsia="zh-CN"/>
        </w:rPr>
        <w:t>”是指</w:t>
      </w:r>
      <w:r>
        <w:rPr>
          <w:rFonts w:hint="eastAsia" w:ascii="宋体" w:hAnsi="宋体" w:eastAsia="宋体" w:cs="宋体"/>
          <w:color w:val="auto"/>
          <w:sz w:val="24"/>
          <w:szCs w:val="24"/>
          <w:lang w:val="zh-CN"/>
        </w:rPr>
        <w:t>：与建筑物和构筑物的新建、改建、扩建及其相关的装修、拆除、修缮无关的工程。</w:t>
      </w:r>
    </w:p>
    <w:p>
      <w:pPr>
        <w:numPr>
          <w:ilvl w:val="0"/>
          <w:numId w:val="5"/>
        </w:numPr>
        <w:spacing w:line="360" w:lineRule="auto"/>
        <w:ind w:left="476" w:hanging="476"/>
        <w:rPr>
          <w:rFonts w:hint="eastAsia" w:ascii="宋体" w:hAnsi="宋体" w:eastAsia="宋体" w:cs="宋体"/>
          <w:color w:val="auto"/>
          <w:sz w:val="24"/>
          <w:szCs w:val="24"/>
          <w:lang w:val="zh-CN" w:eastAsia="zh-CN"/>
        </w:rPr>
      </w:pPr>
      <w:r>
        <w:rPr>
          <w:rFonts w:hint="eastAsia" w:ascii="宋体" w:hAnsi="宋体" w:eastAsia="宋体" w:cs="宋体"/>
          <w:b/>
          <w:color w:val="auto"/>
          <w:sz w:val="24"/>
          <w:szCs w:val="24"/>
          <w:lang w:val="zh-CN" w:eastAsia="zh-CN"/>
        </w:rPr>
        <w:t>“服务”是指</w:t>
      </w:r>
      <w:r>
        <w:rPr>
          <w:rFonts w:hint="eastAsia" w:ascii="宋体" w:hAnsi="宋体" w:eastAsia="宋体" w:cs="宋体"/>
          <w:b/>
          <w:color w:val="auto"/>
          <w:sz w:val="24"/>
          <w:szCs w:val="24"/>
          <w:lang w:val="zh-CN"/>
        </w:rPr>
        <w:t>：</w:t>
      </w:r>
      <w:r>
        <w:rPr>
          <w:rFonts w:hint="eastAsia" w:ascii="宋体" w:hAnsi="宋体" w:eastAsia="宋体" w:cs="宋体"/>
          <w:color w:val="auto"/>
          <w:sz w:val="24"/>
          <w:szCs w:val="24"/>
          <w:lang w:val="zh-CN" w:eastAsia="zh-CN"/>
        </w:rPr>
        <w:t>除货物</w:t>
      </w:r>
      <w:r>
        <w:rPr>
          <w:rFonts w:hint="eastAsia" w:ascii="宋体" w:hAnsi="宋体" w:eastAsia="宋体" w:cs="宋体"/>
          <w:color w:val="auto"/>
          <w:sz w:val="24"/>
          <w:szCs w:val="24"/>
          <w:lang w:val="zh-CN"/>
        </w:rPr>
        <w:t>和工程（含本章3.2条所述工程及《招标投标法》所定义工程）</w:t>
      </w:r>
      <w:r>
        <w:rPr>
          <w:rFonts w:hint="eastAsia" w:ascii="宋体" w:hAnsi="宋体" w:eastAsia="宋体" w:cs="宋体"/>
          <w:color w:val="auto"/>
          <w:sz w:val="24"/>
          <w:szCs w:val="24"/>
          <w:lang w:val="zh-CN" w:eastAsia="zh-CN"/>
        </w:rPr>
        <w:t>以外的其他政府采购对象,包括政府自身需要的服务和政府向社会公众提供的公共服务。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76" w:hanging="476"/>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采购人应当按照财政部制定的《政府采购品目分类目录》确定采购项目属性</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按照《政府采购品目分类目录》无法确定的，按照有利于采购项目实施的原则确定。</w:t>
      </w:r>
    </w:p>
    <w:p>
      <w:pPr>
        <w:numPr>
          <w:ilvl w:val="0"/>
          <w:numId w:val="3"/>
        </w:numPr>
        <w:spacing w:line="360" w:lineRule="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）投标人应承担所有与准备和参加投标有关的费用。不论投标的结果如何，采购代理机构和采购人均无义务和责任承担这些费用。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）采购代理服务费</w:t>
      </w:r>
    </w:p>
    <w:p>
      <w:pPr>
        <w:numPr>
          <w:ilvl w:val="0"/>
          <w:numId w:val="0"/>
        </w:numPr>
        <w:spacing w:line="360" w:lineRule="auto"/>
        <w:ind w:leftChars="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经过采购代理机构与采购人协议，规定由中标单位支付。采购代理服务费收费标准如下：</w:t>
      </w:r>
    </w:p>
    <w:p>
      <w:pPr>
        <w:widowControl/>
        <w:spacing w:before="100" w:beforeAutospacing="1"/>
        <w:ind w:left="420"/>
        <w:rPr>
          <w:rFonts w:hint="eastAsia" w:ascii="宋体" w:hAnsi="宋体" w:eastAsia="宋体" w:cs="宋体"/>
          <w:color w:val="auto"/>
          <w:kern w:val="0"/>
          <w:sz w:val="22"/>
          <w:szCs w:val="22"/>
        </w:rPr>
      </w:pPr>
    </w:p>
    <w:tbl>
      <w:tblPr>
        <w:tblStyle w:val="12"/>
        <w:tblW w:w="9779" w:type="dxa"/>
        <w:tblCellSpacing w:w="0" w:type="dxa"/>
        <w:tblInd w:w="0" w:type="dxa"/>
        <w:tblLayout w:type="fixed"/>
        <w:tblCellMar>
          <w:top w:w="108" w:type="dxa"/>
          <w:left w:w="108" w:type="dxa"/>
          <w:bottom w:w="108" w:type="dxa"/>
          <w:right w:w="108" w:type="dxa"/>
        </w:tblCellMar>
      </w:tblPr>
      <w:tblGrid>
        <w:gridCol w:w="3088"/>
        <w:gridCol w:w="2438"/>
        <w:gridCol w:w="2243"/>
        <w:gridCol w:w="2010"/>
      </w:tblGrid>
      <w:tr>
        <w:tblPrEx>
          <w:tblCellMar>
            <w:top w:w="108" w:type="dxa"/>
            <w:left w:w="108" w:type="dxa"/>
            <w:bottom w:w="108" w:type="dxa"/>
            <w:right w:w="108" w:type="dxa"/>
          </w:tblCellMar>
        </w:tblPrEx>
        <w:trPr>
          <w:trHeight w:val="2452"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top"/>
          </w:tcPr>
          <w:p>
            <w:pPr>
              <w:widowControl/>
              <w:spacing w:before="100" w:beforeAutospacing="1" w:line="288" w:lineRule="auto"/>
              <w:ind w:firstLine="998"/>
              <w:rPr>
                <w:rFonts w:hint="eastAsia" w:ascii="宋体" w:hAnsi="宋体" w:eastAsia="宋体" w:cs="宋体"/>
                <w:color w:val="auto"/>
                <w:kern w:val="0"/>
                <w:sz w:val="21"/>
                <w:szCs w:val="21"/>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8890</wp:posOffset>
                      </wp:positionV>
                      <wp:extent cx="1209675" cy="1590675"/>
                      <wp:effectExtent l="3810" t="3175" r="5715" b="6350"/>
                      <wp:wrapNone/>
                      <wp:docPr id="2" name="直接连接符 2"/>
                      <wp:cNvGraphicFramePr/>
                      <a:graphic xmlns:a="http://schemas.openxmlformats.org/drawingml/2006/main">
                        <a:graphicData uri="http://schemas.microsoft.com/office/word/2010/wordprocessingShape">
                          <wps:wsp>
                            <wps:cNvCnPr/>
                            <wps:spPr>
                              <a:xfrm>
                                <a:off x="680085" y="747395"/>
                                <a:ext cx="1209675" cy="159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pt;margin-top:0.7pt;height:125.25pt;width:95.25pt;z-index:251660288;mso-width-relative:page;mso-height-relative:page;" filled="f" stroked="t" coordsize="21600,21600" o:gfxdata="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UdyO1wAAAAkBAAAPAAAAAAAAAAEAIAAAACIAAABkcnMvZG93bnJldi54bWxQSwEC&#10;FAAUAAAACACHTuJAdj/tD/UBAADBAwAADgAAAAAAAAABACAAAAAmAQAAZHJzL2Uyb0RvYy54bWxQ&#10;SwUGAAAAAAYABgBZAQAAjQUAAAAA&#10;">
                      <v:fill on="f" focussize="0,0"/>
                      <v:stroke weight="0.5pt" color="#000000 [3200]"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-635</wp:posOffset>
                      </wp:positionV>
                      <wp:extent cx="1971675" cy="647700"/>
                      <wp:effectExtent l="1270" t="4445" r="8255" b="14605"/>
                      <wp:wrapNone/>
                      <wp:docPr id="1" name="直接连接符 1"/>
                      <wp:cNvGraphicFramePr/>
                      <a:graphic xmlns:a="http://schemas.openxmlformats.org/drawingml/2006/main">
                        <a:graphicData uri="http://schemas.microsoft.com/office/word/2010/wordprocessingShape">
                          <wps:wsp>
                            <wps:cNvCnPr/>
                            <wps:spPr>
                              <a:xfrm>
                                <a:off x="680085" y="737870"/>
                                <a:ext cx="19716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pt;margin-top:-0.05pt;height:51pt;width:155.25pt;z-index:251659264;mso-width-relative:page;mso-height-relative:page;" filled="f" stroked="t" coordsize="21600,21600" o:gfxdata="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o1sv1wAAAAkBAAAPAAAAAAAAAAEAIAAAACIAAABkcnMvZG93bnJldi54bWxQSwEC&#10;FAAUAAAACACHTuJA/aR3UvUBAADAAwAADgAAAAAAAAABACAAAAAmAQAAZHJzL2Uyb0RvYy54bWxQ&#10;SwUGAAAAAAYABgBZAQAAjQUAAAAA&#10;">
                      <v:fill on="f" focussize="0,0"/>
                      <v:stroke weight="0.5pt" color="#000000 [3200]" miterlimit="8" joinstyle="miter"/>
                      <v:imagedata o:title=""/>
                      <o:lock v:ext="edit" aspectratio="f"/>
                    </v:line>
                  </w:pict>
                </mc:Fallback>
              </mc:AlternateContent>
            </w:r>
            <w:r>
              <w:rPr>
                <w:rFonts w:hint="eastAsia" w:ascii="宋体" w:hAnsi="宋体" w:eastAsia="宋体" w:cs="宋体"/>
                <w:color w:val="auto"/>
                <w:kern w:val="0"/>
                <w:sz w:val="21"/>
                <w:szCs w:val="21"/>
              </w:rPr>
              <w:t>招标类型　　　</w:t>
            </w:r>
          </w:p>
          <w:p>
            <w:pPr>
              <w:widowControl/>
              <w:spacing w:before="100" w:beforeAutospacing="1" w:line="288" w:lineRule="auto"/>
              <w:ind w:firstLine="998"/>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中标　　　 </w:t>
            </w:r>
          </w:p>
          <w:p>
            <w:pPr>
              <w:widowControl/>
              <w:spacing w:before="100" w:beforeAutospacing="1" w:line="288" w:lineRule="auto"/>
              <w:ind w:firstLine="1503"/>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费率</w:t>
            </w:r>
          </w:p>
          <w:p>
            <w:pPr>
              <w:widowControl/>
              <w:spacing w:before="100" w:beforeAutospacing="1" w:after="142" w:line="288"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金额（万元）</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288"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货物招标</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288"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服务招标</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288"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工程招标</w:t>
            </w:r>
          </w:p>
        </w:tc>
      </w:tr>
      <w:tr>
        <w:tblPrEx>
          <w:tblCellMar>
            <w:top w:w="108" w:type="dxa"/>
            <w:left w:w="108" w:type="dxa"/>
            <w:bottom w:w="108" w:type="dxa"/>
            <w:right w:w="108" w:type="dxa"/>
          </w:tblCellMar>
        </w:tblPrEx>
        <w:trPr>
          <w:trHeight w:val="465"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100以下</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r>
        <w:tblPrEx>
          <w:tblCellMar>
            <w:top w:w="108" w:type="dxa"/>
            <w:left w:w="108" w:type="dxa"/>
            <w:bottom w:w="108" w:type="dxa"/>
            <w:right w:w="108" w:type="dxa"/>
          </w:tblCellMar>
        </w:tblPrEx>
        <w:trPr>
          <w:trHeight w:val="465"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68" w:lineRule="atLeas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100-500</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6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68"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0.8%</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0.70%</w:t>
            </w:r>
          </w:p>
        </w:tc>
      </w:tr>
      <w:tr>
        <w:tblPrEx>
          <w:tblCellMar>
            <w:top w:w="108" w:type="dxa"/>
            <w:left w:w="108" w:type="dxa"/>
            <w:bottom w:w="108" w:type="dxa"/>
            <w:right w:w="108" w:type="dxa"/>
          </w:tblCellMar>
        </w:tblPrEx>
        <w:trPr>
          <w:trHeight w:val="465"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500-1000</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0.8%</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0.45%</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0.55%</w:t>
            </w:r>
          </w:p>
        </w:tc>
      </w:tr>
    </w:tbl>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25" w:name="_Toc494561939"/>
      <w:bookmarkStart w:id="26" w:name="_Toc28652"/>
      <w:bookmarkStart w:id="27" w:name="_Toc272247695"/>
      <w:bookmarkStart w:id="28" w:name="_Toc278891592"/>
      <w:r>
        <w:rPr>
          <w:rFonts w:hint="eastAsia" w:ascii="宋体" w:hAnsi="宋体" w:eastAsia="宋体" w:cs="宋体"/>
          <w:bCs w:val="0"/>
          <w:color w:val="auto"/>
          <w:lang w:val="zh-CN" w:eastAsia="zh-CN"/>
        </w:rPr>
        <w:t>招标文件</w:t>
      </w:r>
      <w:bookmarkEnd w:id="25"/>
      <w:bookmarkEnd w:id="26"/>
      <w:bookmarkEnd w:id="27"/>
      <w:bookmarkEnd w:id="28"/>
    </w:p>
    <w:p>
      <w:pPr>
        <w:numPr>
          <w:ilvl w:val="0"/>
          <w:numId w:val="3"/>
        </w:numPr>
        <w:spacing w:line="360" w:lineRule="auto"/>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招标文件的构成</w:t>
      </w:r>
    </w:p>
    <w:p>
      <w:pPr>
        <w:tabs>
          <w:tab w:val="left" w:pos="476"/>
        </w:tabs>
        <w:spacing w:line="360" w:lineRule="auto"/>
        <w:ind w:left="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第一章 投标邀请书</w:t>
      </w:r>
    </w:p>
    <w:p>
      <w:pPr>
        <w:tabs>
          <w:tab w:val="left" w:pos="476"/>
        </w:tabs>
        <w:spacing w:line="360" w:lineRule="auto"/>
        <w:ind w:left="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第二章 投标人须知</w:t>
      </w:r>
    </w:p>
    <w:p>
      <w:pPr>
        <w:tabs>
          <w:tab w:val="left" w:pos="476"/>
        </w:tabs>
        <w:spacing w:line="360" w:lineRule="auto"/>
        <w:ind w:left="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第三章 项目技术、服务及商务要求</w:t>
      </w:r>
    </w:p>
    <w:p>
      <w:pPr>
        <w:tabs>
          <w:tab w:val="left" w:pos="476"/>
        </w:tabs>
        <w:spacing w:line="360" w:lineRule="auto"/>
        <w:ind w:left="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第四章 资格审查方法及标准</w:t>
      </w:r>
    </w:p>
    <w:p>
      <w:pPr>
        <w:tabs>
          <w:tab w:val="left" w:pos="476"/>
        </w:tabs>
        <w:spacing w:line="360" w:lineRule="auto"/>
        <w:ind w:left="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第五章 评标方法、程序及标准</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eastAsia="zh-CN"/>
        </w:rPr>
        <w:t>第六章 合同书格式</w:t>
      </w:r>
      <w:r>
        <w:rPr>
          <w:rFonts w:hint="eastAsia" w:ascii="宋体" w:hAnsi="宋体" w:eastAsia="宋体" w:cs="宋体"/>
          <w:color w:val="auto"/>
          <w:sz w:val="24"/>
          <w:szCs w:val="20"/>
          <w:lang w:val="zh-CN"/>
        </w:rPr>
        <w:t>（参考）</w:t>
      </w:r>
    </w:p>
    <w:p>
      <w:pPr>
        <w:tabs>
          <w:tab w:val="left" w:pos="476"/>
        </w:tabs>
        <w:spacing w:line="360" w:lineRule="auto"/>
        <w:ind w:left="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第七章 投标文件格式</w:t>
      </w:r>
      <w:r>
        <w:rPr>
          <w:rFonts w:hint="eastAsia" w:ascii="宋体" w:hAnsi="宋体" w:eastAsia="宋体" w:cs="宋体"/>
          <w:color w:val="auto"/>
          <w:sz w:val="24"/>
          <w:szCs w:val="20"/>
          <w:lang w:val="zh-CN"/>
        </w:rPr>
        <w:t>（参考）</w:t>
      </w:r>
    </w:p>
    <w:p>
      <w:pPr>
        <w:tabs>
          <w:tab w:val="left" w:pos="476"/>
        </w:tabs>
        <w:spacing w:line="360" w:lineRule="auto"/>
        <w:ind w:left="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其 他  在招标过程中由采购代理机构发出的修正和补充文件等</w:t>
      </w:r>
    </w:p>
    <w:p>
      <w:pPr>
        <w:numPr>
          <w:ilvl w:val="0"/>
          <w:numId w:val="3"/>
        </w:numPr>
        <w:spacing w:line="360" w:lineRule="auto"/>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招标文件</w:t>
      </w:r>
      <w:r>
        <w:rPr>
          <w:rFonts w:hint="eastAsia" w:ascii="宋体" w:hAnsi="宋体" w:eastAsia="宋体" w:cs="宋体"/>
          <w:b/>
          <w:color w:val="auto"/>
          <w:sz w:val="24"/>
          <w:szCs w:val="20"/>
          <w:lang w:val="zh-CN"/>
        </w:rPr>
        <w:t>疑问的提交</w:t>
      </w:r>
    </w:p>
    <w:p>
      <w:pPr>
        <w:numPr>
          <w:ilvl w:val="0"/>
          <w:numId w:val="7"/>
        </w:numPr>
        <w:spacing w:line="360" w:lineRule="auto"/>
        <w:ind w:left="476" w:hanging="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rPr>
        <w:t>潜在投标人对招标文件有疑问的，可以向</w:t>
      </w: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sz w:val="24"/>
          <w:szCs w:val="20"/>
          <w:lang w:val="zh-CN"/>
        </w:rPr>
        <w:t>提出询问，或在6.2规定的时间</w:t>
      </w:r>
      <w:r>
        <w:rPr>
          <w:rFonts w:hint="eastAsia" w:ascii="宋体" w:hAnsi="宋体" w:eastAsia="宋体" w:cs="宋体"/>
          <w:color w:val="auto"/>
          <w:sz w:val="24"/>
          <w:szCs w:val="20"/>
          <w:lang w:val="zh-CN" w:eastAsia="zh-CN"/>
        </w:rPr>
        <w:t>前</w:t>
      </w:r>
      <w:r>
        <w:rPr>
          <w:rFonts w:hint="eastAsia" w:ascii="宋体" w:hAnsi="宋体" w:eastAsia="宋体" w:cs="宋体"/>
          <w:color w:val="auto"/>
          <w:sz w:val="24"/>
          <w:szCs w:val="20"/>
          <w:lang w:val="zh-CN"/>
        </w:rPr>
        <w:t>以书面的形式向</w:t>
      </w: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sz w:val="24"/>
          <w:szCs w:val="20"/>
          <w:lang w:val="zh-CN"/>
        </w:rPr>
        <w:t>提交疑问函</w:t>
      </w:r>
      <w:r>
        <w:rPr>
          <w:rFonts w:hint="eastAsia" w:ascii="宋体" w:hAnsi="宋体" w:eastAsia="宋体" w:cs="宋体"/>
          <w:color w:val="auto"/>
          <w:sz w:val="24"/>
          <w:szCs w:val="20"/>
          <w:lang w:val="zh-CN" w:eastAsia="zh-CN"/>
        </w:rPr>
        <w:t>。</w:t>
      </w:r>
    </w:p>
    <w:p>
      <w:pPr>
        <w:numPr>
          <w:ilvl w:val="0"/>
          <w:numId w:val="7"/>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潜在投标人在项目招标公告期限届满之日起7个工作日内未对招标文件提出疑问的，</w:t>
      </w: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sz w:val="24"/>
          <w:szCs w:val="20"/>
          <w:lang w:val="zh-CN"/>
        </w:rPr>
        <w:t>将视其认同招标文件，在规定的时间后就招标文件内容提出的疑问将不予受理。</w:t>
      </w:r>
    </w:p>
    <w:p>
      <w:pPr>
        <w:numPr>
          <w:ilvl w:val="0"/>
          <w:numId w:val="7"/>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sz w:val="24"/>
          <w:szCs w:val="20"/>
          <w:lang w:val="zh-CN"/>
        </w:rPr>
        <w:t>将组织采购人对潜在投标人所提交疑问以书面（或网上公告）的形式予以答复。必要时，</w:t>
      </w: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sz w:val="24"/>
          <w:szCs w:val="20"/>
          <w:lang w:val="zh-CN"/>
        </w:rPr>
        <w:t>机构将组织相关专家召开答疑会，并将会议内容以书面的形式发给每个领取招标文件的潜在投标人（答复中不包括问题的来源）。</w:t>
      </w:r>
    </w:p>
    <w:p>
      <w:pPr>
        <w:numPr>
          <w:ilvl w:val="0"/>
          <w:numId w:val="3"/>
        </w:numPr>
        <w:spacing w:line="360" w:lineRule="auto"/>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招标文件的</w:t>
      </w:r>
      <w:r>
        <w:rPr>
          <w:rFonts w:hint="eastAsia" w:ascii="宋体" w:hAnsi="宋体" w:eastAsia="宋体" w:cs="宋体"/>
          <w:b/>
          <w:color w:val="auto"/>
          <w:sz w:val="24"/>
          <w:szCs w:val="20"/>
          <w:lang w:val="zh-CN"/>
        </w:rPr>
        <w:t>澄清、</w:t>
      </w:r>
      <w:r>
        <w:rPr>
          <w:rFonts w:hint="eastAsia" w:ascii="宋体" w:hAnsi="宋体" w:eastAsia="宋体" w:cs="宋体"/>
          <w:b/>
          <w:color w:val="auto"/>
          <w:sz w:val="24"/>
          <w:szCs w:val="20"/>
          <w:lang w:val="zh-CN" w:eastAsia="zh-CN"/>
        </w:rPr>
        <w:t>修改</w:t>
      </w:r>
    </w:p>
    <w:p>
      <w:pPr>
        <w:numPr>
          <w:ilvl w:val="0"/>
          <w:numId w:val="8"/>
        </w:numPr>
        <w:spacing w:line="360" w:lineRule="auto"/>
        <w:ind w:left="476" w:hanging="476"/>
        <w:rPr>
          <w:rFonts w:hint="eastAsia" w:ascii="宋体" w:hAnsi="宋体" w:eastAsia="宋体" w:cs="宋体"/>
          <w:color w:val="auto"/>
          <w:kern w:val="0"/>
          <w:sz w:val="24"/>
          <w:szCs w:val="24"/>
          <w:lang w:val="zh-CN" w:eastAsia="zh-CN"/>
        </w:rPr>
      </w:pPr>
      <w:r>
        <w:rPr>
          <w:rFonts w:hint="eastAsia" w:ascii="宋体" w:hAnsi="宋体" w:eastAsia="宋体" w:cs="宋体"/>
          <w:color w:val="auto"/>
          <w:sz w:val="24"/>
          <w:szCs w:val="20"/>
          <w:lang w:val="zh-CN" w:eastAsia="zh-CN"/>
        </w:rPr>
        <w:t>采购代理机构和采购人可以对已发出的招标文件进行必要的澄清或者修改</w:t>
      </w:r>
      <w:r>
        <w:rPr>
          <w:rFonts w:hint="eastAsia" w:ascii="宋体" w:hAnsi="宋体" w:eastAsia="宋体" w:cs="宋体"/>
          <w:color w:val="auto"/>
          <w:sz w:val="24"/>
          <w:szCs w:val="20"/>
          <w:lang w:val="zh-CN"/>
        </w:rPr>
        <w:t>，</w:t>
      </w:r>
      <w:r>
        <w:rPr>
          <w:rFonts w:hint="eastAsia" w:ascii="宋体" w:hAnsi="宋体" w:eastAsia="宋体" w:cs="宋体"/>
          <w:color w:val="auto"/>
          <w:kern w:val="0"/>
          <w:sz w:val="24"/>
          <w:szCs w:val="24"/>
          <w:lang w:val="zh-CN" w:eastAsia="zh-CN"/>
        </w:rPr>
        <w:t>但不得改变采购标的和资格条件</w:t>
      </w:r>
      <w:r>
        <w:rPr>
          <w:rFonts w:hint="eastAsia" w:ascii="宋体" w:hAnsi="宋体" w:eastAsia="宋体" w:cs="宋体"/>
          <w:color w:val="auto"/>
          <w:sz w:val="24"/>
          <w:szCs w:val="20"/>
          <w:lang w:val="zh-CN" w:eastAsia="zh-CN"/>
        </w:rPr>
        <w:t>。</w:t>
      </w:r>
      <w:r>
        <w:rPr>
          <w:rFonts w:hint="eastAsia" w:ascii="宋体" w:hAnsi="宋体" w:eastAsia="宋体" w:cs="宋体"/>
          <w:color w:val="auto"/>
          <w:kern w:val="0"/>
          <w:sz w:val="24"/>
          <w:szCs w:val="24"/>
          <w:lang w:val="zh-CN" w:eastAsia="zh-CN"/>
        </w:rPr>
        <w:t>澄清或者修改</w:t>
      </w:r>
      <w:r>
        <w:rPr>
          <w:rFonts w:hint="eastAsia" w:ascii="宋体" w:hAnsi="宋体" w:eastAsia="宋体" w:cs="宋体"/>
          <w:color w:val="auto"/>
          <w:kern w:val="0"/>
          <w:sz w:val="24"/>
          <w:szCs w:val="24"/>
          <w:lang w:val="zh-CN"/>
        </w:rPr>
        <w:t>将</w:t>
      </w:r>
      <w:r>
        <w:rPr>
          <w:rFonts w:hint="eastAsia" w:ascii="宋体" w:hAnsi="宋体" w:eastAsia="宋体" w:cs="宋体"/>
          <w:color w:val="auto"/>
          <w:kern w:val="0"/>
          <w:sz w:val="24"/>
          <w:szCs w:val="24"/>
          <w:lang w:val="zh-CN" w:eastAsia="zh-CN"/>
        </w:rPr>
        <w:t>在原公告发布媒体上发布澄清公告。澄清或者修改的内容可能影响投标文件编制的，</w:t>
      </w: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kern w:val="0"/>
          <w:sz w:val="24"/>
          <w:szCs w:val="24"/>
          <w:lang w:val="zh-CN" w:eastAsia="zh-CN"/>
        </w:rPr>
        <w:t>和采购人将在投标截止时间至少</w:t>
      </w:r>
      <w:r>
        <w:rPr>
          <w:rFonts w:hint="eastAsia" w:ascii="宋体" w:hAnsi="宋体" w:eastAsia="宋体" w:cs="宋体"/>
          <w:color w:val="auto"/>
          <w:sz w:val="24"/>
          <w:szCs w:val="20"/>
          <w:lang w:val="zh-CN"/>
        </w:rPr>
        <w:t>15</w:t>
      </w:r>
      <w:r>
        <w:rPr>
          <w:rFonts w:hint="eastAsia" w:ascii="宋体" w:hAnsi="宋体" w:eastAsia="宋体" w:cs="宋体"/>
          <w:color w:val="auto"/>
          <w:kern w:val="0"/>
          <w:sz w:val="24"/>
          <w:szCs w:val="24"/>
          <w:lang w:val="zh-CN" w:eastAsia="zh-CN"/>
        </w:rPr>
        <w:t>日前，以书面形式通知所有获取招标文件的潜在投标人。</w:t>
      </w:r>
    </w:p>
    <w:p>
      <w:pPr>
        <w:numPr>
          <w:ilvl w:val="0"/>
          <w:numId w:val="8"/>
        </w:numPr>
        <w:spacing w:line="360" w:lineRule="auto"/>
        <w:ind w:left="476" w:hanging="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为使</w:t>
      </w:r>
      <w:r>
        <w:rPr>
          <w:rFonts w:hint="eastAsia" w:ascii="宋体" w:hAnsi="宋体" w:eastAsia="宋体" w:cs="宋体"/>
          <w:color w:val="auto"/>
          <w:sz w:val="24"/>
          <w:szCs w:val="20"/>
          <w:lang w:val="zh-CN"/>
        </w:rPr>
        <w:t>潜在</w:t>
      </w:r>
      <w:r>
        <w:rPr>
          <w:rFonts w:hint="eastAsia" w:ascii="宋体" w:hAnsi="宋体" w:eastAsia="宋体" w:cs="宋体"/>
          <w:color w:val="auto"/>
          <w:sz w:val="24"/>
          <w:szCs w:val="20"/>
          <w:lang w:val="zh-CN" w:eastAsia="zh-CN"/>
        </w:rPr>
        <w:t>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8"/>
        </w:numPr>
        <w:spacing w:line="360" w:lineRule="auto"/>
        <w:ind w:left="476" w:hanging="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澄清或者修改的内容为招标文件的组成部分，并对潜在投标人具有约束力。潜在投标人在收到上述通知后，应立即以书面（或邮件）形式向采购代理机构确认收悉。</w:t>
      </w:r>
    </w:p>
    <w:p>
      <w:pPr>
        <w:numPr>
          <w:ilvl w:val="0"/>
          <w:numId w:val="3"/>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现场考察</w:t>
      </w:r>
    </w:p>
    <w:p>
      <w:pPr>
        <w:numPr>
          <w:ilvl w:val="0"/>
          <w:numId w:val="9"/>
        </w:numPr>
        <w:spacing w:line="360" w:lineRule="auto"/>
        <w:ind w:left="476" w:hanging="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采购人可以在招标文件提供期限截止后，组织已获取招标文件的潜在投标人现场考察。采购人组织现场考察的，</w:t>
      </w:r>
      <w:r>
        <w:rPr>
          <w:rFonts w:hint="eastAsia" w:ascii="宋体" w:hAnsi="宋体" w:eastAsia="宋体" w:cs="宋体"/>
          <w:color w:val="auto"/>
          <w:sz w:val="24"/>
          <w:szCs w:val="20"/>
          <w:lang w:val="zh-CN"/>
        </w:rPr>
        <w:t>潜在</w:t>
      </w:r>
      <w:r>
        <w:rPr>
          <w:rFonts w:hint="eastAsia" w:ascii="宋体" w:hAnsi="宋体" w:eastAsia="宋体" w:cs="宋体"/>
          <w:color w:val="auto"/>
          <w:sz w:val="24"/>
          <w:szCs w:val="20"/>
          <w:lang w:val="zh-CN" w:eastAsia="zh-CN"/>
        </w:rPr>
        <w:t>投标人可对项目现场及周围环境进行踏勘，以便获取有关编制投标文件和签署合同所涉及现场的资料。</w:t>
      </w:r>
    </w:p>
    <w:p>
      <w:pPr>
        <w:numPr>
          <w:ilvl w:val="0"/>
          <w:numId w:val="9"/>
        </w:numPr>
        <w:spacing w:line="360" w:lineRule="auto"/>
        <w:ind w:left="476" w:hanging="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采购人向</w:t>
      </w:r>
      <w:r>
        <w:rPr>
          <w:rFonts w:hint="eastAsia" w:ascii="宋体" w:hAnsi="宋体" w:eastAsia="宋体" w:cs="宋体"/>
          <w:color w:val="auto"/>
          <w:sz w:val="24"/>
          <w:szCs w:val="20"/>
          <w:lang w:val="zh-CN"/>
        </w:rPr>
        <w:t>潜在</w:t>
      </w:r>
      <w:r>
        <w:rPr>
          <w:rFonts w:hint="eastAsia" w:ascii="宋体" w:hAnsi="宋体" w:eastAsia="宋体" w:cs="宋体"/>
          <w:color w:val="auto"/>
          <w:sz w:val="24"/>
          <w:szCs w:val="20"/>
          <w:lang w:val="zh-CN" w:eastAsia="zh-CN"/>
        </w:rPr>
        <w:t>投标人提供有关现场的数据和资料。是采购人现有的能被</w:t>
      </w:r>
      <w:r>
        <w:rPr>
          <w:rFonts w:hint="eastAsia" w:ascii="宋体" w:hAnsi="宋体" w:eastAsia="宋体" w:cs="宋体"/>
          <w:color w:val="auto"/>
          <w:sz w:val="24"/>
          <w:szCs w:val="20"/>
          <w:lang w:val="zh-CN"/>
        </w:rPr>
        <w:t>潜在</w:t>
      </w:r>
      <w:r>
        <w:rPr>
          <w:rFonts w:hint="eastAsia" w:ascii="宋体" w:hAnsi="宋体" w:eastAsia="宋体" w:cs="宋体"/>
          <w:color w:val="auto"/>
          <w:sz w:val="24"/>
          <w:szCs w:val="20"/>
          <w:lang w:val="zh-CN" w:eastAsia="zh-CN"/>
        </w:rPr>
        <w:t>投标人利用的客观资料，采购人对</w:t>
      </w:r>
      <w:r>
        <w:rPr>
          <w:rFonts w:hint="eastAsia" w:ascii="宋体" w:hAnsi="宋体" w:eastAsia="宋体" w:cs="宋体"/>
          <w:color w:val="auto"/>
          <w:sz w:val="24"/>
          <w:szCs w:val="20"/>
          <w:lang w:val="zh-CN"/>
        </w:rPr>
        <w:t>潜在</w:t>
      </w:r>
      <w:r>
        <w:rPr>
          <w:rFonts w:hint="eastAsia" w:ascii="宋体" w:hAnsi="宋体" w:eastAsia="宋体" w:cs="宋体"/>
          <w:color w:val="auto"/>
          <w:sz w:val="24"/>
          <w:szCs w:val="20"/>
          <w:lang w:val="zh-CN" w:eastAsia="zh-CN"/>
        </w:rPr>
        <w:t>投标人依此作出的任何推论、理解和结论均不负责任。</w:t>
      </w:r>
    </w:p>
    <w:p>
      <w:pPr>
        <w:numPr>
          <w:ilvl w:val="0"/>
          <w:numId w:val="9"/>
        </w:numPr>
        <w:spacing w:line="360" w:lineRule="auto"/>
        <w:ind w:left="476" w:hanging="476"/>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经采购人允许，</w:t>
      </w:r>
      <w:r>
        <w:rPr>
          <w:rFonts w:hint="eastAsia" w:ascii="宋体" w:hAnsi="宋体" w:eastAsia="宋体" w:cs="宋体"/>
          <w:color w:val="auto"/>
          <w:sz w:val="24"/>
          <w:szCs w:val="20"/>
          <w:lang w:val="zh-CN"/>
        </w:rPr>
        <w:t>潜在</w:t>
      </w:r>
      <w:r>
        <w:rPr>
          <w:rFonts w:hint="eastAsia" w:ascii="宋体" w:hAnsi="宋体" w:eastAsia="宋体" w:cs="宋体"/>
          <w:color w:val="auto"/>
          <w:sz w:val="24"/>
          <w:szCs w:val="20"/>
          <w:lang w:val="zh-CN" w:eastAsia="zh-CN"/>
        </w:rPr>
        <w:t>投标人可进入项目现场进行考察，但</w:t>
      </w:r>
      <w:r>
        <w:rPr>
          <w:rFonts w:hint="eastAsia" w:ascii="宋体" w:hAnsi="宋体" w:eastAsia="宋体" w:cs="宋体"/>
          <w:color w:val="auto"/>
          <w:sz w:val="24"/>
          <w:szCs w:val="20"/>
          <w:lang w:val="zh-CN"/>
        </w:rPr>
        <w:t>潜在</w:t>
      </w:r>
      <w:r>
        <w:rPr>
          <w:rFonts w:hint="eastAsia" w:ascii="宋体" w:hAnsi="宋体" w:eastAsia="宋体" w:cs="宋体"/>
          <w:color w:val="auto"/>
          <w:sz w:val="24"/>
          <w:szCs w:val="20"/>
          <w:lang w:val="zh-CN" w:eastAsia="zh-CN"/>
        </w:rPr>
        <w:t>投标人不得因此使采购人承担有关责任和蒙受损失。</w:t>
      </w:r>
      <w:r>
        <w:rPr>
          <w:rFonts w:hint="eastAsia" w:ascii="宋体" w:hAnsi="宋体" w:eastAsia="宋体" w:cs="宋体"/>
          <w:color w:val="auto"/>
          <w:sz w:val="24"/>
          <w:szCs w:val="20"/>
          <w:lang w:val="zh-CN"/>
        </w:rPr>
        <w:t>潜在</w:t>
      </w:r>
      <w:r>
        <w:rPr>
          <w:rFonts w:hint="eastAsia" w:ascii="宋体" w:hAnsi="宋体" w:eastAsia="宋体" w:cs="宋体"/>
          <w:color w:val="auto"/>
          <w:sz w:val="24"/>
          <w:szCs w:val="20"/>
          <w:lang w:val="zh-CN" w:eastAsia="zh-CN"/>
        </w:rPr>
        <w:t>投标人应自行承担现场考察的全部费用、责任和风险。</w:t>
      </w:r>
    </w:p>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29" w:name="_Toc31291"/>
      <w:bookmarkStart w:id="30" w:name="_Toc272247696"/>
      <w:bookmarkStart w:id="31" w:name="_Toc494561940"/>
      <w:bookmarkStart w:id="32" w:name="_Toc278891593"/>
      <w:r>
        <w:rPr>
          <w:rFonts w:hint="eastAsia" w:ascii="宋体" w:hAnsi="宋体" w:eastAsia="宋体" w:cs="宋体"/>
          <w:bCs w:val="0"/>
          <w:color w:val="auto"/>
          <w:lang w:val="zh-CN" w:eastAsia="zh-CN"/>
        </w:rPr>
        <w:t>投标文件</w:t>
      </w:r>
      <w:bookmarkEnd w:id="29"/>
      <w:bookmarkEnd w:id="30"/>
      <w:bookmarkEnd w:id="31"/>
      <w:bookmarkEnd w:id="32"/>
    </w:p>
    <w:p>
      <w:pPr>
        <w:numPr>
          <w:ilvl w:val="0"/>
          <w:numId w:val="3"/>
        </w:numPr>
        <w:spacing w:line="360" w:lineRule="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投标的语言</w:t>
      </w:r>
    </w:p>
    <w:p>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投标人提交的投标文件以及投标人与</w:t>
      </w: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sz w:val="24"/>
          <w:szCs w:val="24"/>
          <w:lang w:val="zh-CN" w:eastAsia="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3"/>
        </w:numPr>
        <w:spacing w:line="360" w:lineRule="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投标文件的构成</w:t>
      </w:r>
    </w:p>
    <w:p>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投标人编制的投标文件应包括但不</w:t>
      </w:r>
      <w:r>
        <w:rPr>
          <w:rFonts w:hint="eastAsia" w:ascii="宋体" w:hAnsi="宋体" w:eastAsia="宋体" w:cs="宋体"/>
          <w:color w:val="auto"/>
          <w:sz w:val="24"/>
          <w:szCs w:val="24"/>
          <w:lang w:val="zh-CN"/>
        </w:rPr>
        <w:t>限</w:t>
      </w:r>
      <w:r>
        <w:rPr>
          <w:rFonts w:hint="eastAsia" w:ascii="宋体" w:hAnsi="宋体" w:eastAsia="宋体" w:cs="宋体"/>
          <w:color w:val="auto"/>
          <w:sz w:val="24"/>
          <w:szCs w:val="24"/>
          <w:lang w:val="zh-CN" w:eastAsia="zh-CN"/>
        </w:rPr>
        <w:t>于下列内容：</w:t>
      </w:r>
    </w:p>
    <w:p>
      <w:pPr>
        <w:spacing w:line="360" w:lineRule="auto"/>
        <w:ind w:left="1678" w:leftChars="228" w:hanging="1200" w:hangingChars="5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第一部分  </w:t>
      </w:r>
      <w:r>
        <w:rPr>
          <w:rFonts w:hint="eastAsia" w:ascii="宋体" w:hAnsi="宋体" w:eastAsia="宋体" w:cs="宋体"/>
          <w:color w:val="auto"/>
          <w:sz w:val="24"/>
          <w:szCs w:val="24"/>
          <w:lang w:val="zh-CN" w:eastAsia="zh-CN"/>
        </w:rPr>
        <w:t>资格证明文件（详见第七章“投标文件格式”中资格证明文件组成，如采购人已组织过项目资格预审的，投标人无需再提交资格证明文件）</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第二部分  </w:t>
      </w:r>
      <w:r>
        <w:rPr>
          <w:rFonts w:hint="eastAsia" w:ascii="宋体" w:hAnsi="宋体" w:eastAsia="宋体" w:cs="宋体"/>
          <w:color w:val="auto"/>
          <w:sz w:val="24"/>
          <w:szCs w:val="24"/>
          <w:lang w:val="zh-CN" w:eastAsia="zh-CN"/>
        </w:rPr>
        <w:t>商务文件（详见第七章“投标文件格式”中商务文件组成）</w:t>
      </w:r>
    </w:p>
    <w:p>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 xml:space="preserve">第三部分  </w:t>
      </w:r>
      <w:r>
        <w:rPr>
          <w:rFonts w:hint="eastAsia" w:ascii="宋体" w:hAnsi="宋体" w:eastAsia="宋体" w:cs="宋体"/>
          <w:color w:val="auto"/>
          <w:sz w:val="24"/>
          <w:szCs w:val="24"/>
          <w:lang w:val="zh-CN" w:eastAsia="zh-CN"/>
        </w:rPr>
        <w:t>技术、服务文件（详见第七章“投标文件格式”中技术、服务文件组成）</w:t>
      </w:r>
    </w:p>
    <w:p>
      <w:pPr>
        <w:numPr>
          <w:ilvl w:val="0"/>
          <w:numId w:val="3"/>
        </w:numPr>
        <w:spacing w:line="360" w:lineRule="auto"/>
        <w:ind w:left="560" w:hanging="56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投标文件编制</w:t>
      </w:r>
    </w:p>
    <w:p>
      <w:pPr>
        <w:numPr>
          <w:ilvl w:val="0"/>
          <w:numId w:val="1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如</w:t>
      </w:r>
      <w:r>
        <w:rPr>
          <w:rFonts w:hint="eastAsia" w:ascii="宋体" w:hAnsi="宋体" w:eastAsia="宋体" w:cs="宋体"/>
          <w:color w:val="auto"/>
          <w:sz w:val="24"/>
          <w:szCs w:val="24"/>
          <w:lang w:val="zh-CN" w:eastAsia="zh-CN"/>
        </w:rPr>
        <w:t>招标文件有分包要求，投标人对招标文件中多个包进行投标的，其投标文件的编制应按每包要求分别装订和封装</w:t>
      </w:r>
      <w:r>
        <w:rPr>
          <w:rFonts w:hint="eastAsia" w:ascii="宋体" w:hAnsi="宋体" w:eastAsia="宋体" w:cs="宋体"/>
          <w:color w:val="auto"/>
          <w:sz w:val="24"/>
          <w:szCs w:val="24"/>
          <w:lang w:val="zh-CN"/>
        </w:rPr>
        <w:t>，并注明对应包号</w:t>
      </w:r>
      <w:r>
        <w:rPr>
          <w:rFonts w:hint="eastAsia" w:ascii="宋体" w:hAnsi="宋体" w:eastAsia="宋体" w:cs="宋体"/>
          <w:color w:val="auto"/>
          <w:sz w:val="24"/>
          <w:szCs w:val="24"/>
          <w:lang w:val="zh-CN" w:eastAsia="zh-CN"/>
        </w:rPr>
        <w:t>。</w:t>
      </w:r>
    </w:p>
    <w:p>
      <w:pPr>
        <w:numPr>
          <w:ilvl w:val="0"/>
          <w:numId w:val="1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投标人应当对投标文件进行装订，对未经装订的投标书可能发生的文件散落或缺损，由此产生的后果及责任由投标人自行承担。</w:t>
      </w:r>
    </w:p>
    <w:p>
      <w:pPr>
        <w:numPr>
          <w:ilvl w:val="0"/>
          <w:numId w:val="1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投标人应按照招标文件第七章“</w:t>
      </w:r>
      <w:r>
        <w:rPr>
          <w:rFonts w:hint="eastAsia" w:ascii="宋体" w:hAnsi="宋体" w:eastAsia="宋体" w:cs="宋体"/>
          <w:color w:val="auto"/>
          <w:sz w:val="24"/>
          <w:szCs w:val="24"/>
          <w:lang w:val="zh-CN" w:eastAsia="zh-CN"/>
        </w:rPr>
        <w:t>投标文件格式</w:t>
      </w:r>
      <w:r>
        <w:rPr>
          <w:rFonts w:hint="eastAsia" w:ascii="宋体" w:hAnsi="宋体" w:eastAsia="宋体" w:cs="宋体"/>
          <w:color w:val="auto"/>
          <w:sz w:val="24"/>
          <w:szCs w:val="24"/>
          <w:lang w:val="zh-CN"/>
        </w:rPr>
        <w:t>”提供的《投标书》、《开标一览表》、《投标报价明细表》、《法定代表人授权书》等格式、要求、规定来编制投标文件。</w:t>
      </w:r>
    </w:p>
    <w:p>
      <w:pPr>
        <w:numPr>
          <w:ilvl w:val="0"/>
          <w:numId w:val="1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投标人应对投标文件中所提供资料的真实性负责，如有虚假，将依法承担相应责任。投标人应自觉接受</w:t>
      </w: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sz w:val="24"/>
          <w:szCs w:val="24"/>
          <w:lang w:val="zh-CN"/>
        </w:rPr>
        <w:t>对其中任何资料进一步核实的要求。</w:t>
      </w:r>
    </w:p>
    <w:p>
      <w:pPr>
        <w:numPr>
          <w:ilvl w:val="0"/>
          <w:numId w:val="1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因投标人投标文件填报的内容不详，或没有提供招标文件中所要求的全部资料及数据等，由此产生的后果及责任由投标人自行承担。</w:t>
      </w:r>
    </w:p>
    <w:p>
      <w:pPr>
        <w:numPr>
          <w:ilvl w:val="0"/>
          <w:numId w:val="1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投标文件用纸应统一为A4规格（图纸除外）。</w:t>
      </w:r>
    </w:p>
    <w:p>
      <w:pPr>
        <w:numPr>
          <w:ilvl w:val="0"/>
          <w:numId w:val="10"/>
        </w:numPr>
        <w:spacing w:line="360" w:lineRule="auto"/>
        <w:ind w:left="616" w:hanging="61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宋体"/>
          <w:b/>
          <w:color w:val="auto"/>
          <w:sz w:val="24"/>
          <w:szCs w:val="20"/>
          <w:lang w:val="zh-CN" w:eastAsia="zh-CN"/>
        </w:rPr>
        <w:t>各部分文件及内容详见第七章“投标文件格式”要求。</w:t>
      </w:r>
    </w:p>
    <w:p>
      <w:pPr>
        <w:numPr>
          <w:ilvl w:val="0"/>
          <w:numId w:val="3"/>
        </w:numPr>
        <w:spacing w:line="360" w:lineRule="auto"/>
        <w:ind w:left="560" w:hanging="56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投标报价</w:t>
      </w:r>
    </w:p>
    <w:p>
      <w:pPr>
        <w:numPr>
          <w:ilvl w:val="0"/>
          <w:numId w:val="11"/>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投标人所提供的货物（工程或服务）均以人民币计价。</w:t>
      </w:r>
    </w:p>
    <w:p>
      <w:pPr>
        <w:numPr>
          <w:ilvl w:val="0"/>
          <w:numId w:val="11"/>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1"/>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《投标报价明细表》填写时应响应下列要求：</w:t>
      </w:r>
    </w:p>
    <w:p>
      <w:pPr>
        <w:numPr>
          <w:ilvl w:val="0"/>
          <w:numId w:val="12"/>
        </w:numPr>
        <w:spacing w:line="360" w:lineRule="auto"/>
        <w:ind w:left="980" w:hanging="854"/>
        <w:rPr>
          <w:rFonts w:hint="eastAsia" w:ascii="宋体" w:hAnsi="宋体" w:eastAsia="宋体" w:cs="宋体"/>
          <w:color w:val="auto"/>
          <w:sz w:val="24"/>
          <w:szCs w:val="24"/>
          <w:lang w:val="zh-CN" w:eastAsia="zh-CN"/>
        </w:rPr>
      </w:pPr>
      <w:r>
        <w:rPr>
          <w:rFonts w:hint="eastAsia" w:ascii="宋体" w:hAnsi="宋体" w:eastAsia="宋体" w:cs="宋体"/>
          <w:color w:val="auto"/>
          <w:sz w:val="24"/>
        </w:rPr>
        <w:t>应包括所有根据合同或其他原因由投标人支付的款项、费用</w:t>
      </w:r>
      <w:r>
        <w:rPr>
          <w:rFonts w:hint="eastAsia" w:ascii="宋体" w:hAnsi="宋体" w:eastAsia="宋体" w:cs="宋体"/>
          <w:color w:val="auto"/>
          <w:sz w:val="24"/>
          <w:szCs w:val="24"/>
          <w:lang w:val="zh-CN" w:eastAsia="zh-CN"/>
        </w:rPr>
        <w:t>；</w:t>
      </w:r>
    </w:p>
    <w:p>
      <w:pPr>
        <w:numPr>
          <w:ilvl w:val="0"/>
          <w:numId w:val="12"/>
        </w:numPr>
        <w:spacing w:line="360" w:lineRule="auto"/>
        <w:ind w:left="980" w:hanging="854"/>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应包含货物运至最终目的地的运输、保险和伴随货物</w:t>
      </w:r>
      <w:r>
        <w:rPr>
          <w:rFonts w:hint="eastAsia" w:ascii="宋体" w:hAnsi="宋体" w:eastAsia="宋体" w:cs="宋体"/>
          <w:color w:val="auto"/>
          <w:sz w:val="24"/>
          <w:szCs w:val="24"/>
          <w:lang w:val="zh-CN"/>
        </w:rPr>
        <w:t>（工程或服务）</w:t>
      </w:r>
      <w:r>
        <w:rPr>
          <w:rFonts w:hint="eastAsia" w:ascii="宋体" w:hAnsi="宋体" w:eastAsia="宋体" w:cs="宋体"/>
          <w:color w:val="auto"/>
          <w:sz w:val="24"/>
          <w:szCs w:val="24"/>
          <w:lang w:val="zh-CN" w:eastAsia="zh-CN"/>
        </w:rPr>
        <w:t>的有关费用；</w:t>
      </w:r>
    </w:p>
    <w:p>
      <w:pPr>
        <w:numPr>
          <w:ilvl w:val="0"/>
          <w:numId w:val="12"/>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w:t>
      </w:r>
      <w:r>
        <w:rPr>
          <w:rFonts w:hint="eastAsia" w:ascii="宋体" w:hAnsi="宋体" w:eastAsia="宋体" w:cs="宋体"/>
          <w:color w:val="auto"/>
          <w:sz w:val="24"/>
          <w:szCs w:val="24"/>
          <w:lang w:val="zh-CN" w:eastAsia="zh-CN"/>
        </w:rPr>
        <w:t>详细</w:t>
      </w:r>
      <w:r>
        <w:rPr>
          <w:rFonts w:hint="eastAsia" w:ascii="宋体" w:hAnsi="宋体" w:eastAsia="宋体" w:cs="宋体"/>
          <w:color w:val="auto"/>
          <w:sz w:val="24"/>
          <w:szCs w:val="24"/>
          <w:lang w:val="zh-CN"/>
        </w:rPr>
        <w:t>提供</w:t>
      </w:r>
      <w:r>
        <w:rPr>
          <w:rFonts w:hint="eastAsia" w:ascii="宋体" w:hAnsi="宋体" w:eastAsia="宋体" w:cs="宋体"/>
          <w:color w:val="auto"/>
          <w:sz w:val="24"/>
          <w:szCs w:val="24"/>
          <w:lang w:val="zh-CN" w:eastAsia="zh-CN"/>
        </w:rPr>
        <w:t>《投标报价明细表》和《投标货物、服务清单》等内容，</w:t>
      </w:r>
      <w:r>
        <w:rPr>
          <w:rFonts w:hint="eastAsia" w:ascii="宋体" w:hAnsi="宋体" w:eastAsia="宋体" w:cs="宋体"/>
          <w:color w:val="auto"/>
          <w:sz w:val="24"/>
          <w:szCs w:val="24"/>
          <w:lang w:val="zh-CN"/>
        </w:rPr>
        <w:t>否则按照</w:t>
      </w:r>
      <w:r>
        <w:rPr>
          <w:rFonts w:hint="eastAsia" w:ascii="宋体" w:hAnsi="宋体" w:eastAsia="宋体" w:cs="宋体"/>
          <w:b/>
          <w:color w:val="auto"/>
          <w:sz w:val="24"/>
          <w:szCs w:val="24"/>
          <w:lang w:val="zh-CN" w:eastAsia="zh-CN"/>
        </w:rPr>
        <w:t>无效投标</w:t>
      </w:r>
      <w:r>
        <w:rPr>
          <w:rFonts w:hint="eastAsia" w:ascii="宋体" w:hAnsi="宋体" w:eastAsia="宋体" w:cs="宋体"/>
          <w:b/>
          <w:color w:val="auto"/>
          <w:sz w:val="24"/>
          <w:szCs w:val="24"/>
          <w:lang w:val="zh-CN"/>
        </w:rPr>
        <w:t>处理。</w:t>
      </w:r>
    </w:p>
    <w:p>
      <w:pPr>
        <w:numPr>
          <w:ilvl w:val="0"/>
          <w:numId w:val="11"/>
        </w:numPr>
        <w:spacing w:line="360" w:lineRule="auto"/>
        <w:ind w:left="616" w:hanging="616"/>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每一种规格的货物（工程或服务）只允许有一个报价</w:t>
      </w:r>
      <w:r>
        <w:rPr>
          <w:rFonts w:hint="eastAsia" w:ascii="宋体" w:hAnsi="宋体" w:eastAsia="宋体" w:cs="宋体"/>
          <w:color w:val="auto"/>
          <w:sz w:val="24"/>
          <w:szCs w:val="24"/>
          <w:lang w:val="zh-CN" w:eastAsia="zh-CN"/>
        </w:rPr>
        <w:t>，否则</w:t>
      </w:r>
      <w:r>
        <w:rPr>
          <w:rFonts w:hint="eastAsia" w:ascii="宋体" w:hAnsi="宋体" w:eastAsia="宋体" w:cs="宋体"/>
          <w:color w:val="auto"/>
          <w:sz w:val="24"/>
          <w:szCs w:val="24"/>
          <w:lang w:val="zh-CN"/>
        </w:rPr>
        <w:t>按照</w:t>
      </w:r>
      <w:r>
        <w:rPr>
          <w:rFonts w:hint="eastAsia" w:ascii="宋体" w:hAnsi="宋体" w:eastAsia="宋体" w:cs="宋体"/>
          <w:b/>
          <w:color w:val="auto"/>
          <w:sz w:val="24"/>
          <w:szCs w:val="24"/>
          <w:lang w:val="zh-CN" w:eastAsia="zh-CN"/>
        </w:rPr>
        <w:t>无效投标</w:t>
      </w:r>
      <w:r>
        <w:rPr>
          <w:rFonts w:hint="eastAsia" w:ascii="宋体" w:hAnsi="宋体" w:eastAsia="宋体" w:cs="宋体"/>
          <w:b/>
          <w:color w:val="auto"/>
          <w:sz w:val="24"/>
          <w:szCs w:val="24"/>
          <w:lang w:val="zh-CN"/>
        </w:rPr>
        <w:t>处理</w:t>
      </w:r>
      <w:r>
        <w:rPr>
          <w:rFonts w:hint="eastAsia" w:ascii="宋体" w:hAnsi="宋体" w:eastAsia="宋体" w:cs="宋体"/>
          <w:color w:val="auto"/>
          <w:sz w:val="24"/>
          <w:szCs w:val="24"/>
          <w:lang w:val="zh-CN" w:eastAsia="zh-CN"/>
        </w:rPr>
        <w:t>。</w:t>
      </w:r>
    </w:p>
    <w:p>
      <w:pPr>
        <w:numPr>
          <w:ilvl w:val="0"/>
          <w:numId w:val="11"/>
        </w:numPr>
        <w:spacing w:line="360" w:lineRule="auto"/>
        <w:ind w:left="616" w:hanging="616"/>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投标人的投标总报价在合同执行过程中是固定不变的</w:t>
      </w:r>
      <w:r>
        <w:rPr>
          <w:rFonts w:hint="eastAsia" w:ascii="宋体" w:hAnsi="宋体" w:eastAsia="宋体" w:cs="宋体"/>
          <w:color w:val="auto"/>
          <w:sz w:val="24"/>
          <w:szCs w:val="24"/>
          <w:lang w:val="zh-CN" w:eastAsia="zh-CN"/>
        </w:rPr>
        <w:t>，不得以任何理由予以变更。故投标人的投标</w:t>
      </w:r>
      <w:r>
        <w:rPr>
          <w:rFonts w:hint="eastAsia" w:ascii="宋体" w:hAnsi="宋体" w:eastAsia="宋体" w:cs="宋体"/>
          <w:color w:val="auto"/>
          <w:sz w:val="24"/>
          <w:szCs w:val="24"/>
          <w:lang w:val="zh-CN"/>
        </w:rPr>
        <w:t>总</w:t>
      </w:r>
      <w:r>
        <w:rPr>
          <w:rFonts w:hint="eastAsia" w:ascii="宋体" w:hAnsi="宋体" w:eastAsia="宋体" w:cs="宋体"/>
          <w:color w:val="auto"/>
          <w:sz w:val="24"/>
          <w:szCs w:val="24"/>
          <w:lang w:val="zh-CN" w:eastAsia="zh-CN"/>
        </w:rPr>
        <w:t>报价应包含本招标内容全部工作所需的一切费用，即投标总报价为“交钥匙”价。对在合同实施过程中可能发生的其它费用（如：增加耗材、材料涨价、人工、运输成本增加等因素），采购人不予支付。</w:t>
      </w:r>
    </w:p>
    <w:p>
      <w:pPr>
        <w:numPr>
          <w:ilvl w:val="0"/>
          <w:numId w:val="11"/>
        </w:numPr>
        <w:spacing w:line="360" w:lineRule="auto"/>
        <w:ind w:left="616" w:hanging="616"/>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对于招标文件未列明</w:t>
      </w:r>
      <w:r>
        <w:rPr>
          <w:rFonts w:hint="eastAsia" w:ascii="宋体" w:hAnsi="宋体" w:eastAsia="宋体" w:cs="宋体"/>
          <w:color w:val="auto"/>
          <w:sz w:val="24"/>
          <w:szCs w:val="24"/>
          <w:lang w:val="zh-CN" w:eastAsia="zh-CN"/>
        </w:rPr>
        <w:t>，而投标人认为必需的费用也需列入其投标总价。在合同实施时，采购人将不予支付投标人没有列入的项目费用，并认为此项目的费用已包括在其投标总价中。</w:t>
      </w:r>
    </w:p>
    <w:p>
      <w:pPr>
        <w:numPr>
          <w:ilvl w:val="0"/>
          <w:numId w:val="11"/>
        </w:numPr>
        <w:spacing w:line="360" w:lineRule="auto"/>
        <w:ind w:left="616" w:hanging="616"/>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投标人应对项目招标范围内的全部内容进行报价</w:t>
      </w:r>
      <w:r>
        <w:rPr>
          <w:rFonts w:hint="eastAsia" w:ascii="宋体" w:hAnsi="宋体" w:eastAsia="宋体" w:cs="宋体"/>
          <w:color w:val="auto"/>
          <w:sz w:val="24"/>
          <w:szCs w:val="24"/>
          <w:lang w:val="zh-CN" w:eastAsia="zh-CN"/>
        </w:rPr>
        <w:t>，不得缺</w:t>
      </w:r>
      <w:r>
        <w:rPr>
          <w:rFonts w:hint="eastAsia" w:ascii="宋体" w:hAnsi="宋体" w:eastAsia="宋体" w:cs="宋体"/>
          <w:color w:val="auto"/>
          <w:sz w:val="24"/>
          <w:szCs w:val="24"/>
          <w:lang w:val="zh-CN"/>
        </w:rPr>
        <w:t>、漏</w:t>
      </w:r>
      <w:r>
        <w:rPr>
          <w:rFonts w:hint="eastAsia" w:ascii="宋体" w:hAnsi="宋体" w:eastAsia="宋体" w:cs="宋体"/>
          <w:color w:val="auto"/>
          <w:sz w:val="24"/>
          <w:szCs w:val="24"/>
          <w:lang w:val="zh-CN" w:eastAsia="zh-CN"/>
        </w:rPr>
        <w:t>项或只投其中的部分内容</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lang w:val="zh-CN" w:eastAsia="zh-CN"/>
        </w:rPr>
        <w:t>，否则</w:t>
      </w:r>
      <w:r>
        <w:rPr>
          <w:rFonts w:hint="eastAsia" w:ascii="宋体" w:hAnsi="宋体" w:eastAsia="宋体" w:cs="宋体"/>
          <w:color w:val="auto"/>
          <w:sz w:val="24"/>
          <w:szCs w:val="24"/>
          <w:lang w:val="zh-CN"/>
        </w:rPr>
        <w:t>按照</w:t>
      </w:r>
      <w:r>
        <w:rPr>
          <w:rFonts w:hint="eastAsia" w:ascii="宋体" w:hAnsi="宋体" w:eastAsia="宋体" w:cs="宋体"/>
          <w:b/>
          <w:color w:val="auto"/>
          <w:sz w:val="24"/>
          <w:szCs w:val="24"/>
          <w:lang w:val="zh-CN" w:eastAsia="zh-CN"/>
        </w:rPr>
        <w:t>无效投标</w:t>
      </w:r>
      <w:r>
        <w:rPr>
          <w:rFonts w:hint="eastAsia" w:ascii="宋体" w:hAnsi="宋体" w:eastAsia="宋体" w:cs="宋体"/>
          <w:b/>
          <w:color w:val="auto"/>
          <w:sz w:val="24"/>
          <w:szCs w:val="24"/>
          <w:lang w:val="zh-CN"/>
        </w:rPr>
        <w:t>处理</w:t>
      </w:r>
      <w:r>
        <w:rPr>
          <w:rFonts w:hint="eastAsia" w:ascii="宋体" w:hAnsi="宋体" w:eastAsia="宋体" w:cs="宋体"/>
          <w:color w:val="auto"/>
          <w:sz w:val="24"/>
          <w:szCs w:val="24"/>
          <w:lang w:val="zh-CN" w:eastAsia="zh-CN"/>
        </w:rPr>
        <w:t>。</w:t>
      </w:r>
    </w:p>
    <w:p>
      <w:pPr>
        <w:numPr>
          <w:ilvl w:val="0"/>
          <w:numId w:val="3"/>
        </w:numPr>
        <w:spacing w:line="360" w:lineRule="auto"/>
        <w:ind w:left="560" w:hanging="56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备选方案</w:t>
      </w:r>
    </w:p>
    <w:p>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只允许投标人提供一个投标方案</w:t>
      </w:r>
      <w:r>
        <w:rPr>
          <w:rFonts w:hint="eastAsia" w:ascii="宋体" w:hAnsi="宋体" w:eastAsia="宋体" w:cs="宋体"/>
          <w:color w:val="auto"/>
          <w:sz w:val="24"/>
          <w:szCs w:val="24"/>
          <w:lang w:val="zh-CN"/>
        </w:rPr>
        <w:t>（招标文件中要求提供备选方案的除外）</w:t>
      </w:r>
      <w:r>
        <w:rPr>
          <w:rFonts w:hint="eastAsia" w:ascii="宋体" w:hAnsi="宋体" w:eastAsia="宋体" w:cs="宋体"/>
          <w:color w:val="auto"/>
          <w:sz w:val="24"/>
          <w:szCs w:val="24"/>
          <w:lang w:val="zh-CN" w:eastAsia="zh-CN"/>
        </w:rPr>
        <w:t>，否则</w:t>
      </w:r>
      <w:r>
        <w:rPr>
          <w:rFonts w:hint="eastAsia" w:ascii="宋体" w:hAnsi="宋体" w:eastAsia="宋体" w:cs="宋体"/>
          <w:color w:val="auto"/>
          <w:sz w:val="24"/>
          <w:szCs w:val="24"/>
          <w:lang w:val="zh-CN"/>
        </w:rPr>
        <w:t>按照</w:t>
      </w:r>
      <w:r>
        <w:rPr>
          <w:rFonts w:hint="eastAsia" w:ascii="宋体" w:hAnsi="宋体" w:eastAsia="宋体" w:cs="宋体"/>
          <w:b/>
          <w:color w:val="auto"/>
          <w:sz w:val="24"/>
          <w:szCs w:val="24"/>
          <w:lang w:val="zh-CN" w:eastAsia="zh-CN"/>
        </w:rPr>
        <w:t>无效投标</w:t>
      </w:r>
      <w:r>
        <w:rPr>
          <w:rFonts w:hint="eastAsia" w:ascii="宋体" w:hAnsi="宋体" w:eastAsia="宋体" w:cs="宋体"/>
          <w:b/>
          <w:color w:val="auto"/>
          <w:sz w:val="24"/>
          <w:szCs w:val="24"/>
          <w:lang w:val="zh-CN"/>
        </w:rPr>
        <w:t>处理</w:t>
      </w:r>
      <w:r>
        <w:rPr>
          <w:rFonts w:hint="eastAsia" w:ascii="宋体" w:hAnsi="宋体" w:eastAsia="宋体" w:cs="宋体"/>
          <w:color w:val="auto"/>
          <w:sz w:val="24"/>
          <w:szCs w:val="24"/>
          <w:lang w:val="zh-CN" w:eastAsia="zh-CN"/>
        </w:rPr>
        <w:t>。</w:t>
      </w:r>
    </w:p>
    <w:p>
      <w:pPr>
        <w:numPr>
          <w:ilvl w:val="0"/>
          <w:numId w:val="3"/>
        </w:numPr>
        <w:spacing w:line="360" w:lineRule="auto"/>
        <w:ind w:left="560" w:hanging="56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rPr>
        <w:t>中标后分包</w:t>
      </w:r>
    </w:p>
    <w:p>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招标文件规定项目非主体、非关键性工作</w:t>
      </w:r>
      <w:r>
        <w:rPr>
          <w:rFonts w:hint="eastAsia" w:ascii="宋体" w:hAnsi="宋体" w:eastAsia="宋体" w:cs="宋体"/>
          <w:color w:val="auto"/>
          <w:sz w:val="24"/>
          <w:szCs w:val="24"/>
          <w:lang w:val="zh-CN"/>
        </w:rPr>
        <w:t>中标后</w:t>
      </w:r>
      <w:r>
        <w:rPr>
          <w:rFonts w:hint="eastAsia" w:ascii="宋体" w:hAnsi="宋体" w:eastAsia="宋体" w:cs="宋体"/>
          <w:color w:val="auto"/>
          <w:sz w:val="24"/>
          <w:szCs w:val="24"/>
          <w:lang w:val="zh-CN" w:eastAsia="zh-CN"/>
        </w:rPr>
        <w:t>可以分包的，投标人拟在中标后将项目的非主体、非关键性工作分包，应当在投标文件中载明具备相应资质条件的分包承担主体，分包承担主体不得再次分包。</w:t>
      </w:r>
    </w:p>
    <w:p>
      <w:pPr>
        <w:numPr>
          <w:ilvl w:val="0"/>
          <w:numId w:val="3"/>
        </w:numPr>
        <w:spacing w:line="360" w:lineRule="auto"/>
        <w:ind w:left="560" w:hanging="56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联合体投标</w:t>
      </w:r>
    </w:p>
    <w:p>
      <w:pPr>
        <w:numPr>
          <w:ilvl w:val="0"/>
          <w:numId w:val="13"/>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两个及以上供应商可以组成一个联合体，以一个投标人的身份共同参与投标。</w:t>
      </w:r>
    </w:p>
    <w:p>
      <w:pPr>
        <w:numPr>
          <w:ilvl w:val="0"/>
          <w:numId w:val="13"/>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采取联合体形式投标的，联合体各方均应当符合政府采购法第二十二条第一款规定的条件。联合体的主体应完全满足项目投标人资格要求。</w:t>
      </w:r>
    </w:p>
    <w:p>
      <w:pPr>
        <w:numPr>
          <w:ilvl w:val="0"/>
          <w:numId w:val="13"/>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联合体各方之间应签订联合投标协议，明确约定联合体主体及各方承担的工作和相应的责任，其投标文件中应提供联合投标协议。</w:t>
      </w:r>
    </w:p>
    <w:p>
      <w:pPr>
        <w:numPr>
          <w:ilvl w:val="0"/>
          <w:numId w:val="13"/>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以联合体形式参加政府采购活动的，联合体各方不得再单独参加或者与其他供应商另外组成联合体参加同一合同项下的政府采购活动。</w:t>
      </w:r>
    </w:p>
    <w:p>
      <w:pPr>
        <w:numPr>
          <w:ilvl w:val="0"/>
          <w:numId w:val="13"/>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3"/>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采取联合体形式投标的，项目评审时只对联合体主体进行评议。</w:t>
      </w:r>
    </w:p>
    <w:p>
      <w:pPr>
        <w:numPr>
          <w:ilvl w:val="0"/>
          <w:numId w:val="13"/>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联合体中标的，联合体各方应当共同与采购人签订采购合同，</w:t>
      </w:r>
      <w:r>
        <w:rPr>
          <w:rFonts w:hint="eastAsia" w:ascii="宋体" w:hAnsi="宋体" w:eastAsia="宋体" w:cs="宋体"/>
          <w:color w:val="auto"/>
          <w:sz w:val="24"/>
          <w:szCs w:val="24"/>
        </w:rPr>
        <w:t>就采购合同约定的事项对采购人承担连带责任，</w:t>
      </w:r>
      <w:r>
        <w:rPr>
          <w:rFonts w:hint="eastAsia" w:ascii="宋体" w:hAnsi="宋体" w:eastAsia="宋体" w:cs="宋体"/>
          <w:color w:val="auto"/>
          <w:sz w:val="24"/>
          <w:szCs w:val="24"/>
          <w:lang w:val="zh-CN"/>
        </w:rPr>
        <w:t>联合体主体单位负主要责任。</w:t>
      </w:r>
    </w:p>
    <w:p>
      <w:pPr>
        <w:numPr>
          <w:ilvl w:val="0"/>
          <w:numId w:val="13"/>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联合体中有同类资质的供应商按照联合体分工承担相同工作的，应当按照资质等级较低的供应商确定资质等级。</w:t>
      </w:r>
    </w:p>
    <w:p>
      <w:pPr>
        <w:numPr>
          <w:ilvl w:val="0"/>
          <w:numId w:val="13"/>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招标文件第一章“投标人资格要求”中未载明是否接受联合体投标的，视同接受。</w:t>
      </w:r>
    </w:p>
    <w:p>
      <w:pPr>
        <w:numPr>
          <w:ilvl w:val="0"/>
          <w:numId w:val="13"/>
        </w:numPr>
        <w:spacing w:line="360" w:lineRule="auto"/>
        <w:ind w:left="728" w:hanging="728"/>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以联合体形式参与投标的，其价格扣除相关规定详见第五章“评标方法、程序及标准”。</w:t>
      </w:r>
    </w:p>
    <w:p>
      <w:pPr>
        <w:numPr>
          <w:ilvl w:val="0"/>
          <w:numId w:val="3"/>
        </w:numPr>
        <w:spacing w:line="360" w:lineRule="auto"/>
        <w:ind w:left="560" w:hanging="56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资格证明文件</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投标人应按本节及</w:t>
      </w:r>
      <w:r>
        <w:rPr>
          <w:rFonts w:hint="eastAsia" w:ascii="宋体" w:hAnsi="宋体" w:eastAsia="宋体" w:cs="宋体"/>
          <w:color w:val="auto"/>
          <w:sz w:val="24"/>
          <w:szCs w:val="24"/>
          <w:lang w:val="zh-CN" w:eastAsia="zh-CN"/>
        </w:rPr>
        <w:t>第四章“资格审查方法及</w:t>
      </w:r>
      <w:r>
        <w:rPr>
          <w:rFonts w:hint="eastAsia" w:ascii="宋体" w:hAnsi="宋体" w:eastAsia="宋体" w:cs="宋体"/>
          <w:color w:val="auto"/>
          <w:sz w:val="24"/>
          <w:szCs w:val="24"/>
          <w:lang w:val="zh-CN"/>
        </w:rPr>
        <w:t>标准</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的要求，提供足以证明其符合项目“投标人资格要求”且中标后有能力履行合同的文件，并作为其投标文件的组成部分。</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资格证明文件应真实、合法，并就此承担相应法律责任。</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资格证明文件正本应为清晰彩色影印件且加盖单位公章，</w:t>
      </w:r>
      <w:r>
        <w:rPr>
          <w:rFonts w:hint="eastAsia" w:ascii="宋体" w:hAnsi="宋体" w:eastAsia="宋体" w:cs="宋体"/>
          <w:color w:val="auto"/>
          <w:sz w:val="24"/>
          <w:szCs w:val="24"/>
          <w:lang w:val="zh-CN" w:eastAsia="zh-CN"/>
        </w:rPr>
        <w:t>否则</w:t>
      </w:r>
      <w:r>
        <w:rPr>
          <w:rFonts w:hint="eastAsia" w:ascii="宋体" w:hAnsi="宋体" w:eastAsia="宋体" w:cs="宋体"/>
          <w:color w:val="auto"/>
          <w:sz w:val="24"/>
          <w:szCs w:val="24"/>
          <w:lang w:val="zh-CN"/>
        </w:rPr>
        <w:t>按照</w:t>
      </w:r>
      <w:r>
        <w:rPr>
          <w:rFonts w:hint="eastAsia" w:ascii="宋体" w:hAnsi="宋体" w:eastAsia="宋体" w:cs="宋体"/>
          <w:b/>
          <w:color w:val="auto"/>
          <w:sz w:val="24"/>
          <w:szCs w:val="24"/>
          <w:lang w:val="zh-CN" w:eastAsia="zh-CN"/>
        </w:rPr>
        <w:t>无效投标</w:t>
      </w:r>
      <w:r>
        <w:rPr>
          <w:rFonts w:hint="eastAsia" w:ascii="宋体" w:hAnsi="宋体" w:eastAsia="宋体" w:cs="宋体"/>
          <w:b/>
          <w:color w:val="auto"/>
          <w:sz w:val="24"/>
          <w:szCs w:val="24"/>
          <w:lang w:val="zh-CN"/>
        </w:rPr>
        <w:t>处理</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副本可为正本的复印件,但应在副本封面加盖单位公章。</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资格证明文件内容详见</w:t>
      </w:r>
      <w:r>
        <w:rPr>
          <w:rFonts w:hint="eastAsia" w:ascii="宋体" w:hAnsi="宋体" w:eastAsia="宋体" w:cs="宋体"/>
          <w:color w:val="auto"/>
          <w:sz w:val="24"/>
          <w:szCs w:val="24"/>
          <w:lang w:val="zh-CN" w:eastAsia="zh-CN"/>
        </w:rPr>
        <w:t>第四章“资格审查方法及</w:t>
      </w:r>
      <w:r>
        <w:rPr>
          <w:rFonts w:hint="eastAsia" w:ascii="宋体" w:hAnsi="宋体" w:eastAsia="宋体" w:cs="宋体"/>
          <w:color w:val="auto"/>
          <w:sz w:val="24"/>
          <w:szCs w:val="24"/>
          <w:lang w:val="zh-CN"/>
        </w:rPr>
        <w:t>标准</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中资格审查内容</w:t>
      </w:r>
      <w:r>
        <w:rPr>
          <w:rFonts w:hint="eastAsia" w:ascii="宋体" w:hAnsi="宋体" w:eastAsia="宋体" w:cs="宋体"/>
          <w:color w:val="auto"/>
          <w:kern w:val="0"/>
          <w:sz w:val="24"/>
          <w:szCs w:val="24"/>
          <w:lang w:val="zh-CN" w:eastAsia="zh-CN"/>
        </w:rPr>
        <w:t>。</w:t>
      </w:r>
    </w:p>
    <w:p>
      <w:pPr>
        <w:numPr>
          <w:ilvl w:val="0"/>
          <w:numId w:val="14"/>
        </w:numPr>
        <w:spacing w:line="360" w:lineRule="auto"/>
        <w:ind w:left="616" w:hanging="61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如采购人组织项目资格预审的，采购代理机构将拒绝未通过资格预审投标人的投标。</w:t>
      </w:r>
    </w:p>
    <w:p>
      <w:pPr>
        <w:numPr>
          <w:ilvl w:val="0"/>
          <w:numId w:val="3"/>
        </w:numPr>
        <w:spacing w:line="360" w:lineRule="auto"/>
        <w:ind w:left="560" w:hanging="56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 xml:space="preserve">投标保证金 </w:t>
      </w:r>
    </w:p>
    <w:p>
      <w:pPr>
        <w:numPr>
          <w:ilvl w:val="0"/>
          <w:numId w:val="0"/>
        </w:numPr>
        <w:spacing w:line="360" w:lineRule="auto"/>
        <w:ind w:leftChars="0"/>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17.1 本项目不收取投标保证金，详见本章“投标须知前附表”中的说明。</w:t>
      </w:r>
    </w:p>
    <w:p>
      <w:pPr>
        <w:numPr>
          <w:ilvl w:val="0"/>
          <w:numId w:val="3"/>
        </w:numPr>
        <w:spacing w:line="360" w:lineRule="auto"/>
        <w:ind w:left="560" w:hanging="56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投标有效期</w:t>
      </w:r>
    </w:p>
    <w:p>
      <w:pPr>
        <w:numPr>
          <w:ilvl w:val="0"/>
          <w:numId w:val="0"/>
        </w:numPr>
        <w:spacing w:line="360" w:lineRule="auto"/>
        <w:ind w:left="638" w:leftChars="0" w:hanging="638" w:hangingChars="266"/>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18.1  </w:t>
      </w:r>
      <w:r>
        <w:rPr>
          <w:rFonts w:hint="eastAsia" w:ascii="宋体" w:hAnsi="宋体" w:eastAsia="宋体" w:cs="宋体"/>
          <w:color w:val="auto"/>
          <w:sz w:val="24"/>
          <w:szCs w:val="24"/>
          <w:lang w:val="zh-CN" w:eastAsia="zh-CN"/>
        </w:rPr>
        <w:t>投标有效期详见本章“投标须知前附表”中规定。</w:t>
      </w:r>
      <w:r>
        <w:rPr>
          <w:rFonts w:hint="eastAsia" w:ascii="宋体" w:hAnsi="宋体" w:eastAsia="宋体" w:cs="宋体"/>
          <w:color w:val="auto"/>
          <w:kern w:val="0"/>
          <w:sz w:val="24"/>
          <w:szCs w:val="24"/>
          <w:lang w:val="zh-CN" w:eastAsia="zh-CN"/>
        </w:rPr>
        <w:t>投标文件中承诺的投标有效期应当不少于招标文件中载明的投标有效期</w:t>
      </w:r>
      <w:r>
        <w:rPr>
          <w:rFonts w:hint="eastAsia" w:ascii="宋体" w:hAnsi="宋体" w:eastAsia="宋体" w:cs="宋体"/>
          <w:color w:val="auto"/>
          <w:kern w:val="0"/>
          <w:sz w:val="24"/>
          <w:szCs w:val="24"/>
          <w:lang w:val="zh-CN"/>
        </w:rPr>
        <w:t>。投标有效期不足的，</w:t>
      </w:r>
      <w:r>
        <w:rPr>
          <w:rFonts w:hint="eastAsia" w:ascii="宋体" w:hAnsi="宋体" w:eastAsia="宋体" w:cs="宋体"/>
          <w:color w:val="auto"/>
          <w:sz w:val="24"/>
          <w:szCs w:val="24"/>
          <w:lang w:val="zh-CN"/>
        </w:rPr>
        <w:t>按照</w:t>
      </w:r>
      <w:r>
        <w:rPr>
          <w:rFonts w:hint="eastAsia" w:ascii="宋体" w:hAnsi="宋体" w:eastAsia="宋体" w:cs="宋体"/>
          <w:b/>
          <w:color w:val="auto"/>
          <w:sz w:val="24"/>
          <w:szCs w:val="24"/>
          <w:lang w:val="zh-CN" w:eastAsia="zh-CN"/>
        </w:rPr>
        <w:t>无效投标</w:t>
      </w:r>
      <w:r>
        <w:rPr>
          <w:rFonts w:hint="eastAsia" w:ascii="宋体" w:hAnsi="宋体" w:eastAsia="宋体" w:cs="宋体"/>
          <w:b/>
          <w:color w:val="auto"/>
          <w:sz w:val="24"/>
          <w:szCs w:val="24"/>
          <w:lang w:val="zh-CN"/>
        </w:rPr>
        <w:t>处理。</w:t>
      </w:r>
    </w:p>
    <w:p>
      <w:pPr>
        <w:numPr>
          <w:ilvl w:val="0"/>
          <w:numId w:val="0"/>
        </w:numPr>
        <w:spacing w:line="360" w:lineRule="auto"/>
        <w:ind w:left="638" w:leftChars="0" w:hanging="638" w:hangingChars="266"/>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18.2  </w:t>
      </w:r>
      <w:r>
        <w:rPr>
          <w:rFonts w:hint="eastAsia" w:ascii="宋体" w:hAnsi="宋体" w:eastAsia="宋体" w:cs="宋体"/>
          <w:color w:val="auto"/>
          <w:sz w:val="24"/>
          <w:szCs w:val="24"/>
          <w:lang w:val="zh-CN" w:eastAsia="zh-CN"/>
        </w:rPr>
        <w:t>特殊情况下，在原投标有效期截止之前，</w:t>
      </w: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sz w:val="24"/>
          <w:szCs w:val="24"/>
          <w:lang w:val="zh-CN" w:eastAsia="zh-CN"/>
        </w:rPr>
        <w:t>机构或采购人可要求投标人延长投标有效期。这种要求与答复均应以书面形式提交。投标人可拒绝</w:t>
      </w: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sz w:val="24"/>
          <w:szCs w:val="24"/>
          <w:lang w:val="zh-CN" w:eastAsia="zh-CN"/>
        </w:rPr>
        <w:t>或采购人的这种要求，但其投标在原投标有效期期满后将不再有效。同意延长投标有效期的投标人不会被要求和允许修正其投标</w:t>
      </w:r>
      <w:r>
        <w:rPr>
          <w:rFonts w:hint="eastAsia" w:ascii="宋体" w:hAnsi="宋体" w:eastAsia="宋体" w:cs="宋体"/>
          <w:color w:val="auto"/>
          <w:sz w:val="24"/>
          <w:szCs w:val="24"/>
          <w:lang w:val="zh-CN"/>
        </w:rPr>
        <w:t>内容</w:t>
      </w:r>
      <w:r>
        <w:rPr>
          <w:rFonts w:hint="eastAsia" w:ascii="宋体" w:hAnsi="宋体" w:eastAsia="宋体" w:cs="宋体"/>
          <w:color w:val="auto"/>
          <w:sz w:val="24"/>
          <w:szCs w:val="24"/>
          <w:lang w:val="zh-CN" w:eastAsia="zh-CN"/>
        </w:rPr>
        <w:t>，而只会被要求相应地延长其投标保证金的有效期。在这种情况下，本</w:t>
      </w:r>
      <w:r>
        <w:rPr>
          <w:rFonts w:hint="eastAsia" w:ascii="宋体" w:hAnsi="宋体" w:eastAsia="宋体" w:cs="宋体"/>
          <w:color w:val="auto"/>
          <w:sz w:val="24"/>
          <w:szCs w:val="24"/>
          <w:lang w:val="zh-CN"/>
        </w:rPr>
        <w:t>章“</w:t>
      </w:r>
      <w:r>
        <w:rPr>
          <w:rFonts w:hint="eastAsia" w:ascii="宋体" w:hAnsi="宋体" w:eastAsia="宋体" w:cs="宋体"/>
          <w:color w:val="auto"/>
          <w:sz w:val="24"/>
          <w:szCs w:val="24"/>
          <w:lang w:val="zh-CN" w:eastAsia="zh-CN"/>
        </w:rPr>
        <w:t>投标保证金</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的退还</w:t>
      </w:r>
      <w:r>
        <w:rPr>
          <w:rFonts w:hint="eastAsia" w:ascii="宋体" w:hAnsi="宋体" w:eastAsia="宋体" w:cs="宋体"/>
          <w:color w:val="auto"/>
          <w:sz w:val="24"/>
          <w:szCs w:val="24"/>
          <w:lang w:val="zh-CN"/>
        </w:rPr>
        <w:t>和不予退还</w:t>
      </w:r>
      <w:r>
        <w:rPr>
          <w:rFonts w:hint="eastAsia" w:ascii="宋体" w:hAnsi="宋体" w:eastAsia="宋体" w:cs="宋体"/>
          <w:color w:val="auto"/>
          <w:sz w:val="24"/>
          <w:szCs w:val="24"/>
          <w:lang w:val="zh-CN" w:eastAsia="zh-CN"/>
        </w:rPr>
        <w:t>的规定将在延长了的有效期内继续有效。</w:t>
      </w:r>
    </w:p>
    <w:p>
      <w:pPr>
        <w:numPr>
          <w:ilvl w:val="0"/>
          <w:numId w:val="3"/>
        </w:numPr>
        <w:spacing w:line="360" w:lineRule="auto"/>
        <w:ind w:left="560" w:hanging="560"/>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投标文件的数量和签署</w:t>
      </w:r>
    </w:p>
    <w:p>
      <w:pPr>
        <w:numPr>
          <w:ilvl w:val="0"/>
          <w:numId w:val="0"/>
        </w:numPr>
        <w:spacing w:line="360" w:lineRule="auto"/>
        <w:ind w:left="636" w:leftChars="0" w:hanging="636" w:hangingChars="265"/>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19.1  </w:t>
      </w:r>
      <w:r>
        <w:rPr>
          <w:rFonts w:hint="eastAsia" w:ascii="宋体" w:hAnsi="宋体" w:eastAsia="宋体" w:cs="宋体"/>
          <w:color w:val="auto"/>
          <w:sz w:val="24"/>
          <w:szCs w:val="24"/>
          <w:lang w:val="zh-CN" w:eastAsia="zh-CN"/>
        </w:rPr>
        <w:t>投标人应</w:t>
      </w:r>
      <w:r>
        <w:rPr>
          <w:rFonts w:hint="eastAsia" w:ascii="宋体" w:hAnsi="宋体" w:eastAsia="宋体" w:cs="宋体"/>
          <w:color w:val="auto"/>
          <w:sz w:val="24"/>
          <w:szCs w:val="24"/>
          <w:lang w:val="zh-CN"/>
        </w:rPr>
        <w:t>按本章“投标须知前附表”中规定的份数要求</w:t>
      </w:r>
      <w:r>
        <w:rPr>
          <w:rFonts w:hint="eastAsia" w:ascii="宋体" w:hAnsi="宋体" w:eastAsia="宋体" w:cs="宋体"/>
          <w:color w:val="auto"/>
          <w:sz w:val="24"/>
          <w:szCs w:val="24"/>
          <w:lang w:val="zh-CN" w:eastAsia="zh-CN"/>
        </w:rPr>
        <w:t>编制投标文件，投标文件的副本可为</w:t>
      </w:r>
      <w:r>
        <w:rPr>
          <w:rFonts w:hint="eastAsia" w:ascii="宋体" w:hAnsi="宋体" w:eastAsia="宋体" w:cs="宋体"/>
          <w:color w:val="auto"/>
          <w:sz w:val="24"/>
          <w:szCs w:val="24"/>
          <w:lang w:val="zh-CN"/>
        </w:rPr>
        <w:t>正本的</w:t>
      </w:r>
      <w:r>
        <w:rPr>
          <w:rFonts w:hint="eastAsia" w:ascii="宋体" w:hAnsi="宋体" w:eastAsia="宋体" w:cs="宋体"/>
          <w:color w:val="auto"/>
          <w:sz w:val="24"/>
          <w:szCs w:val="24"/>
          <w:lang w:val="zh-CN" w:eastAsia="zh-CN"/>
        </w:rPr>
        <w:t>复印件</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但应</w:t>
      </w:r>
      <w:r>
        <w:rPr>
          <w:rFonts w:hint="eastAsia" w:ascii="宋体" w:hAnsi="宋体" w:eastAsia="宋体" w:cs="宋体"/>
          <w:color w:val="auto"/>
          <w:sz w:val="24"/>
          <w:szCs w:val="24"/>
          <w:lang w:val="zh-CN"/>
        </w:rPr>
        <w:t>在副本封面</w:t>
      </w:r>
      <w:r>
        <w:rPr>
          <w:rFonts w:hint="eastAsia" w:ascii="宋体" w:hAnsi="宋体" w:eastAsia="宋体" w:cs="宋体"/>
          <w:color w:val="auto"/>
          <w:sz w:val="24"/>
          <w:szCs w:val="24"/>
          <w:lang w:val="zh-CN" w:eastAsia="zh-CN"/>
        </w:rPr>
        <w:t>加盖单位公章。每套投标文件</w:t>
      </w:r>
      <w:r>
        <w:rPr>
          <w:rFonts w:hint="eastAsia" w:ascii="宋体" w:hAnsi="宋体" w:eastAsia="宋体" w:cs="宋体"/>
          <w:color w:val="auto"/>
          <w:sz w:val="24"/>
          <w:szCs w:val="24"/>
          <w:lang w:val="zh-CN"/>
        </w:rPr>
        <w:t>应</w:t>
      </w:r>
      <w:r>
        <w:rPr>
          <w:rFonts w:hint="eastAsia" w:ascii="宋体" w:hAnsi="宋体" w:eastAsia="宋体" w:cs="宋体"/>
          <w:color w:val="auto"/>
          <w:sz w:val="24"/>
          <w:szCs w:val="24"/>
          <w:lang w:val="zh-CN" w:eastAsia="zh-CN"/>
        </w:rPr>
        <w:t>清楚地标明“正本”、“副本”。副本与正本不</w:t>
      </w:r>
      <w:r>
        <w:rPr>
          <w:rFonts w:hint="eastAsia" w:ascii="宋体" w:hAnsi="宋体" w:eastAsia="宋体" w:cs="宋体"/>
          <w:color w:val="auto"/>
          <w:sz w:val="24"/>
          <w:szCs w:val="24"/>
          <w:lang w:val="zh-CN"/>
        </w:rPr>
        <w:t>一致的</w:t>
      </w:r>
      <w:r>
        <w:rPr>
          <w:rFonts w:hint="eastAsia" w:ascii="宋体" w:hAnsi="宋体" w:eastAsia="宋体" w:cs="宋体"/>
          <w:color w:val="auto"/>
          <w:sz w:val="24"/>
          <w:szCs w:val="24"/>
          <w:lang w:val="zh-CN" w:eastAsia="zh-CN"/>
        </w:rPr>
        <w:t>，以正本为准。</w:t>
      </w:r>
    </w:p>
    <w:p>
      <w:pPr>
        <w:numPr>
          <w:ilvl w:val="0"/>
          <w:numId w:val="0"/>
        </w:numPr>
        <w:spacing w:line="360" w:lineRule="auto"/>
        <w:ind w:left="636" w:leftChars="0" w:hanging="636" w:hangingChars="265"/>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19.2  </w:t>
      </w:r>
      <w:r>
        <w:rPr>
          <w:rFonts w:hint="eastAsia" w:ascii="宋体" w:hAnsi="宋体" w:eastAsia="宋体" w:cs="宋体"/>
          <w:color w:val="auto"/>
          <w:sz w:val="24"/>
          <w:szCs w:val="24"/>
          <w:lang w:val="zh-CN" w:eastAsia="zh-CN"/>
        </w:rPr>
        <w:t>投标文件的正本应打印或用不褪色墨水书写，</w:t>
      </w:r>
      <w:r>
        <w:rPr>
          <w:rFonts w:hint="eastAsia" w:ascii="宋体" w:hAnsi="宋体" w:eastAsia="宋体" w:cs="宋体"/>
          <w:color w:val="auto"/>
          <w:sz w:val="24"/>
          <w:szCs w:val="24"/>
          <w:lang w:val="zh-CN"/>
        </w:rPr>
        <w:t>应由</w:t>
      </w:r>
      <w:r>
        <w:rPr>
          <w:rFonts w:hint="eastAsia" w:ascii="宋体" w:hAnsi="宋体" w:eastAsia="宋体" w:cs="宋体"/>
          <w:color w:val="auto"/>
          <w:sz w:val="24"/>
          <w:szCs w:val="24"/>
          <w:lang w:val="zh-CN" w:eastAsia="zh-CN"/>
        </w:rPr>
        <w:t>法定代表人或经其正式授权的代表签字或盖章。由被授权代表签字或盖章的，应以书面形式出具授权证明，其《法定代表人授权书》应附在投标文件中。</w:t>
      </w:r>
    </w:p>
    <w:p>
      <w:pPr>
        <w:numPr>
          <w:ilvl w:val="0"/>
          <w:numId w:val="0"/>
        </w:numPr>
        <w:spacing w:line="360" w:lineRule="auto"/>
        <w:ind w:left="636" w:leftChars="0" w:hanging="636" w:hangingChars="265"/>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19.3  </w:t>
      </w:r>
      <w:r>
        <w:rPr>
          <w:rFonts w:hint="eastAsia" w:ascii="宋体" w:hAnsi="宋体" w:eastAsia="宋体" w:cs="宋体"/>
          <w:color w:val="auto"/>
          <w:sz w:val="24"/>
          <w:szCs w:val="24"/>
          <w:lang w:val="zh-CN" w:eastAsia="zh-CN"/>
        </w:rPr>
        <w:t>投标文件中任何涂改和增删，应由法定代表人或经其正式授权的代表在旁边签字后方为有效。</w:t>
      </w:r>
    </w:p>
    <w:p>
      <w:pPr>
        <w:numPr>
          <w:ilvl w:val="0"/>
          <w:numId w:val="0"/>
        </w:numPr>
        <w:spacing w:line="360" w:lineRule="auto"/>
        <w:ind w:left="636" w:leftChars="0" w:hanging="636" w:hangingChars="265"/>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19.4  </w:t>
      </w:r>
      <w:r>
        <w:rPr>
          <w:rFonts w:hint="eastAsia" w:ascii="宋体" w:hAnsi="宋体" w:eastAsia="宋体" w:cs="宋体"/>
          <w:color w:val="auto"/>
          <w:sz w:val="24"/>
          <w:szCs w:val="24"/>
          <w:lang w:val="zh-CN" w:eastAsia="zh-CN"/>
        </w:rPr>
        <w:t>招标文件中要求加盖公章及签字（签章）之处，投标文件正本中应按要求提供加盖公章</w:t>
      </w:r>
      <w:r>
        <w:rPr>
          <w:rFonts w:hint="eastAsia" w:ascii="宋体" w:hAnsi="宋体" w:eastAsia="宋体" w:cs="宋体"/>
          <w:color w:val="auto"/>
          <w:sz w:val="24"/>
          <w:szCs w:val="24"/>
          <w:lang w:val="zh-CN"/>
        </w:rPr>
        <w:t>及签字（签章）的</w:t>
      </w:r>
      <w:r>
        <w:rPr>
          <w:rFonts w:hint="eastAsia" w:ascii="宋体" w:hAnsi="宋体" w:eastAsia="宋体" w:cs="宋体"/>
          <w:color w:val="auto"/>
          <w:sz w:val="24"/>
          <w:szCs w:val="24"/>
          <w:lang w:val="zh-CN" w:eastAsia="zh-CN"/>
        </w:rPr>
        <w:t>原件，</w:t>
      </w:r>
      <w:r>
        <w:rPr>
          <w:rFonts w:hint="eastAsia" w:ascii="宋体" w:hAnsi="宋体" w:eastAsia="宋体" w:cs="宋体"/>
          <w:color w:val="auto"/>
          <w:sz w:val="24"/>
          <w:szCs w:val="24"/>
          <w:lang w:val="zh-CN"/>
        </w:rPr>
        <w:t>否则按照</w:t>
      </w:r>
      <w:r>
        <w:rPr>
          <w:rFonts w:hint="eastAsia" w:ascii="宋体" w:hAnsi="宋体" w:eastAsia="宋体" w:cs="宋体"/>
          <w:b/>
          <w:color w:val="auto"/>
          <w:sz w:val="24"/>
          <w:szCs w:val="24"/>
          <w:lang w:val="zh-CN" w:eastAsia="zh-CN"/>
        </w:rPr>
        <w:t>无效投标</w:t>
      </w:r>
      <w:r>
        <w:rPr>
          <w:rFonts w:hint="eastAsia" w:ascii="宋体" w:hAnsi="宋体" w:eastAsia="宋体" w:cs="宋体"/>
          <w:b/>
          <w:color w:val="auto"/>
          <w:sz w:val="24"/>
          <w:szCs w:val="24"/>
          <w:lang w:val="zh-CN"/>
        </w:rPr>
        <w:t>处理。</w:t>
      </w:r>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投标文件的密封和标记</w:t>
      </w:r>
    </w:p>
    <w:p>
      <w:pPr>
        <w:numPr>
          <w:ilvl w:val="0"/>
          <w:numId w:val="0"/>
        </w:numPr>
        <w:spacing w:line="360" w:lineRule="auto"/>
        <w:ind w:left="636" w:leftChars="0" w:hanging="636" w:hangingChars="26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20.1投标文件包括第一部分资格证明文件，第二部分商务文件，第三部分技术、服务文件，上述三部分应分别密封在独立封包中，并在封包中标明各部分名称，每个封包应包括正本1份、副本4份。（</w:t>
      </w:r>
      <w:r>
        <w:rPr>
          <w:rFonts w:hint="eastAsia" w:ascii="宋体" w:hAnsi="宋体" w:eastAsia="宋体" w:cs="宋体"/>
          <w:b/>
          <w:bCs/>
          <w:color w:val="auto"/>
          <w:sz w:val="24"/>
          <w:szCs w:val="24"/>
          <w:lang w:val="en-US" w:eastAsia="zh-CN"/>
        </w:rPr>
        <w:t>如采购人已组织过项目资格预审的，投标人无需再提供资格证明文件</w:t>
      </w:r>
      <w:r>
        <w:rPr>
          <w:rFonts w:hint="eastAsia" w:ascii="宋体" w:hAnsi="宋体" w:eastAsia="宋体" w:cs="宋体"/>
          <w:color w:val="auto"/>
          <w:sz w:val="24"/>
          <w:szCs w:val="24"/>
          <w:lang w:val="en-US" w:eastAsia="zh-CN"/>
        </w:rPr>
        <w:t>）</w:t>
      </w:r>
    </w:p>
    <w:p>
      <w:pPr>
        <w:numPr>
          <w:ilvl w:val="0"/>
          <w:numId w:val="0"/>
        </w:numPr>
        <w:spacing w:line="360" w:lineRule="auto"/>
        <w:ind w:left="636" w:leftChars="0" w:hanging="636" w:hangingChars="26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20.2资格证明文件正本1份、副本4份，密封在“资格证明文件”封包内，封包上注明“第一部分 资格证明文件”；</w:t>
      </w:r>
    </w:p>
    <w:p>
      <w:pPr>
        <w:numPr>
          <w:ilvl w:val="0"/>
          <w:numId w:val="0"/>
        </w:numPr>
        <w:spacing w:line="360" w:lineRule="auto"/>
        <w:ind w:left="636" w:leftChars="0" w:hanging="636" w:hangingChars="26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20.3商务文件正本1份、副本4份，密封在“商务文件”封包内，封包上注明“第二部分 商务文件”；</w:t>
      </w:r>
    </w:p>
    <w:p>
      <w:pPr>
        <w:numPr>
          <w:ilvl w:val="0"/>
          <w:numId w:val="0"/>
        </w:numPr>
        <w:spacing w:line="360" w:lineRule="auto"/>
        <w:ind w:left="636" w:leftChars="0" w:hanging="636" w:hangingChars="26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20.4技术、服务文件正本1份、副本4份，密封在“技术、服务文件”封包内，封包上注明“第三部分 技术、服务文件”。</w:t>
      </w:r>
    </w:p>
    <w:p>
      <w:pPr>
        <w:numPr>
          <w:ilvl w:val="0"/>
          <w:numId w:val="0"/>
        </w:numPr>
        <w:spacing w:line="360" w:lineRule="auto"/>
        <w:ind w:left="636" w:leftChars="0" w:hanging="636" w:hangingChars="26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20.5 为方便开标时唱标，投标人应将《开标一览表》原件一份一并装入一个信封，单独密封提交，并在信封上标明“开标一览表”字样。未单独提交或单独提交的上述资料未按照招标文件规定的格式填写完整并签字、盖章的采购人拒绝其投标。</w:t>
      </w:r>
    </w:p>
    <w:p>
      <w:pPr>
        <w:numPr>
          <w:ilvl w:val="0"/>
          <w:numId w:val="0"/>
        </w:numPr>
        <w:spacing w:line="360" w:lineRule="auto"/>
        <w:ind w:left="636" w:leftChars="0" w:hanging="636" w:hangingChars="26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20.6“开标一览表”信封和投标文件的封包上应注明采购项目编号、项目名称、投标内容和有“在（招标文件中规定的开标日期和时间）之前不得启封”的字样，封口处加盖投标人公章。</w:t>
      </w:r>
    </w:p>
    <w:p>
      <w:pPr>
        <w:numPr>
          <w:ilvl w:val="0"/>
          <w:numId w:val="0"/>
        </w:numPr>
        <w:spacing w:line="360" w:lineRule="auto"/>
        <w:ind w:left="636" w:leftChars="0" w:hanging="636" w:hangingChars="26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20.7</w:t>
      </w:r>
      <w:r>
        <w:rPr>
          <w:rFonts w:hint="eastAsia" w:ascii="宋体" w:hAnsi="宋体" w:eastAsia="宋体" w:cs="宋体"/>
          <w:color w:val="auto"/>
          <w:sz w:val="24"/>
          <w:szCs w:val="20"/>
          <w:lang w:val="zh-CN" w:eastAsia="zh-CN"/>
        </w:rPr>
        <w:t>如果</w:t>
      </w:r>
      <w:r>
        <w:rPr>
          <w:rFonts w:hint="eastAsia" w:ascii="宋体" w:hAnsi="宋体" w:eastAsia="宋体" w:cs="宋体"/>
          <w:color w:val="auto"/>
          <w:sz w:val="24"/>
          <w:szCs w:val="24"/>
          <w:lang w:val="en-US" w:eastAsia="zh-CN"/>
        </w:rPr>
        <w:t>未按要求密封、标记或存在错误，</w:t>
      </w:r>
      <w:r>
        <w:rPr>
          <w:rFonts w:hint="eastAsia" w:ascii="宋体" w:hAnsi="宋体" w:eastAsia="宋体" w:cs="宋体"/>
          <w:color w:val="auto"/>
          <w:sz w:val="24"/>
          <w:szCs w:val="20"/>
          <w:lang w:val="zh-CN" w:eastAsia="zh-CN"/>
        </w:rPr>
        <w:t>采购代理机构对其误投或提前启封概不负责。</w:t>
      </w:r>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投标文件递交</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21.1  </w:t>
      </w:r>
      <w:r>
        <w:rPr>
          <w:rFonts w:hint="eastAsia" w:ascii="宋体" w:hAnsi="宋体" w:eastAsia="宋体" w:cs="宋体"/>
          <w:color w:val="auto"/>
          <w:sz w:val="24"/>
          <w:szCs w:val="20"/>
          <w:lang w:val="zh-CN" w:eastAsia="zh-CN"/>
        </w:rPr>
        <w:t>投标人应在不迟于投标邀请书中规定的投标截止日期和时间将投标文件密封递交至采购代理机构规定的投标地点。</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21.2 </w:t>
      </w:r>
      <w:r>
        <w:rPr>
          <w:rFonts w:hint="eastAsia" w:ascii="宋体" w:hAnsi="宋体" w:eastAsia="宋体" w:cs="宋体"/>
          <w:color w:val="auto"/>
          <w:sz w:val="24"/>
          <w:szCs w:val="20"/>
          <w:lang w:val="zh-CN" w:eastAsia="zh-CN"/>
        </w:rPr>
        <w:t>采购代理机构机构拒收逾期送达或者未按招标文件要求密封的投标文件。</w:t>
      </w:r>
    </w:p>
    <w:p>
      <w:pPr>
        <w:numPr>
          <w:ilvl w:val="0"/>
          <w:numId w:val="0"/>
        </w:numPr>
        <w:spacing w:line="360" w:lineRule="auto"/>
        <w:ind w:left="636" w:leftChars="0" w:hanging="636" w:hangingChars="265"/>
        <w:rPr>
          <w:rFonts w:hint="eastAsia" w:ascii="宋体" w:hAnsi="宋体" w:eastAsia="宋体" w:cs="宋体"/>
          <w:color w:val="auto"/>
          <w:kern w:val="0"/>
          <w:sz w:val="24"/>
          <w:szCs w:val="24"/>
          <w:lang w:val="zh-CN"/>
        </w:rPr>
      </w:pPr>
      <w:r>
        <w:rPr>
          <w:rFonts w:hint="eastAsia" w:ascii="宋体" w:hAnsi="宋体" w:eastAsia="宋体" w:cs="宋体"/>
          <w:color w:val="auto"/>
          <w:sz w:val="24"/>
          <w:szCs w:val="20"/>
          <w:lang w:val="en-US" w:eastAsia="zh-CN"/>
        </w:rPr>
        <w:t>21.3</w:t>
      </w:r>
      <w:r>
        <w:rPr>
          <w:rFonts w:hint="eastAsia" w:ascii="宋体" w:hAnsi="宋体" w:eastAsia="宋体" w:cs="宋体"/>
          <w:color w:val="auto"/>
          <w:sz w:val="24"/>
          <w:szCs w:val="20"/>
          <w:lang w:val="zh-CN" w:eastAsia="zh-CN"/>
        </w:rPr>
        <w:t>采购代理机构收到投标文件后，应当如实记载投标文件的送达时间和密封情况，签收保存，并向投标人出具签收回执。</w:t>
      </w:r>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投标文件的修改和撤回</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22.1  </w:t>
      </w:r>
      <w:r>
        <w:rPr>
          <w:rFonts w:hint="eastAsia" w:ascii="宋体" w:hAnsi="宋体" w:eastAsia="宋体" w:cs="宋体"/>
          <w:color w:val="auto"/>
          <w:sz w:val="24"/>
          <w:szCs w:val="20"/>
          <w:lang w:val="zh-CN" w:eastAsia="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22.2  </w:t>
      </w:r>
      <w:r>
        <w:rPr>
          <w:rFonts w:hint="eastAsia" w:ascii="宋体" w:hAnsi="宋体" w:eastAsia="宋体" w:cs="宋体"/>
          <w:color w:val="auto"/>
          <w:sz w:val="24"/>
          <w:szCs w:val="20"/>
          <w:lang w:val="zh-CN" w:eastAsia="zh-CN"/>
        </w:rPr>
        <w:t>投标有效期内投标人不得撤销其投标文件。</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22.3  </w:t>
      </w:r>
      <w:r>
        <w:rPr>
          <w:rFonts w:hint="eastAsia" w:ascii="宋体" w:hAnsi="宋体" w:eastAsia="宋体" w:cs="宋体"/>
          <w:color w:val="auto"/>
          <w:sz w:val="24"/>
          <w:szCs w:val="20"/>
          <w:lang w:val="zh-CN" w:eastAsia="zh-CN"/>
        </w:rPr>
        <w:t>投标人所递交的投标文件无论中标与否不予退还。</w:t>
      </w:r>
    </w:p>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33" w:name="_Toc272247698"/>
      <w:bookmarkStart w:id="34" w:name="_Toc278891595"/>
      <w:bookmarkStart w:id="35" w:name="_Toc494561942"/>
      <w:bookmarkStart w:id="36" w:name="_Toc11594"/>
      <w:r>
        <w:rPr>
          <w:rFonts w:hint="eastAsia" w:ascii="宋体" w:hAnsi="宋体" w:eastAsia="宋体" w:cs="宋体"/>
          <w:bCs w:val="0"/>
          <w:color w:val="auto"/>
          <w:lang w:val="zh-CN" w:eastAsia="zh-CN"/>
        </w:rPr>
        <w:t>开标与评标</w:t>
      </w:r>
      <w:bookmarkEnd w:id="33"/>
      <w:bookmarkEnd w:id="34"/>
      <w:bookmarkEnd w:id="35"/>
      <w:bookmarkEnd w:id="36"/>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开标</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23.1  代理公司</w:t>
      </w:r>
      <w:r>
        <w:rPr>
          <w:rFonts w:hint="eastAsia" w:ascii="宋体" w:hAnsi="宋体" w:eastAsia="宋体" w:cs="宋体"/>
          <w:color w:val="auto"/>
          <w:sz w:val="24"/>
          <w:szCs w:val="20"/>
          <w:lang w:val="zh-CN" w:eastAsia="zh-CN"/>
        </w:rPr>
        <w:t>在第一章“投标邀请书”中约定的日期、时间和地点组织公开开标。开标时采购人和投标人代表（投标人法定代表人或其授权代表）参加,参加开标的代表应签到以证明其出席。</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23.2  </w:t>
      </w:r>
      <w:r>
        <w:rPr>
          <w:rFonts w:hint="eastAsia" w:ascii="宋体" w:hAnsi="宋体" w:eastAsia="宋体" w:cs="宋体"/>
          <w:color w:val="auto"/>
          <w:sz w:val="24"/>
          <w:szCs w:val="20"/>
          <w:lang w:val="zh-CN" w:eastAsia="zh-CN"/>
        </w:rPr>
        <w:t>投标人法定代表人或其授权代表应携带有效身份证明参加项目开标会，投标人未参加开标的，视同认可开标结果。截止</w:t>
      </w:r>
      <w:r>
        <w:rPr>
          <w:rFonts w:hint="eastAsia" w:ascii="宋体" w:hAnsi="宋体" w:eastAsia="宋体" w:cs="宋体"/>
          <w:color w:val="auto"/>
          <w:sz w:val="24"/>
          <w:szCs w:val="20"/>
          <w:lang w:val="en-US" w:eastAsia="zh-CN"/>
        </w:rPr>
        <w:t>投标文件</w:t>
      </w:r>
      <w:r>
        <w:rPr>
          <w:rFonts w:hint="eastAsia" w:ascii="宋体" w:hAnsi="宋体" w:eastAsia="宋体" w:cs="宋体"/>
          <w:color w:val="auto"/>
          <w:sz w:val="24"/>
          <w:szCs w:val="20"/>
          <w:lang w:val="zh-CN" w:eastAsia="zh-CN"/>
        </w:rPr>
        <w:t>递交时间，投标人不足3家的，不进行开标。</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23.3  </w:t>
      </w:r>
      <w:r>
        <w:rPr>
          <w:rFonts w:hint="eastAsia" w:ascii="宋体" w:hAnsi="宋体" w:eastAsia="宋体" w:cs="宋体"/>
          <w:color w:val="auto"/>
          <w:sz w:val="24"/>
          <w:szCs w:val="20"/>
          <w:lang w:val="zh-CN" w:eastAsia="zh-CN"/>
        </w:rPr>
        <w:t>开标时，由投标人或其推选的代表检查投标文件的密封情况，经确认无误后由采购代理机构工作人员当众拆封，宣布投标人名称、投标价格和招标文件规定的需要宣布的其他内容。</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23.4 代理公司</w:t>
      </w:r>
      <w:r>
        <w:rPr>
          <w:rFonts w:hint="eastAsia" w:ascii="宋体" w:hAnsi="宋体" w:eastAsia="宋体" w:cs="宋体"/>
          <w:color w:val="auto"/>
          <w:sz w:val="24"/>
          <w:szCs w:val="20"/>
          <w:lang w:val="zh-CN" w:eastAsia="zh-CN"/>
        </w:rPr>
        <w:t>负责对开标过程进行记录，由参加开标的各投标人代表和相关工作人员对开标记录进行签字确认。</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23.5  </w:t>
      </w:r>
      <w:r>
        <w:rPr>
          <w:rFonts w:hint="eastAsia" w:ascii="宋体" w:hAnsi="宋体" w:eastAsia="宋体" w:cs="宋体"/>
          <w:color w:val="auto"/>
          <w:sz w:val="24"/>
          <w:szCs w:val="20"/>
          <w:lang w:val="zh-CN" w:eastAsia="zh-CN"/>
        </w:rPr>
        <w:t>投标人代表对开标过程和开标记录有疑义，以及认为采购人、采购代理机构相关工作人员有需要回避的情形的，应当场提出询问或者回避申请。采购人、采购代理机构将及时处理投标人代表提出的询问或者回避申请。</w:t>
      </w:r>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资格审查</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24.1  </w:t>
      </w:r>
      <w:r>
        <w:rPr>
          <w:rFonts w:hint="eastAsia" w:ascii="宋体" w:hAnsi="宋体" w:eastAsia="宋体" w:cs="宋体"/>
          <w:color w:val="auto"/>
          <w:sz w:val="24"/>
          <w:szCs w:val="20"/>
          <w:lang w:val="zh-CN" w:eastAsia="zh-CN"/>
        </w:rPr>
        <w:t>公开招标采购项目开标结束后，采购人与代理公司机构依据法律、法规及招标文件的规定，对投标人的资格进行审查，以确定投标人资格是否合格。合格投标人不足3家的，不进行评标。</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24.2  </w:t>
      </w:r>
      <w:r>
        <w:rPr>
          <w:rFonts w:hint="eastAsia" w:ascii="宋体" w:hAnsi="宋体" w:eastAsia="宋体" w:cs="宋体"/>
          <w:color w:val="auto"/>
          <w:sz w:val="24"/>
          <w:szCs w:val="20"/>
          <w:lang w:val="zh-CN" w:eastAsia="zh-CN"/>
        </w:rPr>
        <w:t>资格审查详见第四章“资格审查方法及标准”。</w:t>
      </w:r>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评标方法</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25.1  </w:t>
      </w:r>
      <w:r>
        <w:rPr>
          <w:rFonts w:hint="eastAsia" w:ascii="宋体" w:hAnsi="宋体" w:eastAsia="宋体" w:cs="宋体"/>
          <w:color w:val="auto"/>
          <w:sz w:val="24"/>
          <w:szCs w:val="20"/>
          <w:lang w:val="zh-CN" w:eastAsia="zh-CN"/>
        </w:rPr>
        <w:t>最低评标价法。最低评标价法是指投标文件满足招标文件全部实质性要求，且投标报价最低的投标人为中标候选人的评标方法。</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25.2  </w:t>
      </w:r>
      <w:r>
        <w:rPr>
          <w:rFonts w:hint="eastAsia" w:ascii="宋体" w:hAnsi="宋体" w:eastAsia="宋体" w:cs="宋体"/>
          <w:color w:val="auto"/>
          <w:sz w:val="24"/>
          <w:szCs w:val="20"/>
          <w:lang w:val="zh-CN" w:eastAsia="zh-CN"/>
        </w:rPr>
        <w:t>综合评分法。综合评分法是指投标文件满足招标文件全部实质性要求，且按照评审因素的量化指标评审得分最高的投标人为中标候选人的评标方法。</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25.3  </w:t>
      </w:r>
      <w:r>
        <w:rPr>
          <w:rFonts w:hint="eastAsia" w:ascii="宋体" w:hAnsi="宋体" w:eastAsia="宋体" w:cs="宋体"/>
          <w:color w:val="auto"/>
          <w:sz w:val="24"/>
          <w:szCs w:val="20"/>
          <w:lang w:val="zh-CN" w:eastAsia="zh-CN"/>
        </w:rPr>
        <w:t>评标方法详见第五章“评标方法、程序及标准”。</w:t>
      </w:r>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评标委员会的组成</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26.1  </w:t>
      </w:r>
      <w:r>
        <w:rPr>
          <w:rFonts w:hint="eastAsia" w:ascii="宋体" w:hAnsi="宋体" w:eastAsia="宋体" w:cs="宋体"/>
          <w:color w:val="auto"/>
          <w:sz w:val="24"/>
          <w:szCs w:val="20"/>
          <w:lang w:val="zh-CN" w:eastAsia="zh-CN"/>
        </w:rPr>
        <w:t>评标委员会由采购人代表和评审专家组成，成员人数应当为5人及以上单数，其中评审专家不得少于成员总数的三分之二；采购预算金额在1000万元及以上、技术复杂或社会影响较大的项目，评标委员会成员人数应当为7人及以上单数。</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26.2  </w:t>
      </w:r>
      <w:r>
        <w:rPr>
          <w:rFonts w:hint="eastAsia" w:ascii="宋体" w:hAnsi="宋体" w:eastAsia="宋体" w:cs="宋体"/>
          <w:color w:val="auto"/>
          <w:sz w:val="24"/>
          <w:szCs w:val="20"/>
          <w:lang w:val="zh-CN" w:eastAsia="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rPr>
        <w:t>评标程序</w:t>
      </w:r>
    </w:p>
    <w:p>
      <w:pPr>
        <w:numPr>
          <w:ilvl w:val="0"/>
          <w:numId w:val="0"/>
        </w:numPr>
        <w:spacing w:line="360" w:lineRule="auto"/>
        <w:ind w:leftChars="0"/>
        <w:rPr>
          <w:rFonts w:hint="eastAsia" w:ascii="宋体" w:hAnsi="宋体" w:eastAsia="宋体" w:cs="宋体"/>
          <w:color w:val="auto"/>
          <w:sz w:val="24"/>
          <w:szCs w:val="20"/>
          <w:lang w:val="zh-CN" w:eastAsia="zh-CN"/>
        </w:rPr>
      </w:pPr>
      <w:r>
        <w:rPr>
          <w:rFonts w:hint="eastAsia" w:ascii="宋体" w:hAnsi="宋体" w:eastAsia="宋体" w:cs="宋体"/>
          <w:color w:val="auto"/>
          <w:kern w:val="0"/>
          <w:sz w:val="24"/>
          <w:szCs w:val="24"/>
          <w:lang w:val="en-US" w:eastAsia="zh-CN"/>
        </w:rPr>
        <w:t>27.1</w:t>
      </w:r>
      <w:r>
        <w:rPr>
          <w:rFonts w:hint="eastAsia" w:ascii="宋体" w:hAnsi="宋体" w:eastAsia="宋体" w:cs="宋体"/>
          <w:color w:val="auto"/>
          <w:kern w:val="0"/>
          <w:sz w:val="24"/>
          <w:szCs w:val="24"/>
          <w:lang w:val="zh-CN" w:eastAsia="zh-CN"/>
        </w:rPr>
        <w:t>评标委员会负责具体评标事务，并独立履行下列职责：</w:t>
      </w:r>
    </w:p>
    <w:p>
      <w:pPr>
        <w:numPr>
          <w:ilvl w:val="0"/>
          <w:numId w:val="0"/>
        </w:numPr>
        <w:spacing w:line="360" w:lineRule="auto"/>
        <w:ind w:left="126" w:leftChars="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27.1.1 </w:t>
      </w:r>
      <w:r>
        <w:rPr>
          <w:rFonts w:hint="eastAsia" w:ascii="宋体" w:hAnsi="宋体" w:eastAsia="宋体" w:cs="宋体"/>
          <w:color w:val="auto"/>
          <w:sz w:val="24"/>
          <w:szCs w:val="20"/>
          <w:lang w:val="zh-CN" w:eastAsia="zh-CN"/>
        </w:rPr>
        <w:t>审查、评价投标文件是否符合招标文件的商务、技术等实质性要求；</w:t>
      </w:r>
    </w:p>
    <w:p>
      <w:pPr>
        <w:numPr>
          <w:ilvl w:val="0"/>
          <w:numId w:val="0"/>
        </w:numPr>
        <w:spacing w:line="360" w:lineRule="auto"/>
        <w:ind w:left="126" w:leftChars="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27.1.2 </w:t>
      </w:r>
      <w:r>
        <w:rPr>
          <w:rFonts w:hint="eastAsia" w:ascii="宋体" w:hAnsi="宋体" w:eastAsia="宋体" w:cs="宋体"/>
          <w:color w:val="auto"/>
          <w:sz w:val="24"/>
          <w:szCs w:val="20"/>
          <w:lang w:val="zh-CN" w:eastAsia="zh-CN"/>
        </w:rPr>
        <w:t>要求投标人对投标文件有关事项作出澄清或者说明；</w:t>
      </w:r>
    </w:p>
    <w:p>
      <w:pPr>
        <w:numPr>
          <w:ilvl w:val="0"/>
          <w:numId w:val="0"/>
        </w:numPr>
        <w:spacing w:line="360" w:lineRule="auto"/>
        <w:ind w:left="126" w:leftChars="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27.1.3 </w:t>
      </w:r>
      <w:r>
        <w:rPr>
          <w:rFonts w:hint="eastAsia" w:ascii="宋体" w:hAnsi="宋体" w:eastAsia="宋体" w:cs="宋体"/>
          <w:color w:val="auto"/>
          <w:sz w:val="24"/>
          <w:szCs w:val="20"/>
          <w:lang w:val="zh-CN" w:eastAsia="zh-CN"/>
        </w:rPr>
        <w:t>对投标文件进行综合比较和评价；</w:t>
      </w:r>
    </w:p>
    <w:p>
      <w:pPr>
        <w:numPr>
          <w:ilvl w:val="0"/>
          <w:numId w:val="0"/>
        </w:numPr>
        <w:spacing w:line="360" w:lineRule="auto"/>
        <w:ind w:left="126" w:leftChars="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27.1.4 </w:t>
      </w:r>
      <w:r>
        <w:rPr>
          <w:rFonts w:hint="eastAsia" w:ascii="宋体" w:hAnsi="宋体" w:eastAsia="宋体" w:cs="宋体"/>
          <w:color w:val="auto"/>
          <w:sz w:val="24"/>
          <w:szCs w:val="20"/>
          <w:lang w:val="zh-CN" w:eastAsia="zh-CN"/>
        </w:rPr>
        <w:t>确定中标候选人名单或中标人；</w:t>
      </w:r>
    </w:p>
    <w:p>
      <w:pPr>
        <w:numPr>
          <w:ilvl w:val="0"/>
          <w:numId w:val="0"/>
        </w:numPr>
        <w:spacing w:line="360" w:lineRule="auto"/>
        <w:ind w:left="126" w:leftChars="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27.1.5 </w:t>
      </w:r>
      <w:r>
        <w:rPr>
          <w:rFonts w:hint="eastAsia" w:ascii="宋体" w:hAnsi="宋体" w:eastAsia="宋体" w:cs="宋体"/>
          <w:color w:val="auto"/>
          <w:sz w:val="24"/>
          <w:szCs w:val="20"/>
          <w:lang w:val="zh-CN" w:eastAsia="zh-CN"/>
        </w:rPr>
        <w:t>向采购人、采购代理机构或者有关部门报告评标中发现的违法行为。</w:t>
      </w:r>
    </w:p>
    <w:p>
      <w:pPr>
        <w:numPr>
          <w:ilvl w:val="0"/>
          <w:numId w:val="0"/>
        </w:numPr>
        <w:spacing w:line="360" w:lineRule="auto"/>
        <w:ind w:leftChars="0"/>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 xml:space="preserve">27.2 </w:t>
      </w:r>
      <w:r>
        <w:rPr>
          <w:rFonts w:hint="eastAsia" w:ascii="宋体" w:hAnsi="宋体" w:eastAsia="宋体" w:cs="宋体"/>
          <w:color w:val="auto"/>
          <w:kern w:val="0"/>
          <w:sz w:val="24"/>
          <w:szCs w:val="24"/>
          <w:lang w:val="zh-CN" w:eastAsia="zh-CN"/>
        </w:rPr>
        <w:t>评标程序详见第五章“评标方法、程序及标准”。</w:t>
      </w:r>
    </w:p>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37" w:name="_Toc23702"/>
      <w:bookmarkStart w:id="38" w:name="_Toc494561943"/>
      <w:r>
        <w:rPr>
          <w:rFonts w:hint="eastAsia" w:ascii="宋体" w:hAnsi="宋体" w:eastAsia="宋体" w:cs="宋体"/>
          <w:bCs w:val="0"/>
          <w:color w:val="auto"/>
          <w:lang w:val="zh-CN" w:eastAsia="zh-CN"/>
        </w:rPr>
        <w:t>投标人信用信息及查询</w:t>
      </w:r>
      <w:bookmarkEnd w:id="37"/>
      <w:bookmarkEnd w:id="38"/>
    </w:p>
    <w:p>
      <w:pPr>
        <w:numPr>
          <w:ilvl w:val="0"/>
          <w:numId w:val="3"/>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信用信息查询渠道及使用规则</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28.1  </w:t>
      </w:r>
      <w:r>
        <w:rPr>
          <w:rFonts w:hint="eastAsia" w:ascii="宋体" w:hAnsi="宋体" w:eastAsia="宋体" w:cs="宋体"/>
          <w:color w:val="auto"/>
          <w:sz w:val="24"/>
          <w:szCs w:val="20"/>
          <w:lang w:val="zh-CN" w:eastAsia="zh-CN"/>
        </w:rPr>
        <w:t>按照《关于在政府采购活动中查询及使用信用记录有关问题的通知》的要求，参与政府采购的投标人，信用记录的查询渠道为“信用中国”网站(www.creditchina.gov.cn)、中国政府采购网(</w:t>
      </w:r>
      <w:r>
        <w:rPr>
          <w:rFonts w:hint="eastAsia" w:ascii="宋体" w:hAnsi="宋体" w:eastAsia="宋体" w:cs="宋体"/>
          <w:color w:val="auto"/>
          <w:sz w:val="24"/>
          <w:szCs w:val="20"/>
          <w:lang w:val="en-US" w:eastAsia="zh-CN"/>
        </w:rPr>
        <w:fldChar w:fldCharType="begin"/>
      </w:r>
      <w:r>
        <w:rPr>
          <w:rFonts w:hint="eastAsia" w:ascii="宋体" w:hAnsi="宋体" w:eastAsia="宋体" w:cs="宋体"/>
          <w:color w:val="auto"/>
          <w:sz w:val="24"/>
          <w:szCs w:val="20"/>
          <w:lang w:val="en-US" w:eastAsia="zh-CN"/>
        </w:rPr>
        <w:instrText xml:space="preserve"> HYPERLINK "http://www.ccgp.gov.cn" </w:instrText>
      </w:r>
      <w:r>
        <w:rPr>
          <w:rFonts w:hint="eastAsia" w:ascii="宋体" w:hAnsi="宋体" w:eastAsia="宋体" w:cs="宋体"/>
          <w:color w:val="auto"/>
          <w:sz w:val="24"/>
          <w:szCs w:val="20"/>
          <w:lang w:val="en-US" w:eastAsia="zh-CN"/>
        </w:rPr>
        <w:fldChar w:fldCharType="separate"/>
      </w:r>
      <w:r>
        <w:rPr>
          <w:rFonts w:hint="eastAsia" w:ascii="宋体" w:hAnsi="宋体" w:eastAsia="宋体" w:cs="宋体"/>
          <w:color w:val="auto"/>
          <w:sz w:val="24"/>
          <w:szCs w:val="20"/>
          <w:lang w:val="zh-CN" w:eastAsia="zh-CN"/>
        </w:rPr>
        <w:t>www.ccgp.gov.cn</w:t>
      </w:r>
      <w:r>
        <w:rPr>
          <w:rFonts w:hint="eastAsia" w:ascii="宋体" w:hAnsi="宋体" w:eastAsia="宋体" w:cs="宋体"/>
          <w:color w:val="auto"/>
          <w:sz w:val="24"/>
          <w:szCs w:val="20"/>
          <w:lang w:val="zh-CN" w:eastAsia="zh-CN"/>
        </w:rPr>
        <w:fldChar w:fldCharType="end"/>
      </w:r>
      <w:r>
        <w:rPr>
          <w:rFonts w:hint="eastAsia" w:ascii="宋体" w:hAnsi="宋体" w:eastAsia="宋体" w:cs="宋体"/>
          <w:color w:val="auto"/>
          <w:sz w:val="24"/>
          <w:szCs w:val="20"/>
          <w:lang w:val="zh-CN" w:eastAsia="zh-CN"/>
        </w:rPr>
        <w:t>)。</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28.2  </w:t>
      </w:r>
      <w:r>
        <w:rPr>
          <w:rFonts w:hint="eastAsia" w:ascii="宋体" w:hAnsi="宋体" w:eastAsia="宋体" w:cs="宋体"/>
          <w:color w:val="auto"/>
          <w:sz w:val="24"/>
          <w:szCs w:val="20"/>
          <w:lang w:val="zh-CN" w:eastAsia="zh-CN"/>
        </w:rPr>
        <w:t>列入失信被执行人、重大税收违法案件当事人名单、政府采购严重违法失信行为记录名单的供应商，采购代理机构拒绝其参与政府采购活动。</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28.3  </w:t>
      </w:r>
      <w:r>
        <w:rPr>
          <w:rFonts w:hint="eastAsia" w:ascii="宋体" w:hAnsi="宋体" w:eastAsia="宋体" w:cs="宋体"/>
          <w:color w:val="auto"/>
          <w:sz w:val="24"/>
          <w:szCs w:val="20"/>
          <w:lang w:val="zh-CN" w:eastAsia="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28.4  </w:t>
      </w:r>
      <w:r>
        <w:rPr>
          <w:rFonts w:hint="eastAsia" w:ascii="宋体" w:hAnsi="宋体" w:eastAsia="宋体" w:cs="宋体"/>
          <w:color w:val="auto"/>
          <w:sz w:val="24"/>
          <w:szCs w:val="20"/>
          <w:lang w:val="zh-CN" w:eastAsia="zh-CN"/>
        </w:rPr>
        <w:t>投标人的信用记录，最终以评标时的“信用中国”网站和“中国政府采购网”网站发布的信息为准。</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28.5  </w:t>
      </w:r>
      <w:r>
        <w:rPr>
          <w:rFonts w:hint="eastAsia" w:ascii="宋体" w:hAnsi="宋体" w:eastAsia="宋体" w:cs="宋体"/>
          <w:color w:val="auto"/>
          <w:sz w:val="24"/>
          <w:szCs w:val="20"/>
          <w:lang w:val="zh-CN" w:eastAsia="zh-CN"/>
        </w:rPr>
        <w:t>在资格审查与评标工作未同日进行的特殊情形下，采购代理机构工作人员在评标时对投标人的信用信息进行复核，发现评标当日存在不良信用信息的，由评标委员会按照符合性审查不合格作无效投标处理。</w:t>
      </w:r>
    </w:p>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39" w:name="_Toc31222"/>
      <w:bookmarkStart w:id="40" w:name="_Toc494561944"/>
      <w:r>
        <w:rPr>
          <w:rFonts w:hint="eastAsia" w:ascii="宋体" w:hAnsi="宋体" w:eastAsia="宋体" w:cs="宋体"/>
          <w:bCs w:val="0"/>
          <w:color w:val="auto"/>
          <w:lang w:val="zh-CN" w:eastAsia="zh-CN"/>
        </w:rPr>
        <w:t>中标与合同</w:t>
      </w:r>
      <w:bookmarkEnd w:id="39"/>
      <w:bookmarkEnd w:id="40"/>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确定中标人</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29.1 </w:t>
      </w:r>
      <w:r>
        <w:rPr>
          <w:rFonts w:hint="eastAsia" w:ascii="宋体" w:hAnsi="宋体" w:eastAsia="宋体" w:cs="宋体"/>
          <w:color w:val="auto"/>
          <w:sz w:val="24"/>
          <w:szCs w:val="20"/>
          <w:lang w:val="zh-CN" w:eastAsia="zh-CN"/>
        </w:rPr>
        <w:t>采购人收到评标报告5个工作日内，按评标报告推荐的中标候选人顺序确定中标人。</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29.2</w:t>
      </w:r>
      <w:r>
        <w:rPr>
          <w:rFonts w:hint="eastAsia" w:ascii="宋体" w:hAnsi="宋体" w:eastAsia="宋体" w:cs="宋体"/>
          <w:color w:val="auto"/>
          <w:sz w:val="24"/>
          <w:szCs w:val="20"/>
          <w:lang w:val="zh-CN" w:eastAsia="zh-CN"/>
        </w:rPr>
        <w:t>中标候选人并列的：</w:t>
      </w:r>
    </w:p>
    <w:p>
      <w:pPr>
        <w:numPr>
          <w:ilvl w:val="0"/>
          <w:numId w:val="0"/>
        </w:numPr>
        <w:spacing w:line="360" w:lineRule="auto"/>
        <w:ind w:left="1250" w:leftChars="103" w:hanging="1034" w:hangingChars="431"/>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29.2.1  </w:t>
      </w:r>
      <w:r>
        <w:rPr>
          <w:rFonts w:hint="eastAsia" w:ascii="宋体" w:hAnsi="宋体" w:eastAsia="宋体" w:cs="宋体"/>
          <w:color w:val="auto"/>
          <w:sz w:val="24"/>
          <w:szCs w:val="20"/>
          <w:lang w:val="zh-CN" w:eastAsia="zh-CN"/>
        </w:rPr>
        <w:t>采用最低评标价法的，评标结果按投标报价由低到高顺序排列。投标报价相同的并列，由采购人确定或者采购人委托评标委员会以投票方式确定中标人。</w:t>
      </w:r>
    </w:p>
    <w:p>
      <w:pPr>
        <w:numPr>
          <w:ilvl w:val="0"/>
          <w:numId w:val="0"/>
        </w:numPr>
        <w:spacing w:line="360" w:lineRule="auto"/>
        <w:ind w:left="1250" w:leftChars="103" w:hanging="1034" w:hangingChars="431"/>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29.2.2  </w:t>
      </w:r>
      <w:r>
        <w:rPr>
          <w:rFonts w:hint="eastAsia" w:ascii="宋体" w:hAnsi="宋体" w:eastAsia="宋体" w:cs="宋体"/>
          <w:color w:val="auto"/>
          <w:sz w:val="24"/>
          <w:szCs w:val="20"/>
          <w:lang w:val="zh-CN" w:eastAsia="zh-CN"/>
        </w:rPr>
        <w:t>采用综合评分法的，评标结果按评审后得分由高到低顺序排列。得分相同的，按投标报价由低到高顺序排列。得分且投标报价相同的并列，由采购人确定或者采购人委托评标委员会以投票方式确定中标人。</w:t>
      </w:r>
    </w:p>
    <w:p>
      <w:pPr>
        <w:numPr>
          <w:ilvl w:val="0"/>
          <w:numId w:val="0"/>
        </w:numPr>
        <w:spacing w:line="360" w:lineRule="auto"/>
        <w:ind w:leftChars="0"/>
        <w:rPr>
          <w:rFonts w:hint="eastAsia" w:ascii="宋体" w:hAnsi="宋体" w:eastAsia="宋体" w:cs="宋体"/>
          <w:color w:val="auto"/>
          <w:sz w:val="24"/>
          <w:szCs w:val="20"/>
          <w:lang w:val="zh-CN"/>
        </w:rPr>
      </w:pPr>
      <w:r>
        <w:rPr>
          <w:rFonts w:hint="eastAsia" w:ascii="宋体" w:hAnsi="宋体" w:eastAsia="宋体" w:cs="宋体"/>
          <w:color w:val="auto"/>
          <w:sz w:val="24"/>
          <w:szCs w:val="20"/>
          <w:lang w:val="en-US" w:eastAsia="zh-CN"/>
        </w:rPr>
        <w:t xml:space="preserve">29.3 </w:t>
      </w:r>
      <w:r>
        <w:rPr>
          <w:rFonts w:hint="eastAsia" w:ascii="宋体" w:hAnsi="宋体" w:eastAsia="宋体" w:cs="宋体"/>
          <w:color w:val="auto"/>
          <w:sz w:val="24"/>
          <w:szCs w:val="20"/>
          <w:lang w:val="zh-CN"/>
        </w:rPr>
        <w:t>中标人的数量有其他规定的，按招标文件相关规定执行。</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29.4 </w:t>
      </w:r>
      <w:r>
        <w:rPr>
          <w:rFonts w:hint="eastAsia" w:ascii="宋体" w:hAnsi="宋体" w:eastAsia="宋体" w:cs="宋体"/>
          <w:color w:val="auto"/>
          <w:sz w:val="24"/>
          <w:szCs w:val="20"/>
          <w:lang w:val="zh-CN" w:eastAsia="zh-CN"/>
        </w:rPr>
        <w:t>中标人确定后，采购代理机构在政府采购监管部门指定的媒体上发布中标公告，同时向中标人和采购人发出《中标通知书》。《中标通知书》是政府采购合同的组成部分,对中标人和采购人具有同等法律效力。</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29.5</w:t>
      </w:r>
      <w:r>
        <w:rPr>
          <w:rFonts w:hint="eastAsia" w:ascii="宋体" w:hAnsi="宋体" w:eastAsia="宋体" w:cs="宋体"/>
          <w:color w:val="auto"/>
          <w:sz w:val="24"/>
          <w:szCs w:val="20"/>
          <w:lang w:val="zh-CN" w:eastAsia="zh-CN"/>
        </w:rPr>
        <w:t>中标通知书发出后，采购人不得违法改变中标结果，中标人无正当理由不得放弃中标。</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29.6 </w:t>
      </w:r>
      <w:r>
        <w:rPr>
          <w:rFonts w:hint="eastAsia" w:ascii="宋体" w:hAnsi="宋体" w:eastAsia="宋体" w:cs="宋体"/>
          <w:color w:val="auto"/>
          <w:sz w:val="24"/>
          <w:szCs w:val="20"/>
          <w:lang w:val="zh-CN" w:eastAsia="zh-CN"/>
        </w:rPr>
        <w:t>中标人拒绝与采购人签订合同的，采购人可以按照评标报告推荐的中标候选人名单排序，确定下一候选人为中标人，也可以重新开展政府采购活动。</w:t>
      </w:r>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合同授予</w:t>
      </w:r>
    </w:p>
    <w:p>
      <w:pPr>
        <w:spacing w:line="360" w:lineRule="auto"/>
        <w:ind w:firstLine="480" w:firstLineChars="20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除本</w:t>
      </w:r>
      <w:r>
        <w:rPr>
          <w:rFonts w:hint="eastAsia" w:ascii="宋体" w:hAnsi="宋体" w:eastAsia="宋体" w:cs="宋体"/>
          <w:color w:val="auto"/>
          <w:sz w:val="24"/>
          <w:szCs w:val="20"/>
          <w:lang w:val="zh-CN"/>
        </w:rPr>
        <w:t>章“确定中标人”规定及其他法律规定的情形</w:t>
      </w:r>
      <w:r>
        <w:rPr>
          <w:rFonts w:hint="eastAsia" w:ascii="宋体" w:hAnsi="宋体" w:eastAsia="宋体" w:cs="宋体"/>
          <w:color w:val="auto"/>
          <w:sz w:val="24"/>
          <w:szCs w:val="20"/>
          <w:lang w:val="zh-CN" w:eastAsia="zh-CN"/>
        </w:rPr>
        <w:t>外，</w:t>
      </w:r>
      <w:r>
        <w:rPr>
          <w:rFonts w:hint="eastAsia" w:ascii="宋体" w:hAnsi="宋体" w:eastAsia="宋体" w:cs="宋体"/>
          <w:color w:val="auto"/>
          <w:sz w:val="24"/>
          <w:szCs w:val="20"/>
          <w:lang w:val="zh-CN"/>
        </w:rPr>
        <w:t>采购人</w:t>
      </w:r>
      <w:r>
        <w:rPr>
          <w:rFonts w:hint="eastAsia" w:ascii="宋体" w:hAnsi="宋体" w:eastAsia="宋体" w:cs="宋体"/>
          <w:color w:val="auto"/>
          <w:sz w:val="24"/>
          <w:szCs w:val="20"/>
          <w:lang w:val="zh-CN" w:eastAsia="zh-CN"/>
        </w:rPr>
        <w:t>把合同授予被确定为实质上响应招标文件要求且排名第一的中标人。</w:t>
      </w:r>
    </w:p>
    <w:p>
      <w:pPr>
        <w:numPr>
          <w:ilvl w:val="0"/>
          <w:numId w:val="3"/>
        </w:numPr>
        <w:spacing w:line="360" w:lineRule="auto"/>
        <w:ind w:left="560" w:hanging="560"/>
        <w:rPr>
          <w:rFonts w:hint="eastAsia" w:ascii="宋体" w:hAnsi="宋体" w:eastAsia="宋体" w:cs="宋体"/>
          <w:b/>
          <w:color w:val="auto"/>
          <w:sz w:val="24"/>
          <w:szCs w:val="20"/>
          <w:lang w:val="zh-CN" w:eastAsia="zh-CN"/>
        </w:rPr>
      </w:pPr>
      <w:r>
        <w:rPr>
          <w:rFonts w:hint="eastAsia" w:ascii="宋体" w:hAnsi="宋体" w:eastAsia="宋体" w:cs="宋体"/>
          <w:b/>
          <w:color w:val="auto"/>
          <w:sz w:val="24"/>
          <w:szCs w:val="20"/>
          <w:lang w:val="zh-CN" w:eastAsia="zh-CN"/>
        </w:rPr>
        <w:t>合同签订</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bookmarkStart w:id="41" w:name="_Toc272247700"/>
      <w:bookmarkStart w:id="42" w:name="_Toc278891597"/>
      <w:r>
        <w:rPr>
          <w:rFonts w:hint="eastAsia" w:ascii="宋体" w:hAnsi="宋体" w:eastAsia="宋体" w:cs="宋体"/>
          <w:color w:val="auto"/>
          <w:sz w:val="24"/>
          <w:szCs w:val="20"/>
          <w:lang w:val="en-US" w:eastAsia="zh-CN"/>
        </w:rPr>
        <w:t xml:space="preserve">31.1  </w:t>
      </w:r>
      <w:r>
        <w:rPr>
          <w:rFonts w:hint="eastAsia" w:ascii="宋体" w:hAnsi="宋体" w:eastAsia="宋体" w:cs="宋体"/>
          <w:color w:val="auto"/>
          <w:sz w:val="24"/>
          <w:szCs w:val="20"/>
          <w:lang w:val="zh-CN" w:eastAsia="zh-CN"/>
        </w:rPr>
        <w:t>采购人应当自中标通知书发出之日起30日内，按照招标文件规定和中标人投标文件的承诺，与中标人签订书面合同。所签订的合同不得对招标文件确定的事项和中标人投标文件作实质性修改。</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31.2  </w:t>
      </w:r>
      <w:r>
        <w:rPr>
          <w:rFonts w:hint="eastAsia" w:ascii="宋体" w:hAnsi="宋体" w:eastAsia="宋体" w:cs="宋体"/>
          <w:color w:val="auto"/>
          <w:sz w:val="24"/>
          <w:szCs w:val="20"/>
          <w:lang w:val="zh-CN" w:eastAsia="zh-CN"/>
        </w:rPr>
        <w:t>采购人不得向中标人提出任何不合理的要求作为签订合同的条件。</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31.3  </w:t>
      </w:r>
      <w:r>
        <w:rPr>
          <w:rFonts w:hint="eastAsia" w:ascii="宋体" w:hAnsi="宋体" w:eastAsia="宋体" w:cs="宋体"/>
          <w:color w:val="auto"/>
          <w:sz w:val="24"/>
          <w:szCs w:val="20"/>
          <w:lang w:val="zh-CN" w:eastAsia="zh-CN"/>
        </w:rPr>
        <w:t>政府采购合同应当包括采购人与中标人的名称和住所、标的、数量、质量、价款或者报酬、履行期限及地点和方式、验收要求、违约责任、解决争议的方法等内容。</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31.4  </w:t>
      </w:r>
      <w:r>
        <w:rPr>
          <w:rFonts w:hint="eastAsia" w:ascii="宋体" w:hAnsi="宋体" w:eastAsia="宋体" w:cs="宋体"/>
          <w:color w:val="auto"/>
          <w:sz w:val="24"/>
          <w:szCs w:val="20"/>
          <w:lang w:val="zh-CN" w:eastAsia="zh-CN"/>
        </w:rPr>
        <w:t>采购人与中标人应当根据合同的约定依法履行合同义务。政府采购合同的履行、违约责任和解决争议的方法等适用《中华人民共和国合同法》。</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31.5  采购人应当自政府采购合同签订之日起2个工作日内，将政府采购合同在省级以上人民政府财政部门指定的媒体上公告，但政府采购合同中涉及国家秘密、商业秘密的内容除外。</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31.6 </w:t>
      </w:r>
      <w:r>
        <w:rPr>
          <w:rFonts w:hint="eastAsia" w:ascii="宋体" w:hAnsi="宋体" w:eastAsia="宋体" w:cs="宋体"/>
          <w:color w:val="auto"/>
          <w:sz w:val="24"/>
          <w:szCs w:val="20"/>
          <w:lang w:val="zh-CN" w:eastAsia="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43" w:name="_Toc494561945"/>
      <w:bookmarkStart w:id="44" w:name="_Toc20989"/>
      <w:r>
        <w:rPr>
          <w:rFonts w:hint="eastAsia" w:ascii="宋体" w:hAnsi="宋体" w:eastAsia="宋体" w:cs="宋体"/>
          <w:bCs w:val="0"/>
          <w:color w:val="auto"/>
          <w:lang w:val="zh-CN" w:eastAsia="zh-CN"/>
        </w:rPr>
        <w:t>采购信息公告</w:t>
      </w:r>
      <w:bookmarkEnd w:id="43"/>
      <w:bookmarkEnd w:id="44"/>
    </w:p>
    <w:p>
      <w:pPr>
        <w:numPr>
          <w:ilvl w:val="0"/>
          <w:numId w:val="3"/>
        </w:numPr>
        <w:spacing w:line="360" w:lineRule="auto"/>
        <w:ind w:left="560" w:hanging="560"/>
        <w:rPr>
          <w:rFonts w:hint="eastAsia" w:ascii="宋体" w:hAnsi="宋体" w:eastAsia="宋体" w:cs="宋体"/>
          <w:b/>
          <w:color w:val="auto"/>
          <w:kern w:val="0"/>
          <w:sz w:val="24"/>
          <w:szCs w:val="24"/>
          <w:lang w:val="zh-CN" w:eastAsia="zh-CN"/>
        </w:rPr>
      </w:pPr>
      <w:r>
        <w:rPr>
          <w:rFonts w:hint="eastAsia" w:ascii="宋体" w:hAnsi="宋体" w:eastAsia="宋体" w:cs="宋体"/>
          <w:b/>
          <w:color w:val="auto"/>
          <w:kern w:val="0"/>
          <w:sz w:val="24"/>
          <w:szCs w:val="24"/>
          <w:lang w:val="zh-CN"/>
        </w:rPr>
        <w:t>公告的媒体及规定</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32.1  </w:t>
      </w:r>
      <w:r>
        <w:rPr>
          <w:rFonts w:hint="eastAsia" w:ascii="宋体" w:hAnsi="宋体" w:eastAsia="宋体" w:cs="宋体"/>
          <w:color w:val="auto"/>
          <w:sz w:val="24"/>
          <w:szCs w:val="20"/>
          <w:lang w:val="zh-CN" w:eastAsia="zh-CN"/>
        </w:rPr>
        <w:t>采购代理机构机构在招标活动中的公告、补充、更正、结果等采购信息均依法在政府采购监管部门指定媒体上（中国湖北政府采购网http://www.ccgp-hubei.gov.cn/）发布。</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32.2  </w:t>
      </w:r>
      <w:r>
        <w:rPr>
          <w:rFonts w:hint="eastAsia" w:ascii="宋体" w:hAnsi="宋体" w:eastAsia="宋体" w:cs="宋体"/>
          <w:color w:val="auto"/>
          <w:sz w:val="24"/>
          <w:szCs w:val="20"/>
          <w:lang w:val="zh-CN" w:eastAsia="zh-CN"/>
        </w:rPr>
        <w:t>采购代理机构在自中标人确定之日起2个工作日内，在政府采购监管部门指定媒体上公告中标结果，中标公告的公示期为1个工作日。</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32.3  </w:t>
      </w:r>
      <w:r>
        <w:rPr>
          <w:rFonts w:hint="eastAsia" w:ascii="宋体" w:hAnsi="宋体" w:eastAsia="宋体" w:cs="宋体"/>
          <w:color w:val="auto"/>
          <w:sz w:val="24"/>
          <w:szCs w:val="20"/>
          <w:lang w:val="zh-CN" w:eastAsia="zh-CN"/>
        </w:rPr>
        <w:t>资格审查未通过的投标人可在结果公告质疑有效期内按公告中的联系方式获知本单位的资格审查情况。</w:t>
      </w:r>
    </w:p>
    <w:p>
      <w:pPr>
        <w:numPr>
          <w:ilvl w:val="0"/>
          <w:numId w:val="0"/>
        </w:numPr>
        <w:spacing w:line="360" w:lineRule="auto"/>
        <w:ind w:left="636" w:leftChars="0" w:hanging="636" w:hangingChars="265"/>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en-US" w:eastAsia="zh-CN"/>
        </w:rPr>
        <w:t xml:space="preserve">32.4  </w:t>
      </w:r>
      <w:r>
        <w:rPr>
          <w:rFonts w:hint="eastAsia" w:ascii="宋体" w:hAnsi="宋体" w:eastAsia="宋体" w:cs="宋体"/>
          <w:color w:val="auto"/>
          <w:sz w:val="24"/>
          <w:szCs w:val="20"/>
          <w:lang w:val="zh-CN" w:eastAsia="zh-CN"/>
        </w:rPr>
        <w:t>采用综合评分法评审的项目，未中标人可在结果公告质疑有效期内按公告中的联系方式获知本单位的评审得分与排序。</w:t>
      </w:r>
    </w:p>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45" w:name="_Toc25513"/>
      <w:bookmarkStart w:id="46" w:name="_Toc494561946"/>
      <w:r>
        <w:rPr>
          <w:rFonts w:hint="eastAsia" w:ascii="宋体" w:hAnsi="宋体" w:eastAsia="宋体" w:cs="宋体"/>
          <w:bCs w:val="0"/>
          <w:color w:val="auto"/>
          <w:lang w:val="zh-CN" w:eastAsia="zh-CN"/>
        </w:rPr>
        <w:t>质疑</w:t>
      </w:r>
      <w:bookmarkEnd w:id="41"/>
      <w:bookmarkEnd w:id="42"/>
      <w:r>
        <w:rPr>
          <w:rFonts w:hint="eastAsia" w:ascii="宋体" w:hAnsi="宋体" w:eastAsia="宋体" w:cs="宋体"/>
          <w:bCs w:val="0"/>
          <w:color w:val="auto"/>
          <w:lang w:val="zh-CN" w:eastAsia="zh-CN"/>
        </w:rPr>
        <w:t>及提交</w:t>
      </w:r>
      <w:bookmarkEnd w:id="45"/>
      <w:bookmarkEnd w:id="46"/>
    </w:p>
    <w:p>
      <w:pPr>
        <w:numPr>
          <w:ilvl w:val="0"/>
          <w:numId w:val="3"/>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质疑提交</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w:t>
      </w:r>
      <w:r>
        <w:rPr>
          <w:rFonts w:hint="eastAsia" w:ascii="宋体" w:hAnsi="宋体" w:eastAsia="宋体" w:cs="宋体"/>
          <w:color w:val="auto"/>
          <w:sz w:val="24"/>
          <w:szCs w:val="24"/>
          <w:lang w:val="zh-CN" w:eastAsia="zh-CN"/>
        </w:rPr>
        <w:t>认为招标文件、招标过程和中标结果使自己的权益受到损害的，可以在知道或者应知其权益受到损害之日起7个工作日内，</w:t>
      </w:r>
      <w:r>
        <w:rPr>
          <w:rFonts w:ascii="宋体" w:hAnsi="宋体" w:eastAsia="宋体" w:cs="Times New Roman"/>
          <w:color w:val="auto"/>
          <w:sz w:val="24"/>
          <w:szCs w:val="24"/>
          <w:lang w:val="zh-CN"/>
        </w:rPr>
        <w:t>向</w:t>
      </w:r>
      <w:r>
        <w:rPr>
          <w:rFonts w:hint="eastAsia" w:ascii="宋体" w:hAnsi="宋体" w:eastAsia="宋体" w:cs="Times New Roman"/>
          <w:color w:val="auto"/>
          <w:sz w:val="24"/>
          <w:szCs w:val="24"/>
          <w:lang w:val="zh-CN"/>
        </w:rPr>
        <w:t>采购人（或代理公司）</w:t>
      </w:r>
      <w:r>
        <w:rPr>
          <w:rFonts w:ascii="宋体" w:hAnsi="宋体" w:eastAsia="宋体" w:cs="Times New Roman"/>
          <w:color w:val="auto"/>
          <w:sz w:val="24"/>
          <w:szCs w:val="24"/>
          <w:lang w:val="zh-CN"/>
        </w:rPr>
        <w:t>提出</w:t>
      </w:r>
      <w:r>
        <w:rPr>
          <w:rFonts w:hint="eastAsia" w:ascii="宋体" w:hAnsi="宋体" w:eastAsia="宋体" w:cs="Times New Roman"/>
          <w:color w:val="auto"/>
          <w:sz w:val="24"/>
          <w:szCs w:val="24"/>
          <w:lang w:val="zh-CN"/>
        </w:rPr>
        <w:t>书面</w:t>
      </w:r>
      <w:r>
        <w:rPr>
          <w:rFonts w:ascii="宋体" w:hAnsi="宋体" w:eastAsia="宋体" w:cs="Times New Roman"/>
          <w:color w:val="auto"/>
          <w:sz w:val="24"/>
          <w:szCs w:val="24"/>
          <w:lang w:val="zh-CN"/>
        </w:rPr>
        <w:t>质疑</w:t>
      </w:r>
      <w:r>
        <w:rPr>
          <w:rFonts w:hint="eastAsia" w:ascii="宋体" w:hAnsi="宋体" w:eastAsia="宋体" w:cs="Times New Roman"/>
          <w:color w:val="auto"/>
          <w:sz w:val="24"/>
          <w:szCs w:val="24"/>
          <w:lang w:val="zh-CN"/>
        </w:rPr>
        <w:t>，质疑提出时间以收到之日为准</w:t>
      </w:r>
      <w:r>
        <w:rPr>
          <w:rFonts w:hint="eastAsia" w:ascii="宋体" w:hAnsi="宋体" w:eastAsia="宋体" w:cs="宋体"/>
          <w:color w:val="auto"/>
          <w:sz w:val="24"/>
          <w:szCs w:val="24"/>
          <w:lang w:val="zh-CN" w:eastAsia="zh-CN"/>
        </w:rPr>
        <w:t>。</w:t>
      </w:r>
    </w:p>
    <w:p>
      <w:pPr>
        <w:numPr>
          <w:ilvl w:val="0"/>
          <w:numId w:val="3"/>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投标人应知其权益受到损害之日是指：</w:t>
      </w:r>
    </w:p>
    <w:p>
      <w:pPr>
        <w:numPr>
          <w:ilvl w:val="0"/>
          <w:numId w:val="0"/>
        </w:numPr>
        <w:spacing w:line="360" w:lineRule="auto"/>
        <w:ind w:left="636" w:leftChars="0" w:hanging="636" w:hangingChars="265"/>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34.1 </w:t>
      </w:r>
      <w:r>
        <w:rPr>
          <w:rFonts w:hint="eastAsia" w:ascii="宋体" w:hAnsi="宋体" w:eastAsia="宋体" w:cs="宋体"/>
          <w:color w:val="auto"/>
          <w:sz w:val="24"/>
          <w:szCs w:val="24"/>
          <w:lang w:val="zh-CN" w:eastAsia="zh-CN"/>
        </w:rPr>
        <w:t>对可以质疑的招标文件提出质疑的，为收到招标文件之日或者招标文件公告期限届满之日；</w:t>
      </w:r>
    </w:p>
    <w:p>
      <w:pPr>
        <w:numPr>
          <w:ilvl w:val="0"/>
          <w:numId w:val="0"/>
        </w:numPr>
        <w:spacing w:line="360" w:lineRule="auto"/>
        <w:ind w:left="636" w:leftChars="0" w:hanging="636" w:hangingChars="265"/>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34.2  </w:t>
      </w:r>
      <w:r>
        <w:rPr>
          <w:rFonts w:hint="eastAsia" w:ascii="宋体" w:hAnsi="宋体" w:eastAsia="宋体" w:cs="宋体"/>
          <w:color w:val="auto"/>
          <w:sz w:val="24"/>
          <w:szCs w:val="24"/>
          <w:lang w:val="zh-CN" w:eastAsia="zh-CN"/>
        </w:rPr>
        <w:t>对招标过程提出质疑的，为各招标程序环节结束之日；</w:t>
      </w:r>
    </w:p>
    <w:p>
      <w:pPr>
        <w:numPr>
          <w:ilvl w:val="0"/>
          <w:numId w:val="0"/>
        </w:numPr>
        <w:spacing w:line="360" w:lineRule="auto"/>
        <w:ind w:left="636" w:leftChars="0" w:hanging="636" w:hangingChars="265"/>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34.3  </w:t>
      </w:r>
      <w:r>
        <w:rPr>
          <w:rFonts w:hint="eastAsia" w:ascii="宋体" w:hAnsi="宋体" w:eastAsia="宋体" w:cs="宋体"/>
          <w:color w:val="auto"/>
          <w:sz w:val="24"/>
          <w:szCs w:val="24"/>
          <w:lang w:val="zh-CN" w:eastAsia="zh-CN"/>
        </w:rPr>
        <w:t>对中标结果提出质疑的，为中标公告期限届满之日。</w:t>
      </w:r>
    </w:p>
    <w:p>
      <w:pPr>
        <w:numPr>
          <w:ilvl w:val="0"/>
          <w:numId w:val="3"/>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质疑书应当包括下列主要内容：</w:t>
      </w:r>
    </w:p>
    <w:p>
      <w:pPr>
        <w:numPr>
          <w:ilvl w:val="0"/>
          <w:numId w:val="0"/>
        </w:numPr>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35.1  </w:t>
      </w:r>
      <w:r>
        <w:rPr>
          <w:rFonts w:hint="eastAsia" w:ascii="宋体" w:hAnsi="宋体" w:eastAsia="宋体" w:cs="宋体"/>
          <w:color w:val="auto"/>
          <w:sz w:val="24"/>
          <w:szCs w:val="24"/>
          <w:lang w:val="zh-CN"/>
        </w:rPr>
        <w:t>质疑人的名称、地址、联系人及联系电话等；</w:t>
      </w:r>
    </w:p>
    <w:p>
      <w:pPr>
        <w:numPr>
          <w:ilvl w:val="0"/>
          <w:numId w:val="0"/>
        </w:numPr>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35.2  </w:t>
      </w:r>
      <w:r>
        <w:rPr>
          <w:rFonts w:hint="eastAsia" w:ascii="宋体" w:hAnsi="宋体" w:eastAsia="宋体" w:cs="宋体"/>
          <w:color w:val="auto"/>
          <w:sz w:val="24"/>
          <w:szCs w:val="24"/>
          <w:lang w:val="zh-CN"/>
        </w:rPr>
        <w:t>被质疑人的名称、地址、联系人及联系电话等；</w:t>
      </w:r>
    </w:p>
    <w:p>
      <w:pPr>
        <w:numPr>
          <w:ilvl w:val="0"/>
          <w:numId w:val="0"/>
        </w:numPr>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35.3  </w:t>
      </w:r>
      <w:r>
        <w:rPr>
          <w:rFonts w:hint="eastAsia" w:ascii="宋体" w:hAnsi="宋体" w:eastAsia="宋体" w:cs="宋体"/>
          <w:color w:val="auto"/>
          <w:sz w:val="24"/>
          <w:szCs w:val="24"/>
          <w:lang w:val="zh-CN"/>
        </w:rPr>
        <w:t>质疑项目名称及编号、质疑事项和明确的请求；</w:t>
      </w:r>
    </w:p>
    <w:p>
      <w:pPr>
        <w:numPr>
          <w:ilvl w:val="0"/>
          <w:numId w:val="0"/>
        </w:numPr>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35.4  </w:t>
      </w:r>
      <w:r>
        <w:rPr>
          <w:rFonts w:hint="eastAsia" w:ascii="宋体" w:hAnsi="宋体" w:eastAsia="宋体" w:cs="宋体"/>
          <w:color w:val="auto"/>
          <w:sz w:val="24"/>
          <w:szCs w:val="24"/>
          <w:lang w:val="zh-CN"/>
        </w:rPr>
        <w:t>质疑事项的事实根据、法律依据及其他必要的证明材料；</w:t>
      </w:r>
    </w:p>
    <w:p>
      <w:pPr>
        <w:numPr>
          <w:ilvl w:val="0"/>
          <w:numId w:val="0"/>
        </w:numPr>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35.5  </w:t>
      </w:r>
      <w:r>
        <w:rPr>
          <w:rFonts w:hint="eastAsia" w:ascii="宋体" w:hAnsi="宋体" w:eastAsia="宋体" w:cs="宋体"/>
          <w:color w:val="auto"/>
          <w:sz w:val="24"/>
          <w:szCs w:val="24"/>
          <w:lang w:val="zh-CN"/>
        </w:rPr>
        <w:t>提出质疑的日期；</w:t>
      </w:r>
    </w:p>
    <w:p>
      <w:pPr>
        <w:numPr>
          <w:ilvl w:val="0"/>
          <w:numId w:val="0"/>
        </w:numPr>
        <w:spacing w:line="360" w:lineRule="auto"/>
        <w:ind w:left="840" w:leftChars="0" w:hanging="840" w:hangingChars="35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35.6  </w:t>
      </w:r>
      <w:r>
        <w:rPr>
          <w:rFonts w:hint="eastAsia" w:ascii="宋体" w:hAnsi="宋体" w:eastAsia="宋体" w:cs="宋体"/>
          <w:color w:val="auto"/>
          <w:sz w:val="24"/>
          <w:szCs w:val="24"/>
          <w:lang w:val="zh-CN"/>
        </w:rPr>
        <w:t>质疑人的署名及签章（质疑人为自然人的，应当由本人签字；质疑人为法人或者其他组织的，应当由法定代表人或者主要负责人签字盖章并加盖公章）；</w:t>
      </w:r>
    </w:p>
    <w:p>
      <w:pPr>
        <w:numPr>
          <w:ilvl w:val="0"/>
          <w:numId w:val="0"/>
        </w:numPr>
        <w:spacing w:line="360" w:lineRule="auto"/>
        <w:ind w:left="840" w:leftChars="0" w:hanging="840" w:hangingChars="35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35.7  </w:t>
      </w:r>
      <w:r>
        <w:rPr>
          <w:rFonts w:hint="eastAsia" w:ascii="宋体" w:hAnsi="宋体" w:eastAsia="宋体" w:cs="宋体"/>
          <w:color w:val="auto"/>
          <w:sz w:val="24"/>
          <w:szCs w:val="24"/>
          <w:lang w:val="zh-CN"/>
        </w:rPr>
        <w:t>法人授权委托书（质疑人或法人委托代理人办理质疑事务的，应当提供授权委托书，授权委托书应当载明委托代理的具体权限和事项）。</w:t>
      </w:r>
    </w:p>
    <w:p>
      <w:pPr>
        <w:numPr>
          <w:ilvl w:val="0"/>
          <w:numId w:val="3"/>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不予受理的情形</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投标人未按本章“质疑及提交”规定的时限、内容及方式进行质疑的，</w:t>
      </w:r>
      <w:r>
        <w:rPr>
          <w:rFonts w:hint="eastAsia" w:ascii="宋体" w:hAnsi="宋体" w:eastAsia="宋体" w:cs="宋体"/>
          <w:color w:val="auto"/>
          <w:kern w:val="0"/>
          <w:sz w:val="24"/>
          <w:szCs w:val="24"/>
        </w:rPr>
        <w:t>采购人（或代理公司）</w:t>
      </w:r>
      <w:r>
        <w:rPr>
          <w:rFonts w:hint="eastAsia" w:ascii="宋体" w:hAnsi="宋体" w:eastAsia="宋体" w:cs="宋体"/>
          <w:color w:val="auto"/>
          <w:sz w:val="24"/>
          <w:szCs w:val="24"/>
          <w:lang w:val="zh-CN"/>
        </w:rPr>
        <w:t>机构不予受理。</w:t>
      </w:r>
    </w:p>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47" w:name="_Toc8910"/>
      <w:bookmarkStart w:id="48" w:name="_Toc494561947"/>
      <w:r>
        <w:rPr>
          <w:rFonts w:hint="eastAsia" w:ascii="宋体" w:hAnsi="宋体" w:eastAsia="宋体" w:cs="宋体"/>
          <w:bCs w:val="0"/>
          <w:color w:val="auto"/>
          <w:lang w:val="zh-CN" w:eastAsia="zh-CN"/>
        </w:rPr>
        <w:t>相关条文解读</w:t>
      </w:r>
      <w:bookmarkEnd w:id="47"/>
      <w:bookmarkEnd w:id="48"/>
    </w:p>
    <w:p>
      <w:pPr>
        <w:numPr>
          <w:ilvl w:val="0"/>
          <w:numId w:val="3"/>
        </w:numPr>
        <w:spacing w:line="360" w:lineRule="auto"/>
        <w:ind w:left="560" w:hanging="56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政府采购法第二十二条第一款第五项所称重大违法记录，是指供应商因违法经营受到刑事处罚或者责令停产停业、吊销许可证或者执照、较大数额罚款等行政处罚。</w:t>
      </w:r>
    </w:p>
    <w:p>
      <w:pPr>
        <w:numPr>
          <w:ilvl w:val="0"/>
          <w:numId w:val="3"/>
        </w:numPr>
        <w:spacing w:line="360" w:lineRule="auto"/>
        <w:ind w:left="560" w:hanging="56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3"/>
        </w:numPr>
        <w:spacing w:line="360" w:lineRule="auto"/>
        <w:ind w:left="560" w:hanging="56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供应商在参加政府采购活动前3年内因违法经营被禁止在一定期限内参加政府采购活动，期限届满的，可以参加政府采购活动。</w:t>
      </w:r>
    </w:p>
    <w:p>
      <w:pPr>
        <w:numPr>
          <w:ilvl w:val="0"/>
          <w:numId w:val="3"/>
        </w:numPr>
        <w:spacing w:line="360" w:lineRule="auto"/>
        <w:ind w:left="560" w:hanging="56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根据财政部《政府采购法实施条例》释义中关于供应商资格条件的解释，对于银行、保险、石油石化、电力、电信等有行业特殊情况的，采购人和采购代理机构允许</w:t>
      </w:r>
      <w:r>
        <w:rPr>
          <w:rFonts w:hint="eastAsia" w:ascii="宋体" w:hAnsi="宋体" w:eastAsia="宋体" w:cs="宋体"/>
          <w:color w:val="auto"/>
          <w:sz w:val="24"/>
          <w:szCs w:val="20"/>
          <w:lang w:val="zh-CN"/>
        </w:rPr>
        <w:t>其</w:t>
      </w:r>
      <w:r>
        <w:rPr>
          <w:rFonts w:hint="eastAsia" w:ascii="宋体" w:hAnsi="宋体" w:eastAsia="宋体" w:cs="宋体"/>
          <w:color w:val="auto"/>
          <w:sz w:val="24"/>
          <w:szCs w:val="20"/>
          <w:lang w:val="zh-CN" w:eastAsia="zh-CN"/>
        </w:rPr>
        <w:t>分支机构参与投标。</w:t>
      </w:r>
    </w:p>
    <w:p>
      <w:pPr>
        <w:pStyle w:val="4"/>
        <w:numPr>
          <w:ilvl w:val="0"/>
          <w:numId w:val="2"/>
        </w:numPr>
        <w:spacing w:before="40" w:after="40" w:line="360" w:lineRule="auto"/>
        <w:ind w:left="658" w:hanging="658"/>
        <w:jc w:val="left"/>
        <w:rPr>
          <w:rFonts w:hint="eastAsia" w:ascii="宋体" w:hAnsi="宋体" w:eastAsia="宋体" w:cs="宋体"/>
          <w:bCs w:val="0"/>
          <w:color w:val="auto"/>
          <w:lang w:val="zh-CN" w:eastAsia="zh-CN"/>
        </w:rPr>
      </w:pPr>
      <w:bookmarkStart w:id="49" w:name="_Toc494561948"/>
      <w:bookmarkStart w:id="50" w:name="_Toc1167"/>
      <w:r>
        <w:rPr>
          <w:rFonts w:hint="eastAsia" w:ascii="宋体" w:hAnsi="宋体" w:eastAsia="宋体" w:cs="宋体"/>
          <w:bCs w:val="0"/>
          <w:color w:val="auto"/>
          <w:lang w:val="zh-CN" w:eastAsia="zh-CN"/>
        </w:rPr>
        <w:t>其他注意事项</w:t>
      </w:r>
      <w:bookmarkEnd w:id="49"/>
      <w:bookmarkEnd w:id="50"/>
    </w:p>
    <w:p>
      <w:pPr>
        <w:numPr>
          <w:ilvl w:val="0"/>
          <w:numId w:val="3"/>
        </w:numPr>
        <w:spacing w:line="360" w:lineRule="auto"/>
        <w:ind w:left="560" w:hanging="56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单位负责人为同一人或者存在直接控股、管理关系的不同供应商，不得参加同一合同项下的政府采购活动。</w:t>
      </w:r>
    </w:p>
    <w:p>
      <w:pPr>
        <w:numPr>
          <w:ilvl w:val="0"/>
          <w:numId w:val="3"/>
        </w:numPr>
        <w:spacing w:line="360" w:lineRule="auto"/>
        <w:ind w:left="560" w:hanging="56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除单一来源采购项目外，为采购项目提供整体设计、规范编制或者项目管理、监理、检测等服务的供应商，不得再参加该采购项目的其他采购活动。</w:t>
      </w:r>
    </w:p>
    <w:p>
      <w:pPr>
        <w:pStyle w:val="4"/>
        <w:numPr>
          <w:ilvl w:val="0"/>
          <w:numId w:val="2"/>
        </w:numPr>
        <w:spacing w:before="40" w:after="40" w:line="360" w:lineRule="auto"/>
        <w:ind w:left="966" w:hanging="966"/>
        <w:jc w:val="left"/>
        <w:rPr>
          <w:rFonts w:hint="eastAsia" w:ascii="宋体" w:hAnsi="宋体" w:eastAsia="宋体" w:cs="宋体"/>
          <w:bCs w:val="0"/>
          <w:color w:val="auto"/>
          <w:lang w:val="zh-CN" w:eastAsia="zh-CN"/>
        </w:rPr>
      </w:pPr>
      <w:bookmarkStart w:id="51" w:name="_Toc278891598"/>
      <w:bookmarkStart w:id="52" w:name="_Toc494561949"/>
      <w:bookmarkStart w:id="53" w:name="_Toc272247701"/>
      <w:bookmarkStart w:id="54" w:name="_Toc20145"/>
      <w:r>
        <w:rPr>
          <w:rFonts w:hint="eastAsia" w:ascii="宋体" w:hAnsi="宋体" w:eastAsia="宋体" w:cs="宋体"/>
          <w:bCs w:val="0"/>
          <w:color w:val="auto"/>
          <w:lang w:val="zh-CN" w:eastAsia="zh-CN"/>
        </w:rPr>
        <w:t>适用法律</w:t>
      </w:r>
      <w:bookmarkEnd w:id="51"/>
      <w:bookmarkEnd w:id="52"/>
      <w:bookmarkEnd w:id="53"/>
      <w:bookmarkEnd w:id="54"/>
    </w:p>
    <w:p>
      <w:pPr>
        <w:numPr>
          <w:ilvl w:val="0"/>
          <w:numId w:val="3"/>
        </w:numPr>
        <w:spacing w:line="360" w:lineRule="auto"/>
        <w:ind w:left="560" w:hanging="560"/>
        <w:rPr>
          <w:rFonts w:hint="eastAsia" w:ascii="宋体" w:hAnsi="宋体" w:eastAsia="宋体" w:cs="宋体"/>
          <w:color w:val="auto"/>
          <w:sz w:val="24"/>
          <w:szCs w:val="20"/>
          <w:lang w:val="zh-CN" w:eastAsia="zh-CN"/>
        </w:rPr>
      </w:pPr>
      <w:r>
        <w:rPr>
          <w:rFonts w:hint="eastAsia" w:ascii="宋体" w:hAnsi="宋体" w:eastAsia="宋体" w:cs="宋体"/>
          <w:color w:val="auto"/>
          <w:sz w:val="24"/>
          <w:szCs w:val="20"/>
          <w:lang w:val="zh-CN" w:eastAsia="zh-CN"/>
        </w:rPr>
        <w:t>采购人、采购代理机构及投标人的一切招标投标活动均适用《政府采购法》、《政府采购法实施条例》、《政府采购货物和服务招标投标管理办法》及相关</w:t>
      </w:r>
      <w:r>
        <w:rPr>
          <w:rFonts w:hint="eastAsia" w:ascii="宋体" w:hAnsi="宋体" w:eastAsia="宋体" w:cs="宋体"/>
          <w:color w:val="auto"/>
          <w:sz w:val="24"/>
          <w:szCs w:val="20"/>
          <w:lang w:val="zh-CN"/>
        </w:rPr>
        <w:t>法律法规</w:t>
      </w:r>
      <w:r>
        <w:rPr>
          <w:rFonts w:hint="eastAsia" w:ascii="宋体" w:hAnsi="宋体" w:eastAsia="宋体" w:cs="宋体"/>
          <w:color w:val="auto"/>
          <w:sz w:val="24"/>
          <w:szCs w:val="20"/>
          <w:lang w:val="zh-CN" w:eastAsia="zh-CN"/>
        </w:rPr>
        <w:t>。</w:t>
      </w:r>
    </w:p>
    <w:p>
      <w:pPr>
        <w:numPr>
          <w:ilvl w:val="0"/>
          <w:numId w:val="3"/>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eastAsia="zh-CN"/>
        </w:rPr>
        <w:t>政府采购合同的履行、违约责任和解决争议的方法等适用《合同法》。</w:t>
      </w:r>
    </w:p>
    <w:p>
      <w:pPr>
        <w:pStyle w:val="4"/>
        <w:numPr>
          <w:ilvl w:val="0"/>
          <w:numId w:val="2"/>
        </w:numPr>
        <w:spacing w:before="40" w:after="40" w:line="360" w:lineRule="auto"/>
        <w:ind w:left="966" w:hanging="966"/>
        <w:jc w:val="left"/>
        <w:rPr>
          <w:rFonts w:hint="eastAsia" w:ascii="宋体" w:hAnsi="宋体" w:eastAsia="宋体" w:cs="宋体"/>
          <w:bCs w:val="0"/>
          <w:color w:val="auto"/>
          <w:lang w:val="zh-CN" w:eastAsia="zh-CN"/>
        </w:rPr>
      </w:pPr>
      <w:bookmarkStart w:id="55" w:name="_Toc494561950"/>
      <w:bookmarkStart w:id="56" w:name="_Toc31563"/>
      <w:bookmarkStart w:id="57" w:name="_Toc272247702"/>
      <w:bookmarkStart w:id="58" w:name="_Toc278891599"/>
      <w:r>
        <w:rPr>
          <w:rFonts w:hint="eastAsia" w:ascii="宋体" w:hAnsi="宋体" w:eastAsia="宋体" w:cs="宋体"/>
          <w:bCs w:val="0"/>
          <w:color w:val="auto"/>
          <w:lang w:val="zh-CN" w:eastAsia="zh-CN"/>
        </w:rPr>
        <w:t>招标文件的解释权</w:t>
      </w:r>
      <w:bookmarkEnd w:id="55"/>
      <w:bookmarkEnd w:id="56"/>
      <w:bookmarkEnd w:id="57"/>
      <w:bookmarkEnd w:id="58"/>
    </w:p>
    <w:p>
      <w:pPr>
        <w:numPr>
          <w:ilvl w:val="0"/>
          <w:numId w:val="3"/>
        </w:numPr>
        <w:spacing w:line="360" w:lineRule="auto"/>
        <w:ind w:left="560" w:hanging="560"/>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招标文件的最终解释权为采购人、采购代理机构所有。</w:t>
      </w:r>
      <w:r>
        <w:rPr>
          <w:rFonts w:hint="eastAsia" w:ascii="宋体" w:hAnsi="宋体" w:eastAsia="宋体" w:cs="宋体"/>
          <w:color w:val="auto"/>
          <w:sz w:val="24"/>
          <w:szCs w:val="24"/>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ind w:left="420" w:hanging="420"/>
        <w:jc w:val="center"/>
        <w:textAlignment w:val="auto"/>
        <w:rPr>
          <w:rFonts w:hint="eastAsia" w:ascii="宋体" w:hAnsi="宋体" w:eastAsia="宋体" w:cs="宋体"/>
          <w:color w:val="auto"/>
        </w:rPr>
      </w:pPr>
      <w:bookmarkStart w:id="59" w:name="_Toc2278"/>
      <w:r>
        <w:rPr>
          <w:rFonts w:hint="eastAsia" w:ascii="宋体" w:hAnsi="宋体" w:eastAsia="宋体" w:cs="宋体"/>
          <w:color w:val="auto"/>
        </w:rPr>
        <w:t>项目技术、服务及商务要求</w:t>
      </w:r>
      <w:bookmarkEnd w:id="59"/>
    </w:p>
    <w:p>
      <w:pPr>
        <w:widowControl/>
        <w:numPr>
          <w:ilvl w:val="0"/>
          <w:numId w:val="15"/>
        </w:numPr>
        <w:tabs>
          <w:tab w:val="left" w:pos="1800"/>
        </w:tabs>
        <w:spacing w:line="360" w:lineRule="auto"/>
        <w:outlineLvl w:val="1"/>
        <w:rPr>
          <w:rFonts w:hint="eastAsia" w:ascii="宋体" w:hAnsi="宋体" w:eastAsia="宋体" w:cs="宋体"/>
          <w:b/>
          <w:bCs/>
          <w:color w:val="auto"/>
          <w:sz w:val="32"/>
          <w:szCs w:val="32"/>
        </w:rPr>
      </w:pPr>
      <w:bookmarkStart w:id="60" w:name="_Toc18571"/>
      <w:r>
        <w:rPr>
          <w:rFonts w:hint="eastAsia" w:ascii="宋体" w:hAnsi="宋体" w:eastAsia="宋体" w:cs="宋体"/>
          <w:b/>
          <w:bCs/>
          <w:color w:val="auto"/>
          <w:sz w:val="32"/>
          <w:szCs w:val="32"/>
          <w:lang w:eastAsia="zh-CN"/>
        </w:rPr>
        <w:t>采购清单及</w:t>
      </w:r>
      <w:r>
        <w:rPr>
          <w:rFonts w:hint="eastAsia" w:ascii="宋体" w:hAnsi="宋体" w:eastAsia="宋体" w:cs="宋体"/>
          <w:b/>
          <w:bCs/>
          <w:color w:val="auto"/>
          <w:sz w:val="32"/>
          <w:szCs w:val="32"/>
        </w:rPr>
        <w:t>技术规格</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要求</w:t>
      </w:r>
      <w:bookmarkEnd w:id="60"/>
    </w:p>
    <w:p>
      <w:pPr>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、小学科学实验室成套设备</w:t>
      </w:r>
    </w:p>
    <w:tbl>
      <w:tblPr>
        <w:tblStyle w:val="12"/>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708"/>
        <w:gridCol w:w="850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1"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序号</w:t>
            </w:r>
          </w:p>
        </w:tc>
        <w:tc>
          <w:tcPr>
            <w:tcW w:w="708"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货物名称</w:t>
            </w:r>
          </w:p>
        </w:tc>
        <w:tc>
          <w:tcPr>
            <w:tcW w:w="8505"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技术参数</w:t>
            </w:r>
          </w:p>
        </w:tc>
        <w:tc>
          <w:tcPr>
            <w:tcW w:w="425"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w:t>
            </w:r>
          </w:p>
        </w:tc>
        <w:tc>
          <w:tcPr>
            <w:tcW w:w="425"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421"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0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教师演示台</w:t>
            </w:r>
          </w:p>
        </w:tc>
        <w:tc>
          <w:tcPr>
            <w:tcW w:w="8505" w:type="dxa"/>
            <w:tcBorders>
              <w:tl2br w:val="nil"/>
              <w:tr2bl w:val="nil"/>
            </w:tcBorders>
            <w:shd w:val="clear" w:color="auto" w:fill="auto"/>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1、规格：2400×700×780mm</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台面采用环保E1级高能板（高能实芯理化板），通体厚度为25mm，板材表面为生物抗菌型净化膜压贴，芯材不采用牛皮纸压制，而采用热固树脂与70%可再生森林的软木纤维，中间添加内应力平衡无醛生物胶一体高温高压而成。要求水槽内壁与台面同色，后挡水板与台面整体包裹而成， 台面板的正反两面及水槽内壁均具备耐酸碱，耐腐蚀，整体防水之性能。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二、台面的各项功能检测须达到如下要求：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★1、耐有机溶液均通过国家化学建筑材料测试中心检测：硫酸（98%）、盐酸（37%）、硝酸（65%）、乙酸（99%）、磷酸（85%）等不低于36项化学试剂检测，检测结果达到5级标准。(提供2020年检测报告）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★2、通过国家化学建筑材料测试中心检测，提供耐沸水性能、耐香烟灼烧性能、抗拉强度、弯曲强度等不低于15项物理性能检测。(提供2020年检测报告）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3、通过国家重点实验室检测（检测方法：气候箱法）, 执行国家强制性标准GB18580-2017《室内装饰材料 人造板及其制品中甲醛释放量》，甲醛释放量小于等于 0.005mg/m3，达到环保E1级标准。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通过国家认可的第三方有资质的检测机构检测，检测项目有内照射指数IRa≤1.0和外照射指数Iy≤1.3（检测依据GB6566-2010《建筑材料放射性核素限量》），提供合格的放射性核素限量检验报告（检测报告封面上须有CMA认证标志）。</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5、通过权威机构检测，按照国家标准《建筑产品和家具的挥发性有机化合物的测定排放试验室法（ISO 16000-9-2006）》检测,要求总挥发性有机物（苯、二甲苯和TVOC）的释放率&lt;2μg/㎡·h，提供合格检测报告。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6、通过权威检测机构SGS检测，检测方法：ASTM G21-15合成高分子材料防霉性测定，检测真菌有巴西曲霉（黑曲霉）、绿色木霉（绿色胶霉），提供台面表面的生物抗菌型净化膜的抗真菌检测报告。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7、通过权威检测机构SGS检测，检测方法：JISZ2801:2010抗菌加工制品-抗菌性试验方法和抗菌效果测定），检测菌种有大肠杆菌、金黄色葡萄球菌，提供台面表面的生物抗菌型净化膜的抗菌率检测报告。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通过国家认可的有资质的第三方检测机构检测，检测依据:JC/T1074-2008《室内空气净化功能涂覆材料净化性能》，提供（生物抗菌型净化）高能板的甲醛净化功能检测报告,要求甲醛净化效率≥30%（检测报告封面上须有CMA认证标志）。</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备注;1、投标厂家需有板材供应商出具的授权证明,为确保该材料不是唯一性产品，要求同一板材品牌只能授权一家公司（要求：手写无效，以打印文本为有效授权）；2、投标厂家需有板材供应商出具的产品检测报告复印件（要求：为确保产品质量，各项检测报告内页需注明本次招标采购项目名称及编号并加盖板材厂家公章）；柜体：采用1.0优质一级冷轧钢板（SPCCT）经CNC机压成型，焊接制作，表面经磷化处理、环氧树脂静电粉末涂装处理。设置电源专用抽屉位。侧边空位，配有专门装饰网板加固。固定桌脚：ABS注塑专用垫。</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张</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0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学生实验台</w:t>
            </w:r>
          </w:p>
        </w:tc>
        <w:tc>
          <w:tcPr>
            <w:tcW w:w="850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规格：1400*1200*740mm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台面：采用新型、环保、12.7mm实心理化板台面，台面为六边形。</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桌身架构：台身所有部件采用ABS加耐磨纤维质塑料材质（整桌无木质材料）。桌身单体有模具一体注塑的两块组合而成，桌身可见部分几乎没有连接封桌身的书包斗和和柜体之间有45°弧度渐变形成，使桌身更具流线型。桌子有六个梯形单体组成，桌子两个单体之间采用榫卯连接结构，牢固易安装。桌身下面预埋有铜件标准螺母件可以加装调节脚垫。可接触面部件做有圆弧或R角处理；桌身颜色：采用白色，蓝色组位交替组合搭配，整体漂亮多变；桌身功能：台身采用ABS注塑件相互连接，整体牢固，防水，防霉，坚固耐用，桌身内含学生书包斗，挂凳卡。下部位是综合功能柜，其门采用门轴和自吸式设计，方便开启和关闭，门的背面有5mm 厚的加强经。整体尺寸比例经过人体工程学设计，方便舒适。美观大方。</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张</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21"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0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教师主控电源</w:t>
            </w:r>
          </w:p>
        </w:tc>
        <w:tc>
          <w:tcPr>
            <w:tcW w:w="850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尺寸：装置在主控台组合柜内，采用耐磨、耐腐蚀的PVC薄膜面板，优质元器件，微电脑控制，轻触按钮开关。1.输入电压：220v±10%；2.内装有教师演示电源及主控电源装置，教师能对实验室进行总体及分组控制；3.220V电源输出，电源总开关、漏电保护开关、工作指示灯、220V交流输出多用豪华插座，微电脑控制，数码实时显示电压电流值；电压表精度1%，电流表精度1.5%±5字； 4.带老师、学生220V过载漏电保护。5.使用环境：温度0-40℃，湿度&lt;90%。</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21"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0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学生电源</w:t>
            </w:r>
          </w:p>
        </w:tc>
        <w:tc>
          <w:tcPr>
            <w:tcW w:w="850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尺寸：单独安装在桌面中间，塑料模具一次成型,工作操作台为翻转式，完全打开时工作面板与水平面呈140°夹角。1.有电源开关，零火线可同时关断；2.设置2路多功能220V五孔交流插座，操作简单，安全可靠。</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21"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08"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教师转椅</w:t>
            </w:r>
          </w:p>
        </w:tc>
        <w:tc>
          <w:tcPr>
            <w:tcW w:w="850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液压升降式豪华五轮转椅</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张</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421"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08"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准备桌</w:t>
            </w:r>
          </w:p>
        </w:tc>
        <w:tc>
          <w:tcPr>
            <w:tcW w:w="8505" w:type="dxa"/>
            <w:tcBorders>
              <w:tl2br w:val="nil"/>
              <w:tr2bl w:val="nil"/>
            </w:tcBorders>
            <w:shd w:val="clear" w:color="auto" w:fill="auto"/>
            <w:vAlign w:val="center"/>
          </w:tcPr>
          <w:p>
            <w:pPr>
              <w:widowControl/>
              <w:snapToGrid w:val="0"/>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1、规格：2400*1200*780mm；</w:t>
            </w:r>
            <w:r>
              <w:rPr>
                <w:rFonts w:ascii="宋体" w:hAnsi="宋体" w:eastAsia="宋体" w:cs="宋体"/>
                <w:color w:val="auto"/>
                <w:kern w:val="0"/>
                <w:sz w:val="20"/>
                <w:szCs w:val="20"/>
              </w:rPr>
              <w:t>2</w:t>
            </w:r>
            <w:r>
              <w:rPr>
                <w:rFonts w:hint="eastAsia" w:ascii="宋体" w:hAnsi="宋体" w:eastAsia="宋体" w:cs="宋体"/>
                <w:color w:val="auto"/>
                <w:kern w:val="0"/>
                <w:sz w:val="20"/>
                <w:szCs w:val="20"/>
              </w:rPr>
              <w:t>、台面：与教师演示台相同；3、结构：新型塑铝结构，学生位镂空式，符合人体工程学设计，美观大方。</w:t>
            </w:r>
          </w:p>
          <w:p>
            <w:pPr>
              <w:rPr>
                <w:rFonts w:ascii="宋体" w:hAnsi="宋体" w:eastAsia="宋体" w:cs="宋体"/>
                <w:color w:val="auto"/>
                <w:kern w:val="0"/>
                <w:sz w:val="20"/>
                <w:szCs w:val="20"/>
              </w:rPr>
            </w:pPr>
            <w:r>
              <w:rPr>
                <w:rFonts w:hint="eastAsia" w:ascii="宋体" w:hAnsi="宋体" w:eastAsia="宋体" w:cs="宋体"/>
                <w:color w:val="auto"/>
                <w:kern w:val="0"/>
                <w:sz w:val="20"/>
                <w:szCs w:val="20"/>
              </w:rPr>
              <w:t>主框架字型结构无木板：</w:t>
            </w:r>
          </w:p>
          <w:p>
            <w:pPr>
              <w:snapToGrid w:val="0"/>
              <w:rPr>
                <w:rFonts w:ascii="宋体" w:hAnsi="宋体" w:eastAsia="宋体" w:cs="宋体"/>
                <w:color w:val="auto"/>
                <w:kern w:val="0"/>
                <w:sz w:val="20"/>
                <w:szCs w:val="20"/>
              </w:rPr>
            </w:pPr>
            <w:r>
              <w:rPr>
                <w:rFonts w:ascii="宋体" w:hAnsi="宋体" w:eastAsia="宋体" w:cs="宋体"/>
                <w:color w:val="auto"/>
                <w:kern w:val="0"/>
                <w:sz w:val="20"/>
                <w:szCs w:val="20"/>
              </w:rPr>
              <w:t>4</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桌身：由桌腿、立柱、前横梁、中横梁、后横梁组成。；5、桌腿：采用工字型压铸铝一次成型，材料表面经高压静电喷涂环氧树脂防护层，耐酸碱，耐腐蚀处理；</w:t>
            </w:r>
            <w:r>
              <w:rPr>
                <w:rFonts w:ascii="宋体" w:hAnsi="宋体" w:eastAsia="宋体" w:cs="宋体"/>
                <w:color w:val="auto"/>
                <w:kern w:val="0"/>
                <w:sz w:val="20"/>
                <w:szCs w:val="20"/>
              </w:rPr>
              <w:t>6</w:t>
            </w:r>
            <w:r>
              <w:rPr>
                <w:rFonts w:hint="eastAsia" w:ascii="宋体" w:hAnsi="宋体" w:eastAsia="宋体" w:cs="宋体"/>
                <w:color w:val="auto"/>
                <w:kern w:val="0"/>
                <w:sz w:val="20"/>
                <w:szCs w:val="20"/>
              </w:rPr>
              <w:t>、上腿规格：长595mm宽55mm高95mm，壁厚2.5mm；7、下腿规格：长555mm宽55mm高95mm，壁厚2.5mm；</w:t>
            </w:r>
            <w:r>
              <w:rPr>
                <w:rFonts w:ascii="宋体" w:hAnsi="宋体" w:eastAsia="宋体" w:cs="宋体"/>
                <w:color w:val="auto"/>
                <w:kern w:val="0"/>
                <w:sz w:val="20"/>
                <w:szCs w:val="20"/>
              </w:rPr>
              <w:t>8</w:t>
            </w:r>
            <w:r>
              <w:rPr>
                <w:rFonts w:hint="eastAsia" w:ascii="宋体" w:hAnsi="宋体" w:eastAsia="宋体" w:cs="宋体"/>
                <w:color w:val="auto"/>
                <w:kern w:val="0"/>
                <w:sz w:val="20"/>
                <w:szCs w:val="20"/>
              </w:rPr>
              <w:t>、立柱：采用43×110mm，壁厚1.5mm；9、前横梁采用37×40mm，壁厚1.2mm；1</w:t>
            </w:r>
            <w:r>
              <w:rPr>
                <w:rFonts w:ascii="宋体" w:hAnsi="宋体" w:eastAsia="宋体" w:cs="宋体"/>
                <w:color w:val="auto"/>
                <w:kern w:val="0"/>
                <w:sz w:val="20"/>
                <w:szCs w:val="20"/>
              </w:rPr>
              <w:t>0</w:t>
            </w:r>
            <w:r>
              <w:rPr>
                <w:rFonts w:hint="eastAsia" w:ascii="宋体" w:hAnsi="宋体" w:eastAsia="宋体" w:cs="宋体"/>
                <w:color w:val="auto"/>
                <w:kern w:val="0"/>
                <w:sz w:val="20"/>
                <w:szCs w:val="20"/>
              </w:rPr>
              <w:t>、中横梁采用35×27mm，壁厚1.2mm；9、后横梁：采用37×40mm，壁厚1.2mm；1</w:t>
            </w:r>
            <w:r>
              <w:rPr>
                <w:rFonts w:ascii="宋体" w:hAnsi="宋体" w:eastAsia="宋体" w:cs="宋体"/>
                <w:color w:val="auto"/>
                <w:kern w:val="0"/>
                <w:sz w:val="20"/>
                <w:szCs w:val="20"/>
              </w:rPr>
              <w:t>0</w:t>
            </w:r>
            <w:r>
              <w:rPr>
                <w:rFonts w:hint="eastAsia" w:ascii="宋体" w:hAnsi="宋体" w:eastAsia="宋体" w:cs="宋体"/>
                <w:color w:val="auto"/>
                <w:kern w:val="0"/>
                <w:sz w:val="20"/>
                <w:szCs w:val="20"/>
              </w:rPr>
              <w:t>、大横梁采用23*80mm，壁厚1.2mm；</w:t>
            </w:r>
            <w:r>
              <w:rPr>
                <w:rFonts w:ascii="宋体" w:hAnsi="宋体" w:eastAsia="宋体" w:cs="宋体"/>
                <w:color w:val="auto"/>
                <w:kern w:val="0"/>
                <w:sz w:val="20"/>
                <w:szCs w:val="20"/>
              </w:rPr>
              <w:t>11</w:t>
            </w:r>
            <w:r>
              <w:rPr>
                <w:rFonts w:hint="eastAsia" w:ascii="宋体" w:hAnsi="宋体" w:eastAsia="宋体" w:cs="宋体"/>
                <w:color w:val="auto"/>
                <w:kern w:val="0"/>
                <w:sz w:val="20"/>
                <w:szCs w:val="20"/>
              </w:rPr>
              <w:t>、材料均采用优质铝镁合金材料，材料表面经高压静电喷涂环氧树脂防护层，耐酸碱，耐腐蚀处理。</w:t>
            </w:r>
            <w:r>
              <w:rPr>
                <w:rFonts w:ascii="宋体" w:hAnsi="宋体" w:eastAsia="宋体" w:cs="宋体"/>
                <w:color w:val="auto"/>
                <w:kern w:val="0"/>
                <w:sz w:val="20"/>
                <w:szCs w:val="20"/>
              </w:rPr>
              <w:t>12</w:t>
            </w:r>
            <w:r>
              <w:rPr>
                <w:rFonts w:hint="eastAsia" w:ascii="宋体" w:hAnsi="宋体" w:eastAsia="宋体" w:cs="宋体"/>
                <w:color w:val="auto"/>
                <w:kern w:val="0"/>
                <w:sz w:val="20"/>
                <w:szCs w:val="20"/>
              </w:rPr>
              <w:t>、书包斗：外规格460*340*120，采用生态负氧型净化塑料，桌斗底部为蜂窝状透气孔，具有净化空气作用。★材料要求：（1）通过国家级检测报告，依据JC/T 2188-2013《室内空气净化吸附材料净化性能》方法检测，要求达到以下结果：甲醛净化效率≥30%，甲苯净化效率≥15%(安装完毕检测验收).（2）产品表面负离子浓度≥100个/㎡,可进行现场检测.大型模具一次性注塑成型,上面设计有可悬挂凳子的圆形孔，镂空造型，造型时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21"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08"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仪器柜</w:t>
            </w:r>
          </w:p>
        </w:tc>
        <w:tc>
          <w:tcPr>
            <w:tcW w:w="850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1、规格：1000×500×2000mm；</w:t>
            </w:r>
            <w:r>
              <w:rPr>
                <w:rFonts w:ascii="宋体" w:hAnsi="宋体" w:eastAsia="宋体" w:cs="宋体"/>
                <w:color w:val="auto"/>
                <w:kern w:val="0"/>
                <w:sz w:val="20"/>
                <w:szCs w:val="20"/>
              </w:rPr>
              <w:t>2</w:t>
            </w:r>
            <w:r>
              <w:rPr>
                <w:rFonts w:hint="eastAsia" w:ascii="宋体" w:hAnsi="宋体" w:eastAsia="宋体" w:cs="宋体"/>
                <w:color w:val="auto"/>
                <w:kern w:val="0"/>
                <w:sz w:val="20"/>
                <w:szCs w:val="20"/>
              </w:rPr>
              <w:t>、柜体：侧板、顶底板采用一次注塑而成，模具一次成型，表面沙面和光面相结合处理，保证柜体之坚固及密封性，耐腐蚀性强，顶板、底板预留模具成型排风孔。底部镶嵌15mm*30*1.2mm钢制横梁，承重力强。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下柜柜门：内框采用改性PP材质模具一次成型，外嵌5mm厚钢化烤漆玻璃。上下拉手及三角对称五点固定，防止玻璃的松动或开合。伸缩式PP旋转门轴，四角圆弧倒角，内侧弧形圆边，配锁。上柜柜门：内框采用改性PP材质模具一次成型，外嵌5mm厚钢化烤漆玻璃，中间烤漆镂空制作。上下拉手及三角对称五点固定，防止玻璃的松动或开合。伸缩式PP旋转门轴，四角圆弧倒角，内侧弧形圆边。配锁。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拉手：采用改性PP材料模具一次成型，直角梯形四周倒圆与柜门平行，开启方便。门铰链：采用改性PP材料模具一次成型，伸缩式PP旋转门轴，永不生锈，耐腐蚀性好。螺丝：不锈钢304材质。</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21"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0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学生凳</w:t>
            </w:r>
          </w:p>
        </w:tc>
        <w:tc>
          <w:tcPr>
            <w:tcW w:w="8505" w:type="dxa"/>
            <w:tcBorders>
              <w:tl2br w:val="nil"/>
              <w:tr2bl w:val="nil"/>
            </w:tcBorders>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规格:320*410-480MM；2.凳脚材质:4个凳脚采用20*40*1.3MM椭圆形无缝钢管模具一次成型,全圆满焊完成,结构牢固,经高温粉体烤漆处理,长时间使用也不会产生表面烤漆剥落现象；2.凳脚弧度:上部凳脚弧度66°,下部凳脚弧度24°,整体美观大方；3.方形托盘厚度3MM边长160*160MM4.圆形托盘直径225MM,厚度为MM；4.凳面:凳面直径320MM采用环保型PP改性塑料注塑成型;表面细纹咬花,防滑不发光； 5.脚垫:采用PP加耐磨纤维质塑料,实心倒勾式一体射出成型；6.凳子可螺旋升降,升降到一定高度后要有固定不旋转装置并且升到最高时凳面不可脱落</w:t>
            </w:r>
            <w:r>
              <w:rPr>
                <w:rFonts w:hint="eastAsia" w:ascii="宋体" w:hAnsi="宋体" w:eastAsia="宋体" w:cs="宋体"/>
                <w:color w:val="auto"/>
                <w:kern w:val="0"/>
                <w:sz w:val="20"/>
                <w:szCs w:val="20"/>
                <w:lang w:eastAsia="zh-CN"/>
              </w:rPr>
              <w:t>。</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把</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54</w:t>
            </w:r>
          </w:p>
        </w:tc>
      </w:tr>
    </w:tbl>
    <w:p>
      <w:pPr>
        <w:outlineLvl w:val="2"/>
        <w:rPr>
          <w:rFonts w:hint="eastAsia" w:ascii="宋体" w:hAnsi="宋体" w:eastAsia="宋体" w:cs="宋体"/>
          <w:b/>
          <w:bCs/>
          <w:color w:val="auto"/>
          <w:sz w:val="28"/>
          <w:szCs w:val="32"/>
        </w:rPr>
      </w:pPr>
      <w:r>
        <w:rPr>
          <w:rFonts w:hint="eastAsia" w:ascii="宋体" w:hAnsi="宋体" w:eastAsia="宋体" w:cs="宋体"/>
          <w:b/>
          <w:bCs/>
          <w:color w:val="auto"/>
          <w:sz w:val="28"/>
          <w:szCs w:val="32"/>
          <w:lang w:val="en-US" w:eastAsia="zh-CN"/>
        </w:rPr>
        <w:t>2</w:t>
      </w:r>
      <w:r>
        <w:rPr>
          <w:rFonts w:hint="eastAsia" w:ascii="宋体" w:hAnsi="宋体" w:eastAsia="宋体" w:cs="宋体"/>
          <w:b/>
          <w:bCs/>
          <w:color w:val="auto"/>
          <w:sz w:val="28"/>
          <w:szCs w:val="32"/>
        </w:rPr>
        <w:t>、小学科学实验器材</w:t>
      </w:r>
    </w:p>
    <w:tbl>
      <w:tblPr>
        <w:tblStyle w:val="12"/>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7938"/>
        <w:gridCol w:w="425"/>
        <w:gridCol w:w="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编号</w:t>
            </w:r>
          </w:p>
        </w:tc>
        <w:tc>
          <w:tcPr>
            <w:tcW w:w="992"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设备名称</w:t>
            </w:r>
          </w:p>
        </w:tc>
        <w:tc>
          <w:tcPr>
            <w:tcW w:w="7938" w:type="dxa"/>
            <w:tcBorders>
              <w:tl2br w:val="nil"/>
              <w:tr2bl w:val="nil"/>
            </w:tcBorders>
            <w:shd w:val="clear" w:color="auto" w:fill="auto"/>
            <w:vAlign w:val="center"/>
          </w:tcPr>
          <w:p>
            <w:pPr>
              <w:widowControl/>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技术参数</w:t>
            </w:r>
          </w:p>
        </w:tc>
        <w:tc>
          <w:tcPr>
            <w:tcW w:w="425"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w:t>
            </w:r>
          </w:p>
        </w:tc>
        <w:tc>
          <w:tcPr>
            <w:tcW w:w="432"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触控一体机</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1、整机采用全金属外壳设计，边角采用弧形设计，表面无尖锐边缘或凸起。（提供国家权威检测机构所出具的检测报告复印件并加盖厂家公章）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★2、整机屏幕采用75英寸液晶显示器，采用UHD超高清LED 液晶屏，显示比例16:9，分辨率3840*2160。玻璃厚度≤4mm，玻璃表面硬度≥9H，屏幕显示灰度分辨等级达到256级以上灰阶。（提供国家权威检测机构所出具的检测报告复印件并加盖厂家公章）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3、嵌入式系统版本不低于Android9.0，内存≥2GB，存储空间≥8GB。</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4、采用红外触控技术，支持Windows系统中进行20点或以上触控，安卓系统中进行 10 点或以上触控，支持红外笔书写（提供国家权威检测机构所出具的检测报告复印件并加盖厂家公章）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5、整机能感应并自动调节屏幕亮度来达到在不同光照环境下的不同亮度显示效果，此功能可自行开启或关闭。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6、整机内置 2.1 声道扬声器，前朝向 15W中高音扬声器不低于 2 个，后朝向 20W 低音扬声器 不低于1 个，额定总功率不低于 50W。（提供国家权威检测机构所出具的检测报告复印件并加盖厂家公章）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7、支持传屏功能，可以将外部电脑的屏幕画面通过无线方式传输到整机上显示。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8、在操作系统下，能对TV多媒体USB所读取到的文件进行自动归类，可快速分类查找文档、板书、图片、音视频，检索后可直接在界面中打开。</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9、Wi-Fi和AP热点均支持频段 2.4GHz/5GHz ，满足IEEE 802.11 a/b/g/n/ac标准，Wi-Fi和AP热点工作距离≥12米。（提供国家权威检测机构所出具的检测报告复印件并加盖厂家公章）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10、三合一电源按键，同一电源物理按键完成Android系统和Windows系统的开机、节能熄屏、关机操作；关机状态下轻按按键开机；开机状态下轻按按键实现节能熄屏/唤醒，长按按键实现关机。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11、整机具备至少6个前置按键，实现老师开关机、调出中控菜单、音量+/-、护眼、录屏的操作。（提供国家权威检测机构所出具的检测报告复印件并加盖厂家公章）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12、整机具有护眼功能，可通过前置面板物理功能按键一键启用护眼模式。（提供国家权威检测机构所出具的检测报告复印件并加盖厂家公章）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13、设备支持通过前置面板物理按键一键启动录屏功能，可将屏幕中显示的课件、音频内容与老师人声同时录制。（提供国家权威检测机构所出具的检测报告复印件并加盖厂家公章）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14、支持智能U盘锁功能，整机可设置触摸及按键锁定，锁定后无法随意自由操作，需要使用时插入USB key可解锁。（提供国家权威检测机构所出具的检测报告复印件并加盖厂家公章）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15、前置 USB 接口具备防撞挡板设计，防撞挡板采用转轴式翻转。</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16、支持通道记忆功能，开机默认回到最近一次关机时的显示通道。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17、整机内置非独立的高清摄像头，摄像头对角角度≥120度，可拍摄不低于 800 万像素数的照片，且支持远程巡课应用，支持通过视频展台软件调用摄像头进行二维码扫码识别。（提供国家权威检测机构所出具的检测报告复印件并加盖厂家公章）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18、整机内置非独立外扩展的阵列麦克风，可用于对教室环境音频进行采集，拾音距离≥12米。（提供国家权威检测机构所出具的检测报告复印件并加盖厂家公章）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19、内置摄像头、麦克风，无外接线材连接，无可见模块化拼接，未占用整机设备端口。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20外接电脑设备连接整机且触摸信号连通时，外接电脑设备可直接读取整机前置USB接口的移动存储设备数据，连接整机前置USB接口的翻页笔和无线键鼠可直接使用于外接电脑；Android系统和Windows系统下，支持通过任何一个前置USB接口读取外接移动存储设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21、外接电脑设备通过HDMI线投送画面至整机时，再连接TypeB USB线至整机触控输出接口，即可直接调用整机内置的摄像头、麦克风、扬声器，在外接电脑即可拍摄教室画面。（提供国家权威检测机构所出具的检测报告复印件并加盖厂家公章）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22、支持前置Type-C接口，通过Type-C接口实现音视频输入，外接电脑设备通过标准TypeC线连接至整机TypeC口，即可把外接电脑设备画面投到整机上，同时在整机上操作画面，可实现触摸电脑的操作，无需再连接触控USB线。（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23、内置蓝牙模块，能连接外部蓝牙音箱播放音频，也能接收外部手机通过蓝牙发送的文件；蓝牙支持 Bluetooth 4.2 标准，内置蓝牙模块工作距离不低于12米。（提供国家权威检测机构所出具的检测报告复印件并加盖厂家公章）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24、整机关机状态下，通过长按电源键进入设置界面后，可点击屏幕选择恢复整机系统及Windows操作系统到出厂默认状态，无需额外工具辅助。（提供国家权威检测机构所出具的检测报告复印件并加盖厂家公章）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25、支持半屏模式，将Windows显示画面上半部分下拉到显示屏的下半部分显示，此时依然可以正常触控操作Windows系统；点击非Windows显示画面区域，即可退出该模式，无需其他设置。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26、支持锁定屏幕触摸和整机前置按键，可通过遥控器、十指长按屏幕5秒、软件菜单（调试菜单）实现该功能，也可通过前置面板的物理按键以组合按键的形式进行锁定/解锁。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26、具备智能手势识别功能，在任意信号源通道下可识别五指上、下、左、右方向手势滑动并调用响应功能，支持将各手势滑动方向自定义设置为无操作、熄屏、批注、桌面、半屏模式。（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27、整机内置专业硬件自检维护工具（不接受第三方工具），支持对触摸框、PC模块等模块进行检测，针对不同模块给出问题原因提示。（提供国家权威检测机构所出具的检测报告复印件并加盖厂家公章）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28、整机视网膜蓝光危害（蓝光加权辐射亮度LB）符合IEC62471标准，LB限值范围≤0.55（蓝光危害最大状况下）。（提供国家权威检测机构所出具的检测报告复印件并加盖厂家公章）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29、整机具备供电保护模块，能够检测内置电脑是否插好在位，在内置电脑未在位的情况下，内置电脑无法上电工作。（提供国家权威检测机构所出具的检测报告复印件并加盖厂家公章）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内置电脑：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1、主板采用H310芯片组，搭载Intel 酷睿系列 i3，内存：4GB DDR4笔记本内存或以上配置，硬盘：256GB或以上SSD固态硬盘；（提供国家权威检测机构所出具的检测报告复印件并加盖厂家公章）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2、机身采用热浸镀锌金属材质，采用智能风扇低噪音散热设计,模块主体尺寸不小于22cm*17cm*3cm以预留足够散热空间，确保封闭空间内有效散热。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3、PC模块可抽拉式插入整机，可实现无单独接线的插拔。</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4、和整机的连接采用万兆级接口，传输速率≥10Gbps。</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（提供国家级检测机构所出具的权威检测报告复印件并加盖厂家公章）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5、采用按压式卡扣，无需工具就可快速拆卸电脑模块。</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（提供国家权威检测机构所出具的检测报告复印件并加盖厂家公章）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6、具有独立非外扩展的视频输出接口：≥1路HDMI ，具有独立非外扩展的电脑USB接口：≥3路USB，具有标准PC防盗锁孔。（提供国家权威检测机构所出具的检测报告复印件并加盖厂家公章）</w:t>
            </w:r>
          </w:p>
        </w:tc>
        <w:tc>
          <w:tcPr>
            <w:tcW w:w="425" w:type="dxa"/>
            <w:tcBorders>
              <w:tl2br w:val="nil"/>
              <w:tr2bl w:val="nil"/>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推拉组合板</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产品结构：左右推拉结构(内置轨道,外框和轨道一体化设计)，由2块固定板和2块活动板及外框、滑道等组装而成。交互式液晶平板或电子白板可内置于黑板中央，活动黑板可锁定，能完全遮挡并保护交互式液晶平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基本尺寸：外径4000mm×1300mm，需保证与交互式液晶平板或电子白板物理尺寸配套，实际尺寸可根据交互式液晶平板或电子白板尺寸或学校实际情况进行调整；活动书写板闭合时可以完全遮挡住电子设备，并可以锁定，起到保护电子设备安全的作用；活动书写板敞开时可以完全露出电子设备，满足电子多媒体教学的需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3、书写面颜色：米黄色、米白色或绿色、亚光；</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4、面板：彩钢板厚度≥0.3㎜，表面有保护膜；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5、背板：采用优质彩钢板，厚度≥0.25mm，流水线一次成型，设有加强凹槽，凹槽造型美观、可增加强度，使整套产品更加耐用；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6、夹层材料：防潮、吸音、高强度聚苯乙烯泡沫板，容重不低于20KG/M^3.</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7、板面与衬板粘贴：面板、夹层、背板之间采用环保多元醇胶，通过专业设备机械化制作，高温一次成型，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8、边框：横框规格90×50mm，竖框尺寸90mm×50mm，小边框尺寸：20mm×30mm采用工业用高强度电泳香槟色铝合金;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9、包角材料：采用防老化、抗疲劳、壁厚2.5㎜的ABS工程塑料，外形美观，无尖角，用模具一次注塑成型。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10、板面保护：书写板附有无色透明保护膜，在正式使用前撕去。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11、外观：书写面平整，没有波纹、龟裂、针孔、气泡、斑痕凹凸等缺陷。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12、黑板滑轮：上轨采用减震消音双组吊轮，下轨采用专用水平导向双滑轮，保证滑动流畅、噪音小；电子白板可直接由正面拆卸进行维护保养。上下滑轮带减震胶套，保证滑动流畅、经久耐用。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13、活动板拉手:活动板上安装一个拉手,方便活动板的推拉，便于师生使用。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14、安全性：外层滑动板可根据使用情况方便锁定,反复锁定一万次不损坏。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15、安装：隐形安装、没有外露的挂接件，美观时尚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16、书写耗材：每套白板配备：板书笔红蓝各2支，红蓝墨水：各1瓶，板擦2个。</w:t>
            </w:r>
          </w:p>
        </w:tc>
        <w:tc>
          <w:tcPr>
            <w:tcW w:w="425" w:type="dxa"/>
            <w:tcBorders>
              <w:tl2br w:val="nil"/>
              <w:tr2bl w:val="nil"/>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432" w:type="dxa"/>
            <w:tcBorders>
              <w:tl2br w:val="nil"/>
              <w:tr2bl w:val="nil"/>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有源音箱</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一、音箱</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1.采用功放与有源音箱一体化设计，内置麦克风无线接收模块，帮助教师实现多媒体扩音以及本地扩声功能。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2.双音箱有线连接，机箱采用塑胶材质，保护设备免受环境影响。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3.输出额定功率: 2*15W，喇叭单元尺寸≥5寸。</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4.端口：220V电源接口*1、Line in*1、USB*1。</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5.专门为教室声学环境设计的合适扩声效果，距离音箱10米处声压级达到75dB。（提供国家级权威检测报告复印件加盖制造商公章）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6.配置独立音频数字信号处理芯片，支持啸叫抑制功能。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7.支持教师扩声和输入音源叠加输出，可对接录播系统实现教师扩声音频的纯净采集，避免环境杂音干扰采集效果。（提供国家级权威检测报告复印件加盖制造商公章）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8.音箱与一体机为同一品牌，保证兼容性，便于操作使用。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音箱符合中国电子设备管理规定和技术标准。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二、无线麦克风</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1.无线麦克风集音频发射处理器、天线、电池、拾音麦克风于一体，配合一体化有源音箱，无需任何外接辅助设备即可实现本地扩声功能。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2.麦克风和功放音箱之间采用数字U段传输技术，有效避免环境中2.4G信号干扰，例如蓝牙及WIFI设备。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3.支持智能红外对码及UHF对码，可在2s内快速完成与教学扩声音箱对码，无需繁琐操作。可与移动音箱或录播主机对码连接。（提供国家级权威检测报告复印件加盖制造商公章）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4.采用触点磁吸式充电方式，支持快速充电与超低功耗工作模式，课间充电10分钟，实现80分钟续航。（提供国家级权威检测报告复印件加盖制造商公章）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5.麦克风距离音箱最大有效工作距离≥10米，保证全教室覆盖。（提供国家级权威检测报告复印件加盖制造商公章）</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组</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1012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计算器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简易型。8位单行LCD显示、有普通四则运算、开平方、独立储存器、临时储存器、自动关机功能，有正规生产厂家和商标。</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打孔器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采用优质钢材，防锈处理。穿孔管用外径为6mm．8mm．10mm，管长80mm，壁厚1mm的冷拔无缝钢管，手柄用2mm厚低碳钢板，通用条Φ3mm碳素钢等制成。四件为一套，可穿4mm．6mm．8mm的圆孔。</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2015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打气筒</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持式。技术参数：1.打气筒由筒体带打气接头、打气活塞、拉杆、手柄、塑料打气嘴、金属打气嘴等组成。2.筒体为塑料制，外径35mm，长210mm。3.拉杆为金属制，表面电镀处理，直径4.4mm。4.手柄为塑料制，长55mm，与拉杆连接可靠。</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2020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仪器车</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规格：600mm×400mm×800mm。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仪器车应分为2层，层间距不小于300mm。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车架用直径不小于φ19mm、壁厚不小于1mm的不锈钢管制成，架高不低于800mm。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车架脚安装有不小于φ50mm、厚20mm转动灵活的万向轮。</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车隔板为厚度不小于1mm的不锈钢制成，四周安装有30mm的挡板，挡板边缘安装有橡胶带。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 整车安装好后应载重50Kg，应运行平稳，不得变形、摇晃、松动。</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辆</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2041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生物显微镜</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放大倍数640倍；目镜 H10× 1个,H16× 1个；镜架 普通弯背可转动机身 1架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物镜转换器 外倾式，簧片外定位三孔转换器 1副；消色差物镜 4× 1只,10× 1只,40× 1只；载物台 单层，面积120mm×120mm，带切片压片 1副；旋转孔径光栏板 φ3.2，φ4，φ5，φ8，φ15五种 1套；照明光源 平凹反光镜φ50 mm 1套；干燥剂 颗粒 1袋；防尘罩 塑料袋　 1个；显微镜说明书 中文 1本；包装 塑料箱 1套</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2043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生物显微演示装置</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彩色，分辨率450TV线以上，放大倍数40倍～1500倍</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2045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学生显微镜</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1，总放大倍数,200X；2，目镜:H12.5×；3，镜架:普通弯背可转动机身； 4，物镜转换器:外倾式，簧片外定位三孔转换器；5，消色差物镜:16×；6，载物台:单层，面积84mm×88mm，带切片压片；7，照明光源:平凹反光镜φ44 mm；8，干燥剂:颗粒；9，防尘罩:塑料材质；10，包装:木箱。</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放大镜</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5倍。直径φ30mm, 放大倍率：5×。气泡度q为φ1.0 [0.5]。透镜框应能牢靠地夹持透镜。手柄长60mm,产品符合JY/T 0378-2004《放大镜》的有关规定。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放大镜</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3倍。直径φ40mm, 放大倍率：3×。气泡度q为φ1.0 [0.5]。手柄长60mm,透镜框应能牢靠地夹持透镜。产品符合JY/T 0378-2004《放大镜》的有关规定。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2061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天文望远镜</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由主镜筒、调焦筒、目镜、物镜、寻星镜、太阳遮光镜、三角架脚等系统构成。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放大倍数及配备数量下列要求：（目镜/放大倍数/配1.5×正像镜的放大倍数/配3×巴洛夫镜的放大倍数）SR20mm/35×/52×/105×；H12.5 mm/56×/84×/168×；SR4 mm/175×/263×/525×；3. 物镜口径：60mm；4. 焦距：700 mm；5. 主镜筒材料：为合金铝，表面抛光； 6. 寻星镜：为红点寻星镜；7. 托架：为经纬台式托架；8. 脚架：铝脚架；9. 天文望远镜能观察到月球球形山、月食、日食太阳黑子、白斑土光环、木星和多种星云、星团等，也用于远跳地面风景目标。天文望远镜成像清晰，操作方便，造形美观。；10. 附件配有：直角反射镜、置物台。</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2075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酒精喷灯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座式，用黄铜制成。密闭无渗漏。仪器由灯壶、灯管、空气调节器、预热盘、加料口等部分组成。空气调节器可使调节片可靠稳定于调节范围内的任意位置。能自如地调节空气进量而调节火焰大小。壶体外形尺寸：直径100mm±2mm，高135mm±2mm，容积250mL。喷管与各管焊接牢固，不得因喷火燃烧而熔化焊接，不得漏气。火苗调节杆柄在调节火苗时不应变形。调节手轮不得因工作时焦熔。</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2077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电加热器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密封式、方形结构。1、额定电压ＡＣ220Ｖ±5％ 50Ｈz＋5,消耗功率1000Ｗ。2、加热盘直径150mm。3、温控旋扭控制温度，指示灯显示加热。4、外形尺寸：210×210×50(mm)。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2086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电冰箱</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》150L</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2091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电烤箱</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750W，使用电源220V50Hz，容积10L，带自动温控器，定时时间选择0--15分钟</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2092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保温箱</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容积8L，塑料制品，由内箱、外壳，拎手等组成。箱体材料：外表面是高强度工程塑料,中间保温层是高密度聚氨酯无氟发泡，保温时间：2～8度能保持30个小时。</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2101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听诊器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弹簧片采用优质弹簧钢,(硬度HR15N82.9-88.4)，耳环，扁形，听诊头采用优质铝合金。三通导管采用优质软聚氯乙烯。金属件电铳达到光亮镀络二级外观要求。产品符合YY91035-1999听诊器标准要求。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2126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水族箱</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尺寸:不小于350(L)mmx250(W)mmx400(H)mm。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过滤系统：上部过滤器10W(300L/H)。</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照明系统:8W X 2 透明度好，透明塑料制。</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2128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手持移动灯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小号：开关控制。外壳采用ABC塑料制成，灯头面规格Φ40mm，射程(米)：10米以上，灯头数量：4头内置长寿命可充电免维护铅酸蓄电池，采用节能.高亮度.长寿命的LED，灯后面带有交流插头供充电用。</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2129</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水槽</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圆形半透明，透苯塑料注塑成型。直径约245mm，深度约100mm。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方座支架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1、由矩形底座、立杆、烧瓶夹、大小铁环、垂直夹（2只）、平行夹等组成。2、方座支架的底座尺寸210×135mm，立杆直径φ12mm，一端有M10×18mm螺纹，底座和立杆表面作防锈处理。</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3006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三脚架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材料直径6毫米，圈内径95毫米，脚高135毫米，三脚着地投影面积0.012平方米。焊接牢固，表面喷塑处理。</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3008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试管架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优质塑料制成，8孔8柱，外形尺寸约249mm×61mm×84mm。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3013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旋转架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底座、支杆、旋转体构成，二件为一套。底座直径65mm，高20mm。支杆直径10mm，长75mm，顶尖为钢制，表面镀铬处理。旋转体外形尺寸：40mm×25mm×20mm，旋转体上有盛放磁铁和胶棒的凹槽。组装后的高度为105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3021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百叶箱支架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1.百叶箱支架高度为1100mm，宽窄应于百叶箱配套。2.台面四角下方均加有角钢加固，角钢带有螺孔可将其固定于支架上。3.支架与支撑杆之间用螺丝固定（可拆卸）。</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3022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百叶箱</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百叶箱体外尺寸约460mm×290mm×537mm（高、宽、深）。2.应选柯木或杉木并经干燥脱脂处理，百叶为单层，人字形排列。3.箱内外应涂白色漆，箱体榫接成形，应牢固，无变形。4.百叶箱顶盖应是横竖两层木板镶合而成，前面高于后面10mm，以保护箱内仪器免受损害。</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学生电源</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直流：1.5V～6V，每1.5V一档，≥1A</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4005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教学电源</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交流：2V～12V，5A，每2V一档；直流：1.5V～12V，2A，分为1.5V、3V、4.5V、6V、9V、12V共6档</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4010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电池盒</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4个电池盒为1组。1．仪器可放置1节1号电池。外形尺寸81×43×29mm。2．各触点使用不锈钢材料；要求接触良好，整体结构结实牢固，ABS塑料件光滑、无毛刺。</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10003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直尺</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塑料制品，全长500mm，尺宽25mm。尺面最小刻度1mm、每10mm一小格、每100mm一大格。 尺面刻线均匀清晰</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10006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软尺</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材料为软塑料，用于中小学测量非直线长度；长度为1500㎜，基本测量单位为厘米，1－10厘米范围内最小刻度单位为mm；软尺两端用防锈处理后的金属片封边；软尺表面印制的刻度线能长久保持，测量精度准确，不断线等。</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11005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托盘天平</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应为非封闭等臂杠杆、双盘式托盘天平。有标尺游码装置，最大称量：500g，分度值：0.5g标尺称量范围：0～10g，秤盘直径：Φ100mm。结构：杠杆为钢材制成，刀子碳素钢制成，标尺应光洁平直，刻线清晰，分度牌刻线均匀。游码起点应对准零线，移动时松紧适宜，当杠杆受到轻微抨击时，游码不得移位。</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11029</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金属钩码</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1．产品为50g±0.5g×10只，定位装入塑料盒内。2．钩码尺寸不小于φ27×17.2mm，上钩高不低于10mm。3．材料用钢材制成，外表镀铬，镀层不得有脱落，不均等现象。</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11030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体重计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机械指针式，含测体高装置。1. 由金属底座、脚踏面、刻度盘、调零旋钮等构成。2. 体重计回零误差不大于1/2分度。3. 体重计任一点的平均示差不大于1个分度。4. 脚踏面和底座用厚度2mm的金属板制成，稳定、牢靠，无变形现象。5. 脚踏面上的观察面用有机玻璃制成，透明度良好，应能清楚的观察到刻度盘上的任一数字和刻度。6. 刻度盘标有0～120kg的字迹和相应的刻度线，刻度线及字迹应清晰、均匀、工整。7. 调零旋钮运用灵活，无卡滞现象。</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电子停表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教学用电子秒表，采用电子芯片，电池电压为1.5V。数据可精确到0.1s。秒表计时带有简易计时、分段计时、两段时间显示，带暂停按钮。秒表具有每小时报时，每日定时响闹及自动重响功能，可显示时间，12及24小时制式，日历、星期功能。</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温度计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感温物质：酒精，测量范围：0℃～100℃，最小分度值：1℃，允许误差±1℃，玻璃应光洁透明，不得有裂痕。毛细管不得有明显弯曲，其孔径应均匀，管壁内应清洁无杂质。感温液体必须纯洁、无杂质，液体不得中断。上升时不得有停滞和跳跃现象，下降时不得在管壁上留下液滴。</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温度计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感温物质：水银，测量范围：0℃～100℃，最小分度值：1℃，允许误差±1℃</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13010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体温计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体温计的刻度应为35℃-42℃，精确度1/10℃。误差小于±0.2℃。39℃以下，误差小于±0.15℃。水银柱应能恒定到准确度数，用后应回到液泡里，液泡内不得有明显的气泡，水银柱不应中断、自流、难甩，玻璃管不得有爆裂现象。产品符合 GB-1588-2001玻璃体温计标准要求。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13020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寒暑表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直型，-30℃--50℃，外形220×50mm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13021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最高温度表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测量范围：-16℃~+81℃，测量误差±1℃。最小分度值：1℃。</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13022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最低温度表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最低温度表测量范围：-52℃~+41℃，测量误差±1℃。最小分度值：1℃。</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条形盒测力计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刻度板、弹簧、指针等组成。量程：0～5N（牛顿）。分度值为量程的1/50，回零允差不大于1／4分度值，示值允差不大于全量程的1%。产品符合JY0127-91《教学测力计》的要求。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14003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条形盒测力计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刻度板、弹簧、指针等组成。量程：0～2.5N（牛顿）。分度值为量程的1/50，回零允差不大于1／4分度值，示值允差不大于全量程的1%。产品符合JY0127-91《教学测力计》的要求。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14004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条形盒测力计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刻度板、弹簧、指针等组成。量程：0～1N（牛顿）。分度值为量程的1/50，回零允差不大于1／4分度值，示值允差不大于全量程的1%。产品符合JY0127-91《教学测力计》的要求。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15011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多用电表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不低于2.5级</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16004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湿度计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双金属片结构，指针式，直径100mm，可测范围：0%RH--100%RH，符合JB/T 6862-1993的标准要求。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16007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指南针</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1．外壳直径≥30mm。表面材质为透明塑料。2．衬板印有东、南、西、北等方向性标志。3．小磁针为菱形小磁针</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16016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肺活量计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本产品由内筒、外筒、气管、吹嘴及底座组成。内筒由塑料制成，外径φ150mm±2mm，筒深不小于375mm±2mm。筒壁印有容积刻度，最小刻度为0.1升，最大刻度6升。刻度线印刷清晰，无断线。外筒用金属材料制成，表面光滑，防锈处理。外筒内径φ145mm±mm，深度360mm±2mm。外筒内中间装有进气管，进气管比筒深略高出2～3mm。进气管穿过底部与连接软管相连接。外筒内注满水，应无渗漏现象。连接软管长度不小于500mm，与进气管连接可靠，气密性良好，与吹嘴连接松紧适当，气密性良好。吹嘴每个产品应至少配5个。底座是由塑料制成，与外筒紧密配合，高度不低于40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16022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雨量器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产品主要由储水筒、测量杯、导水漏斗组成。2、储水筒外形尺寸直径：大端110mm，高度：150mm，内底部有一固定测量杯的凸出部位。3、测量杯外形尺寸：70mm，高度：150mm，内壁有10～50ml刻线。4、导水漏斗锥形，外形尺寸直径：大端115mm，长度：100mm，漏斗口直径：12mm±1mm，锥形大口直径：95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16025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风杯式风速表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持式，有直读装置，风速传感器、主机，主机需带有显示屏及功能按钮，显示屏尺寸：60mm×25mm，显示的数字字节尺寸不小于18mm×6mm。能测量瞬时风速、平均风速、瞬时风级、平均风级、对应浪高及具有数据锁存功能。电源为五号干电池3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斜面</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斜面板（长斜面、短斜面）、支撑杆及垂直夹组成。长斜面板的尺寸：长500±3mm，宽100±1mm，高15±1mm。一长侧面带一孔，距离顶端为65±2mm,孔径为6.5mm，深度不小于35mm。短斜面板的尺寸为：长300±2mm，宽100±1mm，高15±1mm。一长侧面带一孔，距离顶端为65±2mm,孔径为6.5mm，深度不小于35mm。斜面用变形小的木材制造，须经脱脂处理，表面光滑平整。支撑杆的直径为6mm,长度为160±1mm,表面作防锈处理。垂直夹是塑料制成，垂直两孔的直径均为10mm,分别带有固定螺丝。</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压簧</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由直径φ1.5㎜±0.3㎜的弹簧钢丝绕制而成。外径φ30㎜±1㎜，高度不小于70㎜，有效圈数不少于8圈。上下两端面平齐，表面做防锈处理。</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拉簧</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由直径φ1㎜±0.2㎜的弹簧钢丝密绕而成。外径φ18㎜±1㎜，总长度不小于75㎜，有效圈数不少于60圈。上下两端为直径约φ18㎜整圆环，表面做防锈处理。</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29004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沉浮块</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沉浮块由三种不同体积的正方体、三个直径相同的球和一个沉浮子组成。正方体的尺寸分别为：35mm、30mm、20mm；球直径23mm。正方体的重量均为12.5g；球的重量分别为：6.5g、6g、2.5g。浮沉子内可装重物改变其重量，可变成：浮、悬、沉等三种形式。</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29005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杠杆尺及支架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本产品由杠杆、底座、立杆、调节螺母、杠杆固定销及固定螺丝组成。杠杆是由塑料制成，外形尺寸为195×20×2.5mm ，向下的一边带有钩码孔，两端注塑成型的调平螺丝，有效长度不小于14mm,并与调节螺母紧配。底座由塑料制成，外形尺寸不大于为49×89×25mm,壁厚2±0.3mm，中心位置有连接孔，整体平稳。立杆是由塑料制成，外形尺寸不小于210×20×10mm,壁厚2±0.3mm，带有与齿轮紧配的三只孔，间距为齿轮紧配时的中心距。调节螺母是冷轧板冲压成形，外径不小于15mm,厚度为2±0.5mm,中心有与杠杆的调平螺丝紧配的螺纹孔，表面做镀锌防锈处理。固定销是塑料制成，有两级台阶，顶端能与立杆中的孔紧配，下端与杠杆中间孔配合，间隙不小于1mm。固定螺丝是M4×12 的螺丝，配有螺母，使立杆固定在底座上</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个  </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29006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滑轮组及支架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杠杆尺、支架杆、底座等构成。底座采用塑料注塑成型，外形尺寸：170mm×80mm×13mm，底座中间有一孔，用于固定支架用。支架杆采用塑料注塑成型，外形尺寸：高210mm，上端为圆弧，宽15mm，下端宽24mm，整体厚度为8mm。杠杆尺的有效长度不小于500mm，杠杆两侧分别标有数字，每1cm一小刻线、5cm一大刻线、并标有数字（分别为5、10、15、20、25），在大刻线处下应有一挂孔，孔径4.5mm。尺的两端为调平螺母，调平螺母重量不大于8g。</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29007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轮轴及支架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轮轴、支杆、底座、挂线等组成。底座采用塑料注塑成型，外形尺寸：170mm×80mm×13mm，底座中间有一直径4mm孔。轮轴为大小两轮，大轮直径90mm，小轮直径50mm。支杆采用塑料注塑成型，外形尺寸：高210mm，上端为圆弧，宽15mm，下端宽24mm，整体厚度为8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29008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齿轮组及支架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产品由底座、立杆、大中小齿轮（各1）、手摇柄组成，全套为塑料制品。大齿轮齿数为28 ，中齿轮齿数21，小齿轮齿数为14 。底座采用塑料注塑成型，外形尺寸：170mm×80mm×13mm，底座中间有一孔，用于固定支杆用。支杆采用塑料注塑成型，外形尺寸：高210mm，上端为圆弧，宽15mm，下端宽24mm，整体厚度为8mm。支杆上有安装齿轮的定位孔。</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29009</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弹簧片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不锈钢片。外形尺寸：100mm×10mm×0.3mm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小车</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塑料制品，外形尺寸应不小于110mm×72mm×40mm,车体上部带有可放置重物的凹槽，凹槽尺寸不小于52mm×58mm×20mm。车轮直径为20mm。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28007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三球仪</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地球、月球、月相板、季节盘、大小齿轮、固定螺帽、变速箱、底座、太阳模型及传动机构等组成。太阳模型直径约100mm，地球模型直径约58mm，地球倾角约66.5°，月球模型直径约19mm,季节盘直径约198mm，底座直径约193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太阳高度测量器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太阳高度测量器由刻度盘、测量架（包括指示片、光孔）、支架、重锤、底座组成。刻度盘盘面为铝制品，直径100mm，厚不小于0.3mm。盘面的上半边均匀分布有180°刻线标记和数字。 盘面标记和数字清晰、完整、醒目。  测量架为铝制品，有刻度指示标志。测量架长100mm，宽16mm，厚不小于0.3mm。测量架一端为光孔，光孔直径6mm，另一端为指示片，指示片为一种标记，供测量时参考使用。测量架安装在刻度盘上松紧适当，转动到任一位置时能停止，不松动。支架外形尺寸：长不小于110mm，宽12mm，厚不小于1mm。重锤为铜制，头部为尖端，外径不大于6mm。底座为塑料制品，有调平装置，调节范围不小于5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风的形成实验材料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产品由透明风管、风叶、风叶支架、蜡烛组成。1、风管应为透明塑料，直径不小于55mm±1mm，高度不低于180mm±1mm，壁厚不小于2mm。2、风叶为铝制，为四片叶，直径约为44mm±1mm。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组装风车材料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 1.由支杆、叶片基座、叶片（6片）、轴芯等组成；2.叶片、基座、支架用塑料注塑成型；3.叶片角度可调。4.叶片与叶片基座连接设计合理，叶片转动灵活。5.支杆直径5mm、长100mm。6.叶片基座直径20mm、厚7mm，中心孔径3.5mm。7.叶片外形尺寸：37mm×25mm×1mm。8.轴芯应与支杆配合良好，与叶片基座孔连接转动灵活。</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组装水轮材料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组装式，全塑料制。由底座、支架、轴骰、轴、叶片六片、小皮带轮构成。1.底座尺寸：70mm×50mm×8mm，座上应有安装支架的插孔。2.支架高度为55mm。3.轴骰直径20mm，应有可插叶片的槽。4.叶片尺寸：35mm×25mm×0.8mm，并有插脚。5.小皮带轮直径14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太阳能的应用材料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 本材料由太阳能电池板、发光二极管、小电机、风叶及蜂鸣器（小喇叭）组成。1.太阳能电池板的外形尺寸不小于：50mm×38mm，并接有正负极导线，导线长不小于200mm，线端接红黑夹。2.发光二极管直径为5mm，红色。3.电机为直流电机，电压不大于3V。4.风叶为塑料制品，叶片数为4片，外径约58mm。5.蜂鸣器（小喇叭）直径为10mm。6.材料采用塑料盒包装，外形尺寸：105mm×65mm×35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22001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音叉</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256Hz,频率误差不大于0.4HZ(20℃)。音叉用整块45＃碳钢制成。音叉枝宽为8.5mm,枝厚5.5mm，两叉枝条的厚度差≤0.05mm。。两叉枝内间距为9mm,圆柄φ8mm,音叉全长200.5mm。两叉枝表面平整，叉枝内侧平面与底部圆弧光滑相切，表面度铬，并有F256HZ的频率标志。另附共呜箱和橡皮击槌。</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小鼓</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圆形，直径150mm，高度45mm，木制壳体，两面羊皮鼓面，带有挂带，二个小锤。</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组装土电话材料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1、产品为散件袋装，由塑料话筒2个、PVC片2块、话筒圈2个、棉线1根组成；2、塑料话筒规格Φ48×30mm,表面平整、圆滑、色泽均匀；；3、PVC片直径为25mm，中心孔直径约1.5mm，应与话筒上口大小相符； 4、话筒圈直径约25mm，与塑料话筒组装后无脱落现象； 5、棉线粗约直径0.5mm,硬度适宜，长度5m。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热传导实验材料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1、产品由塑棒1根、木棒1根、铜片1片、铁片1片、玻璃片、瓷匙、石棉布、棉花组成。2、用塑料盒包装，盒体尺寸：80mm×60mm×40mm。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29019</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物体热涨冷缩实验材料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金属球、塑料球、实验架等，金属球及塑料球直径为15mm、实验器需带手柄，手柄长度不小于100mm，实验圆环外径不小于20mm。包装采用PVC透明塑料吸塑定位包装。</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29020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灯座及灯泡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由底座、电珠座，正（红）、负(黑）接线柱帽等组成；2.该产品底板（塑料）制作，螺丝口由有色金属（铜）制作；3.小灯座为螺旋式灯座与小电珠配用；4.小灯座最高工作电压为36V，最大工作电流为2.5A。配套小电珠为3.8V和2.5V各1支。</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29021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开关</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适用于教学演示实验和学生分组实验用的教学开关；2.开关的最高工作电压36V，额定工作电流6A；3.开关闸刀与接线柱及垫片为导电性好的材料制成，表面镀铬，闸刀的宽度小于7mm，闸刀厚度不小于0.7mm.接线柱直线4mm，有效行程不小于4mm；4.开关应具有足够的强度。</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29022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物体导电性实验材料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塑料盒、插座、发光二极管、电池盒、测试片等组成；塑料盒尺寸：116mm×60mm×25mm，盒盖上有插座一对、发光二极管1个，电池盒置于盒底中，电池盒可装五号电池2节。测试片：铜、铁、铝、塑料、木片各一片。插座由磷铜片制成。</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24001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条形磁铁</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D-CG-LT-180，一对装，外形尺寸：178mm×20mm×10mm。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29025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条形磁铁</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学生用，条形。铁氧体材料，磁铁长36㎜，宽9㎜，厚6㎜，成对配置。产品符合JY 0122-91《小学磁铁性质实验盒》中有关条形磁铁的要求。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24002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蹄形磁铁</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D-CG-LU-80，附衔铁。外形尺寸：60mm×16mm×80mm。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29028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蹄形磁铁</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学生用，U形。铁氧体材料，U形口外径宽36㎜，内径宽18㎜，高度42㎜，厚度7㎜。产品符合JY 0122-91《小学磁铁性质实验盒》中有关蹄形磁铁的要求。单个产品有一个纸盒包装。</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29029</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磁针</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垂直翼形针体，底座，立柱各2个组成，磁针体长：140mm，宽8mm，厚0.8mm。磁针体的中间铆接铜轴承套，内嵌玻璃轴承。磁针出厂一年内，磁针体的平均剩磁9mT。磁针体表面喷漆，漆层均匀无脱落。支座用非铁磁性材料制成。底座平整、稳定，顶部装镀铬钢针。磁针在外力作用下，磁针体应转动灵活，无明显偏斜或阻滞现象。去掉作用力后，磁针体应能自行回归指向，回归指向偏差不大于5º。磁针在无外强磁场或铁磁性物体影响下，磁针应无明显倾斜。产品符合JY0012－90《磁针》的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29030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环形磁铁</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铁氧体材料，环形，外径36mm，中心孔18mm。磁极方向为平面上下，应有明显的极性标记。N极为红色，S极为蓝色或白色。磁极表面磁感应强度应0.05T。</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29031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电磁铁组装材料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组装式。材料由塑料成型的线圈骨架2个、铁芯2根、多股导线（长2m、短1m各1根）、小垫片30片组成。</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29032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电磁铁</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蹄形圆铁、柱形圆铁、大头针、联接线、桥板、骨架、小磁针（1对）、线圈。蹄形圆铁表面均应做防锈处理，直径不小于7mm，需配有羊眼挂钩。骨架一对，长度不小于30mm。柱形圆铁表面均应做防锈处理，直径不小于7mm，长度不小于40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29033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手摇发电机</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摇发电机由外壳、电机、齿轮转动和手柄组成。输出端电压：在转子转速为1600转/分时，空载输出电压不小于6V，输出电流不小于0.2A。外壳应采用ABS塑料注塑成形，外形为圆柱形，中部应有手握装置。圆柱形外圆不小于45mm，长不小于100mm，电机和齿轮转动机构均置于外壳内，并有定位装置，连接可靠，无松动现象。前端应有输出接线装置，后端为手柄联动机构。齿轮转动机构为二级变速，齿轮采用（ABS）塑料注塑成形，旋转灵活，无卡死、变形、溶剂、毛刺等现象。</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25012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激光笔</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带红色光源，射程不小于5米。射径内无变形。配三个帽头及三个扭扣电池。笔身外径12mm，长63mm。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29035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小孔成像装置</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组装式，底座、支杆、支架、小孔板、白屏、烛台、蜡烛等，小孔板及白屏尺寸应不小于95mm×60mm×1mm，支座尺寸：直径65mm×20mm。支杆直径10mm，长55mm。支架为U形，放置白屏、小孔板可靠。烛台由支架及台面组成，支架长40mm，台面直径38mm，供放置蜡烛时使用。</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29036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平面镜及支架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组装式。产品由底座、支杆、支架、平面镜各2件组成。底座直径65mm，高20mm。支杆直径10mm，长55mm。支架为U形，放置平面镜可靠。平面镜尺寸：95mm×60mm。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29037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曲面镜及支架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曲面镜由底座、支杆、支架及曲面镜面组成。底座为塑料制，直径65mm，高20mm。支杆为塑料制，直径10mm，长55mm。支架为塑料制U形。曲面镜外形尺寸：95mm×60mm×10mm。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29038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透镜、棱镜及支架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组装式。产品由双凸透镜、双凹透镜、等边三棱镜、镜框、立杆、底座组成。双凹凸镜直径为50mm，等边三棱镜尺寸为25mm。底座直径65mm，高20mm。支杆直径10mm，长55mm。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29039</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成像屏及支架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组装式。产品由底座、支杆、支架、毛屏、白屏等，毛屏及白屏尺寸：95mm×60mm×1mm，支座尺寸：65mm×20mm。支杆直径10mm，长55mm。支架为U形，放置白屏、毛屏可靠。</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29040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昆虫观察盒</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主要技术参数：1.盒体带圆锥形，上小下大，基本尺寸：底部直径76mm、上部直径47mm、高75mm，底部有毫米的刻度标尺（两条刻度尺互成直角）并可取下；2.带有不小于3倍的放大镜；3.盒体放大镜直径Φ36±1mm；4.镜片透光性能好，中心Φ30mm范围内不允许有明显的条纹、气泡、沙眼等缺陷，镜片边缘不允许有明显的裂碎和崩边现象；5.塑料件表面应光滑透明、无毛刺、裂缝、疤痕和缺角，底盘刻度不允许有变形现象。</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29041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动物饲养笼</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适用小学科学课分组饲养小动物用。产品主要有铁笼、塑料盘组成。铁笼440mm×340mm×410mm。采用直径3mm的铁条围成，表面喷漆处理，上面配有挂钩。塑料槽，尺寸：430mm×320mm×26mm。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29042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塑料注射器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30ml,最小刻度2ml，筒身Φ23.5mm，针筒压到底的总长137mm，配有针头，针头规格：1.6×30。产品为一次性。</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22004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单摆</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1、由摆球、线绳组成。2、钢球直径19mm。3、摆球均沿直径方向钻孔，供穿线使用，钢球表面镀铬、抛光。4、摆球附悬线1根，长度均≥1100mm。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照相机模型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光学。塑料外壳，光学玻璃组成。镜头可伸缩。</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39051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儿童骨骼模型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高度42cm，产品采用硬质塑料制成，为男性少年体型骨骼模型，串制成正常直立姿势立于支架上，模型高65cm。2. 直立的骨骼模型从生理弯曲和骨的颜色上突出少年型的特征。3. 骨的形态特征明显清晰，软骨和骨在质感和颜色上有明显区分。4. 在同一模型上，同一种颜色的另件，无目视上的色差。5. 骨的比例正确，胸腔各径准确，骨盆各角度近似实际。6. 支架底座足以稳定模型的质量，产品执行JY 159的全部要求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39052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儿童牙列模型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模型取正常儿童男性牙齿的上颌和下颌部分，用蛇形管连接，可自由张开、闭合，并附牙刷。上颌和下颌由玻璃纤维增强硬塑料制成，规格：上颌部分：不小于160mm×130mm×60mm 下颌部分：不小于160mm×130mm×55mm蛇形管由金属材料制成，外表面镀铬处理，可使上下颌闭合、张开。模型上下颌的牙齿形状、大小、排列顺序应符合儿童的生理特点。产品应符合JY0354-1999《牙列解剖模型》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39053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少年人体半身模型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选用优质搪塑环保材料。产品高度为65cm，是男性少年人头、颈、躯干解剖模型。头部做正中矢状切，剥离右侧头面部部分软组织，示部分颅骨、肌肉，眼球固定于眼眶内。示口腔、鼻腔、咽腔、食管、喉腔和气管的纵切面和通道关系。示右侧腮腺。胸腔内示：心脏（可拆下，示心脏及连通心脏的主要动静脉）、两肺（前半部分可拆下，示肺门结构。右肺示内部血管及支气管分布，左肺示其断面结构）、气管、支气管、食管与胸主动脉（贴于胸腔后壁）。膈能拆下，示膈穹隆，示呼气状态的特点。腹腔内示：肝、胃、肠、胰和脾（可分别拆下），腹后壁示肌肉、左右肾及肾上腺、输尿管等结构。胃示外形，十二指肠、胰、脾相连，胰做剖面示胰腺导管，除去十二指肠前壁示胰管及胆总管开口于十二指肠大乳头，肠示空肠、回肠、盲肠、结肠、直肠，盲肠末端示阑尾，结肠示结肠带和肠脂垂，肝示外形和肝门结构：左右肝管、肝总管、胆囊管及胆囊。盆腔示膀胱、直肠末端各器官的形态、结构、位置、毗邻关系正确。金属连接件应防锈处理。产品表面使用的油漆均为环保油漆整个产品固定于底座上。</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39054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眼构造模型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PVC材质，由六倍大成人眼球模型，支架和底座组成，眼球前后极正中水平切面，展示内部结构、器官、血管、神经等，技术要求应符合JY164-84</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39101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啄木鸟仿真模型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整体模型由啄木鸟、树干和底座构成。 仿真底座和树干采用塑料注塑而成，啄木鸟模型鸟大小为自然大。用羽毛制作。形象逼真，自然色。底座规格：110mm×60mm×30mm。仿真木干长200mm、直径25mm。啄木鸟以捕虫自然姿势直立于树干。</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39102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猫头鹰仿真模型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模型仿照猫头鹰制作而成。整体模型由猫头鹰和树干构成。仿真树干采用塑料注塑而成，猫头鹰模型鸟大小为自然大。用羽毛制作。形象逼真，自然色，猫头鹰以自然姿势直立于树干。</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34001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平面政区地球仪</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球体、支架（包括底座）、时区环等组成。Ф32cm，比例尺为1/40000000。2、球体正圆，可以在支架上自由转动，能停止在任一位置，静置和转动能有一定稳度。3、地轴的倾角66.5°，春分、夏至、秋分、冬至四季点在同一平面上。4、各瓣图片之间的纬线、地物都接准，在南北纬60°之间，其错动、重叠和裂隙一般不超过0.3mm，个别线段不超过0.5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34002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平面地形地球仪</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球体、支架（包括底座）、时区环等组成。Ф32cm，比例尺为1/40000000。2、球体正圆，可以在支架上自由转动，能停止在任一位置，静置和转动能有一定稳度。3、地轴的倾角66.5°春分、夏至、秋分、冬至四季点在同一平面上。4、各瓣图片之间的纬线、地物都接准，在南北纬60°之间，其错动、重叠和裂隙一般不超过0.3mm，个别线段不超过0.5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39151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地动仪模型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外表面刻有篆文以及山、龟、鸟、兽等图形。仪器内部中央立着一根铜质都柱；仪体外部周围铸着八条龙，按东、南、西、北、东南、东北、西南、西北八个方向布列。龙头和内部信道中的发动机关相连，每个龙头嘴里衔有一粒小铜珠。地上对准龙嘴处，蹲着八个铜蟾蜍，昂头张嘴。模型缩放比例适中，仿真度高，失真度小，有直观教学效果。</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39152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地球构造模型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模型由优质树脂材料制作，应牢固不变形。直径为：φ320mm，比例为：1：40000000。在立体地球仪的下半部沿赤道线东经45°至西经45°处切开剖面，可拆卸，显示：地壳、地幔、外地核、内地核，并标有距离：地壳17公里，地幔2900公里，外地核220公里。地球外部显示：七大洲、四大洋、赤道、南回归线、北回归线、南极圈、北极圈。产品符合JY0001《教学仪器产品一般质量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39154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司南模型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司南模型由铜地盘和磁勺组成，地盘内圆外方，圆外盘分层次铸成有十天干、十二地支、四挂、标示、二十四个方位。勺头为N极，勺尾为S极。静止时因地球磁场的作用，勺尾指向南方。外形尺寸：220mm×220mm×90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39156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月相变化演示器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地球模型、月球模型、齿轮、大小转盘及底座组成。演示器直径220mm，高度110mm。模型能演示月亮圆缺的各种形状。产品设置的中心天体是地球，在地球的外围显示月球的公转轨道，并能演示出“新月—娥眉月—上弦月—凸月—满月—凸月—下弦月—娥眉月—新月”的月相周期性更造。</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43050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蟾蜍浸制标本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执行JY143标准。合格证、说明书，外包装使用牛皮瓦楞纸单独包装。透明有机玻璃封装；弹性橡胶"O”型圈密封；尺寸不小于70*30*85 使用液体为无毒无味新型液体（教育部教研所研制）1、取材为两栖纲蟾蜍科的蟾蜍体长不小于70mm。2、身体分为头、躯干和四肢。3、头扁而尖，口裂宽阔，眼一对，外鼻孔一对。4、背面多呈黑绿色，腹面乳黄色，皮肤上生有很多瘤突，眼后有一对很大的耳后腺。5、前肢短小，后肢强大，且趾间有蹼。6、保持自然生活时的蹲卧姿势。7、前肢和后肢两两对称，指、趾自然分展。</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43051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河蚌浸制标本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执行JY143标准。合格证、说明书，外包装使用牛皮瓦楞纸单独包装，透明有机玻璃装，弹性橡胶"O”型圈密封；尺寸不小于80*35*90mm使用液体为无毒无味新型液体（教育部教研所研制）1、去掉左侧的贝壳外套膜和围心腔膜，保留构成出入水孔的左套膜部分，显示肌肉条流和前闭壳肌和后缩足肌；宿环系统的心室、心耳、排泄系统的肾脏、呼吸系统的鳃、消化系统的触唇、口、直肠、肛门和肝脏。右侧外套膜、入水孔、出水孔和斧足。</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43052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爬行类动物浸制标本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执行JY143标准。合格证、说明书，外包装使用牛皮瓦楞纸单独包装，蜥蜴，透明有机玻璃封装；弹性橡胶"O”型圈密封；尺寸不小于80*38*140mm使用液体为无毒无味新型液体（教育部教研所研制）蜥蜴材料不小于150mm 1、整形保持生活时自然姿势。2、尾完整无破损。</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43053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蛙发育顺序标本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执行JY148标准。合格证、说明书，外包装使用牛皮瓦楞纸单独包装，选用大形的活蛙制作，透明有机玻璃封装；尺寸不小于185*85*30mm（长宽高），符合《JY147-82》标准，弹性橡胶"O”型圈密封；尺寸不小于185*85*30mm 使用液体为无毒无味新型液体（教育部教研所研制） 1、从蛙的单细胞到幼蛙间的各个时期。2、按发育顺序摆放3、（1）单细胞期（2）尾芽期(3)具外鳃的蝌蚪（4）具内鳃蝌蚪（5）具后肢的蝌蚪（6）具前肢的蝌蚪（7）尾缩期的蝌蚪（8）幼蛙  3、（1）-（3）期在容器中不定位，（4）-（8）期以腹面向下定位，再按发育顺序自左向中排列。</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43150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昆虫标本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执行JY149标准、合格证、说明书。常见益虫、害虫各6～7种，纸质盒、玻璃面封装，观察更清晰，比一般玻璃质地更坚硬；尺寸不小于230*180*38mm  1、昆虫显示头、肢体、翅膀等。2、虫体完整，躯干平放在树脂内，搭配合理</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43151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桑蚕生活史标本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执行JY149标准合格证、说明书。纸质盒、玻璃面封装,盒面采用浮法玻璃，观察更清晰，比一般玻璃质地更坚硬；尺寸不小于230*180*35mm   1、 标本取材为人工饲养家蚕。2、由桑蚕的卵、幼虫、雌、雄成虫、蚕丝、丝织品和桑叶组成。</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43152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兔外形标本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执行JY0001-88标准。标本由生长四十天左右无残缺、发育完整的白兔制作，为干制，经过处理安置在木质板上，显示兔的整体外形。透明有机玻璃封装；尺寸不小于98*58*200mm   1、材料为家兔，体长不小于170mm。2、身体分为头、颈、躯干、尾和四肢。3、头部略呈长圆形，口周围有肉质唇、上唇中央有纵裂上达鼻孔。4、上唇具硬触须，为辅助触觉器官。鼻孔一对，位吻的末端。5、眼有上下眼脸及瞬膜，耳部有长的耳廓。6、前肢短，有五趾，后肢长，有四趾。7、全身被毛，尾短。</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43153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植物种子传播方式标本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执行JY0001-88标准。标本由动物传播、弹力传播、风力传播、水力传播、四部分组成。由榆钱、莲子、苍耳、豌豆制作。标本盒应为有机玻璃盒或纸盒，纸盒上盖采用浮法玻璃制作。标本盒尺寸：220mm×170mm×30mm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盒</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49001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天然材料标本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木、棉花、石油、煤、矿石等</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49002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人造材料标本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金属、塑料、玻璃、陶瓷、纸、  布、密度板、水泥等</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49003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纺织品标本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由尼龙、棉布、涤棉、毛料、丝绸等样布组成。纺织品标本表面洁净，排列整齐，应注明类别。</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49004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各种纸样标本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由各种纸样装订成册，A6规格大小</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49005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矿物标本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盒盖贴有与标本相对应的品名，标本分别为锡石、赤铁矿、铝土矿、黄铜矿、白云石、云母等。</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49006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岩石标本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盒盖贴有与标本相对应的品名，标本分别为玄武岩、花岗岩、安山岩、流纹岩、砂岩、页岩等 。</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49007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金属矿物标本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铜、铁、铝、钨、锡等</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49008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土壤标本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盒盖贴有与标本相对应的品名，标本分别有砖红壤、红壤、黑钙土、紫黑土等 。</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49009</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矿物提炼物标本</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石油、金属等各标本对应名称的表格，标本按表格定位存放，矿物标本：石油、铜矿石、铁矿石、铝矿石组成，矿物提练物标本有：医药、塑料、橡胶、铜、铁、铝等标本组成。石油标本应使用安瓿封装，尺寸Φ8mm×40mm，三种矿石标本尺寸应18mm×8mm×8mm。符合JY 0005-1994《矿物岩石标本》要求的晶体标本</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43201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植物根尖纵切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43206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木本双子叶植物茎横切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43250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草本植物茎横切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43251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洋葱表皮装片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43252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叶片横切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43253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叶片气孔装片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43450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动物表皮细胞装片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43451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蛙卵细胞切片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43550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骨细胞切片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43551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口腔粘膜细胞装片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43552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人血细胞装片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符合JY67-82《生物玻片标本通用技术条件》的规定。在100X和200X的显微镜下能清楚的看到其结构。</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片</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中国政区地图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比例尺为：1：6000000。幅面：全开；由正规地图出版社出版的最新版本。纸张规格：128克不反光铜版纸；印刷：彩色胶印。符合GB/T 7705-2008  《平版装潢印刷品》的有关规定。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张</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中国地形地图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比例尺为：1：6000000。幅面：全开；由正规地图出版社出版的最新版本。纸张规格：128克不反光铜版纸；印刷：彩色胶印。符合GB/T 7705-2008  《平版装潢印刷品》的有关规定。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张</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59003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安全操作挂图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对开，25幅。纸张规格：128克不反光铜版纸；印刷：彩色胶印。符合GB/T 7705-2008  《平版装潢印刷品》的有关规定。国家正式出版物，符合新课标教学的要求，图面字迹清晰，图形、色调准确。</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59004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生命世界教学挂图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对开，33幅。纸张规格：128克不反光铜版纸；印刷：彩色胶印。符合GB/T 7705-2008  《平版装潢印刷品》的有关规定。国家正式出版物，符合新课标教学的要求，图面字迹清晰，图形、色调准确。</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59005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物质世界教学挂图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对开，22幅.纸张规格：128克不反光铜版纸；印刷：彩色胶印。符合GB/T 7705-2008  《平版装潢印刷品》的有关规定。国家正式出版物，符合新课标教学的要求，图面字迹清晰，图形、色调准确。</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59006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地球与宇宙教学挂图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对开，24幅。纸张规格：128克不反光铜版纸；印刷：彩色胶印。符合GB/T 7705-2008  《平版装潢印刷品》的有关规定。国家正式出版物，符合新课标教学的要求，图面字迹清晰，图形、色调准确。</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59007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科学史挂图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对开，20幅。纸张规格：128克不反光铜版纸；印刷：彩色胶印。符合GB/T 7705-2008  《平版装潢印刷品》的有关规定。国家正式出版物，符合新课标教学的要求，图面字迹清晰，图形、色调准确。</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59008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植物分类图谱</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幅面：180mm×250mm；纸张规格：150克铜版纸；印刷：彩色胶印。图形：逼真，色彩鲜明，线条清晰。</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59009</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动物分类图谱</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幅面：180mm×250mm；纸张规格：150克铜版纸；印刷：彩色胶印。图形：逼真，色彩鲜明，线条清晰。　</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59401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实验教学指导书</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16开书，适用新课改教材</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59402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实验仪器手册</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16开书，适用新课改教材</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60004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量筒</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500ml、高硼硅玻璃制造、铜红扩散印线，全高350±10mm,筒身壁厚&gt;1.2mm，最小分度值5ml，容量误差±2.5ml,玻璃仪器总体要求：无内应力，产品符合GB/T 12804-1991　《实验室玻璃仪器 量筒》的标准。</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60012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量杯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250ml，产品用硼硅制造。具底仪器放置平稳。仪器的口部都经磨砂、熔光或卷边处理。刻有标度的仪器，刻线应精确、清晰。外形平整、薄厚均匀，无明显偏斜。不应有薄皮气泡、透明疙瘩、结石、条纹等缺陷。产品应消除内应力。在应力计下呈紫红色。</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60061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甘油注射器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规格：30ml。塑料制成。全长180±10mm，器身外径27±1mm，最小分度1ml，容量允差±1ml，密封性好，滑动灵活。刻度标线规整、清晰。符合GB 15810-2001《注射器》的有关规定。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试管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φ15mm×150mm，产品用硼硅制造。具底仪器放置平稳。仪器的口部都经磨砂、熔光或卷边处理。刻有标度的仪器，刻线应精确、清晰。外形平整、薄厚均匀，无明显偏斜。不应有薄皮气泡、透明疙瘩、结石、条纹等缺陷。产品应消除内应力。在应力计下呈紫红色。</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61005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试管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Ф20mm×200mm、高硼硅料卷口,全长200±2mm,管外径21±1mm，壁厚1.2±0.2mm，产品符合QB/T2561-2002《实验室玻璃仪器试管和培养管》的有关规定。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61021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烧杯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50ml、采用3.3硼硅酸盐玻璃制造，全高60±2mm，杯外径42±1mm，最小壁厚0.8mm，产品符合GB/T15724-2008《实验室玻璃仪器烧杯》的有关规定。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61022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烧杯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100ml、采用3.3硼硅酸盐玻璃制造，全高70±2mm，杯外径50±1mm，最小壁厚0.9mm，产品符合GB/T15724-2008《实验室玻璃仪器烧杯》的有关规定。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61023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烧杯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250ml、采用3.3硼硅酸盐玻璃制造，全高95±2mm，杯外径70±2mm，最小壁厚1.1mm，产品符合GB/T15724-2008《实验室玻璃仪器烧杯》的有关规定。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61024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烧杯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500ml、采用3.3硼硅酸盐玻璃制造，全高120±3mm，杯外径85±2mm，最小壁厚1.2mm，产品符合GB/T15724-2008《实验室玻璃仪器烧杯》的有关规定。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61037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烧瓶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平、长，250ml、采用高硼硅GG-17玻璃制造，全高112±3mm，瓶直径85±1mm，壁厚1.4-2mm,产品符合GB/T 11414-2007《实验室玻璃仪器瓶》的有关规定。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61041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锥形瓶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100mL采用高硼硅GG-17玻璃制造，Ф62±2mm,高105±3mm,产品符合GB/T 11414-2007《实验室玻璃仪器瓶》的有关规定。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62001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酒精灯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150ml，玻璃，灯体、灯芯管和灯帽。</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62031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漏斗</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采用透明玻璃制造，斗外径60±2mm，斗茎外径7-8mm，壁厚1-1.5mm，斗径长60±5mm，滤碗壁厚1-2.5mm,符合QB/T 2560-2002《实验室玻璃仪器 过滤漏斗》的有关规定。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62072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Y形管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采用透明玻璃制造，全长100±5mm，支长50±5mm，直径7-8mm,,壁厚1.5mm，内角60度±5度。产品符合GB/T 12414-1995　《药用玻璃管》的标准。</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62073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滴管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150mm,附乳胶头，采用透明玻璃制造，全长150±10mm，上管外径15±1mm,,壁厚1.3mm，产品符合GB/T 12414-1995　《药用玻璃管》的标准。</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63002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集气瓶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由磨口瓶和玻片组成，由钠钙玻璃制造。2．规格：125ml。瓶全高110±4mm，瓶身直径54±2mm，瓶身壁厚1.2mm，瓶底厚1.8mm，玻片边长65±5mm。3．磨砂密合性：盖板与瓶口充分湿润密合后，倒提瓶体，盖板附瓶口上应保持30秒不掉。4．瓶身光洁圆整，不得有扁瘪现象，瓶底平稳，不允许有旋转缩径和磨光的小缺口。5．产品符合《玻璃仪器通用技术要求》6．符合JY0001－2003《教学仪器设备产品一般质量要求》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64005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镊子</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不锈钢，圆嘴  全长160±2mm， 厚1.5mm。符合GB 4747.1— 1989  《医用镊通用技术条件》的有关规定。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64006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试管夹</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1.产品为木质材料制成。夹长100mm，手柄长度80mm。2.夹口张、合松劲强度适宜，便于试管夹持和拿取。</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64032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石棉网</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金属网和附在网上的石棉组成。金属网由Φ0.1㎜左右的钢丝编织而成，密度均匀，织网密度间距不大于2㎜，金属网为边长125㎜的正方形，边缘应作卷边处理，不散网、不翘丝。金属网上所附石棉圈为双面附着的正圆形，直径Φ100㎜，厚度为3㎜左右，要求不散、不裂、不脱落。整体应平整、美观，不翘角。</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64041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燃烧匙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燃烧匙由匙体和匙柄组成。1、匙柄用经表面外理过的铁丝制成，长度300mm。2、匙体由铜材制成，厚度0.5mm，匙体的口径φ28mm。3、匙体和匙柄连接牢固，匙体口平面应与柄垂直。</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64042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药匙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塑料，每套大中小三个。</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64051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玻璃管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φ5mm～φ6mm，长度300mm±30mm。</w:t>
            </w:r>
          </w:p>
        </w:tc>
        <w:tc>
          <w:tcPr>
            <w:tcW w:w="425" w:type="dxa"/>
            <w:tcBorders>
              <w:tl2br w:val="nil"/>
              <w:tr2bl w:val="nil"/>
            </w:tcBorders>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64054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玻璃棒</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φ5mm～φ6mm，长度300mm±30mm。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64062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橡胶管</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6x9mm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ascii="宋体" w:hAnsi="宋体" w:eastAsia="宋体" w:cs="宋体"/>
                <w:color w:val="auto"/>
                <w:kern w:val="0"/>
                <w:sz w:val="20"/>
                <w:szCs w:val="20"/>
              </w:rPr>
              <w:t>K</w:t>
            </w:r>
            <w:r>
              <w:rPr>
                <w:rFonts w:hint="eastAsia" w:ascii="宋体" w:hAnsi="宋体" w:eastAsia="宋体" w:cs="宋体"/>
                <w:color w:val="auto"/>
                <w:kern w:val="0"/>
                <w:sz w:val="20"/>
                <w:szCs w:val="20"/>
              </w:rPr>
              <w:t>g</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64065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橡胶塞</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0--10号</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ascii="宋体" w:hAnsi="宋体" w:eastAsia="宋体" w:cs="宋体"/>
                <w:color w:val="auto"/>
                <w:kern w:val="0"/>
                <w:sz w:val="20"/>
                <w:szCs w:val="20"/>
              </w:rPr>
              <w:t>K</w:t>
            </w:r>
            <w:r>
              <w:rPr>
                <w:rFonts w:hint="eastAsia" w:ascii="宋体" w:hAnsi="宋体" w:eastAsia="宋体" w:cs="宋体"/>
                <w:color w:val="auto"/>
                <w:kern w:val="0"/>
                <w:sz w:val="20"/>
                <w:szCs w:val="20"/>
              </w:rPr>
              <w:t>g</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64071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试管刷</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金属丝和胶合在其上的猪鬃毛制成、金属丝用Φ3mm左右的2根镀锌铁丝绞合，总长度250mm。制成的试管刷直径Φ30mm，长度100mm，要求不散、不脱毛。</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64072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烧瓶刷</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猪棕毛制,毛刷小头Φ12mm×18mm，大头Φ34mm×50mm,小头Φ31mm×50mm，大头Φ60mm×90mm。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64085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培养皿</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由一个底和一个盖组成，为圆形玻璃容器，圆口直径100mm，产品符合GB/T 11414-2007《实验室玻璃仪器瓶》的有关规定。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64088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蒸发皿</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采用理化瓷制造，全高30±3mm，口外径60±3mm,壁厚1-1.5mm。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64097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塑料量杯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1.500ml。壁厚大于1.2 mm，底厚大于4mm。2.最小分度值：10mL 。3.示值允差：标准温度20℃时≤±0.8ml。4.分度线宽度不应超过0.5mm。5.分度线清晰、完整。刻线宽不大于0.4mm。长线长度大于周长的1/4，中线长度大于周长的1/6，短线大于周长的1/8。6.表面应平整光洁、无划痕、溶迹、缩迹，边缘无毛刺和凹凸不平现象。</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70088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硫酸铝钾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(明矾)</w:t>
            </w:r>
            <w:r>
              <w:rPr>
                <w:rFonts w:ascii="宋体" w:hAnsi="宋体" w:eastAsia="宋体" w:cs="宋体"/>
                <w:color w:val="auto"/>
                <w:kern w:val="0"/>
                <w:sz w:val="20"/>
                <w:szCs w:val="20"/>
              </w:rPr>
              <w:t xml:space="preserve"> </w:t>
            </w:r>
            <w:r>
              <w:rPr>
                <w:rFonts w:hint="eastAsia" w:ascii="宋体" w:hAnsi="宋体" w:eastAsia="宋体" w:cs="宋体"/>
                <w:color w:val="auto"/>
                <w:kern w:val="0"/>
                <w:sz w:val="20"/>
                <w:szCs w:val="20"/>
              </w:rPr>
              <w:t>试剂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72025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酒精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工业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72061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pH试纸</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1～14</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本</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75003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高锰酸钾</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试剂，500g</w:t>
            </w:r>
          </w:p>
        </w:tc>
        <w:tc>
          <w:tcPr>
            <w:tcW w:w="425" w:type="dxa"/>
            <w:tcBorders>
              <w:tl2br w:val="nil"/>
              <w:tr2bl w:val="nil"/>
            </w:tcBorders>
            <w:shd w:val="clear" w:color="auto" w:fill="auto"/>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77011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盐酸</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试剂，500mL</w:t>
            </w:r>
          </w:p>
        </w:tc>
        <w:tc>
          <w:tcPr>
            <w:tcW w:w="425" w:type="dxa"/>
            <w:tcBorders>
              <w:tl2br w:val="nil"/>
              <w:tr2bl w:val="nil"/>
            </w:tcBorders>
            <w:shd w:val="clear" w:color="auto" w:fill="auto"/>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瓶</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80901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一般实验材料</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蜡纸、锡箱纸、塑料手套、塑料管、毛细管、种子、橡皮泥、种植土、过滤纸、导线、碘酒、蜡烛、塑料薄膜、透明塑料袋、不透明塑料袋、棉布、吸管、食用油、食盐、食糖、气球、方格纸、松香等</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　</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80302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载玻片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抛光边载玻片；规格：25.4mm×76.2mm；厚度：0.8mm～1mm；包装：50片/盒，化学性能稳定，符合GB6272要求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盒</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80303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盖玻片</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规格：20mm×20mm，厚度：0.13mm～0.17mm 包装：100片/盒，化学性能稳定，符合GB6273要求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包</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测电笔</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全长145mm，测量范围小于AC500V,刀杆材料选用优质CR-V钢,全硬热处理,达到CE标准。产品符合国家标准GB8218要求</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一字螺丝刀</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塑柄，一字,规格φ5×75㎜。旋杆采用鉻钒钢，工作部硬度不低于HRC48。旋杆应经镀鉻防锈处理。手柄采用高强度PP+高强性TPR注塑成型，表面光洁、无毛刺。与旋杆接合牢固。</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十字螺丝刀</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塑柄,十字,规格φ5×75㎜。旋杆采用鉻钒钢，工作部硬度不低于HRC48。旋杆应经镀鉻防锈处理。手柄采用高强度PP+高强性TPR注塑成型，表面光洁、无毛刺。与旋杆接合牢固。</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81004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尖嘴钳</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6"，150mm，采用45号高碳钢精工铸造，整体精抛光、热处理，钳口高频淬火，硬度45-48HRC，PVC全新料环保手柄，其它技术要求按GB6290的规定。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81008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木工锯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采用超薄锰钢速锯片，双刃磨齿，高频淬火，ABS软胶手柄，手感舒适。全长450mm。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81012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钢手锯</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可调式结构，配二根钢锯条，锯条长度300mm。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81014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钢丝钳</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6"，150mm，采用45号高碳钢精工铸造，整体精抛光、热处理，钳口高频淬火，硬度45-48HRC，PVC全新料环保手柄，其它技术要求按GB6290的规定。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81015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手锤</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规格1镑,木柄,圆头锤，采用45号高碳钢精工铸造,表面抛光处理，敲击面热处理，硬度45-48HRC。</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81020</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活扳手</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6"，150mm,采用45号高碳钢精工锻造，扳口精密加工，开口灵活，加簧蜗杆保持扳口稳定。</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81024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电烙铁</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60W，内热式，AC220V。</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81027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手电钻</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φ1mm～φ13mm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81032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剪刀</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2#,规格180mm,表面镀铬</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81109</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花盆</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塑料制品,底部有小孔,直径大于12cm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81201</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小刀</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塑料柄,刀片尺寸大于50*10mm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81202</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塑料制，直径大于20cm ，高度大于17cm,反边。</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81203</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手摇铃</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金属壳体,木质手柄,铜质铃身长度120mm，铃口直径62mm。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81204</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手持筛子</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不锈钢圈及丝网,直径200mm,深33mm。</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81205</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喷水壶</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塑料制品,有手柄,喷嘴，2L 压力2级。</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81206</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吹风机</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额定电压220V，50Hz,1000W，应带有防过热保护装置，冷热风双项选择，配缩吹直头。三档控制开关。</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81207</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采集捕捞工具</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由标本夹、捕虫网、水网、小铁铲、枝剪等组成。2．标本夹：①用塑料注塑制成，尺寸应为长300mm×宽230mm两块为一套，五横三竖；3．捕虫网：网兜用人造纤维材料，网圈直径φ不小于190mm，网深不小于250mm，底成尖形，网柄为ABS工程塑料制成，网圈用直径φ2～2．5mm的镀锌铁丝。4．水网：用密织纱布，网圈直径φ不小于190mm，网柄为ABS工程塑料制成，网圈用直径φ2～2.5mm的镀锌铁丝。5．小铁铲用来挖掘植物地下根茎，采用钢板制成，木手柄安装牢固。6．枝剪用于剪取树枝及修整标本，钢质。剪刀刃锋利，无崩裂，剪口前端应对齐。</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81208</w:t>
            </w:r>
          </w:p>
        </w:tc>
        <w:tc>
          <w:tcPr>
            <w:tcW w:w="99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榨汁器</w:t>
            </w:r>
          </w:p>
        </w:tc>
        <w:tc>
          <w:tcPr>
            <w:tcW w:w="7938"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杠杆式，塑料制品，规格26×9㎝，手动型可榨苹果等</w:t>
            </w:r>
          </w:p>
        </w:tc>
        <w:tc>
          <w:tcPr>
            <w:tcW w:w="425"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43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bl>
    <w:p>
      <w:pPr>
        <w:outlineLvl w:val="2"/>
        <w:rPr>
          <w:rFonts w:hint="eastAsia" w:ascii="宋体" w:hAnsi="宋体" w:eastAsia="宋体" w:cs="宋体"/>
          <w:b/>
          <w:bCs/>
          <w:color w:val="auto"/>
          <w:sz w:val="28"/>
          <w:szCs w:val="32"/>
        </w:rPr>
      </w:pPr>
      <w:r>
        <w:rPr>
          <w:rFonts w:hint="eastAsia" w:ascii="宋体" w:hAnsi="宋体" w:eastAsia="宋体" w:cs="宋体"/>
          <w:b/>
          <w:bCs/>
          <w:color w:val="auto"/>
          <w:sz w:val="28"/>
          <w:szCs w:val="32"/>
          <w:lang w:val="en-US" w:eastAsia="zh-CN"/>
        </w:rPr>
        <w:t>3</w:t>
      </w:r>
      <w:r>
        <w:rPr>
          <w:rFonts w:hint="eastAsia" w:ascii="宋体" w:hAnsi="宋体" w:eastAsia="宋体" w:cs="宋体"/>
          <w:b/>
          <w:bCs/>
          <w:color w:val="auto"/>
          <w:sz w:val="28"/>
          <w:szCs w:val="32"/>
        </w:rPr>
        <w:t>、小学数学仪器</w:t>
      </w:r>
    </w:p>
    <w:tbl>
      <w:tblPr>
        <w:tblStyle w:val="12"/>
        <w:tblW w:w="10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122"/>
        <w:gridCol w:w="7715"/>
        <w:gridCol w:w="417"/>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编号</w:t>
            </w:r>
          </w:p>
        </w:tc>
        <w:tc>
          <w:tcPr>
            <w:tcW w:w="1122"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设备名称</w:t>
            </w:r>
          </w:p>
        </w:tc>
        <w:tc>
          <w:tcPr>
            <w:tcW w:w="7715" w:type="dxa"/>
            <w:tcBorders>
              <w:tl2br w:val="nil"/>
              <w:tr2bl w:val="nil"/>
            </w:tcBorders>
            <w:shd w:val="clear" w:color="auto" w:fill="auto"/>
            <w:vAlign w:val="center"/>
          </w:tcPr>
          <w:p>
            <w:pPr>
              <w:widowControl/>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技术参数</w:t>
            </w:r>
          </w:p>
        </w:tc>
        <w:tc>
          <w:tcPr>
            <w:tcW w:w="417"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单位</w:t>
            </w:r>
          </w:p>
        </w:tc>
        <w:tc>
          <w:tcPr>
            <w:tcW w:w="516" w:type="dxa"/>
            <w:tcBorders>
              <w:tl2br w:val="nil"/>
              <w:tr2bl w:val="nil"/>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1012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计算器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简易型：</w:t>
            </w:r>
          </w:p>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1、8位数单行LCD显示；2、有普通四则运算功能 ；3、有自动关机功能 ；4、有开方运算功能；5、有百分号功能；6、有有临时储存器功能；7、应保留普通计算器的基本功能。</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10007</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软尺</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材料为软塑料，用于中小学测量非直线长度；长度为1500㎜，基本测量单位为厘米，1－10厘米范围内最小刻度单位为mm；软尺两端用防锈处理后的金属片封边；软尺表面印制的刻度线能长久保持，测量精度准确，不断线等。</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10008</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卷尺</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20m，尺带PE塑胶制造，尺盒由硬塑料制造，带有伸缩可旋转手柄，刻线均匀、清晰、垂直纵边、无断线</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11006</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托盘天平</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产品应为非封闭等臂杠杆、双盘式托盘天平。有标尺游码装置，最大称量：500g，分度值：1g标尺称量范围：0～10g，秤盘直径：Φ125mm。结构：杠杆为钢材制成，刀子碳素钢制成，，两边可调正平衡，标尺应光洁平直，刻线清晰，分度牌刻线均匀。游码起点应对准零线，移动时松紧适宜，当杠杆受到轻微抨击时，游码不得移位</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11007</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简易天平</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200g，1g。由底座1个、横梁1个、托盘架圈2个、托盘筒2只、游码1个、5g槽码4个、10g槽码8个组成。底座外形尺寸：105×84×77mm，顶部对称V形缺口。横梁和托盘架圈有效尺寸：260×95×12mm，正面印有0～6数字，左右延伸。凸筋部位有10mm分度刻线，与游码配合滑动灵活。托盘筒为200ml半透明塑料筒，外形与托盘圈配合效果良好。组装后就摆放平稳，横梁摆动灵活。</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11019</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弹簧度盘秤</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最大称量1kg，分度值5g，数字可视值区间为50g，准确度等级：3级，称量允差±5g。产品采用工程塑料制作，指针式仪表盘，表盘采用透明性好的材料制作，直径φ100mm。产品符合GB/T 11884-2008《弹簧度盘秤》的有关要求。</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11023</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弹簧秤</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产品为圆筒式金属弹簧秤，具有零位调整装置。规格：2.5kg±5g，外形尺寸：φ15×120mm。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12003</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电子停表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教学用电子秒表，采用电子芯片，电池电压为1.5V。数据可精确到0.1s。秒表计时带有简易计时、分段计时、两段时间显示，带暂停按钮。秒表具有每小时报时，每日定时响闹及自动重响功能，可显示时间，12及24小时制式，日历、星期功能。</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20001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三角板</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制品、演示用，带手柄。每套分60°、45°各1块，等腰三角形，其斜边长为380mm,底边长为540mm，两底角为45°。直角三角形的长直角边为500mm，与斜边的夹角应为30°，另一底角应为60°，所有角度误差不超过±2度。三角板边宽不小于40mm，板厚不小于5mm。 三角板三边为斜面，均由刻度在斜面上，手柄可拆装</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20002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圆规</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演示用，由规身、粉笔套、规脚等三部份组成，总长</w:t>
            </w:r>
            <w:r>
              <w:rPr>
                <w:rFonts w:ascii="Tahoma" w:hAnsi="Tahoma" w:eastAsia="宋体" w:cs="Tahoma"/>
                <w:color w:val="auto"/>
                <w:kern w:val="0"/>
                <w:sz w:val="20"/>
                <w:szCs w:val="20"/>
              </w:rPr>
              <w:t>445mm</w:t>
            </w:r>
            <w:r>
              <w:rPr>
                <w:rFonts w:hint="eastAsia" w:ascii="宋体" w:hAnsi="宋体" w:eastAsia="宋体" w:cs="宋体"/>
                <w:color w:val="auto"/>
                <w:kern w:val="0"/>
                <w:sz w:val="20"/>
                <w:szCs w:val="20"/>
              </w:rPr>
              <w:t>，规身表面无缺陷、无丝裂，不易变形。圆规前端粉笔夹能夹持</w:t>
            </w:r>
            <w:r>
              <w:rPr>
                <w:rFonts w:ascii="Tahoma" w:hAnsi="Tahoma" w:eastAsia="宋体" w:cs="Tahoma"/>
                <w:color w:val="auto"/>
                <w:kern w:val="0"/>
                <w:sz w:val="20"/>
                <w:szCs w:val="20"/>
              </w:rPr>
              <w:t>6mm</w:t>
            </w:r>
            <w:r>
              <w:rPr>
                <w:rFonts w:hint="eastAsia" w:ascii="宋体" w:hAnsi="宋体" w:eastAsia="宋体" w:cs="宋体"/>
                <w:color w:val="auto"/>
                <w:kern w:val="0"/>
                <w:sz w:val="20"/>
                <w:szCs w:val="20"/>
              </w:rPr>
              <w:t>—Φ</w:t>
            </w:r>
            <w:r>
              <w:rPr>
                <w:rFonts w:ascii="Tahoma" w:hAnsi="Tahoma" w:eastAsia="宋体" w:cs="Tahoma"/>
                <w:color w:val="auto"/>
                <w:kern w:val="0"/>
                <w:sz w:val="20"/>
                <w:szCs w:val="20"/>
              </w:rPr>
              <w:t>12mm</w:t>
            </w:r>
            <w:r>
              <w:rPr>
                <w:rFonts w:hint="eastAsia" w:ascii="宋体" w:hAnsi="宋体" w:eastAsia="宋体" w:cs="宋体"/>
                <w:color w:val="auto"/>
                <w:kern w:val="0"/>
                <w:sz w:val="20"/>
                <w:szCs w:val="20"/>
              </w:rPr>
              <w:t>的粉笔，粉笔夹插孔深度不小于</w:t>
            </w:r>
            <w:r>
              <w:rPr>
                <w:rFonts w:ascii="Tahoma" w:hAnsi="Tahoma" w:eastAsia="宋体" w:cs="Tahoma"/>
                <w:color w:val="auto"/>
                <w:kern w:val="0"/>
                <w:sz w:val="20"/>
                <w:szCs w:val="20"/>
              </w:rPr>
              <w:t>25mm</w:t>
            </w:r>
            <w:r>
              <w:rPr>
                <w:rFonts w:hint="eastAsia" w:ascii="宋体" w:hAnsi="宋体" w:eastAsia="宋体" w:cs="宋体"/>
                <w:color w:val="auto"/>
                <w:kern w:val="0"/>
                <w:sz w:val="20"/>
                <w:szCs w:val="20"/>
              </w:rPr>
              <w:t>。规脚由塑料吸盘组成。，圆规尾部用</w:t>
            </w:r>
            <w:r>
              <w:rPr>
                <w:rFonts w:ascii="Tahoma" w:hAnsi="Tahoma" w:eastAsia="宋体" w:cs="Tahoma"/>
                <w:color w:val="auto"/>
                <w:kern w:val="0"/>
                <w:sz w:val="20"/>
                <w:szCs w:val="20"/>
              </w:rPr>
              <w:t>M5</w:t>
            </w:r>
            <w:r>
              <w:rPr>
                <w:rFonts w:hint="eastAsia" w:ascii="宋体" w:hAnsi="宋体" w:eastAsia="宋体" w:cs="宋体"/>
                <w:color w:val="auto"/>
                <w:kern w:val="0"/>
                <w:sz w:val="20"/>
                <w:szCs w:val="20"/>
              </w:rPr>
              <w:t>螺栓连接，蝶形螺母紧固。</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20004</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量角器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制品、演示用，带手柄。量角器上部为直径500mm±2mm的半园环，下部为一宽50mm，长500mm的直尺，两者不可分离，应印有0~180°角度刻度线，在0°、90°、180°位置印有角度数值，90°刻度线与圆心应在一条直线上，垂直于下方的直尺，两边对称，手柄可拆装。</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20501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专用直尺</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xml:space="preserve"> 全长1000mm，尺宽25mm。尺面两侧均有刻度，是测量面。尺面最小刻度1mm、刻线长度较短，每10mm一小格、刻线长度中等，每100mm一大格、刻线长度较长。 尺面刻线均匀清晰，垂直尺边、无断线。</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20505</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标杆</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木制。圆形硬质木杆和插地铁质锥尖角两部分组成，标杆总长为1600mm，杆身截面不小于φ23mm，刷有红、白相间的油漆，间距为不小于150mm，中段由塑料套管连接，易拆接。</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支</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20506</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测绳</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50m涤纶绳。标称测量范围50m,绳粗≥2.5mm，分度值1m，分度值允差±10mm，每10米允差±50mm，总长允差±250mm，分度标记清晰,与测绳结合牢固。</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条</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20507</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塑料球</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产品为有三种颜色的塑料球，外径φ15㎜。每种颜色各8个，共24个。材料为无毒塑料。配有不透明布袋一个。</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20508</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塑料小球</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五种颜色，塑料小球的直径不小于5㎜。每种颜色数量应为10个。</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20509</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计数片</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全塑料制。圆形 不小于Φ15㎜，正方形 不小于15mm×15mm，正三角形 边长不小于15mm，各片厚不小于1mm。每种各10片。</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20510</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竖式计数器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演示用，三档，算珠杆直径为φ3.5mm，两杆间距不小于40mm。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竖式计数器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演示用，五档，算珠杆直径为φ3.5mm，两杆间距不小于40mm。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竖式计数器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学生用五档，算珠杆直径为φ2mm，两杆间距不小于22mm。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20513</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演示算盘</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演示用，全塑料制品，十七档。1、算盘以算珠在中梁上下颗数分布为上二下五；3.框架要平整光洁，竖框与横框、中梁应垂直，不得有明显的变形和松动；4. 算珠的颜色应一至，并与框架位杆的颜色反差明显，算珠直径34mm、厚14.5mm。5.尺寸：698mm×228mm×34mm。6.算珠杆直径5mm，其中有两根颜色与其它杆的颜色不一样。</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20514</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计数棒</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演示用，每10根一捆，共10捆，材质为塑料注塑成型（实心、牢固、不易折断），棒长100ｍｍ，截面直径或六棱形为Φ3±1ｍｍ，五色各20要根，数量100支。</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20515</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计数棍</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空心塑料管制。学生用，5种颜色，每种颜色各20根，每根长为100mm，外径约1.2mm。透明塑料袋包装。</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20516</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钉板</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采用胶合板，规格590mm×390mm×7mm，配彩色橡皮筋，板面图案采用印刷粘贴制作，白蓝方格，板面上应绘有等分方格，方格尺寸为33mm，在方格的每一交点处嵌有铜钉，铜钉均等高，钉头应比钉身大，防止橡皮筋滑落，用橡皮筋可在钉板上直观地围成几何图形。</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20517</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钉板</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透明，200mm×200mm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20518</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钉板</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钉板外形尺寸为140㎜×140㎜，正面应有边长为10㎜的方格，分格线条应平直清晰。钉板正面钉子共7排，每排钉子7个，钉子的位置在方格的交点，两钉中心距为20㎜±0.3㎜。钉板反面钉子的位置在直径不小于107㎜的圆周上，在圆周的24等分点处、圆心处、圆外切正方形的四个顶点处各有一个钉子。</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20519</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大型积木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木质制桶装式，颜色不少于8种，数量不少于40件。形状包括：1、各种规格的长方体、正方体、圆柱体、三角形、半圆形、异形等，可搭建各类建筑类、几何形状类以及动物类形状。2、长方体尺寸分别为：75mm×20mm×15mm  2件、60mm×30mm×15mm  6件、100mm×17mm×6mm 2件。3、正方体尺寸分别为：30mm×30mm×30mm  4件、30mm×30mm×15mm   5件。4、圆柱体直径为30mm、长分别为45mm、30mm、15mm。5、三角形的直角边长分别为：40mm、30mm、60mm、25mm共10件。6、半圆直径35mm、高30mm。7、所有积木装入桶中，桶外形尺寸：直径175mm、高180mm，附塑料盖及提手。</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20520</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塑料插接块</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塑料材质，每块为单色，尺寸lOmm×lOmm×lOmm，可相互接插，其中五面为方形凹槽、一面为方形凸面，凹凸配合良好不易脱落。二种以上颜色，共30块</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塑料连接链</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1、三种颜色塑料连接链，2、数量为12个，3、规格尺寸：长度：50mm，宽度：24mm，整体呈“O”型，形体为下方形，边长3mm，可卡。4、透明塑料袋包装。</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数字骰子</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塑制，规格不小于11mm×11mm×11mm，整套为3个，正六面体，圆角，形状规整，便于滚动和停留在某一面朝上。六个面分别标有1~6的数字。字体应清晰无模糊感。</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20523</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空白骰子</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塑制，规格不小于12mm×12mm×12mm，整套为2个，正六面体，圆角，形状规整，便于滚动和停留在某一面朝上。六个面空白，可自行添置数字或图案。</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20524</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数字转盘</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产品由底座、盘面、轴及指针组成。指针为塑料制成，红色；底座为塑料注塑成型，直径100mm；盘面为白色塑料，直径为140mm，厚5mm；以圆心为中心将盘面分为十个等分区，每个区内分别为0－9的数字。</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20525</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色块转盘</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底座、盘面、轴及指针组成。指针为塑料制成，红色；底座为塑料注塑成型，直径100mm；盘面为白色塑料，直径为140mm，厚5mm；以圆心为中心将盘面分为三种颜色，共8等分，其中红色的4份、蓝色的3份、白色的1份。</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20526</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空白转盘</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底座、盘面、轴及指针组成。指针为塑料制成，红色；底座为塑料注塑成型，直径100mm；盘面为白色塑料，直径为140mm，厚5mm；以圆心为中心将盘面分为十个等分区，每个区内空白，可自行绘制颜色或数字。</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20527</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几何图形片</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制，厚度不小于1mm。包括正方形（边长30mm）、长方形（60mm×30mm）、直角三角形（斜边长60mm）、等边三角形（边长30mm）、等腰三角形（等腰边长30mm）平行四边形（长边长60mm、高30mm）、梯形（等腰梯形底长60mm、短边长30mm、高30mm）、圆形（Φ30mm）。每种图形片的颜色均不相同。</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20528</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集合圈</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全塑料制。由不少于6片的弧形条组成，颜色不少于2种；能组装成圆环，圆环均可折叠。弧形的两端分别为插孔和插脚，连接不易用脱落，转动方便。可围成直径约200mm的圆。</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20529</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计数多层积木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产品由透明方形盒（无盖）、10mm×10mm×10mm的正方体10个（两色）、100mm×10mm×10mm的长方体9条（两色）、100mm×100mm×10mm的正方块9块塑料块组成。</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20530</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七巧板</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产品由不少于五种颜色几何片，能组成的正方形不小于80mm×80mm，厚度不小于1mm。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角操作材料</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1、仪器由量角器、2根铁指针组成。量角器为透明，左右两边分别有0~180°角度刻度线，最小刻度1°，在每隔10°位置就有角度数值。2、指针尺寸45mm*2mm*1mm。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图形变换操作材料</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平行四边形2片、等腰梯形2片、钝角三角形2片及相对应的图纸组成。平行四边形尺寸：底边长50mm、高35mm、厚1.8mm；颜色为黄色。等腰梯形：(上底40mm+下底60mm）×高30mm、厚度；1.8mm；颜色为绿色。钝角三角形尺寸：斜边长60mm、厚度1.8mm；颜色为红色。相对应的图纸应采用涤纶纸彩色印刷，应与相对应的颜色一致，图形的大水应一样。可演示平移、旋转、对称等内容。</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20533</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面积测量器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产品采用无色无毒透明材料，韧性好，不易折断、破损。</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能正确显示1dm²及1cm²。3. 能测量边长小于10cm且是整厘米数的长方形和正方形的面积。</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20534</w:t>
            </w:r>
          </w:p>
        </w:tc>
        <w:tc>
          <w:tcPr>
            <w:tcW w:w="112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探索几何图形面积计算公式材料</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产品包括正方形（边长30mm）、长方形（60mm×30mm）、直角三角形（直角边长29mm）2个、等腰三角形（中心高29.5mm），平行四边形（长边长45mm、高30mm）、梯形（等腰梯形底长60mm、短边长30mm、高30mm）、圆形（16等分扇形、拼合后的直径30mm）及面积测量板构成。</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20535</w:t>
            </w:r>
          </w:p>
        </w:tc>
        <w:tc>
          <w:tcPr>
            <w:tcW w:w="1122"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探索几何形体体积计算公式材料</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1、产品由正方体8个，圆柱体1个，圆锥体1个，长方体组成，采用优质塑料制作。适用新课标学生分组使用。2、正方体规格10×10×10mm,圆柱体规格Φ45×53mm,圆锥体规格Φ45×53mm，长方体规格53mm×40mm×40mm。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20536</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口算练习器</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1、采用优质塑料制作。由面板和数字转盘、运算符号组成。</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2、面板直径不小于240mm，厚不小于1mm，有二个窗口，中间有运算符号条，颜色为红色，通过转动符号条可形成＋、—、×、÷符号。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3、数字转盘有二个，并有可转动的手柄，直径分别为：225mm和165mm，转盘上印有0--9的数字，数字高度不小于28mm。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4、圆盘转动灵活，不得有卡死和跳动现象，停止可靠。               </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20537</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分数片</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产品由整圆1、1/2等分圆、1/3等分圆、1/4等分圆、1/5等分圆、1/6等分圆、1/7等分圆、1/8等分圆、1/9等分圆、1/10等分圆、1/11等分圆、1/12等分圆等组成。2.各等分划线明显，颜色有区别。3.外径：70mm。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20538</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计数彩条</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计数彩条应用无毒塑料制成，由截面均为10㎜×10㎜十种长度的长方体条组成。</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20539</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塑料量杯</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量杯采用塑料注塑成型。半透明，圆柱形，2L。杯口外直径为120mm，杯底外直径为110mm，高225mm。最小分度值为50ml。杯口应有溢液口，并带手柄。</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20540</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塑料量杯</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量杯采用塑料注塑成型。半透明，棱柱形，1.5L。六棱边长为60mm，高165mm。最小分度值为50ml。杯口应有溢液口，并带手柄。</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20541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塑料量杯</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量杯采用塑料注塑成型。半透明，水杯形，1L。杯口外直径为110mm，杯底外直径为99mm，高145mm。最小分度值为50ml。杯口应有溢液口，并带手柄。</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20542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小学低年级数学磁性教具</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1、由背景图及各种图板组成。背景图共11张。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2、各种图板应带有钕铁硼磁钢，图板分为数字及运算符号图板、实物图板、计量单位图板。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3、数字及运算符号应至少包括2套的0~9数字及+、-、×、÷、＜＞、=号。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4、实物图板应包括小棒、10根小棒、100根小棒、苹果、汽车、飞机、男孩、女孩、白兔、黑兔、小花及角度演示器、直尺和几何卡片等。</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5、计量单位符号应包括米、厘米、克、千克、时、分、秒、元、角。</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6、各形图形及符号色彩鲜艳，附着牢靠，不易脱落。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7、磁件吸附钢制黑板必须牢靠，不滑落。</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20543</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小学中年级数学磁性教具</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1、由背景图及各种图板组成。背景图共7张。</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2、各种图板应带有钕铁硼磁钢，图板分为数字及运算符号图板、实物图板、计量单位图板。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3、数字及运算符号应至少包括2套的0~9数字及+、-、×、÷、＜＞、（）、[]、≈、=号。</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4、实物图板应包括小棒、小数点、苹果、汽车、飞机、男孩、女孩、白兔、黑兔、角度演示器和直尺、分数图板、几何图板等。</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5、计量单位符号应包括米、分米、厘米、毫米、克、千克、吨各2个。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6、各形图形及符号色彩鲜艳，附着牢靠，不易脱落。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7、磁件吸附钢制黑板必须牢靠，不滑落。</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20544</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小学高年级数学磁性教具</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由背景图及各种图板组成。背景图共8张。2、各种图板应带有钕铁硼磁钢，图板分为数字及运算符号图板、实物图板、符号图板。3、数字及运算符号应至少包括3套的0~9数字及+、-、×、÷、＜＞、≈、=号、省略号、冒号。4、实物图板应包括小棒、小数点、苹果、汽车、飞机、男孩、女孩、白兔、黑兔、角度演示器和直尺、几何图板、等。5、符号图板应包括a、b、c、d、s、v、h、r、x、%、π等。6、各形图形符号色彩鲜艳，附着牢靠，不易脱。7、磁件吸附钢制黑板必须牢靠，不滑落。</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30501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钟表模型</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全塑料制，白色。1、两针、非联动，12小时表示，盘面和脚为注塑成整体。2、盘面直径为250mm，高280mm，脚宽250mm。3、盘面背部带旋动装置，装置把时针和分针分开拨动式。4、时针长70mm、分针长85mm、秒针长120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30502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钟表模型</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演示用，全塑料制，白色。1、三针联动、12小时表示，盘面和脚为注塑成整体。2、盘面直径为250mm，高280mm，脚宽250mm。3、盘面背部带联动装置。4、时针长70mm、分针长85mm、秒针长120mm。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30503</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钟表模型</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演示用，全塑料制，白色。1、三针联动、24小时表示，盘面和脚为注塑成整体。2、盘面直径为250mm，高280mm，脚宽250mm。3、盘面背部带联动装置。4、时针长70mm、分针长85mm、秒针长120mm。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30504</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钟表模型</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学生用。1、产品由透明盒盖、外壳、盘面、指针及齿轮等组成。2、全塑料制两针、非联动，表盘直径为76mm，外壳直径约80mm；时针、分针分别各有一个拨轮控制。3、有悬挂装置。</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30505</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钟表模型</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学生用。1、产品由透明盒盖、外壳、盘面、指针及齿轮等组成。2、全塑料制三针、联动，表盘直径为76mm，外壳直径约80mm；圆形侧面为联动拨针装置。3、有悬挂装置。</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30506</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几何形体模型</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全塑料制。产品由长方体（一般和特殊）、正方体、实心圆柱、空心圆柱、圆锥体（等底等高、等底不等高、等高不等底）、球等。1、一般长方体：长80mm、宽40mm、高20mm；2、特殊长方体：长50mm、宽40mm、高40mm； 3、正方体 棱长35mm；4、实心圆柱：直径20mm、高50mm； 5、空心圆柱：外径45mm、内孔直径20mm、高50mm；6、圆锥体 3种:分别为直径50mm、45mm、高52mm、35mm； 7、球：直径30mm。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30507</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厘米立方块</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塑料材质，每块为单色，尺寸lOmm×lOmm×lOmm，可相互接插，其中五面为方形凹槽、一面为方形凸面，凹凸配合良好不易脱落。颜色种类不少于2种，共30个。</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30508</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几何形体表面积展开模型</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产品由长方体、正方体、圆柱体各1只，经及所供裁剪、折叠的硬纸片组成。2、将相应纸片沿外框实线剪下，再沿虚线折叠能够组成相应的几何体，展开后就是该几何形体的表面积。3、三种形状的几何形体异彩分为三种颜色，要求颜色鲜艳，表面无变形，周边无毛刺，无缩痕。长方体尺寸：25mm×16mm×8mm，正方体尺寸：15mm×15mm×15mm，圆柱体直径16mm，高21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30509</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圆面积、圆周率计算公式推导演示模型</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本产品由面板、扇形分解块、圆盘等组成。面板是由塑料制成，外形尺寸不小于498mm×198mm×10mm，上有圆槽和方槽，圆槽和方槽的尺寸分别与扇形块组成的圆形和长方形尺寸相匹配。扇形块是塑料制成，中心角为22.5°的15块，中心角为11.25°的2块，组成两个半圆。圆盘是由塑料制成，直径为50±0.5mm，厚度不小于2mm，通过中心孔固定在面板上。</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50051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物品卡片</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购物游戏用，硬纸片，规格80mm×60mm×0.1mm，物品有学习用品、生活用品、食品、玩具、废品五类。产品实物图片36种，每张卡片的内容不得重复，卡片上均采用彩色喷绘实物图案、名称(中文、拼音）、价格，实物图案20mm，中文字体高度10mm，拼音及价格高度5mm。图案清晰富有立体感，无模糊感，无叠影。印刷符合GB/T 7705-2008《平版装潢印刷品》的要求。</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50052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小学数学挂图1</w:t>
            </w:r>
          </w:p>
        </w:tc>
        <w:tc>
          <w:tcPr>
            <w:tcW w:w="7715" w:type="dxa"/>
            <w:tcBorders>
              <w:tl2br w:val="nil"/>
              <w:tr2bl w:val="nil"/>
            </w:tcBorders>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数与代数部分：按新课标要求    对开29幅</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50053</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小学数学挂图2</w:t>
            </w:r>
          </w:p>
        </w:tc>
        <w:tc>
          <w:tcPr>
            <w:tcW w:w="7715" w:type="dxa"/>
            <w:tcBorders>
              <w:tl2br w:val="nil"/>
              <w:tr2bl w:val="nil"/>
            </w:tcBorders>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空间与图形部分：按新课标要求    对开23幅</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50054</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小学数学挂图3</w:t>
            </w:r>
          </w:p>
        </w:tc>
        <w:tc>
          <w:tcPr>
            <w:tcW w:w="7715" w:type="dxa"/>
            <w:tcBorders>
              <w:tl2br w:val="nil"/>
              <w:tr2bl w:val="nil"/>
            </w:tcBorders>
            <w:shd w:val="clear" w:color="auto" w:fill="auto"/>
            <w:vAlign w:val="center"/>
          </w:tcPr>
          <w:p>
            <w:pPr>
              <w:widowControl/>
              <w:rPr>
                <w:rFonts w:ascii="宋体" w:hAnsi="宋体" w:eastAsia="宋体" w:cs="宋体"/>
                <w:color w:val="auto"/>
                <w:kern w:val="0"/>
                <w:sz w:val="20"/>
                <w:szCs w:val="20"/>
              </w:rPr>
            </w:pPr>
            <w:r>
              <w:rPr>
                <w:rFonts w:hint="eastAsia" w:ascii="宋体" w:hAnsi="宋体" w:eastAsia="宋体" w:cs="宋体"/>
                <w:color w:val="auto"/>
                <w:kern w:val="0"/>
                <w:sz w:val="20"/>
                <w:szCs w:val="20"/>
              </w:rPr>
              <w:t>统计与概率部分：按新课标要求    对开10幅</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50055</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小学数学资料图</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幅数：9幅；幅面：对开；纸张规格：128克不反光铜版纸；印刷：彩色胶印。符合GB/T 7705-2008  《平版装潢印刷品》的有关规定。国家正式出版物，符合新课标教学的要求，图面字迹清晰，图形、色调准确。</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81032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剪刀</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2#，镀铬</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把</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81251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圆柱形塑料杯</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200ml。1、半透明，带手柄。2、材质为优质塑料，受挤压后不出现裂纹。</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81252</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方形塑料杯</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半透明，1、形状为方形、带手柄，容积为250ml。2、材质为优质塑料，受挤压后不出现裂纹。</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81253</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刻刀</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木柄雕刻刀，4件套，手持式。2. 刀头采用钢制，长度25mm，刀全长130mm。3. 包括：斜口刀、半圆刀、三角刀、平口刀各1把。4. 吸塑插卡包装。</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把</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81254</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角尺</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1. 铁制品，由钢板尺、金属尺座组成，主尺全长150㎜，宽度25mm，最小分度1㎜，尺与尺座成90°。2．尺座长85㎜，宽25㎜，厚8mm。</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把</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83051</w:t>
            </w:r>
          </w:p>
        </w:tc>
        <w:tc>
          <w:tcPr>
            <w:tcW w:w="1122"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手工教具</w:t>
            </w:r>
          </w:p>
        </w:tc>
        <w:tc>
          <w:tcPr>
            <w:tcW w:w="7715" w:type="dxa"/>
            <w:tcBorders>
              <w:tl2br w:val="nil"/>
              <w:tr2bl w:val="nil"/>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由带四方格的白卡纸、双面胶、线绳、细沙等构成，自封袋装好</w:t>
            </w:r>
          </w:p>
        </w:tc>
        <w:tc>
          <w:tcPr>
            <w:tcW w:w="417"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套　</w:t>
            </w:r>
          </w:p>
        </w:tc>
        <w:tc>
          <w:tcPr>
            <w:tcW w:w="516" w:type="dxa"/>
            <w:tcBorders>
              <w:tl2br w:val="nil"/>
              <w:tr2bl w:val="nil"/>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r>
    </w:tbl>
    <w:p>
      <w:pPr>
        <w:keepNext w:val="0"/>
        <w:keepLines w:val="0"/>
        <w:pageBreakBefore w:val="0"/>
        <w:widowControl/>
        <w:tabs>
          <w:tab w:val="left" w:pos="1800"/>
        </w:tabs>
        <w:kinsoku/>
        <w:wordWrap/>
        <w:overflowPunct/>
        <w:topLinePunct w:val="0"/>
        <w:bidi w:val="0"/>
        <w:spacing w:line="440" w:lineRule="exact"/>
        <w:outlineLvl w:val="1"/>
        <w:rPr>
          <w:rFonts w:hint="eastAsia" w:ascii="宋体" w:hAnsi="宋体" w:eastAsia="宋体" w:cs="宋体"/>
          <w:b/>
          <w:bCs/>
          <w:color w:val="auto"/>
          <w:kern w:val="0"/>
          <w:sz w:val="32"/>
          <w:szCs w:val="32"/>
          <w:lang w:eastAsia="zh-CN"/>
        </w:rPr>
      </w:pPr>
      <w:bookmarkStart w:id="61" w:name="_Toc10285"/>
      <w:r>
        <w:rPr>
          <w:rFonts w:hint="eastAsia" w:ascii="宋体" w:hAnsi="宋体" w:eastAsia="宋体" w:cs="宋体"/>
          <w:b/>
          <w:bCs/>
          <w:color w:val="auto"/>
          <w:kern w:val="0"/>
          <w:sz w:val="32"/>
          <w:szCs w:val="32"/>
          <w:lang w:eastAsia="zh-CN"/>
        </w:rPr>
        <w:t>二、技术要求</w:t>
      </w:r>
    </w:p>
    <w:p>
      <w:pPr>
        <w:pStyle w:val="2"/>
        <w:keepNext w:val="0"/>
        <w:keepLines w:val="0"/>
        <w:pageBreakBefore w:val="0"/>
        <w:kinsoku/>
        <w:wordWrap/>
        <w:overflowPunct/>
        <w:topLinePunct w:val="0"/>
        <w:bidi w:val="0"/>
        <w:spacing w:line="440" w:lineRule="exact"/>
        <w:rPr>
          <w:rFonts w:hint="eastAsia"/>
          <w:color w:val="auto"/>
          <w:sz w:val="28"/>
          <w:szCs w:val="24"/>
          <w:lang w:eastAsia="zh-CN"/>
        </w:rPr>
      </w:pPr>
      <w:r>
        <w:rPr>
          <w:rFonts w:hint="eastAsia"/>
          <w:color w:val="auto"/>
          <w:sz w:val="28"/>
          <w:szCs w:val="24"/>
          <w:lang w:eastAsia="zh-CN"/>
        </w:rPr>
        <w:t>★2.1提供75寸一体机（含OPS计算机）的3C证书真彩扫描打印件，并加盖公章；</w:t>
      </w:r>
    </w:p>
    <w:p>
      <w:pPr>
        <w:pStyle w:val="2"/>
        <w:keepNext w:val="0"/>
        <w:keepLines w:val="0"/>
        <w:pageBreakBefore w:val="0"/>
        <w:kinsoku/>
        <w:wordWrap/>
        <w:overflowPunct/>
        <w:topLinePunct w:val="0"/>
        <w:bidi w:val="0"/>
        <w:spacing w:line="440" w:lineRule="exact"/>
        <w:rPr>
          <w:rFonts w:hint="eastAsia"/>
          <w:color w:val="FF0000"/>
          <w:sz w:val="28"/>
          <w:szCs w:val="24"/>
          <w:lang w:eastAsia="zh-CN"/>
        </w:rPr>
      </w:pPr>
      <w:r>
        <w:rPr>
          <w:rFonts w:hint="eastAsia"/>
          <w:color w:val="FF0000"/>
          <w:sz w:val="28"/>
          <w:szCs w:val="24"/>
          <w:lang w:eastAsia="zh-CN"/>
        </w:rPr>
        <w:t>2.2小学科学实验室安装要求：</w:t>
      </w:r>
    </w:p>
    <w:p>
      <w:pPr>
        <w:pStyle w:val="2"/>
        <w:keepNext w:val="0"/>
        <w:keepLines w:val="0"/>
        <w:pageBreakBefore w:val="0"/>
        <w:kinsoku/>
        <w:wordWrap/>
        <w:overflowPunct/>
        <w:topLinePunct w:val="0"/>
        <w:bidi w:val="0"/>
        <w:spacing w:line="440" w:lineRule="exact"/>
        <w:rPr>
          <w:rFonts w:hint="eastAsia"/>
          <w:color w:val="FF0000"/>
          <w:sz w:val="28"/>
          <w:szCs w:val="24"/>
          <w:lang w:eastAsia="zh-CN"/>
        </w:rPr>
      </w:pPr>
      <w:r>
        <w:rPr>
          <w:rFonts w:hint="eastAsia"/>
          <w:color w:val="FF0000"/>
          <w:sz w:val="28"/>
          <w:szCs w:val="24"/>
          <w:lang w:eastAsia="zh-CN"/>
        </w:rPr>
        <w:t>1）学生实验台、演示实验台的各个连接部位所使用扣件（螺丝、滑道、铰链、拉手等）必须采用知名厂家的产品，要求连接可靠，不变形、耐腐蚀不生锈，开启灵活。</w:t>
      </w:r>
    </w:p>
    <w:p>
      <w:pPr>
        <w:pStyle w:val="2"/>
        <w:keepNext w:val="0"/>
        <w:keepLines w:val="0"/>
        <w:pageBreakBefore w:val="0"/>
        <w:kinsoku/>
        <w:wordWrap/>
        <w:overflowPunct/>
        <w:topLinePunct w:val="0"/>
        <w:bidi w:val="0"/>
        <w:spacing w:line="440" w:lineRule="exact"/>
        <w:rPr>
          <w:rFonts w:hint="eastAsia"/>
          <w:color w:val="FF0000"/>
          <w:sz w:val="28"/>
          <w:szCs w:val="24"/>
          <w:lang w:eastAsia="zh-CN"/>
        </w:rPr>
      </w:pPr>
      <w:r>
        <w:rPr>
          <w:rFonts w:hint="eastAsia"/>
          <w:color w:val="FF0000"/>
          <w:sz w:val="28"/>
          <w:szCs w:val="24"/>
          <w:lang w:eastAsia="zh-CN"/>
        </w:rPr>
        <w:t>2）实验桌上配套的各类仪表、插座、接口、电源线等应采用知名厂商的产品，并设计位置应合理。</w:t>
      </w:r>
    </w:p>
    <w:p>
      <w:pPr>
        <w:pStyle w:val="2"/>
        <w:keepNext w:val="0"/>
        <w:keepLines w:val="0"/>
        <w:pageBreakBefore w:val="0"/>
        <w:kinsoku/>
        <w:wordWrap/>
        <w:overflowPunct/>
        <w:topLinePunct w:val="0"/>
        <w:bidi w:val="0"/>
        <w:spacing w:line="440" w:lineRule="exact"/>
        <w:rPr>
          <w:rFonts w:hint="eastAsia"/>
          <w:color w:val="FF0000"/>
          <w:sz w:val="28"/>
          <w:szCs w:val="24"/>
          <w:lang w:eastAsia="zh-CN"/>
        </w:rPr>
      </w:pPr>
      <w:r>
        <w:rPr>
          <w:rFonts w:hint="eastAsia"/>
          <w:color w:val="FF0000"/>
          <w:sz w:val="28"/>
          <w:szCs w:val="24"/>
          <w:lang w:eastAsia="zh-CN"/>
        </w:rPr>
        <w:t>3）实验室中使用上、下水管，电线套管、水龙头等PVC管材等应采用知名厂商的产品，并通过质量认证，确保实验室建设的质量。</w:t>
      </w:r>
    </w:p>
    <w:p>
      <w:pPr>
        <w:pStyle w:val="2"/>
        <w:keepNext w:val="0"/>
        <w:keepLines w:val="0"/>
        <w:pageBreakBefore w:val="0"/>
        <w:kinsoku/>
        <w:wordWrap/>
        <w:overflowPunct/>
        <w:topLinePunct w:val="0"/>
        <w:bidi w:val="0"/>
        <w:spacing w:line="440" w:lineRule="exact"/>
        <w:rPr>
          <w:rFonts w:hint="eastAsia"/>
          <w:color w:val="FF0000"/>
          <w:sz w:val="28"/>
          <w:szCs w:val="24"/>
          <w:lang w:eastAsia="zh-CN"/>
        </w:rPr>
      </w:pPr>
      <w:r>
        <w:rPr>
          <w:rFonts w:hint="eastAsia"/>
          <w:color w:val="FF0000"/>
          <w:sz w:val="28"/>
          <w:szCs w:val="24"/>
          <w:lang w:eastAsia="zh-CN"/>
        </w:rPr>
        <w:t>4）实验室的电源线、进水管、排水管等应埋地、埋墙，集中排水。</w:t>
      </w:r>
    </w:p>
    <w:p>
      <w:pPr>
        <w:pStyle w:val="2"/>
        <w:keepNext w:val="0"/>
        <w:keepLines w:val="0"/>
        <w:pageBreakBefore w:val="0"/>
        <w:kinsoku/>
        <w:wordWrap/>
        <w:overflowPunct/>
        <w:topLinePunct w:val="0"/>
        <w:bidi w:val="0"/>
        <w:spacing w:line="440" w:lineRule="exact"/>
        <w:rPr>
          <w:rFonts w:hint="eastAsia"/>
          <w:color w:val="FF0000"/>
          <w:sz w:val="28"/>
          <w:szCs w:val="24"/>
          <w:lang w:eastAsia="zh-CN"/>
        </w:rPr>
      </w:pPr>
      <w:r>
        <w:rPr>
          <w:rFonts w:hint="eastAsia"/>
          <w:color w:val="FF0000"/>
          <w:sz w:val="28"/>
          <w:szCs w:val="24"/>
          <w:lang w:eastAsia="zh-CN"/>
        </w:rPr>
        <w:t>5）项目施工过程中，需保持现场清洁和垃圾清理；</w:t>
      </w:r>
    </w:p>
    <w:p>
      <w:pPr>
        <w:pStyle w:val="2"/>
        <w:keepNext w:val="0"/>
        <w:keepLines w:val="0"/>
        <w:pageBreakBefore w:val="0"/>
        <w:kinsoku/>
        <w:wordWrap/>
        <w:overflowPunct/>
        <w:topLinePunct w:val="0"/>
        <w:bidi w:val="0"/>
        <w:spacing w:line="440" w:lineRule="exact"/>
        <w:rPr>
          <w:rFonts w:hint="eastAsia"/>
          <w:color w:val="FF0000"/>
          <w:sz w:val="28"/>
          <w:szCs w:val="24"/>
          <w:lang w:eastAsia="zh-CN"/>
        </w:rPr>
      </w:pPr>
      <w:r>
        <w:rPr>
          <w:rFonts w:hint="eastAsia"/>
          <w:color w:val="FF0000"/>
          <w:sz w:val="28"/>
          <w:szCs w:val="24"/>
          <w:lang w:eastAsia="zh-CN"/>
        </w:rPr>
        <w:t>2.3小学学科器材整理要求</w:t>
      </w:r>
    </w:p>
    <w:p>
      <w:pPr>
        <w:pStyle w:val="2"/>
        <w:keepNext w:val="0"/>
        <w:keepLines w:val="0"/>
        <w:pageBreakBefore w:val="0"/>
        <w:kinsoku/>
        <w:wordWrap/>
        <w:overflowPunct/>
        <w:topLinePunct w:val="0"/>
        <w:bidi w:val="0"/>
        <w:spacing w:line="440" w:lineRule="exact"/>
        <w:rPr>
          <w:rFonts w:hint="eastAsia"/>
          <w:color w:val="FF0000"/>
          <w:sz w:val="28"/>
          <w:szCs w:val="24"/>
          <w:lang w:eastAsia="zh-CN"/>
        </w:rPr>
      </w:pPr>
      <w:r>
        <w:rPr>
          <w:rFonts w:hint="eastAsia"/>
          <w:color w:val="FF0000"/>
          <w:sz w:val="28"/>
          <w:szCs w:val="24"/>
          <w:lang w:eastAsia="zh-CN"/>
        </w:rPr>
        <w:t>1）中标方提供的产品必须送到项目学校，由中标方技术人员必须安装到位。</w:t>
      </w:r>
    </w:p>
    <w:p>
      <w:pPr>
        <w:pStyle w:val="2"/>
        <w:keepNext w:val="0"/>
        <w:keepLines w:val="0"/>
        <w:pageBreakBefore w:val="0"/>
        <w:kinsoku/>
        <w:wordWrap/>
        <w:overflowPunct/>
        <w:topLinePunct w:val="0"/>
        <w:bidi w:val="0"/>
        <w:spacing w:line="440" w:lineRule="exact"/>
        <w:rPr>
          <w:rFonts w:hint="eastAsia"/>
          <w:color w:val="FF0000"/>
          <w:sz w:val="28"/>
          <w:szCs w:val="24"/>
          <w:lang w:eastAsia="zh-CN"/>
        </w:rPr>
      </w:pPr>
      <w:r>
        <w:rPr>
          <w:rFonts w:hint="eastAsia"/>
          <w:color w:val="FF0000"/>
          <w:sz w:val="28"/>
          <w:szCs w:val="24"/>
          <w:lang w:eastAsia="zh-CN"/>
        </w:rPr>
        <w:t>2）中标方协助项目学校将教学仪器、器材按学科类别统一入柜摆放，贴标签等。</w:t>
      </w:r>
    </w:p>
    <w:p>
      <w:pPr>
        <w:keepNext w:val="0"/>
        <w:keepLines w:val="0"/>
        <w:pageBreakBefore w:val="0"/>
        <w:widowControl/>
        <w:tabs>
          <w:tab w:val="left" w:pos="1800"/>
        </w:tabs>
        <w:kinsoku/>
        <w:wordWrap/>
        <w:overflowPunct/>
        <w:topLinePunct w:val="0"/>
        <w:bidi w:val="0"/>
        <w:spacing w:line="440" w:lineRule="exact"/>
        <w:outlineLvl w:val="1"/>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lang w:eastAsia="zh-CN"/>
        </w:rPr>
        <w:t>三、质量要求</w:t>
      </w:r>
    </w:p>
    <w:p>
      <w:pPr>
        <w:keepNext w:val="0"/>
        <w:keepLines w:val="0"/>
        <w:pageBreakBefore w:val="0"/>
        <w:kinsoku/>
        <w:wordWrap/>
        <w:overflowPunct/>
        <w:topLinePunct w:val="0"/>
        <w:bidi w:val="0"/>
        <w:spacing w:line="440" w:lineRule="exact"/>
        <w:ind w:firstLine="560" w:firstLineChars="200"/>
        <w:rPr>
          <w:rFonts w:ascii="宋体" w:hAnsi="宋体"/>
          <w:color w:val="auto"/>
          <w:sz w:val="28"/>
          <w:szCs w:val="28"/>
        </w:rPr>
      </w:pPr>
      <w:r>
        <w:rPr>
          <w:rFonts w:hint="eastAsia" w:ascii="宋体" w:hAnsi="宋体"/>
          <w:color w:val="auto"/>
          <w:sz w:val="28"/>
          <w:szCs w:val="28"/>
          <w:lang w:val="zh-CN"/>
        </w:rPr>
        <w:t>★1）投标产品必须符合</w:t>
      </w:r>
      <w:r>
        <w:rPr>
          <w:rFonts w:hint="eastAsia" w:ascii="宋体" w:hAnsi="宋体"/>
          <w:color w:val="auto"/>
          <w:sz w:val="28"/>
          <w:szCs w:val="28"/>
        </w:rPr>
        <w:t>GB21746-2008《教学仪器设备安全要求总则》、GB21748-2008《教学仪器设备安全要求仪器和零部件的基本要求》、GB21749-2008《教学仪器设备安全要求玻璃仪器及连接部件》和相关行业标准、企业标准</w:t>
      </w:r>
      <w:r>
        <w:rPr>
          <w:rFonts w:hint="eastAsia" w:ascii="宋体" w:hAnsi="宋体"/>
          <w:color w:val="auto"/>
          <w:sz w:val="28"/>
          <w:szCs w:val="28"/>
          <w:lang w:val="zh-CN"/>
        </w:rPr>
        <w:t>的要求，并经省级及以上专业检测机构检测合格，取得检测报告种类达到</w:t>
      </w:r>
      <w:r>
        <w:rPr>
          <w:rFonts w:ascii="宋体" w:hAnsi="宋体"/>
          <w:color w:val="auto"/>
          <w:sz w:val="28"/>
          <w:szCs w:val="28"/>
        </w:rPr>
        <w:t>2</w:t>
      </w:r>
      <w:r>
        <w:rPr>
          <w:rFonts w:hint="eastAsia" w:ascii="宋体" w:hAnsi="宋体"/>
          <w:color w:val="auto"/>
          <w:sz w:val="28"/>
          <w:szCs w:val="28"/>
        </w:rPr>
        <w:t>0</w:t>
      </w:r>
      <w:r>
        <w:rPr>
          <w:rFonts w:hint="eastAsia" w:ascii="宋体" w:hAnsi="宋体"/>
          <w:color w:val="auto"/>
          <w:sz w:val="28"/>
          <w:szCs w:val="28"/>
          <w:lang w:val="zh-CN"/>
        </w:rPr>
        <w:t>%以上。</w:t>
      </w:r>
      <w:r>
        <w:rPr>
          <w:rFonts w:hint="eastAsia" w:ascii="宋体" w:hAnsi="宋体"/>
          <w:color w:val="auto"/>
          <w:sz w:val="28"/>
          <w:szCs w:val="28"/>
        </w:rPr>
        <w:t>所投产品的检测报告有效期为201</w:t>
      </w:r>
      <w:r>
        <w:rPr>
          <w:rFonts w:ascii="宋体" w:hAnsi="宋体"/>
          <w:color w:val="auto"/>
          <w:sz w:val="28"/>
          <w:szCs w:val="28"/>
        </w:rPr>
        <w:t>3</w:t>
      </w:r>
      <w:r>
        <w:rPr>
          <w:rFonts w:hint="eastAsia" w:ascii="宋体" w:hAnsi="宋体"/>
          <w:color w:val="auto"/>
          <w:sz w:val="28"/>
          <w:szCs w:val="28"/>
        </w:rPr>
        <w:t>年1月1日至招标公告发布日在“货物清单”里标明“有”，以后验收必须提供原件作为验收依据。</w:t>
      </w:r>
    </w:p>
    <w:p>
      <w:pPr>
        <w:keepNext w:val="0"/>
        <w:keepLines w:val="0"/>
        <w:pageBreakBefore w:val="0"/>
        <w:kinsoku/>
        <w:wordWrap/>
        <w:overflowPunct/>
        <w:topLinePunct w:val="0"/>
        <w:bidi w:val="0"/>
        <w:spacing w:line="440" w:lineRule="exact"/>
        <w:ind w:firstLine="700" w:firstLineChars="250"/>
        <w:rPr>
          <w:rFonts w:ascii="宋体" w:hAnsi="宋体"/>
          <w:color w:val="auto"/>
          <w:sz w:val="28"/>
          <w:szCs w:val="28"/>
        </w:rPr>
      </w:pPr>
      <w:r>
        <w:rPr>
          <w:rFonts w:hint="eastAsia" w:ascii="宋体" w:hAnsi="宋体"/>
          <w:color w:val="auto"/>
          <w:sz w:val="28"/>
          <w:szCs w:val="28"/>
        </w:rPr>
        <w:t>2）投标实验室成套设备产品应符合下列标准和规范的相关要求，经检测合格。</w:t>
      </w:r>
    </w:p>
    <w:p>
      <w:pPr>
        <w:keepNext w:val="0"/>
        <w:keepLines w:val="0"/>
        <w:pageBreakBefore w:val="0"/>
        <w:kinsoku/>
        <w:wordWrap/>
        <w:overflowPunct/>
        <w:topLinePunct w:val="0"/>
        <w:bidi w:val="0"/>
        <w:spacing w:line="440" w:lineRule="exact"/>
        <w:ind w:firstLine="700" w:firstLineChars="250"/>
        <w:rPr>
          <w:rFonts w:ascii="宋体" w:hAnsi="宋体"/>
          <w:color w:val="auto"/>
          <w:sz w:val="28"/>
          <w:szCs w:val="28"/>
        </w:rPr>
      </w:pPr>
      <w:r>
        <w:rPr>
          <w:rFonts w:hint="eastAsia" w:ascii="宋体" w:hAnsi="宋体"/>
          <w:color w:val="auto"/>
          <w:sz w:val="28"/>
          <w:szCs w:val="28"/>
        </w:rPr>
        <w:t>a、《实验室家具通用技术条件》（GB</w:t>
      </w:r>
      <w:r>
        <w:rPr>
          <w:rFonts w:ascii="宋体" w:hAnsi="宋体"/>
          <w:color w:val="auto"/>
          <w:sz w:val="28"/>
          <w:szCs w:val="28"/>
        </w:rPr>
        <w:t xml:space="preserve"> </w:t>
      </w:r>
      <w:r>
        <w:rPr>
          <w:rFonts w:hint="eastAsia" w:ascii="宋体" w:hAnsi="宋体"/>
          <w:color w:val="auto"/>
          <w:sz w:val="28"/>
          <w:szCs w:val="28"/>
        </w:rPr>
        <w:t>2</w:t>
      </w:r>
      <w:r>
        <w:rPr>
          <w:rFonts w:ascii="宋体" w:hAnsi="宋体"/>
          <w:color w:val="auto"/>
          <w:sz w:val="28"/>
          <w:szCs w:val="28"/>
        </w:rPr>
        <w:t>4820</w:t>
      </w:r>
      <w:r>
        <w:rPr>
          <w:rFonts w:hint="eastAsia" w:ascii="宋体" w:hAnsi="宋体"/>
          <w:color w:val="auto"/>
          <w:sz w:val="28"/>
          <w:szCs w:val="28"/>
        </w:rPr>
        <w:t>－200</w:t>
      </w:r>
      <w:r>
        <w:rPr>
          <w:rFonts w:ascii="宋体" w:hAnsi="宋体"/>
          <w:color w:val="auto"/>
          <w:sz w:val="28"/>
          <w:szCs w:val="28"/>
        </w:rPr>
        <w:t>9</w:t>
      </w:r>
      <w:r>
        <w:rPr>
          <w:rFonts w:hint="eastAsia" w:ascii="宋体" w:hAnsi="宋体"/>
          <w:color w:val="auto"/>
          <w:sz w:val="28"/>
          <w:szCs w:val="28"/>
        </w:rPr>
        <w:t>）</w:t>
      </w:r>
    </w:p>
    <w:p>
      <w:pPr>
        <w:keepNext w:val="0"/>
        <w:keepLines w:val="0"/>
        <w:pageBreakBefore w:val="0"/>
        <w:kinsoku/>
        <w:wordWrap/>
        <w:overflowPunct/>
        <w:topLinePunct w:val="0"/>
        <w:bidi w:val="0"/>
        <w:spacing w:line="440" w:lineRule="exact"/>
        <w:ind w:firstLine="700" w:firstLineChars="250"/>
        <w:rPr>
          <w:rFonts w:ascii="宋体" w:hAnsi="宋体"/>
          <w:color w:val="auto"/>
          <w:sz w:val="28"/>
          <w:szCs w:val="28"/>
        </w:rPr>
      </w:pPr>
      <w:r>
        <w:rPr>
          <w:rFonts w:ascii="宋体" w:hAnsi="宋体"/>
          <w:color w:val="auto"/>
          <w:sz w:val="28"/>
          <w:szCs w:val="28"/>
        </w:rPr>
        <w:t>b</w:t>
      </w:r>
      <w:r>
        <w:rPr>
          <w:rFonts w:hint="eastAsia" w:ascii="宋体" w:hAnsi="宋体"/>
          <w:color w:val="auto"/>
          <w:sz w:val="28"/>
          <w:szCs w:val="28"/>
        </w:rPr>
        <w:t>、《木家具通用技术条件》（GB/T3324-2008）</w:t>
      </w:r>
    </w:p>
    <w:p>
      <w:pPr>
        <w:keepNext w:val="0"/>
        <w:keepLines w:val="0"/>
        <w:pageBreakBefore w:val="0"/>
        <w:kinsoku/>
        <w:wordWrap/>
        <w:overflowPunct/>
        <w:topLinePunct w:val="0"/>
        <w:bidi w:val="0"/>
        <w:spacing w:line="440" w:lineRule="exact"/>
        <w:ind w:firstLine="700" w:firstLineChars="250"/>
        <w:rPr>
          <w:rFonts w:ascii="宋体" w:hAnsi="宋体"/>
          <w:color w:val="auto"/>
          <w:sz w:val="28"/>
          <w:szCs w:val="28"/>
        </w:rPr>
      </w:pPr>
      <w:r>
        <w:rPr>
          <w:rFonts w:ascii="宋体" w:hAnsi="宋体"/>
          <w:color w:val="auto"/>
          <w:sz w:val="28"/>
          <w:szCs w:val="28"/>
        </w:rPr>
        <w:t>c</w:t>
      </w:r>
      <w:r>
        <w:rPr>
          <w:rFonts w:hint="eastAsia" w:ascii="宋体" w:hAnsi="宋体"/>
          <w:color w:val="auto"/>
          <w:sz w:val="28"/>
          <w:szCs w:val="28"/>
        </w:rPr>
        <w:t>、《金属家具通用技术条件》（GB/T3325-2008）</w:t>
      </w:r>
    </w:p>
    <w:p>
      <w:pPr>
        <w:keepNext w:val="0"/>
        <w:keepLines w:val="0"/>
        <w:pageBreakBefore w:val="0"/>
        <w:kinsoku/>
        <w:wordWrap/>
        <w:overflowPunct/>
        <w:topLinePunct w:val="0"/>
        <w:bidi w:val="0"/>
        <w:spacing w:line="440" w:lineRule="exact"/>
        <w:ind w:firstLine="700" w:firstLineChars="250"/>
        <w:rPr>
          <w:rFonts w:ascii="宋体" w:hAnsi="宋体" w:cs="宋体"/>
          <w:color w:val="auto"/>
          <w:kern w:val="0"/>
          <w:sz w:val="28"/>
          <w:szCs w:val="28"/>
        </w:rPr>
      </w:pPr>
      <w:r>
        <w:rPr>
          <w:rFonts w:ascii="宋体" w:hAnsi="宋体"/>
          <w:color w:val="auto"/>
          <w:sz w:val="28"/>
          <w:szCs w:val="28"/>
        </w:rPr>
        <w:t>d</w:t>
      </w:r>
      <w:r>
        <w:rPr>
          <w:rFonts w:hint="eastAsia" w:ascii="宋体" w:hAnsi="宋体"/>
          <w:color w:val="auto"/>
          <w:sz w:val="28"/>
          <w:szCs w:val="28"/>
        </w:rPr>
        <w:t>、《</w:t>
      </w:r>
      <w:r>
        <w:rPr>
          <w:rFonts w:hint="eastAsia" w:ascii="宋体" w:hAnsi="宋体" w:cs="Arial"/>
          <w:bCs/>
          <w:color w:val="auto"/>
          <w:kern w:val="0"/>
          <w:sz w:val="28"/>
          <w:szCs w:val="28"/>
        </w:rPr>
        <w:t>浸渍胶膜纸饰面人造板》(GB/T15102-20</w:t>
      </w:r>
      <w:r>
        <w:rPr>
          <w:rFonts w:ascii="宋体" w:hAnsi="宋体" w:cs="Arial"/>
          <w:bCs/>
          <w:color w:val="auto"/>
          <w:kern w:val="0"/>
          <w:sz w:val="28"/>
          <w:szCs w:val="28"/>
        </w:rPr>
        <w:t>17</w:t>
      </w:r>
      <w:r>
        <w:rPr>
          <w:rFonts w:hint="eastAsia" w:ascii="宋体" w:hAnsi="宋体" w:cs="Arial"/>
          <w:bCs/>
          <w:color w:val="auto"/>
          <w:kern w:val="0"/>
          <w:sz w:val="28"/>
          <w:szCs w:val="28"/>
        </w:rPr>
        <w:t>)</w:t>
      </w:r>
    </w:p>
    <w:p>
      <w:pPr>
        <w:keepNext w:val="0"/>
        <w:keepLines w:val="0"/>
        <w:pageBreakBefore w:val="0"/>
        <w:kinsoku/>
        <w:wordWrap/>
        <w:overflowPunct/>
        <w:topLinePunct w:val="0"/>
        <w:bidi w:val="0"/>
        <w:spacing w:line="440" w:lineRule="exact"/>
        <w:ind w:firstLine="700" w:firstLineChars="250"/>
        <w:rPr>
          <w:rFonts w:ascii="宋体" w:hAnsi="宋体"/>
          <w:color w:val="auto"/>
          <w:sz w:val="28"/>
          <w:szCs w:val="28"/>
        </w:rPr>
      </w:pPr>
      <w:r>
        <w:rPr>
          <w:rFonts w:ascii="宋体" w:hAnsi="宋体"/>
          <w:color w:val="auto"/>
          <w:sz w:val="28"/>
          <w:szCs w:val="28"/>
        </w:rPr>
        <w:t>e</w:t>
      </w:r>
      <w:r>
        <w:rPr>
          <w:rFonts w:hint="eastAsia" w:ascii="宋体" w:hAnsi="宋体"/>
          <w:color w:val="auto"/>
          <w:sz w:val="28"/>
          <w:szCs w:val="28"/>
        </w:rPr>
        <w:t>、《室内装饰装修材料 人造板及其制品中甲醛释放限量》（GB 18580-20</w:t>
      </w:r>
      <w:r>
        <w:rPr>
          <w:rFonts w:ascii="宋体" w:hAnsi="宋体"/>
          <w:color w:val="auto"/>
          <w:sz w:val="28"/>
          <w:szCs w:val="28"/>
        </w:rPr>
        <w:t>17</w:t>
      </w:r>
      <w:r>
        <w:rPr>
          <w:rFonts w:hint="eastAsia" w:ascii="宋体" w:hAnsi="宋体"/>
          <w:color w:val="auto"/>
          <w:sz w:val="28"/>
          <w:szCs w:val="28"/>
        </w:rPr>
        <w:t>）</w:t>
      </w:r>
    </w:p>
    <w:p>
      <w:pPr>
        <w:keepNext w:val="0"/>
        <w:keepLines w:val="0"/>
        <w:pageBreakBefore w:val="0"/>
        <w:kinsoku/>
        <w:wordWrap/>
        <w:overflowPunct/>
        <w:topLinePunct w:val="0"/>
        <w:bidi w:val="0"/>
        <w:spacing w:line="440" w:lineRule="exact"/>
        <w:ind w:firstLine="700" w:firstLineChars="250"/>
        <w:rPr>
          <w:rFonts w:ascii="宋体" w:hAnsi="宋体"/>
          <w:color w:val="auto"/>
          <w:sz w:val="28"/>
          <w:szCs w:val="28"/>
        </w:rPr>
      </w:pPr>
      <w:r>
        <w:rPr>
          <w:rFonts w:ascii="宋体" w:hAnsi="宋体"/>
          <w:color w:val="auto"/>
          <w:sz w:val="28"/>
          <w:szCs w:val="28"/>
        </w:rPr>
        <w:t>f</w:t>
      </w:r>
      <w:r>
        <w:rPr>
          <w:rFonts w:hint="eastAsia" w:ascii="宋体" w:hAnsi="宋体"/>
          <w:color w:val="auto"/>
          <w:sz w:val="28"/>
          <w:szCs w:val="28"/>
        </w:rPr>
        <w:t>、</w:t>
      </w:r>
      <w:r>
        <w:rPr>
          <w:rFonts w:hint="eastAsia" w:ascii="宋体" w:hAnsi="宋体" w:cs="Arial"/>
          <w:color w:val="auto"/>
          <w:sz w:val="28"/>
          <w:szCs w:val="28"/>
        </w:rPr>
        <w:t>《人造板及饰面人造板理化性能试验方法》（GB/T 17657-</w:t>
      </w:r>
      <w:r>
        <w:rPr>
          <w:rFonts w:ascii="宋体" w:hAnsi="宋体" w:cs="Arial"/>
          <w:color w:val="auto"/>
          <w:sz w:val="28"/>
          <w:szCs w:val="28"/>
        </w:rPr>
        <w:t>2013</w:t>
      </w:r>
      <w:r>
        <w:rPr>
          <w:rFonts w:hint="eastAsia" w:ascii="宋体" w:hAnsi="宋体" w:cs="Arial"/>
          <w:color w:val="auto"/>
          <w:sz w:val="28"/>
          <w:szCs w:val="28"/>
        </w:rPr>
        <w:t>）</w:t>
      </w:r>
    </w:p>
    <w:p>
      <w:pPr>
        <w:keepNext w:val="0"/>
        <w:keepLines w:val="0"/>
        <w:pageBreakBefore w:val="0"/>
        <w:kinsoku/>
        <w:wordWrap/>
        <w:overflowPunct/>
        <w:topLinePunct w:val="0"/>
        <w:bidi w:val="0"/>
        <w:spacing w:line="440" w:lineRule="exact"/>
        <w:ind w:firstLine="700" w:firstLineChars="250"/>
        <w:rPr>
          <w:rFonts w:ascii="宋体" w:hAnsi="宋体"/>
          <w:color w:val="auto"/>
          <w:sz w:val="28"/>
          <w:szCs w:val="28"/>
        </w:rPr>
      </w:pPr>
      <w:r>
        <w:rPr>
          <w:rFonts w:ascii="宋体" w:hAnsi="宋体"/>
          <w:color w:val="auto"/>
          <w:sz w:val="28"/>
          <w:szCs w:val="28"/>
        </w:rPr>
        <w:t>g</w:t>
      </w:r>
      <w:r>
        <w:rPr>
          <w:rFonts w:hint="eastAsia" w:ascii="宋体" w:hAnsi="宋体"/>
          <w:color w:val="auto"/>
          <w:sz w:val="28"/>
          <w:szCs w:val="28"/>
        </w:rPr>
        <w:t>、《</w:t>
      </w:r>
      <w:r>
        <w:rPr>
          <w:rFonts w:hint="eastAsia" w:ascii="宋体" w:hAnsi="宋体" w:cs="Arial"/>
          <w:bCs/>
          <w:color w:val="auto"/>
          <w:kern w:val="36"/>
          <w:sz w:val="28"/>
          <w:szCs w:val="28"/>
        </w:rPr>
        <w:t>铝合金建筑型材 第1部分：基材</w:t>
      </w:r>
      <w:r>
        <w:rPr>
          <w:rFonts w:hint="eastAsia" w:ascii="宋体" w:hAnsi="宋体"/>
          <w:color w:val="auto"/>
          <w:sz w:val="28"/>
          <w:szCs w:val="28"/>
        </w:rPr>
        <w:t>》（</w:t>
      </w:r>
      <w:r>
        <w:rPr>
          <w:rFonts w:hint="eastAsia" w:ascii="宋体" w:hAnsi="宋体" w:cs="Arial"/>
          <w:bCs/>
          <w:color w:val="auto"/>
          <w:kern w:val="36"/>
          <w:sz w:val="28"/>
          <w:szCs w:val="28"/>
        </w:rPr>
        <w:t>GB5237.1-2008</w:t>
      </w:r>
      <w:r>
        <w:rPr>
          <w:rFonts w:hint="eastAsia" w:ascii="宋体" w:hAnsi="宋体"/>
          <w:color w:val="auto"/>
          <w:sz w:val="28"/>
          <w:szCs w:val="28"/>
        </w:rPr>
        <w:t>）</w:t>
      </w:r>
    </w:p>
    <w:p>
      <w:pPr>
        <w:keepNext w:val="0"/>
        <w:keepLines w:val="0"/>
        <w:pageBreakBefore w:val="0"/>
        <w:kinsoku/>
        <w:wordWrap/>
        <w:overflowPunct/>
        <w:topLinePunct w:val="0"/>
        <w:bidi w:val="0"/>
        <w:spacing w:line="440" w:lineRule="exact"/>
        <w:ind w:firstLine="700" w:firstLineChars="250"/>
        <w:rPr>
          <w:rFonts w:ascii="宋体" w:hAnsi="宋体"/>
          <w:color w:val="auto"/>
          <w:sz w:val="28"/>
          <w:szCs w:val="28"/>
        </w:rPr>
      </w:pPr>
      <w:r>
        <w:rPr>
          <w:rFonts w:ascii="宋体" w:hAnsi="宋体"/>
          <w:color w:val="auto"/>
          <w:sz w:val="28"/>
          <w:szCs w:val="28"/>
        </w:rPr>
        <w:t>h</w:t>
      </w:r>
      <w:r>
        <w:rPr>
          <w:rFonts w:hint="eastAsia" w:ascii="宋体" w:hAnsi="宋体"/>
          <w:color w:val="auto"/>
          <w:sz w:val="28"/>
          <w:szCs w:val="28"/>
        </w:rPr>
        <w:t>、《教学实验室设备电源系统》（JY/T 0374-2004）</w:t>
      </w:r>
    </w:p>
    <w:p>
      <w:pPr>
        <w:keepNext w:val="0"/>
        <w:keepLines w:val="0"/>
        <w:pageBreakBefore w:val="0"/>
        <w:kinsoku/>
        <w:wordWrap/>
        <w:overflowPunct/>
        <w:topLinePunct w:val="0"/>
        <w:bidi w:val="0"/>
        <w:spacing w:line="440" w:lineRule="exact"/>
        <w:ind w:firstLine="700" w:firstLineChars="250"/>
        <w:rPr>
          <w:rFonts w:hint="eastAsia"/>
          <w:color w:val="auto"/>
          <w:lang w:eastAsia="zh-CN"/>
        </w:rPr>
      </w:pPr>
      <w:r>
        <w:rPr>
          <w:rFonts w:ascii="宋体" w:hAnsi="宋体"/>
          <w:color w:val="auto"/>
          <w:sz w:val="28"/>
          <w:szCs w:val="28"/>
        </w:rPr>
        <w:t>i</w:t>
      </w:r>
      <w:r>
        <w:rPr>
          <w:rFonts w:hint="eastAsia" w:ascii="宋体" w:hAnsi="宋体"/>
          <w:color w:val="auto"/>
          <w:sz w:val="28"/>
          <w:szCs w:val="28"/>
        </w:rPr>
        <w:t>、《室内空气质量标准》（GB/T 18883-200技术、服务要求</w:t>
      </w:r>
    </w:p>
    <w:p>
      <w:pPr>
        <w:keepNext w:val="0"/>
        <w:keepLines w:val="0"/>
        <w:pageBreakBefore w:val="0"/>
        <w:widowControl/>
        <w:tabs>
          <w:tab w:val="left" w:pos="1800"/>
        </w:tabs>
        <w:kinsoku/>
        <w:wordWrap/>
        <w:overflowPunct/>
        <w:topLinePunct w:val="0"/>
        <w:bidi w:val="0"/>
        <w:spacing w:line="440" w:lineRule="exact"/>
        <w:outlineLvl w:val="1"/>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lang w:eastAsia="zh-CN"/>
        </w:rPr>
        <w:t>四、商务要求</w:t>
      </w:r>
      <w:bookmarkEnd w:id="61"/>
    </w:p>
    <w:p>
      <w:pPr>
        <w:keepNext w:val="0"/>
        <w:keepLines w:val="0"/>
        <w:pageBreakBefore w:val="0"/>
        <w:kinsoku/>
        <w:wordWrap/>
        <w:overflowPunct/>
        <w:topLinePunct w:val="0"/>
        <w:bidi w:val="0"/>
        <w:spacing w:line="440" w:lineRule="exact"/>
        <w:ind w:left="237" w:leftChars="113" w:firstLine="260" w:firstLineChars="93"/>
        <w:rPr>
          <w:rFonts w:hint="eastAsia" w:ascii="宋体" w:hAnsi="宋体" w:eastAsia="宋体" w:cs="宋体"/>
          <w:bCs/>
          <w:color w:val="auto"/>
          <w:sz w:val="28"/>
          <w:szCs w:val="28"/>
        </w:rPr>
      </w:pPr>
      <w:bookmarkStart w:id="62" w:name="_Toc12010"/>
      <w:r>
        <w:rPr>
          <w:rFonts w:hint="eastAsia" w:ascii="宋体" w:hAnsi="宋体" w:eastAsia="宋体" w:cs="宋体"/>
          <w:b/>
          <w:bCs/>
          <w:color w:val="auto"/>
          <w:sz w:val="28"/>
          <w:szCs w:val="28"/>
        </w:rPr>
        <w:t>1、项目地点</w:t>
      </w:r>
      <w:r>
        <w:rPr>
          <w:rFonts w:hint="eastAsia" w:ascii="宋体" w:hAnsi="宋体" w:eastAsia="宋体" w:cs="宋体"/>
          <w:bCs/>
          <w:color w:val="auto"/>
          <w:sz w:val="28"/>
          <w:szCs w:val="28"/>
        </w:rPr>
        <w:t>：阳新县闰光小学。</w:t>
      </w:r>
    </w:p>
    <w:p>
      <w:pPr>
        <w:pStyle w:val="15"/>
        <w:keepNext w:val="0"/>
        <w:keepLines w:val="0"/>
        <w:pageBreakBefore w:val="0"/>
        <w:kinsoku/>
        <w:wordWrap/>
        <w:overflowPunct/>
        <w:topLinePunct w:val="0"/>
        <w:bidi w:val="0"/>
        <w:spacing w:line="440" w:lineRule="exact"/>
        <w:ind w:left="237" w:leftChars="113" w:firstLine="260" w:firstLineChars="93"/>
        <w:rPr>
          <w:rFonts w:hint="eastAsia" w:ascii="宋体" w:hAnsi="宋体" w:eastAsia="宋体" w:cs="宋体"/>
          <w:b/>
          <w:color w:val="auto"/>
          <w:sz w:val="28"/>
          <w:szCs w:val="28"/>
        </w:rPr>
      </w:pPr>
      <w:r>
        <w:rPr>
          <w:rFonts w:hint="eastAsia" w:ascii="宋体" w:hAnsi="宋体" w:eastAsia="宋体" w:cs="宋体"/>
          <w:b/>
          <w:color w:val="auto"/>
          <w:sz w:val="28"/>
          <w:szCs w:val="28"/>
        </w:rPr>
        <w:t>2、培训要求：</w:t>
      </w:r>
    </w:p>
    <w:p>
      <w:pPr>
        <w:pStyle w:val="15"/>
        <w:keepNext w:val="0"/>
        <w:keepLines w:val="0"/>
        <w:pageBreakBefore w:val="0"/>
        <w:kinsoku/>
        <w:wordWrap/>
        <w:overflowPunct/>
        <w:topLinePunct w:val="0"/>
        <w:bidi w:val="0"/>
        <w:spacing w:line="440" w:lineRule="exact"/>
        <w:ind w:left="237" w:leftChars="113" w:firstLine="540" w:firstLineChars="193"/>
        <w:rPr>
          <w:rFonts w:hint="eastAsia" w:ascii="宋体" w:hAnsi="宋体" w:eastAsia="宋体" w:cs="宋体"/>
          <w:color w:val="auto"/>
          <w:sz w:val="28"/>
          <w:szCs w:val="28"/>
        </w:rPr>
      </w:pPr>
      <w:r>
        <w:rPr>
          <w:rFonts w:hint="eastAsia" w:ascii="宋体" w:hAnsi="宋体" w:eastAsia="宋体" w:cs="宋体"/>
          <w:color w:val="auto"/>
          <w:sz w:val="28"/>
          <w:szCs w:val="28"/>
        </w:rPr>
        <w:t>（1）提供培训教材；</w:t>
      </w:r>
    </w:p>
    <w:p>
      <w:pPr>
        <w:pStyle w:val="15"/>
        <w:keepNext w:val="0"/>
        <w:keepLines w:val="0"/>
        <w:pageBreakBefore w:val="0"/>
        <w:kinsoku/>
        <w:wordWrap/>
        <w:overflowPunct/>
        <w:topLinePunct w:val="0"/>
        <w:bidi w:val="0"/>
        <w:spacing w:line="440" w:lineRule="exact"/>
        <w:ind w:left="237" w:leftChars="113" w:firstLine="540" w:firstLineChars="193"/>
        <w:rPr>
          <w:rFonts w:hint="eastAsia" w:ascii="宋体" w:hAnsi="宋体" w:eastAsia="宋体" w:cs="宋体"/>
          <w:color w:val="auto"/>
          <w:sz w:val="28"/>
          <w:szCs w:val="28"/>
        </w:rPr>
      </w:pPr>
      <w:r>
        <w:rPr>
          <w:rFonts w:hint="eastAsia" w:ascii="宋体" w:hAnsi="宋体" w:eastAsia="宋体" w:cs="宋体"/>
          <w:color w:val="auto"/>
          <w:sz w:val="28"/>
          <w:szCs w:val="28"/>
        </w:rPr>
        <w:t>（2）培训内容必须包含：小学科学验室的硬件及软件功能的使用、设备保养、售后服务等内容；</w:t>
      </w:r>
    </w:p>
    <w:p>
      <w:pPr>
        <w:pStyle w:val="15"/>
        <w:keepNext w:val="0"/>
        <w:keepLines w:val="0"/>
        <w:pageBreakBefore w:val="0"/>
        <w:kinsoku/>
        <w:wordWrap/>
        <w:overflowPunct/>
        <w:topLinePunct w:val="0"/>
        <w:bidi w:val="0"/>
        <w:spacing w:line="440" w:lineRule="exact"/>
        <w:ind w:left="237" w:leftChars="113" w:firstLine="540" w:firstLineChars="193"/>
        <w:rPr>
          <w:rFonts w:hint="eastAsia" w:ascii="宋体" w:hAnsi="宋体" w:eastAsia="宋体" w:cs="宋体"/>
          <w:color w:val="auto"/>
          <w:sz w:val="28"/>
          <w:szCs w:val="28"/>
        </w:rPr>
      </w:pPr>
      <w:r>
        <w:rPr>
          <w:rFonts w:hint="eastAsia" w:ascii="宋体" w:hAnsi="宋体" w:eastAsia="宋体" w:cs="宋体"/>
          <w:color w:val="auto"/>
          <w:sz w:val="28"/>
          <w:szCs w:val="28"/>
        </w:rPr>
        <w:t>（3）在项目学校提供不少于2场次，每场次不少于2课时（45分钟每课时）教师操作培训。</w:t>
      </w:r>
    </w:p>
    <w:p>
      <w:pPr>
        <w:pStyle w:val="15"/>
        <w:keepNext w:val="0"/>
        <w:keepLines w:val="0"/>
        <w:pageBreakBefore w:val="0"/>
        <w:kinsoku/>
        <w:wordWrap/>
        <w:overflowPunct/>
        <w:topLinePunct w:val="0"/>
        <w:bidi w:val="0"/>
        <w:spacing w:line="440" w:lineRule="exact"/>
        <w:ind w:left="237" w:leftChars="113" w:firstLine="540" w:firstLineChars="193"/>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b/>
          <w:color w:val="auto"/>
          <w:sz w:val="28"/>
          <w:szCs w:val="28"/>
        </w:rPr>
        <w:t>3、质量保证期</w:t>
      </w:r>
      <w:r>
        <w:rPr>
          <w:rFonts w:hint="eastAsia" w:ascii="宋体" w:hAnsi="宋体" w:eastAsia="宋体" w:cs="宋体"/>
          <w:color w:val="auto"/>
          <w:sz w:val="28"/>
          <w:szCs w:val="28"/>
        </w:rPr>
        <w:t>：</w:t>
      </w:r>
    </w:p>
    <w:p>
      <w:pPr>
        <w:pStyle w:val="15"/>
        <w:keepNext w:val="0"/>
        <w:keepLines w:val="0"/>
        <w:pageBreakBefore w:val="0"/>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75寸智慧黑板（含OPS计算机）、等大件器材（玻璃器皿等仪器及耗材除外）的质量保证期（简称“质保期”）为验收合格之日起叁年。</w:t>
      </w:r>
    </w:p>
    <w:p>
      <w:pPr>
        <w:pStyle w:val="15"/>
        <w:keepNext w:val="0"/>
        <w:keepLines w:val="0"/>
        <w:pageBreakBefore w:val="0"/>
        <w:kinsoku/>
        <w:wordWrap/>
        <w:overflowPunct/>
        <w:topLinePunct w:val="0"/>
        <w:bidi w:val="0"/>
        <w:spacing w:line="440" w:lineRule="exact"/>
        <w:ind w:firstLineChars="175"/>
        <w:rPr>
          <w:rFonts w:hint="eastAsia" w:ascii="宋体" w:hAnsi="宋体" w:eastAsia="宋体" w:cs="宋体"/>
          <w:color w:val="auto"/>
          <w:sz w:val="28"/>
          <w:szCs w:val="28"/>
        </w:rPr>
      </w:pPr>
      <w:r>
        <w:rPr>
          <w:rFonts w:hint="eastAsia" w:ascii="宋体" w:hAnsi="宋体" w:eastAsia="宋体" w:cs="宋体"/>
          <w:color w:val="auto"/>
          <w:sz w:val="28"/>
          <w:szCs w:val="28"/>
        </w:rPr>
        <w:t>如果乙方在规定的期限内没有对有质量问题的产品进行维修、更换或运维服务，甲方有权部分或全部解除合同，并采取必要的措施，相关费用由乙方承担。同时甲方将向乙方提出赔偿要求。</w:t>
      </w:r>
    </w:p>
    <w:p>
      <w:pPr>
        <w:pStyle w:val="15"/>
        <w:keepNext w:val="0"/>
        <w:keepLines w:val="0"/>
        <w:pageBreakBefore w:val="0"/>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4、售后服务</w:t>
      </w:r>
      <w:r>
        <w:rPr>
          <w:rFonts w:hint="eastAsia" w:ascii="宋体" w:hAnsi="宋体" w:eastAsia="宋体" w:cs="宋体"/>
          <w:color w:val="auto"/>
          <w:sz w:val="28"/>
          <w:szCs w:val="28"/>
        </w:rPr>
        <w:t>：</w:t>
      </w:r>
    </w:p>
    <w:p>
      <w:pPr>
        <w:keepNext w:val="0"/>
        <w:keepLines w:val="0"/>
        <w:pageBreakBefore w:val="0"/>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 各投标人应能提供优秀的售后及运维服务。在设备通过验收后，投标人应对设备全系统至少有</w:t>
      </w:r>
      <w:r>
        <w:rPr>
          <w:rFonts w:hint="eastAsia" w:ascii="宋体" w:hAnsi="宋体" w:eastAsia="宋体" w:cs="宋体"/>
          <w:b/>
          <w:bCs/>
          <w:color w:val="auto"/>
          <w:sz w:val="28"/>
          <w:szCs w:val="28"/>
          <w:u w:val="single"/>
        </w:rPr>
        <w:t>不低于招标文件规定</w:t>
      </w:r>
      <w:r>
        <w:rPr>
          <w:rFonts w:hint="eastAsia" w:ascii="宋体" w:hAnsi="宋体" w:eastAsia="宋体" w:cs="宋体"/>
          <w:b/>
          <w:bCs/>
          <w:color w:val="auto"/>
          <w:sz w:val="28"/>
          <w:szCs w:val="28"/>
        </w:rPr>
        <w:t>质量保证期限</w:t>
      </w:r>
      <w:r>
        <w:rPr>
          <w:rFonts w:hint="eastAsia" w:ascii="宋体" w:hAnsi="宋体" w:eastAsia="宋体" w:cs="宋体"/>
          <w:color w:val="auto"/>
          <w:sz w:val="28"/>
          <w:szCs w:val="28"/>
        </w:rPr>
        <w:t>，投标人应对产品质量实行“三包”服务。在质量保证期内，当发生故障采购人提出故障服务请求时，</w:t>
      </w:r>
      <w:r>
        <w:rPr>
          <w:rFonts w:hint="eastAsia" w:ascii="宋体" w:hAnsi="宋体" w:eastAsia="宋体" w:cs="宋体"/>
          <w:b/>
          <w:bCs/>
          <w:color w:val="auto"/>
          <w:sz w:val="28"/>
          <w:szCs w:val="28"/>
        </w:rPr>
        <w:t>投标人应在30分钟之内给予响应，必要时应在24小时内派技术人员到现场排除故障，排除故障时间应在2个工作日内，如在5个工作日内无法排障，投标人应免费提供性能相当的备机供采购人使用。</w:t>
      </w:r>
    </w:p>
    <w:p>
      <w:pPr>
        <w:keepNext w:val="0"/>
        <w:keepLines w:val="0"/>
        <w:pageBreakBefore w:val="0"/>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.2在保质期满以后，投标人应按其在湖北地区同类设备的最优惠价格提供运维服务。</w:t>
      </w:r>
    </w:p>
    <w:p>
      <w:pPr>
        <w:pStyle w:val="11"/>
        <w:keepNext w:val="0"/>
        <w:keepLines w:val="0"/>
        <w:pageBreakBefore w:val="0"/>
        <w:kinsoku/>
        <w:wordWrap/>
        <w:overflowPunct/>
        <w:topLinePunct w:val="0"/>
        <w:bidi w:val="0"/>
        <w:spacing w:before="0" w:beforeAutospacing="0" w:after="0" w:afterAutospacing="0" w:line="440" w:lineRule="exact"/>
        <w:ind w:left="0" w:leftChars="0"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rPr>
        <w:t>.3投标人应提供在湖北省境内售后服务队伍名称、资质、人员配备、联系地址、电话等详细资料。</w:t>
      </w:r>
    </w:p>
    <w:p>
      <w:pPr>
        <w:keepNext w:val="0"/>
        <w:keepLines w:val="0"/>
        <w:pageBreakBefore w:val="0"/>
        <w:tabs>
          <w:tab w:val="left" w:pos="510"/>
        </w:tabs>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.4备件及易损件：</w:t>
      </w:r>
    </w:p>
    <w:p>
      <w:pPr>
        <w:keepNext w:val="0"/>
        <w:keepLines w:val="0"/>
        <w:pageBreakBefore w:val="0"/>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1）投标人应提供随机附带的免费备品备件清单（格式自报），如无此服务则可不提供。</w:t>
      </w:r>
    </w:p>
    <w:p>
      <w:pPr>
        <w:keepNext w:val="0"/>
        <w:keepLines w:val="0"/>
        <w:pageBreakBefore w:val="0"/>
        <w:kinsoku/>
        <w:wordWrap/>
        <w:overflowPunct/>
        <w:topLinePunct w:val="0"/>
        <w:bidi w:val="0"/>
        <w:spacing w:line="440" w:lineRule="exact"/>
        <w:ind w:left="0" w:leftChars="0"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rPr>
        <w:t>2）应提供所供设备易损件清单（含名称、规格、每台设备配置该件数量、单价、生产厂家或供应商及通信地址），无此服务可不提供。</w:t>
      </w:r>
    </w:p>
    <w:p>
      <w:pPr>
        <w:keepNext w:val="0"/>
        <w:keepLines w:val="0"/>
        <w:pageBreakBefore w:val="0"/>
        <w:tabs>
          <w:tab w:val="left" w:pos="510"/>
        </w:tabs>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.5货物招回条款</w:t>
      </w:r>
      <w:r>
        <w:rPr>
          <w:rFonts w:hint="eastAsia" w:ascii="宋体" w:hAnsi="宋体" w:eastAsia="宋体" w:cs="宋体"/>
          <w:b/>
          <w:bCs/>
          <w:color w:val="auto"/>
          <w:sz w:val="28"/>
          <w:szCs w:val="28"/>
        </w:rPr>
        <w:t>（需在投标文件中承诺）</w:t>
      </w:r>
    </w:p>
    <w:p>
      <w:pPr>
        <w:pStyle w:val="17"/>
        <w:keepNext w:val="0"/>
        <w:keepLines w:val="0"/>
        <w:pageBreakBefore w:val="0"/>
        <w:kinsoku/>
        <w:wordWrap/>
        <w:overflowPunct/>
        <w:topLinePunct w:val="0"/>
        <w:bidi w:val="0"/>
        <w:spacing w:line="44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三年内，如因所供货物的设计缺陷和质量问题导致货物不能继续使用或因此造成的事故责任全部由供货商负责；不能继续使用的货物供货商应无条件退回或更换。</w:t>
      </w:r>
    </w:p>
    <w:p>
      <w:pPr>
        <w:pStyle w:val="17"/>
        <w:keepNext w:val="0"/>
        <w:keepLines w:val="0"/>
        <w:pageBreakBefore w:val="0"/>
        <w:kinsoku/>
        <w:wordWrap/>
        <w:overflowPunct/>
        <w:topLinePunct w:val="0"/>
        <w:bidi w:val="0"/>
        <w:spacing w:line="440" w:lineRule="exact"/>
        <w:ind w:firstLine="560"/>
        <w:rPr>
          <w:rFonts w:hint="eastAsia" w:ascii="宋体" w:hAnsi="宋体" w:eastAsia="宋体" w:cs="宋体"/>
          <w:color w:val="FF0000"/>
          <w:sz w:val="28"/>
          <w:szCs w:val="28"/>
        </w:rPr>
      </w:pPr>
      <w:r>
        <w:rPr>
          <w:rFonts w:hint="eastAsia" w:ascii="宋体" w:hAnsi="宋体" w:eastAsia="宋体" w:cs="宋体"/>
          <w:color w:val="FF0000"/>
          <w:sz w:val="28"/>
          <w:szCs w:val="28"/>
        </w:rPr>
        <w:t>4</w:t>
      </w:r>
      <w:r>
        <w:rPr>
          <w:rFonts w:ascii="宋体" w:hAnsi="宋体" w:eastAsia="宋体" w:cs="宋体"/>
          <w:color w:val="FF0000"/>
          <w:sz w:val="28"/>
          <w:szCs w:val="28"/>
        </w:rPr>
        <w:t>.6</w:t>
      </w:r>
      <w:r>
        <w:rPr>
          <w:rFonts w:hint="eastAsia" w:ascii="宋体" w:hAnsi="宋体" w:eastAsia="宋体" w:cs="宋体"/>
          <w:color w:val="FF0000"/>
          <w:sz w:val="28"/>
          <w:szCs w:val="28"/>
        </w:rPr>
        <w:t>其他要求</w:t>
      </w:r>
    </w:p>
    <w:p>
      <w:pPr>
        <w:pStyle w:val="17"/>
        <w:keepNext w:val="0"/>
        <w:keepLines w:val="0"/>
        <w:pageBreakBefore w:val="0"/>
        <w:kinsoku/>
        <w:wordWrap/>
        <w:overflowPunct/>
        <w:topLinePunct w:val="0"/>
        <w:bidi w:val="0"/>
        <w:spacing w:line="440" w:lineRule="exact"/>
        <w:ind w:firstLine="560"/>
        <w:rPr>
          <w:rFonts w:ascii="宋体" w:hAnsi="宋体" w:eastAsia="宋体" w:cs="宋体"/>
          <w:sz w:val="28"/>
          <w:szCs w:val="28"/>
        </w:rPr>
      </w:pPr>
      <w:r>
        <w:rPr>
          <w:rFonts w:hint="eastAsia" w:ascii="宋体" w:hAnsi="宋体" w:eastAsia="宋体" w:cs="宋体"/>
          <w:sz w:val="28"/>
          <w:szCs w:val="28"/>
        </w:rPr>
        <w:t xml:space="preserve">(1）质量保证期和产品出厂质保时间内，需定期对器材进行一次全面的维修、紧固工作，更换残缺、缺损的零部件、每学期至少应组织一次维护保养巡查活动等工作； </w:t>
      </w:r>
    </w:p>
    <w:p>
      <w:pPr>
        <w:pStyle w:val="15"/>
        <w:keepNext w:val="0"/>
        <w:keepLines w:val="0"/>
        <w:pageBreakBefore w:val="0"/>
        <w:kinsoku/>
        <w:wordWrap/>
        <w:overflowPunct/>
        <w:topLinePunct w:val="0"/>
        <w:bidi w:val="0"/>
        <w:spacing w:line="440" w:lineRule="exact"/>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sz w:val="28"/>
          <w:szCs w:val="28"/>
        </w:rPr>
        <w:t>(2）为保证教师日常教学正常使用，中标方须为项目学校提供教学一体机的系统软件、应用软件的启动恢复U盘1套。</w:t>
      </w:r>
    </w:p>
    <w:p>
      <w:pPr>
        <w:pStyle w:val="15"/>
        <w:keepNext w:val="0"/>
        <w:keepLines w:val="0"/>
        <w:pageBreakBefore w:val="0"/>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5、交货期</w:t>
      </w:r>
      <w:r>
        <w:rPr>
          <w:rFonts w:hint="eastAsia" w:ascii="宋体" w:hAnsi="宋体" w:eastAsia="宋体" w:cs="宋体"/>
          <w:color w:val="auto"/>
          <w:sz w:val="28"/>
          <w:szCs w:val="28"/>
        </w:rPr>
        <w:t>：合同签订后2</w:t>
      </w:r>
      <w:r>
        <w:rPr>
          <w:rFonts w:hint="eastAsia" w:ascii="宋体" w:hAnsi="宋体" w:eastAsia="宋体" w:cs="宋体"/>
          <w:b w:val="0"/>
          <w:bCs/>
          <w:color w:val="auto"/>
          <w:sz w:val="28"/>
          <w:szCs w:val="28"/>
          <w:u w:val="none"/>
        </w:rPr>
        <w:t>5</w:t>
      </w:r>
      <w:r>
        <w:rPr>
          <w:rFonts w:hint="eastAsia" w:ascii="宋体" w:hAnsi="宋体" w:eastAsia="宋体" w:cs="宋体"/>
          <w:color w:val="auto"/>
          <w:sz w:val="28"/>
          <w:szCs w:val="28"/>
        </w:rPr>
        <w:t>天。</w:t>
      </w:r>
    </w:p>
    <w:p>
      <w:pPr>
        <w:pStyle w:val="15"/>
        <w:keepNext w:val="0"/>
        <w:keepLines w:val="0"/>
        <w:pageBreakBefore w:val="0"/>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6、验收</w:t>
      </w:r>
      <w:r>
        <w:rPr>
          <w:rFonts w:hint="eastAsia" w:ascii="宋体" w:hAnsi="宋体" w:eastAsia="宋体" w:cs="宋体"/>
          <w:color w:val="auto"/>
          <w:sz w:val="28"/>
          <w:szCs w:val="28"/>
        </w:rPr>
        <w:t>：</w:t>
      </w:r>
    </w:p>
    <w:p>
      <w:pPr>
        <w:pStyle w:val="15"/>
        <w:keepNext w:val="0"/>
        <w:keepLines w:val="0"/>
        <w:pageBreakBefore w:val="0"/>
        <w:kinsoku/>
        <w:wordWrap/>
        <w:overflowPunct/>
        <w:topLinePunct w:val="0"/>
        <w:bidi w:val="0"/>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在项目完工且设备试用一段时间性能稳定后，由中标方向阳新教育局管理部门提供书面验收申请。阳新县教育局依据国家相关规定要求，</w:t>
      </w:r>
      <w:r>
        <w:rPr>
          <w:rFonts w:hint="eastAsia" w:ascii="宋体" w:hAnsi="宋体" w:eastAsia="宋体" w:cs="宋体"/>
          <w:color w:val="auto"/>
          <w:kern w:val="0"/>
          <w:sz w:val="28"/>
          <w:szCs w:val="28"/>
        </w:rPr>
        <w:t>组织有关部门、</w:t>
      </w:r>
      <w:r>
        <w:rPr>
          <w:rFonts w:hint="eastAsia" w:ascii="宋体" w:hAnsi="宋体" w:eastAsia="宋体" w:cs="宋体"/>
          <w:color w:val="auto"/>
          <w:sz w:val="28"/>
          <w:szCs w:val="28"/>
        </w:rPr>
        <w:t>专家对该项目按程序步骤验收。</w:t>
      </w:r>
    </w:p>
    <w:p>
      <w:pPr>
        <w:keepNext w:val="0"/>
        <w:keepLines w:val="0"/>
        <w:pageBreakBefore w:val="0"/>
        <w:kinsoku/>
        <w:wordWrap/>
        <w:overflowPunct/>
        <w:topLinePunct w:val="0"/>
        <w:bidi w:val="0"/>
        <w:spacing w:line="440" w:lineRule="exact"/>
        <w:ind w:left="0" w:leftChars="0"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（1）验收材料审核</w:t>
      </w:r>
    </w:p>
    <w:p>
      <w:pPr>
        <w:keepNext w:val="0"/>
        <w:keepLines w:val="0"/>
        <w:pageBreakBefore w:val="0"/>
        <w:kinsoku/>
        <w:wordWrap/>
        <w:overflowPunct/>
        <w:topLinePunct w:val="0"/>
        <w:bidi w:val="0"/>
        <w:spacing w:line="520" w:lineRule="exact"/>
        <w:ind w:left="0" w:leftChars="0"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项目完工后，中标方需提供（包含但不限于）：验收申请函、中标通知书（复印件）、合同（复印件）、到货签收单、施工记录、安装调试合格确认书、投标时的所有证书和货物检测报告、产品合格证（每样产品一份）、说明书（每样产品一份）、培训记录、售后承诺函等竣工文件汇编。甲方组织专业机构对以上材料及“评分细则”中投标响应的所有证书进行核实，如有一项不符，则该项目不合格；该项验收合格后方可进行项目现场验收。</w:t>
      </w:r>
    </w:p>
    <w:p>
      <w:pPr>
        <w:keepNext w:val="0"/>
        <w:keepLines w:val="0"/>
        <w:pageBreakBefore w:val="0"/>
        <w:kinsoku/>
        <w:wordWrap/>
        <w:overflowPunct/>
        <w:topLinePunct w:val="0"/>
        <w:bidi w:val="0"/>
        <w:spacing w:line="520" w:lineRule="exact"/>
        <w:ind w:left="0" w:leftChars="0"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（2）项目学校现场验收</w:t>
      </w:r>
    </w:p>
    <w:p>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rPr>
        <w:t>对招投标文件中其他参数由</w:t>
      </w:r>
      <w:r>
        <w:rPr>
          <w:rFonts w:hint="eastAsia" w:ascii="宋体" w:hAnsi="宋体" w:eastAsia="宋体" w:cs="宋体"/>
          <w:color w:val="auto"/>
          <w:sz w:val="28"/>
          <w:szCs w:val="28"/>
        </w:rPr>
        <w:t>阳新县教育局</w:t>
      </w:r>
      <w:r>
        <w:rPr>
          <w:rFonts w:hint="eastAsia" w:ascii="宋体" w:hAnsi="宋体" w:eastAsia="宋体" w:cs="宋体"/>
          <w:color w:val="auto"/>
          <w:kern w:val="0"/>
          <w:sz w:val="28"/>
          <w:szCs w:val="28"/>
        </w:rPr>
        <w:t>组织有关部门、专家进行现场操作验收，如任一项功能、参数</w:t>
      </w:r>
      <w:r>
        <w:rPr>
          <w:rFonts w:hint="eastAsia" w:ascii="宋体" w:hAnsi="宋体" w:eastAsia="宋体" w:cs="宋体"/>
          <w:color w:val="auto"/>
          <w:kern w:val="0"/>
          <w:sz w:val="28"/>
          <w:szCs w:val="28"/>
          <w:lang w:eastAsia="zh-CN"/>
        </w:rPr>
        <w:t>或品牌型号</w:t>
      </w:r>
      <w:r>
        <w:rPr>
          <w:rFonts w:hint="eastAsia" w:ascii="宋体" w:hAnsi="宋体" w:eastAsia="宋体" w:cs="宋体"/>
          <w:color w:val="auto"/>
          <w:kern w:val="0"/>
          <w:sz w:val="28"/>
          <w:szCs w:val="28"/>
        </w:rPr>
        <w:t>与投标文件响应的不符，则该项目不合格。</w:t>
      </w:r>
    </w:p>
    <w:p>
      <w:pPr>
        <w:pStyle w:val="15"/>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（4）第一次验收不合格，中标方可申请第二次验收，如果仍然不合格，甲方有权拒绝再次验收，一切损失由中标方承担。</w:t>
      </w:r>
    </w:p>
    <w:p>
      <w:pPr>
        <w:pStyle w:val="15"/>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7、单价调整</w:t>
      </w:r>
      <w:r>
        <w:rPr>
          <w:rFonts w:hint="eastAsia" w:ascii="宋体" w:hAnsi="宋体" w:eastAsia="宋体" w:cs="宋体"/>
          <w:color w:val="auto"/>
          <w:sz w:val="28"/>
          <w:szCs w:val="28"/>
        </w:rPr>
        <w:t>：当实际要求</w:t>
      </w:r>
      <w:r>
        <w:rPr>
          <w:rFonts w:hint="eastAsia" w:ascii="宋体" w:hAnsi="宋体" w:eastAsia="宋体" w:cs="宋体"/>
          <w:b/>
          <w:color w:val="auto"/>
          <w:sz w:val="28"/>
          <w:szCs w:val="28"/>
        </w:rPr>
        <w:t>供货数量与合同规定供货数量不符时，单价不予调整</w:t>
      </w:r>
      <w:r>
        <w:rPr>
          <w:rFonts w:hint="eastAsia" w:ascii="宋体" w:hAnsi="宋体" w:eastAsia="宋体" w:cs="宋体"/>
          <w:color w:val="auto"/>
          <w:sz w:val="28"/>
          <w:szCs w:val="28"/>
        </w:rPr>
        <w:t>。</w:t>
      </w:r>
    </w:p>
    <w:p>
      <w:pPr>
        <w:pStyle w:val="15"/>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8、付款方式</w:t>
      </w:r>
      <w:r>
        <w:rPr>
          <w:rFonts w:hint="eastAsia" w:ascii="宋体" w:hAnsi="宋体" w:eastAsia="宋体" w:cs="宋体"/>
          <w:color w:val="auto"/>
          <w:sz w:val="28"/>
          <w:szCs w:val="28"/>
        </w:rPr>
        <w:t>：项目验收合格后，按程序办理付款手续，付合同金额的95%，验收满一年后付合同金额的5%。</w:t>
      </w:r>
    </w:p>
    <w:p>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color w:val="auto"/>
          <w:lang w:eastAsia="zh-CN"/>
        </w:rPr>
        <w:sectPr>
          <w:pgSz w:w="11906" w:h="16838"/>
          <w:pgMar w:top="1134" w:right="1191" w:bottom="1134" w:left="1191" w:header="851" w:footer="624" w:gutter="0"/>
          <w:pgNumType w:fmt="decimal"/>
          <w:cols w:space="425" w:num="1"/>
          <w:docGrid w:type="linesAndChars" w:linePitch="312" w:charSpace="0"/>
        </w:sectPr>
      </w:pPr>
      <w:r>
        <w:rPr>
          <w:rFonts w:hint="eastAsia" w:ascii="宋体" w:hAnsi="宋体" w:eastAsia="宋体" w:cs="宋体"/>
          <w:b/>
          <w:color w:val="auto"/>
          <w:sz w:val="28"/>
          <w:szCs w:val="28"/>
        </w:rPr>
        <w:t>说明：投标人在投标文件《商务要求响应、偏离说明表》中应对以</w:t>
      </w:r>
      <w:r>
        <w:rPr>
          <w:rFonts w:hint="eastAsia" w:ascii="宋体" w:hAnsi="宋体" w:eastAsia="宋体" w:cs="宋体"/>
          <w:b/>
          <w:color w:val="auto"/>
          <w:sz w:val="28"/>
          <w:szCs w:val="28"/>
          <w:lang w:eastAsia="zh-CN"/>
        </w:rPr>
        <w:t>上</w:t>
      </w:r>
      <w:r>
        <w:rPr>
          <w:rFonts w:hint="eastAsia" w:ascii="宋体" w:hAnsi="宋体" w:eastAsia="宋体" w:cs="宋体"/>
          <w:b/>
          <w:color w:val="auto"/>
          <w:sz w:val="28"/>
          <w:szCs w:val="28"/>
        </w:rPr>
        <w:t>商务要求逐条进行响应描述或偏离说明，并提供相应的证明文件佐证。不满足以</w:t>
      </w:r>
      <w:r>
        <w:rPr>
          <w:rFonts w:hint="eastAsia" w:ascii="宋体" w:hAnsi="宋体" w:eastAsia="宋体" w:cs="宋体"/>
          <w:b/>
          <w:color w:val="auto"/>
          <w:sz w:val="28"/>
          <w:szCs w:val="28"/>
          <w:lang w:eastAsia="zh-CN"/>
        </w:rPr>
        <w:t>上</w:t>
      </w:r>
      <w:r>
        <w:rPr>
          <w:rFonts w:hint="eastAsia" w:ascii="宋体" w:hAnsi="宋体" w:eastAsia="宋体" w:cs="宋体"/>
          <w:b/>
          <w:color w:val="auto"/>
          <w:sz w:val="28"/>
          <w:szCs w:val="28"/>
        </w:rPr>
        <w:t>要求或者未提供相应佐证文件的，其投标按照无效投标处理</w:t>
      </w:r>
      <w:r>
        <w:rPr>
          <w:rFonts w:hint="eastAsia" w:ascii="宋体" w:hAnsi="宋体" w:eastAsia="宋体" w:cs="宋体"/>
          <w:b/>
          <w:color w:val="auto"/>
          <w:sz w:val="28"/>
          <w:szCs w:val="28"/>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ind w:left="420" w:hanging="420"/>
        <w:jc w:val="center"/>
        <w:textAlignment w:val="auto"/>
        <w:rPr>
          <w:rFonts w:hint="eastAsia" w:ascii="宋体" w:hAnsi="宋体" w:eastAsia="宋体" w:cs="宋体"/>
          <w:color w:val="auto"/>
        </w:rPr>
      </w:pPr>
      <w:r>
        <w:rPr>
          <w:rFonts w:hint="eastAsia" w:ascii="宋体" w:hAnsi="宋体" w:eastAsia="宋体" w:cs="宋体"/>
          <w:color w:val="auto"/>
        </w:rPr>
        <w:t>资格审查方法及标准</w:t>
      </w:r>
      <w:bookmarkEnd w:id="62"/>
    </w:p>
    <w:p>
      <w:pPr>
        <w:spacing w:line="360" w:lineRule="auto"/>
        <w:ind w:firstLine="420"/>
        <w:rPr>
          <w:rFonts w:hint="eastAsia" w:ascii="宋体" w:hAnsi="宋体" w:eastAsia="宋体" w:cs="宋体"/>
          <w:bCs/>
          <w:color w:val="auto"/>
          <w:sz w:val="24"/>
          <w:szCs w:val="20"/>
          <w:lang w:val="zh-CN" w:eastAsia="zh-CN"/>
        </w:rPr>
      </w:pPr>
      <w:r>
        <w:rPr>
          <w:rFonts w:hint="eastAsia" w:ascii="宋体" w:hAnsi="宋体" w:eastAsia="宋体" w:cs="宋体"/>
          <w:bCs/>
          <w:color w:val="auto"/>
          <w:sz w:val="24"/>
          <w:szCs w:val="20"/>
          <w:lang w:val="zh-CN" w:eastAsia="zh-CN"/>
        </w:rPr>
        <w:t>根据《政府采购法》、《政府采购法实施条例》、《政府采购货物和服务招标投标管理办法》等相关法律法规确定以下资格审查方法及标准</w:t>
      </w:r>
      <w:r>
        <w:rPr>
          <w:rFonts w:hint="eastAsia" w:ascii="宋体" w:hAnsi="宋体" w:eastAsia="宋体" w:cs="宋体"/>
          <w:bCs/>
          <w:color w:val="auto"/>
          <w:sz w:val="24"/>
          <w:szCs w:val="20"/>
          <w:lang w:val="zh-CN"/>
        </w:rPr>
        <w:t>。</w:t>
      </w:r>
    </w:p>
    <w:p>
      <w:pPr>
        <w:pStyle w:val="4"/>
        <w:numPr>
          <w:ilvl w:val="0"/>
          <w:numId w:val="16"/>
        </w:numPr>
        <w:spacing w:before="0" w:after="0" w:line="360" w:lineRule="auto"/>
        <w:ind w:left="616" w:hanging="616"/>
        <w:jc w:val="left"/>
        <w:rPr>
          <w:rFonts w:hint="eastAsia" w:ascii="宋体" w:hAnsi="宋体" w:eastAsia="宋体" w:cs="宋体"/>
          <w:bCs w:val="0"/>
          <w:color w:val="auto"/>
          <w:sz w:val="30"/>
          <w:szCs w:val="30"/>
          <w:lang w:val="zh-CN" w:eastAsia="zh-CN"/>
        </w:rPr>
      </w:pPr>
      <w:bookmarkStart w:id="63" w:name="_Toc494561958"/>
      <w:bookmarkStart w:id="64" w:name="_Toc18266"/>
      <w:r>
        <w:rPr>
          <w:rFonts w:hint="eastAsia" w:ascii="宋体" w:hAnsi="宋体" w:eastAsia="宋体" w:cs="宋体"/>
          <w:bCs w:val="0"/>
          <w:color w:val="auto"/>
          <w:sz w:val="30"/>
          <w:szCs w:val="30"/>
          <w:lang w:val="zh-CN" w:eastAsia="zh-CN"/>
        </w:rPr>
        <w:t>资格审查方法</w:t>
      </w:r>
      <w:bookmarkEnd w:id="63"/>
      <w:bookmarkEnd w:id="64"/>
    </w:p>
    <w:p>
      <w:pPr>
        <w:spacing w:line="360" w:lineRule="auto"/>
        <w:ind w:firstLine="420"/>
        <w:rPr>
          <w:rFonts w:hint="eastAsia" w:ascii="宋体" w:hAnsi="宋体" w:eastAsia="宋体" w:cs="宋体"/>
          <w:bCs/>
          <w:color w:val="auto"/>
          <w:sz w:val="24"/>
          <w:szCs w:val="20"/>
          <w:lang w:val="zh-CN" w:eastAsia="zh-CN"/>
        </w:rPr>
      </w:pPr>
      <w:r>
        <w:rPr>
          <w:rFonts w:hint="eastAsia" w:ascii="宋体" w:hAnsi="宋体" w:eastAsia="宋体" w:cs="宋体"/>
          <w:bCs/>
          <w:color w:val="auto"/>
          <w:sz w:val="24"/>
          <w:szCs w:val="20"/>
          <w:lang w:val="zh-CN"/>
        </w:rPr>
        <w:t>公开招标</w:t>
      </w:r>
      <w:r>
        <w:rPr>
          <w:rFonts w:hint="eastAsia" w:ascii="宋体" w:hAnsi="宋体" w:eastAsia="宋体" w:cs="宋体"/>
          <w:bCs/>
          <w:color w:val="auto"/>
          <w:sz w:val="24"/>
          <w:szCs w:val="20"/>
          <w:lang w:val="zh-CN" w:eastAsia="zh-CN"/>
        </w:rPr>
        <w:t>采购项目开标结束后，采购人与采购代理机构</w:t>
      </w:r>
      <w:r>
        <w:rPr>
          <w:rFonts w:hint="eastAsia" w:ascii="宋体" w:hAnsi="宋体" w:eastAsia="宋体" w:cs="宋体"/>
          <w:bCs/>
          <w:color w:val="auto"/>
          <w:sz w:val="24"/>
          <w:szCs w:val="20"/>
          <w:lang w:val="zh-CN"/>
        </w:rPr>
        <w:t>成立资格审查小组，</w:t>
      </w:r>
      <w:r>
        <w:rPr>
          <w:rFonts w:hint="eastAsia" w:ascii="宋体" w:hAnsi="宋体" w:eastAsia="宋体" w:cs="宋体"/>
          <w:bCs/>
          <w:color w:val="auto"/>
          <w:sz w:val="24"/>
          <w:szCs w:val="20"/>
          <w:lang w:val="zh-CN" w:eastAsia="zh-CN"/>
        </w:rPr>
        <w:t>依据法律、法规及招标文件的规定，对投标人的资格进行审查，以确定投标人资格是否合格。</w:t>
      </w:r>
    </w:p>
    <w:p>
      <w:pPr>
        <w:pStyle w:val="4"/>
        <w:numPr>
          <w:ilvl w:val="0"/>
          <w:numId w:val="16"/>
        </w:numPr>
        <w:spacing w:before="0" w:after="0" w:line="360" w:lineRule="auto"/>
        <w:ind w:left="616" w:hanging="616"/>
        <w:jc w:val="left"/>
        <w:rPr>
          <w:rFonts w:hint="eastAsia" w:ascii="宋体" w:hAnsi="宋体" w:eastAsia="宋体" w:cs="宋体"/>
          <w:bCs w:val="0"/>
          <w:color w:val="auto"/>
          <w:sz w:val="30"/>
          <w:szCs w:val="30"/>
          <w:lang w:val="zh-CN" w:eastAsia="zh-CN"/>
        </w:rPr>
      </w:pPr>
      <w:bookmarkStart w:id="65" w:name="_Toc30067"/>
      <w:bookmarkStart w:id="66" w:name="_Toc494561959"/>
      <w:r>
        <w:rPr>
          <w:rFonts w:hint="eastAsia" w:ascii="宋体" w:hAnsi="宋体" w:eastAsia="宋体" w:cs="宋体"/>
          <w:bCs w:val="0"/>
          <w:color w:val="auto"/>
          <w:sz w:val="30"/>
          <w:szCs w:val="30"/>
          <w:lang w:val="zh-CN" w:eastAsia="zh-CN"/>
        </w:rPr>
        <w:t>资格审查标准</w:t>
      </w:r>
      <w:bookmarkEnd w:id="65"/>
      <w:bookmarkEnd w:id="66"/>
    </w:p>
    <w:p>
      <w:pPr>
        <w:numPr>
          <w:ilvl w:val="0"/>
          <w:numId w:val="17"/>
        </w:numPr>
        <w:tabs>
          <w:tab w:val="left" w:pos="616"/>
        </w:tabs>
        <w:spacing w:line="360" w:lineRule="auto"/>
        <w:ind w:left="14" w:firstLine="238"/>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资格证明文件审查</w:t>
      </w:r>
    </w:p>
    <w:p>
      <w:pPr>
        <w:tabs>
          <w:tab w:val="left" w:pos="616"/>
        </w:tabs>
        <w:spacing w:line="360" w:lineRule="auto"/>
        <w:ind w:firstLine="420"/>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eastAsia="zh-CN"/>
        </w:rPr>
        <w:t>所递交的资格证明文件出现不符合下列情形之一或不足以证明其符合下列情形之一的，</w:t>
      </w:r>
      <w:r>
        <w:rPr>
          <w:rFonts w:hint="eastAsia" w:ascii="宋体" w:hAnsi="宋体" w:eastAsia="宋体" w:cs="宋体"/>
          <w:color w:val="auto"/>
          <w:kern w:val="0"/>
          <w:sz w:val="24"/>
          <w:szCs w:val="24"/>
          <w:lang w:val="zh-CN"/>
        </w:rPr>
        <w:t>应</w:t>
      </w:r>
      <w:r>
        <w:rPr>
          <w:rFonts w:hint="eastAsia" w:ascii="宋体" w:hAnsi="宋体" w:eastAsia="宋体" w:cs="宋体"/>
          <w:color w:val="auto"/>
          <w:kern w:val="0"/>
          <w:sz w:val="24"/>
          <w:szCs w:val="24"/>
          <w:lang w:val="zh-CN" w:eastAsia="zh-CN"/>
        </w:rPr>
        <w:t>视为资格审查不合格，并按照</w:t>
      </w:r>
      <w:r>
        <w:rPr>
          <w:rFonts w:hint="eastAsia" w:ascii="宋体" w:hAnsi="宋体" w:eastAsia="宋体" w:cs="宋体"/>
          <w:b/>
          <w:color w:val="auto"/>
          <w:kern w:val="0"/>
          <w:sz w:val="24"/>
          <w:szCs w:val="24"/>
          <w:lang w:val="zh-CN" w:eastAsia="zh-CN"/>
        </w:rPr>
        <w:t>无效投标处理：</w:t>
      </w:r>
    </w:p>
    <w:p>
      <w:pPr>
        <w:pStyle w:val="14"/>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应具备《政府采购法》第二十二条第一款规定的条件，</w:t>
      </w:r>
      <w:r>
        <w:rPr>
          <w:rFonts w:hint="eastAsia" w:ascii="宋体" w:hAnsi="宋体" w:eastAsia="宋体" w:cs="宋体"/>
          <w:color w:val="auto"/>
          <w:sz w:val="24"/>
          <w:szCs w:val="24"/>
        </w:rPr>
        <w:t>提供下列材料</w:t>
      </w:r>
      <w:r>
        <w:rPr>
          <w:rFonts w:hint="eastAsia" w:ascii="宋体" w:hAnsi="宋体" w:eastAsia="宋体" w:cs="宋体"/>
          <w:color w:val="auto"/>
          <w:sz w:val="24"/>
          <w:szCs w:val="24"/>
          <w:lang w:val="zh-CN"/>
        </w:rPr>
        <w:t>：</w:t>
      </w:r>
    </w:p>
    <w:p>
      <w:pPr>
        <w:pStyle w:val="14"/>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法人或者其他组织的营业执照等证明文件，自然人的身份证明；</w:t>
      </w:r>
    </w:p>
    <w:p>
      <w:pPr>
        <w:pStyle w:val="14"/>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财务状况报告，依法缴纳税收和社会保障资金的相关材料；</w:t>
      </w:r>
    </w:p>
    <w:p>
      <w:pPr>
        <w:pStyle w:val="14"/>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具备履行合同所必需的设备和专业技术能力的证明材料；</w:t>
      </w:r>
    </w:p>
    <w:p>
      <w:pPr>
        <w:pStyle w:val="14"/>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参加政府采购活动前3年内在经营活动中没有重大违法记录的书面声明；</w:t>
      </w:r>
    </w:p>
    <w:p>
      <w:pPr>
        <w:pStyle w:val="14"/>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具备法律、行政法规规定的其他条件的证明材料。</w:t>
      </w:r>
    </w:p>
    <w:p>
      <w:pPr>
        <w:pStyle w:val="14"/>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未被“信用中国”网站(www.creditchina.gov.cn)列入失信被执行人、重大税收违法案件当事人名单、</w:t>
      </w:r>
      <w:r>
        <w:rPr>
          <w:rFonts w:hint="eastAsia" w:ascii="宋体" w:hAnsi="宋体" w:eastAsia="宋体" w:cs="宋体"/>
          <w:color w:val="auto"/>
          <w:sz w:val="24"/>
          <w:szCs w:val="24"/>
        </w:rPr>
        <w:t>“中国政府采购网”（www.ccgp.gov.cn）政府采购严重违法失信行为记录名单</w:t>
      </w:r>
      <w:r>
        <w:rPr>
          <w:rFonts w:hint="eastAsia" w:ascii="宋体" w:hAnsi="宋体" w:eastAsia="宋体" w:cs="宋体"/>
          <w:color w:val="auto"/>
          <w:sz w:val="24"/>
          <w:szCs w:val="24"/>
          <w:lang w:val="zh-CN"/>
        </w:rPr>
        <w:t>的书面申明及该网站查询结果页面截图；</w:t>
      </w:r>
    </w:p>
    <w:p>
      <w:pPr>
        <w:pStyle w:val="14"/>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招标文件第一章“投标人资格要求”中有特殊要求的，投标人应提供其符合特殊要求的证明材料或者情况说明；</w:t>
      </w:r>
    </w:p>
    <w:p>
      <w:pPr>
        <w:pStyle w:val="14"/>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不符合联合体投标相关规定和要求的；</w:t>
      </w:r>
    </w:p>
    <w:p>
      <w:pPr>
        <w:pStyle w:val="14"/>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投标人认为需提供的其它相关资格证明材料；</w:t>
      </w:r>
    </w:p>
    <w:p>
      <w:pPr>
        <w:pStyle w:val="14"/>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资格证明文件正本应为清晰彩色影印件且加盖单位公章。</w:t>
      </w:r>
    </w:p>
    <w:p>
      <w:pPr>
        <w:numPr>
          <w:ilvl w:val="0"/>
          <w:numId w:val="17"/>
        </w:numPr>
        <w:tabs>
          <w:tab w:val="left" w:pos="616"/>
        </w:tabs>
        <w:spacing w:line="360" w:lineRule="auto"/>
        <w:ind w:left="14" w:firstLine="238"/>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确定资格审查合格投标人</w:t>
      </w:r>
    </w:p>
    <w:p>
      <w:pPr>
        <w:pStyle w:val="15"/>
        <w:numPr>
          <w:ilvl w:val="0"/>
          <w:numId w:val="20"/>
        </w:numPr>
        <w:tabs>
          <w:tab w:val="left" w:pos="840"/>
        </w:tabs>
        <w:spacing w:line="360" w:lineRule="auto"/>
        <w:ind w:hanging="602"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15"/>
        <w:numPr>
          <w:ilvl w:val="0"/>
          <w:numId w:val="20"/>
        </w:numPr>
        <w:tabs>
          <w:tab w:val="left" w:pos="840"/>
        </w:tabs>
        <w:spacing w:line="360" w:lineRule="auto"/>
        <w:ind w:hanging="602"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资格审查合格投标人不足3家的，不进行评标。</w:t>
      </w:r>
    </w:p>
    <w:p>
      <w:pPr>
        <w:pStyle w:val="15"/>
        <w:numPr>
          <w:ilvl w:val="0"/>
          <w:numId w:val="20"/>
        </w:numPr>
        <w:tabs>
          <w:tab w:val="left" w:pos="840"/>
        </w:tabs>
        <w:spacing w:line="360" w:lineRule="auto"/>
        <w:ind w:hanging="602"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资格审查未通过的投标人可在结果公告质疑有效期内按公告中的联系方式获知本</w:t>
      </w:r>
      <w:r>
        <w:rPr>
          <w:rFonts w:hint="eastAsia" w:ascii="宋体" w:hAnsi="宋体" w:eastAsia="宋体" w:cs="宋体"/>
          <w:color w:val="auto"/>
          <w:sz w:val="24"/>
          <w:szCs w:val="24"/>
          <w:lang w:val="zh-CN"/>
        </w:rPr>
        <w:t>单位</w:t>
      </w:r>
      <w:r>
        <w:rPr>
          <w:rFonts w:hint="eastAsia" w:ascii="宋体" w:hAnsi="宋体" w:eastAsia="宋体" w:cs="宋体"/>
          <w:color w:val="auto"/>
          <w:sz w:val="24"/>
          <w:szCs w:val="24"/>
          <w:lang w:val="zh-CN" w:eastAsia="zh-CN"/>
        </w:rPr>
        <w:t>的资格审查情况。</w:t>
      </w:r>
    </w:p>
    <w:p>
      <w:pPr>
        <w:pStyle w:val="15"/>
        <w:numPr>
          <w:ilvl w:val="0"/>
          <w:numId w:val="20"/>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采购人已进行资格预审的，不再</w:t>
      </w:r>
      <w:r>
        <w:rPr>
          <w:rFonts w:hint="eastAsia" w:ascii="宋体" w:hAnsi="宋体" w:eastAsia="宋体" w:cs="宋体"/>
          <w:color w:val="auto"/>
          <w:sz w:val="24"/>
          <w:szCs w:val="24"/>
          <w:lang w:val="zh-CN"/>
        </w:rPr>
        <w:t>进行</w:t>
      </w:r>
      <w:r>
        <w:rPr>
          <w:rFonts w:hint="eastAsia" w:ascii="宋体" w:hAnsi="宋体" w:eastAsia="宋体" w:cs="宋体"/>
          <w:color w:val="auto"/>
          <w:sz w:val="24"/>
          <w:szCs w:val="24"/>
          <w:lang w:val="zh-CN" w:eastAsia="zh-CN"/>
        </w:rPr>
        <w:t>资格审查。</w:t>
      </w:r>
      <w:r>
        <w:rPr>
          <w:rFonts w:hint="eastAsia" w:ascii="宋体" w:hAnsi="宋体" w:eastAsia="宋体" w:cs="宋体"/>
          <w:color w:val="auto"/>
          <w:sz w:val="24"/>
          <w:szCs w:val="24"/>
          <w:lang w:val="zh-CN"/>
        </w:rPr>
        <w:t>未通过资格预审的投标人采购代理采购机构</w:t>
      </w:r>
      <w:r>
        <w:rPr>
          <w:rFonts w:hint="eastAsia" w:ascii="宋体" w:hAnsi="宋体" w:eastAsia="宋体" w:cs="宋体"/>
          <w:b/>
          <w:color w:val="auto"/>
          <w:sz w:val="24"/>
          <w:szCs w:val="24"/>
          <w:lang w:val="zh-CN"/>
        </w:rPr>
        <w:t>拒绝</w:t>
      </w:r>
      <w:r>
        <w:rPr>
          <w:rFonts w:hint="eastAsia" w:ascii="宋体" w:hAnsi="宋体" w:eastAsia="宋体" w:cs="宋体"/>
          <w:color w:val="auto"/>
          <w:sz w:val="24"/>
          <w:szCs w:val="24"/>
          <w:lang w:val="zh-CN"/>
        </w:rPr>
        <w:t>其投标。</w:t>
      </w:r>
    </w:p>
    <w:p>
      <w:pPr>
        <w:widowControl/>
        <w:tabs>
          <w:tab w:val="left" w:pos="1800"/>
        </w:tabs>
        <w:spacing w:line="360" w:lineRule="auto"/>
        <w:outlineLvl w:val="1"/>
        <w:rPr>
          <w:rFonts w:hint="eastAsia" w:ascii="宋体" w:hAnsi="宋体" w:cs="宋体"/>
          <w:b/>
          <w:bCs/>
          <w:color w:val="auto"/>
          <w:kern w:val="0"/>
          <w:sz w:val="30"/>
          <w:szCs w:val="30"/>
        </w:rPr>
        <w:sectPr>
          <w:pgSz w:w="11906" w:h="16838"/>
          <w:pgMar w:top="1134" w:right="1191" w:bottom="1134" w:left="1191" w:header="851" w:footer="624" w:gutter="0"/>
          <w:pgNumType w:fmt="decimal"/>
          <w:cols w:space="425" w:num="1"/>
          <w:docGrid w:type="linesAndChars" w:linePitch="312" w:charSpace="0"/>
        </w:sectPr>
      </w:pP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ind w:left="420" w:hanging="420"/>
        <w:jc w:val="center"/>
        <w:textAlignment w:val="auto"/>
        <w:rPr>
          <w:rFonts w:hint="eastAsia" w:ascii="宋体" w:hAnsi="宋体" w:eastAsia="宋体" w:cs="宋体"/>
          <w:color w:val="auto"/>
        </w:rPr>
      </w:pPr>
      <w:bookmarkStart w:id="67" w:name="_Toc19488"/>
      <w:r>
        <w:rPr>
          <w:rFonts w:hint="eastAsia" w:ascii="宋体" w:hAnsi="宋体" w:eastAsia="宋体" w:cs="宋体"/>
          <w:color w:val="auto"/>
        </w:rPr>
        <w:t>评标方法、程序及标准</w:t>
      </w:r>
      <w:bookmarkEnd w:id="67"/>
    </w:p>
    <w:p>
      <w:pPr>
        <w:spacing w:line="360" w:lineRule="auto"/>
        <w:ind w:firstLine="480" w:firstLineChars="200"/>
        <w:rPr>
          <w:rFonts w:hint="eastAsia" w:ascii="宋体" w:hAnsi="宋体" w:eastAsia="宋体" w:cs="宋体"/>
          <w:bCs/>
          <w:color w:val="auto"/>
          <w:sz w:val="24"/>
          <w:szCs w:val="20"/>
          <w:lang w:val="zh-CN" w:eastAsia="zh-CN"/>
        </w:rPr>
      </w:pPr>
      <w:r>
        <w:rPr>
          <w:rFonts w:hint="eastAsia" w:ascii="宋体" w:hAnsi="宋体" w:eastAsia="宋体" w:cs="宋体"/>
          <w:bCs/>
          <w:color w:val="auto"/>
          <w:sz w:val="24"/>
          <w:szCs w:val="20"/>
          <w:lang w:val="zh-CN" w:eastAsia="zh-CN"/>
        </w:rPr>
        <w:t>根据《政府采购法》、《政府采购法实施条例》、《政府采购货物和服务招标投标管理办法》等相关</w:t>
      </w:r>
      <w:r>
        <w:rPr>
          <w:rFonts w:hint="eastAsia" w:ascii="宋体" w:hAnsi="宋体" w:eastAsia="宋体" w:cs="宋体"/>
          <w:bCs/>
          <w:color w:val="auto"/>
          <w:sz w:val="24"/>
          <w:szCs w:val="20"/>
          <w:lang w:val="zh-CN"/>
        </w:rPr>
        <w:t>法律法规</w:t>
      </w:r>
      <w:r>
        <w:rPr>
          <w:rFonts w:hint="eastAsia" w:ascii="宋体" w:hAnsi="宋体" w:eastAsia="宋体" w:cs="宋体"/>
          <w:bCs/>
          <w:color w:val="auto"/>
          <w:sz w:val="24"/>
          <w:szCs w:val="20"/>
          <w:lang w:val="zh-CN" w:eastAsia="zh-CN"/>
        </w:rPr>
        <w:t>确定以下评标办法、程序及标准。</w:t>
      </w:r>
    </w:p>
    <w:p>
      <w:pPr>
        <w:pStyle w:val="4"/>
        <w:numPr>
          <w:ilvl w:val="0"/>
          <w:numId w:val="21"/>
        </w:numPr>
        <w:spacing w:before="0" w:after="0" w:line="360" w:lineRule="auto"/>
        <w:ind w:left="616" w:hanging="616"/>
        <w:jc w:val="left"/>
        <w:rPr>
          <w:rFonts w:hint="eastAsia" w:ascii="宋体" w:hAnsi="宋体" w:eastAsia="宋体" w:cs="宋体"/>
          <w:bCs w:val="0"/>
          <w:color w:val="auto"/>
          <w:sz w:val="30"/>
          <w:szCs w:val="30"/>
          <w:lang w:val="zh-CN" w:eastAsia="zh-CN"/>
        </w:rPr>
      </w:pPr>
      <w:bookmarkStart w:id="68" w:name="_Toc278891605"/>
      <w:bookmarkStart w:id="69" w:name="_Toc272247708"/>
      <w:bookmarkStart w:id="70" w:name="_Toc4000"/>
      <w:bookmarkStart w:id="71" w:name="_Toc494561961"/>
      <w:r>
        <w:rPr>
          <w:rFonts w:hint="eastAsia" w:ascii="宋体" w:hAnsi="宋体" w:eastAsia="宋体" w:cs="宋体"/>
          <w:bCs w:val="0"/>
          <w:color w:val="auto"/>
          <w:sz w:val="30"/>
          <w:szCs w:val="30"/>
          <w:lang w:val="zh-CN" w:eastAsia="zh-CN"/>
        </w:rPr>
        <w:t>评标</w:t>
      </w:r>
      <w:bookmarkEnd w:id="68"/>
      <w:bookmarkEnd w:id="69"/>
      <w:r>
        <w:rPr>
          <w:rFonts w:hint="eastAsia" w:ascii="宋体" w:hAnsi="宋体" w:eastAsia="宋体" w:cs="宋体"/>
          <w:bCs w:val="0"/>
          <w:color w:val="auto"/>
          <w:sz w:val="30"/>
          <w:szCs w:val="30"/>
          <w:lang w:val="zh-CN" w:eastAsia="zh-CN"/>
        </w:rPr>
        <w:t>方法</w:t>
      </w:r>
      <w:bookmarkEnd w:id="70"/>
      <w:bookmarkEnd w:id="71"/>
    </w:p>
    <w:p>
      <w:pPr>
        <w:spacing w:line="360" w:lineRule="auto"/>
        <w:ind w:firstLine="480" w:firstLineChars="200"/>
        <w:rPr>
          <w:rFonts w:hint="eastAsia" w:ascii="宋体" w:hAnsi="宋体" w:eastAsia="宋体" w:cs="宋体"/>
          <w:bCs/>
          <w:color w:val="auto"/>
          <w:sz w:val="24"/>
          <w:szCs w:val="20"/>
          <w:lang w:val="zh-CN" w:eastAsia="zh-CN"/>
        </w:rPr>
      </w:pPr>
      <w:r>
        <w:rPr>
          <w:rFonts w:hint="eastAsia" w:ascii="宋体" w:hAnsi="宋体" w:eastAsia="宋体" w:cs="宋体"/>
          <w:bCs/>
          <w:color w:val="auto"/>
          <w:sz w:val="24"/>
          <w:szCs w:val="20"/>
          <w:lang w:val="zh-CN" w:eastAsia="zh-CN"/>
        </w:rPr>
        <w:t>本项目评标采用</w:t>
      </w:r>
      <w:r>
        <w:rPr>
          <w:rFonts w:hint="eastAsia" w:ascii="宋体" w:hAnsi="宋体" w:eastAsia="宋体" w:cs="宋体"/>
          <w:bCs/>
          <w:color w:val="auto"/>
          <w:sz w:val="24"/>
          <w:szCs w:val="20"/>
          <w:lang w:val="zh-CN"/>
        </w:rPr>
        <w:t>综合评分法</w:t>
      </w:r>
      <w:r>
        <w:rPr>
          <w:rFonts w:hint="eastAsia" w:ascii="宋体" w:hAnsi="宋体" w:eastAsia="宋体" w:cs="宋体"/>
          <w:bCs/>
          <w:color w:val="auto"/>
          <w:sz w:val="24"/>
          <w:szCs w:val="20"/>
          <w:lang w:val="zh-CN" w:eastAsia="zh-CN"/>
        </w:rPr>
        <w:t>，</w:t>
      </w:r>
      <w:r>
        <w:rPr>
          <w:rFonts w:hint="eastAsia" w:ascii="宋体" w:hAnsi="宋体" w:eastAsia="宋体"/>
          <w:bCs/>
          <w:color w:val="auto"/>
          <w:sz w:val="24"/>
          <w:szCs w:val="24"/>
          <w:lang w:val="zh-CN"/>
        </w:rPr>
        <w:t>是指投标文件满足招标文件全部实质性要求，且按照评审因素的量化指标评审得分最高的投标人为中标候选人的评标方法</w:t>
      </w:r>
      <w:r>
        <w:rPr>
          <w:rFonts w:hint="eastAsia" w:ascii="宋体" w:hAnsi="宋体" w:eastAsia="宋体" w:cs="宋体"/>
          <w:bCs/>
          <w:color w:val="auto"/>
          <w:sz w:val="24"/>
          <w:szCs w:val="20"/>
          <w:lang w:val="zh-CN"/>
        </w:rPr>
        <w:t>。</w:t>
      </w:r>
    </w:p>
    <w:p>
      <w:pPr>
        <w:pStyle w:val="4"/>
        <w:numPr>
          <w:ilvl w:val="0"/>
          <w:numId w:val="21"/>
        </w:numPr>
        <w:spacing w:before="0" w:after="0" w:line="360" w:lineRule="auto"/>
        <w:ind w:left="616" w:hanging="616"/>
        <w:jc w:val="left"/>
        <w:rPr>
          <w:rFonts w:hint="eastAsia" w:ascii="宋体" w:hAnsi="宋体" w:eastAsia="宋体" w:cs="宋体"/>
          <w:bCs w:val="0"/>
          <w:color w:val="auto"/>
          <w:sz w:val="30"/>
          <w:szCs w:val="30"/>
          <w:lang w:val="zh-CN" w:eastAsia="zh-CN"/>
        </w:rPr>
      </w:pPr>
      <w:bookmarkStart w:id="72" w:name="_Toc278891606"/>
      <w:bookmarkStart w:id="73" w:name="_Toc272247709"/>
      <w:bookmarkStart w:id="74" w:name="_Toc494561962"/>
      <w:bookmarkStart w:id="75" w:name="_Toc28471"/>
      <w:r>
        <w:rPr>
          <w:rFonts w:hint="eastAsia" w:ascii="宋体" w:hAnsi="宋体" w:eastAsia="宋体" w:cs="宋体"/>
          <w:bCs w:val="0"/>
          <w:color w:val="auto"/>
          <w:sz w:val="30"/>
          <w:szCs w:val="30"/>
          <w:lang w:val="zh-CN" w:eastAsia="zh-CN"/>
        </w:rPr>
        <w:t>评标程序</w:t>
      </w:r>
      <w:bookmarkEnd w:id="72"/>
      <w:bookmarkEnd w:id="73"/>
      <w:r>
        <w:rPr>
          <w:rFonts w:hint="eastAsia" w:ascii="宋体" w:hAnsi="宋体" w:eastAsia="宋体" w:cs="宋体"/>
          <w:bCs w:val="0"/>
          <w:color w:val="auto"/>
          <w:sz w:val="30"/>
          <w:szCs w:val="30"/>
          <w:lang w:val="zh-CN" w:eastAsia="zh-CN"/>
        </w:rPr>
        <w:t>及标准</w:t>
      </w:r>
      <w:bookmarkEnd w:id="74"/>
      <w:bookmarkEnd w:id="75"/>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eastAsia="zh-CN"/>
        </w:rPr>
        <w:t>评标委员会按以下工作程序进行评标</w:t>
      </w:r>
      <w:r>
        <w:rPr>
          <w:rFonts w:hint="eastAsia" w:ascii="宋体" w:hAnsi="宋体" w:eastAsia="宋体" w:cs="宋体"/>
          <w:bCs/>
          <w:color w:val="auto"/>
          <w:sz w:val="24"/>
          <w:szCs w:val="20"/>
          <w:lang w:val="zh-CN"/>
        </w:rPr>
        <w:t>：</w:t>
      </w:r>
      <w:r>
        <w:rPr>
          <w:rFonts w:hint="eastAsia" w:ascii="宋体" w:hAnsi="宋体" w:eastAsia="宋体" w:cs="宋体"/>
          <w:color w:val="auto"/>
          <w:sz w:val="24"/>
          <w:szCs w:val="20"/>
          <w:lang w:val="zh-CN"/>
        </w:rPr>
        <w:t>符合性审查、</w:t>
      </w:r>
      <w:r>
        <w:rPr>
          <w:rFonts w:hint="eastAsia" w:ascii="宋体" w:hAnsi="宋体" w:eastAsia="宋体" w:cs="宋体"/>
          <w:color w:val="auto"/>
          <w:sz w:val="24"/>
          <w:szCs w:val="20"/>
          <w:lang w:val="zh-CN" w:eastAsia="zh-CN"/>
        </w:rPr>
        <w:t>澄清有关问题</w:t>
      </w:r>
      <w:r>
        <w:rPr>
          <w:rFonts w:hint="eastAsia" w:ascii="宋体" w:hAnsi="宋体" w:eastAsia="宋体" w:cs="宋体"/>
          <w:color w:val="auto"/>
          <w:sz w:val="24"/>
          <w:szCs w:val="20"/>
          <w:lang w:val="zh-CN"/>
        </w:rPr>
        <w:t>、综合</w:t>
      </w:r>
      <w:r>
        <w:rPr>
          <w:rFonts w:hint="eastAsia" w:ascii="宋体" w:hAnsi="宋体" w:eastAsia="宋体" w:cs="宋体"/>
          <w:color w:val="auto"/>
          <w:sz w:val="24"/>
          <w:szCs w:val="20"/>
          <w:lang w:val="zh-CN" w:eastAsia="zh-CN"/>
        </w:rPr>
        <w:t>比较</w:t>
      </w:r>
      <w:r>
        <w:rPr>
          <w:rFonts w:hint="eastAsia" w:ascii="宋体" w:hAnsi="宋体" w:eastAsia="宋体" w:cs="宋体"/>
          <w:color w:val="auto"/>
          <w:sz w:val="24"/>
          <w:szCs w:val="20"/>
          <w:lang w:val="zh-CN"/>
        </w:rPr>
        <w:t>和</w:t>
      </w:r>
      <w:r>
        <w:rPr>
          <w:rFonts w:hint="eastAsia" w:ascii="宋体" w:hAnsi="宋体" w:eastAsia="宋体" w:cs="宋体"/>
          <w:color w:val="auto"/>
          <w:sz w:val="24"/>
          <w:szCs w:val="20"/>
          <w:lang w:val="zh-CN" w:eastAsia="zh-CN"/>
        </w:rPr>
        <w:t>评价</w:t>
      </w:r>
      <w:r>
        <w:rPr>
          <w:rFonts w:hint="eastAsia" w:ascii="宋体" w:hAnsi="宋体" w:eastAsia="宋体" w:cs="宋体"/>
          <w:color w:val="auto"/>
          <w:sz w:val="24"/>
          <w:szCs w:val="20"/>
          <w:lang w:val="zh-CN"/>
        </w:rPr>
        <w:t>、确定</w:t>
      </w:r>
      <w:r>
        <w:rPr>
          <w:rFonts w:hint="eastAsia" w:ascii="宋体" w:hAnsi="宋体" w:eastAsia="宋体" w:cs="宋体"/>
          <w:color w:val="auto"/>
          <w:sz w:val="24"/>
          <w:szCs w:val="20"/>
          <w:lang w:val="zh-CN" w:eastAsia="zh-CN"/>
        </w:rPr>
        <w:t>中标候选人名单。</w:t>
      </w:r>
    </w:p>
    <w:p>
      <w:pPr>
        <w:numPr>
          <w:ilvl w:val="0"/>
          <w:numId w:val="22"/>
        </w:numPr>
        <w:ind w:left="1311" w:leftChars="154" w:hanging="988" w:hangingChars="353"/>
        <w:rPr>
          <w:rFonts w:hint="eastAsia" w:ascii="宋体" w:hAnsi="宋体" w:eastAsia="宋体" w:cs="宋体"/>
          <w:strike/>
          <w:color w:val="auto"/>
          <w:sz w:val="28"/>
          <w:szCs w:val="28"/>
          <w:lang w:val="zh-CN"/>
        </w:rPr>
      </w:pPr>
      <w:r>
        <w:rPr>
          <w:rFonts w:hint="eastAsia" w:ascii="宋体" w:hAnsi="宋体" w:eastAsia="宋体" w:cs="宋体"/>
          <w:b/>
          <w:color w:val="auto"/>
          <w:sz w:val="28"/>
          <w:szCs w:val="28"/>
          <w:lang w:val="zh-CN"/>
        </w:rPr>
        <w:t>符合性审查</w:t>
      </w:r>
    </w:p>
    <w:p>
      <w:pPr>
        <w:spacing w:line="360" w:lineRule="auto"/>
        <w:ind w:firstLine="470" w:firstLineChars="196"/>
        <w:rPr>
          <w:rFonts w:hint="eastAsia" w:ascii="宋体" w:hAnsi="宋体" w:eastAsia="宋体" w:cs="宋体"/>
          <w:bCs/>
          <w:color w:val="auto"/>
          <w:sz w:val="24"/>
          <w:szCs w:val="20"/>
          <w:lang w:val="zh-CN"/>
        </w:rPr>
      </w:pPr>
      <w:r>
        <w:rPr>
          <w:rFonts w:hint="eastAsia" w:ascii="宋体" w:hAnsi="宋体" w:eastAsia="宋体" w:cs="宋体"/>
          <w:color w:val="auto"/>
          <w:kern w:val="0"/>
          <w:sz w:val="24"/>
          <w:szCs w:val="24"/>
          <w:lang w:val="zh-CN" w:eastAsia="zh-CN"/>
        </w:rPr>
        <w:t>评标委员会应当对符合资格的投标人的投标文件进行符合性审查，以确定其是否满足招标文件的实质性要求。</w:t>
      </w:r>
      <w:r>
        <w:rPr>
          <w:rFonts w:hint="eastAsia" w:ascii="宋体" w:hAnsi="宋体" w:eastAsia="宋体" w:cs="宋体"/>
          <w:bCs/>
          <w:color w:val="auto"/>
          <w:sz w:val="24"/>
          <w:szCs w:val="20"/>
          <w:lang w:val="zh-CN" w:eastAsia="zh-CN"/>
        </w:rPr>
        <w:t>符合性</w:t>
      </w:r>
      <w:r>
        <w:rPr>
          <w:rFonts w:hint="eastAsia" w:ascii="宋体" w:hAnsi="宋体" w:eastAsia="宋体" w:cs="宋体"/>
          <w:bCs/>
          <w:color w:val="auto"/>
          <w:sz w:val="24"/>
          <w:szCs w:val="20"/>
          <w:lang w:val="zh-CN"/>
        </w:rPr>
        <w:t>审查</w:t>
      </w:r>
      <w:r>
        <w:rPr>
          <w:rFonts w:hint="eastAsia" w:ascii="宋体" w:hAnsi="宋体" w:eastAsia="宋体" w:cs="宋体"/>
          <w:bCs/>
          <w:color w:val="auto"/>
          <w:sz w:val="24"/>
          <w:szCs w:val="20"/>
          <w:lang w:val="zh-CN" w:eastAsia="zh-CN"/>
        </w:rPr>
        <w:t>出现下列情形之一的投标</w:t>
      </w:r>
      <w:r>
        <w:rPr>
          <w:rFonts w:hint="eastAsia" w:ascii="宋体" w:hAnsi="宋体" w:eastAsia="宋体" w:cs="宋体"/>
          <w:bCs/>
          <w:color w:val="auto"/>
          <w:sz w:val="24"/>
          <w:szCs w:val="20"/>
          <w:lang w:val="zh-CN"/>
        </w:rPr>
        <w:t>按照</w:t>
      </w:r>
      <w:r>
        <w:rPr>
          <w:rFonts w:hint="eastAsia" w:ascii="宋体" w:hAnsi="宋体" w:eastAsia="宋体" w:cs="宋体"/>
          <w:b/>
          <w:bCs/>
          <w:color w:val="auto"/>
          <w:sz w:val="24"/>
          <w:szCs w:val="20"/>
          <w:lang w:val="zh-CN" w:eastAsia="zh-CN"/>
        </w:rPr>
        <w:t>无效投标</w:t>
      </w:r>
      <w:r>
        <w:rPr>
          <w:rFonts w:hint="eastAsia" w:ascii="宋体" w:hAnsi="宋体" w:eastAsia="宋体" w:cs="宋体"/>
          <w:b/>
          <w:bCs/>
          <w:color w:val="auto"/>
          <w:sz w:val="24"/>
          <w:szCs w:val="20"/>
          <w:lang w:val="zh-CN"/>
        </w:rPr>
        <w:t>处理</w:t>
      </w:r>
      <w:r>
        <w:rPr>
          <w:rFonts w:hint="eastAsia" w:ascii="宋体" w:hAnsi="宋体" w:eastAsia="宋体" w:cs="宋体"/>
          <w:bCs/>
          <w:color w:val="auto"/>
          <w:sz w:val="24"/>
          <w:szCs w:val="20"/>
          <w:lang w:val="zh-CN" w:eastAsia="zh-CN"/>
        </w:rPr>
        <w:t>：</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投标总报价超过项目（分包）预算金额或最高限价的；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《投标书》、《法定代表人授权书》、《开标一览表》、《投标报价明细表》未提供或不符合招标文件要求的；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工期（服务期限）、质保期不符合招标文件要求的；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出现两个或两个以上不同报价的；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出现两个或两个以上投标方案的（招标文件中要求提供备选方案的除外）；</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投标报价存在缺项、漏项的；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投标有效期不足的；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无法定代表人签字（签章）或签字（签章）人无法定代表人有效授权的；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正本未按要求提供加盖公章及签字（签章）原件的；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符合招标文件第二章“投标人须知”中</w:t>
      </w:r>
      <w:r>
        <w:rPr>
          <w:rFonts w:hint="eastAsia" w:ascii="宋体" w:hAnsi="宋体" w:eastAsia="宋体" w:cs="宋体"/>
          <w:color w:val="auto"/>
          <w:sz w:val="24"/>
          <w:szCs w:val="24"/>
          <w:lang w:val="en-US" w:eastAsia="zh-CN"/>
        </w:rPr>
        <w:t>40条</w:t>
      </w:r>
      <w:r>
        <w:rPr>
          <w:rFonts w:hint="eastAsia" w:ascii="宋体" w:hAnsi="宋体" w:eastAsia="宋体" w:cs="宋体"/>
          <w:color w:val="auto"/>
          <w:sz w:val="24"/>
          <w:szCs w:val="24"/>
          <w:lang w:val="zh-CN"/>
        </w:rPr>
        <w:t>中规定情形，以分公司形式参与投标的，法定代表人授权书未由总公司法定代表人签字（盖章）并加盖公章的；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未按要求提供招标文件第二章“十、其他注意事项”中规定的书面声明的；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未提供所投货物（工程或服务）的具体参数值或功能表述，或原文复制招标文件的技术规格相关部分内容作为其投标文件的一部分的；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不满足招标文件第三章“项目技术、服务和商务要求”要求的；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含有采购人不能接受的附加条件的；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23"/>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法律、法规和招标文件规定的其他无效投标情形。</w:t>
      </w:r>
    </w:p>
    <w:p>
      <w:pPr>
        <w:numPr>
          <w:ilvl w:val="0"/>
          <w:numId w:val="22"/>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澄清有关问题</w:t>
      </w:r>
    </w:p>
    <w:p>
      <w:pPr>
        <w:numPr>
          <w:ilvl w:val="0"/>
          <w:numId w:val="24"/>
        </w:numPr>
        <w:tabs>
          <w:tab w:val="left" w:pos="616"/>
        </w:tabs>
        <w:spacing w:line="360" w:lineRule="auto"/>
        <w:ind w:left="10" w:leftChars="5" w:firstLine="237" w:firstLineChars="9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评标期间，对于投标文件中含义不明确、同类问题表述不一致或者有明显文字和计算错误的内容，评标委员会应当以书面形式要求投标人作出必要的澄清、说明或者补正。</w:t>
      </w:r>
    </w:p>
    <w:p>
      <w:pPr>
        <w:numPr>
          <w:ilvl w:val="0"/>
          <w:numId w:val="24"/>
        </w:numPr>
        <w:tabs>
          <w:tab w:val="left" w:pos="616"/>
        </w:tabs>
        <w:spacing w:line="360" w:lineRule="auto"/>
        <w:ind w:left="10" w:leftChars="5" w:firstLine="237" w:firstLineChars="9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投标人应按照评标委员会要求的澄清内容在规定时间内做出澄清。投标文件报价出现前后不一致的，按照本节第3条规定进行修正，投标人的澄清、说明或者补正不得超出投标文件的范围或者改变投标文件的实质性内容。</w:t>
      </w:r>
    </w:p>
    <w:p>
      <w:pPr>
        <w:numPr>
          <w:ilvl w:val="0"/>
          <w:numId w:val="24"/>
        </w:numPr>
        <w:tabs>
          <w:tab w:val="left" w:pos="616"/>
        </w:tabs>
        <w:spacing w:line="360" w:lineRule="auto"/>
        <w:ind w:left="10" w:leftChars="5" w:firstLine="237" w:firstLineChars="9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投标文件报价出现前后不一致的，按照下列规定修正：</w:t>
      </w:r>
    </w:p>
    <w:p>
      <w:pPr>
        <w:numPr>
          <w:ilvl w:val="0"/>
          <w:numId w:val="25"/>
        </w:numPr>
        <w:adjustRightInd w:val="0"/>
        <w:spacing w:line="360" w:lineRule="auto"/>
        <w:ind w:left="742" w:hanging="49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投标文件中开标一览表内容与投标文件中相应内容不一致的，以开标一览表为准</w:t>
      </w:r>
      <w:r>
        <w:rPr>
          <w:rFonts w:hint="eastAsia" w:ascii="宋体" w:hAnsi="宋体" w:eastAsia="宋体" w:cs="宋体"/>
          <w:color w:val="auto"/>
          <w:sz w:val="24"/>
          <w:szCs w:val="24"/>
          <w:lang w:val="zh-CN"/>
        </w:rPr>
        <w:t>。</w:t>
      </w:r>
    </w:p>
    <w:p>
      <w:pPr>
        <w:numPr>
          <w:ilvl w:val="0"/>
          <w:numId w:val="25"/>
        </w:numPr>
        <w:adjustRightInd w:val="0"/>
        <w:spacing w:line="360" w:lineRule="auto"/>
        <w:ind w:left="742" w:hanging="49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大写金额和小写金额不一致的，以大写金额为准</w:t>
      </w:r>
      <w:r>
        <w:rPr>
          <w:rFonts w:hint="eastAsia" w:ascii="宋体" w:hAnsi="宋体" w:eastAsia="宋体" w:cs="宋体"/>
          <w:color w:val="auto"/>
          <w:sz w:val="24"/>
          <w:szCs w:val="24"/>
          <w:lang w:val="zh-CN"/>
        </w:rPr>
        <w:t>。</w:t>
      </w:r>
    </w:p>
    <w:p>
      <w:pPr>
        <w:numPr>
          <w:ilvl w:val="0"/>
          <w:numId w:val="25"/>
        </w:numPr>
        <w:adjustRightInd w:val="0"/>
        <w:spacing w:line="360" w:lineRule="auto"/>
        <w:ind w:left="742" w:hanging="49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单价金额小数点或者百分比有明显错位的，以开标一览表的总价为准，并修改单价</w:t>
      </w:r>
      <w:r>
        <w:rPr>
          <w:rFonts w:hint="eastAsia" w:ascii="宋体" w:hAnsi="宋体" w:eastAsia="宋体" w:cs="宋体"/>
          <w:color w:val="auto"/>
          <w:sz w:val="24"/>
          <w:szCs w:val="24"/>
          <w:lang w:val="zh-CN"/>
        </w:rPr>
        <w:t>。</w:t>
      </w:r>
    </w:p>
    <w:p>
      <w:pPr>
        <w:numPr>
          <w:ilvl w:val="0"/>
          <w:numId w:val="25"/>
        </w:numPr>
        <w:adjustRightInd w:val="0"/>
        <w:spacing w:line="360" w:lineRule="auto"/>
        <w:ind w:left="742" w:hanging="49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总价金额与按单价汇总金额不一致的，以单价金额计算结果为准</w:t>
      </w:r>
      <w:r>
        <w:rPr>
          <w:rFonts w:hint="eastAsia" w:ascii="宋体" w:hAnsi="宋体" w:eastAsia="宋体" w:cs="宋体"/>
          <w:color w:val="auto"/>
          <w:sz w:val="24"/>
          <w:szCs w:val="24"/>
          <w:lang w:val="zh-CN"/>
        </w:rPr>
        <w:t>。</w:t>
      </w:r>
    </w:p>
    <w:p>
      <w:pPr>
        <w:numPr>
          <w:ilvl w:val="0"/>
          <w:numId w:val="25"/>
        </w:numPr>
        <w:adjustRightInd w:val="0"/>
        <w:spacing w:line="360" w:lineRule="auto"/>
        <w:ind w:left="742" w:hanging="49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同时出现两种以上不一致的，按照前款规定的顺序修正</w:t>
      </w:r>
      <w:r>
        <w:rPr>
          <w:rFonts w:hint="eastAsia" w:ascii="宋体" w:hAnsi="宋体" w:eastAsia="宋体" w:cs="宋体"/>
          <w:color w:val="auto"/>
          <w:sz w:val="24"/>
          <w:szCs w:val="24"/>
          <w:lang w:val="zh-CN"/>
        </w:rPr>
        <w:t>。</w:t>
      </w:r>
    </w:p>
    <w:p>
      <w:pPr>
        <w:numPr>
          <w:ilvl w:val="0"/>
          <w:numId w:val="25"/>
        </w:numPr>
        <w:adjustRightInd w:val="0"/>
        <w:spacing w:line="360" w:lineRule="auto"/>
        <w:ind w:left="742" w:hanging="493"/>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修正后的报价按照本节第</w:t>
      </w:r>
      <w:r>
        <w:rPr>
          <w:rFonts w:hint="eastAsia" w:ascii="宋体" w:hAnsi="宋体" w:eastAsia="宋体" w:cs="宋体"/>
          <w:color w:val="auto"/>
          <w:sz w:val="24"/>
          <w:szCs w:val="24"/>
          <w:lang w:val="zh-CN"/>
        </w:rPr>
        <w:t>4</w:t>
      </w:r>
      <w:r>
        <w:rPr>
          <w:rFonts w:hint="eastAsia" w:ascii="宋体" w:hAnsi="宋体" w:eastAsia="宋体" w:cs="宋体"/>
          <w:color w:val="auto"/>
          <w:sz w:val="24"/>
          <w:szCs w:val="24"/>
          <w:lang w:val="zh-CN" w:eastAsia="zh-CN"/>
        </w:rPr>
        <w:t>条规定经投标人确认后产生约束力，投标人不确认的，</w:t>
      </w:r>
      <w:r>
        <w:rPr>
          <w:rFonts w:hint="eastAsia" w:ascii="宋体" w:hAnsi="宋体" w:eastAsia="宋体" w:cs="宋体"/>
          <w:color w:val="auto"/>
          <w:sz w:val="24"/>
          <w:szCs w:val="24"/>
          <w:lang w:val="zh-CN"/>
        </w:rPr>
        <w:t>按照</w:t>
      </w:r>
      <w:r>
        <w:rPr>
          <w:rFonts w:hint="eastAsia" w:ascii="宋体" w:hAnsi="宋体" w:eastAsia="宋体" w:cs="宋体"/>
          <w:b/>
          <w:color w:val="auto"/>
          <w:sz w:val="24"/>
          <w:szCs w:val="24"/>
          <w:lang w:val="zh-CN" w:eastAsia="zh-CN"/>
        </w:rPr>
        <w:t>无效投标处理</w:t>
      </w:r>
      <w:r>
        <w:rPr>
          <w:rFonts w:hint="eastAsia" w:ascii="宋体" w:hAnsi="宋体" w:eastAsia="宋体" w:cs="宋体"/>
          <w:color w:val="auto"/>
          <w:sz w:val="24"/>
          <w:szCs w:val="24"/>
          <w:lang w:val="zh-CN" w:eastAsia="zh-CN"/>
        </w:rPr>
        <w:t>。</w:t>
      </w:r>
    </w:p>
    <w:p>
      <w:pPr>
        <w:numPr>
          <w:ilvl w:val="0"/>
          <w:numId w:val="24"/>
        </w:numPr>
        <w:tabs>
          <w:tab w:val="left" w:pos="616"/>
        </w:tabs>
        <w:spacing w:line="360" w:lineRule="auto"/>
        <w:ind w:left="10" w:leftChars="5" w:firstLine="237" w:firstLineChars="9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投标人的澄清、说明或者补正是其投标文件的有效组成部分。投标人的澄清、说明或者补正应当采用书面形式，并加盖公章，或者由法定代表人或其授权的代表签字。</w:t>
      </w:r>
    </w:p>
    <w:p>
      <w:pPr>
        <w:numPr>
          <w:ilvl w:val="0"/>
          <w:numId w:val="22"/>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综合比较与评价</w:t>
      </w:r>
    </w:p>
    <w:p>
      <w:pPr>
        <w:spacing w:line="360" w:lineRule="auto"/>
        <w:ind w:firstLine="480" w:firstLineChars="200"/>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评标委员会应当按照</w:t>
      </w:r>
      <w:r>
        <w:rPr>
          <w:rFonts w:hint="eastAsia" w:ascii="宋体" w:hAnsi="宋体" w:eastAsia="宋体" w:cs="Times New Roman"/>
          <w:bCs/>
          <w:color w:val="auto"/>
          <w:sz w:val="24"/>
          <w:szCs w:val="20"/>
          <w:lang w:val="zh-CN"/>
        </w:rPr>
        <w:t>本章</w:t>
      </w:r>
      <w:r>
        <w:rPr>
          <w:rFonts w:ascii="宋体" w:hAnsi="宋体" w:eastAsia="宋体" w:cs="Times New Roman"/>
          <w:bCs/>
          <w:color w:val="auto"/>
          <w:sz w:val="24"/>
          <w:szCs w:val="20"/>
          <w:lang w:val="zh-CN"/>
        </w:rPr>
        <w:t>中规定的</w:t>
      </w:r>
      <w:r>
        <w:rPr>
          <w:rFonts w:hint="eastAsia" w:ascii="宋体" w:hAnsi="宋体" w:eastAsia="宋体" w:cs="Times New Roman"/>
          <w:bCs/>
          <w:color w:val="auto"/>
          <w:sz w:val="24"/>
          <w:szCs w:val="20"/>
          <w:lang w:val="zh-CN"/>
        </w:rPr>
        <w:t>评标方法和标准</w:t>
      </w:r>
      <w:r>
        <w:rPr>
          <w:rFonts w:ascii="宋体" w:hAnsi="宋体" w:eastAsia="宋体" w:cs="Times New Roman"/>
          <w:bCs/>
          <w:color w:val="auto"/>
          <w:sz w:val="24"/>
          <w:szCs w:val="20"/>
          <w:lang w:val="zh-CN"/>
        </w:rPr>
        <w:t>，对符合性审查合格的投标文件进行商务和技术</w:t>
      </w:r>
      <w:r>
        <w:rPr>
          <w:rFonts w:hint="eastAsia" w:ascii="宋体" w:hAnsi="宋体" w:eastAsia="宋体" w:cs="Times New Roman"/>
          <w:bCs/>
          <w:color w:val="auto"/>
          <w:sz w:val="24"/>
          <w:szCs w:val="20"/>
          <w:lang w:val="zh-CN"/>
        </w:rPr>
        <w:t>、服务</w:t>
      </w:r>
      <w:r>
        <w:rPr>
          <w:rFonts w:ascii="宋体" w:hAnsi="宋体" w:eastAsia="宋体" w:cs="Times New Roman"/>
          <w:bCs/>
          <w:color w:val="auto"/>
          <w:sz w:val="24"/>
          <w:szCs w:val="20"/>
          <w:lang w:val="zh-CN"/>
        </w:rPr>
        <w:t>评估，综合比较与评价。</w:t>
      </w:r>
    </w:p>
    <w:p>
      <w:pPr>
        <w:numPr>
          <w:ilvl w:val="0"/>
          <w:numId w:val="26"/>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商务评议</w:t>
      </w:r>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评标委员会对符合性审查合格的投标文件进行评议，并依据本章“评审因素及评分标准”中的商务评议进行综合比较和评分。</w:t>
      </w:r>
    </w:p>
    <w:p>
      <w:pPr>
        <w:numPr>
          <w:ilvl w:val="0"/>
          <w:numId w:val="26"/>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技术、服务评议</w:t>
      </w:r>
    </w:p>
    <w:p>
      <w:pPr>
        <w:spacing w:line="360" w:lineRule="auto"/>
        <w:ind w:firstLine="480" w:firstLineChars="200"/>
        <w:rPr>
          <w:rFonts w:ascii="宋体" w:hAnsi="宋体" w:eastAsia="宋体" w:cs="Times New Roman"/>
          <w:color w:val="auto"/>
          <w:kern w:val="0"/>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评标委员会对符合性审查合格的投标文件进行评议，并依据本章“评审因素及评分标准”中的技术、服务评议进行综合比较和评分。</w:t>
      </w:r>
    </w:p>
    <w:p>
      <w:pPr>
        <w:numPr>
          <w:ilvl w:val="0"/>
          <w:numId w:val="26"/>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价格评议</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评标委员会对符合性审查合格的投标文件进行价格评议（</w:t>
      </w:r>
      <w:r>
        <w:rPr>
          <w:rFonts w:hint="eastAsia" w:ascii="宋体" w:hAnsi="宋体" w:eastAsia="宋体" w:cs="Times New Roman"/>
          <w:bCs/>
          <w:color w:val="auto"/>
          <w:sz w:val="24"/>
          <w:szCs w:val="21"/>
          <w:lang w:val="zh-CN"/>
        </w:rPr>
        <w:t>执行国家统一定价标准和采用固定价格采购的项目，其价格不列为评审因素</w:t>
      </w:r>
      <w:r>
        <w:rPr>
          <w:rFonts w:hint="eastAsia" w:ascii="宋体" w:hAnsi="宋体" w:eastAsia="宋体" w:cs="Times New Roman"/>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27"/>
        </w:numPr>
        <w:adjustRightInd w:val="0"/>
        <w:spacing w:line="360" w:lineRule="auto"/>
        <w:ind w:left="742" w:hanging="493"/>
        <w:rPr>
          <w:rFonts w:ascii="宋体" w:hAnsi="宋体" w:eastAsia="宋体" w:cs="Times New Roman"/>
          <w:bCs/>
          <w:color w:val="auto"/>
          <w:sz w:val="24"/>
          <w:szCs w:val="21"/>
          <w:lang w:val="zh-CN"/>
        </w:rPr>
      </w:pPr>
      <w:r>
        <w:rPr>
          <w:rFonts w:hint="eastAsia" w:ascii="宋体" w:hAnsi="宋体" w:eastAsia="宋体" w:cs="Times New Roman"/>
          <w:b/>
          <w:color w:val="auto"/>
          <w:sz w:val="24"/>
          <w:szCs w:val="24"/>
          <w:lang w:val="zh-CN"/>
        </w:rPr>
        <w:t>报价合理性说明：</w:t>
      </w:r>
      <w:r>
        <w:rPr>
          <w:rFonts w:ascii="宋体" w:hAnsi="宋体" w:eastAsia="宋体" w:cs="Helvetica"/>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auto"/>
          <w:kern w:val="0"/>
          <w:sz w:val="24"/>
          <w:szCs w:val="24"/>
          <w:lang w:val="zh-CN"/>
        </w:rPr>
        <w:t>应当将其作为</w:t>
      </w:r>
      <w:r>
        <w:rPr>
          <w:rFonts w:ascii="宋体" w:hAnsi="宋体" w:eastAsia="宋体" w:cs="Helvetica"/>
          <w:b/>
          <w:color w:val="auto"/>
          <w:kern w:val="0"/>
          <w:sz w:val="24"/>
          <w:szCs w:val="24"/>
          <w:lang w:val="zh-CN"/>
        </w:rPr>
        <w:t>无效投标处理</w:t>
      </w:r>
      <w:r>
        <w:rPr>
          <w:rFonts w:ascii="宋体" w:hAnsi="宋体" w:eastAsia="宋体" w:cs="Helvetica"/>
          <w:color w:val="auto"/>
          <w:kern w:val="0"/>
          <w:sz w:val="24"/>
          <w:szCs w:val="24"/>
          <w:lang w:val="zh-CN"/>
        </w:rPr>
        <w:t>。</w:t>
      </w:r>
    </w:p>
    <w:p>
      <w:pPr>
        <w:numPr>
          <w:ilvl w:val="0"/>
          <w:numId w:val="27"/>
        </w:numPr>
        <w:adjustRightInd w:val="0"/>
        <w:spacing w:line="360" w:lineRule="auto"/>
        <w:ind w:left="742" w:hanging="493"/>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小型和微型企业、监狱企业、残疾人福利性单位价格扣除：</w:t>
      </w:r>
    </w:p>
    <w:p>
      <w:pPr>
        <w:numPr>
          <w:ilvl w:val="0"/>
          <w:numId w:val="28"/>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28"/>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非专门面向中小企业的工程、服务类采购项目，投标人是小型和微型企业的价格给予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28"/>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鼓励大中型企业和其他自然人</w:t>
      </w:r>
      <w:r>
        <w:rPr>
          <w:rFonts w:ascii="宋体" w:hAnsi="宋体" w:eastAsia="宋体" w:cs="Times New Roman"/>
          <w:bCs/>
          <w:color w:val="auto"/>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auto"/>
          <w:sz w:val="24"/>
          <w:szCs w:val="20"/>
        </w:rPr>
        <w:t>30%</w:t>
      </w:r>
      <w:r>
        <w:rPr>
          <w:rFonts w:ascii="宋体" w:hAnsi="宋体" w:eastAsia="宋体" w:cs="Times New Roman"/>
          <w:bCs/>
          <w:color w:val="auto"/>
          <w:sz w:val="24"/>
          <w:szCs w:val="20"/>
        </w:rPr>
        <w:t>以上的，可给予联合体</w:t>
      </w:r>
      <w:r>
        <w:rPr>
          <w:rFonts w:ascii="宋体" w:hAnsi="宋体" w:eastAsia="宋体" w:cs="Times New Roman"/>
          <w:b/>
          <w:bCs/>
          <w:color w:val="auto"/>
          <w:sz w:val="24"/>
          <w:szCs w:val="20"/>
          <w:lang w:val="zh-CN"/>
        </w:rPr>
        <w:t>3%</w:t>
      </w:r>
      <w:r>
        <w:rPr>
          <w:rFonts w:ascii="宋体" w:hAnsi="宋体" w:eastAsia="宋体" w:cs="Times New Roman"/>
          <w:bCs/>
          <w:color w:val="auto"/>
          <w:sz w:val="24"/>
          <w:szCs w:val="20"/>
        </w:rPr>
        <w:t>的价格扣除</w:t>
      </w:r>
      <w:r>
        <w:rPr>
          <w:rFonts w:hint="eastAsia" w:ascii="宋体" w:hAnsi="宋体" w:eastAsia="宋体" w:cs="Times New Roman"/>
          <w:bCs/>
          <w:color w:val="auto"/>
          <w:sz w:val="24"/>
          <w:szCs w:val="20"/>
        </w:rPr>
        <w:t>，</w:t>
      </w:r>
      <w:r>
        <w:rPr>
          <w:rFonts w:hint="eastAsia" w:ascii="宋体" w:hAnsi="宋体" w:eastAsia="宋体" w:cs="Times New Roman"/>
          <w:bCs/>
          <w:color w:val="auto"/>
          <w:sz w:val="24"/>
          <w:szCs w:val="20"/>
          <w:lang w:val="zh-CN"/>
        </w:rPr>
        <w:t>不重复享受政策。</w:t>
      </w:r>
    </w:p>
    <w:p>
      <w:pPr>
        <w:numPr>
          <w:ilvl w:val="0"/>
          <w:numId w:val="28"/>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监狱企业</w:t>
      </w:r>
      <w:r>
        <w:rPr>
          <w:rFonts w:hint="eastAsia" w:ascii="宋体" w:hAnsi="宋体" w:eastAsia="宋体" w:cs="Times New Roman"/>
          <w:bCs/>
          <w:color w:val="auto"/>
          <w:sz w:val="24"/>
          <w:szCs w:val="20"/>
          <w:lang w:val="zh-CN"/>
        </w:rPr>
        <w:t>、残疾人福利性单位</w:t>
      </w:r>
      <w:r>
        <w:rPr>
          <w:rFonts w:ascii="宋体" w:hAnsi="宋体" w:eastAsia="宋体" w:cs="Times New Roman"/>
          <w:bCs/>
          <w:color w:val="auto"/>
          <w:sz w:val="24"/>
          <w:szCs w:val="20"/>
          <w:lang w:val="zh-CN"/>
        </w:rPr>
        <w:t>视同小型、微型企业，享受预留份额、评审中价格扣除等政府采购促进中小企业发展的政府采购政策</w:t>
      </w:r>
      <w:r>
        <w:rPr>
          <w:rFonts w:hint="eastAsia" w:ascii="宋体" w:hAnsi="宋体" w:eastAsia="宋体" w:cs="Times New Roman"/>
          <w:bCs/>
          <w:color w:val="auto"/>
          <w:sz w:val="24"/>
          <w:szCs w:val="20"/>
          <w:lang w:val="zh-CN"/>
        </w:rPr>
        <w:t>，残疾人福利性单位属于小型、微型企业的，不重复享受政策。</w:t>
      </w:r>
    </w:p>
    <w:p>
      <w:pPr>
        <w:numPr>
          <w:ilvl w:val="0"/>
          <w:numId w:val="28"/>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26"/>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相同品牌处理原则</w:t>
      </w:r>
    </w:p>
    <w:p>
      <w:pPr>
        <w:numPr>
          <w:ilvl w:val="0"/>
          <w:numId w:val="0"/>
        </w:numPr>
        <w:adjustRightInd w:val="0"/>
        <w:spacing w:line="360" w:lineRule="auto"/>
        <w:ind w:left="648" w:leftChars="103" w:hanging="432" w:hangingChars="180"/>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en-US" w:eastAsia="zh-CN"/>
        </w:rPr>
        <w:t xml:space="preserve">4.1 </w:t>
      </w:r>
      <w:r>
        <w:rPr>
          <w:rFonts w:ascii="Helvetica" w:hAnsi="Helvetica" w:eastAsia="宋体" w:cs="Helvetica"/>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确定一个投标人获得中标人推荐资格，其他同品牌投标人不作为中标候选人。</w:t>
      </w:r>
    </w:p>
    <w:p>
      <w:pPr>
        <w:numPr>
          <w:ilvl w:val="0"/>
          <w:numId w:val="0"/>
        </w:numPr>
        <w:adjustRightInd w:val="0"/>
        <w:spacing w:line="360" w:lineRule="auto"/>
        <w:ind w:left="648" w:leftChars="103" w:hanging="432" w:hangingChars="180"/>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en-US" w:eastAsia="zh-CN"/>
        </w:rPr>
        <w:t xml:space="preserve">4.2 </w:t>
      </w:r>
      <w:r>
        <w:rPr>
          <w:rFonts w:ascii="Helvetica" w:hAnsi="Helvetica" w:eastAsia="宋体" w:cs="Helvetica"/>
          <w:color w:val="auto"/>
          <w:kern w:val="0"/>
          <w:sz w:val="24"/>
          <w:szCs w:val="24"/>
          <w:lang w:val="zh-CN"/>
        </w:rPr>
        <w:t>非单一产品采购项目，采购人应当根据采购项目技术构成、产品价格比重等合理确定</w:t>
      </w:r>
      <w:r>
        <w:rPr>
          <w:rFonts w:hint="eastAsia" w:ascii="Helvetica" w:hAnsi="Helvetica" w:eastAsia="宋体" w:cs="Helvetica"/>
          <w:b/>
          <w:color w:val="auto"/>
          <w:kern w:val="0"/>
          <w:sz w:val="24"/>
          <w:szCs w:val="24"/>
          <w:lang w:val="zh-CN"/>
        </w:rPr>
        <w:t>一个</w:t>
      </w:r>
      <w:r>
        <w:rPr>
          <w:rFonts w:ascii="Helvetica" w:hAnsi="Helvetica" w:eastAsia="宋体" w:cs="Helvetica"/>
          <w:b/>
          <w:color w:val="auto"/>
          <w:kern w:val="0"/>
          <w:sz w:val="24"/>
          <w:szCs w:val="24"/>
          <w:lang w:val="zh-CN"/>
        </w:rPr>
        <w:t>核心产品</w:t>
      </w:r>
      <w:r>
        <w:rPr>
          <w:rFonts w:hint="eastAsia" w:ascii="Helvetica" w:hAnsi="Helvetica" w:eastAsia="宋体" w:cs="Helvetica"/>
          <w:color w:val="auto"/>
          <w:kern w:val="0"/>
          <w:sz w:val="24"/>
          <w:szCs w:val="24"/>
          <w:lang w:val="zh-CN"/>
        </w:rPr>
        <w:t>（采购清单中作“相同〈或同一〉品牌”实质性要求的产品，视为一个核心产品），</w:t>
      </w:r>
      <w:r>
        <w:rPr>
          <w:rFonts w:ascii="Helvetica" w:hAnsi="Helvetica" w:eastAsia="宋体" w:cs="Helvetica"/>
          <w:color w:val="auto"/>
          <w:kern w:val="0"/>
          <w:sz w:val="24"/>
          <w:szCs w:val="24"/>
          <w:lang w:val="zh-CN"/>
        </w:rPr>
        <w:t>并</w:t>
      </w:r>
      <w:r>
        <w:rPr>
          <w:rFonts w:hint="eastAsia" w:ascii="Helvetica" w:hAnsi="Helvetica" w:eastAsia="宋体" w:cs="Helvetica"/>
          <w:color w:val="auto"/>
          <w:kern w:val="0"/>
          <w:sz w:val="24"/>
          <w:szCs w:val="24"/>
          <w:lang w:val="zh-CN"/>
        </w:rPr>
        <w:t>以</w:t>
      </w:r>
      <w:r>
        <w:rPr>
          <w:rFonts w:hint="eastAsia" w:ascii="Helvetica" w:hAnsi="Helvetica" w:eastAsia="宋体" w:cs="Helvetica"/>
          <w:b/>
          <w:color w:val="auto"/>
          <w:kern w:val="0"/>
          <w:sz w:val="24"/>
          <w:szCs w:val="24"/>
          <w:lang w:val="zh-CN"/>
        </w:rPr>
        <w:t>“</w:t>
      </w:r>
      <w:r>
        <w:rPr>
          <w:rFonts w:hint="eastAsia" w:ascii="MS Gothic" w:hAnsi="MS Gothic" w:eastAsia="宋体" w:cs="MS Gothic"/>
          <w:b/>
          <w:color w:val="auto"/>
          <w:kern w:val="0"/>
          <w:sz w:val="24"/>
          <w:szCs w:val="24"/>
          <w:lang w:val="zh-CN"/>
        </w:rPr>
        <w:t>核心产品</w:t>
      </w:r>
      <w:r>
        <w:rPr>
          <w:rFonts w:hint="eastAsia" w:ascii="Helvetica" w:hAnsi="Helvetica" w:eastAsia="宋体" w:cs="Helvetica"/>
          <w:b/>
          <w:color w:val="auto"/>
          <w:kern w:val="0"/>
          <w:sz w:val="24"/>
          <w:szCs w:val="24"/>
          <w:lang w:val="zh-CN"/>
        </w:rPr>
        <w:t>”</w:t>
      </w:r>
      <w:r>
        <w:rPr>
          <w:rFonts w:ascii="Helvetica" w:hAnsi="Helvetica" w:eastAsia="宋体" w:cs="Helvetica"/>
          <w:color w:val="auto"/>
          <w:kern w:val="0"/>
          <w:sz w:val="24"/>
          <w:szCs w:val="24"/>
          <w:lang w:val="zh-CN"/>
        </w:rPr>
        <w:t>在招标文件中</w:t>
      </w:r>
      <w:r>
        <w:rPr>
          <w:rFonts w:hint="eastAsia" w:ascii="Helvetica" w:hAnsi="Helvetica" w:eastAsia="宋体" w:cs="Helvetica"/>
          <w:color w:val="auto"/>
          <w:kern w:val="0"/>
          <w:sz w:val="24"/>
          <w:szCs w:val="24"/>
          <w:lang w:val="zh-CN"/>
        </w:rPr>
        <w:t>标注</w:t>
      </w:r>
      <w:r>
        <w:rPr>
          <w:rFonts w:ascii="Helvetica" w:hAnsi="Helvetica" w:eastAsia="宋体" w:cs="Helvetica"/>
          <w:color w:val="auto"/>
          <w:kern w:val="0"/>
          <w:sz w:val="24"/>
          <w:szCs w:val="24"/>
          <w:lang w:val="zh-CN"/>
        </w:rPr>
        <w:t>。</w:t>
      </w:r>
    </w:p>
    <w:p>
      <w:pPr>
        <w:numPr>
          <w:ilvl w:val="0"/>
          <w:numId w:val="26"/>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计分办法</w:t>
      </w:r>
    </w:p>
    <w:p>
      <w:pPr>
        <w:numPr>
          <w:ilvl w:val="0"/>
          <w:numId w:val="29"/>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采购代理机构对各评委的总分进行复核。各项统计结果均精确到小数点后两位。</w:t>
      </w:r>
    </w:p>
    <w:p>
      <w:pPr>
        <w:numPr>
          <w:ilvl w:val="0"/>
          <w:numId w:val="29"/>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各投标人的最终得分为评委所评定分数的算术平均值。</w:t>
      </w:r>
    </w:p>
    <w:p>
      <w:pPr>
        <w:numPr>
          <w:ilvl w:val="0"/>
          <w:numId w:val="22"/>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推荐中标候选人名单或确定中标人</w:t>
      </w:r>
    </w:p>
    <w:p>
      <w:pPr>
        <w:numPr>
          <w:ilvl w:val="0"/>
          <w:numId w:val="0"/>
        </w:numPr>
        <w:tabs>
          <w:tab w:val="left" w:pos="616"/>
        </w:tabs>
        <w:spacing w:line="360" w:lineRule="auto"/>
        <w:ind w:left="631" w:leftChars="102" w:hanging="417" w:hangingChars="174"/>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0"/>
        </w:numPr>
        <w:tabs>
          <w:tab w:val="left" w:pos="616"/>
        </w:tabs>
        <w:spacing w:line="360" w:lineRule="auto"/>
        <w:ind w:left="631" w:leftChars="102" w:hanging="417" w:hangingChars="174"/>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0"/>
        </w:numPr>
        <w:tabs>
          <w:tab w:val="left" w:pos="616"/>
        </w:tabs>
        <w:spacing w:line="360" w:lineRule="auto"/>
        <w:ind w:left="631" w:leftChars="102" w:hanging="417" w:hangingChars="174"/>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中标候选人并列的，由采购人确定或者采购人委托评标委员会以投票方式确定中标人。</w:t>
      </w:r>
    </w:p>
    <w:p>
      <w:pPr>
        <w:numPr>
          <w:ilvl w:val="0"/>
          <w:numId w:val="0"/>
        </w:numPr>
        <w:tabs>
          <w:tab w:val="left" w:pos="616"/>
        </w:tabs>
        <w:spacing w:line="360" w:lineRule="auto"/>
        <w:ind w:left="631" w:leftChars="102" w:hanging="417" w:hangingChars="174"/>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rPr>
          <w:rFonts w:hint="eastAsia" w:ascii="宋体" w:hAnsi="宋体" w:eastAsia="宋体" w:cs="宋体"/>
          <w:color w:val="auto"/>
        </w:rPr>
      </w:pPr>
    </w:p>
    <w:p>
      <w:pPr>
        <w:widowControl/>
        <w:tabs>
          <w:tab w:val="left" w:pos="1800"/>
        </w:tabs>
        <w:spacing w:line="360" w:lineRule="auto"/>
        <w:outlineLvl w:val="1"/>
        <w:rPr>
          <w:rFonts w:hint="eastAsia" w:ascii="宋体" w:hAnsi="宋体" w:cs="宋体"/>
          <w:b/>
          <w:bCs/>
          <w:color w:val="auto"/>
          <w:kern w:val="0"/>
          <w:sz w:val="30"/>
          <w:szCs w:val="30"/>
        </w:rPr>
        <w:sectPr>
          <w:pgSz w:w="11906" w:h="16838"/>
          <w:pgMar w:top="1134" w:right="1417" w:bottom="1134" w:left="1587" w:header="851" w:footer="624" w:gutter="0"/>
          <w:pgNumType w:fmt="decimal"/>
          <w:cols w:space="425" w:num="1"/>
          <w:docGrid w:type="linesAndChars" w:linePitch="312" w:charSpace="0"/>
        </w:sectPr>
      </w:pPr>
    </w:p>
    <w:p>
      <w:pPr>
        <w:widowControl/>
        <w:tabs>
          <w:tab w:val="left" w:pos="1800"/>
        </w:tabs>
        <w:spacing w:line="360" w:lineRule="auto"/>
        <w:outlineLvl w:val="1"/>
        <w:rPr>
          <w:rFonts w:ascii="宋体" w:hAnsi="宋体" w:cs="宋体"/>
          <w:b/>
          <w:bCs/>
          <w:color w:val="auto"/>
          <w:kern w:val="0"/>
          <w:sz w:val="32"/>
          <w:szCs w:val="32"/>
        </w:rPr>
      </w:pPr>
      <w:bookmarkStart w:id="76" w:name="_Toc4125"/>
      <w:r>
        <w:rPr>
          <w:rFonts w:hint="eastAsia" w:ascii="宋体" w:hAnsi="宋体" w:cs="宋体"/>
          <w:b/>
          <w:bCs/>
          <w:color w:val="auto"/>
          <w:kern w:val="0"/>
          <w:sz w:val="30"/>
          <w:szCs w:val="30"/>
        </w:rPr>
        <w:t>三</w:t>
      </w:r>
      <w:r>
        <w:rPr>
          <w:rFonts w:ascii="宋体" w:hAnsi="宋体" w:cs="宋体"/>
          <w:b/>
          <w:bCs/>
          <w:color w:val="auto"/>
          <w:kern w:val="0"/>
          <w:sz w:val="30"/>
          <w:szCs w:val="30"/>
        </w:rPr>
        <w:t>、</w:t>
      </w:r>
      <w:r>
        <w:rPr>
          <w:rFonts w:hint="eastAsia" w:ascii="宋体" w:hAnsi="宋体" w:cs="宋体"/>
          <w:b/>
          <w:bCs/>
          <w:color w:val="auto"/>
          <w:kern w:val="0"/>
          <w:sz w:val="30"/>
          <w:szCs w:val="30"/>
        </w:rPr>
        <w:t>评审因素及评分标准</w:t>
      </w:r>
      <w:bookmarkEnd w:id="76"/>
      <w:r>
        <w:rPr>
          <w:rFonts w:hint="eastAsia" w:ascii="宋体" w:hAnsi="宋体" w:cs="宋体"/>
          <w:b/>
          <w:bCs/>
          <w:color w:val="auto"/>
          <w:kern w:val="0"/>
          <w:sz w:val="32"/>
          <w:szCs w:val="32"/>
        </w:rPr>
        <w:t xml:space="preserve">  </w:t>
      </w:r>
    </w:p>
    <w:tbl>
      <w:tblPr>
        <w:tblStyle w:val="12"/>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081"/>
        <w:gridCol w:w="820"/>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08" w:type="dxa"/>
            <w:vAlign w:val="center"/>
          </w:tcPr>
          <w:p>
            <w:pPr>
              <w:widowControl/>
              <w:spacing w:line="360" w:lineRule="auto"/>
              <w:jc w:val="center"/>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评标项目</w:t>
            </w:r>
          </w:p>
        </w:tc>
        <w:tc>
          <w:tcPr>
            <w:tcW w:w="1081" w:type="dxa"/>
            <w:vAlign w:val="center"/>
          </w:tcPr>
          <w:p>
            <w:pPr>
              <w:widowControl/>
              <w:spacing w:line="360" w:lineRule="auto"/>
              <w:jc w:val="center"/>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评标分项</w:t>
            </w:r>
          </w:p>
        </w:tc>
        <w:tc>
          <w:tcPr>
            <w:tcW w:w="820" w:type="dxa"/>
            <w:vAlign w:val="center"/>
          </w:tcPr>
          <w:p>
            <w:pPr>
              <w:widowControl/>
              <w:spacing w:line="360" w:lineRule="auto"/>
              <w:jc w:val="center"/>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分值</w:t>
            </w:r>
          </w:p>
        </w:tc>
        <w:tc>
          <w:tcPr>
            <w:tcW w:w="7087" w:type="dxa"/>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dxa"/>
            <w:vMerge w:val="restart"/>
            <w:vAlign w:val="center"/>
          </w:tcPr>
          <w:p>
            <w:pPr>
              <w:widowControl/>
              <w:spacing w:line="360" w:lineRule="auto"/>
              <w:jc w:val="center"/>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价格部分（</w:t>
            </w:r>
            <w:r>
              <w:rPr>
                <w:rFonts w:hint="eastAsia" w:ascii="宋体" w:hAnsi="宋体" w:eastAsia="宋体" w:cs="宋体"/>
                <w:color w:val="auto"/>
                <w:kern w:val="0"/>
                <w:sz w:val="24"/>
                <w:szCs w:val="24"/>
              </w:rPr>
              <w:t>30</w:t>
            </w:r>
            <w:r>
              <w:rPr>
                <w:rFonts w:hint="eastAsia" w:ascii="宋体" w:hAnsi="宋体" w:eastAsia="宋体" w:cs="宋体"/>
                <w:color w:val="auto"/>
                <w:kern w:val="0"/>
                <w:sz w:val="24"/>
                <w:szCs w:val="24"/>
                <w:lang w:eastAsia="en-US"/>
              </w:rPr>
              <w:t>分）</w:t>
            </w:r>
          </w:p>
        </w:tc>
        <w:tc>
          <w:tcPr>
            <w:tcW w:w="1081" w:type="dxa"/>
            <w:vMerge w:val="restart"/>
            <w:vAlign w:val="center"/>
          </w:tcPr>
          <w:p>
            <w:pPr>
              <w:widowControl/>
              <w:spacing w:line="360" w:lineRule="auto"/>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投标报</w:t>
            </w:r>
          </w:p>
          <w:p>
            <w:pPr>
              <w:widowControl/>
              <w:spacing w:line="360" w:lineRule="auto"/>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价得分</w:t>
            </w:r>
          </w:p>
        </w:tc>
        <w:tc>
          <w:tcPr>
            <w:tcW w:w="820" w:type="dxa"/>
            <w:vMerge w:val="restart"/>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7087" w:type="dxa"/>
            <w:vMerge w:val="restart"/>
            <w:vAlign w:val="center"/>
          </w:tcPr>
          <w:p>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评标委员会只对符合性审查合格的投标文件进行价格评议，报价分采用低价优先法计算，即满足招标文件要求且投标价格</w:t>
            </w:r>
            <w:r>
              <w:rPr>
                <w:rFonts w:hint="eastAsia" w:ascii="宋体" w:hAnsi="宋体" w:eastAsia="宋体" w:cs="宋体"/>
                <w:b w:val="0"/>
                <w:bCs/>
                <w:color w:val="auto"/>
                <w:sz w:val="24"/>
                <w:szCs w:val="24"/>
              </w:rPr>
              <w:t>（落实政府采购政策进行价格调整的，以调整后的价格计算）</w:t>
            </w:r>
            <w:r>
              <w:rPr>
                <w:rFonts w:hint="eastAsia" w:ascii="宋体" w:hAnsi="宋体" w:eastAsia="宋体" w:cs="宋体"/>
                <w:color w:val="auto"/>
                <w:sz w:val="24"/>
                <w:szCs w:val="24"/>
              </w:rPr>
              <w:t>最低的投标报价为评标基准价，其价格分为满分。其他投标人的价格分按照下列公式计算：报价得分=(评标基准价／投标报价)×30分计算时保留两位小数</w:t>
            </w:r>
            <w:r>
              <w:rPr>
                <w:rFonts w:hint="eastAsia" w:ascii="宋体" w:hAnsi="宋体" w:eastAsia="宋体" w:cs="宋体"/>
                <w:color w:val="auto"/>
                <w:kern w:val="0"/>
                <w:sz w:val="24"/>
                <w:szCs w:val="24"/>
                <w:lang w:val="zh-CN"/>
              </w:rPr>
              <w:t>为保证产品质量，投标报价低于采购预算85%时，评标委员会将对其进行成本分析，评标委员会认为报价低于成本价时将否决其投标。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8" w:type="dxa"/>
            <w:vMerge w:val="continue"/>
            <w:vAlign w:val="center"/>
          </w:tcPr>
          <w:p>
            <w:pPr>
              <w:widowControl/>
              <w:spacing w:line="360" w:lineRule="auto"/>
              <w:jc w:val="center"/>
              <w:rPr>
                <w:rFonts w:hint="eastAsia" w:ascii="宋体" w:hAnsi="宋体" w:eastAsia="宋体" w:cs="宋体"/>
                <w:color w:val="auto"/>
                <w:kern w:val="0"/>
                <w:sz w:val="24"/>
                <w:szCs w:val="24"/>
              </w:rPr>
            </w:pPr>
          </w:p>
        </w:tc>
        <w:tc>
          <w:tcPr>
            <w:tcW w:w="1081" w:type="dxa"/>
            <w:vMerge w:val="continue"/>
            <w:vAlign w:val="center"/>
          </w:tcPr>
          <w:p>
            <w:pPr>
              <w:widowControl/>
              <w:spacing w:line="360" w:lineRule="auto"/>
              <w:jc w:val="center"/>
              <w:rPr>
                <w:rFonts w:hint="eastAsia" w:ascii="宋体" w:hAnsi="宋体" w:eastAsia="宋体" w:cs="宋体"/>
                <w:color w:val="auto"/>
                <w:kern w:val="0"/>
                <w:sz w:val="24"/>
                <w:szCs w:val="24"/>
              </w:rPr>
            </w:pPr>
          </w:p>
        </w:tc>
        <w:tc>
          <w:tcPr>
            <w:tcW w:w="820" w:type="dxa"/>
            <w:vMerge w:val="continue"/>
            <w:vAlign w:val="center"/>
          </w:tcPr>
          <w:p>
            <w:pPr>
              <w:widowControl/>
              <w:spacing w:line="360" w:lineRule="auto"/>
              <w:jc w:val="left"/>
              <w:rPr>
                <w:rFonts w:hint="eastAsia" w:ascii="宋体" w:hAnsi="宋体" w:eastAsia="宋体" w:cs="宋体"/>
                <w:color w:val="auto"/>
                <w:kern w:val="0"/>
                <w:sz w:val="24"/>
                <w:szCs w:val="24"/>
              </w:rPr>
            </w:pPr>
          </w:p>
        </w:tc>
        <w:tc>
          <w:tcPr>
            <w:tcW w:w="7087" w:type="dxa"/>
            <w:vMerge w:val="continue"/>
            <w:vAlign w:val="center"/>
          </w:tcPr>
          <w:p>
            <w:pPr>
              <w:widowControl/>
              <w:spacing w:line="4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08" w:type="dxa"/>
            <w:vMerge w:val="restart"/>
            <w:vAlign w:val="center"/>
          </w:tcPr>
          <w:p>
            <w:pPr>
              <w:widowControl/>
              <w:spacing w:line="360" w:lineRule="auto"/>
              <w:jc w:val="center"/>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商务部分（</w:t>
            </w:r>
            <w:r>
              <w:rPr>
                <w:rFonts w:hint="eastAsia" w:ascii="宋体" w:hAnsi="宋体" w:eastAsia="宋体" w:cs="宋体"/>
                <w:color w:val="auto"/>
                <w:kern w:val="0"/>
                <w:sz w:val="24"/>
                <w:szCs w:val="24"/>
              </w:rPr>
              <w:t>20</w:t>
            </w:r>
            <w:r>
              <w:rPr>
                <w:rFonts w:hint="eastAsia" w:ascii="宋体" w:hAnsi="宋体" w:eastAsia="宋体" w:cs="宋体"/>
                <w:color w:val="auto"/>
                <w:kern w:val="0"/>
                <w:sz w:val="24"/>
                <w:szCs w:val="24"/>
                <w:lang w:eastAsia="en-US"/>
              </w:rPr>
              <w:t>分）</w:t>
            </w:r>
          </w:p>
        </w:tc>
        <w:tc>
          <w:tcPr>
            <w:tcW w:w="1081" w:type="dxa"/>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企业业绩</w:t>
            </w:r>
          </w:p>
        </w:tc>
        <w:tc>
          <w:tcPr>
            <w:tcW w:w="820"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087" w:type="dxa"/>
            <w:vAlign w:val="center"/>
          </w:tcPr>
          <w:p>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投标人近三年（</w:t>
            </w:r>
            <w:r>
              <w:rPr>
                <w:rFonts w:hint="eastAsia" w:ascii="宋体" w:hAnsi="宋体" w:eastAsia="宋体" w:cs="宋体"/>
                <w:color w:val="auto"/>
                <w:sz w:val="24"/>
                <w:szCs w:val="24"/>
                <w:shd w:val="clear" w:color="auto" w:fill="auto"/>
              </w:rPr>
              <w:t>2018年</w:t>
            </w:r>
            <w:r>
              <w:rPr>
                <w:rFonts w:hint="eastAsia" w:ascii="宋体" w:hAnsi="宋体" w:eastAsia="宋体" w:cs="宋体"/>
                <w:color w:val="auto"/>
                <w:sz w:val="24"/>
                <w:szCs w:val="24"/>
                <w:shd w:val="clear" w:color="auto" w:fill="auto"/>
                <w:lang w:val="en-US" w:eastAsia="zh-CN"/>
              </w:rPr>
              <w:t>7月</w:t>
            </w:r>
            <w:r>
              <w:rPr>
                <w:rFonts w:hint="eastAsia" w:ascii="宋体" w:hAnsi="宋体" w:eastAsia="宋体" w:cs="宋体"/>
                <w:color w:val="auto"/>
                <w:sz w:val="24"/>
                <w:szCs w:val="24"/>
                <w:shd w:val="clear" w:color="auto" w:fill="auto"/>
                <w:lang w:eastAsia="zh-CN"/>
              </w:rPr>
              <w:t>至今</w:t>
            </w:r>
            <w:r>
              <w:rPr>
                <w:rFonts w:hint="eastAsia" w:ascii="宋体" w:hAnsi="宋体" w:eastAsia="宋体" w:cs="宋体"/>
                <w:color w:val="auto"/>
                <w:sz w:val="24"/>
                <w:szCs w:val="24"/>
              </w:rPr>
              <w:t>）类似的项目业绩，提供1项得1分，最高得3分。（需提供合同或成交通知书等有效证明材料，且证明材料须提供真彩扫描打印件</w:t>
            </w:r>
            <w:r>
              <w:rPr>
                <w:rFonts w:hint="eastAsia" w:ascii="宋体" w:hAnsi="宋体" w:eastAsia="宋体" w:cs="宋体"/>
                <w:color w:val="auto"/>
                <w:sz w:val="24"/>
                <w:szCs w:val="24"/>
                <w:lang w:eastAsia="zh-CN"/>
              </w:rPr>
              <w:t>并加盖公章</w:t>
            </w:r>
            <w:r>
              <w:rPr>
                <w:rFonts w:hint="eastAsia" w:ascii="宋体" w:hAnsi="宋体" w:eastAsia="宋体" w:cs="宋体"/>
                <w:color w:val="auto"/>
                <w:sz w:val="24"/>
                <w:szCs w:val="24"/>
              </w:rPr>
              <w:t>，模糊不清的按无效处理。）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08" w:type="dxa"/>
            <w:vMerge w:val="continue"/>
            <w:vAlign w:val="center"/>
          </w:tcPr>
          <w:p>
            <w:pPr>
              <w:widowControl/>
              <w:spacing w:line="360" w:lineRule="auto"/>
              <w:jc w:val="center"/>
              <w:rPr>
                <w:rFonts w:hint="eastAsia" w:ascii="宋体" w:hAnsi="宋体" w:eastAsia="宋体" w:cs="宋体"/>
                <w:color w:val="auto"/>
                <w:kern w:val="0"/>
                <w:sz w:val="24"/>
                <w:szCs w:val="24"/>
              </w:rPr>
            </w:pPr>
          </w:p>
        </w:tc>
        <w:tc>
          <w:tcPr>
            <w:tcW w:w="1081" w:type="dxa"/>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企业能力</w:t>
            </w:r>
          </w:p>
        </w:tc>
        <w:tc>
          <w:tcPr>
            <w:tcW w:w="820"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087" w:type="dxa"/>
            <w:vAlign w:val="center"/>
          </w:tcPr>
          <w:p>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投标人为2021年度省级教育装备行业协会会员单位得2分。（</w:t>
            </w:r>
            <w:r>
              <w:rPr>
                <w:rFonts w:hint="eastAsia" w:ascii="宋体" w:hAnsi="宋体" w:eastAsia="宋体" w:cs="宋体"/>
                <w:color w:val="auto"/>
                <w:sz w:val="24"/>
                <w:szCs w:val="24"/>
                <w:lang w:eastAsia="zh-CN"/>
              </w:rPr>
              <w:t>提供证明材料的真彩扫描打印件并加盖公章</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08" w:type="dxa"/>
            <w:vMerge w:val="continue"/>
            <w:vAlign w:val="center"/>
          </w:tcPr>
          <w:p>
            <w:pPr>
              <w:widowControl/>
              <w:spacing w:line="360" w:lineRule="auto"/>
              <w:jc w:val="center"/>
              <w:rPr>
                <w:rFonts w:hint="eastAsia" w:ascii="宋体" w:hAnsi="宋体" w:eastAsia="宋体" w:cs="宋体"/>
                <w:color w:val="auto"/>
                <w:kern w:val="0"/>
                <w:sz w:val="24"/>
                <w:szCs w:val="24"/>
              </w:rPr>
            </w:pPr>
          </w:p>
        </w:tc>
        <w:tc>
          <w:tcPr>
            <w:tcW w:w="1081"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企业</w:t>
            </w:r>
            <w:r>
              <w:rPr>
                <w:rFonts w:hint="eastAsia" w:ascii="宋体" w:hAnsi="宋体" w:eastAsia="宋体" w:cs="宋体"/>
                <w:color w:val="auto"/>
                <w:kern w:val="0"/>
                <w:sz w:val="24"/>
                <w:szCs w:val="24"/>
                <w:lang w:eastAsia="en-US"/>
              </w:rPr>
              <w:t>实力</w:t>
            </w:r>
          </w:p>
        </w:tc>
        <w:tc>
          <w:tcPr>
            <w:tcW w:w="820"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087" w:type="dxa"/>
            <w:vAlign w:val="center"/>
          </w:tcPr>
          <w:p>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投标人或投标人所投产品制造商具有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1.中国绿色材料标志授权使用证书；2.欧盟环评认证标志证书(ROHS)；3.EC-Certificate of Conformity认证证书的每项得1分，此项共3分。不提供的不得分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提供在有效期内的证明材料，且证明材料须提供真彩扫描打印件并加盖公章</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08" w:type="dxa"/>
            <w:vMerge w:val="continue"/>
            <w:vAlign w:val="center"/>
          </w:tcPr>
          <w:p>
            <w:pPr>
              <w:widowControl/>
              <w:spacing w:line="360" w:lineRule="auto"/>
              <w:jc w:val="center"/>
              <w:rPr>
                <w:rFonts w:hint="eastAsia" w:ascii="宋体" w:hAnsi="宋体" w:eastAsia="宋体" w:cs="宋体"/>
                <w:color w:val="auto"/>
                <w:kern w:val="0"/>
                <w:sz w:val="24"/>
                <w:szCs w:val="24"/>
              </w:rPr>
            </w:pPr>
          </w:p>
        </w:tc>
        <w:tc>
          <w:tcPr>
            <w:tcW w:w="1081" w:type="dxa"/>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售后服务</w:t>
            </w:r>
          </w:p>
        </w:tc>
        <w:tc>
          <w:tcPr>
            <w:tcW w:w="820"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7087" w:type="dxa"/>
            <w:vAlign w:val="center"/>
          </w:tcPr>
          <w:p>
            <w:pPr>
              <w:widowControl/>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投标人需有本地化售后服务团队的得3分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需提供服务人员的劳动合同及投标人为服务团队缴纳社保的证明资料的真彩扫描打印件）；委托本地第三方提供服务得2分（提供委托合同真彩扫描打印件）；提供非本地分售后服务得1分</w:t>
            </w:r>
            <w:r>
              <w:rPr>
                <w:rFonts w:hint="eastAsia" w:ascii="宋体" w:hAnsi="宋体" w:eastAsia="宋体" w:cs="宋体"/>
                <w:color w:val="auto"/>
                <w:sz w:val="24"/>
                <w:szCs w:val="24"/>
                <w:lang w:eastAsia="zh-CN"/>
              </w:rPr>
              <w:t>。</w:t>
            </w:r>
          </w:p>
          <w:p>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2、投标方在本项目叁年基本质保期基础上，每多延长提供壹年质保期的得1分，满分</w:t>
            </w:r>
            <w:r>
              <w:rPr>
                <w:rFonts w:hint="default" w:ascii="宋体" w:hAnsi="宋体" w:eastAsia="宋体" w:cs="宋体"/>
                <w:color w:val="auto"/>
                <w:sz w:val="24"/>
                <w:szCs w:val="24"/>
                <w:lang w:val="en-US"/>
              </w:rPr>
              <w:t>3</w:t>
            </w:r>
            <w:r>
              <w:rPr>
                <w:rFonts w:hint="eastAsia" w:ascii="宋体" w:hAnsi="宋体" w:eastAsia="宋体" w:cs="宋体"/>
                <w:color w:val="auto"/>
                <w:sz w:val="24"/>
                <w:szCs w:val="24"/>
              </w:rPr>
              <w:t>分，须提供承诺函证明，否则不得分。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08" w:type="dxa"/>
            <w:vMerge w:val="continue"/>
            <w:vAlign w:val="center"/>
          </w:tcPr>
          <w:p>
            <w:pPr>
              <w:widowControl/>
              <w:spacing w:line="360" w:lineRule="auto"/>
              <w:jc w:val="center"/>
              <w:rPr>
                <w:rFonts w:hint="eastAsia" w:ascii="宋体" w:hAnsi="宋体" w:eastAsia="宋体" w:cs="宋体"/>
                <w:color w:val="auto"/>
                <w:kern w:val="0"/>
                <w:sz w:val="24"/>
                <w:szCs w:val="24"/>
              </w:rPr>
            </w:pPr>
          </w:p>
        </w:tc>
        <w:tc>
          <w:tcPr>
            <w:tcW w:w="1081" w:type="dxa"/>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投标文件制作</w:t>
            </w:r>
          </w:p>
        </w:tc>
        <w:tc>
          <w:tcPr>
            <w:tcW w:w="820"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087" w:type="dxa"/>
            <w:vAlign w:val="center"/>
          </w:tcPr>
          <w:p>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投标文件全面响应招标文件要求，编制完整、美观，非活页装订，且有详细目录、连续页码、目录与有关材料装订顺序对应清晰、查阅方便的得2分。不符合要求的，每处扣0.5分，扣完为止。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08" w:type="dxa"/>
            <w:vMerge w:val="continue"/>
            <w:vAlign w:val="center"/>
          </w:tcPr>
          <w:p>
            <w:pPr>
              <w:widowControl/>
              <w:spacing w:line="360" w:lineRule="auto"/>
              <w:jc w:val="center"/>
              <w:rPr>
                <w:rFonts w:hint="eastAsia" w:ascii="宋体" w:hAnsi="宋体" w:eastAsia="宋体" w:cs="宋体"/>
                <w:color w:val="auto"/>
                <w:kern w:val="0"/>
                <w:sz w:val="24"/>
                <w:szCs w:val="24"/>
              </w:rPr>
            </w:pPr>
          </w:p>
        </w:tc>
        <w:tc>
          <w:tcPr>
            <w:tcW w:w="1081" w:type="dxa"/>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方案优势</w:t>
            </w:r>
          </w:p>
        </w:tc>
        <w:tc>
          <w:tcPr>
            <w:tcW w:w="820"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7087" w:type="dxa"/>
            <w:vAlign w:val="center"/>
          </w:tcPr>
          <w:p>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比较各投标人提供的供货、验收和售后服务方案的合理性、完整性、可行性：提供的供货、验收和售后服务方案切实可行、符合采购要求</w:t>
            </w:r>
            <w:r>
              <w:rPr>
                <w:rFonts w:hint="eastAsia" w:ascii="宋体" w:hAnsi="宋体" w:eastAsia="宋体" w:cs="宋体"/>
                <w:color w:val="auto"/>
                <w:sz w:val="24"/>
                <w:szCs w:val="24"/>
                <w:lang w:eastAsia="zh-CN"/>
              </w:rPr>
              <w:t>、针对性强</w:t>
            </w:r>
            <w:r>
              <w:rPr>
                <w:rFonts w:hint="eastAsia" w:ascii="宋体" w:hAnsi="宋体" w:eastAsia="宋体" w:cs="宋体"/>
                <w:color w:val="auto"/>
                <w:sz w:val="24"/>
                <w:szCs w:val="24"/>
              </w:rPr>
              <w:t>的得4分；</w:t>
            </w:r>
            <w:r>
              <w:rPr>
                <w:rFonts w:hint="eastAsia" w:ascii="宋体" w:hAnsi="宋体" w:eastAsia="宋体" w:cs="宋体"/>
                <w:color w:val="auto"/>
                <w:sz w:val="24"/>
                <w:szCs w:val="24"/>
                <w:lang w:eastAsia="zh-CN"/>
              </w:rPr>
              <w:t>合理、可行</w:t>
            </w:r>
            <w:r>
              <w:rPr>
                <w:rFonts w:hint="eastAsia" w:ascii="宋体" w:hAnsi="宋体" w:eastAsia="宋体" w:cs="宋体"/>
                <w:color w:val="auto"/>
                <w:sz w:val="24"/>
                <w:szCs w:val="24"/>
              </w:rPr>
              <w:t>的得2分；</w:t>
            </w:r>
            <w:r>
              <w:rPr>
                <w:rFonts w:hint="eastAsia" w:ascii="宋体" w:hAnsi="宋体" w:eastAsia="宋体" w:cs="宋体"/>
                <w:color w:val="auto"/>
                <w:sz w:val="24"/>
                <w:szCs w:val="24"/>
                <w:lang w:eastAsia="zh-CN"/>
              </w:rPr>
              <w:t>欠合理、基本可行的得</w:t>
            </w:r>
            <w:r>
              <w:rPr>
                <w:rFonts w:hint="eastAsia" w:ascii="宋体" w:hAnsi="宋体" w:eastAsia="宋体" w:cs="宋体"/>
                <w:color w:val="auto"/>
                <w:sz w:val="24"/>
                <w:szCs w:val="24"/>
                <w:lang w:val="en-US" w:eastAsia="zh-CN"/>
              </w:rPr>
              <w:t>1分；</w:t>
            </w:r>
            <w:r>
              <w:rPr>
                <w:rFonts w:hint="eastAsia" w:ascii="宋体" w:hAnsi="宋体" w:eastAsia="宋体" w:cs="宋体"/>
                <w:color w:val="auto"/>
                <w:sz w:val="24"/>
                <w:szCs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8" w:type="dxa"/>
            <w:vMerge w:val="restart"/>
            <w:vAlign w:val="center"/>
          </w:tcPr>
          <w:p>
            <w:pPr>
              <w:widowControl/>
              <w:spacing w:line="360" w:lineRule="auto"/>
              <w:jc w:val="center"/>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技术部分（</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eastAsia="en-US"/>
              </w:rPr>
              <w:t>分）</w:t>
            </w:r>
          </w:p>
        </w:tc>
        <w:tc>
          <w:tcPr>
            <w:tcW w:w="1081"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符合性</w:t>
            </w:r>
          </w:p>
        </w:tc>
        <w:tc>
          <w:tcPr>
            <w:tcW w:w="820"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7087" w:type="dxa"/>
            <w:vAlign w:val="center"/>
          </w:tcPr>
          <w:p>
            <w:pPr>
              <w:widowControl/>
              <w:spacing w:line="400" w:lineRule="exact"/>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招标文件中标注“★”的技术指标，根据产品性能、及其他重要性能和投标服务情况：符合招标文件要求得20分，不满足招标文件要求的每项扣2分,超过8项</w:t>
            </w:r>
            <w:r>
              <w:rPr>
                <w:rFonts w:hint="eastAsia" w:ascii="宋体" w:hAnsi="宋体" w:eastAsia="宋体" w:cs="宋体"/>
                <w:color w:val="auto"/>
                <w:kern w:val="0"/>
                <w:sz w:val="24"/>
                <w:szCs w:val="24"/>
              </w:rPr>
              <w:t>的所有不得分</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rPr>
              <w:t>（文件参数中要求提供检测报告或相关证书的，需提供相应</w:t>
            </w:r>
            <w:r>
              <w:rPr>
                <w:rFonts w:hint="eastAsia" w:ascii="宋体" w:hAnsi="宋体" w:eastAsia="宋体" w:cs="宋体"/>
                <w:color w:val="auto"/>
                <w:sz w:val="24"/>
                <w:szCs w:val="24"/>
                <w:lang w:eastAsia="zh-CN"/>
              </w:rPr>
              <w:t>证明</w:t>
            </w:r>
            <w:r>
              <w:rPr>
                <w:rFonts w:hint="eastAsia" w:ascii="宋体" w:hAnsi="宋体" w:eastAsia="宋体" w:cs="宋体"/>
                <w:color w:val="auto"/>
                <w:sz w:val="24"/>
                <w:szCs w:val="24"/>
              </w:rPr>
              <w:t>材料</w:t>
            </w:r>
            <w:r>
              <w:rPr>
                <w:rFonts w:hint="eastAsia" w:ascii="宋体" w:hAnsi="宋体" w:eastAsia="宋体" w:cs="宋体"/>
                <w:color w:val="auto"/>
                <w:sz w:val="24"/>
                <w:szCs w:val="24"/>
                <w:lang w:eastAsia="zh-CN"/>
              </w:rPr>
              <w:t>的真彩扫描打印件</w:t>
            </w:r>
            <w:r>
              <w:rPr>
                <w:rFonts w:hint="eastAsia" w:ascii="宋体" w:hAnsi="宋体" w:eastAsia="宋体" w:cs="宋体"/>
                <w:color w:val="auto"/>
                <w:sz w:val="24"/>
                <w:szCs w:val="24"/>
              </w:rPr>
              <w:t>并加盖制造商公章加以佐证，否则不得分）。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8" w:type="dxa"/>
            <w:vMerge w:val="continue"/>
            <w:vAlign w:val="center"/>
          </w:tcPr>
          <w:p>
            <w:pPr>
              <w:widowControl/>
              <w:spacing w:line="360" w:lineRule="auto"/>
              <w:jc w:val="center"/>
              <w:rPr>
                <w:rFonts w:hint="eastAsia" w:ascii="宋体" w:hAnsi="宋体" w:eastAsia="宋体" w:cs="宋体"/>
                <w:color w:val="auto"/>
                <w:kern w:val="0"/>
                <w:sz w:val="24"/>
                <w:szCs w:val="24"/>
              </w:rPr>
            </w:pPr>
          </w:p>
        </w:tc>
        <w:tc>
          <w:tcPr>
            <w:tcW w:w="1081"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台面板及学生凳</w:t>
            </w:r>
          </w:p>
        </w:tc>
        <w:tc>
          <w:tcPr>
            <w:tcW w:w="820"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7087" w:type="dxa"/>
            <w:vAlign w:val="center"/>
          </w:tcPr>
          <w:p>
            <w:pPr>
              <w:pStyle w:val="16"/>
              <w:jc w:val="left"/>
              <w:rPr>
                <w:rFonts w:hint="eastAsia" w:ascii="宋体" w:hAnsi="宋体" w:eastAsia="宋体" w:cs="宋体"/>
                <w:color w:val="auto"/>
                <w:sz w:val="24"/>
                <w:szCs w:val="24"/>
              </w:rPr>
            </w:pPr>
            <w:r>
              <w:rPr>
                <w:rFonts w:hint="eastAsia" w:ascii="宋体" w:hAnsi="宋体" w:eastAsia="宋体" w:cs="宋体"/>
                <w:color w:val="auto"/>
                <w:sz w:val="24"/>
                <w:szCs w:val="24"/>
              </w:rPr>
              <w:t>1、教师桌台面板检测报告比较，甲醛释放量</w:t>
            </w:r>
            <w:r>
              <w:rPr>
                <w:rFonts w:hint="eastAsia" w:ascii="宋体" w:hAnsi="宋体" w:eastAsia="宋体" w:cs="宋体"/>
                <w:b/>
                <w:bCs/>
                <w:color w:val="auto"/>
                <w:sz w:val="24"/>
                <w:szCs w:val="24"/>
              </w:rPr>
              <w:t>小于2μg/㎡·h</w:t>
            </w:r>
            <w:r>
              <w:rPr>
                <w:rFonts w:hint="eastAsia" w:ascii="宋体" w:hAnsi="宋体" w:eastAsia="宋体" w:cs="宋体"/>
                <w:color w:val="auto"/>
                <w:sz w:val="24"/>
                <w:szCs w:val="24"/>
              </w:rPr>
              <w:t>的得3分；学生桌的台面板检测报告，甲醛释放量最小的得3分。本项共计6分。（提供国家权威机构检测报告</w:t>
            </w:r>
            <w:r>
              <w:rPr>
                <w:rFonts w:hint="eastAsia" w:ascii="宋体" w:hAnsi="宋体" w:eastAsia="宋体" w:cs="宋体"/>
                <w:color w:val="auto"/>
                <w:sz w:val="24"/>
                <w:szCs w:val="24"/>
                <w:lang w:eastAsia="zh-CN"/>
              </w:rPr>
              <w:t>的真彩扫描打印件并加盖公章</w:t>
            </w:r>
            <w:r>
              <w:rPr>
                <w:rFonts w:hint="eastAsia" w:ascii="宋体" w:hAnsi="宋体" w:eastAsia="宋体" w:cs="宋体"/>
                <w:color w:val="auto"/>
                <w:sz w:val="24"/>
                <w:szCs w:val="24"/>
              </w:rPr>
              <w:t>，模糊不清或不提供的不得分）</w:t>
            </w:r>
          </w:p>
          <w:p>
            <w:pPr>
              <w:pStyle w:val="16"/>
              <w:rPr>
                <w:rFonts w:hint="eastAsia" w:ascii="宋体" w:hAnsi="宋体" w:eastAsia="宋体" w:cs="宋体"/>
                <w:b/>
                <w:bCs/>
                <w:color w:val="auto"/>
                <w:sz w:val="24"/>
                <w:szCs w:val="24"/>
              </w:rPr>
            </w:pPr>
            <w:r>
              <w:rPr>
                <w:rFonts w:hint="eastAsia" w:ascii="宋体" w:hAnsi="宋体" w:eastAsia="宋体" w:cs="宋体"/>
                <w:color w:val="auto"/>
                <w:sz w:val="24"/>
                <w:szCs w:val="24"/>
              </w:rPr>
              <w:t>2、依据《室内空气第9部分：来自建筑产品和家具的挥发性有机化合物的测定排放试验室法（ISO 16000-9-2006）》规范，提供具有CNAS标识的检测报告,测试总挥发性有机物TVOC和苯的释放量小于2μg/㎡·h。满足的得3分，不满足的不得分。</w:t>
            </w:r>
            <w:r>
              <w:rPr>
                <w:rFonts w:hint="eastAsia" w:ascii="宋体" w:hAnsi="宋体" w:eastAsia="宋体" w:cs="宋体"/>
                <w:b/>
                <w:bCs/>
                <w:color w:val="auto"/>
                <w:sz w:val="24"/>
                <w:szCs w:val="24"/>
              </w:rPr>
              <w:t>（提供具有CNAS标识的检测报告加盖制造商公章</w:t>
            </w:r>
            <w:r>
              <w:rPr>
                <w:rFonts w:hint="eastAsia" w:ascii="宋体" w:hAnsi="宋体" w:eastAsia="宋体" w:cs="宋体"/>
                <w:b/>
                <w:bCs/>
                <w:color w:val="auto"/>
                <w:sz w:val="24"/>
                <w:szCs w:val="24"/>
                <w:lang w:eastAsia="zh-CN"/>
              </w:rPr>
              <w:t>的</w:t>
            </w:r>
            <w:r>
              <w:rPr>
                <w:rFonts w:hint="eastAsia" w:ascii="宋体" w:hAnsi="宋体" w:eastAsia="宋体" w:cs="宋体"/>
                <w:color w:val="auto"/>
                <w:sz w:val="24"/>
                <w:szCs w:val="24"/>
                <w:lang w:eastAsia="zh-CN"/>
              </w:rPr>
              <w:t>真彩扫描打印件</w:t>
            </w:r>
            <w:r>
              <w:rPr>
                <w:rFonts w:hint="eastAsia" w:ascii="宋体" w:hAnsi="宋体" w:eastAsia="宋体" w:cs="宋体"/>
                <w:b/>
                <w:bCs/>
                <w:color w:val="auto"/>
                <w:sz w:val="24"/>
                <w:szCs w:val="24"/>
              </w:rPr>
              <w:t>，模糊不清或不提供的不得分）</w:t>
            </w:r>
          </w:p>
          <w:p>
            <w:pPr>
              <w:pStyle w:val="16"/>
              <w:jc w:val="left"/>
              <w:rPr>
                <w:rFonts w:hint="eastAsia" w:ascii="宋体" w:hAnsi="宋体" w:eastAsia="宋体" w:cs="宋体"/>
                <w:color w:val="auto"/>
                <w:sz w:val="24"/>
                <w:szCs w:val="24"/>
              </w:rPr>
            </w:pPr>
            <w:r>
              <w:rPr>
                <w:rFonts w:hint="eastAsia" w:ascii="宋体" w:hAnsi="宋体" w:eastAsia="宋体" w:cs="宋体"/>
                <w:color w:val="auto"/>
                <w:sz w:val="24"/>
                <w:szCs w:val="24"/>
              </w:rPr>
              <w:t>3、通过权威部门检测</w:t>
            </w:r>
            <w:r>
              <w:rPr>
                <w:rFonts w:hint="eastAsia" w:ascii="宋体" w:hAnsi="宋体" w:eastAsia="宋体" w:cs="宋体"/>
                <w:b/>
                <w:bCs/>
                <w:color w:val="auto"/>
                <w:sz w:val="24"/>
                <w:szCs w:val="24"/>
              </w:rPr>
              <w:t>机构检测</w:t>
            </w:r>
            <w:r>
              <w:rPr>
                <w:rFonts w:hint="eastAsia" w:ascii="宋体" w:hAnsi="宋体" w:eastAsia="宋体" w:cs="宋体"/>
                <w:color w:val="auto"/>
                <w:sz w:val="24"/>
                <w:szCs w:val="24"/>
              </w:rPr>
              <w:t>，</w:t>
            </w:r>
            <w:r>
              <w:rPr>
                <w:rFonts w:hint="eastAsia" w:ascii="宋体" w:hAnsi="宋体" w:eastAsia="宋体" w:cs="宋体"/>
                <w:b/>
                <w:bCs/>
                <w:color w:val="auto"/>
                <w:sz w:val="24"/>
                <w:szCs w:val="24"/>
              </w:rPr>
              <w:t>满足或优于招标文件产品参数要求的。</w:t>
            </w:r>
            <w:r>
              <w:rPr>
                <w:rFonts w:hint="eastAsia" w:ascii="宋体" w:hAnsi="宋体" w:eastAsia="宋体" w:cs="宋体"/>
                <w:color w:val="auto"/>
                <w:sz w:val="24"/>
                <w:szCs w:val="24"/>
              </w:rPr>
              <w:t>科学学生桌检测报告得3分；学生凳检测报告得2分；本项共计5分。（提供国家权威机构检测报告</w:t>
            </w:r>
            <w:r>
              <w:rPr>
                <w:rFonts w:hint="eastAsia" w:ascii="宋体" w:hAnsi="宋体" w:eastAsia="宋体" w:cs="宋体"/>
                <w:color w:val="auto"/>
                <w:sz w:val="24"/>
                <w:szCs w:val="24"/>
                <w:lang w:eastAsia="zh-CN"/>
              </w:rPr>
              <w:t>真彩扫描打印件</w:t>
            </w:r>
            <w:r>
              <w:rPr>
                <w:rFonts w:hint="eastAsia" w:ascii="宋体" w:hAnsi="宋体" w:eastAsia="宋体" w:cs="宋体"/>
                <w:color w:val="auto"/>
                <w:sz w:val="24"/>
                <w:szCs w:val="24"/>
              </w:rPr>
              <w:t>，模糊不清或不提供的不得分）</w:t>
            </w:r>
          </w:p>
          <w:p>
            <w:pPr>
              <w:pStyle w:val="16"/>
              <w:rPr>
                <w:rFonts w:hint="eastAsia" w:ascii="宋体" w:hAnsi="宋体" w:eastAsia="宋体" w:cs="宋体"/>
                <w:b/>
                <w:bCs/>
                <w:color w:val="auto"/>
                <w:sz w:val="24"/>
                <w:szCs w:val="24"/>
              </w:rPr>
            </w:pPr>
            <w:r>
              <w:rPr>
                <w:rFonts w:hint="eastAsia" w:ascii="宋体" w:hAnsi="宋体" w:eastAsia="宋体" w:cs="宋体"/>
                <w:color w:val="auto"/>
                <w:sz w:val="24"/>
                <w:szCs w:val="24"/>
              </w:rPr>
              <w:t>4、通过权威检测机构SGS检测，检测方法：ASTM G21-15合成高分子材料防霉性测定，检测真菌有巴西曲霉（黑曲霉）、绿色木霉（绿色胶霉），提供台面表面的生物抗菌型净化膜的抗真菌检测报告，</w:t>
            </w:r>
            <w:r>
              <w:rPr>
                <w:rFonts w:hint="eastAsia" w:ascii="宋体" w:hAnsi="宋体" w:eastAsia="宋体" w:cs="宋体"/>
                <w:b/>
                <w:bCs/>
                <w:color w:val="auto"/>
                <w:sz w:val="24"/>
                <w:szCs w:val="24"/>
              </w:rPr>
              <w:t>满足或优于招标文件产品参数要求的</w:t>
            </w:r>
            <w:r>
              <w:rPr>
                <w:rFonts w:hint="eastAsia" w:ascii="宋体" w:hAnsi="宋体" w:eastAsia="宋体" w:cs="宋体"/>
                <w:color w:val="auto"/>
                <w:sz w:val="24"/>
                <w:szCs w:val="24"/>
              </w:rPr>
              <w:t>得2分，不</w:t>
            </w:r>
            <w:r>
              <w:rPr>
                <w:rFonts w:hint="eastAsia" w:ascii="宋体" w:hAnsi="宋体" w:eastAsia="宋体" w:cs="宋体"/>
                <w:b/>
                <w:bCs/>
                <w:color w:val="auto"/>
                <w:sz w:val="24"/>
                <w:szCs w:val="24"/>
              </w:rPr>
              <w:t>满足</w:t>
            </w:r>
            <w:r>
              <w:rPr>
                <w:rFonts w:hint="eastAsia" w:ascii="宋体" w:hAnsi="宋体" w:eastAsia="宋体" w:cs="宋体"/>
                <w:color w:val="auto"/>
                <w:sz w:val="24"/>
                <w:szCs w:val="24"/>
              </w:rPr>
              <w:t>的不得分。</w:t>
            </w:r>
            <w:r>
              <w:rPr>
                <w:rFonts w:hint="eastAsia" w:ascii="宋体" w:hAnsi="宋体" w:eastAsia="宋体" w:cs="宋体"/>
                <w:b/>
                <w:bCs/>
                <w:color w:val="auto"/>
                <w:sz w:val="24"/>
                <w:szCs w:val="24"/>
              </w:rPr>
              <w:t>（提供国家权威机构检测报告</w:t>
            </w:r>
            <w:r>
              <w:rPr>
                <w:rFonts w:hint="eastAsia" w:ascii="宋体" w:hAnsi="宋体" w:eastAsia="宋体" w:cs="宋体"/>
                <w:b/>
                <w:bCs/>
                <w:color w:val="auto"/>
                <w:sz w:val="24"/>
                <w:szCs w:val="24"/>
                <w:lang w:eastAsia="zh-CN"/>
              </w:rPr>
              <w:t>的</w:t>
            </w:r>
            <w:r>
              <w:rPr>
                <w:rFonts w:hint="eastAsia" w:ascii="宋体" w:hAnsi="宋体" w:eastAsia="宋体" w:cs="宋体"/>
                <w:color w:val="auto"/>
                <w:sz w:val="24"/>
                <w:szCs w:val="24"/>
                <w:lang w:eastAsia="zh-CN"/>
              </w:rPr>
              <w:t>真彩扫描打印件并加盖公章</w:t>
            </w:r>
            <w:r>
              <w:rPr>
                <w:rFonts w:hint="eastAsia" w:ascii="宋体" w:hAnsi="宋体" w:eastAsia="宋体" w:cs="宋体"/>
                <w:b/>
                <w:bCs/>
                <w:color w:val="auto"/>
                <w:sz w:val="24"/>
                <w:szCs w:val="24"/>
              </w:rPr>
              <w:t>，模糊不清或不提供的不得分）</w:t>
            </w:r>
          </w:p>
          <w:p>
            <w:pPr>
              <w:pStyle w:val="16"/>
              <w:rPr>
                <w:rFonts w:hint="eastAsia" w:ascii="宋体" w:hAnsi="宋体" w:eastAsia="宋体" w:cs="宋体"/>
                <w:color w:val="auto"/>
                <w:sz w:val="24"/>
                <w:szCs w:val="24"/>
              </w:rPr>
            </w:pPr>
            <w:r>
              <w:rPr>
                <w:rFonts w:hint="eastAsia" w:ascii="宋体" w:hAnsi="宋体" w:eastAsia="宋体" w:cs="宋体"/>
                <w:color w:val="auto"/>
                <w:sz w:val="24"/>
                <w:szCs w:val="24"/>
              </w:rPr>
              <w:t>5、通过权威检测机构SGS检测，检测方法：JISZ2801:2010抗菌加工制品-抗菌性试验方法和抗菌效果测定），检测菌种有大肠杆菌、金黄色葡萄球菌，提供台面表面的生物抗菌型净化膜的抗菌率检测报告，</w:t>
            </w:r>
            <w:r>
              <w:rPr>
                <w:rFonts w:hint="eastAsia" w:ascii="宋体" w:hAnsi="宋体" w:eastAsia="宋体" w:cs="宋体"/>
                <w:b/>
                <w:bCs/>
                <w:color w:val="auto"/>
                <w:sz w:val="24"/>
                <w:szCs w:val="24"/>
              </w:rPr>
              <w:t>满足或优于招标文件产品参数要求的</w:t>
            </w:r>
            <w:r>
              <w:rPr>
                <w:rFonts w:hint="eastAsia" w:ascii="宋体" w:hAnsi="宋体" w:eastAsia="宋体" w:cs="宋体"/>
                <w:color w:val="auto"/>
                <w:sz w:val="24"/>
                <w:szCs w:val="24"/>
              </w:rPr>
              <w:t>得2分，不符合的不得分。</w:t>
            </w:r>
            <w:r>
              <w:rPr>
                <w:rFonts w:hint="eastAsia" w:ascii="宋体" w:hAnsi="宋体" w:eastAsia="宋体" w:cs="宋体"/>
                <w:b/>
                <w:bCs/>
                <w:color w:val="auto"/>
                <w:sz w:val="24"/>
                <w:szCs w:val="24"/>
              </w:rPr>
              <w:t>（提供国家权威机构检测报告</w:t>
            </w:r>
            <w:r>
              <w:rPr>
                <w:rFonts w:hint="eastAsia" w:ascii="宋体" w:hAnsi="宋体" w:eastAsia="宋体" w:cs="宋体"/>
                <w:b/>
                <w:bCs/>
                <w:color w:val="auto"/>
                <w:sz w:val="24"/>
                <w:szCs w:val="24"/>
                <w:lang w:eastAsia="zh-CN"/>
              </w:rPr>
              <w:t>的</w:t>
            </w:r>
            <w:r>
              <w:rPr>
                <w:rFonts w:hint="eastAsia" w:ascii="宋体" w:hAnsi="宋体" w:eastAsia="宋体" w:cs="宋体"/>
                <w:color w:val="auto"/>
                <w:sz w:val="24"/>
                <w:szCs w:val="24"/>
                <w:lang w:eastAsia="zh-CN"/>
              </w:rPr>
              <w:t>真彩扫描打印件并加盖公章</w:t>
            </w:r>
            <w:r>
              <w:rPr>
                <w:rFonts w:hint="eastAsia" w:ascii="宋体" w:hAnsi="宋体" w:eastAsia="宋体" w:cs="宋体"/>
                <w:b/>
                <w:bCs/>
                <w:color w:val="auto"/>
                <w:sz w:val="24"/>
                <w:szCs w:val="24"/>
              </w:rPr>
              <w:t>，模糊不清或不提供的不得分）</w:t>
            </w:r>
          </w:p>
          <w:p>
            <w:pPr>
              <w:pStyle w:val="16"/>
              <w:rPr>
                <w:rFonts w:hint="eastAsia" w:ascii="宋体" w:hAnsi="宋体" w:eastAsia="宋体" w:cs="宋体"/>
                <w:color w:val="auto"/>
                <w:sz w:val="24"/>
                <w:szCs w:val="24"/>
              </w:rPr>
            </w:pPr>
            <w:r>
              <w:rPr>
                <w:rFonts w:hint="eastAsia" w:ascii="宋体" w:hAnsi="宋体" w:eastAsia="宋体" w:cs="宋体"/>
                <w:color w:val="auto"/>
                <w:sz w:val="24"/>
                <w:szCs w:val="24"/>
              </w:rPr>
              <w:t>6、通过国家认可的有资质的第三方检测机构检测，检测依据:JC/T1074-2008《室内空气净化功能涂覆材料净化性能》，提供（生物抗菌型净化）高能板的甲醛净化功能检测报告,要求甲醛净化效率≥30%，</w:t>
            </w:r>
            <w:r>
              <w:rPr>
                <w:rFonts w:hint="eastAsia" w:ascii="宋体" w:hAnsi="宋体" w:eastAsia="宋体" w:cs="宋体"/>
                <w:b/>
                <w:bCs/>
                <w:color w:val="auto"/>
                <w:sz w:val="24"/>
                <w:szCs w:val="24"/>
              </w:rPr>
              <w:t>满足或优于招标文件产品参数要求的</w:t>
            </w:r>
            <w:r>
              <w:rPr>
                <w:rFonts w:hint="eastAsia" w:ascii="宋体" w:hAnsi="宋体" w:eastAsia="宋体" w:cs="宋体"/>
                <w:color w:val="auto"/>
                <w:sz w:val="24"/>
                <w:szCs w:val="24"/>
              </w:rPr>
              <w:t>得2分，不</w:t>
            </w:r>
            <w:r>
              <w:rPr>
                <w:rFonts w:hint="eastAsia" w:ascii="宋体" w:hAnsi="宋体" w:eastAsia="宋体" w:cs="宋体"/>
                <w:b/>
                <w:bCs/>
                <w:color w:val="auto"/>
                <w:sz w:val="24"/>
                <w:szCs w:val="24"/>
              </w:rPr>
              <w:t>满足</w:t>
            </w:r>
            <w:r>
              <w:rPr>
                <w:rFonts w:hint="eastAsia" w:ascii="宋体" w:hAnsi="宋体" w:eastAsia="宋体" w:cs="宋体"/>
                <w:color w:val="auto"/>
                <w:sz w:val="24"/>
                <w:szCs w:val="24"/>
              </w:rPr>
              <w:t>的不得分。（</w:t>
            </w:r>
            <w:r>
              <w:rPr>
                <w:rFonts w:hint="eastAsia" w:ascii="宋体" w:hAnsi="宋体" w:eastAsia="宋体" w:cs="宋体"/>
                <w:b/>
                <w:bCs/>
                <w:color w:val="auto"/>
                <w:sz w:val="24"/>
                <w:szCs w:val="24"/>
              </w:rPr>
              <w:t>提供国家权威机构检测报告</w:t>
            </w:r>
            <w:r>
              <w:rPr>
                <w:rFonts w:hint="eastAsia" w:ascii="宋体" w:hAnsi="宋体" w:eastAsia="宋体" w:cs="宋体"/>
                <w:b/>
                <w:bCs/>
                <w:color w:val="auto"/>
                <w:sz w:val="24"/>
                <w:szCs w:val="24"/>
                <w:lang w:eastAsia="zh-CN"/>
              </w:rPr>
              <w:t>的</w:t>
            </w:r>
            <w:r>
              <w:rPr>
                <w:rFonts w:hint="eastAsia" w:ascii="宋体" w:hAnsi="宋体" w:eastAsia="宋体" w:cs="宋体"/>
                <w:color w:val="auto"/>
                <w:sz w:val="24"/>
                <w:szCs w:val="24"/>
                <w:lang w:eastAsia="zh-CN"/>
              </w:rPr>
              <w:t>真彩扫描打印件并加盖公章</w:t>
            </w:r>
            <w:r>
              <w:rPr>
                <w:rFonts w:hint="eastAsia" w:ascii="宋体" w:hAnsi="宋体" w:eastAsia="宋体" w:cs="宋体"/>
                <w:b/>
                <w:bCs/>
                <w:color w:val="auto"/>
                <w:sz w:val="24"/>
                <w:szCs w:val="24"/>
              </w:rPr>
              <w:t>，模糊不清或不提供的不得分，</w:t>
            </w:r>
            <w:r>
              <w:rPr>
                <w:rFonts w:hint="eastAsia" w:ascii="宋体" w:hAnsi="宋体" w:eastAsia="宋体" w:cs="宋体"/>
                <w:color w:val="auto"/>
                <w:sz w:val="24"/>
                <w:szCs w:val="24"/>
              </w:rPr>
              <w:t>检测报告封面上须有CMA认证标志）。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08" w:type="dxa"/>
            <w:vMerge w:val="continue"/>
            <w:vAlign w:val="center"/>
          </w:tcPr>
          <w:p>
            <w:pPr>
              <w:widowControl/>
              <w:spacing w:line="360" w:lineRule="auto"/>
              <w:jc w:val="left"/>
              <w:rPr>
                <w:rFonts w:hint="eastAsia" w:ascii="宋体" w:hAnsi="宋体" w:eastAsia="宋体" w:cs="宋体"/>
                <w:color w:val="auto"/>
                <w:kern w:val="0"/>
                <w:sz w:val="24"/>
                <w:szCs w:val="24"/>
              </w:rPr>
            </w:pPr>
          </w:p>
        </w:tc>
        <w:tc>
          <w:tcPr>
            <w:tcW w:w="108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稳定性</w:t>
            </w:r>
          </w:p>
        </w:tc>
        <w:tc>
          <w:tcPr>
            <w:tcW w:w="8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087" w:type="dxa"/>
            <w:vAlign w:val="center"/>
          </w:tcPr>
          <w:p>
            <w:pPr>
              <w:widowControl/>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1、确保整体教学、班牌系统运维的稳定性，所投触控一体机制造商通过CMMI5级认证得3分，通过CMMI4认证得2分，通过CMMI3级认证得1分，其他不得分。（需提供加盖供应商行政公章的相关证明材料</w:t>
            </w:r>
            <w:r>
              <w:rPr>
                <w:rFonts w:hint="eastAsia" w:ascii="宋体" w:hAnsi="宋体" w:eastAsia="宋体" w:cs="宋体"/>
                <w:color w:val="auto"/>
                <w:kern w:val="0"/>
                <w:sz w:val="24"/>
                <w:szCs w:val="24"/>
                <w:lang w:eastAsia="zh-CN"/>
              </w:rPr>
              <w:t>的</w:t>
            </w:r>
            <w:r>
              <w:rPr>
                <w:rFonts w:hint="eastAsia" w:ascii="宋体" w:hAnsi="宋体" w:eastAsia="宋体" w:cs="宋体"/>
                <w:color w:val="auto"/>
                <w:sz w:val="24"/>
                <w:szCs w:val="24"/>
                <w:lang w:eastAsia="zh-CN"/>
              </w:rPr>
              <w:t>真彩扫描打印件</w:t>
            </w:r>
            <w:r>
              <w:rPr>
                <w:rFonts w:hint="eastAsia" w:ascii="宋体" w:hAnsi="宋体" w:eastAsia="宋体" w:cs="宋体"/>
                <w:color w:val="auto"/>
                <w:kern w:val="0"/>
                <w:sz w:val="24"/>
                <w:szCs w:val="24"/>
              </w:rPr>
              <w:t>，未提供或不符合要求均不得分。）</w:t>
            </w:r>
          </w:p>
          <w:p>
            <w:pPr>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所投产品按国家或行业标准取得国家权威部门检测机构出具的检测报告每提供满</w:t>
            </w:r>
            <w:r>
              <w:rPr>
                <w:rFonts w:hint="eastAsia" w:ascii="宋体" w:hAnsi="宋体" w:eastAsia="宋体" w:cs="宋体"/>
                <w:color w:val="auto"/>
                <w:kern w:val="0"/>
                <w:sz w:val="24"/>
                <w:szCs w:val="24"/>
              </w:rPr>
              <w:t>30</w:t>
            </w:r>
            <w:r>
              <w:rPr>
                <w:rFonts w:hint="eastAsia" w:ascii="宋体" w:hAnsi="宋体" w:eastAsia="宋体" w:cs="宋体"/>
                <w:color w:val="auto"/>
                <w:kern w:val="0"/>
                <w:sz w:val="24"/>
                <w:szCs w:val="24"/>
                <w:lang w:val="zh-CN"/>
              </w:rPr>
              <w:t>份得1分，依次类推，最高得</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分，其他不得分（根据投标文件“货物清单”相应的数量进行比较，相应的检测报告作为验收必查内容）。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08" w:type="dxa"/>
            <w:vMerge w:val="continue"/>
            <w:vAlign w:val="center"/>
          </w:tcPr>
          <w:p>
            <w:pPr>
              <w:widowControl/>
              <w:spacing w:line="360" w:lineRule="auto"/>
              <w:jc w:val="left"/>
              <w:rPr>
                <w:rFonts w:hint="eastAsia" w:ascii="宋体" w:hAnsi="宋体" w:eastAsia="宋体" w:cs="宋体"/>
                <w:color w:val="auto"/>
                <w:kern w:val="0"/>
                <w:sz w:val="24"/>
                <w:szCs w:val="24"/>
              </w:rPr>
            </w:pPr>
          </w:p>
        </w:tc>
        <w:tc>
          <w:tcPr>
            <w:tcW w:w="108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技术优势</w:t>
            </w:r>
          </w:p>
        </w:tc>
        <w:tc>
          <w:tcPr>
            <w:tcW w:w="82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87" w:type="dxa"/>
            <w:vAlign w:val="center"/>
          </w:tcPr>
          <w:p>
            <w:pPr>
              <w:widowControl/>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1、所投产品整体技术水平和性能优良，主要技术指标、参数明显优越的可加1分；采用新材料、新工艺、新技术，产品环保、节能的加1分，需提供有效证明材料</w:t>
            </w:r>
            <w:r>
              <w:rPr>
                <w:rFonts w:hint="eastAsia" w:ascii="宋体" w:hAnsi="宋体" w:eastAsia="宋体" w:cs="宋体"/>
                <w:color w:val="auto"/>
                <w:kern w:val="0"/>
                <w:sz w:val="24"/>
                <w:szCs w:val="24"/>
                <w:lang w:eastAsia="zh-CN"/>
              </w:rPr>
              <w:t>的真彩扫描打印件</w:t>
            </w: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8" w:type="dxa"/>
            <w:vMerge w:val="continue"/>
            <w:vAlign w:val="center"/>
          </w:tcPr>
          <w:p>
            <w:pPr>
              <w:widowControl/>
              <w:spacing w:line="360" w:lineRule="auto"/>
              <w:jc w:val="left"/>
              <w:rPr>
                <w:rFonts w:hint="eastAsia" w:ascii="宋体" w:hAnsi="宋体" w:eastAsia="宋体" w:cs="宋体"/>
                <w:color w:val="auto"/>
                <w:kern w:val="0"/>
                <w:sz w:val="24"/>
                <w:szCs w:val="24"/>
              </w:rPr>
            </w:pPr>
          </w:p>
        </w:tc>
        <w:tc>
          <w:tcPr>
            <w:tcW w:w="108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视力保护</w:t>
            </w:r>
          </w:p>
          <w:p>
            <w:pPr>
              <w:widowControl/>
              <w:spacing w:line="360" w:lineRule="auto"/>
              <w:jc w:val="center"/>
              <w:rPr>
                <w:rFonts w:hint="eastAsia" w:ascii="宋体" w:hAnsi="宋体" w:eastAsia="宋体" w:cs="宋体"/>
                <w:color w:val="auto"/>
                <w:sz w:val="24"/>
                <w:szCs w:val="24"/>
              </w:rPr>
            </w:pPr>
          </w:p>
        </w:tc>
        <w:tc>
          <w:tcPr>
            <w:tcW w:w="820" w:type="dxa"/>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3</w:t>
            </w:r>
          </w:p>
        </w:tc>
        <w:tc>
          <w:tcPr>
            <w:tcW w:w="7087" w:type="dxa"/>
            <w:vAlign w:val="center"/>
          </w:tcPr>
          <w:p>
            <w:pPr>
              <w:widowControl/>
              <w:spacing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为保证学生视力，所投触控一体机通过视觉舒适度（VICO）体系认证，并达到视觉健康舒适度A 级或以上标准的得3分，没有不得分，提供权威检测机构出具的证书及测试报告并加盖厂家公章。（需提供加盖供应商行政公章的相关证明材料</w:t>
            </w:r>
            <w:r>
              <w:rPr>
                <w:rFonts w:hint="eastAsia" w:ascii="宋体" w:hAnsi="宋体" w:eastAsia="宋体" w:cs="宋体"/>
                <w:color w:val="auto"/>
                <w:kern w:val="0"/>
                <w:sz w:val="24"/>
                <w:szCs w:val="24"/>
                <w:lang w:eastAsia="zh-CN"/>
              </w:rPr>
              <w:t>的真彩扫描打印件</w:t>
            </w:r>
            <w:r>
              <w:rPr>
                <w:rFonts w:hint="eastAsia" w:ascii="宋体" w:hAnsi="宋体" w:eastAsia="宋体" w:cs="宋体"/>
                <w:color w:val="auto"/>
                <w:kern w:val="0"/>
                <w:sz w:val="24"/>
                <w:szCs w:val="24"/>
              </w:rPr>
              <w:t>，未提供或不符合要求均不得分。）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以上所有须提供的证件、证书、有关资料等投标人都须提供原始资料的真彩扫描打印件供专家评委评审，模糊不清的、未提供和提供不全面的不得分。投标人投标时须认真对待、如实应标。凡提供虚假材料谋取中标的，一经查实，根据《政府采购法》第七十七条之规定，将对供应商处以罚款、列入不良行为记录名单、依法追究刑事责任等。</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ind w:left="420" w:hanging="420"/>
        <w:jc w:val="center"/>
        <w:textAlignment w:val="auto"/>
        <w:rPr>
          <w:rFonts w:hint="eastAsia" w:ascii="宋体" w:hAnsi="宋体" w:eastAsia="宋体" w:cs="宋体"/>
          <w:color w:val="auto"/>
        </w:rPr>
      </w:pPr>
      <w:bookmarkStart w:id="77" w:name="_Toc494665943"/>
      <w:bookmarkStart w:id="78" w:name="_Toc494745310"/>
      <w:bookmarkStart w:id="79" w:name="_Toc494721093"/>
      <w:bookmarkStart w:id="80" w:name="_Toc494702263"/>
      <w:bookmarkStart w:id="81" w:name="_Toc494664993"/>
      <w:bookmarkStart w:id="82" w:name="_Toc494665546"/>
      <w:bookmarkStart w:id="83" w:name="_Toc12859"/>
      <w:r>
        <w:rPr>
          <w:rFonts w:hint="eastAsia" w:ascii="宋体" w:hAnsi="宋体" w:eastAsia="宋体" w:cs="宋体"/>
          <w:color w:val="auto"/>
        </w:rPr>
        <w:t>合同书格式（参考）</w:t>
      </w:r>
      <w:bookmarkEnd w:id="77"/>
      <w:bookmarkEnd w:id="78"/>
      <w:bookmarkEnd w:id="79"/>
      <w:bookmarkEnd w:id="80"/>
      <w:bookmarkEnd w:id="81"/>
      <w:bookmarkEnd w:id="82"/>
      <w:bookmarkEnd w:id="83"/>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合   同   书</w:t>
      </w:r>
    </w:p>
    <w:p>
      <w:pPr>
        <w:spacing w:before="78" w:beforeLines="25" w:line="360" w:lineRule="auto"/>
        <w:ind w:firstLine="482"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eastAsia="zh-CN"/>
        </w:rPr>
        <w:t>项目名称：</w:t>
      </w:r>
    </w:p>
    <w:p>
      <w:pPr>
        <w:spacing w:before="78" w:beforeLines="25" w:line="360" w:lineRule="auto"/>
        <w:ind w:firstLine="482" w:firstLineChars="200"/>
        <w:rPr>
          <w:rFonts w:hint="eastAsia" w:ascii="宋体" w:hAnsi="宋体" w:eastAsia="宋体" w:cs="宋体"/>
          <w:b/>
          <w:color w:val="auto"/>
          <w:kern w:val="0"/>
          <w:sz w:val="24"/>
          <w:szCs w:val="24"/>
          <w:lang w:val="zh-CN" w:eastAsia="zh-CN"/>
        </w:rPr>
      </w:pPr>
      <w:r>
        <w:rPr>
          <w:rFonts w:hint="eastAsia" w:ascii="宋体" w:hAnsi="宋体" w:eastAsia="宋体" w:cs="宋体"/>
          <w:b/>
          <w:color w:val="auto"/>
          <w:kern w:val="0"/>
          <w:sz w:val="24"/>
          <w:szCs w:val="24"/>
          <w:lang w:val="zh-CN" w:eastAsia="zh-CN"/>
        </w:rPr>
        <w:t>合同编号：</w:t>
      </w:r>
    </w:p>
    <w:p>
      <w:pPr>
        <w:spacing w:before="78" w:beforeLines="25" w:line="360" w:lineRule="auto"/>
        <w:ind w:firstLine="482" w:firstLineChars="200"/>
        <w:rPr>
          <w:rFonts w:hint="eastAsia" w:ascii="宋体" w:hAnsi="宋体" w:eastAsia="宋体" w:cs="宋体"/>
          <w:b/>
          <w:color w:val="auto"/>
          <w:kern w:val="0"/>
          <w:sz w:val="24"/>
          <w:szCs w:val="24"/>
          <w:lang w:val="zh-CN" w:eastAsia="zh-CN"/>
        </w:rPr>
      </w:pPr>
      <w:r>
        <w:rPr>
          <w:rFonts w:hint="eastAsia" w:ascii="宋体" w:hAnsi="宋体" w:eastAsia="宋体" w:cs="宋体"/>
          <w:b/>
          <w:color w:val="auto"/>
          <w:kern w:val="0"/>
          <w:sz w:val="24"/>
          <w:szCs w:val="24"/>
          <w:lang w:val="zh-CN" w:eastAsia="zh-CN"/>
        </w:rPr>
        <w:t>签订日期：</w:t>
      </w:r>
    </w:p>
    <w:p>
      <w:pPr>
        <w:spacing w:before="78" w:beforeLines="25" w:line="360" w:lineRule="auto"/>
        <w:ind w:firstLine="482" w:firstLineChars="200"/>
        <w:rPr>
          <w:rFonts w:hint="eastAsia" w:ascii="宋体" w:hAnsi="宋体" w:eastAsia="宋体" w:cs="宋体"/>
          <w:b/>
          <w:color w:val="auto"/>
          <w:kern w:val="0"/>
          <w:sz w:val="24"/>
          <w:szCs w:val="24"/>
          <w:lang w:val="zh-CN" w:eastAsia="zh-CN"/>
        </w:rPr>
      </w:pPr>
      <w:r>
        <w:rPr>
          <w:rFonts w:hint="eastAsia" w:ascii="宋体" w:hAnsi="宋体" w:eastAsia="宋体" w:cs="宋体"/>
          <w:b/>
          <w:color w:val="auto"/>
          <w:kern w:val="0"/>
          <w:sz w:val="24"/>
          <w:szCs w:val="24"/>
          <w:lang w:val="zh-CN" w:eastAsia="zh-CN"/>
        </w:rPr>
        <w:t>签订合同地点：</w:t>
      </w:r>
    </w:p>
    <w:p>
      <w:pPr>
        <w:spacing w:before="78" w:beforeLines="25" w:line="360" w:lineRule="auto"/>
        <w:ind w:firstLine="480" w:firstLineChars="200"/>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本合同由</w:t>
      </w:r>
      <w:r>
        <w:rPr>
          <w:rFonts w:hint="eastAsia" w:ascii="宋体" w:hAnsi="宋体" w:eastAsia="宋体" w:cs="宋体"/>
          <w:color w:val="auto"/>
          <w:kern w:val="0"/>
          <w:sz w:val="24"/>
          <w:szCs w:val="24"/>
          <w:u w:val="single"/>
          <w:lang w:val="zh-CN" w:eastAsia="zh-CN"/>
        </w:rPr>
        <w:t xml:space="preserve">  </w:t>
      </w:r>
      <w:r>
        <w:rPr>
          <w:rFonts w:hint="eastAsia" w:ascii="宋体" w:hAnsi="宋体" w:eastAsia="宋体" w:cs="宋体"/>
          <w:color w:val="auto"/>
          <w:kern w:val="0"/>
          <w:sz w:val="24"/>
          <w:szCs w:val="24"/>
          <w:u w:val="single"/>
          <w:lang w:val="zh-CN"/>
        </w:rPr>
        <w:t>（采购人）</w:t>
      </w:r>
      <w:r>
        <w:rPr>
          <w:rFonts w:hint="eastAsia" w:ascii="宋体" w:hAnsi="宋体" w:eastAsia="宋体" w:cs="宋体"/>
          <w:color w:val="auto"/>
          <w:kern w:val="0"/>
          <w:sz w:val="24"/>
          <w:szCs w:val="24"/>
          <w:u w:val="single"/>
          <w:lang w:val="zh-CN" w:eastAsia="zh-CN"/>
        </w:rPr>
        <w:t xml:space="preserve"> </w:t>
      </w:r>
      <w:r>
        <w:rPr>
          <w:rFonts w:hint="eastAsia" w:ascii="宋体" w:hAnsi="宋体" w:eastAsia="宋体" w:cs="宋体"/>
          <w:color w:val="auto"/>
          <w:kern w:val="0"/>
          <w:sz w:val="24"/>
          <w:szCs w:val="24"/>
          <w:lang w:val="zh-CN" w:eastAsia="zh-CN"/>
        </w:rPr>
        <w:t>（以下简称“</w:t>
      </w:r>
      <w:r>
        <w:rPr>
          <w:rFonts w:hint="eastAsia" w:ascii="宋体" w:hAnsi="宋体" w:eastAsia="宋体" w:cs="宋体"/>
          <w:color w:val="auto"/>
          <w:kern w:val="0"/>
          <w:sz w:val="24"/>
          <w:szCs w:val="24"/>
          <w:lang w:val="zh-CN"/>
        </w:rPr>
        <w:t>甲</w:t>
      </w:r>
      <w:r>
        <w:rPr>
          <w:rFonts w:hint="eastAsia" w:ascii="宋体" w:hAnsi="宋体" w:eastAsia="宋体" w:cs="宋体"/>
          <w:color w:val="auto"/>
          <w:kern w:val="0"/>
          <w:sz w:val="24"/>
          <w:szCs w:val="24"/>
          <w:lang w:val="zh-CN" w:eastAsia="zh-CN"/>
        </w:rPr>
        <w:t>方”）与</w:t>
      </w:r>
      <w:r>
        <w:rPr>
          <w:rFonts w:hint="eastAsia" w:ascii="宋体" w:hAnsi="宋体" w:eastAsia="宋体" w:cs="宋体"/>
          <w:color w:val="auto"/>
          <w:kern w:val="0"/>
          <w:sz w:val="24"/>
          <w:szCs w:val="24"/>
          <w:u w:val="single"/>
          <w:lang w:val="zh-CN" w:eastAsia="zh-CN"/>
        </w:rPr>
        <w:t xml:space="preserve">  </w:t>
      </w:r>
      <w:r>
        <w:rPr>
          <w:rFonts w:hint="eastAsia" w:ascii="宋体" w:hAnsi="宋体" w:eastAsia="宋体" w:cs="宋体"/>
          <w:color w:val="auto"/>
          <w:kern w:val="0"/>
          <w:sz w:val="24"/>
          <w:szCs w:val="24"/>
          <w:u w:val="single"/>
          <w:lang w:val="zh-CN"/>
        </w:rPr>
        <w:t>（中标人）</w:t>
      </w:r>
      <w:r>
        <w:rPr>
          <w:rFonts w:hint="eastAsia" w:ascii="宋体" w:hAnsi="宋体" w:eastAsia="宋体" w:cs="宋体"/>
          <w:color w:val="auto"/>
          <w:kern w:val="0"/>
          <w:sz w:val="24"/>
          <w:szCs w:val="24"/>
          <w:u w:val="single"/>
          <w:lang w:val="zh-CN" w:eastAsia="zh-CN"/>
        </w:rPr>
        <w:t xml:space="preserve">   </w:t>
      </w:r>
      <w:r>
        <w:rPr>
          <w:rFonts w:hint="eastAsia" w:ascii="宋体" w:hAnsi="宋体" w:eastAsia="宋体" w:cs="宋体"/>
          <w:color w:val="auto"/>
          <w:kern w:val="0"/>
          <w:sz w:val="24"/>
          <w:szCs w:val="24"/>
          <w:lang w:val="zh-CN" w:eastAsia="zh-CN"/>
        </w:rPr>
        <w:t>（以下简称“</w:t>
      </w:r>
      <w:r>
        <w:rPr>
          <w:rFonts w:hint="eastAsia" w:ascii="宋体" w:hAnsi="宋体" w:eastAsia="宋体" w:cs="宋体"/>
          <w:color w:val="auto"/>
          <w:kern w:val="0"/>
          <w:sz w:val="24"/>
          <w:szCs w:val="24"/>
          <w:lang w:val="zh-CN"/>
        </w:rPr>
        <w:t>乙</w:t>
      </w:r>
      <w:r>
        <w:rPr>
          <w:rFonts w:hint="eastAsia" w:ascii="宋体" w:hAnsi="宋体" w:eastAsia="宋体" w:cs="宋体"/>
          <w:color w:val="auto"/>
          <w:kern w:val="0"/>
          <w:sz w:val="24"/>
          <w:szCs w:val="24"/>
          <w:lang w:val="zh-CN" w:eastAsia="zh-CN"/>
        </w:rPr>
        <w:t>方”）签订。</w:t>
      </w:r>
      <w:r>
        <w:rPr>
          <w:rFonts w:hint="eastAsia" w:ascii="宋体" w:hAnsi="宋体" w:eastAsia="宋体" w:cs="宋体"/>
          <w:color w:val="auto"/>
          <w:kern w:val="0"/>
          <w:sz w:val="24"/>
          <w:szCs w:val="24"/>
          <w:lang w:val="zh-CN"/>
        </w:rPr>
        <w:t>乙</w:t>
      </w:r>
      <w:r>
        <w:rPr>
          <w:rFonts w:hint="eastAsia" w:ascii="宋体" w:hAnsi="宋体" w:eastAsia="宋体" w:cs="宋体"/>
          <w:color w:val="auto"/>
          <w:kern w:val="0"/>
          <w:sz w:val="24"/>
          <w:szCs w:val="24"/>
          <w:lang w:val="zh-CN" w:eastAsia="zh-CN"/>
        </w:rPr>
        <w:t>方以总金额</w:t>
      </w:r>
      <w:r>
        <w:rPr>
          <w:rFonts w:hint="eastAsia" w:ascii="宋体" w:hAnsi="宋体" w:eastAsia="宋体" w:cs="宋体"/>
          <w:color w:val="auto"/>
          <w:kern w:val="0"/>
          <w:sz w:val="24"/>
          <w:szCs w:val="24"/>
          <w:u w:val="single"/>
          <w:lang w:val="zh-CN" w:eastAsia="zh-CN"/>
        </w:rPr>
        <w:t xml:space="preserve">         </w:t>
      </w:r>
      <w:r>
        <w:rPr>
          <w:rFonts w:hint="eastAsia" w:ascii="宋体" w:hAnsi="宋体" w:eastAsia="宋体" w:cs="宋体"/>
          <w:color w:val="auto"/>
          <w:kern w:val="0"/>
          <w:sz w:val="24"/>
          <w:szCs w:val="24"/>
          <w:lang w:val="zh-CN" w:eastAsia="zh-CN"/>
        </w:rPr>
        <w:t>万元人民币（用大写数字书写）向</w:t>
      </w:r>
      <w:r>
        <w:rPr>
          <w:rFonts w:hint="eastAsia" w:ascii="宋体" w:hAnsi="宋体" w:eastAsia="宋体" w:cs="宋体"/>
          <w:color w:val="auto"/>
          <w:kern w:val="0"/>
          <w:sz w:val="24"/>
          <w:szCs w:val="24"/>
          <w:lang w:val="zh-CN"/>
        </w:rPr>
        <w:t>甲</w:t>
      </w:r>
      <w:r>
        <w:rPr>
          <w:rFonts w:hint="eastAsia" w:ascii="宋体" w:hAnsi="宋体" w:eastAsia="宋体" w:cs="宋体"/>
          <w:color w:val="auto"/>
          <w:kern w:val="0"/>
          <w:sz w:val="24"/>
          <w:szCs w:val="24"/>
          <w:lang w:val="zh-CN" w:eastAsia="zh-CN"/>
        </w:rPr>
        <w:t>方提供如下货物</w:t>
      </w:r>
      <w:r>
        <w:rPr>
          <w:rFonts w:hint="eastAsia" w:ascii="宋体" w:hAnsi="宋体" w:eastAsia="宋体" w:cs="宋体"/>
          <w:color w:val="auto"/>
          <w:kern w:val="0"/>
          <w:sz w:val="24"/>
          <w:szCs w:val="24"/>
          <w:lang w:val="zh-CN"/>
        </w:rPr>
        <w:t>（工程或服务）</w:t>
      </w:r>
      <w:r>
        <w:rPr>
          <w:rFonts w:hint="eastAsia" w:ascii="宋体" w:hAnsi="宋体" w:eastAsia="宋体" w:cs="宋体"/>
          <w:color w:val="auto"/>
          <w:kern w:val="0"/>
          <w:sz w:val="24"/>
          <w:szCs w:val="24"/>
          <w:lang w:val="zh-CN" w:eastAsia="zh-CN"/>
        </w:rPr>
        <w:t>：</w:t>
      </w:r>
    </w:p>
    <w:p>
      <w:pPr>
        <w:spacing w:before="78" w:beforeLines="25" w:line="360" w:lineRule="auto"/>
        <w:ind w:firstLine="492" w:firstLineChars="204"/>
        <w:contextualSpacing/>
        <w:rPr>
          <w:rFonts w:hint="eastAsia" w:ascii="宋体" w:hAnsi="宋体" w:eastAsia="宋体" w:cs="宋体"/>
          <w:b/>
          <w:color w:val="auto"/>
          <w:kern w:val="0"/>
          <w:sz w:val="24"/>
          <w:szCs w:val="20"/>
        </w:rPr>
      </w:pPr>
      <w:r>
        <w:rPr>
          <w:rFonts w:hint="eastAsia" w:ascii="宋体" w:hAnsi="宋体" w:eastAsia="宋体" w:cs="宋体"/>
          <w:b/>
          <w:color w:val="auto"/>
          <w:kern w:val="0"/>
          <w:sz w:val="24"/>
          <w:szCs w:val="24"/>
          <w:lang w:val="zh-CN" w:eastAsia="zh-CN"/>
        </w:rPr>
        <w:t>经双方协商，同意按下列条文执行：</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本合同甲、乙双方应遵守国家颁布的《中华人民共和国合同法》、《中华人民共和国政府采购法》，并各自履行应负的全部责任和义务。</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甲方保证按合同条款规定的时间和方式付给乙方到期应付的合同款，并承担应负的责任和义务。</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乙方保证按合同条款规定的内容和工期（服务期限）向甲方提供合格的货物（工程或服务），并承担应负的责任和义务。</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合同文件。下列文件为本合同不可分割的部分：</w:t>
      </w:r>
    </w:p>
    <w:p>
      <w:pPr>
        <w:numPr>
          <w:ilvl w:val="0"/>
          <w:numId w:val="31"/>
        </w:numPr>
        <w:adjustRightInd w:val="0"/>
        <w:spacing w:before="78" w:beforeLines="25" w:line="360" w:lineRule="auto"/>
        <w:ind w:left="1091" w:leftChars="227" w:hanging="614" w:hangingChars="256"/>
        <w:rPr>
          <w:rFonts w:hint="eastAsia" w:ascii="宋体" w:hAnsi="宋体" w:eastAsia="宋体" w:cs="宋体"/>
          <w:color w:val="auto"/>
          <w:kern w:val="0"/>
          <w:sz w:val="24"/>
          <w:szCs w:val="20"/>
          <w:lang w:val="zh-CN" w:eastAsia="zh-CN"/>
        </w:rPr>
      </w:pPr>
      <w:r>
        <w:rPr>
          <w:rFonts w:hint="eastAsia" w:ascii="宋体" w:hAnsi="宋体" w:eastAsia="宋体" w:cs="宋体"/>
          <w:color w:val="auto"/>
          <w:kern w:val="0"/>
          <w:sz w:val="24"/>
          <w:szCs w:val="20"/>
          <w:lang w:val="zh-CN" w:eastAsia="zh-CN"/>
        </w:rPr>
        <w:t>招标文件（</w:t>
      </w:r>
      <w:r>
        <w:rPr>
          <w:rFonts w:hint="eastAsia" w:ascii="宋体" w:hAnsi="宋体" w:eastAsia="宋体" w:cs="宋体"/>
          <w:color w:val="auto"/>
          <w:kern w:val="0"/>
          <w:sz w:val="24"/>
          <w:szCs w:val="20"/>
          <w:lang w:val="zh-CN"/>
        </w:rPr>
        <w:t>项目</w:t>
      </w:r>
      <w:r>
        <w:rPr>
          <w:rFonts w:hint="eastAsia" w:ascii="宋体" w:hAnsi="宋体" w:eastAsia="宋体" w:cs="宋体"/>
          <w:color w:val="auto"/>
          <w:kern w:val="0"/>
          <w:sz w:val="24"/>
          <w:szCs w:val="20"/>
          <w:lang w:val="zh-CN" w:eastAsia="zh-CN"/>
        </w:rPr>
        <w:t>编号：</w:t>
      </w:r>
      <w:r>
        <w:rPr>
          <w:rFonts w:hint="eastAsia" w:ascii="宋体" w:hAnsi="宋体" w:eastAsia="宋体" w:cs="宋体"/>
          <w:color w:val="auto"/>
          <w:kern w:val="0"/>
          <w:sz w:val="24"/>
          <w:szCs w:val="20"/>
          <w:u w:val="single"/>
          <w:lang w:val="zh-CN" w:eastAsia="zh-CN"/>
        </w:rPr>
        <w:t>　　</w:t>
      </w:r>
      <w:r>
        <w:rPr>
          <w:rFonts w:hint="eastAsia" w:ascii="宋体" w:hAnsi="宋体" w:eastAsia="宋体" w:cs="宋体"/>
          <w:color w:val="auto"/>
          <w:kern w:val="0"/>
          <w:sz w:val="24"/>
          <w:szCs w:val="20"/>
          <w:u w:val="single"/>
          <w:lang w:val="zh-CN"/>
        </w:rPr>
        <w:t xml:space="preserve">  </w:t>
      </w:r>
      <w:r>
        <w:rPr>
          <w:rFonts w:hint="eastAsia" w:ascii="宋体" w:hAnsi="宋体" w:eastAsia="宋体" w:cs="宋体"/>
          <w:color w:val="auto"/>
          <w:kern w:val="0"/>
          <w:sz w:val="24"/>
          <w:szCs w:val="20"/>
          <w:u w:val="single"/>
          <w:lang w:val="zh-CN" w:eastAsia="zh-CN"/>
        </w:rPr>
        <w:t xml:space="preserve">            　</w:t>
      </w:r>
      <w:r>
        <w:rPr>
          <w:rFonts w:hint="eastAsia" w:ascii="宋体" w:hAnsi="宋体" w:eastAsia="宋体" w:cs="宋体"/>
          <w:color w:val="auto"/>
          <w:kern w:val="0"/>
          <w:sz w:val="24"/>
          <w:szCs w:val="20"/>
          <w:lang w:val="zh-CN" w:eastAsia="zh-CN"/>
        </w:rPr>
        <w:t>）；</w:t>
      </w:r>
    </w:p>
    <w:p>
      <w:pPr>
        <w:numPr>
          <w:ilvl w:val="0"/>
          <w:numId w:val="31"/>
        </w:numPr>
        <w:adjustRightInd w:val="0"/>
        <w:spacing w:before="78" w:beforeLines="25" w:line="360" w:lineRule="auto"/>
        <w:ind w:left="1091" w:leftChars="227" w:hanging="614" w:hangingChars="256"/>
        <w:rPr>
          <w:rFonts w:hint="eastAsia" w:ascii="宋体" w:hAnsi="宋体" w:eastAsia="宋体" w:cs="宋体"/>
          <w:color w:val="auto"/>
          <w:kern w:val="0"/>
          <w:sz w:val="24"/>
          <w:szCs w:val="20"/>
          <w:lang w:val="zh-CN" w:eastAsia="zh-CN"/>
        </w:rPr>
      </w:pPr>
      <w:r>
        <w:rPr>
          <w:rFonts w:hint="eastAsia" w:ascii="宋体" w:hAnsi="宋体" w:eastAsia="宋体" w:cs="宋体"/>
          <w:color w:val="auto"/>
          <w:kern w:val="0"/>
          <w:sz w:val="24"/>
          <w:szCs w:val="20"/>
          <w:lang w:val="zh-CN" w:eastAsia="zh-CN"/>
        </w:rPr>
        <w:t>中标的投标文件；</w:t>
      </w:r>
    </w:p>
    <w:p>
      <w:pPr>
        <w:numPr>
          <w:ilvl w:val="0"/>
          <w:numId w:val="31"/>
        </w:numPr>
        <w:adjustRightInd w:val="0"/>
        <w:spacing w:before="78" w:beforeLines="25" w:line="360" w:lineRule="auto"/>
        <w:ind w:left="1091" w:leftChars="227" w:hanging="614" w:hangingChars="256"/>
        <w:rPr>
          <w:rFonts w:hint="eastAsia" w:ascii="宋体" w:hAnsi="宋体" w:eastAsia="宋体" w:cs="宋体"/>
          <w:color w:val="auto"/>
          <w:kern w:val="0"/>
          <w:sz w:val="24"/>
          <w:szCs w:val="20"/>
          <w:lang w:val="zh-CN" w:eastAsia="zh-CN"/>
        </w:rPr>
      </w:pPr>
      <w:r>
        <w:rPr>
          <w:rFonts w:hint="eastAsia" w:ascii="宋体" w:hAnsi="宋体" w:eastAsia="宋体" w:cs="宋体"/>
          <w:color w:val="auto"/>
          <w:kern w:val="0"/>
          <w:sz w:val="24"/>
          <w:szCs w:val="20"/>
          <w:lang w:val="zh-CN" w:eastAsia="zh-CN"/>
        </w:rPr>
        <w:t>合同书；</w:t>
      </w:r>
    </w:p>
    <w:p>
      <w:pPr>
        <w:numPr>
          <w:ilvl w:val="0"/>
          <w:numId w:val="31"/>
        </w:numPr>
        <w:adjustRightInd w:val="0"/>
        <w:spacing w:before="78" w:beforeLines="25" w:line="360" w:lineRule="auto"/>
        <w:ind w:left="1091" w:leftChars="227" w:hanging="614" w:hangingChars="256"/>
        <w:rPr>
          <w:rFonts w:hint="eastAsia" w:ascii="宋体" w:hAnsi="宋体" w:eastAsia="宋体" w:cs="宋体"/>
          <w:color w:val="auto"/>
          <w:kern w:val="0"/>
          <w:sz w:val="24"/>
          <w:szCs w:val="20"/>
          <w:lang w:val="zh-CN" w:eastAsia="zh-CN"/>
        </w:rPr>
      </w:pPr>
      <w:r>
        <w:rPr>
          <w:rFonts w:hint="eastAsia" w:ascii="宋体" w:hAnsi="宋体" w:eastAsia="宋体" w:cs="宋体"/>
          <w:color w:val="auto"/>
          <w:kern w:val="0"/>
          <w:sz w:val="24"/>
          <w:szCs w:val="20"/>
          <w:lang w:val="zh-CN" w:eastAsia="zh-CN"/>
        </w:rPr>
        <w:t>合同条款；</w:t>
      </w:r>
    </w:p>
    <w:p>
      <w:pPr>
        <w:numPr>
          <w:ilvl w:val="0"/>
          <w:numId w:val="31"/>
        </w:numPr>
        <w:adjustRightInd w:val="0"/>
        <w:spacing w:before="78" w:beforeLines="25" w:line="360" w:lineRule="auto"/>
        <w:ind w:left="1091" w:leftChars="227" w:hanging="614" w:hangingChars="256"/>
        <w:rPr>
          <w:rFonts w:hint="eastAsia" w:ascii="宋体" w:hAnsi="宋体" w:eastAsia="宋体" w:cs="宋体"/>
          <w:color w:val="auto"/>
          <w:kern w:val="0"/>
          <w:sz w:val="24"/>
          <w:szCs w:val="20"/>
          <w:lang w:val="zh-CN" w:eastAsia="zh-CN"/>
        </w:rPr>
      </w:pPr>
      <w:r>
        <w:rPr>
          <w:rFonts w:hint="eastAsia" w:ascii="宋体" w:hAnsi="宋体" w:eastAsia="宋体" w:cs="宋体"/>
          <w:color w:val="auto"/>
          <w:sz w:val="24"/>
          <w:szCs w:val="20"/>
          <w:lang w:val="zh-CN" w:eastAsia="zh-CN"/>
        </w:rPr>
        <w:t>采购代理机构</w:t>
      </w:r>
      <w:r>
        <w:rPr>
          <w:rFonts w:hint="eastAsia" w:ascii="宋体" w:hAnsi="宋体" w:eastAsia="宋体" w:cs="宋体"/>
          <w:color w:val="auto"/>
          <w:kern w:val="0"/>
          <w:sz w:val="24"/>
          <w:szCs w:val="20"/>
          <w:lang w:val="zh-CN" w:eastAsia="zh-CN"/>
        </w:rPr>
        <w:t>机构发出的中标通知书；</w:t>
      </w:r>
    </w:p>
    <w:p>
      <w:pPr>
        <w:numPr>
          <w:ilvl w:val="0"/>
          <w:numId w:val="31"/>
        </w:numPr>
        <w:adjustRightInd w:val="0"/>
        <w:spacing w:before="78" w:beforeLines="25" w:line="360" w:lineRule="auto"/>
        <w:ind w:left="1091" w:leftChars="227" w:hanging="614" w:hangingChars="256"/>
        <w:rPr>
          <w:rFonts w:hint="eastAsia" w:ascii="宋体" w:hAnsi="宋体" w:eastAsia="宋体" w:cs="宋体"/>
          <w:color w:val="auto"/>
          <w:kern w:val="0"/>
          <w:sz w:val="24"/>
          <w:szCs w:val="20"/>
          <w:lang w:val="zh-CN" w:eastAsia="zh-CN"/>
        </w:rPr>
      </w:pPr>
      <w:r>
        <w:rPr>
          <w:rFonts w:hint="eastAsia" w:ascii="宋体" w:hAnsi="宋体" w:eastAsia="宋体" w:cs="宋体"/>
          <w:color w:val="auto"/>
          <w:kern w:val="0"/>
          <w:sz w:val="24"/>
          <w:szCs w:val="20"/>
          <w:lang w:val="zh-CN" w:eastAsia="zh-CN"/>
        </w:rPr>
        <w:t>附件；</w:t>
      </w:r>
    </w:p>
    <w:p>
      <w:pPr>
        <w:numPr>
          <w:ilvl w:val="0"/>
          <w:numId w:val="32"/>
        </w:numPr>
        <w:spacing w:before="78" w:beforeLines="25" w:line="360" w:lineRule="auto"/>
        <w:ind w:left="1358" w:hanging="724"/>
        <w:rPr>
          <w:rFonts w:hint="eastAsia" w:ascii="宋体" w:hAnsi="宋体" w:eastAsia="宋体" w:cs="宋体"/>
          <w:color w:val="auto"/>
          <w:sz w:val="24"/>
          <w:szCs w:val="20"/>
          <w:lang w:val="zh-CN" w:eastAsia="zh-CN"/>
        </w:rPr>
      </w:pPr>
      <w:r>
        <w:rPr>
          <w:rFonts w:hint="eastAsia" w:ascii="宋体" w:hAnsi="宋体" w:eastAsia="宋体" w:cs="宋体"/>
          <w:color w:val="auto"/>
          <w:kern w:val="0"/>
          <w:sz w:val="24"/>
          <w:szCs w:val="20"/>
          <w:lang w:val="zh-CN"/>
        </w:rPr>
        <w:t>甲</w:t>
      </w:r>
      <w:r>
        <w:rPr>
          <w:rFonts w:hint="eastAsia" w:ascii="宋体" w:hAnsi="宋体" w:eastAsia="宋体" w:cs="宋体"/>
          <w:color w:val="auto"/>
          <w:kern w:val="0"/>
          <w:sz w:val="24"/>
          <w:szCs w:val="20"/>
          <w:lang w:val="zh-CN" w:eastAsia="zh-CN"/>
        </w:rPr>
        <w:t>方</w:t>
      </w:r>
      <w:r>
        <w:rPr>
          <w:rFonts w:hint="eastAsia" w:ascii="宋体" w:hAnsi="宋体" w:eastAsia="宋体" w:cs="宋体"/>
          <w:color w:val="auto"/>
          <w:sz w:val="24"/>
          <w:szCs w:val="20"/>
          <w:lang w:val="zh-CN" w:eastAsia="zh-CN"/>
        </w:rPr>
        <w:t>在招标期间发布的所有补充通知；</w:t>
      </w:r>
    </w:p>
    <w:p>
      <w:pPr>
        <w:numPr>
          <w:ilvl w:val="0"/>
          <w:numId w:val="32"/>
        </w:numPr>
        <w:spacing w:before="78"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乙方在投标期内补充的所有书面文件；</w:t>
      </w:r>
    </w:p>
    <w:p>
      <w:pPr>
        <w:numPr>
          <w:ilvl w:val="0"/>
          <w:numId w:val="32"/>
        </w:numPr>
        <w:spacing w:before="78"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乙方在投标时随同投标文件一起递送的资料及附图；</w:t>
      </w:r>
    </w:p>
    <w:p>
      <w:pPr>
        <w:numPr>
          <w:ilvl w:val="0"/>
          <w:numId w:val="32"/>
        </w:numPr>
        <w:spacing w:before="78"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在商洽本合同时，双方澄清、确认并共同签字的补充文件、技术协议。</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合同范围和条件。本合同的范围和条件应与上述规定的合同文件内容相一致。</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货物（工程或服务）及数量。本合同所提供的货物（工程或服务）及数量详见招标文件的要求及乙方投标文件中的承诺。</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付款条件。本合同的付款条件按招标文件规定执行。</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合同金额。合同总金额见合同书，分项价格在乙方的投标报价表中有明确规定。</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工期和交货（服务）地点。本合同中货物（工程或服务）的工期、交货（服务）地点在招标文件中有明确规定。</w:t>
      </w:r>
    </w:p>
    <w:p>
      <w:pPr>
        <w:numPr>
          <w:ilvl w:val="3"/>
          <w:numId w:val="30"/>
        </w:numPr>
        <w:tabs>
          <w:tab w:val="left" w:pos="980"/>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合同生效。本合同经甲、乙双方授权代表签字和加盖公章（或合同专用章）后生效。如招标申请公证的，合同需经公证机构公证后生效。</w:t>
      </w:r>
    </w:p>
    <w:p>
      <w:pPr>
        <w:numPr>
          <w:ilvl w:val="3"/>
          <w:numId w:val="30"/>
        </w:numPr>
        <w:tabs>
          <w:tab w:val="left" w:pos="980"/>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合同的份数。本合同正本一式</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份，甲方执　份，乙方执　份；副本一式</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份，甲方执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份，乙方执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w:t>
      </w:r>
    </w:p>
    <w:p>
      <w:pPr>
        <w:numPr>
          <w:ilvl w:val="3"/>
          <w:numId w:val="30"/>
        </w:numPr>
        <w:tabs>
          <w:tab w:val="left" w:pos="980"/>
        </w:tabs>
        <w:autoSpaceDE w:val="0"/>
        <w:autoSpaceDN w:val="0"/>
        <w:spacing w:before="78"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合同的失效。本合同在合同价款全部结清后失效。</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甲　　方：</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乙　　方：</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单位名称（盖章）：</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单位名称（盖章）：</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单位地址：</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单位地址：</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法人代表授权人(签字)：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法人代表授权人(签字)：</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联 系 人：</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联 系 人：</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电　　话：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电　　话：</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传　　真：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传　　真：</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邮政编码：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邮政编码：</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开户银行：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开户银行：</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帐　　号：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帐　　号：</w:t>
      </w:r>
    </w:p>
    <w:p>
      <w:pPr>
        <w:spacing w:before="78"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税　　号：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税　　号：</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ind w:left="420" w:hanging="420"/>
        <w:jc w:val="center"/>
        <w:textAlignment w:val="auto"/>
        <w:rPr>
          <w:rFonts w:hint="eastAsia" w:ascii="宋体" w:hAnsi="宋体" w:eastAsia="宋体" w:cs="宋体"/>
          <w:color w:val="auto"/>
        </w:rPr>
      </w:pPr>
      <w:bookmarkStart w:id="84" w:name="_Toc494702264"/>
      <w:bookmarkStart w:id="85" w:name="_Toc494721094"/>
      <w:bookmarkStart w:id="86" w:name="_Toc494664994"/>
      <w:bookmarkStart w:id="87" w:name="_Toc494745311"/>
      <w:bookmarkStart w:id="88" w:name="_Toc494665944"/>
      <w:bookmarkStart w:id="89" w:name="_Toc29202"/>
      <w:bookmarkStart w:id="90" w:name="_Toc494665547"/>
      <w:r>
        <w:rPr>
          <w:rFonts w:hint="eastAsia" w:ascii="宋体" w:hAnsi="宋体" w:eastAsia="宋体" w:cs="宋体"/>
          <w:color w:val="auto"/>
        </w:rPr>
        <w:t>投标文件格式（参考）</w:t>
      </w:r>
      <w:bookmarkEnd w:id="84"/>
      <w:bookmarkEnd w:id="85"/>
      <w:bookmarkEnd w:id="86"/>
      <w:bookmarkEnd w:id="87"/>
      <w:bookmarkEnd w:id="88"/>
      <w:bookmarkEnd w:id="89"/>
      <w:bookmarkEnd w:id="90"/>
    </w:p>
    <w:p>
      <w:pPr>
        <w:spacing w:after="624" w:afterLines="200"/>
        <w:jc w:val="center"/>
        <w:rPr>
          <w:rFonts w:hint="eastAsia" w:ascii="宋体" w:hAnsi="宋体" w:eastAsia="宋体" w:cs="宋体"/>
          <w:b/>
          <w:color w:val="auto"/>
          <w:sz w:val="96"/>
          <w:szCs w:val="96"/>
          <w:lang w:eastAsia="zh-CN"/>
        </w:rPr>
      </w:pPr>
      <w:r>
        <w:rPr>
          <w:rFonts w:hint="eastAsia" w:ascii="宋体" w:hAnsi="宋体" w:eastAsia="宋体" w:cs="宋体"/>
          <w:b/>
          <w:color w:val="auto"/>
          <w:sz w:val="96"/>
          <w:szCs w:val="96"/>
          <w:lang w:eastAsia="zh-CN"/>
        </w:rPr>
        <w:t>阳新县县级政府采购</w:t>
      </w:r>
    </w:p>
    <w:p>
      <w:pPr>
        <w:spacing w:after="624" w:afterLines="20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投 标 文 件</w:t>
      </w:r>
    </w:p>
    <w:p>
      <w:pPr>
        <w:pStyle w:val="4"/>
        <w:spacing w:before="340" w:after="480" w:line="360" w:lineRule="auto"/>
        <w:jc w:val="center"/>
        <w:rPr>
          <w:rFonts w:hint="eastAsia" w:ascii="宋体" w:hAnsi="宋体" w:eastAsia="宋体" w:cs="宋体"/>
          <w:bCs w:val="0"/>
          <w:color w:val="auto"/>
          <w:sz w:val="44"/>
          <w:szCs w:val="44"/>
          <w:lang w:val="zh-CN" w:eastAsia="zh-CN"/>
        </w:rPr>
      </w:pPr>
      <w:bookmarkStart w:id="91" w:name="_Toc9222"/>
      <w:bookmarkStart w:id="92" w:name="_Toc494721095"/>
      <w:bookmarkStart w:id="93" w:name="_Toc494664995"/>
      <w:bookmarkStart w:id="94" w:name="_Toc494665548"/>
      <w:bookmarkStart w:id="95" w:name="_Toc494702265"/>
      <w:bookmarkStart w:id="96" w:name="_Toc494745312"/>
      <w:bookmarkStart w:id="97" w:name="_Toc494665945"/>
      <w:r>
        <w:rPr>
          <w:rFonts w:hint="eastAsia" w:ascii="宋体" w:hAnsi="宋体" w:eastAsia="宋体" w:cs="宋体"/>
          <w:bCs w:val="0"/>
          <w:color w:val="auto"/>
          <w:sz w:val="44"/>
          <w:szCs w:val="44"/>
          <w:lang w:val="zh-CN" w:eastAsia="zh-CN"/>
        </w:rPr>
        <w:t>第一部分 资格证明文件</w:t>
      </w:r>
      <w:bookmarkEnd w:id="91"/>
      <w:bookmarkEnd w:id="92"/>
      <w:bookmarkEnd w:id="93"/>
      <w:bookmarkEnd w:id="94"/>
      <w:bookmarkEnd w:id="95"/>
      <w:bookmarkEnd w:id="96"/>
      <w:bookmarkEnd w:id="97"/>
    </w:p>
    <w:p>
      <w:pPr>
        <w:spacing w:line="360" w:lineRule="auto"/>
        <w:ind w:left="2055" w:leftChars="619" w:right="1300" w:rightChars="619" w:hanging="755"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r>
        <w:rPr>
          <w:rFonts w:hint="eastAsia" w:ascii="宋体" w:hAnsi="宋体" w:eastAsia="宋体" w:cs="宋体"/>
          <w:color w:val="auto"/>
          <w:sz w:val="36"/>
          <w:szCs w:val="36"/>
          <w:u w:val="single"/>
        </w:rPr>
        <w:t xml:space="preserve">                            </w:t>
      </w:r>
    </w:p>
    <w:p>
      <w:pPr>
        <w:spacing w:line="360" w:lineRule="auto"/>
        <w:ind w:left="2055" w:leftChars="619" w:right="1300" w:rightChars="619" w:hanging="755"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项目名称：</w:t>
      </w:r>
      <w:r>
        <w:rPr>
          <w:rFonts w:hint="eastAsia" w:ascii="宋体" w:hAnsi="宋体" w:eastAsia="宋体" w:cs="宋体"/>
          <w:color w:val="auto"/>
          <w:sz w:val="36"/>
          <w:szCs w:val="36"/>
          <w:u w:val="single"/>
        </w:rPr>
        <w:t xml:space="preserve">                            </w:t>
      </w:r>
    </w:p>
    <w:p>
      <w:pPr>
        <w:spacing w:line="360" w:lineRule="auto"/>
        <w:ind w:left="2055" w:leftChars="619" w:right="1300" w:rightChars="619" w:hanging="755"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招标内容：</w:t>
      </w:r>
      <w:r>
        <w:rPr>
          <w:rFonts w:hint="eastAsia" w:ascii="宋体" w:hAnsi="宋体" w:eastAsia="宋体" w:cs="宋体"/>
          <w:color w:val="auto"/>
          <w:sz w:val="36"/>
          <w:szCs w:val="36"/>
          <w:u w:val="single"/>
        </w:rPr>
        <w:t xml:space="preserve">                            </w:t>
      </w:r>
    </w:p>
    <w:p>
      <w:pPr>
        <w:spacing w:after="1560" w:afterLines="500" w:line="360" w:lineRule="auto"/>
        <w:ind w:left="2347" w:leftChars="271" w:right="569" w:rightChars="271" w:hanging="1778" w:hangingChars="494"/>
        <w:jc w:val="center"/>
        <w:rPr>
          <w:rFonts w:hint="eastAsia" w:ascii="宋体" w:hAnsi="宋体" w:eastAsia="宋体" w:cs="宋体"/>
          <w:color w:val="auto"/>
          <w:sz w:val="36"/>
          <w:szCs w:val="36"/>
        </w:rPr>
      </w:pPr>
    </w:p>
    <w:p>
      <w:pPr>
        <w:spacing w:line="360" w:lineRule="auto"/>
        <w:ind w:left="1974" w:leftChars="613" w:right="1287" w:rightChars="613" w:hanging="687"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投标人（盖章）：</w:t>
      </w:r>
      <w:r>
        <w:rPr>
          <w:rFonts w:hint="eastAsia" w:ascii="宋体" w:hAnsi="宋体" w:eastAsia="宋体" w:cs="宋体"/>
          <w:b/>
          <w:bCs/>
          <w:color w:val="auto"/>
          <w:sz w:val="32"/>
          <w:szCs w:val="32"/>
          <w:u w:val="single"/>
        </w:rPr>
        <w:t xml:space="preserve">                             </w:t>
      </w:r>
    </w:p>
    <w:p>
      <w:pPr>
        <w:spacing w:line="360" w:lineRule="auto"/>
        <w:ind w:left="1974" w:leftChars="613" w:right="1287" w:rightChars="613" w:hanging="687"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r>
        <w:rPr>
          <w:rFonts w:hint="eastAsia" w:ascii="宋体" w:hAnsi="宋体" w:eastAsia="宋体" w:cs="宋体"/>
          <w:b/>
          <w:bCs/>
          <w:color w:val="auto"/>
          <w:sz w:val="32"/>
          <w:szCs w:val="32"/>
          <w:u w:val="single"/>
        </w:rPr>
        <w:t xml:space="preserve">                    </w:t>
      </w:r>
    </w:p>
    <w:p>
      <w:pPr>
        <w:spacing w:before="312" w:beforeLines="100" w:after="312" w:afterLines="100" w:line="360" w:lineRule="auto"/>
        <w:ind w:left="2262" w:leftChars="466" w:right="466" w:hanging="1283"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w:t>
      </w:r>
      <w:r>
        <w:rPr>
          <w:rFonts w:hint="eastAsia" w:ascii="宋体" w:hAnsi="宋体" w:eastAsia="宋体" w:cs="宋体"/>
          <w:b/>
          <w:bCs/>
          <w:color w:val="auto"/>
          <w:sz w:val="36"/>
          <w:szCs w:val="36"/>
          <w:lang w:eastAsia="zh-CN"/>
        </w:rPr>
        <w:t>二</w:t>
      </w:r>
      <w:r>
        <w:rPr>
          <w:rFonts w:hint="eastAsia" w:ascii="宋体" w:hAnsi="宋体" w:eastAsia="宋体" w:cs="宋体"/>
          <w:b/>
          <w:color w:val="auto"/>
          <w:sz w:val="36"/>
          <w:szCs w:val="36"/>
        </w:rPr>
        <w:t xml:space="preserve">  年 月</w:t>
      </w:r>
    </w:p>
    <w:p>
      <w:pPr>
        <w:rPr>
          <w:rFonts w:hint="eastAsia" w:ascii="宋体" w:hAnsi="宋体" w:eastAsia="宋体" w:cs="宋体"/>
          <w:color w:val="auto"/>
        </w:rPr>
      </w:pPr>
      <w:r>
        <w:rPr>
          <w:rFonts w:hint="eastAsia" w:ascii="宋体" w:hAnsi="宋体" w:eastAsia="宋体" w:cs="宋体"/>
          <w:color w:val="auto"/>
        </w:rPr>
        <w:br w:type="page"/>
      </w:r>
    </w:p>
    <w:p>
      <w:pPr>
        <w:spacing w:before="312" w:beforeLines="100" w:line="360" w:lineRule="auto"/>
        <w:jc w:val="lef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eastAsia="zh-CN"/>
        </w:rPr>
        <w:t>格式（参考）说明：</w:t>
      </w:r>
    </w:p>
    <w:p>
      <w:pPr>
        <w:spacing w:before="120" w:after="120" w:line="578" w:lineRule="auto"/>
        <w:jc w:val="center"/>
        <w:rPr>
          <w:rFonts w:hint="eastAsia" w:ascii="宋体" w:hAnsi="宋体" w:eastAsia="宋体" w:cs="宋体"/>
          <w:b/>
          <w:color w:val="auto"/>
          <w:sz w:val="36"/>
          <w:szCs w:val="36"/>
        </w:rPr>
      </w:pPr>
      <w:bookmarkStart w:id="98" w:name="_Toc494702266"/>
      <w:bookmarkStart w:id="99" w:name="_Toc494664996"/>
      <w:bookmarkStart w:id="100" w:name="_Toc494665549"/>
      <w:bookmarkStart w:id="101" w:name="_Toc494745313"/>
      <w:bookmarkStart w:id="102" w:name="_Toc494665946"/>
      <w:bookmarkStart w:id="103" w:name="_Toc494721096"/>
      <w:r>
        <w:rPr>
          <w:rFonts w:hint="eastAsia" w:ascii="宋体" w:hAnsi="宋体" w:eastAsia="宋体" w:cs="宋体"/>
          <w:b/>
          <w:color w:val="auto"/>
          <w:sz w:val="36"/>
          <w:szCs w:val="36"/>
        </w:rPr>
        <w:t>资格证明文件组成</w:t>
      </w:r>
      <w:bookmarkEnd w:id="98"/>
      <w:bookmarkEnd w:id="99"/>
      <w:bookmarkEnd w:id="100"/>
      <w:bookmarkEnd w:id="101"/>
      <w:bookmarkEnd w:id="102"/>
      <w:bookmarkEnd w:id="103"/>
    </w:p>
    <w:p>
      <w:pPr>
        <w:autoSpaceDE w:val="0"/>
        <w:autoSpaceDN w:val="0"/>
        <w:adjustRightInd w:val="0"/>
        <w:spacing w:before="156" w:beforeLines="50" w:after="156"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由各投标人根据参考格式要求自行编写。目录清晰、内容详尽、易于理解和审查。具体内容应包括但不限于以下内容：</w:t>
      </w:r>
    </w:p>
    <w:p>
      <w:pPr>
        <w:numPr>
          <w:ilvl w:val="0"/>
          <w:numId w:val="33"/>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资格证明文件目录</w:t>
      </w:r>
      <w:r>
        <w:rPr>
          <w:rFonts w:hint="eastAsia" w:ascii="宋体" w:hAnsi="宋体" w:eastAsia="宋体" w:cs="宋体"/>
          <w:b/>
          <w:color w:val="auto"/>
          <w:kern w:val="0"/>
          <w:sz w:val="24"/>
          <w:szCs w:val="32"/>
        </w:rPr>
        <w:t>（目录应涵盖下述所有资料，页码清晰以便查阅）</w:t>
      </w:r>
      <w:r>
        <w:rPr>
          <w:rFonts w:hint="eastAsia" w:ascii="宋体" w:hAnsi="宋体" w:eastAsia="宋体" w:cs="宋体"/>
          <w:color w:val="auto"/>
          <w:kern w:val="0"/>
          <w:sz w:val="24"/>
          <w:szCs w:val="32"/>
        </w:rPr>
        <w:t>；</w:t>
      </w:r>
    </w:p>
    <w:p>
      <w:pPr>
        <w:numPr>
          <w:ilvl w:val="0"/>
          <w:numId w:val="33"/>
        </w:numPr>
        <w:autoSpaceDE w:val="0"/>
        <w:autoSpaceDN w:val="0"/>
        <w:adjustRightInd w:val="0"/>
        <w:spacing w:line="360" w:lineRule="auto"/>
        <w:ind w:left="490" w:hanging="370"/>
        <w:rPr>
          <w:rFonts w:hint="eastAsia" w:ascii="宋体" w:hAnsi="宋体" w:eastAsia="宋体" w:cs="宋体"/>
          <w:b/>
          <w:color w:val="auto"/>
          <w:kern w:val="0"/>
          <w:sz w:val="24"/>
          <w:szCs w:val="32"/>
        </w:rPr>
      </w:pPr>
      <w:r>
        <w:rPr>
          <w:rFonts w:hint="eastAsia" w:ascii="宋体" w:hAnsi="宋体" w:eastAsia="宋体" w:cs="宋体"/>
          <w:color w:val="auto"/>
          <w:kern w:val="0"/>
          <w:sz w:val="24"/>
          <w:szCs w:val="32"/>
        </w:rPr>
        <w:t>应具备《政府采购法》第二十二条第一款规定的条件，提供下列材料：</w:t>
      </w:r>
    </w:p>
    <w:p>
      <w:pPr>
        <w:pStyle w:val="15"/>
        <w:numPr>
          <w:ilvl w:val="0"/>
          <w:numId w:val="34"/>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法人或者其他组织的营业执照等证明文件，自然人的身份证明；</w:t>
      </w:r>
    </w:p>
    <w:p>
      <w:pPr>
        <w:pStyle w:val="15"/>
        <w:numPr>
          <w:ilvl w:val="0"/>
          <w:numId w:val="34"/>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财务状况报告，依法缴纳税收和社会保障资金的相关材料；</w:t>
      </w:r>
    </w:p>
    <w:p>
      <w:pPr>
        <w:pStyle w:val="15"/>
        <w:numPr>
          <w:ilvl w:val="0"/>
          <w:numId w:val="34"/>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具备履行合同所必需的设备和专业技术能力的证明材料；</w:t>
      </w:r>
    </w:p>
    <w:p>
      <w:pPr>
        <w:pStyle w:val="15"/>
        <w:numPr>
          <w:ilvl w:val="0"/>
          <w:numId w:val="34"/>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参加政府采购活动前3年内在经营活动中没有重大违法记录的书面声明；</w:t>
      </w:r>
    </w:p>
    <w:p>
      <w:pPr>
        <w:pStyle w:val="15"/>
        <w:numPr>
          <w:ilvl w:val="0"/>
          <w:numId w:val="34"/>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具备法律、行政法规规定的其他条件的证明材料；</w:t>
      </w:r>
    </w:p>
    <w:p>
      <w:pPr>
        <w:numPr>
          <w:ilvl w:val="0"/>
          <w:numId w:val="33"/>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33"/>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招标文件第一章“投标人资格要求”中有特殊要求的，投标人应提供其符合特殊要求的证明材料或者情况说明；</w:t>
      </w:r>
    </w:p>
    <w:p>
      <w:pPr>
        <w:numPr>
          <w:ilvl w:val="0"/>
          <w:numId w:val="33"/>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不符合联合体投标相关规定和要求的（适用于接受联合体投标的项目）；</w:t>
      </w:r>
    </w:p>
    <w:p>
      <w:pPr>
        <w:numPr>
          <w:ilvl w:val="0"/>
          <w:numId w:val="33"/>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投标人认为需提供的其它相关资格证明材料。</w:t>
      </w:r>
    </w:p>
    <w:p>
      <w:pPr>
        <w:autoSpaceDE w:val="0"/>
        <w:autoSpaceDN w:val="0"/>
        <w:adjustRightInd w:val="0"/>
        <w:spacing w:line="400" w:lineRule="exact"/>
        <w:ind w:left="490"/>
        <w:rPr>
          <w:rFonts w:hint="eastAsia" w:ascii="宋体" w:hAnsi="宋体" w:eastAsia="宋体" w:cs="宋体"/>
          <w:color w:val="auto"/>
          <w:sz w:val="24"/>
          <w:szCs w:val="24"/>
        </w:rPr>
      </w:pPr>
    </w:p>
    <w:p>
      <w:pPr>
        <w:autoSpaceDE w:val="0"/>
        <w:autoSpaceDN w:val="0"/>
        <w:adjustRightInd w:val="0"/>
        <w:spacing w:line="400" w:lineRule="exact"/>
        <w:ind w:left="490"/>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说明：1、以上材料提供不实的，按照《政府采购法》有关提供虚假材料的规定给予处罚； </w:t>
      </w:r>
    </w:p>
    <w:p>
      <w:pPr>
        <w:ind w:firstLine="720" w:firstLineChars="300"/>
        <w:rPr>
          <w:rFonts w:hint="eastAsia" w:ascii="宋体" w:hAnsi="宋体" w:eastAsia="宋体" w:cs="宋体"/>
          <w:color w:val="auto"/>
        </w:rPr>
      </w:pPr>
      <w:r>
        <w:rPr>
          <w:rFonts w:hint="eastAsia" w:ascii="宋体" w:hAnsi="宋体" w:eastAsia="宋体" w:cs="宋体"/>
          <w:color w:val="auto"/>
          <w:sz w:val="24"/>
          <w:szCs w:val="24"/>
        </w:rPr>
        <w:t>2、资格证明文件正本应为清晰彩色影印件且加盖单位公章，否则</w:t>
      </w:r>
      <w:r>
        <w:rPr>
          <w:rFonts w:hint="eastAsia" w:ascii="宋体" w:hAnsi="宋体" w:eastAsia="宋体" w:cs="宋体"/>
          <w:color w:val="auto"/>
          <w:kern w:val="0"/>
          <w:sz w:val="24"/>
          <w:szCs w:val="24"/>
        </w:rPr>
        <w:t>按照</w:t>
      </w:r>
      <w:r>
        <w:rPr>
          <w:rFonts w:hint="eastAsia" w:ascii="宋体" w:hAnsi="宋体" w:eastAsia="宋体" w:cs="宋体"/>
          <w:b/>
          <w:color w:val="auto"/>
          <w:kern w:val="0"/>
          <w:sz w:val="24"/>
          <w:szCs w:val="24"/>
        </w:rPr>
        <w:t>无效投标处理</w:t>
      </w:r>
      <w:r>
        <w:rPr>
          <w:rFonts w:hint="eastAsia" w:ascii="宋体" w:hAnsi="宋体" w:eastAsia="宋体" w:cs="宋体"/>
          <w:b/>
          <w:color w:val="auto"/>
          <w:sz w:val="24"/>
          <w:szCs w:val="24"/>
        </w:rPr>
        <w:t>。</w:t>
      </w:r>
    </w:p>
    <w:p>
      <w:pPr>
        <w:rPr>
          <w:rFonts w:hint="eastAsia" w:ascii="宋体" w:hAnsi="宋体" w:eastAsia="宋体" w:cs="宋体"/>
          <w:color w:val="auto"/>
        </w:rPr>
        <w:sectPr>
          <w:headerReference r:id="rId9" w:type="default"/>
          <w:footerReference r:id="rId10" w:type="default"/>
          <w:pgSz w:w="11906" w:h="16838"/>
          <w:pgMar w:top="1134" w:right="1417" w:bottom="1134" w:left="1417" w:header="850"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4"/>
        <w:spacing w:before="340" w:after="360" w:line="360" w:lineRule="auto"/>
        <w:jc w:val="left"/>
        <w:rPr>
          <w:rFonts w:hint="eastAsia" w:ascii="宋体" w:hAnsi="宋体" w:eastAsia="宋体" w:cs="宋体"/>
          <w:bCs w:val="0"/>
          <w:color w:val="auto"/>
          <w:sz w:val="36"/>
          <w:szCs w:val="36"/>
          <w:highlight w:val="none"/>
        </w:rPr>
      </w:pPr>
      <w:bookmarkStart w:id="104" w:name="_Toc24442"/>
      <w:bookmarkStart w:id="105" w:name="_Toc19956"/>
      <w:r>
        <w:rPr>
          <w:rFonts w:hint="eastAsia" w:ascii="宋体" w:hAnsi="宋体" w:eastAsia="宋体" w:cs="宋体"/>
          <w:bCs w:val="0"/>
          <w:color w:val="auto"/>
          <w:sz w:val="36"/>
          <w:szCs w:val="36"/>
          <w:highlight w:val="none"/>
        </w:rPr>
        <w:t>附：无重大违法记录声明函格式</w:t>
      </w:r>
      <w:bookmarkEnd w:id="104"/>
      <w:bookmarkEnd w:id="105"/>
    </w:p>
    <w:p>
      <w:pPr>
        <w:jc w:val="center"/>
        <w:rPr>
          <w:rFonts w:ascii="宋体" w:hAnsi="宋体"/>
          <w:b/>
          <w:color w:val="auto"/>
          <w:sz w:val="30"/>
          <w:szCs w:val="30"/>
          <w:highlight w:val="none"/>
        </w:rPr>
      </w:pPr>
      <w:r>
        <w:rPr>
          <w:rFonts w:hint="eastAsia" w:ascii="宋体" w:hAnsi="宋体"/>
          <w:b/>
          <w:color w:val="auto"/>
          <w:sz w:val="28"/>
          <w:szCs w:val="30"/>
          <w:highlight w:val="none"/>
        </w:rPr>
        <w:t>参加政府采购活动前三年内在经营活动中没有重大违法记录的书面声明函</w:t>
      </w:r>
    </w:p>
    <w:p>
      <w:pPr>
        <w:spacing w:line="360" w:lineRule="auto"/>
        <w:rPr>
          <w:rFonts w:ascii="宋体" w:hAnsi="宋体" w:cs="Times New Roman"/>
          <w:b/>
          <w:color w:val="auto"/>
          <w:sz w:val="28"/>
          <w:szCs w:val="28"/>
          <w:highlight w:val="none"/>
        </w:rPr>
      </w:pP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rPr>
        <w:t>XXXXXX：</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u w:val="single"/>
        </w:rPr>
        <w:t xml:space="preserve">   (投标人全称)  </w:t>
      </w:r>
      <w:r>
        <w:rPr>
          <w:rFonts w:hint="eastAsia" w:ascii="宋体" w:hAnsi="宋体"/>
          <w:bCs/>
          <w:color w:val="auto"/>
          <w:sz w:val="24"/>
          <w:szCs w:val="24"/>
          <w:highlight w:val="none"/>
        </w:rPr>
        <w:t>参加贵中心组织的</w:t>
      </w:r>
      <w:r>
        <w:rPr>
          <w:rFonts w:hint="eastAsia" w:ascii="宋体" w:hAnsi="宋体"/>
          <w:bCs/>
          <w:color w:val="auto"/>
          <w:sz w:val="24"/>
          <w:szCs w:val="24"/>
          <w:highlight w:val="none"/>
          <w:u w:val="single"/>
        </w:rPr>
        <w:t xml:space="preserve"> </w:t>
      </w:r>
      <w:r>
        <w:rPr>
          <w:rFonts w:hint="eastAsia" w:ascii="宋体" w:hAnsi="宋体" w:cs="Times New Roman"/>
          <w:color w:val="auto"/>
          <w:sz w:val="24"/>
          <w:szCs w:val="24"/>
          <w:highlight w:val="none"/>
          <w:u w:val="single"/>
        </w:rPr>
        <w:t>（项目名称）</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项目(项目编号：</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)的政府采购活动，根据招标文件的规定提交相关资格证明文件。本单位郑重声明如下：</w:t>
      </w:r>
    </w:p>
    <w:p>
      <w:pPr>
        <w:pStyle w:val="15"/>
        <w:numPr>
          <w:ilvl w:val="1"/>
          <w:numId w:val="35"/>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15"/>
        <w:numPr>
          <w:ilvl w:val="1"/>
          <w:numId w:val="35"/>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参加本项目政府采购活动前三年内，本单位未受到过全国</w:t>
      </w:r>
      <w:r>
        <w:rPr>
          <w:rFonts w:ascii="宋体" w:hAnsi="宋体"/>
          <w:bCs/>
          <w:color w:val="auto"/>
          <w:sz w:val="24"/>
          <w:szCs w:val="24"/>
          <w:highlight w:val="none"/>
        </w:rPr>
        <w:t>各级人民政府财政部门依法</w:t>
      </w:r>
      <w:r>
        <w:rPr>
          <w:rFonts w:hint="eastAsia" w:ascii="宋体" w:hAnsi="宋体"/>
          <w:bCs/>
          <w:color w:val="auto"/>
          <w:sz w:val="24"/>
          <w:szCs w:val="24"/>
          <w:highlight w:val="none"/>
        </w:rPr>
        <w:t>作</w:t>
      </w:r>
      <w:r>
        <w:rPr>
          <w:rFonts w:ascii="宋体" w:hAnsi="宋体"/>
          <w:bCs/>
          <w:color w:val="auto"/>
          <w:sz w:val="24"/>
          <w:szCs w:val="24"/>
          <w:highlight w:val="none"/>
        </w:rPr>
        <w:t>出的禁止参加政府采购活动等行政处罚决定</w:t>
      </w:r>
      <w:r>
        <w:rPr>
          <w:rFonts w:hint="eastAsia" w:ascii="宋体" w:hAnsi="宋体"/>
          <w:bCs/>
          <w:color w:val="auto"/>
          <w:sz w:val="24"/>
          <w:szCs w:val="24"/>
          <w:highlight w:val="none"/>
        </w:rPr>
        <w:t>；</w:t>
      </w:r>
    </w:p>
    <w:p>
      <w:pPr>
        <w:pStyle w:val="15"/>
        <w:numPr>
          <w:ilvl w:val="1"/>
          <w:numId w:val="35"/>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如上述声明内容不实，本单位自愿接受政府采购监管部门按照《政府采购法》关于提供虚假材料的规定给予处罚。</w:t>
      </w:r>
    </w:p>
    <w:p>
      <w:pPr>
        <w:tabs>
          <w:tab w:val="left" w:pos="854"/>
        </w:tabs>
        <w:spacing w:line="360" w:lineRule="auto"/>
        <w:rPr>
          <w:rFonts w:ascii="宋体" w:hAnsi="宋体"/>
          <w:bCs/>
          <w:color w:val="auto"/>
          <w:sz w:val="24"/>
          <w:szCs w:val="24"/>
          <w:highlight w:val="none"/>
        </w:rPr>
      </w:pPr>
    </w:p>
    <w:p>
      <w:pPr>
        <w:tabs>
          <w:tab w:val="left" w:pos="854"/>
        </w:tabs>
        <w:spacing w:line="360" w:lineRule="auto"/>
        <w:rPr>
          <w:rFonts w:ascii="宋体" w:hAnsi="宋体"/>
          <w:bCs/>
          <w:color w:val="auto"/>
          <w:sz w:val="24"/>
          <w:szCs w:val="24"/>
          <w:highlight w:val="none"/>
        </w:rPr>
      </w:pP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 (公章)：</w:t>
      </w:r>
      <w:r>
        <w:rPr>
          <w:rFonts w:hint="eastAsia" w:ascii="宋体" w:hAnsi="宋体" w:cs="Times New Roman"/>
          <w:bCs/>
          <w:color w:val="auto"/>
          <w:sz w:val="24"/>
          <w:szCs w:val="21"/>
          <w:highlight w:val="none"/>
          <w:u w:val="single"/>
        </w:rPr>
        <w:t xml:space="preserve">                  </w:t>
      </w:r>
      <w:r>
        <w:rPr>
          <w:rFonts w:hint="eastAsia" w:ascii="宋体" w:hAnsi="宋体" w:cs="Times New Roman"/>
          <w:bCs/>
          <w:color w:val="auto"/>
          <w:sz w:val="24"/>
          <w:szCs w:val="21"/>
          <w:highlight w:val="none"/>
          <w:u w:val="single"/>
          <w:lang w:val="en-US" w:eastAsia="zh-CN"/>
        </w:rPr>
        <w:t xml:space="preserve">     </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ind w:left="0" w:leftChars="0" w:firstLine="3360" w:firstLineChars="1400"/>
        <w:jc w:val="both"/>
        <w:rPr>
          <w:rFonts w:hint="eastAsia" w:ascii="宋体" w:hAnsi="宋体" w:eastAsia="宋体" w:cs="宋体"/>
          <w:color w:val="auto"/>
        </w:rPr>
      </w:pPr>
      <w:r>
        <w:rPr>
          <w:rFonts w:hint="eastAsia" w:hAnsi="宋体" w:cs="Times New Roman"/>
          <w:color w:val="auto"/>
          <w:sz w:val="24"/>
          <w:szCs w:val="24"/>
          <w:highlight w:val="none"/>
        </w:rPr>
        <w:t>日   期：</w:t>
      </w:r>
      <w:r>
        <w:rPr>
          <w:rFonts w:hint="eastAsia" w:ascii="宋体" w:hAnsi="宋体" w:cs="Times New Roman"/>
          <w:bCs/>
          <w:color w:val="auto"/>
          <w:sz w:val="24"/>
          <w:szCs w:val="21"/>
          <w:highlight w:val="none"/>
          <w:u w:val="single"/>
        </w:rPr>
        <w:t xml:space="preserve">    </w:t>
      </w:r>
      <w:r>
        <w:rPr>
          <w:rFonts w:hint="eastAsia" w:ascii="宋体" w:hAnsi="宋体" w:cs="Times New Roman"/>
          <w:bCs/>
          <w:color w:val="auto"/>
          <w:sz w:val="24"/>
          <w:szCs w:val="21"/>
          <w:highlight w:val="none"/>
          <w:u w:val="single"/>
          <w:lang w:val="en-US" w:eastAsia="zh-CN"/>
        </w:rPr>
        <w:t xml:space="preserve">                          </w:t>
      </w:r>
      <w:r>
        <w:rPr>
          <w:rFonts w:hint="eastAsia" w:ascii="宋体" w:hAnsi="宋体" w:cs="Times New Roman"/>
          <w:bCs/>
          <w:color w:val="auto"/>
          <w:sz w:val="24"/>
          <w:szCs w:val="21"/>
          <w:highlight w:val="none"/>
          <w:u w:val="single"/>
        </w:rPr>
        <w:t xml:space="preserve"> </w:t>
      </w:r>
      <w:r>
        <w:rPr>
          <w:rFonts w:hint="eastAsia" w:ascii="宋体" w:hAnsi="宋体" w:eastAsia="宋体" w:cs="宋体"/>
          <w:color w:val="auto"/>
        </w:rPr>
        <w:br w:type="page"/>
      </w:r>
    </w:p>
    <w:p>
      <w:pPr>
        <w:spacing w:line="1100" w:lineRule="exact"/>
        <w:jc w:val="center"/>
        <w:rPr>
          <w:rFonts w:hint="eastAsia" w:ascii="宋体" w:hAnsi="宋体" w:eastAsia="宋体" w:cs="宋体"/>
          <w:b/>
          <w:color w:val="auto"/>
          <w:sz w:val="72"/>
          <w:szCs w:val="72"/>
          <w14:shadow w14:blurRad="50800" w14:dist="38100" w14:dir="2700000" w14:sx="100000" w14:sy="100000" w14:kx="0" w14:ky="0" w14:algn="tl">
            <w14:srgbClr w14:val="000000">
              <w14:alpha w14:val="60000"/>
            </w14:srgbClr>
          </w14:shadow>
        </w:rPr>
      </w:pPr>
    </w:p>
    <w:p>
      <w:pPr>
        <w:spacing w:before="312" w:beforeLines="100" w:after="780" w:afterLines="250"/>
        <w:jc w:val="center"/>
        <w:rPr>
          <w:rFonts w:hint="eastAsia" w:ascii="宋体" w:hAnsi="宋体" w:eastAsia="宋体" w:cs="宋体"/>
          <w:b/>
          <w:color w:val="auto"/>
          <w:sz w:val="96"/>
          <w:szCs w:val="96"/>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96"/>
          <w:szCs w:val="96"/>
          <w:lang w:eastAsia="zh-CN"/>
          <w14:shadow w14:blurRad="50800" w14:dist="38100" w14:dir="2700000" w14:sx="100000" w14:sy="100000" w14:kx="0" w14:ky="0" w14:algn="tl">
            <w14:srgbClr w14:val="000000">
              <w14:alpha w14:val="60000"/>
            </w14:srgbClr>
          </w14:shadow>
        </w:rPr>
        <w:t>阳新县县级政府采购</w:t>
      </w:r>
    </w:p>
    <w:p>
      <w:pPr>
        <w:spacing w:after="624" w:afterLines="20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投 标 文 件</w:t>
      </w:r>
    </w:p>
    <w:p>
      <w:pPr>
        <w:pStyle w:val="4"/>
        <w:spacing w:before="340" w:after="480" w:line="360" w:lineRule="auto"/>
        <w:jc w:val="center"/>
        <w:rPr>
          <w:rFonts w:hint="eastAsia" w:ascii="宋体" w:hAnsi="宋体" w:eastAsia="宋体" w:cs="宋体"/>
          <w:bCs w:val="0"/>
          <w:color w:val="auto"/>
          <w:sz w:val="44"/>
          <w:szCs w:val="44"/>
          <w:lang w:val="zh-CN" w:eastAsia="zh-CN"/>
        </w:rPr>
      </w:pPr>
      <w:bookmarkStart w:id="106" w:name="_Toc494745314"/>
      <w:bookmarkStart w:id="107" w:name="_Toc494664997"/>
      <w:bookmarkStart w:id="108" w:name="_Toc494702267"/>
      <w:bookmarkStart w:id="109" w:name="_Toc5178"/>
      <w:bookmarkStart w:id="110" w:name="_Toc494665947"/>
      <w:bookmarkStart w:id="111" w:name="_Toc494665550"/>
      <w:bookmarkStart w:id="112" w:name="_Toc494721097"/>
      <w:r>
        <w:rPr>
          <w:rFonts w:hint="eastAsia" w:ascii="宋体" w:hAnsi="宋体" w:eastAsia="宋体" w:cs="宋体"/>
          <w:bCs w:val="0"/>
          <w:color w:val="auto"/>
          <w:sz w:val="44"/>
          <w:szCs w:val="44"/>
          <w:lang w:val="zh-CN" w:eastAsia="zh-CN"/>
        </w:rPr>
        <w:t>第二部分 商务文件</w:t>
      </w:r>
      <w:bookmarkEnd w:id="106"/>
      <w:bookmarkEnd w:id="107"/>
      <w:bookmarkEnd w:id="108"/>
      <w:bookmarkEnd w:id="109"/>
      <w:bookmarkEnd w:id="110"/>
      <w:bookmarkEnd w:id="111"/>
      <w:bookmarkEnd w:id="112"/>
    </w:p>
    <w:p>
      <w:pPr>
        <w:spacing w:line="360" w:lineRule="auto"/>
        <w:ind w:left="2055" w:leftChars="619" w:right="1300" w:rightChars="619" w:hanging="755"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r>
        <w:rPr>
          <w:rFonts w:hint="eastAsia" w:ascii="宋体" w:hAnsi="宋体" w:eastAsia="宋体" w:cs="宋体"/>
          <w:color w:val="auto"/>
          <w:sz w:val="36"/>
          <w:szCs w:val="36"/>
          <w:u w:val="single"/>
        </w:rPr>
        <w:t xml:space="preserve">                            </w:t>
      </w:r>
    </w:p>
    <w:p>
      <w:pPr>
        <w:spacing w:line="360" w:lineRule="auto"/>
        <w:ind w:left="2055" w:leftChars="619" w:right="1300" w:rightChars="619" w:hanging="755"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项目名称：</w:t>
      </w:r>
      <w:r>
        <w:rPr>
          <w:rFonts w:hint="eastAsia" w:ascii="宋体" w:hAnsi="宋体" w:eastAsia="宋体" w:cs="宋体"/>
          <w:color w:val="auto"/>
          <w:sz w:val="36"/>
          <w:szCs w:val="36"/>
          <w:u w:val="single"/>
        </w:rPr>
        <w:t xml:space="preserve">                            </w:t>
      </w:r>
    </w:p>
    <w:p>
      <w:pPr>
        <w:spacing w:line="360" w:lineRule="auto"/>
        <w:ind w:left="2055" w:leftChars="619" w:right="1300" w:rightChars="619" w:hanging="755"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招标内容：</w:t>
      </w:r>
      <w:r>
        <w:rPr>
          <w:rFonts w:hint="eastAsia" w:ascii="宋体" w:hAnsi="宋体" w:eastAsia="宋体" w:cs="宋体"/>
          <w:color w:val="auto"/>
          <w:sz w:val="36"/>
          <w:szCs w:val="36"/>
          <w:u w:val="single"/>
        </w:rPr>
        <w:t xml:space="preserve">                            </w:t>
      </w:r>
    </w:p>
    <w:p>
      <w:pPr>
        <w:spacing w:after="1560" w:afterLines="500" w:line="360" w:lineRule="auto"/>
        <w:ind w:left="2347" w:leftChars="271" w:right="569" w:rightChars="271" w:hanging="1778" w:hangingChars="494"/>
        <w:jc w:val="center"/>
        <w:rPr>
          <w:rFonts w:hint="eastAsia" w:ascii="宋体" w:hAnsi="宋体" w:eastAsia="宋体" w:cs="宋体"/>
          <w:color w:val="auto"/>
          <w:sz w:val="36"/>
          <w:szCs w:val="36"/>
        </w:rPr>
      </w:pPr>
    </w:p>
    <w:p>
      <w:pPr>
        <w:spacing w:line="360" w:lineRule="auto"/>
        <w:ind w:left="1974" w:leftChars="613" w:right="1287" w:rightChars="613" w:hanging="687"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投标人（盖章）：</w:t>
      </w:r>
      <w:r>
        <w:rPr>
          <w:rFonts w:hint="eastAsia" w:ascii="宋体" w:hAnsi="宋体" w:eastAsia="宋体" w:cs="宋体"/>
          <w:b/>
          <w:bCs/>
          <w:color w:val="auto"/>
          <w:sz w:val="32"/>
          <w:szCs w:val="32"/>
          <w:u w:val="single"/>
        </w:rPr>
        <w:t xml:space="preserve">                            </w:t>
      </w:r>
    </w:p>
    <w:p>
      <w:pPr>
        <w:spacing w:line="360" w:lineRule="auto"/>
        <w:ind w:left="1974" w:leftChars="613" w:right="1287" w:rightChars="613" w:hanging="687"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r>
        <w:rPr>
          <w:rFonts w:hint="eastAsia" w:ascii="宋体" w:hAnsi="宋体" w:eastAsia="宋体" w:cs="宋体"/>
          <w:b/>
          <w:bCs/>
          <w:color w:val="auto"/>
          <w:sz w:val="32"/>
          <w:szCs w:val="32"/>
          <w:u w:val="single"/>
        </w:rPr>
        <w:t xml:space="preserve">                    </w:t>
      </w:r>
    </w:p>
    <w:p>
      <w:pPr>
        <w:spacing w:before="312" w:beforeLines="100" w:after="312" w:afterLines="100" w:line="360" w:lineRule="auto"/>
        <w:ind w:left="2262" w:leftChars="466" w:right="466" w:hanging="1283"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w:t>
      </w:r>
      <w:r>
        <w:rPr>
          <w:rFonts w:hint="eastAsia" w:ascii="宋体" w:hAnsi="宋体" w:eastAsia="宋体" w:cs="宋体"/>
          <w:b/>
          <w:bCs/>
          <w:color w:val="auto"/>
          <w:sz w:val="36"/>
          <w:szCs w:val="36"/>
          <w:lang w:eastAsia="zh-CN"/>
        </w:rPr>
        <w:t>二</w:t>
      </w:r>
      <w:r>
        <w:rPr>
          <w:rFonts w:hint="eastAsia" w:ascii="宋体" w:hAnsi="宋体" w:eastAsia="宋体" w:cs="宋体"/>
          <w:b/>
          <w:color w:val="auto"/>
          <w:sz w:val="36"/>
          <w:szCs w:val="36"/>
        </w:rPr>
        <w:t xml:space="preserve">  年 月</w:t>
      </w:r>
    </w:p>
    <w:p>
      <w:pPr>
        <w:rPr>
          <w:rFonts w:hint="eastAsia" w:ascii="宋体" w:hAnsi="宋体" w:eastAsia="宋体" w:cs="宋体"/>
          <w:color w:val="auto"/>
        </w:rPr>
      </w:pPr>
      <w:r>
        <w:rPr>
          <w:rFonts w:hint="eastAsia" w:ascii="宋体" w:hAnsi="宋体" w:eastAsia="宋体" w:cs="宋体"/>
          <w:color w:val="auto"/>
        </w:rPr>
        <w:br w:type="page"/>
      </w:r>
    </w:p>
    <w:p>
      <w:pPr>
        <w:spacing w:before="312" w:beforeLines="100" w:line="360" w:lineRule="auto"/>
        <w:jc w:val="lef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eastAsia="zh-CN"/>
        </w:rPr>
        <w:t>格式（参考）说明：</w:t>
      </w:r>
    </w:p>
    <w:p>
      <w:pPr>
        <w:spacing w:before="120" w:after="120" w:line="578" w:lineRule="auto"/>
        <w:jc w:val="center"/>
        <w:rPr>
          <w:rFonts w:hint="eastAsia" w:ascii="宋体" w:hAnsi="宋体" w:eastAsia="宋体" w:cs="宋体"/>
          <w:b/>
          <w:color w:val="auto"/>
          <w:sz w:val="36"/>
          <w:szCs w:val="36"/>
        </w:rPr>
      </w:pPr>
      <w:bookmarkStart w:id="113" w:name="_Toc494664998"/>
      <w:bookmarkStart w:id="114" w:name="_Toc494665948"/>
      <w:bookmarkStart w:id="115" w:name="_Toc494745315"/>
      <w:bookmarkStart w:id="116" w:name="_Toc494702268"/>
      <w:bookmarkStart w:id="117" w:name="_Toc494665551"/>
      <w:bookmarkStart w:id="118" w:name="_Toc494721098"/>
      <w:r>
        <w:rPr>
          <w:rFonts w:hint="eastAsia" w:ascii="宋体" w:hAnsi="宋体" w:eastAsia="宋体" w:cs="宋体"/>
          <w:b/>
          <w:color w:val="auto"/>
          <w:sz w:val="36"/>
          <w:szCs w:val="36"/>
        </w:rPr>
        <w:t>商务文件组成</w:t>
      </w:r>
      <w:bookmarkEnd w:id="113"/>
      <w:bookmarkEnd w:id="114"/>
      <w:bookmarkEnd w:id="115"/>
      <w:bookmarkEnd w:id="116"/>
      <w:bookmarkEnd w:id="117"/>
      <w:bookmarkEnd w:id="118"/>
    </w:p>
    <w:p>
      <w:pPr>
        <w:autoSpaceDE w:val="0"/>
        <w:autoSpaceDN w:val="0"/>
        <w:adjustRightInd w:val="0"/>
        <w:spacing w:before="156" w:beforeLines="50" w:after="156"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商务文件目录（目录应涵盖下述所有资料，页码清晰以便查阅）；</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投标书（附件一）；</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制造商中小企业声明函（适用于货物类项目）（附件二）；</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中小企业声明函（适用于工程类、服务类项目）（附件三）；</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中小企业划型标准（附件四）；</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残疾人福利性单位声明函（适用于货物类项目）（附件五）；</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残疾人福利性单位声明函（适用于工程类、服务类项目）（附件六）；</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享受政府采购支持政策的残疾人福利单位的标准（附件七）；</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开标一览表（附件八）；</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投标报价明细表（附件九）；</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小型和微型企业、监狱企业、残疾人福利性单位货物汇总表（附件十）；</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投标货物（工程或服务）清单（附件十一）；</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交纳投标保证金的银行凭证（附件十二，本项目不适用）；</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法定代表人授权书（附件十三）；</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关于不存在招标文件第二章“十、 其他注意事项”中规定禁止情形的书面声明；</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投标人的资格声明（附件十四）；</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项目负责人、技术负责人简历表（附件十五）；</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项目班子成员情况表（附件十六）；</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投标人类似项目业绩表（附件十七）；</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招标文件要求提供或投标人认为需提供的其它资料；</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符合性审查对照表（附件十八）；</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商务要求响应、偏离说明表（附件十九）；</w:t>
      </w:r>
    </w:p>
    <w:p>
      <w:pPr>
        <w:numPr>
          <w:ilvl w:val="0"/>
          <w:numId w:val="36"/>
        </w:numPr>
        <w:tabs>
          <w:tab w:val="left" w:pos="966"/>
        </w:tabs>
        <w:autoSpaceDE w:val="0"/>
        <w:autoSpaceDN w:val="0"/>
        <w:adjustRightInd w:val="0"/>
        <w:spacing w:line="360" w:lineRule="auto"/>
        <w:ind w:left="420" w:leftChars="200" w:firstLine="0" w:firstLineChars="0"/>
        <w:rPr>
          <w:rFonts w:hint="eastAsia"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商务要求“</w:t>
      </w:r>
      <w:r>
        <w:rPr>
          <w:rFonts w:hint="eastAsia" w:ascii="宋体" w:hAnsi="宋体" w:cs="Times New Roman"/>
          <w:b w:val="0"/>
          <w:bCs w:val="0"/>
          <w:color w:val="auto"/>
          <w:kern w:val="0"/>
          <w:sz w:val="24"/>
          <w:szCs w:val="32"/>
          <w:highlight w:val="none"/>
          <w:lang w:val="en-US" w:eastAsia="zh-CN"/>
        </w:rPr>
        <w:t>★</w:t>
      </w:r>
      <w:r>
        <w:rPr>
          <w:rFonts w:hint="eastAsia" w:ascii="宋体" w:hAnsi="宋体" w:cs="Times New Roman"/>
          <w:b w:val="0"/>
          <w:bCs w:val="0"/>
          <w:color w:val="auto"/>
          <w:kern w:val="0"/>
          <w:sz w:val="24"/>
          <w:szCs w:val="32"/>
          <w:highlight w:val="none"/>
        </w:rPr>
        <w:t>”号条款响应、偏离说明表（附件二十）</w:t>
      </w:r>
    </w:p>
    <w:p>
      <w:pPr>
        <w:numPr>
          <w:ilvl w:val="0"/>
          <w:numId w:val="36"/>
        </w:numPr>
        <w:tabs>
          <w:tab w:val="left" w:pos="420"/>
        </w:tabs>
        <w:bidi w:val="0"/>
        <w:ind w:left="420" w:leftChars="200" w:firstLine="0" w:firstLineChars="0"/>
        <w:rPr>
          <w:rFonts w:hint="eastAsia" w:ascii="宋体" w:hAnsi="宋体" w:eastAsia="宋体" w:cs="宋体"/>
          <w:b/>
          <w:color w:val="auto"/>
          <w:szCs w:val="72"/>
          <w14:shadow w14:blurRad="50800" w14:dist="38100" w14:dir="2700000" w14:sx="100000" w14:sy="100000" w14:kx="0" w14:ky="0" w14:algn="tl">
            <w14:srgbClr w14:val="000000">
              <w14:alpha w14:val="60000"/>
            </w14:srgbClr>
          </w14:shadow>
        </w:rPr>
      </w:pPr>
      <w:r>
        <w:rPr>
          <w:rFonts w:hint="eastAsia" w:ascii="宋体" w:hAnsi="宋体" w:cs="Times New Roman"/>
          <w:b w:val="0"/>
          <w:bCs w:val="0"/>
          <w:color w:val="auto"/>
          <w:kern w:val="0"/>
          <w:sz w:val="24"/>
          <w:szCs w:val="32"/>
          <w:highlight w:val="none"/>
        </w:rPr>
        <w:t>商务评议对照表（附件二十一）。</w:t>
      </w:r>
      <w:r>
        <w:rPr>
          <w:rFonts w:hint="eastAsia" w:ascii="宋体" w:hAnsi="宋体" w:cs="Times New Roman"/>
          <w:color w:val="auto"/>
          <w:kern w:val="0"/>
          <w:szCs w:val="32"/>
          <w:highlight w:val="none"/>
        </w:rPr>
        <w:br w:type="page"/>
      </w:r>
    </w:p>
    <w:p>
      <w:pPr>
        <w:spacing w:before="312" w:beforeLines="100" w:after="780" w:afterLines="250"/>
        <w:jc w:val="center"/>
        <w:rPr>
          <w:rFonts w:hint="eastAsia" w:ascii="宋体" w:hAnsi="宋体" w:eastAsia="宋体" w:cs="宋体"/>
          <w:b/>
          <w:color w:val="auto"/>
          <w:sz w:val="96"/>
          <w:szCs w:val="96"/>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96"/>
          <w:szCs w:val="96"/>
          <w:lang w:eastAsia="zh-CN"/>
          <w14:shadow w14:blurRad="50800" w14:dist="38100" w14:dir="2700000" w14:sx="100000" w14:sy="100000" w14:kx="0" w14:ky="0" w14:algn="tl">
            <w14:srgbClr w14:val="000000">
              <w14:alpha w14:val="60000"/>
            </w14:srgbClr>
          </w14:shadow>
        </w:rPr>
        <w:t>阳新县县级政府采购</w:t>
      </w:r>
    </w:p>
    <w:p>
      <w:pPr>
        <w:spacing w:after="624" w:afterLines="20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投 标 文 件</w:t>
      </w:r>
    </w:p>
    <w:p>
      <w:pPr>
        <w:pStyle w:val="4"/>
        <w:spacing w:before="340" w:after="480" w:line="360" w:lineRule="auto"/>
        <w:jc w:val="center"/>
        <w:rPr>
          <w:rFonts w:hint="eastAsia" w:ascii="宋体" w:hAnsi="宋体" w:eastAsia="宋体" w:cs="宋体"/>
          <w:bCs w:val="0"/>
          <w:color w:val="auto"/>
          <w:sz w:val="44"/>
          <w:szCs w:val="44"/>
          <w:lang w:val="zh-CN" w:eastAsia="zh-CN"/>
        </w:rPr>
      </w:pPr>
      <w:bookmarkStart w:id="119" w:name="_Toc494721099"/>
      <w:bookmarkStart w:id="120" w:name="_Toc494665949"/>
      <w:bookmarkStart w:id="121" w:name="_Toc494665552"/>
      <w:bookmarkStart w:id="122" w:name="_Toc494664999"/>
      <w:bookmarkStart w:id="123" w:name="_Toc10980"/>
      <w:bookmarkStart w:id="124" w:name="_Toc494745316"/>
      <w:bookmarkStart w:id="125" w:name="_Toc494702269"/>
      <w:r>
        <w:rPr>
          <w:rFonts w:hint="eastAsia" w:ascii="宋体" w:hAnsi="宋体" w:eastAsia="宋体" w:cs="宋体"/>
          <w:bCs w:val="0"/>
          <w:color w:val="auto"/>
          <w:sz w:val="44"/>
          <w:szCs w:val="44"/>
          <w:lang w:val="zh-CN" w:eastAsia="zh-CN"/>
        </w:rPr>
        <w:t xml:space="preserve">第三部分 </w:t>
      </w:r>
      <w:r>
        <w:rPr>
          <w:rFonts w:hint="eastAsia" w:ascii="宋体" w:hAnsi="宋体" w:eastAsia="宋体" w:cs="宋体"/>
          <w:bCs w:val="0"/>
          <w:color w:val="auto"/>
          <w:sz w:val="44"/>
          <w:szCs w:val="44"/>
          <w:lang w:val="zh-CN"/>
        </w:rPr>
        <w:t>技术、服务</w:t>
      </w:r>
      <w:r>
        <w:rPr>
          <w:rFonts w:hint="eastAsia" w:ascii="宋体" w:hAnsi="宋体" w:eastAsia="宋体" w:cs="宋体"/>
          <w:bCs w:val="0"/>
          <w:color w:val="auto"/>
          <w:sz w:val="44"/>
          <w:szCs w:val="44"/>
          <w:lang w:val="zh-CN" w:eastAsia="zh-CN"/>
        </w:rPr>
        <w:t>文件</w:t>
      </w:r>
      <w:bookmarkEnd w:id="119"/>
      <w:bookmarkEnd w:id="120"/>
      <w:bookmarkEnd w:id="121"/>
      <w:bookmarkEnd w:id="122"/>
      <w:bookmarkEnd w:id="123"/>
      <w:bookmarkEnd w:id="124"/>
      <w:bookmarkEnd w:id="125"/>
    </w:p>
    <w:p>
      <w:pPr>
        <w:spacing w:line="360" w:lineRule="auto"/>
        <w:ind w:left="2055" w:leftChars="619" w:right="1300" w:rightChars="619" w:hanging="755"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r>
        <w:rPr>
          <w:rFonts w:hint="eastAsia" w:ascii="宋体" w:hAnsi="宋体" w:eastAsia="宋体" w:cs="宋体"/>
          <w:color w:val="auto"/>
          <w:sz w:val="36"/>
          <w:szCs w:val="36"/>
          <w:u w:val="single"/>
        </w:rPr>
        <w:t xml:space="preserve">                            </w:t>
      </w:r>
    </w:p>
    <w:p>
      <w:pPr>
        <w:spacing w:line="360" w:lineRule="auto"/>
        <w:ind w:left="2055" w:leftChars="619" w:right="1300" w:rightChars="619" w:hanging="755"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项目名称：</w:t>
      </w:r>
      <w:r>
        <w:rPr>
          <w:rFonts w:hint="eastAsia" w:ascii="宋体" w:hAnsi="宋体" w:eastAsia="宋体" w:cs="宋体"/>
          <w:color w:val="auto"/>
          <w:sz w:val="36"/>
          <w:szCs w:val="36"/>
          <w:u w:val="single"/>
        </w:rPr>
        <w:t xml:space="preserve">                            </w:t>
      </w:r>
    </w:p>
    <w:p>
      <w:pPr>
        <w:spacing w:line="360" w:lineRule="auto"/>
        <w:ind w:left="2055" w:leftChars="619" w:right="1300" w:rightChars="619" w:hanging="755"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招标内容：</w:t>
      </w:r>
      <w:r>
        <w:rPr>
          <w:rFonts w:hint="eastAsia" w:ascii="宋体" w:hAnsi="宋体" w:eastAsia="宋体" w:cs="宋体"/>
          <w:color w:val="auto"/>
          <w:sz w:val="36"/>
          <w:szCs w:val="36"/>
          <w:u w:val="single"/>
        </w:rPr>
        <w:t xml:space="preserve">                            </w:t>
      </w:r>
    </w:p>
    <w:p>
      <w:pPr>
        <w:spacing w:after="1560" w:afterLines="500" w:line="360" w:lineRule="auto"/>
        <w:ind w:left="2347" w:leftChars="271" w:right="569" w:rightChars="271" w:hanging="1778" w:hangingChars="494"/>
        <w:jc w:val="center"/>
        <w:rPr>
          <w:rFonts w:hint="eastAsia" w:ascii="宋体" w:hAnsi="宋体" w:eastAsia="宋体" w:cs="宋体"/>
          <w:color w:val="auto"/>
          <w:sz w:val="36"/>
          <w:szCs w:val="36"/>
        </w:rPr>
      </w:pPr>
    </w:p>
    <w:p>
      <w:pPr>
        <w:spacing w:line="360" w:lineRule="auto"/>
        <w:ind w:left="1974" w:leftChars="613" w:right="1287" w:rightChars="613" w:hanging="687"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投标人（盖章）：</w:t>
      </w:r>
      <w:r>
        <w:rPr>
          <w:rFonts w:hint="eastAsia" w:ascii="宋体" w:hAnsi="宋体" w:eastAsia="宋体" w:cs="宋体"/>
          <w:b/>
          <w:bCs/>
          <w:color w:val="auto"/>
          <w:sz w:val="32"/>
          <w:szCs w:val="32"/>
          <w:u w:val="single"/>
        </w:rPr>
        <w:t xml:space="preserve">                            </w:t>
      </w:r>
    </w:p>
    <w:p>
      <w:pPr>
        <w:spacing w:line="360" w:lineRule="auto"/>
        <w:ind w:left="1974" w:leftChars="613" w:right="1287" w:rightChars="613" w:hanging="687"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r>
        <w:rPr>
          <w:rFonts w:hint="eastAsia" w:ascii="宋体" w:hAnsi="宋体" w:eastAsia="宋体" w:cs="宋体"/>
          <w:b/>
          <w:bCs/>
          <w:color w:val="auto"/>
          <w:sz w:val="32"/>
          <w:szCs w:val="32"/>
          <w:u w:val="single"/>
        </w:rPr>
        <w:t xml:space="preserve">                    </w:t>
      </w:r>
    </w:p>
    <w:p>
      <w:pPr>
        <w:spacing w:before="312" w:beforeLines="100" w:after="312" w:afterLines="100" w:line="360" w:lineRule="auto"/>
        <w:ind w:left="2262" w:leftChars="466" w:right="466" w:hanging="1283"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w:t>
      </w:r>
      <w:r>
        <w:rPr>
          <w:rFonts w:hint="eastAsia" w:ascii="宋体" w:hAnsi="宋体" w:eastAsia="宋体" w:cs="宋体"/>
          <w:b/>
          <w:bCs/>
          <w:color w:val="auto"/>
          <w:sz w:val="36"/>
          <w:szCs w:val="36"/>
          <w:lang w:eastAsia="zh-CN"/>
        </w:rPr>
        <w:t>二</w:t>
      </w:r>
      <w:r>
        <w:rPr>
          <w:rFonts w:hint="eastAsia" w:ascii="宋体" w:hAnsi="宋体" w:eastAsia="宋体" w:cs="宋体"/>
          <w:b/>
          <w:color w:val="auto"/>
          <w:sz w:val="36"/>
          <w:szCs w:val="36"/>
        </w:rPr>
        <w:t xml:space="preserve">  年 月</w:t>
      </w:r>
    </w:p>
    <w:p>
      <w:pPr>
        <w:rPr>
          <w:rFonts w:hint="eastAsia" w:ascii="宋体" w:hAnsi="宋体" w:eastAsia="宋体" w:cs="宋体"/>
          <w:color w:val="auto"/>
        </w:rPr>
      </w:pPr>
      <w:r>
        <w:rPr>
          <w:rFonts w:hint="eastAsia" w:ascii="宋体" w:hAnsi="宋体" w:eastAsia="宋体" w:cs="宋体"/>
          <w:color w:val="auto"/>
        </w:rPr>
        <w:br w:type="page"/>
      </w:r>
    </w:p>
    <w:p>
      <w:pPr>
        <w:spacing w:before="312" w:beforeLines="100" w:line="360" w:lineRule="auto"/>
        <w:jc w:val="lef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eastAsia="zh-CN"/>
        </w:rPr>
        <w:t>格式（参考）说明：</w:t>
      </w:r>
    </w:p>
    <w:p>
      <w:pPr>
        <w:spacing w:before="120" w:after="120" w:line="578" w:lineRule="auto"/>
        <w:jc w:val="center"/>
        <w:rPr>
          <w:rFonts w:hint="eastAsia" w:ascii="宋体" w:hAnsi="宋体" w:eastAsia="宋体" w:cs="宋体"/>
          <w:b/>
          <w:color w:val="auto"/>
          <w:sz w:val="36"/>
          <w:szCs w:val="36"/>
        </w:rPr>
      </w:pPr>
      <w:bookmarkStart w:id="126" w:name="_Toc494702270"/>
      <w:bookmarkStart w:id="127" w:name="_Toc494665950"/>
      <w:bookmarkStart w:id="128" w:name="_Toc494721100"/>
      <w:bookmarkStart w:id="129" w:name="_Toc494665000"/>
      <w:bookmarkStart w:id="130" w:name="_Toc494665553"/>
      <w:bookmarkStart w:id="131" w:name="_Toc494745317"/>
      <w:r>
        <w:rPr>
          <w:rFonts w:hint="eastAsia" w:ascii="宋体" w:hAnsi="宋体" w:eastAsia="宋体" w:cs="宋体"/>
          <w:b/>
          <w:bCs/>
          <w:color w:val="auto"/>
          <w:sz w:val="36"/>
          <w:szCs w:val="36"/>
          <w:lang w:val="zh-CN" w:eastAsia="zh-CN"/>
        </w:rPr>
        <w:t>技术</w:t>
      </w:r>
      <w:r>
        <w:rPr>
          <w:rFonts w:hint="eastAsia" w:ascii="宋体" w:hAnsi="宋体" w:eastAsia="宋体" w:cs="宋体"/>
          <w:b/>
          <w:color w:val="auto"/>
          <w:sz w:val="36"/>
          <w:szCs w:val="36"/>
        </w:rPr>
        <w:t>、服务文件组成</w:t>
      </w:r>
      <w:bookmarkEnd w:id="126"/>
      <w:bookmarkEnd w:id="127"/>
      <w:bookmarkEnd w:id="128"/>
      <w:bookmarkEnd w:id="129"/>
      <w:bookmarkEnd w:id="130"/>
      <w:bookmarkEnd w:id="131"/>
    </w:p>
    <w:p>
      <w:pPr>
        <w:autoSpaceDE w:val="0"/>
        <w:autoSpaceDN w:val="0"/>
        <w:adjustRightInd w:val="0"/>
        <w:spacing w:before="156" w:beforeLines="50" w:after="156"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37"/>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技术、服务文件目录（目录应涵盖下述所有资料，页码清晰以便查阅）；</w:t>
      </w:r>
    </w:p>
    <w:p>
      <w:pPr>
        <w:numPr>
          <w:ilvl w:val="0"/>
          <w:numId w:val="37"/>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投标货物（工程或服务）介绍，项目建设（服务）方案；</w:t>
      </w:r>
    </w:p>
    <w:p>
      <w:pPr>
        <w:numPr>
          <w:ilvl w:val="0"/>
          <w:numId w:val="37"/>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技术、服务要求响应、偏离说明表（附件二十二）；</w:t>
      </w:r>
    </w:p>
    <w:p>
      <w:pPr>
        <w:numPr>
          <w:ilvl w:val="0"/>
          <w:numId w:val="37"/>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技术、服务要求“★”号条款响应、偏离说明表（附件二十三）；</w:t>
      </w:r>
    </w:p>
    <w:p>
      <w:pPr>
        <w:numPr>
          <w:ilvl w:val="0"/>
          <w:numId w:val="37"/>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技术、服务评议对照表（附件二十四）；</w:t>
      </w:r>
    </w:p>
    <w:p>
      <w:pPr>
        <w:numPr>
          <w:ilvl w:val="0"/>
          <w:numId w:val="37"/>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招标文件要求提供或投标人认为需提供的其它资料。</w:t>
      </w:r>
    </w:p>
    <w:p>
      <w:pPr>
        <w:autoSpaceDE w:val="0"/>
        <w:autoSpaceDN w:val="0"/>
        <w:adjustRightInd w:val="0"/>
        <w:spacing w:line="360" w:lineRule="auto"/>
        <w:rPr>
          <w:rFonts w:hint="eastAsia" w:ascii="宋体" w:hAnsi="宋体" w:eastAsia="宋体" w:cs="宋体"/>
          <w:color w:val="auto"/>
          <w:kern w:val="0"/>
          <w:sz w:val="24"/>
          <w:szCs w:val="32"/>
        </w:rPr>
      </w:pPr>
    </w:p>
    <w:p>
      <w:pPr>
        <w:autoSpaceDE w:val="0"/>
        <w:autoSpaceDN w:val="0"/>
        <w:adjustRightInd w:val="0"/>
        <w:spacing w:line="360" w:lineRule="auto"/>
        <w:ind w:left="714" w:leftChars="-6" w:hanging="727" w:hangingChars="303"/>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说明：投标文件技术、服务文件的编制原则，按招标文件要求，提供相应说明、资料、表格以证明所投货物（工程或服务）是否响应招标文件要求，充分体现所投货物（工程或服务）的响应程度和优势。</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38"/>
        </w:numPr>
        <w:spacing w:before="40" w:after="40" w:line="360" w:lineRule="auto"/>
        <w:ind w:left="0" w:leftChars="0" w:hanging="5" w:firstLineChars="0"/>
        <w:jc w:val="left"/>
        <w:rPr>
          <w:rFonts w:ascii="宋体" w:hAnsi="宋体" w:cs="Times New Roman"/>
          <w:bCs w:val="0"/>
          <w:color w:val="auto"/>
          <w:highlight w:val="none"/>
        </w:rPr>
      </w:pPr>
      <w:bookmarkStart w:id="132" w:name="_Toc14622"/>
      <w:bookmarkStart w:id="133" w:name="_Toc18790"/>
      <w:bookmarkStart w:id="134" w:name="_Toc511894528"/>
      <w:r>
        <w:rPr>
          <w:rFonts w:hint="eastAsia" w:ascii="宋体" w:hAnsi="宋体" w:cs="Times New Roman"/>
          <w:bCs w:val="0"/>
          <w:color w:val="auto"/>
          <w:highlight w:val="none"/>
        </w:rPr>
        <w:t>投标书</w:t>
      </w:r>
      <w:bookmarkEnd w:id="132"/>
      <w:bookmarkEnd w:id="133"/>
      <w:bookmarkEnd w:id="134"/>
    </w:p>
    <w:p>
      <w:pPr>
        <w:jc w:val="center"/>
        <w:rPr>
          <w:rFonts w:ascii="宋体" w:hAnsi="宋体"/>
          <w:b/>
          <w:color w:val="auto"/>
          <w:sz w:val="30"/>
          <w:szCs w:val="30"/>
          <w:highlight w:val="none"/>
        </w:rPr>
      </w:pPr>
      <w:r>
        <w:rPr>
          <w:rFonts w:hint="eastAsia" w:ascii="宋体" w:hAnsi="宋体"/>
          <w:b/>
          <w:color w:val="auto"/>
          <w:sz w:val="30"/>
          <w:szCs w:val="30"/>
          <w:highlight w:val="none"/>
        </w:rPr>
        <w:t>投 标 书</w:t>
      </w: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依据贵方</w:t>
      </w:r>
      <w:r>
        <w:rPr>
          <w:rFonts w:hint="eastAsia" w:ascii="宋体" w:hAnsi="宋体" w:cs="Times New Roman"/>
          <w:color w:val="auto"/>
          <w:sz w:val="24"/>
          <w:szCs w:val="24"/>
          <w:highlight w:val="none"/>
          <w:u w:val="single"/>
        </w:rPr>
        <w:t xml:space="preserve"> （项目名称） </w:t>
      </w:r>
      <w:r>
        <w:rPr>
          <w:rFonts w:hint="eastAsia" w:ascii="宋体" w:hAnsi="宋体" w:cs="Times New Roman"/>
          <w:color w:val="auto"/>
          <w:sz w:val="24"/>
          <w:szCs w:val="24"/>
          <w:highlight w:val="none"/>
        </w:rPr>
        <w:t>项目（项目编号：</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）招标的投标邀请，我方代表</w:t>
      </w:r>
      <w:r>
        <w:rPr>
          <w:rFonts w:hint="eastAsia" w:ascii="宋体" w:hAnsi="宋体" w:cs="Times New Roman"/>
          <w:color w:val="auto"/>
          <w:sz w:val="24"/>
          <w:szCs w:val="24"/>
          <w:highlight w:val="none"/>
          <w:u w:val="single"/>
        </w:rPr>
        <w:t xml:space="preserve"> （姓名、职务） </w:t>
      </w:r>
      <w:r>
        <w:rPr>
          <w:rFonts w:hint="eastAsia" w:ascii="宋体" w:hAnsi="宋体" w:cs="Times New Roman"/>
          <w:color w:val="auto"/>
          <w:sz w:val="24"/>
          <w:szCs w:val="24"/>
          <w:highlight w:val="none"/>
        </w:rPr>
        <w:t>经正式授权并代表投标人</w:t>
      </w:r>
      <w:r>
        <w:rPr>
          <w:rFonts w:hint="eastAsia" w:ascii="宋体" w:hAnsi="宋体" w:cs="Times New Roman"/>
          <w:color w:val="auto"/>
          <w:sz w:val="24"/>
          <w:szCs w:val="24"/>
          <w:highlight w:val="none"/>
          <w:u w:val="single"/>
        </w:rPr>
        <w:t xml:space="preserve"> （投标人全称 ） </w:t>
      </w:r>
      <w:r>
        <w:rPr>
          <w:rFonts w:hint="eastAsia" w:ascii="宋体" w:hAnsi="宋体" w:cs="Times New Roman"/>
          <w:color w:val="auto"/>
          <w:sz w:val="24"/>
          <w:szCs w:val="24"/>
          <w:highlight w:val="none"/>
        </w:rPr>
        <w:t>提交“开标一览表”信封和下述文件正本</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份，副本</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份。</w:t>
      </w:r>
    </w:p>
    <w:p>
      <w:pPr>
        <w:numPr>
          <w:ilvl w:val="0"/>
          <w:numId w:val="39"/>
        </w:numPr>
        <w:tabs>
          <w:tab w:val="left" w:pos="966"/>
        </w:tabs>
        <w:autoSpaceDE w:val="0"/>
        <w:autoSpaceDN w:val="0"/>
        <w:adjustRightInd w:val="0"/>
        <w:spacing w:line="360" w:lineRule="auto"/>
        <w:ind w:left="0" w:firstLine="482" w:firstLineChars="200"/>
        <w:rPr>
          <w:rFonts w:ascii="宋体" w:hAnsi="宋体" w:cs="Times New Roman"/>
          <w:b/>
          <w:color w:val="auto"/>
          <w:kern w:val="0"/>
          <w:sz w:val="24"/>
          <w:szCs w:val="32"/>
          <w:highlight w:val="none"/>
        </w:rPr>
      </w:pPr>
      <w:r>
        <w:rPr>
          <w:rFonts w:hint="eastAsia" w:ascii="宋体" w:hAnsi="宋体" w:cs="Times New Roman"/>
          <w:b/>
          <w:color w:val="auto"/>
          <w:kern w:val="0"/>
          <w:sz w:val="24"/>
          <w:szCs w:val="32"/>
          <w:highlight w:val="none"/>
        </w:rPr>
        <w:t>资格证明文件；</w:t>
      </w:r>
      <w:r>
        <w:rPr>
          <w:rFonts w:hint="eastAsia" w:ascii="宋体" w:hAnsi="宋体" w:cs="Times New Roman"/>
          <w:color w:val="auto"/>
          <w:kern w:val="0"/>
          <w:sz w:val="24"/>
          <w:szCs w:val="32"/>
          <w:highlight w:val="none"/>
        </w:rPr>
        <w:t>（</w:t>
      </w:r>
      <w:r>
        <w:rPr>
          <w:rFonts w:hint="eastAsia" w:ascii="宋体" w:hAnsi="宋体" w:cs="Times New Roman"/>
          <w:color w:val="auto"/>
          <w:sz w:val="24"/>
          <w:szCs w:val="24"/>
          <w:highlight w:val="none"/>
        </w:rPr>
        <w:t>如</w:t>
      </w:r>
      <w:r>
        <w:rPr>
          <w:rFonts w:hint="eastAsia" w:ascii="宋体" w:hAnsi="宋体" w:cs="Helvetica"/>
          <w:color w:val="auto"/>
          <w:kern w:val="0"/>
          <w:sz w:val="24"/>
          <w:szCs w:val="24"/>
          <w:highlight w:val="none"/>
        </w:rPr>
        <w:t>采购人已组织过项目资格预审的，投标人无需再提交资格证明文件</w:t>
      </w:r>
      <w:r>
        <w:rPr>
          <w:rFonts w:hint="eastAsia" w:ascii="宋体" w:hAnsi="宋体" w:cs="Times New Roman"/>
          <w:color w:val="auto"/>
          <w:kern w:val="0"/>
          <w:sz w:val="24"/>
          <w:szCs w:val="32"/>
          <w:highlight w:val="none"/>
        </w:rPr>
        <w:t>）</w:t>
      </w:r>
    </w:p>
    <w:p>
      <w:pPr>
        <w:numPr>
          <w:ilvl w:val="0"/>
          <w:numId w:val="39"/>
        </w:numPr>
        <w:tabs>
          <w:tab w:val="left" w:pos="966"/>
        </w:tabs>
        <w:autoSpaceDE w:val="0"/>
        <w:autoSpaceDN w:val="0"/>
        <w:adjustRightInd w:val="0"/>
        <w:spacing w:line="360" w:lineRule="auto"/>
        <w:ind w:left="0" w:firstLine="482" w:firstLineChars="200"/>
        <w:rPr>
          <w:rFonts w:ascii="宋体" w:hAnsi="宋体" w:cs="Times New Roman"/>
          <w:b/>
          <w:color w:val="auto"/>
          <w:kern w:val="0"/>
          <w:sz w:val="24"/>
          <w:szCs w:val="32"/>
          <w:highlight w:val="none"/>
        </w:rPr>
      </w:pPr>
      <w:r>
        <w:rPr>
          <w:rFonts w:hint="eastAsia" w:ascii="宋体" w:hAnsi="宋体" w:cs="Times New Roman"/>
          <w:b/>
          <w:color w:val="auto"/>
          <w:kern w:val="0"/>
          <w:sz w:val="24"/>
          <w:szCs w:val="32"/>
          <w:highlight w:val="none"/>
        </w:rPr>
        <w:t>商务文件；</w:t>
      </w:r>
    </w:p>
    <w:p>
      <w:pPr>
        <w:numPr>
          <w:ilvl w:val="0"/>
          <w:numId w:val="39"/>
        </w:numPr>
        <w:tabs>
          <w:tab w:val="left" w:pos="966"/>
        </w:tabs>
        <w:autoSpaceDE w:val="0"/>
        <w:autoSpaceDN w:val="0"/>
        <w:adjustRightInd w:val="0"/>
        <w:spacing w:line="360" w:lineRule="auto"/>
        <w:ind w:left="0" w:firstLine="482" w:firstLineChars="200"/>
        <w:rPr>
          <w:rFonts w:ascii="宋体" w:hAnsi="宋体" w:cs="Times New Roman"/>
          <w:b/>
          <w:color w:val="auto"/>
          <w:kern w:val="0"/>
          <w:sz w:val="24"/>
          <w:szCs w:val="32"/>
          <w:highlight w:val="none"/>
        </w:rPr>
      </w:pPr>
      <w:r>
        <w:rPr>
          <w:rFonts w:hint="eastAsia" w:ascii="宋体" w:hAnsi="宋体" w:cs="Times New Roman"/>
          <w:b/>
          <w:color w:val="auto"/>
          <w:kern w:val="0"/>
          <w:sz w:val="24"/>
          <w:szCs w:val="32"/>
          <w:highlight w:val="none"/>
        </w:rPr>
        <w:t>技术、服务文件。</w:t>
      </w:r>
    </w:p>
    <w:p>
      <w:pPr>
        <w:spacing w:line="360" w:lineRule="auto"/>
        <w:rPr>
          <w:rFonts w:ascii="宋体" w:hAnsi="宋体" w:cs="Times New Roman"/>
          <w:b/>
          <w:color w:val="auto"/>
          <w:kern w:val="0"/>
          <w:sz w:val="24"/>
          <w:szCs w:val="24"/>
          <w:highlight w:val="none"/>
        </w:rPr>
      </w:pPr>
      <w:r>
        <w:rPr>
          <w:rFonts w:hint="eastAsia" w:ascii="宋体" w:hAnsi="宋体" w:cs="Times New Roman"/>
          <w:b/>
          <w:color w:val="auto"/>
          <w:kern w:val="0"/>
          <w:sz w:val="24"/>
          <w:szCs w:val="24"/>
          <w:highlight w:val="none"/>
        </w:rPr>
        <w:t>在此，我方宣布同意如下：</w:t>
      </w:r>
    </w:p>
    <w:p>
      <w:pPr>
        <w:pStyle w:val="15"/>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《开标一览表》中规定的应提交和交付的</w:t>
      </w:r>
      <w:r>
        <w:rPr>
          <w:rFonts w:hint="eastAsia" w:ascii="宋体" w:hAnsi="宋体"/>
          <w:color w:val="auto"/>
          <w:sz w:val="24"/>
          <w:szCs w:val="24"/>
          <w:highlight w:val="none"/>
          <w:u w:val="single"/>
        </w:rPr>
        <w:t xml:space="preserve">  （包号）  </w:t>
      </w:r>
      <w:r>
        <w:rPr>
          <w:rFonts w:hint="eastAsia" w:ascii="宋体" w:hAnsi="宋体"/>
          <w:color w:val="auto"/>
          <w:sz w:val="24"/>
          <w:szCs w:val="24"/>
          <w:highlight w:val="none"/>
        </w:rPr>
        <w:t>货物（工程或服务）投标总价为</w:t>
      </w:r>
      <w:r>
        <w:rPr>
          <w:rFonts w:hint="eastAsia" w:ascii="宋体" w:hAnsi="宋体"/>
          <w:color w:val="auto"/>
          <w:sz w:val="24"/>
          <w:szCs w:val="24"/>
          <w:highlight w:val="none"/>
          <w:u w:val="single"/>
        </w:rPr>
        <w:t xml:space="preserve"> （注明币种，并用大写和小写表述投标总价） </w:t>
      </w:r>
      <w:r>
        <w:rPr>
          <w:rFonts w:hint="eastAsia" w:ascii="宋体" w:hAnsi="宋体"/>
          <w:color w:val="auto"/>
          <w:sz w:val="24"/>
          <w:szCs w:val="24"/>
          <w:highlight w:val="none"/>
        </w:rPr>
        <w:t>；</w:t>
      </w:r>
    </w:p>
    <w:p>
      <w:pPr>
        <w:pStyle w:val="15"/>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按招标文件的约定履行合同责任和义务；</w:t>
      </w:r>
    </w:p>
    <w:p>
      <w:pPr>
        <w:pStyle w:val="15"/>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已详细审查全部招标文件，包括 （修正或补充文件）（如果有的话） ，对此无异议；</w:t>
      </w:r>
    </w:p>
    <w:p>
      <w:pPr>
        <w:pStyle w:val="15"/>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投标有效期为自递交投标文件截止之日起，共    个日历日；</w:t>
      </w:r>
    </w:p>
    <w:p>
      <w:pPr>
        <w:pStyle w:val="15"/>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提供按照贵方可能要求的与投标有关的一切数据或资料；</w:t>
      </w:r>
    </w:p>
    <w:p>
      <w:pPr>
        <w:pStyle w:val="15"/>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与投标有关的一切正式往来信函请寄：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autoSpaceDE w:val="0"/>
        <w:autoSpaceDN w:val="0"/>
        <w:adjustRightInd w:val="0"/>
        <w:spacing w:line="360" w:lineRule="auto"/>
        <w:ind w:right="246" w:firstLine="480" w:firstLineChars="200"/>
        <w:rPr>
          <w:rFonts w:ascii="宋体" w:hAnsi="宋体" w:cs="Times New Roman"/>
          <w:color w:val="auto"/>
          <w:kern w:val="0"/>
          <w:sz w:val="24"/>
          <w:szCs w:val="24"/>
          <w:highlight w:val="none"/>
        </w:rPr>
      </w:pP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电话/传真：</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电子邮件：</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投标人(公章)：</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投标人授权代表（签字）：</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帐号/行号：</w:t>
      </w:r>
      <w:r>
        <w:rPr>
          <w:rFonts w:hint="eastAsia" w:ascii="宋体" w:hAnsi="宋体"/>
          <w:color w:val="auto"/>
          <w:sz w:val="24"/>
          <w:szCs w:val="24"/>
          <w:highlight w:val="none"/>
          <w:u w:val="single"/>
        </w:rPr>
        <w:t xml:space="preserve">                              </w:t>
      </w:r>
    </w:p>
    <w:p>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u w:val="single"/>
        </w:rPr>
        <w:br w:type="page"/>
      </w: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35" w:name="_Toc511894529"/>
      <w:bookmarkStart w:id="136" w:name="_Toc10642"/>
      <w:bookmarkStart w:id="137" w:name="_Toc9630"/>
      <w:r>
        <w:rPr>
          <w:rFonts w:hint="eastAsia" w:ascii="宋体" w:hAnsi="宋体" w:cs="Times New Roman"/>
          <w:bCs w:val="0"/>
          <w:color w:val="auto"/>
          <w:highlight w:val="none"/>
        </w:rPr>
        <w:t>制造商中小企业声明函</w:t>
      </w:r>
      <w:bookmarkEnd w:id="135"/>
      <w:r>
        <w:rPr>
          <w:rFonts w:hint="eastAsia" w:ascii="宋体" w:hAnsi="宋体" w:cs="Times New Roman"/>
          <w:bCs w:val="0"/>
          <w:color w:val="auto"/>
          <w:highlight w:val="none"/>
        </w:rPr>
        <w:t>（适用于货物类项目）</w:t>
      </w:r>
      <w:bookmarkEnd w:id="136"/>
      <w:bookmarkEnd w:id="137"/>
    </w:p>
    <w:p>
      <w:pPr>
        <w:jc w:val="center"/>
        <w:rPr>
          <w:rFonts w:ascii="宋体" w:hAnsi="宋体"/>
          <w:b/>
          <w:color w:val="auto"/>
          <w:sz w:val="30"/>
          <w:szCs w:val="30"/>
          <w:highlight w:val="none"/>
        </w:rPr>
      </w:pPr>
      <w:r>
        <w:rPr>
          <w:rFonts w:hint="eastAsia" w:ascii="宋体" w:hAnsi="宋体"/>
          <w:b/>
          <w:color w:val="auto"/>
          <w:sz w:val="30"/>
          <w:szCs w:val="30"/>
          <w:highlight w:val="none"/>
        </w:rPr>
        <w:t>制造商中小企业声明函</w:t>
      </w:r>
    </w:p>
    <w:p>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（适用于货物类项目）</w:t>
      </w: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400" w:lineRule="exact"/>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本公司郑重声明，根据《政府采购促进中小企业发展暂行办法》（财库〔2011〕181号）的规定，本公司为</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（请填写：中型、小型、微型）企业。本公司同时满足以下条件：</w:t>
      </w:r>
    </w:p>
    <w:p>
      <w:pPr>
        <w:numPr>
          <w:ilvl w:val="0"/>
          <w:numId w:val="41"/>
        </w:numPr>
        <w:tabs>
          <w:tab w:val="left" w:pos="854"/>
        </w:tabs>
        <w:autoSpaceDE w:val="0"/>
        <w:autoSpaceDN w:val="0"/>
        <w:adjustRightInd w:val="0"/>
        <w:spacing w:line="400" w:lineRule="exact"/>
        <w:ind w:left="0"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根据《工业和信息化部、国家统计局、国家发展和改革委员会、财政部关于印发中小企业划型标准规定的通知》（工信部联企业〔2011〕300号）规定的划分标准（详见《中小企业划型标准》），本公司为</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（请填写：中型、小型、微型）企业。</w:t>
      </w:r>
    </w:p>
    <w:p>
      <w:pPr>
        <w:numPr>
          <w:ilvl w:val="0"/>
          <w:numId w:val="41"/>
        </w:numPr>
        <w:tabs>
          <w:tab w:val="left" w:pos="854"/>
        </w:tabs>
        <w:autoSpaceDE w:val="0"/>
        <w:autoSpaceDN w:val="0"/>
        <w:adjustRightInd w:val="0"/>
        <w:spacing w:line="400" w:lineRule="exact"/>
        <w:ind w:left="0"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所投产品来源声明（参与本项目供应商根据所投产品具体情况选用下列两项描述）：</w:t>
      </w:r>
    </w:p>
    <w:p>
      <w:pPr>
        <w:pStyle w:val="15"/>
        <w:numPr>
          <w:ilvl w:val="0"/>
          <w:numId w:val="42"/>
        </w:numPr>
        <w:spacing w:line="400" w:lineRule="exact"/>
        <w:ind w:left="964"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本公司授权</w:t>
      </w:r>
      <w:r>
        <w:rPr>
          <w:rFonts w:hint="eastAsia" w:ascii="宋体" w:hAnsi="宋体" w:cs="Times New Roman"/>
          <w:color w:val="auto"/>
          <w:sz w:val="24"/>
          <w:szCs w:val="24"/>
          <w:highlight w:val="none"/>
          <w:u w:val="single"/>
        </w:rPr>
        <w:t xml:space="preserve">  （投标人）  </w:t>
      </w:r>
      <w:r>
        <w:rPr>
          <w:rFonts w:hint="eastAsia" w:ascii="宋体" w:hAnsi="宋体" w:cs="Times New Roman"/>
          <w:color w:val="auto"/>
          <w:sz w:val="24"/>
          <w:szCs w:val="24"/>
          <w:highlight w:val="none"/>
        </w:rPr>
        <w:t>参加</w:t>
      </w:r>
      <w:r>
        <w:rPr>
          <w:rFonts w:hint="eastAsia" w:ascii="宋体" w:hAnsi="宋体" w:cs="Times New Roman"/>
          <w:color w:val="auto"/>
          <w:sz w:val="24"/>
          <w:szCs w:val="24"/>
          <w:highlight w:val="none"/>
          <w:u w:val="single"/>
        </w:rPr>
        <w:t xml:space="preserve"> （采购人）</w:t>
      </w:r>
      <w:r>
        <w:rPr>
          <w:rFonts w:hint="eastAsia" w:ascii="宋体" w:hAnsi="宋体" w:cs="Times New Roman"/>
          <w:color w:val="auto"/>
          <w:sz w:val="24"/>
          <w:szCs w:val="24"/>
          <w:highlight w:val="none"/>
        </w:rPr>
        <w:t>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项目（项目编号：</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）采购活动提供本企业制造的货物。本条所称货物不包括使用大型企业注册商标的货物。（该条款适用所投产品代理商使用）</w:t>
      </w:r>
    </w:p>
    <w:p>
      <w:pPr>
        <w:pStyle w:val="15"/>
        <w:numPr>
          <w:ilvl w:val="0"/>
          <w:numId w:val="42"/>
        </w:numPr>
        <w:spacing w:line="400" w:lineRule="exact"/>
        <w:ind w:left="964"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本公司参加</w:t>
      </w:r>
      <w:r>
        <w:rPr>
          <w:rFonts w:hint="eastAsia" w:ascii="宋体" w:hAnsi="宋体" w:cs="Times New Roman"/>
          <w:color w:val="auto"/>
          <w:sz w:val="24"/>
          <w:szCs w:val="24"/>
          <w:highlight w:val="none"/>
          <w:u w:val="single"/>
        </w:rPr>
        <w:t xml:space="preserve">  （采购人） </w:t>
      </w:r>
      <w:r>
        <w:rPr>
          <w:rFonts w:hint="eastAsia" w:ascii="宋体" w:hAnsi="宋体" w:cs="Times New Roman"/>
          <w:color w:val="auto"/>
          <w:sz w:val="24"/>
          <w:szCs w:val="24"/>
          <w:highlight w:val="none"/>
        </w:rPr>
        <w:t>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项目（项目编号：</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）采购活动提供本企业制造的货物。本条所称货物不包括使用大型企业注册商标的货物。</w:t>
      </w:r>
      <w:r>
        <w:rPr>
          <w:rFonts w:hint="eastAsia" w:ascii="宋体" w:hAnsi="宋体" w:cs="Times New Roman"/>
          <w:b/>
          <w:color w:val="auto"/>
          <w:sz w:val="24"/>
          <w:szCs w:val="24"/>
          <w:highlight w:val="none"/>
        </w:rPr>
        <w:t>（该条款适用所投产品制造商使用）</w:t>
      </w:r>
    </w:p>
    <w:p>
      <w:pPr>
        <w:numPr>
          <w:ilvl w:val="0"/>
          <w:numId w:val="41"/>
        </w:numPr>
        <w:tabs>
          <w:tab w:val="left" w:pos="854"/>
        </w:tabs>
        <w:autoSpaceDE w:val="0"/>
        <w:autoSpaceDN w:val="0"/>
        <w:adjustRightInd w:val="0"/>
        <w:spacing w:line="400" w:lineRule="exact"/>
        <w:ind w:left="0"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由本公司制造的货物清单见下表：</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tcBorders>
              <w:top w:val="single" w:color="auto" w:sz="2" w:space="0"/>
              <w:left w:val="single" w:color="auto" w:sz="2" w:space="0"/>
              <w:bottom w:val="single" w:color="auto" w:sz="2" w:space="0"/>
              <w:right w:val="single" w:color="auto" w:sz="2" w:space="0"/>
            </w:tcBorders>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2414"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1224"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品牌规格型号</w:t>
            </w:r>
          </w:p>
        </w:tc>
        <w:tc>
          <w:tcPr>
            <w:tcW w:w="907"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278"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1843"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分项合计(元)</w:t>
            </w:r>
          </w:p>
        </w:tc>
        <w:tc>
          <w:tcPr>
            <w:tcW w:w="1228"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hint="default" w:ascii="宋体" w:hAnsi="宋体" w:cs="宋体" w:eastAsiaTheme="minorEastAsia"/>
                <w:b/>
                <w:color w:val="auto"/>
                <w:kern w:val="0"/>
                <w:sz w:val="24"/>
                <w:highlight w:val="none"/>
                <w:lang w:val="en-US" w:eastAsia="zh-CN"/>
              </w:rPr>
            </w:pPr>
            <w:r>
              <w:rPr>
                <w:rFonts w:hint="eastAsia" w:ascii="宋体" w:hAnsi="宋体" w:cs="宋体"/>
                <w:b/>
                <w:color w:val="auto"/>
                <w:kern w:val="0"/>
                <w:sz w:val="24"/>
                <w:highlight w:val="none"/>
                <w:lang w:val="en-US" w:eastAsia="zh-CN"/>
              </w:rPr>
              <w:t>有无检测报告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noWrap w:val="0"/>
            <w:vAlign w:val="center"/>
          </w:tcPr>
          <w:p>
            <w:pPr>
              <w:numPr>
                <w:ilvl w:val="0"/>
                <w:numId w:val="43"/>
              </w:numPr>
              <w:tabs>
                <w:tab w:val="left" w:pos="61"/>
              </w:tabs>
              <w:adjustRightInd w:val="0"/>
              <w:snapToGrid w:val="0"/>
              <w:ind w:left="-63" w:leftChars="-30" w:firstLine="0"/>
              <w:jc w:val="right"/>
              <w:rPr>
                <w:rFonts w:ascii="宋体" w:hAnsi="宋体" w:cs="Times New Roman"/>
                <w:color w:val="auto"/>
                <w:sz w:val="24"/>
                <w:highlight w:val="none"/>
              </w:rPr>
            </w:pPr>
          </w:p>
        </w:tc>
        <w:tc>
          <w:tcPr>
            <w:tcW w:w="241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376" w:rightChars="-179"/>
              <w:jc w:val="center"/>
              <w:rPr>
                <w:rFonts w:ascii="宋体" w:hAnsi="宋体" w:cs="宋体"/>
                <w:color w:val="auto"/>
                <w:kern w:val="0"/>
                <w:sz w:val="24"/>
                <w:szCs w:val="24"/>
                <w:highlight w:val="none"/>
              </w:rPr>
            </w:pPr>
          </w:p>
        </w:tc>
        <w:tc>
          <w:tcPr>
            <w:tcW w:w="127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noWrap w:val="0"/>
            <w:vAlign w:val="center"/>
          </w:tcPr>
          <w:p>
            <w:pPr>
              <w:numPr>
                <w:ilvl w:val="0"/>
                <w:numId w:val="43"/>
              </w:numPr>
              <w:tabs>
                <w:tab w:val="left" w:pos="61"/>
              </w:tabs>
              <w:adjustRightInd w:val="0"/>
              <w:snapToGrid w:val="0"/>
              <w:ind w:left="-63" w:leftChars="-30" w:firstLine="0"/>
              <w:jc w:val="right"/>
              <w:rPr>
                <w:rFonts w:ascii="宋体" w:hAnsi="宋体" w:cs="Times New Roman"/>
                <w:color w:val="auto"/>
                <w:sz w:val="24"/>
                <w:highlight w:val="none"/>
              </w:rPr>
            </w:pPr>
          </w:p>
        </w:tc>
        <w:tc>
          <w:tcPr>
            <w:tcW w:w="241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27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noWrap w:val="0"/>
            <w:vAlign w:val="center"/>
          </w:tcPr>
          <w:p>
            <w:pPr>
              <w:tabs>
                <w:tab w:val="left" w:pos="82"/>
              </w:tabs>
              <w:adjustRightInd w:val="0"/>
              <w:snapToGrid w:val="0"/>
              <w:jc w:val="right"/>
              <w:rPr>
                <w:rFonts w:ascii="宋体" w:hAnsi="宋体" w:cs="Times New Roman"/>
                <w:color w:val="auto"/>
                <w:sz w:val="24"/>
                <w:highlight w:val="none"/>
              </w:rPr>
            </w:pPr>
            <w:r>
              <w:rPr>
                <w:rFonts w:hint="eastAsia" w:ascii="宋体" w:hAnsi="宋体" w:cs="Times New Roman"/>
                <w:color w:val="auto"/>
                <w:sz w:val="24"/>
                <w:highlight w:val="none"/>
              </w:rPr>
              <w:t>…</w:t>
            </w:r>
          </w:p>
        </w:tc>
        <w:tc>
          <w:tcPr>
            <w:tcW w:w="241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27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475" w:type="dxa"/>
            <w:gridSpan w:val="5"/>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合计</w:t>
            </w:r>
          </w:p>
        </w:tc>
        <w:tc>
          <w:tcPr>
            <w:tcW w:w="307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r>
    </w:tbl>
    <w:p>
      <w:pPr>
        <w:spacing w:before="156" w:beforeLines="50" w:line="400" w:lineRule="exact"/>
        <w:ind w:firstLine="475" w:firstLineChars="198"/>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本公司对上述声明的真实性负责。如有虚假，将依法承担相应责任。</w:t>
      </w:r>
    </w:p>
    <w:p>
      <w:pPr>
        <w:spacing w:line="400" w:lineRule="exact"/>
        <w:ind w:left="1091" w:hanging="1091" w:hangingChars="453"/>
        <w:jc w:val="left"/>
        <w:rPr>
          <w:rFonts w:ascii="宋体" w:hAnsi="宋体" w:cs="Courier New"/>
          <w:color w:val="auto"/>
          <w:sz w:val="24"/>
          <w:szCs w:val="21"/>
          <w:highlight w:val="none"/>
        </w:rPr>
      </w:pPr>
      <w:r>
        <w:rPr>
          <w:rFonts w:hint="eastAsia" w:ascii="宋体" w:hAnsi="宋体" w:cs="Times New Roman"/>
          <w:b/>
          <w:bCs/>
          <w:color w:val="auto"/>
          <w:sz w:val="24"/>
          <w:szCs w:val="24"/>
          <w:highlight w:val="none"/>
        </w:rPr>
        <w:t>说明：</w:t>
      </w:r>
      <w:r>
        <w:rPr>
          <w:rFonts w:hint="eastAsia" w:ascii="宋体" w:hAnsi="宋体" w:cs="Corbel"/>
          <w:color w:val="auto"/>
          <w:sz w:val="24"/>
          <w:szCs w:val="21"/>
          <w:highlight w:val="none"/>
        </w:rPr>
        <w:t>1、</w:t>
      </w:r>
      <w:r>
        <w:rPr>
          <w:rFonts w:hint="eastAsia" w:ascii="宋体" w:hAnsi="宋体" w:cs="Courier New"/>
          <w:color w:val="auto"/>
          <w:sz w:val="24"/>
          <w:szCs w:val="21"/>
          <w:highlight w:val="none"/>
        </w:rPr>
        <w:t>组成联合体的大中型企业和其他自然人、法人或者其他组织，与小型、微型企业之间不得存在投资关系。</w:t>
      </w:r>
    </w:p>
    <w:p>
      <w:pPr>
        <w:spacing w:line="400" w:lineRule="exact"/>
        <w:ind w:left="1118" w:leftChars="360" w:hanging="362" w:hangingChars="151"/>
        <w:jc w:val="left"/>
        <w:rPr>
          <w:rFonts w:ascii="宋体" w:hAnsi="宋体" w:cs="Times New Roman"/>
          <w:bCs/>
          <w:color w:val="auto"/>
          <w:sz w:val="24"/>
          <w:szCs w:val="24"/>
          <w:highlight w:val="none"/>
        </w:rPr>
      </w:pPr>
      <w:r>
        <w:rPr>
          <w:rFonts w:hint="eastAsia" w:ascii="宋体" w:hAnsi="宋体" w:cs="Courier New"/>
          <w:color w:val="auto"/>
          <w:sz w:val="24"/>
          <w:szCs w:val="21"/>
          <w:highlight w:val="none"/>
        </w:rPr>
        <w:t>2、以联合体方式参与项目投标的供应商，则应由联合体双方签字盖章。</w:t>
      </w:r>
    </w:p>
    <w:p>
      <w:pPr>
        <w:spacing w:line="400" w:lineRule="exact"/>
        <w:ind w:firstLine="3330" w:firstLineChars="1382"/>
        <w:rPr>
          <w:rFonts w:ascii="宋体" w:hAnsi="宋体" w:cs="Times New Roman"/>
          <w:bCs/>
          <w:color w:val="auto"/>
          <w:sz w:val="24"/>
          <w:szCs w:val="21"/>
          <w:highlight w:val="none"/>
        </w:rPr>
      </w:pPr>
      <w:r>
        <w:rPr>
          <w:rFonts w:hint="eastAsia" w:ascii="宋体" w:hAnsi="宋体" w:cs="Times New Roman"/>
          <w:b/>
          <w:bCs/>
          <w:color w:val="auto"/>
          <w:sz w:val="24"/>
          <w:szCs w:val="21"/>
          <w:highlight w:val="none"/>
        </w:rPr>
        <w:t>制造商（公章）</w:t>
      </w:r>
      <w:r>
        <w:rPr>
          <w:rFonts w:hint="eastAsia" w:ascii="宋体" w:hAnsi="宋体" w:cs="Times New Roman"/>
          <w:bCs/>
          <w:color w:val="auto"/>
          <w:sz w:val="24"/>
          <w:szCs w:val="21"/>
          <w:highlight w:val="none"/>
        </w:rPr>
        <w:t>：</w:t>
      </w:r>
      <w:r>
        <w:rPr>
          <w:rFonts w:hint="eastAsia" w:ascii="宋体" w:hAnsi="宋体" w:cs="Times New Roman"/>
          <w:bCs/>
          <w:color w:val="auto"/>
          <w:sz w:val="24"/>
          <w:szCs w:val="21"/>
          <w:highlight w:val="none"/>
          <w:u w:val="single"/>
        </w:rPr>
        <w:t xml:space="preserve">                           </w:t>
      </w:r>
    </w:p>
    <w:p>
      <w:pPr>
        <w:spacing w:line="400" w:lineRule="exact"/>
        <w:ind w:firstLine="3330" w:firstLineChars="1382"/>
        <w:rPr>
          <w:rFonts w:ascii="宋体" w:hAnsi="宋体" w:cs="Times New Roman"/>
          <w:bCs/>
          <w:color w:val="auto"/>
          <w:sz w:val="24"/>
          <w:szCs w:val="21"/>
          <w:highlight w:val="none"/>
        </w:rPr>
      </w:pPr>
      <w:r>
        <w:rPr>
          <w:rFonts w:hint="eastAsia" w:ascii="宋体" w:hAnsi="宋体" w:cs="Times New Roman"/>
          <w:b/>
          <w:bCs/>
          <w:color w:val="auto"/>
          <w:sz w:val="24"/>
          <w:szCs w:val="21"/>
          <w:highlight w:val="none"/>
        </w:rPr>
        <w:t>制造商法定代表人</w:t>
      </w:r>
      <w:r>
        <w:rPr>
          <w:rFonts w:hint="eastAsia" w:ascii="宋体" w:hAnsi="宋体" w:cs="Times New Roman"/>
          <w:bCs/>
          <w:color w:val="auto"/>
          <w:sz w:val="24"/>
          <w:szCs w:val="21"/>
          <w:highlight w:val="none"/>
        </w:rPr>
        <w:t>（</w:t>
      </w:r>
      <w:r>
        <w:rPr>
          <w:rFonts w:hint="eastAsia" w:ascii="宋体" w:hAnsi="宋体" w:cs="Times New Roman"/>
          <w:color w:val="auto"/>
          <w:sz w:val="24"/>
          <w:szCs w:val="21"/>
          <w:highlight w:val="none"/>
        </w:rPr>
        <w:t>签字或盖章</w:t>
      </w:r>
      <w:r>
        <w:rPr>
          <w:rFonts w:hint="eastAsia" w:ascii="宋体" w:hAnsi="宋体" w:cs="Times New Roman"/>
          <w:bCs/>
          <w:color w:val="auto"/>
          <w:sz w:val="24"/>
          <w:szCs w:val="21"/>
          <w:highlight w:val="none"/>
        </w:rPr>
        <w:t>）：</w:t>
      </w:r>
      <w:r>
        <w:rPr>
          <w:rFonts w:hint="eastAsia" w:ascii="宋体" w:hAnsi="宋体" w:cs="Times New Roman"/>
          <w:bCs/>
          <w:color w:val="auto"/>
          <w:sz w:val="24"/>
          <w:szCs w:val="21"/>
          <w:highlight w:val="none"/>
          <w:u w:val="single"/>
        </w:rPr>
        <w:t xml:space="preserve">           </w:t>
      </w:r>
    </w:p>
    <w:p>
      <w:pPr>
        <w:spacing w:line="400" w:lineRule="exact"/>
        <w:ind w:firstLine="3316" w:firstLineChars="1382"/>
        <w:rPr>
          <w:rFonts w:hAnsi="宋体" w:cs="Times New Roman"/>
          <w:bCs/>
          <w:color w:val="auto"/>
          <w:sz w:val="24"/>
          <w:szCs w:val="24"/>
          <w:highlight w:val="none"/>
          <w:u w:val="single"/>
        </w:rPr>
      </w:pPr>
      <w:r>
        <w:rPr>
          <w:rFonts w:hint="eastAsia" w:hAnsi="宋体" w:cs="Times New Roman"/>
          <w:color w:val="auto"/>
          <w:sz w:val="24"/>
          <w:szCs w:val="24"/>
          <w:highlight w:val="none"/>
        </w:rPr>
        <w:t>日 </w:t>
      </w:r>
      <w:r>
        <w:rPr>
          <w:rFonts w:hAnsi="宋体" w:cs="Times New Roman"/>
          <w:color w:val="auto"/>
          <w:sz w:val="24"/>
          <w:szCs w:val="24"/>
          <w:highlight w:val="none"/>
        </w:rPr>
        <w:t xml:space="preserve"> </w:t>
      </w:r>
      <w:r>
        <w:rPr>
          <w:rFonts w:hint="eastAsia" w:hAnsi="宋体" w:cs="Times New Roman"/>
          <w:color w:val="auto"/>
          <w:sz w:val="24"/>
          <w:szCs w:val="24"/>
          <w:highlight w:val="none"/>
        </w:rPr>
        <w:t> 期：</w:t>
      </w:r>
      <w:r>
        <w:rPr>
          <w:rFonts w:hAnsi="宋体" w:cs="Times New Roman"/>
          <w:bCs/>
          <w:color w:val="auto"/>
          <w:sz w:val="24"/>
          <w:szCs w:val="24"/>
          <w:highlight w:val="none"/>
          <w:u w:val="single"/>
        </w:rPr>
        <w:t xml:space="preserve">                                </w:t>
      </w:r>
    </w:p>
    <w:p>
      <w:pPr>
        <w:rPr>
          <w:color w:val="auto"/>
          <w:highlight w:val="none"/>
        </w:rPr>
      </w:pPr>
      <w:r>
        <w:rPr>
          <w:rFonts w:hAnsi="宋体" w:cs="Times New Roman"/>
          <w:bCs/>
          <w:color w:val="auto"/>
          <w:sz w:val="24"/>
          <w:szCs w:val="24"/>
          <w:highlight w:val="none"/>
          <w:u w:val="single"/>
        </w:rPr>
        <w:br w:type="page"/>
      </w: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38" w:name="_Toc511894530"/>
      <w:bookmarkStart w:id="139" w:name="_Toc27620"/>
      <w:bookmarkStart w:id="140" w:name="_Toc27749"/>
      <w:r>
        <w:rPr>
          <w:rFonts w:hint="eastAsia" w:ascii="宋体" w:hAnsi="宋体" w:cs="Times New Roman"/>
          <w:bCs w:val="0"/>
          <w:color w:val="auto"/>
          <w:highlight w:val="none"/>
        </w:rPr>
        <w:t>中小企业声明函</w:t>
      </w:r>
      <w:bookmarkEnd w:id="138"/>
      <w:r>
        <w:rPr>
          <w:rFonts w:hint="eastAsia" w:ascii="宋体" w:hAnsi="宋体" w:cs="Times New Roman"/>
          <w:bCs w:val="0"/>
          <w:color w:val="auto"/>
          <w:highlight w:val="none"/>
        </w:rPr>
        <w:t>（适用于工程类、服务类项目）</w:t>
      </w:r>
      <w:bookmarkEnd w:id="139"/>
      <w:bookmarkEnd w:id="140"/>
    </w:p>
    <w:p>
      <w:pPr>
        <w:jc w:val="center"/>
        <w:rPr>
          <w:rFonts w:ascii="宋体" w:hAnsi="宋体"/>
          <w:b/>
          <w:color w:val="auto"/>
          <w:sz w:val="30"/>
          <w:szCs w:val="30"/>
          <w:highlight w:val="none"/>
        </w:rPr>
      </w:pPr>
      <w:r>
        <w:rPr>
          <w:rFonts w:hint="eastAsia" w:ascii="宋体" w:hAnsi="宋体"/>
          <w:b/>
          <w:color w:val="auto"/>
          <w:sz w:val="30"/>
          <w:szCs w:val="30"/>
          <w:highlight w:val="none"/>
        </w:rPr>
        <w:t>中小企业声明函</w:t>
      </w:r>
    </w:p>
    <w:p>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（适用于工程类、服务类项目）</w:t>
      </w: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本公司郑重声明，根据《政府采购促进中小企业发展暂行办法》（财库〔2011〕181号）的规定，本公司为</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（请填写：中型、小型、微型）企业。本公司同时满足以下条件：</w:t>
      </w:r>
    </w:p>
    <w:p>
      <w:pPr>
        <w:numPr>
          <w:ilvl w:val="0"/>
          <w:numId w:val="44"/>
        </w:numPr>
        <w:tabs>
          <w:tab w:val="left" w:pos="854"/>
        </w:tabs>
        <w:autoSpaceDE w:val="0"/>
        <w:autoSpaceDN w:val="0"/>
        <w:adjustRightInd w:val="0"/>
        <w:spacing w:line="360" w:lineRule="auto"/>
        <w:ind w:left="0" w:firstLine="480" w:firstLineChars="200"/>
        <w:rPr>
          <w:rFonts w:ascii="宋体" w:hAnsi="宋体" w:cs="Times New Roman"/>
          <w:color w:val="auto"/>
          <w:sz w:val="24"/>
          <w:szCs w:val="21"/>
          <w:highlight w:val="none"/>
        </w:rPr>
      </w:pPr>
      <w:r>
        <w:rPr>
          <w:rFonts w:hint="eastAsia" w:ascii="宋体" w:hAnsi="宋体" w:cs="Times New Roman"/>
          <w:color w:val="auto"/>
          <w:sz w:val="24"/>
          <w:szCs w:val="21"/>
          <w:highlight w:val="none"/>
        </w:rPr>
        <w:t>根据《工业和信息化部、国家统计局、国家发展和改革委员会、财政部关于印发中小企业划型标准规定的通知》（工信部联企业〔2011〕300号）规定的划分标准</w:t>
      </w:r>
      <w:r>
        <w:rPr>
          <w:rFonts w:hint="eastAsia" w:hAnsi="宋体"/>
          <w:color w:val="auto"/>
          <w:sz w:val="24"/>
          <w:highlight w:val="none"/>
        </w:rPr>
        <w:t>（详见《中小企业划型标准》）</w:t>
      </w:r>
      <w:r>
        <w:rPr>
          <w:rFonts w:hint="eastAsia" w:ascii="宋体" w:hAnsi="宋体" w:cs="Times New Roman"/>
          <w:color w:val="auto"/>
          <w:sz w:val="24"/>
          <w:szCs w:val="21"/>
          <w:highlight w:val="none"/>
        </w:rPr>
        <w:t>，本公司为</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（请填写：中型、小型、微型）企业。</w:t>
      </w:r>
    </w:p>
    <w:p>
      <w:pPr>
        <w:numPr>
          <w:ilvl w:val="0"/>
          <w:numId w:val="44"/>
        </w:numPr>
        <w:tabs>
          <w:tab w:val="left" w:pos="854"/>
        </w:tabs>
        <w:autoSpaceDE w:val="0"/>
        <w:autoSpaceDN w:val="0"/>
        <w:adjustRightInd w:val="0"/>
        <w:spacing w:line="360" w:lineRule="auto"/>
        <w:ind w:left="0" w:firstLine="480" w:firstLineChars="200"/>
        <w:rPr>
          <w:rFonts w:ascii="宋体" w:hAnsi="宋体" w:cs="Times New Roman"/>
          <w:color w:val="auto"/>
          <w:sz w:val="24"/>
          <w:szCs w:val="21"/>
          <w:highlight w:val="none"/>
        </w:rPr>
      </w:pPr>
      <w:r>
        <w:rPr>
          <w:rFonts w:hint="eastAsia" w:ascii="宋体" w:hAnsi="宋体" w:cs="Times New Roman"/>
          <w:color w:val="auto"/>
          <w:sz w:val="24"/>
          <w:szCs w:val="21"/>
          <w:highlight w:val="none"/>
        </w:rPr>
        <w:t>本公司参加</w:t>
      </w:r>
      <w:r>
        <w:rPr>
          <w:rFonts w:hint="eastAsia" w:ascii="宋体" w:hAnsi="宋体" w:cs="Times New Roman"/>
          <w:color w:val="auto"/>
          <w:sz w:val="24"/>
          <w:szCs w:val="21"/>
          <w:highlight w:val="none"/>
          <w:u w:val="single"/>
        </w:rPr>
        <w:t xml:space="preserve"> （采购人） </w:t>
      </w:r>
      <w:r>
        <w:rPr>
          <w:rFonts w:hint="eastAsia" w:ascii="宋体" w:hAnsi="宋体" w:cs="Times New Roman"/>
          <w:color w:val="auto"/>
          <w:sz w:val="24"/>
          <w:szCs w:val="21"/>
          <w:highlight w:val="none"/>
        </w:rPr>
        <w:t>的</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项目（项目编号：</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）采购活动由本企业承担工程（或提供服务）。</w:t>
      </w:r>
    </w:p>
    <w:p>
      <w:pPr>
        <w:spacing w:line="360" w:lineRule="auto"/>
        <w:ind w:firstLine="475" w:firstLineChars="198"/>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本公司对上述声明的真实性负责。如有虚假，将依法承担相应责任。</w:t>
      </w:r>
    </w:p>
    <w:p>
      <w:pPr>
        <w:spacing w:line="360" w:lineRule="auto"/>
        <w:ind w:left="1091" w:hanging="1091" w:hangingChars="453"/>
        <w:jc w:val="left"/>
        <w:rPr>
          <w:rFonts w:ascii="宋体" w:hAnsi="宋体" w:cs="Times New Roman"/>
          <w:b/>
          <w:color w:val="auto"/>
          <w:sz w:val="24"/>
          <w:szCs w:val="21"/>
          <w:highlight w:val="none"/>
        </w:rPr>
      </w:pPr>
    </w:p>
    <w:p>
      <w:pPr>
        <w:spacing w:line="360" w:lineRule="auto"/>
        <w:ind w:left="1091" w:hanging="1091" w:hangingChars="453"/>
        <w:jc w:val="left"/>
        <w:rPr>
          <w:rFonts w:ascii="宋体" w:hAnsi="宋体" w:cs="Times New Roman"/>
          <w:color w:val="auto"/>
          <w:sz w:val="24"/>
          <w:szCs w:val="21"/>
          <w:highlight w:val="none"/>
        </w:rPr>
      </w:pPr>
      <w:r>
        <w:rPr>
          <w:rFonts w:hint="eastAsia" w:ascii="宋体" w:hAnsi="宋体" w:cs="Times New Roman"/>
          <w:b/>
          <w:color w:val="auto"/>
          <w:sz w:val="24"/>
          <w:szCs w:val="21"/>
          <w:highlight w:val="none"/>
        </w:rPr>
        <w:t>说明：</w:t>
      </w:r>
      <w:r>
        <w:rPr>
          <w:rFonts w:hint="eastAsia" w:ascii="宋体" w:hAnsi="宋体" w:cs="Times New Roman"/>
          <w:color w:val="auto"/>
          <w:sz w:val="24"/>
          <w:szCs w:val="21"/>
          <w:highlight w:val="none"/>
        </w:rPr>
        <w:t>1、</w:t>
      </w:r>
      <w:r>
        <w:rPr>
          <w:rFonts w:hint="eastAsia" w:ascii="宋体" w:hAnsi="宋体" w:cs="Courier New"/>
          <w:color w:val="auto"/>
          <w:sz w:val="24"/>
          <w:szCs w:val="21"/>
          <w:highlight w:val="none"/>
        </w:rPr>
        <w:t>组成</w:t>
      </w:r>
      <w:r>
        <w:rPr>
          <w:rFonts w:hint="eastAsia" w:ascii="宋体" w:hAnsi="宋体" w:cs="Times New Roman"/>
          <w:color w:val="auto"/>
          <w:sz w:val="24"/>
          <w:szCs w:val="21"/>
          <w:highlight w:val="none"/>
        </w:rPr>
        <w:t>联合体的大中型企业和其他自然人、法人或者其他组织，与小型、微型企业之间不得存在投资关系。</w:t>
      </w:r>
    </w:p>
    <w:p>
      <w:pPr>
        <w:spacing w:line="360" w:lineRule="auto"/>
        <w:ind w:left="1117" w:leftChars="353" w:hanging="376" w:hangingChars="157"/>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投标人（公章）：</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hint="eastAsia" w:ascii="宋体" w:hAnsi="宋体" w:cs="Times New Roman"/>
          <w:bCs/>
          <w:color w:val="auto"/>
          <w:kern w:val="0"/>
          <w:sz w:val="24"/>
          <w:szCs w:val="21"/>
          <w:highlight w:val="none"/>
          <w:u w:val="single"/>
        </w:rPr>
      </w:pPr>
      <w:r>
        <w:rPr>
          <w:rFonts w:hint="eastAsia" w:hAnsi="宋体" w:cs="Times New Roman"/>
          <w:color w:val="auto"/>
          <w:sz w:val="24"/>
          <w:szCs w:val="24"/>
          <w:highlight w:val="none"/>
        </w:rPr>
        <w:t>日   期：</w:t>
      </w:r>
      <w:r>
        <w:rPr>
          <w:rFonts w:hint="eastAsia" w:ascii="宋体" w:hAnsi="宋体" w:cs="Times New Roman"/>
          <w:bCs/>
          <w:color w:val="auto"/>
          <w:kern w:val="0"/>
          <w:sz w:val="24"/>
          <w:szCs w:val="21"/>
          <w:highlight w:val="none"/>
          <w:u w:val="single"/>
        </w:rPr>
        <w:t xml:space="preserve">                                </w:t>
      </w:r>
    </w:p>
    <w:p>
      <w:pPr>
        <w:rPr>
          <w:rFonts w:hint="eastAsia"/>
          <w:color w:val="auto"/>
          <w:highlight w:val="none"/>
        </w:rPr>
      </w:pPr>
    </w:p>
    <w:p>
      <w:pPr>
        <w:rPr>
          <w:color w:val="auto"/>
          <w:highlight w:val="none"/>
        </w:r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417" w:bottom="1134" w:left="1417" w:header="850"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141" w:name="_Toc10741"/>
      <w:bookmarkStart w:id="142" w:name="_Toc17574"/>
      <w:bookmarkStart w:id="143" w:name="_Toc511894531"/>
      <w:bookmarkStart w:id="144" w:name="_Toc476153619"/>
      <w:r>
        <w:rPr>
          <w:rFonts w:hint="eastAsia" w:ascii="宋体" w:hAnsi="宋体" w:cs="Times New Roman"/>
          <w:bCs w:val="0"/>
          <w:color w:val="auto"/>
          <w:highlight w:val="none"/>
        </w:rPr>
        <w:t>中小企业划型标准</w:t>
      </w:r>
      <w:bookmarkEnd w:id="141"/>
      <w:bookmarkEnd w:id="142"/>
      <w:bookmarkEnd w:id="143"/>
      <w:bookmarkEnd w:id="144"/>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2"/>
        <w:gridCol w:w="1997"/>
        <w:gridCol w:w="1181"/>
        <w:gridCol w:w="908"/>
        <w:gridCol w:w="928"/>
        <w:gridCol w:w="1092"/>
        <w:gridCol w:w="928"/>
        <w:gridCol w:w="983"/>
        <w:gridCol w:w="1092"/>
        <w:gridCol w:w="946"/>
        <w:gridCol w:w="991"/>
        <w:gridCol w:w="1092"/>
        <w:gridCol w:w="868"/>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restart"/>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997" w:type="dxa"/>
            <w:vMerge w:val="restart"/>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行业</w:t>
            </w:r>
          </w:p>
        </w:tc>
        <w:tc>
          <w:tcPr>
            <w:tcW w:w="3017" w:type="dxa"/>
            <w:gridSpan w:val="3"/>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大型企业</w:t>
            </w:r>
          </w:p>
        </w:tc>
        <w:tc>
          <w:tcPr>
            <w:tcW w:w="3003" w:type="dxa"/>
            <w:gridSpan w:val="3"/>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中型企业</w:t>
            </w:r>
          </w:p>
        </w:tc>
        <w:tc>
          <w:tcPr>
            <w:tcW w:w="3029" w:type="dxa"/>
            <w:gridSpan w:val="3"/>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小型企业</w:t>
            </w:r>
          </w:p>
        </w:tc>
        <w:tc>
          <w:tcPr>
            <w:tcW w:w="2800" w:type="dxa"/>
            <w:gridSpan w:val="3"/>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微型企业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continue"/>
            <w:noWrap w:val="0"/>
            <w:vAlign w:val="center"/>
          </w:tcPr>
          <w:p>
            <w:pPr>
              <w:spacing w:line="240" w:lineRule="atLeast"/>
              <w:ind w:left="-48" w:leftChars="-23" w:right="-65" w:rightChars="-31"/>
              <w:jc w:val="center"/>
              <w:rPr>
                <w:rFonts w:ascii="宋体" w:hAnsi="宋体" w:cs="宋体"/>
                <w:b/>
                <w:color w:val="auto"/>
                <w:kern w:val="0"/>
                <w:szCs w:val="21"/>
                <w:highlight w:val="none"/>
              </w:rPr>
            </w:pPr>
          </w:p>
        </w:tc>
        <w:tc>
          <w:tcPr>
            <w:tcW w:w="1997" w:type="dxa"/>
            <w:vMerge w:val="continue"/>
            <w:noWrap w:val="0"/>
            <w:vAlign w:val="center"/>
          </w:tcPr>
          <w:p>
            <w:pPr>
              <w:spacing w:line="240" w:lineRule="atLeast"/>
              <w:ind w:left="-48" w:leftChars="-23" w:right="-65" w:rightChars="-31"/>
              <w:jc w:val="left"/>
              <w:rPr>
                <w:rFonts w:ascii="宋体" w:hAnsi="宋体" w:cs="宋体"/>
                <w:b/>
                <w:color w:val="auto"/>
                <w:kern w:val="0"/>
                <w:szCs w:val="21"/>
                <w:highlight w:val="none"/>
              </w:rPr>
            </w:pPr>
          </w:p>
        </w:tc>
        <w:tc>
          <w:tcPr>
            <w:tcW w:w="1181"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营业收入(万元)</w:t>
            </w:r>
          </w:p>
        </w:tc>
        <w:tc>
          <w:tcPr>
            <w:tcW w:w="908"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从业人员(人)</w:t>
            </w:r>
          </w:p>
        </w:tc>
        <w:tc>
          <w:tcPr>
            <w:tcW w:w="928"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总资产(万元)</w:t>
            </w:r>
          </w:p>
        </w:tc>
        <w:tc>
          <w:tcPr>
            <w:tcW w:w="1092"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营业收入(万元)</w:t>
            </w:r>
          </w:p>
        </w:tc>
        <w:tc>
          <w:tcPr>
            <w:tcW w:w="928"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从业人员(人)</w:t>
            </w:r>
          </w:p>
        </w:tc>
        <w:tc>
          <w:tcPr>
            <w:tcW w:w="983"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总资产(万元)</w:t>
            </w:r>
          </w:p>
        </w:tc>
        <w:tc>
          <w:tcPr>
            <w:tcW w:w="1092"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营业收入(万元)</w:t>
            </w:r>
          </w:p>
        </w:tc>
        <w:tc>
          <w:tcPr>
            <w:tcW w:w="946"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从业人员(人)</w:t>
            </w:r>
          </w:p>
        </w:tc>
        <w:tc>
          <w:tcPr>
            <w:tcW w:w="991"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总资产(万元)</w:t>
            </w:r>
          </w:p>
        </w:tc>
        <w:tc>
          <w:tcPr>
            <w:tcW w:w="1092"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营业收入(万元)</w:t>
            </w:r>
          </w:p>
        </w:tc>
        <w:tc>
          <w:tcPr>
            <w:tcW w:w="868"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从业人员(人)</w:t>
            </w:r>
          </w:p>
        </w:tc>
        <w:tc>
          <w:tcPr>
            <w:tcW w:w="840"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农、林、牧、渔业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46" w:type="dxa"/>
            <w:noWrap w:val="0"/>
            <w:vAlign w:val="center"/>
          </w:tcPr>
          <w:p>
            <w:pPr>
              <w:widowControl/>
              <w:spacing w:line="240" w:lineRule="atLeast"/>
              <w:jc w:val="center"/>
              <w:rPr>
                <w:rFonts w:ascii="宋体" w:hAnsi="宋体" w:cs="宋体"/>
                <w:color w:val="auto"/>
                <w:kern w:val="0"/>
                <w:szCs w:val="21"/>
                <w:highlight w:val="none"/>
              </w:rPr>
            </w:pP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68" w:type="dxa"/>
            <w:noWrap w:val="0"/>
            <w:vAlign w:val="center"/>
          </w:tcPr>
          <w:p>
            <w:pPr>
              <w:widowControl/>
              <w:spacing w:line="240" w:lineRule="atLeast"/>
              <w:jc w:val="center"/>
              <w:rPr>
                <w:rFonts w:ascii="宋体" w:hAnsi="宋体" w:cs="宋体"/>
                <w:color w:val="auto"/>
                <w:kern w:val="0"/>
                <w:szCs w:val="21"/>
                <w:highlight w:val="none"/>
              </w:rPr>
            </w:pP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工业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建筑业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3"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0"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批发业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5</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零售业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6</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交通运输业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7</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仓储业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8</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邮政业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9</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住宿业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10</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餐饮业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11</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信息传输业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12</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软件和信息技术服务业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13</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房地产开发经验</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或,≥10000</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83"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且,≥5000</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且,≥2000</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p>
        </w:tc>
        <w:tc>
          <w:tcPr>
            <w:tcW w:w="840"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或,＜2000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14</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物业管理</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0"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15</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租赁和商务服务业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或,≥120000</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且,≥8000</w:t>
            </w:r>
          </w:p>
        </w:tc>
        <w:tc>
          <w:tcPr>
            <w:tcW w:w="1092" w:type="dxa"/>
            <w:noWrap w:val="0"/>
            <w:vAlign w:val="center"/>
          </w:tcPr>
          <w:p>
            <w:pPr>
              <w:widowControl/>
              <w:spacing w:line="240" w:lineRule="atLeast"/>
              <w:jc w:val="center"/>
              <w:rPr>
                <w:rFonts w:ascii="宋体" w:hAnsi="宋体" w:cs="宋体"/>
                <w:color w:val="auto"/>
                <w:kern w:val="0"/>
                <w:szCs w:val="21"/>
                <w:highlight w:val="none"/>
              </w:rPr>
            </w:pP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且,≥100</w:t>
            </w:r>
          </w:p>
        </w:tc>
        <w:tc>
          <w:tcPr>
            <w:tcW w:w="1092" w:type="dxa"/>
            <w:noWrap w:val="0"/>
            <w:vAlign w:val="center"/>
          </w:tcPr>
          <w:p>
            <w:pPr>
              <w:widowControl/>
              <w:spacing w:line="240" w:lineRule="atLeast"/>
              <w:jc w:val="center"/>
              <w:rPr>
                <w:rFonts w:ascii="宋体" w:hAnsi="宋体" w:cs="宋体"/>
                <w:color w:val="auto"/>
                <w:kern w:val="0"/>
                <w:szCs w:val="21"/>
                <w:highlight w:val="none"/>
              </w:rPr>
            </w:pP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或,＜100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16</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其他未列明行业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jc w:val="center"/>
              <w:rPr>
                <w:rFonts w:ascii="宋体" w:hAnsi="宋体" w:cs="宋体"/>
                <w:color w:val="auto"/>
                <w:kern w:val="0"/>
                <w:szCs w:val="21"/>
                <w:highlight w:val="none"/>
              </w:rPr>
            </w:pP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bl>
    <w:p>
      <w:pPr>
        <w:rPr>
          <w:color w:val="auto"/>
          <w:highlight w:val="none"/>
        </w:rPr>
        <w:sectPr>
          <w:footerReference r:id="rId11" w:type="default"/>
          <w:pgSz w:w="16838" w:h="11906" w:orient="landscape"/>
          <w:pgMar w:top="1191" w:right="1134" w:bottom="1191"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45" w:name="_Toc494665954"/>
      <w:bookmarkStart w:id="146" w:name="_Toc494665557"/>
      <w:bookmarkStart w:id="147" w:name="_Toc494745321"/>
      <w:bookmarkStart w:id="148" w:name="_Toc494665004"/>
      <w:bookmarkStart w:id="149" w:name="_Toc511894532"/>
      <w:bookmarkStart w:id="150" w:name="_Toc494702274"/>
      <w:bookmarkStart w:id="151" w:name="_Toc494721104"/>
      <w:bookmarkStart w:id="152" w:name="_Toc172"/>
      <w:bookmarkStart w:id="153" w:name="_Toc31793"/>
      <w:r>
        <w:rPr>
          <w:rFonts w:hint="eastAsia" w:ascii="宋体" w:hAnsi="宋体" w:cs="Times New Roman"/>
          <w:bCs w:val="0"/>
          <w:color w:val="auto"/>
          <w:highlight w:val="none"/>
        </w:rPr>
        <w:t>残疾人福利性单位声明函</w:t>
      </w:r>
      <w:bookmarkEnd w:id="145"/>
      <w:bookmarkEnd w:id="146"/>
      <w:bookmarkEnd w:id="147"/>
      <w:bookmarkEnd w:id="148"/>
      <w:bookmarkEnd w:id="149"/>
      <w:bookmarkEnd w:id="150"/>
      <w:bookmarkEnd w:id="151"/>
      <w:r>
        <w:rPr>
          <w:rFonts w:hint="eastAsia" w:ascii="宋体" w:hAnsi="宋体" w:cs="Times New Roman"/>
          <w:bCs w:val="0"/>
          <w:color w:val="auto"/>
          <w:highlight w:val="none"/>
        </w:rPr>
        <w:t>（适用于货物类项目）</w:t>
      </w:r>
      <w:bookmarkEnd w:id="152"/>
      <w:bookmarkEnd w:id="153"/>
    </w:p>
    <w:p>
      <w:pPr>
        <w:jc w:val="center"/>
        <w:rPr>
          <w:rFonts w:ascii="宋体" w:hAnsi="宋体"/>
          <w:b/>
          <w:color w:val="auto"/>
          <w:sz w:val="30"/>
          <w:szCs w:val="30"/>
          <w:highlight w:val="none"/>
        </w:rPr>
      </w:pPr>
      <w:r>
        <w:rPr>
          <w:rFonts w:hint="eastAsia" w:ascii="宋体" w:hAnsi="宋体"/>
          <w:b/>
          <w:color w:val="auto"/>
          <w:sz w:val="30"/>
          <w:szCs w:val="30"/>
          <w:highlight w:val="none"/>
        </w:rPr>
        <w:t>残疾人福利性单位声明函</w:t>
      </w:r>
    </w:p>
    <w:p>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（适用于货物类项目）</w:t>
      </w:r>
    </w:p>
    <w:p>
      <w:pPr>
        <w:spacing w:line="360" w:lineRule="auto"/>
        <w:rPr>
          <w:rFonts w:ascii="宋体" w:hAnsi="宋体" w:cs="Courier New"/>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Courier New"/>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本单位郑重声明，根据《财政部 民政部 中国残疾人联合会关于促进残疾人就业政府采购政策的通知》（财库〔2017〕141号）的规定，本单位为符合条件的残疾人福利性单位（详见“残疾人福利性单位应当满足的条件”）。</w:t>
      </w:r>
    </w:p>
    <w:p>
      <w:pPr>
        <w:numPr>
          <w:ilvl w:val="0"/>
          <w:numId w:val="45"/>
        </w:numPr>
        <w:tabs>
          <w:tab w:val="left" w:pos="854"/>
        </w:tabs>
        <w:autoSpaceDE w:val="0"/>
        <w:autoSpaceDN w:val="0"/>
        <w:adjustRightInd w:val="0"/>
        <w:spacing w:line="360" w:lineRule="auto"/>
        <w:ind w:left="0" w:firstLine="480" w:firstLineChars="200"/>
        <w:rPr>
          <w:rFonts w:ascii="宋体" w:hAnsi="宋体" w:cs="Courier New"/>
          <w:color w:val="auto"/>
          <w:sz w:val="24"/>
          <w:szCs w:val="21"/>
          <w:highlight w:val="none"/>
        </w:rPr>
      </w:pPr>
      <w:r>
        <w:rPr>
          <w:rFonts w:hint="eastAsia" w:ascii="宋体" w:hAnsi="宋体" w:cs="Courier New"/>
          <w:color w:val="auto"/>
          <w:sz w:val="24"/>
          <w:szCs w:val="21"/>
          <w:highlight w:val="none"/>
        </w:rPr>
        <w:t>本单位授权</w:t>
      </w:r>
      <w:r>
        <w:rPr>
          <w:rFonts w:hint="eastAsia" w:ascii="宋体" w:hAnsi="宋体" w:cs="Courier New"/>
          <w:color w:val="auto"/>
          <w:sz w:val="24"/>
          <w:szCs w:val="21"/>
          <w:highlight w:val="none"/>
          <w:u w:val="single"/>
        </w:rPr>
        <w:t xml:space="preserve"> （投标人） </w:t>
      </w:r>
      <w:r>
        <w:rPr>
          <w:rFonts w:hint="eastAsia" w:ascii="宋体" w:hAnsi="宋体" w:cs="Courier New"/>
          <w:color w:val="auto"/>
          <w:sz w:val="24"/>
          <w:szCs w:val="21"/>
          <w:highlight w:val="none"/>
        </w:rPr>
        <w:t>参加</w:t>
      </w:r>
      <w:r>
        <w:rPr>
          <w:rFonts w:hint="eastAsia" w:ascii="宋体" w:hAnsi="宋体" w:cs="Courier New"/>
          <w:color w:val="auto"/>
          <w:sz w:val="24"/>
          <w:szCs w:val="21"/>
          <w:highlight w:val="none"/>
          <w:u w:val="single"/>
        </w:rPr>
        <w:t xml:space="preserve"> （采购人） </w:t>
      </w:r>
      <w:r>
        <w:rPr>
          <w:rFonts w:hint="eastAsia" w:ascii="宋体" w:hAnsi="宋体" w:cs="Courier New"/>
          <w:color w:val="auto"/>
          <w:sz w:val="24"/>
          <w:szCs w:val="21"/>
          <w:highlight w:val="none"/>
        </w:rPr>
        <w:t>的</w:t>
      </w:r>
      <w:r>
        <w:rPr>
          <w:rFonts w:hint="eastAsia" w:ascii="宋体" w:hAnsi="宋体" w:cs="Times New Roman"/>
          <w:color w:val="auto"/>
          <w:sz w:val="24"/>
          <w:szCs w:val="21"/>
          <w:highlight w:val="none"/>
          <w:u w:val="single"/>
        </w:rPr>
        <w:t xml:space="preserve">     </w:t>
      </w:r>
      <w:r>
        <w:rPr>
          <w:rFonts w:hint="eastAsia" w:ascii="宋体" w:hAnsi="宋体" w:cs="Courier New"/>
          <w:color w:val="auto"/>
          <w:sz w:val="24"/>
          <w:szCs w:val="21"/>
          <w:highlight w:val="none"/>
        </w:rPr>
        <w:t>项目（项目编号：</w:t>
      </w:r>
      <w:r>
        <w:rPr>
          <w:rFonts w:hint="eastAsia" w:ascii="宋体" w:hAnsi="宋体" w:cs="Times New Roman"/>
          <w:color w:val="auto"/>
          <w:sz w:val="24"/>
          <w:szCs w:val="21"/>
          <w:highlight w:val="none"/>
          <w:u w:val="single"/>
        </w:rPr>
        <w:t xml:space="preserve">     </w:t>
      </w:r>
      <w:r>
        <w:rPr>
          <w:rFonts w:hint="eastAsia" w:ascii="宋体" w:hAnsi="宋体" w:cs="Courier New"/>
          <w:color w:val="auto"/>
          <w:sz w:val="24"/>
          <w:szCs w:val="21"/>
          <w:highlight w:val="none"/>
        </w:rPr>
        <w:t>）采购活动提供本单位制造的货物。本条所称货物不包括使用非残疾人福利性单位注册商标的货物。</w:t>
      </w:r>
    </w:p>
    <w:p>
      <w:pPr>
        <w:numPr>
          <w:ilvl w:val="0"/>
          <w:numId w:val="45"/>
        </w:numPr>
        <w:tabs>
          <w:tab w:val="left" w:pos="854"/>
        </w:tabs>
        <w:autoSpaceDE w:val="0"/>
        <w:autoSpaceDN w:val="0"/>
        <w:adjustRightInd w:val="0"/>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rPr>
        <w:t>由本单位制造的货物清单见下表：</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2414"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1224"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品牌规格型号</w:t>
            </w:r>
          </w:p>
        </w:tc>
        <w:tc>
          <w:tcPr>
            <w:tcW w:w="907"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278"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1843"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分项合计(元)</w:t>
            </w:r>
          </w:p>
        </w:tc>
        <w:tc>
          <w:tcPr>
            <w:tcW w:w="1228"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noWrap w:val="0"/>
            <w:vAlign w:val="center"/>
          </w:tcPr>
          <w:p>
            <w:pPr>
              <w:numPr>
                <w:ilvl w:val="0"/>
                <w:numId w:val="46"/>
              </w:numPr>
              <w:tabs>
                <w:tab w:val="left" w:pos="61"/>
              </w:tabs>
              <w:adjustRightInd w:val="0"/>
              <w:snapToGrid w:val="0"/>
              <w:ind w:left="-63" w:leftChars="-30" w:firstLine="0"/>
              <w:jc w:val="center"/>
              <w:rPr>
                <w:rFonts w:ascii="宋体" w:hAnsi="宋体"/>
                <w:color w:val="auto"/>
                <w:sz w:val="24"/>
                <w:highlight w:val="none"/>
              </w:rPr>
            </w:pPr>
          </w:p>
        </w:tc>
        <w:tc>
          <w:tcPr>
            <w:tcW w:w="241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noWrap w:val="0"/>
            <w:vAlign w:val="center"/>
          </w:tcPr>
          <w:p>
            <w:pPr>
              <w:spacing w:line="240" w:lineRule="atLeast"/>
              <w:ind w:left="-48" w:leftChars="-23" w:right="-376" w:rightChars="-179"/>
              <w:jc w:val="center"/>
              <w:rPr>
                <w:rFonts w:ascii="宋体" w:hAnsi="宋体" w:cs="宋体"/>
                <w:color w:val="auto"/>
                <w:kern w:val="0"/>
                <w:sz w:val="24"/>
                <w:szCs w:val="24"/>
                <w:highlight w:val="none"/>
              </w:rPr>
            </w:pPr>
          </w:p>
        </w:tc>
        <w:tc>
          <w:tcPr>
            <w:tcW w:w="127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noWrap w:val="0"/>
            <w:vAlign w:val="center"/>
          </w:tcPr>
          <w:p>
            <w:pPr>
              <w:numPr>
                <w:ilvl w:val="0"/>
                <w:numId w:val="46"/>
              </w:numPr>
              <w:tabs>
                <w:tab w:val="left" w:pos="61"/>
              </w:tabs>
              <w:adjustRightInd w:val="0"/>
              <w:snapToGrid w:val="0"/>
              <w:ind w:left="-63" w:leftChars="-30" w:firstLine="0"/>
              <w:jc w:val="center"/>
              <w:rPr>
                <w:rFonts w:ascii="宋体" w:hAnsi="宋体"/>
                <w:color w:val="auto"/>
                <w:sz w:val="24"/>
                <w:highlight w:val="none"/>
              </w:rPr>
            </w:pPr>
          </w:p>
        </w:tc>
        <w:tc>
          <w:tcPr>
            <w:tcW w:w="241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27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noWrap w:val="0"/>
            <w:vAlign w:val="center"/>
          </w:tcPr>
          <w:p>
            <w:pPr>
              <w:tabs>
                <w:tab w:val="left" w:pos="82"/>
              </w:tabs>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241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27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6475" w:type="dxa"/>
            <w:gridSpan w:val="5"/>
            <w:noWrap w:val="0"/>
            <w:vAlign w:val="center"/>
          </w:tcPr>
          <w:p>
            <w:pPr>
              <w:spacing w:line="240" w:lineRule="atLeast"/>
              <w:ind w:left="-48" w:leftChars="-23" w:right="-65" w:rightChars="-3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3071" w:type="dxa"/>
            <w:gridSpan w:val="2"/>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r>
    </w:tbl>
    <w:p>
      <w:pPr>
        <w:spacing w:line="360" w:lineRule="auto"/>
        <w:ind w:firstLine="475" w:firstLineChars="198"/>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本单位对上述声明的真实性负责。如有虚假，将依法承担相应责任。</w:t>
      </w:r>
    </w:p>
    <w:p>
      <w:pPr>
        <w:spacing w:line="360" w:lineRule="auto"/>
        <w:rPr>
          <w:rFonts w:ascii="宋体" w:hAnsi="宋体" w:cs="Times New Roman"/>
          <w:bCs/>
          <w:color w:val="auto"/>
          <w:sz w:val="24"/>
          <w:szCs w:val="24"/>
          <w:highlight w:val="none"/>
        </w:rPr>
      </w:pPr>
    </w:p>
    <w:p>
      <w:pPr>
        <w:spacing w:line="360" w:lineRule="auto"/>
        <w:ind w:left="1091" w:hanging="1091" w:hangingChars="453"/>
        <w:jc w:val="left"/>
        <w:rPr>
          <w:rFonts w:ascii="宋体" w:hAnsi="宋体" w:cs="Corbel"/>
          <w:color w:val="auto"/>
          <w:sz w:val="24"/>
          <w:szCs w:val="21"/>
          <w:highlight w:val="none"/>
        </w:rPr>
      </w:pPr>
      <w:r>
        <w:rPr>
          <w:rFonts w:hint="eastAsia" w:ascii="宋体" w:hAnsi="宋体" w:cs="Times New Roman"/>
          <w:b/>
          <w:color w:val="auto"/>
          <w:sz w:val="24"/>
          <w:szCs w:val="21"/>
          <w:highlight w:val="none"/>
        </w:rPr>
        <w:t>说明</w:t>
      </w:r>
      <w:r>
        <w:rPr>
          <w:rFonts w:hint="eastAsia" w:ascii="宋体" w:hAnsi="宋体" w:cs="Times New Roman"/>
          <w:b/>
          <w:bCs/>
          <w:color w:val="auto"/>
          <w:sz w:val="24"/>
          <w:szCs w:val="24"/>
          <w:highlight w:val="none"/>
        </w:rPr>
        <w:t>：</w:t>
      </w:r>
      <w:r>
        <w:rPr>
          <w:rFonts w:hint="eastAsia" w:ascii="宋体" w:hAnsi="宋体" w:cs="Corbel"/>
          <w:color w:val="auto"/>
          <w:sz w:val="24"/>
          <w:szCs w:val="21"/>
          <w:highlight w:val="none"/>
        </w:rPr>
        <w:t>1、投标人所投货物为自己制造的，也应按本声明函格式填写。</w:t>
      </w:r>
    </w:p>
    <w:p>
      <w:pPr>
        <w:spacing w:line="360" w:lineRule="auto"/>
        <w:ind w:left="1105" w:leftChars="366" w:hanging="336" w:hangingChars="140"/>
        <w:jc w:val="left"/>
        <w:rPr>
          <w:rFonts w:ascii="宋体" w:hAnsi="宋体" w:cs="Courier New"/>
          <w:color w:val="auto"/>
          <w:sz w:val="24"/>
          <w:szCs w:val="21"/>
          <w:highlight w:val="none"/>
        </w:rPr>
      </w:pPr>
      <w:r>
        <w:rPr>
          <w:rFonts w:hint="eastAsia" w:ascii="宋体" w:hAnsi="宋体" w:cs="Courier New"/>
          <w:color w:val="auto"/>
          <w:sz w:val="24"/>
          <w:szCs w:val="21"/>
          <w:highlight w:val="none"/>
        </w:rPr>
        <w:t>2、组成联合体的大中型企业和其他自然人、法人或者其他组织，与残疾人福利性单位之间不得存在投资关系。</w:t>
      </w:r>
    </w:p>
    <w:p>
      <w:pPr>
        <w:spacing w:line="360" w:lineRule="auto"/>
        <w:ind w:left="1105" w:leftChars="366" w:hanging="336" w:hangingChars="140"/>
        <w:jc w:val="left"/>
        <w:rPr>
          <w:rFonts w:ascii="宋体" w:hAnsi="宋体" w:cs="Courier New"/>
          <w:color w:val="auto"/>
          <w:sz w:val="24"/>
          <w:szCs w:val="21"/>
          <w:highlight w:val="none"/>
        </w:rPr>
      </w:pPr>
      <w:r>
        <w:rPr>
          <w:rFonts w:hint="eastAsia" w:ascii="宋体" w:hAnsi="宋体" w:cs="Courier New"/>
          <w:color w:val="auto"/>
          <w:sz w:val="24"/>
          <w:szCs w:val="21"/>
          <w:highlight w:val="none"/>
        </w:rPr>
        <w:t>3、以联合体方式参与项目投标的供应商，应由联合体双方签字盖章。</w:t>
      </w:r>
    </w:p>
    <w:p>
      <w:pPr>
        <w:spacing w:before="100" w:beforeAutospacing="1" w:after="100" w:afterAutospacing="1" w:line="360" w:lineRule="auto"/>
        <w:ind w:firstLine="3330" w:firstLineChars="1382"/>
        <w:rPr>
          <w:rFonts w:ascii="宋体" w:hAnsi="宋体" w:cs="Times New Roman"/>
          <w:b/>
          <w:bCs/>
          <w:color w:val="auto"/>
          <w:sz w:val="24"/>
          <w:szCs w:val="21"/>
          <w:highlight w:val="none"/>
        </w:rPr>
      </w:pPr>
      <w:r>
        <w:rPr>
          <w:rFonts w:hint="eastAsia" w:ascii="宋体" w:hAnsi="宋体" w:cs="Times New Roman"/>
          <w:b/>
          <w:bCs/>
          <w:color w:val="auto"/>
          <w:sz w:val="24"/>
          <w:szCs w:val="21"/>
          <w:highlight w:val="none"/>
        </w:rPr>
        <w:t>制造商（公章）：</w:t>
      </w:r>
      <w:r>
        <w:rPr>
          <w:rFonts w:hint="eastAsia" w:ascii="宋体" w:hAnsi="宋体" w:cs="Times New Roman"/>
          <w:b/>
          <w:bCs/>
          <w:color w:val="auto"/>
          <w:sz w:val="24"/>
          <w:szCs w:val="21"/>
          <w:highlight w:val="none"/>
          <w:u w:val="single"/>
        </w:rPr>
        <w:t xml:space="preserve">                           </w:t>
      </w:r>
    </w:p>
    <w:p>
      <w:pPr>
        <w:spacing w:before="100" w:beforeAutospacing="1" w:after="100" w:afterAutospacing="1" w:line="360" w:lineRule="auto"/>
        <w:ind w:firstLine="3330" w:firstLineChars="1382"/>
        <w:rPr>
          <w:rFonts w:ascii="宋体" w:hAnsi="宋体" w:cs="Times New Roman"/>
          <w:bCs/>
          <w:color w:val="auto"/>
          <w:sz w:val="24"/>
          <w:szCs w:val="21"/>
          <w:highlight w:val="none"/>
        </w:rPr>
      </w:pPr>
      <w:r>
        <w:rPr>
          <w:rFonts w:hint="eastAsia" w:ascii="宋体" w:hAnsi="宋体" w:cs="Times New Roman"/>
          <w:b/>
          <w:bCs/>
          <w:color w:val="auto"/>
          <w:sz w:val="24"/>
          <w:szCs w:val="21"/>
          <w:highlight w:val="none"/>
        </w:rPr>
        <w:t>制造商法定代表人（</w:t>
      </w:r>
      <w:r>
        <w:rPr>
          <w:rFonts w:hint="eastAsia" w:ascii="宋体" w:hAnsi="宋体" w:cs="Times New Roman"/>
          <w:b/>
          <w:color w:val="auto"/>
          <w:sz w:val="24"/>
          <w:szCs w:val="21"/>
          <w:highlight w:val="none"/>
        </w:rPr>
        <w:t>签字或盖章</w:t>
      </w:r>
      <w:r>
        <w:rPr>
          <w:rFonts w:hint="eastAsia" w:ascii="宋体" w:hAnsi="宋体" w:cs="Times New Roman"/>
          <w:b/>
          <w:bCs/>
          <w:color w:val="auto"/>
          <w:sz w:val="24"/>
          <w:szCs w:val="21"/>
          <w:highlight w:val="none"/>
        </w:rPr>
        <w:t>）</w:t>
      </w:r>
      <w:r>
        <w:rPr>
          <w:rFonts w:hint="eastAsia" w:ascii="宋体" w:hAnsi="宋体" w:cs="Times New Roman"/>
          <w:bCs/>
          <w:color w:val="auto"/>
          <w:sz w:val="24"/>
          <w:szCs w:val="21"/>
          <w:highlight w:val="none"/>
        </w:rPr>
        <w:t>：</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color w:val="auto"/>
          <w:highlight w:val="none"/>
        </w:rPr>
      </w:pPr>
      <w:r>
        <w:rPr>
          <w:rFonts w:hint="eastAsia" w:hAnsi="宋体" w:cs="Times New Roman"/>
          <w:color w:val="auto"/>
          <w:sz w:val="24"/>
          <w:szCs w:val="24"/>
          <w:highlight w:val="none"/>
        </w:rPr>
        <w:t>日   期：</w:t>
      </w:r>
      <w:r>
        <w:rPr>
          <w:rFonts w:hint="eastAsia" w:hAnsi="宋体" w:cs="Times New Roman"/>
          <w:bCs/>
          <w:color w:val="auto"/>
          <w:sz w:val="24"/>
          <w:szCs w:val="24"/>
          <w:highlight w:val="none"/>
          <w:u w:val="single"/>
        </w:rPr>
        <w:t xml:space="preserve">                                </w:t>
      </w: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sectPr>
          <w:footerReference r:id="rId12" w:type="default"/>
          <w:pgSz w:w="11906" w:h="16838"/>
          <w:pgMar w:top="1134" w:right="1191" w:bottom="1134" w:left="1191" w:header="851" w:footer="907"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154" w:name="_Toc3648"/>
      <w:bookmarkStart w:id="155" w:name="_Toc14138"/>
      <w:r>
        <w:rPr>
          <w:rFonts w:hint="eastAsia" w:ascii="宋体" w:hAnsi="宋体" w:cs="Times New Roman"/>
          <w:bCs w:val="0"/>
          <w:color w:val="auto"/>
          <w:highlight w:val="none"/>
        </w:rPr>
        <w:t>残疾人福利性单位声明函（适用于工程类、服务类项目）</w:t>
      </w:r>
      <w:bookmarkEnd w:id="154"/>
      <w:bookmarkEnd w:id="155"/>
    </w:p>
    <w:p>
      <w:pPr>
        <w:jc w:val="center"/>
        <w:rPr>
          <w:rFonts w:ascii="宋体" w:hAnsi="宋体"/>
          <w:b/>
          <w:color w:val="auto"/>
          <w:sz w:val="30"/>
          <w:szCs w:val="30"/>
          <w:highlight w:val="none"/>
        </w:rPr>
      </w:pPr>
      <w:r>
        <w:rPr>
          <w:rFonts w:hint="eastAsia" w:ascii="宋体" w:hAnsi="宋体"/>
          <w:b/>
          <w:color w:val="auto"/>
          <w:sz w:val="30"/>
          <w:szCs w:val="30"/>
          <w:highlight w:val="none"/>
        </w:rPr>
        <w:t>残疾人福利性单位声明函</w:t>
      </w:r>
    </w:p>
    <w:p>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（适用于工程类、服务类项目）</w:t>
      </w: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本单位郑重声明，根据《财政部 民政部 中国残疾人联合会关于促进残疾人就业政府采购政策的通知》（财库〔2017〕141号）的规定，本单位为符合条件的残疾人福利性单位（详见“残疾人福利性单位应当满足的条件”），且本单位参加</w:t>
      </w:r>
      <w:r>
        <w:rPr>
          <w:rFonts w:hint="eastAsia" w:ascii="宋体" w:hAnsi="宋体" w:cs="Times New Roman"/>
          <w:color w:val="auto"/>
          <w:sz w:val="24"/>
          <w:szCs w:val="24"/>
          <w:highlight w:val="none"/>
          <w:u w:val="single"/>
        </w:rPr>
        <w:t xml:space="preserve">  （采购人） </w:t>
      </w:r>
      <w:r>
        <w:rPr>
          <w:rFonts w:hint="eastAsia" w:ascii="宋体" w:hAnsi="宋体" w:cs="Times New Roman"/>
          <w:color w:val="auto"/>
          <w:sz w:val="24"/>
          <w:szCs w:val="24"/>
          <w:highlight w:val="none"/>
        </w:rPr>
        <w:t>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项目（项目编号：______）采购活动由本单位承担工程（或提供服务）。</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本单位对上述声明的真实性负责。如有虚假，将依法承担相应责任。</w:t>
      </w:r>
    </w:p>
    <w:p>
      <w:pPr>
        <w:spacing w:line="360" w:lineRule="auto"/>
        <w:rPr>
          <w:rFonts w:ascii="宋体" w:hAnsi="宋体" w:cs="Times New Roman"/>
          <w:color w:val="auto"/>
          <w:sz w:val="24"/>
          <w:szCs w:val="24"/>
          <w:highlight w:val="none"/>
        </w:rPr>
      </w:pPr>
    </w:p>
    <w:p>
      <w:pPr>
        <w:spacing w:line="360" w:lineRule="auto"/>
        <w:ind w:left="1091" w:hanging="1087" w:hangingChars="453"/>
        <w:jc w:val="left"/>
        <w:rPr>
          <w:rFonts w:ascii="宋体" w:hAnsi="宋体" w:cs="Courier New"/>
          <w:color w:val="auto"/>
          <w:sz w:val="24"/>
          <w:szCs w:val="21"/>
          <w:highlight w:val="none"/>
        </w:rPr>
      </w:pPr>
      <w:r>
        <w:rPr>
          <w:rFonts w:hint="eastAsia" w:ascii="宋体" w:hAnsi="宋体" w:cs="Courier New"/>
          <w:b/>
          <w:color w:val="auto"/>
          <w:sz w:val="24"/>
          <w:szCs w:val="21"/>
          <w:highlight w:val="none"/>
        </w:rPr>
        <w:t>说明：</w:t>
      </w:r>
      <w:r>
        <w:rPr>
          <w:rFonts w:hint="eastAsia" w:ascii="宋体" w:hAnsi="宋体" w:cs="Courier New"/>
          <w:color w:val="auto"/>
          <w:sz w:val="24"/>
          <w:szCs w:val="21"/>
          <w:highlight w:val="none"/>
        </w:rPr>
        <w:t>1、组成联合体的大中型企业和其他自然人、法人或者其他组织，与残疾人福利性单位之间不得存在投资关系。</w:t>
      </w:r>
    </w:p>
    <w:p>
      <w:pPr>
        <w:spacing w:line="360" w:lineRule="auto"/>
        <w:ind w:left="1104" w:leftChars="347" w:hanging="376" w:hangingChars="157"/>
        <w:jc w:val="left"/>
        <w:rPr>
          <w:rFonts w:ascii="宋体" w:hAnsi="宋体" w:cs="Courier New"/>
          <w:color w:val="auto"/>
          <w:sz w:val="24"/>
          <w:szCs w:val="21"/>
          <w:highlight w:val="none"/>
        </w:rPr>
      </w:pPr>
      <w:r>
        <w:rPr>
          <w:rFonts w:hint="eastAsia" w:ascii="宋体" w:hAnsi="宋体" w:cs="Courier New"/>
          <w:color w:val="auto"/>
          <w:sz w:val="24"/>
          <w:szCs w:val="21"/>
          <w:highlight w:val="none"/>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
          <w:bCs/>
          <w:color w:val="auto"/>
          <w:sz w:val="24"/>
          <w:szCs w:val="21"/>
          <w:highlight w:val="none"/>
        </w:rPr>
      </w:pPr>
      <w:r>
        <w:rPr>
          <w:rFonts w:hint="eastAsia" w:ascii="宋体" w:hAnsi="宋体" w:cs="Times New Roman"/>
          <w:b/>
          <w:bCs/>
          <w:color w:val="auto"/>
          <w:sz w:val="24"/>
          <w:szCs w:val="21"/>
          <w:highlight w:val="none"/>
        </w:rPr>
        <w:t>制造商（公章）：</w:t>
      </w:r>
      <w:r>
        <w:rPr>
          <w:rFonts w:hint="eastAsia" w:ascii="宋体" w:hAnsi="宋体" w:cs="Times New Roman"/>
          <w:b/>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hAnsi="宋体" w:cs="Times New Roman"/>
          <w:color w:val="auto"/>
          <w:sz w:val="24"/>
          <w:szCs w:val="24"/>
          <w:highlight w:val="none"/>
        </w:rPr>
        <w:t>日   期：</w:t>
      </w:r>
      <w:r>
        <w:rPr>
          <w:rFonts w:hint="eastAsia" w:hAnsi="宋体" w:cs="Times New Roman"/>
          <w:bCs/>
          <w:color w:val="auto"/>
          <w:sz w:val="24"/>
          <w:szCs w:val="24"/>
          <w:highlight w:val="none"/>
          <w:u w:val="single"/>
        </w:rPr>
        <w:t xml:space="preserve">                                </w:t>
      </w: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56" w:name="_Toc31384"/>
      <w:bookmarkStart w:id="157" w:name="_Toc8402"/>
      <w:r>
        <w:rPr>
          <w:rFonts w:hint="eastAsia" w:ascii="宋体" w:hAnsi="宋体" w:cs="Times New Roman"/>
          <w:bCs w:val="0"/>
          <w:color w:val="auto"/>
          <w:highlight w:val="none"/>
        </w:rPr>
        <w:t>享受政府采购支持政策的残疾人福利性单位的标准</w:t>
      </w:r>
      <w:bookmarkEnd w:id="156"/>
      <w:bookmarkEnd w:id="157"/>
    </w:p>
    <w:p>
      <w:pPr>
        <w:spacing w:before="312" w:beforeLines="100" w:after="312" w:afterLines="100"/>
        <w:jc w:val="left"/>
        <w:rPr>
          <w:rFonts w:ascii="宋体" w:hAnsi="宋体"/>
          <w:b/>
          <w:color w:val="auto"/>
          <w:sz w:val="24"/>
          <w:szCs w:val="24"/>
          <w:highlight w:val="none"/>
        </w:rPr>
      </w:pPr>
      <w:r>
        <w:rPr>
          <w:rFonts w:hint="eastAsia" w:ascii="宋体" w:hAnsi="宋体"/>
          <w:b/>
          <w:color w:val="auto"/>
          <w:sz w:val="24"/>
          <w:szCs w:val="24"/>
          <w:highlight w:val="none"/>
        </w:rPr>
        <w:t>享受政府采购支持政策的残疾人福利性单位应当同时满足以下条件：</w:t>
      </w:r>
    </w:p>
    <w:p>
      <w:pPr>
        <w:pStyle w:val="15"/>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安置的残疾人占本单位在职职工人数的比例不低于25%（含25%），并且安置的残疾人人数不少于10人（含10人）；</w:t>
      </w:r>
    </w:p>
    <w:p>
      <w:pPr>
        <w:pStyle w:val="15"/>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依法与安置的每位残疾人签订了一年以上（含一年）的劳动合同或服务协议；</w:t>
      </w:r>
    </w:p>
    <w:p>
      <w:pPr>
        <w:pStyle w:val="15"/>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为安置的每位残疾人按月足额缴纳了基本养老保险、基本医疗保险、失业保险、工伤保险和生育保险等社会保险费；</w:t>
      </w:r>
    </w:p>
    <w:p>
      <w:pPr>
        <w:pStyle w:val="15"/>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通过银行等金融机构向安置的每位残疾人，按月支付了不低于单位所在区县适用的经省级人民政府批准的月最低工资标准的工资；</w:t>
      </w:r>
    </w:p>
    <w:p>
      <w:pPr>
        <w:pStyle w:val="15"/>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color w:val="auto"/>
          <w:highlight w:val="none"/>
        </w:rPr>
      </w:pPr>
      <w:r>
        <w:rPr>
          <w:rFonts w:hint="eastAsia" w:ascii="宋体" w:hAnsi="宋体" w:cs="Times New Roman"/>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auto"/>
          <w:highlight w:val="none"/>
        </w:rPr>
      </w:pP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680" w:footer="850"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158" w:name="_Toc511895474"/>
      <w:bookmarkStart w:id="159" w:name="_Toc26749"/>
      <w:bookmarkStart w:id="160" w:name="_Toc511894533"/>
      <w:bookmarkStart w:id="161" w:name="_Toc21355"/>
      <w:r>
        <w:rPr>
          <w:rFonts w:hint="eastAsia" w:ascii="宋体" w:hAnsi="宋体" w:cs="Times New Roman"/>
          <w:bCs w:val="0"/>
          <w:color w:val="auto"/>
          <w:highlight w:val="none"/>
        </w:rPr>
        <w:t>开标一览表</w:t>
      </w:r>
      <w:bookmarkEnd w:id="158"/>
      <w:bookmarkEnd w:id="159"/>
      <w:bookmarkEnd w:id="160"/>
      <w:bookmarkEnd w:id="161"/>
    </w:p>
    <w:p>
      <w:pPr>
        <w:spacing w:line="360" w:lineRule="auto"/>
        <w:jc w:val="left"/>
        <w:rPr>
          <w:rFonts w:ascii="宋体" w:hAnsi="宋体" w:cs="Times New Roman"/>
          <w:b/>
          <w:color w:val="auto"/>
          <w:sz w:val="24"/>
          <w:szCs w:val="21"/>
          <w:highlight w:val="none"/>
          <w:u w:val="single"/>
        </w:rPr>
      </w:pPr>
      <w:r>
        <w:rPr>
          <w:rFonts w:hint="eastAsia" w:ascii="宋体" w:hAnsi="宋体" w:cs="Times New Roman"/>
          <w:b/>
          <w:color w:val="auto"/>
          <w:sz w:val="24"/>
          <w:szCs w:val="21"/>
          <w:highlight w:val="none"/>
        </w:rPr>
        <w:t>投 标 人：</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color w:val="auto"/>
          <w:sz w:val="24"/>
          <w:szCs w:val="21"/>
          <w:highlight w:val="none"/>
        </w:rPr>
      </w:pPr>
      <w:r>
        <w:rPr>
          <w:rFonts w:hint="eastAsia" w:ascii="宋体" w:hAnsi="宋体" w:cs="Times New Roman"/>
          <w:b/>
          <w:color w:val="auto"/>
          <w:sz w:val="24"/>
          <w:szCs w:val="21"/>
          <w:highlight w:val="none"/>
        </w:rPr>
        <w:t>项目名称：</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bCs/>
          <w:color w:val="auto"/>
          <w:sz w:val="24"/>
          <w:szCs w:val="21"/>
          <w:highlight w:val="none"/>
          <w:u w:val="singl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tcBorders>
              <w:top w:val="double" w:color="auto" w:sz="4" w:space="0"/>
              <w:bottom w:val="single" w:color="auto" w:sz="2" w:space="0"/>
            </w:tcBorders>
            <w:shd w:val="pct10" w:color="C4BC96" w:fill="DDD9C3"/>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1913"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3022"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品牌、型号</w:t>
            </w:r>
          </w:p>
        </w:tc>
        <w:tc>
          <w:tcPr>
            <w:tcW w:w="1119"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134"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1708"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tcBorders>
              <w:top w:val="single" w:color="auto" w:sz="2" w:space="0"/>
            </w:tcBorders>
            <w:noWrap w:val="0"/>
            <w:vAlign w:val="center"/>
          </w:tcPr>
          <w:p>
            <w:pPr>
              <w:numPr>
                <w:ilvl w:val="0"/>
                <w:numId w:val="49"/>
              </w:numPr>
              <w:tabs>
                <w:tab w:val="left" w:pos="61"/>
              </w:tabs>
              <w:adjustRightInd w:val="0"/>
              <w:snapToGrid w:val="0"/>
              <w:ind w:left="-63" w:leftChars="-30" w:firstLine="0"/>
              <w:jc w:val="center"/>
              <w:rPr>
                <w:rFonts w:ascii="宋体" w:hAnsi="宋体"/>
                <w:color w:val="auto"/>
                <w:sz w:val="24"/>
                <w:highlight w:val="none"/>
              </w:rPr>
            </w:pPr>
          </w:p>
        </w:tc>
        <w:tc>
          <w:tcPr>
            <w:tcW w:w="1913"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3022"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19"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34"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708"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noWrap w:val="0"/>
            <w:vAlign w:val="center"/>
          </w:tcPr>
          <w:p>
            <w:pPr>
              <w:tabs>
                <w:tab w:val="left" w:pos="82"/>
              </w:tabs>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1913"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3022"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19"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34"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70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投标总报价</w:t>
            </w:r>
          </w:p>
        </w:tc>
        <w:tc>
          <w:tcPr>
            <w:tcW w:w="6983" w:type="dxa"/>
            <w:gridSpan w:val="4"/>
            <w:noWrap w:val="0"/>
            <w:vAlign w:val="center"/>
          </w:tcPr>
          <w:p>
            <w:pPr>
              <w:spacing w:after="120" w:line="400" w:lineRule="atLeast"/>
              <w:ind w:left="205" w:leftChars="98"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小写：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w:t>
            </w:r>
          </w:p>
          <w:p>
            <w:pPr>
              <w:spacing w:after="120" w:line="400" w:lineRule="atLeast"/>
              <w:ind w:left="205" w:leftChars="98"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佰元整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noWrap w:val="0"/>
            <w:vAlign w:val="center"/>
          </w:tcPr>
          <w:p>
            <w:pPr>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项目工期/交货期</w:t>
            </w:r>
          </w:p>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（服务期）</w:t>
            </w:r>
          </w:p>
        </w:tc>
        <w:tc>
          <w:tcPr>
            <w:tcW w:w="6983" w:type="dxa"/>
            <w:gridSpan w:val="4"/>
            <w:noWrap w:val="0"/>
            <w:vAlign w:val="center"/>
          </w:tcPr>
          <w:p>
            <w:pPr>
              <w:spacing w:line="240" w:lineRule="atLeast"/>
              <w:ind w:left="-48" w:leftChars="-23"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质保期</w:t>
            </w:r>
          </w:p>
        </w:tc>
        <w:tc>
          <w:tcPr>
            <w:tcW w:w="6983" w:type="dxa"/>
            <w:gridSpan w:val="4"/>
            <w:noWrap w:val="0"/>
            <w:vAlign w:val="center"/>
          </w:tcPr>
          <w:p>
            <w:pPr>
              <w:spacing w:line="240" w:lineRule="atLeast"/>
              <w:ind w:left="-48" w:leftChars="-23"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备注</w:t>
            </w:r>
          </w:p>
        </w:tc>
        <w:tc>
          <w:tcPr>
            <w:tcW w:w="6983" w:type="dxa"/>
            <w:gridSpan w:val="4"/>
            <w:noWrap w:val="0"/>
            <w:vAlign w:val="center"/>
          </w:tcPr>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1）符合小型和微型企业、监狱企业、残疾人福利性单位进行价格扣除情形的，</w:t>
            </w:r>
            <w:r>
              <w:rPr>
                <w:rFonts w:hint="eastAsia" w:ascii="宋体" w:hAnsi="宋体" w:cs="Times New Roman"/>
                <w:b/>
                <w:color w:val="auto"/>
                <w:sz w:val="24"/>
                <w:szCs w:val="24"/>
                <w:highlight w:val="none"/>
              </w:rPr>
              <w:t>需扣除的价格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2）价格扣除后，</w:t>
            </w:r>
            <w:r>
              <w:rPr>
                <w:rFonts w:hint="eastAsia" w:ascii="宋体" w:hAnsi="宋体" w:cs="Times New Roman"/>
                <w:b/>
                <w:color w:val="auto"/>
                <w:sz w:val="24"/>
                <w:szCs w:val="24"/>
                <w:highlight w:val="none"/>
              </w:rPr>
              <w:t>参与评审的价格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3）以联合体投标的，</w:t>
            </w:r>
            <w:r>
              <w:rPr>
                <w:rFonts w:ascii="宋体" w:hAnsi="宋体" w:cs="Times New Roman"/>
                <w:color w:val="auto"/>
                <w:sz w:val="24"/>
                <w:szCs w:val="24"/>
                <w:highlight w:val="none"/>
              </w:rPr>
              <w:t>联合协议中约定小型、微型企业的协议合同金额占到联合体协议合同总金额的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w:t>
            </w:r>
          </w:p>
        </w:tc>
      </w:tr>
    </w:tbl>
    <w:p>
      <w:pPr>
        <w:spacing w:line="360" w:lineRule="auto"/>
        <w:ind w:left="1091" w:hanging="1087" w:hangingChars="453"/>
        <w:jc w:val="left"/>
        <w:rPr>
          <w:rFonts w:ascii="宋体" w:hAnsi="宋体"/>
          <w:color w:val="auto"/>
          <w:sz w:val="24"/>
          <w:highlight w:val="none"/>
        </w:rPr>
      </w:pPr>
      <w:r>
        <w:rPr>
          <w:rFonts w:hint="eastAsia" w:ascii="宋体" w:hAnsi="宋体" w:cs="Courier New"/>
          <w:b/>
          <w:color w:val="auto"/>
          <w:sz w:val="24"/>
          <w:szCs w:val="21"/>
          <w:highlight w:val="none"/>
        </w:rPr>
        <w:t>说明：</w:t>
      </w:r>
      <w:r>
        <w:rPr>
          <w:rFonts w:hint="eastAsia" w:ascii="宋体" w:hAnsi="宋体"/>
          <w:color w:val="auto"/>
          <w:sz w:val="24"/>
          <w:highlight w:val="none"/>
        </w:rPr>
        <w:t>1、所有</w:t>
      </w:r>
      <w:r>
        <w:rPr>
          <w:rFonts w:hint="eastAsia" w:ascii="宋体" w:hAnsi="宋体" w:cs="Courier New"/>
          <w:color w:val="auto"/>
          <w:sz w:val="24"/>
          <w:szCs w:val="21"/>
          <w:highlight w:val="none"/>
        </w:rPr>
        <w:t>价格</w:t>
      </w:r>
      <w:r>
        <w:rPr>
          <w:rFonts w:hint="eastAsia" w:ascii="宋体" w:hAnsi="宋体"/>
          <w:color w:val="auto"/>
          <w:sz w:val="24"/>
          <w:highlight w:val="none"/>
        </w:rPr>
        <w:t>均用人民币表示。</w:t>
      </w:r>
    </w:p>
    <w:p>
      <w:pPr>
        <w:spacing w:line="360" w:lineRule="auto"/>
        <w:ind w:left="1089" w:leftChars="359" w:hanging="336" w:hangingChars="14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2、价格应按照招标文件第二章“投标人须知”中第12条的要求进行报价。</w:t>
      </w:r>
    </w:p>
    <w:p>
      <w:pPr>
        <w:spacing w:line="360" w:lineRule="auto"/>
        <w:ind w:left="1089" w:leftChars="359" w:hanging="336" w:hangingChars="140"/>
        <w:jc w:val="left"/>
        <w:rPr>
          <w:rFonts w:ascii="宋体" w:hAnsi="宋体" w:cs="Times New Roman"/>
          <w:b/>
          <w:color w:val="auto"/>
          <w:sz w:val="24"/>
          <w:szCs w:val="24"/>
          <w:highlight w:val="none"/>
        </w:rPr>
      </w:pPr>
      <w:r>
        <w:rPr>
          <w:rFonts w:hint="eastAsia" w:ascii="宋体" w:hAnsi="宋体" w:cs="Times New Roman"/>
          <w:color w:val="auto"/>
          <w:sz w:val="24"/>
          <w:szCs w:val="24"/>
          <w:highlight w:val="none"/>
        </w:rPr>
        <w:t>3、为</w:t>
      </w:r>
      <w:r>
        <w:rPr>
          <w:rFonts w:hint="eastAsia" w:ascii="宋体" w:hAnsi="宋体" w:cs="Courier New"/>
          <w:color w:val="auto"/>
          <w:sz w:val="24"/>
          <w:szCs w:val="21"/>
          <w:highlight w:val="none"/>
        </w:rPr>
        <w:t>方便</w:t>
      </w:r>
      <w:r>
        <w:rPr>
          <w:rFonts w:hint="eastAsia" w:ascii="宋体" w:hAnsi="宋体" w:cs="Times New Roman"/>
          <w:color w:val="auto"/>
          <w:sz w:val="24"/>
          <w:szCs w:val="24"/>
          <w:highlight w:val="none"/>
        </w:rPr>
        <w:t>开标时唱标，投标人应另附《开标一览表》原件一份</w:t>
      </w:r>
      <w:r>
        <w:rPr>
          <w:rFonts w:hint="eastAsia" w:ascii="宋体" w:hAnsi="宋体" w:cs="Times New Roman"/>
          <w:color w:val="auto"/>
          <w:spacing w:val="-6"/>
          <w:kern w:val="0"/>
          <w:sz w:val="24"/>
          <w:szCs w:val="24"/>
          <w:highlight w:val="none"/>
        </w:rPr>
        <w:t>装入一个信封，单独密封提交</w:t>
      </w:r>
      <w:r>
        <w:rPr>
          <w:rFonts w:hint="eastAsia" w:ascii="宋体" w:hAnsi="宋体" w:cs="Times New Roman"/>
          <w:color w:val="auto"/>
          <w:sz w:val="24"/>
          <w:szCs w:val="24"/>
          <w:highlight w:val="none"/>
        </w:rPr>
        <w:t>，并在信封上标明“开标一览表”字样。未按要求单独提交上述资料或未按照招标文件规定格式填写完整并签字、盖章</w:t>
      </w:r>
      <w:r>
        <w:rPr>
          <w:rFonts w:hint="eastAsia" w:ascii="宋体" w:hAnsi="宋体" w:cs="Times New Roman"/>
          <w:color w:val="auto"/>
          <w:sz w:val="24"/>
          <w:szCs w:val="20"/>
          <w:highlight w:val="none"/>
        </w:rPr>
        <w:t>的，</w:t>
      </w:r>
      <w:r>
        <w:rPr>
          <w:rFonts w:hint="eastAsia" w:ascii="宋体" w:hAnsi="宋体" w:cs="Times New Roman"/>
          <w:color w:val="auto"/>
          <w:sz w:val="24"/>
          <w:szCs w:val="24"/>
          <w:highlight w:val="none"/>
        </w:rPr>
        <w:t>将按照</w:t>
      </w:r>
      <w:r>
        <w:rPr>
          <w:rFonts w:hint="eastAsia" w:ascii="宋体" w:hAnsi="宋体" w:cs="Times New Roman"/>
          <w:b/>
          <w:color w:val="auto"/>
          <w:sz w:val="24"/>
          <w:szCs w:val="24"/>
          <w:highlight w:val="none"/>
        </w:rPr>
        <w:t>无效投标处理</w:t>
      </w:r>
      <w:r>
        <w:rPr>
          <w:rFonts w:hint="eastAsia" w:ascii="宋体" w:hAnsi="宋体" w:cs="Times New Roman"/>
          <w:color w:val="auto"/>
          <w:sz w:val="24"/>
          <w:szCs w:val="24"/>
          <w:highlight w:val="none"/>
        </w:rPr>
        <w:t>。</w:t>
      </w:r>
    </w:p>
    <w:p>
      <w:pPr>
        <w:spacing w:line="360" w:lineRule="auto"/>
        <w:ind w:left="1089" w:leftChars="359" w:hanging="336" w:hangingChars="14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4、“备注”栏适用于存在价格扣除的情形，投标人可视自身实际情况如实进行填报。</w:t>
      </w:r>
    </w:p>
    <w:p>
      <w:pPr>
        <w:spacing w:line="360" w:lineRule="auto"/>
        <w:ind w:left="1089" w:leftChars="359" w:hanging="336" w:hangingChars="14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5、本表应按要求由投标人法人授权代表签字，并加盖投标人公章，否则将按照</w:t>
      </w:r>
      <w:r>
        <w:rPr>
          <w:rFonts w:hint="eastAsia" w:ascii="宋体" w:hAnsi="宋体" w:cs="Times New Roman"/>
          <w:b/>
          <w:color w:val="auto"/>
          <w:sz w:val="24"/>
          <w:szCs w:val="24"/>
          <w:highlight w:val="none"/>
        </w:rPr>
        <w:t>无效投标处理</w:t>
      </w:r>
      <w:r>
        <w:rPr>
          <w:rFonts w:hint="eastAsia" w:ascii="宋体" w:hAnsi="宋体" w:cs="Times New Roman"/>
          <w:color w:val="auto"/>
          <w:sz w:val="24"/>
          <w:szCs w:val="24"/>
          <w:highlight w:val="none"/>
        </w:rPr>
        <w:t>。</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投标人（公章）：</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color w:val="auto"/>
          <w:highlight w:val="none"/>
        </w:rPr>
      </w:pPr>
      <w:r>
        <w:rPr>
          <w:rFonts w:hint="eastAsia" w:hAnsi="宋体" w:cs="Times New Roman"/>
          <w:color w:val="auto"/>
          <w:sz w:val="24"/>
          <w:szCs w:val="24"/>
          <w:highlight w:val="none"/>
        </w:rPr>
        <w:t>日   期：</w:t>
      </w:r>
      <w:r>
        <w:rPr>
          <w:rFonts w:hint="eastAsia" w:ascii="宋体" w:hAnsi="宋体" w:cs="Times New Roman"/>
          <w:bCs/>
          <w:color w:val="auto"/>
          <w:sz w:val="24"/>
          <w:szCs w:val="21"/>
          <w:highlight w:val="none"/>
          <w:u w:val="single"/>
        </w:rPr>
        <w:t xml:space="preserve">                                </w:t>
      </w:r>
    </w:p>
    <w:p>
      <w:pPr>
        <w:pStyle w:val="4"/>
        <w:spacing w:before="40" w:after="40" w:line="360" w:lineRule="auto"/>
        <w:ind w:left="1285"/>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62" w:name="_Toc26148"/>
      <w:bookmarkStart w:id="163" w:name="_Toc511894534"/>
      <w:bookmarkStart w:id="164" w:name="_Toc23873"/>
      <w:bookmarkStart w:id="165" w:name="_Toc511895475"/>
      <w:r>
        <w:rPr>
          <w:rFonts w:hint="eastAsia" w:ascii="宋体" w:hAnsi="宋体" w:cs="Times New Roman"/>
          <w:bCs w:val="0"/>
          <w:color w:val="auto"/>
          <w:highlight w:val="none"/>
        </w:rPr>
        <w:t>投标报价明细表</w:t>
      </w:r>
      <w:bookmarkEnd w:id="162"/>
      <w:bookmarkEnd w:id="163"/>
      <w:bookmarkEnd w:id="164"/>
      <w:bookmarkEnd w:id="165"/>
    </w:p>
    <w:p>
      <w:pPr>
        <w:spacing w:line="360" w:lineRule="auto"/>
        <w:jc w:val="left"/>
        <w:rPr>
          <w:rFonts w:ascii="宋体" w:hAnsi="宋体" w:cs="Times New Roman"/>
          <w:b/>
          <w:color w:val="auto"/>
          <w:sz w:val="24"/>
          <w:szCs w:val="21"/>
          <w:highlight w:val="none"/>
          <w:u w:val="single"/>
        </w:rPr>
      </w:pPr>
      <w:bookmarkStart w:id="166" w:name="OLE_LINK1"/>
      <w:r>
        <w:rPr>
          <w:rFonts w:hint="eastAsia" w:ascii="宋体" w:hAnsi="宋体" w:cs="Times New Roman"/>
          <w:b/>
          <w:color w:val="auto"/>
          <w:sz w:val="24"/>
          <w:szCs w:val="21"/>
          <w:highlight w:val="none"/>
        </w:rPr>
        <w:t>投 标 人：</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color w:val="auto"/>
          <w:sz w:val="24"/>
          <w:szCs w:val="21"/>
          <w:highlight w:val="none"/>
        </w:rPr>
      </w:pPr>
      <w:r>
        <w:rPr>
          <w:rFonts w:hint="eastAsia" w:ascii="宋体" w:hAnsi="宋体" w:cs="Times New Roman"/>
          <w:b/>
          <w:color w:val="auto"/>
          <w:sz w:val="24"/>
          <w:szCs w:val="21"/>
          <w:highlight w:val="none"/>
        </w:rPr>
        <w:t>项目名称：</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color w:val="auto"/>
          <w:sz w:val="24"/>
          <w:szCs w:val="21"/>
          <w:highlight w:val="none"/>
          <w:u w:val="singl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bookmarkEnd w:id="166"/>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2673"/>
        <w:gridCol w:w="1134"/>
        <w:gridCol w:w="800"/>
        <w:gridCol w:w="1676"/>
        <w:gridCol w:w="1316"/>
        <w:gridCol w:w="13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4BC96" w:fill="DDD9C3"/>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2673" w:type="dxa"/>
            <w:shd w:val="pct10" w:color="C4BC96" w:fill="DDD9C3"/>
            <w:noWrap w:val="0"/>
            <w:vAlign w:val="center"/>
          </w:tcPr>
          <w:p>
            <w:pPr>
              <w:spacing w:line="360" w:lineRule="auto"/>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1134" w:type="dxa"/>
            <w:shd w:val="pct10" w:color="C4BC96" w:fill="DDD9C3"/>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b/>
                <w:color w:val="auto"/>
                <w:sz w:val="24"/>
                <w:highlight w:val="none"/>
              </w:rPr>
              <w:t>品牌型号规格</w:t>
            </w:r>
          </w:p>
        </w:tc>
        <w:tc>
          <w:tcPr>
            <w:tcW w:w="800" w:type="dxa"/>
            <w:shd w:val="pct10" w:color="C4BC96" w:fill="DDD9C3"/>
            <w:noWrap w:val="0"/>
            <w:vAlign w:val="center"/>
          </w:tcPr>
          <w:p>
            <w:pPr>
              <w:spacing w:line="360" w:lineRule="auto"/>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676" w:type="dxa"/>
            <w:shd w:val="pct10" w:color="C4BC96" w:fill="DDD9C3"/>
            <w:noWrap w:val="0"/>
            <w:vAlign w:val="center"/>
          </w:tcPr>
          <w:p>
            <w:pPr>
              <w:spacing w:line="360" w:lineRule="auto"/>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制造商名称</w:t>
            </w:r>
          </w:p>
        </w:tc>
        <w:tc>
          <w:tcPr>
            <w:tcW w:w="1316" w:type="dxa"/>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单价</w:t>
            </w:r>
          </w:p>
        </w:tc>
        <w:tc>
          <w:tcPr>
            <w:tcW w:w="1357" w:type="dxa"/>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分项合计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ind w:left="547" w:hanging="547" w:hangingChars="228"/>
              <w:jc w:val="center"/>
              <w:rPr>
                <w:rFonts w:ascii="宋体" w:hAnsi="宋体"/>
                <w:color w:val="auto"/>
                <w:sz w:val="24"/>
                <w:highlight w:val="none"/>
              </w:rPr>
            </w:pPr>
            <w:r>
              <w:rPr>
                <w:rFonts w:hint="eastAsia" w:ascii="宋体" w:hAnsi="宋体"/>
                <w:color w:val="auto"/>
                <w:sz w:val="24"/>
                <w:highlight w:val="none"/>
              </w:rPr>
              <w:t>货物1（工程或服务）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376" w:rightChars="-179"/>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货物2（工程或服务）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货物3（工程或服务）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货物4（工程或服务）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货物5（工程或服务）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货物6（工程或服务）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noWrap w:val="0"/>
            <w:vAlign w:val="center"/>
          </w:tcPr>
          <w:p>
            <w:pPr>
              <w:tabs>
                <w:tab w:val="left" w:pos="82"/>
              </w:tabs>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2673"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合计</w:t>
            </w:r>
          </w:p>
        </w:tc>
        <w:tc>
          <w:tcPr>
            <w:tcW w:w="2673" w:type="dxa"/>
            <w:gridSpan w:val="2"/>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r>
    </w:tbl>
    <w:p>
      <w:pPr>
        <w:spacing w:line="360" w:lineRule="auto"/>
        <w:ind w:left="1091" w:hanging="1091" w:hangingChars="453"/>
        <w:jc w:val="left"/>
        <w:rPr>
          <w:rFonts w:ascii="宋体" w:hAnsi="宋体"/>
          <w:color w:val="auto"/>
          <w:sz w:val="24"/>
          <w:highlight w:val="none"/>
        </w:rPr>
      </w:pPr>
      <w:r>
        <w:rPr>
          <w:rFonts w:hint="eastAsia" w:ascii="宋体" w:hAnsi="宋体"/>
          <w:b/>
          <w:color w:val="auto"/>
          <w:sz w:val="24"/>
          <w:highlight w:val="none"/>
        </w:rPr>
        <w:t>说明：</w:t>
      </w:r>
      <w:r>
        <w:rPr>
          <w:rFonts w:hint="eastAsia" w:ascii="宋体" w:hAnsi="宋体"/>
          <w:color w:val="auto"/>
          <w:sz w:val="24"/>
          <w:highlight w:val="none"/>
        </w:rPr>
        <w:t>1、</w:t>
      </w:r>
      <w:r>
        <w:rPr>
          <w:rFonts w:hint="eastAsia" w:ascii="宋体" w:hAnsi="宋体" w:cs="Courier New"/>
          <w:color w:val="auto"/>
          <w:sz w:val="24"/>
          <w:szCs w:val="21"/>
          <w:highlight w:val="none"/>
        </w:rPr>
        <w:t>所有</w:t>
      </w:r>
      <w:r>
        <w:rPr>
          <w:rFonts w:hint="eastAsia" w:ascii="宋体" w:hAnsi="宋体"/>
          <w:color w:val="auto"/>
          <w:sz w:val="24"/>
          <w:highlight w:val="none"/>
        </w:rPr>
        <w:t>价</w:t>
      </w:r>
      <w:r>
        <w:rPr>
          <w:rFonts w:hint="eastAsia" w:ascii="宋体" w:hAnsi="宋体" w:cs="Courier New"/>
          <w:color w:val="auto"/>
          <w:sz w:val="24"/>
          <w:szCs w:val="21"/>
          <w:highlight w:val="none"/>
        </w:rPr>
        <w:t>格</w:t>
      </w:r>
      <w:r>
        <w:rPr>
          <w:rFonts w:hint="eastAsia" w:ascii="宋体" w:hAnsi="宋体"/>
          <w:color w:val="auto"/>
          <w:sz w:val="24"/>
          <w:highlight w:val="none"/>
        </w:rPr>
        <w:t>均用人民币表示，单位为元。</w:t>
      </w:r>
    </w:p>
    <w:p>
      <w:pPr>
        <w:spacing w:line="360" w:lineRule="auto"/>
        <w:ind w:left="1132" w:leftChars="360" w:hanging="376" w:hangingChars="157"/>
        <w:jc w:val="left"/>
        <w:rPr>
          <w:rFonts w:ascii="宋体" w:hAnsi="宋体"/>
          <w:color w:val="auto"/>
          <w:sz w:val="24"/>
          <w:highlight w:val="none"/>
        </w:rPr>
      </w:pPr>
      <w:r>
        <w:rPr>
          <w:rFonts w:hint="eastAsia" w:ascii="宋体" w:hAnsi="宋体"/>
          <w:color w:val="auto"/>
          <w:sz w:val="24"/>
          <w:highlight w:val="none"/>
        </w:rPr>
        <w:t>2、报价</w:t>
      </w:r>
      <w:r>
        <w:rPr>
          <w:rFonts w:hint="eastAsia" w:ascii="宋体" w:hAnsi="宋体" w:cs="Courier New"/>
          <w:color w:val="auto"/>
          <w:sz w:val="24"/>
          <w:szCs w:val="21"/>
          <w:highlight w:val="none"/>
        </w:rPr>
        <w:t>明细表</w:t>
      </w:r>
      <w:r>
        <w:rPr>
          <w:rFonts w:hint="eastAsia" w:ascii="宋体" w:hAnsi="宋体"/>
          <w:color w:val="auto"/>
          <w:sz w:val="24"/>
          <w:highlight w:val="none"/>
        </w:rPr>
        <w:t>合计应与《开标一览表》中的投标总报价一致。</w:t>
      </w:r>
    </w:p>
    <w:p>
      <w:pPr>
        <w:spacing w:line="360" w:lineRule="auto"/>
        <w:ind w:left="1132" w:leftChars="360" w:hanging="376" w:hangingChars="157"/>
        <w:jc w:val="left"/>
        <w:rPr>
          <w:rFonts w:ascii="宋体" w:hAnsi="宋体"/>
          <w:color w:val="auto"/>
          <w:sz w:val="24"/>
          <w:highlight w:val="none"/>
        </w:rPr>
      </w:pPr>
      <w:r>
        <w:rPr>
          <w:rFonts w:hint="eastAsia" w:ascii="宋体" w:hAnsi="宋体"/>
          <w:color w:val="auto"/>
          <w:sz w:val="24"/>
          <w:highlight w:val="none"/>
        </w:rPr>
        <w:t>3、未提供详细的货物（工程或服务）报价明细</w:t>
      </w:r>
      <w:r>
        <w:rPr>
          <w:rFonts w:hint="eastAsia" w:ascii="宋体" w:hAnsi="宋体" w:cs="Corbel"/>
          <w:color w:val="auto"/>
          <w:sz w:val="24"/>
          <w:highlight w:val="none"/>
        </w:rPr>
        <w:t>，</w:t>
      </w:r>
      <w:r>
        <w:rPr>
          <w:rFonts w:hint="eastAsia" w:ascii="宋体" w:hAnsi="宋体"/>
          <w:color w:val="auto"/>
          <w:sz w:val="24"/>
          <w:highlight w:val="none"/>
        </w:rPr>
        <w:t>导致的后果由投标人自行承担。</w:t>
      </w: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tabs>
          <w:tab w:val="left" w:pos="1302"/>
        </w:tabs>
        <w:spacing w:before="40" w:after="40" w:line="360" w:lineRule="auto"/>
        <w:ind w:left="9" w:leftChars="0" w:hanging="9" w:firstLineChars="0"/>
        <w:jc w:val="center"/>
        <w:rPr>
          <w:rFonts w:ascii="宋体" w:hAnsi="宋体"/>
          <w:color w:val="auto"/>
          <w:sz w:val="31"/>
          <w:szCs w:val="31"/>
          <w:highlight w:val="none"/>
        </w:rPr>
      </w:pPr>
      <w:bookmarkStart w:id="167" w:name="_Toc10699"/>
      <w:bookmarkStart w:id="168" w:name="_Toc3243"/>
      <w:r>
        <w:rPr>
          <w:rFonts w:hint="eastAsia" w:ascii="宋体" w:hAnsi="宋体"/>
          <w:color w:val="auto"/>
          <w:sz w:val="31"/>
          <w:szCs w:val="31"/>
          <w:highlight w:val="none"/>
        </w:rPr>
        <w:t>小型和微型企业、监狱企业、残疾人福利性单位货物汇总表</w:t>
      </w:r>
      <w:bookmarkEnd w:id="167"/>
      <w:bookmarkEnd w:id="168"/>
    </w:p>
    <w:p>
      <w:pPr>
        <w:spacing w:line="360" w:lineRule="auto"/>
        <w:jc w:val="left"/>
        <w:rPr>
          <w:rFonts w:hint="eastAsia" w:hAnsi="宋体"/>
          <w:b/>
          <w:color w:val="auto"/>
          <w:sz w:val="24"/>
          <w:highlight w:val="none"/>
        </w:rPr>
      </w:pPr>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1674"/>
        <w:gridCol w:w="1560"/>
        <w:gridCol w:w="1133"/>
        <w:gridCol w:w="848"/>
        <w:gridCol w:w="1100"/>
        <w:gridCol w:w="1134"/>
        <w:gridCol w:w="14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7" w:type="dxa"/>
            <w:shd w:val="pct10" w:color="C4BC96" w:fill="DDD9C3"/>
            <w:noWrap w:val="0"/>
            <w:vAlign w:val="center"/>
          </w:tcPr>
          <w:p>
            <w:pPr>
              <w:ind w:left="-105" w:leftChars="-50" w:right="-105" w:rightChars="-50"/>
              <w:jc w:val="center"/>
              <w:rPr>
                <w:rFonts w:ascii="宋体" w:hAnsi="宋体"/>
                <w:b/>
                <w:color w:val="auto"/>
                <w:sz w:val="24"/>
                <w:szCs w:val="24"/>
                <w:highlight w:val="none"/>
              </w:rPr>
            </w:pPr>
            <w:r>
              <w:rPr>
                <w:rFonts w:hint="eastAsia" w:ascii="宋体" w:hAnsi="宋体" w:cs="仿宋_GB2312"/>
                <w:b/>
                <w:color w:val="auto"/>
                <w:sz w:val="24"/>
                <w:szCs w:val="24"/>
                <w:highlight w:val="none"/>
              </w:rPr>
              <w:t>序号</w:t>
            </w:r>
          </w:p>
        </w:tc>
        <w:tc>
          <w:tcPr>
            <w:tcW w:w="1674"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制造商名称</w:t>
            </w:r>
          </w:p>
        </w:tc>
        <w:tc>
          <w:tcPr>
            <w:tcW w:w="1560"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货物名称</w:t>
            </w:r>
          </w:p>
        </w:tc>
        <w:tc>
          <w:tcPr>
            <w:tcW w:w="1133"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规格型号</w:t>
            </w:r>
          </w:p>
        </w:tc>
        <w:tc>
          <w:tcPr>
            <w:tcW w:w="848"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1100"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单价</w:t>
            </w:r>
          </w:p>
        </w:tc>
        <w:tc>
          <w:tcPr>
            <w:tcW w:w="1134"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分项合计</w:t>
            </w:r>
          </w:p>
        </w:tc>
        <w:tc>
          <w:tcPr>
            <w:tcW w:w="1468"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912" w:type="dxa"/>
            <w:gridSpan w:val="6"/>
            <w:noWrap w:val="0"/>
            <w:vAlign w:val="top"/>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合计</w:t>
            </w:r>
          </w:p>
        </w:tc>
        <w:tc>
          <w:tcPr>
            <w:tcW w:w="2602" w:type="dxa"/>
            <w:gridSpan w:val="2"/>
            <w:noWrap w:val="0"/>
            <w:vAlign w:val="center"/>
          </w:tcPr>
          <w:p>
            <w:pPr>
              <w:spacing w:line="360" w:lineRule="auto"/>
              <w:jc w:val="left"/>
              <w:rPr>
                <w:rFonts w:ascii="宋体" w:hAnsi="宋体"/>
                <w:bCs/>
                <w:color w:val="auto"/>
                <w:sz w:val="24"/>
                <w:highlight w:val="none"/>
              </w:rPr>
            </w:pPr>
          </w:p>
        </w:tc>
      </w:tr>
    </w:tbl>
    <w:p>
      <w:pPr>
        <w:spacing w:line="360" w:lineRule="auto"/>
        <w:ind w:left="1118" w:hanging="1113" w:hangingChars="464"/>
        <w:jc w:val="left"/>
        <w:rPr>
          <w:rFonts w:ascii="宋体" w:hAnsi="宋体"/>
          <w:color w:val="auto"/>
          <w:sz w:val="24"/>
          <w:highlight w:val="none"/>
        </w:rPr>
      </w:pPr>
      <w:r>
        <w:rPr>
          <w:rFonts w:hint="eastAsia" w:ascii="宋体" w:hAnsi="宋体"/>
          <w:b/>
          <w:color w:val="auto"/>
          <w:sz w:val="24"/>
          <w:highlight w:val="none"/>
        </w:rPr>
        <w:t>说明：</w:t>
      </w:r>
      <w:r>
        <w:rPr>
          <w:rFonts w:hint="eastAsia" w:ascii="宋体" w:hAnsi="宋体"/>
          <w:color w:val="auto"/>
          <w:sz w:val="24"/>
          <w:highlight w:val="none"/>
        </w:rPr>
        <w:t>1</w:t>
      </w:r>
      <w:r>
        <w:rPr>
          <w:rFonts w:hint="eastAsia" w:ascii="宋体" w:hAnsi="宋体" w:cs="Times New Roman"/>
          <w:color w:val="auto"/>
          <w:sz w:val="24"/>
          <w:szCs w:val="24"/>
          <w:highlight w:val="none"/>
        </w:rPr>
        <w:t>、</w:t>
      </w:r>
      <w:r>
        <w:rPr>
          <w:rFonts w:hint="eastAsia" w:ascii="宋体" w:hAnsi="宋体"/>
          <w:color w:val="auto"/>
          <w:sz w:val="24"/>
          <w:highlight w:val="none"/>
        </w:rPr>
        <w:t>所有价格均用</w:t>
      </w:r>
      <w:r>
        <w:rPr>
          <w:rFonts w:hint="eastAsia" w:ascii="宋体" w:hAnsi="宋体" w:cs="Courier New"/>
          <w:color w:val="auto"/>
          <w:sz w:val="24"/>
          <w:szCs w:val="21"/>
          <w:highlight w:val="none"/>
        </w:rPr>
        <w:t>人民币</w:t>
      </w:r>
      <w:r>
        <w:rPr>
          <w:rFonts w:hint="eastAsia" w:ascii="宋体" w:hAnsi="宋体"/>
          <w:color w:val="auto"/>
          <w:sz w:val="24"/>
          <w:highlight w:val="none"/>
        </w:rPr>
        <w:t>表示，单位为元。</w:t>
      </w:r>
    </w:p>
    <w:p>
      <w:pPr>
        <w:spacing w:line="360" w:lineRule="auto"/>
        <w:ind w:left="1132" w:leftChars="360" w:hanging="376" w:hangingChars="157"/>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s="Times New Roman"/>
          <w:color w:val="auto"/>
          <w:sz w:val="24"/>
          <w:szCs w:val="24"/>
          <w:highlight w:val="none"/>
        </w:rPr>
        <w:t>、</w:t>
      </w:r>
      <w:r>
        <w:rPr>
          <w:rFonts w:hint="eastAsia" w:ascii="宋体" w:hAnsi="宋体"/>
          <w:color w:val="auto"/>
          <w:sz w:val="24"/>
          <w:highlight w:val="none"/>
        </w:rPr>
        <w:t>投标人提供的相关证明文件对应页码填写到上表“投标文件对应的页码”中。</w:t>
      </w:r>
      <w:r>
        <w:rPr>
          <w:rFonts w:hint="eastAsia" w:ascii="宋体" w:hAnsi="宋体" w:cs="Corbel"/>
          <w:color w:val="auto"/>
          <w:sz w:val="24"/>
          <w:highlight w:val="none"/>
        </w:rPr>
        <w:t>未提供页码或内容页码完全不一致的，</w:t>
      </w:r>
      <w:r>
        <w:rPr>
          <w:rFonts w:hint="eastAsia" w:ascii="宋体" w:hAnsi="宋体"/>
          <w:color w:val="auto"/>
          <w:sz w:val="24"/>
          <w:highlight w:val="none"/>
        </w:rPr>
        <w:t>导致的后果由投标人自行承担。</w:t>
      </w: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0"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4"/>
        <w:numPr>
          <w:ilvl w:val="0"/>
          <w:numId w:val="38"/>
        </w:numPr>
        <w:tabs>
          <w:tab w:val="left" w:pos="1302"/>
        </w:tabs>
        <w:spacing w:before="40" w:after="40" w:line="360" w:lineRule="auto"/>
        <w:ind w:left="0" w:leftChars="0" w:firstLine="0" w:firstLineChars="0"/>
        <w:jc w:val="left"/>
        <w:rPr>
          <w:rFonts w:ascii="宋体" w:hAnsi="宋体"/>
          <w:color w:val="auto"/>
          <w:sz w:val="31"/>
          <w:szCs w:val="31"/>
          <w:highlight w:val="none"/>
        </w:rPr>
      </w:pPr>
      <w:bookmarkStart w:id="169" w:name="_Toc23316"/>
      <w:bookmarkStart w:id="170" w:name="_Toc511894536"/>
      <w:bookmarkStart w:id="171" w:name="_Toc3559"/>
      <w:bookmarkStart w:id="172" w:name="_Toc511895477"/>
      <w:r>
        <w:rPr>
          <w:rFonts w:hint="eastAsia" w:ascii="宋体" w:hAnsi="宋体"/>
          <w:color w:val="auto"/>
          <w:sz w:val="31"/>
          <w:szCs w:val="31"/>
          <w:highlight w:val="none"/>
        </w:rPr>
        <w:t>投标货物（工程或服务）清单</w:t>
      </w:r>
      <w:bookmarkEnd w:id="169"/>
      <w:bookmarkEnd w:id="170"/>
      <w:bookmarkEnd w:id="171"/>
      <w:bookmarkEnd w:id="172"/>
    </w:p>
    <w:p>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投 标 人：</w:t>
      </w:r>
      <w:r>
        <w:rPr>
          <w:rFonts w:hint="eastAsia" w:ascii="宋体" w:hAnsi="宋体"/>
          <w:b/>
          <w:color w:val="auto"/>
          <w:sz w:val="24"/>
          <w:highlight w:val="none"/>
          <w:u w:val="single"/>
        </w:rPr>
        <w:t xml:space="preserve">                     </w:t>
      </w:r>
    </w:p>
    <w:p>
      <w:pPr>
        <w:adjustRightInd w:val="0"/>
        <w:snapToGrid w:val="0"/>
        <w:spacing w:line="360" w:lineRule="auto"/>
        <w:rPr>
          <w:rFonts w:ascii="宋体"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4BC96" w:fill="DDD9C3"/>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2872" w:type="dxa"/>
            <w:tcBorders>
              <w:top w:val="single" w:color="auto" w:sz="4" w:space="0"/>
              <w:bottom w:val="single" w:color="auto" w:sz="2" w:space="0"/>
            </w:tcBorders>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货物（工程或服务）名称</w:t>
            </w:r>
          </w:p>
        </w:tc>
        <w:tc>
          <w:tcPr>
            <w:tcW w:w="2459" w:type="dxa"/>
            <w:tcBorders>
              <w:top w:val="single" w:color="auto" w:sz="4" w:space="0"/>
              <w:bottom w:val="single" w:color="auto" w:sz="2" w:space="0"/>
            </w:tcBorders>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主要规格、技术参数</w:t>
            </w:r>
          </w:p>
        </w:tc>
        <w:tc>
          <w:tcPr>
            <w:tcW w:w="851" w:type="dxa"/>
            <w:tcBorders>
              <w:top w:val="single" w:color="auto" w:sz="4" w:space="0"/>
              <w:bottom w:val="single" w:color="auto" w:sz="2" w:space="0"/>
            </w:tcBorders>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2693" w:type="dxa"/>
            <w:tcBorders>
              <w:top w:val="single" w:color="auto" w:sz="4" w:space="0"/>
              <w:bottom w:val="single" w:color="auto" w:sz="2" w:space="0"/>
            </w:tcBorders>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制造厂家/产地及国家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tcBorders>
              <w:top w:val="single" w:color="auto" w:sz="2" w:space="0"/>
            </w:tcBorders>
            <w:noWrap w:val="0"/>
            <w:vAlign w:val="center"/>
          </w:tcPr>
          <w:p>
            <w:pPr>
              <w:adjustRightInd w:val="0"/>
              <w:snapToGrid w:val="0"/>
              <w:ind w:left="-88" w:leftChars="-42"/>
              <w:jc w:val="center"/>
              <w:rPr>
                <w:rFonts w:ascii="宋体" w:hAnsi="宋体"/>
                <w:color w:val="auto"/>
                <w:sz w:val="24"/>
                <w:highlight w:val="none"/>
              </w:rPr>
            </w:pPr>
          </w:p>
        </w:tc>
        <w:tc>
          <w:tcPr>
            <w:tcW w:w="2459" w:type="dxa"/>
            <w:tcBorders>
              <w:top w:val="single" w:color="auto" w:sz="2" w:space="0"/>
            </w:tcBorders>
            <w:noWrap w:val="0"/>
            <w:vAlign w:val="center"/>
          </w:tcPr>
          <w:p>
            <w:pPr>
              <w:adjustRightInd w:val="0"/>
              <w:snapToGrid w:val="0"/>
              <w:jc w:val="center"/>
              <w:rPr>
                <w:rFonts w:ascii="宋体" w:hAnsi="宋体"/>
                <w:color w:val="auto"/>
                <w:sz w:val="24"/>
                <w:highlight w:val="none"/>
              </w:rPr>
            </w:pPr>
          </w:p>
        </w:tc>
        <w:tc>
          <w:tcPr>
            <w:tcW w:w="851" w:type="dxa"/>
            <w:tcBorders>
              <w:top w:val="single" w:color="auto" w:sz="2" w:space="0"/>
            </w:tcBorders>
            <w:noWrap w:val="0"/>
            <w:vAlign w:val="center"/>
          </w:tcPr>
          <w:p>
            <w:pPr>
              <w:adjustRightInd w:val="0"/>
              <w:snapToGrid w:val="0"/>
              <w:jc w:val="center"/>
              <w:rPr>
                <w:rFonts w:ascii="宋体" w:hAnsi="宋体"/>
                <w:color w:val="auto"/>
                <w:sz w:val="24"/>
                <w:highlight w:val="none"/>
              </w:rPr>
            </w:pPr>
          </w:p>
        </w:tc>
        <w:tc>
          <w:tcPr>
            <w:tcW w:w="2693" w:type="dxa"/>
            <w:tcBorders>
              <w:top w:val="single" w:color="auto" w:sz="2" w:space="0"/>
            </w:tcBorders>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ind w:left="-88" w:leftChars="-42"/>
              <w:jc w:val="center"/>
              <w:rPr>
                <w:rFonts w:ascii="宋体" w:hAnsi="宋体"/>
                <w:color w:val="auto"/>
                <w:sz w:val="24"/>
                <w:highlight w:val="none"/>
              </w:rPr>
            </w:pPr>
          </w:p>
        </w:tc>
        <w:tc>
          <w:tcPr>
            <w:tcW w:w="851" w:type="dxa"/>
            <w:noWrap w:val="0"/>
            <w:vAlign w:val="center"/>
          </w:tcPr>
          <w:p>
            <w:pPr>
              <w:adjustRightInd w:val="0"/>
              <w:snapToGrid w:val="0"/>
              <w:ind w:left="-88" w:leftChars="-42"/>
              <w:jc w:val="center"/>
              <w:rPr>
                <w:rFonts w:ascii="宋体" w:hAnsi="宋体"/>
                <w:color w:val="auto"/>
                <w:sz w:val="24"/>
                <w:highlight w:val="none"/>
              </w:rPr>
            </w:pPr>
          </w:p>
        </w:tc>
        <w:tc>
          <w:tcPr>
            <w:tcW w:w="2693" w:type="dxa"/>
            <w:noWrap w:val="0"/>
            <w:vAlign w:val="center"/>
          </w:tcPr>
          <w:p>
            <w:pPr>
              <w:adjustRightInd w:val="0"/>
              <w:snapToGrid w:val="0"/>
              <w:ind w:left="-88" w:leftChars="-42"/>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adjustRightInd w:val="0"/>
              <w:snapToGrid w:val="0"/>
              <w:ind w:left="-88" w:leftChars="-42"/>
              <w:jc w:val="center"/>
              <w:rPr>
                <w:rFonts w:ascii="宋体" w:hAnsi="宋体"/>
                <w:color w:val="auto"/>
                <w:sz w:val="24"/>
                <w:highlight w:val="none"/>
              </w:rPr>
            </w:pPr>
            <w:r>
              <w:rPr>
                <w:rFonts w:hint="eastAsia" w:ascii="宋体" w:hAnsi="宋体"/>
                <w:color w:val="auto"/>
                <w:sz w:val="24"/>
                <w:highlight w:val="none"/>
              </w:rPr>
              <w:t>…</w:t>
            </w: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bl>
    <w:p>
      <w:pPr>
        <w:spacing w:line="360" w:lineRule="auto"/>
        <w:ind w:left="1118" w:hanging="1118" w:hangingChars="464"/>
        <w:jc w:val="left"/>
        <w:rPr>
          <w:rFonts w:ascii="宋体" w:hAnsi="宋体"/>
          <w:color w:val="auto"/>
          <w:sz w:val="24"/>
          <w:highlight w:val="none"/>
        </w:rPr>
      </w:pPr>
      <w:r>
        <w:rPr>
          <w:rFonts w:hint="eastAsia" w:ascii="宋体" w:hAnsi="宋体"/>
          <w:b/>
          <w:color w:val="auto"/>
          <w:sz w:val="24"/>
          <w:highlight w:val="none"/>
        </w:rPr>
        <w:t>说明：</w:t>
      </w:r>
      <w:r>
        <w:rPr>
          <w:rFonts w:hint="eastAsia" w:ascii="宋体" w:hAnsi="宋体"/>
          <w:color w:val="auto"/>
          <w:sz w:val="24"/>
          <w:highlight w:val="none"/>
        </w:rPr>
        <w:t>1、此表为货物（工程或服务）清单，投标人应提供所投货物（工程或服务）详细的供货（工程或服务）范围，包括主要配件及生产厂家、备品备件等。</w:t>
      </w:r>
    </w:p>
    <w:p>
      <w:pPr>
        <w:spacing w:line="360" w:lineRule="auto"/>
        <w:ind w:left="1132" w:leftChars="360" w:hanging="376" w:hangingChars="157"/>
        <w:jc w:val="left"/>
        <w:rPr>
          <w:rFonts w:ascii="宋体" w:hAnsi="宋体"/>
          <w:color w:val="auto"/>
          <w:sz w:val="24"/>
          <w:highlight w:val="none"/>
        </w:rPr>
      </w:pPr>
      <w:r>
        <w:rPr>
          <w:rFonts w:hint="eastAsia" w:ascii="宋体" w:hAnsi="宋体"/>
          <w:color w:val="auto"/>
          <w:sz w:val="24"/>
          <w:highlight w:val="none"/>
        </w:rPr>
        <w:t>2、各项货物（工程或服务）详细技术规格、参数及要求性能，应另页描述。</w:t>
      </w: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olor w:val="auto"/>
          <w:highlight w:val="none"/>
        </w:rPr>
      </w:pPr>
      <w:bookmarkStart w:id="173" w:name="_Toc511895478"/>
      <w:bookmarkStart w:id="174" w:name="_Toc511894537"/>
      <w:bookmarkStart w:id="175" w:name="_Toc7141"/>
      <w:bookmarkStart w:id="176" w:name="_Toc19244"/>
      <w:r>
        <w:rPr>
          <w:rFonts w:hint="eastAsia" w:ascii="宋体" w:hAnsi="宋体"/>
          <w:color w:val="auto"/>
          <w:highlight w:val="none"/>
        </w:rPr>
        <w:t>交纳投标保证金的银行凭证</w:t>
      </w:r>
      <w:bookmarkEnd w:id="173"/>
      <w:bookmarkEnd w:id="174"/>
      <w:bookmarkEnd w:id="175"/>
      <w:bookmarkEnd w:id="176"/>
    </w:p>
    <w:p>
      <w:pPr>
        <w:rPr>
          <w:color w:val="auto"/>
          <w:highlight w:val="none"/>
        </w:rPr>
      </w:pPr>
    </w:p>
    <w:p>
      <w:pPr>
        <w:jc w:val="center"/>
        <w:rPr>
          <w:rFonts w:hint="eastAsia" w:ascii="宋体" w:hAnsi="宋体" w:cs="Times New Roman"/>
          <w:b/>
          <w:color w:val="auto"/>
          <w:sz w:val="28"/>
          <w:szCs w:val="28"/>
          <w:highlight w:val="none"/>
          <w:lang w:eastAsia="zh-CN"/>
        </w:rPr>
      </w:pPr>
      <w:r>
        <w:rPr>
          <w:rFonts w:hint="eastAsia" w:ascii="宋体" w:hAnsi="宋体" w:cs="Times New Roman"/>
          <w:b/>
          <w:color w:val="auto"/>
          <w:kern w:val="0"/>
          <w:sz w:val="28"/>
          <w:szCs w:val="32"/>
          <w:highlight w:val="none"/>
        </w:rPr>
        <w:t>（本项目不适用）</w:t>
      </w:r>
    </w:p>
    <w:p>
      <w:pPr>
        <w:spacing w:line="480" w:lineRule="auto"/>
        <w:rPr>
          <w:rFonts w:ascii="宋体" w:hAnsi="宋体" w:cs="Courier New"/>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Courier New"/>
          <w:b/>
          <w:color w:val="auto"/>
          <w:sz w:val="28"/>
          <w:szCs w:val="28"/>
          <w:highlight w:val="none"/>
        </w:rPr>
        <w:t>：</w:t>
      </w:r>
    </w:p>
    <w:p>
      <w:pPr>
        <w:spacing w:line="360" w:lineRule="auto"/>
        <w:ind w:firstLine="489" w:firstLineChars="204"/>
        <w:jc w:val="left"/>
        <w:rPr>
          <w:rFonts w:ascii="宋体" w:hAnsi="宋体" w:cs="Times New Roman"/>
          <w:color w:val="auto"/>
          <w:sz w:val="24"/>
          <w:szCs w:val="21"/>
          <w:highlight w:val="none"/>
        </w:rPr>
      </w:pPr>
      <w:r>
        <w:rPr>
          <w:rFonts w:hint="eastAsia" w:ascii="宋体" w:hAnsi="宋体" w:cs="Times New Roman"/>
          <w:color w:val="auto"/>
          <w:sz w:val="24"/>
          <w:szCs w:val="21"/>
          <w:highlight w:val="none"/>
          <w:u w:val="single"/>
        </w:rPr>
        <w:t xml:space="preserve">  （投标人全称）  </w:t>
      </w:r>
      <w:r>
        <w:rPr>
          <w:rFonts w:hint="eastAsia" w:ascii="宋体" w:hAnsi="宋体" w:cs="Times New Roman"/>
          <w:color w:val="auto"/>
          <w:sz w:val="24"/>
          <w:szCs w:val="21"/>
          <w:highlight w:val="none"/>
        </w:rPr>
        <w:t>参加贵方组织的</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项目（项目编号：</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）的政府采购活动。按招标文件的规定，已递交人民币（大写）</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万元的投标保证金。</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投标人</w:t>
            </w: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全  称</w:t>
            </w:r>
          </w:p>
        </w:tc>
        <w:tc>
          <w:tcPr>
            <w:tcW w:w="7123" w:type="dxa"/>
            <w:gridSpan w:val="3"/>
            <w:noWrap w:val="0"/>
            <w:vAlign w:val="center"/>
          </w:tcPr>
          <w:p>
            <w:pPr>
              <w:widowControl/>
              <w:spacing w:line="360" w:lineRule="auto"/>
              <w:jc w:val="left"/>
              <w:rPr>
                <w:rFonts w:ascii="宋体" w:hAnsi="宋体" w:cs="宋体"/>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地  址</w:t>
            </w:r>
          </w:p>
        </w:tc>
        <w:tc>
          <w:tcPr>
            <w:tcW w:w="7123" w:type="dxa"/>
            <w:gridSpan w:val="3"/>
            <w:noWrap w:val="0"/>
            <w:vAlign w:val="center"/>
          </w:tcPr>
          <w:p>
            <w:pPr>
              <w:widowControl/>
              <w:spacing w:line="360" w:lineRule="auto"/>
              <w:jc w:val="left"/>
              <w:rPr>
                <w:rFonts w:ascii="宋体" w:hAnsi="宋体" w:cs="宋体"/>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邮  编</w:t>
            </w:r>
          </w:p>
        </w:tc>
        <w:tc>
          <w:tcPr>
            <w:tcW w:w="7123" w:type="dxa"/>
            <w:gridSpan w:val="3"/>
            <w:noWrap w:val="0"/>
            <w:vAlign w:val="center"/>
          </w:tcPr>
          <w:p>
            <w:pPr>
              <w:widowControl/>
              <w:spacing w:line="360" w:lineRule="auto"/>
              <w:jc w:val="left"/>
              <w:rPr>
                <w:rFonts w:ascii="宋体" w:hAnsi="宋体" w:cs="宋体"/>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联 系 人</w:t>
            </w:r>
          </w:p>
        </w:tc>
        <w:tc>
          <w:tcPr>
            <w:tcW w:w="2160" w:type="dxa"/>
            <w:noWrap w:val="0"/>
            <w:vAlign w:val="center"/>
          </w:tcPr>
          <w:p>
            <w:pPr>
              <w:widowControl/>
              <w:spacing w:line="360" w:lineRule="auto"/>
              <w:jc w:val="left"/>
              <w:rPr>
                <w:rFonts w:ascii="宋体" w:hAnsi="宋体" w:cs="宋体"/>
                <w:color w:val="auto"/>
                <w:kern w:val="0"/>
                <w:sz w:val="24"/>
                <w:szCs w:val="21"/>
                <w:highlight w:val="none"/>
              </w:rPr>
            </w:pPr>
          </w:p>
        </w:tc>
        <w:tc>
          <w:tcPr>
            <w:tcW w:w="1440"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联系电话</w:t>
            </w:r>
          </w:p>
        </w:tc>
        <w:tc>
          <w:tcPr>
            <w:tcW w:w="3523" w:type="dxa"/>
            <w:noWrap w:val="0"/>
            <w:vAlign w:val="center"/>
          </w:tcPr>
          <w:p>
            <w:pPr>
              <w:widowControl/>
              <w:spacing w:line="360" w:lineRule="auto"/>
              <w:jc w:val="left"/>
              <w:rPr>
                <w:rFonts w:ascii="宋体" w:hAnsi="宋体" w:cs="宋体"/>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开 户 银 行</w:t>
            </w:r>
          </w:p>
        </w:tc>
        <w:tc>
          <w:tcPr>
            <w:tcW w:w="7123" w:type="dxa"/>
            <w:gridSpan w:val="3"/>
            <w:noWrap w:val="0"/>
            <w:vAlign w:val="center"/>
          </w:tcPr>
          <w:p>
            <w:pPr>
              <w:widowControl/>
              <w:spacing w:line="360" w:lineRule="auto"/>
              <w:jc w:val="left"/>
              <w:rPr>
                <w:rFonts w:ascii="宋体" w:hAnsi="宋体" w:cs="Arial"/>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帐  号</w:t>
            </w:r>
          </w:p>
        </w:tc>
        <w:tc>
          <w:tcPr>
            <w:tcW w:w="7123" w:type="dxa"/>
            <w:gridSpan w:val="3"/>
            <w:noWrap w:val="0"/>
            <w:vAlign w:val="center"/>
          </w:tcPr>
          <w:p>
            <w:pPr>
              <w:widowControl/>
              <w:spacing w:line="360" w:lineRule="auto"/>
              <w:jc w:val="left"/>
              <w:rPr>
                <w:rFonts w:ascii="宋体" w:hAnsi="宋体" w:cs="Arial"/>
                <w:color w:val="auto"/>
                <w:kern w:val="0"/>
                <w:sz w:val="24"/>
                <w:szCs w:val="21"/>
                <w:highlight w:val="none"/>
              </w:rPr>
            </w:pPr>
          </w:p>
        </w:tc>
      </w:tr>
    </w:tbl>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9385" w:type="dxa"/>
            <w:noWrap w:val="0"/>
            <w:vAlign w:val="top"/>
          </w:tcPr>
          <w:p>
            <w:pPr>
              <w:spacing w:line="360" w:lineRule="auto"/>
              <w:rPr>
                <w:rFonts w:ascii="宋体" w:hAnsi="宋体" w:cs="Times New Roman"/>
                <w:b/>
                <w:color w:val="auto"/>
                <w:sz w:val="24"/>
                <w:szCs w:val="24"/>
                <w:highlight w:val="none"/>
              </w:rPr>
            </w:pPr>
            <w:r>
              <w:rPr>
                <w:rFonts w:hint="eastAsia" w:ascii="宋体" w:hAnsi="宋体" w:cs="Times New Roman"/>
                <w:b/>
                <w:color w:val="auto"/>
                <w:sz w:val="24"/>
                <w:szCs w:val="24"/>
                <w:highlight w:val="none"/>
              </w:rPr>
              <w:t>粘贴转帐、电汇或网上银行凭证（清晰影印件）</w:t>
            </w: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ind w:left="110" w:leftChars="38" w:hanging="31" w:hangingChars="13"/>
              <w:rPr>
                <w:rFonts w:ascii="宋体" w:hAnsi="宋体" w:cs="Times New Roman"/>
                <w:b/>
                <w:color w:val="auto"/>
                <w:sz w:val="24"/>
                <w:szCs w:val="20"/>
                <w:highlight w:val="none"/>
              </w:rPr>
            </w:pPr>
            <w:r>
              <w:rPr>
                <w:rFonts w:hint="eastAsia" w:ascii="宋体" w:hAnsi="宋体" w:cs="Times New Roman"/>
                <w:b/>
                <w:color w:val="auto"/>
                <w:sz w:val="24"/>
                <w:szCs w:val="20"/>
                <w:highlight w:val="none"/>
              </w:rPr>
              <w:t>注：在交款凭证备注中说明项目编号及开标时间</w:t>
            </w:r>
          </w:p>
        </w:tc>
      </w:tr>
    </w:tbl>
    <w:p>
      <w:pPr>
        <w:spacing w:line="360" w:lineRule="auto"/>
        <w:ind w:left="769" w:hanging="765" w:hangingChars="319"/>
        <w:jc w:val="left"/>
        <w:rPr>
          <w:rFonts w:ascii="宋体" w:hAnsi="宋体" w:cs="Times New Roman"/>
          <w:bCs/>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宋体" w:hAnsi="宋体" w:cs="Times New Roman"/>
          <w:b/>
          <w:color w:val="auto"/>
          <w:sz w:val="24"/>
          <w:szCs w:val="24"/>
          <w:highlight w:val="none"/>
        </w:rPr>
        <w:t>说明：</w:t>
      </w:r>
      <w:r>
        <w:rPr>
          <w:rFonts w:hint="eastAsia" w:ascii="宋体" w:hAnsi="宋体"/>
          <w:color w:val="auto"/>
          <w:sz w:val="24"/>
          <w:highlight w:val="none"/>
        </w:rPr>
        <w:t>投标人应认真填写银行信息，与转帐或电汇银行凭证的相关信息一致，采购代理机构将依据此凭证信息查退投标保证金。</w:t>
      </w:r>
    </w:p>
    <w:p>
      <w:pPr>
        <w:pStyle w:val="4"/>
        <w:numPr>
          <w:ilvl w:val="0"/>
          <w:numId w:val="38"/>
        </w:numPr>
        <w:spacing w:before="40" w:after="40" w:line="360" w:lineRule="auto"/>
        <w:ind w:left="1285" w:hanging="1285" w:hangingChars="400"/>
        <w:jc w:val="left"/>
        <w:rPr>
          <w:rFonts w:ascii="宋体" w:hAnsi="宋体"/>
          <w:color w:val="auto"/>
          <w:highlight w:val="none"/>
        </w:rPr>
      </w:pPr>
      <w:bookmarkStart w:id="177" w:name="_Toc511894538"/>
      <w:bookmarkStart w:id="178" w:name="_Toc511895479"/>
      <w:bookmarkStart w:id="179" w:name="_Toc17431"/>
      <w:bookmarkStart w:id="180" w:name="_Toc22811"/>
      <w:r>
        <w:rPr>
          <w:rFonts w:hint="eastAsia" w:ascii="宋体" w:hAnsi="宋体"/>
          <w:color w:val="auto"/>
          <w:highlight w:val="none"/>
        </w:rPr>
        <w:t>法定代表人授权书</w:t>
      </w:r>
      <w:bookmarkEnd w:id="177"/>
      <w:bookmarkEnd w:id="178"/>
      <w:bookmarkEnd w:id="179"/>
      <w:bookmarkEnd w:id="180"/>
    </w:p>
    <w:p>
      <w:pPr>
        <w:rPr>
          <w:color w:val="auto"/>
          <w:highlight w:val="none"/>
        </w:rPr>
      </w:pP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兹授权</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同志为我单位参加贵方组织的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项目</w:t>
      </w:r>
      <w:r>
        <w:rPr>
          <w:rFonts w:hint="eastAsia" w:ascii="宋体" w:hAnsi="宋体" w:cs="Times New Roman"/>
          <w:color w:val="auto"/>
          <w:sz w:val="24"/>
          <w:szCs w:val="24"/>
          <w:highlight w:val="none"/>
          <w:u w:val="single"/>
        </w:rPr>
        <w:t>（项目编号：______）</w:t>
      </w:r>
      <w:r>
        <w:rPr>
          <w:rFonts w:hint="eastAsia" w:ascii="宋体" w:hAnsi="宋体" w:cs="Times New Roman"/>
          <w:color w:val="auto"/>
          <w:sz w:val="24"/>
          <w:szCs w:val="24"/>
          <w:highlight w:val="none"/>
        </w:rPr>
        <w:t>采购活动的投标人授权代表，全权代表我公司处理在项目采购活动中的一切事宜。代理期限从</w:t>
      </w:r>
      <w:r>
        <w:rPr>
          <w:rFonts w:hint="eastAsia" w:ascii="宋体" w:hAnsi="宋体" w:cs="Times New Roman"/>
          <w:color w:val="auto"/>
          <w:sz w:val="24"/>
          <w:szCs w:val="24"/>
          <w:highlight w:val="none"/>
          <w:u w:val="single"/>
          <w:lang w:val="en-US" w:eastAsia="zh-CN"/>
        </w:rPr>
        <w:t>2021</w:t>
      </w:r>
      <w:r>
        <w:rPr>
          <w:rFonts w:hint="eastAsia" w:ascii="宋体" w:hAnsi="宋体" w:cs="Times New Roman"/>
          <w:color w:val="auto"/>
          <w:sz w:val="24"/>
          <w:szCs w:val="24"/>
          <w:highlight w:val="none"/>
        </w:rPr>
        <w:t>年</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月</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日起至</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年</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月</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日止。 </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被授权代表无转委托权。</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授权单位（公章）：</w:t>
      </w:r>
      <w:r>
        <w:rPr>
          <w:rFonts w:hint="eastAsia" w:hAnsi="宋体"/>
          <w:bCs/>
          <w:color w:val="auto"/>
          <w:sz w:val="24"/>
          <w:highlight w:val="none"/>
          <w:u w:val="single"/>
        </w:rPr>
        <w:t xml:space="preserve">                          </w:t>
      </w:r>
    </w:p>
    <w:p>
      <w:pPr>
        <w:spacing w:before="100" w:beforeAutospacing="1" w:after="100" w:afterAutospacing="1" w:line="360" w:lineRule="auto"/>
        <w:ind w:firstLine="3330" w:firstLineChars="1382"/>
        <w:rPr>
          <w:rFonts w:hAnsi="宋体"/>
          <w:b/>
          <w:bCs/>
          <w:color w:val="auto"/>
          <w:sz w:val="24"/>
          <w:highlight w:val="none"/>
          <w:u w:val="single"/>
        </w:rPr>
      </w:pPr>
      <w:r>
        <w:rPr>
          <w:rFonts w:hint="eastAsia" w:ascii="宋体" w:hAnsi="宋体" w:cs="Times New Roman"/>
          <w:b/>
          <w:bCs/>
          <w:color w:val="auto"/>
          <w:sz w:val="24"/>
          <w:szCs w:val="21"/>
          <w:highlight w:val="none"/>
        </w:rPr>
        <w:t>法定代表人（签字或盖章）</w:t>
      </w:r>
      <w:r>
        <w:rPr>
          <w:rFonts w:hint="eastAsia" w:hAnsi="宋体"/>
          <w:b/>
          <w:bCs/>
          <w:color w:val="auto"/>
          <w:sz w:val="24"/>
          <w:highlight w:val="none"/>
        </w:rPr>
        <w:t>：</w:t>
      </w:r>
      <w:r>
        <w:rPr>
          <w:rFonts w:hint="eastAsia" w:hAnsi="宋体"/>
          <w:b/>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cs="Times New Roman"/>
          <w:color w:val="auto"/>
          <w:sz w:val="24"/>
          <w:szCs w:val="24"/>
          <w:highlight w:val="none"/>
        </w:rPr>
        <w:t>日   期：</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年</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月</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日</w:t>
      </w:r>
    </w:p>
    <w:p>
      <w:pPr>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附：</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投标人授权代表单位名称：</w:t>
      </w:r>
      <w:r>
        <w:rPr>
          <w:rFonts w:hint="eastAsia" w:ascii="宋体" w:hAnsi="宋体" w:cs="Times New Roman"/>
          <w:color w:val="auto"/>
          <w:sz w:val="24"/>
          <w:szCs w:val="24"/>
          <w:highlight w:val="none"/>
          <w:u w:val="single"/>
        </w:rPr>
        <w:t xml:space="preserve">                     </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职务：</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 性别：</w:t>
      </w:r>
      <w:r>
        <w:rPr>
          <w:rFonts w:hint="eastAsia" w:ascii="宋体" w:hAnsi="宋体" w:cs="Times New Roman"/>
          <w:color w:val="auto"/>
          <w:sz w:val="24"/>
          <w:szCs w:val="24"/>
          <w:highlight w:val="none"/>
          <w:u w:val="single"/>
        </w:rPr>
        <w:t xml:space="preserve">       </w:t>
      </w:r>
    </w:p>
    <w:p>
      <w:pPr>
        <w:spacing w:line="360" w:lineRule="auto"/>
        <w:ind w:firstLine="480" w:firstLineChars="200"/>
        <w:rPr>
          <w:rFonts w:ascii="宋体" w:hAnsi="宋体" w:cs="Times New Roman"/>
          <w:color w:val="auto"/>
          <w:sz w:val="24"/>
          <w:szCs w:val="24"/>
          <w:highlight w:val="none"/>
          <w:u w:val="single"/>
        </w:rPr>
      </w:pPr>
      <w:r>
        <w:rPr>
          <w:rFonts w:hint="eastAsia" w:ascii="宋体" w:hAnsi="宋体" w:cs="Times New Roman"/>
          <w:color w:val="auto"/>
          <w:sz w:val="24"/>
          <w:szCs w:val="24"/>
          <w:highlight w:val="none"/>
        </w:rPr>
        <w:t>身份证号码：</w:t>
      </w:r>
      <w:r>
        <w:rPr>
          <w:rFonts w:hint="eastAsia" w:ascii="宋体" w:hAnsi="宋体" w:cs="Times New Roman"/>
          <w:color w:val="auto"/>
          <w:sz w:val="24"/>
          <w:szCs w:val="24"/>
          <w:highlight w:val="none"/>
          <w:u w:val="single"/>
        </w:rPr>
        <w:t xml:space="preserve">                   </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电话：</w:t>
      </w:r>
      <w:r>
        <w:rPr>
          <w:rFonts w:hint="eastAsia" w:ascii="宋体" w:hAnsi="宋体" w:cs="Times New Roman"/>
          <w:color w:val="auto"/>
          <w:sz w:val="24"/>
          <w:szCs w:val="24"/>
          <w:highlight w:val="none"/>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noWrap w:val="0"/>
            <w:vAlign w:val="top"/>
          </w:tcPr>
          <w:p>
            <w:pPr>
              <w:spacing w:line="300" w:lineRule="auto"/>
              <w:rPr>
                <w:rFonts w:ascii="宋体" w:hAnsi="宋体" w:cs="Times New Roman"/>
                <w:b/>
                <w:color w:val="auto"/>
                <w:sz w:val="24"/>
                <w:szCs w:val="24"/>
                <w:highlight w:val="none"/>
              </w:rPr>
            </w:pPr>
            <w:r>
              <w:rPr>
                <w:rFonts w:hint="eastAsia" w:ascii="宋体" w:hAnsi="宋体" w:cs="Times New Roman"/>
                <w:b/>
                <w:color w:val="auto"/>
                <w:sz w:val="24"/>
                <w:szCs w:val="24"/>
                <w:highlight w:val="none"/>
              </w:rPr>
              <w:t>粘贴被授权人身份证（清晰影印件）</w:t>
            </w:r>
          </w:p>
        </w:tc>
      </w:tr>
    </w:tbl>
    <w:p>
      <w:pPr>
        <w:pStyle w:val="4"/>
        <w:spacing w:before="40" w:after="40" w:line="360" w:lineRule="auto"/>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olor w:val="auto"/>
          <w:highlight w:val="none"/>
        </w:rPr>
      </w:pPr>
      <w:bookmarkStart w:id="181" w:name="_Toc8320"/>
      <w:bookmarkStart w:id="182" w:name="_Toc511895480"/>
      <w:bookmarkStart w:id="183" w:name="_Toc18733"/>
      <w:bookmarkStart w:id="184" w:name="_Toc511894539"/>
      <w:r>
        <w:rPr>
          <w:rFonts w:hint="eastAsia" w:ascii="宋体" w:hAnsi="宋体"/>
          <w:color w:val="auto"/>
          <w:highlight w:val="none"/>
        </w:rPr>
        <w:t>投标人的资格声明</w:t>
      </w:r>
      <w:bookmarkEnd w:id="181"/>
      <w:bookmarkEnd w:id="182"/>
      <w:bookmarkEnd w:id="183"/>
      <w:bookmarkEnd w:id="184"/>
    </w:p>
    <w:p>
      <w:pPr>
        <w:spacing w:line="360" w:lineRule="auto"/>
        <w:ind w:left="1082" w:hanging="1077" w:hangingChars="449"/>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rPr>
        <w:t>1．名称及基本情况：</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（1）投标人：</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（2）地址：</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     邮编：</w:t>
      </w:r>
      <w:r>
        <w:rPr>
          <w:rFonts w:hint="eastAsia" w:ascii="宋体" w:hAnsi="宋体" w:cs="Times New Roman"/>
          <w:color w:val="auto"/>
          <w:sz w:val="24"/>
          <w:szCs w:val="24"/>
          <w:highlight w:val="none"/>
          <w:u w:val="single"/>
        </w:rPr>
        <w:t xml:space="preserve">                   </w:t>
      </w:r>
    </w:p>
    <w:p>
      <w:pPr>
        <w:spacing w:line="360" w:lineRule="exact"/>
        <w:ind w:firstLine="840" w:firstLineChars="350"/>
        <w:rPr>
          <w:rFonts w:ascii="宋体" w:hAnsi="宋体" w:cs="Times New Roman"/>
          <w:color w:val="auto"/>
          <w:sz w:val="24"/>
          <w:szCs w:val="24"/>
          <w:highlight w:val="none"/>
          <w:u w:val="single"/>
        </w:rPr>
      </w:pPr>
      <w:r>
        <w:rPr>
          <w:rFonts w:hint="eastAsia" w:ascii="宋体" w:hAnsi="宋体" w:cs="Times New Roman"/>
          <w:color w:val="auto"/>
          <w:sz w:val="24"/>
          <w:szCs w:val="24"/>
          <w:highlight w:val="none"/>
        </w:rPr>
        <w:t>电话：</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     传真：</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（3）成立或注册日期：</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（4）单位性质：</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（5）法定代表人或主要负责人：</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（6）员工人数：</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（7）注册资本：</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（8）实收资本：</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（9）上年末资产负债表：</w:t>
      </w:r>
      <w:r>
        <w:rPr>
          <w:rFonts w:hint="eastAsia" w:ascii="宋体" w:hAnsi="宋体" w:cs="Times New Roman"/>
          <w:color w:val="auto"/>
          <w:sz w:val="24"/>
          <w:szCs w:val="24"/>
          <w:highlight w:val="none"/>
          <w:u w:val="single"/>
        </w:rPr>
        <w:t xml:space="preserve">                       </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1）固定资产</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原   值：</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    净   值： </w:t>
      </w:r>
      <w:r>
        <w:rPr>
          <w:rFonts w:hint="eastAsia" w:ascii="宋体" w:hAnsi="宋体" w:cs="Times New Roman"/>
          <w:color w:val="auto"/>
          <w:sz w:val="24"/>
          <w:szCs w:val="24"/>
          <w:highlight w:val="none"/>
          <w:u w:val="single"/>
        </w:rPr>
        <w:t xml:space="preserve">              </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2）流动资金：</w:t>
      </w:r>
      <w:r>
        <w:rPr>
          <w:rFonts w:hint="eastAsia" w:ascii="宋体" w:hAnsi="宋体" w:cs="Times New Roman"/>
          <w:color w:val="auto"/>
          <w:sz w:val="24"/>
          <w:szCs w:val="24"/>
          <w:highlight w:val="none"/>
          <w:u w:val="single"/>
        </w:rPr>
        <w:t xml:space="preserve">                      </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3）长期负债：</w:t>
      </w:r>
      <w:r>
        <w:rPr>
          <w:rFonts w:hint="eastAsia" w:ascii="宋体" w:hAnsi="宋体" w:cs="Times New Roman"/>
          <w:color w:val="auto"/>
          <w:sz w:val="24"/>
          <w:szCs w:val="24"/>
          <w:highlight w:val="none"/>
          <w:u w:val="single"/>
        </w:rPr>
        <w:t xml:space="preserve">                      </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4）短期负债：</w:t>
      </w:r>
      <w:r>
        <w:rPr>
          <w:rFonts w:hint="eastAsia" w:ascii="宋体" w:hAnsi="宋体" w:cs="Times New Roman"/>
          <w:color w:val="auto"/>
          <w:sz w:val="24"/>
          <w:szCs w:val="24"/>
          <w:highlight w:val="none"/>
          <w:u w:val="single"/>
        </w:rPr>
        <w:t xml:space="preserve">                      </w:t>
      </w:r>
    </w:p>
    <w:p>
      <w:pPr>
        <w:spacing w:line="360" w:lineRule="auto"/>
        <w:ind w:left="1082" w:hanging="1077" w:hangingChars="449"/>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rPr>
        <w:t xml:space="preserve">2．与投标货物的生产、销售和服务有关的情况：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（1）关于制造投标货物的设施及其它情况：</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生产基地地址</w:t>
            </w:r>
          </w:p>
        </w:tc>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生产的项目</w:t>
            </w:r>
          </w:p>
        </w:tc>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年生产能力</w:t>
            </w:r>
          </w:p>
        </w:tc>
        <w:tc>
          <w:tcPr>
            <w:tcW w:w="2384"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员工人数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4"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4"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r>
    </w:tbl>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（2）投标人生产此投标货物的经验（包括年限、项目业主、额定能力、商业运营的起始日期等）：</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（3）销售、服务网点分布（可另行附表）：</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647"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销售服务网点名称和地址</w:t>
            </w:r>
          </w:p>
        </w:tc>
        <w:tc>
          <w:tcPr>
            <w:tcW w:w="2155"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主要服务范围</w:t>
            </w:r>
          </w:p>
        </w:tc>
        <w:tc>
          <w:tcPr>
            <w:tcW w:w="176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服务人员数</w:t>
            </w:r>
          </w:p>
        </w:tc>
        <w:tc>
          <w:tcPr>
            <w:tcW w:w="1968"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内部等级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155"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176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1968"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155"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176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1968"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r>
    </w:tbl>
    <w:p>
      <w:pPr>
        <w:spacing w:line="360" w:lineRule="exact"/>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3．投标人认为需要声明的其它情况：                         </w:t>
      </w:r>
    </w:p>
    <w:p>
      <w:pPr>
        <w:spacing w:line="360" w:lineRule="exact"/>
        <w:ind w:firstLine="475" w:firstLineChars="198"/>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兹证明上述声明是真实的、正确，并提供了全部能提供的资料和数据，同意按照采购代理机构要求出示有关证明文件。                      </w:t>
      </w:r>
    </w:p>
    <w:p>
      <w:pPr>
        <w:spacing w:line="360" w:lineRule="auto"/>
        <w:ind w:firstLine="3316" w:firstLineChars="1382"/>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w:t>
      </w:r>
      <w:r>
        <w:rPr>
          <w:rFonts w:hint="eastAsia" w:hAnsi="宋体" w:cs="Times New Roman"/>
          <w:color w:val="auto"/>
          <w:sz w:val="24"/>
          <w:szCs w:val="24"/>
          <w:highlight w:val="none"/>
        </w:rPr>
        <w:t>（公章）</w:t>
      </w: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u w:val="single"/>
        </w:rPr>
        <w:t xml:space="preserve">                      </w:t>
      </w:r>
    </w:p>
    <w:p>
      <w:pPr>
        <w:spacing w:line="360" w:lineRule="auto"/>
        <w:ind w:firstLine="3316" w:firstLineChars="1382"/>
        <w:rPr>
          <w:rFonts w:ascii="宋体" w:hAnsi="宋体" w:cs="Times New Roman"/>
          <w:b/>
          <w:color w:val="auto"/>
          <w:sz w:val="24"/>
          <w:szCs w:val="24"/>
          <w:highlight w:val="none"/>
        </w:rPr>
      </w:pPr>
      <w:r>
        <w:rPr>
          <w:rFonts w:hint="eastAsia" w:hAnsi="宋体" w:cs="Times New Roman"/>
          <w:b/>
          <w:color w:val="auto"/>
          <w:sz w:val="24"/>
          <w:szCs w:val="24"/>
          <w:highlight w:val="none"/>
        </w:rPr>
        <w:t>法定代表人（签字或盖章）</w:t>
      </w:r>
      <w:r>
        <w:rPr>
          <w:rFonts w:hint="eastAsia" w:ascii="宋体" w:hAnsi="宋体" w:cs="Times New Roman"/>
          <w:b/>
          <w:color w:val="auto"/>
          <w:sz w:val="24"/>
          <w:szCs w:val="24"/>
          <w:highlight w:val="none"/>
        </w:rPr>
        <w:t>：</w:t>
      </w:r>
      <w:r>
        <w:rPr>
          <w:rFonts w:hint="eastAsia" w:ascii="宋体" w:hAnsi="宋体" w:cs="Times New Roman"/>
          <w:b/>
          <w:color w:val="auto"/>
          <w:sz w:val="24"/>
          <w:szCs w:val="24"/>
          <w:highlight w:val="none"/>
          <w:u w:val="single"/>
        </w:rPr>
        <w:t xml:space="preserve">            </w:t>
      </w:r>
    </w:p>
    <w:p>
      <w:pPr>
        <w:spacing w:line="360" w:lineRule="auto"/>
        <w:ind w:firstLine="3316" w:firstLineChars="1382"/>
        <w:rPr>
          <w:rFonts w:ascii="宋体" w:hAnsi="宋体" w:cs="Times New Roman"/>
          <w:color w:val="auto"/>
          <w:sz w:val="24"/>
          <w:szCs w:val="24"/>
          <w:highlight w:val="none"/>
        </w:rPr>
      </w:pPr>
      <w:r>
        <w:rPr>
          <w:rFonts w:hint="eastAsia" w:ascii="宋体" w:hAnsi="宋体" w:cs="Times New Roman"/>
          <w:color w:val="auto"/>
          <w:sz w:val="24"/>
          <w:szCs w:val="24"/>
          <w:highlight w:val="none"/>
        </w:rPr>
        <w:t>电    话：</w:t>
      </w:r>
      <w:r>
        <w:rPr>
          <w:rFonts w:hint="eastAsia" w:ascii="宋体" w:hAnsi="宋体" w:cs="Times New Roman"/>
          <w:color w:val="auto"/>
          <w:sz w:val="24"/>
          <w:szCs w:val="24"/>
          <w:highlight w:val="none"/>
          <w:u w:val="single"/>
        </w:rPr>
        <w:t xml:space="preserve">                    </w:t>
      </w:r>
    </w:p>
    <w:p>
      <w:pPr>
        <w:spacing w:line="360" w:lineRule="auto"/>
        <w:ind w:firstLine="3316" w:firstLineChars="1382"/>
        <w:rPr>
          <w:rFonts w:ascii="宋体" w:hAnsi="宋体" w:cs="Times New Roman"/>
          <w:color w:val="auto"/>
          <w:sz w:val="24"/>
          <w:szCs w:val="24"/>
          <w:highlight w:val="none"/>
          <w:u w:val="single"/>
        </w:rPr>
      </w:pPr>
      <w:r>
        <w:rPr>
          <w:rFonts w:hint="eastAsia" w:ascii="宋体" w:hAnsi="宋体" w:cs="Times New Roman"/>
          <w:color w:val="auto"/>
          <w:sz w:val="24"/>
          <w:szCs w:val="24"/>
          <w:highlight w:val="none"/>
        </w:rPr>
        <w:t>传    真：</w:t>
      </w:r>
      <w:r>
        <w:rPr>
          <w:rFonts w:hint="eastAsia" w:ascii="宋体" w:hAnsi="宋体" w:cs="Times New Roman"/>
          <w:color w:val="auto"/>
          <w:sz w:val="24"/>
          <w:szCs w:val="24"/>
          <w:highlight w:val="none"/>
          <w:u w:val="single"/>
        </w:rPr>
        <w:t xml:space="preserve">                    </w:t>
      </w:r>
    </w:p>
    <w:p>
      <w:pPr>
        <w:spacing w:line="360" w:lineRule="auto"/>
        <w:ind w:firstLine="3316" w:firstLineChars="1382"/>
        <w:rPr>
          <w:rFonts w:ascii="宋体" w:hAnsi="宋体" w:cs="Times New Roman"/>
          <w:color w:val="auto"/>
          <w:sz w:val="24"/>
          <w:szCs w:val="24"/>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宋体" w:hAnsi="宋体" w:cs="Times New Roman"/>
          <w:color w:val="auto"/>
          <w:sz w:val="24"/>
          <w:szCs w:val="24"/>
          <w:highlight w:val="none"/>
        </w:rPr>
        <w:t>日    期：</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年</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月</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日</w:t>
      </w:r>
    </w:p>
    <w:p>
      <w:pPr>
        <w:pStyle w:val="4"/>
        <w:numPr>
          <w:ilvl w:val="0"/>
          <w:numId w:val="38"/>
        </w:numPr>
        <w:spacing w:before="40" w:after="40" w:line="360" w:lineRule="auto"/>
        <w:ind w:left="1285" w:hanging="1285" w:hangingChars="400"/>
        <w:jc w:val="left"/>
        <w:rPr>
          <w:rFonts w:ascii="宋体" w:hAnsi="宋体"/>
          <w:color w:val="auto"/>
          <w:highlight w:val="none"/>
        </w:rPr>
      </w:pPr>
      <w:bookmarkStart w:id="185" w:name="_Toc511895481"/>
      <w:bookmarkStart w:id="186" w:name="_Toc511894540"/>
      <w:bookmarkStart w:id="187" w:name="_Toc16455"/>
      <w:bookmarkStart w:id="188" w:name="_Toc25150"/>
      <w:r>
        <w:rPr>
          <w:rFonts w:hint="eastAsia" w:ascii="宋体" w:hAnsi="宋体"/>
          <w:color w:val="auto"/>
          <w:highlight w:val="none"/>
        </w:rPr>
        <w:t>项目负责人、技术负责人简历表</w:t>
      </w:r>
      <w:bookmarkEnd w:id="185"/>
      <w:bookmarkEnd w:id="186"/>
      <w:bookmarkEnd w:id="187"/>
      <w:bookmarkEnd w:id="188"/>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姓    名</w:t>
            </w:r>
          </w:p>
        </w:tc>
        <w:tc>
          <w:tcPr>
            <w:tcW w:w="1530" w:type="dxa"/>
            <w:gridSpan w:val="2"/>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ind w:right="-128" w:rightChars="-61"/>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性    别</w:t>
            </w:r>
          </w:p>
        </w:tc>
        <w:tc>
          <w:tcPr>
            <w:tcW w:w="1530" w:type="dxa"/>
            <w:gridSpan w:val="2"/>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ind w:right="2" w:rightChars="1"/>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年    龄</w:t>
            </w:r>
          </w:p>
        </w:tc>
        <w:tc>
          <w:tcPr>
            <w:tcW w:w="1530" w:type="dxa"/>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职    务</w:t>
            </w:r>
          </w:p>
        </w:tc>
        <w:tc>
          <w:tcPr>
            <w:tcW w:w="1530" w:type="dxa"/>
            <w:gridSpan w:val="2"/>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ind w:right="-84" w:rightChars="-40"/>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职    称</w:t>
            </w:r>
          </w:p>
        </w:tc>
        <w:tc>
          <w:tcPr>
            <w:tcW w:w="1530" w:type="dxa"/>
            <w:gridSpan w:val="2"/>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ind w:right="2" w:rightChars="1"/>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学    历</w:t>
            </w:r>
          </w:p>
        </w:tc>
        <w:tc>
          <w:tcPr>
            <w:tcW w:w="1530" w:type="dxa"/>
            <w:noWrap w:val="0"/>
            <w:vAlign w:val="center"/>
          </w:tcPr>
          <w:p>
            <w:pPr>
              <w:autoSpaceDE w:val="0"/>
              <w:autoSpaceDN w:val="0"/>
              <w:adjustRightInd w:val="0"/>
              <w:spacing w:line="360" w:lineRule="auto"/>
              <w:ind w:right="2" w:rightChars="1"/>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参加工作</w:t>
            </w:r>
          </w:p>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时间</w:t>
            </w:r>
          </w:p>
        </w:tc>
        <w:tc>
          <w:tcPr>
            <w:tcW w:w="1530" w:type="dxa"/>
            <w:gridSpan w:val="2"/>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从事本行业工作年限</w:t>
            </w:r>
          </w:p>
        </w:tc>
        <w:tc>
          <w:tcPr>
            <w:tcW w:w="1530" w:type="dxa"/>
            <w:gridSpan w:val="2"/>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个人专业资质及证书</w:t>
            </w:r>
          </w:p>
        </w:tc>
        <w:tc>
          <w:tcPr>
            <w:tcW w:w="1530" w:type="dxa"/>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项目单位</w:t>
            </w: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项目名称</w:t>
            </w: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项目内容</w:t>
            </w: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项目金额</w:t>
            </w: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bl>
    <w:p>
      <w:pPr>
        <w:spacing w:line="360" w:lineRule="auto"/>
        <w:ind w:left="723" w:hanging="723" w:hangingChars="300"/>
        <w:jc w:val="left"/>
        <w:rPr>
          <w:rFonts w:ascii="宋体" w:hAnsi="宋体" w:cs="Times New Roman"/>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s="Times New Roman"/>
          <w:color w:val="auto"/>
          <w:sz w:val="24"/>
          <w:szCs w:val="24"/>
          <w:highlight w:val="none"/>
        </w:rPr>
        <w:t>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189" w:name="_Toc511894541"/>
      <w:bookmarkStart w:id="190" w:name="_Toc28412"/>
      <w:bookmarkStart w:id="191" w:name="_Toc21466"/>
      <w:bookmarkStart w:id="192" w:name="_Toc511895482"/>
      <w:r>
        <w:rPr>
          <w:rFonts w:hint="eastAsia" w:ascii="宋体" w:hAnsi="宋体" w:cs="Times New Roman"/>
          <w:bCs w:val="0"/>
          <w:color w:val="auto"/>
          <w:highlight w:val="none"/>
        </w:rPr>
        <w:t>项目班子成员情况表</w:t>
      </w:r>
      <w:bookmarkEnd w:id="189"/>
      <w:bookmarkEnd w:id="190"/>
      <w:bookmarkEnd w:id="191"/>
      <w:bookmarkEnd w:id="192"/>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4BC96" w:fill="DDD9C3"/>
            <w:noWrap w:val="0"/>
            <w:vAlign w:val="center"/>
          </w:tcPr>
          <w:p>
            <w:pPr>
              <w:spacing w:before="100" w:beforeAutospacing="1" w:after="100" w:afterAutospacing="1"/>
              <w:ind w:left="-105" w:leftChars="-50" w:right="-105" w:rightChars="-50"/>
              <w:jc w:val="center"/>
              <w:rPr>
                <w:rFonts w:ascii="宋体" w:hAnsi="宋体" w:cs="Times New Roman"/>
                <w:b/>
                <w:color w:val="auto"/>
                <w:sz w:val="24"/>
                <w:szCs w:val="24"/>
                <w:highlight w:val="none"/>
              </w:rPr>
            </w:pPr>
            <w:r>
              <w:rPr>
                <w:rFonts w:hint="eastAsia" w:ascii="宋体" w:hAnsi="宋体" w:cs="仿宋_GB2312"/>
                <w:b/>
                <w:color w:val="auto"/>
                <w:sz w:val="24"/>
                <w:szCs w:val="24"/>
                <w:highlight w:val="none"/>
              </w:rPr>
              <w:t>序号</w:t>
            </w:r>
          </w:p>
        </w:tc>
        <w:tc>
          <w:tcPr>
            <w:tcW w:w="1113"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姓 名</w:t>
            </w:r>
          </w:p>
        </w:tc>
        <w:tc>
          <w:tcPr>
            <w:tcW w:w="1533"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专 业</w:t>
            </w:r>
          </w:p>
        </w:tc>
        <w:tc>
          <w:tcPr>
            <w:tcW w:w="1134"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年 龄</w:t>
            </w:r>
          </w:p>
        </w:tc>
        <w:tc>
          <w:tcPr>
            <w:tcW w:w="1491"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kern w:val="0"/>
                <w:sz w:val="24"/>
                <w:szCs w:val="28"/>
                <w:highlight w:val="none"/>
              </w:rPr>
              <w:t>从事本行业工作年限</w:t>
            </w:r>
          </w:p>
        </w:tc>
        <w:tc>
          <w:tcPr>
            <w:tcW w:w="1843"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在本项目中承担的工作</w:t>
            </w:r>
          </w:p>
        </w:tc>
        <w:tc>
          <w:tcPr>
            <w:tcW w:w="1842"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kern w:val="0"/>
                <w:sz w:val="24"/>
                <w:szCs w:val="28"/>
                <w:highlight w:val="none"/>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jc w:val="center"/>
              <w:rPr>
                <w:rFonts w:ascii="宋体" w:hAnsi="宋体" w:cs="Times New Roman"/>
                <w:b/>
                <w:color w:val="auto"/>
                <w:sz w:val="24"/>
                <w:szCs w:val="24"/>
                <w:highlight w:val="none"/>
              </w:rPr>
            </w:pPr>
            <w:r>
              <w:rPr>
                <w:rFonts w:ascii="宋体" w:hAnsi="宋体" w:cs="Times New Roman"/>
                <w:b/>
                <w:color w:val="auto"/>
                <w:sz w:val="24"/>
                <w:szCs w:val="24"/>
                <w:highlight w:val="none"/>
              </w:rPr>
              <w:t>…</w:t>
            </w: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bl>
    <w:p>
      <w:pPr>
        <w:spacing w:line="360" w:lineRule="auto"/>
        <w:ind w:left="754" w:hanging="751" w:hangingChars="313"/>
        <w:jc w:val="left"/>
        <w:rPr>
          <w:rFonts w:ascii="宋体" w:hAnsi="宋体" w:cs="Times New Roman"/>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olor w:val="auto"/>
          <w:sz w:val="24"/>
          <w:highlight w:val="none"/>
        </w:rPr>
        <w:t>投标文件正本应附完整的相关证明材料清晰影印件</w:t>
      </w:r>
      <w:r>
        <w:rPr>
          <w:rFonts w:hint="eastAsia" w:ascii="宋体" w:hAnsi="宋体" w:cs="Times New Roman"/>
          <w:color w:val="auto"/>
          <w:sz w:val="24"/>
          <w:szCs w:val="24"/>
          <w:highlight w:val="none"/>
        </w:rPr>
        <w:t>，</w:t>
      </w:r>
      <w:r>
        <w:rPr>
          <w:rFonts w:hint="eastAsia" w:ascii="宋体" w:hAnsi="宋体" w:cs="Corbel"/>
          <w:color w:val="auto"/>
          <w:sz w:val="24"/>
          <w:szCs w:val="21"/>
          <w:highlight w:val="none"/>
        </w:rPr>
        <w:t>未按照要求详细完整填写此表，</w:t>
      </w:r>
      <w:r>
        <w:rPr>
          <w:rFonts w:hint="eastAsia" w:ascii="宋体" w:hAnsi="宋体" w:cs="Times New Roman"/>
          <w:color w:val="auto"/>
          <w:sz w:val="24"/>
          <w:szCs w:val="21"/>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0"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93" w:name="_Toc511894542"/>
      <w:bookmarkStart w:id="194" w:name="_Toc18617"/>
      <w:bookmarkStart w:id="195" w:name="_Toc511895483"/>
      <w:bookmarkStart w:id="196" w:name="_Toc15747"/>
      <w:r>
        <w:rPr>
          <w:rFonts w:hint="eastAsia" w:ascii="宋体" w:hAnsi="宋体" w:cs="Times New Roman"/>
          <w:bCs w:val="0"/>
          <w:color w:val="auto"/>
          <w:highlight w:val="none"/>
        </w:rPr>
        <w:t>投标人类似项目业绩表</w:t>
      </w:r>
      <w:bookmarkEnd w:id="193"/>
      <w:bookmarkEnd w:id="194"/>
      <w:bookmarkEnd w:id="195"/>
      <w:bookmarkEnd w:id="196"/>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项目单位名称</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项目名称</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项目单位联系人姓名及联系方式</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项目金额</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项目负责人姓名</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项目时间</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项目内容</w:t>
            </w:r>
          </w:p>
        </w:tc>
        <w:tc>
          <w:tcPr>
            <w:tcW w:w="7200" w:type="dxa"/>
            <w:noWrap w:val="0"/>
            <w:vAlign w:val="top"/>
          </w:tcPr>
          <w:p>
            <w:pPr>
              <w:rPr>
                <w:rFonts w:ascii="宋体" w:hAnsi="宋体" w:cs="Courier New"/>
                <w:color w:val="auto"/>
                <w:sz w:val="24"/>
                <w:szCs w:val="24"/>
                <w:highlight w:val="none"/>
              </w:rPr>
            </w:pPr>
          </w:p>
        </w:tc>
      </w:tr>
    </w:tbl>
    <w:p>
      <w:pPr>
        <w:spacing w:line="360" w:lineRule="auto"/>
        <w:ind w:left="1132" w:hanging="1132" w:hangingChars="470"/>
        <w:jc w:val="left"/>
        <w:rPr>
          <w:rFonts w:ascii="宋体" w:hAnsi="宋体" w:cs="Times New Roman"/>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s="Times New Roman"/>
          <w:color w:val="auto"/>
          <w:sz w:val="24"/>
          <w:szCs w:val="24"/>
          <w:highlight w:val="none"/>
        </w:rPr>
        <w:t>1、每个合同应单独附表，并附上相关证明材料，</w:t>
      </w:r>
      <w:r>
        <w:rPr>
          <w:rFonts w:hint="eastAsia" w:ascii="宋体" w:hAnsi="宋体" w:cs="Corbel"/>
          <w:color w:val="auto"/>
          <w:sz w:val="24"/>
          <w:szCs w:val="24"/>
          <w:highlight w:val="none"/>
        </w:rPr>
        <w:t>未按照要求详细完整填写此表，</w:t>
      </w:r>
      <w:r>
        <w:rPr>
          <w:rFonts w:hint="eastAsia" w:ascii="宋体" w:hAnsi="宋体" w:cs="Times New Roman"/>
          <w:color w:val="auto"/>
          <w:sz w:val="24"/>
          <w:szCs w:val="24"/>
          <w:highlight w:val="none"/>
        </w:rPr>
        <w:t>导致的后果由投标人自行承担。</w:t>
      </w:r>
    </w:p>
    <w:p>
      <w:pPr>
        <w:spacing w:line="360" w:lineRule="auto"/>
        <w:ind w:left="1119" w:leftChars="366" w:hanging="350" w:hangingChars="146"/>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2、项目内容请详细说明所承担的具体工作内容等。</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197" w:name="_Toc9339"/>
      <w:bookmarkStart w:id="198" w:name="_Toc31230"/>
      <w:bookmarkStart w:id="199" w:name="_Toc511895484"/>
      <w:bookmarkStart w:id="200" w:name="_Toc511894543"/>
      <w:r>
        <w:rPr>
          <w:rFonts w:hint="eastAsia" w:ascii="宋体" w:hAnsi="宋体" w:cs="Times New Roman"/>
          <w:bCs w:val="0"/>
          <w:color w:val="auto"/>
          <w:highlight w:val="none"/>
        </w:rPr>
        <w:t>符合性审查对照表</w:t>
      </w:r>
      <w:bookmarkEnd w:id="197"/>
      <w:bookmarkEnd w:id="198"/>
      <w:bookmarkEnd w:id="199"/>
      <w:bookmarkEnd w:id="200"/>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3036"/>
        <w:gridCol w:w="3050"/>
        <w:gridCol w:w="1175"/>
        <w:gridCol w:w="14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9"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036"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招标文件符合性审查条款的序号及内容</w:t>
            </w:r>
          </w:p>
        </w:tc>
        <w:tc>
          <w:tcPr>
            <w:tcW w:w="3050"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175"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493" w:type="dxa"/>
            <w:shd w:val="pct10" w:color="C4BC96" w:fill="DDD9C3"/>
            <w:noWrap w:val="0"/>
            <w:vAlign w:val="top"/>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bl>
    <w:p>
      <w:pPr>
        <w:spacing w:line="360" w:lineRule="auto"/>
        <w:ind w:left="1132" w:hanging="1128" w:hangingChars="470"/>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s="Corbel"/>
          <w:b/>
          <w:color w:val="auto"/>
          <w:sz w:val="24"/>
          <w:szCs w:val="24"/>
          <w:highlight w:val="none"/>
        </w:rPr>
        <w:t>：</w:t>
      </w:r>
      <w:r>
        <w:rPr>
          <w:rFonts w:hint="eastAsia" w:ascii="宋体" w:hAnsi="宋体" w:cs="Corbel"/>
          <w:color w:val="auto"/>
          <w:sz w:val="24"/>
          <w:szCs w:val="24"/>
          <w:highlight w:val="none"/>
        </w:rPr>
        <w:t>1</w:t>
      </w:r>
      <w:r>
        <w:rPr>
          <w:rFonts w:hint="eastAsia" w:ascii="宋体" w:hAnsi="宋体" w:cs="Times New Roman"/>
          <w:color w:val="auto"/>
          <w:sz w:val="24"/>
          <w:szCs w:val="24"/>
          <w:highlight w:val="none"/>
        </w:rPr>
        <w:t>、</w:t>
      </w:r>
      <w:r>
        <w:rPr>
          <w:rFonts w:hint="eastAsia" w:ascii="宋体" w:hAnsi="宋体" w:cs="Corbel"/>
          <w:color w:val="auto"/>
          <w:sz w:val="24"/>
          <w:szCs w:val="24"/>
          <w:highlight w:val="none"/>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8" w:leftChars="366" w:hanging="350" w:hangingChars="146"/>
        <w:jc w:val="left"/>
        <w:rPr>
          <w:rFonts w:ascii="宋体" w:hAnsi="宋体" w:cs="Times New Roman"/>
          <w:b/>
          <w:color w:val="auto"/>
          <w:sz w:val="24"/>
          <w:szCs w:val="24"/>
          <w:highlight w:val="none"/>
        </w:rPr>
      </w:pPr>
      <w:r>
        <w:rPr>
          <w:rFonts w:hint="eastAsia" w:ascii="宋体" w:hAnsi="宋体" w:cs="Corbel"/>
          <w:color w:val="auto"/>
          <w:sz w:val="24"/>
          <w:szCs w:val="24"/>
          <w:highlight w:val="none"/>
        </w:rPr>
        <w:t>2、</w:t>
      </w:r>
      <w:r>
        <w:rPr>
          <w:rFonts w:hint="eastAsia" w:ascii="宋体" w:hAnsi="宋体" w:cs="Times New Roman"/>
          <w:color w:val="auto"/>
          <w:sz w:val="24"/>
          <w:szCs w:val="24"/>
          <w:highlight w:val="none"/>
        </w:rPr>
        <w:t>投标人</w:t>
      </w:r>
      <w:r>
        <w:rPr>
          <w:rFonts w:hint="eastAsia" w:ascii="宋体" w:hAnsi="宋体" w:cs="Corbel"/>
          <w:color w:val="auto"/>
          <w:sz w:val="24"/>
          <w:szCs w:val="24"/>
          <w:highlight w:val="none"/>
        </w:rPr>
        <w:t>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0"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201" w:name="_Toc21602"/>
      <w:bookmarkStart w:id="202" w:name="_Toc511894544"/>
      <w:bookmarkStart w:id="203" w:name="_Toc511895485"/>
      <w:bookmarkStart w:id="204" w:name="_Toc26711"/>
      <w:r>
        <w:rPr>
          <w:rFonts w:hint="eastAsia" w:ascii="宋体" w:hAnsi="宋体" w:cs="Times New Roman"/>
          <w:bCs w:val="0"/>
          <w:color w:val="auto"/>
          <w:highlight w:val="none"/>
        </w:rPr>
        <w:t>商务要求响应、偏离说明表</w:t>
      </w:r>
      <w:bookmarkEnd w:id="201"/>
      <w:bookmarkEnd w:id="202"/>
      <w:bookmarkEnd w:id="203"/>
      <w:bookmarkEnd w:id="204"/>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7"/>
        <w:gridCol w:w="3038"/>
        <w:gridCol w:w="3050"/>
        <w:gridCol w:w="1177"/>
        <w:gridCol w:w="1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7"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038"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招标文件商务要求条款的序号及内容</w:t>
            </w:r>
          </w:p>
        </w:tc>
        <w:tc>
          <w:tcPr>
            <w:tcW w:w="3050"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177"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491" w:type="dxa"/>
            <w:shd w:val="pct10" w:color="C4BC96" w:fill="DDD9C3"/>
            <w:noWrap w:val="0"/>
            <w:vAlign w:val="top"/>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bl>
    <w:p>
      <w:pPr>
        <w:spacing w:line="360" w:lineRule="auto"/>
        <w:ind w:left="1132" w:hanging="1132" w:hangingChars="470"/>
        <w:jc w:val="left"/>
        <w:rPr>
          <w:rFonts w:ascii="宋体" w:hAnsi="宋体" w:cs="Times New Roman"/>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s="Corbel"/>
          <w:b/>
          <w:color w:val="auto"/>
          <w:sz w:val="24"/>
          <w:szCs w:val="24"/>
          <w:highlight w:val="none"/>
        </w:rPr>
        <w:t>：</w:t>
      </w:r>
      <w:r>
        <w:rPr>
          <w:rFonts w:hint="eastAsia" w:ascii="宋体" w:hAnsi="宋体" w:cs="Corbel"/>
          <w:color w:val="auto"/>
          <w:sz w:val="24"/>
          <w:szCs w:val="24"/>
          <w:highlight w:val="none"/>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9" w:leftChars="366" w:hanging="350" w:hangingChars="146"/>
        <w:jc w:val="left"/>
        <w:rPr>
          <w:rFonts w:ascii="宋体" w:hAnsi="宋体" w:cs="Times New Roman"/>
          <w:color w:val="auto"/>
          <w:sz w:val="24"/>
          <w:szCs w:val="24"/>
          <w:highlight w:val="none"/>
        </w:rPr>
      </w:pPr>
      <w:r>
        <w:rPr>
          <w:rFonts w:hint="eastAsia" w:ascii="宋体" w:hAnsi="宋体" w:cs="Corbel"/>
          <w:color w:val="auto"/>
          <w:sz w:val="24"/>
          <w:szCs w:val="24"/>
          <w:highlight w:val="none"/>
        </w:rPr>
        <w:t>2、投标人</w:t>
      </w:r>
      <w:r>
        <w:rPr>
          <w:rFonts w:hint="eastAsia" w:ascii="宋体" w:hAnsi="宋体" w:cs="Times New Roman"/>
          <w:color w:val="auto"/>
          <w:sz w:val="24"/>
          <w:szCs w:val="24"/>
          <w:highlight w:val="none"/>
        </w:rPr>
        <w:t>提供</w:t>
      </w:r>
      <w:r>
        <w:rPr>
          <w:rFonts w:hint="eastAsia" w:ascii="宋体" w:hAnsi="宋体" w:cs="Corbel"/>
          <w:color w:val="auto"/>
          <w:sz w:val="24"/>
          <w:szCs w:val="24"/>
          <w:highlight w:val="none"/>
        </w:rPr>
        <w:t>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205" w:name="_Toc511894545"/>
      <w:bookmarkStart w:id="206" w:name="_Toc4931"/>
      <w:bookmarkStart w:id="207" w:name="_Toc17362"/>
      <w:bookmarkStart w:id="208" w:name="_Toc511895486"/>
      <w:r>
        <w:rPr>
          <w:rFonts w:hint="eastAsia" w:ascii="宋体" w:hAnsi="宋体" w:cs="Times New Roman"/>
          <w:bCs w:val="0"/>
          <w:color w:val="auto"/>
          <w:highlight w:val="none"/>
        </w:rPr>
        <w:t>商务要求“</w:t>
      </w:r>
      <w:r>
        <w:rPr>
          <w:rFonts w:hint="eastAsia" w:ascii="宋体" w:hAnsi="宋体" w:eastAsia="宋体" w:cs="宋体"/>
          <w:i w:val="0"/>
          <w:color w:val="auto"/>
          <w:kern w:val="0"/>
          <w:sz w:val="24"/>
          <w:szCs w:val="24"/>
          <w:u w:val="none"/>
          <w:lang w:val="en-US" w:eastAsia="zh-CN" w:bidi="ar"/>
        </w:rPr>
        <w:t>★</w:t>
      </w:r>
      <w:r>
        <w:rPr>
          <w:rFonts w:hint="eastAsia" w:ascii="宋体" w:hAnsi="宋体" w:cs="Times New Roman"/>
          <w:bCs w:val="0"/>
          <w:color w:val="auto"/>
          <w:highlight w:val="none"/>
        </w:rPr>
        <w:t>”号条款响应、偏离说明表</w:t>
      </w:r>
      <w:bookmarkEnd w:id="205"/>
      <w:bookmarkEnd w:id="206"/>
      <w:bookmarkEnd w:id="207"/>
      <w:bookmarkEnd w:id="208"/>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3048"/>
        <w:gridCol w:w="3048"/>
        <w:gridCol w:w="1183"/>
        <w:gridCol w:w="1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75"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048"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招标文件商务要求“</w:t>
            </w:r>
            <w:r>
              <w:rPr>
                <w:rFonts w:hint="eastAsia" w:ascii="宋体" w:hAnsi="宋体" w:eastAsia="宋体" w:cs="宋体"/>
                <w:i w:val="0"/>
                <w:color w:val="auto"/>
                <w:kern w:val="0"/>
                <w:sz w:val="24"/>
                <w:szCs w:val="24"/>
                <w:u w:val="none"/>
                <w:lang w:val="en-US" w:eastAsia="zh-CN" w:bidi="ar"/>
              </w:rPr>
              <w:t>★</w:t>
            </w:r>
            <w:r>
              <w:rPr>
                <w:rFonts w:hint="eastAsia" w:ascii="宋体" w:hAnsi="宋体" w:cs="仿宋_GB2312"/>
                <w:b/>
                <w:color w:val="auto"/>
                <w:sz w:val="24"/>
                <w:szCs w:val="24"/>
                <w:highlight w:val="none"/>
              </w:rPr>
              <w:t>”号条款的序号及内容</w:t>
            </w:r>
          </w:p>
        </w:tc>
        <w:tc>
          <w:tcPr>
            <w:tcW w:w="3048"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183"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489" w:type="dxa"/>
            <w:shd w:val="pct10" w:color="C4BC96" w:fill="DDD9C3"/>
            <w:noWrap w:val="0"/>
            <w:vAlign w:val="top"/>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bl>
    <w:p>
      <w:pPr>
        <w:spacing w:line="360" w:lineRule="auto"/>
        <w:ind w:left="1132" w:hanging="1128" w:hangingChars="470"/>
        <w:jc w:val="left"/>
        <w:rPr>
          <w:rFonts w:ascii="宋体" w:hAnsi="宋体" w:cs="Corbel"/>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1、投标人应按招标文件第三章“项目技术、服务及商务要求”中商务要求“</w:t>
      </w:r>
      <w:r>
        <w:rPr>
          <w:rFonts w:hint="eastAsia" w:ascii="宋体" w:hAnsi="宋体" w:eastAsia="宋体" w:cs="宋体"/>
          <w:i w:val="0"/>
          <w:color w:val="auto"/>
          <w:kern w:val="0"/>
          <w:sz w:val="24"/>
          <w:szCs w:val="24"/>
          <w:u w:val="none"/>
          <w:lang w:val="en-US" w:eastAsia="zh-CN" w:bidi="ar"/>
        </w:rPr>
        <w:t>★</w:t>
      </w:r>
      <w:r>
        <w:rPr>
          <w:rFonts w:hint="eastAsia" w:ascii="宋体" w:hAnsi="宋体" w:cs="Corbel"/>
          <w:color w:val="auto"/>
          <w:sz w:val="24"/>
          <w:szCs w:val="24"/>
          <w:highlight w:val="none"/>
        </w:rPr>
        <w:t>”号条款进行逐项说明是否满足要求，如有偏离,投标人应详细说明。未按照要求填写此表或仅注明“符合”、“满足”的，导致的后果由投标人自行承担。</w:t>
      </w:r>
    </w:p>
    <w:p>
      <w:pPr>
        <w:spacing w:line="360" w:lineRule="auto"/>
        <w:ind w:left="1118" w:leftChars="366" w:hanging="350" w:hangingChars="146"/>
        <w:jc w:val="left"/>
        <w:rPr>
          <w:rFonts w:ascii="宋体" w:hAnsi="宋体" w:cs="Corbel"/>
          <w:color w:val="auto"/>
          <w:sz w:val="24"/>
          <w:szCs w:val="24"/>
          <w:highlight w:val="none"/>
        </w:rPr>
      </w:pPr>
      <w:r>
        <w:rPr>
          <w:rFonts w:hint="eastAsia" w:ascii="宋体" w:hAnsi="宋体" w:cs="Corbel"/>
          <w:color w:val="auto"/>
          <w:sz w:val="24"/>
          <w:szCs w:val="24"/>
          <w:highlight w:val="none"/>
        </w:rPr>
        <w:t>2、投标人提供的相关证明文件对应的页码填写到上表“投标文件对应的页码”中。未提供页码或内容页码不一致的，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spacing w:before="40" w:after="40" w:line="360" w:lineRule="auto"/>
        <w:ind w:left="1285"/>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209" w:name="_Toc511894546"/>
      <w:bookmarkStart w:id="210" w:name="_Toc5632"/>
      <w:bookmarkStart w:id="211" w:name="_Toc5499"/>
      <w:bookmarkStart w:id="212" w:name="_Toc511895487"/>
      <w:r>
        <w:rPr>
          <w:rFonts w:hint="eastAsia" w:ascii="宋体" w:hAnsi="宋体" w:cs="Times New Roman"/>
          <w:bCs w:val="0"/>
          <w:color w:val="auto"/>
          <w:highlight w:val="none"/>
        </w:rPr>
        <w:t>商务评议对照表</w:t>
      </w:r>
      <w:bookmarkEnd w:id="209"/>
      <w:bookmarkEnd w:id="210"/>
      <w:bookmarkEnd w:id="211"/>
      <w:bookmarkEnd w:id="212"/>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6"/>
        <w:gridCol w:w="3106"/>
        <w:gridCol w:w="3106"/>
        <w:gridCol w:w="1205"/>
        <w:gridCol w:w="1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6" w:type="dxa"/>
            <w:tcBorders>
              <w:bottom w:val="single" w:color="auto" w:sz="4" w:space="0"/>
            </w:tcBorders>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106" w:type="dxa"/>
            <w:tcBorders>
              <w:bottom w:val="single" w:color="auto" w:sz="4" w:space="0"/>
            </w:tcBorders>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招标文件商务评分标准的序号及内容</w:t>
            </w:r>
          </w:p>
        </w:tc>
        <w:tc>
          <w:tcPr>
            <w:tcW w:w="3106" w:type="dxa"/>
            <w:tcBorders>
              <w:bottom w:val="single" w:color="auto" w:sz="4" w:space="0"/>
            </w:tcBorders>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205" w:type="dxa"/>
            <w:tcBorders>
              <w:bottom w:val="single" w:color="auto" w:sz="4" w:space="0"/>
            </w:tcBorders>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340" w:type="dxa"/>
            <w:tcBorders>
              <w:bottom w:val="single" w:color="auto" w:sz="4" w:space="0"/>
            </w:tcBorders>
            <w:shd w:val="pct10" w:color="C4BC96" w:fill="DDD9C3"/>
            <w:noWrap w:val="0"/>
            <w:vAlign w:val="top"/>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tcBorders>
              <w:top w:val="single" w:color="auto" w:sz="4" w:space="0"/>
            </w:tcBorders>
            <w:noWrap w:val="0"/>
            <w:vAlign w:val="center"/>
          </w:tcPr>
          <w:p>
            <w:pPr>
              <w:numPr>
                <w:ilvl w:val="0"/>
                <w:numId w:val="57"/>
              </w:numPr>
              <w:jc w:val="center"/>
              <w:rPr>
                <w:rFonts w:ascii="宋体" w:hAnsi="宋体" w:cs="仿宋_GB2312"/>
                <w:color w:val="auto"/>
                <w:sz w:val="24"/>
                <w:szCs w:val="24"/>
                <w:highlight w:val="none"/>
              </w:rPr>
            </w:pPr>
          </w:p>
        </w:tc>
        <w:tc>
          <w:tcPr>
            <w:tcW w:w="3106"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3106"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1205"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1340" w:type="dxa"/>
            <w:tcBorders>
              <w:top w:val="single" w:color="auto" w:sz="4" w:space="0"/>
            </w:tcBorders>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w:t>
            </w: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bl>
    <w:p>
      <w:pPr>
        <w:spacing w:line="360" w:lineRule="auto"/>
        <w:ind w:left="1132" w:hanging="1132" w:hangingChars="470"/>
        <w:jc w:val="left"/>
        <w:rPr>
          <w:rFonts w:ascii="宋体" w:hAnsi="宋体" w:cs="Corbel"/>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9" w:leftChars="366" w:hanging="350" w:hangingChars="146"/>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2、投标人提供的相关证明文件对应的页码填写到上表“投标文件对应的页码”中。未提供页码或内容页码不一致的，导致的后果由投标人自行承担。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213" w:name="_Toc511895488"/>
      <w:bookmarkStart w:id="214" w:name="_Toc15775"/>
      <w:bookmarkStart w:id="215" w:name="_Toc511894547"/>
      <w:bookmarkStart w:id="216" w:name="_Toc31785"/>
      <w:r>
        <w:rPr>
          <w:rFonts w:hint="eastAsia" w:ascii="宋体" w:hAnsi="宋体" w:cs="Times New Roman"/>
          <w:bCs w:val="0"/>
          <w:color w:val="auto"/>
          <w:highlight w:val="none"/>
        </w:rPr>
        <w:t>技术、服务要求响应、偏离说明表</w:t>
      </w:r>
      <w:bookmarkEnd w:id="213"/>
      <w:bookmarkEnd w:id="214"/>
      <w:bookmarkEnd w:id="215"/>
      <w:bookmarkEnd w:id="216"/>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3104"/>
        <w:gridCol w:w="3104"/>
        <w:gridCol w:w="1207"/>
        <w:gridCol w:w="1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0"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104"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招标文件技术、服务要求条款的序号及内容</w:t>
            </w:r>
          </w:p>
        </w:tc>
        <w:tc>
          <w:tcPr>
            <w:tcW w:w="3104"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207"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338" w:type="dxa"/>
            <w:shd w:val="pct10" w:color="C4BC96" w:fill="DDD9C3"/>
            <w:noWrap w:val="0"/>
            <w:vAlign w:val="top"/>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bl>
    <w:p>
      <w:pPr>
        <w:spacing w:line="360" w:lineRule="auto"/>
        <w:ind w:left="1132" w:hanging="1128" w:hangingChars="470"/>
        <w:jc w:val="left"/>
        <w:rPr>
          <w:rFonts w:ascii="宋体" w:hAnsi="宋体" w:cs="Times New Roman"/>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8" w:leftChars="366" w:hanging="350" w:hangingChars="146"/>
        <w:jc w:val="left"/>
        <w:rPr>
          <w:rFonts w:ascii="宋体" w:hAnsi="宋体" w:cs="Corbel"/>
          <w:color w:val="auto"/>
          <w:sz w:val="24"/>
          <w:szCs w:val="24"/>
          <w:highlight w:val="none"/>
        </w:rPr>
      </w:pPr>
      <w:r>
        <w:rPr>
          <w:rFonts w:hint="eastAsia" w:ascii="宋体" w:hAnsi="宋体" w:cs="Corbel"/>
          <w:color w:val="auto"/>
          <w:sz w:val="24"/>
          <w:szCs w:val="24"/>
          <w:highlight w:val="none"/>
        </w:rPr>
        <w:t>2、投标人提供的相关证明文件对应的页码填写到上表“投标文件对应的页码”中。未提供页码或内容页码不一致的，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0"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4"/>
        <w:numPr>
          <w:ilvl w:val="0"/>
          <w:numId w:val="38"/>
        </w:numPr>
        <w:spacing w:before="40" w:after="40" w:line="360" w:lineRule="auto"/>
        <w:ind w:left="1285" w:hanging="1285" w:hangingChars="400"/>
        <w:jc w:val="left"/>
        <w:rPr>
          <w:rFonts w:hint="eastAsia" w:ascii="宋体" w:hAnsi="宋体" w:cs="Times New Roman"/>
          <w:color w:val="auto"/>
          <w:highlight w:val="none"/>
        </w:rPr>
      </w:pPr>
      <w:bookmarkStart w:id="217" w:name="_Toc25504"/>
      <w:bookmarkStart w:id="218" w:name="_Toc511895489"/>
      <w:bookmarkStart w:id="219" w:name="_Toc511894548"/>
      <w:bookmarkStart w:id="220" w:name="_Toc29822"/>
      <w:r>
        <w:rPr>
          <w:rFonts w:hint="eastAsia" w:ascii="宋体" w:hAnsi="宋体" w:cs="Times New Roman"/>
          <w:color w:val="auto"/>
          <w:highlight w:val="none"/>
        </w:rPr>
        <w:t>技术、服务要求“</w:t>
      </w:r>
      <w:r>
        <w:rPr>
          <w:rFonts w:hint="eastAsia" w:ascii="宋体" w:hAnsi="宋体" w:eastAsia="宋体" w:cs="宋体"/>
          <w:i w:val="0"/>
          <w:color w:val="auto"/>
          <w:kern w:val="0"/>
          <w:sz w:val="24"/>
          <w:szCs w:val="24"/>
          <w:u w:val="none"/>
          <w:lang w:val="en-US" w:eastAsia="zh-CN" w:bidi="ar"/>
        </w:rPr>
        <w:t>★</w:t>
      </w:r>
      <w:r>
        <w:rPr>
          <w:rFonts w:hint="eastAsia" w:ascii="宋体" w:hAnsi="宋体" w:cs="Times New Roman"/>
          <w:color w:val="auto"/>
          <w:highlight w:val="none"/>
        </w:rPr>
        <w:t>”号条款响应、偏离说明表</w:t>
      </w:r>
      <w:bookmarkEnd w:id="217"/>
      <w:bookmarkEnd w:id="218"/>
      <w:bookmarkEnd w:id="219"/>
      <w:bookmarkEnd w:id="220"/>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3122"/>
        <w:gridCol w:w="3091"/>
        <w:gridCol w:w="1218"/>
        <w:gridCol w:w="13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585"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122"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招标文件技术要求 “</w:t>
            </w:r>
            <w:r>
              <w:rPr>
                <w:rFonts w:hint="eastAsia" w:ascii="宋体" w:hAnsi="宋体" w:eastAsia="宋体" w:cs="宋体"/>
                <w:i w:val="0"/>
                <w:color w:val="auto"/>
                <w:kern w:val="0"/>
                <w:sz w:val="24"/>
                <w:szCs w:val="24"/>
                <w:u w:val="none"/>
                <w:lang w:val="en-US" w:eastAsia="zh-CN" w:bidi="ar"/>
              </w:rPr>
              <w:t>★</w:t>
            </w:r>
            <w:r>
              <w:rPr>
                <w:rFonts w:hint="eastAsia" w:ascii="宋体" w:hAnsi="宋体" w:cs="仿宋_GB2312"/>
                <w:b/>
                <w:color w:val="auto"/>
                <w:sz w:val="24"/>
                <w:szCs w:val="24"/>
                <w:highlight w:val="none"/>
              </w:rPr>
              <w:t>”号条款的序号及内容</w:t>
            </w:r>
          </w:p>
        </w:tc>
        <w:tc>
          <w:tcPr>
            <w:tcW w:w="3091"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218"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327" w:type="dxa"/>
            <w:shd w:val="pct10" w:color="C4BC96" w:fill="DDD9C3"/>
            <w:noWrap w:val="0"/>
            <w:vAlign w:val="top"/>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bl>
    <w:p>
      <w:pPr>
        <w:spacing w:line="360" w:lineRule="auto"/>
        <w:ind w:left="978" w:hanging="978" w:hangingChars="406"/>
        <w:jc w:val="left"/>
        <w:rPr>
          <w:rFonts w:ascii="宋体" w:hAnsi="宋体" w:cs="Corbel"/>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1、投标人应按招标文件第三章“项目技术、服务及商务要求”中技术、服务要求</w:t>
      </w:r>
      <w:r>
        <w:rPr>
          <w:rFonts w:hint="eastAsia" w:hAnsi="宋体" w:cs="Times New Roman"/>
          <w:color w:val="auto"/>
          <w:sz w:val="24"/>
          <w:szCs w:val="24"/>
          <w:highlight w:val="none"/>
        </w:rPr>
        <w:t>“</w:t>
      </w:r>
      <w:r>
        <w:rPr>
          <w:rFonts w:hint="eastAsia" w:ascii="宋体" w:hAnsi="宋体" w:eastAsia="宋体" w:cs="宋体"/>
          <w:i w:val="0"/>
          <w:color w:val="auto"/>
          <w:kern w:val="0"/>
          <w:sz w:val="24"/>
          <w:szCs w:val="24"/>
          <w:u w:val="none"/>
          <w:lang w:val="en-US" w:eastAsia="zh-CN" w:bidi="ar"/>
        </w:rPr>
        <w:t>★</w:t>
      </w:r>
      <w:r>
        <w:rPr>
          <w:rFonts w:hint="eastAsia" w:hAnsi="宋体" w:cs="Times New Roman"/>
          <w:color w:val="auto"/>
          <w:sz w:val="24"/>
          <w:szCs w:val="24"/>
          <w:highlight w:val="none"/>
        </w:rPr>
        <w:t>”号</w:t>
      </w:r>
      <w:r>
        <w:rPr>
          <w:rFonts w:hint="eastAsia" w:ascii="宋体" w:hAnsi="宋体" w:cs="Corbel"/>
          <w:color w:val="auto"/>
          <w:sz w:val="24"/>
          <w:szCs w:val="24"/>
          <w:highlight w:val="none"/>
        </w:rPr>
        <w:t>条款进行逐项说明是否满足要求，如有偏离,投标人应详细说明。未按照要求填写此表或仅注明“符合”、“满足”的，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976" w:leftChars="305" w:hanging="336" w:hangingChars="140"/>
        <w:jc w:val="left"/>
        <w:rPr>
          <w:rFonts w:ascii="宋体" w:hAnsi="宋体" w:cs="Corbel"/>
          <w:color w:val="auto"/>
          <w:sz w:val="24"/>
          <w:szCs w:val="24"/>
          <w:highlight w:val="none"/>
        </w:rPr>
      </w:pPr>
      <w:r>
        <w:rPr>
          <w:rFonts w:hint="eastAsia" w:ascii="宋体" w:hAnsi="宋体" w:cs="Corbel"/>
          <w:color w:val="auto"/>
          <w:sz w:val="24"/>
          <w:szCs w:val="24"/>
          <w:highlight w:val="none"/>
        </w:rPr>
        <w:t>2、投标人提供的相关证明文件对应的页码填写到上表“投标文件对应的页码”中。未提供页码或内容页码不一致的，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221" w:name="_Toc26014"/>
      <w:bookmarkStart w:id="222" w:name="_Toc511894549"/>
      <w:bookmarkStart w:id="223" w:name="_Toc30442"/>
      <w:bookmarkStart w:id="224" w:name="_Toc511895490"/>
      <w:r>
        <w:rPr>
          <w:rFonts w:hint="eastAsia" w:ascii="宋体" w:hAnsi="宋体" w:cs="Times New Roman"/>
          <w:bCs w:val="0"/>
          <w:color w:val="auto"/>
          <w:highlight w:val="none"/>
        </w:rPr>
        <w:t>技术、服务评议对照表</w:t>
      </w:r>
      <w:bookmarkEnd w:id="221"/>
      <w:bookmarkEnd w:id="222"/>
      <w:bookmarkEnd w:id="223"/>
      <w:bookmarkEnd w:id="224"/>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8"/>
        <w:gridCol w:w="3083"/>
        <w:gridCol w:w="3110"/>
        <w:gridCol w:w="1221"/>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8" w:type="dxa"/>
            <w:tcBorders>
              <w:bottom w:val="single" w:color="auto" w:sz="4" w:space="0"/>
            </w:tcBorders>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083" w:type="dxa"/>
            <w:tcBorders>
              <w:bottom w:val="single" w:color="auto" w:sz="4" w:space="0"/>
            </w:tcBorders>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招标文件技术评分标准的序号及内容</w:t>
            </w:r>
          </w:p>
        </w:tc>
        <w:tc>
          <w:tcPr>
            <w:tcW w:w="3110" w:type="dxa"/>
            <w:tcBorders>
              <w:bottom w:val="single" w:color="auto" w:sz="4" w:space="0"/>
            </w:tcBorders>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221" w:type="dxa"/>
            <w:tcBorders>
              <w:bottom w:val="single" w:color="auto" w:sz="4" w:space="0"/>
            </w:tcBorders>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304" w:type="dxa"/>
            <w:tcBorders>
              <w:bottom w:val="single" w:color="auto" w:sz="4" w:space="0"/>
            </w:tcBorders>
            <w:shd w:val="pct10" w:color="C4BC96" w:fill="DDD9C3"/>
            <w:noWrap w:val="0"/>
            <w:vAlign w:val="top"/>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tcBorders>
              <w:top w:val="single" w:color="auto" w:sz="4" w:space="0"/>
            </w:tcBorders>
            <w:noWrap w:val="0"/>
            <w:vAlign w:val="center"/>
          </w:tcPr>
          <w:p>
            <w:pPr>
              <w:numPr>
                <w:ilvl w:val="0"/>
                <w:numId w:val="60"/>
              </w:numPr>
              <w:jc w:val="center"/>
              <w:rPr>
                <w:rFonts w:ascii="宋体" w:hAnsi="宋体" w:cs="仿宋_GB2312"/>
                <w:color w:val="auto"/>
                <w:sz w:val="24"/>
                <w:szCs w:val="24"/>
                <w:highlight w:val="none"/>
              </w:rPr>
            </w:pPr>
          </w:p>
        </w:tc>
        <w:tc>
          <w:tcPr>
            <w:tcW w:w="3083"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3110"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1221"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1304" w:type="dxa"/>
            <w:tcBorders>
              <w:top w:val="single" w:color="auto" w:sz="4" w:space="0"/>
            </w:tcBorders>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jc w:val="center"/>
              <w:rPr>
                <w:rFonts w:ascii="宋体" w:hAnsi="宋体" w:cs="仿宋_GB2312"/>
                <w:color w:val="auto"/>
                <w:sz w:val="24"/>
                <w:szCs w:val="24"/>
                <w:highlight w:val="none"/>
              </w:rPr>
            </w:pPr>
          </w:p>
        </w:tc>
        <w:tc>
          <w:tcPr>
            <w:tcW w:w="3083" w:type="dxa"/>
            <w:noWrap w:val="0"/>
            <w:vAlign w:val="center"/>
          </w:tcPr>
          <w:p>
            <w:pPr>
              <w:jc w:val="center"/>
              <w:rPr>
                <w:rFonts w:ascii="宋体" w:hAnsi="宋体" w:cs="仿宋_GB2312"/>
                <w:color w:val="auto"/>
                <w:sz w:val="24"/>
                <w:szCs w:val="24"/>
                <w:highlight w:val="none"/>
              </w:rPr>
            </w:pPr>
          </w:p>
        </w:tc>
        <w:tc>
          <w:tcPr>
            <w:tcW w:w="3110" w:type="dxa"/>
            <w:noWrap w:val="0"/>
            <w:vAlign w:val="center"/>
          </w:tcPr>
          <w:p>
            <w:pPr>
              <w:jc w:val="center"/>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jc w:val="center"/>
              <w:rPr>
                <w:rFonts w:ascii="宋体" w:hAnsi="宋体" w:cs="仿宋_GB2312"/>
                <w:color w:val="auto"/>
                <w:sz w:val="24"/>
                <w:szCs w:val="24"/>
                <w:highlight w:val="none"/>
              </w:rPr>
            </w:pP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jc w:val="center"/>
              <w:rPr>
                <w:rFonts w:ascii="宋体" w:hAnsi="宋体" w:cs="仿宋_GB2312"/>
                <w:color w:val="auto"/>
                <w:sz w:val="24"/>
                <w:szCs w:val="24"/>
                <w:highlight w:val="none"/>
              </w:rPr>
            </w:pP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ind w:left="0" w:firstLine="0"/>
              <w:jc w:val="center"/>
              <w:rPr>
                <w:rFonts w:ascii="宋体" w:hAnsi="宋体" w:cs="仿宋_GB2312"/>
                <w:color w:val="auto"/>
                <w:sz w:val="24"/>
                <w:szCs w:val="24"/>
                <w:highlight w:val="none"/>
              </w:rPr>
            </w:pP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jc w:val="center"/>
              <w:rPr>
                <w:rFonts w:ascii="宋体" w:hAnsi="宋体" w:cs="仿宋_GB2312"/>
                <w:color w:val="auto"/>
                <w:sz w:val="24"/>
                <w:szCs w:val="24"/>
                <w:highlight w:val="none"/>
              </w:rPr>
            </w:pP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jc w:val="right"/>
              <w:rPr>
                <w:rFonts w:ascii="宋体" w:hAnsi="宋体" w:cs="仿宋_GB2312"/>
                <w:b/>
                <w:color w:val="auto"/>
                <w:sz w:val="24"/>
                <w:szCs w:val="24"/>
                <w:highlight w:val="none"/>
              </w:rPr>
            </w:pPr>
            <w:r>
              <w:rPr>
                <w:rFonts w:hint="eastAsia" w:ascii="宋体" w:hAnsi="宋体" w:cs="仿宋_GB2312"/>
                <w:b/>
                <w:color w:val="auto"/>
                <w:sz w:val="24"/>
                <w:szCs w:val="24"/>
                <w:highlight w:val="none"/>
              </w:rPr>
              <w:t>…</w:t>
            </w: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bl>
    <w:p>
      <w:pPr>
        <w:spacing w:line="360" w:lineRule="auto"/>
        <w:ind w:left="1132" w:hanging="1128" w:hangingChars="470"/>
        <w:jc w:val="left"/>
        <w:rPr>
          <w:rFonts w:ascii="宋体" w:hAnsi="宋体" w:cs="Corbel"/>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8" w:leftChars="366" w:hanging="350" w:hangingChars="146"/>
        <w:jc w:val="left"/>
        <w:rPr>
          <w:rFonts w:ascii="宋体" w:hAnsi="宋体" w:cs="Corbel"/>
          <w:color w:val="auto"/>
          <w:sz w:val="24"/>
          <w:szCs w:val="24"/>
          <w:highlight w:val="none"/>
        </w:rPr>
      </w:pPr>
      <w:r>
        <w:rPr>
          <w:rFonts w:hint="eastAsia" w:ascii="宋体" w:hAnsi="宋体" w:cs="Corbel"/>
          <w:color w:val="auto"/>
          <w:sz w:val="24"/>
          <w:szCs w:val="24"/>
          <w:highlight w:val="none"/>
        </w:rPr>
        <w:t>2、投标人提供的相关证明文件对应的页码填写到上表“投标文件对应的页码”中。未提供页码或内容页码不一致的，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rPr>
          <w:color w:val="auto"/>
        </w:rPr>
      </w:pPr>
    </w:p>
    <w:p>
      <w:pPr>
        <w:rPr>
          <w:color w:val="auto"/>
        </w:rPr>
      </w:pPr>
    </w:p>
    <w:sectPr>
      <w:headerReference r:id="rId13" w:type="default"/>
      <w:footerReference r:id="rId14" w:type="default"/>
      <w:pgSz w:w="11906" w:h="16838"/>
      <w:pgMar w:top="1134" w:right="1191" w:bottom="1134" w:left="1191" w:header="851" w:footer="85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rPr>
        <w:rFonts w:asciiTheme="minorEastAsia" w:hAnsiTheme="minorEastAsia"/>
        <w:b/>
        <w:bCs/>
      </w:rPr>
    </w:pPr>
    <w:r>
      <w:rPr>
        <w:rFonts w:hint="eastAsia" w:asciiTheme="minorEastAsia" w:hAnsiTheme="minorEastAsia"/>
        <w:bCs/>
        <w:lang w:eastAsia="zh-CN"/>
      </w:rPr>
      <w:t>湖北天缔工程咨询有限公司</w:t>
    </w:r>
    <w:r>
      <w:rPr>
        <w:rFonts w:hint="eastAsia" w:asciiTheme="minorEastAsia" w:hAnsiTheme="minorEastAsia"/>
        <w:bCs/>
      </w:rPr>
      <w:t>编制</w:t>
    </w:r>
    <w:r>
      <w:rPr>
        <w:rFonts w:hint="eastAsia"/>
      </w:rPr>
      <w:t xml:space="preserve">                                                                     </w:t>
    </w:r>
    <w:r>
      <w:rPr>
        <w:rFonts w:asciiTheme="minorEastAsia" w:hAnsiTheme="minorEastAsia"/>
        <w:bCs/>
      </w:rPr>
      <w:t>V3.0.2017.0930</w:t>
    </w:r>
  </w:p>
  <w:p>
    <w:pPr>
      <w:pStyle w:val="6"/>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57</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湖北天缔工程咨询有限公司</w:t>
    </w:r>
    <w:r>
      <w:rPr>
        <w:rFonts w:hint="eastAsia" w:asciiTheme="minorEastAsia" w:hAnsiTheme="minorEastAsia"/>
      </w:rPr>
      <w:t>制</w:t>
    </w:r>
  </w:p>
  <w:p>
    <w:pPr>
      <w:pStyle w:val="6"/>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湖北天缔工程咨询有限公司</w:t>
    </w:r>
    <w:r>
      <w:rPr>
        <w:rFonts w:hint="eastAsia" w:asciiTheme="minorEastAsia" w:hAnsiTheme="minorEastAsia"/>
      </w:rPr>
      <w:t>制</w:t>
    </w:r>
  </w:p>
  <w:p>
    <w:pPr>
      <w:pStyle w:val="6"/>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湖北天缔工程咨询有限公司</w:t>
    </w:r>
    <w:r>
      <w:rPr>
        <w:rFonts w:hint="eastAsia" w:asciiTheme="minorEastAsia" w:hAnsiTheme="minorEastAsia"/>
      </w:rPr>
      <w:t>制</w:t>
    </w:r>
  </w:p>
  <w:p>
    <w:pPr>
      <w:pStyle w:val="6"/>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湖北天缔工程咨询有限公司</w:t>
    </w:r>
    <w:r>
      <w:rPr>
        <w:rFonts w:hint="eastAsia" w:asciiTheme="minorEastAsia" w:hAnsiTheme="minorEastAsia"/>
      </w:rPr>
      <w:t>制</w:t>
    </w:r>
  </w:p>
  <w:p>
    <w:pPr>
      <w:pStyle w:val="6"/>
      <w:pBdr>
        <w:top w:val="single" w:color="000000" w:themeColor="text1" w:sz="4" w:space="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675"/>
        <w:tab w:val="center" w:pos="4762"/>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bCs/>
        <w:color w:val="000000" w:themeColor="text1"/>
        <w:spacing w:val="-6"/>
        <w:sz w:val="22"/>
        <w:szCs w:val="22"/>
        <w:lang w:eastAsia="zh-CN"/>
        <w14:textFill>
          <w14:solidFill>
            <w14:schemeClr w14:val="tx1"/>
          </w14:solidFill>
        </w14:textFill>
      </w:rPr>
    </w:pPr>
    <w:r>
      <w:rPr>
        <w:rFonts w:hint="eastAsia"/>
        <w:bCs/>
        <w:color w:val="000000" w:themeColor="text1"/>
        <w:spacing w:val="-6"/>
        <w:sz w:val="22"/>
        <w:szCs w:val="22"/>
        <w:lang w:eastAsia="zh-CN"/>
        <w14:textFill>
          <w14:solidFill>
            <w14:schemeClr w14:val="tx1"/>
          </w14:solidFill>
        </w14:textFill>
      </w:rPr>
      <w:t>阳新县闰光小学科学实验器材及实验室设备采购项目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b/>
      </w:rPr>
    </w:pPr>
    <w:r>
      <w:rPr>
        <w:rFonts w:hint="eastAsia"/>
        <w:bCs/>
        <w:color w:val="000000" w:themeColor="text1"/>
        <w:spacing w:val="-6"/>
        <w:sz w:val="22"/>
        <w:szCs w:val="22"/>
        <w:lang w:eastAsia="zh-CN"/>
        <w14:textFill>
          <w14:solidFill>
            <w14:schemeClr w14:val="tx1"/>
          </w14:solidFill>
        </w14:textFill>
      </w:rPr>
      <w:t>阳新县闰光小学科学实验器材及实验室设备采购项目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bCs/>
        <w:color w:val="000000" w:themeColor="text1"/>
        <w:spacing w:val="-6"/>
        <w:sz w:val="22"/>
        <w:szCs w:val="22"/>
        <w:lang w:eastAsia="zh-CN"/>
        <w14:textFill>
          <w14:solidFill>
            <w14:schemeClr w14:val="tx1"/>
          </w14:solidFill>
        </w14:textFill>
      </w:rPr>
    </w:pPr>
    <w:r>
      <w:rPr>
        <w:rFonts w:hint="eastAsia"/>
        <w:bCs/>
        <w:color w:val="000000" w:themeColor="text1"/>
        <w:spacing w:val="-6"/>
        <w:sz w:val="22"/>
        <w:szCs w:val="22"/>
        <w:lang w:eastAsia="zh-CN"/>
        <w14:textFill>
          <w14:solidFill>
            <w14:schemeClr w14:val="tx1"/>
          </w14:solidFill>
        </w14:textFill>
      </w:rPr>
      <w:t>阳新县闰光小学科学实验器材及实验室设备采购项目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D"/>
    <w:multiLevelType w:val="multilevel"/>
    <w:tmpl w:val="0000001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8"/>
    <w:multiLevelType w:val="multilevel"/>
    <w:tmpl w:val="0000002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
    <w:nsid w:val="0000002B"/>
    <w:multiLevelType w:val="multilevel"/>
    <w:tmpl w:val="0000002B"/>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E"/>
    <w:multiLevelType w:val="multilevel"/>
    <w:tmpl w:val="0000002E"/>
    <w:lvl w:ilvl="0" w:tentative="0">
      <w:start w:val="1"/>
      <w:numFmt w:val="chineseCountingThousand"/>
      <w:lvlText w:val="（%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F"/>
    <w:multiLevelType w:val="multilevel"/>
    <w:tmpl w:val="0000002F"/>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36"/>
    <w:multiLevelType w:val="multilevel"/>
    <w:tmpl w:val="00000036"/>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8">
    <w:nsid w:val="0000003A"/>
    <w:multiLevelType w:val="multilevel"/>
    <w:tmpl w:val="0000003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3D"/>
    <w:multiLevelType w:val="multilevel"/>
    <w:tmpl w:val="0000003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41"/>
    <w:multiLevelType w:val="multilevel"/>
    <w:tmpl w:val="00000041"/>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46"/>
    <w:multiLevelType w:val="multilevel"/>
    <w:tmpl w:val="00000046"/>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48"/>
    <w:multiLevelType w:val="multilevel"/>
    <w:tmpl w:val="0000004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3">
    <w:nsid w:val="0000004B"/>
    <w:multiLevelType w:val="multilevel"/>
    <w:tmpl w:val="0000004B"/>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4">
    <w:nsid w:val="00000059"/>
    <w:multiLevelType w:val="multilevel"/>
    <w:tmpl w:val="0000005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67"/>
    <w:multiLevelType w:val="multilevel"/>
    <w:tmpl w:val="00000067"/>
    <w:lvl w:ilvl="0" w:tentative="0">
      <w:start w:val="1"/>
      <w:numFmt w:val="chineseCountingThousand"/>
      <w:lvlText w:val="附件%1："/>
      <w:lvlJc w:val="left"/>
      <w:pPr>
        <w:ind w:left="2689"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68"/>
    <w:multiLevelType w:val="multilevel"/>
    <w:tmpl w:val="00000068"/>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7">
    <w:nsid w:val="00000074"/>
    <w:multiLevelType w:val="multilevel"/>
    <w:tmpl w:val="00000074"/>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75"/>
    <w:multiLevelType w:val="multilevel"/>
    <w:tmpl w:val="00000075"/>
    <w:lvl w:ilvl="0" w:tentative="0">
      <w:start w:val="1"/>
      <w:numFmt w:val="decimal"/>
      <w:lvlText w:val="%1"/>
      <w:lvlJc w:val="center"/>
      <w:pPr>
        <w:ind w:left="420" w:hanging="420"/>
      </w:pPr>
      <w:rPr>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78"/>
    <w:multiLevelType w:val="multilevel"/>
    <w:tmpl w:val="00000078"/>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7E"/>
    <w:multiLevelType w:val="multilevel"/>
    <w:tmpl w:val="0000007E"/>
    <w:lvl w:ilvl="0" w:tentative="0">
      <w:start w:val="1"/>
      <w:numFmt w:val="decimal"/>
      <w:lvlText w:val="2.%1 "/>
      <w:lvlJc w:val="left"/>
      <w:pPr>
        <w:ind w:left="900" w:hanging="420"/>
      </w:pPr>
      <w:rPr>
        <w:rFonts w:hint="eastAsia" w:ascii="仿宋" w:hAnsi="仿宋" w:eastAsia="仿宋"/>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0000085"/>
    <w:multiLevelType w:val="multilevel"/>
    <w:tmpl w:val="00000085"/>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89"/>
    <w:multiLevelType w:val="multilevel"/>
    <w:tmpl w:val="00000089"/>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8A"/>
    <w:multiLevelType w:val="multilevel"/>
    <w:tmpl w:val="0000008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3F56DAF"/>
    <w:multiLevelType w:val="multilevel"/>
    <w:tmpl w:val="03F56DA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7">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8">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2">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4">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5">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6">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2948C823"/>
    <w:multiLevelType w:val="singleLevel"/>
    <w:tmpl w:val="2948C823"/>
    <w:lvl w:ilvl="0" w:tentative="0">
      <w:start w:val="1"/>
      <w:numFmt w:val="chineseCounting"/>
      <w:suff w:val="nothing"/>
      <w:lvlText w:val="%1、"/>
      <w:lvlJc w:val="left"/>
      <w:rPr>
        <w:rFonts w:hint="eastAsia"/>
      </w:rPr>
    </w:lvl>
  </w:abstractNum>
  <w:abstractNum w:abstractNumId="38">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3">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8">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2">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4">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5">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6">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7">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9">
    <w:nsid w:val="7A35A2E5"/>
    <w:multiLevelType w:val="singleLevel"/>
    <w:tmpl w:val="7A35A2E5"/>
    <w:lvl w:ilvl="0" w:tentative="0">
      <w:start w:val="1"/>
      <w:numFmt w:val="decimal"/>
      <w:suff w:val="nothing"/>
      <w:lvlText w:val="%1．"/>
      <w:lvlJc w:val="left"/>
      <w:pPr>
        <w:ind w:left="0" w:firstLine="400"/>
      </w:pPr>
      <w:rPr>
        <w:rFonts w:hint="default"/>
      </w:rPr>
    </w:lvl>
  </w:abstractNum>
  <w:num w:numId="1">
    <w:abstractNumId w:val="48"/>
  </w:num>
  <w:num w:numId="2">
    <w:abstractNumId w:val="25"/>
  </w:num>
  <w:num w:numId="3">
    <w:abstractNumId w:val="45"/>
  </w:num>
  <w:num w:numId="4">
    <w:abstractNumId w:val="32"/>
  </w:num>
  <w:num w:numId="5">
    <w:abstractNumId w:val="28"/>
  </w:num>
  <w:num w:numId="6">
    <w:abstractNumId w:val="53"/>
  </w:num>
  <w:num w:numId="7">
    <w:abstractNumId w:val="51"/>
  </w:num>
  <w:num w:numId="8">
    <w:abstractNumId w:val="42"/>
  </w:num>
  <w:num w:numId="9">
    <w:abstractNumId w:val="27"/>
  </w:num>
  <w:num w:numId="10">
    <w:abstractNumId w:val="38"/>
  </w:num>
  <w:num w:numId="11">
    <w:abstractNumId w:val="39"/>
  </w:num>
  <w:num w:numId="12">
    <w:abstractNumId w:val="30"/>
  </w:num>
  <w:num w:numId="13">
    <w:abstractNumId w:val="29"/>
  </w:num>
  <w:num w:numId="14">
    <w:abstractNumId w:val="57"/>
  </w:num>
  <w:num w:numId="15">
    <w:abstractNumId w:val="37"/>
  </w:num>
  <w:num w:numId="16">
    <w:abstractNumId w:val="50"/>
  </w:num>
  <w:num w:numId="17">
    <w:abstractNumId w:val="41"/>
  </w:num>
  <w:num w:numId="18">
    <w:abstractNumId w:val="49"/>
  </w:num>
  <w:num w:numId="19">
    <w:abstractNumId w:val="43"/>
  </w:num>
  <w:num w:numId="20">
    <w:abstractNumId w:val="46"/>
  </w:num>
  <w:num w:numId="21">
    <w:abstractNumId w:val="44"/>
  </w:num>
  <w:num w:numId="22">
    <w:abstractNumId w:val="34"/>
  </w:num>
  <w:num w:numId="23">
    <w:abstractNumId w:val="58"/>
  </w:num>
  <w:num w:numId="24">
    <w:abstractNumId w:val="26"/>
  </w:num>
  <w:num w:numId="25">
    <w:abstractNumId w:val="35"/>
  </w:num>
  <w:num w:numId="26">
    <w:abstractNumId w:val="33"/>
  </w:num>
  <w:num w:numId="27">
    <w:abstractNumId w:val="24"/>
  </w:num>
  <w:num w:numId="28">
    <w:abstractNumId w:val="52"/>
    <w:lvlOverride w:ilvl="0">
      <w:startOverride w:val="1"/>
    </w:lvlOverride>
  </w:num>
  <w:num w:numId="29">
    <w:abstractNumId w:val="40"/>
  </w:num>
  <w:num w:numId="30">
    <w:abstractNumId w:val="54"/>
  </w:num>
  <w:num w:numId="31">
    <w:abstractNumId w:val="47"/>
  </w:num>
  <w:num w:numId="32">
    <w:abstractNumId w:val="31"/>
  </w:num>
  <w:num w:numId="33">
    <w:abstractNumId w:val="36"/>
  </w:num>
  <w:num w:numId="34">
    <w:abstractNumId w:val="55"/>
  </w:num>
  <w:num w:numId="35">
    <w:abstractNumId w:val="2"/>
  </w:num>
  <w:num w:numId="36">
    <w:abstractNumId w:val="59"/>
  </w:num>
  <w:num w:numId="37">
    <w:abstractNumId w:val="56"/>
  </w:num>
  <w:num w:numId="38">
    <w:abstractNumId w:val="15"/>
  </w:num>
  <w:num w:numId="39">
    <w:abstractNumId w:val="3"/>
  </w:num>
  <w:num w:numId="40">
    <w:abstractNumId w:val="16"/>
  </w:num>
  <w:num w:numId="41">
    <w:abstractNumId w:val="13"/>
  </w:num>
  <w:num w:numId="42">
    <w:abstractNumId w:val="20"/>
  </w:num>
  <w:num w:numId="43">
    <w:abstractNumId w:val="18"/>
  </w:num>
  <w:num w:numId="44">
    <w:abstractNumId w:val="7"/>
  </w:num>
  <w:num w:numId="45">
    <w:abstractNumId w:val="12"/>
  </w:num>
  <w:num w:numId="46">
    <w:abstractNumId w:val="14"/>
  </w:num>
  <w:num w:numId="47">
    <w:abstractNumId w:val="5"/>
  </w:num>
  <w:num w:numId="48">
    <w:abstractNumId w:val="10"/>
  </w:num>
  <w:num w:numId="49">
    <w:abstractNumId w:val="8"/>
  </w:num>
  <w:num w:numId="50">
    <w:abstractNumId w:val="6"/>
  </w:num>
  <w:num w:numId="51">
    <w:abstractNumId w:val="23"/>
  </w:num>
  <w:num w:numId="52">
    <w:abstractNumId w:val="19"/>
  </w:num>
  <w:num w:numId="53">
    <w:abstractNumId w:val="4"/>
  </w:num>
  <w:num w:numId="54">
    <w:abstractNumId w:val="0"/>
  </w:num>
  <w:num w:numId="55">
    <w:abstractNumId w:val="1"/>
  </w:num>
  <w:num w:numId="56">
    <w:abstractNumId w:val="9"/>
  </w:num>
  <w:num w:numId="57">
    <w:abstractNumId w:val="22"/>
  </w:num>
  <w:num w:numId="58">
    <w:abstractNumId w:val="21"/>
  </w:num>
  <w:num w:numId="59">
    <w:abstractNumId w:val="11"/>
  </w:num>
  <w:num w:numId="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A31B6"/>
    <w:rsid w:val="00745FBC"/>
    <w:rsid w:val="022B307B"/>
    <w:rsid w:val="025942FB"/>
    <w:rsid w:val="06BD0445"/>
    <w:rsid w:val="07580D18"/>
    <w:rsid w:val="14C078CD"/>
    <w:rsid w:val="1D03300D"/>
    <w:rsid w:val="51854256"/>
    <w:rsid w:val="566A3276"/>
    <w:rsid w:val="5B903755"/>
    <w:rsid w:val="5FDA564D"/>
    <w:rsid w:val="61044FC1"/>
    <w:rsid w:val="619C3D36"/>
    <w:rsid w:val="664A31B6"/>
    <w:rsid w:val="77C127DC"/>
    <w:rsid w:val="799548A4"/>
    <w:rsid w:val="7D373250"/>
    <w:rsid w:val="7E84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Body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line="440" w:lineRule="exact"/>
      <w:jc w:val="left"/>
    </w:pPr>
    <w:rPr>
      <w:rFonts w:eastAsia="黑体"/>
      <w:b/>
      <w:kern w:val="0"/>
      <w:sz w:val="28"/>
    </w:rPr>
  </w:style>
  <w:style w:type="paragraph" w:styleId="9">
    <w:name w:val="toc 2"/>
    <w:basedOn w:val="10"/>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0">
    <w:name w:val="Quote"/>
    <w:basedOn w:val="1"/>
    <w:next w:val="1"/>
    <w:qFormat/>
    <w:uiPriority w:val="29"/>
    <w:rPr>
      <w:i/>
      <w:iCs/>
      <w:color w:val="000000" w:themeColor="text1"/>
      <w14:textFill>
        <w14:solidFill>
          <w14:schemeClr w14:val="tx1"/>
        </w14:solidFill>
      </w14:textFill>
    </w:rPr>
  </w:style>
  <w:style w:type="paragraph" w:styleId="11">
    <w:name w:val="Normal (Web)"/>
    <w:basedOn w:val="1"/>
    <w:unhideWhenUsed/>
    <w:qFormat/>
    <w:uiPriority w:val="99"/>
    <w:pPr>
      <w:jc w:val="left"/>
    </w:pPr>
    <w:rPr>
      <w:kern w:val="0"/>
      <w:sz w:val="24"/>
    </w:rPr>
  </w:style>
  <w:style w:type="paragraph" w:customStyle="1" w:styleId="14">
    <w:name w:val="列出段落1"/>
    <w:basedOn w:val="1"/>
    <w:qFormat/>
    <w:uiPriority w:val="34"/>
    <w:pPr>
      <w:ind w:firstLine="420" w:firstLineChars="200"/>
    </w:pPr>
  </w:style>
  <w:style w:type="paragraph" w:customStyle="1" w:styleId="15">
    <w:name w:val="List Paragraph"/>
    <w:basedOn w:val="1"/>
    <w:qFormat/>
    <w:uiPriority w:val="34"/>
    <w:pPr>
      <w:ind w:firstLine="420" w:firstLineChars="200"/>
    </w:pPr>
  </w:style>
  <w:style w:type="paragraph" w:customStyle="1" w:styleId="16">
    <w:name w:val="p0"/>
    <w:basedOn w:val="1"/>
    <w:qFormat/>
    <w:uiPriority w:val="0"/>
    <w:pPr>
      <w:widowControl/>
    </w:pPr>
    <w:rPr>
      <w:rFonts w:ascii="等线" w:hAnsi="等线" w:eastAsia="等线" w:cs="Times New Roman"/>
      <w:kern w:val="0"/>
      <w:szCs w:val="21"/>
    </w:rPr>
  </w:style>
  <w:style w:type="paragraph" w:customStyle="1" w:styleId="1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2021-07-13T04:46:00Z</dcterms:created>
  <dc:creator>Administrator</dc:creator>
  <cp:lastModifiedBy>123</cp:lastModifiedBy>
  <cp:lastPrinted>2021-07-16T05:36:00Z</cp:lastPrinted>
  <dcterms:modified xsi:type="dcterms:W3CDTF">2021-07-16T07:28:50Z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89698FF1182A4BC4937EF2F87A9C2266</vt:lpwstr>
  </property>
</Properties>
</file>