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p>
    <w:p>
      <w:pPr>
        <w:spacing w:line="360" w:lineRule="auto"/>
        <w:jc w:val="left"/>
        <w:rPr>
          <w:sz w:val="24"/>
          <w:szCs w:val="24"/>
        </w:rPr>
      </w:pPr>
      <w:r>
        <w:rPr>
          <w:rFonts w:hint="eastAsia"/>
          <w:sz w:val="24"/>
          <w:szCs w:val="24"/>
        </w:rPr>
        <w:t>附件：</w:t>
      </w:r>
    </w:p>
    <w:p>
      <w:pPr>
        <w:spacing w:line="360" w:lineRule="auto"/>
        <w:jc w:val="center"/>
        <w:rPr>
          <w:rFonts w:hint="eastAsia"/>
          <w:sz w:val="32"/>
          <w:szCs w:val="32"/>
          <w:lang w:val="en-US" w:eastAsia="zh-CN"/>
        </w:rPr>
      </w:pPr>
      <w:r>
        <w:rPr>
          <w:rFonts w:hint="eastAsia"/>
          <w:sz w:val="32"/>
          <w:szCs w:val="32"/>
          <w:lang w:eastAsia="zh-CN"/>
        </w:rPr>
        <w:t>阳新县2020年中央农业特色产业发展项目</w:t>
      </w:r>
      <w:r>
        <w:rPr>
          <w:rFonts w:hint="eastAsia"/>
          <w:sz w:val="32"/>
          <w:szCs w:val="32"/>
        </w:rPr>
        <w:t>采购需求</w:t>
      </w:r>
      <w:r>
        <w:rPr>
          <w:rFonts w:hint="eastAsia"/>
          <w:sz w:val="32"/>
          <w:szCs w:val="32"/>
          <w:lang w:val="en-US" w:eastAsia="zh-CN"/>
        </w:rPr>
        <w:t>及供应商报名表</w:t>
      </w:r>
    </w:p>
    <w:p>
      <w:pPr>
        <w:numPr>
          <w:ilvl w:val="0"/>
          <w:numId w:val="2"/>
        </w:numPr>
        <w:spacing w:line="500" w:lineRule="exact"/>
        <w:rPr>
          <w:rFonts w:hint="eastAsia"/>
          <w:b/>
          <w:bCs/>
          <w:color w:val="000000"/>
          <w:szCs w:val="28"/>
        </w:rPr>
      </w:pPr>
      <w:r>
        <w:rPr>
          <w:rFonts w:hint="eastAsia"/>
          <w:b/>
          <w:bCs/>
          <w:color w:val="000000"/>
          <w:szCs w:val="28"/>
        </w:rPr>
        <w:t>采购清单。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2"/>
              <w:numPr>
                <w:ilvl w:val="0"/>
                <w:numId w:val="0"/>
              </w:numPr>
              <w:jc w:val="center"/>
              <w:rPr>
                <w:rFonts w:hint="eastAsia"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名 称</w:t>
            </w:r>
          </w:p>
        </w:tc>
        <w:tc>
          <w:tcPr>
            <w:tcW w:w="1801" w:type="dxa"/>
            <w:noWrap w:val="0"/>
            <w:vAlign w:val="center"/>
          </w:tcPr>
          <w:p>
            <w:pPr>
              <w:pStyle w:val="2"/>
              <w:numPr>
                <w:ilvl w:val="0"/>
                <w:numId w:val="0"/>
              </w:numPr>
              <w:jc w:val="center"/>
              <w:rPr>
                <w:rFonts w:hint="eastAsia"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单 位</w:t>
            </w:r>
          </w:p>
        </w:tc>
        <w:tc>
          <w:tcPr>
            <w:tcW w:w="1801" w:type="dxa"/>
            <w:noWrap w:val="0"/>
            <w:vAlign w:val="center"/>
          </w:tcPr>
          <w:p>
            <w:pPr>
              <w:pStyle w:val="2"/>
              <w:numPr>
                <w:ilvl w:val="0"/>
                <w:numId w:val="0"/>
              </w:numPr>
              <w:jc w:val="center"/>
              <w:rPr>
                <w:rFonts w:hint="eastAsia"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数 量</w:t>
            </w:r>
          </w:p>
        </w:tc>
        <w:tc>
          <w:tcPr>
            <w:tcW w:w="1801" w:type="dxa"/>
            <w:noWrap w:val="0"/>
            <w:vAlign w:val="center"/>
          </w:tcPr>
          <w:p>
            <w:pPr>
              <w:pStyle w:val="2"/>
              <w:numPr>
                <w:ilvl w:val="0"/>
                <w:numId w:val="0"/>
              </w:numPr>
              <w:jc w:val="center"/>
              <w:rPr>
                <w:rFonts w:hint="eastAsia"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2"/>
              <w:numPr>
                <w:ilvl w:val="0"/>
                <w:numId w:val="0"/>
              </w:numPr>
              <w:jc w:val="center"/>
              <w:rPr>
                <w:rFonts w:hint="eastAsia"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粘虫板</w:t>
            </w:r>
          </w:p>
        </w:tc>
        <w:tc>
          <w:tcPr>
            <w:tcW w:w="1801" w:type="dxa"/>
            <w:noWrap w:val="0"/>
            <w:vAlign w:val="center"/>
          </w:tcPr>
          <w:p>
            <w:pPr>
              <w:pStyle w:val="2"/>
              <w:numPr>
                <w:ilvl w:val="0"/>
                <w:numId w:val="0"/>
              </w:numPr>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块</w:t>
            </w:r>
          </w:p>
        </w:tc>
        <w:tc>
          <w:tcPr>
            <w:tcW w:w="1801" w:type="dxa"/>
            <w:noWrap w:val="0"/>
            <w:vAlign w:val="center"/>
          </w:tcPr>
          <w:p>
            <w:pPr>
              <w:pStyle w:val="2"/>
              <w:numPr>
                <w:ilvl w:val="0"/>
                <w:numId w:val="0"/>
              </w:numPr>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300000</w:t>
            </w:r>
          </w:p>
        </w:tc>
        <w:tc>
          <w:tcPr>
            <w:tcW w:w="1801" w:type="dxa"/>
            <w:noWrap w:val="0"/>
            <w:vAlign w:val="center"/>
          </w:tcPr>
          <w:p>
            <w:pPr>
              <w:pStyle w:val="2"/>
              <w:numPr>
                <w:ilvl w:val="0"/>
                <w:numId w:val="0"/>
              </w:numPr>
              <w:jc w:val="center"/>
              <w:rPr>
                <w:rFonts w:hint="eastAsia" w:ascii="宋体" w:hAnsi="宋体" w:eastAsia="宋体" w:cs="宋体"/>
                <w:b w:val="0"/>
                <w:bCs w:val="0"/>
                <w:color w:val="000000"/>
                <w:sz w:val="28"/>
                <w:szCs w:val="28"/>
                <w:vertAlign w:val="baseline"/>
              </w:rPr>
            </w:pPr>
          </w:p>
        </w:tc>
      </w:tr>
    </w:tbl>
    <w:p>
      <w:pPr>
        <w:pStyle w:val="2"/>
        <w:numPr>
          <w:ilvl w:val="0"/>
          <w:numId w:val="0"/>
        </w:numPr>
        <w:rPr>
          <w:rFonts w:hint="eastAsia" w:ascii="宋体" w:hAnsi="宋体" w:eastAsia="宋体" w:cs="宋体"/>
          <w:color w:val="000000"/>
        </w:rPr>
      </w:pPr>
    </w:p>
    <w:p>
      <w:pPr>
        <w:numPr>
          <w:ilvl w:val="0"/>
          <w:numId w:val="2"/>
        </w:numPr>
        <w:spacing w:line="500" w:lineRule="exact"/>
        <w:ind w:left="0" w:leftChars="0" w:firstLine="0" w:firstLineChars="0"/>
        <w:rPr>
          <w:rFonts w:hint="eastAsia" w:ascii="宋体" w:hAnsi="宋体" w:eastAsia="宋体" w:cs="宋体"/>
          <w:color w:val="000000"/>
          <w:szCs w:val="28"/>
        </w:rPr>
      </w:pPr>
      <w:r>
        <w:rPr>
          <w:rFonts w:hint="eastAsia" w:ascii="宋体" w:hAnsi="宋体" w:eastAsia="宋体" w:cs="宋体"/>
          <w:b/>
          <w:bCs/>
          <w:color w:val="000000"/>
          <w:szCs w:val="28"/>
        </w:rPr>
        <w:t>技术、服务等要求</w:t>
      </w:r>
      <w:r>
        <w:rPr>
          <w:rFonts w:hint="eastAsia" w:ascii="宋体" w:hAnsi="宋体" w:eastAsia="宋体" w:cs="宋体"/>
          <w:color w:val="000000"/>
          <w:szCs w:val="28"/>
        </w:rPr>
        <w:t>。</w:t>
      </w:r>
    </w:p>
    <w:p>
      <w:pPr>
        <w:numPr>
          <w:ilvl w:val="0"/>
          <w:numId w:val="3"/>
        </w:numPr>
        <w:tabs>
          <w:tab w:val="clear" w:pos="420"/>
        </w:tabs>
        <w:ind w:left="840" w:leftChars="0" w:hanging="840" w:firstLineChars="0"/>
        <w:jc w:val="both"/>
        <w:rPr>
          <w:rFonts w:hint="eastAsia" w:ascii="宋体" w:hAnsi="宋体" w:eastAsia="宋体" w:cs="宋体"/>
          <w:color w:val="000000"/>
          <w:sz w:val="28"/>
          <w:szCs w:val="28"/>
        </w:rPr>
      </w:pPr>
      <w:r>
        <w:rPr>
          <w:rFonts w:hint="eastAsia" w:ascii="宋体" w:hAnsi="宋体" w:eastAsia="宋体" w:cs="宋体"/>
          <w:color w:val="000000"/>
          <w:sz w:val="28"/>
          <w:szCs w:val="28"/>
        </w:rPr>
        <w:t>降解诱虫板符合</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GB/T16422.2-2014</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GB/T1040.3-2006</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标准</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规格：20×25</w:t>
      </w:r>
      <w:r>
        <w:rPr>
          <w:rFonts w:hint="eastAsia" w:ascii="宋体" w:hAnsi="宋体" w:eastAsia="宋体" w:cs="宋体"/>
          <w:color w:val="000000"/>
          <w:sz w:val="28"/>
          <w:szCs w:val="28"/>
          <w:lang w:val="en-US" w:eastAsia="zh-CN"/>
        </w:rPr>
        <w:t>c</w:t>
      </w:r>
      <w:r>
        <w:rPr>
          <w:rFonts w:hint="eastAsia" w:ascii="宋体" w:hAnsi="宋体" w:eastAsia="宋体" w:cs="宋体"/>
          <w:color w:val="000000"/>
          <w:sz w:val="28"/>
          <w:szCs w:val="28"/>
        </w:rPr>
        <w:t>m</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双面涂胶双面覆膜。</w:t>
      </w:r>
    </w:p>
    <w:p>
      <w:pPr>
        <w:numPr>
          <w:ilvl w:val="0"/>
          <w:numId w:val="3"/>
        </w:numPr>
        <w:tabs>
          <w:tab w:val="clear" w:pos="420"/>
        </w:tabs>
        <w:ind w:left="840" w:leftChars="0" w:hanging="840" w:firstLineChars="0"/>
        <w:jc w:val="both"/>
        <w:rPr>
          <w:rFonts w:hint="eastAsia" w:ascii="宋体" w:hAnsi="宋体" w:eastAsia="宋体" w:cs="宋体"/>
          <w:color w:val="000000"/>
          <w:sz w:val="28"/>
          <w:szCs w:val="28"/>
        </w:rPr>
      </w:pPr>
      <w:r>
        <w:rPr>
          <w:rFonts w:hint="eastAsia" w:ascii="宋体" w:hAnsi="宋体" w:eastAsia="宋体" w:cs="宋体"/>
          <w:color w:val="000000"/>
          <w:sz w:val="28"/>
          <w:szCs w:val="28"/>
        </w:rPr>
        <w:t>诱虫板材质具有一定的强度、硬度、耐湿，具有悬挂孔、防静电、环保可降解。</w:t>
      </w:r>
    </w:p>
    <w:p>
      <w:pPr>
        <w:numPr>
          <w:ilvl w:val="0"/>
          <w:numId w:val="3"/>
        </w:numPr>
        <w:tabs>
          <w:tab w:val="clear" w:pos="420"/>
        </w:tabs>
        <w:ind w:left="840" w:leftChars="0" w:hanging="840" w:firstLineChars="0"/>
        <w:jc w:val="both"/>
        <w:rPr>
          <w:rFonts w:hint="eastAsia" w:ascii="宋体" w:hAnsi="宋体" w:eastAsia="宋体" w:cs="宋体"/>
          <w:color w:val="000000"/>
          <w:sz w:val="28"/>
          <w:szCs w:val="28"/>
        </w:rPr>
      </w:pPr>
      <w:r>
        <w:rPr>
          <w:rFonts w:hint="eastAsia" w:ascii="宋体" w:hAnsi="宋体" w:eastAsia="宋体" w:cs="宋体"/>
          <w:color w:val="000000"/>
          <w:sz w:val="28"/>
          <w:szCs w:val="28"/>
        </w:rPr>
        <w:t>胶体粘接力：将5g砝码接于诱虫板，水平提起诱虫板，砝码垂直向下，5min内不自由脱落。</w:t>
      </w:r>
    </w:p>
    <w:p>
      <w:pPr>
        <w:numPr>
          <w:ilvl w:val="0"/>
          <w:numId w:val="3"/>
        </w:numPr>
        <w:tabs>
          <w:tab w:val="clear" w:pos="420"/>
        </w:tabs>
        <w:ind w:left="840" w:leftChars="0" w:hanging="840" w:firstLineChars="0"/>
        <w:jc w:val="both"/>
        <w:rPr>
          <w:rFonts w:hint="eastAsia" w:ascii="宋体" w:hAnsi="宋体" w:eastAsia="宋体" w:cs="宋体"/>
          <w:color w:val="000000"/>
          <w:sz w:val="28"/>
          <w:szCs w:val="28"/>
        </w:rPr>
      </w:pPr>
      <w:r>
        <w:rPr>
          <w:rFonts w:hint="eastAsia" w:ascii="宋体" w:hAnsi="宋体" w:eastAsia="宋体" w:cs="宋体"/>
          <w:color w:val="000000"/>
          <w:sz w:val="28"/>
          <w:szCs w:val="28"/>
        </w:rPr>
        <w:t>提供‘降解诱虫板’质量监督检验中心检测报告复印件，检测结论为已降解。</w:t>
      </w:r>
    </w:p>
    <w:p>
      <w:pPr>
        <w:numPr>
          <w:ilvl w:val="0"/>
          <w:numId w:val="3"/>
        </w:numPr>
        <w:tabs>
          <w:tab w:val="clear" w:pos="420"/>
        </w:tabs>
        <w:ind w:left="840" w:leftChars="0" w:hanging="840" w:firstLineChars="0"/>
        <w:jc w:val="both"/>
        <w:rPr>
          <w:rFonts w:hint="eastAsia" w:ascii="宋体" w:hAnsi="宋体" w:eastAsia="宋体" w:cs="宋体"/>
          <w:color w:val="000000"/>
          <w:sz w:val="28"/>
          <w:szCs w:val="28"/>
        </w:rPr>
      </w:pPr>
      <w:r>
        <w:rPr>
          <w:rFonts w:hint="eastAsia" w:ascii="宋体" w:hAnsi="宋体" w:eastAsia="宋体" w:cs="宋体"/>
          <w:color w:val="000000"/>
          <w:sz w:val="28"/>
          <w:szCs w:val="28"/>
        </w:rPr>
        <w:t>降解基板厚度：0.3—0.35mm； 颜色：黄色，蓝色，绿色，紫</w:t>
      </w:r>
      <w:r>
        <w:rPr>
          <w:rFonts w:hint="eastAsia" w:ascii="宋体" w:hAnsi="宋体" w:eastAsia="宋体" w:cs="宋体"/>
          <w:color w:val="000000"/>
          <w:sz w:val="28"/>
          <w:szCs w:val="28"/>
          <w:lang w:eastAsia="zh-CN"/>
        </w:rPr>
        <w:t>红</w:t>
      </w:r>
      <w:r>
        <w:rPr>
          <w:rFonts w:hint="eastAsia" w:ascii="宋体" w:hAnsi="宋体" w:eastAsia="宋体" w:cs="宋体"/>
          <w:color w:val="000000"/>
          <w:sz w:val="28"/>
          <w:szCs w:val="28"/>
        </w:rPr>
        <w:t>色，可根据诱捕靶标害虫需要选择不同颜色诱虫板。</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提供样品</w:t>
      </w:r>
      <w:r>
        <w:rPr>
          <w:rFonts w:hint="eastAsia" w:ascii="宋体" w:hAnsi="宋体" w:eastAsia="宋体" w:cs="宋体"/>
          <w:b/>
          <w:bCs/>
          <w:color w:val="000000"/>
          <w:sz w:val="28"/>
          <w:szCs w:val="28"/>
          <w:lang w:eastAsia="zh-CN"/>
        </w:rPr>
        <w:t>）</w:t>
      </w:r>
    </w:p>
    <w:p>
      <w:pPr>
        <w:numPr>
          <w:ilvl w:val="0"/>
          <w:numId w:val="3"/>
        </w:numPr>
        <w:tabs>
          <w:tab w:val="clear" w:pos="420"/>
        </w:tabs>
        <w:ind w:left="840" w:leftChars="0" w:hanging="840" w:firstLineChars="0"/>
        <w:jc w:val="both"/>
        <w:rPr>
          <w:rFonts w:hint="eastAsia" w:ascii="宋体" w:hAnsi="宋体" w:eastAsia="宋体" w:cs="宋体"/>
          <w:color w:val="000000"/>
          <w:sz w:val="28"/>
          <w:szCs w:val="28"/>
        </w:rPr>
      </w:pPr>
      <w:r>
        <w:rPr>
          <w:rFonts w:hint="eastAsia" w:ascii="宋体" w:hAnsi="宋体" w:eastAsia="宋体" w:cs="宋体"/>
          <w:color w:val="000000"/>
          <w:sz w:val="28"/>
          <w:szCs w:val="28"/>
        </w:rPr>
        <w:t>在温度10℃～70℃的环境中基板无明显变形，胶体不流化，遇水不溶解.在使用中，色泽一致，在强烈阳光照射下向光面与背光面无明显色差。</w:t>
      </w:r>
    </w:p>
    <w:p>
      <w:pPr>
        <w:numPr>
          <w:ilvl w:val="0"/>
          <w:numId w:val="3"/>
        </w:numPr>
        <w:tabs>
          <w:tab w:val="clear" w:pos="420"/>
        </w:tabs>
        <w:ind w:left="840" w:leftChars="0" w:hanging="840" w:firstLineChars="0"/>
        <w:jc w:val="both"/>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诱虫板</w:t>
      </w:r>
      <w:r>
        <w:rPr>
          <w:rFonts w:hint="eastAsia" w:ascii="宋体" w:hAnsi="宋体" w:eastAsia="宋体" w:cs="宋体"/>
          <w:color w:val="000000"/>
          <w:sz w:val="28"/>
          <w:szCs w:val="28"/>
        </w:rPr>
        <w:t>基板板面均匀分布</w:t>
      </w:r>
      <w:r>
        <w:rPr>
          <w:rFonts w:hint="eastAsia" w:ascii="宋体" w:hAnsi="宋体" w:eastAsia="宋体" w:cs="宋体"/>
          <w:color w:val="000000"/>
          <w:sz w:val="28"/>
          <w:szCs w:val="28"/>
          <w:lang w:eastAsia="zh-CN"/>
        </w:rPr>
        <w:t>有</w:t>
      </w:r>
      <w:r>
        <w:rPr>
          <w:rFonts w:hint="eastAsia" w:ascii="宋体" w:hAnsi="宋体" w:eastAsia="宋体" w:cs="宋体"/>
          <w:color w:val="000000"/>
          <w:sz w:val="28"/>
          <w:szCs w:val="28"/>
        </w:rPr>
        <w:t>波浪凹纹，防止与覆膜分离时产生静电减少沾</w:t>
      </w:r>
      <w:r>
        <w:rPr>
          <w:rFonts w:hint="eastAsia" w:ascii="宋体" w:hAnsi="宋体" w:eastAsia="宋体" w:cs="宋体"/>
          <w:color w:val="000000"/>
          <w:sz w:val="28"/>
          <w:szCs w:val="28"/>
          <w:lang w:eastAsia="zh-CN"/>
        </w:rPr>
        <w:t>黏</w:t>
      </w:r>
      <w:r>
        <w:rPr>
          <w:rFonts w:hint="eastAsia" w:ascii="宋体" w:hAnsi="宋体" w:eastAsia="宋体" w:cs="宋体"/>
          <w:color w:val="000000"/>
          <w:sz w:val="28"/>
          <w:szCs w:val="28"/>
        </w:rPr>
        <w:t>空气中漂浮尘土。</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提供样品</w:t>
      </w:r>
      <w:r>
        <w:rPr>
          <w:rFonts w:hint="eastAsia" w:ascii="宋体" w:hAnsi="宋体" w:eastAsia="宋体" w:cs="宋体"/>
          <w:b/>
          <w:bCs/>
          <w:color w:val="000000"/>
          <w:sz w:val="28"/>
          <w:szCs w:val="28"/>
          <w:lang w:eastAsia="zh-CN"/>
        </w:rPr>
        <w:t>）</w:t>
      </w:r>
    </w:p>
    <w:p>
      <w:pPr>
        <w:numPr>
          <w:ilvl w:val="0"/>
          <w:numId w:val="3"/>
        </w:numPr>
        <w:tabs>
          <w:tab w:val="clear" w:pos="420"/>
        </w:tabs>
        <w:ind w:left="840" w:leftChars="0" w:hanging="840" w:firstLineChars="0"/>
        <w:jc w:val="both"/>
        <w:rPr>
          <w:rFonts w:hint="eastAsia" w:ascii="宋体" w:hAnsi="宋体" w:eastAsia="宋体" w:cs="宋体"/>
          <w:color w:val="000000"/>
          <w:sz w:val="28"/>
          <w:szCs w:val="28"/>
        </w:rPr>
      </w:pPr>
      <w:r>
        <w:rPr>
          <w:rFonts w:hint="eastAsia" w:ascii="宋体" w:hAnsi="宋体" w:eastAsia="宋体" w:cs="宋体"/>
          <w:color w:val="000000"/>
          <w:sz w:val="28"/>
          <w:szCs w:val="28"/>
        </w:rPr>
        <w:t>基板降解完成后的残留满足对农用地土壤无重金属危害</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提供降解诱虫板</w:t>
      </w:r>
      <w:r>
        <w:rPr>
          <w:rFonts w:hint="eastAsia" w:ascii="宋体" w:hAnsi="宋体" w:eastAsia="宋体" w:cs="宋体"/>
          <w:color w:val="000000"/>
          <w:sz w:val="28"/>
          <w:szCs w:val="28"/>
          <w:lang w:eastAsia="zh-CN"/>
        </w:rPr>
        <w:t>符合《</w:t>
      </w:r>
      <w:r>
        <w:rPr>
          <w:rFonts w:hint="eastAsia" w:ascii="宋体" w:hAnsi="宋体" w:eastAsia="宋体" w:cs="宋体"/>
          <w:color w:val="000000"/>
          <w:sz w:val="28"/>
          <w:szCs w:val="28"/>
        </w:rPr>
        <w:t>GB 15618-2018土壤环境质量标准</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检测报告。</w:t>
      </w:r>
    </w:p>
    <w:p>
      <w:pPr>
        <w:numPr>
          <w:ilvl w:val="0"/>
          <w:numId w:val="3"/>
        </w:numPr>
        <w:tabs>
          <w:tab w:val="clear" w:pos="420"/>
        </w:tabs>
        <w:ind w:left="840" w:leftChars="0" w:hanging="840" w:firstLineChars="0"/>
        <w:jc w:val="both"/>
        <w:rPr>
          <w:rFonts w:hint="eastAsia" w:ascii="宋体" w:hAnsi="宋体" w:eastAsia="宋体" w:cs="宋体"/>
          <w:color w:val="000000"/>
          <w:sz w:val="28"/>
          <w:szCs w:val="28"/>
        </w:rPr>
      </w:pPr>
      <w:r>
        <w:rPr>
          <w:rFonts w:hint="eastAsia" w:ascii="宋体" w:hAnsi="宋体" w:eastAsia="宋体" w:cs="宋体"/>
          <w:color w:val="000000"/>
          <w:sz w:val="28"/>
          <w:szCs w:val="28"/>
        </w:rPr>
        <w:t>诱虫板</w:t>
      </w:r>
      <w:r>
        <w:rPr>
          <w:rFonts w:hint="eastAsia" w:ascii="宋体" w:hAnsi="宋体" w:eastAsia="宋体" w:cs="宋体"/>
          <w:color w:val="000000"/>
          <w:sz w:val="28"/>
          <w:szCs w:val="28"/>
          <w:lang w:eastAsia="zh-CN"/>
        </w:rPr>
        <w:t>具有悬挂孔并</w:t>
      </w:r>
      <w:r>
        <w:rPr>
          <w:rFonts w:hint="eastAsia" w:ascii="宋体" w:hAnsi="宋体" w:eastAsia="宋体" w:cs="宋体"/>
          <w:color w:val="000000"/>
          <w:sz w:val="28"/>
          <w:szCs w:val="28"/>
        </w:rPr>
        <w:t>配</w:t>
      </w:r>
      <w:r>
        <w:rPr>
          <w:rFonts w:hint="eastAsia" w:ascii="宋体" w:hAnsi="宋体" w:eastAsia="宋体" w:cs="宋体"/>
          <w:color w:val="000000"/>
          <w:sz w:val="28"/>
          <w:szCs w:val="28"/>
          <w:lang w:eastAsia="zh-CN"/>
        </w:rPr>
        <w:t>有</w:t>
      </w:r>
      <w:r>
        <w:rPr>
          <w:rFonts w:hint="eastAsia" w:ascii="宋体" w:hAnsi="宋体" w:eastAsia="宋体" w:cs="宋体"/>
          <w:color w:val="000000"/>
          <w:sz w:val="28"/>
          <w:szCs w:val="28"/>
        </w:rPr>
        <w:t>绑扎丝。</w:t>
      </w:r>
    </w:p>
    <w:p>
      <w:pPr>
        <w:spacing w:line="500" w:lineRule="exact"/>
        <w:rPr>
          <w:rFonts w:hint="eastAsia" w:ascii="宋体" w:hAnsi="宋体" w:eastAsia="宋体" w:cs="宋体"/>
          <w:b/>
          <w:bCs/>
          <w:color w:val="000000"/>
          <w:szCs w:val="28"/>
        </w:rPr>
      </w:pPr>
      <w:r>
        <w:rPr>
          <w:rFonts w:hint="eastAsia" w:ascii="宋体" w:hAnsi="宋体" w:eastAsia="宋体" w:cs="宋体"/>
          <w:b/>
          <w:bCs/>
          <w:color w:val="000000"/>
          <w:szCs w:val="28"/>
        </w:rPr>
        <w:t>三、国家相关行政主管部门颁布的强制标准、规范：采购内容需执行的国家相关标准、行业标准、地方标准或者其他标准、规范。</w:t>
      </w:r>
    </w:p>
    <w:p>
      <w:pPr>
        <w:spacing w:line="500" w:lineRule="exact"/>
        <w:rPr>
          <w:rFonts w:hint="eastAsia" w:ascii="宋体" w:hAnsi="宋体" w:eastAsia="宋体" w:cs="宋体"/>
          <w:b/>
          <w:bCs/>
          <w:color w:val="000000"/>
          <w:szCs w:val="28"/>
        </w:rPr>
      </w:pPr>
      <w:r>
        <w:rPr>
          <w:rFonts w:hint="eastAsia" w:ascii="宋体" w:hAnsi="宋体" w:eastAsia="宋体" w:cs="宋体"/>
          <w:b/>
          <w:bCs/>
          <w:color w:val="000000"/>
          <w:szCs w:val="28"/>
        </w:rPr>
        <w:t>四、商务要求</w:t>
      </w:r>
    </w:p>
    <w:p>
      <w:pPr>
        <w:spacing w:line="500" w:lineRule="exact"/>
        <w:ind w:firstLine="548" w:firstLineChars="196"/>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说明：投标人在投标文件《商务要求响应、偏离说明表》中应对以下逐条商务要求进行响应描述或偏离说明。不满足以下要求的，其投标按照无效投标处理。</w:t>
      </w:r>
    </w:p>
    <w:p>
      <w:pPr>
        <w:numPr>
          <w:ilvl w:val="0"/>
          <w:numId w:val="4"/>
        </w:numPr>
        <w:spacing w:line="500" w:lineRule="exact"/>
        <w:ind w:left="425" w:leftChars="0" w:hanging="425" w:firstLineChars="0"/>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rPr>
        <w:t>交货期限：签定合同后按合同和</w:t>
      </w:r>
      <w:r>
        <w:rPr>
          <w:rFonts w:hint="eastAsia" w:asciiTheme="minorEastAsia" w:hAnsiTheme="minorEastAsia" w:eastAsiaTheme="minorEastAsia" w:cstheme="minorEastAsia"/>
          <w:color w:val="000000"/>
          <w:sz w:val="28"/>
          <w:szCs w:val="28"/>
          <w:lang w:val="en-US" w:eastAsia="zh-CN"/>
        </w:rPr>
        <w:t>询价</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询价响应</w:t>
      </w:r>
      <w:r>
        <w:rPr>
          <w:rFonts w:hint="eastAsia" w:asciiTheme="minorEastAsia" w:hAnsiTheme="minorEastAsia" w:eastAsiaTheme="minorEastAsia" w:cstheme="minorEastAsia"/>
          <w:color w:val="000000"/>
          <w:sz w:val="28"/>
          <w:szCs w:val="28"/>
        </w:rPr>
        <w:t>文件约定的要求和标准进行</w:t>
      </w:r>
      <w:r>
        <w:rPr>
          <w:rFonts w:hint="eastAsia" w:asciiTheme="minorEastAsia" w:hAnsiTheme="minorEastAsia" w:eastAsiaTheme="minorEastAsia" w:cstheme="minorEastAsia"/>
          <w:color w:val="000000"/>
          <w:sz w:val="28"/>
          <w:szCs w:val="28"/>
          <w:highlight w:val="none"/>
        </w:rPr>
        <w:t>交货验收，交货期为签定合同后</w:t>
      </w:r>
      <w:r>
        <w:rPr>
          <w:rFonts w:hint="eastAsia" w:asciiTheme="minorEastAsia" w:hAnsiTheme="minorEastAsia" w:eastAsiaTheme="minorEastAsia" w:cstheme="minorEastAsia"/>
          <w:color w:val="000000"/>
          <w:sz w:val="28"/>
          <w:szCs w:val="28"/>
          <w:highlight w:val="none"/>
          <w:lang w:val="en-US" w:eastAsia="zh-CN"/>
        </w:rPr>
        <w:t>一周</w:t>
      </w:r>
      <w:r>
        <w:rPr>
          <w:rFonts w:hint="eastAsia" w:asciiTheme="minorEastAsia" w:hAnsiTheme="minorEastAsia" w:eastAsiaTheme="minorEastAsia" w:cstheme="minorEastAsia"/>
          <w:color w:val="000000"/>
          <w:sz w:val="28"/>
          <w:szCs w:val="28"/>
          <w:highlight w:val="none"/>
        </w:rPr>
        <w:t>内。“交货期”指所有货物运抵现场安装调试完毕后交付用户验收的日期</w:t>
      </w:r>
      <w:r>
        <w:rPr>
          <w:rFonts w:hint="eastAsia" w:asciiTheme="minorEastAsia" w:hAnsiTheme="minorEastAsia" w:eastAsiaTheme="minorEastAsia" w:cstheme="minorEastAsia"/>
          <w:color w:val="000000"/>
          <w:sz w:val="28"/>
          <w:szCs w:val="28"/>
          <w:highlight w:val="none"/>
          <w:lang w:eastAsia="zh-CN"/>
        </w:rPr>
        <w:t>。</w:t>
      </w:r>
    </w:p>
    <w:p>
      <w:pPr>
        <w:numPr>
          <w:ilvl w:val="0"/>
          <w:numId w:val="4"/>
        </w:numPr>
        <w:spacing w:line="500" w:lineRule="exact"/>
        <w:ind w:left="425" w:leftChars="0" w:hanging="425" w:firstLineChars="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交货地点：</w:t>
      </w:r>
      <w:r>
        <w:rPr>
          <w:rFonts w:hint="eastAsia" w:asciiTheme="minorEastAsia" w:hAnsiTheme="minorEastAsia" w:eastAsiaTheme="minorEastAsia" w:cstheme="minorEastAsia"/>
          <w:color w:val="000000"/>
          <w:sz w:val="28"/>
          <w:szCs w:val="28"/>
          <w:highlight w:val="none"/>
          <w:lang w:val="en-US" w:eastAsia="zh-CN"/>
        </w:rPr>
        <w:t>采购人指定地点。</w:t>
      </w:r>
    </w:p>
    <w:p>
      <w:pPr>
        <w:numPr>
          <w:ilvl w:val="0"/>
          <w:numId w:val="4"/>
        </w:numPr>
        <w:spacing w:line="500" w:lineRule="exact"/>
        <w:ind w:left="425" w:leftChars="0" w:hanging="425" w:firstLineChars="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质保期：</w:t>
      </w:r>
      <w:r>
        <w:rPr>
          <w:rFonts w:hint="eastAsia" w:asciiTheme="minorEastAsia" w:hAnsiTheme="minorEastAsia" w:eastAsiaTheme="minorEastAsia" w:cstheme="minorEastAsia"/>
          <w:color w:val="000000"/>
          <w:sz w:val="28"/>
          <w:szCs w:val="28"/>
          <w:highlight w:val="none"/>
          <w:lang w:val="en-US" w:eastAsia="zh-CN"/>
        </w:rPr>
        <w:t>1年。</w:t>
      </w:r>
    </w:p>
    <w:p>
      <w:pPr>
        <w:numPr>
          <w:ilvl w:val="0"/>
          <w:numId w:val="4"/>
        </w:numPr>
        <w:spacing w:line="500" w:lineRule="exact"/>
        <w:ind w:left="425" w:leftChars="0" w:hanging="425" w:firstLineChars="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付款方式：</w:t>
      </w:r>
      <w:r>
        <w:rPr>
          <w:rFonts w:hint="eastAsia" w:asciiTheme="minorEastAsia" w:hAnsiTheme="minorEastAsia" w:eastAsiaTheme="minorEastAsia" w:cstheme="minorEastAsia"/>
          <w:color w:val="000000"/>
          <w:sz w:val="28"/>
          <w:szCs w:val="28"/>
          <w:highlight w:val="none"/>
          <w:lang w:val="en-US" w:eastAsia="zh-CN"/>
        </w:rPr>
        <w:t>验收合格并交付使用后付全款。</w:t>
      </w:r>
    </w:p>
    <w:p>
      <w:pPr>
        <w:numPr>
          <w:ilvl w:val="0"/>
          <w:numId w:val="4"/>
        </w:numPr>
        <w:spacing w:line="500" w:lineRule="exact"/>
        <w:ind w:left="425" w:leftChars="0" w:hanging="425" w:firstLineChars="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其他说明</w:t>
      </w:r>
    </w:p>
    <w:p>
      <w:pPr>
        <w:numPr>
          <w:ilvl w:val="0"/>
          <w:numId w:val="5"/>
        </w:numPr>
        <w:tabs>
          <w:tab w:val="left" w:pos="840"/>
        </w:tabs>
        <w:ind w:left="425" w:leftChars="0" w:hanging="425"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本项目采购预算控制金额为</w:t>
      </w:r>
      <w:r>
        <w:rPr>
          <w:rFonts w:hint="eastAsia" w:asciiTheme="minorEastAsia" w:hAnsiTheme="minorEastAsia" w:eastAsiaTheme="minorEastAsia" w:cstheme="minorEastAsia"/>
          <w:sz w:val="28"/>
          <w:szCs w:val="28"/>
          <w:highlight w:val="none"/>
          <w:lang w:val="en-US" w:eastAsia="zh-CN"/>
        </w:rPr>
        <w:t>45</w:t>
      </w:r>
      <w:r>
        <w:rPr>
          <w:rFonts w:hint="eastAsia" w:asciiTheme="minorEastAsia" w:hAnsiTheme="minorEastAsia" w:eastAsiaTheme="minorEastAsia" w:cstheme="minorEastAsia"/>
          <w:sz w:val="28"/>
          <w:szCs w:val="28"/>
          <w:highlight w:val="none"/>
        </w:rPr>
        <w:t>万元，</w:t>
      </w:r>
      <w:r>
        <w:rPr>
          <w:rFonts w:hint="eastAsia" w:asciiTheme="minorEastAsia" w:hAnsiTheme="minorEastAsia" w:eastAsiaTheme="minorEastAsia" w:cstheme="minorEastAsia"/>
          <w:sz w:val="28"/>
          <w:szCs w:val="28"/>
        </w:rPr>
        <w:t>超出预算控制金额将导致其投标无效</w:t>
      </w:r>
      <w:r>
        <w:rPr>
          <w:rFonts w:hint="eastAsia" w:asciiTheme="minorEastAsia" w:hAnsiTheme="minorEastAsia" w:eastAsiaTheme="minorEastAsia" w:cstheme="minorEastAsia"/>
          <w:sz w:val="28"/>
          <w:szCs w:val="28"/>
          <w:lang w:eastAsia="zh-CN"/>
        </w:rPr>
        <w:t>。</w:t>
      </w:r>
    </w:p>
    <w:p>
      <w:pPr>
        <w:numPr>
          <w:ilvl w:val="0"/>
          <w:numId w:val="5"/>
        </w:numPr>
        <w:tabs>
          <w:tab w:val="left" w:pos="840"/>
        </w:tabs>
        <w:ind w:left="425" w:leftChars="0" w:hanging="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须提供供货能力保障承诺书，承诺所投产品货源渠道正规，并保证按照合同和询价、询价响应文件约定的要求和标准按时交货，否则自愿放弃中标资格并赔偿因此给采购人造成的损失（未提供承诺书将导致其投标无效）。</w:t>
      </w:r>
    </w:p>
    <w:p>
      <w:pPr>
        <w:numPr>
          <w:ilvl w:val="0"/>
          <w:numId w:val="5"/>
        </w:numPr>
        <w:tabs>
          <w:tab w:val="left" w:pos="840"/>
        </w:tabs>
        <w:ind w:left="425" w:leftChars="0" w:hanging="425" w:firstLineChars="0"/>
        <w:rPr>
          <w:sz w:val="24"/>
          <w:szCs w:val="24"/>
        </w:rPr>
      </w:pPr>
      <w:r>
        <w:rPr>
          <w:rFonts w:hint="eastAsia" w:asciiTheme="minorEastAsia" w:hAnsiTheme="minorEastAsia" w:eastAsiaTheme="minorEastAsia" w:cstheme="minorEastAsia"/>
          <w:sz w:val="28"/>
          <w:szCs w:val="28"/>
          <w:lang w:val="en-US" w:eastAsia="zh-CN"/>
        </w:rPr>
        <w:t>本项目开评标时需提供样品（标明供应商名称、样品名称）至开标现场，用于评标和验收。专家评完后所有样品由供应商送至采购人指定位置封存，成交结果公示结束后，成交人样品留在采购人处封存，其他样品退还供应商（由供应商自行取走）（未提供样品将导致其投标无效）。</w:t>
      </w:r>
      <w:bookmarkStart w:id="0" w:name="_GoBack"/>
      <w:bookmarkEnd w:id="0"/>
      <w:r>
        <w:rPr>
          <w:rFonts w:hint="eastAsia"/>
          <w:sz w:val="24"/>
          <w:szCs w:val="24"/>
        </w:rPr>
        <w:br w:type="page"/>
      </w:r>
    </w:p>
    <w:p>
      <w:pPr>
        <w:jc w:val="center"/>
        <w:rPr>
          <w:sz w:val="32"/>
          <w:szCs w:val="32"/>
        </w:rPr>
      </w:pPr>
      <w:r>
        <w:rPr>
          <w:rFonts w:hint="eastAsia"/>
          <w:sz w:val="32"/>
          <w:szCs w:val="32"/>
        </w:rPr>
        <w:t>供应商报名表</w:t>
      </w:r>
    </w:p>
    <w:p>
      <w:pPr>
        <w:rPr>
          <w:sz w:val="24"/>
          <w:szCs w:val="24"/>
        </w:rPr>
      </w:pPr>
      <w:r>
        <w:rPr>
          <w:rFonts w:hint="eastAsia"/>
          <w:sz w:val="24"/>
          <w:szCs w:val="24"/>
        </w:rPr>
        <w:t>项目编号：</w:t>
      </w:r>
      <w:r>
        <w:rPr>
          <w:sz w:val="24"/>
          <w:szCs w:val="24"/>
          <w:u w:val="single"/>
        </w:rPr>
        <w:t xml:space="preserve">                </w:t>
      </w:r>
    </w:p>
    <w:p>
      <w:pPr>
        <w:rPr>
          <w:sz w:val="24"/>
          <w:szCs w:val="24"/>
        </w:rPr>
      </w:pPr>
      <w:r>
        <w:rPr>
          <w:rFonts w:hint="eastAsia"/>
          <w:sz w:val="24"/>
          <w:szCs w:val="24"/>
        </w:rPr>
        <w:t>项目名称：</w:t>
      </w:r>
      <w:r>
        <w:rPr>
          <w:sz w:val="24"/>
          <w:szCs w:val="24"/>
        </w:rPr>
        <w:t xml:space="preserve">  </w:t>
      </w:r>
      <w:r>
        <w:rPr>
          <w:sz w:val="24"/>
          <w:szCs w:val="24"/>
          <w:u w:val="single"/>
        </w:rPr>
        <w:t xml:space="preserve">                </w:t>
      </w:r>
      <w:r>
        <w:rPr>
          <w:sz w:val="24"/>
          <w:szCs w:val="24"/>
        </w:rPr>
        <w:t xml:space="preserve">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 w:val="24"/>
                <w:szCs w:val="24"/>
              </w:rPr>
            </w:pPr>
            <w:r>
              <w:rPr>
                <w:rFonts w:hint="eastAsia" w:ascii="宋体" w:hAnsi="宋体" w:cs="宋体"/>
                <w:kern w:val="0"/>
                <w:sz w:val="24"/>
                <w:szCs w:val="24"/>
              </w:rPr>
              <w:t>供应商名称（盖章）</w:t>
            </w:r>
          </w:p>
        </w:tc>
        <w:tc>
          <w:tcPr>
            <w:tcW w:w="6288" w:type="dxa"/>
            <w:vAlign w:val="center"/>
          </w:tcPr>
          <w:p>
            <w:pPr>
              <w:widowControl/>
              <w:spacing w:before="100" w:beforeAutospacing="1" w:after="100" w:afterAutospacing="1"/>
              <w:jc w:val="left"/>
              <w:rPr>
                <w:rFonts w:ascii="宋体" w:cs="宋体"/>
                <w:kern w:val="0"/>
                <w:sz w:val="24"/>
                <w:szCs w:val="24"/>
              </w:rPr>
            </w:pPr>
            <w:r>
              <w:rPr>
                <w:rFonts w:asci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 w:val="24"/>
                <w:szCs w:val="24"/>
              </w:rPr>
            </w:pPr>
            <w:r>
              <w:rPr>
                <w:rFonts w:hint="eastAsia" w:ascii="宋体" w:hAnsi="宋体" w:cs="宋体"/>
                <w:kern w:val="0"/>
                <w:sz w:val="24"/>
                <w:szCs w:val="24"/>
              </w:rPr>
              <w:t>联系人姓名</w:t>
            </w:r>
          </w:p>
        </w:tc>
        <w:tc>
          <w:tcPr>
            <w:tcW w:w="6288" w:type="dxa"/>
            <w:vAlign w:val="center"/>
          </w:tcPr>
          <w:p>
            <w:pPr>
              <w:widowControl/>
              <w:spacing w:before="100" w:beforeAutospacing="1" w:after="100" w:afterAutospacing="1"/>
              <w:jc w:val="left"/>
              <w:rPr>
                <w:rFonts w:ascii="宋体" w:cs="宋体"/>
                <w:kern w:val="0"/>
                <w:sz w:val="24"/>
                <w:szCs w:val="24"/>
              </w:rPr>
            </w:pPr>
            <w:r>
              <w:rPr>
                <w:rFonts w:asci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 w:val="24"/>
                <w:szCs w:val="24"/>
              </w:rPr>
            </w:pPr>
            <w:r>
              <w:rPr>
                <w:rFonts w:hint="eastAsia" w:ascii="宋体" w:hAnsi="宋体" w:cs="宋体"/>
                <w:kern w:val="0"/>
                <w:sz w:val="24"/>
                <w:szCs w:val="24"/>
              </w:rPr>
              <w:t>联系人电话（办公电话和手机）</w:t>
            </w:r>
          </w:p>
        </w:tc>
        <w:tc>
          <w:tcPr>
            <w:tcW w:w="6288" w:type="dxa"/>
            <w:vAlign w:val="center"/>
          </w:tcPr>
          <w:p>
            <w:pPr>
              <w:widowControl/>
              <w:spacing w:before="100" w:beforeAutospacing="1" w:after="100" w:afterAutospacing="1"/>
              <w:jc w:val="left"/>
              <w:rPr>
                <w:rFonts w:ascii="宋体" w:cs="宋体"/>
                <w:kern w:val="0"/>
                <w:sz w:val="24"/>
                <w:szCs w:val="24"/>
              </w:rPr>
            </w:pPr>
            <w:r>
              <w:rPr>
                <w:rFonts w:asci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 w:val="24"/>
                <w:szCs w:val="24"/>
              </w:rPr>
            </w:pPr>
            <w:r>
              <w:rPr>
                <w:rFonts w:hint="eastAsia" w:ascii="宋体" w:hAnsi="宋体" w:cs="宋体"/>
                <w:kern w:val="0"/>
                <w:sz w:val="24"/>
                <w:szCs w:val="24"/>
              </w:rPr>
              <w:t>联系人邮箱</w:t>
            </w:r>
          </w:p>
        </w:tc>
        <w:tc>
          <w:tcPr>
            <w:tcW w:w="6288" w:type="dxa"/>
            <w:vAlign w:val="center"/>
          </w:tcPr>
          <w:p>
            <w:pPr>
              <w:widowControl/>
              <w:spacing w:before="100" w:beforeAutospacing="1" w:after="100" w:afterAutospacing="1"/>
              <w:jc w:val="left"/>
              <w:rPr>
                <w:rFonts w:ascii="宋体" w:cs="宋体"/>
                <w:kern w:val="0"/>
                <w:sz w:val="24"/>
                <w:szCs w:val="24"/>
              </w:rPr>
            </w:pPr>
            <w:r>
              <w:rPr>
                <w:rFonts w:asci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restart"/>
            <w:vAlign w:val="center"/>
          </w:tcPr>
          <w:p>
            <w:pPr>
              <w:widowControl/>
              <w:spacing w:before="100" w:beforeAutospacing="1" w:after="100" w:afterAutospacing="1"/>
              <w:jc w:val="left"/>
              <w:rPr>
                <w:rFonts w:ascii="宋体" w:cs="宋体"/>
                <w:kern w:val="0"/>
                <w:sz w:val="24"/>
                <w:szCs w:val="24"/>
              </w:rPr>
            </w:pPr>
            <w:r>
              <w:rPr>
                <w:rFonts w:hint="eastAsia" w:ascii="宋体" w:hAnsi="宋体" w:cs="宋体"/>
                <w:kern w:val="0"/>
                <w:sz w:val="24"/>
                <w:szCs w:val="24"/>
              </w:rPr>
              <w:t>供应商提供的</w:t>
            </w:r>
          </w:p>
          <w:p>
            <w:pPr>
              <w:widowControl/>
              <w:spacing w:before="100" w:beforeAutospacing="1" w:after="100" w:afterAutospacing="1"/>
              <w:jc w:val="left"/>
              <w:rPr>
                <w:rFonts w:ascii="宋体" w:cs="宋体"/>
                <w:kern w:val="0"/>
                <w:sz w:val="24"/>
                <w:szCs w:val="24"/>
              </w:rPr>
            </w:pPr>
            <w:r>
              <w:rPr>
                <w:rFonts w:hint="eastAsia" w:ascii="宋体" w:hAnsi="宋体" w:cs="宋体"/>
                <w:kern w:val="0"/>
                <w:sz w:val="24"/>
                <w:szCs w:val="24"/>
              </w:rPr>
              <w:t>报名资料</w:t>
            </w:r>
          </w:p>
        </w:tc>
        <w:tc>
          <w:tcPr>
            <w:tcW w:w="6288" w:type="dxa"/>
          </w:tcPr>
          <w:p>
            <w:pPr>
              <w:rPr>
                <w:sz w:val="24"/>
                <w:szCs w:val="24"/>
              </w:rPr>
            </w:pPr>
            <w:r>
              <w:rPr>
                <w:sz w:val="24"/>
                <w:szCs w:val="24"/>
              </w:rPr>
              <w:t>1.</w:t>
            </w:r>
            <w:r>
              <w:rPr>
                <w:rFonts w:hint="eastAsia"/>
                <w:sz w:val="24"/>
                <w:szCs w:val="24"/>
              </w:rPr>
              <w:t>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rPr>
            </w:pPr>
          </w:p>
        </w:tc>
        <w:tc>
          <w:tcPr>
            <w:tcW w:w="6288" w:type="dxa"/>
          </w:tcPr>
          <w:p>
            <w:pPr>
              <w:rPr>
                <w:sz w:val="24"/>
                <w:szCs w:val="24"/>
              </w:rPr>
            </w:pPr>
            <w:r>
              <w:rPr>
                <w:sz w:val="24"/>
                <w:szCs w:val="24"/>
              </w:rPr>
              <w:t>2.</w:t>
            </w:r>
            <w:r>
              <w:rPr>
                <w:rFonts w:hint="eastAsia"/>
                <w:sz w:val="24"/>
                <w:szCs w:val="24"/>
                <w:lang w:val="en-US" w:eastAsia="zh-CN"/>
              </w:rPr>
              <w:t>2020年</w:t>
            </w:r>
            <w:r>
              <w:rPr>
                <w:rFonts w:hint="eastAsia"/>
                <w:sz w:val="24"/>
                <w:szCs w:val="24"/>
              </w:rPr>
              <w:t>经会计事务所审计的财务报告，近六个月（2021年</w:t>
            </w:r>
            <w:r>
              <w:rPr>
                <w:rFonts w:hint="eastAsia"/>
                <w:sz w:val="24"/>
                <w:szCs w:val="24"/>
                <w:lang w:val="en-US" w:eastAsia="zh-CN"/>
              </w:rPr>
              <w:t>2</w:t>
            </w:r>
            <w:r>
              <w:rPr>
                <w:rFonts w:hint="eastAsia"/>
                <w:sz w:val="24"/>
                <w:szCs w:val="24"/>
              </w:rPr>
              <w:t>月至今）任意一个月依法缴纳税收和社会保障资金的相关材料；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rPr>
            </w:pPr>
          </w:p>
        </w:tc>
        <w:tc>
          <w:tcPr>
            <w:tcW w:w="6288" w:type="dxa"/>
          </w:tcPr>
          <w:p>
            <w:pPr>
              <w:rPr>
                <w:sz w:val="24"/>
                <w:szCs w:val="24"/>
              </w:rPr>
            </w:pPr>
            <w:r>
              <w:rPr>
                <w:sz w:val="24"/>
                <w:szCs w:val="24"/>
              </w:rPr>
              <w:t>3.</w:t>
            </w:r>
            <w:r>
              <w:rPr>
                <w:rFonts w:hint="eastAsia"/>
                <w:sz w:val="24"/>
                <w:szCs w:val="24"/>
              </w:rPr>
              <w:t>具备履行合同所必需的设备和专业技术能力的书面声明或相关证明材料。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rPr>
            </w:pPr>
          </w:p>
        </w:tc>
        <w:tc>
          <w:tcPr>
            <w:tcW w:w="6288" w:type="dxa"/>
          </w:tcPr>
          <w:p>
            <w:pPr>
              <w:rPr>
                <w:sz w:val="24"/>
                <w:szCs w:val="24"/>
              </w:rPr>
            </w:pPr>
            <w:r>
              <w:rPr>
                <w:sz w:val="24"/>
                <w:szCs w:val="24"/>
              </w:rPr>
              <w:t>4.</w:t>
            </w:r>
            <w:r>
              <w:rPr>
                <w:rFonts w:hint="eastAsia"/>
                <w:sz w:val="24"/>
                <w:szCs w:val="24"/>
              </w:rPr>
              <w:t>参加政府采购活动前</w:t>
            </w:r>
            <w:r>
              <w:rPr>
                <w:sz w:val="24"/>
                <w:szCs w:val="24"/>
              </w:rPr>
              <w:t>3</w:t>
            </w:r>
            <w:r>
              <w:rPr>
                <w:rFonts w:hint="eastAsia"/>
                <w:sz w:val="24"/>
                <w:szCs w:val="24"/>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rPr>
            </w:pPr>
          </w:p>
        </w:tc>
        <w:tc>
          <w:tcPr>
            <w:tcW w:w="6288" w:type="dxa"/>
          </w:tcPr>
          <w:p>
            <w:pPr>
              <w:rPr>
                <w:sz w:val="24"/>
                <w:szCs w:val="24"/>
              </w:rPr>
            </w:pPr>
            <w:r>
              <w:rPr>
                <w:sz w:val="24"/>
                <w:szCs w:val="24"/>
              </w:rPr>
              <w:t>5.</w:t>
            </w:r>
            <w:r>
              <w:rPr>
                <w:rFonts w:hint="eastAsia"/>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rPr>
            </w:pPr>
          </w:p>
        </w:tc>
        <w:tc>
          <w:tcPr>
            <w:tcW w:w="6288" w:type="dxa"/>
          </w:tcPr>
          <w:p>
            <w:pPr>
              <w:rPr>
                <w:sz w:val="24"/>
                <w:szCs w:val="24"/>
              </w:rPr>
            </w:pPr>
            <w:r>
              <w:rPr>
                <w:sz w:val="24"/>
                <w:szCs w:val="24"/>
              </w:rPr>
              <w:t>6.</w:t>
            </w:r>
            <w:r>
              <w:rPr>
                <w:rFonts w:hint="eastAsia"/>
                <w:sz w:val="24"/>
                <w:szCs w:val="24"/>
              </w:rPr>
              <w:t>未被列入</w:t>
            </w:r>
            <w:r>
              <w:rPr>
                <w:sz w:val="24"/>
                <w:szCs w:val="24"/>
              </w:rPr>
              <w:t xml:space="preserve"> </w:t>
            </w:r>
            <w:r>
              <w:rPr>
                <w:rFonts w:hint="eastAsia"/>
                <w:sz w:val="24"/>
                <w:szCs w:val="24"/>
              </w:rPr>
              <w:t>“信用中国”网站（</w:t>
            </w:r>
            <w:r>
              <w:rPr>
                <w:sz w:val="24"/>
                <w:szCs w:val="24"/>
              </w:rPr>
              <w:t>www.creditchina.gov.cn</w:t>
            </w:r>
            <w:r>
              <w:rPr>
                <w:rFonts w:hint="eastAsia"/>
                <w:sz w:val="24"/>
                <w:szCs w:val="24"/>
              </w:rPr>
              <w:t>）失信被执行人、重大税收违法案件当事人名单</w:t>
            </w:r>
            <w:r>
              <w:rPr>
                <w:rFonts w:hint="eastAsia" w:ascii="宋体" w:hAnsi="宋体"/>
                <w:color w:val="000000" w:themeColor="text1"/>
                <w:sz w:val="24"/>
              </w:rPr>
              <w:t>和“中国政府采购”网站（</w:t>
            </w:r>
            <w:r>
              <w:rPr>
                <w:rFonts w:ascii="宋体" w:hAnsi="宋体"/>
                <w:color w:val="000000" w:themeColor="text1"/>
                <w:sz w:val="24"/>
              </w:rPr>
              <w:t>www.ccgp.gov.cn</w:t>
            </w:r>
            <w:r>
              <w:rPr>
                <w:rFonts w:hint="eastAsia" w:ascii="宋体" w:hAnsi="宋体"/>
                <w:color w:val="000000" w:themeColor="text1"/>
                <w:sz w:val="24"/>
              </w:rPr>
              <w:t>）政府采购严重违法失信行为记录名单</w:t>
            </w:r>
            <w:r>
              <w:rPr>
                <w:rFonts w:hint="eastAsia"/>
                <w:sz w:val="24"/>
                <w:szCs w:val="24"/>
              </w:rPr>
              <w:t>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rPr>
            </w:pPr>
          </w:p>
        </w:tc>
        <w:tc>
          <w:tcPr>
            <w:tcW w:w="6288" w:type="dxa"/>
          </w:tcPr>
          <w:p>
            <w:pPr>
              <w:rPr>
                <w:rFonts w:hint="eastAsia" w:eastAsia="宋体"/>
                <w:sz w:val="24"/>
                <w:lang w:val="en-US" w:eastAsia="zh-CN"/>
              </w:rPr>
            </w:pPr>
            <w:r>
              <w:rPr>
                <w:rFonts w:hint="eastAsia"/>
                <w:sz w:val="24"/>
                <w:szCs w:val="24"/>
              </w:rPr>
              <w:t>7</w:t>
            </w:r>
            <w:r>
              <w:rPr>
                <w:sz w:val="24"/>
                <w:szCs w:val="24"/>
              </w:rPr>
              <w:t>.</w:t>
            </w:r>
            <w:r>
              <w:rPr>
                <w:rFonts w:hint="eastAsia"/>
                <w:sz w:val="24"/>
                <w:szCs w:val="24"/>
              </w:rPr>
              <w:t>特定条件：</w:t>
            </w:r>
            <w:r>
              <w:rPr>
                <w:rFonts w:hint="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jc w:val="left"/>
              <w:rPr>
                <w:rFonts w:ascii="宋体" w:cs="宋体"/>
                <w:b/>
                <w:kern w:val="0"/>
                <w:sz w:val="24"/>
                <w:szCs w:val="24"/>
              </w:rPr>
            </w:pPr>
            <w:r>
              <w:rPr>
                <w:rFonts w:hint="eastAsia" w:ascii="宋体" w:hAnsi="宋体" w:cs="宋体"/>
                <w:b/>
                <w:kern w:val="0"/>
                <w:sz w:val="24"/>
                <w:szCs w:val="24"/>
              </w:rPr>
              <w:t>供应商意见</w:t>
            </w:r>
          </w:p>
        </w:tc>
        <w:tc>
          <w:tcPr>
            <w:tcW w:w="6288" w:type="dxa"/>
          </w:tcPr>
          <w:p>
            <w:pPr>
              <w:rPr>
                <w:b/>
                <w:sz w:val="24"/>
                <w:szCs w:val="24"/>
              </w:rPr>
            </w:pPr>
            <w:r>
              <w:rPr>
                <w:rFonts w:hint="eastAsia"/>
                <w:b/>
                <w:sz w:val="24"/>
                <w:szCs w:val="24"/>
              </w:rPr>
              <w:t>供应商可对本项目采购需求的公正性、专业性、合理性等提出自己正确的意见、建议等（可另页详细表述）。</w:t>
            </w:r>
          </w:p>
        </w:tc>
      </w:tr>
    </w:tbl>
    <w:p>
      <w:pPr>
        <w:pStyle w:val="12"/>
        <w:shd w:val="clear" w:color="auto" w:fill="FFFFFF"/>
        <w:spacing w:before="150" w:beforeAutospacing="0" w:after="150" w:afterAutospacing="0" w:line="360" w:lineRule="atLeast"/>
        <w:ind w:left="150"/>
        <w:rPr>
          <w:rStyle w:val="17"/>
          <w:b w:val="0"/>
          <w:color w:val="000000"/>
        </w:rPr>
      </w:pPr>
      <w:r>
        <w:rPr>
          <w:rStyle w:val="17"/>
          <w:rFonts w:hint="eastAsia"/>
          <w:b w:val="0"/>
          <w:color w:val="000000"/>
        </w:rPr>
        <w:t>注意事项：</w:t>
      </w:r>
    </w:p>
    <w:p>
      <w:pPr>
        <w:pStyle w:val="12"/>
        <w:shd w:val="clear" w:color="auto" w:fill="FFFFFF"/>
        <w:spacing w:before="150" w:beforeAutospacing="0" w:after="150" w:afterAutospacing="0" w:line="360" w:lineRule="atLeast"/>
        <w:ind w:left="150" w:firstLine="480" w:firstLineChars="200"/>
        <w:rPr>
          <w:rStyle w:val="17"/>
          <w:b w:val="0"/>
          <w:color w:val="000000"/>
        </w:rPr>
      </w:pPr>
      <w:r>
        <w:rPr>
          <w:color w:val="000000"/>
        </w:rPr>
        <w:t>1.</w:t>
      </w:r>
      <w:r>
        <w:rPr>
          <w:rFonts w:hint="eastAsia"/>
          <w:color w:val="000000"/>
        </w:rPr>
        <w:t>供应商必须严格按照公告的内容和要求，完整递交有关资料，</w:t>
      </w:r>
      <w:r>
        <w:rPr>
          <w:rStyle w:val="17"/>
          <w:rFonts w:hint="eastAsia"/>
          <w:b w:val="0"/>
          <w:color w:val="000000"/>
        </w:rPr>
        <w:t>逾期递交的将予以拒收。</w:t>
      </w:r>
    </w:p>
    <w:p>
      <w:pPr>
        <w:pStyle w:val="12"/>
        <w:shd w:val="clear" w:color="auto" w:fill="FFFFFF"/>
        <w:spacing w:before="150" w:beforeAutospacing="0" w:after="150" w:afterAutospacing="0" w:line="360" w:lineRule="atLeast"/>
        <w:ind w:left="150" w:firstLine="480" w:firstLineChars="200"/>
        <w:rPr>
          <w:rFonts w:ascii="微软雅黑" w:hAnsi="微软雅黑" w:eastAsia="微软雅黑"/>
          <w:color w:val="000000"/>
          <w:sz w:val="18"/>
          <w:szCs w:val="18"/>
        </w:rPr>
      </w:pPr>
      <w:r>
        <w:rPr>
          <w:rFonts w:ascii="宋体" w:hAnsi="宋体" w:cs="宋体"/>
          <w:color w:val="000000"/>
          <w:szCs w:val="24"/>
        </w:rPr>
        <w:t>2.</w:t>
      </w:r>
      <w:r>
        <w:rPr>
          <w:rFonts w:hint="eastAsia" w:ascii="宋体" w:hAnsi="宋体" w:cs="宋体"/>
          <w:bCs/>
          <w:color w:val="000000"/>
          <w:szCs w:val="24"/>
        </w:rPr>
        <w:t>供应商所递交的资料（全部盖有单位公章）必须为一般常用电脑办公软件能够读取的清晰、易于辨识的彩色电子扫描件、照片（相关证书和证明材料的原件）</w:t>
      </w:r>
      <w:r>
        <w:rPr>
          <w:rFonts w:ascii="宋体" w:cs="宋体"/>
          <w:bCs/>
          <w:color w:val="000000"/>
          <w:szCs w:val="24"/>
        </w:rPr>
        <w:t>,</w:t>
      </w:r>
      <w:r>
        <w:rPr>
          <w:rFonts w:hint="eastAsia" w:ascii="宋体" w:hAnsi="宋体" w:cs="宋体"/>
          <w:bCs/>
          <w:color w:val="000000"/>
          <w:szCs w:val="24"/>
        </w:rPr>
        <w:t>并对其他递交资料内容的真实性、有效性及完整性负责，如提供文件资料有错漏、模糊不清、复印件的电子扫描件、照片、无法读取识别或弄虚作假等，一律属于无效文件。</w:t>
      </w:r>
      <w:r>
        <w:rPr>
          <w:rFonts w:ascii="宋体" w:hAnsi="宋体" w:cs="宋体"/>
          <w:bCs/>
          <w:color w:val="000000"/>
          <w:szCs w:val="24"/>
        </w:rPr>
        <w:t xml:space="preserve"> </w:t>
      </w:r>
    </w:p>
    <w:p>
      <w:pPr>
        <w:pStyle w:val="12"/>
        <w:shd w:val="clear" w:color="auto" w:fill="FFFFFF"/>
        <w:spacing w:before="150" w:beforeAutospacing="0" w:after="150" w:afterAutospacing="0" w:line="360" w:lineRule="atLeast"/>
        <w:ind w:left="150" w:firstLine="480" w:firstLineChars="200"/>
        <w:rPr>
          <w:sz w:val="24"/>
          <w:szCs w:val="24"/>
        </w:rPr>
      </w:pPr>
      <w:r>
        <w:rPr>
          <w:color w:val="000000"/>
        </w:rPr>
        <w:t>3.</w:t>
      </w:r>
      <w:r>
        <w:rPr>
          <w:rFonts w:hint="eastAsia"/>
          <w:color w:val="000000"/>
        </w:rPr>
        <w:t>须在邮件（附件文件名注明公司全称）注明公司全称、项目名称及项目编号（不注明我单位将拒收报名邮件）。</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7250C"/>
    <w:multiLevelType w:val="singleLevel"/>
    <w:tmpl w:val="A7F7250C"/>
    <w:lvl w:ilvl="0" w:tentative="0">
      <w:start w:val="1"/>
      <w:numFmt w:val="decimal"/>
      <w:lvlText w:val="%1."/>
      <w:lvlJc w:val="left"/>
      <w:pPr>
        <w:ind w:left="425" w:hanging="425"/>
      </w:pPr>
      <w:rPr>
        <w:rFonts w:hint="default"/>
      </w:rPr>
    </w:lvl>
  </w:abstractNum>
  <w:abstractNum w:abstractNumId="1">
    <w:nsid w:val="CFB77EE1"/>
    <w:multiLevelType w:val="singleLevel"/>
    <w:tmpl w:val="CFB77EE1"/>
    <w:lvl w:ilvl="0" w:tentative="0">
      <w:start w:val="1"/>
      <w:numFmt w:val="decimal"/>
      <w:lvlText w:val="5.%1."/>
      <w:lvlJc w:val="left"/>
      <w:pPr>
        <w:tabs>
          <w:tab w:val="left" w:pos="420"/>
        </w:tabs>
        <w:ind w:left="425" w:leftChars="0" w:hanging="425" w:firstLineChars="0"/>
      </w:pPr>
      <w:rPr>
        <w:rFonts w:hint="default"/>
      </w:rPr>
    </w:lvl>
  </w:abstractNum>
  <w:abstractNum w:abstractNumId="2">
    <w:nsid w:val="E1DF1D22"/>
    <w:multiLevelType w:val="singleLevel"/>
    <w:tmpl w:val="E1DF1D22"/>
    <w:lvl w:ilvl="0" w:tentative="0">
      <w:start w:val="1"/>
      <w:numFmt w:val="decimal"/>
      <w:lvlText w:val="2.%1."/>
      <w:lvlJc w:val="left"/>
      <w:pPr>
        <w:tabs>
          <w:tab w:val="left" w:pos="420"/>
        </w:tabs>
        <w:ind w:left="425" w:hanging="425"/>
      </w:pPr>
      <w:rPr>
        <w:rFonts w:hint="default"/>
      </w:rPr>
    </w:lvl>
  </w:abstractNum>
  <w:abstractNum w:abstractNumId="3">
    <w:nsid w:val="0D453093"/>
    <w:multiLevelType w:val="singleLevel"/>
    <w:tmpl w:val="0D453093"/>
    <w:lvl w:ilvl="0" w:tentative="0">
      <w:start w:val="1"/>
      <w:numFmt w:val="chineseCounting"/>
      <w:suff w:val="nothing"/>
      <w:lvlText w:val="%1、"/>
      <w:lvlJc w:val="left"/>
      <w:rPr>
        <w:rFonts w:hint="eastAsia"/>
      </w:rPr>
    </w:lvl>
  </w:abstractNum>
  <w:abstractNum w:abstractNumId="4">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DE9"/>
    <w:rsid w:val="00016BFD"/>
    <w:rsid w:val="00021D98"/>
    <w:rsid w:val="00026D00"/>
    <w:rsid w:val="000527BB"/>
    <w:rsid w:val="00056AED"/>
    <w:rsid w:val="0008654C"/>
    <w:rsid w:val="0009726D"/>
    <w:rsid w:val="000A6872"/>
    <w:rsid w:val="000D728B"/>
    <w:rsid w:val="00101CA6"/>
    <w:rsid w:val="00104393"/>
    <w:rsid w:val="00120CEA"/>
    <w:rsid w:val="00122B5C"/>
    <w:rsid w:val="00127B67"/>
    <w:rsid w:val="00162BF4"/>
    <w:rsid w:val="00174B5D"/>
    <w:rsid w:val="001B3DD1"/>
    <w:rsid w:val="00227C74"/>
    <w:rsid w:val="00241FC1"/>
    <w:rsid w:val="00247E29"/>
    <w:rsid w:val="00251305"/>
    <w:rsid w:val="00263FDD"/>
    <w:rsid w:val="0027306D"/>
    <w:rsid w:val="00286F91"/>
    <w:rsid w:val="002912E3"/>
    <w:rsid w:val="002C0DCE"/>
    <w:rsid w:val="002D3A86"/>
    <w:rsid w:val="002E6F83"/>
    <w:rsid w:val="002E70BC"/>
    <w:rsid w:val="00354132"/>
    <w:rsid w:val="00356FB9"/>
    <w:rsid w:val="0038354E"/>
    <w:rsid w:val="003A3307"/>
    <w:rsid w:val="003C173C"/>
    <w:rsid w:val="0042465C"/>
    <w:rsid w:val="00431D7E"/>
    <w:rsid w:val="004357AA"/>
    <w:rsid w:val="004451C8"/>
    <w:rsid w:val="00462B04"/>
    <w:rsid w:val="00465FFA"/>
    <w:rsid w:val="0048653B"/>
    <w:rsid w:val="004D26D1"/>
    <w:rsid w:val="0051396C"/>
    <w:rsid w:val="00526415"/>
    <w:rsid w:val="005517D8"/>
    <w:rsid w:val="00577CD8"/>
    <w:rsid w:val="00587588"/>
    <w:rsid w:val="006101C6"/>
    <w:rsid w:val="0067218F"/>
    <w:rsid w:val="006763BF"/>
    <w:rsid w:val="00680095"/>
    <w:rsid w:val="006A74A1"/>
    <w:rsid w:val="006B1667"/>
    <w:rsid w:val="006B566D"/>
    <w:rsid w:val="00710283"/>
    <w:rsid w:val="00714951"/>
    <w:rsid w:val="00731C4C"/>
    <w:rsid w:val="00770BDF"/>
    <w:rsid w:val="007E530D"/>
    <w:rsid w:val="0081133A"/>
    <w:rsid w:val="00841971"/>
    <w:rsid w:val="00843EA0"/>
    <w:rsid w:val="0085685E"/>
    <w:rsid w:val="00862199"/>
    <w:rsid w:val="008632F9"/>
    <w:rsid w:val="00877547"/>
    <w:rsid w:val="008D5B51"/>
    <w:rsid w:val="009111CF"/>
    <w:rsid w:val="00912E34"/>
    <w:rsid w:val="00917353"/>
    <w:rsid w:val="00965878"/>
    <w:rsid w:val="00973CEA"/>
    <w:rsid w:val="00984E78"/>
    <w:rsid w:val="009F57B7"/>
    <w:rsid w:val="00A06B58"/>
    <w:rsid w:val="00AC4743"/>
    <w:rsid w:val="00AC4FF6"/>
    <w:rsid w:val="00AC7064"/>
    <w:rsid w:val="00AD57E9"/>
    <w:rsid w:val="00AE0050"/>
    <w:rsid w:val="00B02FC2"/>
    <w:rsid w:val="00B37D97"/>
    <w:rsid w:val="00B422CC"/>
    <w:rsid w:val="00B87DB2"/>
    <w:rsid w:val="00BD15BE"/>
    <w:rsid w:val="00C045C9"/>
    <w:rsid w:val="00C04CDB"/>
    <w:rsid w:val="00C554DF"/>
    <w:rsid w:val="00C7441B"/>
    <w:rsid w:val="00C7583C"/>
    <w:rsid w:val="00C77263"/>
    <w:rsid w:val="00C8060B"/>
    <w:rsid w:val="00C81BC1"/>
    <w:rsid w:val="00C94576"/>
    <w:rsid w:val="00CA0AA0"/>
    <w:rsid w:val="00D049F5"/>
    <w:rsid w:val="00D239DE"/>
    <w:rsid w:val="00D34002"/>
    <w:rsid w:val="00D63126"/>
    <w:rsid w:val="00D64C90"/>
    <w:rsid w:val="00D665CD"/>
    <w:rsid w:val="00D9157E"/>
    <w:rsid w:val="00DA12FB"/>
    <w:rsid w:val="00DA3AC3"/>
    <w:rsid w:val="00DC47E0"/>
    <w:rsid w:val="00DD4640"/>
    <w:rsid w:val="00DE7188"/>
    <w:rsid w:val="00DE75E6"/>
    <w:rsid w:val="00E14B01"/>
    <w:rsid w:val="00E5330B"/>
    <w:rsid w:val="00E6320A"/>
    <w:rsid w:val="00E652DF"/>
    <w:rsid w:val="00E721AB"/>
    <w:rsid w:val="00E849D4"/>
    <w:rsid w:val="00E94B33"/>
    <w:rsid w:val="00EB4553"/>
    <w:rsid w:val="00EB5D3C"/>
    <w:rsid w:val="00EC51EB"/>
    <w:rsid w:val="00ED3F8E"/>
    <w:rsid w:val="00EF6F42"/>
    <w:rsid w:val="00F10D7E"/>
    <w:rsid w:val="00F27BC7"/>
    <w:rsid w:val="00F52DE9"/>
    <w:rsid w:val="00F67B38"/>
    <w:rsid w:val="00F76F50"/>
    <w:rsid w:val="00F83087"/>
    <w:rsid w:val="00FD4208"/>
    <w:rsid w:val="00FF19EE"/>
    <w:rsid w:val="036E1E2C"/>
    <w:rsid w:val="05357BDD"/>
    <w:rsid w:val="05EB380B"/>
    <w:rsid w:val="081669CA"/>
    <w:rsid w:val="0B706B75"/>
    <w:rsid w:val="0B74362C"/>
    <w:rsid w:val="0D662123"/>
    <w:rsid w:val="0DCB5D0A"/>
    <w:rsid w:val="13BB3CF4"/>
    <w:rsid w:val="17867FBC"/>
    <w:rsid w:val="1B2B3562"/>
    <w:rsid w:val="1BD4729A"/>
    <w:rsid w:val="1D3A4920"/>
    <w:rsid w:val="202042A9"/>
    <w:rsid w:val="22584D7B"/>
    <w:rsid w:val="23E661CC"/>
    <w:rsid w:val="24AF6192"/>
    <w:rsid w:val="2CF31D74"/>
    <w:rsid w:val="348827AB"/>
    <w:rsid w:val="357E4F48"/>
    <w:rsid w:val="38BD05F5"/>
    <w:rsid w:val="40586677"/>
    <w:rsid w:val="41974E7F"/>
    <w:rsid w:val="421B6790"/>
    <w:rsid w:val="426E2F53"/>
    <w:rsid w:val="4631003F"/>
    <w:rsid w:val="4F1E5C9D"/>
    <w:rsid w:val="5045265C"/>
    <w:rsid w:val="54117053"/>
    <w:rsid w:val="570C6CFC"/>
    <w:rsid w:val="5A452253"/>
    <w:rsid w:val="5DB549BD"/>
    <w:rsid w:val="5E0C14F9"/>
    <w:rsid w:val="641512DC"/>
    <w:rsid w:val="68D24476"/>
    <w:rsid w:val="6F00649B"/>
    <w:rsid w:val="6FBC0A3F"/>
    <w:rsid w:val="72C54810"/>
    <w:rsid w:val="77471B72"/>
    <w:rsid w:val="7C6D675F"/>
    <w:rsid w:val="7DA42B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8"/>
    <w:qFormat/>
    <w:uiPriority w:val="99"/>
    <w:pPr>
      <w:keepNext/>
      <w:keepLines/>
      <w:spacing w:before="340" w:after="330" w:line="576" w:lineRule="auto"/>
      <w:outlineLvl w:val="0"/>
    </w:pPr>
    <w:rPr>
      <w:b/>
      <w:bCs/>
      <w:kern w:val="44"/>
      <w:sz w:val="44"/>
      <w:szCs w:val="44"/>
    </w:rPr>
  </w:style>
  <w:style w:type="paragraph" w:styleId="2">
    <w:name w:val="heading 2"/>
    <w:basedOn w:val="1"/>
    <w:next w:val="1"/>
    <w:qFormat/>
    <w:locked/>
    <w:uiPriority w:val="0"/>
    <w:pPr>
      <w:keepNext/>
      <w:keepLines/>
      <w:numPr>
        <w:ilvl w:val="1"/>
        <w:numId w:val="1"/>
      </w:numPr>
      <w:spacing w:before="260" w:after="260" w:line="416" w:lineRule="auto"/>
      <w:ind w:left="0" w:firstLine="0"/>
      <w:outlineLvl w:val="1"/>
    </w:pPr>
    <w:rPr>
      <w:rFonts w:ascii="Cambria" w:hAnsi="Cambria"/>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0"/>
    <w:pPr>
      <w:spacing w:line="420" w:lineRule="auto"/>
    </w:pPr>
    <w:rPr>
      <w:sz w:val="24"/>
    </w:rPr>
  </w:style>
  <w:style w:type="paragraph" w:styleId="6">
    <w:name w:val="Body Text Indent"/>
    <w:basedOn w:val="1"/>
    <w:next w:val="7"/>
    <w:qFormat/>
    <w:uiPriority w:val="99"/>
    <w:pPr>
      <w:tabs>
        <w:tab w:val="left" w:pos="615"/>
      </w:tabs>
      <w:spacing w:line="480" w:lineRule="atLeast"/>
      <w:ind w:firstLine="840" w:firstLineChars="300"/>
    </w:pPr>
    <w:rPr>
      <w:rFonts w:ascii="宋体"/>
      <w:kern w:val="0"/>
      <w:sz w:val="28"/>
      <w:szCs w:val="15"/>
    </w:rPr>
  </w:style>
  <w:style w:type="paragraph" w:styleId="7">
    <w:name w:val="envelope return"/>
    <w:basedOn w:val="1"/>
    <w:qFormat/>
    <w:uiPriority w:val="99"/>
    <w:pPr>
      <w:snapToGrid w:val="0"/>
    </w:pPr>
    <w:rPr>
      <w:rFonts w:ascii="Arial" w:hAnsi="Arial" w:cs="Arial"/>
    </w:r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0"/>
    <w:pPr>
      <w:tabs>
        <w:tab w:val="left" w:pos="1020"/>
        <w:tab w:val="right" w:leader="dot" w:pos="8302"/>
      </w:tabs>
    </w:pPr>
    <w:rPr>
      <w:rFonts w:ascii="Times New Roman" w:hAnsi="Times New Roman"/>
      <w:szCs w:val="21"/>
    </w:rPr>
  </w:style>
  <w:style w:type="paragraph" w:styleId="12">
    <w:name w:val="Normal (Web)"/>
    <w:basedOn w:val="1"/>
    <w:qFormat/>
    <w:uiPriority w:val="99"/>
    <w:pPr>
      <w:spacing w:beforeAutospacing="1" w:afterAutospacing="1"/>
      <w:jc w:val="left"/>
    </w:pPr>
    <w:rPr>
      <w:rFonts w:cs="Times New Roman"/>
      <w:kern w:val="0"/>
      <w:sz w:val="24"/>
    </w:rPr>
  </w:style>
  <w:style w:type="paragraph" w:styleId="13">
    <w:name w:val="Body Text First Indent 2"/>
    <w:basedOn w:val="6"/>
    <w:qFormat/>
    <w:uiPriority w:val="99"/>
    <w:pPr>
      <w:ind w:firstLine="420" w:firstLineChars="200"/>
    </w:pPr>
    <w:rPr>
      <w:rFonts w:ascii="Times New Roman"/>
      <w:sz w:val="21"/>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bCs/>
    </w:rPr>
  </w:style>
  <w:style w:type="character" w:customStyle="1" w:styleId="18">
    <w:name w:val="标题 1 Char"/>
    <w:basedOn w:val="16"/>
    <w:link w:val="3"/>
    <w:qFormat/>
    <w:locked/>
    <w:uiPriority w:val="99"/>
    <w:rPr>
      <w:rFonts w:eastAsia="宋体" w:cs="Times New Roman"/>
      <w:b/>
      <w:bCs/>
      <w:kern w:val="44"/>
      <w:sz w:val="44"/>
      <w:szCs w:val="44"/>
    </w:rPr>
  </w:style>
  <w:style w:type="character" w:customStyle="1" w:styleId="19">
    <w:name w:val="批注框文本 Char"/>
    <w:basedOn w:val="16"/>
    <w:link w:val="8"/>
    <w:semiHidden/>
    <w:qFormat/>
    <w:locked/>
    <w:uiPriority w:val="99"/>
    <w:rPr>
      <w:rFonts w:cs="Times New Roman"/>
      <w:sz w:val="18"/>
      <w:szCs w:val="18"/>
    </w:rPr>
  </w:style>
  <w:style w:type="character" w:customStyle="1" w:styleId="20">
    <w:name w:val="页脚 Char"/>
    <w:basedOn w:val="16"/>
    <w:link w:val="9"/>
    <w:qFormat/>
    <w:locked/>
    <w:uiPriority w:val="99"/>
    <w:rPr>
      <w:rFonts w:cs="Times New Roman"/>
      <w:sz w:val="18"/>
      <w:szCs w:val="18"/>
    </w:rPr>
  </w:style>
  <w:style w:type="character" w:customStyle="1" w:styleId="21">
    <w:name w:val="页眉 Char"/>
    <w:basedOn w:val="16"/>
    <w:link w:val="10"/>
    <w:qFormat/>
    <w:locked/>
    <w:uiPriority w:val="99"/>
    <w:rPr>
      <w:rFonts w:cs="Times New Roman"/>
      <w:sz w:val="18"/>
      <w:szCs w:val="18"/>
    </w:rPr>
  </w:style>
  <w:style w:type="paragraph" w:styleId="22">
    <w:name w:val="List Paragraph"/>
    <w:basedOn w:val="1"/>
    <w:qFormat/>
    <w:uiPriority w:val="99"/>
    <w:pPr>
      <w:ind w:firstLine="420" w:firstLineChars="200"/>
    </w:pPr>
    <w:rPr>
      <w:rFonts w:ascii="Calibri" w:hAnsi="Calibri" w:eastAsia="宋体" w:cs="Times New Roman"/>
      <w:szCs w:val="21"/>
    </w:rPr>
  </w:style>
  <w:style w:type="paragraph" w:customStyle="1" w:styleId="2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3364</Words>
  <Characters>519</Characters>
  <Lines>4</Lines>
  <Paragraphs>7</Paragraphs>
  <TotalTime>3</TotalTime>
  <ScaleCrop>false</ScaleCrop>
  <LinksUpToDate>false</LinksUpToDate>
  <CharactersWithSpaces>3876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2017-04-17T01:17:00Z</dcterms:created>
  <dc:creator>wangh</dc:creator>
  <cp:lastModifiedBy>Administrator</cp:lastModifiedBy>
  <cp:lastPrinted>2021-01-04T06:31:00Z</cp:lastPrinted>
  <dcterms:modified xsi:type="dcterms:W3CDTF">2021-08-05T07:13:07Z</dcterms:modified>
  <dc:title>湖北省省级政府采购需求公示</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