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Lines="300"/>
        <w:jc w:val="center"/>
        <w:rPr>
          <w:rFonts w:ascii="黑体" w:hAnsi="黑体" w:eastAsia="黑体"/>
          <w:b/>
          <w:sz w:val="52"/>
          <w:szCs w:val="52"/>
        </w:rPr>
      </w:pPr>
      <w:r>
        <w:rPr>
          <w:rFonts w:hint="eastAsia" w:ascii="黑体" w:hAnsi="黑体" w:eastAsia="黑体"/>
          <w:b/>
          <w:sz w:val="52"/>
          <w:szCs w:val="52"/>
        </w:rPr>
        <w:t>阳新县县级政府采购</w:t>
      </w:r>
    </w:p>
    <w:p>
      <w:pPr>
        <w:spacing w:afterLines="300"/>
        <w:jc w:val="center"/>
        <w:rPr>
          <w:rFonts w:ascii="黑体" w:hAnsi="黑体" w:eastAsia="黑体"/>
          <w:b/>
          <w:sz w:val="144"/>
          <w:szCs w:val="144"/>
        </w:rPr>
      </w:pPr>
      <w:r>
        <w:rPr>
          <w:rFonts w:hint="eastAsia" w:ascii="黑体" w:hAnsi="黑体" w:eastAsia="黑体"/>
          <w:b/>
          <w:sz w:val="144"/>
          <w:szCs w:val="144"/>
        </w:rPr>
        <w:t>招 标 文 件</w:t>
      </w:r>
    </w:p>
    <w:p>
      <w:pPr>
        <w:spacing w:line="360" w:lineRule="auto"/>
        <w:ind w:left="2055" w:leftChars="619" w:right="1306" w:rightChars="622" w:hanging="755" w:hangingChars="209"/>
        <w:rPr>
          <w:rFonts w:ascii="黑体" w:hAnsi="黑体" w:eastAsia="黑体" w:cs="Times New Roman"/>
          <w:b/>
          <w:bCs/>
          <w:sz w:val="36"/>
          <w:szCs w:val="24"/>
        </w:rPr>
      </w:pPr>
    </w:p>
    <w:p>
      <w:pPr>
        <w:spacing w:line="360" w:lineRule="auto"/>
        <w:ind w:right="1306" w:rightChars="622"/>
        <w:rPr>
          <w:rFonts w:ascii="黑体" w:hAnsi="黑体" w:eastAsia="黑体" w:cs="Times New Roman"/>
          <w:b/>
          <w:bCs/>
          <w:sz w:val="36"/>
          <w:szCs w:val="24"/>
        </w:rPr>
      </w:pPr>
    </w:p>
    <w:p>
      <w:pPr>
        <w:spacing w:line="360" w:lineRule="auto"/>
        <w:ind w:left="2055" w:leftChars="619" w:right="1306" w:rightChars="622" w:hanging="755" w:hangingChars="209"/>
        <w:rPr>
          <w:rFonts w:ascii="黑体" w:hAnsi="黑体" w:eastAsia="黑体" w:cs="Times New Roman"/>
          <w:b/>
          <w:bCs/>
          <w:sz w:val="36"/>
          <w:szCs w:val="24"/>
        </w:rPr>
      </w:pPr>
    </w:p>
    <w:p>
      <w:pPr>
        <w:spacing w:line="360" w:lineRule="auto"/>
        <w:ind w:right="63" w:rightChars="30" w:firstLine="723" w:firstLineChars="200"/>
        <w:rPr>
          <w:rFonts w:ascii="宋体" w:hAnsi="宋体" w:eastAsia="黑体" w:cs="Times New Roman"/>
          <w:color w:val="FF0000"/>
          <w:sz w:val="36"/>
          <w:szCs w:val="36"/>
        </w:rPr>
      </w:pPr>
      <w:r>
        <w:rPr>
          <w:rFonts w:hint="eastAsia" w:ascii="黑体" w:hAnsi="黑体" w:eastAsia="黑体" w:cs="Times New Roman"/>
          <w:b/>
          <w:bCs/>
          <w:sz w:val="36"/>
          <w:szCs w:val="24"/>
        </w:rPr>
        <w:t>项目编号：</w:t>
      </w:r>
      <w:r>
        <w:rPr>
          <w:rFonts w:hint="eastAsia" w:ascii="黑体" w:hAnsi="黑体" w:eastAsia="黑体" w:cs="Times New Roman"/>
          <w:bCs/>
          <w:sz w:val="36"/>
          <w:szCs w:val="24"/>
          <w:u w:val="single"/>
        </w:rPr>
        <w:t>131-2021CG-</w:t>
      </w:r>
      <w:r>
        <w:rPr>
          <w:rFonts w:hint="eastAsia" w:ascii="黑体" w:hAnsi="黑体" w:eastAsia="黑体" w:cs="Times New Roman"/>
          <w:bCs/>
          <w:sz w:val="36"/>
          <w:szCs w:val="24"/>
          <w:u w:val="single"/>
          <w:lang w:val="en-US" w:eastAsia="zh-CN"/>
        </w:rPr>
        <w:t>183</w:t>
      </w:r>
      <w:r>
        <w:rPr>
          <w:rFonts w:hint="eastAsia" w:ascii="黑体" w:hAnsi="黑体" w:eastAsia="黑体" w:cs="Times New Roman"/>
          <w:b/>
          <w:bCs/>
          <w:sz w:val="36"/>
          <w:szCs w:val="24"/>
          <w:u w:val="single"/>
        </w:rPr>
        <w:t xml:space="preserve">                    </w:t>
      </w:r>
    </w:p>
    <w:p>
      <w:pPr>
        <w:spacing w:line="360" w:lineRule="auto"/>
        <w:ind w:right="283" w:rightChars="135" w:firstLine="723" w:firstLineChars="200"/>
        <w:rPr>
          <w:rFonts w:ascii="宋体" w:hAnsi="宋体" w:eastAsia="宋体" w:cs="Times New Roman"/>
          <w:bCs/>
          <w:sz w:val="36"/>
          <w:szCs w:val="24"/>
        </w:rPr>
      </w:pPr>
      <w:r>
        <w:rPr>
          <w:rFonts w:hint="eastAsia" w:ascii="黑体" w:hAnsi="黑体" w:eastAsia="黑体" w:cs="Times New Roman"/>
          <w:b/>
          <w:bCs/>
          <w:sz w:val="36"/>
          <w:szCs w:val="24"/>
        </w:rPr>
        <w:t>采购人：</w:t>
      </w:r>
      <w:r>
        <w:rPr>
          <w:rFonts w:hint="eastAsia" w:ascii="宋体" w:hAnsi="宋体" w:eastAsia="宋体" w:cs="宋体"/>
          <w:sz w:val="36"/>
          <w:szCs w:val="24"/>
          <w:u w:val="single"/>
        </w:rPr>
        <w:t xml:space="preserve">阳新县自然资源和规划局             </w:t>
      </w:r>
      <w:r>
        <w:rPr>
          <w:rFonts w:hint="eastAsia" w:ascii="黑体" w:hAnsi="黑体" w:eastAsia="黑体" w:cs="Times New Roman"/>
          <w:b/>
          <w:bCs/>
          <w:sz w:val="36"/>
          <w:szCs w:val="24"/>
          <w:u w:val="single"/>
        </w:rPr>
        <w:t xml:space="preserve"> </w:t>
      </w:r>
    </w:p>
    <w:p>
      <w:pPr>
        <w:spacing w:line="360" w:lineRule="auto"/>
        <w:ind w:right="63" w:rightChars="30" w:firstLine="723" w:firstLineChars="200"/>
        <w:jc w:val="left"/>
        <w:rPr>
          <w:rFonts w:ascii="宋体" w:hAnsi="宋体" w:eastAsia="黑体" w:cs="Times New Roman"/>
          <w:bCs/>
          <w:sz w:val="36"/>
          <w:szCs w:val="24"/>
        </w:rPr>
      </w:pPr>
      <w:r>
        <w:rPr>
          <w:rFonts w:hint="eastAsia" w:ascii="黑体" w:hAnsi="黑体" w:eastAsia="黑体" w:cs="Times New Roman"/>
          <w:b/>
          <w:bCs/>
          <w:sz w:val="36"/>
          <w:szCs w:val="24"/>
        </w:rPr>
        <w:t>项目名称：</w:t>
      </w:r>
      <w:r>
        <w:rPr>
          <w:rFonts w:hint="eastAsia" w:ascii="宋体" w:hAnsi="宋体" w:eastAsia="宋体" w:cs="宋体"/>
          <w:sz w:val="36"/>
          <w:szCs w:val="24"/>
          <w:u w:val="single"/>
          <w:lang w:val="hr-HR"/>
        </w:rPr>
        <w:t>阳新县全民所有自然资源资产清查试点工作项目</w:t>
      </w:r>
    </w:p>
    <w:p>
      <w:pPr>
        <w:spacing w:line="360" w:lineRule="auto"/>
        <w:ind w:right="-134" w:rightChars="-64" w:firstLine="723" w:firstLineChars="200"/>
        <w:rPr>
          <w:rFonts w:ascii="宋体" w:hAnsi="宋体" w:eastAsia="黑体" w:cs="Times New Roman"/>
          <w:sz w:val="36"/>
          <w:szCs w:val="36"/>
        </w:rPr>
      </w:pPr>
      <w:r>
        <w:rPr>
          <w:rFonts w:hint="eastAsia" w:ascii="黑体" w:hAnsi="黑体" w:eastAsia="黑体" w:cs="Times New Roman"/>
          <w:b/>
          <w:bCs/>
          <w:sz w:val="36"/>
          <w:szCs w:val="24"/>
        </w:rPr>
        <w:t>采购内容：</w:t>
      </w:r>
      <w:r>
        <w:rPr>
          <w:rFonts w:hint="eastAsia" w:ascii="宋体" w:hAnsi="宋体" w:eastAsia="宋体" w:cs="宋体"/>
          <w:sz w:val="36"/>
          <w:szCs w:val="24"/>
          <w:u w:val="single"/>
          <w:lang w:val="hr-HR"/>
        </w:rPr>
        <w:t xml:space="preserve">阳新县全民所有自然资源资产清查试点工作项目中介服务                      </w:t>
      </w:r>
    </w:p>
    <w:p>
      <w:pPr>
        <w:tabs>
          <w:tab w:val="left" w:pos="7939"/>
        </w:tabs>
        <w:spacing w:line="360" w:lineRule="auto"/>
        <w:jc w:val="center"/>
        <w:rPr>
          <w:rFonts w:ascii="黑体" w:hAnsi="黑体" w:eastAsia="黑体"/>
          <w:b/>
          <w:sz w:val="96"/>
          <w:szCs w:val="96"/>
        </w:rPr>
      </w:pPr>
      <w:r>
        <w:rPr>
          <w:rFonts w:hint="eastAsia" w:ascii="黑体" w:hAnsi="黑体" w:eastAsia="黑体"/>
          <w:b/>
          <w:color w:val="FF0000"/>
          <w:sz w:val="56"/>
          <w:szCs w:val="56"/>
        </w:rPr>
        <w:t>中新创达咨询有限公司</w:t>
      </w:r>
    </w:p>
    <w:p>
      <w:pPr>
        <w:jc w:val="center"/>
        <w:rPr>
          <w:rFonts w:ascii="黑体" w:hAnsi="黑体" w:eastAsia="黑体"/>
          <w:b/>
          <w:color w:val="FF0000"/>
          <w:sz w:val="44"/>
        </w:rPr>
      </w:pPr>
      <w:r>
        <w:rPr>
          <w:rFonts w:hint="eastAsia" w:ascii="黑体" w:hAnsi="黑体" w:eastAsia="黑体" w:cs="Times New Roman"/>
          <w:b/>
          <w:bCs/>
          <w:sz w:val="44"/>
          <w:szCs w:val="44"/>
          <w:u w:val="single"/>
        </w:rPr>
        <w:t>2021</w:t>
      </w:r>
      <w:r>
        <w:rPr>
          <w:rFonts w:hint="eastAsia" w:ascii="黑体" w:hAnsi="黑体" w:eastAsia="黑体"/>
          <w:b/>
          <w:sz w:val="44"/>
          <w:szCs w:val="44"/>
        </w:rPr>
        <w:t>年</w:t>
      </w:r>
      <w:r>
        <w:rPr>
          <w:rFonts w:hint="eastAsia" w:ascii="黑体" w:hAnsi="黑体" w:eastAsia="黑体" w:cs="Times New Roman"/>
          <w:b/>
          <w:bCs/>
          <w:sz w:val="44"/>
          <w:szCs w:val="44"/>
          <w:u w:val="single"/>
        </w:rPr>
        <w:t>9</w:t>
      </w:r>
      <w:r>
        <w:rPr>
          <w:rFonts w:hint="eastAsia" w:ascii="黑体" w:hAnsi="黑体" w:eastAsia="黑体"/>
          <w:b/>
          <w:sz w:val="44"/>
          <w:szCs w:val="44"/>
        </w:rPr>
        <w:t>月</w:t>
      </w:r>
    </w:p>
    <w:p>
      <w:r>
        <w:br w:type="page"/>
      </w:r>
    </w:p>
    <w:tbl>
      <w:tblPr>
        <w:tblStyle w:val="22"/>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4" w:hRule="atLeast"/>
        </w:trPr>
        <w:tc>
          <w:tcPr>
            <w:tcW w:w="9360" w:type="dxa"/>
          </w:tcPr>
          <w:p>
            <w:pPr>
              <w:rPr>
                <w:rFonts w:ascii="黑体" w:hAnsi="黑体" w:eastAsia="黑体" w:cs="Times New Roman"/>
                <w:b/>
                <w:bCs/>
                <w:sz w:val="36"/>
                <w:szCs w:val="24"/>
              </w:rPr>
            </w:pPr>
          </w:p>
          <w:p>
            <w:pPr>
              <w:rPr>
                <w:rFonts w:ascii="黑体" w:hAnsi="黑体" w:eastAsia="黑体" w:cs="Times New Roman"/>
                <w:b/>
                <w:bCs/>
                <w:sz w:val="36"/>
                <w:szCs w:val="24"/>
              </w:rPr>
            </w:pPr>
          </w:p>
          <w:p>
            <w:pPr>
              <w:rPr>
                <w:rFonts w:ascii="黑体" w:hAnsi="黑体" w:eastAsia="黑体" w:cs="Times New Roman"/>
                <w:b/>
                <w:bCs/>
                <w:sz w:val="36"/>
                <w:szCs w:val="24"/>
                <w:u w:val="single"/>
              </w:rPr>
            </w:pPr>
            <w:r>
              <w:rPr>
                <w:rFonts w:hint="eastAsia" w:ascii="黑体" w:hAnsi="黑体" w:eastAsia="黑体" w:cs="Times New Roman"/>
                <w:b/>
                <w:bCs/>
                <w:sz w:val="36"/>
                <w:szCs w:val="24"/>
              </w:rPr>
              <w:t>项目名称：</w:t>
            </w:r>
            <w:r>
              <w:rPr>
                <w:rFonts w:hint="eastAsia" w:ascii="宋体" w:hAnsi="宋体" w:eastAsia="宋体" w:cs="宋体"/>
                <w:sz w:val="36"/>
                <w:szCs w:val="24"/>
                <w:u w:val="single"/>
                <w:lang w:val="hr-HR"/>
              </w:rPr>
              <w:t>阳新县全民所有自然资源资产清查试点工作项目</w:t>
            </w:r>
          </w:p>
          <w:p>
            <w:pPr>
              <w:rPr>
                <w:rFonts w:ascii="黑体" w:hAnsi="黑体" w:eastAsia="黑体" w:cs="Times New Roman"/>
                <w:b/>
                <w:bCs/>
                <w:sz w:val="36"/>
                <w:szCs w:val="24"/>
                <w:u w:val="single"/>
              </w:rPr>
            </w:pPr>
          </w:p>
          <w:p>
            <w:pPr>
              <w:rPr>
                <w:rFonts w:ascii="黑体" w:hAnsi="黑体" w:eastAsia="黑体" w:cs="Times New Roman"/>
                <w:b/>
                <w:bCs/>
                <w:sz w:val="36"/>
                <w:szCs w:val="24"/>
                <w:u w:val="single"/>
              </w:rPr>
            </w:pPr>
          </w:p>
          <w:p>
            <w:pPr>
              <w:rPr>
                <w:rFonts w:ascii="黑体" w:hAnsi="黑体" w:eastAsia="黑体" w:cs="Times New Roman"/>
                <w:b/>
                <w:bCs/>
                <w:sz w:val="36"/>
                <w:szCs w:val="24"/>
                <w:u w:val="single"/>
              </w:rPr>
            </w:pPr>
          </w:p>
          <w:p>
            <w:pPr>
              <w:rPr>
                <w:rFonts w:ascii="黑体" w:hAnsi="黑体" w:eastAsia="黑体" w:cs="Times New Roman"/>
                <w:b/>
                <w:bCs/>
                <w:sz w:val="36"/>
                <w:szCs w:val="24"/>
                <w:u w:val="single"/>
              </w:rPr>
            </w:pPr>
          </w:p>
          <w:p>
            <w:pPr>
              <w:rPr>
                <w:rFonts w:ascii="黑体" w:hAnsi="黑体" w:eastAsia="黑体" w:cs="Times New Roman"/>
                <w:b/>
                <w:bCs/>
                <w:sz w:val="36"/>
                <w:szCs w:val="24"/>
              </w:rPr>
            </w:pPr>
            <w:r>
              <w:rPr>
                <w:rFonts w:hint="eastAsia" w:ascii="黑体" w:hAnsi="黑体" w:eastAsia="黑体" w:cs="Times New Roman"/>
                <w:b/>
                <w:bCs/>
                <w:sz w:val="36"/>
                <w:szCs w:val="24"/>
              </w:rPr>
              <w:t>采购人意见：</w:t>
            </w:r>
          </w:p>
          <w:p>
            <w:pPr>
              <w:rPr>
                <w:rFonts w:ascii="黑体" w:hAnsi="黑体" w:eastAsia="黑体" w:cs="Times New Roman"/>
                <w:b/>
                <w:bCs/>
                <w:sz w:val="36"/>
                <w:szCs w:val="24"/>
              </w:rPr>
            </w:pPr>
          </w:p>
          <w:p>
            <w:pPr>
              <w:rPr>
                <w:rFonts w:ascii="黑体" w:hAnsi="黑体" w:eastAsia="黑体" w:cs="Times New Roman"/>
                <w:b/>
                <w:bCs/>
                <w:sz w:val="36"/>
                <w:szCs w:val="24"/>
              </w:rPr>
            </w:pPr>
          </w:p>
          <w:p>
            <w:pPr>
              <w:rPr>
                <w:rFonts w:ascii="黑体" w:hAnsi="黑体" w:eastAsia="黑体" w:cs="Times New Roman"/>
                <w:b/>
                <w:bCs/>
                <w:sz w:val="36"/>
                <w:szCs w:val="24"/>
              </w:rPr>
            </w:pPr>
          </w:p>
          <w:p>
            <w:pPr>
              <w:rPr>
                <w:rFonts w:ascii="黑体" w:hAnsi="黑体" w:eastAsia="黑体" w:cs="Times New Roman"/>
                <w:b/>
                <w:bCs/>
                <w:sz w:val="36"/>
                <w:szCs w:val="24"/>
              </w:rPr>
            </w:pPr>
          </w:p>
          <w:p>
            <w:pPr>
              <w:jc w:val="right"/>
              <w:rPr>
                <w:rFonts w:ascii="黑体" w:hAnsi="黑体" w:eastAsia="黑体" w:cs="Times New Roman"/>
                <w:b/>
                <w:bCs/>
                <w:sz w:val="36"/>
                <w:szCs w:val="24"/>
              </w:rPr>
            </w:pPr>
            <w:r>
              <w:rPr>
                <w:rFonts w:hint="eastAsia" w:ascii="黑体" w:hAnsi="黑体" w:eastAsia="黑体" w:cs="Times New Roman"/>
                <w:b/>
                <w:bCs/>
                <w:sz w:val="36"/>
                <w:szCs w:val="24"/>
                <w:lang w:val="en-US" w:eastAsia="zh-CN"/>
              </w:rPr>
              <w:t>2021</w:t>
            </w:r>
            <w:r>
              <w:rPr>
                <w:rFonts w:hint="eastAsia" w:ascii="黑体" w:hAnsi="黑体" w:eastAsia="黑体" w:cs="Times New Roman"/>
                <w:b/>
                <w:bCs/>
                <w:sz w:val="36"/>
                <w:szCs w:val="24"/>
              </w:rPr>
              <w:t xml:space="preserve">年 </w:t>
            </w:r>
            <w:r>
              <w:rPr>
                <w:rFonts w:hint="eastAsia" w:ascii="黑体" w:hAnsi="黑体" w:eastAsia="黑体" w:cs="Times New Roman"/>
                <w:b/>
                <w:bCs/>
                <w:sz w:val="36"/>
                <w:szCs w:val="24"/>
                <w:lang w:val="en-US" w:eastAsia="zh-CN"/>
              </w:rPr>
              <w:t>9</w:t>
            </w:r>
            <w:r>
              <w:rPr>
                <w:rFonts w:hint="eastAsia" w:ascii="黑体" w:hAnsi="黑体" w:eastAsia="黑体" w:cs="Times New Roman"/>
                <w:b/>
                <w:bCs/>
                <w:sz w:val="36"/>
                <w:szCs w:val="24"/>
              </w:rPr>
              <w:t xml:space="preserve">月 </w:t>
            </w:r>
            <w:r>
              <w:rPr>
                <w:rFonts w:hint="eastAsia" w:ascii="黑体" w:hAnsi="黑体" w:eastAsia="黑体" w:cs="Times New Roman"/>
                <w:b/>
                <w:bCs/>
                <w:sz w:val="36"/>
                <w:szCs w:val="24"/>
                <w:lang w:val="en-US" w:eastAsia="zh-CN"/>
              </w:rPr>
              <w:t>18</w:t>
            </w:r>
            <w:r>
              <w:rPr>
                <w:rFonts w:hint="eastAsia" w:ascii="黑体" w:hAnsi="黑体" w:eastAsia="黑体" w:cs="Times New Roman"/>
                <w:b/>
                <w:bCs/>
                <w:sz w:val="36"/>
                <w:szCs w:val="24"/>
              </w:rPr>
              <w:t xml:space="preserve"> 日</w:t>
            </w:r>
          </w:p>
        </w:tc>
      </w:tr>
    </w:tbl>
    <w:p>
      <w:pPr>
        <w:sectPr>
          <w:headerReference r:id="rId3" w:type="default"/>
          <w:footerReference r:id="rId5" w:type="default"/>
          <w:headerReference r:id="rId4" w:type="even"/>
          <w:footerReference r:id="rId6" w:type="even"/>
          <w:pgSz w:w="11906" w:h="16838"/>
          <w:pgMar w:top="3402" w:right="1191" w:bottom="1134" w:left="1191" w:header="680" w:footer="680" w:gutter="0"/>
          <w:cols w:space="425" w:num="1"/>
          <w:docGrid w:type="lines" w:linePitch="312" w:charSpace="0"/>
        </w:sectPr>
      </w:pPr>
    </w:p>
    <w:p>
      <w:pPr>
        <w:spacing w:beforeLines="100"/>
        <w:jc w:val="center"/>
        <w:rPr>
          <w:rFonts w:ascii="黑体" w:hAnsi="黑体" w:eastAsia="黑体"/>
          <w:sz w:val="44"/>
          <w:szCs w:val="44"/>
        </w:rPr>
      </w:pPr>
      <w:r>
        <w:rPr>
          <w:rFonts w:hint="eastAsia" w:ascii="黑体" w:hAnsi="黑体" w:eastAsia="黑体"/>
          <w:sz w:val="44"/>
          <w:szCs w:val="44"/>
        </w:rPr>
        <w:t>目   录</w:t>
      </w:r>
    </w:p>
    <w:sdt>
      <w:sdtPr>
        <w:rPr>
          <w:lang w:val="zh-CN"/>
        </w:rPr>
        <w:id w:val="1482579200"/>
      </w:sdtPr>
      <w:sdtEndPr>
        <w:rPr>
          <w:b w:val="0"/>
          <w:bCs/>
          <w:lang w:val="zh-CN"/>
        </w:rPr>
      </w:sdtEndPr>
      <w:sdtContent>
        <w:p>
          <w:pPr>
            <w:pStyle w:val="15"/>
            <w:tabs>
              <w:tab w:val="left" w:pos="1260"/>
              <w:tab w:val="right" w:leader="dot" w:pos="9514"/>
            </w:tabs>
            <w:rPr>
              <w:rFonts w:eastAsiaTheme="minorEastAsia"/>
              <w:b w:val="0"/>
              <w:iCs w:val="0"/>
              <w:color w:val="auto"/>
              <w:kern w:val="2"/>
              <w:sz w:val="21"/>
            </w:rPr>
          </w:pPr>
          <w:r>
            <w:fldChar w:fldCharType="begin"/>
          </w:r>
          <w:r>
            <w:instrText xml:space="preserve"> TOC \o "1-2" \h \z \u </w:instrText>
          </w:r>
          <w:r>
            <w:fldChar w:fldCharType="separate"/>
          </w:r>
          <w:r>
            <w:fldChar w:fldCharType="begin"/>
          </w:r>
          <w:r>
            <w:instrText xml:space="preserve"> HYPERLINK \l "_Toc495861517" </w:instrText>
          </w:r>
          <w:r>
            <w:fldChar w:fldCharType="separate"/>
          </w:r>
          <w:r>
            <w:rPr>
              <w:rStyle w:val="26"/>
              <w:rFonts w:hint="eastAsia" w:ascii="黑体" w:hAnsi="黑体"/>
            </w:rPr>
            <w:t>第一章</w:t>
          </w:r>
          <w:r>
            <w:rPr>
              <w:rFonts w:eastAsiaTheme="minorEastAsia"/>
              <w:b w:val="0"/>
              <w:iCs w:val="0"/>
              <w:color w:val="auto"/>
              <w:kern w:val="2"/>
              <w:sz w:val="21"/>
            </w:rPr>
            <w:tab/>
          </w:r>
          <w:r>
            <w:rPr>
              <w:rStyle w:val="26"/>
              <w:rFonts w:hint="eastAsia" w:ascii="黑体" w:hAnsi="黑体"/>
            </w:rPr>
            <w:t>投标邀请书</w:t>
          </w:r>
          <w:r>
            <w:tab/>
          </w:r>
          <w:r>
            <w:fldChar w:fldCharType="begin"/>
          </w:r>
          <w:r>
            <w:instrText xml:space="preserve"> PAGEREF _Toc495861517 \h </w:instrText>
          </w:r>
          <w:r>
            <w:fldChar w:fldCharType="separate"/>
          </w:r>
          <w:r>
            <w:t>5</w:t>
          </w:r>
          <w:r>
            <w:fldChar w:fldCharType="end"/>
          </w:r>
          <w:r>
            <w:fldChar w:fldCharType="end"/>
          </w:r>
        </w:p>
        <w:p>
          <w:pPr>
            <w:pStyle w:val="15"/>
            <w:tabs>
              <w:tab w:val="left" w:pos="1260"/>
              <w:tab w:val="right" w:leader="dot" w:pos="9514"/>
            </w:tabs>
            <w:rPr>
              <w:rFonts w:eastAsiaTheme="minorEastAsia"/>
              <w:b w:val="0"/>
              <w:iCs w:val="0"/>
              <w:color w:val="auto"/>
              <w:kern w:val="2"/>
              <w:sz w:val="21"/>
            </w:rPr>
          </w:pPr>
          <w:r>
            <w:fldChar w:fldCharType="begin"/>
          </w:r>
          <w:r>
            <w:instrText xml:space="preserve"> HYPERLINK \l "_Toc495861518" </w:instrText>
          </w:r>
          <w:r>
            <w:fldChar w:fldCharType="separate"/>
          </w:r>
          <w:r>
            <w:rPr>
              <w:rStyle w:val="26"/>
              <w:rFonts w:hint="eastAsia" w:ascii="黑体" w:hAnsi="黑体"/>
            </w:rPr>
            <w:t>第二章</w:t>
          </w:r>
          <w:r>
            <w:rPr>
              <w:rFonts w:eastAsiaTheme="minorEastAsia"/>
              <w:b w:val="0"/>
              <w:iCs w:val="0"/>
              <w:color w:val="auto"/>
              <w:kern w:val="2"/>
              <w:sz w:val="21"/>
            </w:rPr>
            <w:tab/>
          </w:r>
          <w:r>
            <w:rPr>
              <w:rStyle w:val="26"/>
              <w:rFonts w:hint="eastAsia" w:ascii="黑体" w:hAnsi="黑体"/>
            </w:rPr>
            <w:t>投标人须知</w:t>
          </w:r>
          <w:r>
            <w:tab/>
          </w:r>
          <w:r>
            <w:fldChar w:fldCharType="begin"/>
          </w:r>
          <w:r>
            <w:instrText xml:space="preserve"> PAGEREF _Toc495861518 \h </w:instrText>
          </w:r>
          <w:r>
            <w:fldChar w:fldCharType="separate"/>
          </w:r>
          <w:r>
            <w:t>9</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"_Toc495861519" </w:instrText>
          </w:r>
          <w:r>
            <w:fldChar w:fldCharType="separate"/>
          </w:r>
          <w:r>
            <w:rPr>
              <w:rStyle w:val="26"/>
              <w:rFonts w:hint="eastAsia" w:cs="Times New Roman" w:asciiTheme="majorEastAsia" w:hAnsiTheme="majorEastAsia" w:eastAsiaTheme="majorEastAsia"/>
              <w:b/>
              <w:bCs/>
              <w:lang w:val="zh-CN"/>
            </w:rPr>
            <w:t>投标须知前附表</w:t>
          </w:r>
          <w:r>
            <w:tab/>
          </w:r>
          <w:r>
            <w:fldChar w:fldCharType="begin"/>
          </w:r>
          <w:r>
            <w:instrText xml:space="preserve"> PAGEREF _Toc495861519 \h </w:instrText>
          </w:r>
          <w:r>
            <w:fldChar w:fldCharType="separate"/>
          </w:r>
          <w:r>
            <w:t>9</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"_Toc495861520" </w:instrText>
          </w:r>
          <w:r>
            <w:fldChar w:fldCharType="separate"/>
          </w:r>
          <w:r>
            <w:rPr>
              <w:rStyle w:val="26"/>
              <w:rFonts w:hint="eastAsia" w:cs="Times New Roman" w:asciiTheme="majorEastAsia" w:hAnsiTheme="majorEastAsia"/>
              <w:lang w:val="zh-CN"/>
            </w:rPr>
            <w:t>一、</w:t>
          </w:r>
          <w:r>
            <w:rPr>
              <w:rFonts w:asciiTheme="minorHAnsi" w:hAnsiTheme="minorHAnsi"/>
              <w:iCs w:val="0"/>
              <w:color w:val="auto"/>
              <w:kern w:val="2"/>
              <w:sz w:val="21"/>
            </w:rPr>
            <w:tab/>
          </w:r>
          <w:r>
            <w:rPr>
              <w:rStyle w:val="26"/>
              <w:rFonts w:hint="eastAsia" w:cs="Times New Roman" w:asciiTheme="majorEastAsia" w:hAnsiTheme="majorEastAsia"/>
              <w:lang w:val="zh-CN"/>
            </w:rPr>
            <w:t>说明</w:t>
          </w:r>
          <w:r>
            <w:tab/>
          </w:r>
          <w:r>
            <w:fldChar w:fldCharType="begin"/>
          </w:r>
          <w:r>
            <w:instrText xml:space="preserve"> PAGEREF _Toc495861520 \h </w:instrText>
          </w:r>
          <w:r>
            <w:fldChar w:fldCharType="separate"/>
          </w:r>
          <w:r>
            <w:t>10</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"_Toc495861521" </w:instrText>
          </w:r>
          <w:r>
            <w:fldChar w:fldCharType="separate"/>
          </w:r>
          <w:r>
            <w:rPr>
              <w:rStyle w:val="26"/>
              <w:rFonts w:hint="eastAsia" w:cs="Times New Roman" w:asciiTheme="majorEastAsia" w:hAnsiTheme="majorEastAsia"/>
              <w:lang w:val="zh-CN"/>
            </w:rPr>
            <w:t>二、</w:t>
          </w:r>
          <w:r>
            <w:rPr>
              <w:rFonts w:asciiTheme="minorHAnsi" w:hAnsiTheme="minorHAnsi"/>
              <w:iCs w:val="0"/>
              <w:color w:val="auto"/>
              <w:kern w:val="2"/>
              <w:sz w:val="21"/>
            </w:rPr>
            <w:tab/>
          </w:r>
          <w:r>
            <w:rPr>
              <w:rStyle w:val="26"/>
              <w:rFonts w:hint="eastAsia" w:cs="Times New Roman" w:asciiTheme="majorEastAsia" w:hAnsiTheme="majorEastAsia"/>
              <w:lang w:val="zh-CN"/>
            </w:rPr>
            <w:t>招标文件</w:t>
          </w:r>
          <w:r>
            <w:tab/>
          </w:r>
          <w:r>
            <w:fldChar w:fldCharType="begin"/>
          </w:r>
          <w:r>
            <w:instrText xml:space="preserve"> PAGEREF _Toc495861521 \h </w:instrText>
          </w:r>
          <w:r>
            <w:fldChar w:fldCharType="separate"/>
          </w:r>
          <w:r>
            <w:t>11</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"_Toc495861522" </w:instrText>
          </w:r>
          <w:r>
            <w:fldChar w:fldCharType="separate"/>
          </w:r>
          <w:r>
            <w:rPr>
              <w:rStyle w:val="26"/>
              <w:rFonts w:hint="eastAsia" w:cs="Times New Roman" w:asciiTheme="majorEastAsia" w:hAnsiTheme="majorEastAsia"/>
              <w:lang w:val="zh-CN"/>
            </w:rPr>
            <w:t>三、</w:t>
          </w:r>
          <w:r>
            <w:rPr>
              <w:rFonts w:asciiTheme="minorHAnsi" w:hAnsiTheme="minorHAnsi"/>
              <w:iCs w:val="0"/>
              <w:color w:val="auto"/>
              <w:kern w:val="2"/>
              <w:sz w:val="21"/>
            </w:rPr>
            <w:tab/>
          </w:r>
          <w:r>
            <w:rPr>
              <w:rStyle w:val="26"/>
              <w:rFonts w:hint="eastAsia" w:cs="Times New Roman" w:asciiTheme="majorEastAsia" w:hAnsiTheme="majorEastAsia"/>
              <w:lang w:val="zh-CN"/>
            </w:rPr>
            <w:t>投标文件</w:t>
          </w:r>
          <w:r>
            <w:tab/>
          </w:r>
          <w:r>
            <w:fldChar w:fldCharType="begin"/>
          </w:r>
          <w:r>
            <w:instrText xml:space="preserve"> PAGEREF _Toc495861522 \h </w:instrText>
          </w:r>
          <w:r>
            <w:fldChar w:fldCharType="separate"/>
          </w:r>
          <w:r>
            <w:t>12</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"_Toc495861523" </w:instrText>
          </w:r>
          <w:r>
            <w:fldChar w:fldCharType="separate"/>
          </w:r>
          <w:r>
            <w:rPr>
              <w:rStyle w:val="26"/>
              <w:rFonts w:hint="eastAsia" w:cs="Times New Roman" w:asciiTheme="majorEastAsia" w:hAnsiTheme="majorEastAsia"/>
              <w:lang w:val="zh-CN"/>
            </w:rPr>
            <w:t>四、</w:t>
          </w:r>
          <w:r>
            <w:rPr>
              <w:rFonts w:asciiTheme="minorHAnsi" w:hAnsiTheme="minorHAnsi"/>
              <w:iCs w:val="0"/>
              <w:color w:val="auto"/>
              <w:kern w:val="2"/>
              <w:sz w:val="21"/>
            </w:rPr>
            <w:tab/>
          </w:r>
          <w:r>
            <w:rPr>
              <w:rStyle w:val="26"/>
              <w:rFonts w:hint="eastAsia" w:cs="Times New Roman" w:asciiTheme="majorEastAsia" w:hAnsiTheme="majorEastAsia"/>
              <w:lang w:val="zh-CN"/>
            </w:rPr>
            <w:t>开标与评标</w:t>
          </w:r>
          <w:r>
            <w:tab/>
          </w:r>
          <w:r>
            <w:fldChar w:fldCharType="begin"/>
          </w:r>
          <w:r>
            <w:instrText xml:space="preserve"> PAGEREF _Toc495861523 \h </w:instrText>
          </w:r>
          <w:r>
            <w:fldChar w:fldCharType="separate"/>
          </w:r>
          <w:r>
            <w:t>16</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"_Toc495861524" </w:instrText>
          </w:r>
          <w:r>
            <w:fldChar w:fldCharType="separate"/>
          </w:r>
          <w:r>
            <w:rPr>
              <w:rStyle w:val="26"/>
              <w:rFonts w:hint="eastAsia" w:cs="Times New Roman" w:asciiTheme="majorEastAsia" w:hAnsiTheme="majorEastAsia"/>
              <w:lang w:val="zh-CN"/>
            </w:rPr>
            <w:t>五、</w:t>
          </w:r>
          <w:r>
            <w:rPr>
              <w:rFonts w:asciiTheme="minorHAnsi" w:hAnsiTheme="minorHAnsi"/>
              <w:iCs w:val="0"/>
              <w:color w:val="auto"/>
              <w:kern w:val="2"/>
              <w:sz w:val="21"/>
            </w:rPr>
            <w:tab/>
          </w:r>
          <w:r>
            <w:rPr>
              <w:rStyle w:val="26"/>
              <w:rFonts w:hint="eastAsia" w:cs="Times New Roman" w:asciiTheme="majorEastAsia" w:hAnsiTheme="majorEastAsia"/>
              <w:lang w:val="zh-CN"/>
            </w:rPr>
            <w:t>投标人信用信息及查询</w:t>
          </w:r>
          <w:r>
            <w:tab/>
          </w:r>
          <w:r>
            <w:fldChar w:fldCharType="begin"/>
          </w:r>
          <w:r>
            <w:instrText xml:space="preserve"> PAGEREF _Toc495861524 \h </w:instrText>
          </w:r>
          <w:r>
            <w:fldChar w:fldCharType="separate"/>
          </w:r>
          <w:r>
            <w:t>18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"_Toc495861525" </w:instrText>
          </w:r>
          <w:r>
            <w:fldChar w:fldCharType="separate"/>
          </w:r>
          <w:r>
            <w:rPr>
              <w:rStyle w:val="26"/>
              <w:rFonts w:hint="eastAsia" w:cs="Times New Roman" w:asciiTheme="majorEastAsia" w:hAnsiTheme="majorEastAsia"/>
              <w:lang w:val="zh-CN"/>
            </w:rPr>
            <w:t>六、</w:t>
          </w:r>
          <w:r>
            <w:rPr>
              <w:rFonts w:asciiTheme="minorHAnsi" w:hAnsiTheme="minorHAnsi"/>
              <w:iCs w:val="0"/>
              <w:color w:val="auto"/>
              <w:kern w:val="2"/>
              <w:sz w:val="21"/>
            </w:rPr>
            <w:tab/>
          </w:r>
          <w:r>
            <w:rPr>
              <w:rStyle w:val="26"/>
              <w:rFonts w:hint="eastAsia" w:cs="Times New Roman" w:asciiTheme="majorEastAsia" w:hAnsiTheme="majorEastAsia"/>
              <w:lang w:val="zh-CN"/>
            </w:rPr>
            <w:t>中标与合同</w:t>
          </w:r>
          <w:r>
            <w:tab/>
          </w:r>
          <w:r>
            <w:fldChar w:fldCharType="begin"/>
          </w:r>
          <w:r>
            <w:instrText xml:space="preserve"> PAGEREF _Toc495861525 \h </w:instrText>
          </w:r>
          <w:r>
            <w:fldChar w:fldCharType="separate"/>
          </w:r>
          <w:r>
            <w:t>18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"_Toc495861526" </w:instrText>
          </w:r>
          <w:r>
            <w:fldChar w:fldCharType="separate"/>
          </w:r>
          <w:r>
            <w:rPr>
              <w:rStyle w:val="26"/>
              <w:rFonts w:hint="eastAsia" w:cs="Times New Roman" w:asciiTheme="majorEastAsia" w:hAnsiTheme="majorEastAsia"/>
              <w:lang w:val="zh-CN"/>
            </w:rPr>
            <w:t>七、</w:t>
          </w:r>
          <w:r>
            <w:rPr>
              <w:rFonts w:asciiTheme="minorHAnsi" w:hAnsiTheme="minorHAnsi"/>
              <w:iCs w:val="0"/>
              <w:color w:val="auto"/>
              <w:kern w:val="2"/>
              <w:sz w:val="21"/>
            </w:rPr>
            <w:tab/>
          </w:r>
          <w:r>
            <w:rPr>
              <w:rStyle w:val="26"/>
              <w:rFonts w:hint="eastAsia" w:cs="Times New Roman" w:asciiTheme="majorEastAsia" w:hAnsiTheme="majorEastAsia"/>
              <w:lang w:val="zh-CN"/>
            </w:rPr>
            <w:t>采购信息公告</w:t>
          </w:r>
          <w:r>
            <w:tab/>
          </w:r>
          <w:r>
            <w:fldChar w:fldCharType="begin"/>
          </w:r>
          <w:r>
            <w:instrText xml:space="preserve"> PAGEREF _Toc495861526 \h </w:instrText>
          </w:r>
          <w:r>
            <w:fldChar w:fldCharType="separate"/>
          </w:r>
          <w:r>
            <w:t>19</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"_Toc495861527" </w:instrText>
          </w:r>
          <w:r>
            <w:fldChar w:fldCharType="separate"/>
          </w:r>
          <w:r>
            <w:rPr>
              <w:rStyle w:val="26"/>
              <w:rFonts w:hint="eastAsia" w:cs="Times New Roman" w:asciiTheme="majorEastAsia" w:hAnsiTheme="majorEastAsia"/>
              <w:lang w:val="zh-CN"/>
            </w:rPr>
            <w:t>八、</w:t>
          </w:r>
          <w:r>
            <w:rPr>
              <w:rFonts w:asciiTheme="minorHAnsi" w:hAnsiTheme="minorHAnsi"/>
              <w:iCs w:val="0"/>
              <w:color w:val="auto"/>
              <w:kern w:val="2"/>
              <w:sz w:val="21"/>
            </w:rPr>
            <w:tab/>
          </w:r>
          <w:r>
            <w:rPr>
              <w:rStyle w:val="26"/>
              <w:rFonts w:hint="eastAsia" w:cs="Times New Roman" w:asciiTheme="majorEastAsia" w:hAnsiTheme="majorEastAsia"/>
              <w:lang w:val="zh-CN"/>
            </w:rPr>
            <w:t>质疑及提交</w:t>
          </w:r>
          <w:r>
            <w:tab/>
          </w:r>
          <w:r>
            <w:fldChar w:fldCharType="begin"/>
          </w:r>
          <w:r>
            <w:instrText xml:space="preserve"> PAGEREF _Toc495861527 \h </w:instrText>
          </w:r>
          <w:r>
            <w:fldChar w:fldCharType="separate"/>
          </w:r>
          <w:r>
            <w:t>20</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"_Toc495861528" </w:instrText>
          </w:r>
          <w:r>
            <w:fldChar w:fldCharType="separate"/>
          </w:r>
          <w:r>
            <w:rPr>
              <w:rStyle w:val="26"/>
              <w:rFonts w:hint="eastAsia" w:cs="Times New Roman" w:asciiTheme="majorEastAsia" w:hAnsiTheme="majorEastAsia"/>
              <w:lang w:val="zh-CN"/>
            </w:rPr>
            <w:t>九、</w:t>
          </w:r>
          <w:r>
            <w:rPr>
              <w:rFonts w:asciiTheme="minorHAnsi" w:hAnsiTheme="minorHAnsi"/>
              <w:iCs w:val="0"/>
              <w:color w:val="auto"/>
              <w:kern w:val="2"/>
              <w:sz w:val="21"/>
            </w:rPr>
            <w:tab/>
          </w:r>
          <w:r>
            <w:rPr>
              <w:rStyle w:val="26"/>
              <w:rFonts w:hint="eastAsia" w:cs="Times New Roman" w:asciiTheme="majorEastAsia" w:hAnsiTheme="majorEastAsia"/>
              <w:lang w:val="zh-CN"/>
            </w:rPr>
            <w:t>相关条文解读</w:t>
          </w:r>
          <w:r>
            <w:tab/>
          </w:r>
          <w:r>
            <w:fldChar w:fldCharType="begin"/>
          </w:r>
          <w:r>
            <w:instrText xml:space="preserve"> PAGEREF _Toc495861528 \h </w:instrText>
          </w:r>
          <w:r>
            <w:fldChar w:fldCharType="separate"/>
          </w:r>
          <w:r>
            <w:t>21</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"_Toc495861529" </w:instrText>
          </w:r>
          <w:r>
            <w:fldChar w:fldCharType="separate"/>
          </w:r>
          <w:r>
            <w:rPr>
              <w:rStyle w:val="26"/>
              <w:rFonts w:hint="eastAsia" w:cs="Times New Roman" w:asciiTheme="majorEastAsia" w:hAnsiTheme="majorEastAsia"/>
              <w:lang w:val="zh-CN"/>
            </w:rPr>
            <w:t>十、</w:t>
          </w:r>
          <w:r>
            <w:rPr>
              <w:rFonts w:asciiTheme="minorHAnsi" w:hAnsiTheme="minorHAnsi"/>
              <w:iCs w:val="0"/>
              <w:color w:val="auto"/>
              <w:kern w:val="2"/>
              <w:sz w:val="21"/>
            </w:rPr>
            <w:tab/>
          </w:r>
          <w:r>
            <w:rPr>
              <w:rStyle w:val="26"/>
              <w:rFonts w:hint="eastAsia" w:cs="Times New Roman" w:asciiTheme="majorEastAsia" w:hAnsiTheme="majorEastAsia"/>
              <w:lang w:val="zh-CN"/>
            </w:rPr>
            <w:t>其他注意事项</w:t>
          </w:r>
          <w:r>
            <w:tab/>
          </w:r>
          <w:r>
            <w:fldChar w:fldCharType="begin"/>
          </w:r>
          <w:r>
            <w:instrText xml:space="preserve"> PAGEREF _Toc495861529 \h </w:instrText>
          </w:r>
          <w:r>
            <w:fldChar w:fldCharType="separate"/>
          </w:r>
          <w:r>
            <w:t>21</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"_Toc495861530" </w:instrText>
          </w:r>
          <w:r>
            <w:fldChar w:fldCharType="separate"/>
          </w:r>
          <w:r>
            <w:rPr>
              <w:rStyle w:val="26"/>
              <w:rFonts w:hint="eastAsia" w:cs="Times New Roman" w:asciiTheme="majorEastAsia" w:hAnsiTheme="majorEastAsia"/>
              <w:lang w:val="zh-CN"/>
            </w:rPr>
            <w:t>十一、</w:t>
          </w:r>
          <w:r>
            <w:rPr>
              <w:rFonts w:asciiTheme="minorHAnsi" w:hAnsiTheme="minorHAnsi"/>
              <w:iCs w:val="0"/>
              <w:color w:val="auto"/>
              <w:kern w:val="2"/>
              <w:sz w:val="21"/>
            </w:rPr>
            <w:tab/>
          </w:r>
          <w:r>
            <w:rPr>
              <w:rStyle w:val="26"/>
              <w:rFonts w:hint="eastAsia" w:cs="Times New Roman" w:asciiTheme="majorEastAsia" w:hAnsiTheme="majorEastAsia"/>
              <w:lang w:val="zh-CN"/>
            </w:rPr>
            <w:t>适用法律</w:t>
          </w:r>
          <w:r>
            <w:tab/>
          </w:r>
          <w:r>
            <w:fldChar w:fldCharType="begin"/>
          </w:r>
          <w:r>
            <w:instrText xml:space="preserve"> PAGEREF _Toc495861530 \h </w:instrText>
          </w:r>
          <w:r>
            <w:fldChar w:fldCharType="separate"/>
          </w:r>
          <w:r>
            <w:t>21</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"_Toc495861531" </w:instrText>
          </w:r>
          <w:r>
            <w:fldChar w:fldCharType="separate"/>
          </w:r>
          <w:r>
            <w:rPr>
              <w:rStyle w:val="26"/>
              <w:rFonts w:hint="eastAsia" w:cs="Times New Roman" w:asciiTheme="majorEastAsia" w:hAnsiTheme="majorEastAsia"/>
              <w:lang w:val="zh-CN"/>
            </w:rPr>
            <w:t>十二、</w:t>
          </w:r>
          <w:r>
            <w:rPr>
              <w:rFonts w:asciiTheme="minorHAnsi" w:hAnsiTheme="minorHAnsi"/>
              <w:iCs w:val="0"/>
              <w:color w:val="auto"/>
              <w:kern w:val="2"/>
              <w:sz w:val="21"/>
            </w:rPr>
            <w:tab/>
          </w:r>
          <w:r>
            <w:rPr>
              <w:rStyle w:val="26"/>
              <w:rFonts w:hint="eastAsia" w:cs="Times New Roman" w:asciiTheme="majorEastAsia" w:hAnsiTheme="majorEastAsia"/>
              <w:lang w:val="zh-CN"/>
            </w:rPr>
            <w:t>招标文件的解释权</w:t>
          </w:r>
          <w:r>
            <w:tab/>
          </w:r>
          <w:r>
            <w:fldChar w:fldCharType="begin"/>
          </w:r>
          <w:r>
            <w:instrText xml:space="preserve"> PAGEREF _Toc495861531 \h </w:instrText>
          </w:r>
          <w:r>
            <w:fldChar w:fldCharType="separate"/>
          </w:r>
          <w:r>
            <w:t>21</w:t>
          </w:r>
          <w:r>
            <w:fldChar w:fldCharType="end"/>
          </w:r>
          <w:r>
            <w:fldChar w:fldCharType="end"/>
          </w:r>
        </w:p>
        <w:p>
          <w:pPr>
            <w:pStyle w:val="15"/>
            <w:tabs>
              <w:tab w:val="left" w:pos="1260"/>
              <w:tab w:val="right" w:leader="dot" w:pos="9514"/>
            </w:tabs>
            <w:rPr>
              <w:iCs w:val="0"/>
              <w:color w:val="auto"/>
              <w:kern w:val="2"/>
              <w:sz w:val="21"/>
            </w:rPr>
          </w:pPr>
          <w:r>
            <w:fldChar w:fldCharType="begin"/>
          </w:r>
          <w:r>
            <w:instrText xml:space="preserve"> HYPERLINK \l "_Toc495861532" </w:instrText>
          </w:r>
          <w:r>
            <w:fldChar w:fldCharType="separate"/>
          </w:r>
          <w:r>
            <w:rPr>
              <w:rStyle w:val="26"/>
              <w:rFonts w:hint="eastAsia" w:ascii="黑体" w:hAnsi="黑体"/>
            </w:rPr>
            <w:t>第三章</w:t>
          </w:r>
          <w:r>
            <w:rPr>
              <w:rFonts w:eastAsiaTheme="minorEastAsia"/>
              <w:b w:val="0"/>
              <w:iCs w:val="0"/>
              <w:color w:val="auto"/>
              <w:kern w:val="2"/>
              <w:sz w:val="21"/>
            </w:rPr>
            <w:tab/>
          </w:r>
          <w:r>
            <w:rPr>
              <w:rStyle w:val="26"/>
              <w:rFonts w:hint="eastAsia" w:ascii="黑体" w:hAnsi="黑体"/>
            </w:rPr>
            <w:t>项目技术、服务及商务要求</w:t>
          </w:r>
          <w:r>
            <w:tab/>
          </w:r>
          <w:r>
            <w:fldChar w:fldCharType="begin"/>
          </w:r>
          <w:r>
            <w:instrText xml:space="preserve"> PAGEREF _Toc495861532 \h </w:instrText>
          </w:r>
          <w:r>
            <w:fldChar w:fldCharType="separate"/>
          </w:r>
          <w:r>
            <w:t>22</w:t>
          </w:r>
          <w:r>
            <w:fldChar w:fldCharType="end"/>
          </w:r>
          <w:r>
            <w:fldChar w:fldCharType="end"/>
          </w:r>
        </w:p>
        <w:p>
          <w:pPr>
            <w:pStyle w:val="15"/>
            <w:tabs>
              <w:tab w:val="left" w:pos="1260"/>
              <w:tab w:val="right" w:leader="dot" w:pos="9514"/>
            </w:tabs>
            <w:rPr>
              <w:rFonts w:eastAsiaTheme="minorEastAsia"/>
              <w:b w:val="0"/>
              <w:iCs w:val="0"/>
              <w:color w:val="auto"/>
              <w:kern w:val="2"/>
              <w:sz w:val="21"/>
            </w:rPr>
          </w:pPr>
          <w:r>
            <w:fldChar w:fldCharType="begin"/>
          </w:r>
          <w:r>
            <w:instrText xml:space="preserve"> HYPERLINK \l "_Toc495861538" </w:instrText>
          </w:r>
          <w:r>
            <w:fldChar w:fldCharType="separate"/>
          </w:r>
          <w:r>
            <w:rPr>
              <w:rStyle w:val="26"/>
              <w:rFonts w:hint="eastAsia" w:ascii="黑体" w:hAnsi="黑体"/>
            </w:rPr>
            <w:t>第四章</w:t>
          </w:r>
          <w:r>
            <w:rPr>
              <w:rFonts w:eastAsiaTheme="minorEastAsia"/>
              <w:b w:val="0"/>
              <w:iCs w:val="0"/>
              <w:color w:val="auto"/>
              <w:kern w:val="2"/>
              <w:sz w:val="21"/>
            </w:rPr>
            <w:tab/>
          </w:r>
          <w:r>
            <w:rPr>
              <w:rStyle w:val="26"/>
              <w:rFonts w:hint="eastAsia" w:ascii="黑体" w:hAnsi="黑体"/>
            </w:rPr>
            <w:t>资格审查方法及标准</w:t>
          </w:r>
          <w:r>
            <w:tab/>
          </w:r>
          <w:r>
            <w:fldChar w:fldCharType="begin"/>
          </w:r>
          <w:r>
            <w:instrText xml:space="preserve"> PAGEREF _Toc495861538 \h </w:instrText>
          </w:r>
          <w:r>
            <w:fldChar w:fldCharType="separate"/>
          </w:r>
          <w:r>
            <w:t>25</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"_Toc495861539" </w:instrText>
          </w:r>
          <w:r>
            <w:fldChar w:fldCharType="separate"/>
          </w:r>
          <w:r>
            <w:rPr>
              <w:rStyle w:val="26"/>
              <w:rFonts w:hint="eastAsia" w:cs="Times New Roman" w:asciiTheme="majorEastAsia" w:hAnsiTheme="majorEastAsia"/>
              <w:lang w:val="zh-CN"/>
            </w:rPr>
            <w:t>一、</w:t>
          </w:r>
          <w:r>
            <w:rPr>
              <w:rFonts w:asciiTheme="minorHAnsi" w:hAnsiTheme="minorHAnsi"/>
              <w:iCs w:val="0"/>
              <w:color w:val="auto"/>
              <w:kern w:val="2"/>
              <w:sz w:val="21"/>
            </w:rPr>
            <w:tab/>
          </w:r>
          <w:r>
            <w:rPr>
              <w:rStyle w:val="26"/>
              <w:rFonts w:hint="eastAsia" w:cs="Times New Roman" w:asciiTheme="majorEastAsia" w:hAnsiTheme="majorEastAsia"/>
              <w:lang w:val="zh-CN"/>
            </w:rPr>
            <w:t>资格审查方法</w:t>
          </w:r>
          <w:r>
            <w:tab/>
          </w:r>
          <w:r>
            <w:fldChar w:fldCharType="begin"/>
          </w:r>
          <w:r>
            <w:instrText xml:space="preserve"> PAGEREF _Toc495861539 \h </w:instrText>
          </w:r>
          <w:r>
            <w:fldChar w:fldCharType="separate"/>
          </w:r>
          <w:r>
            <w:t>25</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"_Toc495861540" </w:instrText>
          </w:r>
          <w:r>
            <w:fldChar w:fldCharType="separate"/>
          </w:r>
          <w:r>
            <w:rPr>
              <w:rStyle w:val="26"/>
              <w:rFonts w:hint="eastAsia" w:cs="Times New Roman" w:asciiTheme="majorEastAsia" w:hAnsiTheme="majorEastAsia"/>
              <w:lang w:val="zh-CN"/>
            </w:rPr>
            <w:t>二、</w:t>
          </w:r>
          <w:r>
            <w:rPr>
              <w:rFonts w:asciiTheme="minorHAnsi" w:hAnsiTheme="minorHAnsi"/>
              <w:iCs w:val="0"/>
              <w:color w:val="auto"/>
              <w:kern w:val="2"/>
              <w:sz w:val="21"/>
            </w:rPr>
            <w:tab/>
          </w:r>
          <w:r>
            <w:rPr>
              <w:rStyle w:val="26"/>
              <w:rFonts w:hint="eastAsia" w:cs="Times New Roman" w:asciiTheme="majorEastAsia" w:hAnsiTheme="majorEastAsia"/>
              <w:lang w:val="zh-CN"/>
            </w:rPr>
            <w:t>资格审查标准</w:t>
          </w:r>
          <w:r>
            <w:tab/>
          </w:r>
          <w:r>
            <w:fldChar w:fldCharType="begin"/>
          </w:r>
          <w:r>
            <w:instrText xml:space="preserve"> PAGEREF _Toc495861540 \h </w:instrText>
          </w:r>
          <w:r>
            <w:fldChar w:fldCharType="separate"/>
          </w:r>
          <w:r>
            <w:t>25</w:t>
          </w:r>
          <w:r>
            <w:fldChar w:fldCharType="end"/>
          </w:r>
          <w:r>
            <w:fldChar w:fldCharType="end"/>
          </w:r>
        </w:p>
        <w:p>
          <w:pPr>
            <w:pStyle w:val="15"/>
            <w:tabs>
              <w:tab w:val="left" w:pos="1260"/>
              <w:tab w:val="right" w:leader="dot" w:pos="9514"/>
            </w:tabs>
            <w:rPr>
              <w:rFonts w:eastAsiaTheme="minorEastAsia"/>
              <w:b w:val="0"/>
              <w:iCs w:val="0"/>
              <w:color w:val="auto"/>
              <w:kern w:val="2"/>
              <w:sz w:val="21"/>
            </w:rPr>
          </w:pPr>
          <w:r>
            <w:fldChar w:fldCharType="begin"/>
          </w:r>
          <w:r>
            <w:instrText xml:space="preserve"> HYPERLINK \l "_Toc495861541" </w:instrText>
          </w:r>
          <w:r>
            <w:fldChar w:fldCharType="separate"/>
          </w:r>
          <w:r>
            <w:rPr>
              <w:rStyle w:val="26"/>
              <w:rFonts w:hint="eastAsia" w:ascii="黑体" w:hAnsi="黑体"/>
            </w:rPr>
            <w:t>第五章</w:t>
          </w:r>
          <w:r>
            <w:rPr>
              <w:rFonts w:eastAsiaTheme="minorEastAsia"/>
              <w:b w:val="0"/>
              <w:iCs w:val="0"/>
              <w:color w:val="auto"/>
              <w:kern w:val="2"/>
              <w:sz w:val="21"/>
            </w:rPr>
            <w:tab/>
          </w:r>
          <w:r>
            <w:rPr>
              <w:rStyle w:val="26"/>
              <w:rFonts w:hint="eastAsia" w:ascii="黑体" w:hAnsi="黑体"/>
            </w:rPr>
            <w:t>评标方法、程序及标准</w:t>
          </w:r>
          <w:r>
            <w:tab/>
          </w:r>
          <w:r>
            <w:fldChar w:fldCharType="begin"/>
          </w:r>
          <w:r>
            <w:instrText xml:space="preserve"> PAGEREF _Toc495861541 \h </w:instrText>
          </w:r>
          <w:r>
            <w:fldChar w:fldCharType="separate"/>
          </w:r>
          <w:r>
            <w:t>27</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"_Toc495861542" </w:instrText>
          </w:r>
          <w:r>
            <w:fldChar w:fldCharType="separate"/>
          </w:r>
          <w:r>
            <w:rPr>
              <w:rStyle w:val="26"/>
              <w:rFonts w:hint="eastAsia" w:cs="Times New Roman" w:asciiTheme="majorEastAsia" w:hAnsiTheme="majorEastAsia"/>
              <w:lang w:val="zh-CN"/>
            </w:rPr>
            <w:t>一、</w:t>
          </w:r>
          <w:r>
            <w:rPr>
              <w:rFonts w:asciiTheme="minorHAnsi" w:hAnsiTheme="minorHAnsi"/>
              <w:iCs w:val="0"/>
              <w:color w:val="auto"/>
              <w:kern w:val="2"/>
              <w:sz w:val="21"/>
            </w:rPr>
            <w:tab/>
          </w:r>
          <w:r>
            <w:rPr>
              <w:rStyle w:val="26"/>
              <w:rFonts w:hint="eastAsia" w:cs="Times New Roman" w:asciiTheme="majorEastAsia" w:hAnsiTheme="majorEastAsia"/>
              <w:lang w:val="zh-CN"/>
            </w:rPr>
            <w:t>评标方法</w:t>
          </w:r>
          <w:r>
            <w:tab/>
          </w:r>
          <w:r>
            <w:fldChar w:fldCharType="begin"/>
          </w:r>
          <w:r>
            <w:instrText xml:space="preserve"> PAGEREF _Toc495861542 \h </w:instrText>
          </w:r>
          <w:r>
            <w:fldChar w:fldCharType="separate"/>
          </w:r>
          <w:r>
            <w:t>27</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"_Toc495861543" </w:instrText>
          </w:r>
          <w:r>
            <w:fldChar w:fldCharType="separate"/>
          </w:r>
          <w:r>
            <w:rPr>
              <w:rStyle w:val="26"/>
              <w:rFonts w:hint="eastAsia" w:cs="Times New Roman" w:asciiTheme="majorEastAsia" w:hAnsiTheme="majorEastAsia"/>
              <w:lang w:val="zh-CN"/>
            </w:rPr>
            <w:t>二、</w:t>
          </w:r>
          <w:r>
            <w:rPr>
              <w:rFonts w:asciiTheme="minorHAnsi" w:hAnsiTheme="minorHAnsi"/>
              <w:iCs w:val="0"/>
              <w:color w:val="auto"/>
              <w:kern w:val="2"/>
              <w:sz w:val="21"/>
            </w:rPr>
            <w:tab/>
          </w:r>
          <w:r>
            <w:rPr>
              <w:rStyle w:val="26"/>
              <w:rFonts w:hint="eastAsia" w:cs="Times New Roman" w:asciiTheme="majorEastAsia" w:hAnsiTheme="majorEastAsia"/>
              <w:lang w:val="zh-CN"/>
            </w:rPr>
            <w:t>评标程序及标准</w:t>
          </w:r>
          <w:r>
            <w:tab/>
          </w:r>
          <w:r>
            <w:fldChar w:fldCharType="begin"/>
          </w:r>
          <w:r>
            <w:instrText xml:space="preserve"> PAGEREF _Toc495861543 \h </w:instrText>
          </w:r>
          <w:r>
            <w:fldChar w:fldCharType="separate"/>
          </w:r>
          <w:r>
            <w:t>27</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"_Toc495861544" </w:instrText>
          </w:r>
          <w:r>
            <w:fldChar w:fldCharType="separate"/>
          </w:r>
          <w:r>
            <w:rPr>
              <w:rStyle w:val="26"/>
              <w:rFonts w:hint="eastAsia" w:cs="Times New Roman" w:asciiTheme="majorEastAsia" w:hAnsiTheme="majorEastAsia"/>
              <w:lang w:val="zh-CN"/>
            </w:rPr>
            <w:t>三、</w:t>
          </w:r>
          <w:r>
            <w:rPr>
              <w:rFonts w:asciiTheme="minorHAnsi" w:hAnsiTheme="minorHAnsi"/>
              <w:iCs w:val="0"/>
              <w:color w:val="auto"/>
              <w:kern w:val="2"/>
              <w:sz w:val="21"/>
            </w:rPr>
            <w:tab/>
          </w:r>
          <w:r>
            <w:rPr>
              <w:rStyle w:val="26"/>
              <w:rFonts w:hint="eastAsia" w:cs="Times New Roman" w:asciiTheme="majorEastAsia" w:hAnsiTheme="majorEastAsia"/>
              <w:lang w:val="zh-CN"/>
            </w:rPr>
            <w:t>评审因素及评分标准</w:t>
          </w:r>
          <w:r>
            <w:tab/>
          </w:r>
          <w:r>
            <w:fldChar w:fldCharType="begin"/>
          </w:r>
          <w:r>
            <w:instrText xml:space="preserve"> PAGEREF _Toc495861544 \h </w:instrText>
          </w:r>
          <w:r>
            <w:fldChar w:fldCharType="separate"/>
          </w:r>
          <w:r>
            <w:t>31</w:t>
          </w:r>
          <w:r>
            <w:fldChar w:fldCharType="end"/>
          </w:r>
          <w:r>
            <w:fldChar w:fldCharType="end"/>
          </w:r>
        </w:p>
        <w:p>
          <w:pPr>
            <w:pStyle w:val="15"/>
            <w:tabs>
              <w:tab w:val="left" w:pos="1260"/>
              <w:tab w:val="right" w:leader="dot" w:pos="9514"/>
            </w:tabs>
            <w:rPr>
              <w:rFonts w:eastAsiaTheme="minorEastAsia"/>
              <w:b w:val="0"/>
              <w:iCs w:val="0"/>
              <w:color w:val="auto"/>
              <w:kern w:val="2"/>
              <w:sz w:val="21"/>
            </w:rPr>
          </w:pPr>
          <w:r>
            <w:fldChar w:fldCharType="begin"/>
          </w:r>
          <w:r>
            <w:instrText xml:space="preserve"> HYPERLINK \l "_Toc495861545" </w:instrText>
          </w:r>
          <w:r>
            <w:fldChar w:fldCharType="separate"/>
          </w:r>
          <w:r>
            <w:rPr>
              <w:rStyle w:val="26"/>
              <w:rFonts w:hint="eastAsia" w:ascii="黑体" w:hAnsi="黑体"/>
            </w:rPr>
            <w:t>第六章</w:t>
          </w:r>
          <w:r>
            <w:rPr>
              <w:rFonts w:eastAsiaTheme="minorEastAsia"/>
              <w:b w:val="0"/>
              <w:iCs w:val="0"/>
              <w:color w:val="auto"/>
              <w:kern w:val="2"/>
              <w:sz w:val="21"/>
            </w:rPr>
            <w:tab/>
          </w:r>
          <w:r>
            <w:rPr>
              <w:rStyle w:val="26"/>
              <w:rFonts w:hint="eastAsia" w:ascii="黑体" w:hAnsi="黑体"/>
            </w:rPr>
            <w:t>合同书格式（参考）</w:t>
          </w:r>
          <w:r>
            <w:tab/>
          </w:r>
          <w:r>
            <w:fldChar w:fldCharType="begin"/>
          </w:r>
          <w:r>
            <w:instrText xml:space="preserve"> PAGEREF _Toc495861545 \h </w:instrText>
          </w:r>
          <w:r>
            <w:fldChar w:fldCharType="separate"/>
          </w:r>
          <w:r>
            <w:t>34</w:t>
          </w:r>
          <w:r>
            <w:fldChar w:fldCharType="end"/>
          </w:r>
          <w:r>
            <w:fldChar w:fldCharType="end"/>
          </w:r>
        </w:p>
        <w:p>
          <w:pPr>
            <w:pStyle w:val="15"/>
            <w:tabs>
              <w:tab w:val="left" w:pos="1260"/>
              <w:tab w:val="right" w:leader="dot" w:pos="9514"/>
            </w:tabs>
            <w:rPr>
              <w:rFonts w:eastAsiaTheme="minorEastAsia"/>
              <w:b w:val="0"/>
              <w:iCs w:val="0"/>
              <w:color w:val="auto"/>
              <w:kern w:val="2"/>
              <w:sz w:val="21"/>
            </w:rPr>
          </w:pPr>
          <w:r>
            <w:fldChar w:fldCharType="begin"/>
          </w:r>
          <w:r>
            <w:instrText xml:space="preserve"> HYPERLINK \l "_Toc495861546" </w:instrText>
          </w:r>
          <w:r>
            <w:fldChar w:fldCharType="separate"/>
          </w:r>
          <w:r>
            <w:rPr>
              <w:rStyle w:val="26"/>
              <w:rFonts w:hint="eastAsia" w:ascii="黑体" w:hAnsi="黑体"/>
            </w:rPr>
            <w:t>第七章</w:t>
          </w:r>
          <w:r>
            <w:rPr>
              <w:rFonts w:eastAsiaTheme="minorEastAsia"/>
              <w:b w:val="0"/>
              <w:iCs w:val="0"/>
              <w:color w:val="auto"/>
              <w:kern w:val="2"/>
              <w:sz w:val="21"/>
            </w:rPr>
            <w:tab/>
          </w:r>
          <w:r>
            <w:rPr>
              <w:rStyle w:val="26"/>
              <w:rFonts w:hint="eastAsia" w:ascii="黑体" w:hAnsi="黑体"/>
            </w:rPr>
            <w:t>投标文件格式（参考）</w:t>
          </w:r>
          <w:r>
            <w:tab/>
          </w:r>
          <w:r>
            <w:fldChar w:fldCharType="begin"/>
          </w:r>
          <w:r>
            <w:instrText xml:space="preserve"> PAGEREF _Toc495861546 \h </w:instrText>
          </w:r>
          <w:r>
            <w:fldChar w:fldCharType="separate"/>
          </w:r>
          <w:r>
            <w:t>36</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"_Toc495861547" </w:instrText>
          </w:r>
          <w:r>
            <w:fldChar w:fldCharType="separate"/>
          </w:r>
          <w:r>
            <w:rPr>
              <w:rStyle w:val="26"/>
              <w:rFonts w:hint="eastAsia" w:cs="Times New Roman" w:asciiTheme="majorEastAsia" w:hAnsiTheme="majorEastAsia"/>
              <w:lang w:val="zh-CN"/>
            </w:rPr>
            <w:t>第一部分资格证明文件</w:t>
          </w:r>
          <w:r>
            <w:tab/>
          </w:r>
          <w:r>
            <w:fldChar w:fldCharType="begin"/>
          </w:r>
          <w:r>
            <w:instrText xml:space="preserve"> PAGEREF _Toc495861547 \h </w:instrText>
          </w:r>
          <w:r>
            <w:fldChar w:fldCharType="separate"/>
          </w:r>
          <w:r>
            <w:t>36</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"_Toc495861548" </w:instrText>
          </w:r>
          <w:r>
            <w:fldChar w:fldCharType="separate"/>
          </w:r>
          <w:r>
            <w:rPr>
              <w:rStyle w:val="26"/>
              <w:rFonts w:hint="eastAsia" w:cs="Times New Roman" w:asciiTheme="majorEastAsia" w:hAnsiTheme="majorEastAsia"/>
              <w:lang w:val="zh-CN"/>
            </w:rPr>
            <w:t>第二部分商务文件</w:t>
          </w:r>
          <w:r>
            <w:tab/>
          </w:r>
          <w:r>
            <w:fldChar w:fldCharType="begin"/>
          </w:r>
          <w:r>
            <w:instrText xml:space="preserve"> PAGEREF _Toc495861548 \h </w:instrText>
          </w:r>
          <w:r>
            <w:fldChar w:fldCharType="separate"/>
          </w:r>
          <w:r>
            <w:t>38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"_Toc495861549" </w:instrText>
          </w:r>
          <w:r>
            <w:fldChar w:fldCharType="separate"/>
          </w:r>
          <w:r>
            <w:rPr>
              <w:rStyle w:val="26"/>
              <w:rFonts w:hint="eastAsia" w:cs="Times New Roman" w:asciiTheme="majorEastAsia" w:hAnsiTheme="majorEastAsia"/>
              <w:lang w:val="zh-CN"/>
            </w:rPr>
            <w:t>第三部分技术、服务文件</w:t>
          </w:r>
          <w:r>
            <w:tab/>
          </w:r>
          <w:r>
            <w:fldChar w:fldCharType="begin"/>
          </w:r>
          <w:r>
            <w:instrText xml:space="preserve"> PAGEREF _Toc495861549 \h </w:instrText>
          </w:r>
          <w:r>
            <w:fldChar w:fldCharType="separate"/>
          </w:r>
          <w:r>
            <w:t>40</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"_Toc495861550" </w:instrText>
          </w:r>
          <w:r>
            <w:fldChar w:fldCharType="separate"/>
          </w:r>
          <w:r>
            <w:rPr>
              <w:rStyle w:val="26"/>
              <w:rFonts w:hint="eastAsia" w:eastAsia="宋体"/>
            </w:rPr>
            <w:t>附件一、</w:t>
          </w:r>
          <w:r>
            <w:rPr>
              <w:rFonts w:asciiTheme="minorHAnsi" w:hAnsiTheme="minorHAnsi"/>
              <w:iCs w:val="0"/>
              <w:color w:val="auto"/>
              <w:kern w:val="2"/>
              <w:sz w:val="21"/>
            </w:rPr>
            <w:tab/>
          </w:r>
          <w:r>
            <w:rPr>
              <w:rStyle w:val="26"/>
              <w:rFonts w:hint="eastAsia" w:eastAsia="宋体"/>
            </w:rPr>
            <w:t>投标书</w:t>
          </w:r>
          <w:r>
            <w:tab/>
          </w:r>
          <w:r>
            <w:fldChar w:fldCharType="begin"/>
          </w:r>
          <w:r>
            <w:instrText xml:space="preserve"> PAGEREF _Toc495861550 \h </w:instrText>
          </w:r>
          <w:r>
            <w:fldChar w:fldCharType="separate"/>
          </w:r>
          <w:r>
            <w:t>42</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"_Toc495861551" </w:instrText>
          </w:r>
          <w:r>
            <w:fldChar w:fldCharType="separate"/>
          </w:r>
          <w:r>
            <w:rPr>
              <w:rStyle w:val="26"/>
              <w:rFonts w:hint="eastAsia" w:eastAsia="宋体"/>
            </w:rPr>
            <w:t>附件二、</w:t>
          </w:r>
          <w:r>
            <w:rPr>
              <w:rFonts w:asciiTheme="minorHAnsi" w:hAnsiTheme="minorHAnsi"/>
              <w:iCs w:val="0"/>
              <w:color w:val="auto"/>
              <w:kern w:val="2"/>
              <w:sz w:val="21"/>
            </w:rPr>
            <w:tab/>
          </w:r>
          <w:r>
            <w:rPr>
              <w:rStyle w:val="26"/>
              <w:rFonts w:hint="eastAsia" w:eastAsia="宋体"/>
            </w:rPr>
            <w:t>制造商中小企业声明函</w:t>
          </w:r>
          <w:r>
            <w:tab/>
          </w:r>
          <w:r>
            <w:fldChar w:fldCharType="begin"/>
          </w:r>
          <w:r>
            <w:instrText xml:space="preserve"> PAGEREF _Toc495861551 \h </w:instrText>
          </w:r>
          <w:r>
            <w:fldChar w:fldCharType="separate"/>
          </w:r>
          <w:r>
            <w:t>43</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"_Toc495861552" </w:instrText>
          </w:r>
          <w:r>
            <w:fldChar w:fldCharType="separate"/>
          </w:r>
          <w:r>
            <w:rPr>
              <w:rStyle w:val="26"/>
              <w:rFonts w:hint="eastAsia" w:eastAsia="宋体"/>
            </w:rPr>
            <w:t>附件三、</w:t>
          </w:r>
          <w:r>
            <w:rPr>
              <w:rFonts w:asciiTheme="minorHAnsi" w:hAnsiTheme="minorHAnsi"/>
              <w:iCs w:val="0"/>
              <w:color w:val="auto"/>
              <w:kern w:val="2"/>
              <w:sz w:val="21"/>
            </w:rPr>
            <w:tab/>
          </w:r>
          <w:r>
            <w:rPr>
              <w:rStyle w:val="26"/>
              <w:rFonts w:hint="eastAsia" w:eastAsia="宋体"/>
            </w:rPr>
            <w:t>中小企业声明函</w:t>
          </w:r>
          <w:r>
            <w:tab/>
          </w:r>
          <w:r>
            <w:fldChar w:fldCharType="begin"/>
          </w:r>
          <w:r>
            <w:instrText xml:space="preserve"> PAGEREF _Toc495861552 \h </w:instrText>
          </w:r>
          <w:r>
            <w:fldChar w:fldCharType="separate"/>
          </w:r>
          <w:r>
            <w:t>44</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"_Toc495861553" </w:instrText>
          </w:r>
          <w:r>
            <w:fldChar w:fldCharType="separate"/>
          </w:r>
          <w:r>
            <w:rPr>
              <w:rStyle w:val="26"/>
              <w:rFonts w:hint="eastAsia" w:eastAsia="宋体"/>
            </w:rPr>
            <w:t>附件四、</w:t>
          </w:r>
          <w:r>
            <w:rPr>
              <w:rFonts w:asciiTheme="minorHAnsi" w:hAnsiTheme="minorHAnsi"/>
              <w:iCs w:val="0"/>
              <w:color w:val="auto"/>
              <w:kern w:val="2"/>
              <w:sz w:val="21"/>
            </w:rPr>
            <w:tab/>
          </w:r>
          <w:r>
            <w:rPr>
              <w:rStyle w:val="26"/>
              <w:rFonts w:hint="eastAsia" w:eastAsia="宋体"/>
            </w:rPr>
            <w:t>残疾人福利性单位声明函</w:t>
          </w:r>
          <w:r>
            <w:tab/>
          </w:r>
          <w:r>
            <w:fldChar w:fldCharType="begin"/>
          </w:r>
          <w:r>
            <w:instrText xml:space="preserve"> PAGEREF _Toc495861553 \h </w:instrText>
          </w:r>
          <w:r>
            <w:fldChar w:fldCharType="separate"/>
          </w:r>
          <w:r>
            <w:t>46</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"_Toc495861554" </w:instrText>
          </w:r>
          <w:r>
            <w:fldChar w:fldCharType="separate"/>
          </w:r>
          <w:r>
            <w:rPr>
              <w:rStyle w:val="26"/>
              <w:rFonts w:hint="eastAsia" w:eastAsia="宋体"/>
            </w:rPr>
            <w:t>附件五、</w:t>
          </w:r>
          <w:r>
            <w:rPr>
              <w:rFonts w:asciiTheme="minorHAnsi" w:hAnsiTheme="minorHAnsi"/>
              <w:iCs w:val="0"/>
              <w:color w:val="auto"/>
              <w:kern w:val="2"/>
              <w:sz w:val="21"/>
            </w:rPr>
            <w:tab/>
          </w:r>
          <w:r>
            <w:rPr>
              <w:rStyle w:val="26"/>
              <w:rFonts w:hint="eastAsia" w:eastAsia="宋体"/>
            </w:rPr>
            <w:t>开标一览表</w:t>
          </w:r>
          <w:r>
            <w:tab/>
          </w:r>
          <w:r>
            <w:fldChar w:fldCharType="begin"/>
          </w:r>
          <w:r>
            <w:instrText xml:space="preserve"> PAGEREF _Toc495861554 \h </w:instrText>
          </w:r>
          <w:r>
            <w:fldChar w:fldCharType="separate"/>
          </w:r>
          <w:r>
            <w:t>49</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"_Toc495861555" </w:instrText>
          </w:r>
          <w:r>
            <w:fldChar w:fldCharType="separate"/>
          </w:r>
          <w:r>
            <w:rPr>
              <w:rStyle w:val="26"/>
              <w:rFonts w:hint="eastAsia" w:eastAsia="宋体"/>
            </w:rPr>
            <w:t>附件六、</w:t>
          </w:r>
          <w:r>
            <w:rPr>
              <w:rFonts w:asciiTheme="minorHAnsi" w:hAnsiTheme="minorHAnsi"/>
              <w:iCs w:val="0"/>
              <w:color w:val="auto"/>
              <w:kern w:val="2"/>
              <w:sz w:val="21"/>
            </w:rPr>
            <w:tab/>
          </w:r>
          <w:r>
            <w:rPr>
              <w:rStyle w:val="26"/>
              <w:rFonts w:hint="eastAsia" w:eastAsia="宋体"/>
            </w:rPr>
            <w:t>投标报价明细表</w:t>
          </w:r>
          <w:r>
            <w:tab/>
          </w:r>
          <w:r>
            <w:fldChar w:fldCharType="begin"/>
          </w:r>
          <w:r>
            <w:instrText xml:space="preserve"> PAGEREF _Toc495861555 \h </w:instrText>
          </w:r>
          <w:r>
            <w:fldChar w:fldCharType="separate"/>
          </w:r>
          <w:r>
            <w:t>50</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"_Toc495861556" </w:instrText>
          </w:r>
          <w:r>
            <w:fldChar w:fldCharType="separate"/>
          </w:r>
          <w:r>
            <w:rPr>
              <w:rStyle w:val="26"/>
              <w:rFonts w:hint="eastAsia" w:eastAsia="宋体"/>
            </w:rPr>
            <w:t>附件七、</w:t>
          </w:r>
          <w:r>
            <w:rPr>
              <w:rFonts w:asciiTheme="minorHAnsi" w:hAnsiTheme="minorHAnsi"/>
              <w:iCs w:val="0"/>
              <w:color w:val="auto"/>
              <w:kern w:val="2"/>
              <w:sz w:val="21"/>
            </w:rPr>
            <w:tab/>
          </w:r>
          <w:r>
            <w:rPr>
              <w:rStyle w:val="26"/>
              <w:rFonts w:hint="eastAsia" w:eastAsia="宋体"/>
            </w:rPr>
            <w:t>小型和微型企业、监狱企业、残疾人福利性单位货物汇总表</w:t>
          </w:r>
          <w:r>
            <w:tab/>
          </w:r>
          <w:r>
            <w:fldChar w:fldCharType="begin"/>
          </w:r>
          <w:r>
            <w:instrText xml:space="preserve"> PAGEREF _Toc495861556 \h </w:instrText>
          </w:r>
          <w:r>
            <w:fldChar w:fldCharType="separate"/>
          </w:r>
          <w:r>
            <w:t>51</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"_Toc495861557" </w:instrText>
          </w:r>
          <w:r>
            <w:fldChar w:fldCharType="separate"/>
          </w:r>
          <w:r>
            <w:rPr>
              <w:rStyle w:val="26"/>
              <w:rFonts w:hint="eastAsia" w:eastAsia="宋体"/>
            </w:rPr>
            <w:t>附件八、</w:t>
          </w:r>
          <w:r>
            <w:rPr>
              <w:rFonts w:asciiTheme="minorHAnsi" w:hAnsiTheme="minorHAnsi"/>
              <w:iCs w:val="0"/>
              <w:color w:val="auto"/>
              <w:kern w:val="2"/>
              <w:sz w:val="21"/>
            </w:rPr>
            <w:tab/>
          </w:r>
          <w:r>
            <w:rPr>
              <w:rStyle w:val="26"/>
              <w:rFonts w:hint="eastAsia" w:eastAsia="宋体"/>
            </w:rPr>
            <w:t>投标货物（工程或服务）清单</w:t>
          </w:r>
          <w:r>
            <w:tab/>
          </w:r>
          <w:r>
            <w:fldChar w:fldCharType="begin"/>
          </w:r>
          <w:r>
            <w:instrText xml:space="preserve"> PAGEREF _Toc495861557 \h </w:instrText>
          </w:r>
          <w:r>
            <w:fldChar w:fldCharType="separate"/>
          </w:r>
          <w:r>
            <w:t>52</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"_Toc495861558" </w:instrText>
          </w:r>
          <w:r>
            <w:fldChar w:fldCharType="separate"/>
          </w:r>
          <w:r>
            <w:rPr>
              <w:rStyle w:val="26"/>
              <w:rFonts w:hint="eastAsia" w:eastAsia="宋体"/>
            </w:rPr>
            <w:t>附件九、</w:t>
          </w:r>
          <w:r>
            <w:rPr>
              <w:rFonts w:asciiTheme="minorHAnsi" w:hAnsiTheme="minorHAnsi"/>
              <w:iCs w:val="0"/>
              <w:color w:val="auto"/>
              <w:kern w:val="2"/>
              <w:sz w:val="21"/>
            </w:rPr>
            <w:tab/>
          </w:r>
          <w:r>
            <w:rPr>
              <w:rStyle w:val="26"/>
              <w:rFonts w:hint="eastAsia" w:eastAsia="宋体"/>
            </w:rPr>
            <w:t>交纳投标保证金的银行凭证</w:t>
          </w:r>
          <w:r>
            <w:tab/>
          </w:r>
          <w:r>
            <w:fldChar w:fldCharType="begin"/>
          </w:r>
          <w:r>
            <w:instrText xml:space="preserve"> PAGEREF _Toc495861558 \h </w:instrText>
          </w:r>
          <w:r>
            <w:fldChar w:fldCharType="separate"/>
          </w:r>
          <w:r>
            <w:t>53</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"_Toc495861559" </w:instrText>
          </w:r>
          <w:r>
            <w:fldChar w:fldCharType="separate"/>
          </w:r>
          <w:r>
            <w:rPr>
              <w:rStyle w:val="26"/>
              <w:rFonts w:hint="eastAsia" w:eastAsia="宋体"/>
            </w:rPr>
            <w:t>附件十、</w:t>
          </w:r>
          <w:r>
            <w:rPr>
              <w:rFonts w:asciiTheme="minorHAnsi" w:hAnsiTheme="minorHAnsi"/>
              <w:iCs w:val="0"/>
              <w:color w:val="auto"/>
              <w:kern w:val="2"/>
              <w:sz w:val="21"/>
            </w:rPr>
            <w:tab/>
          </w:r>
          <w:r>
            <w:rPr>
              <w:rStyle w:val="26"/>
              <w:rFonts w:hint="eastAsia" w:eastAsia="宋体"/>
            </w:rPr>
            <w:t>法定代表人授权书</w:t>
          </w:r>
          <w:r>
            <w:tab/>
          </w:r>
          <w:r>
            <w:fldChar w:fldCharType="begin"/>
          </w:r>
          <w:r>
            <w:instrText xml:space="preserve"> PAGEREF _Toc495861559 \h </w:instrText>
          </w:r>
          <w:r>
            <w:fldChar w:fldCharType="separate"/>
          </w:r>
          <w:r>
            <w:t>54</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"_Toc495861560" </w:instrText>
          </w:r>
          <w:r>
            <w:fldChar w:fldCharType="separate"/>
          </w:r>
          <w:r>
            <w:rPr>
              <w:rStyle w:val="26"/>
              <w:rFonts w:hint="eastAsia" w:eastAsia="宋体"/>
            </w:rPr>
            <w:t>附件十一、</w:t>
          </w:r>
          <w:r>
            <w:rPr>
              <w:rFonts w:asciiTheme="minorHAnsi" w:hAnsiTheme="minorHAnsi"/>
              <w:iCs w:val="0"/>
              <w:color w:val="auto"/>
              <w:kern w:val="2"/>
              <w:sz w:val="21"/>
            </w:rPr>
            <w:tab/>
          </w:r>
          <w:r>
            <w:rPr>
              <w:rStyle w:val="26"/>
              <w:rFonts w:hint="eastAsia" w:eastAsia="宋体"/>
            </w:rPr>
            <w:t>投标人的资格声明</w:t>
          </w:r>
          <w:r>
            <w:tab/>
          </w:r>
          <w:r>
            <w:fldChar w:fldCharType="begin"/>
          </w:r>
          <w:r>
            <w:instrText xml:space="preserve"> PAGEREF _Toc495861560 \h </w:instrText>
          </w:r>
          <w:r>
            <w:fldChar w:fldCharType="separate"/>
          </w:r>
          <w:r>
            <w:t>55</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"_Toc495861561" </w:instrText>
          </w:r>
          <w:r>
            <w:fldChar w:fldCharType="separate"/>
          </w:r>
          <w:r>
            <w:rPr>
              <w:rStyle w:val="26"/>
              <w:rFonts w:hint="eastAsia" w:eastAsia="宋体"/>
            </w:rPr>
            <w:t>附件十二、</w:t>
          </w:r>
          <w:r>
            <w:rPr>
              <w:rFonts w:asciiTheme="minorHAnsi" w:hAnsiTheme="minorHAnsi"/>
              <w:iCs w:val="0"/>
              <w:color w:val="auto"/>
              <w:kern w:val="2"/>
              <w:sz w:val="21"/>
            </w:rPr>
            <w:tab/>
          </w:r>
          <w:r>
            <w:rPr>
              <w:rStyle w:val="26"/>
              <w:rFonts w:hint="eastAsia" w:eastAsia="宋体"/>
            </w:rPr>
            <w:t>项目负责人、技术负责人简历表</w:t>
          </w:r>
          <w:r>
            <w:tab/>
          </w:r>
          <w:r>
            <w:fldChar w:fldCharType="begin"/>
          </w:r>
          <w:r>
            <w:instrText xml:space="preserve"> PAGEREF _Toc495861561 \h </w:instrText>
          </w:r>
          <w:r>
            <w:fldChar w:fldCharType="separate"/>
          </w:r>
          <w:r>
            <w:t>56</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"_Toc495861562" </w:instrText>
          </w:r>
          <w:r>
            <w:fldChar w:fldCharType="separate"/>
          </w:r>
          <w:r>
            <w:rPr>
              <w:rStyle w:val="26"/>
              <w:rFonts w:hint="eastAsia" w:eastAsia="宋体"/>
            </w:rPr>
            <w:t>附件十三、</w:t>
          </w:r>
          <w:r>
            <w:rPr>
              <w:rFonts w:asciiTheme="minorHAnsi" w:hAnsiTheme="minorHAnsi"/>
              <w:iCs w:val="0"/>
              <w:color w:val="auto"/>
              <w:kern w:val="2"/>
              <w:sz w:val="21"/>
            </w:rPr>
            <w:tab/>
          </w:r>
          <w:r>
            <w:rPr>
              <w:rStyle w:val="26"/>
              <w:rFonts w:hint="eastAsia" w:eastAsia="宋体"/>
            </w:rPr>
            <w:t>项目班子成员情况表</w:t>
          </w:r>
          <w:r>
            <w:tab/>
          </w:r>
          <w:r>
            <w:fldChar w:fldCharType="begin"/>
          </w:r>
          <w:r>
            <w:instrText xml:space="preserve"> PAGEREF _Toc495861562 \h </w:instrText>
          </w:r>
          <w:r>
            <w:fldChar w:fldCharType="separate"/>
          </w:r>
          <w:r>
            <w:t>57</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"_Toc495861563" </w:instrText>
          </w:r>
          <w:r>
            <w:fldChar w:fldCharType="separate"/>
          </w:r>
          <w:r>
            <w:rPr>
              <w:rStyle w:val="26"/>
              <w:rFonts w:hint="eastAsia" w:eastAsia="宋体"/>
            </w:rPr>
            <w:t>附件十四、</w:t>
          </w:r>
          <w:r>
            <w:rPr>
              <w:rFonts w:asciiTheme="minorHAnsi" w:hAnsiTheme="minorHAnsi"/>
              <w:iCs w:val="0"/>
              <w:color w:val="auto"/>
              <w:kern w:val="2"/>
              <w:sz w:val="21"/>
            </w:rPr>
            <w:tab/>
          </w:r>
          <w:r>
            <w:rPr>
              <w:rStyle w:val="26"/>
              <w:rFonts w:hint="eastAsia" w:eastAsia="宋体"/>
            </w:rPr>
            <w:t>投标人类似项目业绩表</w:t>
          </w:r>
          <w:r>
            <w:tab/>
          </w:r>
          <w:r>
            <w:fldChar w:fldCharType="begin"/>
          </w:r>
          <w:r>
            <w:instrText xml:space="preserve"> PAGEREF _Toc495861563 \h </w:instrText>
          </w:r>
          <w:r>
            <w:fldChar w:fldCharType="separate"/>
          </w:r>
          <w:r>
            <w:t>58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"_Toc495861564" </w:instrText>
          </w:r>
          <w:r>
            <w:fldChar w:fldCharType="separate"/>
          </w:r>
          <w:r>
            <w:rPr>
              <w:rStyle w:val="26"/>
              <w:rFonts w:hint="eastAsia" w:eastAsia="宋体"/>
            </w:rPr>
            <w:t>附件十五、</w:t>
          </w:r>
          <w:r>
            <w:rPr>
              <w:rFonts w:asciiTheme="minorHAnsi" w:hAnsiTheme="minorHAnsi"/>
              <w:iCs w:val="0"/>
              <w:color w:val="auto"/>
              <w:kern w:val="2"/>
              <w:sz w:val="21"/>
            </w:rPr>
            <w:tab/>
          </w:r>
          <w:r>
            <w:rPr>
              <w:rStyle w:val="26"/>
              <w:rFonts w:hint="eastAsia" w:eastAsia="宋体"/>
            </w:rPr>
            <w:t>符合性审查对照表</w:t>
          </w:r>
          <w:r>
            <w:tab/>
          </w:r>
          <w:r>
            <w:fldChar w:fldCharType="begin"/>
          </w:r>
          <w:r>
            <w:instrText xml:space="preserve"> PAGEREF _Toc495861564 \h </w:instrText>
          </w:r>
          <w:r>
            <w:fldChar w:fldCharType="separate"/>
          </w:r>
          <w:r>
            <w:t>59</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"_Toc495861565" </w:instrText>
          </w:r>
          <w:r>
            <w:fldChar w:fldCharType="separate"/>
          </w:r>
          <w:r>
            <w:rPr>
              <w:rStyle w:val="26"/>
              <w:rFonts w:hint="eastAsia" w:eastAsia="宋体"/>
            </w:rPr>
            <w:t>附件十六、</w:t>
          </w:r>
          <w:r>
            <w:rPr>
              <w:rFonts w:asciiTheme="minorHAnsi" w:hAnsiTheme="minorHAnsi"/>
              <w:iCs w:val="0"/>
              <w:color w:val="auto"/>
              <w:kern w:val="2"/>
              <w:sz w:val="21"/>
            </w:rPr>
            <w:tab/>
          </w:r>
          <w:r>
            <w:rPr>
              <w:rStyle w:val="26"/>
              <w:rFonts w:hint="eastAsia" w:eastAsia="宋体"/>
            </w:rPr>
            <w:t>商务要求响应、偏离说明表</w:t>
          </w:r>
          <w:r>
            <w:tab/>
          </w:r>
          <w:r>
            <w:fldChar w:fldCharType="begin"/>
          </w:r>
          <w:r>
            <w:instrText xml:space="preserve"> PAGEREF _Toc495861565 \h </w:instrText>
          </w:r>
          <w:r>
            <w:fldChar w:fldCharType="separate"/>
          </w:r>
          <w:r>
            <w:t>60</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"_Toc495861566" </w:instrText>
          </w:r>
          <w:r>
            <w:fldChar w:fldCharType="separate"/>
          </w:r>
          <w:r>
            <w:rPr>
              <w:rStyle w:val="26"/>
              <w:rFonts w:hint="eastAsia" w:eastAsia="宋体"/>
            </w:rPr>
            <w:t>附件十七、</w:t>
          </w:r>
          <w:r>
            <w:rPr>
              <w:rFonts w:asciiTheme="minorHAnsi" w:hAnsiTheme="minorHAnsi"/>
              <w:iCs w:val="0"/>
              <w:color w:val="auto"/>
              <w:kern w:val="2"/>
              <w:sz w:val="21"/>
            </w:rPr>
            <w:tab/>
          </w:r>
          <w:r>
            <w:rPr>
              <w:rStyle w:val="26"/>
              <w:rFonts w:hint="eastAsia" w:eastAsia="宋体"/>
            </w:rPr>
            <w:t>商务要求“★”号条款响应、偏离说明表</w:t>
          </w:r>
          <w:r>
            <w:tab/>
          </w:r>
          <w:r>
            <w:fldChar w:fldCharType="begin"/>
          </w:r>
          <w:r>
            <w:instrText xml:space="preserve"> PAGEREF _Toc495861566 \h </w:instrText>
          </w:r>
          <w:r>
            <w:fldChar w:fldCharType="separate"/>
          </w:r>
          <w:r>
            <w:t>61</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"_Toc495861567" </w:instrText>
          </w:r>
          <w:r>
            <w:fldChar w:fldCharType="separate"/>
          </w:r>
          <w:r>
            <w:rPr>
              <w:rStyle w:val="26"/>
              <w:rFonts w:hint="eastAsia" w:eastAsia="宋体"/>
            </w:rPr>
            <w:t>附件十八、</w:t>
          </w:r>
          <w:r>
            <w:rPr>
              <w:rFonts w:asciiTheme="minorHAnsi" w:hAnsiTheme="minorHAnsi"/>
              <w:iCs w:val="0"/>
              <w:color w:val="auto"/>
              <w:kern w:val="2"/>
              <w:sz w:val="21"/>
            </w:rPr>
            <w:tab/>
          </w:r>
          <w:r>
            <w:rPr>
              <w:rStyle w:val="26"/>
              <w:rFonts w:hint="eastAsia" w:eastAsia="宋体"/>
            </w:rPr>
            <w:t>商务评议对照表</w:t>
          </w:r>
          <w:r>
            <w:tab/>
          </w:r>
          <w:r>
            <w:fldChar w:fldCharType="begin"/>
          </w:r>
          <w:r>
            <w:instrText xml:space="preserve"> PAGEREF _Toc495861567 \h </w:instrText>
          </w:r>
          <w:r>
            <w:fldChar w:fldCharType="separate"/>
          </w:r>
          <w:r>
            <w:t>62</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"_Toc495861568" </w:instrText>
          </w:r>
          <w:r>
            <w:fldChar w:fldCharType="separate"/>
          </w:r>
          <w:r>
            <w:rPr>
              <w:rStyle w:val="26"/>
              <w:rFonts w:hint="eastAsia" w:eastAsia="宋体"/>
            </w:rPr>
            <w:t>附件十九、</w:t>
          </w:r>
          <w:r>
            <w:rPr>
              <w:rFonts w:asciiTheme="minorHAnsi" w:hAnsiTheme="minorHAnsi"/>
              <w:iCs w:val="0"/>
              <w:color w:val="auto"/>
              <w:kern w:val="2"/>
              <w:sz w:val="21"/>
            </w:rPr>
            <w:tab/>
          </w:r>
          <w:r>
            <w:rPr>
              <w:rStyle w:val="26"/>
              <w:rFonts w:hint="eastAsia" w:eastAsia="宋体"/>
            </w:rPr>
            <w:t>技术、服务要求响应、偏离说明表</w:t>
          </w:r>
          <w:r>
            <w:tab/>
          </w:r>
          <w:r>
            <w:fldChar w:fldCharType="begin"/>
          </w:r>
          <w:r>
            <w:instrText xml:space="preserve"> PAGEREF _Toc495861568 \h </w:instrText>
          </w:r>
          <w:r>
            <w:fldChar w:fldCharType="separate"/>
          </w:r>
          <w:r>
            <w:t>63</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"_Toc495861569" </w:instrText>
          </w:r>
          <w:r>
            <w:fldChar w:fldCharType="separate"/>
          </w:r>
          <w:r>
            <w:rPr>
              <w:rStyle w:val="26"/>
              <w:rFonts w:hint="eastAsia" w:eastAsia="宋体"/>
            </w:rPr>
            <w:t>附件二十、</w:t>
          </w:r>
          <w:r>
            <w:rPr>
              <w:rFonts w:asciiTheme="minorHAnsi" w:hAnsiTheme="minorHAnsi"/>
              <w:iCs w:val="0"/>
              <w:color w:val="auto"/>
              <w:kern w:val="2"/>
              <w:sz w:val="21"/>
            </w:rPr>
            <w:tab/>
          </w:r>
          <w:r>
            <w:rPr>
              <w:rStyle w:val="26"/>
              <w:rFonts w:hint="eastAsia" w:eastAsia="宋体"/>
            </w:rPr>
            <w:t>技术、服务要求“★”号条款响应、偏离说明表</w:t>
          </w:r>
          <w:r>
            <w:tab/>
          </w:r>
          <w:r>
            <w:fldChar w:fldCharType="begin"/>
          </w:r>
          <w:r>
            <w:instrText xml:space="preserve"> PAGEREF _Toc495861569 \h </w:instrText>
          </w:r>
          <w:r>
            <w:fldChar w:fldCharType="separate"/>
          </w:r>
          <w:r>
            <w:t>64</w:t>
          </w:r>
          <w:r>
            <w:fldChar w:fldCharType="end"/>
          </w:r>
          <w:r>
            <w:fldChar w:fldCharType="end"/>
          </w:r>
        </w:p>
        <w:p>
          <w:pPr>
            <w:pStyle w:val="17"/>
            <w:tabs>
              <w:tab w:val="left" w:pos="1870"/>
            </w:tabs>
            <w:rPr>
              <w:rFonts w:asciiTheme="minorHAnsi" w:hAnsiTheme="minorHAnsi"/>
              <w:iCs w:val="0"/>
              <w:color w:val="auto"/>
              <w:kern w:val="2"/>
              <w:sz w:val="21"/>
            </w:rPr>
          </w:pPr>
          <w:r>
            <w:fldChar w:fldCharType="begin"/>
          </w:r>
          <w:r>
            <w:instrText xml:space="preserve"> HYPERLINK \l "_Toc495861570" </w:instrText>
          </w:r>
          <w:r>
            <w:fldChar w:fldCharType="separate"/>
          </w:r>
          <w:r>
            <w:rPr>
              <w:rStyle w:val="26"/>
              <w:rFonts w:hint="eastAsia" w:eastAsia="宋体"/>
            </w:rPr>
            <w:t>附件二十一、</w:t>
          </w:r>
          <w:r>
            <w:rPr>
              <w:rFonts w:asciiTheme="minorHAnsi" w:hAnsiTheme="minorHAnsi"/>
              <w:iCs w:val="0"/>
              <w:color w:val="auto"/>
              <w:kern w:val="2"/>
              <w:sz w:val="21"/>
            </w:rPr>
            <w:tab/>
          </w:r>
          <w:r>
            <w:rPr>
              <w:rStyle w:val="26"/>
              <w:rFonts w:hint="eastAsia" w:eastAsia="宋体"/>
            </w:rPr>
            <w:t>技术、服务评议对照表</w:t>
          </w:r>
          <w:r>
            <w:tab/>
          </w:r>
          <w:r>
            <w:fldChar w:fldCharType="begin"/>
          </w:r>
          <w:r>
            <w:instrText xml:space="preserve"> PAGEREF _Toc495861570 \h </w:instrText>
          </w:r>
          <w:r>
            <w:fldChar w:fldCharType="separate"/>
          </w:r>
          <w:r>
            <w:t>65</w:t>
          </w:r>
          <w:r>
            <w:fldChar w:fldCharType="end"/>
          </w:r>
          <w:r>
            <w:fldChar w:fldCharType="end"/>
          </w:r>
        </w:p>
        <w:p>
          <w:pPr>
            <w:pStyle w:val="15"/>
            <w:tabs>
              <w:tab w:val="left" w:pos="1260"/>
              <w:tab w:val="right" w:leader="dot" w:pos="9514"/>
            </w:tabs>
          </w:pPr>
          <w:r>
            <w:fldChar w:fldCharType="end"/>
          </w:r>
          <w:r>
            <w:rPr>
              <w:b w:val="0"/>
              <w:bCs/>
              <w:lang w:val="zh-CN"/>
            </w:rPr>
            <w:tab/>
          </w:r>
        </w:p>
      </w:sdtContent>
    </w:sdt>
    <w:p>
      <w:r>
        <w:br w:type="page"/>
      </w:r>
    </w:p>
    <w:p>
      <w:pPr>
        <w:pStyle w:val="3"/>
        <w:numPr>
          <w:ilvl w:val="0"/>
          <w:numId w:val="1"/>
        </w:numPr>
        <w:spacing w:before="240" w:after="120"/>
        <w:ind w:left="883" w:hanging="883" w:hangingChars="200"/>
        <w:jc w:val="center"/>
        <w:rPr>
          <w:rFonts w:ascii="黑体" w:hAnsi="黑体" w:eastAsia="黑体"/>
        </w:rPr>
      </w:pPr>
      <w:bookmarkStart w:id="0" w:name="_Toc495861517"/>
      <w:r>
        <w:rPr>
          <w:rFonts w:hint="eastAsia" w:ascii="黑体" w:hAnsi="黑体" w:eastAsia="黑体"/>
        </w:rPr>
        <w:t>投标邀请书</w:t>
      </w:r>
      <w:bookmarkEnd w:id="0"/>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trPr>
        <w:tc>
          <w:tcPr>
            <w:tcW w:w="9460" w:type="dxa"/>
          </w:tcPr>
          <w:p>
            <w:pPr>
              <w:pStyle w:val="18"/>
              <w:widowControl/>
              <w:spacing w:beforeAutospacing="0" w:afterAutospacing="0" w:line="540" w:lineRule="atLeast"/>
              <w:ind w:right="330"/>
              <w:rPr>
                <w:rFonts w:ascii="微软雅黑" w:hAnsi="微软雅黑" w:eastAsia="微软雅黑" w:cs="微软雅黑"/>
                <w:color w:val="333333"/>
                <w:szCs w:val="24"/>
                <w:shd w:val="clear" w:color="auto" w:fill="FFFFFF"/>
              </w:rPr>
            </w:pPr>
            <w:r>
              <w:rPr>
                <w:rFonts w:hint="eastAsia" w:ascii="微软雅黑" w:hAnsi="微软雅黑" w:eastAsia="微软雅黑" w:cs="微软雅黑"/>
                <w:color w:val="333333"/>
                <w:szCs w:val="24"/>
                <w:shd w:val="clear" w:color="auto" w:fill="FFFFFF"/>
              </w:rPr>
              <w:t>【项目概况】</w:t>
            </w:r>
          </w:p>
          <w:p>
            <w:pPr>
              <w:pStyle w:val="18"/>
              <w:widowControl/>
              <w:spacing w:beforeAutospacing="0" w:afterAutospacing="0" w:line="540" w:lineRule="atLeast"/>
              <w:ind w:right="330" w:firstLine="480" w:firstLineChars="200"/>
              <w:rPr>
                <w:rFonts w:ascii="微软雅黑" w:hAnsi="微软雅黑" w:eastAsia="微软雅黑" w:cs="微软雅黑"/>
                <w:b/>
                <w:bCs/>
                <w:color w:val="333333"/>
                <w:sz w:val="27"/>
                <w:szCs w:val="27"/>
                <w:shd w:val="clear" w:color="auto" w:fill="FFFFFF"/>
              </w:rPr>
            </w:pPr>
            <w:r>
              <w:rPr>
                <w:rFonts w:hint="eastAsia" w:ascii="微软雅黑" w:hAnsi="微软雅黑" w:eastAsia="微软雅黑" w:cs="微软雅黑"/>
                <w:color w:val="333333"/>
                <w:szCs w:val="24"/>
                <w:u w:val="single"/>
                <w:shd w:val="clear" w:color="auto" w:fill="FFFFFF"/>
                <w:lang w:val="hr-HR"/>
              </w:rPr>
              <w:t>阳新县全民所有自然资源资产清查试点工作项目</w:t>
            </w:r>
            <w:r>
              <w:rPr>
                <w:rFonts w:hint="eastAsia" w:ascii="微软雅黑" w:hAnsi="微软雅黑" w:eastAsia="微软雅黑" w:cs="微软雅黑"/>
                <w:color w:val="333333"/>
                <w:szCs w:val="24"/>
                <w:shd w:val="clear" w:color="auto" w:fill="FFFFFF"/>
              </w:rPr>
              <w:t>招标项目的潜在投标人应在：</w:t>
            </w:r>
            <w:r>
              <w:rPr>
                <w:rFonts w:hint="eastAsia" w:ascii="微软雅黑" w:hAnsi="微软雅黑" w:eastAsia="微软雅黑" w:cs="微软雅黑"/>
                <w:color w:val="333333"/>
                <w:szCs w:val="24"/>
                <w:u w:val="single"/>
                <w:shd w:val="clear" w:color="auto" w:fill="FFFFFF"/>
              </w:rPr>
              <w:t>可在 “湖北省政府采购网”、“黄石公共资源交易信息网”及“阳新县人民政府网”点击本公告中的链接下载</w:t>
            </w:r>
            <w:r>
              <w:rPr>
                <w:rFonts w:hint="eastAsia" w:ascii="微软雅黑" w:hAnsi="微软雅黑" w:eastAsia="微软雅黑" w:cs="微软雅黑"/>
                <w:color w:val="333333"/>
                <w:szCs w:val="24"/>
                <w:shd w:val="clear" w:color="auto" w:fill="FFFFFF"/>
              </w:rPr>
              <w:t>获取招标文件，并于</w:t>
            </w:r>
            <w:r>
              <w:rPr>
                <w:rFonts w:hint="eastAsia" w:ascii="微软雅黑" w:hAnsi="微软雅黑" w:eastAsia="微软雅黑" w:cs="微软雅黑"/>
                <w:color w:val="333333"/>
                <w:u w:val="single"/>
                <w:shd w:val="clear" w:color="auto" w:fill="FFFFFF"/>
              </w:rPr>
              <w:t>2021年</w:t>
            </w:r>
            <w:r>
              <w:rPr>
                <w:rFonts w:hint="eastAsia" w:ascii="微软雅黑" w:hAnsi="微软雅黑" w:eastAsia="微软雅黑" w:cs="微软雅黑"/>
                <w:color w:val="333333"/>
                <w:u w:val="single"/>
                <w:shd w:val="clear" w:color="auto" w:fill="FFFFFF"/>
                <w:lang w:val="en-US" w:eastAsia="zh-CN"/>
              </w:rPr>
              <w:t>10</w:t>
            </w:r>
            <w:r>
              <w:rPr>
                <w:rFonts w:hint="eastAsia" w:ascii="微软雅黑" w:hAnsi="微软雅黑" w:eastAsia="微软雅黑" w:cs="微软雅黑"/>
                <w:color w:val="333333"/>
                <w:u w:val="single"/>
                <w:shd w:val="clear" w:color="auto" w:fill="FFFFFF"/>
              </w:rPr>
              <w:t xml:space="preserve"> 月 </w:t>
            </w:r>
            <w:r>
              <w:rPr>
                <w:rFonts w:hint="eastAsia" w:ascii="微软雅黑" w:hAnsi="微软雅黑" w:eastAsia="微软雅黑" w:cs="微软雅黑"/>
                <w:color w:val="333333"/>
                <w:u w:val="single"/>
                <w:shd w:val="clear" w:color="auto" w:fill="FFFFFF"/>
                <w:lang w:val="en-US" w:eastAsia="zh-CN"/>
              </w:rPr>
              <w:t>14</w:t>
            </w:r>
            <w:r>
              <w:rPr>
                <w:rFonts w:hint="eastAsia" w:ascii="微软雅黑" w:hAnsi="微软雅黑" w:eastAsia="微软雅黑" w:cs="微软雅黑"/>
                <w:color w:val="333333"/>
                <w:u w:val="single"/>
                <w:shd w:val="clear" w:color="auto" w:fill="FFFFFF"/>
              </w:rPr>
              <w:t xml:space="preserve"> 日 </w:t>
            </w:r>
            <w:r>
              <w:rPr>
                <w:rFonts w:hint="eastAsia" w:ascii="微软雅黑" w:hAnsi="微软雅黑" w:eastAsia="微软雅黑" w:cs="微软雅黑"/>
                <w:color w:val="333333"/>
                <w:u w:val="single"/>
                <w:shd w:val="clear" w:color="auto" w:fill="FFFFFF"/>
                <w:lang w:val="en-US" w:eastAsia="zh-CN"/>
              </w:rPr>
              <w:t>9</w:t>
            </w:r>
            <w:r>
              <w:rPr>
                <w:rFonts w:hint="eastAsia" w:ascii="微软雅黑" w:hAnsi="微软雅黑" w:eastAsia="微软雅黑" w:cs="微软雅黑"/>
                <w:color w:val="333333"/>
                <w:u w:val="single"/>
                <w:shd w:val="clear" w:color="auto" w:fill="FFFFFF"/>
              </w:rPr>
              <w:t xml:space="preserve"> 点 </w:t>
            </w:r>
            <w:r>
              <w:rPr>
                <w:rFonts w:hint="eastAsia" w:ascii="微软雅黑" w:hAnsi="微软雅黑" w:eastAsia="微软雅黑" w:cs="微软雅黑"/>
                <w:color w:val="333333"/>
                <w:u w:val="single"/>
                <w:shd w:val="clear" w:color="auto" w:fill="FFFFFF"/>
                <w:lang w:val="en-US" w:eastAsia="zh-CN"/>
              </w:rPr>
              <w:t>00</w:t>
            </w:r>
            <w:r>
              <w:rPr>
                <w:rFonts w:hint="eastAsia" w:ascii="微软雅黑" w:hAnsi="微软雅黑" w:eastAsia="微软雅黑" w:cs="微软雅黑"/>
                <w:color w:val="333333"/>
                <w:u w:val="single"/>
                <w:shd w:val="clear" w:color="auto" w:fill="FFFFFF"/>
              </w:rPr>
              <w:t xml:space="preserve"> 分</w:t>
            </w:r>
            <w:r>
              <w:rPr>
                <w:rFonts w:hint="eastAsia" w:ascii="微软雅黑" w:hAnsi="微软雅黑" w:eastAsia="微软雅黑" w:cs="微软雅黑"/>
                <w:color w:val="333333"/>
                <w:szCs w:val="24"/>
                <w:shd w:val="clear" w:color="auto" w:fill="FFFFFF"/>
              </w:rPr>
              <w:t>（北京时间）前递交投标文件。</w:t>
            </w:r>
          </w:p>
        </w:tc>
      </w:tr>
    </w:tbl>
    <w:p>
      <w:pPr>
        <w:pStyle w:val="18"/>
        <w:widowControl/>
        <w:spacing w:beforeAutospacing="0" w:afterAutospacing="0" w:line="540" w:lineRule="atLeast"/>
        <w:ind w:left="330" w:right="330"/>
        <w:rPr>
          <w:rFonts w:ascii="微软雅黑" w:hAnsi="微软雅黑" w:eastAsia="微软雅黑" w:cs="微软雅黑"/>
          <w:b/>
          <w:bCs/>
          <w:sz w:val="27"/>
          <w:szCs w:val="27"/>
        </w:rPr>
      </w:pPr>
      <w:r>
        <w:rPr>
          <w:rFonts w:hint="eastAsia" w:ascii="微软雅黑" w:hAnsi="微软雅黑" w:eastAsia="微软雅黑" w:cs="微软雅黑"/>
          <w:b/>
          <w:bCs/>
          <w:color w:val="333333"/>
          <w:sz w:val="27"/>
          <w:szCs w:val="27"/>
          <w:shd w:val="clear" w:color="auto" w:fill="FFFFFF"/>
        </w:rPr>
        <w:t>一、项目基本情况</w:t>
      </w:r>
    </w:p>
    <w:p>
      <w:pPr>
        <w:pStyle w:val="18"/>
        <w:widowControl/>
        <w:spacing w:beforeAutospacing="0" w:afterAutospacing="0" w:line="480" w:lineRule="atLeast"/>
        <w:ind w:left="330" w:right="330"/>
        <w:jc w:val="both"/>
        <w:rPr>
          <w:rFonts w:hint="default" w:ascii="微软雅黑" w:hAnsi="微软雅黑" w:eastAsia="微软雅黑" w:cs="微软雅黑"/>
          <w:u w:val="single"/>
          <w:lang w:val="en-US" w:eastAsia="zh-CN"/>
        </w:rPr>
      </w:pPr>
      <w:r>
        <w:rPr>
          <w:rFonts w:hint="eastAsia" w:ascii="微软雅黑" w:hAnsi="微软雅黑" w:eastAsia="微软雅黑" w:cs="微软雅黑"/>
          <w:color w:val="333333"/>
          <w:shd w:val="clear" w:color="auto" w:fill="FFFFFF"/>
        </w:rPr>
        <w:t>1、项目编号：</w:t>
      </w:r>
      <w:r>
        <w:rPr>
          <w:rFonts w:hint="eastAsia" w:ascii="微软雅黑" w:hAnsi="微软雅黑" w:eastAsia="微软雅黑" w:cs="微软雅黑"/>
          <w:color w:val="444444"/>
          <w:u w:val="single"/>
          <w:shd w:val="clear" w:color="auto" w:fill="FFFFFF"/>
        </w:rPr>
        <w:t>131-2021CG-</w:t>
      </w:r>
      <w:r>
        <w:rPr>
          <w:rFonts w:hint="eastAsia" w:ascii="微软雅黑" w:hAnsi="微软雅黑" w:eastAsia="微软雅黑" w:cs="微软雅黑"/>
          <w:color w:val="444444"/>
          <w:u w:val="single"/>
          <w:shd w:val="clear" w:color="auto" w:fill="FFFFFF"/>
          <w:lang w:val="en-US" w:eastAsia="zh-CN"/>
        </w:rPr>
        <w:t>183</w:t>
      </w:r>
    </w:p>
    <w:p>
      <w:pPr>
        <w:pStyle w:val="18"/>
        <w:widowControl/>
        <w:spacing w:beforeAutospacing="0" w:afterAutospacing="0" w:line="480" w:lineRule="atLeast"/>
        <w:ind w:left="330" w:right="330"/>
        <w:jc w:val="both"/>
        <w:rPr>
          <w:rFonts w:ascii="微软雅黑" w:hAnsi="微软雅黑" w:eastAsia="微软雅黑" w:cs="微软雅黑"/>
          <w:u w:val="single"/>
        </w:rPr>
      </w:pPr>
      <w:r>
        <w:rPr>
          <w:rFonts w:hint="eastAsia" w:ascii="微软雅黑" w:hAnsi="微软雅黑" w:eastAsia="微软雅黑" w:cs="微软雅黑"/>
          <w:color w:val="333333"/>
          <w:shd w:val="clear" w:color="auto" w:fill="FFFFFF"/>
        </w:rPr>
        <w:t>2、采购计划备案号：</w:t>
      </w:r>
      <w:r>
        <w:rPr>
          <w:rFonts w:hint="eastAsia" w:ascii="微软雅黑" w:hAnsi="微软雅黑" w:eastAsia="微软雅黑" w:cs="微软雅黑"/>
          <w:color w:val="333333"/>
          <w:u w:val="single"/>
          <w:shd w:val="clear" w:color="auto" w:fill="FFFFFF"/>
        </w:rPr>
        <w:t xml:space="preserve"> 阳财采计备[2021]A136号</w:t>
      </w:r>
    </w:p>
    <w:p>
      <w:pPr>
        <w:pStyle w:val="18"/>
        <w:widowControl/>
        <w:spacing w:beforeAutospacing="0" w:afterAutospacing="0" w:line="480" w:lineRule="atLeast"/>
        <w:ind w:left="330" w:right="330"/>
        <w:jc w:val="both"/>
        <w:rPr>
          <w:rFonts w:ascii="微软雅黑" w:hAnsi="微软雅黑" w:eastAsia="微软雅黑" w:cs="微软雅黑"/>
          <w:color w:val="333333"/>
          <w:shd w:val="clear" w:color="auto" w:fill="FFFFFF"/>
          <w:lang w:val="hr-HR"/>
        </w:rPr>
      </w:pPr>
      <w:r>
        <w:rPr>
          <w:rFonts w:hint="eastAsia" w:ascii="微软雅黑" w:hAnsi="微软雅黑" w:eastAsia="微软雅黑" w:cs="微软雅黑"/>
          <w:color w:val="333333"/>
          <w:shd w:val="clear" w:color="auto" w:fill="FFFFFF"/>
        </w:rPr>
        <w:t>3、项目名称：</w:t>
      </w:r>
      <w:r>
        <w:rPr>
          <w:rFonts w:hint="eastAsia" w:ascii="微软雅黑" w:hAnsi="微软雅黑" w:eastAsia="微软雅黑" w:cs="微软雅黑"/>
          <w:color w:val="333333"/>
          <w:u w:val="single"/>
          <w:shd w:val="clear" w:color="auto" w:fill="FFFFFF"/>
          <w:lang w:val="hr-HR"/>
        </w:rPr>
        <w:t>阳新县全民所有自然资源资产清查试点工作项目</w:t>
      </w:r>
    </w:p>
    <w:p>
      <w:pPr>
        <w:pStyle w:val="18"/>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4、采购方式：</w:t>
      </w:r>
      <w:r>
        <w:rPr>
          <w:rFonts w:hint="eastAsia" w:ascii="微软雅黑" w:hAnsi="微软雅黑" w:eastAsia="微软雅黑" w:cs="微软雅黑"/>
          <w:color w:val="333333"/>
          <w:u w:val="single"/>
          <w:shd w:val="clear" w:color="auto" w:fill="FFFFFF"/>
        </w:rPr>
        <w:t>公开招标</w:t>
      </w:r>
    </w:p>
    <w:p>
      <w:pPr>
        <w:pStyle w:val="18"/>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5、预算金额：</w:t>
      </w:r>
      <w:r>
        <w:rPr>
          <w:rFonts w:hint="eastAsia" w:ascii="微软雅黑" w:hAnsi="微软雅黑" w:eastAsia="微软雅黑" w:cs="微软雅黑"/>
          <w:color w:val="333333"/>
          <w:u w:val="single"/>
          <w:shd w:val="clear" w:color="auto" w:fill="FFFFFF"/>
        </w:rPr>
        <w:t>102</w:t>
      </w:r>
      <w:r>
        <w:rPr>
          <w:rFonts w:hint="eastAsia" w:ascii="微软雅黑" w:hAnsi="微软雅黑" w:eastAsia="微软雅黑" w:cs="微软雅黑"/>
          <w:color w:val="333333"/>
          <w:shd w:val="clear" w:color="auto" w:fill="FFFFFF"/>
        </w:rPr>
        <w:t>(万元)</w:t>
      </w:r>
    </w:p>
    <w:p>
      <w:pPr>
        <w:pStyle w:val="18"/>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6、最高限价：</w:t>
      </w:r>
      <w:r>
        <w:rPr>
          <w:rFonts w:hint="eastAsia" w:ascii="微软雅黑" w:hAnsi="微软雅黑" w:eastAsia="微软雅黑" w:cs="微软雅黑"/>
          <w:color w:val="333333"/>
          <w:u w:val="single"/>
          <w:shd w:val="clear" w:color="auto" w:fill="FFFFFF"/>
        </w:rPr>
        <w:t>102</w:t>
      </w:r>
      <w:r>
        <w:rPr>
          <w:rFonts w:hint="eastAsia" w:ascii="微软雅黑" w:hAnsi="微软雅黑" w:eastAsia="微软雅黑" w:cs="微软雅黑"/>
          <w:color w:val="333333"/>
          <w:shd w:val="clear" w:color="auto" w:fill="FFFFFF"/>
        </w:rPr>
        <w:t>(万元)</w:t>
      </w:r>
    </w:p>
    <w:p>
      <w:pPr>
        <w:pStyle w:val="18"/>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7、采购需求：</w:t>
      </w:r>
    </w:p>
    <w:p>
      <w:pPr>
        <w:pStyle w:val="18"/>
        <w:widowControl/>
        <w:spacing w:beforeAutospacing="0" w:afterAutospacing="0" w:line="480" w:lineRule="atLeast"/>
        <w:ind w:left="330" w:right="330"/>
        <w:jc w:val="both"/>
        <w:rPr>
          <w:rFonts w:ascii="微软雅黑" w:hAnsi="微软雅黑" w:eastAsia="微软雅黑" w:cs="微软雅黑"/>
          <w:color w:val="333333"/>
          <w:u w:val="single"/>
          <w:shd w:val="clear" w:color="auto" w:fill="FFFFFF"/>
        </w:rPr>
      </w:pPr>
      <w:r>
        <w:rPr>
          <w:rFonts w:hint="eastAsia" w:ascii="微软雅黑" w:hAnsi="微软雅黑" w:eastAsia="微软雅黑" w:cs="微软雅黑"/>
          <w:color w:val="333333"/>
          <w:u w:val="single"/>
          <w:shd w:val="clear" w:color="auto" w:fill="FFFFFF"/>
        </w:rPr>
        <w:t>详见本项目招标文件第三章采购需求</w:t>
      </w:r>
    </w:p>
    <w:p>
      <w:pPr>
        <w:pStyle w:val="18"/>
        <w:widowControl/>
        <w:spacing w:beforeAutospacing="0" w:afterAutospacing="0" w:line="480" w:lineRule="atLeast"/>
        <w:ind w:left="330" w:right="330"/>
        <w:jc w:val="both"/>
        <w:rPr>
          <w:rFonts w:hint="default" w:ascii="微软雅黑" w:hAnsi="微软雅黑" w:eastAsia="微软雅黑" w:cs="微软雅黑"/>
          <w:lang w:val="en-US" w:eastAsia="zh-CN"/>
        </w:rPr>
      </w:pPr>
      <w:r>
        <w:rPr>
          <w:rFonts w:hint="eastAsia" w:ascii="微软雅黑" w:hAnsi="微软雅黑" w:eastAsia="微软雅黑" w:cs="微软雅黑"/>
          <w:color w:val="333333"/>
          <w:shd w:val="clear" w:color="auto" w:fill="FFFFFF"/>
        </w:rPr>
        <w:t>8、合同履行期限：</w:t>
      </w:r>
      <w:r>
        <w:rPr>
          <w:rFonts w:hint="eastAsia" w:ascii="微软雅黑" w:hAnsi="微软雅黑" w:eastAsia="微软雅黑" w:cs="微软雅黑"/>
          <w:color w:val="333333"/>
          <w:u w:val="single"/>
          <w:shd w:val="clear" w:color="auto" w:fill="FFFFFF"/>
          <w:lang w:val="en-US" w:eastAsia="zh-CN"/>
        </w:rPr>
        <w:t>9个月</w:t>
      </w:r>
    </w:p>
    <w:p>
      <w:pPr>
        <w:pStyle w:val="18"/>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9、本项目（是/否）接受联合体投标：</w:t>
      </w:r>
      <w:r>
        <w:rPr>
          <w:rFonts w:hint="eastAsia" w:ascii="微软雅黑" w:hAnsi="微软雅黑" w:eastAsia="微软雅黑" w:cs="微软雅黑"/>
          <w:color w:val="333333"/>
          <w:u w:val="single"/>
          <w:shd w:val="clear" w:color="auto" w:fill="FFFFFF"/>
        </w:rPr>
        <w:t>否</w:t>
      </w:r>
    </w:p>
    <w:p>
      <w:pPr>
        <w:pStyle w:val="18"/>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10、是否可采购进口产品：</w:t>
      </w:r>
      <w:r>
        <w:rPr>
          <w:rFonts w:hint="eastAsia" w:ascii="微软雅黑" w:hAnsi="微软雅黑" w:eastAsia="微软雅黑" w:cs="微软雅黑"/>
          <w:color w:val="333333"/>
          <w:u w:val="single"/>
          <w:shd w:val="clear" w:color="auto" w:fill="FFFFFF"/>
        </w:rPr>
        <w:t>否</w:t>
      </w:r>
    </w:p>
    <w:p>
      <w:pPr>
        <w:pStyle w:val="18"/>
        <w:widowControl/>
        <w:spacing w:beforeAutospacing="0" w:after="30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11、本项目（是/否）专门面向中小微企业：</w:t>
      </w:r>
      <w:r>
        <w:rPr>
          <w:rFonts w:hint="eastAsia" w:ascii="微软雅黑" w:hAnsi="微软雅黑" w:eastAsia="微软雅黑" w:cs="微软雅黑"/>
          <w:color w:val="333333"/>
          <w:u w:val="single"/>
          <w:shd w:val="clear" w:color="auto" w:fill="FFFFFF"/>
        </w:rPr>
        <w:t>是</w:t>
      </w:r>
    </w:p>
    <w:p>
      <w:pPr>
        <w:pStyle w:val="18"/>
        <w:widowControl/>
        <w:spacing w:beforeAutospacing="0" w:afterAutospacing="0" w:line="540" w:lineRule="atLeast"/>
        <w:ind w:left="330" w:right="330"/>
        <w:rPr>
          <w:rFonts w:ascii="微软雅黑" w:hAnsi="微软雅黑" w:eastAsia="微软雅黑" w:cs="微软雅黑"/>
          <w:b/>
          <w:bCs/>
          <w:sz w:val="27"/>
          <w:szCs w:val="27"/>
        </w:rPr>
      </w:pPr>
      <w:r>
        <w:rPr>
          <w:rFonts w:hint="eastAsia" w:ascii="微软雅黑" w:hAnsi="微软雅黑" w:eastAsia="微软雅黑" w:cs="微软雅黑"/>
          <w:b/>
          <w:bCs/>
          <w:color w:val="333333"/>
          <w:sz w:val="27"/>
          <w:szCs w:val="27"/>
          <w:shd w:val="clear" w:color="auto" w:fill="FFFFFF"/>
        </w:rPr>
        <w:t>二、申请人的资格要求</w:t>
      </w:r>
    </w:p>
    <w:p>
      <w:pPr>
        <w:pStyle w:val="18"/>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1、满足《中华人民共和国政府采购法》第二十二条规定，即：</w:t>
      </w:r>
    </w:p>
    <w:p>
      <w:pPr>
        <w:pStyle w:val="18"/>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（1）具有独立承担民事责任的能力；</w:t>
      </w:r>
    </w:p>
    <w:p>
      <w:pPr>
        <w:pStyle w:val="18"/>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（2）具有良好的商业信誉和健全的财务会计制度；</w:t>
      </w:r>
    </w:p>
    <w:p>
      <w:pPr>
        <w:pStyle w:val="18"/>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（3）具有履行合同所必需的设备和专业技术能力；</w:t>
      </w:r>
    </w:p>
    <w:p>
      <w:pPr>
        <w:pStyle w:val="18"/>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（4）有依法缴纳税收和社会保障资金的良好记录；</w:t>
      </w:r>
    </w:p>
    <w:p>
      <w:pPr>
        <w:pStyle w:val="18"/>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（5）参加政府采购活动前三年内，在经营活动中没有重大违法记录；</w:t>
      </w:r>
    </w:p>
    <w:p>
      <w:pPr>
        <w:pStyle w:val="18"/>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（6）法律、行政法规规定的其他条件。</w:t>
      </w:r>
    </w:p>
    <w:p>
      <w:pPr>
        <w:pStyle w:val="18"/>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2、单位负责人为同一人或者存在直接控股、管理关系的不同投标人，不得参加本项目同一合同项下的政府采购活动。</w:t>
      </w:r>
    </w:p>
    <w:p>
      <w:pPr>
        <w:pStyle w:val="18"/>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3、为本采购项目提供整体设计、规范编制或者项目管理、监理、检测等服务的，不得再参加本项目的其他招标采购活动。</w:t>
      </w:r>
    </w:p>
    <w:p>
      <w:pPr>
        <w:pStyle w:val="18"/>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4、未被列入失信被执行人、重大税收违法案件当事人名单，未被列入政府采购严重违法失信行为记录名单。</w:t>
      </w:r>
    </w:p>
    <w:p>
      <w:pPr>
        <w:pStyle w:val="18"/>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5、落实政府采购政策需满足的资格要求：</w:t>
      </w:r>
    </w:p>
    <w:p>
      <w:pPr>
        <w:pStyle w:val="18"/>
        <w:widowControl/>
        <w:spacing w:beforeAutospacing="0" w:afterAutospacing="0" w:line="480" w:lineRule="atLeast"/>
        <w:ind w:left="330" w:right="330"/>
        <w:jc w:val="both"/>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u w:val="single"/>
          <w:shd w:val="clear" w:color="auto" w:fill="FFFFFF"/>
        </w:rPr>
        <w:t>落实政府采购强制、优先采购节能产品政策；政府采购优先采购环保产品政策；政府采购促进中小企业发展（监狱企业、残疾人福利性单位视同小微企业）等政策。</w:t>
      </w:r>
    </w:p>
    <w:p>
      <w:pPr>
        <w:pStyle w:val="18"/>
        <w:widowControl/>
        <w:spacing w:beforeAutospacing="0" w:afterAutospacing="0" w:line="480" w:lineRule="atLeast"/>
        <w:ind w:left="330" w:right="330"/>
        <w:jc w:val="both"/>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6、本项目的特定资格要求：</w:t>
      </w:r>
    </w:p>
    <w:p>
      <w:pPr>
        <w:pStyle w:val="18"/>
        <w:widowControl/>
        <w:spacing w:beforeAutospacing="0" w:afterAutospacing="0" w:line="480" w:lineRule="atLeast"/>
        <w:ind w:left="330" w:right="330"/>
        <w:jc w:val="both"/>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w:t>
      </w:r>
      <w:r>
        <w:rPr>
          <w:rFonts w:hint="eastAsia" w:ascii="微软雅黑" w:hAnsi="微软雅黑" w:eastAsia="微软雅黑" w:cs="微软雅黑"/>
          <w:color w:val="333333"/>
          <w:shd w:val="clear" w:color="auto" w:fill="FFFFFF"/>
          <w:lang w:val="en-US" w:eastAsia="zh-CN"/>
        </w:rPr>
        <w:t>1</w:t>
      </w:r>
      <w:r>
        <w:rPr>
          <w:rFonts w:hint="eastAsia" w:ascii="微软雅黑" w:hAnsi="微软雅黑" w:eastAsia="微软雅黑" w:cs="微软雅黑"/>
          <w:color w:val="333333"/>
          <w:shd w:val="clear" w:color="auto" w:fill="FFFFFF"/>
        </w:rPr>
        <w:t>）</w:t>
      </w:r>
      <w:r>
        <w:rPr>
          <w:rFonts w:hint="eastAsia" w:ascii="微软雅黑" w:hAnsi="微软雅黑" w:eastAsia="微软雅黑" w:cs="微软雅黑"/>
          <w:color w:val="333333"/>
          <w:shd w:val="clear" w:color="auto" w:fill="FFFFFF"/>
          <w:lang w:val="en-US" w:eastAsia="zh-CN"/>
        </w:rPr>
        <w:t>投标人</w:t>
      </w:r>
      <w:r>
        <w:rPr>
          <w:rFonts w:hint="eastAsia" w:ascii="微软雅黑" w:hAnsi="微软雅黑" w:eastAsia="微软雅黑" w:cs="微软雅黑"/>
          <w:color w:val="333333"/>
          <w:shd w:val="clear" w:color="auto" w:fill="FFFFFF"/>
        </w:rPr>
        <w:t>提供近三年法定代表人、拟派项目负责人近三年在经营活动中无重大违法记录，无重大质量及安全事故发生的书面声明；</w:t>
      </w:r>
    </w:p>
    <w:p>
      <w:pPr>
        <w:pStyle w:val="18"/>
        <w:widowControl/>
        <w:spacing w:beforeAutospacing="0" w:afterAutospacing="0" w:line="480" w:lineRule="atLeast"/>
        <w:ind w:left="330" w:right="330"/>
        <w:jc w:val="both"/>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w:t>
      </w:r>
      <w:r>
        <w:rPr>
          <w:rFonts w:hint="eastAsia" w:ascii="微软雅黑" w:hAnsi="微软雅黑" w:eastAsia="微软雅黑" w:cs="微软雅黑"/>
          <w:color w:val="333333"/>
          <w:shd w:val="clear" w:color="auto" w:fill="FFFFFF"/>
          <w:lang w:val="en-US" w:eastAsia="zh-CN"/>
        </w:rPr>
        <w:t>2</w:t>
      </w:r>
      <w:r>
        <w:rPr>
          <w:rFonts w:hint="eastAsia" w:ascii="微软雅黑" w:hAnsi="微软雅黑" w:eastAsia="微软雅黑" w:cs="微软雅黑"/>
          <w:color w:val="333333"/>
          <w:shd w:val="clear" w:color="auto" w:fill="FFFFFF"/>
        </w:rPr>
        <w:t>）供应商未被“信用中国”网站（www.creditchina.gov.cn）列入失信被执行人、重大税收违法案件当事人名单和“中国政府采购网”（http://www.ccgp.gov.cn/）政府采购严重违法失信行为记录名单并提供网页截图加盖单位公章以证明；一经发现不良信用记录将按照《财政部关于在政府采购活动中查询及使用信用记录有关问题的通知（财库〔2016〕125号）》执行（提供网站截图并加盖公章）；</w:t>
      </w:r>
    </w:p>
    <w:p>
      <w:pPr>
        <w:pStyle w:val="18"/>
        <w:widowControl/>
        <w:spacing w:beforeAutospacing="0" w:afterAutospacing="0" w:line="480" w:lineRule="atLeast"/>
        <w:ind w:left="330" w:right="330"/>
        <w:jc w:val="both"/>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w:t>
      </w:r>
      <w:r>
        <w:rPr>
          <w:rFonts w:hint="eastAsia" w:ascii="微软雅黑" w:hAnsi="微软雅黑" w:eastAsia="微软雅黑" w:cs="微软雅黑"/>
          <w:color w:val="333333"/>
          <w:shd w:val="clear" w:color="auto" w:fill="FFFFFF"/>
          <w:lang w:val="en-US" w:eastAsia="zh-CN"/>
        </w:rPr>
        <w:t>3</w:t>
      </w:r>
      <w:r>
        <w:rPr>
          <w:rFonts w:hint="eastAsia" w:ascii="微软雅黑" w:hAnsi="微软雅黑" w:eastAsia="微软雅黑" w:cs="微软雅黑"/>
          <w:color w:val="333333"/>
          <w:shd w:val="clear" w:color="auto" w:fill="FFFFFF"/>
        </w:rPr>
        <w:t>）本项目不接受联合体投标。</w:t>
      </w:r>
    </w:p>
    <w:p>
      <w:pPr>
        <w:pStyle w:val="18"/>
        <w:widowControl/>
        <w:spacing w:beforeAutospacing="0" w:afterAutospacing="0" w:line="480" w:lineRule="atLeast"/>
        <w:ind w:left="330" w:right="330"/>
        <w:jc w:val="both"/>
        <w:rPr>
          <w:rFonts w:ascii="微软雅黑" w:hAnsi="微软雅黑" w:eastAsia="微软雅黑" w:cs="微软雅黑"/>
          <w:b/>
          <w:bCs/>
          <w:sz w:val="27"/>
          <w:szCs w:val="27"/>
        </w:rPr>
      </w:pPr>
      <w:r>
        <w:rPr>
          <w:rFonts w:hint="eastAsia" w:ascii="微软雅黑" w:hAnsi="微软雅黑" w:eastAsia="微软雅黑" w:cs="微软雅黑"/>
          <w:b/>
          <w:bCs/>
          <w:color w:val="333333"/>
          <w:sz w:val="27"/>
          <w:szCs w:val="27"/>
          <w:shd w:val="clear" w:color="auto" w:fill="FFFFFF"/>
        </w:rPr>
        <w:t>三、获取招标文件</w:t>
      </w:r>
    </w:p>
    <w:p>
      <w:pPr>
        <w:pStyle w:val="18"/>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1、时间：</w:t>
      </w:r>
      <w:r>
        <w:rPr>
          <w:rFonts w:hint="eastAsia" w:ascii="微软雅黑" w:hAnsi="微软雅黑" w:eastAsia="微软雅黑" w:cs="微软雅黑"/>
          <w:color w:val="333333"/>
          <w:u w:val="single"/>
          <w:shd w:val="clear" w:color="auto" w:fill="FFFFFF"/>
        </w:rPr>
        <w:t>2021年</w:t>
      </w:r>
      <w:r>
        <w:rPr>
          <w:rFonts w:hint="eastAsia" w:ascii="微软雅黑" w:hAnsi="微软雅黑" w:eastAsia="微软雅黑" w:cs="微软雅黑"/>
          <w:color w:val="333333"/>
          <w:u w:val="single"/>
          <w:shd w:val="clear" w:color="auto" w:fill="FFFFFF"/>
          <w:lang w:val="en-US" w:eastAsia="zh-CN"/>
        </w:rPr>
        <w:t>9</w:t>
      </w:r>
      <w:r>
        <w:rPr>
          <w:rFonts w:hint="eastAsia" w:ascii="微软雅黑" w:hAnsi="微软雅黑" w:eastAsia="微软雅黑" w:cs="微软雅黑"/>
          <w:color w:val="333333"/>
          <w:u w:val="single"/>
          <w:shd w:val="clear" w:color="auto" w:fill="FFFFFF"/>
        </w:rPr>
        <w:t xml:space="preserve">月 </w:t>
      </w:r>
      <w:r>
        <w:rPr>
          <w:rFonts w:hint="eastAsia" w:ascii="微软雅黑" w:hAnsi="微软雅黑" w:eastAsia="微软雅黑" w:cs="微软雅黑"/>
          <w:color w:val="333333"/>
          <w:u w:val="single"/>
          <w:shd w:val="clear" w:color="auto" w:fill="FFFFFF"/>
          <w:lang w:val="en-US" w:eastAsia="zh-CN"/>
        </w:rPr>
        <w:t>18</w:t>
      </w:r>
      <w:r>
        <w:rPr>
          <w:rFonts w:hint="eastAsia" w:ascii="微软雅黑" w:hAnsi="微软雅黑" w:eastAsia="微软雅黑" w:cs="微软雅黑"/>
          <w:color w:val="333333"/>
          <w:u w:val="single"/>
          <w:shd w:val="clear" w:color="auto" w:fill="FFFFFF"/>
        </w:rPr>
        <w:t xml:space="preserve"> 日至2021年 </w:t>
      </w:r>
      <w:r>
        <w:rPr>
          <w:rFonts w:hint="eastAsia" w:ascii="微软雅黑" w:hAnsi="微软雅黑" w:eastAsia="微软雅黑" w:cs="微软雅黑"/>
          <w:color w:val="333333"/>
          <w:u w:val="single"/>
          <w:shd w:val="clear" w:color="auto" w:fill="FFFFFF"/>
          <w:lang w:val="en-US" w:eastAsia="zh-CN"/>
        </w:rPr>
        <w:t>9</w:t>
      </w:r>
      <w:r>
        <w:rPr>
          <w:rFonts w:hint="eastAsia" w:ascii="微软雅黑" w:hAnsi="微软雅黑" w:eastAsia="微软雅黑" w:cs="微软雅黑"/>
          <w:color w:val="333333"/>
          <w:u w:val="single"/>
          <w:shd w:val="clear" w:color="auto" w:fill="FFFFFF"/>
        </w:rPr>
        <w:t xml:space="preserve"> 月 </w:t>
      </w:r>
      <w:r>
        <w:rPr>
          <w:rFonts w:hint="eastAsia" w:ascii="微软雅黑" w:hAnsi="微软雅黑" w:eastAsia="微软雅黑" w:cs="微软雅黑"/>
          <w:color w:val="333333"/>
          <w:u w:val="single"/>
          <w:shd w:val="clear" w:color="auto" w:fill="FFFFFF"/>
          <w:lang w:val="en-US" w:eastAsia="zh-CN"/>
        </w:rPr>
        <w:t>28</w:t>
      </w:r>
      <w:r>
        <w:rPr>
          <w:rFonts w:hint="eastAsia" w:ascii="微软雅黑" w:hAnsi="微软雅黑" w:eastAsia="微软雅黑" w:cs="微软雅黑"/>
          <w:color w:val="333333"/>
          <w:u w:val="single"/>
          <w:shd w:val="clear" w:color="auto" w:fill="FFFFFF"/>
        </w:rPr>
        <w:t xml:space="preserve"> 日</w:t>
      </w:r>
      <w:r>
        <w:rPr>
          <w:rFonts w:hint="eastAsia" w:ascii="微软雅黑" w:hAnsi="微软雅黑" w:eastAsia="微软雅黑" w:cs="微软雅黑"/>
          <w:color w:val="333333"/>
          <w:shd w:val="clear" w:color="auto" w:fill="FFFFFF"/>
        </w:rPr>
        <w:t>，每天上午</w:t>
      </w:r>
      <w:r>
        <w:rPr>
          <w:rFonts w:hint="eastAsia" w:ascii="微软雅黑" w:hAnsi="微软雅黑" w:eastAsia="微软雅黑" w:cs="微软雅黑"/>
          <w:color w:val="333333"/>
          <w:u w:val="single"/>
          <w:shd w:val="clear" w:color="auto" w:fill="FFFFFF"/>
          <w:lang w:val="en-US" w:eastAsia="zh-CN"/>
        </w:rPr>
        <w:t>8</w:t>
      </w:r>
      <w:r>
        <w:rPr>
          <w:rFonts w:hint="eastAsia" w:ascii="微软雅黑" w:hAnsi="微软雅黑" w:eastAsia="微软雅黑" w:cs="微软雅黑"/>
          <w:color w:val="333333"/>
          <w:u w:val="single"/>
          <w:shd w:val="clear" w:color="auto" w:fill="FFFFFF"/>
        </w:rPr>
        <w:t>:00</w:t>
      </w:r>
      <w:r>
        <w:rPr>
          <w:rFonts w:hint="eastAsia" w:ascii="微软雅黑" w:hAnsi="微软雅黑" w:eastAsia="微软雅黑" w:cs="微软雅黑"/>
          <w:color w:val="333333"/>
          <w:shd w:val="clear" w:color="auto" w:fill="FFFFFF"/>
        </w:rPr>
        <w:t>至</w:t>
      </w:r>
      <w:r>
        <w:rPr>
          <w:rFonts w:hint="eastAsia" w:ascii="微软雅黑" w:hAnsi="微软雅黑" w:eastAsia="微软雅黑" w:cs="微软雅黑"/>
          <w:color w:val="333333"/>
          <w:u w:val="single"/>
          <w:shd w:val="clear" w:color="auto" w:fill="FFFFFF"/>
        </w:rPr>
        <w:t>12:00</w:t>
      </w:r>
      <w:r>
        <w:rPr>
          <w:rFonts w:hint="eastAsia" w:ascii="微软雅黑" w:hAnsi="微软雅黑" w:eastAsia="微软雅黑" w:cs="微软雅黑"/>
          <w:color w:val="333333"/>
          <w:shd w:val="clear" w:color="auto" w:fill="FFFFFF"/>
        </w:rPr>
        <w:t>，下午</w:t>
      </w:r>
      <w:r>
        <w:rPr>
          <w:rFonts w:hint="eastAsia" w:ascii="微软雅黑" w:hAnsi="微软雅黑" w:eastAsia="微软雅黑" w:cs="微软雅黑"/>
          <w:color w:val="333333"/>
          <w:u w:val="single"/>
          <w:shd w:val="clear" w:color="auto" w:fill="FFFFFF"/>
        </w:rPr>
        <w:t>1</w:t>
      </w:r>
      <w:r>
        <w:rPr>
          <w:rFonts w:hint="eastAsia" w:ascii="微软雅黑" w:hAnsi="微软雅黑" w:eastAsia="微软雅黑" w:cs="微软雅黑"/>
          <w:color w:val="333333"/>
          <w:u w:val="single"/>
          <w:shd w:val="clear" w:color="auto" w:fill="FFFFFF"/>
          <w:lang w:val="en-US" w:eastAsia="zh-CN"/>
        </w:rPr>
        <w:t>4</w:t>
      </w:r>
      <w:r>
        <w:rPr>
          <w:rFonts w:hint="eastAsia" w:ascii="微软雅黑" w:hAnsi="微软雅黑" w:eastAsia="微软雅黑" w:cs="微软雅黑"/>
          <w:color w:val="333333"/>
          <w:u w:val="single"/>
          <w:shd w:val="clear" w:color="auto" w:fill="FFFFFF"/>
        </w:rPr>
        <w:t>:</w:t>
      </w:r>
      <w:r>
        <w:rPr>
          <w:rFonts w:hint="eastAsia" w:ascii="微软雅黑" w:hAnsi="微软雅黑" w:eastAsia="微软雅黑" w:cs="微软雅黑"/>
          <w:color w:val="333333"/>
          <w:u w:val="single"/>
          <w:shd w:val="clear" w:color="auto" w:fill="FFFFFF"/>
          <w:lang w:val="en-US" w:eastAsia="zh-CN"/>
        </w:rPr>
        <w:t>3</w:t>
      </w:r>
      <w:r>
        <w:rPr>
          <w:rFonts w:hint="eastAsia" w:ascii="微软雅黑" w:hAnsi="微软雅黑" w:eastAsia="微软雅黑" w:cs="微软雅黑"/>
          <w:color w:val="333333"/>
          <w:u w:val="single"/>
          <w:shd w:val="clear" w:color="auto" w:fill="FFFFFF"/>
        </w:rPr>
        <w:t>0</w:t>
      </w:r>
      <w:r>
        <w:rPr>
          <w:rFonts w:hint="eastAsia" w:ascii="微软雅黑" w:hAnsi="微软雅黑" w:eastAsia="微软雅黑" w:cs="微软雅黑"/>
          <w:color w:val="333333"/>
          <w:shd w:val="clear" w:color="auto" w:fill="FFFFFF"/>
        </w:rPr>
        <w:t>至</w:t>
      </w:r>
      <w:r>
        <w:rPr>
          <w:rFonts w:hint="eastAsia" w:ascii="微软雅黑" w:hAnsi="微软雅黑" w:eastAsia="微软雅黑" w:cs="微软雅黑"/>
          <w:color w:val="333333"/>
          <w:u w:val="single"/>
          <w:shd w:val="clear" w:color="auto" w:fill="FFFFFF"/>
          <w:lang w:val="en-US" w:eastAsia="zh-CN"/>
        </w:rPr>
        <w:t>17</w:t>
      </w:r>
      <w:r>
        <w:rPr>
          <w:rFonts w:hint="eastAsia" w:ascii="微软雅黑" w:hAnsi="微软雅黑" w:eastAsia="微软雅黑" w:cs="微软雅黑"/>
          <w:color w:val="333333"/>
          <w:u w:val="single"/>
          <w:shd w:val="clear" w:color="auto" w:fill="FFFFFF"/>
        </w:rPr>
        <w:t>:</w:t>
      </w:r>
      <w:r>
        <w:rPr>
          <w:rFonts w:hint="eastAsia" w:ascii="微软雅黑" w:hAnsi="微软雅黑" w:eastAsia="微软雅黑" w:cs="微软雅黑"/>
          <w:color w:val="333333"/>
          <w:u w:val="single"/>
          <w:shd w:val="clear" w:color="auto" w:fill="FFFFFF"/>
          <w:lang w:val="en-US" w:eastAsia="zh-CN"/>
        </w:rPr>
        <w:t>3</w:t>
      </w:r>
      <w:r>
        <w:rPr>
          <w:rFonts w:hint="eastAsia" w:ascii="微软雅黑" w:hAnsi="微软雅黑" w:eastAsia="微软雅黑" w:cs="微软雅黑"/>
          <w:color w:val="333333"/>
          <w:u w:val="single"/>
          <w:shd w:val="clear" w:color="auto" w:fill="FFFFFF"/>
        </w:rPr>
        <w:t>0</w:t>
      </w:r>
      <w:r>
        <w:rPr>
          <w:rFonts w:hint="eastAsia" w:ascii="微软雅黑" w:hAnsi="微软雅黑" w:eastAsia="微软雅黑" w:cs="微软雅黑"/>
          <w:color w:val="333333"/>
          <w:shd w:val="clear" w:color="auto" w:fill="FFFFFF"/>
        </w:rPr>
        <w:t>（北京时间，法定节假日除外）</w:t>
      </w:r>
    </w:p>
    <w:p>
      <w:pPr>
        <w:pStyle w:val="18"/>
        <w:widowControl/>
        <w:spacing w:beforeAutospacing="0" w:afterAutospacing="0" w:line="480" w:lineRule="atLeast"/>
        <w:ind w:left="330" w:right="330"/>
        <w:jc w:val="both"/>
        <w:rPr>
          <w:rFonts w:ascii="微软雅黑" w:hAnsi="微软雅黑" w:eastAsia="微软雅黑" w:cs="微软雅黑"/>
          <w:u w:val="single"/>
        </w:rPr>
      </w:pPr>
      <w:r>
        <w:rPr>
          <w:rFonts w:hint="eastAsia" w:ascii="微软雅黑" w:hAnsi="微软雅黑" w:eastAsia="微软雅黑" w:cs="微软雅黑"/>
          <w:color w:val="333333"/>
          <w:shd w:val="clear" w:color="auto" w:fill="FFFFFF"/>
        </w:rPr>
        <w:t>2、地点：</w:t>
      </w:r>
      <w:r>
        <w:rPr>
          <w:rFonts w:hint="eastAsia" w:ascii="微软雅黑" w:hAnsi="微软雅黑" w:eastAsia="微软雅黑" w:cs="微软雅黑"/>
          <w:color w:val="333333"/>
          <w:u w:val="single"/>
          <w:shd w:val="clear" w:color="auto" w:fill="FFFFFF"/>
        </w:rPr>
        <w:t>网上下载</w:t>
      </w:r>
    </w:p>
    <w:p>
      <w:pPr>
        <w:pStyle w:val="18"/>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3、方式：</w:t>
      </w:r>
      <w:r>
        <w:rPr>
          <w:rFonts w:hint="eastAsia" w:ascii="微软雅黑" w:hAnsi="微软雅黑" w:eastAsia="微软雅黑" w:cs="微软雅黑"/>
          <w:color w:val="333333"/>
          <w:u w:val="single"/>
          <w:shd w:val="clear" w:color="auto" w:fill="FFFFFF"/>
        </w:rPr>
        <w:t>点击本公告附件下载</w:t>
      </w:r>
    </w:p>
    <w:p>
      <w:pPr>
        <w:pStyle w:val="18"/>
        <w:widowControl/>
        <w:spacing w:beforeAutospacing="0" w:after="30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4、售价：</w:t>
      </w:r>
      <w:r>
        <w:rPr>
          <w:rFonts w:hint="eastAsia" w:ascii="微软雅黑" w:hAnsi="微软雅黑" w:eastAsia="微软雅黑" w:cs="微软雅黑"/>
          <w:color w:val="333333"/>
          <w:u w:val="single"/>
          <w:shd w:val="clear" w:color="auto" w:fill="FFFFFF"/>
        </w:rPr>
        <w:t>0</w:t>
      </w:r>
      <w:r>
        <w:rPr>
          <w:rFonts w:hint="eastAsia" w:ascii="微软雅黑" w:hAnsi="微软雅黑" w:eastAsia="微软雅黑" w:cs="微软雅黑"/>
          <w:color w:val="333333"/>
          <w:shd w:val="clear" w:color="auto" w:fill="FFFFFF"/>
        </w:rPr>
        <w:t>(元)</w:t>
      </w:r>
    </w:p>
    <w:p>
      <w:pPr>
        <w:pStyle w:val="18"/>
        <w:widowControl/>
        <w:spacing w:beforeAutospacing="0" w:afterAutospacing="0" w:line="540" w:lineRule="atLeast"/>
        <w:ind w:left="330" w:right="330"/>
        <w:rPr>
          <w:rFonts w:ascii="微软雅黑" w:hAnsi="微软雅黑" w:eastAsia="微软雅黑" w:cs="微软雅黑"/>
          <w:b/>
          <w:bCs/>
          <w:sz w:val="27"/>
          <w:szCs w:val="27"/>
        </w:rPr>
      </w:pPr>
      <w:r>
        <w:rPr>
          <w:rFonts w:hint="eastAsia" w:ascii="微软雅黑" w:hAnsi="微软雅黑" w:eastAsia="微软雅黑" w:cs="微软雅黑"/>
          <w:b/>
          <w:bCs/>
          <w:color w:val="333333"/>
          <w:sz w:val="27"/>
          <w:szCs w:val="27"/>
          <w:shd w:val="clear" w:color="auto" w:fill="FFFFFF"/>
        </w:rPr>
        <w:t>四、提交投标文件截止时间、开标时间和地点</w:t>
      </w:r>
    </w:p>
    <w:p>
      <w:pPr>
        <w:pStyle w:val="18"/>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1、开始时间：</w:t>
      </w:r>
      <w:r>
        <w:rPr>
          <w:rFonts w:hint="eastAsia" w:ascii="微软雅黑" w:hAnsi="微软雅黑" w:eastAsia="微软雅黑" w:cs="微软雅黑"/>
          <w:color w:val="333333"/>
          <w:u w:val="single"/>
          <w:shd w:val="clear" w:color="auto" w:fill="FFFFFF"/>
        </w:rPr>
        <w:t>2021年</w:t>
      </w:r>
      <w:r>
        <w:rPr>
          <w:rFonts w:hint="eastAsia" w:ascii="微软雅黑" w:hAnsi="微软雅黑" w:eastAsia="微软雅黑" w:cs="微软雅黑"/>
          <w:color w:val="333333"/>
          <w:u w:val="single"/>
          <w:shd w:val="clear" w:color="auto" w:fill="FFFFFF"/>
          <w:lang w:val="en-US" w:eastAsia="zh-CN"/>
        </w:rPr>
        <w:t>10</w:t>
      </w:r>
      <w:r>
        <w:rPr>
          <w:rFonts w:hint="eastAsia" w:ascii="微软雅黑" w:hAnsi="微软雅黑" w:eastAsia="微软雅黑" w:cs="微软雅黑"/>
          <w:color w:val="333333"/>
          <w:u w:val="single"/>
          <w:shd w:val="clear" w:color="auto" w:fill="FFFFFF"/>
        </w:rPr>
        <w:t xml:space="preserve">月 </w:t>
      </w:r>
      <w:r>
        <w:rPr>
          <w:rFonts w:hint="eastAsia" w:ascii="微软雅黑" w:hAnsi="微软雅黑" w:eastAsia="微软雅黑" w:cs="微软雅黑"/>
          <w:color w:val="333333"/>
          <w:u w:val="single"/>
          <w:shd w:val="clear" w:color="auto" w:fill="FFFFFF"/>
          <w:lang w:val="en-US" w:eastAsia="zh-CN"/>
        </w:rPr>
        <w:t>14</w:t>
      </w:r>
      <w:r>
        <w:rPr>
          <w:rFonts w:hint="eastAsia" w:ascii="微软雅黑" w:hAnsi="微软雅黑" w:eastAsia="微软雅黑" w:cs="微软雅黑"/>
          <w:color w:val="333333"/>
          <w:u w:val="single"/>
          <w:shd w:val="clear" w:color="auto" w:fill="FFFFFF"/>
        </w:rPr>
        <w:t xml:space="preserve"> 日 </w:t>
      </w:r>
      <w:r>
        <w:rPr>
          <w:rFonts w:hint="eastAsia" w:ascii="微软雅黑" w:hAnsi="微软雅黑" w:eastAsia="微软雅黑" w:cs="微软雅黑"/>
          <w:color w:val="333333"/>
          <w:u w:val="single"/>
          <w:shd w:val="clear" w:color="auto" w:fill="FFFFFF"/>
          <w:lang w:val="en-US" w:eastAsia="zh-CN"/>
        </w:rPr>
        <w:t>8</w:t>
      </w:r>
      <w:r>
        <w:rPr>
          <w:rFonts w:hint="eastAsia" w:ascii="微软雅黑" w:hAnsi="微软雅黑" w:eastAsia="微软雅黑" w:cs="微软雅黑"/>
          <w:color w:val="333333"/>
          <w:u w:val="single"/>
          <w:shd w:val="clear" w:color="auto" w:fill="FFFFFF"/>
        </w:rPr>
        <w:t xml:space="preserve"> 点 </w:t>
      </w:r>
      <w:r>
        <w:rPr>
          <w:rFonts w:hint="eastAsia" w:ascii="微软雅黑" w:hAnsi="微软雅黑" w:eastAsia="微软雅黑" w:cs="微软雅黑"/>
          <w:color w:val="333333"/>
          <w:u w:val="single"/>
          <w:shd w:val="clear" w:color="auto" w:fill="FFFFFF"/>
          <w:lang w:val="en-US" w:eastAsia="zh-CN"/>
        </w:rPr>
        <w:t>30</w:t>
      </w:r>
      <w:r>
        <w:rPr>
          <w:rFonts w:hint="eastAsia" w:ascii="微软雅黑" w:hAnsi="微软雅黑" w:eastAsia="微软雅黑" w:cs="微软雅黑"/>
          <w:color w:val="333333"/>
          <w:u w:val="single"/>
          <w:shd w:val="clear" w:color="auto" w:fill="FFFFFF"/>
        </w:rPr>
        <w:t xml:space="preserve"> 分</w:t>
      </w:r>
      <w:r>
        <w:rPr>
          <w:rFonts w:hint="eastAsia" w:ascii="微软雅黑" w:hAnsi="微软雅黑" w:eastAsia="微软雅黑" w:cs="微软雅黑"/>
          <w:color w:val="333333"/>
          <w:shd w:val="clear" w:color="auto" w:fill="FFFFFF"/>
        </w:rPr>
        <w:t>（北京时间）</w:t>
      </w:r>
    </w:p>
    <w:p>
      <w:pPr>
        <w:pStyle w:val="18"/>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2、截止时间：</w:t>
      </w:r>
      <w:r>
        <w:rPr>
          <w:rFonts w:hint="eastAsia" w:ascii="微软雅黑" w:hAnsi="微软雅黑" w:eastAsia="微软雅黑" w:cs="微软雅黑"/>
          <w:color w:val="333333"/>
          <w:u w:val="single"/>
          <w:shd w:val="clear" w:color="auto" w:fill="FFFFFF"/>
        </w:rPr>
        <w:t xml:space="preserve">2021年 </w:t>
      </w:r>
      <w:r>
        <w:rPr>
          <w:rFonts w:hint="eastAsia" w:ascii="微软雅黑" w:hAnsi="微软雅黑" w:eastAsia="微软雅黑" w:cs="微软雅黑"/>
          <w:color w:val="333333"/>
          <w:u w:val="single"/>
          <w:shd w:val="clear" w:color="auto" w:fill="FFFFFF"/>
          <w:lang w:val="en-US" w:eastAsia="zh-CN"/>
        </w:rPr>
        <w:t>10</w:t>
      </w:r>
      <w:r>
        <w:rPr>
          <w:rFonts w:hint="eastAsia" w:ascii="微软雅黑" w:hAnsi="微软雅黑" w:eastAsia="微软雅黑" w:cs="微软雅黑"/>
          <w:color w:val="333333"/>
          <w:u w:val="single"/>
          <w:shd w:val="clear" w:color="auto" w:fill="FFFFFF"/>
        </w:rPr>
        <w:t xml:space="preserve"> 月</w:t>
      </w:r>
      <w:r>
        <w:rPr>
          <w:rFonts w:hint="eastAsia" w:ascii="微软雅黑" w:hAnsi="微软雅黑" w:eastAsia="微软雅黑" w:cs="微软雅黑"/>
          <w:color w:val="333333"/>
          <w:u w:val="single"/>
          <w:shd w:val="clear" w:color="auto" w:fill="FFFFFF"/>
          <w:lang w:val="en-US" w:eastAsia="zh-CN"/>
        </w:rPr>
        <w:t>14</w:t>
      </w:r>
      <w:r>
        <w:rPr>
          <w:rFonts w:hint="eastAsia" w:ascii="微软雅黑" w:hAnsi="微软雅黑" w:eastAsia="微软雅黑" w:cs="微软雅黑"/>
          <w:color w:val="333333"/>
          <w:u w:val="single"/>
          <w:shd w:val="clear" w:color="auto" w:fill="FFFFFF"/>
        </w:rPr>
        <w:t xml:space="preserve"> 日 </w:t>
      </w:r>
      <w:r>
        <w:rPr>
          <w:rFonts w:hint="eastAsia" w:ascii="微软雅黑" w:hAnsi="微软雅黑" w:eastAsia="微软雅黑" w:cs="微软雅黑"/>
          <w:color w:val="333333"/>
          <w:u w:val="single"/>
          <w:shd w:val="clear" w:color="auto" w:fill="FFFFFF"/>
          <w:lang w:val="en-US" w:eastAsia="zh-CN"/>
        </w:rPr>
        <w:t>9</w:t>
      </w:r>
      <w:r>
        <w:rPr>
          <w:rFonts w:hint="eastAsia" w:ascii="微软雅黑" w:hAnsi="微软雅黑" w:eastAsia="微软雅黑" w:cs="微软雅黑"/>
          <w:color w:val="333333"/>
          <w:u w:val="single"/>
          <w:shd w:val="clear" w:color="auto" w:fill="FFFFFF"/>
        </w:rPr>
        <w:t xml:space="preserve"> 点 </w:t>
      </w:r>
      <w:r>
        <w:rPr>
          <w:rFonts w:hint="eastAsia" w:ascii="微软雅黑" w:hAnsi="微软雅黑" w:eastAsia="微软雅黑" w:cs="微软雅黑"/>
          <w:color w:val="333333"/>
          <w:u w:val="single"/>
          <w:shd w:val="clear" w:color="auto" w:fill="FFFFFF"/>
          <w:lang w:val="en-US" w:eastAsia="zh-CN"/>
        </w:rPr>
        <w:t>00</w:t>
      </w:r>
      <w:r>
        <w:rPr>
          <w:rFonts w:hint="eastAsia" w:ascii="微软雅黑" w:hAnsi="微软雅黑" w:eastAsia="微软雅黑" w:cs="微软雅黑"/>
          <w:color w:val="333333"/>
          <w:u w:val="single"/>
          <w:shd w:val="clear" w:color="auto" w:fill="FFFFFF"/>
        </w:rPr>
        <w:t xml:space="preserve"> 分</w:t>
      </w:r>
      <w:r>
        <w:rPr>
          <w:rFonts w:hint="eastAsia" w:ascii="微软雅黑" w:hAnsi="微软雅黑" w:eastAsia="微软雅黑" w:cs="微软雅黑"/>
          <w:color w:val="333333"/>
          <w:shd w:val="clear" w:color="auto" w:fill="FFFFFF"/>
        </w:rPr>
        <w:t>（北京时间）</w:t>
      </w:r>
    </w:p>
    <w:p>
      <w:pPr>
        <w:pStyle w:val="18"/>
        <w:widowControl/>
        <w:spacing w:beforeAutospacing="0" w:after="30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3、地点：</w:t>
      </w:r>
      <w:r>
        <w:rPr>
          <w:rFonts w:hint="eastAsia" w:ascii="微软雅黑" w:hAnsi="微软雅黑" w:eastAsia="微软雅黑" w:cs="微软雅黑"/>
          <w:color w:val="333333"/>
          <w:u w:val="single"/>
          <w:shd w:val="clear" w:color="auto" w:fill="FFFFFF"/>
        </w:rPr>
        <w:t>阳新县公共资源交易中心二楼开标厅</w:t>
      </w:r>
    </w:p>
    <w:p>
      <w:pPr>
        <w:pStyle w:val="18"/>
        <w:widowControl/>
        <w:spacing w:beforeAutospacing="0" w:afterAutospacing="0" w:line="540" w:lineRule="atLeast"/>
        <w:ind w:left="330" w:right="330"/>
        <w:rPr>
          <w:rFonts w:ascii="微软雅黑" w:hAnsi="微软雅黑" w:eastAsia="微软雅黑" w:cs="微软雅黑"/>
          <w:b/>
          <w:bCs/>
          <w:sz w:val="27"/>
          <w:szCs w:val="27"/>
        </w:rPr>
      </w:pPr>
      <w:r>
        <w:rPr>
          <w:rFonts w:hint="eastAsia" w:ascii="微软雅黑" w:hAnsi="微软雅黑" w:eastAsia="微软雅黑" w:cs="微软雅黑"/>
          <w:b/>
          <w:bCs/>
          <w:color w:val="333333"/>
          <w:sz w:val="27"/>
          <w:szCs w:val="27"/>
          <w:shd w:val="clear" w:color="auto" w:fill="FFFFFF"/>
        </w:rPr>
        <w:t>五、公告期限</w:t>
      </w:r>
    </w:p>
    <w:p>
      <w:pPr>
        <w:pStyle w:val="18"/>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自本公告发布之日起5个工作日。</w:t>
      </w:r>
    </w:p>
    <w:p>
      <w:pPr>
        <w:pStyle w:val="18"/>
        <w:widowControl/>
        <w:spacing w:beforeAutospacing="0" w:afterAutospacing="0" w:line="540" w:lineRule="atLeast"/>
        <w:ind w:left="330" w:right="330"/>
        <w:rPr>
          <w:rFonts w:ascii="微软雅黑" w:hAnsi="微软雅黑" w:eastAsia="微软雅黑" w:cs="微软雅黑"/>
          <w:b/>
          <w:bCs/>
          <w:sz w:val="27"/>
          <w:szCs w:val="27"/>
        </w:rPr>
      </w:pPr>
      <w:r>
        <w:rPr>
          <w:rFonts w:hint="eastAsia" w:ascii="微软雅黑" w:hAnsi="微软雅黑" w:eastAsia="微软雅黑" w:cs="微软雅黑"/>
          <w:b/>
          <w:bCs/>
          <w:color w:val="333333"/>
          <w:sz w:val="27"/>
          <w:szCs w:val="27"/>
          <w:shd w:val="clear" w:color="auto" w:fill="FFFFFF"/>
        </w:rPr>
        <w:t>六、其他补充事宜</w:t>
      </w:r>
    </w:p>
    <w:p>
      <w:pPr>
        <w:pStyle w:val="18"/>
        <w:widowControl/>
        <w:spacing w:beforeAutospacing="0" w:afterAutospacing="0" w:line="540" w:lineRule="atLeast"/>
        <w:ind w:left="330" w:right="330"/>
        <w:rPr>
          <w:rFonts w:ascii="微软雅黑" w:hAnsi="微软雅黑" w:eastAsia="微软雅黑" w:cs="微软雅黑"/>
          <w:b/>
          <w:bCs/>
          <w:color w:val="333333"/>
          <w:sz w:val="27"/>
          <w:szCs w:val="27"/>
          <w:u w:val="single"/>
          <w:shd w:val="clear" w:color="auto" w:fill="FFFFFF"/>
        </w:rPr>
      </w:pPr>
      <w:r>
        <w:rPr>
          <w:rFonts w:hint="eastAsia" w:ascii="微软雅黑" w:hAnsi="微软雅黑" w:eastAsia="微软雅黑" w:cs="微软雅黑"/>
          <w:color w:val="444444"/>
          <w:u w:val="single"/>
          <w:shd w:val="clear" w:color="auto" w:fill="FFFFFF"/>
        </w:rPr>
        <w:t>1.投标人认为招标文件、招标过程和中标结果使自己的权益受到损害的，可以在知道或者应知其权益受到损害之日起7个工作日内向采购人或代理公司提出质疑（质疑函格式采用财政部国库司政府采购管理办公室发布的标准格式http://gks.mof.gov.cn/ztztz/zhengfucaigouguanli/201802/t20180201_2804589.htm）。</w:t>
      </w:r>
      <w:r>
        <w:rPr>
          <w:rFonts w:hint="eastAsia" w:ascii="微软雅黑" w:hAnsi="微软雅黑" w:eastAsia="微软雅黑" w:cs="微软雅黑"/>
          <w:color w:val="444444"/>
          <w:u w:val="single"/>
          <w:shd w:val="clear" w:color="auto" w:fill="FFFFFF"/>
        </w:rPr>
        <w:br w:type="textWrapping"/>
      </w:r>
      <w:r>
        <w:rPr>
          <w:rFonts w:hint="eastAsia" w:ascii="微软雅黑" w:hAnsi="微软雅黑" w:eastAsia="微软雅黑" w:cs="微软雅黑"/>
          <w:color w:val="444444"/>
          <w:u w:val="single"/>
          <w:shd w:val="clear" w:color="auto" w:fill="FFFFFF"/>
        </w:rPr>
        <w:t>2.本公告发布的信息媒体“湖北省政府采购网”、“黄石公共资源交易信息网”及“阳新县人民政府网”。</w:t>
      </w:r>
    </w:p>
    <w:p>
      <w:pPr>
        <w:pStyle w:val="18"/>
        <w:widowControl/>
        <w:spacing w:beforeAutospacing="0" w:afterAutospacing="0" w:line="540" w:lineRule="atLeast"/>
        <w:ind w:left="330" w:right="330"/>
        <w:rPr>
          <w:rFonts w:ascii="微软雅黑" w:hAnsi="微软雅黑" w:eastAsia="微软雅黑" w:cs="微软雅黑"/>
          <w:b/>
          <w:bCs/>
          <w:sz w:val="27"/>
          <w:szCs w:val="27"/>
        </w:rPr>
      </w:pPr>
      <w:r>
        <w:rPr>
          <w:rFonts w:hint="eastAsia" w:ascii="微软雅黑" w:hAnsi="微软雅黑" w:eastAsia="微软雅黑" w:cs="微软雅黑"/>
          <w:b/>
          <w:bCs/>
          <w:color w:val="333333"/>
          <w:sz w:val="27"/>
          <w:szCs w:val="27"/>
          <w:shd w:val="clear" w:color="auto" w:fill="FFFFFF"/>
        </w:rPr>
        <w:t>七、对本次招标提出询问，请按以下方式联系</w:t>
      </w:r>
    </w:p>
    <w:p>
      <w:pPr>
        <w:pStyle w:val="18"/>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1、采购人信息</w:t>
      </w:r>
    </w:p>
    <w:p>
      <w:pPr>
        <w:pStyle w:val="18"/>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 xml:space="preserve">名   称：阳新县自然资源和规划局 </w:t>
      </w:r>
    </w:p>
    <w:p>
      <w:pPr>
        <w:pStyle w:val="18"/>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地   址： 阳新县城东新区钟家湾路37号</w:t>
      </w:r>
    </w:p>
    <w:p>
      <w:pPr>
        <w:pStyle w:val="18"/>
        <w:widowControl/>
        <w:spacing w:beforeAutospacing="0" w:after="15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 xml:space="preserve">联系方式： </w:t>
      </w:r>
      <w:r>
        <w:rPr>
          <w:rFonts w:hint="eastAsia" w:ascii="微软雅黑" w:hAnsi="微软雅黑" w:eastAsia="微软雅黑" w:cs="微软雅黑"/>
          <w:color w:val="333333"/>
          <w:shd w:val="clear" w:color="auto" w:fill="FFFFFF"/>
          <w:lang w:val="zh-CN"/>
        </w:rPr>
        <w:t>13971763777</w:t>
      </w:r>
    </w:p>
    <w:p>
      <w:pPr>
        <w:pStyle w:val="18"/>
        <w:widowControl/>
        <w:spacing w:beforeAutospacing="0" w:afterAutospacing="0" w:line="480" w:lineRule="atLeast"/>
        <w:ind w:left="330" w:right="330"/>
        <w:jc w:val="both"/>
        <w:rPr>
          <w:rFonts w:ascii="微软雅黑" w:hAnsi="微软雅黑" w:eastAsia="微软雅黑" w:cs="微软雅黑"/>
        </w:rPr>
      </w:pPr>
      <w:r>
        <w:rPr>
          <w:rFonts w:hint="eastAsia" w:ascii="微软雅黑" w:hAnsi="微软雅黑" w:eastAsia="微软雅黑" w:cs="微软雅黑"/>
          <w:color w:val="333333"/>
          <w:shd w:val="clear" w:color="auto" w:fill="FFFFFF"/>
        </w:rPr>
        <w:t>2、采购代理机构信息</w:t>
      </w:r>
    </w:p>
    <w:p>
      <w:pPr>
        <w:pStyle w:val="18"/>
        <w:widowControl/>
        <w:spacing w:beforeAutospacing="0" w:afterAutospacing="0" w:line="500" w:lineRule="exact"/>
        <w:ind w:left="330" w:right="330"/>
        <w:jc w:val="both"/>
        <w:rPr>
          <w:rFonts w:ascii="微软雅黑" w:hAnsi="微软雅黑" w:eastAsia="微软雅黑" w:cs="微软雅黑"/>
        </w:rPr>
      </w:pPr>
      <w:r>
        <w:rPr>
          <w:rFonts w:hint="eastAsia" w:ascii="微软雅黑" w:hAnsi="微软雅黑" w:eastAsia="微软雅黑" w:cs="微软雅黑"/>
          <w:color w:val="444444"/>
          <w:shd w:val="clear" w:color="auto" w:fill="FFFFFF"/>
        </w:rPr>
        <w:t>名   称：中新创达咨询有限公司</w:t>
      </w:r>
    </w:p>
    <w:p>
      <w:pPr>
        <w:pStyle w:val="18"/>
        <w:widowControl/>
        <w:spacing w:beforeAutospacing="0" w:afterAutospacing="0" w:line="500" w:lineRule="exact"/>
        <w:ind w:left="330" w:right="330"/>
        <w:jc w:val="both"/>
        <w:rPr>
          <w:rFonts w:ascii="微软雅黑" w:hAnsi="微软雅黑" w:eastAsia="微软雅黑" w:cs="微软雅黑"/>
        </w:rPr>
      </w:pPr>
      <w:r>
        <w:rPr>
          <w:rFonts w:hint="eastAsia" w:ascii="微软雅黑" w:hAnsi="微软雅黑" w:eastAsia="微软雅黑" w:cs="微软雅黑"/>
          <w:color w:val="444444"/>
          <w:shd w:val="clear" w:color="auto" w:fill="FFFFFF"/>
        </w:rPr>
        <w:t>地   址：澜桥世家8号</w:t>
      </w:r>
    </w:p>
    <w:p>
      <w:pPr>
        <w:pStyle w:val="18"/>
        <w:widowControl/>
        <w:spacing w:beforeAutospacing="0" w:after="150" w:afterAutospacing="0" w:line="500" w:lineRule="exact"/>
        <w:ind w:left="330" w:right="330"/>
        <w:jc w:val="both"/>
        <w:rPr>
          <w:rFonts w:ascii="微软雅黑" w:hAnsi="微软雅黑" w:eastAsia="微软雅黑" w:cs="微软雅黑"/>
        </w:rPr>
      </w:pPr>
      <w:r>
        <w:rPr>
          <w:rFonts w:hint="eastAsia" w:ascii="微软雅黑" w:hAnsi="微软雅黑" w:eastAsia="微软雅黑" w:cs="微软雅黑"/>
          <w:color w:val="444444"/>
          <w:shd w:val="clear" w:color="auto" w:fill="FFFFFF"/>
        </w:rPr>
        <w:t>联系方式：15374510610</w:t>
      </w:r>
    </w:p>
    <w:p>
      <w:pPr>
        <w:pStyle w:val="18"/>
        <w:widowControl/>
        <w:spacing w:beforeAutospacing="0" w:afterAutospacing="0" w:line="500" w:lineRule="exact"/>
        <w:ind w:left="330" w:right="330"/>
        <w:jc w:val="both"/>
        <w:rPr>
          <w:rFonts w:ascii="微软雅黑" w:hAnsi="微软雅黑" w:eastAsia="微软雅黑" w:cs="微软雅黑"/>
        </w:rPr>
      </w:pPr>
      <w:r>
        <w:rPr>
          <w:rFonts w:hint="eastAsia" w:ascii="微软雅黑" w:hAnsi="微软雅黑" w:eastAsia="微软雅黑" w:cs="微软雅黑"/>
          <w:color w:val="444444"/>
          <w:shd w:val="clear" w:color="auto" w:fill="FFFFFF"/>
        </w:rPr>
        <w:t>3、项目联系方式</w:t>
      </w:r>
    </w:p>
    <w:p>
      <w:pPr>
        <w:pStyle w:val="18"/>
        <w:widowControl/>
        <w:spacing w:beforeAutospacing="0" w:afterAutospacing="0" w:line="500" w:lineRule="exact"/>
        <w:ind w:left="330" w:right="330"/>
        <w:jc w:val="both"/>
        <w:rPr>
          <w:rFonts w:hint="eastAsia" w:ascii="微软雅黑" w:hAnsi="微软雅黑" w:eastAsia="微软雅黑" w:cs="微软雅黑"/>
          <w:lang w:val="en-US" w:eastAsia="zh-CN"/>
        </w:rPr>
      </w:pPr>
      <w:r>
        <w:rPr>
          <w:rFonts w:hint="eastAsia" w:ascii="微软雅黑" w:hAnsi="微软雅黑" w:eastAsia="微软雅黑" w:cs="微软雅黑"/>
          <w:color w:val="444444"/>
          <w:shd w:val="clear" w:color="auto" w:fill="FFFFFF"/>
        </w:rPr>
        <w:t>项目联系人：</w:t>
      </w:r>
      <w:r>
        <w:rPr>
          <w:rFonts w:hint="eastAsia" w:ascii="微软雅黑" w:hAnsi="微软雅黑" w:eastAsia="微软雅黑" w:cs="微软雅黑"/>
          <w:color w:val="444444"/>
          <w:shd w:val="clear" w:color="auto" w:fill="FFFFFF"/>
          <w:lang w:val="en-US" w:eastAsia="zh-CN"/>
        </w:rPr>
        <w:t>苏静</w:t>
      </w:r>
    </w:p>
    <w:p>
      <w:pPr>
        <w:pStyle w:val="18"/>
        <w:widowControl/>
        <w:spacing w:beforeAutospacing="0" w:after="150" w:afterAutospacing="0" w:line="480" w:lineRule="atLeast"/>
        <w:ind w:left="330" w:right="330"/>
        <w:jc w:val="both"/>
        <w:rPr>
          <w:rFonts w:ascii="宋体" w:hAnsi="宋体" w:cs="宋体"/>
          <w:bCs/>
          <w:color w:val="0C0C0C"/>
        </w:rPr>
      </w:pPr>
      <w:r>
        <w:rPr>
          <w:rFonts w:hint="eastAsia" w:ascii="微软雅黑" w:hAnsi="微软雅黑" w:eastAsia="微软雅黑" w:cs="微软雅黑"/>
          <w:color w:val="444444"/>
          <w:shd w:val="clear" w:color="auto" w:fill="FFFFFF"/>
        </w:rPr>
        <w:t>电   话：15374510610</w:t>
      </w:r>
      <w:r>
        <w:rPr>
          <w:rFonts w:hint="eastAsia" w:ascii="微软雅黑" w:hAnsi="微软雅黑" w:eastAsia="微软雅黑" w:cs="微软雅黑"/>
          <w:color w:val="333333"/>
          <w:shd w:val="clear" w:color="auto" w:fill="FFFFFF"/>
        </w:rPr>
        <w:t xml:space="preserve"> </w:t>
      </w:r>
    </w:p>
    <w:p>
      <w:pPr>
        <w:wordWrap w:val="0"/>
        <w:spacing w:line="440" w:lineRule="exact"/>
        <w:jc w:val="right"/>
        <w:rPr>
          <w:color w:val="0C0C0C" w:themeColor="text1" w:themeTint="F2"/>
        </w:rPr>
      </w:pPr>
      <w:r>
        <w:rPr>
          <w:rFonts w:hint="eastAsia" w:ascii="宋体" w:hAnsi="宋体" w:cs="宋体"/>
          <w:color w:val="0C0C0C"/>
        </w:rPr>
        <w:t>2021年</w:t>
      </w:r>
      <w:r>
        <w:rPr>
          <w:rFonts w:hint="eastAsia" w:ascii="宋体" w:hAnsi="宋体" w:cs="宋体"/>
          <w:color w:val="0C0C0C"/>
          <w:lang w:val="en-US" w:eastAsia="zh-CN"/>
        </w:rPr>
        <w:t>9</w:t>
      </w:r>
      <w:r>
        <w:rPr>
          <w:rFonts w:hint="eastAsia" w:ascii="宋体" w:hAnsi="宋体" w:cs="宋体"/>
          <w:color w:val="0C0C0C"/>
        </w:rPr>
        <w:t xml:space="preserve">月 </w:t>
      </w:r>
      <w:r>
        <w:rPr>
          <w:rFonts w:hint="eastAsia" w:ascii="宋体" w:hAnsi="宋体" w:cs="宋体"/>
          <w:color w:val="0C0C0C"/>
          <w:lang w:val="en-US" w:eastAsia="zh-CN"/>
        </w:rPr>
        <w:t>18</w:t>
      </w:r>
      <w:r>
        <w:rPr>
          <w:rFonts w:hint="eastAsia" w:ascii="宋体" w:hAnsi="宋体" w:cs="宋体"/>
          <w:color w:val="0C0C0C"/>
        </w:rPr>
        <w:t xml:space="preserve"> 日</w:t>
      </w:r>
    </w:p>
    <w:p>
      <w:pPr>
        <w:pStyle w:val="3"/>
        <w:numPr>
          <w:ilvl w:val="0"/>
          <w:numId w:val="1"/>
        </w:numPr>
        <w:spacing w:before="240" w:after="120"/>
        <w:ind w:left="883" w:hanging="883" w:hangingChars="200"/>
        <w:jc w:val="center"/>
        <w:rPr>
          <w:rFonts w:ascii="黑体" w:hAnsi="黑体" w:eastAsia="黑体"/>
        </w:rPr>
      </w:pPr>
      <w:bookmarkStart w:id="1" w:name="_Toc495861518"/>
      <w:r>
        <w:rPr>
          <w:rFonts w:hint="eastAsia" w:ascii="黑体" w:hAnsi="黑体" w:eastAsia="黑体"/>
        </w:rPr>
        <w:t>投标人须知</w:t>
      </w:r>
      <w:bookmarkEnd w:id="1"/>
    </w:p>
    <w:p>
      <w:pPr>
        <w:keepNext/>
        <w:keepLines/>
        <w:spacing w:line="360" w:lineRule="auto"/>
        <w:jc w:val="center"/>
        <w:outlineLvl w:val="1"/>
        <w:rPr>
          <w:rFonts w:cs="Times New Roman" w:asciiTheme="majorEastAsia" w:hAnsiTheme="majorEastAsia" w:eastAsiaTheme="majorEastAsia"/>
          <w:b/>
          <w:bCs/>
          <w:sz w:val="32"/>
          <w:szCs w:val="32"/>
          <w:lang w:val="zh-CN"/>
        </w:rPr>
      </w:pPr>
      <w:bookmarkStart w:id="2" w:name="_Toc495861519"/>
      <w:bookmarkStart w:id="3" w:name="_Toc494561937"/>
      <w:r>
        <w:rPr>
          <w:rFonts w:cs="Times New Roman" w:asciiTheme="majorEastAsia" w:hAnsiTheme="majorEastAsia" w:eastAsiaTheme="majorEastAsia"/>
          <w:b/>
          <w:bCs/>
          <w:sz w:val="32"/>
          <w:szCs w:val="32"/>
          <w:lang w:val="zh-CN"/>
        </w:rPr>
        <w:t>投标须知前附表</w:t>
      </w:r>
      <w:bookmarkEnd w:id="2"/>
      <w:bookmarkEnd w:id="3"/>
    </w:p>
    <w:tbl>
      <w:tblPr>
        <w:tblStyle w:val="21"/>
        <w:tblW w:w="9318"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2199"/>
        <w:gridCol w:w="64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673" w:type="dxa"/>
            <w:tcBorders>
              <w:top w:val="single" w:color="auto" w:sz="4" w:space="0"/>
              <w:bottom w:val="single" w:color="auto" w:sz="4" w:space="0"/>
              <w:right w:val="single" w:color="auto" w:sz="4" w:space="0"/>
            </w:tcBorders>
            <w:vAlign w:val="center"/>
          </w:tcPr>
          <w:p>
            <w:pPr>
              <w:spacing w:line="276" w:lineRule="auto"/>
              <w:ind w:left="-53" w:leftChars="-25" w:right="-27" w:rightChars="-13"/>
              <w:jc w:val="center"/>
              <w:rPr>
                <w:rFonts w:ascii="宋体" w:hAnsi="宋体" w:eastAsia="宋体" w:cs="Times New Roman"/>
                <w:b/>
                <w:sz w:val="24"/>
                <w:szCs w:val="24"/>
              </w:rPr>
            </w:pPr>
            <w:r>
              <w:rPr>
                <w:rFonts w:ascii="宋体" w:hAnsi="宋体" w:eastAsia="宋体" w:cs="Times New Roman"/>
                <w:b/>
                <w:sz w:val="24"/>
                <w:szCs w:val="24"/>
              </w:rPr>
              <w:t>序号</w:t>
            </w:r>
          </w:p>
        </w:tc>
        <w:tc>
          <w:tcPr>
            <w:tcW w:w="2199"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rPr>
            </w:pPr>
            <w:r>
              <w:rPr>
                <w:rFonts w:hint="eastAsia" w:ascii="Times New Roman" w:hAnsi="宋体" w:eastAsia="宋体" w:cs="Times New Roman"/>
                <w:b/>
                <w:sz w:val="24"/>
                <w:szCs w:val="24"/>
              </w:rPr>
              <w:t>名  称</w:t>
            </w:r>
          </w:p>
        </w:tc>
        <w:tc>
          <w:tcPr>
            <w:tcW w:w="6446" w:type="dxa"/>
            <w:tcBorders>
              <w:top w:val="single" w:color="auto" w:sz="4" w:space="0"/>
              <w:left w:val="single" w:color="auto" w:sz="4" w:space="0"/>
              <w:bottom w:val="single" w:color="auto" w:sz="4" w:space="0"/>
            </w:tcBorders>
            <w:vAlign w:val="center"/>
          </w:tcPr>
          <w:p>
            <w:pPr>
              <w:spacing w:line="276" w:lineRule="auto"/>
              <w:ind w:left="57" w:right="57" w:firstLine="484" w:firstLineChars="201"/>
              <w:jc w:val="center"/>
              <w:rPr>
                <w:rFonts w:ascii="Times New Roman" w:hAnsi="Times New Roman" w:eastAsia="宋体" w:cs="Times New Roman"/>
                <w:b/>
                <w:sz w:val="24"/>
                <w:szCs w:val="24"/>
              </w:rPr>
            </w:pPr>
            <w:r>
              <w:rPr>
                <w:rFonts w:ascii="Times New Roman" w:hAnsi="宋体" w:eastAsia="宋体" w:cs="Times New Roman"/>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项目编号</w:t>
            </w:r>
          </w:p>
        </w:tc>
        <w:tc>
          <w:tcPr>
            <w:tcW w:w="6446" w:type="dxa"/>
            <w:tcBorders>
              <w:top w:val="single" w:color="auto" w:sz="4" w:space="0"/>
              <w:left w:val="single" w:color="auto" w:sz="4" w:space="0"/>
              <w:bottom w:val="single" w:color="auto" w:sz="4" w:space="0"/>
            </w:tcBorders>
            <w:vAlign w:val="center"/>
          </w:tcPr>
          <w:p>
            <w:pPr>
              <w:rPr>
                <w:rFonts w:hint="default" w:ascii="Times New Roman" w:hAnsi="Times New Roman" w:eastAsia="宋体" w:cs="Times New Roman"/>
                <w:color w:val="FF0000"/>
                <w:sz w:val="24"/>
                <w:szCs w:val="24"/>
                <w:lang w:val="en-US" w:eastAsia="zh-CN"/>
              </w:rPr>
            </w:pPr>
            <w:r>
              <w:rPr>
                <w:rFonts w:hint="eastAsia" w:ascii="Times New Roman" w:hAnsi="Times New Roman" w:eastAsia="宋体" w:cs="Times New Roman"/>
                <w:color w:val="FF0000"/>
                <w:sz w:val="24"/>
                <w:szCs w:val="24"/>
                <w:u w:val="single"/>
              </w:rPr>
              <w:t xml:space="preserve">131-2021CG- </w:t>
            </w:r>
            <w:r>
              <w:rPr>
                <w:rFonts w:hint="eastAsia" w:ascii="Times New Roman" w:hAnsi="Times New Roman" w:eastAsia="宋体" w:cs="Times New Roman"/>
                <w:color w:val="FF0000"/>
                <w:sz w:val="24"/>
                <w:szCs w:val="24"/>
                <w:u w:val="single"/>
                <w:lang w:val="en-US" w:eastAsia="zh-CN"/>
              </w:rPr>
              <w:t>183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项目名称</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lang w:val="hr-HR"/>
              </w:rPr>
              <w:t>阳新县全民所有自然资源资产清查试点工作项目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项目属性</w:t>
            </w:r>
          </w:p>
        </w:tc>
        <w:tc>
          <w:tcPr>
            <w:tcW w:w="6446"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采购人</w:t>
            </w:r>
          </w:p>
        </w:tc>
        <w:tc>
          <w:tcPr>
            <w:tcW w:w="6446"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阳新县自然资源和规划局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投标保证金</w:t>
            </w:r>
          </w:p>
        </w:tc>
        <w:tc>
          <w:tcPr>
            <w:tcW w:w="6446" w:type="dxa"/>
            <w:tcBorders>
              <w:top w:val="single" w:color="auto" w:sz="4" w:space="0"/>
              <w:left w:val="single" w:color="auto" w:sz="4" w:space="0"/>
              <w:bottom w:val="single" w:color="auto" w:sz="4" w:space="0"/>
            </w:tcBorders>
            <w:vAlign w:val="center"/>
          </w:tcPr>
          <w:p>
            <w:pP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本项目无须递交投标保证金，该文件涉及投标保证金的部分都将不作任何要求。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保证金</w:t>
            </w:r>
            <w:r>
              <w:rPr>
                <w:rFonts w:hint="eastAsia" w:ascii="Times New Roman" w:hAnsi="宋体" w:eastAsia="宋体" w:cs="Times New Roman"/>
                <w:sz w:val="24"/>
                <w:szCs w:val="24"/>
              </w:rPr>
              <w:t>账户信息</w:t>
            </w:r>
          </w:p>
        </w:tc>
        <w:tc>
          <w:tcPr>
            <w:tcW w:w="6446" w:type="dxa"/>
            <w:tcBorders>
              <w:top w:val="single" w:color="auto" w:sz="4" w:space="0"/>
              <w:left w:val="single" w:color="auto" w:sz="4" w:space="0"/>
              <w:bottom w:val="single" w:color="auto" w:sz="4" w:space="0"/>
            </w:tcBorders>
            <w:vAlign w:val="center"/>
          </w:tcPr>
          <w:p>
            <w:pPr>
              <w:rPr>
                <w:rFonts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投标文件份数</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正本</w:t>
            </w:r>
            <w:r>
              <w:rPr>
                <w:rFonts w:hint="eastAsia" w:ascii="Times New Roman" w:hAnsi="Times New Roman" w:eastAsia="宋体" w:cs="Times New Roman"/>
                <w:color w:val="0D0D0D"/>
                <w:sz w:val="24"/>
                <w:szCs w:val="24"/>
              </w:rPr>
              <w:t>一</w:t>
            </w:r>
            <w:r>
              <w:rPr>
                <w:rFonts w:ascii="Times New Roman" w:hAnsi="Times New Roman" w:eastAsia="宋体" w:cs="Times New Roman"/>
                <w:color w:val="0D0D0D"/>
                <w:sz w:val="24"/>
                <w:szCs w:val="24"/>
              </w:rPr>
              <w:t>份</w:t>
            </w:r>
            <w:r>
              <w:rPr>
                <w:rFonts w:hint="eastAsia" w:ascii="Times New Roman" w:hAnsi="Times New Roman" w:eastAsia="宋体" w:cs="Times New Roman"/>
                <w:color w:val="0D0D0D"/>
                <w:sz w:val="24"/>
                <w:szCs w:val="24"/>
              </w:rPr>
              <w:t>，</w:t>
            </w:r>
            <w:r>
              <w:rPr>
                <w:rFonts w:ascii="Times New Roman" w:hAnsi="Times New Roman" w:eastAsia="宋体" w:cs="Times New Roman"/>
                <w:color w:val="0D0D0D"/>
                <w:sz w:val="24"/>
                <w:szCs w:val="24"/>
              </w:rPr>
              <w:t>副本</w:t>
            </w:r>
            <w:r>
              <w:rPr>
                <w:rFonts w:hint="eastAsia" w:ascii="Times New Roman" w:hAnsi="Times New Roman" w:eastAsia="宋体" w:cs="Times New Roman"/>
                <w:color w:val="0D0D0D"/>
                <w:sz w:val="24"/>
                <w:szCs w:val="24"/>
              </w:rPr>
              <w:t>四</w:t>
            </w:r>
            <w:r>
              <w:rPr>
                <w:rFonts w:ascii="Times New Roman" w:hAnsi="Times New Roman" w:eastAsia="宋体" w:cs="Times New Roman"/>
                <w:color w:val="0D0D0D"/>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投标有效期</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宋体" w:hAnsi="宋体" w:eastAsia="宋体" w:cs="宋体"/>
                <w:color w:val="0D0D0D"/>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资格预审</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yellow"/>
              </w:rPr>
            </w:pPr>
            <w:r>
              <w:rPr>
                <w:rFonts w:hint="eastAsia" w:ascii="Times New Roman" w:hAnsi="Times New Roman" w:eastAsia="宋体" w:cs="Times New Roman"/>
                <w:color w:val="FF0000"/>
                <w:sz w:val="24"/>
                <w:szCs w:val="24"/>
                <w:highlight w:val="yellow"/>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投标文件递交时间</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开标时间</w:t>
            </w:r>
            <w:r>
              <w:rPr>
                <w:rFonts w:hint="eastAsia" w:ascii="Times New Roman" w:hAnsi="宋体" w:eastAsia="宋体" w:cs="Times New Roman"/>
                <w:sz w:val="24"/>
                <w:szCs w:val="24"/>
              </w:rPr>
              <w:t>、地点</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备选方案</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实物样品</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highlight w:val="yellow"/>
              </w:rPr>
              <w:t>不提交</w:t>
            </w:r>
          </w:p>
          <w:p>
            <w:pPr>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宋体" w:hAnsi="宋体" w:eastAsia="宋体" w:cs="宋体"/>
                <w:color w:val="000000"/>
                <w:sz w:val="24"/>
                <w:szCs w:val="24"/>
              </w:rPr>
              <w:t>现</w:t>
            </w:r>
            <w:r>
              <w:rPr>
                <w:rFonts w:hint="eastAsia" w:ascii="宋体" w:hAnsi="宋体" w:eastAsia="宋体" w:cs="宋体"/>
                <w:sz w:val="24"/>
                <w:szCs w:val="24"/>
              </w:rPr>
              <w:t>场考察</w:t>
            </w:r>
          </w:p>
        </w:tc>
        <w:tc>
          <w:tcPr>
            <w:tcW w:w="6446"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highlight w:val="yellow"/>
              </w:rPr>
              <w:t>不组织</w:t>
            </w:r>
          </w:p>
          <w:p>
            <w:pPr>
              <w:ind w:right="-105" w:rightChars="-50"/>
              <w:rPr>
                <w:rFonts w:ascii="Times New Roman" w:hAnsi="Times New Roman" w:eastAsia="宋体" w:cs="Times New Roman"/>
                <w:color w:val="0D0D0D"/>
                <w:sz w:val="24"/>
                <w:szCs w:val="24"/>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中标后分包</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rPr>
                <w:rFonts w:ascii="Times New Roman" w:hAnsi="Times New Roman" w:eastAsia="宋体" w:cs="Times New Roman"/>
                <w:color w:val="0D0D0D"/>
                <w:sz w:val="24"/>
                <w:szCs w:val="24"/>
                <w:highlight w:val="yellow"/>
              </w:rPr>
            </w:pPr>
            <w:r>
              <w:rPr>
                <w:rFonts w:hint="eastAsia" w:ascii="Times New Roman" w:hAnsi="Times New Roman" w:eastAsia="宋体" w:cs="Times New Roman"/>
                <w:color w:val="0D0D0D"/>
                <w:sz w:val="24"/>
                <w:szCs w:val="24"/>
              </w:rPr>
              <w:t>详见第三章“</w:t>
            </w:r>
            <w:r>
              <w:rPr>
                <w:rFonts w:hint="eastAsia" w:ascii="宋体" w:hAnsi="宋体" w:eastAsia="宋体" w:cs="Times New Roman"/>
                <w:color w:val="0D0D0D"/>
                <w:sz w:val="24"/>
                <w:szCs w:val="24"/>
              </w:rPr>
              <w:t>项目技术、服务及商务要求</w:t>
            </w:r>
            <w:r>
              <w:rPr>
                <w:rFonts w:hint="eastAsia" w:ascii="Times New Roman" w:hAnsi="Times New Roman" w:eastAsia="宋体" w:cs="Times New Roman"/>
                <w:color w:val="0D0D0D"/>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评标办法</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rPr>
            </w:pPr>
            <w:r>
              <w:rPr>
                <w:rFonts w:ascii="Times New Roman" w:hAnsi="Times New Roman" w:eastAsia="宋体" w:cs="Times New Roman"/>
                <w:color w:val="0D0D0D"/>
                <w:sz w:val="24"/>
                <w:szCs w:val="24"/>
              </w:rPr>
              <w:t>综合评分法</w:t>
            </w:r>
          </w:p>
          <w:p>
            <w:pPr>
              <w:rPr>
                <w:rFonts w:ascii="Times New Roman" w:hAnsi="Times New Roman" w:eastAsia="宋体" w:cs="Times New Roman"/>
                <w:color w:val="0D0D0D"/>
                <w:sz w:val="24"/>
                <w:szCs w:val="24"/>
                <w:lang w:val="zh-CN"/>
              </w:rPr>
            </w:pPr>
            <w:r>
              <w:rPr>
                <w:rFonts w:hint="eastAsia" w:ascii="Times New Roman" w:hAnsi="Times New Roman" w:eastAsia="宋体" w:cs="Times New Roman"/>
                <w:color w:val="0D0D0D"/>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中小企业</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监狱企业</w:t>
            </w:r>
          </w:p>
        </w:tc>
        <w:tc>
          <w:tcPr>
            <w:tcW w:w="6446"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73"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19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质疑及提交</w:t>
            </w:r>
          </w:p>
        </w:tc>
        <w:tc>
          <w:tcPr>
            <w:tcW w:w="6446"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D0D0D"/>
                <w:sz w:val="24"/>
                <w:szCs w:val="24"/>
              </w:rPr>
            </w:pPr>
            <w:r>
              <w:rPr>
                <w:rFonts w:hint="eastAsia" w:cs="Times New Roman" w:asciiTheme="minorEastAsia" w:hAnsiTheme="minorEastAsia"/>
                <w:color w:val="0D0D0D"/>
                <w:sz w:val="24"/>
                <w:szCs w:val="24"/>
              </w:rPr>
              <w:t>详见本章“质疑及提交”要求</w:t>
            </w:r>
          </w:p>
        </w:tc>
      </w:tr>
    </w:tbl>
    <w:p>
      <w:pPr>
        <w:keepNext/>
        <w:keepLines/>
        <w:numPr>
          <w:ilvl w:val="0"/>
          <w:numId w:val="3"/>
        </w:numPr>
        <w:spacing w:before="100" w:beforeAutospacing="1" w:after="100" w:afterAutospacing="1" w:line="360" w:lineRule="auto"/>
        <w:ind w:left="482" w:hanging="482" w:hangingChars="150"/>
        <w:outlineLvl w:val="1"/>
        <w:rPr>
          <w:rFonts w:ascii="黑体" w:hAnsi="黑体" w:eastAsia="黑体" w:cs="Times New Roman"/>
          <w:b/>
          <w:bCs/>
          <w:sz w:val="32"/>
          <w:szCs w:val="32"/>
          <w:lang w:val="zh-CN"/>
        </w:rPr>
      </w:pPr>
      <w:bookmarkStart w:id="4" w:name="_Toc494561938"/>
      <w:r>
        <w:rPr>
          <w:rFonts w:ascii="黑体" w:hAnsi="黑体" w:eastAsia="黑体" w:cs="Times New Roman"/>
          <w:b/>
          <w:bCs/>
          <w:sz w:val="32"/>
          <w:szCs w:val="32"/>
          <w:lang w:val="zh-CN"/>
        </w:rPr>
        <w:br w:type="page"/>
      </w:r>
    </w:p>
    <w:p>
      <w:pPr>
        <w:pStyle w:val="4"/>
        <w:numPr>
          <w:ilvl w:val="0"/>
          <w:numId w:val="4"/>
        </w:numPr>
        <w:spacing w:before="40" w:after="40" w:line="360" w:lineRule="auto"/>
        <w:ind w:left="658" w:hanging="658"/>
        <w:jc w:val="left"/>
        <w:rPr>
          <w:rFonts w:cs="Times New Roman" w:asciiTheme="majorEastAsia" w:hAnsiTheme="majorEastAsia"/>
          <w:bCs w:val="0"/>
          <w:lang w:val="zh-CN"/>
        </w:rPr>
      </w:pPr>
      <w:bookmarkStart w:id="5" w:name="_Toc495861520"/>
      <w:r>
        <w:rPr>
          <w:rFonts w:hint="eastAsia" w:cs="Times New Roman" w:asciiTheme="majorEastAsia" w:hAnsiTheme="majorEastAsia"/>
          <w:bCs w:val="0"/>
          <w:lang w:val="zh-CN"/>
        </w:rPr>
        <w:t>说  明</w:t>
      </w:r>
      <w:bookmarkEnd w:id="4"/>
      <w:bookmarkEnd w:id="5"/>
    </w:p>
    <w:p>
      <w:pPr>
        <w:numPr>
          <w:ilvl w:val="0"/>
          <w:numId w:val="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pPr>
        <w:numPr>
          <w:ilvl w:val="0"/>
          <w:numId w:val="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pPr>
        <w:numPr>
          <w:ilvl w:val="0"/>
          <w:numId w:val="6"/>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cs="Times New Roman" w:asciiTheme="minorEastAsia" w:hAnsiTheme="minorEastAsia"/>
          <w:sz w:val="24"/>
          <w:szCs w:val="24"/>
          <w:lang w:val="zh-CN"/>
        </w:rPr>
        <w:t>详见第一章“投标邀请书”。</w:t>
      </w:r>
    </w:p>
    <w:p>
      <w:pPr>
        <w:numPr>
          <w:ilvl w:val="0"/>
          <w:numId w:val="6"/>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“监管部门”是指：</w:t>
      </w:r>
      <w:r>
        <w:rPr>
          <w:rFonts w:hint="eastAsia" w:cs="Helvetica" w:asciiTheme="minorEastAsia" w:hAnsiTheme="minorEastAsia"/>
          <w:kern w:val="0"/>
          <w:sz w:val="24"/>
          <w:szCs w:val="24"/>
          <w:lang w:val="zh-CN"/>
        </w:rPr>
        <w:t>阳新县政府采购办公室、阳新县公共资源交易监督管理局</w:t>
      </w:r>
      <w:r>
        <w:rPr>
          <w:rFonts w:hint="eastAsia" w:cs="Times New Roman" w:asciiTheme="minorEastAsia" w:hAnsiTheme="minorEastAsia"/>
          <w:color w:val="FF0000"/>
          <w:sz w:val="24"/>
          <w:szCs w:val="24"/>
          <w:lang w:val="zh-CN"/>
        </w:rPr>
        <w:t>。</w:t>
      </w:r>
    </w:p>
    <w:p>
      <w:pPr>
        <w:numPr>
          <w:ilvl w:val="0"/>
          <w:numId w:val="6"/>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“采购机构”是指：</w:t>
      </w:r>
      <w:r>
        <w:rPr>
          <w:rFonts w:hint="eastAsia" w:cs="Helvetica" w:asciiTheme="minorEastAsia" w:hAnsiTheme="minorEastAsia"/>
          <w:kern w:val="0"/>
          <w:sz w:val="24"/>
          <w:szCs w:val="24"/>
          <w:lang w:val="zh-CN"/>
        </w:rPr>
        <w:t>中新创达咨询有限公司。</w:t>
      </w:r>
    </w:p>
    <w:p>
      <w:pPr>
        <w:numPr>
          <w:ilvl w:val="0"/>
          <w:numId w:val="6"/>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pPr>
        <w:numPr>
          <w:ilvl w:val="0"/>
          <w:numId w:val="6"/>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pPr>
        <w:numPr>
          <w:ilvl w:val="0"/>
          <w:numId w:val="6"/>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pPr>
        <w:numPr>
          <w:ilvl w:val="0"/>
          <w:numId w:val="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pPr>
        <w:numPr>
          <w:ilvl w:val="0"/>
          <w:numId w:val="8"/>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招标文件中没有提及招标货物来源地的，根据《政府采购法》及相关规定均应是本国货物，另有规定的除外。</w:t>
      </w:r>
    </w:p>
    <w:p>
      <w:pPr>
        <w:numPr>
          <w:ilvl w:val="0"/>
          <w:numId w:val="8"/>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7"/>
        </w:numPr>
        <w:spacing w:line="360" w:lineRule="auto"/>
        <w:ind w:left="476" w:hanging="476"/>
        <w:rPr>
          <w:rFonts w:cs="Times New Roman" w:asciiTheme="minorEastAsia" w:hAnsiTheme="minorEastAsia"/>
          <w:b/>
          <w:color w:val="0D0D0D"/>
          <w:sz w:val="24"/>
          <w:szCs w:val="24"/>
          <w:lang w:val="zh-CN"/>
        </w:rPr>
      </w:pPr>
      <w:r>
        <w:rPr>
          <w:rFonts w:hint="eastAsia" w:cs="Times New Roman" w:asciiTheme="minorEastAsia" w:hAnsiTheme="minorEastAsia"/>
          <w:b/>
          <w:color w:val="0D0D0D"/>
          <w:sz w:val="24"/>
          <w:szCs w:val="24"/>
          <w:lang w:val="zh-CN"/>
        </w:rPr>
        <w:t>“工程”是指</w:t>
      </w:r>
      <w:r>
        <w:rPr>
          <w:rFonts w:hint="eastAsia" w:cs="Times New Roman" w:asciiTheme="minorEastAsia" w:hAnsiTheme="minorEastAsia"/>
          <w:color w:val="0D0D0D"/>
          <w:sz w:val="24"/>
          <w:szCs w:val="24"/>
          <w:lang w:val="zh-CN"/>
        </w:rPr>
        <w:t>：与建筑物和构筑物的新建、改建、扩建及其相关的装修、拆除、修缮无关的工程。</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w:t>
      </w:r>
      <w:r>
        <w:rPr>
          <w:rFonts w:hint="eastAsia" w:cs="Times New Roman" w:asciiTheme="minorEastAsia" w:hAnsiTheme="minorEastAsia"/>
          <w:b/>
          <w:color w:val="0C0C0C" w:themeColor="text1" w:themeTint="F2"/>
          <w:sz w:val="24"/>
          <w:szCs w:val="24"/>
          <w:lang w:val="zh-CN"/>
        </w:rPr>
        <w:t>是指：</w:t>
      </w:r>
      <w:r>
        <w:rPr>
          <w:rFonts w:hint="eastAsia" w:cs="Times New Roman" w:asciiTheme="minorEastAsia" w:hAnsiTheme="minorEastAsia"/>
          <w:color w:val="0C0C0C" w:themeColor="text1" w:themeTint="F2"/>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7"/>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pPr>
        <w:numPr>
          <w:ilvl w:val="0"/>
          <w:numId w:val="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投标人应承担所有与准备和参加投标有关的费用。不论投标的结果如何，采购代理机构和采购人均无义务和责任承担这些费用。</w:t>
      </w:r>
    </w:p>
    <w:p>
      <w:pPr>
        <w:pStyle w:val="42"/>
        <w:numPr>
          <w:ilvl w:val="0"/>
          <w:numId w:val="9"/>
        </w:numPr>
        <w:adjustRightInd w:val="0"/>
        <w:snapToGrid w:val="0"/>
        <w:spacing w:line="300" w:lineRule="auto"/>
        <w:ind w:firstLineChars="0"/>
        <w:rPr>
          <w:rFonts w:ascii="宋体" w:hAnsi="宋体"/>
          <w:bCs/>
          <w:sz w:val="24"/>
          <w:szCs w:val="24"/>
        </w:rPr>
      </w:pPr>
      <w:r>
        <w:rPr>
          <w:rFonts w:hint="eastAsia" w:ascii="宋体" w:hAnsi="宋体"/>
          <w:sz w:val="24"/>
          <w:szCs w:val="24"/>
        </w:rPr>
        <w:t>采购代理服务费</w:t>
      </w:r>
    </w:p>
    <w:p>
      <w:pPr>
        <w:pStyle w:val="42"/>
        <w:ind w:left="420" w:firstLine="0" w:firstLineChars="0"/>
        <w:rPr>
          <w:rFonts w:ascii="宋体" w:hAnsi="宋体"/>
          <w:b/>
          <w:sz w:val="24"/>
          <w:szCs w:val="24"/>
        </w:rPr>
      </w:pPr>
      <w:r>
        <w:rPr>
          <w:rFonts w:hint="eastAsia" w:ascii="宋体" w:hAnsi="宋体"/>
          <w:b/>
          <w:sz w:val="24"/>
          <w:szCs w:val="24"/>
        </w:rPr>
        <w:t>经过采购代理机构与采购人协议，规定由中标单位支付。采购代理服务费收费标准如下：</w:t>
      </w:r>
    </w:p>
    <w:p>
      <w:pPr>
        <w:pStyle w:val="42"/>
        <w:ind w:left="420" w:firstLine="0" w:firstLineChars="0"/>
        <w:rPr>
          <w:rFonts w:ascii="宋体" w:hAnsi="宋体"/>
          <w:sz w:val="24"/>
          <w:szCs w:val="24"/>
        </w:rPr>
      </w:pPr>
    </w:p>
    <w:tbl>
      <w:tblPr>
        <w:tblStyle w:val="21"/>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101600</wp:posOffset>
                      </wp:positionV>
                      <wp:extent cx="1410970" cy="869950"/>
                      <wp:effectExtent l="2540" t="3810" r="15240" b="21590"/>
                      <wp:wrapNone/>
                      <wp:docPr id="2" name="Line 16"/>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6" o:spid="_x0000_s1026" o:spt="20" style="position:absolute;left:0pt;flip:x y;margin-left:-1.05pt;margin-top:8pt;height:68.5pt;width:111.1pt;z-index:251660288;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CXywK68wEAAAEEAAAOAAAAZHJzL2Uyb0RvYy54bWytU8tu2zAQvBfo&#10;PxC817KM2o0FyznETXsI2gB93GlyJRHgC1zasv++S8ox0vTiQ3UQltzl7M5wuLk/WcOOEFF71/J6&#10;NucMnPRKu77lv34+frjjDJNwShjvoOVnQH6/ff9uM4YGFn7wRkFkBOKwGUPLh5RCU1UoB7ACZz6A&#10;o2TnoxWJlrGvVBQjoVtTLebzVTX6qEL0EhBpdzcl+QUx3gLou05L2Hl5sODShBrBiESUcNAB+bZM&#10;23Ug0/euQ0jMtJyYpvKnJhTv87/abkTTRxEGLS8jiFtGeMPJCu2o6RVqJ5Jgh6j/gbJaRo++SzPp&#10;bTURKYoQi3r+RpsfgwhQuJDUGK6i4/+Dld+Oz5Fp1fIFZ05YuvAn7YDVqyzNGLChigf3HC8rDM8x&#10;8zx10bLO6PCVPMRL9DtHOUes2KlIfL5KDKfEJG3WH+v5+hOpLyl3t1qvl+UOqgkxnw4R0xfwluWg&#10;5YamKaji+ISJpqDSl5JcbhwbW75eLpaEKciPHfmAQhuIE7q+nEVvtHrUxuQTGPv9g4nsKLInype5&#10;Eu5fZbnJTuAw1ZXU5JYBhPrsFEvnQGo5eiQ8j2BBcWaA3lSOCFA0SWhzSyW1Ni4fgOLYC88s/iR3&#10;jvZenemmDiHqfiBd6jJzzpAzyvQXF2frvV5T/Prlb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EZzrNEAAAAJAQAADwAAAAAAAAABACAAAAAiAAAAZHJzL2Rvd25yZXYueG1sUEsBAhQAFAAAAAgA&#10;h07iQJfLArrzAQAAAQQAAA4AAAAAAAAAAQAgAAAAIAEAAGRycy9lMm9Eb2MueG1sUEsFBgAAAAAG&#10;AAYAWQEAAIUFA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3" name="Line 17"/>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7" o:spid="_x0000_s1026" o:spt="20" style="position:absolute;left:0pt;flip:x y;margin-left:-5.15pt;margin-top:4.3pt;height:33.15pt;width:125.75pt;z-index:251661312;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ho/rUu8BAAABBAAADgAAAGRycy9lMm9Eb2MueG1srVPLbtsw&#10;ELwX6D8QvNeS3LppBMs5xE17CFoDbXqn+ZAI8AUubdl/3yWlGGl68SE6EEvucHZntFzfnawhRxlB&#10;e9fRZlFTIh33Qru+o0+/Hz58oQQSc4IZ72RHzxLo3eb9u/UYWrn0gzdCRoIkDtoxdHRIKbRVBXyQ&#10;lsHCB+kwqXy0LOE29pWIbER2a6plXX+uRh9FiJ5LADzdTkk6M8ZrCL1Smsut5wcrXZpYozQsoSQY&#10;dAC6Kd0qJXn6qRTIRExHUWkqKxbBeJ/XarNmbR9ZGDSfW2DXtPBKk2XaYdEL1ZYlRg5R/0dlNY8e&#10;vEoL7m01CSmOoIqmfuXNr4EFWbSg1RAupsPb0fIfx10kWnT0IyWOWfzhj9pJ0txka8YALSLu3S7O&#10;Owi7mHWeVLREGR2+4wzREv3JUc6hKnIqFp8vFstTIhwPm9XtTb1cUcIx92nZ1PUqF6omxnw7REjf&#10;pLckBx012E1hZcdHSBP0GZLhxpGxo7erwslwHhXOAdLbgJrA9eUueKPFgzYm34DY7+9NJEeWZ6J8&#10;cwv/wHKRLYNhwpVUhrF2kEx8dYKkc0C3HD4SmluwUlBiJL6pHBVkYtpcg0T1xmVqWSZ21pnNn+zO&#10;0d6LM/6pQ4i6H9CXpvScMzgZxcB5ivPovdxj/PLlbv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3i4ChtUAAAAIAQAADwAAAAAAAAABACAAAAAiAAAAZHJzL2Rvd25yZXYueG1sUEsBAhQAFAAAAAgA&#10;h07iQIaP61LvAQAAAQQAAA4AAAAAAAAAAQAgAAAAJAEAAGRycy9lMm9Eb2MueG1sUEsFBgAAAAAG&#10;AAYAWQEAAIUFA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5" o:spid="_x0000_s1026" o:spt="20" style="position:absolute;left:0pt;margin-left:-9pt;margin-top:-0.5pt;height:0pt;width:0.05pt;z-index:25165926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BZwNwNwBAADkAwAADgAAAGRycy9lMm9Eb2MueG1srVNNb9sw&#10;DL0P2H8QdF+cpEixGXF6aNpdii3Ath+gSJQtQF8QlTj596PkNOu6Sw7zQaYk8pHvkVo/nJxlR0ho&#10;gu/4YjbnDLwMyvi+479+Pn/6zBlm4ZWwwUPHz4D8YfPxw3qMLSzDEKyCxAjEYzvGjg85x7ZpUA7g&#10;BM5CBE+XOiQnMm1T36gkRkJ3tlnO5/fNGJKKKUhApNPtdMkviOkWwKC1kbAN8uDA5wk1gRWZKOFg&#10;IvJNrVZrkPm71giZ2Y4T01xXSkL2vqzNZi3aPok4GHkpQdxSwjtOThhPSa9QW5EFOyTzD5QzMgUM&#10;Os9kcM1EpCpCLBbzd9r8GESEyoWkxngVHf8frPx23CVmFE0CZ144aviL8cAWqyLNGLElj0e/S5cd&#10;xl0qPE86ufInBuxU5Txf5YRTZpIO7+9WnMnX8+ZPUEyYv0JwrBgdt5SwiieOL5gpEbm+upQc1rOx&#10;419WywInaOQ0tZpMF6ls9H2NxWCNejbWlghM/f7RJnYUpe31K3QI9y+3kmQrcJj86tU0EAMI9eQV&#10;y+dIgnh6B7yU4EBxZoGeTbEIULRZGHuLJ6W2vgRAHcoLz6LvpGix9kGdqRmHmEw/kC6LWnO5oebX&#10;6i+DWqbr7Z7st49z8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rkdN+1QAAAAkBAAAPAAAAAAAA&#10;AAEAIAAAACIAAABkcnMvZG93bnJldi54bWxQSwECFAAUAAAACACHTuJABZwNwNwBAADkAwAADgAA&#10;AAAAAAABACAAAAAkAQAAZHJzL2Uyb0RvYy54bWxQSwUGAAAAAAYABgBZAQAAcgUAAAAA&#10;">
                      <v:fill on="f" focussize="0,0"/>
                      <v:stroke color="#000000" joinstyle="round"/>
                      <v:imagedata o:title=""/>
                      <o:lock v:ext="edit" aspectratio="f"/>
                    </v:line>
                  </w:pict>
                </mc:Fallback>
              </mc:AlternateContent>
            </w:r>
            <w:r>
              <w:rPr>
                <w:rFonts w:hint="eastAsia" w:ascii="宋体" w:hAnsi="宋体" w:cs="宋体"/>
                <w:sz w:val="24"/>
                <w:szCs w:val="24"/>
              </w:rPr>
              <w:t>招标类型　　　</w:t>
            </w:r>
          </w:p>
          <w:p>
            <w:pPr>
              <w:spacing w:line="300" w:lineRule="auto"/>
              <w:ind w:firstLine="998" w:firstLineChars="416"/>
              <w:rPr>
                <w:rFonts w:ascii="宋体" w:hAnsi="宋体" w:cs="宋体"/>
                <w:sz w:val="24"/>
                <w:szCs w:val="24"/>
              </w:rPr>
            </w:pPr>
            <w:r>
              <w:rPr>
                <w:rFonts w:hint="eastAsia" w:ascii="宋体" w:hAnsi="宋体" w:cs="宋体"/>
                <w:bCs/>
                <w:sz w:val="24"/>
                <w:szCs w:val="24"/>
              </w:rPr>
              <w:t>中标</w:t>
            </w:r>
            <w:r>
              <w:rPr>
                <w:rFonts w:hint="eastAsia" w:ascii="宋体" w:hAnsi="宋体" w:cs="宋体"/>
                <w:sz w:val="24"/>
                <w:szCs w:val="24"/>
              </w:rPr>
              <w:t xml:space="preserve">　　　 </w:t>
            </w:r>
          </w:p>
          <w:p>
            <w:pPr>
              <w:spacing w:line="300" w:lineRule="auto"/>
              <w:ind w:firstLine="1504" w:firstLineChars="627"/>
              <w:rPr>
                <w:rFonts w:ascii="宋体" w:hAnsi="宋体" w:cs="宋体"/>
                <w:bCs/>
                <w:sz w:val="24"/>
                <w:szCs w:val="24"/>
              </w:rPr>
            </w:pPr>
            <w:r>
              <w:rPr>
                <w:rFonts w:hint="eastAsia" w:ascii="宋体" w:hAnsi="宋体" w:cs="宋体"/>
                <w:bCs/>
                <w:sz w:val="24"/>
                <w:szCs w:val="24"/>
              </w:rPr>
              <w:t>费率</w:t>
            </w:r>
          </w:p>
          <w:p>
            <w:pPr>
              <w:spacing w:line="300" w:lineRule="auto"/>
              <w:rPr>
                <w:rFonts w:ascii="宋体" w:hAnsi="宋体" w:cs="宋体"/>
                <w:sz w:val="24"/>
                <w:szCs w:val="24"/>
              </w:rPr>
            </w:pPr>
            <w:r>
              <w:rPr>
                <w:rFonts w:hint="eastAsia" w:ascii="宋体" w:hAnsi="宋体" w:cs="宋体"/>
                <w:sz w:val="24"/>
                <w:szCs w:val="24"/>
              </w:rPr>
              <w:t>金额（万元）</w:t>
            </w:r>
          </w:p>
        </w:tc>
        <w:tc>
          <w:tcPr>
            <w:tcW w:w="2470" w:type="dxa"/>
            <w:vAlign w:val="center"/>
          </w:tcPr>
          <w:p>
            <w:pPr>
              <w:spacing w:line="300" w:lineRule="auto"/>
              <w:jc w:val="center"/>
              <w:rPr>
                <w:rFonts w:ascii="宋体" w:hAnsi="宋体" w:cs="宋体"/>
                <w:sz w:val="24"/>
                <w:szCs w:val="24"/>
              </w:rPr>
            </w:pPr>
            <w:r>
              <w:rPr>
                <w:rFonts w:hint="eastAsia" w:ascii="宋体" w:hAnsi="宋体" w:cs="宋体"/>
                <w:sz w:val="24"/>
                <w:szCs w:val="24"/>
              </w:rPr>
              <w:t>货物招标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服务招标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100以下</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100-500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1.1%</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500-1000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0.45%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0.55％</w:t>
            </w:r>
          </w:p>
        </w:tc>
      </w:tr>
    </w:tbl>
    <w:p>
      <w:pPr>
        <w:pStyle w:val="42"/>
        <w:adjustRightInd w:val="0"/>
        <w:snapToGrid w:val="0"/>
        <w:spacing w:line="300" w:lineRule="auto"/>
        <w:ind w:left="420" w:firstLine="0" w:firstLineChars="0"/>
        <w:rPr>
          <w:rFonts w:ascii="宋体" w:hAnsi="宋体"/>
          <w:sz w:val="24"/>
          <w:szCs w:val="24"/>
        </w:rPr>
      </w:pPr>
    </w:p>
    <w:p>
      <w:pPr>
        <w:pStyle w:val="4"/>
        <w:numPr>
          <w:ilvl w:val="0"/>
          <w:numId w:val="4"/>
        </w:numPr>
        <w:spacing w:before="40" w:after="40" w:line="360" w:lineRule="auto"/>
        <w:ind w:left="658" w:hanging="658"/>
        <w:jc w:val="left"/>
        <w:rPr>
          <w:rFonts w:cs="Times New Roman" w:asciiTheme="majorEastAsia" w:hAnsiTheme="majorEastAsia"/>
          <w:bCs w:val="0"/>
          <w:lang w:val="zh-CN"/>
        </w:rPr>
      </w:pPr>
      <w:bookmarkStart w:id="6" w:name="_Toc272247695"/>
      <w:bookmarkStart w:id="7" w:name="_Toc278891592"/>
      <w:bookmarkStart w:id="8" w:name="_Toc494561939"/>
      <w:bookmarkStart w:id="9" w:name="_Toc495861521"/>
      <w:r>
        <w:rPr>
          <w:rFonts w:hint="eastAsia" w:cs="Times New Roman" w:asciiTheme="majorEastAsia" w:hAnsiTheme="majorEastAsia"/>
          <w:bCs w:val="0"/>
          <w:lang w:val="zh-CN"/>
        </w:rPr>
        <w:t>招标文件</w:t>
      </w:r>
      <w:bookmarkEnd w:id="6"/>
      <w:bookmarkEnd w:id="7"/>
      <w:bookmarkEnd w:id="8"/>
      <w:bookmarkEnd w:id="9"/>
    </w:p>
    <w:p>
      <w:pPr>
        <w:numPr>
          <w:ilvl w:val="0"/>
          <w:numId w:val="5"/>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在招标过程中由采购机构发出的修正和补充文件等</w:t>
      </w:r>
    </w:p>
    <w:p>
      <w:pPr>
        <w:numPr>
          <w:ilvl w:val="0"/>
          <w:numId w:val="5"/>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pPr>
        <w:numPr>
          <w:ilvl w:val="0"/>
          <w:numId w:val="10"/>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潜在投标人对招标文件有疑问的，可以向采购机构提出询问，或在6.2规定的时间前以书面的形式向采购机构提交疑问函。</w:t>
      </w:r>
    </w:p>
    <w:p>
      <w:pPr>
        <w:numPr>
          <w:ilvl w:val="0"/>
          <w:numId w:val="10"/>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潜在投标人在项目招标公告期限届满之日起7个工作日内未对招标文件提出疑问的，采购机构将视其认同招标文件，在规定的时间后就招标文件内容提出的疑问将不予受理。</w:t>
      </w:r>
    </w:p>
    <w:p>
      <w:pPr>
        <w:numPr>
          <w:ilvl w:val="0"/>
          <w:numId w:val="10"/>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机构将组织采购人对潜在投标人所提交疑问以书面（或网上公告）的形式予以答复。必要时，采购机构将组织相关专家召开答疑会，并将会议内容以书面的形式发给每个领取招标文件的潜在投标人（答复中不包括问题的来源）。</w:t>
      </w:r>
    </w:p>
    <w:p>
      <w:pPr>
        <w:numPr>
          <w:ilvl w:val="0"/>
          <w:numId w:val="5"/>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pPr>
        <w:numPr>
          <w:ilvl w:val="0"/>
          <w:numId w:val="11"/>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采购机构和采购人可以对已发出的招标文件进行必要的澄清或者修改。</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澄清或者修改将在原公告发布媒体上发布澄清公告。澄清或者修改的内容可能影响投标文件编制的，采购机构和采购人将在投标截止时间至少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日前，以书面</w:t>
      </w:r>
      <w:r>
        <w:rPr>
          <w:rFonts w:hint="eastAsia" w:ascii="宋体" w:hAnsi="宋体" w:eastAsia="宋体" w:cs="Times New Roman"/>
          <w:sz w:val="24"/>
          <w:szCs w:val="20"/>
          <w:lang w:val="zh-CN"/>
        </w:rPr>
        <w:t>（或网上公告）</w:t>
      </w:r>
      <w:r>
        <w:rPr>
          <w:rFonts w:hint="eastAsia" w:ascii="Helvetica" w:hAnsi="Helvetica" w:eastAsia="宋体" w:cs="Helvetica"/>
          <w:kern w:val="0"/>
          <w:sz w:val="24"/>
          <w:szCs w:val="24"/>
          <w:lang w:val="zh-CN"/>
        </w:rPr>
        <w:t>形式通知所有获取招标文件的潜在投标人。</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为使潜在投标人有充足时间对招标文件的澄清或者修改的内容进行研究和响应，采购机构和采购人可适当顺延提交投标文件的截止时间，并以书面（或网上公告）的形式通知所有领取招标文件的潜在投标人。</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w:t>
      </w:r>
    </w:p>
    <w:p>
      <w:pPr>
        <w:numPr>
          <w:ilvl w:val="0"/>
          <w:numId w:val="5"/>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4"/>
        </w:numPr>
        <w:spacing w:before="40" w:after="40" w:line="360" w:lineRule="auto"/>
        <w:ind w:left="658" w:hanging="658"/>
        <w:jc w:val="left"/>
        <w:rPr>
          <w:rFonts w:cs="Times New Roman" w:asciiTheme="majorEastAsia" w:hAnsiTheme="majorEastAsia"/>
          <w:bCs w:val="0"/>
          <w:lang w:val="zh-CN"/>
        </w:rPr>
      </w:pPr>
      <w:bookmarkStart w:id="10" w:name="_Toc278891593"/>
      <w:bookmarkStart w:id="11" w:name="_Toc272247696"/>
      <w:bookmarkStart w:id="12" w:name="_Toc495861522"/>
      <w:bookmarkStart w:id="13" w:name="_Toc494561940"/>
      <w:r>
        <w:rPr>
          <w:rFonts w:hint="eastAsia" w:cs="Times New Roman" w:asciiTheme="majorEastAsia" w:hAnsiTheme="majorEastAsia"/>
          <w:bCs w:val="0"/>
          <w:lang w:val="zh-CN"/>
        </w:rPr>
        <w:t>投标文件</w:t>
      </w:r>
      <w:bookmarkEnd w:id="10"/>
      <w:bookmarkEnd w:id="11"/>
      <w:bookmarkEnd w:id="12"/>
      <w:bookmarkEnd w:id="13"/>
    </w:p>
    <w:p>
      <w:pPr>
        <w:numPr>
          <w:ilvl w:val="0"/>
          <w:numId w:val="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采购机构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如招标文件有分包要求，投标人对招标文件中多个包进行投标的，其投标文件的编制应按每包要求分别装订和封装，并注明对应包号。</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投标人应按照招标文件第七章“投标文件格式”提供的《投标书》、《开标一览表》、《投标报价明细表》、《法定代表人授权书》等格式、要求、规定来编制投标文件。</w:t>
      </w:r>
    </w:p>
    <w:p>
      <w:pPr>
        <w:numPr>
          <w:ilvl w:val="0"/>
          <w:numId w:val="13"/>
        </w:numPr>
        <w:spacing w:line="360" w:lineRule="auto"/>
        <w:ind w:left="616" w:hanging="616"/>
        <w:rPr>
          <w:rFonts w:cs="Times New Roman" w:asciiTheme="minorEastAsia" w:hAnsiTheme="minorEastAsia"/>
          <w:color w:val="0C0C0C" w:themeColor="text1" w:themeTint="F2"/>
          <w:sz w:val="24"/>
          <w:szCs w:val="24"/>
          <w:lang w:val="zh-CN"/>
        </w:rPr>
      </w:pPr>
      <w:r>
        <w:rPr>
          <w:rFonts w:hint="eastAsia" w:cs="Times New Roman" w:asciiTheme="minorEastAsia" w:hAnsiTheme="minorEastAsia"/>
          <w:color w:val="0C0C0C" w:themeColor="text1" w:themeTint="F2"/>
          <w:sz w:val="24"/>
          <w:szCs w:val="24"/>
          <w:lang w:val="zh-CN"/>
        </w:rPr>
        <w:t>投标人应对投标文件中所提供资料的真实性负责，如有虚假，将依法承担相应责任。投标人应自觉接受采购机构对其中任何资料进一步核实的要求。</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投标文件用纸应统一为A4规格（图纸除外）。</w:t>
      </w:r>
    </w:p>
    <w:p>
      <w:pPr>
        <w:numPr>
          <w:ilvl w:val="0"/>
          <w:numId w:val="13"/>
        </w:numPr>
        <w:spacing w:line="360" w:lineRule="auto"/>
        <w:ind w:left="616" w:hanging="616"/>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投标人应将投标文件第一部分资格证明文件、第二部分商务文件、第三部分技术、服务文件</w:t>
      </w:r>
      <w:r>
        <w:rPr>
          <w:rFonts w:hint="eastAsia" w:cs="Times New Roman" w:asciiTheme="minorEastAsia" w:hAnsiTheme="minorEastAsia"/>
          <w:b/>
          <w:sz w:val="24"/>
          <w:szCs w:val="24"/>
          <w:highlight w:val="yellow"/>
          <w:lang w:val="zh-CN"/>
        </w:rPr>
        <w:t>合并</w:t>
      </w:r>
      <w:r>
        <w:rPr>
          <w:rFonts w:hint="eastAsia" w:cs="Times New Roman" w:asciiTheme="minorEastAsia" w:hAnsiTheme="minorEastAsia"/>
          <w:b/>
          <w:sz w:val="24"/>
          <w:szCs w:val="24"/>
          <w:lang w:val="zh-CN"/>
        </w:rPr>
        <w:t>编制装订，分别逐页连续标注页码，建立目录索引。</w:t>
      </w:r>
      <w:r>
        <w:rPr>
          <w:rFonts w:hint="eastAsia" w:ascii="宋体" w:hAnsi="宋体" w:eastAsia="宋体" w:cs="Times New Roman"/>
          <w:b/>
          <w:sz w:val="24"/>
          <w:szCs w:val="20"/>
          <w:lang w:val="zh-CN"/>
        </w:rPr>
        <w:t>各部分文件及内容详见第七章“投标文件格式”要求。</w:t>
      </w:r>
    </w:p>
    <w:p>
      <w:pPr>
        <w:numPr>
          <w:ilvl w:val="0"/>
          <w:numId w:val="13"/>
        </w:numPr>
        <w:spacing w:line="360" w:lineRule="auto"/>
        <w:ind w:left="616" w:hanging="616"/>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《投标报价明细表》填写时应响应下列要求：</w:t>
      </w:r>
    </w:p>
    <w:p>
      <w:pPr>
        <w:numPr>
          <w:ilvl w:val="0"/>
          <w:numId w:val="15"/>
        </w:numPr>
        <w:spacing w:line="360" w:lineRule="auto"/>
        <w:ind w:left="980" w:hanging="854"/>
        <w:rPr>
          <w:rFonts w:cs="Times New Roman" w:asciiTheme="minorEastAsia" w:hAnsiTheme="minorEastAsia"/>
          <w:sz w:val="24"/>
          <w:szCs w:val="24"/>
          <w:lang w:val="zh-CN"/>
        </w:rPr>
      </w:pPr>
      <w:r>
        <w:rPr>
          <w:rFonts w:hint="eastAsia" w:ascii="宋体" w:hAnsi="宋体"/>
          <w:sz w:val="24"/>
        </w:rPr>
        <w:t>应包括所有根据合同或其他原因由投标人支付的款项、费用</w:t>
      </w:r>
      <w:r>
        <w:rPr>
          <w:rFonts w:hint="eastAsia" w:cs="Times New Roman" w:asciiTheme="minorEastAsia" w:hAnsiTheme="minorEastAsia"/>
          <w:sz w:val="24"/>
          <w:szCs w:val="24"/>
          <w:lang w:val="zh-CN"/>
        </w:rPr>
        <w:t>；</w:t>
      </w:r>
    </w:p>
    <w:p>
      <w:pPr>
        <w:numPr>
          <w:ilvl w:val="0"/>
          <w:numId w:val="15"/>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应包含货物运至最终目的地的运输、保险和伴随货物（工程或服务）的有关费用；</w:t>
      </w:r>
    </w:p>
    <w:p>
      <w:pPr>
        <w:numPr>
          <w:ilvl w:val="0"/>
          <w:numId w:val="15"/>
        </w:numPr>
        <w:spacing w:line="360" w:lineRule="auto"/>
        <w:ind w:left="980" w:hanging="854"/>
        <w:rPr>
          <w:rFonts w:cs="Courier New" w:asciiTheme="minorEastAsia" w:hAnsiTheme="minorEastAsia"/>
          <w:sz w:val="24"/>
          <w:szCs w:val="24"/>
          <w:lang w:val="zh-CN"/>
        </w:rPr>
      </w:pPr>
      <w:r>
        <w:rPr>
          <w:rFonts w:hint="eastAsia" w:cs="Times New Roman" w:asciiTheme="minorEastAsia" w:hAnsiTheme="minorEastAsia"/>
          <w:sz w:val="24"/>
          <w:szCs w:val="24"/>
          <w:lang w:val="zh-CN"/>
        </w:rPr>
        <w:t>应详细提供《投标报价明细表》和《投标货物、服务清单》等内容，否则按照</w:t>
      </w:r>
      <w:r>
        <w:rPr>
          <w:rFonts w:hint="eastAsia" w:cs="Times New Roman" w:asciiTheme="minorEastAsia" w:hAnsiTheme="minorEastAsia"/>
          <w:b/>
          <w:sz w:val="24"/>
          <w:szCs w:val="24"/>
          <w:lang w:val="zh-CN"/>
        </w:rPr>
        <w:t>无效投标处理。</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pPr>
        <w:spacing w:line="360" w:lineRule="auto"/>
        <w:ind w:firstLine="480" w:firstLineChars="200"/>
        <w:rPr>
          <w:rFonts w:cs="Times New Roman" w:asciiTheme="minorEastAsia" w:hAnsiTheme="minorEastAsia"/>
          <w:sz w:val="24"/>
          <w:szCs w:val="24"/>
          <w:lang w:val="zh-CN"/>
        </w:rPr>
      </w:pP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的，投标人拟在中标后将项目的非主体、非关键性工作分包，应当在投标文件中载明</w:t>
      </w:r>
      <w:r>
        <w:rPr>
          <w:rFonts w:hint="eastAsia" w:cs="Times New Roman" w:asciiTheme="minorEastAsia" w:hAnsiTheme="minorEastAsia"/>
          <w:sz w:val="24"/>
          <w:szCs w:val="24"/>
          <w:lang w:val="zh-CN"/>
        </w:rPr>
        <w:t>具备相应资质条件的</w:t>
      </w:r>
      <w:r>
        <w:rPr>
          <w:rFonts w:cs="Times New Roman" w:asciiTheme="minorEastAsia" w:hAnsiTheme="minorEastAsia"/>
          <w:sz w:val="24"/>
          <w:szCs w:val="24"/>
          <w:lang w:val="zh-CN"/>
        </w:rPr>
        <w:t>分包承担主体，分包承担主体不得再次分包。</w:t>
      </w:r>
      <w:r>
        <w:rPr>
          <w:rFonts w:hint="eastAsia" w:cs="Times New Roman" w:asciiTheme="minorEastAsia" w:hAnsiTheme="minorEastAsia"/>
          <w:sz w:val="24"/>
          <w:szCs w:val="24"/>
          <w:lang w:val="zh-CN"/>
        </w:rPr>
        <w:t>否则中标后不允许分包。</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两个及以上供应商可以组成一个联合体，以一个投标人的身份共同参与投标。</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以联合体形式参加政府采购活动的，联合体各方不得再单独参加或者与其他供应商另外组成联合体参加同一合同项下的政府采购活动。</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w:t>
      </w:r>
      <w:r>
        <w:rPr>
          <w:rFonts w:hint="eastAsia" w:cs="Times New Roman" w:asciiTheme="minorEastAsia" w:hAnsiTheme="minorEastAsia"/>
          <w:color w:val="0C0C0C" w:themeColor="text1" w:themeTint="F2"/>
          <w:sz w:val="24"/>
          <w:szCs w:val="24"/>
          <w:lang w:val="zh-CN"/>
        </w:rPr>
        <w:t>签订采购合同，</w:t>
      </w:r>
      <w:r>
        <w:rPr>
          <w:rFonts w:hint="eastAsia" w:ascii="宋体" w:hAnsi="宋体"/>
          <w:color w:val="0C0C0C" w:themeColor="text1" w:themeTint="F2"/>
          <w:sz w:val="24"/>
        </w:rPr>
        <w:t>就采购合同约定的事项对采购人承担连带责任，</w:t>
      </w:r>
      <w:r>
        <w:rPr>
          <w:rFonts w:hint="eastAsia" w:cs="Times New Roman" w:asciiTheme="minorEastAsia" w:hAnsiTheme="minorEastAsia"/>
          <w:color w:val="0C0C0C" w:themeColor="text1" w:themeTint="F2"/>
          <w:sz w:val="24"/>
          <w:szCs w:val="24"/>
          <w:lang w:val="zh-CN"/>
        </w:rPr>
        <w:t>联合体主体单位负主要</w:t>
      </w:r>
      <w:r>
        <w:rPr>
          <w:rFonts w:hint="eastAsia" w:cs="Times New Roman" w:asciiTheme="minorEastAsia" w:hAnsiTheme="minorEastAsia"/>
          <w:sz w:val="24"/>
          <w:szCs w:val="24"/>
          <w:lang w:val="zh-CN"/>
        </w:rPr>
        <w:t>责任。</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联合体中有同类资质的供应商按照联合体分工承担相同工作的，应当按照资质等级较低的供应商确定资质等级。</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招标文件第一章“投标人资格要求”中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pPr>
        <w:numPr>
          <w:ilvl w:val="0"/>
          <w:numId w:val="16"/>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资格证明文件正本应为清晰彩色影印件且加盖单位公章，否则按照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。副本可为正本的复印件,但应在副本封面加盖单位公章。</w:t>
      </w:r>
    </w:p>
    <w:p>
      <w:pPr>
        <w:numPr>
          <w:ilvl w:val="0"/>
          <w:numId w:val="17"/>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pPr>
        <w:numPr>
          <w:ilvl w:val="0"/>
          <w:numId w:val="5"/>
        </w:numPr>
        <w:spacing w:line="360" w:lineRule="auto"/>
        <w:ind w:left="560" w:hanging="560"/>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投标保证金</w:t>
      </w:r>
      <w:r>
        <w:rPr>
          <w:rFonts w:hint="eastAsia" w:cs="Times New Roman" w:asciiTheme="minorEastAsia" w:hAnsiTheme="minorEastAsia"/>
          <w:sz w:val="24"/>
          <w:szCs w:val="24"/>
          <w:lang w:val="zh-CN"/>
        </w:rPr>
        <w:t>（交纳金额及账户信息详见本章“投标须知前附表”中规定）。</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投标有效期</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sz w:val="24"/>
          <w:szCs w:val="24"/>
          <w:lang w:val="zh-CN"/>
        </w:rPr>
        <w:t>无效投标处理。</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采购机构或采购人可要求投标人延长投标有效期。这种要求与答复均应以书面形式提交。投标人可拒绝采购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投标文件中任何涂改和增删，应由法定代表人或经其正式授权的代表在旁边签字后方为有效。</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lang w:val="zh-CN"/>
        </w:rPr>
        <w:t>无效投标处理。</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投标文件的密封和标记</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投标人应将投标文件第一部分资格证明文件、第二部分商务文件、第三部分技术、服务文件一起合并装订成一本投标文件，一起封装。</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投标人应将投标文件正本和副本密封合装在封包中。</w:t>
      </w:r>
    </w:p>
    <w:p>
      <w:pPr>
        <w:numPr>
          <w:ilvl w:val="0"/>
          <w:numId w:val="20"/>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如果未按要求加写密封、标记或存在错误，采购机构对其误投或提前启封概不负责。</w:t>
      </w:r>
    </w:p>
    <w:p>
      <w:pPr>
        <w:numPr>
          <w:ilvl w:val="0"/>
          <w:numId w:val="20"/>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sz w:val="24"/>
          <w:szCs w:val="20"/>
          <w:lang w:val="zh-CN"/>
        </w:rPr>
        <w:t>为方便开标时唱标，投标人应将《开标一览表》原件及《交纳投标保证金的银行凭证》（若有交纳保证金要求的）各一份一并</w:t>
      </w:r>
      <w:r>
        <w:rPr>
          <w:rFonts w:hint="eastAsia" w:ascii="宋体" w:hAnsi="宋体" w:eastAsia="宋体" w:cs="Times New Roman"/>
          <w:spacing w:val="-6"/>
          <w:kern w:val="0"/>
          <w:sz w:val="24"/>
          <w:szCs w:val="20"/>
          <w:lang w:val="zh-CN"/>
        </w:rPr>
        <w:t>装入一个信封，单独密封提交</w:t>
      </w:r>
      <w:r>
        <w:rPr>
          <w:rFonts w:hint="eastAsia" w:ascii="宋体" w:hAnsi="宋体" w:eastAsia="宋体" w:cs="Times New Roman"/>
          <w:sz w:val="24"/>
          <w:szCs w:val="20"/>
          <w:lang w:val="zh-CN"/>
        </w:rPr>
        <w:t>，并在信封上标明“开标一览表”字样。未单独提交或单独提交的上述资料未按照招标文件规定的格式填写完整并签字、盖章的采购人</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numPr>
          <w:ilvl w:val="0"/>
          <w:numId w:val="20"/>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“开标一览表”信封和投标文件的封包上应注明采购项目编号、项目名称、投标内容和有“在（招标文件中规定的开标日期和时间）之前不得启封”的字样，封口处加盖投标人公章。</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pPr>
        <w:numPr>
          <w:ilvl w:val="0"/>
          <w:numId w:val="21"/>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投标人应在不迟于投标邀请书中规定的投标截止日期和时间将投标文件密封递交至</w:t>
      </w:r>
      <w:r>
        <w:rPr>
          <w:rFonts w:hint="eastAsia" w:cs="Times New Roman" w:asciiTheme="minorEastAsia" w:hAnsiTheme="minorEastAsia"/>
          <w:sz w:val="24"/>
          <w:szCs w:val="24"/>
          <w:lang w:val="zh-CN"/>
        </w:rPr>
        <w:t>采购人（或代理公司）</w:t>
      </w:r>
      <w:r>
        <w:rPr>
          <w:rFonts w:hint="eastAsia" w:ascii="Helvetica" w:hAnsi="Helvetica" w:eastAsia="宋体" w:cs="Helvetica"/>
          <w:kern w:val="0"/>
          <w:sz w:val="24"/>
          <w:szCs w:val="24"/>
          <w:lang w:val="zh-CN"/>
        </w:rPr>
        <w:t>规定的投标地点。</w:t>
      </w:r>
    </w:p>
    <w:p>
      <w:pPr>
        <w:numPr>
          <w:ilvl w:val="0"/>
          <w:numId w:val="21"/>
        </w:numPr>
        <w:spacing w:line="360" w:lineRule="auto"/>
        <w:ind w:left="616" w:hanging="616"/>
        <w:rPr>
          <w:rFonts w:ascii="Helvetica" w:hAnsi="Helvetica" w:eastAsia="宋体" w:cs="Helvetica"/>
          <w:b/>
          <w:kern w:val="0"/>
          <w:sz w:val="24"/>
          <w:szCs w:val="24"/>
          <w:lang w:val="zh-CN"/>
        </w:rPr>
      </w:pPr>
      <w:r>
        <w:rPr>
          <w:rFonts w:hint="eastAsia" w:cs="Times New Roman" w:asciiTheme="minorEastAsia" w:hAnsiTheme="minorEastAsia"/>
          <w:sz w:val="24"/>
          <w:szCs w:val="24"/>
          <w:lang w:val="zh-CN"/>
        </w:rPr>
        <w:t>采购人（或代理公司）</w:t>
      </w:r>
      <w:r>
        <w:rPr>
          <w:rFonts w:hint="eastAsia" w:ascii="Helvetica" w:hAnsi="Helvetica" w:eastAsia="宋体" w:cs="Helvetica"/>
          <w:b/>
          <w:kern w:val="0"/>
          <w:sz w:val="24"/>
          <w:szCs w:val="24"/>
          <w:lang w:val="zh-CN"/>
        </w:rPr>
        <w:t>拒收逾期送达或者未按招标文件要求密封的投标文件。</w:t>
      </w:r>
    </w:p>
    <w:p>
      <w:pPr>
        <w:numPr>
          <w:ilvl w:val="0"/>
          <w:numId w:val="21"/>
        </w:numPr>
        <w:spacing w:line="360" w:lineRule="auto"/>
        <w:ind w:left="616" w:hanging="616"/>
        <w:rPr>
          <w:rFonts w:ascii="Helvetica" w:hAnsi="Helvetica" w:eastAsia="宋体" w:cs="Helvetica"/>
          <w:kern w:val="0"/>
          <w:sz w:val="24"/>
          <w:szCs w:val="24"/>
          <w:lang w:val="zh-CN"/>
        </w:rPr>
      </w:pPr>
      <w:r>
        <w:rPr>
          <w:rFonts w:hint="eastAsia" w:cs="Times New Roman" w:asciiTheme="minorEastAsia" w:hAnsiTheme="minorEastAsia"/>
          <w:sz w:val="24"/>
          <w:szCs w:val="24"/>
          <w:lang w:val="zh-CN"/>
        </w:rPr>
        <w:t>采购人（或代理公司）</w:t>
      </w:r>
      <w:r>
        <w:rPr>
          <w:rFonts w:ascii="Helvetica" w:hAnsi="Helvetica" w:eastAsia="宋体" w:cs="Helvetica"/>
          <w:kern w:val="0"/>
          <w:sz w:val="24"/>
          <w:szCs w:val="24"/>
          <w:lang w:val="zh-CN"/>
        </w:rPr>
        <w:t>收到投标文件后，应当如实记载投标文件的送达时间和密封情况，签收保存，并向投标人出具签收回执。</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pPr>
        <w:numPr>
          <w:ilvl w:val="0"/>
          <w:numId w:val="22"/>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投标人在投标截止时间前，可以对所递交的投标文件进行补充、修改或者撤回，并书面通知</w:t>
      </w:r>
      <w:r>
        <w:rPr>
          <w:rFonts w:hint="eastAsia" w:ascii="宋体" w:hAnsi="宋体" w:eastAsia="宋体" w:cs="Times New Roman"/>
          <w:sz w:val="24"/>
          <w:szCs w:val="20"/>
          <w:lang w:val="zh-CN"/>
        </w:rPr>
        <w:t>采购机构</w:t>
      </w:r>
      <w:r>
        <w:rPr>
          <w:rFonts w:ascii="宋体" w:hAnsi="宋体" w:eastAsia="宋体" w:cs="Times New Roman"/>
          <w:sz w:val="24"/>
          <w:szCs w:val="20"/>
          <w:lang w:val="zh-CN"/>
        </w:rPr>
        <w:t>。补充、修改的内容应当按照招标文件要求签署、盖章、密封后，作为投标文件的组成部分。</w:t>
      </w:r>
    </w:p>
    <w:p>
      <w:pPr>
        <w:numPr>
          <w:ilvl w:val="0"/>
          <w:numId w:val="2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投标有效期内投标人不得撤销其投标文件，否则按照本章“投标保证金”的规定其投标保证金不予退还。</w:t>
      </w:r>
    </w:p>
    <w:p>
      <w:pPr>
        <w:numPr>
          <w:ilvl w:val="0"/>
          <w:numId w:val="2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投标人所递交的投标文件无论中标与否不予退还。</w:t>
      </w:r>
    </w:p>
    <w:p>
      <w:pPr>
        <w:pStyle w:val="4"/>
        <w:numPr>
          <w:ilvl w:val="0"/>
          <w:numId w:val="4"/>
        </w:numPr>
        <w:spacing w:before="40" w:after="40" w:line="360" w:lineRule="auto"/>
        <w:ind w:left="658" w:hanging="658"/>
        <w:jc w:val="left"/>
        <w:rPr>
          <w:rFonts w:cs="Times New Roman" w:asciiTheme="majorEastAsia" w:hAnsiTheme="majorEastAsia"/>
          <w:bCs w:val="0"/>
          <w:lang w:val="zh-CN"/>
        </w:rPr>
      </w:pPr>
      <w:bookmarkStart w:id="14" w:name="_Toc495861523"/>
      <w:bookmarkStart w:id="15" w:name="_Toc494561942"/>
      <w:bookmarkStart w:id="16" w:name="_Toc278891595"/>
      <w:bookmarkStart w:id="17" w:name="_Toc272247698"/>
      <w:r>
        <w:rPr>
          <w:rFonts w:hint="eastAsia" w:cs="Times New Roman" w:asciiTheme="majorEastAsia" w:hAnsiTheme="majorEastAsia"/>
          <w:bCs w:val="0"/>
          <w:lang w:val="zh-CN"/>
        </w:rPr>
        <w:t>开标与评标</w:t>
      </w:r>
      <w:bookmarkEnd w:id="14"/>
      <w:bookmarkEnd w:id="15"/>
      <w:bookmarkEnd w:id="16"/>
      <w:bookmarkEnd w:id="17"/>
    </w:p>
    <w:p>
      <w:pPr>
        <w:numPr>
          <w:ilvl w:val="0"/>
          <w:numId w:val="5"/>
        </w:numPr>
        <w:spacing w:line="360" w:lineRule="auto"/>
        <w:ind w:left="560" w:hanging="560"/>
        <w:rPr>
          <w:rFonts w:cs="Times New Roman" w:asciiTheme="minorEastAsia" w:hAnsiTheme="minorEastAsia"/>
          <w:sz w:val="24"/>
          <w:szCs w:val="24"/>
          <w:lang w:val="zh-CN"/>
        </w:rPr>
      </w:pPr>
      <w:r>
        <w:rPr>
          <w:rFonts w:hint="eastAsia" w:ascii="宋体" w:hAnsi="宋体" w:eastAsia="宋体" w:cs="Times New Roman"/>
          <w:b/>
          <w:sz w:val="24"/>
          <w:szCs w:val="20"/>
          <w:lang w:val="zh-CN"/>
        </w:rPr>
        <w:t>开标</w:t>
      </w:r>
    </w:p>
    <w:p>
      <w:pPr>
        <w:numPr>
          <w:ilvl w:val="0"/>
          <w:numId w:val="23"/>
        </w:numPr>
        <w:spacing w:line="360" w:lineRule="auto"/>
        <w:ind w:left="616" w:hanging="616"/>
        <w:rPr>
          <w:rFonts w:ascii="宋体" w:hAnsi="宋体" w:eastAsia="宋体" w:cs="Times New Roman"/>
          <w:b/>
          <w:sz w:val="24"/>
          <w:szCs w:val="20"/>
          <w:lang w:val="zh-CN"/>
        </w:rPr>
      </w:pPr>
      <w:r>
        <w:rPr>
          <w:rFonts w:hint="eastAsia" w:ascii="Helvetica" w:hAnsi="Helvetica" w:eastAsia="宋体" w:cs="Helvetica"/>
          <w:color w:val="FF0000"/>
          <w:kern w:val="0"/>
          <w:sz w:val="24"/>
          <w:szCs w:val="24"/>
          <w:lang w:val="zh-CN"/>
        </w:rPr>
        <w:t>采购人（或代理公司）</w:t>
      </w:r>
      <w:r>
        <w:rPr>
          <w:rFonts w:hint="eastAsia" w:ascii="宋体" w:hAnsi="宋体" w:eastAsia="宋体" w:cs="Times New Roman"/>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sz w:val="24"/>
          <w:szCs w:val="20"/>
          <w:lang w:val="zh-CN"/>
        </w:rPr>
        <w:t>，否则视同认可开标结果。</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投标人法定代表人或其授权代表应携带有效身份证明参加项目开标会，</w:t>
      </w:r>
      <w:r>
        <w:rPr>
          <w:rFonts w:ascii="宋体" w:hAnsi="宋体" w:eastAsia="宋体" w:cs="Times New Roman"/>
          <w:sz w:val="24"/>
          <w:szCs w:val="20"/>
          <w:lang w:val="zh-CN"/>
        </w:rPr>
        <w:t>投标人未参加开标的，视同认可开标结果。</w:t>
      </w: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开标时，由投标人或其推选的代表检查投标文件的密封情况，经确认无误后由</w:t>
      </w:r>
      <w:r>
        <w:rPr>
          <w:rFonts w:hint="eastAsia" w:ascii="Helvetica" w:hAnsi="Helvetica" w:eastAsia="宋体" w:cs="Helvetica"/>
          <w:color w:val="FF0000"/>
          <w:kern w:val="0"/>
          <w:sz w:val="24"/>
          <w:szCs w:val="24"/>
          <w:lang w:val="zh-CN"/>
        </w:rPr>
        <w:t>采购人</w:t>
      </w:r>
      <w:r>
        <w:rPr>
          <w:rFonts w:hint="eastAsia" w:ascii="宋体" w:hAnsi="宋体" w:eastAsia="宋体" w:cs="Times New Roman"/>
          <w:sz w:val="24"/>
          <w:szCs w:val="20"/>
          <w:lang w:val="zh-CN"/>
        </w:rPr>
        <w:t>（或代理公司）工作人员当众拆封，宣布投标人名称、投标价格和招标文件规定的需要宣布的其他内容。</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采购人（或代理公司）负责对开标过程进行记录，由参加开标的各投标人代表和相关工作人员对开标记录进行签字确认。</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投标人代表对开标过程和开标记录有疑义，以及认为采购人、代理公司相关工作人员有需要回避的情形的，应当场提出询问或者回避申请。采购人、代理公司将及时处理投标人代表提出的询问或者回避申请。</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资格审查</w:t>
      </w:r>
    </w:p>
    <w:p>
      <w:pPr>
        <w:numPr>
          <w:ilvl w:val="0"/>
          <w:numId w:val="23"/>
        </w:numPr>
        <w:spacing w:line="360" w:lineRule="auto"/>
        <w:ind w:left="616" w:hanging="616"/>
        <w:rPr>
          <w:rFonts w:ascii="Helvetica" w:hAnsi="Helvetica" w:eastAsia="宋体" w:cs="Helvetica"/>
          <w:kern w:val="0"/>
          <w:sz w:val="24"/>
          <w:szCs w:val="24"/>
          <w:lang w:val="zh-CN"/>
        </w:rPr>
      </w:pPr>
      <w:r>
        <w:rPr>
          <w:rFonts w:hint="eastAsia" w:ascii="宋体" w:hAnsi="宋体" w:eastAsia="宋体" w:cs="Times New Roman"/>
          <w:sz w:val="24"/>
          <w:szCs w:val="20"/>
          <w:lang w:val="zh-CN"/>
        </w:rPr>
        <w:t>公开招标采购项目开标结束后，采购人和采购代理公司依据法律、法规及招标文件的规定，对投标人的资格进行审查，以确定投</w:t>
      </w:r>
      <w:r>
        <w:rPr>
          <w:rFonts w:hint="eastAsia" w:ascii="宋体" w:hAnsi="宋体" w:eastAsia="宋体" w:cs="Times New Roman"/>
          <w:bCs/>
          <w:sz w:val="24"/>
          <w:szCs w:val="20"/>
          <w:lang w:val="zh-CN"/>
        </w:rPr>
        <w:t>标人资格是否合格。</w:t>
      </w:r>
      <w:r>
        <w:rPr>
          <w:rFonts w:ascii="Helvetica" w:hAnsi="Helvetica" w:eastAsia="宋体" w:cs="Helvetica"/>
          <w:kern w:val="0"/>
          <w:sz w:val="24"/>
          <w:szCs w:val="24"/>
          <w:lang w:val="zh-CN"/>
        </w:rPr>
        <w:t>合格投标人不足</w:t>
      </w:r>
      <w:r>
        <w:rPr>
          <w:rFonts w:ascii="宋体" w:hAnsi="宋体" w:eastAsia="宋体" w:cs="Helvetica"/>
          <w:kern w:val="0"/>
          <w:sz w:val="24"/>
          <w:szCs w:val="24"/>
          <w:lang w:val="zh-CN"/>
        </w:rPr>
        <w:t>3</w:t>
      </w:r>
      <w:r>
        <w:rPr>
          <w:rFonts w:ascii="Helvetica" w:hAnsi="Helvetica" w:eastAsia="宋体" w:cs="Helvetica"/>
          <w:kern w:val="0"/>
          <w:sz w:val="24"/>
          <w:szCs w:val="24"/>
          <w:lang w:val="zh-CN"/>
        </w:rPr>
        <w:t>家的，不</w:t>
      </w:r>
      <w:r>
        <w:rPr>
          <w:rFonts w:hint="eastAsia" w:ascii="Helvetica" w:hAnsi="Helvetica" w:eastAsia="宋体" w:cs="Helvetica"/>
          <w:kern w:val="0"/>
          <w:sz w:val="24"/>
          <w:szCs w:val="24"/>
          <w:lang w:val="zh-CN"/>
        </w:rPr>
        <w:t>进行</w:t>
      </w:r>
      <w:r>
        <w:rPr>
          <w:rFonts w:ascii="Helvetica" w:hAnsi="Helvetica" w:eastAsia="宋体" w:cs="Helvetica"/>
          <w:kern w:val="0"/>
          <w:sz w:val="24"/>
          <w:szCs w:val="24"/>
          <w:lang w:val="zh-CN"/>
        </w:rPr>
        <w:t>评标</w:t>
      </w:r>
      <w:r>
        <w:rPr>
          <w:rFonts w:hint="eastAsia" w:ascii="Helvetica" w:hAnsi="Helvetica" w:eastAsia="宋体" w:cs="Helvetica"/>
          <w:kern w:val="0"/>
          <w:sz w:val="24"/>
          <w:szCs w:val="24"/>
          <w:lang w:val="zh-CN"/>
        </w:rPr>
        <w:t>。</w:t>
      </w:r>
    </w:p>
    <w:p>
      <w:pPr>
        <w:numPr>
          <w:ilvl w:val="0"/>
          <w:numId w:val="24"/>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pPr>
        <w:numPr>
          <w:ilvl w:val="0"/>
          <w:numId w:val="25"/>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pPr>
        <w:numPr>
          <w:ilvl w:val="0"/>
          <w:numId w:val="25"/>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pPr>
        <w:numPr>
          <w:ilvl w:val="0"/>
          <w:numId w:val="25"/>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pPr>
        <w:numPr>
          <w:ilvl w:val="0"/>
          <w:numId w:val="26"/>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pPr>
        <w:numPr>
          <w:ilvl w:val="0"/>
          <w:numId w:val="26"/>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评标委员会成员依法从政府采购专家库中随机抽取。</w:t>
      </w:r>
      <w:r>
        <w:rPr>
          <w:rFonts w:ascii="宋体" w:hAnsi="宋体" w:eastAsia="宋体" w:cs="Times New Roman"/>
          <w:b/>
          <w:sz w:val="24"/>
          <w:szCs w:val="20"/>
          <w:lang w:val="zh-CN"/>
        </w:rPr>
        <w:t>对技术复杂、专业性强的采购项目，通过随机方式难以确定合适评审专家的，经主管预算单位同意，采购人可以自行选定相应专业领域的评审专家。</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pPr>
        <w:numPr>
          <w:ilvl w:val="0"/>
          <w:numId w:val="27"/>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pPr>
        <w:numPr>
          <w:ilvl w:val="0"/>
          <w:numId w:val="28"/>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pPr>
        <w:numPr>
          <w:ilvl w:val="0"/>
          <w:numId w:val="28"/>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pPr>
        <w:numPr>
          <w:ilvl w:val="0"/>
          <w:numId w:val="28"/>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pPr>
        <w:numPr>
          <w:ilvl w:val="0"/>
          <w:numId w:val="28"/>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pPr>
        <w:numPr>
          <w:ilvl w:val="0"/>
          <w:numId w:val="28"/>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采购</w:t>
      </w:r>
      <w:r>
        <w:rPr>
          <w:rFonts w:ascii="宋体" w:hAnsi="宋体" w:eastAsia="宋体" w:cs="Times New Roman"/>
          <w:sz w:val="24"/>
          <w:szCs w:val="20"/>
          <w:lang w:val="zh-CN"/>
        </w:rPr>
        <w:t>机构或者有关部门报告评标中发现的违法行为。</w:t>
      </w:r>
    </w:p>
    <w:p>
      <w:pPr>
        <w:numPr>
          <w:ilvl w:val="0"/>
          <w:numId w:val="27"/>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pPr>
        <w:pStyle w:val="4"/>
        <w:numPr>
          <w:ilvl w:val="0"/>
          <w:numId w:val="4"/>
        </w:numPr>
        <w:spacing w:before="40" w:after="40" w:line="360" w:lineRule="auto"/>
        <w:ind w:left="658" w:hanging="658"/>
        <w:jc w:val="left"/>
        <w:rPr>
          <w:rFonts w:cs="Times New Roman" w:asciiTheme="majorEastAsia" w:hAnsiTheme="majorEastAsia"/>
          <w:bCs w:val="0"/>
          <w:lang w:val="zh-CN"/>
        </w:rPr>
      </w:pPr>
      <w:bookmarkStart w:id="18" w:name="_Toc495861524"/>
      <w:bookmarkStart w:id="19" w:name="_Toc494561943"/>
      <w:r>
        <w:rPr>
          <w:rFonts w:hint="eastAsia" w:cs="Times New Roman" w:asciiTheme="majorEastAsia" w:hAnsiTheme="majorEastAsia"/>
          <w:bCs w:val="0"/>
          <w:lang w:val="zh-CN"/>
        </w:rPr>
        <w:t>投标人信用信息及查询</w:t>
      </w:r>
      <w:bookmarkEnd w:id="18"/>
      <w:bookmarkEnd w:id="19"/>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pPr>
        <w:numPr>
          <w:ilvl w:val="0"/>
          <w:numId w:val="2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kern w:val="0"/>
          <w:sz w:val="24"/>
          <w:szCs w:val="24"/>
          <w:lang w:val="zh-CN"/>
        </w:rPr>
        <w:t>www.ccgp.gov.cn</w:t>
      </w:r>
      <w:r>
        <w:rPr>
          <w:rFonts w:hint="eastAsia" w:cs="Helvetica" w:asciiTheme="minorEastAsia" w:hAnsiTheme="minorEastAsia"/>
          <w:kern w:val="0"/>
          <w:sz w:val="24"/>
          <w:szCs w:val="24"/>
          <w:lang w:val="zh-CN"/>
        </w:rPr>
        <w:fldChar w:fldCharType="end"/>
      </w:r>
      <w:r>
        <w:rPr>
          <w:rFonts w:hint="eastAsia" w:cs="Helvetica" w:asciiTheme="minorEastAsia" w:hAnsiTheme="minorEastAsia"/>
          <w:kern w:val="0"/>
          <w:sz w:val="24"/>
          <w:szCs w:val="24"/>
          <w:lang w:val="zh-CN"/>
        </w:rPr>
        <w:t>)。</w:t>
      </w:r>
    </w:p>
    <w:p>
      <w:pPr>
        <w:numPr>
          <w:ilvl w:val="0"/>
          <w:numId w:val="2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列入失信被执行人、重大税收违法案件当事人名单、政府采购严重违法失信行为记录名单的供应商，采购人、采购代理机构</w:t>
      </w:r>
      <w:r>
        <w:rPr>
          <w:rFonts w:hint="eastAsia" w:cs="Helvetica" w:asciiTheme="minorEastAsia" w:hAnsiTheme="minorEastAsia"/>
          <w:b/>
          <w:kern w:val="0"/>
          <w:sz w:val="24"/>
          <w:szCs w:val="24"/>
          <w:lang w:val="zh-CN"/>
        </w:rPr>
        <w:t>拒绝</w:t>
      </w:r>
      <w:r>
        <w:rPr>
          <w:rFonts w:hint="eastAsia" w:cs="Helvetica" w:asciiTheme="minorEastAsia" w:hAnsiTheme="minorEastAsia"/>
          <w:kern w:val="0"/>
          <w:sz w:val="24"/>
          <w:szCs w:val="24"/>
          <w:lang w:val="zh-CN"/>
        </w:rPr>
        <w:t>其参与政府采购活动。</w:t>
      </w:r>
    </w:p>
    <w:p>
      <w:pPr>
        <w:numPr>
          <w:ilvl w:val="0"/>
          <w:numId w:val="2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2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投标人的信用记录，最终以评标时的“信用中国”网站发布的信息为准。</w:t>
      </w:r>
    </w:p>
    <w:p>
      <w:pPr>
        <w:numPr>
          <w:ilvl w:val="0"/>
          <w:numId w:val="2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在资格审查与评标工作未同日进行的特殊情形下，</w:t>
      </w:r>
      <w:r>
        <w:rPr>
          <w:rFonts w:hint="eastAsia" w:ascii="Helvetica" w:hAnsi="Helvetica" w:eastAsia="宋体" w:cs="Helvetica"/>
          <w:color w:val="FF0000"/>
          <w:kern w:val="0"/>
          <w:sz w:val="24"/>
          <w:szCs w:val="24"/>
          <w:lang w:val="zh-CN"/>
        </w:rPr>
        <w:t>采购人（或代理公司）</w:t>
      </w:r>
      <w:r>
        <w:rPr>
          <w:rFonts w:hint="eastAsia" w:cs="Helvetica" w:asciiTheme="minorEastAsia" w:hAnsiTheme="minorEastAsia"/>
          <w:kern w:val="0"/>
          <w:sz w:val="24"/>
          <w:szCs w:val="24"/>
          <w:lang w:val="zh-CN"/>
        </w:rPr>
        <w:t>工作人员在评标时对投标人的信用信息进行复核，发现评标当日存在不良信用信息的，由评标委员会按照符合性审查不合格作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r>
        <w:rPr>
          <w:rFonts w:hint="eastAsia" w:cs="Helvetica" w:asciiTheme="minorEastAsia" w:hAnsiTheme="minorEastAsia"/>
          <w:kern w:val="0"/>
          <w:sz w:val="24"/>
          <w:szCs w:val="24"/>
          <w:lang w:val="zh-CN"/>
        </w:rPr>
        <w:t>。</w:t>
      </w:r>
    </w:p>
    <w:p>
      <w:pPr>
        <w:pStyle w:val="4"/>
        <w:numPr>
          <w:ilvl w:val="0"/>
          <w:numId w:val="4"/>
        </w:numPr>
        <w:spacing w:before="40" w:after="40" w:line="360" w:lineRule="auto"/>
        <w:ind w:left="658" w:hanging="658"/>
        <w:jc w:val="left"/>
        <w:rPr>
          <w:rFonts w:cs="Times New Roman" w:asciiTheme="majorEastAsia" w:hAnsiTheme="majorEastAsia"/>
          <w:bCs w:val="0"/>
          <w:lang w:val="zh-CN"/>
        </w:rPr>
      </w:pPr>
      <w:bookmarkStart w:id="20" w:name="_Toc495861525"/>
      <w:bookmarkStart w:id="21" w:name="_Toc494561944"/>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20"/>
      <w:bookmarkEnd w:id="21"/>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pPr>
        <w:numPr>
          <w:ilvl w:val="0"/>
          <w:numId w:val="30"/>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pPr>
        <w:numPr>
          <w:ilvl w:val="0"/>
          <w:numId w:val="30"/>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pPr>
        <w:numPr>
          <w:ilvl w:val="0"/>
          <w:numId w:val="31"/>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采用最低评标价法的，评标结果按投标报价由低到高顺序排列。投标报价相同的，按技术部分由高到低顺序排列。</w:t>
      </w:r>
    </w:p>
    <w:p>
      <w:pPr>
        <w:numPr>
          <w:ilvl w:val="0"/>
          <w:numId w:val="31"/>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0"/>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pPr>
        <w:numPr>
          <w:ilvl w:val="0"/>
          <w:numId w:val="30"/>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0"/>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pPr>
        <w:numPr>
          <w:ilvl w:val="0"/>
          <w:numId w:val="30"/>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pPr>
        <w:numPr>
          <w:ilvl w:val="0"/>
          <w:numId w:val="32"/>
        </w:numPr>
        <w:spacing w:line="360" w:lineRule="auto"/>
        <w:ind w:left="616" w:hanging="616"/>
        <w:rPr>
          <w:rFonts w:ascii="宋体" w:hAnsi="宋体" w:eastAsia="宋体" w:cs="Times New Roman"/>
          <w:sz w:val="24"/>
          <w:szCs w:val="20"/>
          <w:lang w:val="zh-CN"/>
        </w:rPr>
      </w:pPr>
      <w:bookmarkStart w:id="22" w:name="_Toc272247700"/>
      <w:bookmarkStart w:id="23" w:name="_Toc278891597"/>
      <w:r>
        <w:rPr>
          <w:rFonts w:ascii="宋体" w:hAnsi="宋体" w:eastAsia="宋体" w:cs="Times New Roman"/>
          <w:sz w:val="24"/>
          <w:szCs w:val="20"/>
          <w:lang w:val="zh-CN"/>
        </w:rPr>
        <w:t>采购人应当自中标通知书发出之日起30日内，按照招标文件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，与中标人签订书面合同。所签订的合同不得对招标文件确定的事项和中标人投标文件作实质性修改。</w:t>
      </w:r>
    </w:p>
    <w:p>
      <w:pPr>
        <w:numPr>
          <w:ilvl w:val="0"/>
          <w:numId w:val="32"/>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pPr>
        <w:numPr>
          <w:ilvl w:val="0"/>
          <w:numId w:val="32"/>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2"/>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2"/>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2"/>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4"/>
        </w:numPr>
        <w:spacing w:before="40" w:after="40" w:line="360" w:lineRule="auto"/>
        <w:ind w:left="658" w:hanging="658"/>
        <w:jc w:val="left"/>
        <w:rPr>
          <w:rFonts w:cs="Times New Roman" w:asciiTheme="majorEastAsia" w:hAnsiTheme="majorEastAsia"/>
          <w:bCs w:val="0"/>
          <w:lang w:val="zh-CN"/>
        </w:rPr>
      </w:pPr>
      <w:bookmarkStart w:id="24" w:name="_Toc495861526"/>
      <w:bookmarkStart w:id="25" w:name="_Toc494561945"/>
      <w:r>
        <w:rPr>
          <w:rFonts w:hint="eastAsia" w:cs="Times New Roman" w:asciiTheme="majorEastAsia" w:hAnsiTheme="majorEastAsia"/>
          <w:bCs w:val="0"/>
          <w:lang w:val="zh-CN"/>
        </w:rPr>
        <w:t>采购信息公告</w:t>
      </w:r>
      <w:bookmarkEnd w:id="24"/>
      <w:bookmarkEnd w:id="25"/>
    </w:p>
    <w:p>
      <w:pPr>
        <w:numPr>
          <w:ilvl w:val="0"/>
          <w:numId w:val="5"/>
        </w:numPr>
        <w:spacing w:line="360" w:lineRule="auto"/>
        <w:ind w:left="560" w:hanging="560"/>
        <w:rPr>
          <w:rFonts w:ascii="宋体" w:hAnsi="宋体" w:eastAsia="宋体" w:cs="Helvetica"/>
          <w:b/>
          <w:color w:val="0D0D0D"/>
          <w:kern w:val="0"/>
          <w:sz w:val="24"/>
          <w:szCs w:val="24"/>
          <w:lang w:val="zh-CN"/>
        </w:rPr>
      </w:pPr>
      <w:r>
        <w:rPr>
          <w:rFonts w:hint="eastAsia" w:ascii="宋体" w:hAnsi="宋体" w:eastAsia="宋体" w:cs="Helvetica"/>
          <w:b/>
          <w:color w:val="0D0D0D"/>
          <w:kern w:val="0"/>
          <w:sz w:val="24"/>
          <w:szCs w:val="24"/>
          <w:lang w:val="zh-CN"/>
        </w:rPr>
        <w:t>公告的媒体及规定</w:t>
      </w:r>
    </w:p>
    <w:p>
      <w:pPr>
        <w:numPr>
          <w:ilvl w:val="0"/>
          <w:numId w:val="33"/>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采购机构在招标活动中的公告、补充、更正、结果等采购信息均依法在政府采购监管部门指定媒体上（中国湖北政府采购网http://www.ccgp-hubei.gov.cn/）发布。</w:t>
      </w:r>
    </w:p>
    <w:p>
      <w:pPr>
        <w:numPr>
          <w:ilvl w:val="0"/>
          <w:numId w:val="33"/>
        </w:numPr>
        <w:tabs>
          <w:tab w:val="left" w:pos="616"/>
        </w:tabs>
        <w:spacing w:line="360" w:lineRule="auto"/>
        <w:ind w:left="616" w:hanging="616"/>
        <w:rPr>
          <w:rFonts w:cs="Helvetica" w:asciiTheme="minorEastAsia" w:hAnsiTheme="minorEastAsia"/>
          <w:b/>
          <w:kern w:val="0"/>
          <w:sz w:val="24"/>
          <w:szCs w:val="24"/>
          <w:lang w:val="zh-CN"/>
        </w:rPr>
      </w:pPr>
      <w:r>
        <w:rPr>
          <w:rFonts w:hint="eastAsia" w:cs="Helvetica" w:asciiTheme="minorEastAsia" w:hAnsiTheme="minorEastAsia"/>
          <w:kern w:val="0"/>
          <w:sz w:val="24"/>
          <w:szCs w:val="24"/>
          <w:lang w:val="zh-CN"/>
        </w:rPr>
        <w:t>采购机构在自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w:t>
      </w:r>
      <w:r>
        <w:rPr>
          <w:rFonts w:hint="eastAsia" w:cs="Helvetica" w:asciiTheme="minorEastAsia" w:hAnsiTheme="minorEastAsia"/>
          <w:b/>
          <w:kern w:val="0"/>
          <w:sz w:val="24"/>
          <w:szCs w:val="24"/>
          <w:lang w:val="zh-CN"/>
        </w:rPr>
        <w:t>中标公告的公示期为1个工作日。</w:t>
      </w:r>
    </w:p>
    <w:p>
      <w:pPr>
        <w:numPr>
          <w:ilvl w:val="0"/>
          <w:numId w:val="33"/>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pPr>
        <w:numPr>
          <w:ilvl w:val="0"/>
          <w:numId w:val="33"/>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pPr>
        <w:pStyle w:val="4"/>
        <w:numPr>
          <w:ilvl w:val="0"/>
          <w:numId w:val="4"/>
        </w:numPr>
        <w:spacing w:before="40" w:after="40" w:line="360" w:lineRule="auto"/>
        <w:ind w:left="658" w:hanging="658"/>
        <w:jc w:val="left"/>
        <w:rPr>
          <w:rFonts w:cs="Times New Roman" w:asciiTheme="majorEastAsia" w:hAnsiTheme="majorEastAsia"/>
          <w:bCs w:val="0"/>
          <w:lang w:val="zh-CN"/>
        </w:rPr>
      </w:pPr>
      <w:bookmarkStart w:id="26" w:name="_Toc494561946"/>
      <w:bookmarkStart w:id="27" w:name="_Toc495861527"/>
      <w:r>
        <w:rPr>
          <w:rFonts w:hint="eastAsia" w:cs="Times New Roman" w:asciiTheme="majorEastAsia" w:hAnsiTheme="majorEastAsia"/>
          <w:bCs w:val="0"/>
          <w:lang w:val="zh-CN"/>
        </w:rPr>
        <w:t>质疑</w:t>
      </w:r>
      <w:bookmarkEnd w:id="22"/>
      <w:bookmarkEnd w:id="23"/>
      <w:r>
        <w:rPr>
          <w:rFonts w:hint="eastAsia" w:cs="Times New Roman" w:asciiTheme="majorEastAsia" w:hAnsiTheme="majorEastAsia"/>
          <w:bCs w:val="0"/>
          <w:lang w:val="zh-CN"/>
        </w:rPr>
        <w:t>及提交</w:t>
      </w:r>
      <w:bookmarkEnd w:id="26"/>
      <w:bookmarkEnd w:id="27"/>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lang w:val="zh-CN"/>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投标人认为招标文件、招标过程和中标结果使自己的权益受到损害的，可以在知道或者应知其权益受到损害之日起7个工作日内，向采购人（或代理公司）</w:t>
      </w:r>
      <w:r>
        <w:rPr>
          <w:rFonts w:ascii="宋体" w:hAnsi="宋体" w:eastAsia="宋体" w:cs="Times New Roman"/>
          <w:sz w:val="24"/>
          <w:szCs w:val="20"/>
          <w:lang w:val="zh-CN"/>
        </w:rPr>
        <w:t>提出</w:t>
      </w:r>
      <w:r>
        <w:rPr>
          <w:rFonts w:hint="eastAsia" w:ascii="宋体" w:hAnsi="宋体" w:eastAsia="宋体" w:cs="Times New Roman"/>
          <w:sz w:val="24"/>
          <w:szCs w:val="20"/>
          <w:lang w:val="zh-CN"/>
        </w:rPr>
        <w:t>书面</w:t>
      </w:r>
      <w:r>
        <w:rPr>
          <w:rFonts w:ascii="宋体" w:hAnsi="宋体" w:eastAsia="宋体" w:cs="Times New Roman"/>
          <w:sz w:val="24"/>
          <w:szCs w:val="20"/>
          <w:lang w:val="zh-CN"/>
        </w:rPr>
        <w:t>质疑</w:t>
      </w:r>
      <w:r>
        <w:rPr>
          <w:rFonts w:hint="eastAsia" w:ascii="宋体" w:hAnsi="宋体" w:eastAsia="宋体" w:cs="Times New Roman"/>
          <w:sz w:val="24"/>
          <w:szCs w:val="20"/>
          <w:lang w:val="zh-CN"/>
        </w:rPr>
        <w:t>，质疑提出时间以收到之日为准。</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pPr>
        <w:numPr>
          <w:ilvl w:val="0"/>
          <w:numId w:val="34"/>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pPr>
        <w:numPr>
          <w:ilvl w:val="0"/>
          <w:numId w:val="34"/>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pPr>
        <w:numPr>
          <w:ilvl w:val="0"/>
          <w:numId w:val="34"/>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投标人未按本章“质疑及提交”规定的时限、内容及方式进行质疑的，采购人</w:t>
      </w:r>
      <w:r>
        <w:rPr>
          <w:rFonts w:hint="eastAsia" w:ascii="宋体" w:hAnsi="宋体" w:eastAsia="宋体" w:cs="Times New Roman"/>
          <w:color w:val="FF0000"/>
          <w:sz w:val="24"/>
          <w:szCs w:val="20"/>
          <w:lang w:val="zh-CN"/>
        </w:rPr>
        <w:t>（或代理公司）</w:t>
      </w:r>
      <w:r>
        <w:rPr>
          <w:rFonts w:hint="eastAsia" w:ascii="宋体" w:hAnsi="宋体" w:eastAsia="宋体" w:cs="Times New Roman"/>
          <w:sz w:val="24"/>
          <w:szCs w:val="20"/>
          <w:lang w:val="zh-CN"/>
        </w:rPr>
        <w:t>不予受理。</w:t>
      </w:r>
    </w:p>
    <w:p>
      <w:pPr>
        <w:pStyle w:val="4"/>
        <w:numPr>
          <w:ilvl w:val="0"/>
          <w:numId w:val="4"/>
        </w:numPr>
        <w:spacing w:before="40" w:after="40" w:line="360" w:lineRule="auto"/>
        <w:ind w:left="658" w:hanging="658"/>
        <w:jc w:val="left"/>
        <w:rPr>
          <w:rFonts w:cs="Times New Roman" w:asciiTheme="majorEastAsia" w:hAnsiTheme="majorEastAsia"/>
          <w:bCs w:val="0"/>
          <w:lang w:val="zh-CN"/>
        </w:rPr>
      </w:pPr>
      <w:bookmarkStart w:id="28" w:name="_Toc495861528"/>
      <w:bookmarkStart w:id="29" w:name="_Toc494561947"/>
      <w:r>
        <w:rPr>
          <w:rFonts w:hint="eastAsia" w:cs="Times New Roman" w:asciiTheme="majorEastAsia" w:hAnsiTheme="majorEastAsia"/>
          <w:bCs w:val="0"/>
          <w:lang w:val="zh-CN"/>
        </w:rPr>
        <w:t>相关条文解读</w:t>
      </w:r>
      <w:bookmarkEnd w:id="28"/>
      <w:bookmarkEnd w:id="29"/>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各级人民政府财政部门依法对参加政府采购活动的供应商作出的禁止参加政府采购活动等行政处罚决定在全国范围内生效。</w:t>
      </w:r>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供应商在参加政府采购活动前3年内因违法经营被禁止在一定期限内参加政府采购活动，期限届满的，可以参加政府采购活动。</w:t>
      </w:r>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根据财政部《政府采购法实施条例》释义中关于供应商资格条件的解释，</w:t>
      </w:r>
      <w:r>
        <w:rPr>
          <w:rFonts w:hint="eastAsia" w:ascii="宋体" w:hAnsi="宋体" w:eastAsia="宋体" w:cs="Times New Roman"/>
          <w:sz w:val="24"/>
          <w:szCs w:val="20"/>
          <w:highlight w:val="yellow"/>
          <w:lang w:val="zh-CN"/>
        </w:rPr>
        <w:t>对于银行、保险、石油石化、电力、电信等有行业特殊情况的</w:t>
      </w:r>
      <w:r>
        <w:rPr>
          <w:rFonts w:hint="eastAsia" w:ascii="宋体" w:hAnsi="宋体" w:eastAsia="宋体" w:cs="Times New Roman"/>
          <w:sz w:val="24"/>
          <w:szCs w:val="20"/>
          <w:lang w:val="zh-CN"/>
        </w:rPr>
        <w:t>，采购人和采购机构允许其分支机构参与投标。</w:t>
      </w:r>
    </w:p>
    <w:p>
      <w:pPr>
        <w:pStyle w:val="4"/>
        <w:numPr>
          <w:ilvl w:val="0"/>
          <w:numId w:val="4"/>
        </w:numPr>
        <w:spacing w:before="40" w:after="40" w:line="360" w:lineRule="auto"/>
        <w:ind w:left="658" w:hanging="658"/>
        <w:jc w:val="left"/>
        <w:rPr>
          <w:rFonts w:cs="Times New Roman" w:asciiTheme="majorEastAsia" w:hAnsiTheme="majorEastAsia"/>
          <w:bCs w:val="0"/>
          <w:lang w:val="zh-CN"/>
        </w:rPr>
      </w:pPr>
      <w:bookmarkStart w:id="30" w:name="_Toc495861529"/>
      <w:bookmarkStart w:id="31" w:name="_Toc494561948"/>
      <w:r>
        <w:rPr>
          <w:rFonts w:hint="eastAsia" w:cs="Times New Roman" w:asciiTheme="majorEastAsia" w:hAnsiTheme="majorEastAsia"/>
          <w:bCs w:val="0"/>
          <w:lang w:val="zh-CN"/>
        </w:rPr>
        <w:t>其他注意事项</w:t>
      </w:r>
      <w:bookmarkEnd w:id="30"/>
      <w:bookmarkEnd w:id="31"/>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单位负责人为同一人或者存在直接控股、管理关系的不同供应商，不得参加同一合同项下的政府采购活动。</w:t>
      </w:r>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除单一来源采购项目外，为采购项目提供整体设计、规范编制或者项目管理、监理、检测等服务的供应商，不得再参加该采购项目的其他采购活动。</w:t>
      </w:r>
    </w:p>
    <w:p>
      <w:pPr>
        <w:pStyle w:val="4"/>
        <w:numPr>
          <w:ilvl w:val="0"/>
          <w:numId w:val="4"/>
        </w:numPr>
        <w:spacing w:before="40" w:after="40" w:line="360" w:lineRule="auto"/>
        <w:ind w:left="966" w:hanging="966"/>
        <w:jc w:val="left"/>
        <w:rPr>
          <w:rFonts w:cs="Times New Roman" w:asciiTheme="majorEastAsia" w:hAnsiTheme="majorEastAsia"/>
          <w:bCs w:val="0"/>
          <w:lang w:val="zh-CN"/>
        </w:rPr>
      </w:pPr>
      <w:bookmarkStart w:id="32" w:name="_Toc272247701"/>
      <w:bookmarkStart w:id="33" w:name="_Toc278891598"/>
      <w:bookmarkStart w:id="34" w:name="_Toc495861530"/>
      <w:bookmarkStart w:id="35" w:name="_Toc494561949"/>
      <w:r>
        <w:rPr>
          <w:rFonts w:hint="eastAsia" w:cs="Times New Roman" w:asciiTheme="majorEastAsia" w:hAnsiTheme="majorEastAsia"/>
          <w:bCs w:val="0"/>
          <w:lang w:val="zh-CN"/>
        </w:rPr>
        <w:t>适用法律</w:t>
      </w:r>
      <w:bookmarkEnd w:id="32"/>
      <w:bookmarkEnd w:id="33"/>
      <w:bookmarkEnd w:id="34"/>
      <w:bookmarkEnd w:id="35"/>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采购人、采购代理机构及投标人的一切招标投标活动均适用《政府采购法》、《政府采购法实施条例》、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pPr>
        <w:numPr>
          <w:ilvl w:val="0"/>
          <w:numId w:val="5"/>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政府采购合同的履行、违约责任和解决争议的方法等适用《合同法》。</w:t>
      </w:r>
    </w:p>
    <w:p>
      <w:pPr>
        <w:pStyle w:val="4"/>
        <w:numPr>
          <w:ilvl w:val="0"/>
          <w:numId w:val="4"/>
        </w:numPr>
        <w:spacing w:before="40" w:after="40" w:line="360" w:lineRule="auto"/>
        <w:ind w:left="966" w:hanging="966"/>
        <w:jc w:val="left"/>
        <w:rPr>
          <w:rFonts w:cs="Times New Roman" w:asciiTheme="majorEastAsia" w:hAnsiTheme="majorEastAsia"/>
          <w:bCs w:val="0"/>
          <w:lang w:val="zh-CN"/>
        </w:rPr>
      </w:pPr>
      <w:bookmarkStart w:id="36" w:name="_Toc494561950"/>
      <w:bookmarkStart w:id="37" w:name="_Toc278891599"/>
      <w:bookmarkStart w:id="38" w:name="_Toc272247702"/>
      <w:bookmarkStart w:id="39" w:name="_Toc495861531"/>
      <w:r>
        <w:rPr>
          <w:rFonts w:hint="eastAsia" w:cs="Times New Roman" w:asciiTheme="majorEastAsia" w:hAnsiTheme="majorEastAsia"/>
          <w:bCs w:val="0"/>
          <w:lang w:val="zh-CN"/>
        </w:rPr>
        <w:t>招标文件的解释权</w:t>
      </w:r>
      <w:bookmarkEnd w:id="36"/>
      <w:bookmarkEnd w:id="37"/>
      <w:bookmarkEnd w:id="38"/>
      <w:bookmarkEnd w:id="39"/>
    </w:p>
    <w:p>
      <w:pPr>
        <w:numPr>
          <w:ilvl w:val="0"/>
          <w:numId w:val="5"/>
        </w:numPr>
        <w:spacing w:line="360" w:lineRule="auto"/>
        <w:ind w:left="560" w:hanging="560"/>
      </w:pPr>
      <w:r>
        <w:rPr>
          <w:rFonts w:hint="eastAsia" w:ascii="宋体" w:hAnsi="宋体" w:eastAsia="宋体" w:cs="Times New Roman"/>
          <w:sz w:val="24"/>
          <w:szCs w:val="20"/>
          <w:lang w:val="zh-CN"/>
        </w:rPr>
        <w:t>招标文件的最终解释权为</w:t>
      </w:r>
      <w:r>
        <w:rPr>
          <w:rFonts w:hint="eastAsia" w:ascii="宋体" w:hAnsi="宋体" w:eastAsia="宋体" w:cs="Times New Roman"/>
          <w:color w:val="FF0000"/>
          <w:sz w:val="24"/>
          <w:szCs w:val="20"/>
          <w:lang w:val="zh-CN"/>
        </w:rPr>
        <w:t>采购人、采购代理机构</w:t>
      </w:r>
      <w:r>
        <w:rPr>
          <w:rFonts w:hint="eastAsia" w:ascii="宋体" w:hAnsi="宋体" w:eastAsia="宋体" w:cs="Times New Roman"/>
          <w:sz w:val="24"/>
          <w:szCs w:val="20"/>
          <w:lang w:val="zh-CN"/>
        </w:rPr>
        <w:t>所有。</w:t>
      </w:r>
      <w:r>
        <w:br w:type="page"/>
      </w:r>
    </w:p>
    <w:p>
      <w:pPr>
        <w:pStyle w:val="3"/>
        <w:numPr>
          <w:ilvl w:val="0"/>
          <w:numId w:val="1"/>
        </w:numPr>
        <w:jc w:val="center"/>
        <w:rPr>
          <w:rFonts w:ascii="黑体" w:hAnsi="黑体" w:eastAsia="黑体"/>
        </w:rPr>
      </w:pPr>
      <w:bookmarkStart w:id="40" w:name="_Toc495861532"/>
      <w:r>
        <w:rPr>
          <w:rFonts w:hint="eastAsia" w:ascii="黑体" w:hAnsi="黑体" w:eastAsia="黑体"/>
        </w:rPr>
        <w:t>项目技术、服务及商务要求</w:t>
      </w:r>
      <w:bookmarkEnd w:id="40"/>
    </w:p>
    <w:p>
      <w:pPr>
        <w:pStyle w:val="44"/>
        <w:keepNext/>
        <w:keepLines/>
        <w:widowControl/>
        <w:adjustRightInd w:val="0"/>
        <w:spacing w:before="120" w:after="120" w:line="360" w:lineRule="auto"/>
        <w:ind w:left="420" w:firstLine="0" w:firstLineChars="0"/>
        <w:rPr>
          <w:b/>
          <w:sz w:val="30"/>
          <w:szCs w:val="30"/>
        </w:rPr>
      </w:pPr>
      <w:bookmarkStart w:id="41" w:name="_Toc9250"/>
      <w:r>
        <w:rPr>
          <w:rFonts w:hint="eastAsia"/>
          <w:b/>
          <w:sz w:val="30"/>
          <w:szCs w:val="30"/>
        </w:rPr>
        <w:t>一、项目概况</w:t>
      </w:r>
      <w:bookmarkEnd w:id="41"/>
    </w:p>
    <w:p>
      <w:pPr>
        <w:spacing w:line="360" w:lineRule="auto"/>
        <w:ind w:firstLine="482" w:firstLineChars="200"/>
        <w:rPr>
          <w:rFonts w:hint="default" w:eastAsiaTheme="minorEastAsia"/>
          <w:b/>
          <w:bCs/>
          <w:sz w:val="24"/>
          <w:szCs w:val="24"/>
          <w:lang w:val="en-US" w:eastAsia="zh-CN"/>
        </w:rPr>
      </w:pPr>
      <w:r>
        <w:rPr>
          <w:rFonts w:hint="eastAsia"/>
          <w:b/>
          <w:bCs/>
          <w:sz w:val="24"/>
          <w:szCs w:val="24"/>
        </w:rPr>
        <w:t>1、项目编号：</w:t>
      </w:r>
      <w:r>
        <w:rPr>
          <w:rFonts w:hint="eastAsia"/>
          <w:color w:val="FF0000"/>
          <w:sz w:val="28"/>
          <w:szCs w:val="28"/>
          <w:u w:val="single"/>
        </w:rPr>
        <w:t>131-2021CG-</w:t>
      </w:r>
      <w:r>
        <w:rPr>
          <w:rFonts w:hint="eastAsia"/>
          <w:color w:val="FF0000"/>
          <w:sz w:val="28"/>
          <w:szCs w:val="28"/>
          <w:u w:val="single"/>
          <w:lang w:val="en-US" w:eastAsia="zh-CN"/>
        </w:rPr>
        <w:t>183</w:t>
      </w:r>
    </w:p>
    <w:p>
      <w:pPr>
        <w:spacing w:line="360" w:lineRule="auto"/>
        <w:ind w:firstLine="482" w:firstLineChars="200"/>
        <w:rPr>
          <w:bCs/>
          <w:sz w:val="24"/>
          <w:szCs w:val="24"/>
        </w:rPr>
      </w:pPr>
      <w:r>
        <w:rPr>
          <w:rFonts w:hint="eastAsia"/>
          <w:b/>
          <w:bCs/>
          <w:sz w:val="24"/>
          <w:szCs w:val="24"/>
        </w:rPr>
        <w:t>2、项目名称：</w:t>
      </w:r>
      <w:r>
        <w:rPr>
          <w:rFonts w:hint="eastAsia"/>
          <w:color w:val="FF0000"/>
          <w:sz w:val="24"/>
          <w:szCs w:val="24"/>
          <w:u w:val="single"/>
        </w:rPr>
        <w:t>阳新县全民所有自然资源资产清查试点工作项目</w:t>
      </w:r>
      <w:r>
        <w:rPr>
          <w:rFonts w:hint="eastAsia"/>
          <w:bCs/>
          <w:sz w:val="24"/>
          <w:szCs w:val="24"/>
        </w:rPr>
        <w:t>。</w:t>
      </w:r>
    </w:p>
    <w:p>
      <w:pPr>
        <w:spacing w:line="360" w:lineRule="auto"/>
        <w:ind w:firstLine="482" w:firstLineChars="200"/>
        <w:rPr>
          <w:b/>
          <w:bCs/>
          <w:sz w:val="24"/>
          <w:szCs w:val="24"/>
        </w:rPr>
      </w:pPr>
      <w:r>
        <w:rPr>
          <w:rFonts w:hint="eastAsia"/>
          <w:b/>
          <w:bCs/>
          <w:sz w:val="24"/>
          <w:szCs w:val="24"/>
        </w:rPr>
        <w:t xml:space="preserve">3、采购方式：公开招标  </w:t>
      </w:r>
    </w:p>
    <w:p>
      <w:pPr>
        <w:spacing w:line="360" w:lineRule="auto"/>
        <w:ind w:firstLine="482" w:firstLineChars="200"/>
        <w:rPr>
          <w:b/>
          <w:bCs/>
          <w:sz w:val="24"/>
          <w:szCs w:val="24"/>
        </w:rPr>
      </w:pPr>
      <w:r>
        <w:rPr>
          <w:rFonts w:hint="eastAsia"/>
          <w:b/>
          <w:bCs/>
          <w:sz w:val="24"/>
          <w:szCs w:val="24"/>
        </w:rPr>
        <w:t>4、采购类别：服务类。</w:t>
      </w:r>
    </w:p>
    <w:p>
      <w:pPr>
        <w:spacing w:line="360" w:lineRule="auto"/>
        <w:ind w:firstLine="482" w:firstLineChars="200"/>
        <w:rPr>
          <w:b/>
          <w:bCs/>
          <w:sz w:val="24"/>
          <w:szCs w:val="24"/>
        </w:rPr>
      </w:pPr>
      <w:r>
        <w:rPr>
          <w:rFonts w:hint="eastAsia"/>
          <w:b/>
          <w:bCs/>
          <w:sz w:val="24"/>
          <w:szCs w:val="24"/>
        </w:rPr>
        <w:t>5、资金来源：财政资金。</w:t>
      </w:r>
    </w:p>
    <w:p>
      <w:pPr>
        <w:spacing w:line="360" w:lineRule="auto"/>
        <w:ind w:firstLine="482" w:firstLineChars="200"/>
        <w:rPr>
          <w:color w:val="FF0000"/>
          <w:sz w:val="24"/>
          <w:szCs w:val="24"/>
        </w:rPr>
      </w:pPr>
      <w:r>
        <w:rPr>
          <w:rFonts w:hint="eastAsia"/>
          <w:b/>
          <w:bCs/>
          <w:sz w:val="24"/>
          <w:szCs w:val="24"/>
        </w:rPr>
        <w:t>6、采购预算：</w:t>
      </w:r>
      <w:r>
        <w:rPr>
          <w:rFonts w:hint="eastAsia"/>
          <w:b/>
          <w:bCs/>
          <w:color w:val="FF0000"/>
          <w:sz w:val="24"/>
          <w:szCs w:val="24"/>
          <w:u w:val="single"/>
        </w:rPr>
        <w:t>102</w:t>
      </w:r>
      <w:r>
        <w:rPr>
          <w:rFonts w:hint="eastAsia"/>
          <w:bCs/>
          <w:color w:val="FF0000"/>
          <w:sz w:val="24"/>
          <w:szCs w:val="24"/>
          <w:u w:val="single"/>
        </w:rPr>
        <w:t>万元</w:t>
      </w:r>
      <w:r>
        <w:rPr>
          <w:rFonts w:hint="eastAsia"/>
          <w:bCs/>
          <w:color w:val="FF0000"/>
          <w:sz w:val="24"/>
          <w:szCs w:val="24"/>
        </w:rPr>
        <w:t>。</w:t>
      </w:r>
      <w:r>
        <w:rPr>
          <w:rFonts w:hint="eastAsia"/>
          <w:color w:val="FF0000"/>
          <w:sz w:val="24"/>
          <w:szCs w:val="24"/>
        </w:rPr>
        <w:t>（超过采购预算的报价无效）。</w:t>
      </w:r>
    </w:p>
    <w:p>
      <w:pPr>
        <w:spacing w:line="360" w:lineRule="auto"/>
        <w:ind w:firstLine="482" w:firstLineChars="200"/>
        <w:rPr>
          <w:rFonts w:hint="default"/>
          <w:bCs/>
          <w:sz w:val="24"/>
          <w:szCs w:val="24"/>
          <w:lang w:val="en-US" w:bidi="zh-CN"/>
        </w:rPr>
      </w:pPr>
      <w:r>
        <w:rPr>
          <w:rFonts w:hint="eastAsia"/>
          <w:b/>
          <w:bCs/>
          <w:sz w:val="24"/>
          <w:szCs w:val="24"/>
        </w:rPr>
        <w:t>7、项目服务期：</w:t>
      </w:r>
      <w:r>
        <w:rPr>
          <w:rFonts w:hint="eastAsia"/>
          <w:bCs/>
          <w:sz w:val="24"/>
          <w:szCs w:val="24"/>
          <w:lang w:val="en-US" w:bidi="zh-CN"/>
        </w:rPr>
        <w:t>9个月</w:t>
      </w:r>
      <w:r>
        <w:rPr>
          <w:rFonts w:hint="eastAsia"/>
          <w:bCs/>
          <w:sz w:val="24"/>
          <w:szCs w:val="24"/>
          <w:lang w:bidi="zh-CN"/>
        </w:rPr>
        <w:t>，</w:t>
      </w:r>
      <w:r>
        <w:rPr>
          <w:rFonts w:hint="eastAsia"/>
          <w:bCs/>
          <w:sz w:val="24"/>
          <w:szCs w:val="24"/>
          <w:lang w:val="en-US" w:bidi="zh-CN"/>
        </w:rPr>
        <w:t>质保期1年。</w:t>
      </w:r>
    </w:p>
    <w:p>
      <w:pPr>
        <w:keepNext/>
        <w:keepLines/>
        <w:widowControl/>
        <w:adjustRightInd w:val="0"/>
        <w:spacing w:before="120" w:after="120"/>
        <w:ind w:firstLine="602" w:firstLineChars="200"/>
        <w:rPr>
          <w:b/>
          <w:sz w:val="30"/>
          <w:szCs w:val="30"/>
        </w:rPr>
      </w:pPr>
      <w:bookmarkStart w:id="42" w:name="_Toc21427"/>
      <w:r>
        <w:rPr>
          <w:rFonts w:hint="eastAsia"/>
          <w:b/>
          <w:sz w:val="30"/>
          <w:szCs w:val="30"/>
        </w:rPr>
        <w:t>二、采购需求</w:t>
      </w:r>
      <w:bookmarkEnd w:id="42"/>
    </w:p>
    <w:p>
      <w:pPr>
        <w:spacing w:line="480" w:lineRule="exact"/>
        <w:ind w:firstLine="480" w:firstLineChars="200"/>
        <w:rPr>
          <w:color w:val="FF0000"/>
          <w:sz w:val="24"/>
          <w:szCs w:val="24"/>
        </w:rPr>
      </w:pPr>
      <w:r>
        <w:rPr>
          <w:rFonts w:hint="eastAsia"/>
          <w:color w:val="FF0000"/>
          <w:sz w:val="24"/>
          <w:szCs w:val="24"/>
          <w:u w:val="single"/>
        </w:rPr>
        <w:t>基于2019年度国土三调数据、地理国情监测数据、集体土地所有权确权登记等现有相关自然资源调查、监测成果，按照“分类施策”“全覆盖”的原则系统提取全民所有土地、矿产、森林、草原、湿地资产实物数据，通过内业数据整合更新和必要的外业补充调查，基本查清全民所有自然资源资产种类、权属、数量、质量、用途、分布等情况；利用初步搭建的市级清查价格体系估算各类资源资产经济价值；开展图件编制、统计分析，最终建立数据库并进行逐级汇交，建设自然资源资产综合监管系统，对全民所有自然资源资产本底进行年度更新，最终形成2020年全民所有自然资源资产数据</w:t>
      </w:r>
      <w:r>
        <w:rPr>
          <w:rFonts w:hint="eastAsia"/>
          <w:color w:val="FF0000"/>
          <w:sz w:val="24"/>
          <w:szCs w:val="24"/>
        </w:rPr>
        <w:t>。</w:t>
      </w:r>
    </w:p>
    <w:p>
      <w:pPr>
        <w:keepNext/>
        <w:keepLines/>
        <w:widowControl/>
        <w:adjustRightInd w:val="0"/>
        <w:spacing w:before="120" w:after="120" w:line="360" w:lineRule="auto"/>
        <w:ind w:firstLine="602" w:firstLineChars="200"/>
        <w:rPr>
          <w:b/>
          <w:sz w:val="30"/>
          <w:szCs w:val="30"/>
        </w:rPr>
      </w:pPr>
      <w:r>
        <w:rPr>
          <w:rFonts w:hint="eastAsia"/>
          <w:b/>
          <w:sz w:val="30"/>
          <w:szCs w:val="30"/>
        </w:rPr>
        <w:t>三、工作内容</w:t>
      </w:r>
    </w:p>
    <w:p>
      <w:pPr>
        <w:spacing w:line="360" w:lineRule="auto"/>
        <w:ind w:firstLine="723" w:firstLineChars="300"/>
        <w:rPr>
          <w:b/>
          <w:bCs/>
          <w:sz w:val="24"/>
          <w:szCs w:val="24"/>
          <w:lang w:val="zh-CN"/>
        </w:rPr>
      </w:pPr>
      <w:r>
        <w:rPr>
          <w:rFonts w:hint="eastAsia"/>
          <w:b/>
          <w:bCs/>
          <w:sz w:val="24"/>
          <w:szCs w:val="24"/>
        </w:rPr>
        <w:t xml:space="preserve">（一）项目名称 </w:t>
      </w:r>
    </w:p>
    <w:p>
      <w:pPr>
        <w:spacing w:line="360" w:lineRule="auto"/>
        <w:ind w:firstLine="720" w:firstLineChars="300"/>
        <w:rPr>
          <w:sz w:val="24"/>
          <w:szCs w:val="24"/>
          <w:lang w:val="zh-CN"/>
        </w:rPr>
      </w:pPr>
      <w:r>
        <w:rPr>
          <w:rFonts w:hint="eastAsia"/>
          <w:color w:val="FF0000"/>
          <w:sz w:val="24"/>
          <w:szCs w:val="24"/>
          <w:u w:val="single"/>
        </w:rPr>
        <w:t>阳新县全民所有自然资源资产清查试点工作项目</w:t>
      </w:r>
      <w:r>
        <w:rPr>
          <w:rFonts w:hint="eastAsia"/>
          <w:sz w:val="24"/>
          <w:szCs w:val="24"/>
        </w:rPr>
        <w:t>。</w:t>
      </w:r>
    </w:p>
    <w:p>
      <w:pPr>
        <w:spacing w:line="360" w:lineRule="auto"/>
        <w:ind w:firstLine="723" w:firstLineChars="300"/>
        <w:rPr>
          <w:b/>
          <w:bCs/>
          <w:sz w:val="24"/>
          <w:szCs w:val="24"/>
          <w:lang w:val="zh-CN"/>
        </w:rPr>
      </w:pPr>
      <w:r>
        <w:rPr>
          <w:rFonts w:hint="eastAsia"/>
          <w:b/>
          <w:bCs/>
          <w:sz w:val="24"/>
          <w:szCs w:val="24"/>
        </w:rPr>
        <w:t xml:space="preserve">（二）项目内容及要求 </w:t>
      </w:r>
    </w:p>
    <w:p>
      <w:pPr>
        <w:spacing w:line="360" w:lineRule="auto"/>
        <w:ind w:firstLine="723" w:firstLineChars="300"/>
        <w:rPr>
          <w:b/>
          <w:bCs/>
          <w:sz w:val="24"/>
          <w:szCs w:val="24"/>
          <w:lang w:val="zh-CN"/>
        </w:rPr>
      </w:pPr>
      <w:r>
        <w:rPr>
          <w:rFonts w:hint="eastAsia"/>
          <w:b/>
          <w:bCs/>
          <w:sz w:val="24"/>
          <w:szCs w:val="24"/>
        </w:rPr>
        <w:t xml:space="preserve">1、背景 </w:t>
      </w:r>
    </w:p>
    <w:p>
      <w:pPr>
        <w:spacing w:line="360" w:lineRule="auto"/>
        <w:ind w:firstLine="630" w:firstLineChars="300"/>
        <w:rPr>
          <w:sz w:val="24"/>
          <w:szCs w:val="24"/>
          <w:lang w:val="zh-CN"/>
        </w:rPr>
      </w:pPr>
      <w:r>
        <w:rPr>
          <w:rFonts w:hint="eastAsia"/>
        </w:rPr>
        <w:t>根据《湖北省全民所有自然资源资产清查试点工作方案》，省自然资源厅在黄石市、十堰市所辖全部县级单元开展土地、矿产、森林、草原、湿地等5类全民所有自然资源资产清查工作。</w:t>
      </w:r>
      <w:r>
        <w:rPr>
          <w:rFonts w:hint="eastAsia"/>
          <w:sz w:val="24"/>
          <w:szCs w:val="24"/>
        </w:rPr>
        <w:t>阳新县计划开展</w:t>
      </w:r>
      <w:r>
        <w:rPr>
          <w:rFonts w:hint="eastAsia"/>
          <w:color w:val="FF0000"/>
          <w:sz w:val="24"/>
          <w:szCs w:val="24"/>
          <w:u w:val="single"/>
        </w:rPr>
        <w:t>阳新县全民所有自然资源资产清查试点工作项目，</w:t>
      </w:r>
      <w:r>
        <w:rPr>
          <w:rFonts w:hint="eastAsia"/>
          <w:sz w:val="24"/>
          <w:szCs w:val="24"/>
        </w:rPr>
        <w:t>该项目为财政资金采购事项，预算资金</w:t>
      </w:r>
      <w:r>
        <w:rPr>
          <w:rFonts w:hint="eastAsia"/>
          <w:b/>
          <w:bCs/>
          <w:color w:val="FF0000"/>
          <w:sz w:val="24"/>
          <w:szCs w:val="24"/>
          <w:u w:val="single"/>
        </w:rPr>
        <w:t>102</w:t>
      </w:r>
      <w:r>
        <w:rPr>
          <w:rFonts w:hint="eastAsia"/>
          <w:bCs/>
          <w:color w:val="FF0000"/>
          <w:sz w:val="24"/>
          <w:szCs w:val="24"/>
          <w:u w:val="single"/>
        </w:rPr>
        <w:t>万元</w:t>
      </w:r>
      <w:r>
        <w:rPr>
          <w:rFonts w:hint="eastAsia"/>
          <w:sz w:val="24"/>
          <w:szCs w:val="24"/>
        </w:rPr>
        <w:t>。</w:t>
      </w:r>
    </w:p>
    <w:p>
      <w:pPr>
        <w:spacing w:line="360" w:lineRule="auto"/>
        <w:ind w:firstLine="723" w:firstLineChars="300"/>
        <w:rPr>
          <w:b/>
          <w:bCs/>
          <w:sz w:val="24"/>
          <w:szCs w:val="24"/>
        </w:rPr>
      </w:pPr>
      <w:r>
        <w:rPr>
          <w:rFonts w:hint="eastAsia"/>
          <w:b/>
          <w:bCs/>
          <w:sz w:val="24"/>
          <w:szCs w:val="24"/>
        </w:rPr>
        <w:t xml:space="preserve">2、原则 </w:t>
      </w:r>
    </w:p>
    <w:p>
      <w:pPr>
        <w:spacing w:line="360" w:lineRule="auto"/>
        <w:ind w:firstLine="630" w:firstLineChars="300"/>
      </w:pPr>
      <w:r>
        <w:rPr>
          <w:rFonts w:hint="eastAsia"/>
        </w:rPr>
        <w:t>（1）坚持问题导向，统筹推进。以解决全民所有自然资源资产底数不清，实物和价值属性信息缺失、价值内涵不统一、价格体系基础不均衡、技术规范不够细化等突出问题，统筹谋划试点工作的目标任务、时间安排和组织方法。</w:t>
      </w:r>
    </w:p>
    <w:p>
      <w:pPr>
        <w:spacing w:line="360" w:lineRule="auto"/>
        <w:ind w:firstLine="630" w:firstLineChars="300"/>
      </w:pPr>
      <w:r>
        <w:rPr>
          <w:rFonts w:hint="eastAsia"/>
        </w:rPr>
        <w:t>（2）坚持目标导向，分类施策。以基本摸清全民所有自然资源资产底数，探索核实国家所有者权益为目标，结合各类自然资源特点和管理基础，按照“以现有工作成果为基础，逐步提高精度”的思路，建立不同尺度的资产清查价格体系，采取不同技术方法开展资产清查工作。</w:t>
      </w:r>
    </w:p>
    <w:p>
      <w:pPr>
        <w:spacing w:line="360" w:lineRule="auto"/>
        <w:ind w:firstLine="630" w:firstLineChars="300"/>
      </w:pPr>
      <w:r>
        <w:rPr>
          <w:rFonts w:hint="eastAsia"/>
        </w:rPr>
        <w:t xml:space="preserve">（3）坚持质量第一，明确责任。坚持质量是资产清查的第一要求，明确各级主体的责任和分工，建立协调机制，严格执行技术规范，建立核查机制，加强监督管理，确保数据真实、资产清查价格体系客观、估算的资产经济价值合理。 </w:t>
      </w:r>
    </w:p>
    <w:p>
      <w:pPr>
        <w:spacing w:line="480" w:lineRule="exact"/>
        <w:ind w:firstLine="482" w:firstLineChars="200"/>
        <w:rPr>
          <w:b/>
          <w:bCs/>
          <w:sz w:val="24"/>
          <w:szCs w:val="24"/>
        </w:rPr>
      </w:pPr>
      <w:r>
        <w:rPr>
          <w:rFonts w:hint="eastAsia"/>
          <w:b/>
          <w:bCs/>
          <w:sz w:val="24"/>
          <w:szCs w:val="24"/>
        </w:rPr>
        <w:t xml:space="preserve">3、相关技术标准 </w:t>
      </w:r>
    </w:p>
    <w:p>
      <w:pPr>
        <w:spacing w:line="360" w:lineRule="auto"/>
        <w:ind w:firstLine="480" w:firstLineChars="200"/>
        <w:rPr>
          <w:color w:val="FF0000"/>
          <w:sz w:val="24"/>
          <w:szCs w:val="24"/>
        </w:rPr>
      </w:pPr>
      <w:r>
        <w:rPr>
          <w:rFonts w:hint="eastAsia"/>
          <w:color w:val="FF0000"/>
          <w:sz w:val="24"/>
          <w:szCs w:val="24"/>
        </w:rPr>
        <w:t>《关于全民所有自然资源资产有偿使用制度改革的指导意见》（国发〔2016〕82号）；</w:t>
      </w:r>
    </w:p>
    <w:p>
      <w:pPr>
        <w:spacing w:line="360" w:lineRule="auto"/>
        <w:ind w:firstLine="480" w:firstLineChars="200"/>
        <w:rPr>
          <w:color w:val="FF0000"/>
          <w:sz w:val="24"/>
          <w:szCs w:val="24"/>
        </w:rPr>
      </w:pPr>
      <w:r>
        <w:rPr>
          <w:rFonts w:hint="eastAsia"/>
          <w:color w:val="FF0000"/>
          <w:sz w:val="24"/>
          <w:szCs w:val="24"/>
        </w:rPr>
        <w:t>《自然资源部办公厅关于开展全民所有自然资源资产清查第二批试点工作的通知》（自然资办函[2021]291号）；</w:t>
      </w:r>
    </w:p>
    <w:p>
      <w:pPr>
        <w:spacing w:line="360" w:lineRule="auto"/>
        <w:ind w:firstLine="480" w:firstLineChars="200"/>
        <w:rPr>
          <w:color w:val="FF0000"/>
          <w:sz w:val="24"/>
          <w:szCs w:val="24"/>
        </w:rPr>
      </w:pPr>
      <w:r>
        <w:rPr>
          <w:rFonts w:hint="eastAsia"/>
          <w:color w:val="FF0000"/>
          <w:sz w:val="24"/>
          <w:szCs w:val="24"/>
        </w:rPr>
        <w:t>《省自然资源厅办公室省林业局办公室关于开展全民所有自然资源资产清查试点工作的通知》；</w:t>
      </w:r>
    </w:p>
    <w:p>
      <w:pPr>
        <w:spacing w:line="360" w:lineRule="auto"/>
        <w:ind w:firstLine="480" w:firstLineChars="200"/>
        <w:rPr>
          <w:color w:val="FF0000"/>
          <w:sz w:val="24"/>
          <w:szCs w:val="24"/>
        </w:rPr>
      </w:pPr>
      <w:r>
        <w:rPr>
          <w:rFonts w:hint="eastAsia"/>
          <w:color w:val="FF0000"/>
          <w:sz w:val="24"/>
          <w:szCs w:val="24"/>
        </w:rPr>
        <w:t>《全民所有自然资源资产清查技术指南（试行稿）》；</w:t>
      </w:r>
    </w:p>
    <w:p>
      <w:pPr>
        <w:spacing w:line="360" w:lineRule="auto"/>
        <w:ind w:firstLine="480" w:firstLineChars="200"/>
        <w:rPr>
          <w:color w:val="FF0000"/>
          <w:sz w:val="24"/>
          <w:szCs w:val="24"/>
        </w:rPr>
      </w:pPr>
      <w:r>
        <w:rPr>
          <w:rFonts w:hint="eastAsia"/>
          <w:color w:val="FF0000"/>
          <w:sz w:val="24"/>
          <w:szCs w:val="24"/>
        </w:rPr>
        <w:t>《土地利用现状分类》(GB/T21010-2017)；</w:t>
      </w:r>
    </w:p>
    <w:p>
      <w:pPr>
        <w:spacing w:line="360" w:lineRule="auto"/>
        <w:ind w:firstLine="480" w:firstLineChars="200"/>
        <w:rPr>
          <w:color w:val="FF0000"/>
          <w:sz w:val="24"/>
          <w:szCs w:val="24"/>
        </w:rPr>
      </w:pPr>
      <w:r>
        <w:rPr>
          <w:rFonts w:hint="eastAsia"/>
          <w:color w:val="FF0000"/>
          <w:sz w:val="24"/>
          <w:szCs w:val="24"/>
        </w:rPr>
        <w:t>《农用地质量分等规程》（GBT28407-2012）；</w:t>
      </w:r>
    </w:p>
    <w:p>
      <w:pPr>
        <w:spacing w:line="360" w:lineRule="auto"/>
        <w:ind w:firstLine="480" w:firstLineChars="200"/>
        <w:rPr>
          <w:color w:val="FF0000"/>
          <w:sz w:val="24"/>
          <w:szCs w:val="24"/>
        </w:rPr>
      </w:pPr>
      <w:r>
        <w:rPr>
          <w:rFonts w:hint="eastAsia"/>
          <w:color w:val="FF0000"/>
          <w:sz w:val="24"/>
          <w:szCs w:val="24"/>
        </w:rPr>
        <w:t>《农用地定级规程》（GB/T28405-2012）；</w:t>
      </w:r>
    </w:p>
    <w:p>
      <w:pPr>
        <w:spacing w:line="360" w:lineRule="auto"/>
        <w:ind w:firstLine="480" w:firstLineChars="200"/>
        <w:rPr>
          <w:color w:val="FF0000"/>
          <w:sz w:val="24"/>
          <w:szCs w:val="24"/>
        </w:rPr>
      </w:pPr>
      <w:r>
        <w:rPr>
          <w:rFonts w:hint="eastAsia"/>
          <w:color w:val="FF0000"/>
          <w:sz w:val="24"/>
          <w:szCs w:val="24"/>
        </w:rPr>
        <w:t>《城市地价动态监测技术规范》（TD/T1009）</w:t>
      </w:r>
    </w:p>
    <w:p>
      <w:pPr>
        <w:spacing w:line="360" w:lineRule="auto"/>
        <w:ind w:firstLine="480" w:firstLineChars="200"/>
        <w:rPr>
          <w:color w:val="FF0000"/>
          <w:sz w:val="24"/>
          <w:szCs w:val="24"/>
        </w:rPr>
      </w:pPr>
      <w:r>
        <w:rPr>
          <w:rFonts w:hint="eastAsia"/>
          <w:color w:val="FF0000"/>
          <w:sz w:val="24"/>
          <w:szCs w:val="24"/>
        </w:rPr>
        <w:t>《建设用地节约集约利用评价规程》（TD/T1008）</w:t>
      </w:r>
    </w:p>
    <w:p>
      <w:pPr>
        <w:spacing w:line="360" w:lineRule="auto"/>
        <w:ind w:firstLine="480" w:firstLineChars="200"/>
        <w:rPr>
          <w:color w:val="FF0000"/>
          <w:sz w:val="24"/>
          <w:szCs w:val="24"/>
        </w:rPr>
      </w:pPr>
      <w:r>
        <w:rPr>
          <w:rFonts w:hint="eastAsia"/>
          <w:color w:val="FF0000"/>
          <w:sz w:val="24"/>
          <w:szCs w:val="24"/>
        </w:rPr>
        <w:t>《标定地价规程》（TD/T1052）</w:t>
      </w:r>
    </w:p>
    <w:p>
      <w:pPr>
        <w:spacing w:line="360" w:lineRule="auto"/>
        <w:ind w:firstLine="480" w:firstLineChars="200"/>
        <w:rPr>
          <w:color w:val="FF0000"/>
          <w:sz w:val="24"/>
          <w:szCs w:val="24"/>
        </w:rPr>
      </w:pPr>
      <w:r>
        <w:rPr>
          <w:rFonts w:hint="eastAsia"/>
          <w:color w:val="FF0000"/>
          <w:sz w:val="24"/>
          <w:szCs w:val="24"/>
        </w:rPr>
        <w:t>《湿地分类》（GB/T24708）；</w:t>
      </w:r>
    </w:p>
    <w:p>
      <w:pPr>
        <w:spacing w:line="360" w:lineRule="auto"/>
        <w:ind w:firstLine="480" w:firstLineChars="200"/>
        <w:rPr>
          <w:color w:val="FF0000"/>
          <w:sz w:val="24"/>
          <w:szCs w:val="24"/>
        </w:rPr>
      </w:pPr>
      <w:r>
        <w:rPr>
          <w:rFonts w:hint="eastAsia"/>
          <w:color w:val="FF0000"/>
          <w:sz w:val="24"/>
          <w:szCs w:val="24"/>
        </w:rPr>
        <w:t>《林地分类》（LY/T1812）；</w:t>
      </w:r>
    </w:p>
    <w:p>
      <w:pPr>
        <w:spacing w:line="360" w:lineRule="auto"/>
        <w:ind w:firstLine="480" w:firstLineChars="200"/>
        <w:rPr>
          <w:color w:val="FF0000"/>
          <w:sz w:val="24"/>
          <w:szCs w:val="24"/>
        </w:rPr>
      </w:pPr>
      <w:r>
        <w:rPr>
          <w:rFonts w:hint="eastAsia"/>
          <w:color w:val="FF0000"/>
          <w:sz w:val="24"/>
          <w:szCs w:val="24"/>
        </w:rPr>
        <w:t>《草地分类》（NY/T2997）；</w:t>
      </w:r>
    </w:p>
    <w:p>
      <w:pPr>
        <w:spacing w:line="360" w:lineRule="auto"/>
        <w:ind w:firstLine="480" w:firstLineChars="200"/>
        <w:rPr>
          <w:color w:val="FF0000"/>
          <w:sz w:val="24"/>
          <w:szCs w:val="24"/>
        </w:rPr>
      </w:pPr>
      <w:r>
        <w:rPr>
          <w:rFonts w:hint="eastAsia"/>
          <w:color w:val="FF0000"/>
          <w:sz w:val="24"/>
          <w:szCs w:val="24"/>
        </w:rPr>
        <w:t>《草地资源调查技术规程》（NY/T2998）；</w:t>
      </w:r>
    </w:p>
    <w:p>
      <w:pPr>
        <w:spacing w:line="360" w:lineRule="auto"/>
        <w:ind w:firstLine="480" w:firstLineChars="200"/>
        <w:rPr>
          <w:color w:val="FF0000"/>
          <w:sz w:val="24"/>
          <w:szCs w:val="24"/>
        </w:rPr>
      </w:pPr>
      <w:r>
        <w:rPr>
          <w:rFonts w:hint="eastAsia"/>
          <w:color w:val="FF0000"/>
          <w:sz w:val="24"/>
          <w:szCs w:val="24"/>
        </w:rPr>
        <w:t>《地籍调查规程》（TD/T1001）；</w:t>
      </w:r>
    </w:p>
    <w:p>
      <w:pPr>
        <w:spacing w:line="360" w:lineRule="auto"/>
        <w:ind w:firstLine="480" w:firstLineChars="200"/>
        <w:rPr>
          <w:color w:val="FF0000"/>
          <w:sz w:val="24"/>
          <w:szCs w:val="24"/>
        </w:rPr>
      </w:pPr>
      <w:r>
        <w:rPr>
          <w:rFonts w:hint="eastAsia"/>
          <w:color w:val="FF0000"/>
          <w:sz w:val="24"/>
          <w:szCs w:val="24"/>
        </w:rPr>
        <w:t>《固体矿产地质勘察规范总则》（GB/T1398）；</w:t>
      </w:r>
    </w:p>
    <w:p>
      <w:pPr>
        <w:spacing w:line="360" w:lineRule="auto"/>
        <w:ind w:firstLine="480" w:firstLineChars="200"/>
        <w:rPr>
          <w:color w:val="FF0000"/>
          <w:sz w:val="24"/>
          <w:szCs w:val="24"/>
        </w:rPr>
      </w:pPr>
      <w:r>
        <w:rPr>
          <w:rFonts w:hint="eastAsia"/>
          <w:color w:val="FF0000"/>
          <w:sz w:val="24"/>
          <w:szCs w:val="24"/>
        </w:rPr>
        <w:t>《城镇土地分等定级规程》（GB/T18507）；</w:t>
      </w:r>
    </w:p>
    <w:p>
      <w:pPr>
        <w:spacing w:line="360" w:lineRule="auto"/>
        <w:ind w:firstLine="480" w:firstLineChars="200"/>
        <w:rPr>
          <w:color w:val="FF0000"/>
          <w:sz w:val="24"/>
          <w:szCs w:val="24"/>
        </w:rPr>
      </w:pPr>
      <w:r>
        <w:rPr>
          <w:rFonts w:hint="eastAsia"/>
          <w:color w:val="FF0000"/>
          <w:sz w:val="24"/>
          <w:szCs w:val="24"/>
        </w:rPr>
        <w:t>《城镇土地估价规程》（GB/T18508）；</w:t>
      </w:r>
    </w:p>
    <w:p>
      <w:pPr>
        <w:spacing w:line="360" w:lineRule="auto"/>
        <w:ind w:firstLine="480" w:firstLineChars="200"/>
        <w:rPr>
          <w:color w:val="FF0000"/>
          <w:sz w:val="24"/>
          <w:szCs w:val="24"/>
        </w:rPr>
      </w:pPr>
      <w:r>
        <w:rPr>
          <w:rFonts w:hint="eastAsia"/>
          <w:color w:val="FF0000"/>
          <w:sz w:val="24"/>
          <w:szCs w:val="24"/>
        </w:rPr>
        <w:t>《森林生态系统服务能力评估规范》（GB/T38582）；</w:t>
      </w:r>
    </w:p>
    <w:p>
      <w:pPr>
        <w:spacing w:line="360" w:lineRule="auto"/>
        <w:ind w:firstLine="480" w:firstLineChars="200"/>
        <w:rPr>
          <w:color w:val="FF0000"/>
          <w:sz w:val="24"/>
          <w:szCs w:val="24"/>
        </w:rPr>
      </w:pPr>
      <w:r>
        <w:rPr>
          <w:rFonts w:hint="eastAsia"/>
          <w:color w:val="FF0000"/>
          <w:sz w:val="24"/>
          <w:szCs w:val="24"/>
        </w:rPr>
        <w:t>《森林资源资产评估技术规范》（LY/T2407）；</w:t>
      </w:r>
    </w:p>
    <w:p>
      <w:pPr>
        <w:spacing w:line="360" w:lineRule="auto"/>
        <w:ind w:firstLine="480" w:firstLineChars="200"/>
        <w:rPr>
          <w:color w:val="FF0000"/>
          <w:sz w:val="24"/>
          <w:szCs w:val="24"/>
        </w:rPr>
      </w:pPr>
      <w:r>
        <w:rPr>
          <w:rFonts w:hint="eastAsia"/>
          <w:color w:val="FF0000"/>
          <w:sz w:val="24"/>
          <w:szCs w:val="24"/>
        </w:rPr>
        <w:t>《县级林地保护利用规划编制技术规程》（LY/T1956）；</w:t>
      </w:r>
    </w:p>
    <w:p>
      <w:pPr>
        <w:spacing w:line="360" w:lineRule="auto"/>
        <w:ind w:firstLine="480" w:firstLineChars="200"/>
        <w:rPr>
          <w:color w:val="FF0000"/>
          <w:sz w:val="24"/>
          <w:szCs w:val="24"/>
        </w:rPr>
      </w:pPr>
      <w:r>
        <w:rPr>
          <w:rFonts w:hint="eastAsia"/>
          <w:color w:val="FF0000"/>
          <w:sz w:val="24"/>
          <w:szCs w:val="24"/>
        </w:rPr>
        <w:t>《第三次全国国土调查技术规程》（TD/T1055）；</w:t>
      </w:r>
    </w:p>
    <w:p>
      <w:pPr>
        <w:spacing w:line="360" w:lineRule="auto"/>
        <w:ind w:firstLine="480" w:firstLineChars="200"/>
        <w:rPr>
          <w:color w:val="FF0000"/>
          <w:sz w:val="24"/>
          <w:szCs w:val="24"/>
        </w:rPr>
      </w:pPr>
      <w:r>
        <w:rPr>
          <w:rFonts w:hint="eastAsia"/>
          <w:color w:val="FF0000"/>
          <w:sz w:val="24"/>
          <w:szCs w:val="24"/>
        </w:rPr>
        <w:t>《固体矿产资源/储量分类》（GB/T17766）等。</w:t>
      </w:r>
    </w:p>
    <w:p>
      <w:pPr>
        <w:spacing w:line="360" w:lineRule="auto"/>
        <w:ind w:firstLine="482" w:firstLineChars="200"/>
        <w:rPr>
          <w:b/>
          <w:bCs/>
          <w:color w:val="FF0000"/>
          <w:sz w:val="24"/>
          <w:szCs w:val="24"/>
        </w:rPr>
      </w:pPr>
      <w:r>
        <w:rPr>
          <w:rFonts w:hint="eastAsia"/>
          <w:b/>
          <w:bCs/>
          <w:color w:val="FF0000"/>
          <w:sz w:val="24"/>
          <w:szCs w:val="24"/>
        </w:rPr>
        <w:t xml:space="preserve">4、项目内容 </w:t>
      </w:r>
    </w:p>
    <w:p>
      <w:pPr>
        <w:spacing w:line="360" w:lineRule="auto"/>
        <w:ind w:firstLine="480" w:firstLineChars="200"/>
        <w:rPr>
          <w:color w:val="FF0000"/>
          <w:sz w:val="24"/>
          <w:szCs w:val="24"/>
        </w:rPr>
      </w:pPr>
      <w:r>
        <w:rPr>
          <w:rFonts w:hint="eastAsia"/>
          <w:color w:val="FF0000"/>
          <w:sz w:val="24"/>
          <w:szCs w:val="24"/>
        </w:rPr>
        <w:t>（1）矿产资源资产清查；</w:t>
      </w:r>
    </w:p>
    <w:p>
      <w:pPr>
        <w:spacing w:line="360" w:lineRule="auto"/>
        <w:ind w:firstLine="480" w:firstLineChars="200"/>
        <w:rPr>
          <w:color w:val="FF0000"/>
          <w:sz w:val="24"/>
          <w:szCs w:val="24"/>
        </w:rPr>
      </w:pPr>
      <w:r>
        <w:rPr>
          <w:rFonts w:hint="eastAsia"/>
          <w:color w:val="FF0000"/>
          <w:sz w:val="24"/>
          <w:szCs w:val="24"/>
        </w:rPr>
        <w:t xml:space="preserve">（2）森林资源资产清查； </w:t>
      </w:r>
    </w:p>
    <w:p>
      <w:pPr>
        <w:spacing w:line="360" w:lineRule="auto"/>
        <w:ind w:firstLine="480" w:firstLineChars="200"/>
        <w:rPr>
          <w:color w:val="FF0000"/>
          <w:sz w:val="24"/>
          <w:szCs w:val="24"/>
        </w:rPr>
      </w:pPr>
      <w:r>
        <w:rPr>
          <w:rFonts w:hint="eastAsia"/>
          <w:color w:val="FF0000"/>
          <w:sz w:val="24"/>
          <w:szCs w:val="24"/>
        </w:rPr>
        <w:t>（3）草原资源资产清查；</w:t>
      </w:r>
    </w:p>
    <w:p>
      <w:pPr>
        <w:spacing w:line="360" w:lineRule="auto"/>
        <w:ind w:firstLine="480" w:firstLineChars="200"/>
        <w:rPr>
          <w:color w:val="FF0000"/>
          <w:sz w:val="24"/>
          <w:szCs w:val="24"/>
        </w:rPr>
      </w:pPr>
      <w:r>
        <w:rPr>
          <w:rFonts w:hint="eastAsia"/>
          <w:color w:val="FF0000"/>
          <w:sz w:val="24"/>
          <w:szCs w:val="24"/>
        </w:rPr>
        <w:t>（4）湿地资源资产清查；</w:t>
      </w:r>
    </w:p>
    <w:p>
      <w:pPr>
        <w:spacing w:line="360" w:lineRule="auto"/>
        <w:ind w:firstLine="480" w:firstLineChars="200"/>
        <w:rPr>
          <w:color w:val="FF0000"/>
          <w:sz w:val="24"/>
          <w:szCs w:val="24"/>
        </w:rPr>
      </w:pPr>
      <w:r>
        <w:rPr>
          <w:rFonts w:hint="eastAsia"/>
          <w:color w:val="FF0000"/>
          <w:sz w:val="24"/>
          <w:szCs w:val="24"/>
        </w:rPr>
        <w:t xml:space="preserve">（5）储备土地专项资产清查； </w:t>
      </w:r>
    </w:p>
    <w:p>
      <w:pPr>
        <w:spacing w:line="360" w:lineRule="auto"/>
        <w:ind w:firstLine="480" w:firstLineChars="200"/>
        <w:rPr>
          <w:color w:val="FF0000"/>
          <w:sz w:val="24"/>
          <w:szCs w:val="24"/>
        </w:rPr>
      </w:pPr>
      <w:r>
        <w:rPr>
          <w:rFonts w:hint="eastAsia"/>
          <w:color w:val="FF0000"/>
          <w:sz w:val="24"/>
          <w:szCs w:val="24"/>
        </w:rPr>
        <w:t>（6）资产清查成果质量核查；</w:t>
      </w:r>
    </w:p>
    <w:p>
      <w:pPr>
        <w:spacing w:line="360" w:lineRule="auto"/>
        <w:ind w:firstLine="480" w:firstLineChars="200"/>
        <w:rPr>
          <w:color w:val="FF0000"/>
          <w:sz w:val="24"/>
          <w:szCs w:val="24"/>
        </w:rPr>
      </w:pPr>
      <w:r>
        <w:rPr>
          <w:rFonts w:hint="eastAsia"/>
          <w:color w:val="FF0000"/>
          <w:sz w:val="24"/>
          <w:szCs w:val="24"/>
        </w:rPr>
        <w:t xml:space="preserve">（7）资产清查数据库建设。 </w:t>
      </w:r>
    </w:p>
    <w:p>
      <w:pPr>
        <w:keepNext/>
        <w:keepLines/>
        <w:widowControl/>
        <w:adjustRightInd w:val="0"/>
        <w:spacing w:before="120" w:after="120" w:line="360" w:lineRule="auto"/>
        <w:ind w:firstLine="602" w:firstLineChars="200"/>
        <w:rPr>
          <w:b/>
          <w:sz w:val="30"/>
          <w:szCs w:val="30"/>
        </w:rPr>
      </w:pPr>
      <w:r>
        <w:rPr>
          <w:rFonts w:hint="eastAsia"/>
          <w:b/>
          <w:sz w:val="30"/>
          <w:szCs w:val="30"/>
        </w:rPr>
        <w:t>四、工期及质量要求</w:t>
      </w:r>
    </w:p>
    <w:p>
      <w:pPr>
        <w:spacing w:line="480" w:lineRule="exact"/>
        <w:ind w:firstLine="480" w:firstLineChars="200"/>
        <w:rPr>
          <w:sz w:val="24"/>
          <w:szCs w:val="24"/>
        </w:rPr>
      </w:pPr>
      <w:r>
        <w:rPr>
          <w:rFonts w:hint="eastAsia"/>
          <w:sz w:val="24"/>
          <w:szCs w:val="24"/>
        </w:rPr>
        <w:t xml:space="preserve">1、合同履行期限：以甲方要求为准。 </w:t>
      </w:r>
    </w:p>
    <w:p>
      <w:pPr>
        <w:spacing w:line="480" w:lineRule="exact"/>
        <w:ind w:firstLine="480" w:firstLineChars="200"/>
        <w:rPr>
          <w:sz w:val="24"/>
          <w:szCs w:val="24"/>
        </w:rPr>
      </w:pPr>
      <w:r>
        <w:rPr>
          <w:rFonts w:hint="eastAsia"/>
          <w:sz w:val="24"/>
          <w:szCs w:val="24"/>
        </w:rPr>
        <w:t>2、质量要求：</w:t>
      </w:r>
      <w:r>
        <w:rPr>
          <w:rFonts w:hint="eastAsia"/>
          <w:color w:val="FF0000"/>
          <w:sz w:val="24"/>
          <w:szCs w:val="24"/>
          <w:u w:val="single"/>
        </w:rPr>
        <w:t>符合现行国家标准、政策及现行技术规范要求，并通过相关部门审核</w:t>
      </w:r>
      <w:r>
        <w:rPr>
          <w:rFonts w:hint="eastAsia"/>
          <w:sz w:val="24"/>
          <w:szCs w:val="24"/>
        </w:rPr>
        <w:t>。</w:t>
      </w:r>
    </w:p>
    <w:p>
      <w:pPr>
        <w:spacing w:line="480" w:lineRule="exact"/>
        <w:ind w:firstLine="480" w:firstLineChars="200"/>
        <w:rPr>
          <w:sz w:val="24"/>
          <w:szCs w:val="24"/>
        </w:rPr>
      </w:pPr>
      <w:r>
        <w:rPr>
          <w:rFonts w:hint="eastAsia"/>
          <w:sz w:val="24"/>
          <w:szCs w:val="24"/>
        </w:rPr>
        <w:t>3、质保服务内容：确保工作成果及数据保障正确性、合理性，及时响应委托方工作需要。</w:t>
      </w:r>
    </w:p>
    <w:p>
      <w:pPr>
        <w:keepNext/>
        <w:keepLines/>
        <w:widowControl/>
        <w:adjustRightInd w:val="0"/>
        <w:spacing w:before="120" w:after="120" w:line="360" w:lineRule="auto"/>
        <w:ind w:firstLine="602" w:firstLineChars="200"/>
        <w:rPr>
          <w:b/>
          <w:sz w:val="30"/>
          <w:szCs w:val="30"/>
        </w:rPr>
      </w:pPr>
      <w:r>
        <w:rPr>
          <w:rFonts w:hint="eastAsia"/>
          <w:b/>
          <w:sz w:val="30"/>
          <w:szCs w:val="30"/>
        </w:rPr>
        <w:t xml:space="preserve">五、付款方式 </w:t>
      </w:r>
    </w:p>
    <w:p>
      <w:pPr>
        <w:spacing w:line="360" w:lineRule="auto"/>
        <w:ind w:firstLine="480" w:firstLineChars="200"/>
        <w:rPr>
          <w:color w:val="FF0000"/>
          <w:sz w:val="24"/>
          <w:szCs w:val="24"/>
        </w:rPr>
      </w:pPr>
      <w:r>
        <w:rPr>
          <w:rFonts w:hint="eastAsia"/>
          <w:sz w:val="24"/>
          <w:szCs w:val="24"/>
        </w:rPr>
        <w:t>向上级主管部门提交实物量清查成果后支付合同额50%，省、市上级主管部门对该项目完成验收后支付合同额40%，质保期结束后支付尾款10%。</w:t>
      </w:r>
    </w:p>
    <w:p>
      <w:pPr>
        <w:sectPr>
          <w:footerReference r:id="rId7" w:type="default"/>
          <w:pgSz w:w="11910" w:h="16840"/>
          <w:pgMar w:top="1259" w:right="940" w:bottom="986" w:left="740" w:header="0" w:footer="913" w:gutter="0"/>
          <w:cols w:space="720" w:num="1"/>
        </w:sectPr>
      </w:pPr>
    </w:p>
    <w:p>
      <w:pPr>
        <w:pStyle w:val="3"/>
        <w:numPr>
          <w:ilvl w:val="0"/>
          <w:numId w:val="1"/>
        </w:numPr>
        <w:jc w:val="center"/>
        <w:rPr>
          <w:rFonts w:ascii="黑体" w:hAnsi="黑体" w:eastAsia="黑体"/>
        </w:rPr>
      </w:pPr>
      <w:bookmarkStart w:id="43" w:name="_Toc495861538"/>
      <w:r>
        <w:rPr>
          <w:rFonts w:hint="eastAsia" w:ascii="黑体" w:hAnsi="黑体" w:eastAsia="黑体"/>
        </w:rPr>
        <w:t>资格审查方法及标准</w:t>
      </w:r>
      <w:bookmarkEnd w:id="43"/>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根据《政府采购法》、《政府采购法实施条例》、《政府采购货物和服务招标投标管理办法》等相关法律法规确定以下资格审查方法及标准。</w:t>
      </w:r>
    </w:p>
    <w:p>
      <w:pPr>
        <w:pStyle w:val="4"/>
        <w:numPr>
          <w:ilvl w:val="0"/>
          <w:numId w:val="36"/>
        </w:numPr>
        <w:spacing w:before="0" w:after="0" w:line="360" w:lineRule="auto"/>
        <w:ind w:left="616" w:hanging="616"/>
        <w:jc w:val="left"/>
        <w:rPr>
          <w:rFonts w:cs="Times New Roman" w:asciiTheme="majorEastAsia" w:hAnsiTheme="majorEastAsia"/>
          <w:bCs w:val="0"/>
          <w:sz w:val="30"/>
          <w:szCs w:val="30"/>
          <w:lang w:val="zh-CN"/>
        </w:rPr>
      </w:pPr>
      <w:bookmarkStart w:id="44" w:name="_Toc494561958"/>
      <w:bookmarkStart w:id="45" w:name="_Toc495861539"/>
      <w:r>
        <w:rPr>
          <w:rFonts w:hint="eastAsia" w:cs="Times New Roman" w:asciiTheme="majorEastAsia" w:hAnsiTheme="majorEastAsia"/>
          <w:bCs w:val="0"/>
          <w:sz w:val="30"/>
          <w:szCs w:val="30"/>
          <w:lang w:val="zh-CN"/>
        </w:rPr>
        <w:t>资格审查方法</w:t>
      </w:r>
      <w:bookmarkEnd w:id="44"/>
      <w:bookmarkEnd w:id="45"/>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公开招标采购项目开标结束后，采购人、采购代理机构成立资格审查小组，依据法律、法规及招标文件的规定，对投标人的资格进行审查，以确定投标人资格是否合格。</w:t>
      </w:r>
    </w:p>
    <w:p>
      <w:pPr>
        <w:pStyle w:val="4"/>
        <w:numPr>
          <w:ilvl w:val="0"/>
          <w:numId w:val="36"/>
        </w:numPr>
        <w:spacing w:before="0" w:after="0" w:line="360" w:lineRule="auto"/>
        <w:ind w:left="616" w:hanging="616"/>
        <w:jc w:val="left"/>
        <w:rPr>
          <w:rFonts w:cs="Times New Roman" w:asciiTheme="majorEastAsia" w:hAnsiTheme="majorEastAsia"/>
          <w:bCs w:val="0"/>
          <w:sz w:val="30"/>
          <w:szCs w:val="30"/>
          <w:lang w:val="zh-CN"/>
        </w:rPr>
      </w:pPr>
      <w:bookmarkStart w:id="46" w:name="_Toc495861540"/>
      <w:bookmarkStart w:id="47" w:name="_Toc494561959"/>
      <w:r>
        <w:rPr>
          <w:rFonts w:hint="eastAsia" w:cs="Times New Roman" w:asciiTheme="majorEastAsia" w:hAnsiTheme="majorEastAsia"/>
          <w:bCs w:val="0"/>
          <w:sz w:val="30"/>
          <w:szCs w:val="30"/>
          <w:lang w:val="zh-CN"/>
        </w:rPr>
        <w:t>资格审查标准</w:t>
      </w:r>
      <w:bookmarkEnd w:id="46"/>
      <w:bookmarkEnd w:id="47"/>
    </w:p>
    <w:p>
      <w:pPr>
        <w:numPr>
          <w:ilvl w:val="0"/>
          <w:numId w:val="37"/>
        </w:numPr>
        <w:tabs>
          <w:tab w:val="left" w:pos="616"/>
        </w:tabs>
        <w:spacing w:line="360" w:lineRule="auto"/>
        <w:ind w:left="14" w:firstLine="238"/>
        <w:rPr>
          <w:rFonts w:ascii="宋体" w:hAnsi="宋体" w:eastAsia="宋体" w:cs="Times New Roman"/>
          <w:b/>
          <w:color w:val="0D0D0D"/>
          <w:sz w:val="24"/>
          <w:szCs w:val="24"/>
          <w:lang w:val="zh-CN"/>
        </w:rPr>
      </w:pPr>
      <w:r>
        <w:rPr>
          <w:rFonts w:hint="eastAsia" w:ascii="宋体" w:hAnsi="宋体" w:eastAsia="宋体" w:cs="Times New Roman"/>
          <w:b/>
          <w:color w:val="0D0D0D"/>
          <w:sz w:val="24"/>
          <w:szCs w:val="24"/>
          <w:lang w:val="zh-CN"/>
        </w:rPr>
        <w:t>资格证明文件审查</w:t>
      </w:r>
    </w:p>
    <w:p>
      <w:pPr>
        <w:tabs>
          <w:tab w:val="left" w:pos="616"/>
        </w:tabs>
        <w:spacing w:line="360" w:lineRule="auto"/>
        <w:ind w:firstLine="420"/>
        <w:rPr>
          <w:rFonts w:ascii="Helvetica" w:hAnsi="Helvetica" w:eastAsia="宋体" w:cs="Helvetica"/>
          <w:b/>
          <w:color w:val="0D0D0D"/>
          <w:kern w:val="0"/>
          <w:sz w:val="24"/>
          <w:szCs w:val="24"/>
          <w:lang w:val="zh-CN"/>
        </w:rPr>
      </w:pPr>
      <w:r>
        <w:rPr>
          <w:rFonts w:hint="eastAsia" w:ascii="Helvetica" w:hAnsi="Helvetica" w:eastAsia="宋体" w:cs="Helvetica"/>
          <w:color w:val="0D0D0D"/>
          <w:kern w:val="0"/>
          <w:sz w:val="24"/>
          <w:szCs w:val="24"/>
          <w:lang w:val="zh-CN"/>
        </w:rPr>
        <w:t>所递交的资格证明文件出现不符合下列情形之一或不足以证明其符合下列情形之一的，应视为资格审查不合格，并按照</w:t>
      </w:r>
      <w:r>
        <w:rPr>
          <w:rFonts w:hint="eastAsia" w:ascii="Helvetica" w:hAnsi="Helvetica" w:eastAsia="宋体" w:cs="Helvetica"/>
          <w:b/>
          <w:color w:val="0D0D0D"/>
          <w:kern w:val="0"/>
          <w:sz w:val="24"/>
          <w:szCs w:val="24"/>
          <w:lang w:val="zh-CN"/>
        </w:rPr>
        <w:t>无效投标处理：</w:t>
      </w:r>
    </w:p>
    <w:p>
      <w:pPr>
        <w:pStyle w:val="31"/>
        <w:numPr>
          <w:ilvl w:val="0"/>
          <w:numId w:val="38"/>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应具备《政府采购法》第二十二条第一款规定的条件，</w:t>
      </w:r>
      <w:r>
        <w:rPr>
          <w:rFonts w:hint="eastAsia" w:hAnsi="宋体"/>
          <w:sz w:val="24"/>
          <w:szCs w:val="24"/>
        </w:rPr>
        <w:t>提供下列材料</w:t>
      </w:r>
      <w:r>
        <w:rPr>
          <w:rFonts w:hint="eastAsia" w:ascii="宋体" w:hAnsi="宋体" w:eastAsia="宋体" w:cs="Times New Roman"/>
          <w:sz w:val="24"/>
          <w:szCs w:val="24"/>
          <w:lang w:val="zh-CN"/>
        </w:rPr>
        <w:t>：</w:t>
      </w:r>
    </w:p>
    <w:p>
      <w:pPr>
        <w:pStyle w:val="31"/>
        <w:numPr>
          <w:ilvl w:val="0"/>
          <w:numId w:val="39"/>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法人或者其他组织的营业执照等证明文件，自然人的身份证明；</w:t>
      </w:r>
    </w:p>
    <w:p>
      <w:pPr>
        <w:pStyle w:val="31"/>
        <w:numPr>
          <w:ilvl w:val="0"/>
          <w:numId w:val="39"/>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财务状况报告，依法缴纳税收和社会保障资金的相关材料；</w:t>
      </w:r>
    </w:p>
    <w:p>
      <w:pPr>
        <w:pStyle w:val="31"/>
        <w:numPr>
          <w:ilvl w:val="0"/>
          <w:numId w:val="39"/>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具备履行合同所必需的设备和专业技术能力的证明材料；</w:t>
      </w:r>
    </w:p>
    <w:p>
      <w:pPr>
        <w:pStyle w:val="31"/>
        <w:numPr>
          <w:ilvl w:val="0"/>
          <w:numId w:val="39"/>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参加政府采购活动前3年内在经营活动中没有重大违法记录的书面声明；</w:t>
      </w:r>
    </w:p>
    <w:p>
      <w:pPr>
        <w:pStyle w:val="31"/>
        <w:numPr>
          <w:ilvl w:val="0"/>
          <w:numId w:val="39"/>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具备法律、行政法规规定的其他条件的证明材料。</w:t>
      </w:r>
    </w:p>
    <w:p>
      <w:pPr>
        <w:pStyle w:val="31"/>
        <w:numPr>
          <w:ilvl w:val="0"/>
          <w:numId w:val="38"/>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未被“信用中国”网站(www.creditchina.gov.cn)列入失信被执行人、重大税收违法案件当事人名单、政府采购严重违法失信行为记录名单的书面申明及该网站查询结果页面截图；</w:t>
      </w:r>
    </w:p>
    <w:p>
      <w:pPr>
        <w:pStyle w:val="31"/>
        <w:numPr>
          <w:ilvl w:val="0"/>
          <w:numId w:val="38"/>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招标文件第一章“投标人资格要求”中有特殊要求的，投标人应提供其符合特殊要求的证明材料或者情况说明；</w:t>
      </w:r>
    </w:p>
    <w:p>
      <w:pPr>
        <w:pStyle w:val="31"/>
        <w:numPr>
          <w:ilvl w:val="0"/>
          <w:numId w:val="38"/>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不符合联合体投标相关规定和要求的；</w:t>
      </w:r>
    </w:p>
    <w:p>
      <w:pPr>
        <w:pStyle w:val="31"/>
        <w:numPr>
          <w:ilvl w:val="0"/>
          <w:numId w:val="38"/>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投标人认为需提供的其它相关资格证明材料；</w:t>
      </w:r>
    </w:p>
    <w:p>
      <w:pPr>
        <w:pStyle w:val="31"/>
        <w:numPr>
          <w:ilvl w:val="0"/>
          <w:numId w:val="38"/>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资格证明文件正本应为清晰彩色影印件且加盖单位公章。</w:t>
      </w:r>
    </w:p>
    <w:p>
      <w:pPr>
        <w:numPr>
          <w:ilvl w:val="0"/>
          <w:numId w:val="37"/>
        </w:numPr>
        <w:tabs>
          <w:tab w:val="left" w:pos="616"/>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确定资格审查合格投标人</w:t>
      </w:r>
    </w:p>
    <w:p>
      <w:pPr>
        <w:pStyle w:val="31"/>
        <w:numPr>
          <w:ilvl w:val="0"/>
          <w:numId w:val="40"/>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sz w:val="24"/>
          <w:szCs w:val="24"/>
          <w:lang w:val="zh-CN"/>
        </w:rPr>
        <w:t>形成书面的资格审查报告。</w:t>
      </w:r>
    </w:p>
    <w:p>
      <w:pPr>
        <w:pStyle w:val="31"/>
        <w:numPr>
          <w:ilvl w:val="0"/>
          <w:numId w:val="40"/>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资格审查合格投标人不足3家的，不进行评标。</w:t>
      </w:r>
    </w:p>
    <w:p>
      <w:pPr>
        <w:pStyle w:val="31"/>
        <w:numPr>
          <w:ilvl w:val="0"/>
          <w:numId w:val="40"/>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资格审查未通过的投标人可在结果公告质疑有效期内按公告中的联系方式获知</w:t>
      </w:r>
      <w:r>
        <w:rPr>
          <w:rFonts w:ascii="宋体" w:hAnsi="宋体" w:eastAsia="宋体" w:cs="Times New Roman"/>
          <w:sz w:val="24"/>
          <w:szCs w:val="24"/>
          <w:lang w:val="zh-CN"/>
        </w:rPr>
        <w:t>本</w:t>
      </w:r>
      <w:r>
        <w:rPr>
          <w:rFonts w:hint="eastAsia" w:ascii="宋体" w:hAnsi="宋体" w:eastAsia="宋体" w:cs="Times New Roman"/>
          <w:sz w:val="24"/>
          <w:szCs w:val="24"/>
          <w:lang w:val="zh-CN"/>
        </w:rPr>
        <w:t>单位</w:t>
      </w:r>
      <w:r>
        <w:rPr>
          <w:rFonts w:ascii="宋体" w:hAnsi="宋体" w:eastAsia="宋体" w:cs="Times New Roman"/>
          <w:sz w:val="24"/>
          <w:szCs w:val="24"/>
          <w:lang w:val="zh-CN"/>
        </w:rPr>
        <w:t>的</w:t>
      </w:r>
      <w:r>
        <w:rPr>
          <w:rFonts w:hint="eastAsia" w:ascii="宋体" w:hAnsi="宋体" w:eastAsia="宋体" w:cs="Times New Roman"/>
          <w:sz w:val="24"/>
          <w:szCs w:val="24"/>
          <w:lang w:val="zh-CN"/>
        </w:rPr>
        <w:t>资格审查情况。</w:t>
      </w:r>
    </w:p>
    <w:p>
      <w:pPr>
        <w:pStyle w:val="31"/>
        <w:numPr>
          <w:ilvl w:val="0"/>
          <w:numId w:val="40"/>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采购人已进行资格预审的，不再进行资格审查。未通过资格预审的投标人，采购人、采购代理机构</w:t>
      </w:r>
      <w:r>
        <w:rPr>
          <w:rFonts w:hint="eastAsia" w:ascii="宋体" w:hAnsi="宋体" w:eastAsia="宋体" w:cs="Times New Roman"/>
          <w:b/>
          <w:sz w:val="24"/>
          <w:szCs w:val="24"/>
          <w:lang w:val="zh-CN"/>
        </w:rPr>
        <w:t>拒绝</w:t>
      </w:r>
      <w:r>
        <w:rPr>
          <w:rFonts w:hint="eastAsia" w:ascii="宋体" w:hAnsi="宋体" w:eastAsia="宋体" w:cs="Times New Roman"/>
          <w:sz w:val="24"/>
          <w:szCs w:val="24"/>
          <w:lang w:val="zh-CN"/>
        </w:rPr>
        <w:t>其投标。</w:t>
      </w:r>
    </w:p>
    <w:p>
      <w:r>
        <w:br w:type="page"/>
      </w:r>
    </w:p>
    <w:p>
      <w:pPr>
        <w:pStyle w:val="3"/>
        <w:numPr>
          <w:ilvl w:val="0"/>
          <w:numId w:val="1"/>
        </w:numPr>
        <w:jc w:val="center"/>
        <w:rPr>
          <w:rFonts w:ascii="黑体" w:hAnsi="黑体" w:eastAsia="黑体"/>
        </w:rPr>
      </w:pPr>
      <w:bookmarkStart w:id="48" w:name="_Toc495861541"/>
      <w:r>
        <w:rPr>
          <w:rFonts w:hint="eastAsia" w:ascii="黑体" w:hAnsi="黑体" w:eastAsia="黑体"/>
        </w:rPr>
        <w:t>评标方法、程序及标准</w:t>
      </w:r>
      <w:bookmarkEnd w:id="48"/>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pStyle w:val="4"/>
        <w:numPr>
          <w:ilvl w:val="0"/>
          <w:numId w:val="41"/>
        </w:numPr>
        <w:spacing w:before="0" w:after="0" w:line="360" w:lineRule="auto"/>
        <w:ind w:left="616" w:hanging="616"/>
        <w:jc w:val="left"/>
        <w:rPr>
          <w:rFonts w:cs="Times New Roman" w:asciiTheme="majorEastAsia" w:hAnsiTheme="majorEastAsia"/>
          <w:bCs w:val="0"/>
          <w:sz w:val="30"/>
          <w:szCs w:val="30"/>
          <w:lang w:val="zh-CN"/>
        </w:rPr>
      </w:pPr>
      <w:bookmarkStart w:id="49" w:name="_Toc278891605"/>
      <w:bookmarkStart w:id="50" w:name="_Toc272247708"/>
      <w:bookmarkStart w:id="51" w:name="_Toc494561961"/>
      <w:bookmarkStart w:id="52" w:name="_Toc495861542"/>
      <w:r>
        <w:rPr>
          <w:rFonts w:hint="eastAsia" w:cs="Times New Roman" w:asciiTheme="majorEastAsia" w:hAnsiTheme="majorEastAsia"/>
          <w:bCs w:val="0"/>
          <w:sz w:val="30"/>
          <w:szCs w:val="30"/>
          <w:lang w:val="zh-CN"/>
        </w:rPr>
        <w:t>评标</w:t>
      </w:r>
      <w:bookmarkEnd w:id="49"/>
      <w:bookmarkEnd w:id="50"/>
      <w:r>
        <w:rPr>
          <w:rFonts w:hint="eastAsia" w:cs="Times New Roman" w:asciiTheme="majorEastAsia" w:hAnsiTheme="majorEastAsia"/>
          <w:bCs w:val="0"/>
          <w:sz w:val="30"/>
          <w:szCs w:val="30"/>
          <w:lang w:val="zh-CN"/>
        </w:rPr>
        <w:t>方法</w:t>
      </w:r>
      <w:bookmarkEnd w:id="51"/>
      <w:bookmarkEnd w:id="52"/>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本项目评标采用综合评分法，</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pPr>
        <w:pStyle w:val="4"/>
        <w:numPr>
          <w:ilvl w:val="0"/>
          <w:numId w:val="41"/>
        </w:numPr>
        <w:spacing w:before="0" w:after="0" w:line="360" w:lineRule="auto"/>
        <w:ind w:left="616" w:hanging="616"/>
        <w:jc w:val="left"/>
        <w:rPr>
          <w:rFonts w:cs="Times New Roman" w:asciiTheme="majorEastAsia" w:hAnsiTheme="majorEastAsia"/>
          <w:bCs w:val="0"/>
          <w:sz w:val="30"/>
          <w:szCs w:val="30"/>
          <w:lang w:val="zh-CN"/>
        </w:rPr>
      </w:pPr>
      <w:bookmarkStart w:id="53" w:name="_Toc278891606"/>
      <w:bookmarkStart w:id="54" w:name="_Toc272247709"/>
      <w:bookmarkStart w:id="55" w:name="_Toc494561962"/>
      <w:bookmarkStart w:id="56" w:name="_Toc495861543"/>
      <w:r>
        <w:rPr>
          <w:rFonts w:hint="eastAsia" w:cs="Times New Roman" w:asciiTheme="majorEastAsia" w:hAnsiTheme="majorEastAsia"/>
          <w:bCs w:val="0"/>
          <w:sz w:val="30"/>
          <w:szCs w:val="30"/>
          <w:lang w:val="zh-CN"/>
        </w:rPr>
        <w:t>评标程序</w:t>
      </w:r>
      <w:bookmarkEnd w:id="53"/>
      <w:bookmarkEnd w:id="54"/>
      <w:r>
        <w:rPr>
          <w:rFonts w:hint="eastAsia" w:cs="Times New Roman" w:asciiTheme="majorEastAsia" w:hAnsiTheme="majorEastAsia"/>
          <w:bCs w:val="0"/>
          <w:sz w:val="30"/>
          <w:szCs w:val="30"/>
          <w:lang w:val="zh-CN"/>
        </w:rPr>
        <w:t>及标准</w:t>
      </w:r>
      <w:bookmarkEnd w:id="55"/>
      <w:bookmarkEnd w:id="56"/>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pPr>
        <w:numPr>
          <w:ilvl w:val="0"/>
          <w:numId w:val="42"/>
        </w:numPr>
        <w:ind w:left="1315" w:leftChars="154" w:hanging="992"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pPr>
        <w:ind w:firstLine="480" w:firstLineChars="200"/>
        <w:rPr>
          <w:rFonts w:ascii="宋体" w:hAnsi="宋体" w:eastAsia="宋体" w:cs="Times New Roman"/>
          <w:strike/>
          <w:sz w:val="28"/>
          <w:szCs w:val="28"/>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p>
      <w:pPr>
        <w:numPr>
          <w:ilvl w:val="0"/>
          <w:numId w:val="4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投标总报价超过项目（分包）预算金额或最高限价的；</w:t>
      </w:r>
    </w:p>
    <w:p>
      <w:pPr>
        <w:numPr>
          <w:ilvl w:val="0"/>
          <w:numId w:val="4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《投标书》、《法定代表人授权书》、《开标一览表》、《投标报价明细表》未提供或不符合招标文件要求的；</w:t>
      </w:r>
    </w:p>
    <w:p>
      <w:pPr>
        <w:numPr>
          <w:ilvl w:val="0"/>
          <w:numId w:val="4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工期（服务期限）、质保期不符合招标文件要求的；</w:t>
      </w:r>
    </w:p>
    <w:p>
      <w:pPr>
        <w:numPr>
          <w:ilvl w:val="0"/>
          <w:numId w:val="4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投标保证金的交纳不符合招标文件要求的；</w:t>
      </w:r>
    </w:p>
    <w:p>
      <w:pPr>
        <w:numPr>
          <w:ilvl w:val="0"/>
          <w:numId w:val="4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出现两个或两个以上不同报价的；</w:t>
      </w:r>
    </w:p>
    <w:p>
      <w:pPr>
        <w:numPr>
          <w:ilvl w:val="0"/>
          <w:numId w:val="4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p>
      <w:pPr>
        <w:numPr>
          <w:ilvl w:val="0"/>
          <w:numId w:val="4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投标报价存在缺项、漏项的；</w:t>
      </w:r>
    </w:p>
    <w:p>
      <w:pPr>
        <w:numPr>
          <w:ilvl w:val="0"/>
          <w:numId w:val="4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投标有效期不足的；</w:t>
      </w:r>
    </w:p>
    <w:p>
      <w:pPr>
        <w:numPr>
          <w:ilvl w:val="0"/>
          <w:numId w:val="4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无法定代表人签字（签章）或签字（签章）人无法定代表人有效授权的（本项目可以由分公司或分支机构总负责人签字（签章）或其授权人签字（签章））；</w:t>
      </w:r>
    </w:p>
    <w:p>
      <w:pPr>
        <w:numPr>
          <w:ilvl w:val="0"/>
          <w:numId w:val="43"/>
        </w:numPr>
        <w:tabs>
          <w:tab w:val="left" w:pos="75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正本未按要求提供加盖公章及签字（签章）原件的；</w:t>
      </w:r>
    </w:p>
    <w:p>
      <w:pPr>
        <w:numPr>
          <w:ilvl w:val="0"/>
          <w:numId w:val="4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highlight w:val="yellow"/>
          <w:lang w:val="zh-CN"/>
        </w:rPr>
        <w:t>符合招标文件第二章“投标人须知”中第</w:t>
      </w:r>
      <w:r>
        <w:rPr>
          <w:rFonts w:hint="eastAsia" w:ascii="Times New Roman" w:hAnsi="宋体" w:eastAsia="宋体" w:cs="Times New Roman"/>
          <w:sz w:val="24"/>
          <w:szCs w:val="24"/>
          <w:highlight w:val="yellow"/>
        </w:rPr>
        <w:t>38</w:t>
      </w:r>
      <w:r>
        <w:rPr>
          <w:rFonts w:hint="eastAsia" w:ascii="Times New Roman" w:hAnsi="宋体" w:eastAsia="宋体" w:cs="Times New Roman"/>
          <w:sz w:val="24"/>
          <w:szCs w:val="24"/>
          <w:highlight w:val="yellow"/>
          <w:lang w:val="zh-CN"/>
        </w:rPr>
        <w:t>条中规定情形，以分公司形式参与投标的，法定代表人授权书未由分公司或分支机构总负责人签字（签章）并加盖公章的</w:t>
      </w:r>
      <w:r>
        <w:rPr>
          <w:rFonts w:hint="eastAsia" w:ascii="Times New Roman" w:hAnsi="宋体" w:eastAsia="宋体" w:cs="Times New Roman"/>
          <w:sz w:val="24"/>
          <w:szCs w:val="24"/>
          <w:lang w:val="zh-CN"/>
        </w:rPr>
        <w:t>；</w:t>
      </w:r>
    </w:p>
    <w:p>
      <w:pPr>
        <w:numPr>
          <w:ilvl w:val="0"/>
          <w:numId w:val="4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未按要求提供招标文件第二章“</w:t>
      </w:r>
      <w:r>
        <w:rPr>
          <w:rFonts w:hint="eastAsia" w:ascii="Times New Roman" w:hAnsi="宋体" w:eastAsia="宋体" w:cs="Times New Roman"/>
          <w:sz w:val="24"/>
          <w:szCs w:val="24"/>
          <w:highlight w:val="yellow"/>
          <w:lang w:val="zh-CN"/>
        </w:rPr>
        <w:t>十 其他注意事项</w:t>
      </w:r>
      <w:r>
        <w:rPr>
          <w:rFonts w:hint="eastAsia" w:ascii="Times New Roman" w:hAnsi="宋体" w:eastAsia="宋体" w:cs="Times New Roman"/>
          <w:sz w:val="24"/>
          <w:szCs w:val="24"/>
          <w:lang w:val="zh-CN"/>
        </w:rPr>
        <w:t>”中规定的书面声明的；</w:t>
      </w:r>
    </w:p>
    <w:p>
      <w:pPr>
        <w:numPr>
          <w:ilvl w:val="0"/>
          <w:numId w:val="4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所投货物是通过中国海关报关验放进入中国境内且产自关境外的（招标文件中注明已办理进口产品核准的除外）；</w:t>
      </w:r>
    </w:p>
    <w:p>
      <w:pPr>
        <w:numPr>
          <w:ilvl w:val="0"/>
          <w:numId w:val="4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未提供所投货物（工程或服务）的具体参数值或功能表述，或原文复制招标文件的技术规格相关部分内容作为其投标文件的一部分的；</w:t>
      </w:r>
    </w:p>
    <w:p>
      <w:pPr>
        <w:numPr>
          <w:ilvl w:val="0"/>
          <w:numId w:val="4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不满足招标文件第三章“项目技术、服务和商务要求”中“★”号条款要求的；</w:t>
      </w:r>
    </w:p>
    <w:p>
      <w:pPr>
        <w:numPr>
          <w:ilvl w:val="0"/>
          <w:numId w:val="4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p>
      <w:pPr>
        <w:numPr>
          <w:ilvl w:val="0"/>
          <w:numId w:val="4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4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p>
      <w:pPr>
        <w:numPr>
          <w:ilvl w:val="0"/>
          <w:numId w:val="42"/>
        </w:numPr>
        <w:ind w:left="1315" w:leftChars="154" w:hanging="992"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pPr>
        <w:numPr>
          <w:ilvl w:val="0"/>
          <w:numId w:val="4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44"/>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pPr>
        <w:numPr>
          <w:ilvl w:val="0"/>
          <w:numId w:val="44"/>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pPr>
        <w:numPr>
          <w:ilvl w:val="0"/>
          <w:numId w:val="4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投标文件中开标一览表内容与投标文件中相应内容不一致的，以开标一览表为准</w:t>
      </w:r>
      <w:r>
        <w:rPr>
          <w:rFonts w:hint="eastAsia" w:ascii="宋体" w:hAnsi="宋体" w:eastAsia="宋体" w:cs="Times New Roman"/>
          <w:color w:val="0D0D0D"/>
          <w:sz w:val="24"/>
          <w:szCs w:val="24"/>
          <w:lang w:val="zh-CN"/>
        </w:rPr>
        <w:t>。</w:t>
      </w:r>
    </w:p>
    <w:p>
      <w:pPr>
        <w:numPr>
          <w:ilvl w:val="0"/>
          <w:numId w:val="4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大写金额和小写金额不一致的，以大写金额为准</w:t>
      </w:r>
      <w:r>
        <w:rPr>
          <w:rFonts w:hint="eastAsia" w:ascii="宋体" w:hAnsi="宋体" w:eastAsia="宋体" w:cs="Times New Roman"/>
          <w:color w:val="0D0D0D"/>
          <w:sz w:val="24"/>
          <w:szCs w:val="24"/>
          <w:lang w:val="zh-CN"/>
        </w:rPr>
        <w:t>。</w:t>
      </w:r>
    </w:p>
    <w:p>
      <w:pPr>
        <w:numPr>
          <w:ilvl w:val="0"/>
          <w:numId w:val="4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单价金额小数点或者百分比有明显错位的，以开标一览表的总价为准，并修改单价</w:t>
      </w:r>
      <w:r>
        <w:rPr>
          <w:rFonts w:hint="eastAsia" w:ascii="宋体" w:hAnsi="宋体" w:eastAsia="宋体" w:cs="Times New Roman"/>
          <w:color w:val="0D0D0D"/>
          <w:sz w:val="24"/>
          <w:szCs w:val="24"/>
          <w:lang w:val="zh-CN"/>
        </w:rPr>
        <w:t>。</w:t>
      </w:r>
    </w:p>
    <w:p>
      <w:pPr>
        <w:numPr>
          <w:ilvl w:val="0"/>
          <w:numId w:val="4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总价金额与按单价汇总金额不一致的，以单价金额计算结果为准</w:t>
      </w:r>
      <w:r>
        <w:rPr>
          <w:rFonts w:hint="eastAsia" w:ascii="宋体" w:hAnsi="宋体" w:eastAsia="宋体" w:cs="Times New Roman"/>
          <w:color w:val="0D0D0D"/>
          <w:sz w:val="24"/>
          <w:szCs w:val="24"/>
          <w:lang w:val="zh-CN"/>
        </w:rPr>
        <w:t>。</w:t>
      </w:r>
    </w:p>
    <w:p>
      <w:pPr>
        <w:numPr>
          <w:ilvl w:val="0"/>
          <w:numId w:val="4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同时出现两种以上不一致的，按照前款规定的顺序修正</w:t>
      </w:r>
      <w:r>
        <w:rPr>
          <w:rFonts w:hint="eastAsia" w:ascii="宋体" w:hAnsi="宋体" w:eastAsia="宋体" w:cs="Times New Roman"/>
          <w:color w:val="0D0D0D"/>
          <w:sz w:val="24"/>
          <w:szCs w:val="24"/>
          <w:lang w:val="zh-CN"/>
        </w:rPr>
        <w:t>。</w:t>
      </w:r>
    </w:p>
    <w:p>
      <w:pPr>
        <w:numPr>
          <w:ilvl w:val="0"/>
          <w:numId w:val="4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修正后的报价按照</w:t>
      </w:r>
      <w:r>
        <w:rPr>
          <w:rFonts w:hint="eastAsia" w:ascii="宋体" w:hAnsi="宋体" w:eastAsia="宋体" w:cs="Times New Roman"/>
          <w:color w:val="0D0D0D"/>
          <w:sz w:val="24"/>
          <w:szCs w:val="24"/>
          <w:lang w:val="zh-CN"/>
        </w:rPr>
        <w:t>本节第4条规定</w:t>
      </w:r>
      <w:r>
        <w:rPr>
          <w:rFonts w:ascii="宋体" w:hAnsi="宋体" w:eastAsia="宋体" w:cs="Times New Roman"/>
          <w:color w:val="0D0D0D"/>
          <w:sz w:val="24"/>
          <w:szCs w:val="24"/>
          <w:lang w:val="zh-CN"/>
        </w:rPr>
        <w:t>经投标人确认后产生约束力，投标人不确认的，</w:t>
      </w:r>
      <w:r>
        <w:rPr>
          <w:rFonts w:hint="eastAsia" w:ascii="宋体" w:hAnsi="宋体" w:eastAsia="宋体" w:cs="Times New Roman"/>
          <w:color w:val="0D0D0D"/>
          <w:sz w:val="24"/>
          <w:szCs w:val="24"/>
          <w:lang w:val="zh-CN"/>
        </w:rPr>
        <w:t>按照</w:t>
      </w:r>
      <w:r>
        <w:rPr>
          <w:rFonts w:ascii="宋体" w:hAnsi="宋体" w:eastAsia="宋体" w:cs="Times New Roman"/>
          <w:b/>
          <w:color w:val="0D0D0D"/>
          <w:sz w:val="24"/>
          <w:szCs w:val="24"/>
          <w:lang w:val="zh-CN"/>
        </w:rPr>
        <w:t>无效</w:t>
      </w:r>
      <w:r>
        <w:rPr>
          <w:rFonts w:hint="eastAsia" w:ascii="宋体" w:hAnsi="宋体" w:eastAsia="宋体" w:cs="Times New Roman"/>
          <w:b/>
          <w:color w:val="0D0D0D"/>
          <w:sz w:val="24"/>
          <w:szCs w:val="24"/>
          <w:lang w:val="zh-CN"/>
        </w:rPr>
        <w:t>投标处理</w:t>
      </w:r>
      <w:r>
        <w:rPr>
          <w:rFonts w:ascii="宋体" w:hAnsi="宋体" w:eastAsia="宋体" w:cs="Times New Roman"/>
          <w:color w:val="0D0D0D"/>
          <w:sz w:val="24"/>
          <w:szCs w:val="24"/>
          <w:lang w:val="zh-CN"/>
        </w:rPr>
        <w:t>。</w:t>
      </w:r>
    </w:p>
    <w:p>
      <w:pPr>
        <w:numPr>
          <w:ilvl w:val="0"/>
          <w:numId w:val="44"/>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投标人的澄清、说明或者补正应当采用书面形式，并加盖公章，或者由法定代表人或其授权的代表签字。</w:t>
      </w:r>
    </w:p>
    <w:p>
      <w:pPr>
        <w:numPr>
          <w:ilvl w:val="0"/>
          <w:numId w:val="42"/>
        </w:numPr>
        <w:ind w:left="1315" w:leftChars="154" w:hanging="992"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pPr>
        <w:spacing w:line="360" w:lineRule="auto"/>
        <w:ind w:firstLine="480"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46"/>
        </w:numPr>
        <w:tabs>
          <w:tab w:val="left" w:pos="616"/>
        </w:tabs>
        <w:spacing w:line="360" w:lineRule="auto"/>
        <w:ind w:left="10" w:leftChars="5" w:firstLine="239"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46"/>
        </w:numPr>
        <w:tabs>
          <w:tab w:val="left" w:pos="616"/>
        </w:tabs>
        <w:spacing w:line="360" w:lineRule="auto"/>
        <w:ind w:left="10" w:leftChars="5" w:firstLine="239"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0"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46"/>
        </w:numPr>
        <w:tabs>
          <w:tab w:val="left" w:pos="616"/>
        </w:tabs>
        <w:spacing w:line="360" w:lineRule="auto"/>
        <w:ind w:left="10" w:leftChars="5" w:firstLine="239"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47"/>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Cs/>
          <w:color w:val="0D0D0D"/>
          <w:sz w:val="24"/>
          <w:szCs w:val="20"/>
          <w:lang w:val="zh-CN"/>
        </w:rPr>
        <w:t>报价合理性说明：评标</w:t>
      </w:r>
      <w:r>
        <w:rPr>
          <w:rFonts w:ascii="宋体" w:hAnsi="宋体" w:eastAsia="宋体" w:cs="Helvetica"/>
          <w:kern w:val="0"/>
          <w:sz w:val="24"/>
          <w:szCs w:val="24"/>
          <w:lang w:val="zh-CN"/>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kern w:val="0"/>
          <w:sz w:val="24"/>
          <w:szCs w:val="24"/>
          <w:lang w:val="zh-CN"/>
        </w:rPr>
        <w:t>无效投标处理</w:t>
      </w:r>
      <w:r>
        <w:rPr>
          <w:rFonts w:ascii="宋体" w:hAnsi="宋体" w:eastAsia="宋体" w:cs="Helvetica"/>
          <w:kern w:val="0"/>
          <w:sz w:val="24"/>
          <w:szCs w:val="24"/>
          <w:lang w:val="zh-CN"/>
        </w:rPr>
        <w:t>。</w:t>
      </w:r>
    </w:p>
    <w:p>
      <w:pPr>
        <w:numPr>
          <w:ilvl w:val="0"/>
          <w:numId w:val="47"/>
        </w:numPr>
        <w:adjustRightInd w:val="0"/>
        <w:spacing w:line="360" w:lineRule="auto"/>
        <w:ind w:left="742" w:hanging="493"/>
        <w:rPr>
          <w:rFonts w:ascii="宋体" w:hAnsi="宋体" w:eastAsia="宋体" w:cs="Times New Roman"/>
          <w:b/>
          <w:sz w:val="24"/>
          <w:szCs w:val="24"/>
          <w:lang w:val="zh-CN"/>
        </w:rPr>
      </w:pPr>
      <w:r>
        <w:rPr>
          <w:rFonts w:hint="eastAsia" w:ascii="宋体" w:hAnsi="宋体" w:eastAsia="宋体" w:cs="Times New Roman"/>
          <w:b/>
          <w:sz w:val="24"/>
          <w:szCs w:val="24"/>
          <w:lang w:val="zh-CN"/>
        </w:rPr>
        <w:t>小型和微型企业、监狱企业、残疾人福利性单位价格扣除：</w:t>
      </w:r>
    </w:p>
    <w:p>
      <w:pPr>
        <w:numPr>
          <w:ilvl w:val="0"/>
          <w:numId w:val="48"/>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48"/>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非专门面向中小企业的工程、服务类采购项目，投标人是小型和微型企业的价格给予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48"/>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鼓励大中型企业和其他自然人</w:t>
      </w:r>
      <w:r>
        <w:rPr>
          <w:rFonts w:ascii="宋体" w:hAnsi="宋体" w:eastAsia="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sz w:val="24"/>
          <w:szCs w:val="20"/>
        </w:rPr>
        <w:t>30%</w:t>
      </w:r>
      <w:r>
        <w:rPr>
          <w:rFonts w:ascii="宋体" w:hAnsi="宋体" w:eastAsia="宋体" w:cs="Times New Roman"/>
          <w:bCs/>
          <w:sz w:val="24"/>
          <w:szCs w:val="20"/>
        </w:rPr>
        <w:t>以上的，可给予联合体</w:t>
      </w:r>
      <w:r>
        <w:rPr>
          <w:rFonts w:ascii="宋体" w:hAnsi="宋体" w:eastAsia="宋体" w:cs="Times New Roman"/>
          <w:b/>
          <w:bCs/>
          <w:sz w:val="24"/>
          <w:szCs w:val="20"/>
          <w:lang w:val="zh-CN"/>
        </w:rPr>
        <w:t>3%</w:t>
      </w:r>
      <w:r>
        <w:rPr>
          <w:rFonts w:ascii="宋体" w:hAnsi="宋体" w:eastAsia="宋体" w:cs="Times New Roman"/>
          <w:bCs/>
          <w:sz w:val="24"/>
          <w:szCs w:val="20"/>
        </w:rPr>
        <w:t>的价格扣除</w:t>
      </w:r>
      <w:r>
        <w:rPr>
          <w:rFonts w:hint="eastAsia" w:ascii="宋体" w:hAnsi="宋体" w:eastAsia="宋体" w:cs="Times New Roman"/>
          <w:bCs/>
          <w:sz w:val="24"/>
          <w:szCs w:val="20"/>
        </w:rPr>
        <w:t>，</w:t>
      </w:r>
      <w:r>
        <w:rPr>
          <w:rFonts w:hint="eastAsia" w:ascii="宋体" w:hAnsi="宋体" w:eastAsia="宋体" w:cs="Times New Roman"/>
          <w:bCs/>
          <w:sz w:val="24"/>
          <w:szCs w:val="20"/>
          <w:lang w:val="zh-CN"/>
        </w:rPr>
        <w:t>不重复享受政策。</w:t>
      </w:r>
    </w:p>
    <w:p>
      <w:pPr>
        <w:numPr>
          <w:ilvl w:val="0"/>
          <w:numId w:val="48"/>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监狱企业</w:t>
      </w:r>
      <w:r>
        <w:rPr>
          <w:rFonts w:hint="eastAsia" w:ascii="宋体" w:hAnsi="宋体" w:eastAsia="宋体" w:cs="Times New Roman"/>
          <w:bCs/>
          <w:sz w:val="24"/>
          <w:szCs w:val="20"/>
          <w:lang w:val="zh-CN"/>
        </w:rPr>
        <w:t>、残疾人福利性单位</w:t>
      </w:r>
      <w:r>
        <w:rPr>
          <w:rFonts w:ascii="宋体" w:hAnsi="宋体" w:eastAsia="宋体" w:cs="Times New Roman"/>
          <w:bCs/>
          <w:sz w:val="24"/>
          <w:szCs w:val="20"/>
          <w:lang w:val="zh-CN"/>
        </w:rPr>
        <w:t>视同小型、微型企业，享受预留份额、评审中价格扣除等政府采购促进中小企业发展的政府采购政策</w:t>
      </w:r>
      <w:r>
        <w:rPr>
          <w:rFonts w:hint="eastAsia" w:ascii="宋体" w:hAnsi="宋体" w:eastAsia="宋体" w:cs="Times New Roman"/>
          <w:bCs/>
          <w:sz w:val="24"/>
          <w:szCs w:val="20"/>
          <w:lang w:val="zh-CN"/>
        </w:rPr>
        <w:t>，残疾人福利性单位属于小型、微型企业的，不重复享受政策。</w:t>
      </w:r>
    </w:p>
    <w:p>
      <w:pPr>
        <w:numPr>
          <w:ilvl w:val="0"/>
          <w:numId w:val="48"/>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46"/>
        </w:numPr>
        <w:tabs>
          <w:tab w:val="left" w:pos="616"/>
        </w:tabs>
        <w:spacing w:line="360" w:lineRule="auto"/>
        <w:ind w:left="10" w:leftChars="5" w:firstLine="239"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相同品牌处理原则</w:t>
      </w:r>
    </w:p>
    <w:p>
      <w:pPr>
        <w:numPr>
          <w:ilvl w:val="0"/>
          <w:numId w:val="49"/>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D0D0D"/>
          <w:kern w:val="0"/>
          <w:sz w:val="24"/>
          <w:szCs w:val="24"/>
          <w:lang w:val="zh-CN"/>
        </w:rPr>
        <w:t>确定</w:t>
      </w:r>
      <w:r>
        <w:rPr>
          <w:rFonts w:ascii="Helvetica" w:hAnsi="Helvetica" w:eastAsia="宋体" w:cs="Helvetica"/>
          <w:color w:val="0D0D0D"/>
          <w:kern w:val="0"/>
          <w:sz w:val="24"/>
          <w:szCs w:val="24"/>
          <w:lang w:val="zh-CN"/>
        </w:rPr>
        <w:t>或者采购人委托评标委员会</w:t>
      </w:r>
      <w:r>
        <w:rPr>
          <w:rFonts w:hint="eastAsia" w:ascii="Helvetica" w:hAnsi="Helvetica" w:eastAsia="宋体" w:cs="Helvetica"/>
          <w:color w:val="0D0D0D"/>
          <w:kern w:val="0"/>
          <w:sz w:val="24"/>
          <w:szCs w:val="24"/>
          <w:lang w:val="zh-CN"/>
        </w:rPr>
        <w:t>以投票方式</w:t>
      </w:r>
      <w:r>
        <w:rPr>
          <w:rFonts w:ascii="Helvetica" w:hAnsi="Helvetica" w:eastAsia="宋体" w:cs="Helvetica"/>
          <w:color w:val="0D0D0D"/>
          <w:kern w:val="0"/>
          <w:sz w:val="24"/>
          <w:szCs w:val="24"/>
          <w:lang w:val="zh-CN"/>
        </w:rPr>
        <w:t>确定一个投标人获得中标人推荐资格，其他同品牌投标人不作为中标候选人。</w:t>
      </w:r>
    </w:p>
    <w:p>
      <w:pPr>
        <w:numPr>
          <w:ilvl w:val="0"/>
          <w:numId w:val="49"/>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非单一产品采购项目，采购人</w:t>
      </w:r>
      <w:r>
        <w:rPr>
          <w:rFonts w:ascii="Helvetica" w:hAnsi="Helvetica" w:eastAsia="宋体" w:cs="Helvetica"/>
          <w:kern w:val="0"/>
          <w:sz w:val="24"/>
          <w:szCs w:val="24"/>
          <w:lang w:val="zh-CN"/>
        </w:rPr>
        <w:t>应当根据采购项目技术构成、产品价格比重等合理确定</w:t>
      </w:r>
      <w:r>
        <w:rPr>
          <w:rFonts w:hint="eastAsia" w:ascii="Helvetica" w:hAnsi="Helvetica" w:eastAsia="宋体" w:cs="Helvetica"/>
          <w:b/>
          <w:kern w:val="0"/>
          <w:sz w:val="24"/>
          <w:szCs w:val="24"/>
          <w:lang w:val="zh-CN"/>
        </w:rPr>
        <w:t>一个</w:t>
      </w:r>
      <w:r>
        <w:rPr>
          <w:rFonts w:ascii="Helvetica" w:hAnsi="Helvetica" w:eastAsia="宋体" w:cs="Helvetica"/>
          <w:b/>
          <w:kern w:val="0"/>
          <w:sz w:val="24"/>
          <w:szCs w:val="24"/>
          <w:lang w:val="zh-CN"/>
        </w:rPr>
        <w:t>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采购清单中作“相同〈或同一〉品牌”实质性要求的产品，视为一个核心产品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w:t>
      </w:r>
      <w:r>
        <w:rPr>
          <w:rFonts w:ascii="Helvetica" w:hAnsi="Helvetica" w:eastAsia="宋体" w:cs="Helvetica"/>
          <w:kern w:val="0"/>
          <w:sz w:val="24"/>
          <w:szCs w:val="24"/>
          <w:lang w:val="zh-CN"/>
        </w:rPr>
        <w:t>并</w:t>
      </w:r>
      <w:r>
        <w:rPr>
          <w:rFonts w:hint="eastAsia" w:ascii="Helvetica" w:hAnsi="Helvetica" w:eastAsia="宋体" w:cs="Helvetica"/>
          <w:kern w:val="0"/>
          <w:sz w:val="24"/>
          <w:szCs w:val="24"/>
          <w:lang w:val="zh-CN"/>
        </w:rPr>
        <w:t>以</w:t>
      </w:r>
      <w:r>
        <w:rPr>
          <w:rFonts w:hint="eastAsia" w:ascii="Helvetica" w:hAnsi="Helvetica" w:eastAsia="宋体" w:cs="Helvetica"/>
          <w:b/>
          <w:kern w:val="0"/>
          <w:sz w:val="24"/>
          <w:szCs w:val="24"/>
          <w:lang w:val="zh-CN"/>
        </w:rPr>
        <w:t>“</w:t>
      </w:r>
      <w:r>
        <w:rPr>
          <w:rFonts w:hint="eastAsia" w:ascii="MS Gothic" w:hAnsi="MS Gothic" w:eastAsia="宋体" w:cs="MS Gothic"/>
          <w:b/>
          <w:kern w:val="0"/>
          <w:sz w:val="24"/>
          <w:szCs w:val="24"/>
          <w:lang w:val="zh-CN"/>
        </w:rPr>
        <w:t>核心产品</w:t>
      </w:r>
      <w:r>
        <w:rPr>
          <w:rFonts w:hint="eastAsia" w:ascii="Helvetica" w:hAnsi="Helvetica" w:eastAsia="宋体" w:cs="Helvetica"/>
          <w:b/>
          <w:kern w:val="0"/>
          <w:sz w:val="24"/>
          <w:szCs w:val="24"/>
          <w:lang w:val="zh-CN"/>
        </w:rPr>
        <w:t>”</w:t>
      </w:r>
      <w:r>
        <w:rPr>
          <w:rFonts w:ascii="Helvetica" w:hAnsi="Helvetica" w:eastAsia="宋体" w:cs="Helvetica"/>
          <w:kern w:val="0"/>
          <w:sz w:val="24"/>
          <w:szCs w:val="24"/>
          <w:lang w:val="zh-CN"/>
        </w:rPr>
        <w:t>在</w:t>
      </w:r>
      <w:r>
        <w:rPr>
          <w:rFonts w:ascii="Helvetica" w:hAnsi="Helvetica" w:eastAsia="宋体" w:cs="Helvetica"/>
          <w:color w:val="0D0D0D"/>
          <w:kern w:val="0"/>
          <w:sz w:val="24"/>
          <w:szCs w:val="24"/>
          <w:lang w:val="zh-CN"/>
        </w:rPr>
        <w:t>招标文件中</w:t>
      </w:r>
      <w:r>
        <w:rPr>
          <w:rFonts w:hint="eastAsia" w:ascii="Helvetica" w:hAnsi="Helvetica" w:eastAsia="宋体" w:cs="Helvetica"/>
          <w:color w:val="0D0D0D"/>
          <w:kern w:val="0"/>
          <w:sz w:val="24"/>
          <w:szCs w:val="24"/>
          <w:lang w:val="zh-CN"/>
        </w:rPr>
        <w:t>标注</w:t>
      </w:r>
      <w:r>
        <w:rPr>
          <w:rFonts w:ascii="Helvetica" w:hAnsi="Helvetica" w:eastAsia="宋体" w:cs="Helvetica"/>
          <w:color w:val="0D0D0D"/>
          <w:kern w:val="0"/>
          <w:sz w:val="24"/>
          <w:szCs w:val="24"/>
          <w:lang w:val="zh-CN"/>
        </w:rPr>
        <w:t>。</w:t>
      </w:r>
    </w:p>
    <w:p>
      <w:pPr>
        <w:numPr>
          <w:ilvl w:val="0"/>
          <w:numId w:val="46"/>
        </w:numPr>
        <w:tabs>
          <w:tab w:val="left" w:pos="616"/>
        </w:tabs>
        <w:spacing w:line="360" w:lineRule="auto"/>
        <w:ind w:left="10" w:leftChars="5" w:firstLine="239"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numPr>
          <w:ilvl w:val="0"/>
          <w:numId w:val="50"/>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采购机构对各评委的总分进行复核。各项统计结果均精确到小数点后两位。</w:t>
      </w:r>
    </w:p>
    <w:p>
      <w:pPr>
        <w:numPr>
          <w:ilvl w:val="0"/>
          <w:numId w:val="50"/>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pPr>
        <w:numPr>
          <w:ilvl w:val="0"/>
          <w:numId w:val="42"/>
        </w:numPr>
        <w:ind w:left="1315" w:leftChars="154" w:hanging="992"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51"/>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1"/>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1"/>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pPr>
        <w:numPr>
          <w:ilvl w:val="0"/>
          <w:numId w:val="51"/>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1"/>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中标人的数量有其他规定的，应在此处明确方法、中标比例等。</w:t>
      </w: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pStyle w:val="2"/>
        <w:rPr>
          <w:lang w:val="zh-CN"/>
        </w:rPr>
      </w:pPr>
    </w:p>
    <w:p>
      <w:pPr>
        <w:tabs>
          <w:tab w:val="left" w:pos="616"/>
        </w:tabs>
        <w:spacing w:line="360" w:lineRule="auto"/>
        <w:rPr>
          <w:rFonts w:ascii="Helvetica" w:hAnsi="Helvetica" w:eastAsia="宋体" w:cs="Helvetica"/>
          <w:kern w:val="0"/>
          <w:sz w:val="24"/>
          <w:szCs w:val="24"/>
          <w:lang w:val="zh-CN"/>
        </w:rPr>
      </w:pPr>
    </w:p>
    <w:p>
      <w:pPr>
        <w:tabs>
          <w:tab w:val="left" w:pos="616"/>
        </w:tabs>
        <w:spacing w:line="360" w:lineRule="auto"/>
        <w:rPr>
          <w:rFonts w:ascii="Helvetica" w:hAnsi="Helvetica" w:eastAsia="宋体" w:cs="Helvetica"/>
          <w:kern w:val="0"/>
          <w:sz w:val="24"/>
          <w:szCs w:val="24"/>
          <w:lang w:val="zh-CN"/>
        </w:rPr>
      </w:pPr>
    </w:p>
    <w:p>
      <w:pPr>
        <w:pStyle w:val="4"/>
        <w:numPr>
          <w:ilvl w:val="0"/>
          <w:numId w:val="41"/>
        </w:numPr>
        <w:spacing w:before="0" w:after="0" w:line="360" w:lineRule="auto"/>
        <w:ind w:left="616" w:hanging="616"/>
        <w:jc w:val="left"/>
        <w:rPr>
          <w:rFonts w:cs="Times New Roman" w:asciiTheme="majorEastAsia" w:hAnsiTheme="majorEastAsia"/>
          <w:bCs w:val="0"/>
          <w:sz w:val="30"/>
          <w:szCs w:val="30"/>
          <w:lang w:val="zh-CN"/>
        </w:rPr>
      </w:pPr>
      <w:bookmarkStart w:id="57" w:name="_Toc494561963"/>
      <w:bookmarkStart w:id="58" w:name="_Toc495861544"/>
      <w:r>
        <w:rPr>
          <w:rFonts w:hint="eastAsia" w:cs="Times New Roman" w:asciiTheme="majorEastAsia" w:hAnsiTheme="majorEastAsia"/>
          <w:bCs w:val="0"/>
          <w:sz w:val="30"/>
          <w:szCs w:val="30"/>
          <w:lang w:val="zh-CN"/>
        </w:rPr>
        <w:t>评审因素及评分标准</w:t>
      </w:r>
      <w:bookmarkEnd w:id="57"/>
      <w:bookmarkEnd w:id="58"/>
    </w:p>
    <w:tbl>
      <w:tblPr>
        <w:tblStyle w:val="21"/>
        <w:tblpPr w:leftFromText="180" w:rightFromText="180" w:vertAnchor="text" w:horzAnchor="margin" w:tblpY="929"/>
        <w:tblOverlap w:val="never"/>
        <w:tblW w:w="102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4325"/>
        <w:gridCol w:w="5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99" w:type="dxa"/>
            <w:vMerge w:val="restart"/>
          </w:tcPr>
          <w:p>
            <w:pPr>
              <w:pStyle w:val="48"/>
              <w:spacing w:line="300" w:lineRule="exact"/>
              <w:ind w:left="146" w:right="135"/>
              <w:jc w:val="both"/>
              <w:rPr>
                <w:sz w:val="21"/>
                <w:szCs w:val="21"/>
              </w:rPr>
            </w:pPr>
          </w:p>
          <w:p>
            <w:pPr>
              <w:pStyle w:val="48"/>
              <w:spacing w:line="300" w:lineRule="exact"/>
              <w:ind w:left="146" w:right="135"/>
              <w:jc w:val="both"/>
              <w:rPr>
                <w:sz w:val="21"/>
                <w:szCs w:val="21"/>
              </w:rPr>
            </w:pPr>
          </w:p>
          <w:p>
            <w:pPr>
              <w:pStyle w:val="48"/>
              <w:spacing w:line="300" w:lineRule="exact"/>
              <w:ind w:left="146" w:right="135"/>
              <w:jc w:val="both"/>
              <w:rPr>
                <w:sz w:val="21"/>
                <w:szCs w:val="21"/>
              </w:rPr>
            </w:pPr>
            <w:r>
              <w:rPr>
                <w:rFonts w:hint="eastAsia"/>
                <w:sz w:val="21"/>
                <w:szCs w:val="21"/>
              </w:rPr>
              <w:t>政府采购法二十二条规定内容</w:t>
            </w:r>
          </w:p>
        </w:tc>
        <w:tc>
          <w:tcPr>
            <w:tcW w:w="4325" w:type="dxa"/>
          </w:tcPr>
          <w:p>
            <w:pPr>
              <w:pStyle w:val="48"/>
              <w:spacing w:line="300" w:lineRule="exact"/>
              <w:ind w:left="1703" w:right="1261"/>
              <w:jc w:val="center"/>
              <w:rPr>
                <w:sz w:val="21"/>
                <w:szCs w:val="21"/>
              </w:rPr>
            </w:pPr>
            <w:r>
              <w:rPr>
                <w:rFonts w:hint="eastAsia"/>
                <w:sz w:val="21"/>
                <w:szCs w:val="21"/>
              </w:rPr>
              <w:t>审查内容</w:t>
            </w:r>
          </w:p>
        </w:tc>
        <w:tc>
          <w:tcPr>
            <w:tcW w:w="5296" w:type="dxa"/>
          </w:tcPr>
          <w:p>
            <w:pPr>
              <w:pStyle w:val="48"/>
              <w:spacing w:line="300" w:lineRule="exact"/>
              <w:ind w:left="2135" w:right="1694"/>
              <w:jc w:val="center"/>
              <w:rPr>
                <w:sz w:val="21"/>
                <w:szCs w:val="21"/>
              </w:rPr>
            </w:pPr>
            <w:r>
              <w:rPr>
                <w:rFonts w:hint="eastAsia"/>
                <w:sz w:val="21"/>
                <w:szCs w:val="21"/>
              </w:rPr>
              <w:t>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99" w:type="dxa"/>
            <w:vMerge w:val="continue"/>
            <w:tcBorders>
              <w:top w:val="nil"/>
            </w:tcBorders>
          </w:tcPr>
          <w:p>
            <w:pPr>
              <w:spacing w:line="300" w:lineRule="exact"/>
              <w:rPr>
                <w:szCs w:val="21"/>
              </w:rPr>
            </w:pPr>
          </w:p>
        </w:tc>
        <w:tc>
          <w:tcPr>
            <w:tcW w:w="4325" w:type="dxa"/>
          </w:tcPr>
          <w:p>
            <w:pPr>
              <w:pStyle w:val="48"/>
              <w:spacing w:line="300" w:lineRule="exact"/>
              <w:rPr>
                <w:b/>
                <w:sz w:val="21"/>
                <w:szCs w:val="21"/>
              </w:rPr>
            </w:pPr>
          </w:p>
          <w:p>
            <w:pPr>
              <w:pStyle w:val="48"/>
              <w:spacing w:line="300" w:lineRule="exact"/>
              <w:ind w:left="107"/>
              <w:rPr>
                <w:sz w:val="21"/>
                <w:szCs w:val="21"/>
              </w:rPr>
            </w:pPr>
            <w:r>
              <w:rPr>
                <w:rFonts w:hint="eastAsia"/>
                <w:sz w:val="21"/>
                <w:szCs w:val="21"/>
              </w:rPr>
              <w:t>（1）具有独立承担民事责任的能力；</w:t>
            </w:r>
          </w:p>
        </w:tc>
        <w:tc>
          <w:tcPr>
            <w:tcW w:w="5296" w:type="dxa"/>
            <w:vAlign w:val="center"/>
          </w:tcPr>
          <w:p>
            <w:pPr>
              <w:pStyle w:val="48"/>
              <w:spacing w:line="300" w:lineRule="exact"/>
              <w:jc w:val="both"/>
              <w:rPr>
                <w:sz w:val="21"/>
                <w:szCs w:val="21"/>
              </w:rPr>
            </w:pPr>
            <w:r>
              <w:rPr>
                <w:rFonts w:hint="eastAsia"/>
                <w:sz w:val="21"/>
                <w:szCs w:val="21"/>
              </w:rPr>
              <w:t>1.提供合格、有效的法人或者其他组织的营业执照 等证明文件；</w:t>
            </w:r>
          </w:p>
          <w:p>
            <w:pPr>
              <w:pStyle w:val="48"/>
              <w:spacing w:line="300" w:lineRule="exact"/>
              <w:jc w:val="both"/>
              <w:rPr>
                <w:sz w:val="21"/>
                <w:szCs w:val="21"/>
              </w:rPr>
            </w:pPr>
            <w:r>
              <w:rPr>
                <w:rFonts w:hint="eastAsia"/>
                <w:sz w:val="21"/>
                <w:szCs w:val="21"/>
              </w:rPr>
              <w:t>2.是法定代表人须持法人身份证（委托人须持法人 授权委托书、身份证），并提供清晰可辨的加盖公章复印件；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599" w:type="dxa"/>
            <w:vMerge w:val="continue"/>
            <w:tcBorders>
              <w:top w:val="nil"/>
            </w:tcBorders>
          </w:tcPr>
          <w:p>
            <w:pPr>
              <w:spacing w:line="300" w:lineRule="exact"/>
              <w:rPr>
                <w:szCs w:val="21"/>
              </w:rPr>
            </w:pPr>
          </w:p>
        </w:tc>
        <w:tc>
          <w:tcPr>
            <w:tcW w:w="4325" w:type="dxa"/>
          </w:tcPr>
          <w:p>
            <w:pPr>
              <w:pStyle w:val="48"/>
              <w:spacing w:line="300" w:lineRule="exact"/>
              <w:ind w:left="107" w:right="97"/>
              <w:rPr>
                <w:sz w:val="21"/>
                <w:szCs w:val="21"/>
              </w:rPr>
            </w:pPr>
            <w:r>
              <w:rPr>
                <w:rFonts w:hint="eastAsia"/>
                <w:sz w:val="21"/>
                <w:szCs w:val="21"/>
              </w:rPr>
              <w:t>（2）具有良好的商业信誉和健全的财务会计制度；</w:t>
            </w:r>
          </w:p>
        </w:tc>
        <w:tc>
          <w:tcPr>
            <w:tcW w:w="5296" w:type="dxa"/>
            <w:vAlign w:val="center"/>
          </w:tcPr>
          <w:p>
            <w:pPr>
              <w:pStyle w:val="48"/>
              <w:spacing w:line="300" w:lineRule="exact"/>
              <w:jc w:val="both"/>
              <w:rPr>
                <w:sz w:val="21"/>
                <w:szCs w:val="21"/>
              </w:rPr>
            </w:pPr>
            <w:r>
              <w:rPr>
                <w:rFonts w:hint="eastAsia"/>
                <w:sz w:val="21"/>
                <w:szCs w:val="21"/>
              </w:rPr>
              <w:t>提供上一年度经审计的财务报告，加盖公章的复 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599" w:type="dxa"/>
            <w:vMerge w:val="continue"/>
            <w:tcBorders>
              <w:top w:val="nil"/>
            </w:tcBorders>
          </w:tcPr>
          <w:p>
            <w:pPr>
              <w:spacing w:line="300" w:lineRule="exact"/>
              <w:rPr>
                <w:szCs w:val="21"/>
              </w:rPr>
            </w:pPr>
          </w:p>
        </w:tc>
        <w:tc>
          <w:tcPr>
            <w:tcW w:w="4325" w:type="dxa"/>
          </w:tcPr>
          <w:p>
            <w:pPr>
              <w:pStyle w:val="48"/>
              <w:spacing w:line="300" w:lineRule="exact"/>
              <w:ind w:left="107"/>
              <w:rPr>
                <w:sz w:val="21"/>
                <w:szCs w:val="21"/>
              </w:rPr>
            </w:pPr>
            <w:r>
              <w:rPr>
                <w:rFonts w:hint="eastAsia"/>
                <w:sz w:val="21"/>
                <w:szCs w:val="21"/>
              </w:rPr>
              <w:t>（3）具有履行合同所必需的设备和专业</w:t>
            </w:r>
          </w:p>
          <w:p>
            <w:pPr>
              <w:pStyle w:val="48"/>
              <w:spacing w:line="300" w:lineRule="exact"/>
              <w:ind w:left="107"/>
              <w:rPr>
                <w:sz w:val="21"/>
                <w:szCs w:val="21"/>
              </w:rPr>
            </w:pPr>
            <w:r>
              <w:rPr>
                <w:rFonts w:hint="eastAsia"/>
                <w:sz w:val="21"/>
                <w:szCs w:val="21"/>
              </w:rPr>
              <w:t>技术能力；</w:t>
            </w:r>
          </w:p>
        </w:tc>
        <w:tc>
          <w:tcPr>
            <w:tcW w:w="5296" w:type="dxa"/>
            <w:vAlign w:val="center"/>
          </w:tcPr>
          <w:p>
            <w:pPr>
              <w:pStyle w:val="48"/>
              <w:spacing w:line="300" w:lineRule="exact"/>
              <w:jc w:val="both"/>
              <w:rPr>
                <w:sz w:val="21"/>
                <w:szCs w:val="21"/>
              </w:rPr>
            </w:pPr>
            <w:r>
              <w:rPr>
                <w:rFonts w:hint="eastAsia"/>
                <w:sz w:val="21"/>
                <w:szCs w:val="21"/>
              </w:rPr>
              <w:t>提供供应商履行合同所必须的设备和专业技术能 力的书面承诺或证明材料；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599" w:type="dxa"/>
            <w:vMerge w:val="continue"/>
            <w:tcBorders>
              <w:top w:val="nil"/>
            </w:tcBorders>
          </w:tcPr>
          <w:p>
            <w:pPr>
              <w:spacing w:line="300" w:lineRule="exact"/>
              <w:rPr>
                <w:szCs w:val="21"/>
              </w:rPr>
            </w:pPr>
          </w:p>
        </w:tc>
        <w:tc>
          <w:tcPr>
            <w:tcW w:w="4325" w:type="dxa"/>
          </w:tcPr>
          <w:p>
            <w:pPr>
              <w:pStyle w:val="48"/>
              <w:spacing w:line="300" w:lineRule="exact"/>
              <w:rPr>
                <w:b/>
                <w:sz w:val="21"/>
                <w:szCs w:val="21"/>
              </w:rPr>
            </w:pPr>
          </w:p>
          <w:p>
            <w:pPr>
              <w:pStyle w:val="48"/>
              <w:spacing w:line="300" w:lineRule="exact"/>
              <w:ind w:left="107" w:right="97"/>
              <w:rPr>
                <w:sz w:val="21"/>
                <w:szCs w:val="21"/>
              </w:rPr>
            </w:pPr>
            <w:r>
              <w:rPr>
                <w:rFonts w:hint="eastAsia"/>
                <w:spacing w:val="-1"/>
                <w:sz w:val="21"/>
                <w:szCs w:val="21"/>
              </w:rPr>
              <w:t>（4）有依法缴纳税收和社会保障资金的良好记录；</w:t>
            </w:r>
          </w:p>
        </w:tc>
        <w:tc>
          <w:tcPr>
            <w:tcW w:w="5296" w:type="dxa"/>
            <w:vAlign w:val="center"/>
          </w:tcPr>
          <w:p>
            <w:pPr>
              <w:pStyle w:val="48"/>
              <w:spacing w:line="300" w:lineRule="exact"/>
              <w:jc w:val="both"/>
              <w:rPr>
                <w:sz w:val="21"/>
                <w:szCs w:val="21"/>
              </w:rPr>
            </w:pPr>
            <w:r>
              <w:rPr>
                <w:rFonts w:hint="eastAsia"/>
                <w:sz w:val="21"/>
                <w:szCs w:val="21"/>
              </w:rPr>
              <w:t>提供自本项目公告发布时间前 12 个月内（至少提供 3 个月）缴纳税收的凭据（新注册企业及疫情期间享受政策免缴税企业视同正常缴纳，提供证 明资料）和缴纳社会保险缴纳凭证的原件扫描件（加 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599" w:type="dxa"/>
            <w:vMerge w:val="continue"/>
            <w:tcBorders>
              <w:top w:val="nil"/>
            </w:tcBorders>
          </w:tcPr>
          <w:p>
            <w:pPr>
              <w:spacing w:line="300" w:lineRule="exact"/>
              <w:rPr>
                <w:szCs w:val="21"/>
              </w:rPr>
            </w:pPr>
          </w:p>
        </w:tc>
        <w:tc>
          <w:tcPr>
            <w:tcW w:w="4325" w:type="dxa"/>
          </w:tcPr>
          <w:p>
            <w:pPr>
              <w:pStyle w:val="48"/>
              <w:spacing w:line="300" w:lineRule="exact"/>
              <w:ind w:left="107"/>
              <w:rPr>
                <w:sz w:val="21"/>
                <w:szCs w:val="21"/>
              </w:rPr>
            </w:pPr>
            <w:r>
              <w:rPr>
                <w:rFonts w:hint="eastAsia"/>
                <w:sz w:val="21"/>
                <w:szCs w:val="21"/>
              </w:rPr>
              <w:t>（5）参加本次活动前三年内，在经营活</w:t>
            </w:r>
          </w:p>
          <w:p>
            <w:pPr>
              <w:pStyle w:val="48"/>
              <w:spacing w:line="300" w:lineRule="exact"/>
              <w:ind w:left="107"/>
              <w:rPr>
                <w:sz w:val="21"/>
                <w:szCs w:val="21"/>
              </w:rPr>
            </w:pPr>
            <w:r>
              <w:rPr>
                <w:rFonts w:hint="eastAsia"/>
                <w:sz w:val="21"/>
                <w:szCs w:val="21"/>
              </w:rPr>
              <w:t>动中没有重大违法记录；</w:t>
            </w:r>
          </w:p>
        </w:tc>
        <w:tc>
          <w:tcPr>
            <w:tcW w:w="5296" w:type="dxa"/>
          </w:tcPr>
          <w:p>
            <w:pPr>
              <w:pStyle w:val="48"/>
              <w:spacing w:line="300" w:lineRule="exact"/>
              <w:ind w:left="106" w:right="97"/>
              <w:rPr>
                <w:sz w:val="21"/>
                <w:szCs w:val="21"/>
              </w:rPr>
            </w:pPr>
            <w:r>
              <w:rPr>
                <w:rFonts w:hint="eastAsia"/>
                <w:sz w:val="21"/>
                <w:szCs w:val="21"/>
              </w:rPr>
              <w:t>参加政府采购活动前 3 年内在经营活动中没有重大违法记录的书面声明；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99" w:type="dxa"/>
            <w:vMerge w:val="continue"/>
            <w:tcBorders>
              <w:top w:val="nil"/>
            </w:tcBorders>
          </w:tcPr>
          <w:p>
            <w:pPr>
              <w:spacing w:line="300" w:lineRule="exact"/>
              <w:rPr>
                <w:szCs w:val="21"/>
              </w:rPr>
            </w:pPr>
          </w:p>
        </w:tc>
        <w:tc>
          <w:tcPr>
            <w:tcW w:w="4325" w:type="dxa"/>
          </w:tcPr>
          <w:p>
            <w:pPr>
              <w:pStyle w:val="48"/>
              <w:spacing w:line="300" w:lineRule="exact"/>
              <w:ind w:left="107"/>
              <w:rPr>
                <w:sz w:val="21"/>
                <w:szCs w:val="21"/>
              </w:rPr>
            </w:pPr>
            <w:r>
              <w:rPr>
                <w:rFonts w:hint="eastAsia"/>
                <w:sz w:val="21"/>
                <w:szCs w:val="21"/>
              </w:rPr>
              <w:t>（6）法律、行政法规规定的其他条件。</w:t>
            </w:r>
          </w:p>
        </w:tc>
        <w:tc>
          <w:tcPr>
            <w:tcW w:w="5296" w:type="dxa"/>
          </w:tcPr>
          <w:p>
            <w:pPr>
              <w:pStyle w:val="48"/>
              <w:spacing w:line="300" w:lineRule="exact"/>
              <w:ind w:left="106"/>
              <w:rPr>
                <w:sz w:val="21"/>
                <w:szCs w:val="21"/>
              </w:rPr>
            </w:pPr>
            <w:r>
              <w:rPr>
                <w:rFonts w:hint="eastAsia"/>
                <w:sz w:val="21"/>
                <w:szCs w:val="21"/>
              </w:rPr>
              <w:t>法律、行政法规规定的其他条件；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599" w:type="dxa"/>
            <w:vMerge w:val="restart"/>
          </w:tcPr>
          <w:p>
            <w:pPr>
              <w:pStyle w:val="48"/>
              <w:spacing w:line="300" w:lineRule="exact"/>
              <w:rPr>
                <w:b/>
                <w:sz w:val="21"/>
                <w:szCs w:val="21"/>
              </w:rPr>
            </w:pPr>
          </w:p>
          <w:p>
            <w:pPr>
              <w:pStyle w:val="48"/>
              <w:spacing w:line="300" w:lineRule="exact"/>
              <w:rPr>
                <w:b/>
                <w:sz w:val="21"/>
                <w:szCs w:val="21"/>
              </w:rPr>
            </w:pPr>
          </w:p>
          <w:p>
            <w:pPr>
              <w:pStyle w:val="48"/>
              <w:spacing w:line="300" w:lineRule="exact"/>
              <w:rPr>
                <w:b/>
                <w:sz w:val="21"/>
                <w:szCs w:val="21"/>
              </w:rPr>
            </w:pPr>
          </w:p>
          <w:p>
            <w:pPr>
              <w:pStyle w:val="48"/>
              <w:spacing w:line="300" w:lineRule="exact"/>
              <w:ind w:left="146" w:right="135"/>
              <w:jc w:val="both"/>
              <w:rPr>
                <w:sz w:val="21"/>
                <w:szCs w:val="21"/>
              </w:rPr>
            </w:pPr>
            <w:r>
              <w:rPr>
                <w:rFonts w:hint="eastAsia"/>
                <w:sz w:val="21"/>
                <w:szCs w:val="21"/>
              </w:rPr>
              <w:t>本项目的特定资格要求</w:t>
            </w:r>
          </w:p>
        </w:tc>
        <w:tc>
          <w:tcPr>
            <w:tcW w:w="4325" w:type="dxa"/>
            <w:tcBorders>
              <w:bottom w:val="nil"/>
            </w:tcBorders>
          </w:tcPr>
          <w:p>
            <w:pPr>
              <w:pStyle w:val="48"/>
              <w:spacing w:line="300" w:lineRule="exact"/>
              <w:ind w:left="107" w:right="97"/>
              <w:rPr>
                <w:rFonts w:hint="eastAsia"/>
                <w:spacing w:val="-1"/>
                <w:sz w:val="21"/>
                <w:szCs w:val="21"/>
              </w:rPr>
            </w:pPr>
            <w:r>
              <w:rPr>
                <w:rFonts w:hint="eastAsia"/>
                <w:spacing w:val="-1"/>
                <w:sz w:val="21"/>
                <w:szCs w:val="21"/>
                <w:lang w:val="en-US" w:eastAsia="zh-CN"/>
              </w:rPr>
              <w:t>（7）投标人</w:t>
            </w:r>
            <w:r>
              <w:rPr>
                <w:rFonts w:hint="eastAsia"/>
                <w:spacing w:val="-1"/>
                <w:sz w:val="21"/>
                <w:szCs w:val="21"/>
              </w:rPr>
              <w:t>提供近三年法定代表人、拟派项目负责人近三年在经营活动中无重大违法记录，无重大质量及安全事故发生的书面声明；</w:t>
            </w:r>
          </w:p>
        </w:tc>
        <w:tc>
          <w:tcPr>
            <w:tcW w:w="5296" w:type="dxa"/>
          </w:tcPr>
          <w:p>
            <w:pPr>
              <w:pStyle w:val="48"/>
              <w:spacing w:line="300" w:lineRule="exact"/>
              <w:ind w:left="107" w:right="97"/>
              <w:rPr>
                <w:rFonts w:hint="eastAsia"/>
                <w:spacing w:val="-1"/>
                <w:sz w:val="21"/>
                <w:szCs w:val="21"/>
              </w:rPr>
            </w:pPr>
            <w:r>
              <w:rPr>
                <w:rFonts w:hint="eastAsia"/>
                <w:spacing w:val="-1"/>
                <w:sz w:val="21"/>
                <w:szCs w:val="21"/>
                <w:lang w:val="en-US" w:eastAsia="zh-CN"/>
              </w:rPr>
              <w:t>提供</w:t>
            </w:r>
            <w:r>
              <w:rPr>
                <w:rFonts w:hint="eastAsia"/>
                <w:spacing w:val="-1"/>
                <w:sz w:val="21"/>
                <w:szCs w:val="21"/>
              </w:rPr>
              <w:t>近三年法定代表人、拟派项目负责人近三年在经营活动中无重大违法记录，无重大质量及安全事故发生的书面声明（加盖公章）；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599" w:type="dxa"/>
            <w:vMerge w:val="continue"/>
            <w:tcBorders>
              <w:top w:val="nil"/>
            </w:tcBorders>
          </w:tcPr>
          <w:p>
            <w:pPr>
              <w:spacing w:line="300" w:lineRule="exact"/>
              <w:rPr>
                <w:szCs w:val="21"/>
              </w:rPr>
            </w:pPr>
          </w:p>
        </w:tc>
        <w:tc>
          <w:tcPr>
            <w:tcW w:w="4325" w:type="dxa"/>
          </w:tcPr>
          <w:p>
            <w:pPr>
              <w:pStyle w:val="48"/>
              <w:spacing w:line="300" w:lineRule="exact"/>
              <w:ind w:left="107" w:right="97"/>
              <w:rPr>
                <w:rFonts w:hint="eastAsia"/>
                <w:spacing w:val="-1"/>
                <w:sz w:val="21"/>
                <w:szCs w:val="21"/>
              </w:rPr>
            </w:pPr>
            <w:r>
              <w:rPr>
                <w:rFonts w:hint="eastAsia"/>
                <w:spacing w:val="-1"/>
                <w:sz w:val="21"/>
                <w:szCs w:val="21"/>
              </w:rPr>
              <w:t>（8</w:t>
            </w:r>
            <w:r>
              <w:rPr>
                <w:rFonts w:hint="eastAsia"/>
                <w:spacing w:val="-1"/>
                <w:sz w:val="21"/>
                <w:szCs w:val="21"/>
                <w:lang w:eastAsia="zh-CN"/>
              </w:rPr>
              <w:t>）</w:t>
            </w:r>
            <w:r>
              <w:rPr>
                <w:rFonts w:hint="eastAsia"/>
                <w:spacing w:val="-1"/>
                <w:sz w:val="21"/>
                <w:szCs w:val="21"/>
              </w:rPr>
              <w:t>供应商未被“信用中国”网站（www.creditchina.gov.cn）列入失信被执行人、重大税收违法案件当事人名单和“中国政府采购网”（http://www.ccgp.gov.cn/）政府采购严重违法失信行为记录名单并提供网页截图加盖单位公章以证明；一经发现不良信用记录将按照《财政部关于在政府采购活动中查询及使用信用记录有关问题的通知（财库〔2016〕125号）》执行（提供网站截图并加盖公章）；</w:t>
            </w:r>
          </w:p>
        </w:tc>
        <w:tc>
          <w:tcPr>
            <w:tcW w:w="5296" w:type="dxa"/>
          </w:tcPr>
          <w:p>
            <w:pPr>
              <w:pStyle w:val="48"/>
              <w:spacing w:line="300" w:lineRule="exact"/>
              <w:ind w:left="107" w:right="97"/>
              <w:rPr>
                <w:rFonts w:hint="eastAsia"/>
                <w:spacing w:val="-1"/>
                <w:sz w:val="21"/>
                <w:szCs w:val="21"/>
              </w:rPr>
            </w:pPr>
            <w:r>
              <w:rPr>
                <w:rFonts w:hint="eastAsia"/>
                <w:spacing w:val="-1"/>
                <w:sz w:val="21"/>
                <w:szCs w:val="21"/>
              </w:rPr>
              <w:t>供应商未被“信用中国”网站（www.creditchina.gov.cn）列入失信被执行人、重大税收违法案件当事人名单和“中国政府采购网”（http://www.ccgp.gov.cn/）政府采购严重违法失信行为记录名单并提供网页截图加盖单位公章以证明（提供网站截图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99" w:type="dxa"/>
            <w:vMerge w:val="continue"/>
            <w:tcBorders>
              <w:top w:val="nil"/>
            </w:tcBorders>
          </w:tcPr>
          <w:p>
            <w:pPr>
              <w:spacing w:line="300" w:lineRule="exact"/>
              <w:rPr>
                <w:szCs w:val="21"/>
              </w:rPr>
            </w:pPr>
          </w:p>
        </w:tc>
        <w:tc>
          <w:tcPr>
            <w:tcW w:w="4325" w:type="dxa"/>
          </w:tcPr>
          <w:p>
            <w:pPr>
              <w:pStyle w:val="48"/>
              <w:spacing w:line="300" w:lineRule="exact"/>
              <w:ind w:left="107"/>
              <w:rPr>
                <w:spacing w:val="3"/>
                <w:sz w:val="21"/>
                <w:szCs w:val="21"/>
              </w:rPr>
            </w:pPr>
            <w:r>
              <w:rPr>
                <w:rFonts w:hint="eastAsia"/>
                <w:sz w:val="21"/>
                <w:szCs w:val="21"/>
              </w:rPr>
              <w:t>（</w:t>
            </w:r>
            <w:r>
              <w:rPr>
                <w:rFonts w:hint="eastAsia"/>
                <w:sz w:val="21"/>
                <w:szCs w:val="21"/>
                <w:lang w:val="en-US" w:eastAsia="zh-CN"/>
              </w:rPr>
              <w:t>9</w:t>
            </w:r>
            <w:r>
              <w:rPr>
                <w:rFonts w:hint="eastAsia"/>
                <w:sz w:val="21"/>
                <w:szCs w:val="21"/>
              </w:rPr>
              <w:t>）本项目不接受联合体投标</w:t>
            </w:r>
          </w:p>
        </w:tc>
        <w:tc>
          <w:tcPr>
            <w:tcW w:w="5296" w:type="dxa"/>
          </w:tcPr>
          <w:p>
            <w:pPr>
              <w:pStyle w:val="48"/>
              <w:spacing w:line="300" w:lineRule="exact"/>
              <w:ind w:left="106"/>
              <w:rPr>
                <w:spacing w:val="3"/>
                <w:sz w:val="21"/>
                <w:szCs w:val="21"/>
              </w:rPr>
            </w:pPr>
            <w:r>
              <w:rPr>
                <w:rFonts w:hint="eastAsia"/>
                <w:sz w:val="21"/>
                <w:szCs w:val="21"/>
              </w:rPr>
              <w:t>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atLeast"/>
        </w:trPr>
        <w:tc>
          <w:tcPr>
            <w:tcW w:w="10220" w:type="dxa"/>
            <w:gridSpan w:val="3"/>
          </w:tcPr>
          <w:p>
            <w:pPr>
              <w:pStyle w:val="48"/>
              <w:spacing w:line="300" w:lineRule="exact"/>
              <w:ind w:left="108"/>
              <w:rPr>
                <w:sz w:val="21"/>
                <w:szCs w:val="21"/>
              </w:rPr>
            </w:pPr>
            <w:r>
              <w:rPr>
                <w:rFonts w:hint="eastAsia"/>
                <w:b/>
                <w:sz w:val="21"/>
                <w:szCs w:val="21"/>
              </w:rPr>
              <w:t>说明：</w:t>
            </w:r>
            <w:r>
              <w:rPr>
                <w:rFonts w:hint="eastAsia"/>
                <w:sz w:val="21"/>
                <w:szCs w:val="21"/>
              </w:rPr>
              <w:t>资格审查未通过的供应商不进行后续评审。</w:t>
            </w:r>
          </w:p>
        </w:tc>
      </w:tr>
    </w:tbl>
    <w:p>
      <w:pPr>
        <w:pStyle w:val="20"/>
        <w:ind w:left="420"/>
      </w:pPr>
      <w:r>
        <w:rPr>
          <w:rFonts w:hint="eastAsia"/>
        </w:rPr>
        <w:t>附表1：资格性审查对照表</w:t>
      </w:r>
    </w:p>
    <w:p>
      <w:pPr>
        <w:spacing w:line="419" w:lineRule="exact"/>
        <w:rPr>
          <w:sz w:val="24"/>
        </w:rPr>
        <w:sectPr>
          <w:footerReference r:id="rId8" w:type="default"/>
          <w:pgSz w:w="11910" w:h="16840"/>
          <w:pgMar w:top="1360" w:right="680" w:bottom="1380" w:left="1020" w:header="0" w:footer="1200" w:gutter="0"/>
          <w:cols w:space="720" w:num="1"/>
        </w:sectPr>
      </w:pPr>
    </w:p>
    <w:p>
      <w:pPr>
        <w:pStyle w:val="20"/>
        <w:ind w:left="420"/>
      </w:pPr>
      <w:r>
        <w:rPr>
          <w:rFonts w:hint="eastAsia"/>
        </w:rPr>
        <w:t>附表2：《符合性检查表》</w:t>
      </w:r>
    </w:p>
    <w:tbl>
      <w:tblPr>
        <w:tblStyle w:val="21"/>
        <w:tblpPr w:leftFromText="180" w:rightFromText="180" w:vertAnchor="text" w:horzAnchor="margin" w:tblpXSpec="center" w:tblpY="43"/>
        <w:tblOverlap w:val="never"/>
        <w:tblW w:w="10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9"/>
        <w:gridCol w:w="1290"/>
        <w:gridCol w:w="2044"/>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trPr>
        <w:tc>
          <w:tcPr>
            <w:tcW w:w="969" w:type="dxa"/>
            <w:vAlign w:val="center"/>
          </w:tcPr>
          <w:p>
            <w:pPr>
              <w:pStyle w:val="48"/>
              <w:spacing w:before="194"/>
              <w:jc w:val="center"/>
              <w:rPr>
                <w:sz w:val="21"/>
                <w:szCs w:val="21"/>
              </w:rPr>
            </w:pPr>
            <w:r>
              <w:rPr>
                <w:rFonts w:hint="eastAsia"/>
                <w:sz w:val="21"/>
                <w:szCs w:val="21"/>
              </w:rPr>
              <w:t>序号</w:t>
            </w:r>
          </w:p>
        </w:tc>
        <w:tc>
          <w:tcPr>
            <w:tcW w:w="3334" w:type="dxa"/>
            <w:gridSpan w:val="2"/>
            <w:vAlign w:val="center"/>
          </w:tcPr>
          <w:p>
            <w:pPr>
              <w:pStyle w:val="48"/>
              <w:spacing w:before="194"/>
              <w:jc w:val="center"/>
              <w:rPr>
                <w:sz w:val="21"/>
                <w:szCs w:val="21"/>
              </w:rPr>
            </w:pPr>
            <w:r>
              <w:rPr>
                <w:rFonts w:hint="eastAsia"/>
                <w:sz w:val="21"/>
                <w:szCs w:val="21"/>
              </w:rPr>
              <w:t>评审因素</w:t>
            </w:r>
          </w:p>
        </w:tc>
        <w:tc>
          <w:tcPr>
            <w:tcW w:w="5937" w:type="dxa"/>
            <w:vAlign w:val="center"/>
          </w:tcPr>
          <w:p>
            <w:pPr>
              <w:pStyle w:val="48"/>
              <w:spacing w:before="194"/>
              <w:jc w:val="center"/>
              <w:rPr>
                <w:sz w:val="21"/>
                <w:szCs w:val="21"/>
              </w:rPr>
            </w:pPr>
            <w:r>
              <w:rPr>
                <w:rFonts w:hint="eastAsia"/>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969" w:type="dxa"/>
            <w:vMerge w:val="restart"/>
          </w:tcPr>
          <w:p>
            <w:pPr>
              <w:pStyle w:val="48"/>
              <w:rPr>
                <w:b/>
                <w:sz w:val="21"/>
                <w:szCs w:val="21"/>
              </w:rPr>
            </w:pPr>
          </w:p>
          <w:p>
            <w:pPr>
              <w:pStyle w:val="48"/>
              <w:rPr>
                <w:b/>
                <w:sz w:val="21"/>
                <w:szCs w:val="21"/>
              </w:rPr>
            </w:pPr>
          </w:p>
          <w:p>
            <w:pPr>
              <w:pStyle w:val="48"/>
              <w:rPr>
                <w:b/>
                <w:sz w:val="21"/>
                <w:szCs w:val="21"/>
              </w:rPr>
            </w:pPr>
          </w:p>
          <w:p>
            <w:pPr>
              <w:pStyle w:val="48"/>
              <w:rPr>
                <w:b/>
                <w:sz w:val="21"/>
                <w:szCs w:val="21"/>
              </w:rPr>
            </w:pPr>
          </w:p>
          <w:p>
            <w:pPr>
              <w:pStyle w:val="48"/>
              <w:rPr>
                <w:b/>
                <w:sz w:val="21"/>
                <w:szCs w:val="21"/>
              </w:rPr>
            </w:pPr>
          </w:p>
          <w:p>
            <w:pPr>
              <w:pStyle w:val="48"/>
              <w:rPr>
                <w:b/>
                <w:sz w:val="21"/>
                <w:szCs w:val="21"/>
              </w:rPr>
            </w:pPr>
          </w:p>
          <w:p>
            <w:pPr>
              <w:pStyle w:val="48"/>
              <w:rPr>
                <w:b/>
                <w:sz w:val="21"/>
                <w:szCs w:val="21"/>
              </w:rPr>
            </w:pPr>
          </w:p>
          <w:p>
            <w:pPr>
              <w:pStyle w:val="48"/>
              <w:rPr>
                <w:b/>
                <w:sz w:val="21"/>
                <w:szCs w:val="21"/>
              </w:rPr>
            </w:pPr>
          </w:p>
          <w:p>
            <w:pPr>
              <w:pStyle w:val="48"/>
              <w:spacing w:before="3"/>
              <w:rPr>
                <w:b/>
                <w:sz w:val="21"/>
                <w:szCs w:val="21"/>
              </w:rPr>
            </w:pPr>
          </w:p>
          <w:p>
            <w:pPr>
              <w:pStyle w:val="48"/>
              <w:jc w:val="center"/>
              <w:rPr>
                <w:sz w:val="21"/>
                <w:szCs w:val="21"/>
              </w:rPr>
            </w:pPr>
            <w:r>
              <w:rPr>
                <w:rFonts w:hint="eastAsia"/>
                <w:w w:val="99"/>
                <w:sz w:val="21"/>
                <w:szCs w:val="21"/>
              </w:rPr>
              <w:t>1</w:t>
            </w:r>
          </w:p>
        </w:tc>
        <w:tc>
          <w:tcPr>
            <w:tcW w:w="1290" w:type="dxa"/>
            <w:vMerge w:val="restart"/>
          </w:tcPr>
          <w:p>
            <w:pPr>
              <w:pStyle w:val="48"/>
              <w:rPr>
                <w:b/>
                <w:sz w:val="21"/>
                <w:szCs w:val="21"/>
              </w:rPr>
            </w:pPr>
          </w:p>
          <w:p>
            <w:pPr>
              <w:pStyle w:val="48"/>
              <w:rPr>
                <w:b/>
                <w:sz w:val="21"/>
                <w:szCs w:val="21"/>
              </w:rPr>
            </w:pPr>
          </w:p>
          <w:p>
            <w:pPr>
              <w:pStyle w:val="48"/>
              <w:rPr>
                <w:b/>
                <w:sz w:val="21"/>
                <w:szCs w:val="21"/>
              </w:rPr>
            </w:pPr>
          </w:p>
          <w:p>
            <w:pPr>
              <w:pStyle w:val="48"/>
              <w:rPr>
                <w:b/>
                <w:sz w:val="21"/>
                <w:szCs w:val="21"/>
              </w:rPr>
            </w:pPr>
          </w:p>
          <w:p>
            <w:pPr>
              <w:pStyle w:val="48"/>
              <w:rPr>
                <w:b/>
                <w:sz w:val="21"/>
                <w:szCs w:val="21"/>
              </w:rPr>
            </w:pPr>
          </w:p>
          <w:p>
            <w:pPr>
              <w:pStyle w:val="48"/>
              <w:rPr>
                <w:b/>
                <w:sz w:val="21"/>
                <w:szCs w:val="21"/>
              </w:rPr>
            </w:pPr>
          </w:p>
          <w:p>
            <w:pPr>
              <w:pStyle w:val="48"/>
              <w:rPr>
                <w:b/>
                <w:sz w:val="21"/>
                <w:szCs w:val="21"/>
              </w:rPr>
            </w:pPr>
          </w:p>
          <w:p>
            <w:pPr>
              <w:pStyle w:val="48"/>
              <w:spacing w:before="13"/>
              <w:rPr>
                <w:b/>
                <w:sz w:val="21"/>
                <w:szCs w:val="21"/>
              </w:rPr>
            </w:pPr>
          </w:p>
          <w:p>
            <w:pPr>
              <w:pStyle w:val="48"/>
              <w:spacing w:line="374" w:lineRule="auto"/>
              <w:rPr>
                <w:sz w:val="21"/>
                <w:szCs w:val="21"/>
              </w:rPr>
            </w:pPr>
            <w:r>
              <w:rPr>
                <w:rFonts w:hint="eastAsia"/>
                <w:sz w:val="21"/>
                <w:szCs w:val="21"/>
              </w:rPr>
              <w:t>有效性审查</w:t>
            </w:r>
          </w:p>
        </w:tc>
        <w:tc>
          <w:tcPr>
            <w:tcW w:w="2044" w:type="dxa"/>
          </w:tcPr>
          <w:p>
            <w:pPr>
              <w:pStyle w:val="48"/>
              <w:spacing w:before="125"/>
              <w:rPr>
                <w:sz w:val="21"/>
                <w:szCs w:val="21"/>
              </w:rPr>
            </w:pPr>
            <w:r>
              <w:rPr>
                <w:rFonts w:hint="eastAsia"/>
                <w:sz w:val="21"/>
                <w:szCs w:val="21"/>
              </w:rPr>
              <w:t>投标报价</w:t>
            </w:r>
          </w:p>
        </w:tc>
        <w:tc>
          <w:tcPr>
            <w:tcW w:w="5937" w:type="dxa"/>
          </w:tcPr>
          <w:p>
            <w:pPr>
              <w:pStyle w:val="48"/>
              <w:spacing w:before="125"/>
              <w:rPr>
                <w:sz w:val="21"/>
                <w:szCs w:val="21"/>
              </w:rPr>
            </w:pPr>
            <w:r>
              <w:rPr>
                <w:rFonts w:hint="eastAsia"/>
                <w:sz w:val="21"/>
                <w:szCs w:val="21"/>
              </w:rPr>
              <w:t>只有一个有效投标报价，且报价在预算以内。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969" w:type="dxa"/>
            <w:vMerge w:val="continue"/>
          </w:tcPr>
          <w:p>
            <w:pPr>
              <w:rPr>
                <w:szCs w:val="21"/>
              </w:rPr>
            </w:pPr>
          </w:p>
        </w:tc>
        <w:tc>
          <w:tcPr>
            <w:tcW w:w="1290" w:type="dxa"/>
            <w:vMerge w:val="continue"/>
          </w:tcPr>
          <w:p>
            <w:pPr>
              <w:rPr>
                <w:szCs w:val="21"/>
              </w:rPr>
            </w:pPr>
          </w:p>
        </w:tc>
        <w:tc>
          <w:tcPr>
            <w:tcW w:w="2044" w:type="dxa"/>
          </w:tcPr>
          <w:p>
            <w:pPr>
              <w:pStyle w:val="48"/>
              <w:spacing w:before="127"/>
              <w:rPr>
                <w:sz w:val="21"/>
                <w:szCs w:val="21"/>
              </w:rPr>
            </w:pPr>
            <w:r>
              <w:rPr>
                <w:rFonts w:hint="eastAsia"/>
                <w:sz w:val="21"/>
                <w:szCs w:val="21"/>
              </w:rPr>
              <w:t>投标文件要求</w:t>
            </w:r>
          </w:p>
        </w:tc>
        <w:tc>
          <w:tcPr>
            <w:tcW w:w="5937" w:type="dxa"/>
          </w:tcPr>
          <w:p>
            <w:pPr>
              <w:pStyle w:val="48"/>
              <w:spacing w:before="127"/>
              <w:rPr>
                <w:sz w:val="21"/>
                <w:szCs w:val="21"/>
              </w:rPr>
            </w:pPr>
            <w:r>
              <w:rPr>
                <w:rFonts w:hint="eastAsia"/>
                <w:sz w:val="21"/>
                <w:szCs w:val="21"/>
              </w:rPr>
              <w:t>投标书或资格证明文件符合招标文件要求。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969" w:type="dxa"/>
            <w:vMerge w:val="continue"/>
          </w:tcPr>
          <w:p>
            <w:pPr>
              <w:rPr>
                <w:szCs w:val="21"/>
              </w:rPr>
            </w:pPr>
          </w:p>
        </w:tc>
        <w:tc>
          <w:tcPr>
            <w:tcW w:w="1290" w:type="dxa"/>
            <w:vMerge w:val="continue"/>
          </w:tcPr>
          <w:p>
            <w:pPr>
              <w:rPr>
                <w:szCs w:val="21"/>
              </w:rPr>
            </w:pPr>
          </w:p>
        </w:tc>
        <w:tc>
          <w:tcPr>
            <w:tcW w:w="2044" w:type="dxa"/>
          </w:tcPr>
          <w:p>
            <w:pPr>
              <w:pStyle w:val="48"/>
              <w:spacing w:before="127"/>
              <w:rPr>
                <w:sz w:val="21"/>
                <w:szCs w:val="21"/>
              </w:rPr>
            </w:pPr>
            <w:r>
              <w:rPr>
                <w:rFonts w:hint="eastAsia"/>
                <w:sz w:val="21"/>
                <w:szCs w:val="21"/>
              </w:rPr>
              <w:t>投标有效期</w:t>
            </w:r>
          </w:p>
        </w:tc>
        <w:tc>
          <w:tcPr>
            <w:tcW w:w="5937" w:type="dxa"/>
          </w:tcPr>
          <w:p>
            <w:pPr>
              <w:pStyle w:val="48"/>
              <w:spacing w:before="127"/>
              <w:rPr>
                <w:sz w:val="21"/>
                <w:szCs w:val="21"/>
              </w:rPr>
            </w:pPr>
            <w:r>
              <w:rPr>
                <w:rFonts w:hint="eastAsia"/>
                <w:sz w:val="21"/>
                <w:szCs w:val="21"/>
              </w:rPr>
              <w:t>投标有效期满足规定。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969" w:type="dxa"/>
            <w:vMerge w:val="continue"/>
          </w:tcPr>
          <w:p>
            <w:pPr>
              <w:rPr>
                <w:szCs w:val="21"/>
              </w:rPr>
            </w:pPr>
          </w:p>
        </w:tc>
        <w:tc>
          <w:tcPr>
            <w:tcW w:w="1290" w:type="dxa"/>
            <w:vMerge w:val="continue"/>
          </w:tcPr>
          <w:p>
            <w:pPr>
              <w:rPr>
                <w:szCs w:val="21"/>
              </w:rPr>
            </w:pPr>
          </w:p>
        </w:tc>
        <w:tc>
          <w:tcPr>
            <w:tcW w:w="2044" w:type="dxa"/>
          </w:tcPr>
          <w:p>
            <w:pPr>
              <w:pStyle w:val="48"/>
              <w:spacing w:before="126"/>
              <w:rPr>
                <w:sz w:val="21"/>
                <w:szCs w:val="21"/>
              </w:rPr>
            </w:pPr>
            <w:r>
              <w:rPr>
                <w:rFonts w:hint="eastAsia"/>
                <w:sz w:val="21"/>
                <w:szCs w:val="21"/>
              </w:rPr>
              <w:t>经营范围</w:t>
            </w:r>
          </w:p>
        </w:tc>
        <w:tc>
          <w:tcPr>
            <w:tcW w:w="5937" w:type="dxa"/>
          </w:tcPr>
          <w:p>
            <w:pPr>
              <w:pStyle w:val="48"/>
              <w:spacing w:before="126"/>
              <w:rPr>
                <w:sz w:val="21"/>
                <w:szCs w:val="21"/>
              </w:rPr>
            </w:pPr>
            <w:r>
              <w:rPr>
                <w:rFonts w:hint="eastAsia"/>
                <w:sz w:val="21"/>
                <w:szCs w:val="21"/>
              </w:rPr>
              <w:t>没有超出经营范围投标的。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969" w:type="dxa"/>
            <w:vMerge w:val="continue"/>
          </w:tcPr>
          <w:p>
            <w:pPr>
              <w:rPr>
                <w:szCs w:val="21"/>
              </w:rPr>
            </w:pPr>
          </w:p>
        </w:tc>
        <w:tc>
          <w:tcPr>
            <w:tcW w:w="1290" w:type="dxa"/>
            <w:vMerge w:val="continue"/>
          </w:tcPr>
          <w:p>
            <w:pPr>
              <w:rPr>
                <w:szCs w:val="21"/>
              </w:rPr>
            </w:pPr>
          </w:p>
        </w:tc>
        <w:tc>
          <w:tcPr>
            <w:tcW w:w="2044" w:type="dxa"/>
          </w:tcPr>
          <w:p>
            <w:pPr>
              <w:pStyle w:val="48"/>
              <w:spacing w:before="126"/>
              <w:rPr>
                <w:sz w:val="21"/>
                <w:szCs w:val="21"/>
              </w:rPr>
            </w:pPr>
            <w:r>
              <w:rPr>
                <w:rFonts w:hint="eastAsia"/>
                <w:sz w:val="21"/>
                <w:szCs w:val="21"/>
              </w:rPr>
              <w:t>服务期</w:t>
            </w:r>
          </w:p>
        </w:tc>
        <w:tc>
          <w:tcPr>
            <w:tcW w:w="5937" w:type="dxa"/>
          </w:tcPr>
          <w:p>
            <w:pPr>
              <w:pStyle w:val="48"/>
              <w:spacing w:before="126"/>
              <w:rPr>
                <w:sz w:val="21"/>
                <w:szCs w:val="21"/>
              </w:rPr>
            </w:pPr>
            <w:r>
              <w:rPr>
                <w:rFonts w:hint="eastAsia"/>
                <w:sz w:val="21"/>
                <w:szCs w:val="21"/>
              </w:rPr>
              <w:t>满足招标文件的要求。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969" w:type="dxa"/>
            <w:vMerge w:val="continue"/>
          </w:tcPr>
          <w:p>
            <w:pPr>
              <w:rPr>
                <w:szCs w:val="21"/>
              </w:rPr>
            </w:pPr>
          </w:p>
        </w:tc>
        <w:tc>
          <w:tcPr>
            <w:tcW w:w="1290" w:type="dxa"/>
            <w:vMerge w:val="continue"/>
          </w:tcPr>
          <w:p>
            <w:pPr>
              <w:rPr>
                <w:szCs w:val="21"/>
              </w:rPr>
            </w:pPr>
          </w:p>
        </w:tc>
        <w:tc>
          <w:tcPr>
            <w:tcW w:w="2044" w:type="dxa"/>
          </w:tcPr>
          <w:p>
            <w:pPr>
              <w:pStyle w:val="48"/>
              <w:spacing w:before="125"/>
              <w:rPr>
                <w:sz w:val="21"/>
                <w:szCs w:val="21"/>
              </w:rPr>
            </w:pPr>
            <w:r>
              <w:rPr>
                <w:rFonts w:hint="eastAsia"/>
                <w:sz w:val="21"/>
                <w:szCs w:val="21"/>
              </w:rPr>
              <w:t>投标文件规范</w:t>
            </w:r>
          </w:p>
        </w:tc>
        <w:tc>
          <w:tcPr>
            <w:tcW w:w="5937" w:type="dxa"/>
          </w:tcPr>
          <w:p>
            <w:pPr>
              <w:pStyle w:val="48"/>
              <w:spacing w:before="125"/>
              <w:rPr>
                <w:sz w:val="21"/>
                <w:szCs w:val="21"/>
              </w:rPr>
            </w:pPr>
            <w:r>
              <w:rPr>
                <w:rFonts w:hint="eastAsia"/>
                <w:spacing w:val="-7"/>
                <w:sz w:val="21"/>
                <w:szCs w:val="21"/>
              </w:rPr>
              <w:t>按照招标文件规定要求对投标文件密封、签署、盖章的。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969" w:type="dxa"/>
            <w:vMerge w:val="continue"/>
          </w:tcPr>
          <w:p>
            <w:pPr>
              <w:rPr>
                <w:szCs w:val="21"/>
              </w:rPr>
            </w:pPr>
          </w:p>
        </w:tc>
        <w:tc>
          <w:tcPr>
            <w:tcW w:w="1290" w:type="dxa"/>
            <w:vMerge w:val="continue"/>
          </w:tcPr>
          <w:p>
            <w:pPr>
              <w:rPr>
                <w:szCs w:val="21"/>
              </w:rPr>
            </w:pPr>
          </w:p>
        </w:tc>
        <w:tc>
          <w:tcPr>
            <w:tcW w:w="2044" w:type="dxa"/>
          </w:tcPr>
          <w:p>
            <w:pPr>
              <w:pStyle w:val="48"/>
              <w:spacing w:before="125"/>
              <w:rPr>
                <w:sz w:val="21"/>
                <w:szCs w:val="21"/>
              </w:rPr>
            </w:pPr>
            <w:r>
              <w:rPr>
                <w:rFonts w:hint="eastAsia"/>
                <w:sz w:val="21"/>
                <w:szCs w:val="21"/>
              </w:rPr>
              <w:t>投标文件签署</w:t>
            </w:r>
          </w:p>
        </w:tc>
        <w:tc>
          <w:tcPr>
            <w:tcW w:w="5937" w:type="dxa"/>
          </w:tcPr>
          <w:p>
            <w:pPr>
              <w:pStyle w:val="48"/>
              <w:spacing w:before="125"/>
              <w:rPr>
                <w:sz w:val="21"/>
                <w:szCs w:val="21"/>
              </w:rPr>
            </w:pPr>
            <w:r>
              <w:rPr>
                <w:rFonts w:hint="eastAsia"/>
                <w:sz w:val="21"/>
                <w:szCs w:val="21"/>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969" w:type="dxa"/>
            <w:vMerge w:val="continue"/>
          </w:tcPr>
          <w:p>
            <w:pPr>
              <w:rPr>
                <w:szCs w:val="21"/>
              </w:rPr>
            </w:pPr>
          </w:p>
        </w:tc>
        <w:tc>
          <w:tcPr>
            <w:tcW w:w="1290" w:type="dxa"/>
            <w:vMerge w:val="continue"/>
          </w:tcPr>
          <w:p>
            <w:pPr>
              <w:rPr>
                <w:szCs w:val="21"/>
              </w:rPr>
            </w:pPr>
          </w:p>
        </w:tc>
        <w:tc>
          <w:tcPr>
            <w:tcW w:w="2044" w:type="dxa"/>
          </w:tcPr>
          <w:p>
            <w:pPr>
              <w:pStyle w:val="48"/>
              <w:spacing w:before="1"/>
              <w:jc w:val="both"/>
              <w:rPr>
                <w:sz w:val="21"/>
                <w:szCs w:val="21"/>
              </w:rPr>
            </w:pPr>
            <w:r>
              <w:rPr>
                <w:rFonts w:hint="eastAsia"/>
                <w:sz w:val="21"/>
                <w:szCs w:val="21"/>
              </w:rPr>
              <w:t>法定代表人身份证明及授权委托书</w:t>
            </w:r>
          </w:p>
        </w:tc>
        <w:tc>
          <w:tcPr>
            <w:tcW w:w="5937" w:type="dxa"/>
          </w:tcPr>
          <w:p>
            <w:pPr>
              <w:pStyle w:val="48"/>
              <w:spacing w:before="1"/>
              <w:jc w:val="both"/>
              <w:rPr>
                <w:sz w:val="21"/>
                <w:szCs w:val="21"/>
              </w:rPr>
            </w:pPr>
            <w:r>
              <w:rPr>
                <w:rFonts w:hint="eastAsia"/>
                <w:sz w:val="21"/>
                <w:szCs w:val="21"/>
              </w:rPr>
              <w:t>法定代表人身份证明及授权委托书有效，且符合招标文 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969" w:type="dxa"/>
            <w:vMerge w:val="continue"/>
          </w:tcPr>
          <w:p>
            <w:pPr>
              <w:rPr>
                <w:szCs w:val="21"/>
              </w:rPr>
            </w:pPr>
          </w:p>
        </w:tc>
        <w:tc>
          <w:tcPr>
            <w:tcW w:w="1290" w:type="dxa"/>
            <w:vMerge w:val="continue"/>
          </w:tcPr>
          <w:p>
            <w:pPr>
              <w:rPr>
                <w:szCs w:val="21"/>
              </w:rPr>
            </w:pPr>
          </w:p>
        </w:tc>
        <w:tc>
          <w:tcPr>
            <w:tcW w:w="2044" w:type="dxa"/>
            <w:vMerge w:val="restart"/>
          </w:tcPr>
          <w:p>
            <w:pPr>
              <w:pStyle w:val="48"/>
              <w:rPr>
                <w:b/>
                <w:sz w:val="21"/>
                <w:szCs w:val="21"/>
              </w:rPr>
            </w:pPr>
          </w:p>
          <w:p>
            <w:pPr>
              <w:pStyle w:val="48"/>
              <w:rPr>
                <w:b/>
                <w:sz w:val="21"/>
                <w:szCs w:val="21"/>
              </w:rPr>
            </w:pPr>
          </w:p>
          <w:p>
            <w:pPr>
              <w:pStyle w:val="48"/>
              <w:rPr>
                <w:b/>
                <w:sz w:val="21"/>
                <w:szCs w:val="21"/>
              </w:rPr>
            </w:pPr>
          </w:p>
          <w:p>
            <w:pPr>
              <w:pStyle w:val="48"/>
              <w:rPr>
                <w:b/>
                <w:sz w:val="21"/>
                <w:szCs w:val="21"/>
              </w:rPr>
            </w:pPr>
          </w:p>
          <w:p>
            <w:pPr>
              <w:pStyle w:val="48"/>
              <w:rPr>
                <w:b/>
                <w:sz w:val="21"/>
                <w:szCs w:val="21"/>
              </w:rPr>
            </w:pPr>
          </w:p>
          <w:p>
            <w:pPr>
              <w:pStyle w:val="48"/>
              <w:spacing w:before="7"/>
              <w:rPr>
                <w:b/>
                <w:sz w:val="21"/>
                <w:szCs w:val="21"/>
              </w:rPr>
            </w:pPr>
          </w:p>
          <w:p>
            <w:pPr>
              <w:pStyle w:val="48"/>
              <w:rPr>
                <w:sz w:val="21"/>
                <w:szCs w:val="21"/>
              </w:rPr>
            </w:pPr>
            <w:r>
              <w:rPr>
                <w:rFonts w:hint="eastAsia"/>
                <w:sz w:val="21"/>
                <w:szCs w:val="21"/>
              </w:rPr>
              <w:t>其他</w:t>
            </w:r>
          </w:p>
        </w:tc>
        <w:tc>
          <w:tcPr>
            <w:tcW w:w="5937" w:type="dxa"/>
            <w:vAlign w:val="center"/>
          </w:tcPr>
          <w:p>
            <w:pPr>
              <w:pStyle w:val="48"/>
              <w:spacing w:before="1"/>
              <w:jc w:val="both"/>
              <w:rPr>
                <w:sz w:val="21"/>
                <w:szCs w:val="21"/>
              </w:rPr>
            </w:pPr>
            <w:r>
              <w:rPr>
                <w:rFonts w:hint="eastAsia"/>
                <w:sz w:val="21"/>
                <w:szCs w:val="21"/>
              </w:rPr>
              <w:t>招标文件中规定被视为无效投标的其它条款的。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trPr>
        <w:tc>
          <w:tcPr>
            <w:tcW w:w="969" w:type="dxa"/>
            <w:vMerge w:val="continue"/>
          </w:tcPr>
          <w:p>
            <w:pPr>
              <w:rPr>
                <w:szCs w:val="21"/>
              </w:rPr>
            </w:pPr>
          </w:p>
        </w:tc>
        <w:tc>
          <w:tcPr>
            <w:tcW w:w="1290" w:type="dxa"/>
            <w:vMerge w:val="continue"/>
          </w:tcPr>
          <w:p>
            <w:pPr>
              <w:rPr>
                <w:szCs w:val="21"/>
              </w:rPr>
            </w:pPr>
          </w:p>
        </w:tc>
        <w:tc>
          <w:tcPr>
            <w:tcW w:w="2044" w:type="dxa"/>
            <w:vMerge w:val="continue"/>
          </w:tcPr>
          <w:p>
            <w:pPr>
              <w:rPr>
                <w:szCs w:val="21"/>
              </w:rPr>
            </w:pPr>
          </w:p>
        </w:tc>
        <w:tc>
          <w:tcPr>
            <w:tcW w:w="5937" w:type="dxa"/>
            <w:vAlign w:val="center"/>
          </w:tcPr>
          <w:p>
            <w:pPr>
              <w:pStyle w:val="48"/>
              <w:spacing w:before="1"/>
              <w:jc w:val="both"/>
              <w:rPr>
                <w:sz w:val="21"/>
                <w:szCs w:val="21"/>
              </w:rPr>
            </w:pPr>
            <w:r>
              <w:rPr>
                <w:rFonts w:hint="eastAsia"/>
                <w:sz w:val="21"/>
                <w:szCs w:val="21"/>
              </w:rPr>
              <w:t>符合法律、法规和投标文件中规定的其他实质性要求的。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0" w:hRule="atLeast"/>
        </w:trPr>
        <w:tc>
          <w:tcPr>
            <w:tcW w:w="969" w:type="dxa"/>
            <w:vMerge w:val="continue"/>
          </w:tcPr>
          <w:p>
            <w:pPr>
              <w:rPr>
                <w:szCs w:val="21"/>
              </w:rPr>
            </w:pPr>
          </w:p>
        </w:tc>
        <w:tc>
          <w:tcPr>
            <w:tcW w:w="1290" w:type="dxa"/>
            <w:vMerge w:val="continue"/>
          </w:tcPr>
          <w:p>
            <w:pPr>
              <w:rPr>
                <w:szCs w:val="21"/>
              </w:rPr>
            </w:pPr>
          </w:p>
        </w:tc>
        <w:tc>
          <w:tcPr>
            <w:tcW w:w="2044" w:type="dxa"/>
            <w:vMerge w:val="continue"/>
          </w:tcPr>
          <w:p>
            <w:pPr>
              <w:rPr>
                <w:szCs w:val="21"/>
              </w:rPr>
            </w:pPr>
          </w:p>
        </w:tc>
        <w:tc>
          <w:tcPr>
            <w:tcW w:w="5937" w:type="dxa"/>
          </w:tcPr>
          <w:p>
            <w:pPr>
              <w:pStyle w:val="48"/>
              <w:spacing w:before="152"/>
              <w:rPr>
                <w:sz w:val="21"/>
                <w:szCs w:val="21"/>
              </w:rPr>
            </w:pPr>
            <w:r>
              <w:rPr>
                <w:rFonts w:hint="eastAsia"/>
                <w:sz w:val="21"/>
                <w:szCs w:val="21"/>
              </w:rPr>
              <w:t>投标人有下列任一情形视为无效投标：</w:t>
            </w:r>
          </w:p>
          <w:p>
            <w:pPr>
              <w:pStyle w:val="48"/>
              <w:numPr>
                <w:ilvl w:val="0"/>
                <w:numId w:val="52"/>
              </w:numPr>
              <w:spacing w:before="1"/>
              <w:jc w:val="both"/>
              <w:rPr>
                <w:sz w:val="21"/>
                <w:szCs w:val="21"/>
              </w:rPr>
            </w:pPr>
            <w:r>
              <w:rPr>
                <w:rFonts w:hint="eastAsia"/>
                <w:sz w:val="21"/>
                <w:szCs w:val="21"/>
              </w:rPr>
              <w:t>不同投标人的投标文件由同一单位或者个人编制；</w:t>
            </w:r>
          </w:p>
          <w:p>
            <w:pPr>
              <w:pStyle w:val="48"/>
              <w:numPr>
                <w:ilvl w:val="0"/>
                <w:numId w:val="52"/>
              </w:numPr>
              <w:spacing w:before="1"/>
              <w:jc w:val="both"/>
              <w:rPr>
                <w:sz w:val="21"/>
                <w:szCs w:val="21"/>
              </w:rPr>
            </w:pPr>
            <w:r>
              <w:rPr>
                <w:rFonts w:hint="eastAsia"/>
                <w:sz w:val="21"/>
                <w:szCs w:val="21"/>
              </w:rPr>
              <w:t>不同投标人委托同一单位或者个人办理投标事宜；</w:t>
            </w:r>
          </w:p>
          <w:p>
            <w:pPr>
              <w:pStyle w:val="48"/>
              <w:numPr>
                <w:ilvl w:val="0"/>
                <w:numId w:val="52"/>
              </w:numPr>
              <w:spacing w:before="1"/>
              <w:jc w:val="both"/>
              <w:rPr>
                <w:sz w:val="21"/>
                <w:szCs w:val="21"/>
              </w:rPr>
            </w:pPr>
            <w:r>
              <w:rPr>
                <w:rFonts w:hint="eastAsia"/>
                <w:sz w:val="21"/>
                <w:szCs w:val="21"/>
              </w:rPr>
              <w:t>不同投标人的投标文件载明的项目管理成员或者联系人员为同一人；</w:t>
            </w:r>
          </w:p>
          <w:p>
            <w:pPr>
              <w:pStyle w:val="48"/>
              <w:numPr>
                <w:ilvl w:val="0"/>
                <w:numId w:val="52"/>
              </w:numPr>
              <w:spacing w:before="1"/>
              <w:jc w:val="both"/>
              <w:rPr>
                <w:sz w:val="21"/>
                <w:szCs w:val="21"/>
              </w:rPr>
            </w:pPr>
            <w:r>
              <w:rPr>
                <w:rFonts w:hint="eastAsia"/>
                <w:sz w:val="21"/>
                <w:szCs w:val="21"/>
              </w:rPr>
              <w:t>不同投标人的投标文件异常一致或者投标报价呈规律性差异；</w:t>
            </w:r>
          </w:p>
          <w:p>
            <w:pPr>
              <w:pStyle w:val="48"/>
              <w:numPr>
                <w:ilvl w:val="0"/>
                <w:numId w:val="52"/>
              </w:numPr>
              <w:spacing w:before="1"/>
              <w:jc w:val="both"/>
              <w:rPr>
                <w:sz w:val="21"/>
                <w:szCs w:val="21"/>
              </w:rPr>
            </w:pPr>
            <w:r>
              <w:rPr>
                <w:rFonts w:hint="eastAsia"/>
                <w:sz w:val="21"/>
                <w:szCs w:val="21"/>
              </w:rPr>
              <w:t>不同投标人的投标文件相互混装。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969" w:type="dxa"/>
            <w:vMerge w:val="restart"/>
          </w:tcPr>
          <w:p>
            <w:pPr>
              <w:pStyle w:val="48"/>
              <w:spacing w:before="5"/>
              <w:rPr>
                <w:b/>
                <w:sz w:val="21"/>
                <w:szCs w:val="21"/>
              </w:rPr>
            </w:pPr>
          </w:p>
          <w:p>
            <w:pPr>
              <w:pStyle w:val="48"/>
              <w:jc w:val="center"/>
              <w:rPr>
                <w:sz w:val="21"/>
                <w:szCs w:val="21"/>
              </w:rPr>
            </w:pPr>
            <w:r>
              <w:rPr>
                <w:rFonts w:hint="eastAsia"/>
                <w:w w:val="99"/>
                <w:sz w:val="21"/>
                <w:szCs w:val="21"/>
              </w:rPr>
              <w:t>2</w:t>
            </w:r>
          </w:p>
        </w:tc>
        <w:tc>
          <w:tcPr>
            <w:tcW w:w="1290" w:type="dxa"/>
            <w:vMerge w:val="restart"/>
          </w:tcPr>
          <w:p>
            <w:pPr>
              <w:pStyle w:val="48"/>
              <w:spacing w:before="18"/>
              <w:rPr>
                <w:b/>
                <w:sz w:val="21"/>
                <w:szCs w:val="21"/>
              </w:rPr>
            </w:pPr>
          </w:p>
          <w:p>
            <w:pPr>
              <w:pStyle w:val="48"/>
              <w:spacing w:line="374" w:lineRule="auto"/>
              <w:rPr>
                <w:sz w:val="21"/>
                <w:szCs w:val="21"/>
              </w:rPr>
            </w:pPr>
            <w:r>
              <w:rPr>
                <w:rFonts w:hint="eastAsia"/>
                <w:sz w:val="21"/>
                <w:szCs w:val="21"/>
              </w:rPr>
              <w:t>完整性审查</w:t>
            </w:r>
          </w:p>
        </w:tc>
        <w:tc>
          <w:tcPr>
            <w:tcW w:w="2044" w:type="dxa"/>
          </w:tcPr>
          <w:p>
            <w:pPr>
              <w:pStyle w:val="48"/>
              <w:spacing w:before="204"/>
              <w:rPr>
                <w:sz w:val="21"/>
                <w:szCs w:val="21"/>
              </w:rPr>
            </w:pPr>
            <w:r>
              <w:rPr>
                <w:rFonts w:hint="eastAsia"/>
                <w:sz w:val="21"/>
                <w:szCs w:val="21"/>
              </w:rPr>
              <w:t>投标文件份数</w:t>
            </w:r>
          </w:p>
        </w:tc>
        <w:tc>
          <w:tcPr>
            <w:tcW w:w="5937" w:type="dxa"/>
          </w:tcPr>
          <w:p>
            <w:pPr>
              <w:pStyle w:val="48"/>
              <w:spacing w:before="204"/>
              <w:rPr>
                <w:sz w:val="21"/>
                <w:szCs w:val="21"/>
              </w:rPr>
            </w:pPr>
            <w:r>
              <w:rPr>
                <w:rFonts w:hint="eastAsia"/>
                <w:sz w:val="21"/>
                <w:szCs w:val="21"/>
              </w:rPr>
              <w:t>投标文件正本、副本及数量符合招标文件要求。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rPr>
        <w:tc>
          <w:tcPr>
            <w:tcW w:w="969" w:type="dxa"/>
            <w:vMerge w:val="continue"/>
          </w:tcPr>
          <w:p>
            <w:pPr>
              <w:rPr>
                <w:szCs w:val="21"/>
              </w:rPr>
            </w:pPr>
          </w:p>
        </w:tc>
        <w:tc>
          <w:tcPr>
            <w:tcW w:w="1290" w:type="dxa"/>
            <w:vMerge w:val="continue"/>
          </w:tcPr>
          <w:p>
            <w:pPr>
              <w:rPr>
                <w:szCs w:val="21"/>
              </w:rPr>
            </w:pPr>
          </w:p>
        </w:tc>
        <w:tc>
          <w:tcPr>
            <w:tcW w:w="2044" w:type="dxa"/>
          </w:tcPr>
          <w:p>
            <w:pPr>
              <w:pStyle w:val="48"/>
              <w:spacing w:before="8"/>
              <w:rPr>
                <w:b/>
                <w:sz w:val="21"/>
                <w:szCs w:val="21"/>
              </w:rPr>
            </w:pPr>
          </w:p>
          <w:p>
            <w:pPr>
              <w:pStyle w:val="48"/>
              <w:rPr>
                <w:sz w:val="21"/>
                <w:szCs w:val="21"/>
              </w:rPr>
            </w:pPr>
            <w:r>
              <w:rPr>
                <w:rFonts w:hint="eastAsia"/>
                <w:sz w:val="21"/>
                <w:szCs w:val="21"/>
              </w:rPr>
              <w:t>投标文件内容</w:t>
            </w:r>
          </w:p>
        </w:tc>
        <w:tc>
          <w:tcPr>
            <w:tcW w:w="5937" w:type="dxa"/>
          </w:tcPr>
          <w:p>
            <w:pPr>
              <w:pStyle w:val="48"/>
              <w:spacing w:before="8"/>
              <w:rPr>
                <w:b/>
                <w:sz w:val="21"/>
                <w:szCs w:val="21"/>
              </w:rPr>
            </w:pPr>
          </w:p>
          <w:p>
            <w:pPr>
              <w:pStyle w:val="48"/>
              <w:rPr>
                <w:sz w:val="21"/>
                <w:szCs w:val="21"/>
              </w:rPr>
            </w:pPr>
            <w:r>
              <w:rPr>
                <w:rFonts w:hint="eastAsia"/>
                <w:sz w:val="21"/>
                <w:szCs w:val="21"/>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969" w:type="dxa"/>
            <w:vMerge w:val="restart"/>
          </w:tcPr>
          <w:p>
            <w:pPr>
              <w:pStyle w:val="48"/>
              <w:rPr>
                <w:b/>
                <w:sz w:val="21"/>
                <w:szCs w:val="21"/>
              </w:rPr>
            </w:pPr>
          </w:p>
          <w:p>
            <w:pPr>
              <w:pStyle w:val="48"/>
              <w:rPr>
                <w:b/>
                <w:sz w:val="21"/>
                <w:szCs w:val="21"/>
              </w:rPr>
            </w:pPr>
          </w:p>
          <w:p>
            <w:pPr>
              <w:pStyle w:val="48"/>
              <w:spacing w:before="14"/>
              <w:rPr>
                <w:b/>
                <w:sz w:val="21"/>
                <w:szCs w:val="21"/>
              </w:rPr>
            </w:pPr>
          </w:p>
          <w:p>
            <w:pPr>
              <w:pStyle w:val="48"/>
              <w:jc w:val="center"/>
              <w:rPr>
                <w:sz w:val="21"/>
                <w:szCs w:val="21"/>
              </w:rPr>
            </w:pPr>
            <w:r>
              <w:rPr>
                <w:rFonts w:hint="eastAsia"/>
                <w:w w:val="99"/>
                <w:sz w:val="21"/>
                <w:szCs w:val="21"/>
              </w:rPr>
              <w:t>3</w:t>
            </w:r>
          </w:p>
        </w:tc>
        <w:tc>
          <w:tcPr>
            <w:tcW w:w="1290" w:type="dxa"/>
            <w:vMerge w:val="restart"/>
          </w:tcPr>
          <w:p>
            <w:pPr>
              <w:pStyle w:val="48"/>
              <w:rPr>
                <w:b/>
                <w:sz w:val="21"/>
                <w:szCs w:val="21"/>
              </w:rPr>
            </w:pPr>
          </w:p>
          <w:p>
            <w:pPr>
              <w:pStyle w:val="48"/>
              <w:spacing w:before="18"/>
              <w:rPr>
                <w:b/>
                <w:sz w:val="21"/>
                <w:szCs w:val="21"/>
              </w:rPr>
            </w:pPr>
          </w:p>
          <w:p>
            <w:pPr>
              <w:pStyle w:val="48"/>
              <w:spacing w:line="374" w:lineRule="auto"/>
              <w:jc w:val="both"/>
              <w:rPr>
                <w:sz w:val="21"/>
                <w:szCs w:val="21"/>
              </w:rPr>
            </w:pPr>
            <w:r>
              <w:rPr>
                <w:rFonts w:hint="eastAsia"/>
                <w:sz w:val="21"/>
                <w:szCs w:val="21"/>
              </w:rPr>
              <w:t>对招标文件的响应程度审查</w:t>
            </w:r>
          </w:p>
        </w:tc>
        <w:tc>
          <w:tcPr>
            <w:tcW w:w="2044" w:type="dxa"/>
          </w:tcPr>
          <w:p>
            <w:pPr>
              <w:pStyle w:val="48"/>
              <w:spacing w:before="125"/>
              <w:rPr>
                <w:sz w:val="21"/>
                <w:szCs w:val="21"/>
              </w:rPr>
            </w:pPr>
            <w:r>
              <w:rPr>
                <w:rFonts w:hint="eastAsia"/>
                <w:sz w:val="21"/>
                <w:szCs w:val="21"/>
              </w:rPr>
              <w:t>采购内容</w:t>
            </w:r>
          </w:p>
        </w:tc>
        <w:tc>
          <w:tcPr>
            <w:tcW w:w="5937" w:type="dxa"/>
          </w:tcPr>
          <w:p>
            <w:pPr>
              <w:pStyle w:val="48"/>
              <w:spacing w:before="125"/>
              <w:rPr>
                <w:sz w:val="21"/>
                <w:szCs w:val="21"/>
              </w:rPr>
            </w:pPr>
            <w:r>
              <w:rPr>
                <w:rFonts w:hint="eastAsia"/>
                <w:sz w:val="21"/>
                <w:szCs w:val="21"/>
              </w:rPr>
              <w:t>符合招标文件规定的要求。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969" w:type="dxa"/>
            <w:vMerge w:val="continue"/>
          </w:tcPr>
          <w:p>
            <w:pPr>
              <w:rPr>
                <w:szCs w:val="21"/>
              </w:rPr>
            </w:pPr>
          </w:p>
        </w:tc>
        <w:tc>
          <w:tcPr>
            <w:tcW w:w="1290" w:type="dxa"/>
            <w:vMerge w:val="continue"/>
          </w:tcPr>
          <w:p>
            <w:pPr>
              <w:rPr>
                <w:szCs w:val="21"/>
              </w:rPr>
            </w:pPr>
          </w:p>
        </w:tc>
        <w:tc>
          <w:tcPr>
            <w:tcW w:w="2044" w:type="dxa"/>
          </w:tcPr>
          <w:p>
            <w:pPr>
              <w:pStyle w:val="48"/>
              <w:spacing w:before="17"/>
              <w:rPr>
                <w:b/>
                <w:sz w:val="21"/>
                <w:szCs w:val="21"/>
              </w:rPr>
            </w:pPr>
          </w:p>
          <w:p>
            <w:pPr>
              <w:pStyle w:val="48"/>
              <w:spacing w:before="1"/>
              <w:rPr>
                <w:sz w:val="21"/>
                <w:szCs w:val="21"/>
              </w:rPr>
            </w:pPr>
            <w:r>
              <w:rPr>
                <w:rFonts w:hint="eastAsia"/>
                <w:sz w:val="21"/>
                <w:szCs w:val="21"/>
              </w:rPr>
              <w:t>技术参数要求</w:t>
            </w:r>
          </w:p>
        </w:tc>
        <w:tc>
          <w:tcPr>
            <w:tcW w:w="5937" w:type="dxa"/>
          </w:tcPr>
          <w:p>
            <w:pPr>
              <w:pStyle w:val="48"/>
              <w:spacing w:before="17"/>
              <w:rPr>
                <w:b/>
                <w:sz w:val="21"/>
                <w:szCs w:val="21"/>
              </w:rPr>
            </w:pPr>
          </w:p>
          <w:p>
            <w:pPr>
              <w:pStyle w:val="48"/>
              <w:spacing w:before="1"/>
              <w:rPr>
                <w:sz w:val="21"/>
                <w:szCs w:val="21"/>
              </w:rPr>
            </w:pPr>
            <w:r>
              <w:rPr>
                <w:rFonts w:hint="eastAsia"/>
                <w:sz w:val="21"/>
                <w:szCs w:val="21"/>
              </w:rPr>
              <w:t>满足招标文件规定的要求。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969" w:type="dxa"/>
            <w:vMerge w:val="continue"/>
          </w:tcPr>
          <w:p>
            <w:pPr>
              <w:rPr>
                <w:szCs w:val="21"/>
              </w:rPr>
            </w:pPr>
          </w:p>
        </w:tc>
        <w:tc>
          <w:tcPr>
            <w:tcW w:w="1290" w:type="dxa"/>
            <w:vMerge w:val="continue"/>
          </w:tcPr>
          <w:p>
            <w:pPr>
              <w:rPr>
                <w:szCs w:val="21"/>
              </w:rPr>
            </w:pPr>
          </w:p>
        </w:tc>
        <w:tc>
          <w:tcPr>
            <w:tcW w:w="2044" w:type="dxa"/>
          </w:tcPr>
          <w:p>
            <w:pPr>
              <w:pStyle w:val="48"/>
              <w:spacing w:line="420" w:lineRule="exact"/>
              <w:rPr>
                <w:sz w:val="21"/>
                <w:szCs w:val="21"/>
              </w:rPr>
            </w:pPr>
            <w:r>
              <w:rPr>
                <w:rFonts w:hint="eastAsia"/>
                <w:sz w:val="21"/>
                <w:szCs w:val="21"/>
              </w:rPr>
              <w:t>招标文件实质性响应要求</w:t>
            </w:r>
          </w:p>
        </w:tc>
        <w:tc>
          <w:tcPr>
            <w:tcW w:w="5937" w:type="dxa"/>
          </w:tcPr>
          <w:p>
            <w:pPr>
              <w:pStyle w:val="48"/>
              <w:spacing w:before="3"/>
              <w:rPr>
                <w:b/>
                <w:sz w:val="21"/>
                <w:szCs w:val="21"/>
              </w:rPr>
            </w:pPr>
          </w:p>
          <w:p>
            <w:pPr>
              <w:pStyle w:val="48"/>
              <w:rPr>
                <w:sz w:val="21"/>
                <w:szCs w:val="21"/>
              </w:rPr>
            </w:pPr>
            <w:r>
              <w:rPr>
                <w:rFonts w:hint="eastAsia"/>
                <w:sz w:val="21"/>
                <w:szCs w:val="21"/>
              </w:rPr>
              <w:t>投标文件满足招标文件商务、技术等实质性要求；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969" w:type="dxa"/>
            <w:vMerge w:val="continue"/>
          </w:tcPr>
          <w:p>
            <w:pPr>
              <w:rPr>
                <w:szCs w:val="21"/>
              </w:rPr>
            </w:pPr>
          </w:p>
        </w:tc>
        <w:tc>
          <w:tcPr>
            <w:tcW w:w="1290" w:type="dxa"/>
            <w:vMerge w:val="continue"/>
          </w:tcPr>
          <w:p>
            <w:pPr>
              <w:rPr>
                <w:szCs w:val="21"/>
              </w:rPr>
            </w:pPr>
          </w:p>
        </w:tc>
        <w:tc>
          <w:tcPr>
            <w:tcW w:w="2044" w:type="dxa"/>
          </w:tcPr>
          <w:p>
            <w:pPr>
              <w:pStyle w:val="48"/>
              <w:tabs>
                <w:tab w:val="left" w:pos="631"/>
              </w:tabs>
              <w:spacing w:before="207"/>
              <w:rPr>
                <w:sz w:val="21"/>
                <w:szCs w:val="21"/>
              </w:rPr>
            </w:pPr>
            <w:r>
              <w:rPr>
                <w:rFonts w:hint="eastAsia"/>
                <w:sz w:val="21"/>
                <w:szCs w:val="21"/>
              </w:rPr>
              <w:t>其</w:t>
            </w:r>
            <w:r>
              <w:rPr>
                <w:rFonts w:hint="eastAsia"/>
                <w:sz w:val="21"/>
                <w:szCs w:val="21"/>
              </w:rPr>
              <w:tab/>
            </w:r>
            <w:r>
              <w:rPr>
                <w:rFonts w:hint="eastAsia"/>
                <w:sz w:val="21"/>
                <w:szCs w:val="21"/>
              </w:rPr>
              <w:t>他</w:t>
            </w:r>
          </w:p>
        </w:tc>
        <w:tc>
          <w:tcPr>
            <w:tcW w:w="5937" w:type="dxa"/>
          </w:tcPr>
          <w:p>
            <w:pPr>
              <w:pStyle w:val="48"/>
              <w:spacing w:before="207"/>
              <w:rPr>
                <w:sz w:val="21"/>
                <w:szCs w:val="21"/>
              </w:rPr>
            </w:pPr>
            <w:r>
              <w:rPr>
                <w:rFonts w:hint="eastAsia"/>
                <w:sz w:val="21"/>
                <w:szCs w:val="21"/>
              </w:rPr>
              <w:t>见招标文件其它规定无效响应和废标条款的规定。</w:t>
            </w:r>
          </w:p>
        </w:tc>
      </w:tr>
    </w:tbl>
    <w:p>
      <w:pPr>
        <w:widowControl/>
        <w:rPr>
          <w:b/>
          <w:sz w:val="24"/>
        </w:rPr>
      </w:pPr>
    </w:p>
    <w:p>
      <w:pPr>
        <w:widowControl/>
        <w:rPr>
          <w:b/>
          <w:sz w:val="24"/>
        </w:rPr>
      </w:pPr>
      <w:r>
        <w:rPr>
          <w:rFonts w:hint="eastAsia"/>
          <w:b/>
          <w:sz w:val="24"/>
        </w:rPr>
        <w:br w:type="page"/>
      </w:r>
    </w:p>
    <w:p>
      <w:pPr>
        <w:spacing w:line="410" w:lineRule="exact"/>
        <w:ind w:left="777"/>
        <w:rPr>
          <w:b/>
          <w:sz w:val="24"/>
        </w:rPr>
      </w:pPr>
      <w:r>
        <w:rPr>
          <w:rFonts w:hint="eastAsia"/>
          <w:b/>
          <w:sz w:val="24"/>
        </w:rPr>
        <w:t>四、评分标准细则</w:t>
      </w:r>
    </w:p>
    <w:p/>
    <w:tbl>
      <w:tblPr>
        <w:tblStyle w:val="21"/>
        <w:tblpPr w:leftFromText="180" w:rightFromText="180" w:vertAnchor="text" w:tblpXSpec="center" w:tblpY="1"/>
        <w:tblOverlap w:val="never"/>
        <w:tblW w:w="9746" w:type="dxa"/>
        <w:tblInd w:w="0" w:type="dxa"/>
        <w:tblLayout w:type="fixed"/>
        <w:tblCellMar>
          <w:top w:w="0" w:type="dxa"/>
          <w:left w:w="108" w:type="dxa"/>
          <w:bottom w:w="0" w:type="dxa"/>
          <w:right w:w="108" w:type="dxa"/>
        </w:tblCellMar>
      </w:tblPr>
      <w:tblGrid>
        <w:gridCol w:w="842"/>
        <w:gridCol w:w="744"/>
        <w:gridCol w:w="1076"/>
        <w:gridCol w:w="7084"/>
      </w:tblGrid>
      <w:tr>
        <w:tblPrEx>
          <w:tblCellMar>
            <w:top w:w="0" w:type="dxa"/>
            <w:left w:w="108" w:type="dxa"/>
            <w:bottom w:w="0" w:type="dxa"/>
            <w:right w:w="108" w:type="dxa"/>
          </w:tblCellMar>
        </w:tblPrEx>
        <w:trPr>
          <w:trHeight w:val="643" w:hRule="atLeast"/>
          <w:tblHeader/>
        </w:trPr>
        <w:tc>
          <w:tcPr>
            <w:tcW w:w="84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textAlignment w:val="baseline"/>
              <w:rPr>
                <w:b/>
                <w:sz w:val="20"/>
                <w:szCs w:val="21"/>
              </w:rPr>
            </w:pPr>
            <w:r>
              <w:rPr>
                <w:rFonts w:hint="eastAsia"/>
                <w:b/>
                <w:szCs w:val="21"/>
              </w:rPr>
              <w:t>评标项目</w:t>
            </w:r>
          </w:p>
        </w:tc>
        <w:tc>
          <w:tcPr>
            <w:tcW w:w="744" w:type="dxa"/>
            <w:tcBorders>
              <w:top w:val="single" w:color="auto" w:sz="4" w:space="0"/>
              <w:left w:val="nil"/>
              <w:bottom w:val="single" w:color="auto" w:sz="4" w:space="0"/>
              <w:right w:val="single" w:color="auto" w:sz="4" w:space="0"/>
            </w:tcBorders>
            <w:vAlign w:val="center"/>
          </w:tcPr>
          <w:p>
            <w:pPr>
              <w:spacing w:line="276" w:lineRule="auto"/>
              <w:jc w:val="center"/>
              <w:textAlignment w:val="baseline"/>
              <w:rPr>
                <w:b/>
                <w:sz w:val="20"/>
                <w:szCs w:val="21"/>
              </w:rPr>
            </w:pPr>
            <w:r>
              <w:rPr>
                <w:rFonts w:hint="eastAsia"/>
                <w:b/>
                <w:szCs w:val="21"/>
              </w:rPr>
              <w:t>分值</w:t>
            </w:r>
          </w:p>
        </w:tc>
        <w:tc>
          <w:tcPr>
            <w:tcW w:w="8160" w:type="dxa"/>
            <w:gridSpan w:val="2"/>
            <w:tcBorders>
              <w:top w:val="single" w:color="auto" w:sz="4" w:space="0"/>
              <w:left w:val="nil"/>
              <w:bottom w:val="single" w:color="auto" w:sz="4" w:space="0"/>
              <w:right w:val="single" w:color="auto" w:sz="4" w:space="0"/>
            </w:tcBorders>
            <w:vAlign w:val="center"/>
          </w:tcPr>
          <w:p>
            <w:pPr>
              <w:spacing w:line="276" w:lineRule="auto"/>
              <w:jc w:val="center"/>
              <w:textAlignment w:val="baseline"/>
              <w:rPr>
                <w:b/>
                <w:sz w:val="20"/>
                <w:szCs w:val="21"/>
              </w:rPr>
            </w:pPr>
            <w:r>
              <w:rPr>
                <w:rFonts w:hint="eastAsia"/>
                <w:b/>
                <w:szCs w:val="21"/>
              </w:rPr>
              <w:t>评标分项及分值</w:t>
            </w:r>
          </w:p>
        </w:tc>
      </w:tr>
      <w:tr>
        <w:tblPrEx>
          <w:tblCellMar>
            <w:top w:w="0" w:type="dxa"/>
            <w:left w:w="108" w:type="dxa"/>
            <w:bottom w:w="0" w:type="dxa"/>
            <w:right w:w="108" w:type="dxa"/>
          </w:tblCellMar>
        </w:tblPrEx>
        <w:trPr>
          <w:trHeight w:val="1128" w:hRule="atLeast"/>
          <w:tblHeader/>
        </w:trPr>
        <w:tc>
          <w:tcPr>
            <w:tcW w:w="84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textAlignment w:val="baseline"/>
              <w:rPr>
                <w:sz w:val="20"/>
                <w:szCs w:val="21"/>
              </w:rPr>
            </w:pPr>
            <w:r>
              <w:rPr>
                <w:rFonts w:hint="eastAsia"/>
                <w:szCs w:val="21"/>
              </w:rPr>
              <w:t>报价部分</w:t>
            </w:r>
          </w:p>
        </w:tc>
        <w:tc>
          <w:tcPr>
            <w:tcW w:w="744" w:type="dxa"/>
            <w:tcBorders>
              <w:top w:val="single" w:color="auto" w:sz="4" w:space="0"/>
              <w:left w:val="nil"/>
              <w:bottom w:val="single" w:color="auto" w:sz="4" w:space="0"/>
              <w:right w:val="single" w:color="auto" w:sz="4" w:space="0"/>
            </w:tcBorders>
            <w:vAlign w:val="center"/>
          </w:tcPr>
          <w:p>
            <w:pPr>
              <w:spacing w:line="276" w:lineRule="auto"/>
              <w:jc w:val="center"/>
              <w:textAlignment w:val="baseline"/>
              <w:rPr>
                <w:sz w:val="20"/>
                <w:szCs w:val="21"/>
              </w:rPr>
            </w:pPr>
            <w:r>
              <w:rPr>
                <w:rFonts w:hint="eastAsia"/>
                <w:szCs w:val="21"/>
              </w:rPr>
              <w:t>10分</w:t>
            </w:r>
          </w:p>
        </w:tc>
        <w:tc>
          <w:tcPr>
            <w:tcW w:w="8160" w:type="dxa"/>
            <w:gridSpan w:val="2"/>
            <w:tcBorders>
              <w:top w:val="single" w:color="auto" w:sz="4" w:space="0"/>
              <w:left w:val="nil"/>
              <w:bottom w:val="single" w:color="auto" w:sz="4" w:space="0"/>
              <w:right w:val="single" w:color="auto" w:sz="4" w:space="0"/>
            </w:tcBorders>
            <w:vAlign w:val="center"/>
          </w:tcPr>
          <w:p>
            <w:pPr>
              <w:pStyle w:val="49"/>
              <w:spacing w:line="280" w:lineRule="exact"/>
              <w:jc w:val="left"/>
              <w:textAlignment w:val="baseline"/>
              <w:rPr>
                <w:rFonts w:ascii="宋体" w:hAnsi="宋体" w:eastAsia="宋体" w:cs="宋体"/>
                <w:sz w:val="21"/>
                <w:szCs w:val="21"/>
              </w:rPr>
            </w:pPr>
            <w:r>
              <w:rPr>
                <w:rFonts w:hint="eastAsia" w:ascii="宋体" w:hAnsi="宋体" w:eastAsia="宋体" w:cs="宋体"/>
                <w:sz w:val="21"/>
                <w:szCs w:val="21"/>
              </w:rPr>
              <w:t>计算投标得分时，以投标人按照招标文件规定的报价为基础。以满足招标文件要求且投标价格最低的投标报价为评标基准价。其他投标人的价格分统一按照下列公式计算：报价得分=（评标基准价/投标报价）×10%×100</w:t>
            </w:r>
          </w:p>
          <w:p>
            <w:pPr>
              <w:spacing w:line="280" w:lineRule="exact"/>
              <w:textAlignment w:val="baseline"/>
              <w:rPr>
                <w:sz w:val="20"/>
                <w:szCs w:val="21"/>
              </w:rPr>
            </w:pPr>
            <w:r>
              <w:rPr>
                <w:rFonts w:hint="eastAsia"/>
                <w:szCs w:val="21"/>
              </w:rPr>
              <w:t>计算投标报价得分时，计算精确至小数点后2位，3位四舍五入。</w:t>
            </w:r>
          </w:p>
        </w:tc>
      </w:tr>
      <w:tr>
        <w:tblPrEx>
          <w:tblCellMar>
            <w:top w:w="0" w:type="dxa"/>
            <w:left w:w="108" w:type="dxa"/>
            <w:bottom w:w="0" w:type="dxa"/>
            <w:right w:w="108" w:type="dxa"/>
          </w:tblCellMar>
        </w:tblPrEx>
        <w:trPr>
          <w:trHeight w:val="694" w:hRule="atLeast"/>
          <w:tblHeader/>
        </w:trPr>
        <w:tc>
          <w:tcPr>
            <w:tcW w:w="842" w:type="dxa"/>
            <w:vMerge w:val="restart"/>
            <w:tcBorders>
              <w:top w:val="single" w:color="auto" w:sz="4" w:space="0"/>
              <w:left w:val="single" w:color="auto" w:sz="4" w:space="0"/>
              <w:right w:val="single" w:color="auto" w:sz="4" w:space="0"/>
            </w:tcBorders>
            <w:vAlign w:val="center"/>
          </w:tcPr>
          <w:p>
            <w:pPr>
              <w:spacing w:line="520" w:lineRule="exact"/>
              <w:jc w:val="center"/>
              <w:textAlignment w:val="baseline"/>
              <w:rPr>
                <w:sz w:val="20"/>
                <w:szCs w:val="21"/>
              </w:rPr>
            </w:pPr>
            <w:r>
              <w:rPr>
                <w:rFonts w:hint="eastAsia"/>
                <w:szCs w:val="21"/>
              </w:rPr>
              <w:t>商务部分</w:t>
            </w:r>
          </w:p>
        </w:tc>
        <w:tc>
          <w:tcPr>
            <w:tcW w:w="744" w:type="dxa"/>
            <w:vMerge w:val="restart"/>
            <w:tcBorders>
              <w:top w:val="single" w:color="auto" w:sz="4" w:space="0"/>
              <w:left w:val="nil"/>
              <w:right w:val="single" w:color="auto" w:sz="4" w:space="0"/>
            </w:tcBorders>
            <w:vAlign w:val="center"/>
          </w:tcPr>
          <w:p>
            <w:pPr>
              <w:spacing w:line="520" w:lineRule="exact"/>
              <w:jc w:val="center"/>
              <w:textAlignment w:val="baseline"/>
              <w:rPr>
                <w:sz w:val="20"/>
                <w:szCs w:val="21"/>
              </w:rPr>
            </w:pPr>
            <w:r>
              <w:rPr>
                <w:rFonts w:hint="eastAsia"/>
                <w:szCs w:val="21"/>
              </w:rPr>
              <w:t>40分</w:t>
            </w:r>
          </w:p>
        </w:tc>
        <w:tc>
          <w:tcPr>
            <w:tcW w:w="1076" w:type="dxa"/>
            <w:vMerge w:val="restart"/>
            <w:tcBorders>
              <w:top w:val="single" w:color="auto" w:sz="4" w:space="0"/>
              <w:left w:val="nil"/>
              <w:right w:val="single" w:color="auto" w:sz="4" w:space="0"/>
            </w:tcBorders>
            <w:vAlign w:val="center"/>
          </w:tcPr>
          <w:p>
            <w:pPr>
              <w:spacing w:line="380" w:lineRule="exact"/>
              <w:jc w:val="center"/>
              <w:textAlignment w:val="baseline"/>
              <w:rPr>
                <w:sz w:val="20"/>
                <w:szCs w:val="21"/>
              </w:rPr>
            </w:pPr>
            <w:r>
              <w:rPr>
                <w:rFonts w:hint="eastAsia"/>
                <w:szCs w:val="21"/>
              </w:rPr>
              <w:t>综合实力</w:t>
            </w:r>
          </w:p>
          <w:p>
            <w:pPr>
              <w:spacing w:line="380" w:lineRule="exact"/>
              <w:jc w:val="center"/>
              <w:textAlignment w:val="baseline"/>
              <w:rPr>
                <w:sz w:val="20"/>
                <w:szCs w:val="21"/>
              </w:rPr>
            </w:pPr>
            <w:r>
              <w:rPr>
                <w:rFonts w:hint="eastAsia"/>
                <w:szCs w:val="21"/>
              </w:rPr>
              <w:t>（13分）</w:t>
            </w:r>
          </w:p>
        </w:tc>
        <w:tc>
          <w:tcPr>
            <w:tcW w:w="7084" w:type="dxa"/>
            <w:tcBorders>
              <w:top w:val="single" w:color="auto" w:sz="4" w:space="0"/>
              <w:left w:val="nil"/>
              <w:bottom w:val="single" w:color="auto" w:sz="4" w:space="0"/>
              <w:right w:val="single" w:color="auto" w:sz="4" w:space="0"/>
            </w:tcBorders>
            <w:vAlign w:val="center"/>
          </w:tcPr>
          <w:p>
            <w:pPr>
              <w:widowControl/>
              <w:spacing w:line="280" w:lineRule="exact"/>
              <w:textAlignment w:val="baseline"/>
              <w:rPr>
                <w:sz w:val="20"/>
                <w:szCs w:val="21"/>
              </w:rPr>
            </w:pPr>
            <w:r>
              <w:rPr>
                <w:rFonts w:hint="eastAsia"/>
                <w:szCs w:val="21"/>
              </w:rPr>
              <w:t>投标人具备测绘行政主管部门颁发的测绘乙级或以上资质证书，以及在湖北省自然资源厅备案的土地评估资质，同时具备的得3分，其他不得分（提供证书原件</w:t>
            </w:r>
            <w:r>
              <w:rPr>
                <w:rFonts w:hint="eastAsia"/>
                <w:szCs w:val="21"/>
                <w:lang w:val="en-US" w:eastAsia="zh-CN"/>
              </w:rPr>
              <w:t>的真彩扫描打印</w:t>
            </w:r>
            <w:r>
              <w:rPr>
                <w:rFonts w:hint="eastAsia"/>
                <w:szCs w:val="21"/>
              </w:rPr>
              <w:t>件加盖公章为准）。</w:t>
            </w:r>
          </w:p>
        </w:tc>
      </w:tr>
      <w:tr>
        <w:tblPrEx>
          <w:tblCellMar>
            <w:top w:w="0" w:type="dxa"/>
            <w:left w:w="108" w:type="dxa"/>
            <w:bottom w:w="0" w:type="dxa"/>
            <w:right w:w="108" w:type="dxa"/>
          </w:tblCellMar>
        </w:tblPrEx>
        <w:trPr>
          <w:trHeight w:val="595" w:hRule="atLeast"/>
          <w:tblHeader/>
        </w:trPr>
        <w:tc>
          <w:tcPr>
            <w:tcW w:w="842" w:type="dxa"/>
            <w:vMerge w:val="continue"/>
            <w:tcBorders>
              <w:left w:val="single" w:color="auto" w:sz="4" w:space="0"/>
              <w:right w:val="single" w:color="auto" w:sz="4" w:space="0"/>
            </w:tcBorders>
            <w:vAlign w:val="center"/>
          </w:tcPr>
          <w:p>
            <w:pPr>
              <w:widowControl/>
              <w:spacing w:line="520" w:lineRule="exact"/>
              <w:textAlignment w:val="baseline"/>
              <w:rPr>
                <w:sz w:val="20"/>
                <w:szCs w:val="21"/>
              </w:rPr>
            </w:pPr>
          </w:p>
        </w:tc>
        <w:tc>
          <w:tcPr>
            <w:tcW w:w="744" w:type="dxa"/>
            <w:vMerge w:val="continue"/>
            <w:tcBorders>
              <w:left w:val="nil"/>
              <w:right w:val="single" w:color="auto" w:sz="4" w:space="0"/>
            </w:tcBorders>
            <w:vAlign w:val="center"/>
          </w:tcPr>
          <w:p>
            <w:pPr>
              <w:widowControl/>
              <w:spacing w:line="520" w:lineRule="exact"/>
              <w:textAlignment w:val="baseline"/>
              <w:rPr>
                <w:sz w:val="20"/>
                <w:szCs w:val="21"/>
              </w:rPr>
            </w:pPr>
          </w:p>
        </w:tc>
        <w:tc>
          <w:tcPr>
            <w:tcW w:w="1076" w:type="dxa"/>
            <w:vMerge w:val="continue"/>
            <w:tcBorders>
              <w:left w:val="nil"/>
              <w:right w:val="single" w:color="auto" w:sz="4" w:space="0"/>
            </w:tcBorders>
            <w:vAlign w:val="center"/>
          </w:tcPr>
          <w:p>
            <w:pPr>
              <w:widowControl/>
              <w:spacing w:line="480" w:lineRule="exact"/>
              <w:textAlignment w:val="baseline"/>
              <w:rPr>
                <w:sz w:val="20"/>
                <w:szCs w:val="21"/>
              </w:rPr>
            </w:pPr>
          </w:p>
        </w:tc>
        <w:tc>
          <w:tcPr>
            <w:tcW w:w="7084" w:type="dxa"/>
            <w:tcBorders>
              <w:top w:val="single" w:color="auto" w:sz="4" w:space="0"/>
              <w:left w:val="nil"/>
              <w:bottom w:val="single" w:color="auto" w:sz="4" w:space="0"/>
              <w:right w:val="single" w:color="auto" w:sz="4" w:space="0"/>
            </w:tcBorders>
            <w:vAlign w:val="center"/>
          </w:tcPr>
          <w:p>
            <w:pPr>
              <w:widowControl/>
              <w:spacing w:line="280" w:lineRule="exact"/>
              <w:textAlignment w:val="baseline"/>
              <w:rPr>
                <w:sz w:val="20"/>
                <w:szCs w:val="21"/>
              </w:rPr>
            </w:pPr>
            <w:r>
              <w:rPr>
                <w:rFonts w:hint="eastAsia"/>
                <w:szCs w:val="21"/>
              </w:rPr>
              <w:t>投标人提供有效的ISO9001质量管理体系认证证书、IS027001信息安全管理体系认证证书，每提供一个得1分，最高得2分（提供证书原件</w:t>
            </w:r>
            <w:r>
              <w:rPr>
                <w:rFonts w:hint="eastAsia"/>
                <w:szCs w:val="21"/>
                <w:lang w:val="en-US" w:eastAsia="zh-CN"/>
              </w:rPr>
              <w:t>的真彩扫描打印</w:t>
            </w:r>
            <w:r>
              <w:rPr>
                <w:rFonts w:hint="eastAsia"/>
                <w:szCs w:val="21"/>
              </w:rPr>
              <w:t>件加盖公章为准）。</w:t>
            </w:r>
          </w:p>
        </w:tc>
      </w:tr>
      <w:tr>
        <w:tblPrEx>
          <w:tblCellMar>
            <w:top w:w="0" w:type="dxa"/>
            <w:left w:w="108" w:type="dxa"/>
            <w:bottom w:w="0" w:type="dxa"/>
            <w:right w:w="108" w:type="dxa"/>
          </w:tblCellMar>
        </w:tblPrEx>
        <w:trPr>
          <w:trHeight w:val="845" w:hRule="atLeast"/>
          <w:tblHeader/>
        </w:trPr>
        <w:tc>
          <w:tcPr>
            <w:tcW w:w="842" w:type="dxa"/>
            <w:vMerge w:val="continue"/>
            <w:tcBorders>
              <w:left w:val="single" w:color="auto" w:sz="4" w:space="0"/>
              <w:right w:val="single" w:color="auto" w:sz="4" w:space="0"/>
            </w:tcBorders>
            <w:vAlign w:val="center"/>
          </w:tcPr>
          <w:p>
            <w:pPr>
              <w:widowControl/>
              <w:spacing w:line="520" w:lineRule="exact"/>
              <w:textAlignment w:val="baseline"/>
              <w:rPr>
                <w:sz w:val="20"/>
                <w:szCs w:val="21"/>
              </w:rPr>
            </w:pPr>
          </w:p>
        </w:tc>
        <w:tc>
          <w:tcPr>
            <w:tcW w:w="744" w:type="dxa"/>
            <w:vMerge w:val="continue"/>
            <w:tcBorders>
              <w:left w:val="nil"/>
              <w:right w:val="single" w:color="auto" w:sz="4" w:space="0"/>
            </w:tcBorders>
            <w:vAlign w:val="center"/>
          </w:tcPr>
          <w:p>
            <w:pPr>
              <w:widowControl/>
              <w:spacing w:line="520" w:lineRule="exact"/>
              <w:textAlignment w:val="baseline"/>
              <w:rPr>
                <w:sz w:val="20"/>
                <w:szCs w:val="21"/>
              </w:rPr>
            </w:pPr>
          </w:p>
        </w:tc>
        <w:tc>
          <w:tcPr>
            <w:tcW w:w="1076" w:type="dxa"/>
            <w:vMerge w:val="continue"/>
            <w:tcBorders>
              <w:left w:val="nil"/>
              <w:bottom w:val="single" w:color="auto" w:sz="4" w:space="0"/>
              <w:right w:val="single" w:color="auto" w:sz="4" w:space="0"/>
            </w:tcBorders>
            <w:vAlign w:val="center"/>
          </w:tcPr>
          <w:p>
            <w:pPr>
              <w:widowControl/>
              <w:spacing w:line="480" w:lineRule="exact"/>
              <w:textAlignment w:val="baseline"/>
              <w:rPr>
                <w:sz w:val="20"/>
                <w:szCs w:val="21"/>
              </w:rPr>
            </w:pPr>
          </w:p>
        </w:tc>
        <w:tc>
          <w:tcPr>
            <w:tcW w:w="7084" w:type="dxa"/>
            <w:tcBorders>
              <w:top w:val="single" w:color="auto" w:sz="4" w:space="0"/>
              <w:left w:val="nil"/>
              <w:bottom w:val="single" w:color="auto" w:sz="4" w:space="0"/>
              <w:right w:val="single" w:color="auto" w:sz="4" w:space="0"/>
            </w:tcBorders>
            <w:vAlign w:val="center"/>
          </w:tcPr>
          <w:p>
            <w:pPr>
              <w:widowControl/>
              <w:spacing w:line="280" w:lineRule="exact"/>
              <w:textAlignment w:val="baseline"/>
              <w:rPr>
                <w:sz w:val="20"/>
                <w:szCs w:val="21"/>
              </w:rPr>
            </w:pPr>
            <w:r>
              <w:rPr>
                <w:rFonts w:hint="eastAsia"/>
                <w:szCs w:val="21"/>
              </w:rPr>
              <w:t>1.鉴于项目涉及资产清查，投标人具有国家版权局颁发的不动产类相关软件著作权登记证书每提供一个得1分，最高得分3分。</w:t>
            </w:r>
          </w:p>
          <w:p>
            <w:pPr>
              <w:widowControl/>
              <w:spacing w:line="280" w:lineRule="exact"/>
              <w:textAlignment w:val="baseline"/>
              <w:rPr>
                <w:szCs w:val="21"/>
              </w:rPr>
            </w:pPr>
            <w:r>
              <w:rPr>
                <w:rFonts w:hint="eastAsia"/>
                <w:szCs w:val="21"/>
              </w:rPr>
              <w:t>2.鉴于项目要求建立数据库，投标人具备建立数据库相应能力，提供大数据企业认定证书的得5分，其他不得分。</w:t>
            </w:r>
          </w:p>
          <w:p>
            <w:pPr>
              <w:widowControl/>
              <w:spacing w:line="280" w:lineRule="exact"/>
              <w:textAlignment w:val="baseline"/>
              <w:rPr>
                <w:sz w:val="20"/>
                <w:szCs w:val="21"/>
              </w:rPr>
            </w:pPr>
            <w:r>
              <w:rPr>
                <w:rFonts w:hint="eastAsia"/>
                <w:szCs w:val="21"/>
              </w:rPr>
              <w:t>（提供证书原件</w:t>
            </w:r>
            <w:r>
              <w:rPr>
                <w:rFonts w:hint="eastAsia"/>
                <w:szCs w:val="21"/>
                <w:lang w:val="en-US" w:eastAsia="zh-CN"/>
              </w:rPr>
              <w:t>的真彩扫描打印</w:t>
            </w:r>
            <w:r>
              <w:rPr>
                <w:rFonts w:hint="eastAsia"/>
                <w:szCs w:val="21"/>
              </w:rPr>
              <w:t>件加盖公章为准）。</w:t>
            </w:r>
          </w:p>
        </w:tc>
      </w:tr>
      <w:tr>
        <w:tblPrEx>
          <w:tblCellMar>
            <w:top w:w="0" w:type="dxa"/>
            <w:left w:w="108" w:type="dxa"/>
            <w:bottom w:w="0" w:type="dxa"/>
            <w:right w:w="108" w:type="dxa"/>
          </w:tblCellMar>
        </w:tblPrEx>
        <w:trPr>
          <w:trHeight w:val="191" w:hRule="atLeast"/>
          <w:tblHeader/>
        </w:trPr>
        <w:tc>
          <w:tcPr>
            <w:tcW w:w="842" w:type="dxa"/>
            <w:vMerge w:val="continue"/>
            <w:tcBorders>
              <w:left w:val="single" w:color="auto" w:sz="4" w:space="0"/>
              <w:right w:val="single" w:color="auto" w:sz="4" w:space="0"/>
            </w:tcBorders>
            <w:vAlign w:val="center"/>
          </w:tcPr>
          <w:p>
            <w:pPr>
              <w:widowControl/>
              <w:spacing w:line="520" w:lineRule="exact"/>
              <w:textAlignment w:val="baseline"/>
              <w:rPr>
                <w:sz w:val="20"/>
                <w:szCs w:val="21"/>
              </w:rPr>
            </w:pPr>
          </w:p>
        </w:tc>
        <w:tc>
          <w:tcPr>
            <w:tcW w:w="744" w:type="dxa"/>
            <w:vMerge w:val="continue"/>
            <w:tcBorders>
              <w:left w:val="nil"/>
              <w:right w:val="single" w:color="auto" w:sz="4" w:space="0"/>
            </w:tcBorders>
            <w:vAlign w:val="center"/>
          </w:tcPr>
          <w:p>
            <w:pPr>
              <w:widowControl/>
              <w:spacing w:line="520" w:lineRule="exact"/>
              <w:textAlignment w:val="baseline"/>
              <w:rPr>
                <w:sz w:val="20"/>
                <w:szCs w:val="21"/>
              </w:rPr>
            </w:pPr>
          </w:p>
        </w:tc>
        <w:tc>
          <w:tcPr>
            <w:tcW w:w="1076" w:type="dxa"/>
            <w:tcBorders>
              <w:top w:val="single" w:color="auto" w:sz="4" w:space="0"/>
              <w:left w:val="nil"/>
              <w:bottom w:val="single" w:color="auto" w:sz="4" w:space="0"/>
              <w:right w:val="single" w:color="auto" w:sz="4" w:space="0"/>
            </w:tcBorders>
            <w:vAlign w:val="center"/>
          </w:tcPr>
          <w:p>
            <w:pPr>
              <w:spacing w:line="340" w:lineRule="exact"/>
              <w:jc w:val="center"/>
              <w:textAlignment w:val="baseline"/>
              <w:rPr>
                <w:szCs w:val="21"/>
              </w:rPr>
            </w:pPr>
            <w:r>
              <w:rPr>
                <w:rFonts w:hint="eastAsia"/>
                <w:szCs w:val="21"/>
              </w:rPr>
              <w:t>企业荣誉  （5分）</w:t>
            </w:r>
          </w:p>
        </w:tc>
        <w:tc>
          <w:tcPr>
            <w:tcW w:w="7084" w:type="dxa"/>
            <w:tcBorders>
              <w:top w:val="single" w:color="auto" w:sz="4" w:space="0"/>
              <w:left w:val="nil"/>
              <w:bottom w:val="single" w:color="auto" w:sz="4" w:space="0"/>
              <w:right w:val="single" w:color="auto" w:sz="4" w:space="0"/>
            </w:tcBorders>
            <w:vAlign w:val="center"/>
          </w:tcPr>
          <w:p>
            <w:pPr>
              <w:widowControl/>
              <w:spacing w:line="280" w:lineRule="exact"/>
              <w:textAlignment w:val="baseline"/>
              <w:rPr>
                <w:szCs w:val="21"/>
              </w:rPr>
            </w:pPr>
            <w:r>
              <w:rPr>
                <w:rFonts w:hint="eastAsia"/>
                <w:szCs w:val="21"/>
              </w:rPr>
              <w:t>1.投标人具有创新能力通过科技型企业或高新技术企业认证得2分；</w:t>
            </w:r>
          </w:p>
          <w:p>
            <w:pPr>
              <w:widowControl/>
              <w:spacing w:line="280" w:lineRule="exact"/>
              <w:textAlignment w:val="baseline"/>
              <w:rPr>
                <w:szCs w:val="21"/>
              </w:rPr>
            </w:pPr>
            <w:r>
              <w:rPr>
                <w:rFonts w:hint="eastAsia"/>
                <w:szCs w:val="21"/>
              </w:rPr>
              <w:t>2.投标人提供有效的AAA信用等级证书得1分；</w:t>
            </w:r>
          </w:p>
          <w:p>
            <w:pPr>
              <w:widowControl/>
              <w:spacing w:line="280" w:lineRule="exact"/>
              <w:textAlignment w:val="baseline"/>
              <w:rPr>
                <w:rFonts w:hint="eastAsia"/>
                <w:szCs w:val="21"/>
              </w:rPr>
            </w:pPr>
            <w:r>
              <w:rPr>
                <w:rFonts w:hint="eastAsia"/>
                <w:szCs w:val="21"/>
              </w:rPr>
              <w:t>3.投标人入选2018-2020年土地估价报告电子化备案优秀机构得1分；</w:t>
            </w:r>
          </w:p>
          <w:p>
            <w:pPr>
              <w:widowControl/>
              <w:spacing w:line="280" w:lineRule="exact"/>
              <w:textAlignment w:val="baseline"/>
              <w:rPr>
                <w:rFonts w:hint="eastAsia"/>
                <w:szCs w:val="21"/>
              </w:rPr>
            </w:pPr>
            <w:r>
              <w:rPr>
                <w:rFonts w:hint="eastAsia"/>
                <w:szCs w:val="21"/>
              </w:rPr>
              <w:t>4.投标人20</w:t>
            </w:r>
            <w:r>
              <w:rPr>
                <w:rFonts w:hint="eastAsia"/>
                <w:szCs w:val="21"/>
                <w:lang w:val="en-US" w:eastAsia="zh-CN"/>
              </w:rPr>
              <w:t>21</w:t>
            </w:r>
            <w:r>
              <w:rPr>
                <w:rFonts w:hint="eastAsia"/>
                <w:szCs w:val="21"/>
              </w:rPr>
              <w:t>年度土地评估资信等级为A级得1分；</w:t>
            </w:r>
          </w:p>
          <w:p>
            <w:pPr>
              <w:widowControl/>
              <w:spacing w:line="280" w:lineRule="exact"/>
              <w:textAlignment w:val="baseline"/>
            </w:pPr>
            <w:r>
              <w:rPr>
                <w:rFonts w:hint="eastAsia"/>
                <w:szCs w:val="21"/>
              </w:rPr>
              <w:t>（提供以上证明材料原件</w:t>
            </w:r>
            <w:r>
              <w:rPr>
                <w:rFonts w:hint="eastAsia"/>
                <w:szCs w:val="21"/>
                <w:lang w:val="en-US" w:eastAsia="zh-CN"/>
              </w:rPr>
              <w:t>的真彩扫描打印</w:t>
            </w:r>
            <w:r>
              <w:rPr>
                <w:rFonts w:hint="eastAsia"/>
                <w:szCs w:val="21"/>
              </w:rPr>
              <w:t>件加盖公章为准）。</w:t>
            </w:r>
          </w:p>
        </w:tc>
      </w:tr>
      <w:tr>
        <w:tblPrEx>
          <w:tblCellMar>
            <w:top w:w="0" w:type="dxa"/>
            <w:left w:w="108" w:type="dxa"/>
            <w:bottom w:w="0" w:type="dxa"/>
            <w:right w:w="108" w:type="dxa"/>
          </w:tblCellMar>
        </w:tblPrEx>
        <w:trPr>
          <w:trHeight w:val="191" w:hRule="atLeast"/>
          <w:tblHeader/>
        </w:trPr>
        <w:tc>
          <w:tcPr>
            <w:tcW w:w="842" w:type="dxa"/>
            <w:vMerge w:val="continue"/>
            <w:tcBorders>
              <w:left w:val="single" w:color="auto" w:sz="4" w:space="0"/>
              <w:right w:val="single" w:color="auto" w:sz="4" w:space="0"/>
            </w:tcBorders>
            <w:vAlign w:val="center"/>
          </w:tcPr>
          <w:p>
            <w:pPr>
              <w:widowControl/>
              <w:spacing w:line="520" w:lineRule="exact"/>
              <w:textAlignment w:val="baseline"/>
              <w:rPr>
                <w:sz w:val="20"/>
                <w:szCs w:val="21"/>
              </w:rPr>
            </w:pPr>
          </w:p>
        </w:tc>
        <w:tc>
          <w:tcPr>
            <w:tcW w:w="744" w:type="dxa"/>
            <w:vMerge w:val="continue"/>
            <w:tcBorders>
              <w:left w:val="nil"/>
              <w:right w:val="single" w:color="auto" w:sz="4" w:space="0"/>
            </w:tcBorders>
            <w:vAlign w:val="center"/>
          </w:tcPr>
          <w:p>
            <w:pPr>
              <w:widowControl/>
              <w:spacing w:line="520" w:lineRule="exact"/>
              <w:textAlignment w:val="baseline"/>
              <w:rPr>
                <w:sz w:val="20"/>
                <w:szCs w:val="21"/>
              </w:rPr>
            </w:pPr>
          </w:p>
        </w:tc>
        <w:tc>
          <w:tcPr>
            <w:tcW w:w="1076" w:type="dxa"/>
            <w:tcBorders>
              <w:top w:val="single" w:color="auto" w:sz="4" w:space="0"/>
              <w:left w:val="nil"/>
              <w:bottom w:val="single" w:color="auto" w:sz="4" w:space="0"/>
              <w:right w:val="single" w:color="auto" w:sz="4" w:space="0"/>
            </w:tcBorders>
            <w:vAlign w:val="center"/>
          </w:tcPr>
          <w:p>
            <w:pPr>
              <w:spacing w:line="340" w:lineRule="exact"/>
              <w:jc w:val="center"/>
              <w:textAlignment w:val="baseline"/>
              <w:rPr>
                <w:sz w:val="20"/>
                <w:szCs w:val="21"/>
              </w:rPr>
            </w:pPr>
            <w:r>
              <w:rPr>
                <w:rFonts w:hint="eastAsia"/>
                <w:szCs w:val="21"/>
              </w:rPr>
              <w:t>工作业绩</w:t>
            </w:r>
          </w:p>
          <w:p>
            <w:pPr>
              <w:spacing w:line="340" w:lineRule="exact"/>
              <w:jc w:val="center"/>
              <w:textAlignment w:val="baseline"/>
              <w:rPr>
                <w:sz w:val="20"/>
                <w:szCs w:val="21"/>
              </w:rPr>
            </w:pPr>
            <w:r>
              <w:rPr>
                <w:rFonts w:hint="eastAsia"/>
                <w:szCs w:val="21"/>
              </w:rPr>
              <w:t>（20分）</w:t>
            </w:r>
          </w:p>
        </w:tc>
        <w:tc>
          <w:tcPr>
            <w:tcW w:w="7084" w:type="dxa"/>
            <w:tcBorders>
              <w:top w:val="single" w:color="auto" w:sz="4" w:space="0"/>
              <w:left w:val="nil"/>
              <w:bottom w:val="single" w:color="auto" w:sz="4" w:space="0"/>
              <w:right w:val="single" w:color="auto" w:sz="4" w:space="0"/>
            </w:tcBorders>
            <w:vAlign w:val="center"/>
          </w:tcPr>
          <w:p>
            <w:pPr>
              <w:widowControl/>
              <w:spacing w:line="280" w:lineRule="exact"/>
              <w:textAlignment w:val="baseline"/>
              <w:rPr>
                <w:sz w:val="20"/>
                <w:szCs w:val="21"/>
              </w:rPr>
            </w:pPr>
            <w:r>
              <w:rPr>
                <w:rFonts w:hint="eastAsia"/>
                <w:szCs w:val="21"/>
              </w:rPr>
              <w:t>1.投标人提供2018年1</w:t>
            </w:r>
            <w:bookmarkStart w:id="275" w:name="_GoBack"/>
            <w:bookmarkEnd w:id="275"/>
            <w:r>
              <w:rPr>
                <w:rFonts w:hint="eastAsia"/>
                <w:szCs w:val="21"/>
              </w:rPr>
              <w:t>月以来自然资源评价相关课题研究业务合同（省级以上主管部门委托，或省级以上行业协会委托），每提供一份得2分，最高得4分（以合同原件</w:t>
            </w:r>
            <w:r>
              <w:rPr>
                <w:rFonts w:hint="eastAsia"/>
                <w:szCs w:val="21"/>
                <w:lang w:val="en-US" w:eastAsia="zh-CN"/>
              </w:rPr>
              <w:t>的真彩扫描打印</w:t>
            </w:r>
            <w:r>
              <w:rPr>
                <w:rFonts w:hint="eastAsia"/>
                <w:szCs w:val="21"/>
              </w:rPr>
              <w:t>件加盖公章为准）。</w:t>
            </w:r>
          </w:p>
          <w:p>
            <w:pPr>
              <w:widowControl/>
              <w:spacing w:line="280" w:lineRule="exact"/>
              <w:textAlignment w:val="baseline"/>
              <w:rPr>
                <w:sz w:val="20"/>
                <w:szCs w:val="21"/>
              </w:rPr>
            </w:pPr>
            <w:r>
              <w:rPr>
                <w:rFonts w:hint="eastAsia"/>
                <w:szCs w:val="21"/>
              </w:rPr>
              <w:t>2.投标人提供2018年1月以来基准地价评估或地价监测类相关业绩，每提供1份得2分，最高得10分（以合同或中标通知书原件</w:t>
            </w:r>
            <w:r>
              <w:rPr>
                <w:rFonts w:hint="eastAsia"/>
                <w:szCs w:val="21"/>
                <w:lang w:val="en-US" w:eastAsia="zh-CN"/>
              </w:rPr>
              <w:t>的真彩扫描打印</w:t>
            </w:r>
            <w:r>
              <w:rPr>
                <w:rFonts w:hint="eastAsia"/>
                <w:szCs w:val="21"/>
              </w:rPr>
              <w:t>件加盖公章为准）。</w:t>
            </w:r>
          </w:p>
          <w:p>
            <w:pPr>
              <w:widowControl/>
              <w:spacing w:line="280" w:lineRule="exact"/>
              <w:textAlignment w:val="baseline"/>
              <w:rPr>
                <w:sz w:val="20"/>
                <w:szCs w:val="21"/>
              </w:rPr>
            </w:pPr>
            <w:r>
              <w:rPr>
                <w:rFonts w:hint="eastAsia"/>
                <w:szCs w:val="21"/>
              </w:rPr>
              <w:t>3.投标人提供2018年1月以来测绘类相关业绩，每提供1份得2分，最高得6分。（以合同或中标通知书原件</w:t>
            </w:r>
            <w:r>
              <w:rPr>
                <w:rFonts w:hint="eastAsia"/>
                <w:szCs w:val="21"/>
                <w:lang w:val="en-US" w:eastAsia="zh-CN"/>
              </w:rPr>
              <w:t>的真彩扫描打印</w:t>
            </w:r>
            <w:r>
              <w:rPr>
                <w:rFonts w:hint="eastAsia"/>
                <w:szCs w:val="21"/>
              </w:rPr>
              <w:t>件加盖公章为准）。</w:t>
            </w:r>
          </w:p>
        </w:tc>
      </w:tr>
      <w:tr>
        <w:tblPrEx>
          <w:tblCellMar>
            <w:top w:w="0" w:type="dxa"/>
            <w:left w:w="108" w:type="dxa"/>
            <w:bottom w:w="0" w:type="dxa"/>
            <w:right w:w="108" w:type="dxa"/>
          </w:tblCellMar>
        </w:tblPrEx>
        <w:trPr>
          <w:trHeight w:val="456" w:hRule="atLeast"/>
          <w:tblHeader/>
        </w:trPr>
        <w:tc>
          <w:tcPr>
            <w:tcW w:w="842" w:type="dxa"/>
            <w:vMerge w:val="continue"/>
            <w:tcBorders>
              <w:left w:val="single" w:color="auto" w:sz="4" w:space="0"/>
              <w:right w:val="single" w:color="auto" w:sz="4" w:space="0"/>
            </w:tcBorders>
            <w:vAlign w:val="center"/>
          </w:tcPr>
          <w:p>
            <w:pPr>
              <w:widowControl/>
              <w:spacing w:line="520" w:lineRule="exact"/>
              <w:textAlignment w:val="baseline"/>
              <w:rPr>
                <w:sz w:val="20"/>
                <w:szCs w:val="21"/>
              </w:rPr>
            </w:pPr>
          </w:p>
        </w:tc>
        <w:tc>
          <w:tcPr>
            <w:tcW w:w="744" w:type="dxa"/>
            <w:vMerge w:val="continue"/>
            <w:tcBorders>
              <w:left w:val="nil"/>
              <w:right w:val="single" w:color="auto" w:sz="4" w:space="0"/>
            </w:tcBorders>
            <w:vAlign w:val="center"/>
          </w:tcPr>
          <w:p>
            <w:pPr>
              <w:widowControl/>
              <w:spacing w:line="520" w:lineRule="exact"/>
              <w:textAlignment w:val="baseline"/>
              <w:rPr>
                <w:sz w:val="20"/>
                <w:szCs w:val="21"/>
              </w:rPr>
            </w:pPr>
          </w:p>
        </w:tc>
        <w:tc>
          <w:tcPr>
            <w:tcW w:w="1076" w:type="dxa"/>
            <w:tcBorders>
              <w:top w:val="single" w:color="auto" w:sz="4" w:space="0"/>
              <w:left w:val="nil"/>
              <w:bottom w:val="single" w:color="auto" w:sz="4" w:space="0"/>
              <w:right w:val="single" w:color="auto" w:sz="4" w:space="0"/>
            </w:tcBorders>
            <w:vAlign w:val="center"/>
          </w:tcPr>
          <w:p>
            <w:pPr>
              <w:spacing w:line="340" w:lineRule="exact"/>
              <w:jc w:val="center"/>
              <w:textAlignment w:val="baseline"/>
              <w:rPr>
                <w:sz w:val="20"/>
                <w:szCs w:val="21"/>
              </w:rPr>
            </w:pPr>
            <w:r>
              <w:rPr>
                <w:rFonts w:hint="eastAsia"/>
                <w:szCs w:val="21"/>
              </w:rPr>
              <w:t>标书质量</w:t>
            </w:r>
          </w:p>
          <w:p>
            <w:pPr>
              <w:spacing w:line="340" w:lineRule="exact"/>
              <w:jc w:val="center"/>
              <w:textAlignment w:val="baseline"/>
              <w:rPr>
                <w:sz w:val="20"/>
                <w:szCs w:val="21"/>
              </w:rPr>
            </w:pPr>
            <w:r>
              <w:rPr>
                <w:rFonts w:hint="eastAsia"/>
                <w:szCs w:val="21"/>
              </w:rPr>
              <w:t>（2分）</w:t>
            </w:r>
          </w:p>
        </w:tc>
        <w:tc>
          <w:tcPr>
            <w:tcW w:w="7084" w:type="dxa"/>
            <w:tcBorders>
              <w:top w:val="single" w:color="auto" w:sz="4" w:space="0"/>
              <w:left w:val="nil"/>
              <w:bottom w:val="single" w:color="auto" w:sz="4" w:space="0"/>
              <w:right w:val="single" w:color="auto" w:sz="4" w:space="0"/>
            </w:tcBorders>
            <w:vAlign w:val="center"/>
          </w:tcPr>
          <w:p>
            <w:pPr>
              <w:widowControl/>
              <w:spacing w:line="280" w:lineRule="exact"/>
              <w:textAlignment w:val="baseline"/>
              <w:rPr>
                <w:sz w:val="20"/>
                <w:szCs w:val="21"/>
              </w:rPr>
            </w:pPr>
            <w:r>
              <w:rPr>
                <w:rFonts w:hint="eastAsia"/>
                <w:szCs w:val="21"/>
                <w:lang w:val="zh-CN"/>
              </w:rPr>
              <w:t>根据</w:t>
            </w:r>
            <w:r>
              <w:rPr>
                <w:rFonts w:hint="eastAsia"/>
                <w:szCs w:val="21"/>
              </w:rPr>
              <w:t>投标文件内容编排顺序、格式是否符合招标文件要求，条理是否清晰，有无缺页、漏项、目录、页码等比较综合评定，</w:t>
            </w:r>
            <w:r>
              <w:rPr>
                <w:rFonts w:hint="eastAsia"/>
                <w:szCs w:val="21"/>
                <w:lang w:val="en-US" w:eastAsia="zh-CN"/>
              </w:rPr>
              <w:t>合理</w:t>
            </w:r>
            <w:r>
              <w:rPr>
                <w:rFonts w:hint="eastAsia"/>
                <w:szCs w:val="21"/>
                <w:lang w:val="zh-CN"/>
              </w:rPr>
              <w:t>的得2分，</w:t>
            </w:r>
            <w:r>
              <w:rPr>
                <w:rFonts w:hint="eastAsia"/>
                <w:szCs w:val="21"/>
                <w:lang w:val="en-US" w:eastAsia="zh-CN"/>
              </w:rPr>
              <w:t>较为合理</w:t>
            </w:r>
            <w:r>
              <w:rPr>
                <w:rFonts w:hint="eastAsia"/>
                <w:szCs w:val="21"/>
                <w:lang w:val="zh-CN"/>
              </w:rPr>
              <w:t>的得1分或0分。</w:t>
            </w:r>
          </w:p>
        </w:tc>
      </w:tr>
      <w:tr>
        <w:tblPrEx>
          <w:tblCellMar>
            <w:top w:w="0" w:type="dxa"/>
            <w:left w:w="108" w:type="dxa"/>
            <w:bottom w:w="0" w:type="dxa"/>
            <w:right w:w="108" w:type="dxa"/>
          </w:tblCellMar>
        </w:tblPrEx>
        <w:trPr>
          <w:trHeight w:val="572" w:hRule="atLeast"/>
          <w:tblHeader/>
        </w:trPr>
        <w:tc>
          <w:tcPr>
            <w:tcW w:w="842" w:type="dxa"/>
            <w:vMerge w:val="restart"/>
            <w:tcBorders>
              <w:top w:val="single" w:color="auto" w:sz="4" w:space="0"/>
              <w:left w:val="single" w:color="auto" w:sz="4" w:space="0"/>
              <w:right w:val="single" w:color="auto" w:sz="4" w:space="0"/>
            </w:tcBorders>
            <w:vAlign w:val="center"/>
          </w:tcPr>
          <w:p>
            <w:pPr>
              <w:spacing w:line="520" w:lineRule="exact"/>
              <w:jc w:val="center"/>
              <w:textAlignment w:val="baseline"/>
              <w:rPr>
                <w:sz w:val="20"/>
                <w:szCs w:val="21"/>
              </w:rPr>
            </w:pPr>
            <w:r>
              <w:rPr>
                <w:rFonts w:hint="eastAsia"/>
                <w:szCs w:val="21"/>
              </w:rPr>
              <w:t>技术部分</w:t>
            </w:r>
          </w:p>
          <w:p>
            <w:pPr>
              <w:spacing w:line="400" w:lineRule="exact"/>
              <w:jc w:val="center"/>
              <w:textAlignment w:val="baseline"/>
              <w:rPr>
                <w:sz w:val="20"/>
                <w:szCs w:val="21"/>
              </w:rPr>
            </w:pPr>
          </w:p>
        </w:tc>
        <w:tc>
          <w:tcPr>
            <w:tcW w:w="744" w:type="dxa"/>
            <w:vMerge w:val="restart"/>
            <w:tcBorders>
              <w:top w:val="single" w:color="auto" w:sz="4" w:space="0"/>
              <w:left w:val="nil"/>
              <w:right w:val="single" w:color="auto" w:sz="4" w:space="0"/>
            </w:tcBorders>
            <w:vAlign w:val="center"/>
          </w:tcPr>
          <w:p>
            <w:pPr>
              <w:spacing w:line="520" w:lineRule="exact"/>
              <w:jc w:val="center"/>
              <w:textAlignment w:val="baseline"/>
              <w:rPr>
                <w:sz w:val="20"/>
                <w:szCs w:val="21"/>
              </w:rPr>
            </w:pPr>
            <w:r>
              <w:rPr>
                <w:rFonts w:hint="eastAsia"/>
                <w:szCs w:val="21"/>
              </w:rPr>
              <w:t>50分</w:t>
            </w:r>
          </w:p>
        </w:tc>
        <w:tc>
          <w:tcPr>
            <w:tcW w:w="1076" w:type="dxa"/>
            <w:vMerge w:val="restart"/>
            <w:tcBorders>
              <w:top w:val="single" w:color="auto" w:sz="4" w:space="0"/>
              <w:left w:val="nil"/>
              <w:right w:val="single" w:color="auto" w:sz="4" w:space="0"/>
            </w:tcBorders>
            <w:vAlign w:val="center"/>
          </w:tcPr>
          <w:p>
            <w:pPr>
              <w:spacing w:line="400" w:lineRule="exact"/>
              <w:jc w:val="center"/>
              <w:textAlignment w:val="baseline"/>
              <w:rPr>
                <w:sz w:val="20"/>
                <w:szCs w:val="21"/>
              </w:rPr>
            </w:pPr>
            <w:r>
              <w:rPr>
                <w:rFonts w:hint="eastAsia"/>
                <w:szCs w:val="21"/>
              </w:rPr>
              <w:t>服务方案</w:t>
            </w:r>
          </w:p>
          <w:p>
            <w:pPr>
              <w:spacing w:line="400" w:lineRule="exact"/>
              <w:jc w:val="center"/>
              <w:textAlignment w:val="baseline"/>
              <w:rPr>
                <w:sz w:val="20"/>
                <w:szCs w:val="21"/>
              </w:rPr>
            </w:pPr>
            <w:r>
              <w:rPr>
                <w:rFonts w:hint="eastAsia"/>
                <w:szCs w:val="21"/>
              </w:rPr>
              <w:t>（35分）</w:t>
            </w:r>
          </w:p>
        </w:tc>
        <w:tc>
          <w:tcPr>
            <w:tcW w:w="7084" w:type="dxa"/>
            <w:tcBorders>
              <w:top w:val="single" w:color="auto" w:sz="4" w:space="0"/>
              <w:left w:val="nil"/>
              <w:bottom w:val="single" w:color="auto" w:sz="4" w:space="0"/>
              <w:right w:val="single" w:color="auto" w:sz="4" w:space="0"/>
            </w:tcBorders>
          </w:tcPr>
          <w:p>
            <w:pPr>
              <w:widowControl/>
              <w:spacing w:line="280" w:lineRule="exact"/>
              <w:textAlignment w:val="baseline"/>
              <w:rPr>
                <w:sz w:val="20"/>
                <w:szCs w:val="21"/>
                <w:lang w:val="zh-CN"/>
              </w:rPr>
            </w:pPr>
            <w:r>
              <w:rPr>
                <w:rFonts w:hint="eastAsia"/>
                <w:szCs w:val="21"/>
                <w:lang w:val="zh-CN"/>
              </w:rPr>
              <w:t>结合本</w:t>
            </w:r>
            <w:r>
              <w:rPr>
                <w:rFonts w:hint="eastAsia"/>
                <w:szCs w:val="21"/>
              </w:rPr>
              <w:t>试点</w:t>
            </w:r>
            <w:r>
              <w:rPr>
                <w:rFonts w:hint="eastAsia"/>
                <w:szCs w:val="21"/>
                <w:lang w:val="zh-CN"/>
              </w:rPr>
              <w:t>项目实施方案和工作实际要求，能正确理解项目内容，准确描述工作范围、工作任务和目标，工作思路清晰，工作内容安排合理，提供切实可行的技术方案，符合实际、可行性强，内容完善</w:t>
            </w:r>
            <w:r>
              <w:rPr>
                <w:rFonts w:hint="eastAsia"/>
                <w:szCs w:val="21"/>
                <w:lang w:val="en-US" w:eastAsia="zh-CN"/>
              </w:rPr>
              <w:t>科学合理的</w:t>
            </w:r>
            <w:r>
              <w:rPr>
                <w:rFonts w:hint="eastAsia"/>
                <w:szCs w:val="21"/>
                <w:lang w:val="zh-CN"/>
              </w:rPr>
              <w:t>得</w:t>
            </w:r>
            <w:r>
              <w:rPr>
                <w:rFonts w:hint="eastAsia"/>
                <w:szCs w:val="21"/>
              </w:rPr>
              <w:t>11</w:t>
            </w:r>
            <w:r>
              <w:rPr>
                <w:rFonts w:hint="eastAsia"/>
                <w:szCs w:val="21"/>
                <w:lang w:val="zh-CN"/>
              </w:rPr>
              <w:t>-</w:t>
            </w:r>
            <w:r>
              <w:rPr>
                <w:rFonts w:hint="eastAsia"/>
                <w:szCs w:val="21"/>
              </w:rPr>
              <w:t>15</w:t>
            </w:r>
            <w:r>
              <w:rPr>
                <w:rFonts w:hint="eastAsia"/>
                <w:szCs w:val="21"/>
                <w:lang w:val="zh-CN"/>
              </w:rPr>
              <w:t>分；较</w:t>
            </w:r>
            <w:r>
              <w:rPr>
                <w:rFonts w:hint="eastAsia"/>
                <w:szCs w:val="21"/>
                <w:lang w:val="en-US" w:eastAsia="zh-CN"/>
              </w:rPr>
              <w:t>完善较科学合理的</w:t>
            </w:r>
            <w:r>
              <w:rPr>
                <w:rFonts w:hint="eastAsia"/>
                <w:szCs w:val="21"/>
                <w:lang w:val="zh-CN"/>
              </w:rPr>
              <w:t>得</w:t>
            </w:r>
            <w:r>
              <w:rPr>
                <w:rFonts w:hint="eastAsia"/>
                <w:szCs w:val="21"/>
              </w:rPr>
              <w:t>6</w:t>
            </w:r>
            <w:r>
              <w:rPr>
                <w:rFonts w:hint="eastAsia"/>
                <w:szCs w:val="21"/>
                <w:lang w:val="zh-CN"/>
              </w:rPr>
              <w:t>-</w:t>
            </w:r>
            <w:r>
              <w:rPr>
                <w:rFonts w:hint="eastAsia"/>
                <w:szCs w:val="21"/>
              </w:rPr>
              <w:t>10</w:t>
            </w:r>
            <w:r>
              <w:rPr>
                <w:rFonts w:hint="eastAsia"/>
                <w:szCs w:val="21"/>
                <w:lang w:val="zh-CN"/>
              </w:rPr>
              <w:t>分；</w:t>
            </w:r>
            <w:r>
              <w:rPr>
                <w:rFonts w:hint="eastAsia"/>
                <w:szCs w:val="21"/>
                <w:lang w:val="en-US" w:eastAsia="zh-CN"/>
              </w:rPr>
              <w:t>基本可行的</w:t>
            </w:r>
            <w:r>
              <w:rPr>
                <w:rFonts w:hint="eastAsia"/>
                <w:szCs w:val="21"/>
                <w:lang w:val="zh-CN"/>
              </w:rPr>
              <w:t>得</w:t>
            </w:r>
            <w:r>
              <w:rPr>
                <w:rFonts w:hint="eastAsia"/>
                <w:szCs w:val="21"/>
              </w:rPr>
              <w:t>2</w:t>
            </w:r>
            <w:r>
              <w:rPr>
                <w:rFonts w:hint="eastAsia"/>
                <w:szCs w:val="21"/>
                <w:lang w:val="zh-CN"/>
              </w:rPr>
              <w:t>-</w:t>
            </w:r>
            <w:r>
              <w:rPr>
                <w:rFonts w:hint="eastAsia"/>
                <w:szCs w:val="21"/>
              </w:rPr>
              <w:t>5</w:t>
            </w:r>
            <w:r>
              <w:rPr>
                <w:rFonts w:hint="eastAsia"/>
                <w:szCs w:val="21"/>
                <w:lang w:val="zh-CN"/>
              </w:rPr>
              <w:t>分；内容欠缺，较差或未提供得</w:t>
            </w:r>
            <w:r>
              <w:rPr>
                <w:rFonts w:hint="eastAsia"/>
                <w:szCs w:val="21"/>
              </w:rPr>
              <w:t>0-1分</w:t>
            </w:r>
            <w:r>
              <w:rPr>
                <w:rFonts w:hint="eastAsia"/>
                <w:szCs w:val="21"/>
                <w:lang w:val="zh-CN"/>
              </w:rPr>
              <w:t>。</w:t>
            </w:r>
          </w:p>
        </w:tc>
      </w:tr>
      <w:tr>
        <w:tblPrEx>
          <w:tblCellMar>
            <w:top w:w="0" w:type="dxa"/>
            <w:left w:w="108" w:type="dxa"/>
            <w:bottom w:w="0" w:type="dxa"/>
            <w:right w:w="108" w:type="dxa"/>
          </w:tblCellMar>
        </w:tblPrEx>
        <w:trPr>
          <w:trHeight w:val="79" w:hRule="atLeast"/>
          <w:tblHeader/>
        </w:trPr>
        <w:tc>
          <w:tcPr>
            <w:tcW w:w="842" w:type="dxa"/>
            <w:vMerge w:val="continue"/>
            <w:tcBorders>
              <w:top w:val="single" w:color="auto" w:sz="4" w:space="0"/>
              <w:left w:val="single" w:color="auto" w:sz="4" w:space="0"/>
              <w:right w:val="single" w:color="auto" w:sz="4" w:space="0"/>
            </w:tcBorders>
            <w:vAlign w:val="center"/>
          </w:tcPr>
          <w:p>
            <w:pPr>
              <w:spacing w:line="400" w:lineRule="exact"/>
              <w:jc w:val="center"/>
              <w:textAlignment w:val="baseline"/>
              <w:rPr>
                <w:sz w:val="20"/>
                <w:szCs w:val="21"/>
              </w:rPr>
            </w:pPr>
          </w:p>
        </w:tc>
        <w:tc>
          <w:tcPr>
            <w:tcW w:w="744" w:type="dxa"/>
            <w:vMerge w:val="continue"/>
            <w:tcBorders>
              <w:top w:val="single" w:color="auto" w:sz="4" w:space="0"/>
              <w:left w:val="nil"/>
              <w:right w:val="single" w:color="auto" w:sz="4" w:space="0"/>
            </w:tcBorders>
            <w:vAlign w:val="center"/>
          </w:tcPr>
          <w:p>
            <w:pPr>
              <w:spacing w:line="400" w:lineRule="exact"/>
              <w:jc w:val="center"/>
              <w:textAlignment w:val="baseline"/>
              <w:rPr>
                <w:sz w:val="20"/>
                <w:szCs w:val="21"/>
              </w:rPr>
            </w:pPr>
          </w:p>
        </w:tc>
        <w:tc>
          <w:tcPr>
            <w:tcW w:w="1076" w:type="dxa"/>
            <w:vMerge w:val="continue"/>
            <w:tcBorders>
              <w:left w:val="nil"/>
              <w:right w:val="single" w:color="auto" w:sz="4" w:space="0"/>
            </w:tcBorders>
            <w:vAlign w:val="center"/>
          </w:tcPr>
          <w:p>
            <w:pPr>
              <w:spacing w:line="400" w:lineRule="exact"/>
              <w:jc w:val="center"/>
              <w:textAlignment w:val="baseline"/>
              <w:rPr>
                <w:sz w:val="20"/>
                <w:szCs w:val="21"/>
              </w:rPr>
            </w:pPr>
          </w:p>
        </w:tc>
        <w:tc>
          <w:tcPr>
            <w:tcW w:w="7084" w:type="dxa"/>
            <w:tcBorders>
              <w:top w:val="single" w:color="auto" w:sz="4" w:space="0"/>
              <w:left w:val="nil"/>
              <w:bottom w:val="single" w:color="auto" w:sz="4" w:space="0"/>
              <w:right w:val="single" w:color="auto" w:sz="4" w:space="0"/>
            </w:tcBorders>
          </w:tcPr>
          <w:p>
            <w:pPr>
              <w:widowControl/>
              <w:spacing w:line="280" w:lineRule="exact"/>
              <w:textAlignment w:val="baseline"/>
              <w:rPr>
                <w:sz w:val="20"/>
                <w:szCs w:val="21"/>
                <w:lang w:val="zh-CN"/>
              </w:rPr>
            </w:pPr>
            <w:r>
              <w:rPr>
                <w:rFonts w:hint="eastAsia"/>
                <w:szCs w:val="21"/>
              </w:rPr>
              <w:t>根据项目要求，</w:t>
            </w:r>
            <w:r>
              <w:rPr>
                <w:rFonts w:hint="eastAsia"/>
                <w:szCs w:val="21"/>
                <w:lang w:val="zh-CN"/>
              </w:rPr>
              <w:t>有针对本项目</w:t>
            </w:r>
            <w:r>
              <w:rPr>
                <w:rFonts w:hint="eastAsia"/>
                <w:szCs w:val="21"/>
              </w:rPr>
              <w:t>拟定</w:t>
            </w:r>
            <w:r>
              <w:rPr>
                <w:rFonts w:hint="eastAsia"/>
                <w:szCs w:val="21"/>
                <w:lang w:val="zh-CN"/>
              </w:rPr>
              <w:t>明确的工作计划安排。</w:t>
            </w:r>
            <w:r>
              <w:rPr>
                <w:rFonts w:hint="eastAsia"/>
                <w:szCs w:val="21"/>
              </w:rPr>
              <w:t>计划合理的</w:t>
            </w:r>
            <w:r>
              <w:rPr>
                <w:rFonts w:hint="eastAsia"/>
                <w:szCs w:val="21"/>
                <w:lang w:val="zh-CN"/>
              </w:rPr>
              <w:t>4-</w:t>
            </w:r>
            <w:r>
              <w:rPr>
                <w:rFonts w:hint="eastAsia"/>
                <w:szCs w:val="21"/>
              </w:rPr>
              <w:t>5</w:t>
            </w:r>
            <w:r>
              <w:rPr>
                <w:rFonts w:hint="eastAsia"/>
                <w:szCs w:val="21"/>
                <w:lang w:val="zh-CN"/>
              </w:rPr>
              <w:t>分；</w:t>
            </w:r>
            <w:r>
              <w:rPr>
                <w:rFonts w:hint="eastAsia"/>
                <w:szCs w:val="21"/>
              </w:rPr>
              <w:t>较为合理的得2-3分，其他得0-1分。</w:t>
            </w:r>
          </w:p>
        </w:tc>
      </w:tr>
      <w:tr>
        <w:tblPrEx>
          <w:tblCellMar>
            <w:top w:w="0" w:type="dxa"/>
            <w:left w:w="108" w:type="dxa"/>
            <w:bottom w:w="0" w:type="dxa"/>
            <w:right w:w="108" w:type="dxa"/>
          </w:tblCellMar>
        </w:tblPrEx>
        <w:trPr>
          <w:trHeight w:val="518" w:hRule="atLeast"/>
          <w:tblHeader/>
        </w:trPr>
        <w:tc>
          <w:tcPr>
            <w:tcW w:w="842" w:type="dxa"/>
            <w:vMerge w:val="continue"/>
            <w:tcBorders>
              <w:top w:val="single" w:color="auto" w:sz="4" w:space="0"/>
              <w:left w:val="single" w:color="auto" w:sz="4" w:space="0"/>
              <w:right w:val="single" w:color="auto" w:sz="4" w:space="0"/>
            </w:tcBorders>
            <w:vAlign w:val="center"/>
          </w:tcPr>
          <w:p>
            <w:pPr>
              <w:spacing w:line="400" w:lineRule="exact"/>
              <w:jc w:val="center"/>
              <w:textAlignment w:val="baseline"/>
              <w:rPr>
                <w:sz w:val="20"/>
                <w:szCs w:val="21"/>
              </w:rPr>
            </w:pPr>
          </w:p>
        </w:tc>
        <w:tc>
          <w:tcPr>
            <w:tcW w:w="744" w:type="dxa"/>
            <w:vMerge w:val="continue"/>
            <w:tcBorders>
              <w:top w:val="single" w:color="auto" w:sz="4" w:space="0"/>
              <w:left w:val="nil"/>
              <w:right w:val="single" w:color="auto" w:sz="4" w:space="0"/>
            </w:tcBorders>
            <w:vAlign w:val="center"/>
          </w:tcPr>
          <w:p>
            <w:pPr>
              <w:spacing w:line="400" w:lineRule="exact"/>
              <w:jc w:val="center"/>
              <w:textAlignment w:val="baseline"/>
              <w:rPr>
                <w:sz w:val="20"/>
                <w:szCs w:val="21"/>
              </w:rPr>
            </w:pPr>
          </w:p>
        </w:tc>
        <w:tc>
          <w:tcPr>
            <w:tcW w:w="1076" w:type="dxa"/>
            <w:vMerge w:val="continue"/>
            <w:tcBorders>
              <w:left w:val="nil"/>
              <w:right w:val="single" w:color="auto" w:sz="4" w:space="0"/>
            </w:tcBorders>
            <w:vAlign w:val="center"/>
          </w:tcPr>
          <w:p>
            <w:pPr>
              <w:spacing w:line="400" w:lineRule="exact"/>
              <w:jc w:val="center"/>
              <w:textAlignment w:val="baseline"/>
              <w:rPr>
                <w:sz w:val="20"/>
                <w:szCs w:val="21"/>
              </w:rPr>
            </w:pPr>
          </w:p>
        </w:tc>
        <w:tc>
          <w:tcPr>
            <w:tcW w:w="7084" w:type="dxa"/>
            <w:tcBorders>
              <w:top w:val="single" w:color="auto" w:sz="4" w:space="0"/>
              <w:left w:val="nil"/>
              <w:bottom w:val="single" w:color="auto" w:sz="4" w:space="0"/>
              <w:right w:val="single" w:color="auto" w:sz="4" w:space="0"/>
            </w:tcBorders>
          </w:tcPr>
          <w:p>
            <w:pPr>
              <w:widowControl/>
              <w:spacing w:line="280" w:lineRule="exact"/>
              <w:textAlignment w:val="baseline"/>
              <w:rPr>
                <w:sz w:val="20"/>
                <w:szCs w:val="21"/>
              </w:rPr>
            </w:pPr>
            <w:r>
              <w:rPr>
                <w:rFonts w:hint="eastAsia"/>
                <w:szCs w:val="21"/>
              </w:rPr>
              <w:t>有质量保障方案及惩罚措施，措施详细且可行性强者得4-5分；有质量保证措施，但措施不具体、可行性一般者得2-3分；其他得0-1分。</w:t>
            </w:r>
          </w:p>
        </w:tc>
      </w:tr>
      <w:tr>
        <w:tblPrEx>
          <w:tblCellMar>
            <w:top w:w="0" w:type="dxa"/>
            <w:left w:w="108" w:type="dxa"/>
            <w:bottom w:w="0" w:type="dxa"/>
            <w:right w:w="108" w:type="dxa"/>
          </w:tblCellMar>
        </w:tblPrEx>
        <w:trPr>
          <w:trHeight w:val="518" w:hRule="atLeast"/>
          <w:tblHeader/>
        </w:trPr>
        <w:tc>
          <w:tcPr>
            <w:tcW w:w="842" w:type="dxa"/>
            <w:vMerge w:val="continue"/>
            <w:tcBorders>
              <w:top w:val="single" w:color="auto" w:sz="4" w:space="0"/>
              <w:left w:val="single" w:color="auto" w:sz="4" w:space="0"/>
              <w:right w:val="single" w:color="auto" w:sz="4" w:space="0"/>
            </w:tcBorders>
            <w:vAlign w:val="center"/>
          </w:tcPr>
          <w:p>
            <w:pPr>
              <w:spacing w:line="400" w:lineRule="exact"/>
              <w:jc w:val="center"/>
              <w:textAlignment w:val="baseline"/>
              <w:rPr>
                <w:sz w:val="20"/>
                <w:szCs w:val="21"/>
              </w:rPr>
            </w:pPr>
          </w:p>
        </w:tc>
        <w:tc>
          <w:tcPr>
            <w:tcW w:w="744" w:type="dxa"/>
            <w:vMerge w:val="continue"/>
            <w:tcBorders>
              <w:top w:val="single" w:color="auto" w:sz="4" w:space="0"/>
              <w:left w:val="nil"/>
              <w:right w:val="single" w:color="auto" w:sz="4" w:space="0"/>
            </w:tcBorders>
            <w:vAlign w:val="center"/>
          </w:tcPr>
          <w:p>
            <w:pPr>
              <w:spacing w:line="400" w:lineRule="exact"/>
              <w:jc w:val="center"/>
              <w:textAlignment w:val="baseline"/>
              <w:rPr>
                <w:sz w:val="20"/>
                <w:szCs w:val="21"/>
              </w:rPr>
            </w:pPr>
          </w:p>
        </w:tc>
        <w:tc>
          <w:tcPr>
            <w:tcW w:w="1076" w:type="dxa"/>
            <w:vMerge w:val="continue"/>
            <w:tcBorders>
              <w:left w:val="nil"/>
              <w:right w:val="single" w:color="auto" w:sz="4" w:space="0"/>
            </w:tcBorders>
            <w:vAlign w:val="center"/>
          </w:tcPr>
          <w:p>
            <w:pPr>
              <w:spacing w:line="400" w:lineRule="exact"/>
              <w:jc w:val="center"/>
              <w:textAlignment w:val="baseline"/>
              <w:rPr>
                <w:sz w:val="20"/>
                <w:szCs w:val="21"/>
              </w:rPr>
            </w:pPr>
          </w:p>
        </w:tc>
        <w:tc>
          <w:tcPr>
            <w:tcW w:w="7084" w:type="dxa"/>
            <w:tcBorders>
              <w:top w:val="single" w:color="auto" w:sz="4" w:space="0"/>
              <w:left w:val="nil"/>
              <w:bottom w:val="single" w:color="auto" w:sz="4" w:space="0"/>
              <w:right w:val="single" w:color="auto" w:sz="4" w:space="0"/>
            </w:tcBorders>
          </w:tcPr>
          <w:p>
            <w:pPr>
              <w:widowControl/>
              <w:spacing w:line="280" w:lineRule="exact"/>
              <w:textAlignment w:val="baseline"/>
              <w:rPr>
                <w:sz w:val="20"/>
                <w:szCs w:val="21"/>
              </w:rPr>
            </w:pPr>
            <w:r>
              <w:rPr>
                <w:rFonts w:hint="eastAsia"/>
                <w:szCs w:val="21"/>
              </w:rPr>
              <w:t>项目重难点分析，对本项目的背景、目的、工作内容进行全面考察并进行重点和难点分析，制定妥善的应对措施和解决方案。分析准确，方案科学合理的得4-5分，较为合理的得2-3分，其他得0-1分。</w:t>
            </w:r>
          </w:p>
        </w:tc>
      </w:tr>
      <w:tr>
        <w:tblPrEx>
          <w:tblCellMar>
            <w:top w:w="0" w:type="dxa"/>
            <w:left w:w="108" w:type="dxa"/>
            <w:bottom w:w="0" w:type="dxa"/>
            <w:right w:w="108" w:type="dxa"/>
          </w:tblCellMar>
        </w:tblPrEx>
        <w:trPr>
          <w:trHeight w:val="518" w:hRule="atLeast"/>
          <w:tblHeader/>
        </w:trPr>
        <w:tc>
          <w:tcPr>
            <w:tcW w:w="842" w:type="dxa"/>
            <w:vMerge w:val="continue"/>
            <w:tcBorders>
              <w:top w:val="single" w:color="auto" w:sz="4" w:space="0"/>
              <w:left w:val="single" w:color="auto" w:sz="4" w:space="0"/>
              <w:right w:val="single" w:color="auto" w:sz="4" w:space="0"/>
            </w:tcBorders>
            <w:vAlign w:val="center"/>
          </w:tcPr>
          <w:p>
            <w:pPr>
              <w:spacing w:line="400" w:lineRule="exact"/>
              <w:jc w:val="center"/>
              <w:textAlignment w:val="baseline"/>
              <w:rPr>
                <w:sz w:val="20"/>
                <w:szCs w:val="21"/>
              </w:rPr>
            </w:pPr>
          </w:p>
        </w:tc>
        <w:tc>
          <w:tcPr>
            <w:tcW w:w="744" w:type="dxa"/>
            <w:vMerge w:val="continue"/>
            <w:tcBorders>
              <w:top w:val="single" w:color="auto" w:sz="4" w:space="0"/>
              <w:left w:val="nil"/>
              <w:right w:val="single" w:color="auto" w:sz="4" w:space="0"/>
            </w:tcBorders>
            <w:vAlign w:val="center"/>
          </w:tcPr>
          <w:p>
            <w:pPr>
              <w:spacing w:line="400" w:lineRule="exact"/>
              <w:jc w:val="center"/>
              <w:textAlignment w:val="baseline"/>
              <w:rPr>
                <w:sz w:val="20"/>
                <w:szCs w:val="21"/>
              </w:rPr>
            </w:pPr>
          </w:p>
        </w:tc>
        <w:tc>
          <w:tcPr>
            <w:tcW w:w="1076" w:type="dxa"/>
            <w:vMerge w:val="continue"/>
            <w:tcBorders>
              <w:left w:val="nil"/>
              <w:right w:val="single" w:color="auto" w:sz="4" w:space="0"/>
            </w:tcBorders>
            <w:vAlign w:val="center"/>
          </w:tcPr>
          <w:p>
            <w:pPr>
              <w:spacing w:line="400" w:lineRule="exact"/>
              <w:jc w:val="center"/>
              <w:textAlignment w:val="baseline"/>
              <w:rPr>
                <w:sz w:val="20"/>
                <w:szCs w:val="21"/>
              </w:rPr>
            </w:pPr>
          </w:p>
        </w:tc>
        <w:tc>
          <w:tcPr>
            <w:tcW w:w="7084" w:type="dxa"/>
            <w:tcBorders>
              <w:top w:val="single" w:color="auto" w:sz="4" w:space="0"/>
              <w:left w:val="nil"/>
              <w:bottom w:val="single" w:color="auto" w:sz="4" w:space="0"/>
              <w:right w:val="single" w:color="auto" w:sz="4" w:space="0"/>
            </w:tcBorders>
          </w:tcPr>
          <w:p>
            <w:pPr>
              <w:widowControl/>
              <w:spacing w:line="280" w:lineRule="exact"/>
              <w:textAlignment w:val="baseline"/>
              <w:rPr>
                <w:sz w:val="20"/>
                <w:szCs w:val="21"/>
              </w:rPr>
            </w:pPr>
            <w:r>
              <w:rPr>
                <w:rFonts w:hint="eastAsia"/>
                <w:szCs w:val="21"/>
                <w:lang w:val="zh-CN"/>
              </w:rPr>
              <w:t>有售后服务方案，满足项目需求，内容完善且合理具有可行性，合理得</w:t>
            </w:r>
            <w:r>
              <w:rPr>
                <w:rFonts w:hint="eastAsia"/>
                <w:szCs w:val="21"/>
              </w:rPr>
              <w:t>4-5</w:t>
            </w:r>
            <w:r>
              <w:rPr>
                <w:rFonts w:hint="eastAsia"/>
                <w:szCs w:val="21"/>
                <w:lang w:val="zh-CN"/>
              </w:rPr>
              <w:t>分；较合理可行得</w:t>
            </w:r>
            <w:r>
              <w:rPr>
                <w:rFonts w:hint="eastAsia"/>
                <w:szCs w:val="21"/>
              </w:rPr>
              <w:t>2-3</w:t>
            </w:r>
            <w:r>
              <w:rPr>
                <w:rFonts w:hint="eastAsia"/>
                <w:szCs w:val="21"/>
                <w:lang w:val="zh-CN"/>
              </w:rPr>
              <w:t>分；基本合理得</w:t>
            </w:r>
            <w:r>
              <w:rPr>
                <w:rFonts w:hint="eastAsia"/>
                <w:szCs w:val="21"/>
              </w:rPr>
              <w:t>1</w:t>
            </w:r>
            <w:r>
              <w:rPr>
                <w:rFonts w:hint="eastAsia"/>
                <w:szCs w:val="21"/>
                <w:lang w:val="zh-CN"/>
              </w:rPr>
              <w:t>分；未提供此项的不得分。</w:t>
            </w:r>
          </w:p>
        </w:tc>
      </w:tr>
      <w:tr>
        <w:tblPrEx>
          <w:tblCellMar>
            <w:top w:w="0" w:type="dxa"/>
            <w:left w:w="108" w:type="dxa"/>
            <w:bottom w:w="0" w:type="dxa"/>
            <w:right w:w="108" w:type="dxa"/>
          </w:tblCellMar>
        </w:tblPrEx>
        <w:trPr>
          <w:trHeight w:val="342" w:hRule="atLeast"/>
          <w:tblHeader/>
        </w:trPr>
        <w:tc>
          <w:tcPr>
            <w:tcW w:w="842" w:type="dxa"/>
            <w:vMerge w:val="continue"/>
            <w:tcBorders>
              <w:left w:val="single" w:color="auto" w:sz="4" w:space="0"/>
              <w:right w:val="single" w:color="auto" w:sz="4" w:space="0"/>
            </w:tcBorders>
            <w:vAlign w:val="center"/>
          </w:tcPr>
          <w:p>
            <w:pPr>
              <w:widowControl/>
              <w:spacing w:line="400" w:lineRule="exact"/>
              <w:jc w:val="center"/>
              <w:textAlignment w:val="baseline"/>
              <w:rPr>
                <w:sz w:val="20"/>
                <w:szCs w:val="21"/>
              </w:rPr>
            </w:pPr>
          </w:p>
        </w:tc>
        <w:tc>
          <w:tcPr>
            <w:tcW w:w="744" w:type="dxa"/>
            <w:vMerge w:val="continue"/>
            <w:tcBorders>
              <w:left w:val="nil"/>
              <w:right w:val="single" w:color="auto" w:sz="4" w:space="0"/>
            </w:tcBorders>
            <w:vAlign w:val="center"/>
          </w:tcPr>
          <w:p>
            <w:pPr>
              <w:widowControl/>
              <w:spacing w:line="400" w:lineRule="exact"/>
              <w:jc w:val="center"/>
              <w:textAlignment w:val="baseline"/>
              <w:rPr>
                <w:sz w:val="20"/>
                <w:szCs w:val="21"/>
              </w:rPr>
            </w:pPr>
          </w:p>
        </w:tc>
        <w:tc>
          <w:tcPr>
            <w:tcW w:w="1076" w:type="dxa"/>
            <w:vMerge w:val="restart"/>
            <w:tcBorders>
              <w:top w:val="single" w:color="auto" w:sz="4" w:space="0"/>
              <w:left w:val="nil"/>
              <w:right w:val="single" w:color="auto" w:sz="4" w:space="0"/>
            </w:tcBorders>
            <w:vAlign w:val="center"/>
          </w:tcPr>
          <w:p>
            <w:pPr>
              <w:spacing w:line="400" w:lineRule="exact"/>
              <w:jc w:val="center"/>
              <w:textAlignment w:val="baseline"/>
              <w:rPr>
                <w:sz w:val="20"/>
                <w:szCs w:val="21"/>
              </w:rPr>
            </w:pPr>
            <w:r>
              <w:rPr>
                <w:rFonts w:hint="eastAsia"/>
                <w:szCs w:val="21"/>
              </w:rPr>
              <w:t>技术支撑</w:t>
            </w:r>
          </w:p>
          <w:p>
            <w:pPr>
              <w:spacing w:line="400" w:lineRule="exact"/>
              <w:jc w:val="center"/>
              <w:textAlignment w:val="baseline"/>
              <w:rPr>
                <w:sz w:val="20"/>
                <w:szCs w:val="21"/>
              </w:rPr>
            </w:pPr>
            <w:r>
              <w:rPr>
                <w:rFonts w:hint="eastAsia"/>
                <w:szCs w:val="21"/>
              </w:rPr>
              <w:t>（15分）</w:t>
            </w:r>
          </w:p>
        </w:tc>
        <w:tc>
          <w:tcPr>
            <w:tcW w:w="7084" w:type="dxa"/>
            <w:tcBorders>
              <w:top w:val="single" w:color="auto" w:sz="4" w:space="0"/>
              <w:left w:val="nil"/>
              <w:bottom w:val="single" w:color="auto" w:sz="4" w:space="0"/>
              <w:right w:val="single" w:color="auto" w:sz="4" w:space="0"/>
            </w:tcBorders>
            <w:vAlign w:val="center"/>
          </w:tcPr>
          <w:p>
            <w:pPr>
              <w:widowControl/>
              <w:spacing w:line="280" w:lineRule="exact"/>
              <w:textAlignment w:val="baseline"/>
              <w:rPr>
                <w:sz w:val="20"/>
                <w:szCs w:val="21"/>
              </w:rPr>
            </w:pPr>
            <w:r>
              <w:rPr>
                <w:rFonts w:hint="eastAsia"/>
                <w:szCs w:val="21"/>
              </w:rPr>
              <w:t>项目负责人具有土地相关专业（限工程系列中土地、测绘、经济3个专业任意一种）高级技术职称的，得3分，其他不得分。</w:t>
            </w:r>
          </w:p>
        </w:tc>
      </w:tr>
      <w:tr>
        <w:tblPrEx>
          <w:tblCellMar>
            <w:top w:w="0" w:type="dxa"/>
            <w:left w:w="108" w:type="dxa"/>
            <w:bottom w:w="0" w:type="dxa"/>
            <w:right w:w="108" w:type="dxa"/>
          </w:tblCellMar>
        </w:tblPrEx>
        <w:trPr>
          <w:trHeight w:val="1111" w:hRule="atLeast"/>
          <w:tblHeader/>
        </w:trPr>
        <w:tc>
          <w:tcPr>
            <w:tcW w:w="842" w:type="dxa"/>
            <w:vMerge w:val="continue"/>
            <w:tcBorders>
              <w:left w:val="single" w:color="auto" w:sz="4" w:space="0"/>
              <w:right w:val="single" w:color="auto" w:sz="4" w:space="0"/>
            </w:tcBorders>
            <w:vAlign w:val="center"/>
          </w:tcPr>
          <w:p>
            <w:pPr>
              <w:widowControl/>
              <w:spacing w:line="400" w:lineRule="exact"/>
              <w:textAlignment w:val="baseline"/>
              <w:rPr>
                <w:sz w:val="20"/>
                <w:szCs w:val="21"/>
              </w:rPr>
            </w:pPr>
          </w:p>
        </w:tc>
        <w:tc>
          <w:tcPr>
            <w:tcW w:w="744" w:type="dxa"/>
            <w:vMerge w:val="continue"/>
            <w:tcBorders>
              <w:left w:val="nil"/>
              <w:right w:val="single" w:color="auto" w:sz="4" w:space="0"/>
            </w:tcBorders>
            <w:vAlign w:val="center"/>
          </w:tcPr>
          <w:p>
            <w:pPr>
              <w:widowControl/>
              <w:spacing w:line="400" w:lineRule="exact"/>
              <w:textAlignment w:val="baseline"/>
              <w:rPr>
                <w:sz w:val="20"/>
                <w:szCs w:val="21"/>
              </w:rPr>
            </w:pPr>
          </w:p>
        </w:tc>
        <w:tc>
          <w:tcPr>
            <w:tcW w:w="1076" w:type="dxa"/>
            <w:vMerge w:val="continue"/>
            <w:tcBorders>
              <w:left w:val="nil"/>
              <w:right w:val="single" w:color="auto" w:sz="4" w:space="0"/>
            </w:tcBorders>
            <w:vAlign w:val="center"/>
          </w:tcPr>
          <w:p>
            <w:pPr>
              <w:spacing w:line="400" w:lineRule="exact"/>
              <w:jc w:val="center"/>
              <w:textAlignment w:val="baseline"/>
              <w:rPr>
                <w:sz w:val="20"/>
                <w:szCs w:val="21"/>
              </w:rPr>
            </w:pPr>
          </w:p>
        </w:tc>
        <w:tc>
          <w:tcPr>
            <w:tcW w:w="7084" w:type="dxa"/>
            <w:tcBorders>
              <w:top w:val="single" w:color="auto" w:sz="4" w:space="0"/>
              <w:left w:val="nil"/>
              <w:right w:val="single" w:color="auto" w:sz="4" w:space="0"/>
            </w:tcBorders>
            <w:vAlign w:val="center"/>
          </w:tcPr>
          <w:p>
            <w:pPr>
              <w:widowControl/>
              <w:spacing w:line="280" w:lineRule="exact"/>
              <w:textAlignment w:val="baseline"/>
              <w:rPr>
                <w:sz w:val="20"/>
                <w:szCs w:val="21"/>
              </w:rPr>
            </w:pPr>
            <w:r>
              <w:rPr>
                <w:rFonts w:hint="eastAsia"/>
                <w:szCs w:val="21"/>
              </w:rPr>
              <w:t>1.拟投入项目人员中具有土地管理、规划或测量类中级及以上职称的，每提供1人得1分，最高得6分。</w:t>
            </w:r>
          </w:p>
          <w:p>
            <w:pPr>
              <w:widowControl/>
              <w:spacing w:line="280" w:lineRule="exact"/>
              <w:textAlignment w:val="baseline"/>
              <w:rPr>
                <w:szCs w:val="21"/>
              </w:rPr>
            </w:pPr>
            <w:r>
              <w:rPr>
                <w:rFonts w:hint="eastAsia"/>
                <w:szCs w:val="21"/>
              </w:rPr>
              <w:t xml:space="preserve">2.拟投入项目人员中具有土地估价师证书的，每提供1人得1分，最高得6分。 </w:t>
            </w:r>
          </w:p>
          <w:p>
            <w:pPr>
              <w:widowControl/>
              <w:spacing w:line="280" w:lineRule="exact"/>
              <w:textAlignment w:val="baseline"/>
              <w:rPr>
                <w:sz w:val="20"/>
                <w:szCs w:val="21"/>
              </w:rPr>
            </w:pPr>
            <w:r>
              <w:rPr>
                <w:rFonts w:hint="eastAsia"/>
                <w:szCs w:val="21"/>
              </w:rPr>
              <w:t>（以上提供人员资格证书原件</w:t>
            </w:r>
            <w:r>
              <w:rPr>
                <w:rFonts w:hint="eastAsia"/>
                <w:szCs w:val="21"/>
                <w:lang w:val="en-US" w:eastAsia="zh-CN"/>
              </w:rPr>
              <w:t>的真彩扫描打印</w:t>
            </w:r>
            <w:r>
              <w:rPr>
                <w:rFonts w:hint="eastAsia"/>
                <w:szCs w:val="21"/>
              </w:rPr>
              <w:t>件加盖公章为准）</w:t>
            </w:r>
          </w:p>
        </w:tc>
      </w:tr>
      <w:tr>
        <w:tblPrEx>
          <w:tblCellMar>
            <w:top w:w="0" w:type="dxa"/>
            <w:left w:w="108" w:type="dxa"/>
            <w:bottom w:w="0" w:type="dxa"/>
            <w:right w:w="108" w:type="dxa"/>
          </w:tblCellMar>
        </w:tblPrEx>
        <w:trPr>
          <w:trHeight w:val="353" w:hRule="atLeast"/>
          <w:tblHeader/>
        </w:trPr>
        <w:tc>
          <w:tcPr>
            <w:tcW w:w="2662"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textAlignment w:val="baseline"/>
              <w:rPr>
                <w:sz w:val="20"/>
                <w:szCs w:val="21"/>
              </w:rPr>
            </w:pPr>
            <w:r>
              <w:rPr>
                <w:rFonts w:hint="eastAsia"/>
                <w:szCs w:val="21"/>
              </w:rPr>
              <w:t>总分</w:t>
            </w:r>
          </w:p>
        </w:tc>
        <w:tc>
          <w:tcPr>
            <w:tcW w:w="7084" w:type="dxa"/>
            <w:tcBorders>
              <w:top w:val="single" w:color="auto" w:sz="4" w:space="0"/>
              <w:left w:val="nil"/>
              <w:bottom w:val="single" w:color="auto" w:sz="4" w:space="0"/>
              <w:right w:val="single" w:color="auto" w:sz="4" w:space="0"/>
            </w:tcBorders>
            <w:vAlign w:val="center"/>
          </w:tcPr>
          <w:p>
            <w:pPr>
              <w:spacing w:line="276" w:lineRule="auto"/>
              <w:ind w:firstLine="480"/>
              <w:jc w:val="center"/>
              <w:textAlignment w:val="baseline"/>
              <w:rPr>
                <w:sz w:val="20"/>
                <w:szCs w:val="21"/>
              </w:rPr>
            </w:pPr>
            <w:r>
              <w:rPr>
                <w:rFonts w:hint="eastAsia"/>
                <w:szCs w:val="21"/>
              </w:rPr>
              <w:t>100分</w:t>
            </w:r>
          </w:p>
        </w:tc>
      </w:tr>
    </w:tbl>
    <w:p>
      <w:pPr>
        <w:tabs>
          <w:tab w:val="left" w:pos="856"/>
        </w:tabs>
        <w:sectPr>
          <w:pgSz w:w="11910" w:h="16840"/>
          <w:pgMar w:top="1600" w:right="940" w:bottom="1100" w:left="740" w:header="0" w:footer="913" w:gutter="0"/>
          <w:cols w:space="720" w:num="1"/>
        </w:sectPr>
      </w:pPr>
    </w:p>
    <w:p/>
    <w:p>
      <w:pPr>
        <w:pStyle w:val="3"/>
        <w:numPr>
          <w:ilvl w:val="0"/>
          <w:numId w:val="1"/>
        </w:numPr>
        <w:jc w:val="center"/>
        <w:rPr>
          <w:rFonts w:ascii="黑体" w:hAnsi="黑体" w:eastAsia="黑体"/>
        </w:rPr>
      </w:pPr>
      <w:bookmarkStart w:id="59" w:name="_Toc494665943"/>
      <w:bookmarkStart w:id="60" w:name="_Toc494702263"/>
      <w:bookmarkStart w:id="61" w:name="_Toc494664993"/>
      <w:bookmarkStart w:id="62" w:name="_Toc494665546"/>
      <w:bookmarkStart w:id="63" w:name="_Toc494721093"/>
      <w:bookmarkStart w:id="64" w:name="_Toc494745310"/>
      <w:bookmarkStart w:id="65" w:name="_Toc495861545"/>
      <w:r>
        <w:rPr>
          <w:rFonts w:hint="eastAsia" w:ascii="黑体" w:hAnsi="黑体" w:eastAsia="黑体"/>
        </w:rPr>
        <w:t>合同书格式（参考）</w:t>
      </w:r>
      <w:bookmarkEnd w:id="59"/>
      <w:bookmarkEnd w:id="60"/>
      <w:bookmarkEnd w:id="61"/>
      <w:bookmarkEnd w:id="62"/>
      <w:bookmarkEnd w:id="63"/>
      <w:bookmarkEnd w:id="64"/>
      <w:bookmarkEnd w:id="65"/>
    </w:p>
    <w:p>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pPr>
        <w:spacing w:beforeLines="25" w:line="360" w:lineRule="auto"/>
        <w:ind w:firstLine="480"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（采购人）</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（中标人）</w:t>
      </w:r>
      <w:r>
        <w:rPr>
          <w:rFonts w:hint="eastAsia" w:ascii="Helvetica" w:hAnsi="Helvetica" w:eastAsia="宋体" w:cs="Helvetica"/>
          <w:kern w:val="0"/>
          <w:sz w:val="24"/>
          <w:szCs w:val="24"/>
          <w:lang w:val="zh-CN"/>
        </w:rPr>
        <w:t>（以下简称“乙方”）签订。乙方以总金额万元人民币（用大写数字书写）向甲方提供如下货物（工程或服务）：</w:t>
      </w:r>
    </w:p>
    <w:p>
      <w:pPr>
        <w:spacing w:beforeLines="25" w:line="360" w:lineRule="auto"/>
        <w:ind w:firstLine="489"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pPr>
        <w:numPr>
          <w:ilvl w:val="3"/>
          <w:numId w:val="53"/>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本合同甲、乙双方应遵守国家颁布的《中华人民共和国合同法》、《中华人民共和国政府采购法》，并各自履行应负的全部责任和义务。</w:t>
      </w:r>
    </w:p>
    <w:p>
      <w:pPr>
        <w:numPr>
          <w:ilvl w:val="3"/>
          <w:numId w:val="53"/>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pPr>
        <w:numPr>
          <w:ilvl w:val="3"/>
          <w:numId w:val="53"/>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pPr>
        <w:numPr>
          <w:ilvl w:val="3"/>
          <w:numId w:val="53"/>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pPr>
        <w:numPr>
          <w:ilvl w:val="0"/>
          <w:numId w:val="54"/>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pPr>
        <w:numPr>
          <w:ilvl w:val="0"/>
          <w:numId w:val="54"/>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pPr>
        <w:numPr>
          <w:ilvl w:val="0"/>
          <w:numId w:val="54"/>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pPr>
        <w:numPr>
          <w:ilvl w:val="0"/>
          <w:numId w:val="54"/>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pPr>
        <w:numPr>
          <w:ilvl w:val="0"/>
          <w:numId w:val="54"/>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采购机构发出的中标通知书；</w:t>
      </w:r>
    </w:p>
    <w:p>
      <w:pPr>
        <w:numPr>
          <w:ilvl w:val="0"/>
          <w:numId w:val="54"/>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pPr>
        <w:numPr>
          <w:ilvl w:val="0"/>
          <w:numId w:val="55"/>
        </w:numPr>
        <w:spacing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在招标期间发布的所有补充通知；</w:t>
      </w:r>
    </w:p>
    <w:p>
      <w:pPr>
        <w:numPr>
          <w:ilvl w:val="0"/>
          <w:numId w:val="55"/>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乙方在投标期内补充的所有书面文件；</w:t>
      </w:r>
    </w:p>
    <w:p>
      <w:pPr>
        <w:numPr>
          <w:ilvl w:val="0"/>
          <w:numId w:val="55"/>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pPr>
        <w:numPr>
          <w:ilvl w:val="0"/>
          <w:numId w:val="55"/>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pPr>
        <w:numPr>
          <w:ilvl w:val="3"/>
          <w:numId w:val="53"/>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pPr>
        <w:numPr>
          <w:ilvl w:val="3"/>
          <w:numId w:val="53"/>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pPr>
        <w:numPr>
          <w:ilvl w:val="3"/>
          <w:numId w:val="53"/>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pPr>
        <w:numPr>
          <w:ilvl w:val="3"/>
          <w:numId w:val="53"/>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pPr>
        <w:numPr>
          <w:ilvl w:val="3"/>
          <w:numId w:val="53"/>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pPr>
        <w:numPr>
          <w:ilvl w:val="3"/>
          <w:numId w:val="53"/>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pPr>
        <w:numPr>
          <w:ilvl w:val="3"/>
          <w:numId w:val="53"/>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pPr>
        <w:numPr>
          <w:ilvl w:val="3"/>
          <w:numId w:val="53"/>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r>
        <w:br w:type="page"/>
      </w:r>
    </w:p>
    <w:p>
      <w:pPr>
        <w:pStyle w:val="3"/>
        <w:numPr>
          <w:ilvl w:val="0"/>
          <w:numId w:val="1"/>
        </w:numPr>
        <w:jc w:val="center"/>
        <w:rPr>
          <w:rFonts w:ascii="黑体" w:hAnsi="黑体" w:eastAsia="黑体"/>
        </w:rPr>
      </w:pPr>
      <w:bookmarkStart w:id="66" w:name="_Toc494721094"/>
      <w:bookmarkStart w:id="67" w:name="_Toc494702264"/>
      <w:bookmarkStart w:id="68" w:name="_Toc494664994"/>
      <w:bookmarkStart w:id="69" w:name="_Toc494665944"/>
      <w:bookmarkStart w:id="70" w:name="_Toc494665547"/>
      <w:bookmarkStart w:id="71" w:name="_Toc494745311"/>
      <w:bookmarkStart w:id="72" w:name="_Toc495861546"/>
      <w:r>
        <w:rPr>
          <w:rFonts w:hint="eastAsia" w:ascii="黑体" w:hAnsi="黑体" w:eastAsia="黑体"/>
        </w:rPr>
        <w:t>投标文件格式（参考）</w:t>
      </w:r>
      <w:bookmarkEnd w:id="66"/>
      <w:bookmarkEnd w:id="67"/>
      <w:bookmarkEnd w:id="68"/>
      <w:bookmarkEnd w:id="69"/>
      <w:bookmarkEnd w:id="70"/>
      <w:bookmarkEnd w:id="71"/>
      <w:bookmarkEnd w:id="72"/>
    </w:p>
    <w:p>
      <w:pPr>
        <w:spacing w:afterLines="250"/>
        <w:jc w:val="center"/>
        <w:rPr>
          <w:rFonts w:ascii="黑体" w:hAnsi="黑体" w:eastAsia="黑体"/>
          <w:b/>
          <w:sz w:val="56"/>
          <w:szCs w:val="56"/>
        </w:rPr>
      </w:pPr>
      <w:r>
        <w:rPr>
          <w:rFonts w:hint="eastAsia" w:ascii="黑体" w:hAnsi="黑体" w:eastAsia="黑体"/>
          <w:b/>
          <w:sz w:val="56"/>
          <w:szCs w:val="56"/>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spacing w:afterLines="200"/>
        <w:jc w:val="center"/>
        <w:rPr>
          <w:rFonts w:ascii="黑体" w:hAnsi="黑体" w:eastAsia="黑体"/>
          <w:b/>
          <w:sz w:val="144"/>
          <w:szCs w:val="144"/>
        </w:rPr>
      </w:pPr>
    </w:p>
    <w:p>
      <w:pPr>
        <w:pStyle w:val="4"/>
        <w:spacing w:before="340" w:after="480" w:line="360" w:lineRule="auto"/>
        <w:jc w:val="center"/>
        <w:rPr>
          <w:rFonts w:cs="Times New Roman" w:asciiTheme="majorEastAsia" w:hAnsiTheme="majorEastAsia"/>
          <w:bCs w:val="0"/>
          <w:sz w:val="44"/>
          <w:szCs w:val="44"/>
          <w:lang w:val="zh-CN"/>
        </w:rPr>
      </w:pPr>
      <w:bookmarkStart w:id="73" w:name="_Toc494721095"/>
      <w:bookmarkStart w:id="74" w:name="_Toc495861547"/>
      <w:bookmarkStart w:id="75" w:name="_Toc494702265"/>
      <w:bookmarkStart w:id="76" w:name="_Toc494665945"/>
      <w:bookmarkStart w:id="77" w:name="_Toc494664995"/>
      <w:bookmarkStart w:id="78" w:name="_Toc494745312"/>
      <w:bookmarkStart w:id="79" w:name="_Toc494665548"/>
      <w:r>
        <w:rPr>
          <w:rFonts w:hint="eastAsia" w:cs="Times New Roman" w:asciiTheme="majorEastAsia" w:hAnsiTheme="majorEastAsia"/>
          <w:bCs w:val="0"/>
          <w:sz w:val="44"/>
          <w:szCs w:val="44"/>
          <w:lang w:val="zh-CN"/>
        </w:rPr>
        <w:t>第一部分 资格证明文件</w:t>
      </w:r>
      <w:bookmarkEnd w:id="73"/>
      <w:bookmarkEnd w:id="74"/>
      <w:bookmarkEnd w:id="75"/>
      <w:bookmarkEnd w:id="76"/>
      <w:bookmarkEnd w:id="77"/>
      <w:bookmarkEnd w:id="78"/>
      <w:bookmarkEnd w:id="79"/>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right="1287" w:rightChars="613"/>
        <w:jc w:val="center"/>
        <w:rPr>
          <w:rFonts w:cs="Times New Roman" w:asciiTheme="minorEastAsia" w:hAnsiTheme="minorEastAsia"/>
          <w:b/>
          <w:bCs/>
          <w:sz w:val="96"/>
          <w:szCs w:val="96"/>
        </w:rPr>
      </w:pPr>
      <w:r>
        <w:rPr>
          <w:rFonts w:hint="eastAsia" w:cs="Times New Roman" w:asciiTheme="minorEastAsia" w:hAnsiTheme="minorEastAsia"/>
          <w:b/>
          <w:bCs/>
          <w:sz w:val="96"/>
          <w:szCs w:val="96"/>
        </w:rPr>
        <w:t xml:space="preserve">   投标人（盖章）</w:t>
      </w:r>
    </w:p>
    <w:p>
      <w:pPr>
        <w:spacing w:line="360" w:lineRule="auto"/>
        <w:ind w:left="1971" w:leftChars="939" w:right="1287" w:rightChars="613" w:firstLine="1104" w:firstLineChars="345"/>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80" w:name="_Toc494745313"/>
      <w:bookmarkStart w:id="81" w:name="_Toc494702266"/>
      <w:bookmarkStart w:id="82" w:name="_Toc494665549"/>
      <w:bookmarkStart w:id="83" w:name="_Toc494665946"/>
      <w:bookmarkStart w:id="84" w:name="_Toc494664996"/>
      <w:bookmarkStart w:id="85" w:name="_Toc494721096"/>
      <w:r>
        <w:rPr>
          <w:rFonts w:hint="eastAsia" w:ascii="黑体" w:hAnsi="黑体" w:eastAsia="黑体" w:cs="Times New Roman"/>
          <w:b/>
          <w:sz w:val="36"/>
          <w:szCs w:val="36"/>
        </w:rPr>
        <w:t>资格证明文件组成</w:t>
      </w:r>
      <w:bookmarkEnd w:id="80"/>
      <w:bookmarkEnd w:id="81"/>
      <w:bookmarkEnd w:id="82"/>
      <w:bookmarkEnd w:id="83"/>
      <w:bookmarkEnd w:id="84"/>
      <w:bookmarkEnd w:id="85"/>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由各投标人根据参考格式要求自行编写。目录清晰、内容详尽、易于理解和审查。具体内容应包括但不限于以下内容：</w:t>
      </w:r>
    </w:p>
    <w:p>
      <w:pPr>
        <w:numPr>
          <w:ilvl w:val="0"/>
          <w:numId w:val="56"/>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56"/>
        </w:numPr>
        <w:autoSpaceDE w:val="0"/>
        <w:autoSpaceDN w:val="0"/>
        <w:adjustRightInd w:val="0"/>
        <w:spacing w:line="360" w:lineRule="auto"/>
        <w:ind w:left="490" w:hanging="370"/>
        <w:rPr>
          <w:rFonts w:ascii="宋体" w:hAnsi="宋体" w:eastAsia="宋体" w:cs="Times New Roman"/>
          <w:b/>
          <w:color w:val="0C0C0C" w:themeColor="text1" w:themeTint="F2"/>
          <w:kern w:val="0"/>
          <w:sz w:val="24"/>
          <w:szCs w:val="32"/>
        </w:rPr>
      </w:pPr>
      <w:r>
        <w:rPr>
          <w:rFonts w:hint="eastAsia" w:ascii="宋体" w:hAnsi="宋体"/>
          <w:color w:val="0C0C0C" w:themeColor="text1" w:themeTint="F2"/>
          <w:kern w:val="0"/>
          <w:sz w:val="24"/>
          <w:szCs w:val="32"/>
        </w:rPr>
        <w:t>应具备《政府采购法》第二十二条第一款规定的条件，提供下列材料：</w:t>
      </w:r>
    </w:p>
    <w:p>
      <w:pPr>
        <w:pStyle w:val="31"/>
        <w:numPr>
          <w:ilvl w:val="0"/>
          <w:numId w:val="57"/>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p>
    <w:p>
      <w:pPr>
        <w:pStyle w:val="31"/>
        <w:numPr>
          <w:ilvl w:val="0"/>
          <w:numId w:val="57"/>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财务状况报告，依法缴纳税收和社会保障资金的相关材料；</w:t>
      </w:r>
    </w:p>
    <w:p>
      <w:pPr>
        <w:pStyle w:val="31"/>
        <w:numPr>
          <w:ilvl w:val="0"/>
          <w:numId w:val="57"/>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pPr>
        <w:pStyle w:val="31"/>
        <w:numPr>
          <w:ilvl w:val="0"/>
          <w:numId w:val="57"/>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参加政府采购活动前3年内在经营活动中没有重大违法记录的书面声明；</w:t>
      </w:r>
    </w:p>
    <w:p>
      <w:pPr>
        <w:pStyle w:val="31"/>
        <w:numPr>
          <w:ilvl w:val="0"/>
          <w:numId w:val="57"/>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pPr>
        <w:numPr>
          <w:ilvl w:val="0"/>
          <w:numId w:val="56"/>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未被“信用中国”网站(www.creditchina.gov.cn)列入失信被执行人、重大税收违法案件当事人名单、政府采购严重违法失信行为记录名单的书面申明及该网站查询结果页面截图；</w:t>
      </w:r>
    </w:p>
    <w:p>
      <w:pPr>
        <w:numPr>
          <w:ilvl w:val="0"/>
          <w:numId w:val="56"/>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投标人应提供无行贿犯罪记录查询证明（提供在中国裁判文书网的查询结果截图）；</w:t>
      </w:r>
    </w:p>
    <w:p>
      <w:pPr>
        <w:numPr>
          <w:ilvl w:val="0"/>
          <w:numId w:val="56"/>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招标文件第一章“投标人资格要求”中有特殊要求的，投标人应提供其符合特殊要求的证明材料或者情况说明；</w:t>
      </w:r>
    </w:p>
    <w:p>
      <w:pPr>
        <w:numPr>
          <w:ilvl w:val="0"/>
          <w:numId w:val="56"/>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不符合联合体投标相关规定和要</w:t>
      </w:r>
      <w:r>
        <w:rPr>
          <w:rFonts w:hint="eastAsia" w:ascii="宋体" w:hAnsi="宋体" w:eastAsia="宋体" w:cs="Courier New"/>
          <w:color w:val="0D0D0D"/>
          <w:sz w:val="24"/>
          <w:szCs w:val="24"/>
        </w:rPr>
        <w:t>求的（适用于接受联合体投标的项目）；</w:t>
      </w:r>
    </w:p>
    <w:p>
      <w:pPr>
        <w:numPr>
          <w:ilvl w:val="0"/>
          <w:numId w:val="56"/>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0D0D0D"/>
          <w:sz w:val="24"/>
          <w:szCs w:val="24"/>
        </w:rPr>
      </w:pPr>
    </w:p>
    <w:p>
      <w:pPr>
        <w:autoSpaceDE w:val="0"/>
        <w:autoSpaceDN w:val="0"/>
        <w:adjustRightInd w:val="0"/>
        <w:spacing w:line="400" w:lineRule="exact"/>
        <w:ind w:left="490"/>
        <w:rPr>
          <w:rFonts w:ascii="Calibri" w:hAnsi="宋体" w:eastAsia="宋体" w:cs="Times New Roman"/>
          <w:color w:val="0D0D0D"/>
          <w:sz w:val="24"/>
          <w:szCs w:val="24"/>
        </w:rPr>
      </w:pPr>
    </w:p>
    <w:p>
      <w:r>
        <w:rPr>
          <w:rFonts w:hint="eastAsia" w:ascii="宋体" w:hAnsi="宋体" w:eastAsia="宋体" w:cs="Times New Roman"/>
          <w:sz w:val="24"/>
          <w:szCs w:val="24"/>
        </w:rPr>
        <w:t>说明：资格证明文件正本应为清晰彩色影印件且加盖单位公章，否则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4"/>
        <w:spacing w:before="340" w:after="480" w:line="360" w:lineRule="auto"/>
        <w:jc w:val="center"/>
        <w:rPr>
          <w:rFonts w:cs="Times New Roman" w:asciiTheme="majorEastAsia" w:hAnsiTheme="majorEastAsia"/>
          <w:bCs w:val="0"/>
          <w:sz w:val="44"/>
          <w:szCs w:val="44"/>
          <w:lang w:val="zh-CN"/>
        </w:rPr>
      </w:pPr>
      <w:bookmarkStart w:id="86" w:name="_Toc494664997"/>
      <w:bookmarkStart w:id="87" w:name="_Toc494745314"/>
      <w:bookmarkStart w:id="88" w:name="_Toc495861548"/>
      <w:bookmarkStart w:id="89" w:name="_Toc494721097"/>
      <w:bookmarkStart w:id="90" w:name="_Toc494702267"/>
      <w:bookmarkStart w:id="91" w:name="_Toc494665947"/>
      <w:bookmarkStart w:id="92" w:name="_Toc494665550"/>
    </w:p>
    <w:p>
      <w:pPr>
        <w:pStyle w:val="4"/>
        <w:spacing w:before="340" w:after="480" w:line="360" w:lineRule="auto"/>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第二部分 商务文件</w:t>
      </w:r>
      <w:bookmarkEnd w:id="86"/>
      <w:bookmarkEnd w:id="87"/>
      <w:bookmarkEnd w:id="88"/>
      <w:bookmarkEnd w:id="89"/>
      <w:bookmarkEnd w:id="90"/>
      <w:bookmarkEnd w:id="91"/>
      <w:bookmarkEnd w:id="92"/>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93" w:name="_Toc494664998"/>
      <w:bookmarkStart w:id="94" w:name="_Toc494721098"/>
      <w:bookmarkStart w:id="95" w:name="_Toc494745315"/>
      <w:bookmarkStart w:id="96" w:name="_Toc494665948"/>
      <w:bookmarkStart w:id="97" w:name="_Toc494702268"/>
      <w:bookmarkStart w:id="98" w:name="_Toc494665551"/>
      <w:r>
        <w:rPr>
          <w:rFonts w:hint="eastAsia" w:ascii="黑体" w:hAnsi="黑体" w:eastAsia="黑体" w:cs="Times New Roman"/>
          <w:b/>
          <w:sz w:val="36"/>
          <w:szCs w:val="36"/>
        </w:rPr>
        <w:t>商务文件组成</w:t>
      </w:r>
      <w:bookmarkEnd w:id="93"/>
      <w:bookmarkEnd w:id="94"/>
      <w:bookmarkEnd w:id="95"/>
      <w:bookmarkEnd w:id="96"/>
      <w:bookmarkEnd w:id="97"/>
      <w:bookmarkEnd w:id="98"/>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58"/>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58"/>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投标书（附件一）；</w:t>
      </w:r>
    </w:p>
    <w:p>
      <w:pPr>
        <w:numPr>
          <w:ilvl w:val="0"/>
          <w:numId w:val="58"/>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制造商中小企业声明函（附件二）；</w:t>
      </w:r>
    </w:p>
    <w:p>
      <w:pPr>
        <w:numPr>
          <w:ilvl w:val="0"/>
          <w:numId w:val="58"/>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kern w:val="0"/>
          <w:sz w:val="24"/>
          <w:szCs w:val="32"/>
        </w:rPr>
        <w:t>中小企业声</w:t>
      </w:r>
      <w:r>
        <w:rPr>
          <w:rFonts w:hint="eastAsia" w:ascii="宋体" w:hAnsi="宋体" w:eastAsia="宋体" w:cs="Times New Roman"/>
          <w:color w:val="0D0D0D"/>
          <w:kern w:val="0"/>
          <w:sz w:val="24"/>
          <w:szCs w:val="32"/>
        </w:rPr>
        <w:t>明函（附件三）；</w:t>
      </w:r>
    </w:p>
    <w:p>
      <w:pPr>
        <w:numPr>
          <w:ilvl w:val="0"/>
          <w:numId w:val="58"/>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残疾人福利性单位声明函（附件四）</w:t>
      </w:r>
    </w:p>
    <w:p>
      <w:pPr>
        <w:numPr>
          <w:ilvl w:val="0"/>
          <w:numId w:val="58"/>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开标一览表（附件五）；</w:t>
      </w:r>
    </w:p>
    <w:p>
      <w:pPr>
        <w:numPr>
          <w:ilvl w:val="0"/>
          <w:numId w:val="58"/>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投标报价明细表（附件六）；</w:t>
      </w:r>
    </w:p>
    <w:p>
      <w:pPr>
        <w:numPr>
          <w:ilvl w:val="0"/>
          <w:numId w:val="58"/>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小型和微型企业、监狱企业、残疾人福利性单位货物汇总表（附件七）；</w:t>
      </w:r>
    </w:p>
    <w:p>
      <w:pPr>
        <w:numPr>
          <w:ilvl w:val="0"/>
          <w:numId w:val="58"/>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投标货物、服务清单（附件八）；</w:t>
      </w:r>
    </w:p>
    <w:p>
      <w:pPr>
        <w:numPr>
          <w:ilvl w:val="0"/>
          <w:numId w:val="58"/>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交纳投标保证金的银行凭证（附件九，适用招标文件有交纳要求的应当提供）；</w:t>
      </w:r>
    </w:p>
    <w:p>
      <w:pPr>
        <w:numPr>
          <w:ilvl w:val="0"/>
          <w:numId w:val="58"/>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法定代表人授权书（附件十）；</w:t>
      </w:r>
    </w:p>
    <w:p>
      <w:pPr>
        <w:numPr>
          <w:ilvl w:val="0"/>
          <w:numId w:val="58"/>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关于不存在招标文件第二章“</w:t>
      </w:r>
      <w:r>
        <w:rPr>
          <w:rFonts w:hint="eastAsia" w:ascii="宋体" w:hAnsi="宋体" w:eastAsia="宋体" w:cs="Courier New"/>
          <w:color w:val="0D0D0D"/>
          <w:sz w:val="24"/>
          <w:szCs w:val="24"/>
          <w:highlight w:val="yellow"/>
        </w:rPr>
        <w:t>十  其他注意事项</w:t>
      </w:r>
      <w:r>
        <w:rPr>
          <w:rFonts w:hint="eastAsia" w:ascii="宋体" w:hAnsi="宋体" w:eastAsia="宋体" w:cs="Courier New"/>
          <w:color w:val="0D0D0D"/>
          <w:sz w:val="24"/>
          <w:szCs w:val="24"/>
        </w:rPr>
        <w:t>”中规定禁止情形的书面声明；</w:t>
      </w:r>
    </w:p>
    <w:p>
      <w:pPr>
        <w:numPr>
          <w:ilvl w:val="0"/>
          <w:numId w:val="58"/>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投标人的资格声明（附件十一）；</w:t>
      </w:r>
    </w:p>
    <w:p>
      <w:pPr>
        <w:numPr>
          <w:ilvl w:val="0"/>
          <w:numId w:val="58"/>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项目负责人、技术负责人简历表（附件十二）；</w:t>
      </w:r>
    </w:p>
    <w:p>
      <w:pPr>
        <w:numPr>
          <w:ilvl w:val="0"/>
          <w:numId w:val="58"/>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项目班子成员情况表（附件十三）；</w:t>
      </w:r>
    </w:p>
    <w:p>
      <w:pPr>
        <w:numPr>
          <w:ilvl w:val="0"/>
          <w:numId w:val="58"/>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投标人类似项目业绩表（附件十四）；</w:t>
      </w:r>
    </w:p>
    <w:p>
      <w:pPr>
        <w:numPr>
          <w:ilvl w:val="0"/>
          <w:numId w:val="58"/>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招标文件要求提供或投标人认为需提供的其它资料；</w:t>
      </w:r>
    </w:p>
    <w:p>
      <w:pPr>
        <w:numPr>
          <w:ilvl w:val="0"/>
          <w:numId w:val="58"/>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符合性审查对照表（附件十五）；</w:t>
      </w:r>
    </w:p>
    <w:p>
      <w:pPr>
        <w:numPr>
          <w:ilvl w:val="0"/>
          <w:numId w:val="58"/>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商务要求响应、偏离说明表（附件十六）；</w:t>
      </w:r>
    </w:p>
    <w:p>
      <w:pPr>
        <w:numPr>
          <w:ilvl w:val="0"/>
          <w:numId w:val="58"/>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商务要求“★”号条款响应、偏离说明表（附件十七）</w:t>
      </w:r>
    </w:p>
    <w:p>
      <w:pPr>
        <w:numPr>
          <w:ilvl w:val="0"/>
          <w:numId w:val="58"/>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商务评议对照表（附件十八）。</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4"/>
        <w:spacing w:before="340" w:after="480" w:line="360" w:lineRule="auto"/>
        <w:jc w:val="center"/>
        <w:rPr>
          <w:rFonts w:cs="Times New Roman" w:asciiTheme="majorEastAsia" w:hAnsiTheme="majorEastAsia"/>
          <w:bCs w:val="0"/>
          <w:sz w:val="44"/>
          <w:szCs w:val="44"/>
          <w:lang w:val="zh-CN"/>
        </w:rPr>
      </w:pPr>
      <w:bookmarkStart w:id="99" w:name="_Toc494664999"/>
      <w:bookmarkStart w:id="100" w:name="_Toc495861549"/>
      <w:bookmarkStart w:id="101" w:name="_Toc494702269"/>
      <w:bookmarkStart w:id="102" w:name="_Toc494665552"/>
      <w:bookmarkStart w:id="103" w:name="_Toc494721099"/>
      <w:bookmarkStart w:id="104" w:name="_Toc494665949"/>
      <w:bookmarkStart w:id="105" w:name="_Toc494745316"/>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第三部分 技术、服务文件</w:t>
      </w:r>
      <w:bookmarkEnd w:id="99"/>
      <w:bookmarkEnd w:id="100"/>
      <w:bookmarkEnd w:id="101"/>
      <w:bookmarkEnd w:id="102"/>
      <w:bookmarkEnd w:id="103"/>
      <w:bookmarkEnd w:id="104"/>
      <w:bookmarkEnd w:id="105"/>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06" w:name="_Toc494665950"/>
      <w:bookmarkStart w:id="107" w:name="_Toc494721100"/>
      <w:bookmarkStart w:id="108" w:name="_Toc494665553"/>
      <w:bookmarkStart w:id="109" w:name="_Toc494702270"/>
      <w:bookmarkStart w:id="110" w:name="_Toc494665000"/>
      <w:bookmarkStart w:id="111" w:name="_Toc494745317"/>
      <w:r>
        <w:rPr>
          <w:rFonts w:hint="eastAsia" w:ascii="黑体" w:hAnsi="黑体" w:eastAsia="黑体" w:cs="Times New Roman"/>
          <w:b/>
          <w:bCs/>
          <w:sz w:val="36"/>
          <w:szCs w:val="36"/>
          <w:lang w:val="zh-CN"/>
        </w:rPr>
        <w:t>技术</w:t>
      </w:r>
      <w:r>
        <w:rPr>
          <w:rFonts w:hint="eastAsia" w:ascii="黑体" w:hAnsi="黑体" w:eastAsia="黑体" w:cs="Times New Roman"/>
          <w:b/>
          <w:sz w:val="36"/>
          <w:szCs w:val="36"/>
        </w:rPr>
        <w:t>、服务文件组成</w:t>
      </w:r>
      <w:bookmarkEnd w:id="106"/>
      <w:bookmarkEnd w:id="107"/>
      <w:bookmarkEnd w:id="108"/>
      <w:bookmarkEnd w:id="109"/>
      <w:bookmarkEnd w:id="110"/>
      <w:bookmarkEnd w:id="111"/>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59"/>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技术、服务文件目录（目录应涵盖下述所有资料，页码清晰以便查阅）；</w:t>
      </w:r>
    </w:p>
    <w:p>
      <w:pPr>
        <w:numPr>
          <w:ilvl w:val="0"/>
          <w:numId w:val="59"/>
        </w:numPr>
        <w:autoSpaceDE w:val="0"/>
        <w:autoSpaceDN w:val="0"/>
        <w:adjustRightInd w:val="0"/>
        <w:spacing w:line="360" w:lineRule="auto"/>
        <w:ind w:left="488" w:hanging="369"/>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pPr>
        <w:numPr>
          <w:ilvl w:val="0"/>
          <w:numId w:val="59"/>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技术、服务要求响应、偏离说明表（附件十九）；</w:t>
      </w:r>
    </w:p>
    <w:p>
      <w:pPr>
        <w:numPr>
          <w:ilvl w:val="0"/>
          <w:numId w:val="59"/>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技术、服务要求“★”号条款响应、偏离说明表（附件二十）；</w:t>
      </w:r>
    </w:p>
    <w:p>
      <w:pPr>
        <w:numPr>
          <w:ilvl w:val="0"/>
          <w:numId w:val="59"/>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技术、服务评议对照表（附件二十一）；</w:t>
      </w:r>
    </w:p>
    <w:p>
      <w:pPr>
        <w:numPr>
          <w:ilvl w:val="0"/>
          <w:numId w:val="59"/>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rPr>
      </w:pPr>
    </w:p>
    <w:p>
      <w:pPr>
        <w:autoSpaceDE w:val="0"/>
        <w:autoSpaceDN w:val="0"/>
        <w:adjustRightInd w:val="0"/>
        <w:spacing w:line="360" w:lineRule="auto"/>
        <w:ind w:left="715" w:leftChars="-6" w:hanging="727" w:hangingChars="303"/>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4"/>
        <w:numPr>
          <w:ilvl w:val="0"/>
          <w:numId w:val="60"/>
        </w:numPr>
        <w:spacing w:before="100" w:beforeAutospacing="1" w:afterLines="50" w:line="360" w:lineRule="auto"/>
        <w:ind w:left="1288" w:hanging="1288"/>
        <w:rPr>
          <w:rFonts w:ascii="宋体" w:hAnsi="宋体" w:eastAsia="宋体"/>
        </w:rPr>
      </w:pPr>
      <w:bookmarkStart w:id="112" w:name="_Toc495861550"/>
      <w:bookmarkStart w:id="113" w:name="_Toc494665001"/>
      <w:bookmarkStart w:id="114" w:name="_Toc494745318"/>
      <w:bookmarkStart w:id="115" w:name="_Toc236473298"/>
      <w:bookmarkStart w:id="116" w:name="_Toc494665554"/>
      <w:bookmarkStart w:id="117" w:name="_Toc494702271"/>
      <w:bookmarkStart w:id="118" w:name="_Toc494665951"/>
      <w:bookmarkStart w:id="119" w:name="_Toc238276242"/>
      <w:bookmarkStart w:id="120" w:name="_Toc494721101"/>
      <w:r>
        <w:rPr>
          <w:rFonts w:hint="eastAsia" w:ascii="宋体" w:hAnsi="宋体" w:eastAsia="宋体"/>
        </w:rPr>
        <w:t>投标书</w:t>
      </w:r>
      <w:bookmarkEnd w:id="112"/>
      <w:bookmarkEnd w:id="113"/>
      <w:bookmarkEnd w:id="114"/>
      <w:bookmarkEnd w:id="115"/>
      <w:bookmarkEnd w:id="116"/>
      <w:bookmarkEnd w:id="117"/>
      <w:bookmarkEnd w:id="118"/>
      <w:bookmarkEnd w:id="119"/>
      <w:bookmarkEnd w:id="120"/>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80" w:firstLineChars="200"/>
        <w:rPr>
          <w:rFonts w:asciiTheme="minorEastAsia" w:hAnsiTheme="minorEastAsia"/>
          <w:color w:val="0C0C0C" w:themeColor="text1" w:themeTint="F2"/>
          <w:sz w:val="24"/>
          <w:szCs w:val="24"/>
        </w:rPr>
      </w:pPr>
      <w:r>
        <w:rPr>
          <w:rFonts w:hint="eastAsia" w:asciiTheme="minorEastAsia" w:hAnsiTheme="minorEastAsia"/>
          <w:color w:val="0C0C0C" w:themeColor="text1" w:themeTint="F2"/>
          <w:sz w:val="24"/>
          <w:szCs w:val="24"/>
        </w:rPr>
        <w:t>依据贵方___</w:t>
      </w:r>
      <w:r>
        <w:rPr>
          <w:rFonts w:hint="eastAsia" w:asciiTheme="minorEastAsia" w:hAnsiTheme="minorEastAsia"/>
          <w:color w:val="0C0C0C" w:themeColor="text1" w:themeTint="F2"/>
          <w:sz w:val="24"/>
          <w:szCs w:val="24"/>
          <w:u w:val="single"/>
        </w:rPr>
        <w:t xml:space="preserve">  _</w:t>
      </w:r>
      <w:r>
        <w:rPr>
          <w:rFonts w:hint="eastAsia" w:asciiTheme="minorEastAsia" w:hAnsiTheme="minorEastAsia"/>
          <w:color w:val="0C0C0C" w:themeColor="text1" w:themeTint="F2"/>
          <w:sz w:val="24"/>
          <w:szCs w:val="24"/>
        </w:rPr>
        <w:t>项目（项目编号：_____）招标的投标邀请，我方代表</w:t>
      </w:r>
      <w:r>
        <w:rPr>
          <w:rFonts w:hint="eastAsia" w:asciiTheme="minorEastAsia" w:hAnsiTheme="minorEastAsia"/>
          <w:color w:val="0C0C0C" w:themeColor="text1" w:themeTint="F2"/>
          <w:sz w:val="24"/>
          <w:szCs w:val="24"/>
          <w:u w:val="single"/>
        </w:rPr>
        <w:t>（姓名、职务）</w:t>
      </w:r>
      <w:r>
        <w:rPr>
          <w:rFonts w:hint="eastAsia" w:asciiTheme="minorEastAsia" w:hAnsiTheme="minorEastAsia"/>
          <w:color w:val="0C0C0C" w:themeColor="text1" w:themeTint="F2"/>
          <w:sz w:val="24"/>
          <w:szCs w:val="24"/>
        </w:rPr>
        <w:t>经正式授权并代表投标人</w:t>
      </w:r>
      <w:r>
        <w:rPr>
          <w:rFonts w:hint="eastAsia" w:asciiTheme="minorEastAsia" w:hAnsiTheme="minorEastAsia"/>
          <w:color w:val="0C0C0C" w:themeColor="text1" w:themeTint="F2"/>
          <w:sz w:val="24"/>
          <w:szCs w:val="24"/>
          <w:u w:val="single"/>
        </w:rPr>
        <w:t>（投标人全称 ）</w:t>
      </w:r>
      <w:r>
        <w:rPr>
          <w:rFonts w:hint="eastAsia" w:asciiTheme="minorEastAsia" w:hAnsiTheme="minorEastAsia"/>
          <w:color w:val="0C0C0C" w:themeColor="text1" w:themeTint="F2"/>
          <w:sz w:val="24"/>
          <w:szCs w:val="24"/>
        </w:rPr>
        <w:t>提交</w:t>
      </w:r>
      <w:r>
        <w:rPr>
          <w:rFonts w:hint="eastAsia" w:ascii="宋体" w:hAnsi="宋体"/>
          <w:color w:val="0C0C0C" w:themeColor="text1" w:themeTint="F2"/>
          <w:kern w:val="0"/>
          <w:sz w:val="24"/>
        </w:rPr>
        <w:t>“开标一览表”信封和下述文件正本份，副本份。</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eastAsia="宋体" w:cs="Times New Roman"/>
          <w:b/>
          <w:color w:val="0C0C0C" w:themeColor="text1" w:themeTint="F2"/>
          <w:kern w:val="0"/>
          <w:sz w:val="24"/>
          <w:szCs w:val="24"/>
        </w:rPr>
      </w:pPr>
      <w:r>
        <w:rPr>
          <w:rFonts w:hint="eastAsia" w:ascii="宋体" w:hAnsi="宋体" w:eastAsia="宋体" w:cs="Times New Roman"/>
          <w:b/>
          <w:color w:val="0C0C0C" w:themeColor="text1" w:themeTint="F2"/>
          <w:kern w:val="0"/>
          <w:sz w:val="24"/>
          <w:szCs w:val="24"/>
        </w:rPr>
        <w:t>在此，我方宣布同意如下：</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货物（工程或服务）投标总价为</w:t>
      </w:r>
      <w:r>
        <w:rPr>
          <w:rFonts w:hint="eastAsia" w:asciiTheme="minorEastAsia" w:hAnsiTheme="minorEastAsia"/>
          <w:sz w:val="24"/>
          <w:szCs w:val="24"/>
          <w:u w:val="single"/>
        </w:rPr>
        <w:t>（注明币种，并用大写和小写表述投标总价）</w:t>
      </w:r>
      <w:r>
        <w:rPr>
          <w:rFonts w:hint="eastAsia" w:asciiTheme="minorEastAsia" w:hAnsiTheme="minorEastAsia"/>
          <w:sz w:val="24"/>
          <w:szCs w:val="24"/>
        </w:rPr>
        <w:t>；</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4．投标有效期为</w:t>
      </w:r>
      <w:r>
        <w:rPr>
          <w:rFonts w:hint="eastAsia" w:asciiTheme="minorEastAsia" w:hAnsiTheme="minorEastAsia"/>
          <w:color w:val="0C0C0C" w:themeColor="text1" w:themeTint="F2"/>
          <w:sz w:val="24"/>
          <w:szCs w:val="24"/>
        </w:rPr>
        <w:t>自</w:t>
      </w:r>
      <w:r>
        <w:rPr>
          <w:rFonts w:hint="eastAsia" w:ascii="宋体" w:hAnsi="宋体"/>
          <w:color w:val="0C0C0C" w:themeColor="text1" w:themeTint="F2"/>
          <w:kern w:val="0"/>
          <w:sz w:val="24"/>
        </w:rPr>
        <w:t>递交投标文件截止之日</w:t>
      </w:r>
      <w:r>
        <w:rPr>
          <w:rFonts w:hint="eastAsia" w:asciiTheme="minorEastAsia" w:hAnsiTheme="minorEastAsia"/>
          <w:color w:val="0C0C0C" w:themeColor="text1" w:themeTint="F2"/>
          <w:sz w:val="24"/>
          <w:szCs w:val="24"/>
        </w:rPr>
        <w:t>起</w:t>
      </w:r>
      <w:r>
        <w:rPr>
          <w:rFonts w:hint="eastAsia" w:asciiTheme="minorEastAsia" w:hAnsiTheme="minorEastAsia"/>
          <w:sz w:val="24"/>
          <w:szCs w:val="24"/>
        </w:rPr>
        <w:t>，共个日历日；</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5．接受招标文件关于不予退还投标保证金的约定；</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6．提供按照贵方可能要求的与投标有关的一切数据或资料；</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kern w:val="0"/>
          <w:sz w:val="24"/>
          <w:szCs w:val="24"/>
        </w:rPr>
      </w:pP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4"/>
        <w:numPr>
          <w:ilvl w:val="0"/>
          <w:numId w:val="60"/>
        </w:numPr>
        <w:spacing w:before="100" w:beforeAutospacing="1" w:afterLines="50" w:line="360" w:lineRule="auto"/>
        <w:ind w:left="1288" w:hanging="1288"/>
        <w:rPr>
          <w:rFonts w:ascii="宋体" w:hAnsi="宋体" w:eastAsia="宋体"/>
        </w:rPr>
      </w:pPr>
      <w:bookmarkStart w:id="121" w:name="_Toc494665952"/>
      <w:bookmarkStart w:id="122" w:name="_Toc494665002"/>
      <w:bookmarkStart w:id="123" w:name="_Toc494721102"/>
      <w:bookmarkStart w:id="124" w:name="_Toc495861551"/>
      <w:bookmarkStart w:id="125" w:name="_Toc494745319"/>
      <w:bookmarkStart w:id="126" w:name="_Toc494702272"/>
      <w:bookmarkStart w:id="127" w:name="_Toc494665555"/>
      <w:r>
        <w:rPr>
          <w:rFonts w:hint="eastAsia" w:ascii="宋体" w:hAnsi="宋体" w:eastAsia="宋体"/>
        </w:rPr>
        <w:t>制造商中小企业声明函</w:t>
      </w:r>
      <w:bookmarkEnd w:id="121"/>
      <w:bookmarkEnd w:id="122"/>
      <w:bookmarkEnd w:id="123"/>
      <w:bookmarkEnd w:id="124"/>
      <w:bookmarkEnd w:id="125"/>
      <w:bookmarkEnd w:id="126"/>
      <w:bookmarkEnd w:id="127"/>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制造商中小企业声明函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中小企业声明函（工程、服务）</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 xml:space="preserve">　　1. （标的名称） ，属于（采购文件中明确的所属行业）； 承建（承接）企业为（企业名称），从业人员     人，营业收入为     万元，资产总额为    万元，属于（中型企业、小型企业、微型企业）； </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2. （标的名称） ，属于（采购文件中明确的所属行业）； 承建（承接）企业为（企业名称），从业人员    人，营业收入为    万元，资产总额为   </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 xml:space="preserve">万元，属于（中型企业、小型企业、微型企业）； </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以上企业，不属于大企业的分支机构，不存在控股股东为大企业的情形，也不存在与大企业的负责人为同一人的情形。</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 xml:space="preserve">本企业对上述声明内容的真实性负责。如有虚假，将依法承担相应责任。 </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 </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 xml:space="preserve">企业名称（盖章）： </w:t>
      </w:r>
    </w:p>
    <w:p>
      <w:pPr>
        <w:pStyle w:val="2"/>
        <w:rPr>
          <w:lang w:val="zh-CN"/>
        </w:rPr>
      </w:pPr>
      <w:r>
        <w:rPr>
          <w:rFonts w:hint="eastAsia"/>
          <w:lang w:val="zh-CN"/>
        </w:rPr>
        <w:t>日 期：</w:t>
      </w:r>
    </w:p>
    <w:p>
      <w:pPr>
        <w:spacing w:line="360" w:lineRule="auto"/>
        <w:ind w:firstLine="475" w:firstLineChars="198"/>
        <w:jc w:val="left"/>
        <w:rPr>
          <w:rFonts w:ascii="宋体" w:hAnsi="宋体" w:eastAsia="宋体" w:cs="Times New Roman"/>
          <w:sz w:val="24"/>
          <w:szCs w:val="21"/>
          <w:lang w:val="zh-CN"/>
        </w:rPr>
      </w:pPr>
    </w:p>
    <w:p>
      <w:r>
        <w:br w:type="page"/>
      </w:r>
    </w:p>
    <w:p>
      <w:pPr>
        <w:pStyle w:val="4"/>
        <w:numPr>
          <w:ilvl w:val="0"/>
          <w:numId w:val="60"/>
        </w:numPr>
        <w:spacing w:before="100" w:beforeAutospacing="1" w:afterLines="50" w:line="360" w:lineRule="auto"/>
        <w:ind w:left="1288" w:hanging="1288"/>
        <w:rPr>
          <w:rFonts w:ascii="宋体" w:hAnsi="宋体" w:eastAsia="宋体"/>
        </w:rPr>
      </w:pPr>
      <w:bookmarkStart w:id="128" w:name="_Toc494721103"/>
      <w:bookmarkStart w:id="129" w:name="_Toc494665556"/>
      <w:bookmarkStart w:id="130" w:name="_Toc494702273"/>
      <w:bookmarkStart w:id="131" w:name="_Toc495861552"/>
      <w:bookmarkStart w:id="132" w:name="_Toc456264006"/>
      <w:bookmarkStart w:id="133" w:name="_Toc494665953"/>
      <w:bookmarkStart w:id="134" w:name="_Toc494665003"/>
      <w:bookmarkStart w:id="135" w:name="_Toc494745320"/>
      <w:r>
        <w:rPr>
          <w:rFonts w:hint="eastAsia" w:ascii="宋体" w:hAnsi="宋体" w:eastAsia="宋体"/>
        </w:rPr>
        <w:t>中小企业声明函</w:t>
      </w:r>
      <w:bookmarkEnd w:id="128"/>
      <w:bookmarkEnd w:id="129"/>
      <w:bookmarkEnd w:id="130"/>
      <w:bookmarkEnd w:id="131"/>
      <w:bookmarkEnd w:id="132"/>
      <w:bookmarkEnd w:id="133"/>
      <w:bookmarkEnd w:id="134"/>
      <w:bookmarkEnd w:id="135"/>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中小企业声明函（工程、服务）</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 xml:space="preserve">　　1. （标的名称） ，属于（采购文件中明确的所属行业）； 承建（承接）企业为（企业名称），从业人员     人，营业收入为     万元，资产总额为    万元，属于（中型企业、小型企业、微型企业）； </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2. （标的名称） ，属于（采购文件中明确的所属行业）； 承建（承接）企业为（企业名称），从业人员    人，营业收入为    万元，资产总额为   </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 xml:space="preserve">万元，属于（中型企业、小型企业、微型企业）； </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以上企业，不属于大企业的分支机构，不存在控股股东为大企业的情形，也不存在与大企业的负责人为同一人的情形。</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 xml:space="preserve">本企业对上述声明内容的真实性负责。如有虚假，将依法承担相应责任。 </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 </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 xml:space="preserve">企业名称（盖章）： </w:t>
      </w:r>
    </w:p>
    <w:p>
      <w:pPr>
        <w:pStyle w:val="2"/>
        <w:rPr>
          <w:lang w:val="zh-CN"/>
        </w:rPr>
      </w:pPr>
      <w:r>
        <w:rPr>
          <w:rFonts w:hint="eastAsia"/>
          <w:lang w:val="zh-CN"/>
        </w:rPr>
        <w:t>日 期：</w:t>
      </w:r>
    </w:p>
    <w:p>
      <w:pPr>
        <w:spacing w:line="360" w:lineRule="auto"/>
        <w:ind w:firstLine="475" w:firstLineChars="198"/>
        <w:jc w:val="left"/>
        <w:rPr>
          <w:rFonts w:ascii="宋体" w:hAnsi="宋体" w:eastAsia="宋体" w:cs="Times New Roman"/>
          <w:sz w:val="24"/>
          <w:szCs w:val="21"/>
          <w:lang w:val="zh-CN"/>
        </w:rPr>
      </w:pPr>
    </w:p>
    <w:p>
      <w:pPr>
        <w:spacing w:before="100" w:beforeAutospacing="1" w:after="100" w:afterAutospacing="1" w:line="360" w:lineRule="auto"/>
        <w:rPr>
          <w:rFonts w:ascii="宋体" w:hAnsi="宋体" w:eastAsia="宋体" w:cs="Times New Roman"/>
          <w:b/>
          <w:bCs/>
          <w:sz w:val="24"/>
          <w:szCs w:val="21"/>
          <w:lang w:val="zh-CN"/>
        </w:rPr>
        <w:sectPr>
          <w:headerReference r:id="rId9" w:type="default"/>
          <w:footerReference r:id="rId10" w:type="default"/>
          <w:pgSz w:w="11906" w:h="16838"/>
          <w:pgMar w:top="1134" w:right="1191" w:bottom="1134" w:left="1191" w:header="851" w:footer="851" w:gutter="0"/>
          <w:cols w:space="425" w:num="1"/>
          <w:docGrid w:type="linesAndChars" w:linePitch="312" w:charSpace="0"/>
        </w:sectPr>
      </w:pPr>
    </w:p>
    <w:p/>
    <w:p>
      <w:pPr>
        <w:spacing w:line="240" w:lineRule="atLeast"/>
        <w:ind w:right="-65" w:rightChars="-31"/>
        <w:jc w:val="center"/>
        <w:rPr>
          <w:rFonts w:ascii="宋体" w:hAnsi="宋体" w:eastAsia="宋体" w:cs="Times New Roman"/>
          <w:b/>
          <w:sz w:val="30"/>
          <w:szCs w:val="30"/>
          <w:lang w:val="zh-CN"/>
        </w:rPr>
      </w:pPr>
      <w:bookmarkStart w:id="136" w:name="_Toc476153619"/>
      <w:r>
        <w:rPr>
          <w:rFonts w:hint="eastAsia" w:ascii="宋体" w:hAnsi="宋体" w:eastAsia="宋体" w:cs="Times New Roman"/>
          <w:b/>
          <w:sz w:val="30"/>
          <w:szCs w:val="30"/>
          <w:lang w:val="zh-CN"/>
        </w:rPr>
        <w:t>中小企业划型标准</w:t>
      </w:r>
      <w:bookmarkEnd w:id="136"/>
    </w:p>
    <w:tbl>
      <w:tblPr>
        <w:tblStyle w:val="21"/>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7" w:leftChars="-23" w:right="-65" w:rightChars="-31" w:hanging="165" w:hangingChars="79"/>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bl>
    <w:p>
      <w:pPr>
        <w:rPr>
          <w:rFonts w:ascii="宋体" w:hAnsi="宋体" w:eastAsia="宋体"/>
        </w:rPr>
        <w:sectPr>
          <w:pgSz w:w="16838" w:h="11906" w:orient="landscape"/>
          <w:pgMar w:top="1191" w:right="1134" w:bottom="1191" w:left="1134" w:header="851" w:footer="851" w:gutter="0"/>
          <w:cols w:space="425" w:num="1"/>
          <w:docGrid w:type="linesAndChars" w:linePitch="312" w:charSpace="0"/>
        </w:sectPr>
      </w:pPr>
      <w:bookmarkStart w:id="137" w:name="_Toc494721104"/>
      <w:bookmarkStart w:id="138" w:name="_Toc494745321"/>
      <w:bookmarkStart w:id="139" w:name="_Toc494702274"/>
      <w:bookmarkStart w:id="140" w:name="_Toc494665557"/>
      <w:bookmarkStart w:id="141" w:name="_Toc494665954"/>
      <w:bookmarkStart w:id="142" w:name="_Toc494665004"/>
      <w:bookmarkStart w:id="143" w:name="_Toc495861553"/>
    </w:p>
    <w:p/>
    <w:p>
      <w:pPr>
        <w:pStyle w:val="4"/>
        <w:numPr>
          <w:ilvl w:val="0"/>
          <w:numId w:val="60"/>
        </w:numPr>
        <w:spacing w:before="100" w:beforeAutospacing="1" w:afterLines="50" w:line="360" w:lineRule="auto"/>
        <w:ind w:left="1288" w:hanging="1288"/>
        <w:rPr>
          <w:rFonts w:ascii="宋体" w:hAnsi="宋体" w:eastAsia="宋体"/>
        </w:rPr>
      </w:pPr>
      <w:r>
        <w:rPr>
          <w:rFonts w:hint="eastAsia" w:ascii="宋体" w:hAnsi="宋体" w:eastAsia="宋体"/>
        </w:rPr>
        <w:t>残疾人福利性单位声明函</w:t>
      </w:r>
      <w:bookmarkEnd w:id="137"/>
      <w:bookmarkEnd w:id="138"/>
      <w:bookmarkEnd w:id="139"/>
      <w:bookmarkEnd w:id="140"/>
      <w:bookmarkEnd w:id="141"/>
      <w:bookmarkEnd w:id="142"/>
      <w:bookmarkEnd w:id="143"/>
    </w:p>
    <w:p/>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pStyle w:val="10"/>
        <w:spacing w:line="360" w:lineRule="auto"/>
        <w:ind w:firstLine="475" w:firstLineChars="198"/>
        <w:jc w:val="left"/>
        <w:rPr>
          <w:rFonts w:hAnsi="宋体"/>
          <w:sz w:val="24"/>
        </w:rPr>
      </w:pPr>
      <w:r>
        <w:rPr>
          <w:rFonts w:hint="eastAsia" w:hAnsi="宋体"/>
          <w:sz w:val="24"/>
        </w:rPr>
        <w:t>单位郑重声明，根据《财政部 民政部 中国残疾人联合会关于促进残疾人就业政府采购政策的通知》（财库〔2017〕141号）的规定，本</w:t>
      </w:r>
      <w:r>
        <w:rPr>
          <w:rFonts w:hint="eastAsia" w:hAnsi="宋体"/>
          <w:color w:val="0C0C0C" w:themeColor="text1" w:themeTint="F2"/>
          <w:sz w:val="24"/>
        </w:rPr>
        <w:t>单位为符合条件的残疾人福利性单位（详见“残疾人福利性单位应当满足的条件”）。</w:t>
      </w:r>
    </w:p>
    <w:p>
      <w:pPr>
        <w:pStyle w:val="10"/>
        <w:spacing w:line="360" w:lineRule="auto"/>
        <w:ind w:firstLine="475" w:firstLineChars="198"/>
        <w:jc w:val="left"/>
        <w:rPr>
          <w:rFonts w:hAnsi="宋体"/>
          <w:sz w:val="24"/>
        </w:rPr>
      </w:pPr>
      <w:r>
        <w:rPr>
          <w:rFonts w:hint="eastAsia" w:hAnsi="宋体"/>
          <w:sz w:val="24"/>
        </w:rPr>
        <w:t>1.本单位授权</w:t>
      </w:r>
      <w:r>
        <w:rPr>
          <w:rFonts w:hint="eastAsia" w:hAnsi="宋体"/>
          <w:sz w:val="24"/>
          <w:u w:val="single"/>
        </w:rPr>
        <w:t xml:space="preserve"> （投标人） </w:t>
      </w:r>
      <w:r>
        <w:rPr>
          <w:rFonts w:hint="eastAsia" w:hAnsi="宋体"/>
          <w:sz w:val="24"/>
        </w:rPr>
        <w:t>参加_</w:t>
      </w:r>
      <w:r>
        <w:rPr>
          <w:rFonts w:hint="eastAsia" w:hAnsi="宋体"/>
          <w:sz w:val="24"/>
          <w:u w:val="single"/>
        </w:rPr>
        <w:t>（采购人）</w:t>
      </w:r>
      <w:r>
        <w:rPr>
          <w:rFonts w:hint="eastAsia" w:hAnsi="宋体"/>
          <w:sz w:val="24"/>
        </w:rPr>
        <w:t>的__</w:t>
      </w:r>
      <w:r>
        <w:rPr>
          <w:rFonts w:hint="eastAsia" w:hAnsi="宋体"/>
          <w:sz w:val="24"/>
          <w:u w:val="single"/>
        </w:rPr>
        <w:t>_ _</w:t>
      </w:r>
      <w:r>
        <w:rPr>
          <w:rFonts w:hint="eastAsia" w:hAnsi="宋体"/>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D0D0D"/>
          <w:sz w:val="24"/>
        </w:rPr>
      </w:pPr>
      <w:r>
        <w:rPr>
          <w:rFonts w:hint="eastAsia" w:ascii="宋体" w:hAnsi="宋体"/>
          <w:bCs/>
          <w:sz w:val="24"/>
          <w:lang w:val="zh-CN"/>
        </w:rPr>
        <w:t>2</w:t>
      </w:r>
      <w:r>
        <w:rPr>
          <w:rFonts w:hint="eastAsia" w:ascii="宋体" w:hAnsi="宋体"/>
          <w:bCs/>
          <w:sz w:val="24"/>
        </w:rPr>
        <w:t>.由本单位制造的</w:t>
      </w:r>
      <w:r>
        <w:rPr>
          <w:rFonts w:hint="eastAsia" w:ascii="宋体" w:hAnsi="宋体"/>
          <w:bCs/>
          <w:color w:val="0D0D0D"/>
          <w:sz w:val="24"/>
        </w:rPr>
        <w:t>货物清单见下表：</w:t>
      </w:r>
    </w:p>
    <w:tbl>
      <w:tblPr>
        <w:tblStyle w:val="21"/>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1"/>
              </w:numPr>
              <w:tabs>
                <w:tab w:val="left" w:pos="82"/>
              </w:tabs>
              <w:adjustRightInd w:val="0"/>
              <w:snapToGrid w:val="0"/>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1"/>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bCs/>
          <w:color w:val="0C0C0C" w:themeColor="text1" w:themeTint="F2"/>
          <w:sz w:val="24"/>
          <w:szCs w:val="24"/>
        </w:rPr>
      </w:pPr>
    </w:p>
    <w:p>
      <w:pPr>
        <w:pStyle w:val="10"/>
        <w:spacing w:line="360" w:lineRule="auto"/>
        <w:jc w:val="left"/>
        <w:rPr>
          <w:rFonts w:hAnsi="宋体" w:cs="Corbel"/>
          <w:color w:val="0C0C0C" w:themeColor="text1" w:themeTint="F2"/>
          <w:sz w:val="24"/>
        </w:rPr>
      </w:pPr>
      <w:r>
        <w:rPr>
          <w:rFonts w:hint="eastAsia" w:hAnsi="宋体" w:eastAsia="宋体" w:cs="Times New Roman"/>
          <w:bCs/>
          <w:color w:val="0C0C0C" w:themeColor="text1" w:themeTint="F2"/>
          <w:sz w:val="24"/>
          <w:szCs w:val="24"/>
        </w:rPr>
        <w:t>说明：</w:t>
      </w:r>
      <w:r>
        <w:rPr>
          <w:rFonts w:hint="eastAsia" w:hAnsi="宋体" w:cs="Corbel"/>
          <w:color w:val="0C0C0C" w:themeColor="text1" w:themeTint="F2"/>
          <w:sz w:val="24"/>
        </w:rPr>
        <w:t>1、投标人所投货物为自己制造的，也应按本声明函格式填写。</w:t>
      </w:r>
    </w:p>
    <w:p>
      <w:pPr>
        <w:pStyle w:val="10"/>
        <w:spacing w:line="360" w:lineRule="auto"/>
        <w:ind w:left="1078" w:leftChars="342" w:hanging="360" w:hangingChars="150"/>
        <w:jc w:val="left"/>
        <w:rPr>
          <w:rFonts w:hAnsi="宋体"/>
          <w:color w:val="0C0C0C" w:themeColor="text1" w:themeTint="F2"/>
          <w:sz w:val="24"/>
        </w:rPr>
      </w:pPr>
      <w:r>
        <w:rPr>
          <w:rFonts w:hint="eastAsia" w:hAnsi="宋体"/>
          <w:color w:val="0C0C0C" w:themeColor="text1" w:themeTint="F2"/>
          <w:sz w:val="24"/>
        </w:rPr>
        <w:t>2、组成联合体的大中型企业和其他自然人、法人或者其他组织，与残疾人福利性单位之间不得存在投资关系。</w:t>
      </w:r>
    </w:p>
    <w:p>
      <w:pPr>
        <w:pStyle w:val="10"/>
        <w:spacing w:line="360" w:lineRule="auto"/>
        <w:ind w:left="1078" w:leftChars="342" w:hanging="360" w:hangingChars="150"/>
        <w:jc w:val="left"/>
        <w:rPr>
          <w:rFonts w:hAnsi="宋体"/>
          <w:color w:val="0C0C0C" w:themeColor="text1" w:themeTint="F2"/>
          <w:sz w:val="24"/>
        </w:rPr>
      </w:pPr>
      <w:r>
        <w:rPr>
          <w:rFonts w:hint="eastAsia" w:hAnsi="宋体"/>
          <w:color w:val="0C0C0C" w:themeColor="text1" w:themeTint="F2"/>
          <w:sz w:val="24"/>
        </w:rPr>
        <w:t>3、以联合体方式参与本项目投标的供应商，应由联合体双方签字盖章。</w:t>
      </w:r>
    </w:p>
    <w:p>
      <w:pPr>
        <w:spacing w:line="360" w:lineRule="auto"/>
        <w:rPr>
          <w:rFonts w:ascii="宋体" w:hAnsi="宋体"/>
          <w:sz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p>
      <w:pPr>
        <w:adjustRightInd w:val="0"/>
        <w:snapToGrid w:val="0"/>
        <w:jc w:val="center"/>
        <w:rPr>
          <w:rFonts w:ascii="宋体" w:hAnsi="宋体" w:eastAsia="宋体" w:cs="Times New Roman"/>
          <w:b/>
          <w:sz w:val="30"/>
          <w:szCs w:val="30"/>
          <w:lang w:val="zh-CN"/>
        </w:rPr>
      </w:pPr>
    </w:p>
    <w:p>
      <w:pPr>
        <w:adjustRightInd w:val="0"/>
        <w:snapToGrid w:val="0"/>
        <w:spacing w:beforeLines="10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本单位郑重声明，根据《财政</w:t>
      </w:r>
      <w:r>
        <w:rPr>
          <w:rFonts w:hint="eastAsia" w:ascii="宋体" w:hAnsi="宋体" w:eastAsia="宋体" w:cs="Times New Roman"/>
          <w:color w:val="0C0C0C" w:themeColor="text1" w:themeTint="F2"/>
          <w:sz w:val="24"/>
          <w:szCs w:val="24"/>
        </w:rPr>
        <w:t>部 民政部 中国残疾人联合会关于促进残疾人就业政府采购政策的通知》（财库〔2017〕141号）的规定，本单位为符合条件的残疾人福利性单位</w:t>
      </w:r>
      <w:r>
        <w:rPr>
          <w:rFonts w:hint="eastAsia" w:hAnsi="宋体"/>
          <w:color w:val="0C0C0C" w:themeColor="text1" w:themeTint="F2"/>
          <w:sz w:val="24"/>
        </w:rPr>
        <w:t>（详见“残疾人福利性单位应当满足的条件”）</w:t>
      </w:r>
      <w:r>
        <w:rPr>
          <w:rFonts w:hint="eastAsia" w:ascii="宋体" w:hAnsi="宋体" w:eastAsia="宋体" w:cs="Times New Roman"/>
          <w:color w:val="0C0C0C" w:themeColor="text1" w:themeTint="F2"/>
          <w:sz w:val="24"/>
          <w:szCs w:val="24"/>
        </w:rPr>
        <w:t>，</w:t>
      </w:r>
      <w:r>
        <w:rPr>
          <w:rFonts w:hint="eastAsia" w:ascii="宋体" w:hAnsi="宋体" w:eastAsia="宋体" w:cs="Times New Roman"/>
          <w:sz w:val="24"/>
          <w:szCs w:val="24"/>
        </w:rPr>
        <w:t>且本单位参加</w:t>
      </w:r>
      <w:r>
        <w:rPr>
          <w:rFonts w:hint="eastAsia" w:ascii="宋体" w:hAnsi="宋体" w:eastAsia="宋体" w:cs="Times New Roman"/>
          <w:sz w:val="24"/>
          <w:szCs w:val="24"/>
          <w:u w:val="single"/>
        </w:rPr>
        <w:t xml:space="preserve">  （</w:t>
      </w:r>
      <w:r>
        <w:rPr>
          <w:rFonts w:hint="eastAsia" w:ascii="Times New Roman" w:hAnsi="宋体" w:eastAsia="宋体" w:cs="Times New Roman"/>
          <w:sz w:val="24"/>
          <w:szCs w:val="24"/>
          <w:u w:val="single"/>
        </w:rPr>
        <w:t>采购</w:t>
      </w:r>
      <w:r>
        <w:rPr>
          <w:rFonts w:hint="eastAsia" w:ascii="宋体" w:hAnsi="宋体" w:eastAsia="宋体" w:cs="Times New Roman"/>
          <w:sz w:val="24"/>
          <w:szCs w:val="24"/>
          <w:u w:val="single"/>
        </w:rPr>
        <w:t>人）</w:t>
      </w:r>
      <w:r>
        <w:rPr>
          <w:rFonts w:hint="eastAsia" w:ascii="Times New Roman" w:hAnsi="宋体" w:eastAsia="宋体" w:cs="Times New Roman"/>
          <w:sz w:val="24"/>
          <w:szCs w:val="24"/>
        </w:rPr>
        <w:t>的</w:t>
      </w:r>
      <w:r>
        <w:rPr>
          <w:rFonts w:hint="eastAsia" w:cs="Times New Roman" w:asciiTheme="minorEastAsia" w:hAnsiTheme="minorEastAsia"/>
          <w:sz w:val="24"/>
          <w:szCs w:val="24"/>
          <w:u w:val="single"/>
        </w:rPr>
        <w:t>__   _</w:t>
      </w:r>
      <w:r>
        <w:rPr>
          <w:rFonts w:hint="eastAsia" w:ascii="Times New Roman" w:hAnsi="宋体" w:eastAsia="宋体" w:cs="Times New Roman"/>
          <w:sz w:val="24"/>
          <w:szCs w:val="24"/>
        </w:rPr>
        <w:t>项目（项目编号：______）</w:t>
      </w:r>
      <w:r>
        <w:rPr>
          <w:rFonts w:hint="eastAsia" w:ascii="宋体" w:hAnsi="宋体" w:eastAsia="宋体" w:cs="Times New Roman"/>
          <w:sz w:val="24"/>
          <w:szCs w:val="24"/>
        </w:rPr>
        <w:t>采购活动由本单位承担工程（或提供服务）。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080" w:hanging="1080" w:hangingChars="450"/>
        <w:jc w:val="left"/>
        <w:rPr>
          <w:rFonts w:ascii="宋体" w:hAnsi="宋体" w:cs="Courier New"/>
          <w:color w:val="0C0C0C" w:themeColor="text1" w:themeTint="F2"/>
          <w:sz w:val="24"/>
          <w:szCs w:val="21"/>
        </w:rPr>
      </w:pPr>
      <w:r>
        <w:rPr>
          <w:rFonts w:hint="eastAsia" w:ascii="宋体" w:hAnsi="宋体" w:cs="Courier New"/>
          <w:color w:val="0C0C0C" w:themeColor="text1" w:themeTint="F2"/>
          <w:sz w:val="24"/>
          <w:szCs w:val="21"/>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C0C0C" w:themeColor="text1" w:themeTint="F2"/>
          <w:sz w:val="24"/>
          <w:szCs w:val="24"/>
        </w:rPr>
      </w:pPr>
      <w:r>
        <w:rPr>
          <w:rFonts w:hint="eastAsia" w:ascii="宋体" w:hAnsi="宋体" w:cs="Courier New"/>
          <w:color w:val="0C0C0C" w:themeColor="text1" w:themeTint="F2"/>
          <w:sz w:val="24"/>
          <w:szCs w:val="21"/>
        </w:rPr>
        <w:t>2、以联合体方式参与本项目投标的供应商，应由联合体双方签字盖章。</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Times New Roman" w:hAnsi="宋体" w:eastAsia="宋体" w:cs="Times New Roman"/>
          <w:bCs/>
          <w:sz w:val="24"/>
          <w:szCs w:val="24"/>
          <w:u w:val="single"/>
        </w:rPr>
      </w:pPr>
      <w:r>
        <w:rPr>
          <w:rFonts w:hint="eastAsia" w:ascii="Times New Roman" w:hAnsi="宋体" w:eastAsia="宋体" w:cs="Times New Roman"/>
          <w:b/>
          <w:sz w:val="24"/>
          <w:szCs w:val="24"/>
        </w:rPr>
        <w:t>日   期：</w:t>
      </w:r>
    </w:p>
    <w:p>
      <w:r>
        <w:br w:type="page"/>
      </w:r>
    </w:p>
    <w:p>
      <w:pPr>
        <w:spacing w:line="60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享受政府采购支持政策的残疾人福利性单位应当同时满足以下条件：</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（二）依法与安置的每位残疾人签订了一年以上（含一年）的劳动合同或服务协议；</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r>
        <w:br w:type="page"/>
      </w:r>
    </w:p>
    <w:p>
      <w:pPr>
        <w:pStyle w:val="4"/>
        <w:numPr>
          <w:ilvl w:val="0"/>
          <w:numId w:val="60"/>
        </w:numPr>
        <w:spacing w:before="100" w:beforeAutospacing="1" w:afterLines="50" w:line="360" w:lineRule="auto"/>
        <w:ind w:left="1288" w:hanging="1288"/>
        <w:rPr>
          <w:rFonts w:ascii="宋体" w:hAnsi="宋体" w:eastAsia="宋体"/>
        </w:rPr>
      </w:pPr>
      <w:bookmarkStart w:id="144" w:name="_Toc494745322"/>
      <w:bookmarkStart w:id="145" w:name="_Toc494577410"/>
      <w:bookmarkStart w:id="146" w:name="_Toc494665005"/>
      <w:bookmarkStart w:id="147" w:name="_Toc494721105"/>
      <w:bookmarkStart w:id="148" w:name="_Toc494702275"/>
      <w:bookmarkStart w:id="149" w:name="_Toc495861554"/>
      <w:bookmarkStart w:id="150" w:name="_Toc494665558"/>
      <w:bookmarkStart w:id="151" w:name="_Toc494665955"/>
      <w:r>
        <w:rPr>
          <w:rFonts w:hint="eastAsia" w:ascii="宋体" w:hAnsi="宋体" w:eastAsia="宋体"/>
        </w:rPr>
        <w:t>开标一览表</w:t>
      </w:r>
      <w:bookmarkEnd w:id="144"/>
      <w:bookmarkEnd w:id="145"/>
      <w:bookmarkEnd w:id="146"/>
      <w:bookmarkEnd w:id="147"/>
      <w:bookmarkEnd w:id="148"/>
      <w:bookmarkEnd w:id="149"/>
      <w:bookmarkEnd w:id="150"/>
      <w:bookmarkEnd w:id="151"/>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197"/>
        <w:gridCol w:w="1400"/>
        <w:gridCol w:w="1383"/>
        <w:gridCol w:w="193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2197"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保费（</w:t>
            </w:r>
            <w:r>
              <w:rPr>
                <w:rFonts w:hint="eastAsia" w:ascii="宋体" w:hAnsi="宋体" w:eastAsia="宋体" w:cs="宋体"/>
                <w:kern w:val="0"/>
                <w:sz w:val="24"/>
                <w:szCs w:val="24"/>
              </w:rPr>
              <w:t>元/人/年</w:t>
            </w:r>
            <w:r>
              <w:rPr>
                <w:rFonts w:hint="eastAsia" w:ascii="宋体" w:hAnsi="宋体" w:cs="宋体"/>
                <w:color w:val="0D0D0D"/>
                <w:kern w:val="0"/>
                <w:sz w:val="24"/>
              </w:rPr>
              <w:t>）</w:t>
            </w:r>
          </w:p>
        </w:tc>
        <w:tc>
          <w:tcPr>
            <w:tcW w:w="1400"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数量（人）</w:t>
            </w:r>
          </w:p>
        </w:tc>
        <w:tc>
          <w:tcPr>
            <w:tcW w:w="1383"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服务期限</w:t>
            </w:r>
          </w:p>
        </w:tc>
        <w:tc>
          <w:tcPr>
            <w:tcW w:w="1935"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197"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1400"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35"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w:t>
            </w:r>
          </w:p>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color w:val="FF0000"/>
                <w:sz w:val="24"/>
              </w:rPr>
            </w:pPr>
            <w:r>
              <w:rPr>
                <w:rFonts w:hint="eastAsia" w:ascii="Times New Roman" w:hAnsi="宋体" w:eastAsia="宋体" w:cs="Times New Roman"/>
                <w:color w:val="FF0000"/>
                <w:sz w:val="24"/>
                <w:szCs w:val="24"/>
              </w:rPr>
              <w:t>小型和微型企业、监狱企业、残疾人福利性单位价格扣除</w:t>
            </w:r>
            <w:r>
              <w:rPr>
                <w:rFonts w:hint="eastAsia" w:ascii="宋体" w:hAnsi="宋体" w:eastAsia="宋体" w:cs="Times New Roman"/>
                <w:color w:val="FF0000"/>
                <w:sz w:val="24"/>
              </w:rPr>
              <w:t>合计（</w:t>
            </w:r>
            <w:r>
              <w:rPr>
                <w:rFonts w:hint="eastAsia" w:ascii="宋体" w:hAnsi="宋体" w:eastAsia="宋体" w:cs="宋体"/>
                <w:color w:val="FF0000"/>
                <w:kern w:val="0"/>
                <w:sz w:val="24"/>
                <w:szCs w:val="24"/>
              </w:rPr>
              <w:t>大写</w:t>
            </w:r>
            <w:r>
              <w:rPr>
                <w:rFonts w:hint="eastAsia" w:ascii="宋体" w:hAnsi="宋体" w:eastAsia="宋体" w:cs="Times New Roman"/>
                <w:color w:val="FF0000"/>
                <w:sz w:val="24"/>
              </w:rPr>
              <w:t>）：</w:t>
            </w:r>
          </w:p>
          <w:p>
            <w:pPr>
              <w:spacing w:line="276" w:lineRule="auto"/>
              <w:ind w:left="-48" w:leftChars="-23" w:right="-65" w:rightChars="-31"/>
              <w:jc w:val="left"/>
              <w:rPr>
                <w:rFonts w:ascii="宋体" w:hAnsi="宋体" w:eastAsia="宋体" w:cs="宋体"/>
                <w:kern w:val="0"/>
                <w:sz w:val="24"/>
                <w:szCs w:val="24"/>
                <w:lang w:val="zh-CN"/>
              </w:rPr>
            </w:pPr>
            <w:r>
              <w:rPr>
                <w:rFonts w:hint="eastAsia" w:ascii="宋体" w:hAnsi="宋体" w:eastAsia="宋体" w:cs="宋体"/>
                <w:color w:val="FF0000"/>
                <w:kern w:val="0"/>
                <w:sz w:val="24"/>
                <w:szCs w:val="24"/>
              </w:rPr>
              <w:t>万仟佰拾元整</w:t>
            </w:r>
            <w:r>
              <w:rPr>
                <w:rFonts w:hint="eastAsia" w:ascii="宋体" w:hAnsi="宋体" w:cs="宋体"/>
                <w:color w:val="FF0000"/>
                <w:kern w:val="0"/>
                <w:sz w:val="24"/>
              </w:rPr>
              <w:t>（或以联合体投标的，</w:t>
            </w:r>
            <w:r>
              <w:rPr>
                <w:rFonts w:ascii="宋体" w:hAnsi="宋体"/>
                <w:bCs/>
                <w:color w:val="FF0000"/>
                <w:sz w:val="24"/>
              </w:rPr>
              <w:t>联合协议中约定小型、微型企业的协议合同金额占到联合体协议合同总金额的</w:t>
            </w:r>
            <w:r>
              <w:rPr>
                <w:rFonts w:hint="eastAsia" w:ascii="宋体" w:hAnsi="宋体"/>
                <w:bCs/>
                <w:color w:val="FF0000"/>
                <w:sz w:val="24"/>
              </w:rPr>
              <w:t>%）</w:t>
            </w:r>
          </w:p>
        </w:tc>
      </w:tr>
    </w:tbl>
    <w:p>
      <w:pPr>
        <w:spacing w:line="360" w:lineRule="auto"/>
        <w:ind w:left="1049" w:hanging="1048" w:hangingChars="437"/>
        <w:jc w:val="left"/>
        <w:rPr>
          <w:rFonts w:ascii="宋体" w:hAnsi="宋体"/>
          <w:sz w:val="24"/>
        </w:rPr>
      </w:pPr>
    </w:p>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说明：1．所有价格均用人民币表示，单位为万元。</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2．价格应按照招标文件第二章“投标人须知”中第12条的要求进行报价（</w:t>
      </w:r>
      <w:r>
        <w:rPr>
          <w:rFonts w:hint="eastAsia" w:ascii="宋体" w:hAnsi="宋体" w:eastAsia="宋体" w:cs="Times New Roman"/>
          <w:b/>
          <w:sz w:val="24"/>
          <w:szCs w:val="24"/>
        </w:rPr>
        <w:t>投保每年每人保费标准不得高于60元，承保期限1年，以11万人计算投标）</w:t>
      </w:r>
      <w:r>
        <w:rPr>
          <w:rFonts w:hint="eastAsia" w:ascii="宋体" w:hAnsi="宋体" w:eastAsia="宋体" w:cs="Times New Roman"/>
          <w:sz w:val="24"/>
          <w:szCs w:val="24"/>
        </w:rPr>
        <w:t>。</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3．为方便开标时唱标，投标人应另附《开标一览表》及《交纳投标保证金的银行凭证》（如有交纳保证金要求的）各一份一并</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lang w:val="zh-CN"/>
        </w:rPr>
        <w:t>的采购机构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pStyle w:val="4"/>
        <w:numPr>
          <w:ilvl w:val="0"/>
          <w:numId w:val="60"/>
        </w:numPr>
        <w:spacing w:before="100" w:beforeAutospacing="1" w:afterLines="50" w:line="360" w:lineRule="auto"/>
        <w:ind w:left="1288" w:hanging="1288"/>
        <w:rPr>
          <w:rFonts w:ascii="宋体" w:hAnsi="宋体" w:eastAsia="宋体"/>
        </w:rPr>
      </w:pPr>
      <w:bookmarkStart w:id="152" w:name="_Toc494665559"/>
      <w:bookmarkStart w:id="153" w:name="_Toc495861555"/>
      <w:bookmarkStart w:id="154" w:name="_Toc494665956"/>
      <w:bookmarkStart w:id="155" w:name="_Toc494721106"/>
      <w:bookmarkStart w:id="156" w:name="_Toc494702276"/>
      <w:bookmarkStart w:id="157" w:name="_Toc494577411"/>
      <w:bookmarkStart w:id="158" w:name="_Toc494745323"/>
      <w:bookmarkStart w:id="159" w:name="_Toc494665006"/>
      <w:r>
        <w:rPr>
          <w:rFonts w:hint="eastAsia" w:ascii="宋体" w:hAnsi="宋体" w:eastAsia="宋体"/>
        </w:rPr>
        <w:t>投标报价明细表</w:t>
      </w:r>
      <w:bookmarkEnd w:id="152"/>
      <w:bookmarkEnd w:id="153"/>
      <w:bookmarkEnd w:id="154"/>
      <w:bookmarkEnd w:id="155"/>
      <w:bookmarkEnd w:id="156"/>
      <w:bookmarkEnd w:id="157"/>
      <w:bookmarkEnd w:id="158"/>
      <w:bookmarkEnd w:id="159"/>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color w:val="0D0D0D"/>
                <w:kern w:val="0"/>
                <w:sz w:val="24"/>
              </w:rPr>
            </w:pPr>
            <w:r>
              <w:rPr>
                <w:rFonts w:hint="eastAsia" w:ascii="宋体" w:hAnsi="宋体"/>
                <w:color w:val="0C0C0C" w:themeColor="text1" w:themeTint="F2"/>
                <w:sz w:val="24"/>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2"/>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2"/>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2"/>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2"/>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2"/>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2"/>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2"/>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说明：1．所有价格均用人民币表示，单位为元。</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2．报价明细表合计应与《开标一览表》中的投标总报价一致。</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0"/>
        </w:numPr>
        <w:spacing w:before="100" w:beforeAutospacing="1" w:afterLines="50" w:line="360" w:lineRule="auto"/>
        <w:ind w:left="1288" w:hanging="1288"/>
        <w:rPr>
          <w:rFonts w:ascii="宋体" w:hAnsi="宋体" w:eastAsia="宋体"/>
          <w:sz w:val="31"/>
          <w:szCs w:val="31"/>
        </w:rPr>
      </w:pPr>
      <w:bookmarkStart w:id="160" w:name="_Toc494665957"/>
      <w:bookmarkStart w:id="161" w:name="_Toc494665007"/>
      <w:bookmarkStart w:id="162" w:name="_Toc494577412"/>
      <w:bookmarkStart w:id="163" w:name="_Toc494702277"/>
      <w:bookmarkStart w:id="164" w:name="_Toc494721107"/>
      <w:bookmarkStart w:id="165" w:name="_Toc494665560"/>
      <w:bookmarkStart w:id="166" w:name="_Toc495861556"/>
      <w:bookmarkStart w:id="167" w:name="_Toc494745324"/>
      <w:r>
        <w:rPr>
          <w:rFonts w:hint="eastAsia" w:ascii="宋体" w:hAnsi="宋体" w:eastAsia="宋体"/>
          <w:sz w:val="31"/>
          <w:szCs w:val="31"/>
        </w:rPr>
        <w:t>小型和微型企业、监狱企业、残疾人福利性单位货物汇总表</w:t>
      </w:r>
      <w:bookmarkEnd w:id="160"/>
      <w:bookmarkEnd w:id="161"/>
      <w:bookmarkEnd w:id="162"/>
      <w:bookmarkEnd w:id="163"/>
      <w:bookmarkEnd w:id="164"/>
      <w:bookmarkEnd w:id="165"/>
      <w:bookmarkEnd w:id="166"/>
      <w:bookmarkEnd w:id="167"/>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分项</w:t>
            </w:r>
          </w:p>
          <w:p>
            <w:pPr>
              <w:adjustRightInd w:val="0"/>
              <w:snapToGrid w:val="0"/>
              <w:ind w:left="-88" w:leftChars="-42"/>
              <w:jc w:val="center"/>
              <w:rPr>
                <w:rFonts w:ascii="宋体" w:hAnsi="宋体"/>
                <w:sz w:val="24"/>
              </w:rPr>
            </w:pPr>
            <w:r>
              <w:rPr>
                <w:rFonts w:hint="eastAsia" w:ascii="宋体" w:hAnsi="宋体"/>
                <w:sz w:val="24"/>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1</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2</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3</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4</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5</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6</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7</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sz w:val="24"/>
              </w:rPr>
            </w:pPr>
            <w:r>
              <w:rPr>
                <w:rFonts w:hint="eastAsia" w:ascii="宋体" w:hAnsi="宋体"/>
                <w:bCs/>
                <w:sz w:val="24"/>
              </w:rPr>
              <w:t>合计</w:t>
            </w:r>
          </w:p>
        </w:tc>
        <w:tc>
          <w:tcPr>
            <w:tcW w:w="2602" w:type="dxa"/>
            <w:gridSpan w:val="2"/>
            <w:shd w:val="clear" w:color="auto" w:fill="auto"/>
            <w:vAlign w:val="center"/>
          </w:tcPr>
          <w:p>
            <w:pPr>
              <w:spacing w:line="360" w:lineRule="auto"/>
              <w:jc w:val="left"/>
              <w:rPr>
                <w:rFonts w:ascii="宋体" w:hAnsi="宋体"/>
                <w:bCs/>
                <w:sz w:val="24"/>
              </w:rPr>
            </w:pPr>
          </w:p>
        </w:tc>
      </w:tr>
    </w:tbl>
    <w:p>
      <w:pPr>
        <w:spacing w:line="360" w:lineRule="auto"/>
        <w:ind w:left="1049" w:hanging="1048" w:hangingChars="437"/>
        <w:jc w:val="left"/>
        <w:rPr>
          <w:rFonts w:ascii="宋体" w:hAnsi="宋体"/>
          <w:sz w:val="24"/>
        </w:rPr>
      </w:pPr>
      <w:r>
        <w:rPr>
          <w:rFonts w:hint="eastAsia" w:ascii="宋体" w:hAnsi="宋体"/>
          <w:sz w:val="24"/>
        </w:rPr>
        <w:t>说明：1</w:t>
      </w:r>
      <w:r>
        <w:rPr>
          <w:rFonts w:hint="eastAsia" w:ascii="宋体" w:hAnsi="宋体" w:eastAsia="宋体" w:cs="Times New Roman"/>
          <w:sz w:val="24"/>
          <w:szCs w:val="24"/>
        </w:rPr>
        <w:t>．</w:t>
      </w:r>
      <w:r>
        <w:rPr>
          <w:rFonts w:hint="eastAsia" w:ascii="宋体" w:hAnsi="宋体"/>
          <w:sz w:val="24"/>
        </w:rPr>
        <w:t>所有价格均用人民币表示，单位为元。</w:t>
      </w:r>
    </w:p>
    <w:p>
      <w:pPr>
        <w:spacing w:line="360" w:lineRule="auto"/>
        <w:ind w:left="1061" w:leftChars="339" w:hanging="350" w:hangingChars="146"/>
        <w:jc w:val="left"/>
        <w:rPr>
          <w:rFonts w:ascii="宋体" w:hAnsi="宋体"/>
          <w:sz w:val="24"/>
        </w:rPr>
      </w:pPr>
      <w:r>
        <w:rPr>
          <w:rFonts w:hint="eastAsia" w:ascii="宋体" w:hAnsi="宋体"/>
          <w:sz w:val="24"/>
        </w:rPr>
        <w:t>2</w:t>
      </w:r>
      <w:r>
        <w:rPr>
          <w:rFonts w:hint="eastAsia" w:ascii="宋体" w:hAnsi="宋体" w:eastAsia="宋体" w:cs="Times New Roman"/>
          <w:sz w:val="24"/>
          <w:szCs w:val="24"/>
        </w:rPr>
        <w:t>．</w:t>
      </w:r>
      <w:r>
        <w:rPr>
          <w:rFonts w:hint="eastAsia" w:ascii="宋体" w:hAnsi="宋体"/>
          <w:color w:val="0D0D0D"/>
          <w:sz w:val="24"/>
        </w:rPr>
        <w:t>投标人</w:t>
      </w:r>
      <w:r>
        <w:rPr>
          <w:rFonts w:hint="eastAsia" w:ascii="宋体" w:hAnsi="宋体"/>
          <w:sz w:val="24"/>
        </w:rPr>
        <w:t>提供的相关证明文件对应页码填写到上表“投标文件对应的页码”中。</w:t>
      </w:r>
      <w:r>
        <w:rPr>
          <w:rFonts w:hint="eastAsia" w:ascii="宋体" w:hAnsi="宋体" w:cs="Corbel"/>
          <w:sz w:val="24"/>
        </w:rPr>
        <w:t>如未提供页码或内容页码完全不一致的，</w:t>
      </w:r>
      <w:r>
        <w:rPr>
          <w:rFonts w:hint="eastAsia" w:ascii="宋体" w:hAnsi="宋体"/>
          <w:sz w:val="24"/>
        </w:rPr>
        <w:t>导致的后果由投标人自行承担。</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0"/>
        </w:numPr>
        <w:spacing w:before="100" w:beforeAutospacing="1" w:afterLines="50" w:line="360" w:lineRule="auto"/>
        <w:ind w:left="1288" w:hanging="1288"/>
        <w:rPr>
          <w:rFonts w:ascii="宋体" w:hAnsi="宋体" w:eastAsia="宋体"/>
        </w:rPr>
      </w:pPr>
      <w:bookmarkStart w:id="168" w:name="_Toc494745325"/>
      <w:bookmarkStart w:id="169" w:name="_Toc494665561"/>
      <w:bookmarkStart w:id="170" w:name="_Toc495861557"/>
      <w:bookmarkStart w:id="171" w:name="_Toc494702278"/>
      <w:bookmarkStart w:id="172" w:name="_Toc494665008"/>
      <w:bookmarkStart w:id="173" w:name="_Toc494665958"/>
      <w:bookmarkStart w:id="174" w:name="_Toc494721108"/>
      <w:r>
        <w:rPr>
          <w:rFonts w:hint="eastAsia" w:ascii="宋体" w:hAnsi="宋体" w:eastAsia="宋体"/>
        </w:rPr>
        <w:t>投标货物（工程或服务）清单</w:t>
      </w:r>
      <w:bookmarkEnd w:id="168"/>
      <w:bookmarkEnd w:id="169"/>
      <w:bookmarkEnd w:id="170"/>
      <w:bookmarkEnd w:id="171"/>
      <w:bookmarkEnd w:id="172"/>
      <w:bookmarkEnd w:id="173"/>
      <w:bookmarkEnd w:id="174"/>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color w:val="FF0000"/>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7</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78" w:hanging="1077"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0"/>
        </w:numPr>
        <w:spacing w:before="100" w:beforeAutospacing="1" w:afterLines="50" w:line="360" w:lineRule="auto"/>
        <w:ind w:left="1288" w:hanging="1288"/>
        <w:rPr>
          <w:rFonts w:ascii="宋体" w:hAnsi="宋体" w:eastAsia="宋体"/>
        </w:rPr>
      </w:pPr>
      <w:bookmarkStart w:id="175" w:name="_Toc494665959"/>
      <w:bookmarkStart w:id="176" w:name="_Toc494721109"/>
      <w:bookmarkStart w:id="177" w:name="_Toc494702279"/>
      <w:bookmarkStart w:id="178" w:name="_Toc494665562"/>
      <w:bookmarkStart w:id="179" w:name="_Toc495861558"/>
      <w:bookmarkStart w:id="180" w:name="_Toc494745326"/>
      <w:bookmarkStart w:id="181" w:name="_Toc494665009"/>
      <w:r>
        <w:rPr>
          <w:rFonts w:hint="eastAsia" w:ascii="宋体" w:hAnsi="宋体" w:eastAsia="宋体"/>
        </w:rPr>
        <w:t>交纳投标保证金的银行凭证</w:t>
      </w:r>
      <w:bookmarkEnd w:id="175"/>
      <w:bookmarkEnd w:id="176"/>
      <w:bookmarkEnd w:id="177"/>
      <w:bookmarkEnd w:id="178"/>
      <w:bookmarkEnd w:id="179"/>
      <w:bookmarkEnd w:id="180"/>
      <w:bookmarkEnd w:id="181"/>
    </w:p>
    <w:p>
      <w:pPr>
        <w:spacing w:line="480" w:lineRule="auto"/>
        <w:rPr>
          <w:rFonts w:ascii="宋体" w:hAnsi="宋体" w:cs="Courier New"/>
          <w:b/>
          <w:sz w:val="28"/>
          <w:szCs w:val="28"/>
        </w:rPr>
      </w:pPr>
      <w:r>
        <w:rPr>
          <w:rFonts w:hint="eastAsia"/>
          <w:b/>
          <w:sz w:val="28"/>
          <w:szCs w:val="28"/>
        </w:rPr>
        <w:t>采购人</w:t>
      </w:r>
      <w:r>
        <w:rPr>
          <w:rFonts w:hint="eastAsia"/>
          <w:b/>
          <w:color w:val="FF0000"/>
          <w:sz w:val="28"/>
          <w:szCs w:val="28"/>
        </w:rPr>
        <w:t>（或代理公司）</w:t>
      </w:r>
      <w:r>
        <w:rPr>
          <w:rFonts w:hint="eastAsia" w:ascii="宋体" w:hAnsi="宋体" w:cs="Courier New"/>
          <w:b/>
          <w:sz w:val="28"/>
          <w:szCs w:val="28"/>
        </w:rPr>
        <w:t>：</w:t>
      </w:r>
    </w:p>
    <w:p>
      <w:pPr>
        <w:spacing w:line="360" w:lineRule="auto"/>
        <w:ind w:firstLine="489" w:firstLineChars="204"/>
        <w:jc w:val="left"/>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（投标人全称）  </w:t>
      </w:r>
      <w:r>
        <w:rPr>
          <w:rFonts w:hint="eastAsia" w:ascii="宋体" w:hAnsi="宋体" w:eastAsia="宋体" w:cs="Times New Roman"/>
          <w:sz w:val="24"/>
          <w:szCs w:val="21"/>
          <w:lang w:val="zh-CN"/>
        </w:rPr>
        <w:t>参加贵方组织的</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_）的政府采购活动。按招标文件的规定，已递交人民币（大写）</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sz w:val="24"/>
          <w:szCs w:val="21"/>
          <w:lang w:val="zh-CN"/>
        </w:rPr>
        <w:t>万元的投标保证金。</w:t>
      </w:r>
    </w:p>
    <w:tbl>
      <w:tblPr>
        <w:tblStyle w:val="21"/>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ascii="宋体" w:hAnsi="宋体" w:eastAsia="宋体" w:cs="宋体"/>
                <w:kern w:val="0"/>
                <w:sz w:val="24"/>
                <w:szCs w:val="21"/>
              </w:rPr>
            </w:pPr>
          </w:p>
        </w:tc>
        <w:tc>
          <w:tcPr>
            <w:tcW w:w="1440"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ascii="宋体" w:hAnsi="宋体" w:eastAsia="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ascii="宋体" w:hAnsi="宋体" w:eastAsia="宋体" w:cs="Arial"/>
                <w:kern w:val="0"/>
                <w:sz w:val="24"/>
                <w:szCs w:val="21"/>
              </w:rPr>
            </w:pPr>
          </w:p>
        </w:tc>
      </w:tr>
    </w:tbl>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tbl>
      <w:tblPr>
        <w:tblStyle w:val="21"/>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9547" w:type="dxa"/>
          </w:tcPr>
          <w:p>
            <w:pPr>
              <w:spacing w:line="360" w:lineRule="auto"/>
              <w:rPr>
                <w:rFonts w:ascii="宋体" w:hAnsi="宋体" w:eastAsia="宋体" w:cs="Times New Roman"/>
                <w:sz w:val="24"/>
                <w:szCs w:val="24"/>
              </w:rPr>
            </w:pPr>
            <w:r>
              <w:rPr>
                <w:rFonts w:hint="eastAsia" w:ascii="宋体" w:hAnsi="宋体" w:eastAsia="宋体" w:cs="Times New Roman"/>
                <w:sz w:val="24"/>
                <w:szCs w:val="24"/>
              </w:rPr>
              <w:t>粘贴转帐、电汇或网上银行凭证（清晰影印件）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10" w:leftChars="38" w:hanging="31" w:hangingChars="13"/>
              <w:rPr>
                <w:rFonts w:ascii="宋体" w:hAnsi="宋体" w:eastAsia="宋体" w:cs="Times New Roman"/>
                <w:b/>
                <w:sz w:val="24"/>
                <w:szCs w:val="20"/>
                <w:lang w:val="zh-CN"/>
              </w:rPr>
            </w:pPr>
            <w:r>
              <w:rPr>
                <w:rFonts w:hint="eastAsia" w:ascii="宋体" w:hAnsi="宋体" w:eastAsia="宋体" w:cs="Times New Roman"/>
                <w:sz w:val="24"/>
                <w:szCs w:val="20"/>
                <w:lang w:val="zh-CN"/>
              </w:rPr>
              <w:t>注：在交款凭证备注中说明项目编号及开标时间</w:t>
            </w:r>
          </w:p>
        </w:tc>
      </w:tr>
    </w:tbl>
    <w:p>
      <w:pPr>
        <w:spacing w:line="360" w:lineRule="auto"/>
        <w:ind w:left="720" w:hanging="720" w:hangingChars="300"/>
        <w:jc w:val="left"/>
        <w:rPr>
          <w:rFonts w:ascii="宋体" w:hAnsi="宋体" w:eastAsia="宋体" w:cs="Times New Roman"/>
          <w:sz w:val="24"/>
          <w:szCs w:val="24"/>
        </w:rPr>
      </w:pPr>
      <w:r>
        <w:rPr>
          <w:rFonts w:hint="eastAsia" w:ascii="宋体" w:hAnsi="宋体" w:eastAsia="宋体" w:cs="Times New Roman"/>
          <w:sz w:val="24"/>
          <w:szCs w:val="24"/>
        </w:rPr>
        <w:t>说明：投标人应认真填写银行信息，与转帐或电汇银行凭证的相关信息一致，采购机构将依据此凭证信息查退投标保证金。</w:t>
      </w:r>
    </w:p>
    <w:p>
      <w:r>
        <w:br w:type="page"/>
      </w:r>
    </w:p>
    <w:p>
      <w:pPr>
        <w:pStyle w:val="4"/>
        <w:numPr>
          <w:ilvl w:val="0"/>
          <w:numId w:val="60"/>
        </w:numPr>
        <w:spacing w:before="100" w:beforeAutospacing="1" w:afterLines="50" w:line="360" w:lineRule="auto"/>
        <w:ind w:left="1288" w:hanging="1288"/>
        <w:rPr>
          <w:rFonts w:ascii="宋体" w:hAnsi="宋体" w:eastAsia="宋体"/>
        </w:rPr>
      </w:pPr>
      <w:bookmarkStart w:id="182" w:name="_Toc495861559"/>
      <w:bookmarkStart w:id="183" w:name="_Toc238276247"/>
      <w:bookmarkStart w:id="184" w:name="_Toc494745327"/>
      <w:bookmarkStart w:id="185" w:name="_Toc236473303"/>
      <w:bookmarkStart w:id="186" w:name="_Toc494665010"/>
      <w:bookmarkStart w:id="187" w:name="_Toc494721110"/>
      <w:bookmarkStart w:id="188" w:name="_Toc494665960"/>
      <w:bookmarkStart w:id="189" w:name="_Toc494702280"/>
      <w:bookmarkStart w:id="190" w:name="_Toc494665563"/>
      <w:r>
        <w:rPr>
          <w:rFonts w:hint="eastAsia" w:ascii="宋体" w:hAnsi="宋体" w:eastAsia="宋体"/>
        </w:rPr>
        <w:t>法定代表人授权书</w:t>
      </w:r>
      <w:bookmarkEnd w:id="182"/>
      <w:bookmarkEnd w:id="183"/>
      <w:bookmarkEnd w:id="184"/>
      <w:bookmarkEnd w:id="185"/>
      <w:bookmarkEnd w:id="186"/>
      <w:bookmarkEnd w:id="187"/>
      <w:bookmarkEnd w:id="188"/>
      <w:bookmarkEnd w:id="189"/>
      <w:bookmarkEnd w:id="190"/>
    </w:p>
    <w:p>
      <w:pPr>
        <w:spacing w:line="480" w:lineRule="auto"/>
        <w:rPr>
          <w:rFonts w:ascii="宋体" w:hAnsi="宋体" w:eastAsia="宋体" w:cs="Times New Roman"/>
          <w:b/>
          <w:sz w:val="24"/>
          <w:szCs w:val="24"/>
        </w:rPr>
      </w:pPr>
      <w:r>
        <w:rPr>
          <w:rFonts w:hint="eastAsia"/>
          <w:b/>
          <w:sz w:val="28"/>
          <w:szCs w:val="28"/>
        </w:rPr>
        <w:t>采购人</w:t>
      </w:r>
      <w:r>
        <w:rPr>
          <w:rFonts w:hint="eastAsia"/>
          <w:b/>
          <w:color w:val="FF0000"/>
          <w:sz w:val="28"/>
          <w:szCs w:val="28"/>
        </w:rPr>
        <w:t>（或代理公司）</w:t>
      </w:r>
      <w:r>
        <w:rPr>
          <w:rFonts w:hint="eastAsia" w:ascii="宋体" w:hAnsi="宋体" w:cs="Courier New"/>
          <w:b/>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兹授权</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同志为我单位参加贵方组织的</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Times New Roman" w:hAnsi="宋体" w:eastAsia="宋体" w:cs="Times New Roman"/>
          <w:color w:val="0D0D0D"/>
          <w:sz w:val="24"/>
          <w:szCs w:val="24"/>
        </w:rPr>
        <w:t>项目（项目编号：_____</w:t>
      </w:r>
      <w:r>
        <w:rPr>
          <w:rFonts w:hint="eastAsia" w:ascii="Times New Roman" w:hAnsi="宋体" w:eastAsia="宋体" w:cs="Times New Roman"/>
          <w:sz w:val="24"/>
          <w:szCs w:val="24"/>
        </w:rPr>
        <w:t>_）</w:t>
      </w:r>
      <w:r>
        <w:rPr>
          <w:rFonts w:hint="eastAsia" w:ascii="宋体" w:hAnsi="宋体" w:eastAsia="宋体" w:cs="Times New Roman"/>
          <w:sz w:val="24"/>
          <w:szCs w:val="24"/>
        </w:rPr>
        <w:t>采购活动的投标人授权代表，全权代表我公司处理在</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项目采购活动中的一切事宜。代理期限从</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w:t>
      </w:r>
      <w:r>
        <w:rPr>
          <w:rFonts w:hint="eastAsia" w:ascii="宋体" w:hAnsi="宋体" w:eastAsia="宋体" w:cs="Times New Roman"/>
          <w:sz w:val="24"/>
          <w:szCs w:val="24"/>
        </w:rPr>
        <w:t>日起至</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 xml:space="preserve">日止。 </w:t>
      </w:r>
    </w:p>
    <w:p>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pPr>
        <w:spacing w:line="360" w:lineRule="auto"/>
        <w:ind w:firstLine="540" w:firstLineChars="225"/>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sz w:val="24"/>
          <w:szCs w:val="21"/>
          <w:lang w:val="zh-CN"/>
        </w:rPr>
        <w:t>签发日期：</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职务： 性别：</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21"/>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r>
        <w:rPr>
          <w:rFonts w:hint="eastAsia"/>
        </w:rPr>
        <w:t>注：本项目可由分公司或分支机构总负责人进行授权。</w:t>
      </w:r>
      <w:r>
        <w:br w:type="page"/>
      </w:r>
    </w:p>
    <w:p>
      <w:pPr>
        <w:pStyle w:val="4"/>
        <w:numPr>
          <w:ilvl w:val="0"/>
          <w:numId w:val="60"/>
        </w:numPr>
        <w:spacing w:before="100" w:beforeAutospacing="1" w:afterLines="50" w:line="360" w:lineRule="auto"/>
        <w:ind w:left="1610" w:hanging="1610"/>
        <w:rPr>
          <w:rFonts w:ascii="宋体" w:hAnsi="宋体" w:eastAsia="宋体"/>
        </w:rPr>
      </w:pPr>
      <w:bookmarkStart w:id="191" w:name="_Toc494665961"/>
      <w:bookmarkStart w:id="192" w:name="_Toc236473304"/>
      <w:bookmarkStart w:id="193" w:name="_Toc494721111"/>
      <w:bookmarkStart w:id="194" w:name="_Toc494702281"/>
      <w:bookmarkStart w:id="195" w:name="_Toc238276248"/>
      <w:bookmarkStart w:id="196" w:name="_Toc494665564"/>
      <w:bookmarkStart w:id="197" w:name="_Toc495861560"/>
      <w:bookmarkStart w:id="198" w:name="_Toc494745328"/>
      <w:bookmarkStart w:id="199" w:name="_Toc494665011"/>
      <w:r>
        <w:rPr>
          <w:rFonts w:hint="eastAsia" w:ascii="宋体" w:hAnsi="宋体" w:eastAsia="宋体"/>
        </w:rPr>
        <w:t>投标人的资格声明</w:t>
      </w:r>
      <w:bookmarkEnd w:id="191"/>
      <w:bookmarkEnd w:id="192"/>
      <w:bookmarkEnd w:id="193"/>
      <w:bookmarkEnd w:id="194"/>
      <w:bookmarkEnd w:id="195"/>
      <w:bookmarkEnd w:id="196"/>
      <w:bookmarkEnd w:id="197"/>
      <w:bookmarkEnd w:id="198"/>
      <w:bookmarkEnd w:id="199"/>
    </w:p>
    <w:p>
      <w:pPr>
        <w:spacing w:line="360" w:lineRule="auto"/>
        <w:ind w:left="1078" w:hanging="1077"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（1）投标人：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（2）地址：     邮编：</w:t>
      </w:r>
    </w:p>
    <w:p>
      <w:pPr>
        <w:spacing w:line="360" w:lineRule="exact"/>
        <w:ind w:firstLine="840"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（4）单位性质：</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（6）员工人数：</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（7）注册资本：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（8）实收资本：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2）流动资金：</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3）长期负债：</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4）短期负债：</w:t>
      </w: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21"/>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21"/>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兹证明上述声明是真实的、正确，并提供了全部能提供的资料和数据，同意按照采购机构要求出示有关证明文件。                      </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Times New Roman" w:hAnsi="宋体" w:eastAsia="宋体" w:cs="Times New Roman"/>
          <w:b/>
          <w:sz w:val="24"/>
          <w:szCs w:val="24"/>
        </w:rPr>
        <w:t>法定代表人（签字或盖章）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电    话：</w:t>
      </w:r>
    </w:p>
    <w:p>
      <w:pPr>
        <w:spacing w:line="360" w:lineRule="auto"/>
        <w:ind w:left="504" w:leftChars="240"/>
        <w:rPr>
          <w:rFonts w:ascii="宋体" w:hAnsi="宋体" w:eastAsia="宋体" w:cs="Times New Roman"/>
          <w:b/>
          <w:sz w:val="24"/>
          <w:szCs w:val="24"/>
          <w:u w:val="single"/>
        </w:rPr>
      </w:pPr>
      <w:r>
        <w:rPr>
          <w:rFonts w:hint="eastAsia" w:ascii="宋体" w:hAnsi="宋体" w:eastAsia="宋体" w:cs="Times New Roman"/>
          <w:b/>
          <w:sz w:val="24"/>
          <w:szCs w:val="24"/>
        </w:rPr>
        <w:t>传    真：</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日    期：年月 日</w:t>
      </w:r>
    </w:p>
    <w:p>
      <w:pPr>
        <w:pStyle w:val="4"/>
        <w:numPr>
          <w:ilvl w:val="0"/>
          <w:numId w:val="60"/>
        </w:numPr>
        <w:spacing w:before="100" w:beforeAutospacing="1" w:afterLines="50" w:line="360" w:lineRule="auto"/>
        <w:ind w:left="1610" w:hanging="1610"/>
        <w:rPr>
          <w:rFonts w:ascii="宋体" w:hAnsi="宋体" w:eastAsia="宋体"/>
        </w:rPr>
      </w:pPr>
      <w:bookmarkStart w:id="200" w:name="_Toc494745329"/>
      <w:bookmarkStart w:id="201" w:name="_Toc494665565"/>
      <w:bookmarkStart w:id="202" w:name="_Toc494702282"/>
      <w:bookmarkStart w:id="203" w:name="_Toc494665962"/>
      <w:bookmarkStart w:id="204" w:name="_Toc494721112"/>
      <w:bookmarkStart w:id="205" w:name="_Toc495861561"/>
      <w:bookmarkStart w:id="206" w:name="_Toc494665012"/>
      <w:r>
        <w:rPr>
          <w:rFonts w:hint="eastAsia" w:ascii="宋体" w:hAnsi="宋体" w:eastAsia="宋体"/>
        </w:rPr>
        <w:t>项目负责人、技术负责人简历表</w:t>
      </w:r>
      <w:bookmarkEnd w:id="200"/>
      <w:bookmarkEnd w:id="201"/>
      <w:bookmarkEnd w:id="202"/>
      <w:bookmarkEnd w:id="203"/>
      <w:bookmarkEnd w:id="204"/>
      <w:bookmarkEnd w:id="205"/>
      <w:bookmarkEnd w:id="20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0"/>
        </w:numPr>
        <w:spacing w:before="100" w:beforeAutospacing="1" w:afterLines="50" w:line="360" w:lineRule="auto"/>
        <w:ind w:left="1610" w:hanging="1610"/>
        <w:rPr>
          <w:rFonts w:ascii="宋体" w:hAnsi="宋体" w:eastAsia="宋体"/>
        </w:rPr>
      </w:pPr>
      <w:bookmarkStart w:id="207" w:name="_Toc494745330"/>
      <w:bookmarkStart w:id="208" w:name="_Toc494665013"/>
      <w:bookmarkStart w:id="209" w:name="_Toc494665566"/>
      <w:bookmarkStart w:id="210" w:name="_Toc494665963"/>
      <w:bookmarkStart w:id="211" w:name="_Toc494702283"/>
      <w:bookmarkStart w:id="212" w:name="_Toc495861562"/>
      <w:bookmarkStart w:id="213" w:name="_Toc494721113"/>
      <w:bookmarkStart w:id="214" w:name="_Toc238276251"/>
      <w:bookmarkStart w:id="215" w:name="_Toc236473307"/>
      <w:r>
        <w:rPr>
          <w:rFonts w:hint="eastAsia" w:ascii="宋体" w:hAnsi="宋体" w:eastAsia="宋体"/>
        </w:rPr>
        <w:t>项目班子成员情况表</w:t>
      </w:r>
      <w:bookmarkEnd w:id="207"/>
      <w:bookmarkEnd w:id="208"/>
      <w:bookmarkEnd w:id="209"/>
      <w:bookmarkEnd w:id="210"/>
      <w:bookmarkEnd w:id="211"/>
      <w:bookmarkEnd w:id="212"/>
      <w:bookmarkEnd w:id="213"/>
      <w:bookmarkEnd w:id="214"/>
      <w:bookmarkEnd w:id="21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0"/>
        </w:numPr>
        <w:spacing w:before="100" w:beforeAutospacing="1" w:afterLines="50" w:line="360" w:lineRule="auto"/>
        <w:ind w:left="1610" w:hanging="1610"/>
        <w:rPr>
          <w:rFonts w:ascii="宋体" w:hAnsi="宋体" w:eastAsia="宋体"/>
        </w:rPr>
      </w:pPr>
      <w:bookmarkStart w:id="216" w:name="_Toc494745331"/>
      <w:bookmarkStart w:id="217" w:name="_Toc238276256"/>
      <w:bookmarkStart w:id="218" w:name="_Toc236473312"/>
      <w:bookmarkStart w:id="219" w:name="_Toc494665014"/>
      <w:bookmarkStart w:id="220" w:name="_Toc494721114"/>
      <w:bookmarkStart w:id="221" w:name="_Toc494702284"/>
      <w:bookmarkStart w:id="222" w:name="_Toc494665567"/>
      <w:bookmarkStart w:id="223" w:name="_Toc495861563"/>
      <w:bookmarkStart w:id="224" w:name="_Toc494665964"/>
      <w:r>
        <w:rPr>
          <w:rFonts w:hint="eastAsia" w:ascii="宋体" w:hAnsi="宋体" w:eastAsia="宋体"/>
        </w:rPr>
        <w:t>投标人类似项目业绩表</w:t>
      </w:r>
      <w:bookmarkEnd w:id="216"/>
      <w:bookmarkEnd w:id="217"/>
      <w:bookmarkEnd w:id="218"/>
      <w:bookmarkEnd w:id="219"/>
      <w:bookmarkEnd w:id="220"/>
      <w:bookmarkEnd w:id="221"/>
      <w:bookmarkEnd w:id="222"/>
      <w:bookmarkEnd w:id="223"/>
      <w:bookmarkEnd w:id="22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firstLine="720" w:firstLineChars="300"/>
        <w:rPr>
          <w:rFonts w:ascii="宋体" w:hAnsi="宋体" w:eastAsia="宋体" w:cs="Times New Roman"/>
          <w:sz w:val="24"/>
          <w:szCs w:val="24"/>
        </w:rPr>
      </w:pPr>
    </w:p>
    <w:p>
      <w:pPr>
        <w:spacing w:line="360" w:lineRule="auto"/>
        <w:ind w:firstLine="720" w:firstLineChars="300"/>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0"/>
        </w:numPr>
        <w:spacing w:before="100" w:beforeAutospacing="1" w:afterLines="50" w:line="360" w:lineRule="auto"/>
        <w:ind w:left="1610" w:hanging="1610"/>
        <w:rPr>
          <w:rFonts w:ascii="宋体" w:hAnsi="宋体" w:eastAsia="宋体"/>
        </w:rPr>
      </w:pPr>
      <w:bookmarkStart w:id="225" w:name="_Toc494702285"/>
      <w:bookmarkStart w:id="226" w:name="_Toc494665965"/>
      <w:bookmarkStart w:id="227" w:name="_Toc495861564"/>
      <w:bookmarkStart w:id="228" w:name="_Toc494721115"/>
      <w:bookmarkStart w:id="229" w:name="_Toc494665015"/>
      <w:bookmarkStart w:id="230" w:name="_Toc494745332"/>
      <w:bookmarkStart w:id="231" w:name="_Toc494665568"/>
      <w:r>
        <w:rPr>
          <w:rFonts w:hint="eastAsia" w:ascii="宋体" w:hAnsi="宋体" w:eastAsia="宋体"/>
        </w:rPr>
        <w:t>符合性审查对照表</w:t>
      </w:r>
      <w:bookmarkEnd w:id="225"/>
      <w:bookmarkEnd w:id="226"/>
      <w:bookmarkEnd w:id="227"/>
      <w:bookmarkEnd w:id="228"/>
      <w:bookmarkEnd w:id="229"/>
      <w:bookmarkEnd w:id="230"/>
      <w:bookmarkEnd w:id="231"/>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0"/>
        </w:numPr>
        <w:spacing w:before="100" w:beforeAutospacing="1" w:afterLines="50" w:line="360" w:lineRule="auto"/>
        <w:ind w:left="1610" w:hanging="1610"/>
        <w:rPr>
          <w:rFonts w:ascii="宋体" w:hAnsi="宋体" w:eastAsia="宋体"/>
        </w:rPr>
      </w:pPr>
      <w:bookmarkStart w:id="232" w:name="_Toc494745333"/>
      <w:bookmarkStart w:id="233" w:name="_Toc494721116"/>
      <w:bookmarkStart w:id="234" w:name="_Toc494665016"/>
      <w:bookmarkStart w:id="235" w:name="_Toc494665569"/>
      <w:bookmarkStart w:id="236" w:name="_Toc494702286"/>
      <w:bookmarkStart w:id="237" w:name="_Toc495861565"/>
      <w:bookmarkStart w:id="238" w:name="_Toc494665966"/>
      <w:r>
        <w:rPr>
          <w:rFonts w:hint="eastAsia" w:ascii="宋体" w:hAnsi="宋体" w:eastAsia="宋体"/>
        </w:rPr>
        <w:t>商务要求响应、偏离说明表</w:t>
      </w:r>
      <w:bookmarkEnd w:id="232"/>
      <w:bookmarkEnd w:id="233"/>
      <w:bookmarkEnd w:id="234"/>
      <w:bookmarkEnd w:id="235"/>
      <w:bookmarkEnd w:id="236"/>
      <w:bookmarkEnd w:id="237"/>
      <w:bookmarkEnd w:id="238"/>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60" w:lineRule="auto"/>
        <w:ind w:left="781" w:leftChars="258" w:hanging="240" w:hangingChars="1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0"/>
        </w:numPr>
        <w:spacing w:before="100" w:beforeAutospacing="1" w:afterLines="50" w:line="360" w:lineRule="auto"/>
        <w:ind w:left="1610" w:hanging="1610"/>
        <w:rPr>
          <w:rFonts w:ascii="宋体" w:hAnsi="宋体" w:eastAsia="宋体"/>
        </w:rPr>
      </w:pPr>
      <w:bookmarkStart w:id="239" w:name="_Toc494665570"/>
      <w:bookmarkStart w:id="240" w:name="_Toc494665967"/>
      <w:bookmarkStart w:id="241" w:name="_Toc494665017"/>
      <w:bookmarkStart w:id="242" w:name="_Toc494721117"/>
      <w:bookmarkStart w:id="243" w:name="_Toc494745334"/>
      <w:bookmarkStart w:id="244" w:name="_Toc495861566"/>
      <w:bookmarkStart w:id="245" w:name="_Toc494702287"/>
      <w:r>
        <w:rPr>
          <w:rFonts w:hint="eastAsia" w:ascii="宋体" w:hAnsi="宋体" w:eastAsia="宋体"/>
        </w:rPr>
        <w:t>商务要求“★”号条款响应、偏离说明表</w:t>
      </w:r>
      <w:bookmarkEnd w:id="239"/>
      <w:bookmarkEnd w:id="240"/>
      <w:bookmarkEnd w:id="241"/>
      <w:bookmarkEnd w:id="242"/>
      <w:bookmarkEnd w:id="243"/>
      <w:bookmarkEnd w:id="244"/>
      <w:bookmarkEnd w:id="24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0"/>
        </w:numPr>
        <w:spacing w:before="100" w:beforeAutospacing="1" w:afterLines="50" w:line="360" w:lineRule="auto"/>
        <w:ind w:left="1610" w:hanging="1610"/>
        <w:rPr>
          <w:rFonts w:ascii="宋体" w:hAnsi="宋体" w:eastAsia="宋体"/>
        </w:rPr>
      </w:pPr>
      <w:bookmarkStart w:id="246" w:name="_Toc494702288"/>
      <w:bookmarkStart w:id="247" w:name="_Toc494665018"/>
      <w:bookmarkStart w:id="248" w:name="_Toc494721118"/>
      <w:bookmarkStart w:id="249" w:name="_Toc494665968"/>
      <w:bookmarkStart w:id="250" w:name="_Toc495861567"/>
      <w:bookmarkStart w:id="251" w:name="_Toc494665571"/>
      <w:bookmarkStart w:id="252" w:name="_Toc494745335"/>
      <w:r>
        <w:rPr>
          <w:rFonts w:hint="eastAsia" w:ascii="宋体" w:hAnsi="宋体" w:eastAsia="宋体"/>
        </w:rPr>
        <w:t>商务评议对照表</w:t>
      </w:r>
      <w:bookmarkEnd w:id="246"/>
      <w:bookmarkEnd w:id="247"/>
      <w:bookmarkEnd w:id="248"/>
      <w:bookmarkEnd w:id="249"/>
      <w:bookmarkEnd w:id="250"/>
      <w:bookmarkEnd w:id="251"/>
      <w:bookmarkEnd w:id="25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3"/>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3"/>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3"/>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3"/>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3"/>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3"/>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0"/>
        </w:numPr>
        <w:spacing w:before="100" w:beforeAutospacing="1" w:afterLines="50" w:line="360" w:lineRule="auto"/>
        <w:ind w:left="1610" w:hanging="1610"/>
        <w:rPr>
          <w:rFonts w:ascii="宋体" w:hAnsi="宋体" w:eastAsia="宋体"/>
        </w:rPr>
      </w:pPr>
      <w:bookmarkStart w:id="253" w:name="_Toc494702289"/>
      <w:bookmarkStart w:id="254" w:name="_Toc494665572"/>
      <w:bookmarkStart w:id="255" w:name="_Toc494745336"/>
      <w:bookmarkStart w:id="256" w:name="_Toc494665019"/>
      <w:bookmarkStart w:id="257" w:name="_Toc495861568"/>
      <w:bookmarkStart w:id="258" w:name="_Toc494665969"/>
      <w:bookmarkStart w:id="259" w:name="_Toc494721119"/>
      <w:r>
        <w:rPr>
          <w:rFonts w:hint="eastAsia" w:ascii="宋体" w:hAnsi="宋体" w:eastAsia="宋体"/>
        </w:rPr>
        <w:t>技术、服务要求响应、偏离说明表</w:t>
      </w:r>
      <w:bookmarkEnd w:id="253"/>
      <w:bookmarkEnd w:id="254"/>
      <w:bookmarkEnd w:id="255"/>
      <w:bookmarkEnd w:id="256"/>
      <w:bookmarkEnd w:id="257"/>
      <w:bookmarkEnd w:id="258"/>
      <w:bookmarkEnd w:id="25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0"/>
        </w:numPr>
        <w:spacing w:before="100" w:beforeAutospacing="1" w:afterLines="50" w:line="360" w:lineRule="auto"/>
        <w:ind w:left="1610" w:hanging="1610"/>
        <w:rPr>
          <w:rFonts w:ascii="宋体" w:hAnsi="宋体" w:eastAsia="宋体"/>
        </w:rPr>
      </w:pPr>
      <w:bookmarkStart w:id="260" w:name="_Toc494745337"/>
      <w:bookmarkStart w:id="261" w:name="_Toc494721120"/>
      <w:bookmarkStart w:id="262" w:name="_Toc495861569"/>
      <w:bookmarkStart w:id="263" w:name="_Toc494665573"/>
      <w:bookmarkStart w:id="264" w:name="_Toc494702290"/>
      <w:bookmarkStart w:id="265" w:name="_Toc494665970"/>
      <w:bookmarkStart w:id="266" w:name="_Toc494665020"/>
      <w:bookmarkStart w:id="267" w:name="_Toc329859066"/>
      <w:r>
        <w:rPr>
          <w:rFonts w:hint="eastAsia" w:ascii="宋体" w:hAnsi="宋体" w:eastAsia="宋体"/>
        </w:rPr>
        <w:t>技术、服务要求“★”号条款响应、偏离说明表</w:t>
      </w:r>
      <w:bookmarkEnd w:id="260"/>
      <w:bookmarkEnd w:id="261"/>
      <w:bookmarkEnd w:id="262"/>
      <w:bookmarkEnd w:id="263"/>
      <w:bookmarkEnd w:id="264"/>
      <w:bookmarkEnd w:id="265"/>
      <w:bookmarkEnd w:id="26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936" w:hanging="936" w:hangingChars="390"/>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bookmarkEnd w:id="267"/>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60"/>
        </w:numPr>
        <w:spacing w:before="100" w:beforeAutospacing="1" w:afterLines="50" w:line="360" w:lineRule="auto"/>
        <w:ind w:left="1610" w:hanging="1610"/>
        <w:rPr>
          <w:rFonts w:ascii="宋体" w:hAnsi="宋体" w:eastAsia="宋体"/>
        </w:rPr>
      </w:pPr>
      <w:bookmarkStart w:id="268" w:name="_Toc495861570"/>
      <w:bookmarkStart w:id="269" w:name="_Toc494665574"/>
      <w:bookmarkStart w:id="270" w:name="_Toc494665021"/>
      <w:bookmarkStart w:id="271" w:name="_Toc494721121"/>
      <w:bookmarkStart w:id="272" w:name="_Toc494665971"/>
      <w:bookmarkStart w:id="273" w:name="_Toc494745338"/>
      <w:bookmarkStart w:id="274" w:name="_Toc494702291"/>
      <w:r>
        <w:rPr>
          <w:rFonts w:hint="eastAsia" w:ascii="宋体" w:hAnsi="宋体" w:eastAsia="宋体"/>
        </w:rPr>
        <w:t>技术、服务评议对照表</w:t>
      </w:r>
      <w:bookmarkEnd w:id="268"/>
      <w:bookmarkEnd w:id="269"/>
      <w:bookmarkEnd w:id="270"/>
      <w:bookmarkEnd w:id="271"/>
      <w:bookmarkEnd w:id="272"/>
      <w:bookmarkEnd w:id="273"/>
      <w:bookmarkEnd w:id="27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4"/>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4"/>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4"/>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4"/>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4"/>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4"/>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00" w:lineRule="auto"/>
        <w:ind w:left="720" w:hanging="720" w:hangingChars="3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ngLiU">
    <w:altName w:val="Microsoft JhengHei"/>
    <w:panose1 w:val="02010609000101010101"/>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Corbel">
    <w:panose1 w:val="020B0503020204020204"/>
    <w:charset w:val="00"/>
    <w:family w:val="swiss"/>
    <w:pitch w:val="default"/>
    <w:sig w:usb0="A00002EF" w:usb1="4000A44B"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13"/>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65</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3789680</wp:posOffset>
              </wp:positionH>
              <wp:positionV relativeFrom="page">
                <wp:posOffset>9973945</wp:posOffset>
              </wp:positionV>
              <wp:extent cx="191770" cy="1397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line="220" w:lineRule="exact"/>
                            <w:ind w:left="60"/>
                            <w:rPr>
                              <w:sz w:val="18"/>
                            </w:rPr>
                          </w:pPr>
                          <w:r>
                            <w:fldChar w:fldCharType="begin"/>
                          </w:r>
                          <w:r>
                            <w:rPr>
                              <w:sz w:val="18"/>
                            </w:rPr>
                            <w:instrText xml:space="preserve"> PAGE </w:instrText>
                          </w:r>
                          <w:r>
                            <w:fldChar w:fldCharType="separate"/>
                          </w:r>
                          <w:r>
                            <w:rPr>
                              <w:sz w:val="18"/>
                            </w:rPr>
                            <w:t>11</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8.4pt;margin-top:785.35pt;height:11pt;width:15.1pt;mso-position-horizontal-relative:page;mso-position-vertical-relative:page;z-index:-251656192;mso-width-relative:page;mso-height-relative:page;" filled="f" stroked="f" coordsize="21600,21600" o:gfxdata="UEsDBAoAAAAAAIdO4kAAAAAAAAAAAAAAAAAEAAAAZHJzL1BLAwQUAAAACACHTuJAIL68FNoAAAAN&#10;AQAADwAAAGRycy9kb3ducmV2LnhtbE2PzU7DMBCE70h9B2srcaN2IzUhIU6FEJyQEGk4cHRiN7Ea&#10;r0Ps/vD2bE/0uDOj2W/K7cWN7GTmYD1KWK8EMIOd1xZ7CV/N28MjsBAVajV6NBJ+TYBttbgrVaH9&#10;GWtz2sWeUQmGQkkYYpwKzkM3GKfCyk8Gydv72alI59xzPaszlbuRJ0Kk3CmL9GFQk3kZTHfYHZ2E&#10;52+sX+3PR/tZ72vbNLnA9/Qg5f1yLZ6ARXOJ/2G44hM6VMTU+iPqwEYJmzwl9EjGJhMZMIqkSUbz&#10;2quUJxnwquS3K6o/UEsDBBQAAAAIAIdO4kBW++ZluQEAAHEDAAAOAAAAZHJzL2Uyb0RvYy54bWyt&#10;U0tu2zAQ3RfIHQjua8puUTeC5QCFkaBA0RZIcgCaIi0C/GFIW/IF2ht01U33PZfP0SFtOb9NFt1Q&#10;w5nh43tvqMXVYA3ZSYjau4ZOJxUl0gnfardp6P3d9duPlMTEXcuNd7Khexnp1fLizaIPtZz5zptW&#10;AkEQF+s+NLRLKdSMRdFJy+PEB+mwqDxYnnALG9YC7xHdGjarqg+s99AG8ELGiNnVsUhPiPAaQK+U&#10;FnLlxdZKl46oIA1PKCl2OkS6LGyVkiJ9UyrKRExDUWkqK16C8TqvbLng9QZ46LQ4UeCvofBMk+Xa&#10;4aVnqBVPnGxBv4CyWoCPXqWJ8JYdhRRHUMW0eubNbceDLFrQ6hjOpsf/Byu+7r4D0W1D31PiuMWB&#10;H379PPz+e/jzg8yyPX2INXbdBuxLwyc/4KMZ8xGTWfWgwOYv6iFYR3P3Z3PlkIjIhy6n8zlWBJam&#10;7y7nVTGfPRwOENON9JbkoKGAsyuW8t2XmJAIto4t+S7nr7UxZX7GPUlgY86wzPzIMEdpWA8nOWvf&#10;7lGN+ezQyfwqxgDGYD0G2wB60yGdorlA4iQKmdOryaN+vC8XP/wpy3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gvrwU2gAAAA0BAAAPAAAAAAAAAAEAIAAAACIAAABkcnMvZG93bnJldi54bWxQSwEC&#10;FAAUAAAACACHTuJAVvvmZbkBAABxAwAADgAAAAAAAAABACAAAAApAQAAZHJzL2Uyb0RvYy54bWxQ&#10;SwUGAAAAAAYABgBZAQAAVAUAAAAA&#10;">
              <v:fill on="f" focussize="0,0"/>
              <v:stroke on="f"/>
              <v:imagedata o:title=""/>
              <o:lock v:ext="edit" aspectratio="f"/>
              <v:textbox inset="0mm,0mm,0mm,0mm">
                <w:txbxContent>
                  <w:p>
                    <w:pPr>
                      <w:spacing w:line="220" w:lineRule="exact"/>
                      <w:ind w:left="60"/>
                      <w:rPr>
                        <w:sz w:val="18"/>
                      </w:rPr>
                    </w:pPr>
                    <w:r>
                      <w:fldChar w:fldCharType="begin"/>
                    </w:r>
                    <w:r>
                      <w:rPr>
                        <w:sz w:val="18"/>
                      </w:rPr>
                      <w:instrText xml:space="preserve"> PAGE </w:instrText>
                    </w:r>
                    <w:r>
                      <w:fldChar w:fldCharType="separate"/>
                    </w:r>
                    <w:r>
                      <w:rPr>
                        <w:sz w:val="18"/>
                      </w:rP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000000" w:themeColor="text1" w:sz="4" w:space="1"/>
      </w:pBdr>
      <w:tabs>
        <w:tab w:val="clear" w:pos="4153"/>
        <w:tab w:val="clear" w:pos="8306"/>
      </w:tabs>
      <w:ind w:right="-9"/>
      <w:jc w:val="right"/>
    </w:pPr>
    <w:r>
      <w:rPr>
        <w:rFonts w:hint="eastAsia" w:asciiTheme="minorEastAsia" w:hAnsiTheme="minorEastAsia"/>
      </w:rPr>
      <w:t xml:space="preserve">                                       </w:t>
    </w:r>
    <w:r>
      <w:rPr>
        <w:rFonts w:hint="eastAsia" w:ascii="宋体" w:hAnsi="宋体" w:eastAsia="宋体" w:cs="宋体"/>
        <w:kern w:val="0"/>
        <w:u w:val="single"/>
      </w:rPr>
      <w:t>中新创达咨询有限公司制</w:t>
    </w:r>
  </w:p>
  <w:p>
    <w:pPr>
      <w:pStyle w:val="13"/>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58</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66</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000000" w:themeColor="text1" w:sz="4" w:space="1"/>
      </w:pBdr>
      <w:tabs>
        <w:tab w:val="clear" w:pos="4153"/>
      </w:tabs>
      <w:jc w:val="left"/>
      <w:rPr>
        <w:b/>
      </w:rPr>
    </w:pPr>
    <w:r>
      <w:rPr>
        <w:rFonts w:hint="eastAsia"/>
        <w:b/>
      </w:rPr>
      <w:t>项目名称</w:t>
    </w:r>
    <w:r>
      <w:rPr>
        <w:rFonts w:hint="eastAsia" w:asciiTheme="minorEastAsia" w:hAnsiTheme="minorEastAsia"/>
        <w:b/>
      </w:rPr>
      <w:t>：</w:t>
    </w:r>
    <w:r>
      <w:rPr>
        <w:rFonts w:hint="eastAsia" w:asciiTheme="minorEastAsia" w:hAnsiTheme="minorEastAsia"/>
        <w:b/>
        <w:lang w:val="hr-HR"/>
      </w:rPr>
      <w:t>阳新县全民所有自然资源资产清查试点工作项目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9">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2">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3">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6">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7">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8">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9">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1">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9F46660"/>
    <w:multiLevelType w:val="singleLevel"/>
    <w:tmpl w:val="29F46660"/>
    <w:lvl w:ilvl="0" w:tentative="0">
      <w:start w:val="1"/>
      <w:numFmt w:val="decimal"/>
      <w:lvlText w:val="(%1)"/>
      <w:lvlJc w:val="left"/>
      <w:pPr>
        <w:ind w:left="425" w:hanging="425"/>
      </w:pPr>
      <w:rPr>
        <w:rFonts w:hint="default"/>
      </w:rPr>
    </w:lvl>
  </w:abstractNum>
  <w:abstractNum w:abstractNumId="23">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6">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0">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6">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7">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8">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1">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8">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9">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0">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2">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5">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58">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59">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2">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1"/>
  </w:num>
  <w:num w:numId="2">
    <w:abstractNumId w:val="30"/>
  </w:num>
  <w:num w:numId="3">
    <w:abstractNumId w:val="44"/>
  </w:num>
  <w:num w:numId="4">
    <w:abstractNumId w:val="2"/>
  </w:num>
  <w:num w:numId="5">
    <w:abstractNumId w:val="38"/>
  </w:num>
  <w:num w:numId="6">
    <w:abstractNumId w:val="14"/>
  </w:num>
  <w:num w:numId="7">
    <w:abstractNumId w:val="5"/>
  </w:num>
  <w:num w:numId="8">
    <w:abstractNumId w:val="51"/>
  </w:num>
  <w:num w:numId="9">
    <w:abstractNumId w:val="32"/>
  </w:num>
  <w:num w:numId="10">
    <w:abstractNumId w:val="47"/>
  </w:num>
  <w:num w:numId="11">
    <w:abstractNumId w:val="29"/>
  </w:num>
  <w:num w:numId="12">
    <w:abstractNumId w:val="4"/>
  </w:num>
  <w:num w:numId="13">
    <w:abstractNumId w:val="21"/>
  </w:num>
  <w:num w:numId="14">
    <w:abstractNumId w:val="23"/>
  </w:num>
  <w:num w:numId="15">
    <w:abstractNumId w:val="8"/>
  </w:num>
  <w:num w:numId="16">
    <w:abstractNumId w:val="7"/>
  </w:num>
  <w:num w:numId="17">
    <w:abstractNumId w:val="59"/>
  </w:num>
  <w:num w:numId="18">
    <w:abstractNumId w:val="9"/>
  </w:num>
  <w:num w:numId="19">
    <w:abstractNumId w:val="28"/>
  </w:num>
  <w:num w:numId="20">
    <w:abstractNumId w:val="34"/>
  </w:num>
  <w:num w:numId="21">
    <w:abstractNumId w:val="37"/>
  </w:num>
  <w:num w:numId="22">
    <w:abstractNumId w:val="62"/>
  </w:num>
  <w:num w:numId="23">
    <w:abstractNumId w:val="45"/>
  </w:num>
  <w:num w:numId="24">
    <w:abstractNumId w:val="55"/>
  </w:num>
  <w:num w:numId="25">
    <w:abstractNumId w:val="60"/>
  </w:num>
  <w:num w:numId="26">
    <w:abstractNumId w:val="43"/>
  </w:num>
  <w:num w:numId="27">
    <w:abstractNumId w:val="6"/>
  </w:num>
  <w:num w:numId="28">
    <w:abstractNumId w:val="18"/>
  </w:num>
  <w:num w:numId="29">
    <w:abstractNumId w:val="56"/>
  </w:num>
  <w:num w:numId="30">
    <w:abstractNumId w:val="52"/>
  </w:num>
  <w:num w:numId="31">
    <w:abstractNumId w:val="36"/>
  </w:num>
  <w:num w:numId="32">
    <w:abstractNumId w:val="50"/>
  </w:num>
  <w:num w:numId="33">
    <w:abstractNumId w:val="24"/>
  </w:num>
  <w:num w:numId="34">
    <w:abstractNumId w:val="53"/>
  </w:num>
  <w:num w:numId="35">
    <w:abstractNumId w:val="1"/>
  </w:num>
  <w:num w:numId="36">
    <w:abstractNumId w:val="46"/>
  </w:num>
  <w:num w:numId="37">
    <w:abstractNumId w:val="26"/>
  </w:num>
  <w:num w:numId="38">
    <w:abstractNumId w:val="42"/>
  </w:num>
  <w:num w:numId="39">
    <w:abstractNumId w:val="31"/>
  </w:num>
  <w:num w:numId="40">
    <w:abstractNumId w:val="39"/>
  </w:num>
  <w:num w:numId="41">
    <w:abstractNumId w:val="33"/>
  </w:num>
  <w:num w:numId="42">
    <w:abstractNumId w:val="16"/>
  </w:num>
  <w:num w:numId="43">
    <w:abstractNumId w:val="49"/>
  </w:num>
  <w:num w:numId="44">
    <w:abstractNumId w:val="63"/>
  </w:num>
  <w:num w:numId="45">
    <w:abstractNumId w:val="17"/>
  </w:num>
  <w:num w:numId="46">
    <w:abstractNumId w:val="15"/>
  </w:num>
  <w:num w:numId="47">
    <w:abstractNumId w:val="0"/>
  </w:num>
  <w:num w:numId="48">
    <w:abstractNumId w:val="48"/>
    <w:lvlOverride w:ilvl="0">
      <w:startOverride w:val="1"/>
    </w:lvlOverride>
  </w:num>
  <w:num w:numId="49">
    <w:abstractNumId w:val="12"/>
  </w:num>
  <w:num w:numId="50">
    <w:abstractNumId w:val="25"/>
  </w:num>
  <w:num w:numId="51">
    <w:abstractNumId w:val="61"/>
  </w:num>
  <w:num w:numId="52">
    <w:abstractNumId w:val="22"/>
  </w:num>
  <w:num w:numId="53">
    <w:abstractNumId w:val="54"/>
  </w:num>
  <w:num w:numId="54">
    <w:abstractNumId w:val="40"/>
  </w:num>
  <w:num w:numId="55">
    <w:abstractNumId w:val="11"/>
  </w:num>
  <w:num w:numId="56">
    <w:abstractNumId w:val="20"/>
  </w:num>
  <w:num w:numId="57">
    <w:abstractNumId w:val="57"/>
  </w:num>
  <w:num w:numId="58">
    <w:abstractNumId w:val="35"/>
  </w:num>
  <w:num w:numId="59">
    <w:abstractNumId w:val="58"/>
  </w:num>
  <w:num w:numId="60">
    <w:abstractNumId w:val="10"/>
  </w:num>
  <w:num w:numId="61">
    <w:abstractNumId w:val="19"/>
  </w:num>
  <w:num w:numId="62">
    <w:abstractNumId w:val="3"/>
  </w:num>
  <w:num w:numId="63">
    <w:abstractNumId w:val="13"/>
  </w:num>
  <w:num w:numId="6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10983"/>
    <w:rsid w:val="00016562"/>
    <w:rsid w:val="00017BE8"/>
    <w:rsid w:val="00020344"/>
    <w:rsid w:val="00040B72"/>
    <w:rsid w:val="00046CAA"/>
    <w:rsid w:val="000658A4"/>
    <w:rsid w:val="00077E85"/>
    <w:rsid w:val="000812D6"/>
    <w:rsid w:val="00081D15"/>
    <w:rsid w:val="00082A9F"/>
    <w:rsid w:val="000855FE"/>
    <w:rsid w:val="00092450"/>
    <w:rsid w:val="00095415"/>
    <w:rsid w:val="000B1EA5"/>
    <w:rsid w:val="000B2732"/>
    <w:rsid w:val="000B3053"/>
    <w:rsid w:val="000B42CE"/>
    <w:rsid w:val="000C1DBB"/>
    <w:rsid w:val="000C2224"/>
    <w:rsid w:val="000C46E9"/>
    <w:rsid w:val="000D274B"/>
    <w:rsid w:val="000E0271"/>
    <w:rsid w:val="000E4686"/>
    <w:rsid w:val="000F23CD"/>
    <w:rsid w:val="000F64E0"/>
    <w:rsid w:val="00100585"/>
    <w:rsid w:val="00122C84"/>
    <w:rsid w:val="00133220"/>
    <w:rsid w:val="001338E8"/>
    <w:rsid w:val="00136EEC"/>
    <w:rsid w:val="001641C9"/>
    <w:rsid w:val="00173532"/>
    <w:rsid w:val="00177C62"/>
    <w:rsid w:val="00182264"/>
    <w:rsid w:val="00185E9A"/>
    <w:rsid w:val="001A0AB1"/>
    <w:rsid w:val="001A1335"/>
    <w:rsid w:val="001A2B2A"/>
    <w:rsid w:val="001A4138"/>
    <w:rsid w:val="001A4EBA"/>
    <w:rsid w:val="001A54E8"/>
    <w:rsid w:val="001B03BB"/>
    <w:rsid w:val="001B38CD"/>
    <w:rsid w:val="001C7B23"/>
    <w:rsid w:val="001D126B"/>
    <w:rsid w:val="001D2460"/>
    <w:rsid w:val="001D3EE7"/>
    <w:rsid w:val="001E157C"/>
    <w:rsid w:val="001E19C0"/>
    <w:rsid w:val="001E5D69"/>
    <w:rsid w:val="001E7CEA"/>
    <w:rsid w:val="00200DBC"/>
    <w:rsid w:val="00220470"/>
    <w:rsid w:val="00222B0D"/>
    <w:rsid w:val="00223408"/>
    <w:rsid w:val="002314EF"/>
    <w:rsid w:val="002334D5"/>
    <w:rsid w:val="00236772"/>
    <w:rsid w:val="002426EA"/>
    <w:rsid w:val="002446C6"/>
    <w:rsid w:val="00245792"/>
    <w:rsid w:val="00245EC8"/>
    <w:rsid w:val="0026342E"/>
    <w:rsid w:val="00276CFD"/>
    <w:rsid w:val="00277541"/>
    <w:rsid w:val="00293211"/>
    <w:rsid w:val="00295F64"/>
    <w:rsid w:val="002B7581"/>
    <w:rsid w:val="002C38E4"/>
    <w:rsid w:val="002D07BB"/>
    <w:rsid w:val="002D412B"/>
    <w:rsid w:val="002F4DBD"/>
    <w:rsid w:val="0031094F"/>
    <w:rsid w:val="00310B7E"/>
    <w:rsid w:val="00310F98"/>
    <w:rsid w:val="00314B08"/>
    <w:rsid w:val="00315BC1"/>
    <w:rsid w:val="00316026"/>
    <w:rsid w:val="00320ACF"/>
    <w:rsid w:val="00323F1C"/>
    <w:rsid w:val="00333225"/>
    <w:rsid w:val="0033323B"/>
    <w:rsid w:val="00352AE1"/>
    <w:rsid w:val="00353542"/>
    <w:rsid w:val="003540BC"/>
    <w:rsid w:val="00360712"/>
    <w:rsid w:val="0036309F"/>
    <w:rsid w:val="0036474B"/>
    <w:rsid w:val="003661C8"/>
    <w:rsid w:val="00366E30"/>
    <w:rsid w:val="00377B5F"/>
    <w:rsid w:val="00383221"/>
    <w:rsid w:val="0038707A"/>
    <w:rsid w:val="003913B8"/>
    <w:rsid w:val="00393E94"/>
    <w:rsid w:val="003B4F8E"/>
    <w:rsid w:val="003B718F"/>
    <w:rsid w:val="003B7A0D"/>
    <w:rsid w:val="003C0707"/>
    <w:rsid w:val="003C2008"/>
    <w:rsid w:val="003C2241"/>
    <w:rsid w:val="003C305C"/>
    <w:rsid w:val="003C6083"/>
    <w:rsid w:val="003D1759"/>
    <w:rsid w:val="003D5E80"/>
    <w:rsid w:val="003E5CA0"/>
    <w:rsid w:val="003F2B92"/>
    <w:rsid w:val="003F3007"/>
    <w:rsid w:val="0040329E"/>
    <w:rsid w:val="0040679C"/>
    <w:rsid w:val="004110F8"/>
    <w:rsid w:val="00414A80"/>
    <w:rsid w:val="004159BD"/>
    <w:rsid w:val="00415F77"/>
    <w:rsid w:val="004161BA"/>
    <w:rsid w:val="0043068D"/>
    <w:rsid w:val="00436CC2"/>
    <w:rsid w:val="00442EA3"/>
    <w:rsid w:val="004475F1"/>
    <w:rsid w:val="00461DFE"/>
    <w:rsid w:val="004651B7"/>
    <w:rsid w:val="00476E59"/>
    <w:rsid w:val="004871A8"/>
    <w:rsid w:val="00495635"/>
    <w:rsid w:val="004A4F81"/>
    <w:rsid w:val="004B0CC2"/>
    <w:rsid w:val="004B118F"/>
    <w:rsid w:val="004B4BED"/>
    <w:rsid w:val="004C1027"/>
    <w:rsid w:val="004C5C02"/>
    <w:rsid w:val="004C62F7"/>
    <w:rsid w:val="004C750B"/>
    <w:rsid w:val="004D548F"/>
    <w:rsid w:val="004E00F2"/>
    <w:rsid w:val="004E40B4"/>
    <w:rsid w:val="004E48AF"/>
    <w:rsid w:val="004E5A44"/>
    <w:rsid w:val="004F21F4"/>
    <w:rsid w:val="004F3D90"/>
    <w:rsid w:val="004F43AD"/>
    <w:rsid w:val="005025B6"/>
    <w:rsid w:val="0050300A"/>
    <w:rsid w:val="00511E96"/>
    <w:rsid w:val="0051431F"/>
    <w:rsid w:val="00516281"/>
    <w:rsid w:val="0052212F"/>
    <w:rsid w:val="00522D80"/>
    <w:rsid w:val="00525A93"/>
    <w:rsid w:val="005419E9"/>
    <w:rsid w:val="005437D7"/>
    <w:rsid w:val="005445A9"/>
    <w:rsid w:val="00545B0F"/>
    <w:rsid w:val="00545EDA"/>
    <w:rsid w:val="00552BFE"/>
    <w:rsid w:val="00556850"/>
    <w:rsid w:val="00560FA5"/>
    <w:rsid w:val="0056679F"/>
    <w:rsid w:val="00573437"/>
    <w:rsid w:val="0057573F"/>
    <w:rsid w:val="00580FFF"/>
    <w:rsid w:val="005813AA"/>
    <w:rsid w:val="00587541"/>
    <w:rsid w:val="005967BA"/>
    <w:rsid w:val="005A28F2"/>
    <w:rsid w:val="005A2F1E"/>
    <w:rsid w:val="005A58A0"/>
    <w:rsid w:val="005B12FC"/>
    <w:rsid w:val="005B6D3E"/>
    <w:rsid w:val="005B713A"/>
    <w:rsid w:val="005C31D8"/>
    <w:rsid w:val="005D6632"/>
    <w:rsid w:val="005E3CD4"/>
    <w:rsid w:val="005E43F6"/>
    <w:rsid w:val="005E6BF0"/>
    <w:rsid w:val="005F1588"/>
    <w:rsid w:val="00601112"/>
    <w:rsid w:val="00601990"/>
    <w:rsid w:val="00605C0D"/>
    <w:rsid w:val="00606E54"/>
    <w:rsid w:val="006227DA"/>
    <w:rsid w:val="00623CBB"/>
    <w:rsid w:val="006302AC"/>
    <w:rsid w:val="0064216A"/>
    <w:rsid w:val="006440C5"/>
    <w:rsid w:val="00663B35"/>
    <w:rsid w:val="006669B4"/>
    <w:rsid w:val="00666B23"/>
    <w:rsid w:val="00671C4A"/>
    <w:rsid w:val="0067786F"/>
    <w:rsid w:val="00680A96"/>
    <w:rsid w:val="00690659"/>
    <w:rsid w:val="00692BEA"/>
    <w:rsid w:val="006A6C1D"/>
    <w:rsid w:val="006A6C51"/>
    <w:rsid w:val="006A7A3D"/>
    <w:rsid w:val="006B01CC"/>
    <w:rsid w:val="006B62FC"/>
    <w:rsid w:val="006C0B5F"/>
    <w:rsid w:val="006C1AF1"/>
    <w:rsid w:val="006C6FDC"/>
    <w:rsid w:val="006C718A"/>
    <w:rsid w:val="006D1D6E"/>
    <w:rsid w:val="006D79E6"/>
    <w:rsid w:val="006F0D07"/>
    <w:rsid w:val="00715E44"/>
    <w:rsid w:val="00721AA6"/>
    <w:rsid w:val="00722075"/>
    <w:rsid w:val="00723103"/>
    <w:rsid w:val="00725899"/>
    <w:rsid w:val="00725F67"/>
    <w:rsid w:val="00726258"/>
    <w:rsid w:val="007318D6"/>
    <w:rsid w:val="00732E91"/>
    <w:rsid w:val="00737211"/>
    <w:rsid w:val="00744ECC"/>
    <w:rsid w:val="00773A2C"/>
    <w:rsid w:val="00774EB7"/>
    <w:rsid w:val="00775A96"/>
    <w:rsid w:val="00780DBA"/>
    <w:rsid w:val="00784AEB"/>
    <w:rsid w:val="00784ED7"/>
    <w:rsid w:val="00786E84"/>
    <w:rsid w:val="00795F5C"/>
    <w:rsid w:val="007A08C4"/>
    <w:rsid w:val="007A27DA"/>
    <w:rsid w:val="007A2D91"/>
    <w:rsid w:val="007A427D"/>
    <w:rsid w:val="007B68F2"/>
    <w:rsid w:val="007C0DA7"/>
    <w:rsid w:val="007C132C"/>
    <w:rsid w:val="007C1D03"/>
    <w:rsid w:val="007C460C"/>
    <w:rsid w:val="007D0A7D"/>
    <w:rsid w:val="007D72CF"/>
    <w:rsid w:val="007E3D3C"/>
    <w:rsid w:val="007F013A"/>
    <w:rsid w:val="007F07F2"/>
    <w:rsid w:val="007F504A"/>
    <w:rsid w:val="007F6863"/>
    <w:rsid w:val="007F6F97"/>
    <w:rsid w:val="00802536"/>
    <w:rsid w:val="00804419"/>
    <w:rsid w:val="0081114F"/>
    <w:rsid w:val="00812664"/>
    <w:rsid w:val="0081507A"/>
    <w:rsid w:val="00816910"/>
    <w:rsid w:val="00820E08"/>
    <w:rsid w:val="0082486D"/>
    <w:rsid w:val="00826B9A"/>
    <w:rsid w:val="008456E3"/>
    <w:rsid w:val="00863EDD"/>
    <w:rsid w:val="00876E59"/>
    <w:rsid w:val="00877211"/>
    <w:rsid w:val="00880069"/>
    <w:rsid w:val="0088586B"/>
    <w:rsid w:val="008879F9"/>
    <w:rsid w:val="008966BE"/>
    <w:rsid w:val="00897C9D"/>
    <w:rsid w:val="008A30BA"/>
    <w:rsid w:val="008B5601"/>
    <w:rsid w:val="008B6529"/>
    <w:rsid w:val="008D35F1"/>
    <w:rsid w:val="008D3612"/>
    <w:rsid w:val="008D5777"/>
    <w:rsid w:val="008D7D59"/>
    <w:rsid w:val="008E2203"/>
    <w:rsid w:val="008F1B81"/>
    <w:rsid w:val="008F2A18"/>
    <w:rsid w:val="008F3383"/>
    <w:rsid w:val="009020C7"/>
    <w:rsid w:val="0090240A"/>
    <w:rsid w:val="00903A2D"/>
    <w:rsid w:val="00907388"/>
    <w:rsid w:val="00914F14"/>
    <w:rsid w:val="009309F4"/>
    <w:rsid w:val="0093723A"/>
    <w:rsid w:val="009402E6"/>
    <w:rsid w:val="00943F98"/>
    <w:rsid w:val="00947542"/>
    <w:rsid w:val="00954A2F"/>
    <w:rsid w:val="00956AAC"/>
    <w:rsid w:val="00967D22"/>
    <w:rsid w:val="0097080D"/>
    <w:rsid w:val="009714FE"/>
    <w:rsid w:val="009720F8"/>
    <w:rsid w:val="0097278F"/>
    <w:rsid w:val="00973398"/>
    <w:rsid w:val="00982AD3"/>
    <w:rsid w:val="009849C0"/>
    <w:rsid w:val="0098774A"/>
    <w:rsid w:val="009944A9"/>
    <w:rsid w:val="00996DEE"/>
    <w:rsid w:val="00997631"/>
    <w:rsid w:val="009B11C0"/>
    <w:rsid w:val="009B3048"/>
    <w:rsid w:val="009B3424"/>
    <w:rsid w:val="009C619C"/>
    <w:rsid w:val="009D36C0"/>
    <w:rsid w:val="009D7779"/>
    <w:rsid w:val="009E04AF"/>
    <w:rsid w:val="00A04DB5"/>
    <w:rsid w:val="00A05AF5"/>
    <w:rsid w:val="00A0777C"/>
    <w:rsid w:val="00A30AE5"/>
    <w:rsid w:val="00A30DFD"/>
    <w:rsid w:val="00A33A80"/>
    <w:rsid w:val="00A36FFA"/>
    <w:rsid w:val="00A40BC9"/>
    <w:rsid w:val="00A41E96"/>
    <w:rsid w:val="00A46DEF"/>
    <w:rsid w:val="00A51D8F"/>
    <w:rsid w:val="00A5260C"/>
    <w:rsid w:val="00A52A2B"/>
    <w:rsid w:val="00A62860"/>
    <w:rsid w:val="00A813D2"/>
    <w:rsid w:val="00A81577"/>
    <w:rsid w:val="00A81E3B"/>
    <w:rsid w:val="00A87402"/>
    <w:rsid w:val="00A879DB"/>
    <w:rsid w:val="00AB2B17"/>
    <w:rsid w:val="00AB3343"/>
    <w:rsid w:val="00AC14AA"/>
    <w:rsid w:val="00AC399F"/>
    <w:rsid w:val="00AC584B"/>
    <w:rsid w:val="00AD05AC"/>
    <w:rsid w:val="00AD18FC"/>
    <w:rsid w:val="00AD52A3"/>
    <w:rsid w:val="00AD634F"/>
    <w:rsid w:val="00AE02A5"/>
    <w:rsid w:val="00AE6C92"/>
    <w:rsid w:val="00AF18BF"/>
    <w:rsid w:val="00AF7A88"/>
    <w:rsid w:val="00B002B6"/>
    <w:rsid w:val="00B0070A"/>
    <w:rsid w:val="00B154ED"/>
    <w:rsid w:val="00B161F2"/>
    <w:rsid w:val="00B327C3"/>
    <w:rsid w:val="00B36D9B"/>
    <w:rsid w:val="00B434CF"/>
    <w:rsid w:val="00B52520"/>
    <w:rsid w:val="00B67CCB"/>
    <w:rsid w:val="00B84A3B"/>
    <w:rsid w:val="00B956F2"/>
    <w:rsid w:val="00B9792D"/>
    <w:rsid w:val="00BA4681"/>
    <w:rsid w:val="00BB78CC"/>
    <w:rsid w:val="00BC386C"/>
    <w:rsid w:val="00BC3AA1"/>
    <w:rsid w:val="00BD0C54"/>
    <w:rsid w:val="00BD2144"/>
    <w:rsid w:val="00BD62C1"/>
    <w:rsid w:val="00BD681B"/>
    <w:rsid w:val="00BD725F"/>
    <w:rsid w:val="00BE3563"/>
    <w:rsid w:val="00BF5732"/>
    <w:rsid w:val="00C00DFE"/>
    <w:rsid w:val="00C0257A"/>
    <w:rsid w:val="00C040D1"/>
    <w:rsid w:val="00C06E44"/>
    <w:rsid w:val="00C139A6"/>
    <w:rsid w:val="00C1592E"/>
    <w:rsid w:val="00C37092"/>
    <w:rsid w:val="00C37FEA"/>
    <w:rsid w:val="00C52140"/>
    <w:rsid w:val="00C64D3E"/>
    <w:rsid w:val="00C6680F"/>
    <w:rsid w:val="00C66A06"/>
    <w:rsid w:val="00C66ACC"/>
    <w:rsid w:val="00C72415"/>
    <w:rsid w:val="00C77E82"/>
    <w:rsid w:val="00C8468C"/>
    <w:rsid w:val="00C9289E"/>
    <w:rsid w:val="00C92F51"/>
    <w:rsid w:val="00CA0F95"/>
    <w:rsid w:val="00CB10F9"/>
    <w:rsid w:val="00CB3DF8"/>
    <w:rsid w:val="00CB413B"/>
    <w:rsid w:val="00CF09A9"/>
    <w:rsid w:val="00CF2445"/>
    <w:rsid w:val="00CF76A5"/>
    <w:rsid w:val="00D040E5"/>
    <w:rsid w:val="00D12549"/>
    <w:rsid w:val="00D14E3A"/>
    <w:rsid w:val="00D204F5"/>
    <w:rsid w:val="00D5042D"/>
    <w:rsid w:val="00D64AB9"/>
    <w:rsid w:val="00D7177A"/>
    <w:rsid w:val="00D90694"/>
    <w:rsid w:val="00D94CD4"/>
    <w:rsid w:val="00D95940"/>
    <w:rsid w:val="00DA30A9"/>
    <w:rsid w:val="00DA4143"/>
    <w:rsid w:val="00DA631A"/>
    <w:rsid w:val="00DB00B6"/>
    <w:rsid w:val="00DB3C8A"/>
    <w:rsid w:val="00DC4938"/>
    <w:rsid w:val="00DD6657"/>
    <w:rsid w:val="00DE492C"/>
    <w:rsid w:val="00DE4A9E"/>
    <w:rsid w:val="00E02B75"/>
    <w:rsid w:val="00E05B42"/>
    <w:rsid w:val="00E14D3C"/>
    <w:rsid w:val="00E15A50"/>
    <w:rsid w:val="00E22388"/>
    <w:rsid w:val="00E2369D"/>
    <w:rsid w:val="00E32C21"/>
    <w:rsid w:val="00E34D2C"/>
    <w:rsid w:val="00E3763E"/>
    <w:rsid w:val="00E41743"/>
    <w:rsid w:val="00E54453"/>
    <w:rsid w:val="00E57570"/>
    <w:rsid w:val="00E75D8E"/>
    <w:rsid w:val="00E922D6"/>
    <w:rsid w:val="00E971BC"/>
    <w:rsid w:val="00EA0C6D"/>
    <w:rsid w:val="00EB1E3A"/>
    <w:rsid w:val="00EB4033"/>
    <w:rsid w:val="00ED0545"/>
    <w:rsid w:val="00EE3C83"/>
    <w:rsid w:val="00EE44CD"/>
    <w:rsid w:val="00EE715C"/>
    <w:rsid w:val="00F04B4C"/>
    <w:rsid w:val="00F05FC4"/>
    <w:rsid w:val="00F152FA"/>
    <w:rsid w:val="00F17360"/>
    <w:rsid w:val="00F23026"/>
    <w:rsid w:val="00F242DA"/>
    <w:rsid w:val="00F24BF3"/>
    <w:rsid w:val="00F42684"/>
    <w:rsid w:val="00F47226"/>
    <w:rsid w:val="00F5567D"/>
    <w:rsid w:val="00F63420"/>
    <w:rsid w:val="00F67A56"/>
    <w:rsid w:val="00F71D83"/>
    <w:rsid w:val="00FB2B31"/>
    <w:rsid w:val="00FC2E73"/>
    <w:rsid w:val="00FD44A8"/>
    <w:rsid w:val="00FE2024"/>
    <w:rsid w:val="00FE51C1"/>
    <w:rsid w:val="00FF4FBA"/>
    <w:rsid w:val="00FF6E00"/>
    <w:rsid w:val="02C04710"/>
    <w:rsid w:val="03981B69"/>
    <w:rsid w:val="061658EF"/>
    <w:rsid w:val="062816FB"/>
    <w:rsid w:val="06415E15"/>
    <w:rsid w:val="079C46AD"/>
    <w:rsid w:val="07E310A4"/>
    <w:rsid w:val="081A1DCD"/>
    <w:rsid w:val="084D1815"/>
    <w:rsid w:val="085C4166"/>
    <w:rsid w:val="086E3575"/>
    <w:rsid w:val="09086D67"/>
    <w:rsid w:val="09630AAF"/>
    <w:rsid w:val="09804EAF"/>
    <w:rsid w:val="098C1D1F"/>
    <w:rsid w:val="0A25538F"/>
    <w:rsid w:val="0AD54518"/>
    <w:rsid w:val="0C025750"/>
    <w:rsid w:val="0CE17783"/>
    <w:rsid w:val="0CF46A33"/>
    <w:rsid w:val="0D7D70DA"/>
    <w:rsid w:val="0D9F4347"/>
    <w:rsid w:val="0DAE3692"/>
    <w:rsid w:val="0DBD7530"/>
    <w:rsid w:val="0DF30880"/>
    <w:rsid w:val="10173D1C"/>
    <w:rsid w:val="11303DD1"/>
    <w:rsid w:val="132B599E"/>
    <w:rsid w:val="133A582D"/>
    <w:rsid w:val="13ED0D71"/>
    <w:rsid w:val="14BA1C99"/>
    <w:rsid w:val="159A33B0"/>
    <w:rsid w:val="17B95E09"/>
    <w:rsid w:val="189A115D"/>
    <w:rsid w:val="18C04121"/>
    <w:rsid w:val="194F1748"/>
    <w:rsid w:val="195A7503"/>
    <w:rsid w:val="19B917DA"/>
    <w:rsid w:val="1A6D2A0F"/>
    <w:rsid w:val="1B2E7454"/>
    <w:rsid w:val="1B4E677F"/>
    <w:rsid w:val="1B5213DF"/>
    <w:rsid w:val="1BFE7ED3"/>
    <w:rsid w:val="1C31418F"/>
    <w:rsid w:val="1C5724AD"/>
    <w:rsid w:val="1EA01C06"/>
    <w:rsid w:val="1EED3BE1"/>
    <w:rsid w:val="1F384406"/>
    <w:rsid w:val="1F4B56C9"/>
    <w:rsid w:val="20003306"/>
    <w:rsid w:val="200516A9"/>
    <w:rsid w:val="20C56652"/>
    <w:rsid w:val="20D00EE1"/>
    <w:rsid w:val="234A6EAF"/>
    <w:rsid w:val="237D6847"/>
    <w:rsid w:val="24155753"/>
    <w:rsid w:val="24B25760"/>
    <w:rsid w:val="25E907C8"/>
    <w:rsid w:val="26F855C1"/>
    <w:rsid w:val="276B4CEB"/>
    <w:rsid w:val="27BD651C"/>
    <w:rsid w:val="281B543C"/>
    <w:rsid w:val="2ABA3C75"/>
    <w:rsid w:val="2AC14CB9"/>
    <w:rsid w:val="2B3D64DA"/>
    <w:rsid w:val="2C0C17C6"/>
    <w:rsid w:val="2C1713B2"/>
    <w:rsid w:val="2C9C46FA"/>
    <w:rsid w:val="2D195513"/>
    <w:rsid w:val="2DAE6075"/>
    <w:rsid w:val="2E8807BB"/>
    <w:rsid w:val="2EEF2897"/>
    <w:rsid w:val="30AA67E3"/>
    <w:rsid w:val="31614F93"/>
    <w:rsid w:val="319775BE"/>
    <w:rsid w:val="32302BD5"/>
    <w:rsid w:val="32FC1F89"/>
    <w:rsid w:val="34B306B3"/>
    <w:rsid w:val="34D760DE"/>
    <w:rsid w:val="361463CE"/>
    <w:rsid w:val="36BD5826"/>
    <w:rsid w:val="37070328"/>
    <w:rsid w:val="3A9D7C3F"/>
    <w:rsid w:val="3AE6651C"/>
    <w:rsid w:val="3B8A0FB1"/>
    <w:rsid w:val="3BEE5866"/>
    <w:rsid w:val="3C584B2F"/>
    <w:rsid w:val="3C89555E"/>
    <w:rsid w:val="3D671CE6"/>
    <w:rsid w:val="3DF061C6"/>
    <w:rsid w:val="3E591D55"/>
    <w:rsid w:val="3ECC71AB"/>
    <w:rsid w:val="3EDC3DCB"/>
    <w:rsid w:val="3F187646"/>
    <w:rsid w:val="3F1A3922"/>
    <w:rsid w:val="3F4D40B8"/>
    <w:rsid w:val="409B0C9E"/>
    <w:rsid w:val="40E20C88"/>
    <w:rsid w:val="418D62C3"/>
    <w:rsid w:val="418F7942"/>
    <w:rsid w:val="42975280"/>
    <w:rsid w:val="432C6DE1"/>
    <w:rsid w:val="434A7445"/>
    <w:rsid w:val="43883895"/>
    <w:rsid w:val="44206DB4"/>
    <w:rsid w:val="444B47E7"/>
    <w:rsid w:val="44946F91"/>
    <w:rsid w:val="45FC7B94"/>
    <w:rsid w:val="46F6593F"/>
    <w:rsid w:val="472F0412"/>
    <w:rsid w:val="47D1088B"/>
    <w:rsid w:val="49620705"/>
    <w:rsid w:val="4A6B3743"/>
    <w:rsid w:val="4A72682B"/>
    <w:rsid w:val="4B2D62F2"/>
    <w:rsid w:val="4C397729"/>
    <w:rsid w:val="4C8035A6"/>
    <w:rsid w:val="4CA1771E"/>
    <w:rsid w:val="4CA2324F"/>
    <w:rsid w:val="4D0E3969"/>
    <w:rsid w:val="4D3811D6"/>
    <w:rsid w:val="4EBF3BCA"/>
    <w:rsid w:val="4F5B7ABC"/>
    <w:rsid w:val="50035D02"/>
    <w:rsid w:val="50A73FFE"/>
    <w:rsid w:val="51D00353"/>
    <w:rsid w:val="51E616F3"/>
    <w:rsid w:val="51EA0AA4"/>
    <w:rsid w:val="52394ED9"/>
    <w:rsid w:val="52954292"/>
    <w:rsid w:val="535D2F5A"/>
    <w:rsid w:val="549C79A4"/>
    <w:rsid w:val="589E556A"/>
    <w:rsid w:val="59196C9E"/>
    <w:rsid w:val="59287DF6"/>
    <w:rsid w:val="5A201009"/>
    <w:rsid w:val="5AAF5FB6"/>
    <w:rsid w:val="5BDF137D"/>
    <w:rsid w:val="5BF179CD"/>
    <w:rsid w:val="5C756E40"/>
    <w:rsid w:val="5CDA799A"/>
    <w:rsid w:val="5D0E7285"/>
    <w:rsid w:val="5D2F76C6"/>
    <w:rsid w:val="5D4F3B98"/>
    <w:rsid w:val="5E3D3378"/>
    <w:rsid w:val="5EA9184E"/>
    <w:rsid w:val="5F01496B"/>
    <w:rsid w:val="5F770FBA"/>
    <w:rsid w:val="608478B5"/>
    <w:rsid w:val="60860FFC"/>
    <w:rsid w:val="60973BBE"/>
    <w:rsid w:val="609F42CB"/>
    <w:rsid w:val="60B176D4"/>
    <w:rsid w:val="60B27FA5"/>
    <w:rsid w:val="61715A57"/>
    <w:rsid w:val="626F2CAB"/>
    <w:rsid w:val="62955A7C"/>
    <w:rsid w:val="66543303"/>
    <w:rsid w:val="66552041"/>
    <w:rsid w:val="67357672"/>
    <w:rsid w:val="679D645D"/>
    <w:rsid w:val="67A108D0"/>
    <w:rsid w:val="67F6606A"/>
    <w:rsid w:val="6A3276B4"/>
    <w:rsid w:val="6AB77A5C"/>
    <w:rsid w:val="6AD72BF2"/>
    <w:rsid w:val="6AF6570B"/>
    <w:rsid w:val="6B6B5159"/>
    <w:rsid w:val="6D1E19C3"/>
    <w:rsid w:val="6DB017FC"/>
    <w:rsid w:val="6FF15B43"/>
    <w:rsid w:val="70806DD9"/>
    <w:rsid w:val="70CB37C2"/>
    <w:rsid w:val="727F2850"/>
    <w:rsid w:val="737D2AD7"/>
    <w:rsid w:val="73B372B3"/>
    <w:rsid w:val="74776DEA"/>
    <w:rsid w:val="74895C10"/>
    <w:rsid w:val="74CD49F8"/>
    <w:rsid w:val="75732CBA"/>
    <w:rsid w:val="77386B5F"/>
    <w:rsid w:val="7802143F"/>
    <w:rsid w:val="788953C3"/>
    <w:rsid w:val="79660698"/>
    <w:rsid w:val="797315A3"/>
    <w:rsid w:val="7A495F9A"/>
    <w:rsid w:val="7B800A2D"/>
    <w:rsid w:val="7D883202"/>
    <w:rsid w:val="7E475056"/>
    <w:rsid w:val="7EF6437B"/>
    <w:rsid w:val="7F8E5B7C"/>
    <w:rsid w:val="7FCF3C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styleId="5">
    <w:name w:val="Normal Indent"/>
    <w:basedOn w:val="1"/>
    <w:link w:val="40"/>
    <w:qFormat/>
    <w:uiPriority w:val="0"/>
    <w:pPr>
      <w:ind w:firstLine="420"/>
    </w:pPr>
  </w:style>
  <w:style w:type="paragraph" w:styleId="6">
    <w:name w:val="annotation text"/>
    <w:basedOn w:val="1"/>
    <w:link w:val="34"/>
    <w:unhideWhenUsed/>
    <w:qFormat/>
    <w:uiPriority w:val="99"/>
    <w:pPr>
      <w:jc w:val="left"/>
    </w:pPr>
  </w:style>
  <w:style w:type="paragraph" w:styleId="7">
    <w:name w:val="Body Text"/>
    <w:basedOn w:val="1"/>
    <w:link w:val="45"/>
    <w:semiHidden/>
    <w:unhideWhenUsed/>
    <w:uiPriority w:val="99"/>
    <w:pPr>
      <w:spacing w:after="120"/>
    </w:pPr>
  </w:style>
  <w:style w:type="paragraph" w:styleId="8">
    <w:name w:val="Body Text Indent"/>
    <w:basedOn w:val="1"/>
    <w:link w:val="46"/>
    <w:unhideWhenUsed/>
    <w:qFormat/>
    <w:uiPriority w:val="99"/>
    <w:pPr>
      <w:widowControl/>
      <w:spacing w:after="120"/>
      <w:ind w:left="420"/>
    </w:pPr>
    <w:rPr>
      <w:rFonts w:ascii="Times New Roman" w:hAnsi="Times New Roman" w:cs="Times New Roman"/>
      <w:szCs w:val="21"/>
    </w:rPr>
  </w:style>
  <w:style w:type="paragraph" w:styleId="9">
    <w:name w:val="toc 3"/>
    <w:basedOn w:val="1"/>
    <w:next w:val="1"/>
    <w:unhideWhenUsed/>
    <w:qFormat/>
    <w:uiPriority w:val="39"/>
    <w:pPr>
      <w:widowControl/>
      <w:spacing w:after="100" w:line="276" w:lineRule="auto"/>
      <w:ind w:left="440"/>
      <w:jc w:val="left"/>
    </w:pPr>
    <w:rPr>
      <w:kern w:val="0"/>
      <w:sz w:val="22"/>
    </w:rPr>
  </w:style>
  <w:style w:type="paragraph" w:styleId="10">
    <w:name w:val="Plain Text"/>
    <w:basedOn w:val="1"/>
    <w:link w:val="37"/>
    <w:qFormat/>
    <w:uiPriority w:val="0"/>
    <w:rPr>
      <w:rFonts w:ascii="宋体" w:hAnsi="Courier New" w:cs="Courier New"/>
      <w:szCs w:val="21"/>
    </w:rPr>
  </w:style>
  <w:style w:type="paragraph" w:styleId="11">
    <w:name w:val="endnote text"/>
    <w:basedOn w:val="1"/>
    <w:link w:val="36"/>
    <w:unhideWhenUsed/>
    <w:qFormat/>
    <w:uiPriority w:val="99"/>
    <w:pPr>
      <w:snapToGrid w:val="0"/>
      <w:jc w:val="left"/>
    </w:pPr>
  </w:style>
  <w:style w:type="paragraph" w:styleId="12">
    <w:name w:val="Balloon Text"/>
    <w:basedOn w:val="1"/>
    <w:link w:val="30"/>
    <w:unhideWhenUsed/>
    <w:qFormat/>
    <w:uiPriority w:val="99"/>
    <w:rPr>
      <w:sz w:val="18"/>
      <w:szCs w:val="18"/>
    </w:rPr>
  </w:style>
  <w:style w:type="paragraph" w:styleId="13">
    <w:name w:val="footer"/>
    <w:basedOn w:val="1"/>
    <w:link w:val="29"/>
    <w:unhideWhenUsed/>
    <w:qFormat/>
    <w:uiPriority w:val="0"/>
    <w:pPr>
      <w:tabs>
        <w:tab w:val="center" w:pos="4153"/>
        <w:tab w:val="right" w:pos="8306"/>
      </w:tabs>
      <w:snapToGrid w:val="0"/>
      <w:jc w:val="left"/>
    </w:pPr>
    <w:rPr>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6"/>
    <w:next w:val="3"/>
    <w:unhideWhenUsed/>
    <w:qFormat/>
    <w:uiPriority w:val="39"/>
    <w:pPr>
      <w:widowControl/>
      <w:spacing w:line="440" w:lineRule="exact"/>
      <w:jc w:val="left"/>
    </w:pPr>
    <w:rPr>
      <w:rFonts w:eastAsia="黑体"/>
      <w:b/>
      <w:i w:val="0"/>
      <w:kern w:val="0"/>
      <w:sz w:val="28"/>
    </w:rPr>
  </w:style>
  <w:style w:type="paragraph" w:customStyle="1" w:styleId="16">
    <w:name w:val="引用1"/>
    <w:basedOn w:val="1"/>
    <w:next w:val="1"/>
    <w:link w:val="39"/>
    <w:qFormat/>
    <w:uiPriority w:val="29"/>
    <w:rPr>
      <w:i/>
      <w:iCs/>
      <w:color w:val="000000" w:themeColor="text1"/>
    </w:rPr>
  </w:style>
  <w:style w:type="paragraph" w:styleId="17">
    <w:name w:val="toc 2"/>
    <w:basedOn w:val="16"/>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18">
    <w:name w:val="Normal (Web)"/>
    <w:basedOn w:val="1"/>
    <w:qFormat/>
    <w:uiPriority w:val="0"/>
    <w:pPr>
      <w:spacing w:beforeAutospacing="1" w:afterAutospacing="1"/>
      <w:jc w:val="left"/>
    </w:pPr>
    <w:rPr>
      <w:rFonts w:cs="Times New Roman"/>
      <w:kern w:val="0"/>
      <w:sz w:val="24"/>
    </w:rPr>
  </w:style>
  <w:style w:type="paragraph" w:styleId="19">
    <w:name w:val="annotation subject"/>
    <w:basedOn w:val="6"/>
    <w:next w:val="6"/>
    <w:link w:val="41"/>
    <w:unhideWhenUsed/>
    <w:qFormat/>
    <w:uiPriority w:val="99"/>
    <w:rPr>
      <w:b/>
      <w:bCs/>
    </w:rPr>
  </w:style>
  <w:style w:type="paragraph" w:styleId="20">
    <w:name w:val="Body Text First Indent 2"/>
    <w:basedOn w:val="8"/>
    <w:link w:val="47"/>
    <w:semiHidden/>
    <w:unhideWhenUsed/>
    <w:qFormat/>
    <w:uiPriority w:val="99"/>
    <w:pPr>
      <w:widowControl w:val="0"/>
      <w:ind w:left="200" w:leftChars="200" w:firstLine="420" w:firstLineChars="200"/>
    </w:pPr>
    <w:rPr>
      <w:rFonts w:asciiTheme="minorHAnsi" w:hAnsiTheme="minorHAnsi" w:cstheme="minorBidi"/>
      <w:szCs w:val="22"/>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22"/>
    <w:rPr>
      <w:b/>
    </w:rPr>
  </w:style>
  <w:style w:type="character" w:styleId="25">
    <w:name w:val="endnote reference"/>
    <w:basedOn w:val="23"/>
    <w:unhideWhenUsed/>
    <w:qFormat/>
    <w:uiPriority w:val="99"/>
    <w:rPr>
      <w:vertAlign w:val="superscript"/>
    </w:rPr>
  </w:style>
  <w:style w:type="character" w:styleId="26">
    <w:name w:val="Hyperlink"/>
    <w:basedOn w:val="23"/>
    <w:unhideWhenUsed/>
    <w:qFormat/>
    <w:uiPriority w:val="99"/>
    <w:rPr>
      <w:color w:val="0000FF" w:themeColor="hyperlink"/>
      <w:u w:val="single"/>
    </w:rPr>
  </w:style>
  <w:style w:type="character" w:styleId="27">
    <w:name w:val="annotation reference"/>
    <w:qFormat/>
    <w:uiPriority w:val="99"/>
    <w:rPr>
      <w:sz w:val="21"/>
    </w:rPr>
  </w:style>
  <w:style w:type="character" w:customStyle="1" w:styleId="28">
    <w:name w:val="页眉 Char"/>
    <w:basedOn w:val="23"/>
    <w:link w:val="14"/>
    <w:qFormat/>
    <w:uiPriority w:val="99"/>
    <w:rPr>
      <w:sz w:val="18"/>
      <w:szCs w:val="18"/>
    </w:rPr>
  </w:style>
  <w:style w:type="character" w:customStyle="1" w:styleId="29">
    <w:name w:val="页脚 Char"/>
    <w:basedOn w:val="23"/>
    <w:link w:val="13"/>
    <w:qFormat/>
    <w:uiPriority w:val="99"/>
    <w:rPr>
      <w:sz w:val="18"/>
      <w:szCs w:val="18"/>
    </w:rPr>
  </w:style>
  <w:style w:type="character" w:customStyle="1" w:styleId="30">
    <w:name w:val="批注框文本 Char"/>
    <w:basedOn w:val="23"/>
    <w:link w:val="12"/>
    <w:semiHidden/>
    <w:qFormat/>
    <w:uiPriority w:val="99"/>
    <w:rPr>
      <w:sz w:val="18"/>
      <w:szCs w:val="18"/>
    </w:rPr>
  </w:style>
  <w:style w:type="paragraph" w:customStyle="1" w:styleId="31">
    <w:name w:val="列出段落1"/>
    <w:basedOn w:val="1"/>
    <w:qFormat/>
    <w:uiPriority w:val="34"/>
    <w:pPr>
      <w:ind w:firstLine="420" w:firstLineChars="200"/>
    </w:pPr>
  </w:style>
  <w:style w:type="character" w:customStyle="1" w:styleId="32">
    <w:name w:val="标题 1 Char"/>
    <w:basedOn w:val="23"/>
    <w:link w:val="3"/>
    <w:qFormat/>
    <w:uiPriority w:val="9"/>
    <w:rPr>
      <w:b/>
      <w:bCs/>
      <w:kern w:val="44"/>
      <w:sz w:val="44"/>
      <w:szCs w:val="44"/>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批注文字 Char"/>
    <w:basedOn w:val="23"/>
    <w:link w:val="6"/>
    <w:qFormat/>
    <w:uiPriority w:val="99"/>
  </w:style>
  <w:style w:type="character" w:customStyle="1" w:styleId="35">
    <w:name w:val="标题 2 Char"/>
    <w:basedOn w:val="23"/>
    <w:link w:val="4"/>
    <w:qFormat/>
    <w:uiPriority w:val="9"/>
    <w:rPr>
      <w:rFonts w:asciiTheme="majorHAnsi" w:hAnsiTheme="majorHAnsi" w:eastAsiaTheme="majorEastAsia" w:cstheme="majorBidi"/>
      <w:b/>
      <w:bCs/>
      <w:sz w:val="32"/>
      <w:szCs w:val="32"/>
    </w:rPr>
  </w:style>
  <w:style w:type="character" w:customStyle="1" w:styleId="36">
    <w:name w:val="尾注文本 Char"/>
    <w:basedOn w:val="23"/>
    <w:link w:val="11"/>
    <w:semiHidden/>
    <w:qFormat/>
    <w:uiPriority w:val="99"/>
  </w:style>
  <w:style w:type="character" w:customStyle="1" w:styleId="37">
    <w:name w:val="纯文本 Char"/>
    <w:link w:val="10"/>
    <w:qFormat/>
    <w:uiPriority w:val="0"/>
    <w:rPr>
      <w:rFonts w:ascii="宋体" w:hAnsi="Courier New" w:cs="Courier New"/>
      <w:szCs w:val="21"/>
    </w:rPr>
  </w:style>
  <w:style w:type="character" w:customStyle="1" w:styleId="38">
    <w:name w:val="纯文本 Char1"/>
    <w:basedOn w:val="23"/>
    <w:semiHidden/>
    <w:qFormat/>
    <w:uiPriority w:val="99"/>
    <w:rPr>
      <w:rFonts w:ascii="宋体" w:hAnsi="Courier New" w:eastAsia="宋体" w:cs="Courier New"/>
      <w:szCs w:val="21"/>
    </w:rPr>
  </w:style>
  <w:style w:type="character" w:customStyle="1" w:styleId="39">
    <w:name w:val="引用 Char"/>
    <w:basedOn w:val="23"/>
    <w:link w:val="16"/>
    <w:qFormat/>
    <w:uiPriority w:val="29"/>
    <w:rPr>
      <w:i/>
      <w:iCs/>
      <w:color w:val="000000" w:themeColor="text1"/>
    </w:rPr>
  </w:style>
  <w:style w:type="character" w:customStyle="1" w:styleId="40">
    <w:name w:val="正文缩进 Char"/>
    <w:link w:val="5"/>
    <w:qFormat/>
    <w:uiPriority w:val="0"/>
  </w:style>
  <w:style w:type="character" w:customStyle="1" w:styleId="41">
    <w:name w:val="批注主题 Char"/>
    <w:basedOn w:val="34"/>
    <w:link w:val="19"/>
    <w:semiHidden/>
    <w:qFormat/>
    <w:uiPriority w:val="99"/>
    <w:rPr>
      <w:b/>
      <w:bCs/>
    </w:rPr>
  </w:style>
  <w:style w:type="paragraph" w:customStyle="1" w:styleId="42">
    <w:name w:val="列出段落2"/>
    <w:basedOn w:val="1"/>
    <w:unhideWhenUsed/>
    <w:qFormat/>
    <w:uiPriority w:val="99"/>
    <w:pPr>
      <w:ind w:firstLine="420" w:firstLineChars="200"/>
    </w:pPr>
  </w:style>
  <w:style w:type="paragraph" w:customStyle="1" w:styleId="43">
    <w:name w:val="_Style 1"/>
    <w:qFormat/>
    <w:uiPriority w:val="1"/>
    <w:pPr>
      <w:adjustRightInd w:val="0"/>
      <w:snapToGrid w:val="0"/>
    </w:pPr>
    <w:rPr>
      <w:rFonts w:ascii="Tahoma" w:hAnsi="Tahoma" w:eastAsia="宋体" w:cs="Times New Roman"/>
      <w:sz w:val="22"/>
      <w:szCs w:val="22"/>
      <w:lang w:val="en-US" w:eastAsia="zh-CN" w:bidi="ar-SA"/>
    </w:rPr>
  </w:style>
  <w:style w:type="paragraph" w:styleId="44">
    <w:name w:val="List Paragraph"/>
    <w:basedOn w:val="1"/>
    <w:unhideWhenUsed/>
    <w:uiPriority w:val="99"/>
    <w:pPr>
      <w:ind w:firstLine="420" w:firstLineChars="200"/>
    </w:pPr>
  </w:style>
  <w:style w:type="character" w:customStyle="1" w:styleId="45">
    <w:name w:val="正文文本 Char"/>
    <w:basedOn w:val="23"/>
    <w:link w:val="7"/>
    <w:semiHidden/>
    <w:qFormat/>
    <w:uiPriority w:val="99"/>
    <w:rPr>
      <w:rFonts w:asciiTheme="minorHAnsi" w:hAnsiTheme="minorHAnsi" w:eastAsiaTheme="minorEastAsia" w:cstheme="minorBidi"/>
      <w:kern w:val="2"/>
      <w:sz w:val="21"/>
      <w:szCs w:val="22"/>
    </w:rPr>
  </w:style>
  <w:style w:type="character" w:customStyle="1" w:styleId="46">
    <w:name w:val="正文文本缩进 Char"/>
    <w:basedOn w:val="23"/>
    <w:link w:val="8"/>
    <w:qFormat/>
    <w:uiPriority w:val="99"/>
    <w:rPr>
      <w:rFonts w:eastAsiaTheme="minorEastAsia"/>
      <w:kern w:val="2"/>
      <w:sz w:val="21"/>
      <w:szCs w:val="21"/>
    </w:rPr>
  </w:style>
  <w:style w:type="character" w:customStyle="1" w:styleId="47">
    <w:name w:val="正文首行缩进 2 Char"/>
    <w:basedOn w:val="46"/>
    <w:link w:val="20"/>
    <w:qFormat/>
    <w:uiPriority w:val="0"/>
  </w:style>
  <w:style w:type="paragraph" w:customStyle="1" w:styleId="48">
    <w:name w:val="Table Paragraph"/>
    <w:basedOn w:val="1"/>
    <w:qFormat/>
    <w:uiPriority w:val="1"/>
    <w:pPr>
      <w:autoSpaceDE w:val="0"/>
      <w:autoSpaceDN w:val="0"/>
      <w:jc w:val="left"/>
    </w:pPr>
    <w:rPr>
      <w:rFonts w:ascii="宋体" w:hAnsi="宋体" w:eastAsia="宋体" w:cs="宋体"/>
      <w:kern w:val="0"/>
      <w:sz w:val="22"/>
    </w:rPr>
  </w:style>
  <w:style w:type="paragraph" w:customStyle="1" w:styleId="49">
    <w:name w:val="正文文本 (2)1"/>
    <w:basedOn w:val="1"/>
    <w:qFormat/>
    <w:uiPriority w:val="0"/>
    <w:pPr>
      <w:shd w:val="clear" w:color="auto" w:fill="FFFFFF"/>
      <w:autoSpaceDE w:val="0"/>
      <w:autoSpaceDN w:val="0"/>
      <w:spacing w:line="408" w:lineRule="exact"/>
      <w:ind w:hanging="480"/>
      <w:jc w:val="distribute"/>
    </w:pPr>
    <w:rPr>
      <w:rFonts w:ascii="MingLiU" w:hAnsi="MingLiU" w:eastAsia="MingLiU"/>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DA4FD8-021B-47FD-8960-B8BBC642B7DD}">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66</Pages>
  <Words>5656</Words>
  <Characters>32245</Characters>
  <Lines>268</Lines>
  <Paragraphs>75</Paragraphs>
  <TotalTime>3</TotalTime>
  <ScaleCrop>false</ScaleCrop>
  <LinksUpToDate>false</LinksUpToDate>
  <CharactersWithSpaces>37826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2017-10-17T08:19:00Z</dcterms:created>
  <dc:creator>502-2</dc:creator>
  <cp:lastModifiedBy>123</cp:lastModifiedBy>
  <cp:lastPrinted>2021-05-06T03:02:00Z</cp:lastPrinted>
  <dcterms:modified xsi:type="dcterms:W3CDTF">2021-09-18T07:36:14Z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238F6D89F2074649B3D48F719901BC36</vt:lpwstr>
  </property>
</Properties>
</file>