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p>
    <w:p>
      <w:pPr>
        <w:spacing w:line="360" w:lineRule="auto"/>
        <w:jc w:val="left"/>
        <w:rPr>
          <w:sz w:val="24"/>
          <w:szCs w:val="24"/>
        </w:rPr>
      </w:pPr>
      <w:r>
        <w:rPr>
          <w:rFonts w:hint="eastAsia"/>
          <w:sz w:val="24"/>
          <w:szCs w:val="24"/>
        </w:rPr>
        <w:t>附件：</w:t>
      </w:r>
    </w:p>
    <w:p>
      <w:pPr>
        <w:spacing w:line="360" w:lineRule="auto"/>
        <w:jc w:val="center"/>
        <w:rPr>
          <w:sz w:val="32"/>
          <w:szCs w:val="32"/>
        </w:rPr>
      </w:pPr>
      <w:r>
        <w:rPr>
          <w:rFonts w:hint="eastAsia"/>
          <w:sz w:val="32"/>
          <w:szCs w:val="32"/>
        </w:rPr>
        <w:t>阳新莲花湖湿地公园视频监控系统建设项目采购需求及供应商报名表</w:t>
      </w:r>
    </w:p>
    <w:p>
      <w:pPr>
        <w:widowControl/>
        <w:spacing w:after="156" w:afterLines="50" w:line="400" w:lineRule="exact"/>
        <w:jc w:val="left"/>
        <w:outlineLvl w:val="0"/>
        <w:rPr>
          <w:rFonts w:ascii="宋体" w:hAnsi="宋体" w:cs="宋体"/>
          <w:b/>
          <w:bCs/>
          <w:kern w:val="0"/>
          <w:sz w:val="32"/>
          <w:szCs w:val="32"/>
        </w:rPr>
      </w:pPr>
      <w:r>
        <w:rPr>
          <w:rFonts w:hint="eastAsia" w:ascii="宋体" w:hAnsi="宋体" w:cs="宋体"/>
          <w:b/>
          <w:bCs/>
          <w:kern w:val="0"/>
          <w:sz w:val="32"/>
          <w:szCs w:val="32"/>
        </w:rPr>
        <w:t>一、工程概况</w:t>
      </w:r>
    </w:p>
    <w:p>
      <w:pPr>
        <w:ind w:firstLine="480" w:firstLineChars="200"/>
        <w:rPr>
          <w:rFonts w:ascii="宋体" w:hAnsi="宋体" w:cs="Times New Roman"/>
          <w:kern w:val="0"/>
          <w:sz w:val="24"/>
          <w:szCs w:val="24"/>
        </w:rPr>
      </w:pPr>
      <w:r>
        <w:rPr>
          <w:rFonts w:hint="eastAsia" w:ascii="宋体" w:hAnsi="宋体" w:cs="Times New Roman"/>
          <w:kern w:val="0"/>
          <w:sz w:val="24"/>
          <w:szCs w:val="24"/>
        </w:rPr>
        <w:t>湖北阳新莲花湖国家湿地公园位于阳新县老城区与新城区交接处，与网湖省级湿地自然保护区隔湖相邻，规划总面积1047.49公顷，其中湿地面积为892.21公顷，湿地率85.2％，由莲花湖、大泉湖、卢家坝湖和石灰寨湖等自然湖畔组成，分为湿地保育区、恢复重建区、宣教展示区、合理利用区、管理服务区等区域，为长江中下游淡水湖泊湿地，是小天鹅、白琵鹭等珍稀水禽的重要觅食区，也是雁鸭类、鹭类、鸥类等水禽的主要觅食、繁衍、栖息区之一。</w:t>
      </w:r>
    </w:p>
    <w:p>
      <w:pPr>
        <w:widowControl/>
        <w:numPr>
          <w:ilvl w:val="1"/>
          <w:numId w:val="3"/>
        </w:numPr>
        <w:spacing w:line="360" w:lineRule="auto"/>
        <w:ind w:left="284" w:firstLine="602" w:firstLineChars="200"/>
        <w:jc w:val="left"/>
        <w:outlineLvl w:val="1"/>
        <w:rPr>
          <w:rFonts w:ascii="黑体" w:hAnsi="黑体" w:eastAsia="黑体" w:cs="Times New Roman"/>
          <w:b/>
          <w:bCs/>
          <w:kern w:val="0"/>
          <w:sz w:val="30"/>
          <w:szCs w:val="32"/>
          <w:lang w:eastAsia="en-US"/>
        </w:rPr>
      </w:pPr>
      <w:bookmarkStart w:id="0" w:name="_Toc75287769"/>
      <w:r>
        <w:rPr>
          <w:rFonts w:hint="eastAsia" w:ascii="黑体" w:hAnsi="黑体" w:eastAsia="黑体" w:cs="Times New Roman"/>
          <w:b/>
          <w:bCs/>
          <w:kern w:val="0"/>
          <w:sz w:val="30"/>
          <w:szCs w:val="32"/>
          <w:lang w:eastAsia="en-US"/>
        </w:rPr>
        <w:t>背景分析</w:t>
      </w:r>
      <w:bookmarkEnd w:id="0"/>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湿地公园作为城市绿化和游客休憩的重要组成部分，已成为居民日常休闲的主要场所。它为我们提供诸多方便的同时，也存在以下难题：</w:t>
      </w:r>
    </w:p>
    <w:p>
      <w:pPr>
        <w:widowControl/>
        <w:numPr>
          <w:ilvl w:val="0"/>
          <w:numId w:val="4"/>
        </w:numPr>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湿地公园大多采用开放式管理，人多成分复杂，</w:t>
      </w:r>
      <w:r>
        <w:rPr>
          <w:rFonts w:ascii="宋体" w:hAnsi="宋体" w:cs="Times New Roman"/>
          <w:kern w:val="0"/>
          <w:sz w:val="24"/>
          <w:szCs w:val="24"/>
        </w:rPr>
        <w:t>针对公园</w:t>
      </w:r>
      <w:r>
        <w:rPr>
          <w:rFonts w:hint="eastAsia" w:ascii="宋体" w:hAnsi="宋体" w:cs="Times New Roman"/>
          <w:kern w:val="0"/>
          <w:sz w:val="24"/>
          <w:szCs w:val="24"/>
        </w:rPr>
        <w:t>破坏</w:t>
      </w:r>
      <w:r>
        <w:rPr>
          <w:rFonts w:ascii="宋体" w:hAnsi="宋体" w:cs="Times New Roman"/>
          <w:kern w:val="0"/>
          <w:sz w:val="24"/>
          <w:szCs w:val="24"/>
        </w:rPr>
        <w:t>行为、保育期非法</w:t>
      </w:r>
      <w:r>
        <w:rPr>
          <w:rFonts w:hint="eastAsia" w:ascii="宋体" w:hAnsi="宋体" w:cs="Times New Roman"/>
          <w:kern w:val="0"/>
          <w:sz w:val="24"/>
          <w:szCs w:val="24"/>
        </w:rPr>
        <w:t>投饵，投肥</w:t>
      </w:r>
      <w:r>
        <w:rPr>
          <w:rFonts w:ascii="宋体" w:hAnsi="宋体" w:cs="Times New Roman"/>
          <w:kern w:val="0"/>
          <w:sz w:val="24"/>
          <w:szCs w:val="24"/>
        </w:rPr>
        <w:t>捕鱼行为</w:t>
      </w:r>
      <w:r>
        <w:rPr>
          <w:rFonts w:hint="eastAsia" w:ascii="宋体" w:hAnsi="宋体" w:cs="Times New Roman"/>
          <w:kern w:val="0"/>
          <w:sz w:val="24"/>
          <w:szCs w:val="24"/>
        </w:rPr>
        <w:t>、湖面</w:t>
      </w:r>
      <w:r>
        <w:rPr>
          <w:rFonts w:ascii="宋体" w:hAnsi="宋体" w:cs="Times New Roman"/>
          <w:kern w:val="0"/>
          <w:sz w:val="24"/>
          <w:szCs w:val="24"/>
        </w:rPr>
        <w:t>游船</w:t>
      </w:r>
      <w:r>
        <w:rPr>
          <w:rFonts w:hint="eastAsia" w:ascii="宋体" w:hAnsi="宋体" w:cs="Times New Roman"/>
          <w:kern w:val="0"/>
          <w:sz w:val="24"/>
          <w:szCs w:val="24"/>
        </w:rPr>
        <w:t>违规</w:t>
      </w:r>
      <w:r>
        <w:rPr>
          <w:rFonts w:ascii="宋体" w:hAnsi="宋体" w:cs="Times New Roman"/>
          <w:kern w:val="0"/>
          <w:sz w:val="24"/>
          <w:szCs w:val="24"/>
        </w:rPr>
        <w:t>行为、公园内生物监控</w:t>
      </w:r>
      <w:r>
        <w:rPr>
          <w:rFonts w:hint="eastAsia" w:ascii="宋体" w:hAnsi="宋体" w:cs="Times New Roman"/>
          <w:kern w:val="0"/>
          <w:sz w:val="24"/>
          <w:szCs w:val="24"/>
        </w:rPr>
        <w:t>等场景</w:t>
      </w:r>
      <w:r>
        <w:rPr>
          <w:rFonts w:ascii="宋体" w:hAnsi="宋体" w:cs="Times New Roman"/>
          <w:kern w:val="0"/>
          <w:sz w:val="24"/>
          <w:szCs w:val="24"/>
        </w:rPr>
        <w:t>存在大量的监管盲区</w:t>
      </w:r>
      <w:r>
        <w:rPr>
          <w:rFonts w:hint="eastAsia" w:ascii="宋体" w:hAnsi="宋体" w:cs="Times New Roman"/>
          <w:kern w:val="0"/>
          <w:sz w:val="24"/>
          <w:szCs w:val="24"/>
        </w:rPr>
        <w:t>，无法实现7</w:t>
      </w:r>
      <w:r>
        <w:rPr>
          <w:rFonts w:ascii="宋体" w:hAnsi="宋体" w:cs="Times New Roman"/>
          <w:kern w:val="0"/>
          <w:sz w:val="24"/>
          <w:szCs w:val="24"/>
        </w:rPr>
        <w:t>*</w:t>
      </w:r>
      <w:r>
        <w:rPr>
          <w:rFonts w:hint="eastAsia" w:ascii="宋体" w:hAnsi="宋体" w:cs="Times New Roman"/>
          <w:kern w:val="0"/>
          <w:sz w:val="24"/>
          <w:szCs w:val="24"/>
        </w:rPr>
        <w:t>2</w:t>
      </w:r>
      <w:r>
        <w:rPr>
          <w:rFonts w:ascii="宋体" w:hAnsi="宋体" w:cs="Times New Roman"/>
          <w:kern w:val="0"/>
          <w:sz w:val="24"/>
          <w:szCs w:val="24"/>
        </w:rPr>
        <w:t>4</w:t>
      </w:r>
      <w:r>
        <w:rPr>
          <w:rFonts w:hint="eastAsia" w:ascii="宋体" w:hAnsi="宋体" w:cs="Times New Roman"/>
          <w:kern w:val="0"/>
          <w:sz w:val="24"/>
          <w:szCs w:val="24"/>
        </w:rPr>
        <w:t>小时全时段监视与管理；</w:t>
      </w:r>
    </w:p>
    <w:p>
      <w:pPr>
        <w:widowControl/>
        <w:numPr>
          <w:ilvl w:val="0"/>
          <w:numId w:val="4"/>
        </w:numPr>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湿地公园人工弱管理：人工管理模式存在管理盲区，一方面人员无法实现全天候全时段管理，存在管理漏洞，另一方面人工管理成本较高、工作效率低；</w:t>
      </w:r>
    </w:p>
    <w:p>
      <w:pPr>
        <w:widowControl/>
        <w:numPr>
          <w:ilvl w:val="0"/>
          <w:numId w:val="4"/>
        </w:numPr>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取证困难：在监管</w:t>
      </w:r>
      <w:r>
        <w:rPr>
          <w:rFonts w:ascii="宋体" w:hAnsi="宋体" w:cs="Times New Roman"/>
          <w:kern w:val="0"/>
          <w:sz w:val="24"/>
          <w:szCs w:val="24"/>
        </w:rPr>
        <w:t>盲区不易发现、无法第一时间取证</w:t>
      </w:r>
      <w:r>
        <w:rPr>
          <w:rFonts w:hint="eastAsia" w:ascii="宋体" w:hAnsi="宋体" w:cs="Times New Roman"/>
          <w:kern w:val="0"/>
          <w:sz w:val="24"/>
          <w:szCs w:val="24"/>
        </w:rPr>
        <w:t>固</w:t>
      </w:r>
      <w:r>
        <w:rPr>
          <w:rFonts w:ascii="宋体" w:hAnsi="宋体" w:cs="Times New Roman"/>
          <w:kern w:val="0"/>
          <w:sz w:val="24"/>
          <w:szCs w:val="24"/>
        </w:rPr>
        <w:t>证</w:t>
      </w:r>
      <w:r>
        <w:rPr>
          <w:rFonts w:hint="eastAsia" w:ascii="宋体" w:hAnsi="宋体" w:cs="Times New Roman"/>
          <w:kern w:val="0"/>
          <w:sz w:val="24"/>
          <w:szCs w:val="24"/>
        </w:rPr>
        <w:t>，缺乏有效依据。</w:t>
      </w:r>
    </w:p>
    <w:p>
      <w:pPr>
        <w:widowControl/>
        <w:numPr>
          <w:ilvl w:val="1"/>
          <w:numId w:val="3"/>
        </w:numPr>
        <w:spacing w:line="360" w:lineRule="auto"/>
        <w:ind w:left="284" w:firstLine="602" w:firstLineChars="200"/>
        <w:jc w:val="left"/>
        <w:outlineLvl w:val="1"/>
        <w:rPr>
          <w:rFonts w:ascii="黑体" w:hAnsi="黑体" w:eastAsia="黑体" w:cs="Times New Roman"/>
          <w:b/>
          <w:bCs/>
          <w:kern w:val="0"/>
          <w:sz w:val="30"/>
          <w:szCs w:val="32"/>
          <w:lang w:eastAsia="en-US"/>
        </w:rPr>
      </w:pPr>
      <w:bookmarkStart w:id="1" w:name="_Toc75287770"/>
      <w:r>
        <w:rPr>
          <w:rFonts w:hint="eastAsia" w:ascii="黑体" w:hAnsi="黑体" w:eastAsia="黑体" w:cs="Times New Roman"/>
          <w:b/>
          <w:bCs/>
          <w:kern w:val="0"/>
          <w:sz w:val="30"/>
          <w:szCs w:val="32"/>
          <w:lang w:eastAsia="en-US"/>
        </w:rPr>
        <w:t>项目建设原则</w:t>
      </w:r>
      <w:bookmarkEnd w:id="1"/>
    </w:p>
    <w:p>
      <w:pPr>
        <w:numPr>
          <w:ilvl w:val="2"/>
          <w:numId w:val="0"/>
        </w:numPr>
        <w:tabs>
          <w:tab w:val="left" w:pos="480"/>
        </w:tabs>
        <w:ind w:left="426"/>
        <w:outlineLvl w:val="2"/>
        <w:rPr>
          <w:rFonts w:ascii="黑体" w:hAnsi="黑体" w:eastAsia="黑体" w:cs="Times New Roman"/>
          <w:b/>
          <w:bCs/>
          <w:kern w:val="0"/>
          <w:sz w:val="28"/>
          <w:szCs w:val="28"/>
          <w:lang w:eastAsia="en-US"/>
        </w:rPr>
      </w:pPr>
      <w:bookmarkStart w:id="2" w:name="_Toc75287771"/>
      <w:r>
        <w:rPr>
          <w:rFonts w:hint="eastAsia" w:ascii="黑体" w:hAnsi="黑体" w:eastAsia="黑体" w:cs="Times New Roman"/>
          <w:b/>
          <w:bCs/>
          <w:kern w:val="0"/>
          <w:sz w:val="28"/>
          <w:szCs w:val="28"/>
          <w:lang w:eastAsia="en-US"/>
        </w:rPr>
        <w:t>稳定性原则</w:t>
      </w:r>
      <w:bookmarkEnd w:id="2"/>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从系统结构、技术措施、设备性能、系统管理、厂商技术支持及维修能力等方面保障系统的可靠性和稳定性，在此基础上考虑系统的先进性和实用性。</w:t>
      </w:r>
    </w:p>
    <w:p>
      <w:pPr>
        <w:numPr>
          <w:ilvl w:val="2"/>
          <w:numId w:val="0"/>
        </w:numPr>
        <w:tabs>
          <w:tab w:val="left" w:pos="480"/>
        </w:tabs>
        <w:ind w:left="426"/>
        <w:outlineLvl w:val="2"/>
        <w:rPr>
          <w:rFonts w:ascii="黑体" w:hAnsi="黑体" w:eastAsia="黑体" w:cs="Times New Roman"/>
          <w:b/>
          <w:bCs/>
          <w:kern w:val="0"/>
          <w:sz w:val="28"/>
          <w:szCs w:val="28"/>
        </w:rPr>
      </w:pPr>
      <w:bookmarkStart w:id="3" w:name="_Toc75287772"/>
      <w:r>
        <w:rPr>
          <w:rFonts w:hint="eastAsia" w:ascii="黑体" w:hAnsi="黑体" w:eastAsia="黑体" w:cs="Times New Roman"/>
          <w:b/>
          <w:bCs/>
          <w:kern w:val="0"/>
          <w:sz w:val="28"/>
          <w:szCs w:val="28"/>
        </w:rPr>
        <w:t>先进性原则</w:t>
      </w:r>
      <w:bookmarkEnd w:id="3"/>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系统建设需要充分参考国内外先进的产品和技术，结合公园的实际情况，使建成的系统不但能反映当今的国内先进水平，而且具有相当的发展潜力。</w:t>
      </w:r>
    </w:p>
    <w:p>
      <w:pPr>
        <w:numPr>
          <w:ilvl w:val="2"/>
          <w:numId w:val="0"/>
        </w:numPr>
        <w:tabs>
          <w:tab w:val="left" w:pos="480"/>
        </w:tabs>
        <w:ind w:left="426"/>
        <w:outlineLvl w:val="2"/>
        <w:rPr>
          <w:rFonts w:ascii="黑体" w:hAnsi="黑体" w:eastAsia="黑体" w:cs="Times New Roman"/>
          <w:b/>
          <w:bCs/>
          <w:kern w:val="0"/>
          <w:sz w:val="28"/>
          <w:szCs w:val="28"/>
        </w:rPr>
      </w:pPr>
      <w:bookmarkStart w:id="4" w:name="_Toc75287773"/>
      <w:r>
        <w:rPr>
          <w:rFonts w:hint="eastAsia" w:ascii="黑体" w:hAnsi="黑体" w:eastAsia="黑体" w:cs="Times New Roman"/>
          <w:b/>
          <w:bCs/>
          <w:kern w:val="0"/>
          <w:sz w:val="28"/>
          <w:szCs w:val="28"/>
        </w:rPr>
        <w:t>开放性原则</w:t>
      </w:r>
      <w:bookmarkEnd w:id="4"/>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系统建设必须按照开放性和标准性原则设计和提供全套的技术资料和全面的技术培训，以满足系统与其它系统协同运行以及系统功能扩展的需求。</w:t>
      </w:r>
    </w:p>
    <w:p>
      <w:pPr>
        <w:numPr>
          <w:ilvl w:val="2"/>
          <w:numId w:val="0"/>
        </w:numPr>
        <w:tabs>
          <w:tab w:val="left" w:pos="480"/>
        </w:tabs>
        <w:ind w:left="426"/>
        <w:outlineLvl w:val="2"/>
        <w:rPr>
          <w:rFonts w:ascii="黑体" w:hAnsi="黑体" w:eastAsia="黑体" w:cs="Times New Roman"/>
          <w:b/>
          <w:bCs/>
          <w:kern w:val="0"/>
          <w:sz w:val="28"/>
          <w:szCs w:val="28"/>
        </w:rPr>
      </w:pPr>
      <w:bookmarkStart w:id="5" w:name="_Toc75287774"/>
      <w:r>
        <w:rPr>
          <w:rFonts w:hint="eastAsia" w:ascii="黑体" w:hAnsi="黑体" w:eastAsia="黑体" w:cs="Times New Roman"/>
          <w:b/>
          <w:bCs/>
          <w:kern w:val="0"/>
          <w:sz w:val="28"/>
          <w:szCs w:val="28"/>
        </w:rPr>
        <w:t>实用性原则</w:t>
      </w:r>
      <w:bookmarkEnd w:id="5"/>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系统功能满足用户的实际需求，人机界面友好，易于使用、管理、维护和扩展。</w:t>
      </w:r>
    </w:p>
    <w:p>
      <w:pPr>
        <w:widowControl/>
        <w:numPr>
          <w:ilvl w:val="1"/>
          <w:numId w:val="3"/>
        </w:numPr>
        <w:spacing w:line="360" w:lineRule="auto"/>
        <w:ind w:left="284" w:firstLine="602" w:firstLineChars="200"/>
        <w:jc w:val="left"/>
        <w:outlineLvl w:val="1"/>
        <w:rPr>
          <w:rFonts w:ascii="黑体" w:hAnsi="黑体" w:eastAsia="黑体" w:cs="Times New Roman"/>
          <w:b/>
          <w:bCs/>
          <w:kern w:val="0"/>
          <w:sz w:val="30"/>
          <w:szCs w:val="32"/>
          <w:lang w:eastAsia="en-US"/>
        </w:rPr>
      </w:pPr>
      <w:bookmarkStart w:id="6" w:name="_Toc75287775"/>
      <w:bookmarkStart w:id="7" w:name="_Hlk74859773"/>
      <w:r>
        <w:rPr>
          <w:rFonts w:hint="eastAsia" w:ascii="黑体" w:hAnsi="黑体" w:eastAsia="黑体" w:cs="Times New Roman"/>
          <w:b/>
          <w:bCs/>
          <w:kern w:val="0"/>
          <w:sz w:val="30"/>
          <w:szCs w:val="32"/>
          <w:lang w:eastAsia="en-US"/>
        </w:rPr>
        <w:t>设计依据</w:t>
      </w:r>
      <w:bookmarkEnd w:id="6"/>
    </w:p>
    <w:bookmarkEnd w:id="7"/>
    <w:p>
      <w:pPr>
        <w:numPr>
          <w:ilvl w:val="2"/>
          <w:numId w:val="0"/>
        </w:numPr>
        <w:tabs>
          <w:tab w:val="left" w:pos="480"/>
        </w:tabs>
        <w:ind w:left="426"/>
        <w:outlineLvl w:val="2"/>
        <w:rPr>
          <w:rFonts w:ascii="黑体" w:hAnsi="黑体" w:eastAsia="黑体" w:cs="Times New Roman"/>
          <w:b/>
          <w:bCs/>
          <w:kern w:val="0"/>
          <w:sz w:val="28"/>
          <w:szCs w:val="28"/>
        </w:rPr>
      </w:pPr>
      <w:bookmarkStart w:id="8" w:name="_Toc75287776"/>
      <w:r>
        <w:rPr>
          <w:rFonts w:hint="eastAsia" w:ascii="黑体" w:hAnsi="黑体" w:eastAsia="黑体" w:cs="Times New Roman"/>
          <w:b/>
          <w:bCs/>
          <w:kern w:val="0"/>
          <w:sz w:val="28"/>
          <w:szCs w:val="28"/>
        </w:rPr>
        <w:t>国家法律法规和政策性文件</w:t>
      </w:r>
      <w:bookmarkEnd w:id="8"/>
    </w:p>
    <w:p>
      <w:pPr>
        <w:widowControl/>
        <w:numPr>
          <w:ilvl w:val="0"/>
          <w:numId w:val="5"/>
        </w:numPr>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《中华人民共和国民法典》</w:t>
      </w:r>
    </w:p>
    <w:p>
      <w:pPr>
        <w:widowControl/>
        <w:numPr>
          <w:ilvl w:val="0"/>
          <w:numId w:val="5"/>
        </w:numPr>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《中华人民共和国宪法》</w:t>
      </w:r>
    </w:p>
    <w:p>
      <w:pPr>
        <w:widowControl/>
        <w:numPr>
          <w:ilvl w:val="0"/>
          <w:numId w:val="5"/>
        </w:numPr>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《中华人民共和国刑事诉讼法》</w:t>
      </w:r>
    </w:p>
    <w:p>
      <w:pPr>
        <w:widowControl/>
        <w:numPr>
          <w:ilvl w:val="0"/>
          <w:numId w:val="5"/>
        </w:numPr>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《中华人民共和国民事诉讼法》</w:t>
      </w:r>
    </w:p>
    <w:p>
      <w:pPr>
        <w:widowControl/>
        <w:numPr>
          <w:ilvl w:val="0"/>
          <w:numId w:val="5"/>
        </w:numPr>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《中华人民共和国行政诉讼法》</w:t>
      </w:r>
    </w:p>
    <w:p>
      <w:pPr>
        <w:widowControl/>
        <w:numPr>
          <w:ilvl w:val="0"/>
          <w:numId w:val="5"/>
        </w:numPr>
        <w:tabs>
          <w:tab w:val="left" w:pos="993"/>
          <w:tab w:val="left" w:pos="1134"/>
        </w:tabs>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《中华人民共和国国民经济和社会发展第十四个五年计划规划纲要》</w:t>
      </w:r>
    </w:p>
    <w:p>
      <w:pPr>
        <w:widowControl/>
        <w:numPr>
          <w:ilvl w:val="0"/>
          <w:numId w:val="5"/>
        </w:numPr>
        <w:tabs>
          <w:tab w:val="left" w:pos="993"/>
          <w:tab w:val="left" w:pos="1134"/>
        </w:tabs>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《国家电子政务总体框架》（国信</w:t>
      </w:r>
      <w:r>
        <w:rPr>
          <w:rFonts w:ascii="宋体" w:hAnsi="宋体" w:cs="Times New Roman"/>
          <w:kern w:val="0"/>
          <w:sz w:val="24"/>
          <w:szCs w:val="24"/>
        </w:rPr>
        <w:t>[2006]2号）</w:t>
      </w:r>
    </w:p>
    <w:p>
      <w:pPr>
        <w:widowControl/>
        <w:numPr>
          <w:ilvl w:val="0"/>
          <w:numId w:val="5"/>
        </w:numPr>
        <w:tabs>
          <w:tab w:val="left" w:pos="993"/>
        </w:tabs>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《国家信息化领导小组关于加强信息安全保障工作的意见》（中办发</w:t>
      </w:r>
      <w:r>
        <w:rPr>
          <w:rFonts w:ascii="宋体" w:hAnsi="宋体" w:cs="Times New Roman"/>
          <w:kern w:val="0"/>
          <w:sz w:val="24"/>
          <w:szCs w:val="24"/>
        </w:rPr>
        <w:t>[2003]27号）</w:t>
      </w:r>
    </w:p>
    <w:p>
      <w:pPr>
        <w:widowControl/>
        <w:numPr>
          <w:ilvl w:val="0"/>
          <w:numId w:val="5"/>
        </w:numPr>
        <w:tabs>
          <w:tab w:val="left" w:pos="993"/>
          <w:tab w:val="left" w:pos="1134"/>
        </w:tabs>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《关于加强信息资源开发利用工作的若干意见》（中办发</w:t>
      </w:r>
      <w:r>
        <w:rPr>
          <w:rFonts w:ascii="宋体" w:hAnsi="宋体" w:cs="Times New Roman"/>
          <w:kern w:val="0"/>
          <w:sz w:val="24"/>
          <w:szCs w:val="24"/>
        </w:rPr>
        <w:t>[2004]34号）</w:t>
      </w:r>
    </w:p>
    <w:p>
      <w:pPr>
        <w:numPr>
          <w:ilvl w:val="2"/>
          <w:numId w:val="0"/>
        </w:numPr>
        <w:tabs>
          <w:tab w:val="left" w:pos="480"/>
        </w:tabs>
        <w:ind w:left="426"/>
        <w:outlineLvl w:val="2"/>
        <w:rPr>
          <w:rFonts w:ascii="黑体" w:hAnsi="黑体" w:eastAsia="黑体" w:cs="Times New Roman"/>
          <w:b/>
          <w:bCs/>
          <w:kern w:val="0"/>
          <w:sz w:val="28"/>
          <w:szCs w:val="28"/>
        </w:rPr>
      </w:pPr>
      <w:bookmarkStart w:id="9" w:name="_Toc518489196"/>
      <w:bookmarkStart w:id="10" w:name="_Toc520447435"/>
      <w:bookmarkStart w:id="11" w:name="_Toc439062407"/>
      <w:bookmarkStart w:id="12" w:name="_Toc467495467"/>
      <w:bookmarkStart w:id="13" w:name="_Toc451750002"/>
      <w:bookmarkStart w:id="14" w:name="_Toc75287777"/>
      <w:bookmarkStart w:id="15" w:name="_Toc439061659"/>
      <w:bookmarkStart w:id="16" w:name="_Toc439059278"/>
      <w:bookmarkStart w:id="17" w:name="_Toc31065"/>
      <w:r>
        <w:rPr>
          <w:rFonts w:ascii="黑体" w:hAnsi="黑体" w:eastAsia="黑体" w:cs="Times New Roman"/>
          <w:b/>
          <w:bCs/>
          <w:kern w:val="0"/>
          <w:sz w:val="28"/>
          <w:szCs w:val="28"/>
        </w:rPr>
        <w:t>现行的行业技术质量标准规范</w:t>
      </w:r>
      <w:bookmarkEnd w:id="9"/>
      <w:bookmarkEnd w:id="10"/>
      <w:bookmarkEnd w:id="11"/>
      <w:bookmarkEnd w:id="12"/>
      <w:bookmarkEnd w:id="13"/>
      <w:bookmarkEnd w:id="14"/>
      <w:bookmarkEnd w:id="15"/>
      <w:bookmarkEnd w:id="16"/>
      <w:bookmarkEnd w:id="17"/>
    </w:p>
    <w:tbl>
      <w:tblPr>
        <w:tblStyle w:val="42"/>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5381"/>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6" w:type="pct"/>
            <w:shd w:val="clear" w:color="auto" w:fill="auto"/>
            <w:noWrap/>
            <w:vAlign w:val="center"/>
          </w:tcPr>
          <w:p>
            <w:pPr>
              <w:widowControl/>
              <w:adjustRightInd w:val="0"/>
              <w:snapToGrid w:val="0"/>
              <w:jc w:val="left"/>
              <w:rPr>
                <w:rFonts w:ascii="宋体" w:hAnsi="宋体" w:cs="宋体"/>
                <w:b/>
                <w:color w:val="000000"/>
                <w:kern w:val="0"/>
                <w:sz w:val="24"/>
                <w:szCs w:val="24"/>
                <w:lang w:eastAsia="en-US"/>
              </w:rPr>
            </w:pPr>
            <w:r>
              <w:rPr>
                <w:rFonts w:hint="eastAsia" w:ascii="宋体" w:hAnsi="宋体" w:cs="宋体"/>
                <w:b/>
                <w:color w:val="000000"/>
                <w:kern w:val="0"/>
                <w:sz w:val="24"/>
                <w:szCs w:val="24"/>
                <w:lang w:eastAsia="en-US"/>
              </w:rPr>
              <w:t>序号</w:t>
            </w:r>
          </w:p>
        </w:tc>
        <w:tc>
          <w:tcPr>
            <w:tcW w:w="3194" w:type="pct"/>
            <w:shd w:val="clear" w:color="auto" w:fill="auto"/>
            <w:noWrap/>
            <w:vAlign w:val="center"/>
          </w:tcPr>
          <w:p>
            <w:pPr>
              <w:widowControl/>
              <w:adjustRightInd w:val="0"/>
              <w:snapToGrid w:val="0"/>
              <w:ind w:firstLine="360"/>
              <w:jc w:val="center"/>
              <w:rPr>
                <w:rFonts w:ascii="宋体" w:hAnsi="宋体" w:cs="宋体"/>
                <w:b/>
                <w:color w:val="000000"/>
                <w:kern w:val="0"/>
                <w:sz w:val="24"/>
                <w:szCs w:val="24"/>
                <w:lang w:eastAsia="en-US"/>
              </w:rPr>
            </w:pPr>
            <w:r>
              <w:rPr>
                <w:rFonts w:hint="eastAsia" w:ascii="宋体" w:hAnsi="宋体" w:cs="宋体"/>
                <w:b/>
                <w:color w:val="000000"/>
                <w:kern w:val="0"/>
                <w:sz w:val="24"/>
                <w:szCs w:val="24"/>
                <w:lang w:eastAsia="en-US"/>
              </w:rPr>
              <w:t>规范名称</w:t>
            </w:r>
          </w:p>
        </w:tc>
        <w:tc>
          <w:tcPr>
            <w:tcW w:w="1420" w:type="pct"/>
            <w:shd w:val="clear" w:color="auto" w:fill="auto"/>
            <w:noWrap/>
            <w:vAlign w:val="center"/>
          </w:tcPr>
          <w:p>
            <w:pPr>
              <w:widowControl/>
              <w:adjustRightInd w:val="0"/>
              <w:snapToGrid w:val="0"/>
              <w:ind w:firstLine="360"/>
              <w:jc w:val="center"/>
              <w:rPr>
                <w:rFonts w:ascii="宋体" w:hAnsi="宋体" w:cs="宋体"/>
                <w:b/>
                <w:color w:val="000000"/>
                <w:kern w:val="0"/>
                <w:sz w:val="24"/>
                <w:szCs w:val="24"/>
                <w:lang w:eastAsia="en-US"/>
              </w:rPr>
            </w:pPr>
            <w:r>
              <w:rPr>
                <w:rFonts w:hint="eastAsia" w:ascii="宋体" w:hAnsi="宋体" w:cs="宋体"/>
                <w:b/>
                <w:color w:val="000000"/>
                <w:kern w:val="0"/>
                <w:sz w:val="24"/>
                <w:szCs w:val="24"/>
                <w:lang w:eastAsia="en-US"/>
              </w:rPr>
              <w:t>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86"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 xml:space="preserve">《安全防范工程技术规范及条文说明》     </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（GB50348-2018）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ascii="宋体" w:hAnsi="宋体" w:cs="宋体"/>
                <w:color w:val="000000"/>
                <w:kern w:val="0"/>
                <w:sz w:val="24"/>
                <w:szCs w:val="24"/>
                <w:lang w:eastAsia="en-US"/>
              </w:rPr>
              <w:t>2</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《供配电系统设计规范》</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（GB50052-2009）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ascii="宋体" w:hAnsi="宋体" w:cs="宋体"/>
                <w:color w:val="000000"/>
                <w:kern w:val="0"/>
                <w:sz w:val="24"/>
                <w:szCs w:val="24"/>
                <w:lang w:eastAsia="en-US"/>
              </w:rPr>
              <w:t>3</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 xml:space="preserve">《电力工程电缆设计规范》   </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（GB50217-20</w:t>
            </w:r>
            <w:r>
              <w:rPr>
                <w:rFonts w:ascii="宋体" w:hAnsi="宋体" w:cs="宋体"/>
                <w:color w:val="000000"/>
                <w:kern w:val="0"/>
                <w:sz w:val="24"/>
                <w:szCs w:val="24"/>
                <w:lang w:eastAsia="en-US"/>
              </w:rPr>
              <w:t>18</w:t>
            </w:r>
            <w:r>
              <w:rPr>
                <w:rFonts w:hint="eastAsia" w:ascii="宋体" w:hAnsi="宋体" w:cs="宋体"/>
                <w:color w:val="000000"/>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ascii="宋体" w:hAnsi="宋体" w:cs="宋体"/>
                <w:color w:val="000000"/>
                <w:kern w:val="0"/>
                <w:sz w:val="24"/>
                <w:szCs w:val="24"/>
                <w:lang w:eastAsia="en-US"/>
              </w:rPr>
              <w:t>4</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 xml:space="preserve">《电气装置安装工程接地装置施工及验收规范》   </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（GB50169-20</w:t>
            </w:r>
            <w:r>
              <w:rPr>
                <w:rFonts w:ascii="宋体" w:hAnsi="宋体" w:cs="宋体"/>
                <w:color w:val="000000"/>
                <w:kern w:val="0"/>
                <w:sz w:val="24"/>
                <w:szCs w:val="24"/>
                <w:lang w:eastAsia="en-US"/>
              </w:rPr>
              <w:t>1</w:t>
            </w:r>
            <w:r>
              <w:rPr>
                <w:rFonts w:hint="eastAsia" w:ascii="宋体" w:hAnsi="宋体" w:cs="宋体"/>
                <w:color w:val="000000"/>
                <w:kern w:val="0"/>
                <w:sz w:val="24"/>
                <w:szCs w:val="24"/>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ascii="宋体" w:hAnsi="宋体" w:cs="宋体"/>
                <w:color w:val="000000"/>
                <w:kern w:val="0"/>
                <w:sz w:val="24"/>
                <w:szCs w:val="24"/>
                <w:lang w:eastAsia="en-US"/>
              </w:rPr>
              <w:t>5</w:t>
            </w:r>
          </w:p>
        </w:tc>
        <w:tc>
          <w:tcPr>
            <w:tcW w:w="3194" w:type="pct"/>
            <w:shd w:val="clear" w:color="auto" w:fill="auto"/>
            <w:noWrap/>
            <w:vAlign w:val="center"/>
          </w:tcPr>
          <w:p>
            <w:pPr>
              <w:widowControl/>
              <w:adjustRightInd w:val="0"/>
              <w:snapToGrid w:val="0"/>
              <w:jc w:val="left"/>
              <w:rPr>
                <w:rFonts w:ascii="宋体" w:hAnsi="宋体" w:cs="宋体"/>
                <w:color w:val="000000"/>
                <w:kern w:val="0"/>
                <w:sz w:val="24"/>
                <w:szCs w:val="24"/>
              </w:rPr>
            </w:pPr>
            <w:r>
              <w:rPr>
                <w:rFonts w:hint="eastAsia" w:ascii="宋体" w:hAnsi="宋体" w:cs="宋体"/>
                <w:color w:val="000000"/>
                <w:kern w:val="0"/>
                <w:sz w:val="24"/>
                <w:szCs w:val="24"/>
              </w:rPr>
              <w:t>《安全防范视频监控联网系统信息传输、交换、控制技术要求》</w:t>
            </w:r>
          </w:p>
        </w:tc>
        <w:tc>
          <w:tcPr>
            <w:tcW w:w="1420"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（GB/T28181-2011）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ascii="宋体" w:hAnsi="宋体" w:cs="宋体"/>
                <w:color w:val="000000"/>
                <w:kern w:val="0"/>
                <w:sz w:val="24"/>
                <w:szCs w:val="24"/>
                <w:lang w:eastAsia="en-US"/>
              </w:rPr>
              <w:t>6</w:t>
            </w:r>
          </w:p>
        </w:tc>
        <w:tc>
          <w:tcPr>
            <w:tcW w:w="3194" w:type="pct"/>
            <w:shd w:val="clear" w:color="auto" w:fill="auto"/>
            <w:noWrap/>
            <w:vAlign w:val="center"/>
          </w:tcPr>
          <w:p>
            <w:pPr>
              <w:widowControl/>
              <w:adjustRightInd w:val="0"/>
              <w:snapToGrid w:val="0"/>
              <w:ind w:firstLine="360"/>
              <w:rPr>
                <w:rFonts w:ascii="宋体" w:hAnsi="宋体" w:cs="宋体"/>
                <w:color w:val="000000"/>
                <w:kern w:val="0"/>
                <w:sz w:val="24"/>
                <w:szCs w:val="24"/>
              </w:rPr>
            </w:pPr>
            <w:r>
              <w:rPr>
                <w:rFonts w:hint="eastAsia" w:ascii="宋体" w:hAnsi="宋体" w:cs="宋体"/>
                <w:color w:val="000000"/>
                <w:kern w:val="0"/>
                <w:sz w:val="24"/>
                <w:szCs w:val="24"/>
              </w:rPr>
              <w:t>《公共安全视频监控数字视音频编解码技术要求》</w:t>
            </w:r>
          </w:p>
        </w:tc>
        <w:tc>
          <w:tcPr>
            <w:tcW w:w="1420"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（GB/T25724-201</w:t>
            </w:r>
            <w:r>
              <w:rPr>
                <w:rFonts w:ascii="宋体" w:hAnsi="宋体" w:cs="宋体"/>
                <w:color w:val="000000"/>
                <w:kern w:val="0"/>
                <w:sz w:val="24"/>
                <w:szCs w:val="24"/>
                <w:lang w:eastAsia="en-US"/>
              </w:rPr>
              <w:t>7</w:t>
            </w:r>
            <w:r>
              <w:rPr>
                <w:rFonts w:hint="eastAsia" w:ascii="宋体" w:hAnsi="宋体" w:cs="宋体"/>
                <w:color w:val="000000"/>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ascii="宋体" w:hAnsi="宋体" w:cs="宋体"/>
                <w:color w:val="000000"/>
                <w:kern w:val="0"/>
                <w:sz w:val="24"/>
                <w:szCs w:val="24"/>
                <w:lang w:eastAsia="en-US"/>
              </w:rPr>
              <w:t>7</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隶书"/>
                <w:kern w:val="0"/>
                <w:sz w:val="24"/>
                <w:szCs w:val="24"/>
              </w:rPr>
              <w:t>《视频安防监控系统工程设计规范》</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 50395-2007）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ascii="宋体" w:hAnsi="宋体" w:cs="宋体"/>
                <w:color w:val="000000"/>
                <w:kern w:val="0"/>
                <w:sz w:val="24"/>
                <w:szCs w:val="24"/>
                <w:lang w:eastAsia="en-US"/>
              </w:rPr>
              <w:t>8</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《建筑物电子信息系统防雷技术规范》</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（GB50343-2012）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ascii="宋体" w:hAnsi="宋体" w:cs="宋体"/>
                <w:color w:val="000000"/>
                <w:kern w:val="0"/>
                <w:sz w:val="24"/>
                <w:szCs w:val="24"/>
                <w:lang w:eastAsia="en-US"/>
              </w:rPr>
              <w:t>9</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隶书"/>
                <w:kern w:val="0"/>
                <w:sz w:val="24"/>
                <w:szCs w:val="24"/>
              </w:rPr>
              <w:t>《安全防范系统雷电浪涌技术要求》</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（GA/T670-2006）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10</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 xml:space="preserve">《综合布线系统工程设计规范》    </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（GB50311-2016）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11</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 xml:space="preserve">《综合布线系统工程验收规范》   </w:t>
            </w:r>
          </w:p>
        </w:tc>
        <w:tc>
          <w:tcPr>
            <w:tcW w:w="1420" w:type="pct"/>
            <w:shd w:val="clear" w:color="auto" w:fill="auto"/>
            <w:noWrap/>
            <w:vAlign w:val="center"/>
          </w:tcPr>
          <w:p>
            <w:pPr>
              <w:widowControl/>
              <w:adjustRightInd w:val="0"/>
              <w:snapToGrid w:val="0"/>
              <w:ind w:firstLine="360"/>
              <w:jc w:val="center"/>
              <w:rPr>
                <w:rFonts w:ascii="宋体" w:hAnsi="宋体" w:cs="Times New Roman"/>
                <w:color w:val="000000"/>
                <w:kern w:val="0"/>
                <w:sz w:val="24"/>
                <w:szCs w:val="24"/>
                <w:lang w:eastAsia="en-US"/>
              </w:rPr>
            </w:pPr>
            <w:r>
              <w:rPr>
                <w:rFonts w:hint="eastAsia" w:ascii="宋体" w:hAnsi="宋体" w:cs="宋体"/>
                <w:color w:val="000000"/>
                <w:kern w:val="0"/>
                <w:sz w:val="24"/>
                <w:szCs w:val="24"/>
                <w:lang w:eastAsia="en-US"/>
              </w:rPr>
              <w:t>（GB50312-2016）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12</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 xml:space="preserve">《信息安全技术网络安全等级保护基本要求》   </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(GB/T22239-20</w:t>
            </w:r>
            <w:r>
              <w:rPr>
                <w:rFonts w:ascii="宋体" w:hAnsi="宋体" w:cs="宋体"/>
                <w:color w:val="000000"/>
                <w:kern w:val="0"/>
                <w:sz w:val="24"/>
                <w:szCs w:val="24"/>
                <w:lang w:eastAsia="en-US"/>
              </w:rPr>
              <w:t>19</w:t>
            </w:r>
            <w:r>
              <w:rPr>
                <w:rFonts w:hint="eastAsia" w:ascii="宋体" w:hAnsi="宋体" w:cs="宋体"/>
                <w:color w:val="000000"/>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13</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 xml:space="preserve">《入侵报警系统工程设计规范》     </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（GB50394-2007）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14</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信息安全技术网络安全等级保护定级指南</w:t>
            </w:r>
            <w:r>
              <w:rPr>
                <w:rFonts w:hint="eastAsia" w:ascii="宋体" w:hAnsi="宋体" w:cs="宋体"/>
                <w:color w:val="000000"/>
                <w:kern w:val="0"/>
                <w:sz w:val="24"/>
                <w:szCs w:val="24"/>
              </w:rPr>
              <w:t>》</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（GB/T22240-20</w:t>
            </w:r>
            <w:r>
              <w:rPr>
                <w:rFonts w:ascii="宋体" w:hAnsi="宋体" w:cs="宋体"/>
                <w:color w:val="000000"/>
                <w:kern w:val="0"/>
                <w:sz w:val="24"/>
                <w:szCs w:val="24"/>
                <w:lang w:eastAsia="en-US"/>
              </w:rPr>
              <w:t>20</w:t>
            </w:r>
            <w:r>
              <w:rPr>
                <w:rFonts w:hint="eastAsia" w:ascii="宋体" w:hAnsi="宋体" w:cs="宋体"/>
                <w:color w:val="000000"/>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15</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隶书"/>
                <w:kern w:val="0"/>
                <w:sz w:val="24"/>
                <w:szCs w:val="24"/>
              </w:rPr>
              <w:t>信息技术安全技术信息安全管理体系要求》</w:t>
            </w:r>
          </w:p>
        </w:tc>
        <w:tc>
          <w:tcPr>
            <w:tcW w:w="1420"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（GB/T22080-20</w:t>
            </w:r>
            <w:r>
              <w:rPr>
                <w:rFonts w:ascii="宋体" w:hAnsi="宋体" w:cs="宋体"/>
                <w:color w:val="000000"/>
                <w:kern w:val="0"/>
                <w:sz w:val="24"/>
                <w:szCs w:val="24"/>
                <w:lang w:eastAsia="en-US"/>
              </w:rPr>
              <w:t>16</w:t>
            </w:r>
            <w:r>
              <w:rPr>
                <w:rFonts w:hint="eastAsia" w:ascii="宋体" w:hAnsi="宋体" w:cs="宋体"/>
                <w:color w:val="000000"/>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16</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kern w:val="0"/>
                <w:sz w:val="24"/>
                <w:szCs w:val="24"/>
              </w:rPr>
              <w:t>《</w:t>
            </w:r>
            <w:r>
              <w:rPr>
                <w:rFonts w:hint="eastAsia" w:ascii="宋体" w:hAnsi="宋体" w:cs="隶书"/>
                <w:kern w:val="0"/>
                <w:sz w:val="24"/>
                <w:szCs w:val="24"/>
              </w:rPr>
              <w:t>信息安全技术网络基础安全技术要求</w:t>
            </w:r>
            <w:r>
              <w:rPr>
                <w:rFonts w:hint="eastAsia" w:ascii="宋体" w:hAnsi="宋体" w:cs="宋体"/>
                <w:kern w:val="0"/>
                <w:sz w:val="24"/>
                <w:szCs w:val="24"/>
              </w:rPr>
              <w:t>》</w:t>
            </w:r>
          </w:p>
        </w:tc>
        <w:tc>
          <w:tcPr>
            <w:tcW w:w="1420"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（GB/T20270-2006）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17</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 xml:space="preserve">《工业电视系统工程设计规范》   </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（GB50115-20</w:t>
            </w:r>
            <w:r>
              <w:rPr>
                <w:rFonts w:ascii="宋体" w:hAnsi="宋体" w:cs="宋体"/>
                <w:color w:val="000000"/>
                <w:kern w:val="0"/>
                <w:sz w:val="24"/>
                <w:szCs w:val="24"/>
                <w:lang w:eastAsia="en-US"/>
              </w:rPr>
              <w:t>1</w:t>
            </w:r>
            <w:r>
              <w:rPr>
                <w:rFonts w:hint="eastAsia" w:ascii="宋体" w:hAnsi="宋体" w:cs="宋体"/>
                <w:color w:val="000000"/>
                <w:kern w:val="0"/>
                <w:sz w:val="24"/>
                <w:szCs w:val="24"/>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18</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 xml:space="preserve">《视频显示系统工程技术规范》    </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（GB50464-2008）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19</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color w:val="000000"/>
                <w:kern w:val="0"/>
                <w:sz w:val="24"/>
                <w:szCs w:val="24"/>
              </w:rPr>
              <w:t xml:space="preserve">《安全防范系统通用图形符号》   </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(GA</w:t>
            </w:r>
            <w:r>
              <w:rPr>
                <w:rFonts w:ascii="宋体" w:hAnsi="宋体" w:cs="宋体"/>
                <w:color w:val="000000"/>
                <w:kern w:val="0"/>
                <w:sz w:val="24"/>
                <w:szCs w:val="24"/>
                <w:lang w:eastAsia="en-US"/>
              </w:rPr>
              <w:t>/</w:t>
            </w:r>
            <w:r>
              <w:rPr>
                <w:rFonts w:hint="eastAsia" w:ascii="宋体" w:hAnsi="宋体" w:cs="宋体"/>
                <w:color w:val="000000"/>
                <w:kern w:val="0"/>
                <w:sz w:val="24"/>
                <w:szCs w:val="24"/>
                <w:lang w:eastAsia="en-US"/>
              </w:rPr>
              <w:t>T74-201</w:t>
            </w:r>
            <w:r>
              <w:rPr>
                <w:rFonts w:ascii="宋体" w:hAnsi="宋体" w:cs="宋体"/>
                <w:color w:val="000000"/>
                <w:kern w:val="0"/>
                <w:sz w:val="24"/>
                <w:szCs w:val="24"/>
                <w:lang w:eastAsia="en-US"/>
              </w:rPr>
              <w:t>7</w:t>
            </w:r>
            <w:r>
              <w:rPr>
                <w:rFonts w:hint="eastAsia" w:ascii="宋体" w:hAnsi="宋体" w:cs="宋体"/>
                <w:color w:val="000000"/>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20</w:t>
            </w:r>
          </w:p>
        </w:tc>
        <w:tc>
          <w:tcPr>
            <w:tcW w:w="3194" w:type="pct"/>
            <w:shd w:val="clear" w:color="auto" w:fill="auto"/>
            <w:noWrap/>
            <w:vAlign w:val="center"/>
          </w:tcPr>
          <w:p>
            <w:pPr>
              <w:widowControl/>
              <w:adjustRightInd w:val="0"/>
              <w:snapToGrid w:val="0"/>
              <w:ind w:firstLine="360"/>
              <w:jc w:val="left"/>
              <w:rPr>
                <w:rFonts w:ascii="宋体" w:hAnsi="宋体" w:cs="宋体"/>
                <w:b/>
                <w:bCs/>
                <w:color w:val="000000"/>
                <w:kern w:val="0"/>
                <w:sz w:val="24"/>
                <w:szCs w:val="24"/>
              </w:rPr>
            </w:pPr>
            <w:r>
              <w:rPr>
                <w:rFonts w:hint="eastAsia" w:ascii="宋体" w:hAnsi="宋体" w:cs="宋体"/>
                <w:color w:val="000000"/>
                <w:kern w:val="0"/>
                <w:sz w:val="24"/>
                <w:szCs w:val="24"/>
              </w:rPr>
              <w:t>《安全防范视频监控联网系统信息传输、交换、控制技术要求》</w:t>
            </w:r>
          </w:p>
        </w:tc>
        <w:tc>
          <w:tcPr>
            <w:tcW w:w="1420"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w:t>
            </w:r>
            <w:r>
              <w:rPr>
                <w:rFonts w:ascii="宋体" w:hAnsi="宋体" w:cs="宋体"/>
                <w:color w:val="000000"/>
                <w:kern w:val="0"/>
                <w:sz w:val="24"/>
                <w:szCs w:val="24"/>
                <w:lang w:eastAsia="en-US"/>
              </w:rPr>
              <w:t>B/T28181-2011）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21</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隶书"/>
                <w:kern w:val="0"/>
                <w:sz w:val="24"/>
                <w:szCs w:val="24"/>
              </w:rPr>
              <w:t>《信息安全技术网络基础安全技术要求》</w:t>
            </w:r>
          </w:p>
        </w:tc>
        <w:tc>
          <w:tcPr>
            <w:tcW w:w="1420"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（GB/T20270-2006）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22</w:t>
            </w:r>
          </w:p>
        </w:tc>
        <w:tc>
          <w:tcPr>
            <w:tcW w:w="3194" w:type="pct"/>
            <w:shd w:val="clear" w:color="auto" w:fill="auto"/>
            <w:noWrap/>
            <w:vAlign w:val="center"/>
          </w:tcPr>
          <w:p>
            <w:pPr>
              <w:widowControl/>
              <w:adjustRightInd w:val="0"/>
              <w:snapToGrid w:val="0"/>
              <w:ind w:firstLine="360"/>
              <w:jc w:val="left"/>
              <w:rPr>
                <w:rFonts w:ascii="宋体" w:hAnsi="宋体" w:cs="Times New Roman"/>
                <w:color w:val="333333"/>
                <w:kern w:val="0"/>
                <w:sz w:val="24"/>
                <w:szCs w:val="24"/>
              </w:rPr>
            </w:pPr>
            <w:r>
              <w:rPr>
                <w:rFonts w:hint="eastAsia" w:ascii="宋体" w:hAnsi="宋体" w:cs="隶书"/>
                <w:kern w:val="0"/>
                <w:sz w:val="24"/>
                <w:szCs w:val="24"/>
              </w:rPr>
              <w:t>《信息安全技术操作系统安全技术要求》</w:t>
            </w:r>
          </w:p>
        </w:tc>
        <w:tc>
          <w:tcPr>
            <w:tcW w:w="1420"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（GB/T2027</w:t>
            </w:r>
            <w:r>
              <w:rPr>
                <w:rFonts w:ascii="宋体" w:hAnsi="宋体" w:cs="宋体"/>
                <w:color w:val="000000"/>
                <w:kern w:val="0"/>
                <w:sz w:val="24"/>
                <w:szCs w:val="24"/>
                <w:lang w:eastAsia="en-US"/>
              </w:rPr>
              <w:t>2</w:t>
            </w:r>
            <w:r>
              <w:rPr>
                <w:rFonts w:hint="eastAsia" w:ascii="宋体" w:hAnsi="宋体" w:cs="宋体"/>
                <w:color w:val="000000"/>
                <w:kern w:val="0"/>
                <w:sz w:val="24"/>
                <w:szCs w:val="24"/>
                <w:lang w:eastAsia="en-US"/>
              </w:rPr>
              <w:t>-20</w:t>
            </w:r>
            <w:r>
              <w:rPr>
                <w:rFonts w:ascii="宋体" w:hAnsi="宋体" w:cs="宋体"/>
                <w:color w:val="000000"/>
                <w:kern w:val="0"/>
                <w:sz w:val="24"/>
                <w:szCs w:val="24"/>
                <w:lang w:eastAsia="en-US"/>
              </w:rPr>
              <w:t>19</w:t>
            </w:r>
            <w:r>
              <w:rPr>
                <w:rFonts w:hint="eastAsia" w:ascii="宋体" w:hAnsi="宋体" w:cs="宋体"/>
                <w:color w:val="000000"/>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23</w:t>
            </w:r>
          </w:p>
        </w:tc>
        <w:tc>
          <w:tcPr>
            <w:tcW w:w="3194" w:type="pct"/>
            <w:shd w:val="clear" w:color="auto" w:fill="auto"/>
            <w:noWrap/>
            <w:vAlign w:val="center"/>
          </w:tcPr>
          <w:p>
            <w:pPr>
              <w:widowControl/>
              <w:adjustRightInd w:val="0"/>
              <w:snapToGrid w:val="0"/>
              <w:ind w:firstLine="360"/>
              <w:rPr>
                <w:rFonts w:ascii="宋体" w:hAnsi="宋体" w:cs="Times New Roman"/>
                <w:color w:val="363636"/>
                <w:kern w:val="0"/>
                <w:sz w:val="27"/>
                <w:szCs w:val="27"/>
              </w:rPr>
            </w:pPr>
            <w:r>
              <w:rPr>
                <w:rFonts w:hint="eastAsia" w:ascii="宋体" w:hAnsi="宋体" w:cs="宋体"/>
                <w:color w:val="000000"/>
                <w:kern w:val="0"/>
                <w:sz w:val="24"/>
                <w:szCs w:val="24"/>
              </w:rPr>
              <w:t>《信息安全技术信息系统密码应用基本要求》</w:t>
            </w:r>
            <w:r>
              <w:rPr>
                <w:rFonts w:hint="eastAsia" w:ascii="宋体" w:hAnsi="宋体" w:cs="Times New Roman"/>
                <w:color w:val="363636"/>
                <w:kern w:val="0"/>
                <w:sz w:val="27"/>
                <w:szCs w:val="27"/>
              </w:rPr>
              <w:t> </w:t>
            </w:r>
          </w:p>
        </w:tc>
        <w:tc>
          <w:tcPr>
            <w:tcW w:w="1420"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fldChar w:fldCharType="begin"/>
            </w:r>
            <w:r>
              <w:instrText xml:space="preserve"> HYPERLINK "http://www.csres.com/detail/304104.html" </w:instrText>
            </w:r>
            <w:r>
              <w:fldChar w:fldCharType="separate"/>
            </w:r>
            <w:r>
              <w:rPr>
                <w:rFonts w:hint="eastAsia" w:ascii="宋体" w:hAnsi="宋体" w:cs="宋体"/>
                <w:color w:val="000000"/>
                <w:kern w:val="0"/>
                <w:sz w:val="24"/>
                <w:szCs w:val="24"/>
                <w:lang w:eastAsia="en-US"/>
              </w:rPr>
              <w:t>（GB/T39786-2021</w:t>
            </w:r>
            <w:r>
              <w:rPr>
                <w:rFonts w:hint="eastAsia" w:ascii="宋体" w:hAnsi="宋体" w:cs="宋体"/>
                <w:kern w:val="0"/>
                <w:sz w:val="24"/>
                <w:szCs w:val="24"/>
                <w:lang w:eastAsia="en-US"/>
              </w:rPr>
              <w:t>）</w:t>
            </w:r>
            <w:r>
              <w:rPr>
                <w:rFonts w:hint="eastAsia" w:ascii="宋体" w:hAnsi="宋体" w:cs="宋体"/>
                <w:kern w:val="0"/>
                <w:sz w:val="24"/>
                <w:szCs w:val="24"/>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24</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隶书"/>
                <w:kern w:val="0"/>
                <w:sz w:val="24"/>
                <w:szCs w:val="24"/>
              </w:rPr>
              <w:t>《信息安全技术信息系统通用安全技术要求》</w:t>
            </w:r>
          </w:p>
        </w:tc>
        <w:tc>
          <w:tcPr>
            <w:tcW w:w="1420"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（GB/T20271-2006）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25</w:t>
            </w:r>
          </w:p>
        </w:tc>
        <w:tc>
          <w:tcPr>
            <w:tcW w:w="3194" w:type="pct"/>
            <w:shd w:val="clear" w:color="auto" w:fill="auto"/>
            <w:noWrap/>
            <w:vAlign w:val="center"/>
          </w:tcPr>
          <w:p>
            <w:pPr>
              <w:widowControl/>
              <w:adjustRightInd w:val="0"/>
              <w:snapToGrid w:val="0"/>
              <w:ind w:firstLine="360"/>
              <w:jc w:val="left"/>
              <w:rPr>
                <w:rFonts w:ascii="宋体" w:hAnsi="宋体" w:cs="Arial"/>
                <w:color w:val="000000"/>
                <w:kern w:val="0"/>
                <w:sz w:val="33"/>
                <w:szCs w:val="33"/>
              </w:rPr>
            </w:pPr>
            <w:r>
              <w:rPr>
                <w:rFonts w:hint="eastAsia" w:ascii="宋体" w:hAnsi="宋体" w:cs="隶书"/>
                <w:kern w:val="0"/>
                <w:sz w:val="24"/>
                <w:szCs w:val="24"/>
              </w:rPr>
              <w:t>《</w:t>
            </w:r>
            <w:r>
              <w:rPr>
                <w:rFonts w:ascii="宋体" w:hAnsi="宋体" w:cs="隶书"/>
                <w:kern w:val="0"/>
                <w:sz w:val="24"/>
                <w:szCs w:val="24"/>
              </w:rPr>
              <w:t>信息安全技术办公信息系统安全管理要求</w:t>
            </w:r>
            <w:r>
              <w:rPr>
                <w:rFonts w:hint="eastAsia" w:ascii="宋体" w:hAnsi="宋体" w:cs="隶书"/>
                <w:kern w:val="0"/>
                <w:sz w:val="24"/>
                <w:szCs w:val="24"/>
              </w:rPr>
              <w:t>》</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ascii="宋体" w:hAnsi="宋体" w:cs="宋体"/>
                <w:color w:val="000000"/>
                <w:kern w:val="0"/>
                <w:sz w:val="24"/>
                <w:szCs w:val="24"/>
                <w:lang w:eastAsia="en-US"/>
              </w:rPr>
              <w:t>(GB/T37094-2018</w:t>
            </w:r>
            <w:r>
              <w:rPr>
                <w:rFonts w:hint="eastAsia" w:ascii="宋体" w:hAnsi="宋体" w:cs="宋体"/>
                <w:color w:val="000000"/>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26</w:t>
            </w:r>
          </w:p>
        </w:tc>
        <w:tc>
          <w:tcPr>
            <w:tcW w:w="3194" w:type="pct"/>
            <w:shd w:val="clear" w:color="auto" w:fill="auto"/>
            <w:noWrap/>
            <w:vAlign w:val="center"/>
          </w:tcPr>
          <w:p>
            <w:pPr>
              <w:widowControl/>
              <w:adjustRightInd w:val="0"/>
              <w:snapToGrid w:val="0"/>
              <w:jc w:val="left"/>
              <w:rPr>
                <w:rFonts w:ascii="宋体" w:hAnsi="宋体" w:cs="宋体"/>
                <w:color w:val="000000"/>
                <w:kern w:val="0"/>
                <w:sz w:val="24"/>
                <w:szCs w:val="24"/>
              </w:rPr>
            </w:pPr>
            <w:r>
              <w:rPr>
                <w:rFonts w:hint="eastAsia" w:ascii="宋体" w:hAnsi="宋体" w:cs="隶书"/>
                <w:kern w:val="0"/>
                <w:sz w:val="24"/>
                <w:szCs w:val="24"/>
              </w:rPr>
              <w:t>《信息安全技术终端计算机系统安全等级技术要求》</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ascii="宋体" w:hAnsi="宋体" w:cs="宋体"/>
                <w:color w:val="000000"/>
                <w:kern w:val="0"/>
                <w:sz w:val="24"/>
                <w:szCs w:val="24"/>
                <w:lang w:eastAsia="en-US"/>
              </w:rPr>
              <w:t>(</w:t>
            </w:r>
            <w:r>
              <w:rPr>
                <w:rFonts w:hint="eastAsia" w:ascii="宋体" w:hAnsi="宋体" w:cs="宋体"/>
                <w:color w:val="000000"/>
                <w:kern w:val="0"/>
                <w:sz w:val="24"/>
                <w:szCs w:val="24"/>
                <w:lang w:eastAsia="en-US"/>
              </w:rPr>
              <w:t>GA/T671-2006</w:t>
            </w:r>
            <w:r>
              <w:rPr>
                <w:rFonts w:ascii="宋体" w:hAnsi="宋体" w:cs="宋体"/>
                <w:color w:val="000000"/>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27</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kern w:val="0"/>
                <w:sz w:val="24"/>
                <w:szCs w:val="24"/>
              </w:rPr>
              <w:t>《计算机通用规范 第1部分：台式微型计算机》</w:t>
            </w:r>
          </w:p>
        </w:tc>
        <w:tc>
          <w:tcPr>
            <w:tcW w:w="1420"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hint="eastAsia" w:ascii="宋体" w:hAnsi="宋体" w:cs="宋体"/>
                <w:kern w:val="0"/>
                <w:sz w:val="24"/>
                <w:szCs w:val="24"/>
                <w:lang w:eastAsia="en-US"/>
              </w:rPr>
              <w:t>（GB/T9813.1-2016）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28</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kern w:val="0"/>
                <w:sz w:val="24"/>
                <w:szCs w:val="24"/>
              </w:rPr>
              <w:t>《包装储运图示标志》</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kern w:val="0"/>
                <w:sz w:val="24"/>
                <w:szCs w:val="24"/>
                <w:lang w:eastAsia="en-US"/>
              </w:rPr>
              <w:t>（GB/T191</w:t>
            </w:r>
            <w:r>
              <w:rPr>
                <w:rFonts w:ascii="宋体" w:hAnsi="宋体" w:cs="宋体"/>
                <w:kern w:val="0"/>
                <w:sz w:val="24"/>
                <w:szCs w:val="24"/>
                <w:lang w:eastAsia="en-US"/>
              </w:rPr>
              <w:t>—</w:t>
            </w:r>
            <w:r>
              <w:rPr>
                <w:rFonts w:hint="eastAsia" w:ascii="宋体" w:hAnsi="宋体" w:cs="宋体"/>
                <w:kern w:val="0"/>
                <w:sz w:val="24"/>
                <w:szCs w:val="24"/>
                <w:lang w:eastAsia="en-US"/>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29</w:t>
            </w:r>
          </w:p>
        </w:tc>
        <w:tc>
          <w:tcPr>
            <w:tcW w:w="3194" w:type="pct"/>
            <w:shd w:val="clear" w:color="auto" w:fill="auto"/>
            <w:noWrap/>
            <w:vAlign w:val="center"/>
          </w:tcPr>
          <w:p>
            <w:pPr>
              <w:widowControl/>
              <w:adjustRightInd w:val="0"/>
              <w:snapToGrid w:val="0"/>
              <w:ind w:firstLine="360"/>
              <w:jc w:val="left"/>
              <w:rPr>
                <w:rFonts w:ascii="宋体" w:hAnsi="宋体" w:cs="宋体"/>
                <w:color w:val="000000"/>
                <w:kern w:val="0"/>
                <w:sz w:val="24"/>
                <w:szCs w:val="24"/>
              </w:rPr>
            </w:pPr>
            <w:r>
              <w:rPr>
                <w:rFonts w:hint="eastAsia" w:ascii="宋体" w:hAnsi="宋体" w:cs="宋体"/>
                <w:kern w:val="0"/>
                <w:sz w:val="24"/>
                <w:szCs w:val="24"/>
              </w:rPr>
              <w:t>《音频、视频及类似电子设备安全要求》</w:t>
            </w:r>
          </w:p>
        </w:tc>
        <w:tc>
          <w:tcPr>
            <w:tcW w:w="1420" w:type="pct"/>
            <w:shd w:val="clear" w:color="auto" w:fill="auto"/>
            <w:noWrap/>
            <w:vAlign w:val="center"/>
          </w:tcPr>
          <w:p>
            <w:pPr>
              <w:widowControl/>
              <w:adjustRightInd w:val="0"/>
              <w:snapToGrid w:val="0"/>
              <w:ind w:firstLine="360"/>
              <w:jc w:val="center"/>
              <w:rPr>
                <w:rFonts w:ascii="宋体" w:hAnsi="宋体" w:cs="宋体"/>
                <w:color w:val="000000"/>
                <w:kern w:val="0"/>
                <w:sz w:val="24"/>
                <w:szCs w:val="24"/>
                <w:lang w:eastAsia="en-US"/>
              </w:rPr>
            </w:pPr>
            <w:r>
              <w:rPr>
                <w:rFonts w:hint="eastAsia" w:ascii="宋体" w:hAnsi="宋体" w:cs="宋体"/>
                <w:kern w:val="0"/>
                <w:sz w:val="24"/>
                <w:szCs w:val="24"/>
                <w:lang w:eastAsia="en-US"/>
              </w:rPr>
              <w:t>（GB8898-2011）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30</w:t>
            </w:r>
          </w:p>
        </w:tc>
        <w:tc>
          <w:tcPr>
            <w:tcW w:w="3194" w:type="pct"/>
            <w:shd w:val="clear" w:color="auto" w:fill="auto"/>
            <w:noWrap/>
            <w:vAlign w:val="center"/>
          </w:tcPr>
          <w:p>
            <w:pPr>
              <w:widowControl/>
              <w:adjustRightInd w:val="0"/>
              <w:snapToGrid w:val="0"/>
              <w:ind w:firstLine="360"/>
              <w:jc w:val="left"/>
              <w:rPr>
                <w:rFonts w:ascii="宋体" w:hAnsi="宋体" w:cs="宋体"/>
                <w:kern w:val="0"/>
                <w:sz w:val="24"/>
                <w:szCs w:val="24"/>
              </w:rPr>
            </w:pPr>
            <w:r>
              <w:rPr>
                <w:rFonts w:hint="eastAsia" w:ascii="宋体" w:hAnsi="宋体" w:cs="Times New Roman"/>
                <w:kern w:val="0"/>
                <w:sz w:val="24"/>
                <w:szCs w:val="24"/>
              </w:rPr>
              <w:t>《通信线路工程设计规范》</w:t>
            </w:r>
          </w:p>
        </w:tc>
        <w:tc>
          <w:tcPr>
            <w:tcW w:w="1420" w:type="pct"/>
            <w:shd w:val="clear" w:color="auto" w:fill="auto"/>
            <w:noWrap/>
            <w:vAlign w:val="center"/>
          </w:tcPr>
          <w:p>
            <w:pPr>
              <w:widowControl/>
              <w:adjustRightInd w:val="0"/>
              <w:snapToGrid w:val="0"/>
              <w:ind w:firstLine="360"/>
              <w:jc w:val="center"/>
              <w:rPr>
                <w:rFonts w:ascii="宋体" w:hAnsi="宋体" w:cs="宋体"/>
                <w:kern w:val="0"/>
                <w:sz w:val="24"/>
                <w:szCs w:val="24"/>
                <w:lang w:eastAsia="en-US"/>
              </w:rPr>
            </w:pPr>
            <w:r>
              <w:rPr>
                <w:rFonts w:hint="eastAsia" w:ascii="宋体" w:hAnsi="宋体" w:cs="Times New Roman"/>
                <w:kern w:val="0"/>
                <w:sz w:val="24"/>
                <w:szCs w:val="24"/>
                <w:lang w:eastAsia="en-US"/>
              </w:rPr>
              <w:t>（</w:t>
            </w:r>
            <w:r>
              <w:rPr>
                <w:rFonts w:ascii="宋体" w:hAnsi="宋体" w:cs="Times New Roman"/>
                <w:kern w:val="0"/>
                <w:sz w:val="24"/>
                <w:szCs w:val="24"/>
                <w:lang w:eastAsia="en-US"/>
              </w:rPr>
              <w:t>GB51158-2015</w:t>
            </w:r>
            <w:r>
              <w:rPr>
                <w:rFonts w:hint="eastAsia" w:ascii="宋体" w:hAnsi="宋体" w:cs="Times New Roman"/>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 w:type="pct"/>
            <w:shd w:val="clear" w:color="auto" w:fill="auto"/>
            <w:noWrap/>
            <w:vAlign w:val="center"/>
          </w:tcPr>
          <w:p>
            <w:pPr>
              <w:widowControl/>
              <w:adjustRightInd w:val="0"/>
              <w:snapToGrid w:val="0"/>
              <w:jc w:val="left"/>
              <w:rPr>
                <w:rFonts w:ascii="宋体" w:hAnsi="宋体" w:cs="宋体"/>
                <w:color w:val="000000"/>
                <w:kern w:val="0"/>
                <w:sz w:val="24"/>
                <w:szCs w:val="24"/>
                <w:lang w:eastAsia="en-US"/>
              </w:rPr>
            </w:pPr>
            <w:r>
              <w:rPr>
                <w:rFonts w:ascii="宋体" w:hAnsi="宋体" w:cs="宋体"/>
                <w:color w:val="000000"/>
                <w:kern w:val="0"/>
                <w:sz w:val="24"/>
                <w:szCs w:val="24"/>
                <w:lang w:eastAsia="en-US"/>
              </w:rPr>
              <w:t>31</w:t>
            </w:r>
          </w:p>
        </w:tc>
        <w:tc>
          <w:tcPr>
            <w:tcW w:w="3194" w:type="pct"/>
            <w:shd w:val="clear" w:color="auto" w:fill="auto"/>
            <w:noWrap/>
            <w:vAlign w:val="center"/>
          </w:tcPr>
          <w:p>
            <w:pPr>
              <w:widowControl/>
              <w:adjustRightInd w:val="0"/>
              <w:snapToGrid w:val="0"/>
              <w:ind w:firstLine="360"/>
              <w:jc w:val="left"/>
              <w:rPr>
                <w:rFonts w:ascii="宋体" w:hAnsi="宋体" w:cs="宋体"/>
                <w:kern w:val="0"/>
                <w:sz w:val="24"/>
                <w:szCs w:val="24"/>
              </w:rPr>
            </w:pPr>
            <w:r>
              <w:rPr>
                <w:rFonts w:hint="eastAsia" w:ascii="宋体" w:hAnsi="宋体" w:cs="Times New Roman"/>
                <w:kern w:val="0"/>
                <w:sz w:val="24"/>
                <w:szCs w:val="24"/>
              </w:rPr>
              <w:t>《通信线路工程验收规范》</w:t>
            </w:r>
          </w:p>
        </w:tc>
        <w:tc>
          <w:tcPr>
            <w:tcW w:w="1420" w:type="pct"/>
            <w:shd w:val="clear" w:color="auto" w:fill="auto"/>
            <w:noWrap/>
            <w:vAlign w:val="center"/>
          </w:tcPr>
          <w:p>
            <w:pPr>
              <w:widowControl/>
              <w:adjustRightInd w:val="0"/>
              <w:snapToGrid w:val="0"/>
              <w:ind w:firstLine="360"/>
              <w:jc w:val="center"/>
              <w:rPr>
                <w:rFonts w:ascii="宋体" w:hAnsi="宋体" w:cs="宋体"/>
                <w:kern w:val="0"/>
                <w:sz w:val="24"/>
                <w:szCs w:val="24"/>
                <w:lang w:eastAsia="en-US"/>
              </w:rPr>
            </w:pPr>
            <w:r>
              <w:rPr>
                <w:rFonts w:hint="eastAsia" w:ascii="宋体" w:hAnsi="宋体" w:cs="Times New Roman"/>
                <w:kern w:val="0"/>
                <w:sz w:val="24"/>
                <w:szCs w:val="24"/>
                <w:lang w:eastAsia="en-US"/>
              </w:rPr>
              <w:t>（GB51171-2016）</w:t>
            </w:r>
          </w:p>
        </w:tc>
      </w:tr>
    </w:tbl>
    <w:p>
      <w:pPr>
        <w:ind w:firstLine="360"/>
        <w:jc w:val="left"/>
        <w:outlineLvl w:val="0"/>
        <w:rPr>
          <w:rFonts w:ascii="黑体" w:hAnsi="黑体" w:eastAsia="黑体" w:cs="Times New Roman"/>
          <w:b/>
          <w:bCs/>
          <w:kern w:val="44"/>
          <w:sz w:val="30"/>
          <w:szCs w:val="30"/>
          <w:lang w:eastAsia="en-US"/>
        </w:rPr>
      </w:pPr>
      <w:bookmarkStart w:id="18" w:name="_Toc75287778"/>
      <w:r>
        <w:rPr>
          <w:rFonts w:hint="eastAsia" w:ascii="黑体" w:hAnsi="黑体" w:eastAsia="黑体" w:cs="Times New Roman"/>
          <w:b/>
          <w:bCs/>
          <w:kern w:val="44"/>
          <w:sz w:val="30"/>
          <w:szCs w:val="30"/>
          <w:lang w:eastAsia="en-US"/>
        </w:rPr>
        <w:t>设计方案</w:t>
      </w:r>
      <w:bookmarkEnd w:id="18"/>
    </w:p>
    <w:p>
      <w:pPr>
        <w:ind w:left="284" w:firstLine="360"/>
        <w:outlineLvl w:val="1"/>
        <w:rPr>
          <w:rFonts w:ascii="黑体" w:hAnsi="黑体" w:eastAsia="黑体" w:cs="Times New Roman"/>
          <w:b/>
          <w:bCs/>
          <w:kern w:val="0"/>
          <w:sz w:val="30"/>
          <w:szCs w:val="32"/>
          <w:lang w:eastAsia="en-US"/>
        </w:rPr>
      </w:pPr>
      <w:bookmarkStart w:id="19" w:name="_Toc75287779"/>
      <w:r>
        <w:rPr>
          <w:rFonts w:hint="eastAsia" w:ascii="黑体" w:hAnsi="黑体" w:eastAsia="黑体" w:cs="Times New Roman"/>
          <w:b/>
          <w:bCs/>
          <w:kern w:val="0"/>
          <w:sz w:val="30"/>
          <w:szCs w:val="32"/>
          <w:lang w:eastAsia="en-US"/>
        </w:rPr>
        <w:t>2</w:t>
      </w:r>
      <w:r>
        <w:rPr>
          <w:rFonts w:ascii="黑体" w:hAnsi="黑体" w:eastAsia="黑体" w:cs="Times New Roman"/>
          <w:b/>
          <w:bCs/>
          <w:kern w:val="0"/>
          <w:sz w:val="30"/>
          <w:szCs w:val="32"/>
          <w:lang w:eastAsia="en-US"/>
        </w:rPr>
        <w:t>.1</w:t>
      </w:r>
      <w:r>
        <w:rPr>
          <w:rFonts w:hint="eastAsia" w:ascii="黑体" w:hAnsi="黑体" w:eastAsia="黑体" w:cs="Times New Roman"/>
          <w:b/>
          <w:bCs/>
          <w:kern w:val="0"/>
          <w:sz w:val="30"/>
          <w:szCs w:val="32"/>
          <w:lang w:eastAsia="en-US"/>
        </w:rPr>
        <w:t>总体架构</w:t>
      </w:r>
      <w:bookmarkEnd w:id="19"/>
    </w:p>
    <w:p>
      <w:pPr>
        <w:ind w:firstLine="480" w:firstLineChars="200"/>
        <w:rPr>
          <w:rFonts w:cs="Times New Roman"/>
          <w:kern w:val="0"/>
          <w:sz w:val="22"/>
          <w:lang w:eastAsia="en-US"/>
        </w:rPr>
      </w:pPr>
      <w:r>
        <w:rPr>
          <w:rFonts w:ascii="Times New Roman" w:hAnsi="Times New Roman" w:cs="Times New Roman"/>
          <w:kern w:val="0"/>
          <w:sz w:val="24"/>
          <w:szCs w:val="24"/>
        </w:rPr>
        <w:pict>
          <v:shape id="_x0000_i1025" o:spt="75" type="#_x0000_t75" style="height:366.05pt;width:420.7pt;" filled="f" o:preferrelative="t" stroked="f" coordsize="21600,21600">
            <v:path/>
            <v:fill on="f" focussize="0,0"/>
            <v:stroke on="f" joinstyle="miter"/>
            <v:imagedata r:id="rId5" o:title=""/>
            <o:lock v:ext="edit" aspectratio="t"/>
            <w10:wrap type="none"/>
            <w10:anchorlock/>
          </v:shape>
        </w:pict>
      </w:r>
    </w:p>
    <w:p>
      <w:pPr>
        <w:ind w:left="284" w:firstLine="360"/>
        <w:outlineLvl w:val="1"/>
        <w:rPr>
          <w:rFonts w:ascii="黑体" w:hAnsi="黑体" w:eastAsia="黑体" w:cs="Times New Roman"/>
          <w:b/>
          <w:bCs/>
          <w:kern w:val="0"/>
          <w:sz w:val="30"/>
          <w:szCs w:val="32"/>
        </w:rPr>
      </w:pPr>
      <w:bookmarkStart w:id="20" w:name="_Toc451789869"/>
      <w:bookmarkStart w:id="21" w:name="_Toc75287780"/>
      <w:r>
        <w:rPr>
          <w:rFonts w:hint="eastAsia" w:ascii="黑体" w:hAnsi="黑体" w:eastAsia="黑体" w:cs="Times New Roman"/>
          <w:b/>
          <w:bCs/>
          <w:kern w:val="0"/>
          <w:sz w:val="30"/>
          <w:szCs w:val="32"/>
        </w:rPr>
        <w:t>2</w:t>
      </w:r>
      <w:r>
        <w:rPr>
          <w:rFonts w:ascii="黑体" w:hAnsi="黑体" w:eastAsia="黑体" w:cs="Times New Roman"/>
          <w:b/>
          <w:bCs/>
          <w:kern w:val="0"/>
          <w:sz w:val="30"/>
          <w:szCs w:val="32"/>
        </w:rPr>
        <w:t>.2</w:t>
      </w:r>
      <w:r>
        <w:rPr>
          <w:rFonts w:hint="eastAsia" w:ascii="黑体" w:hAnsi="黑体" w:eastAsia="黑体" w:cs="Times New Roman"/>
          <w:b/>
          <w:bCs/>
          <w:kern w:val="0"/>
          <w:sz w:val="30"/>
          <w:szCs w:val="32"/>
        </w:rPr>
        <w:t>前端设计</w:t>
      </w:r>
      <w:bookmarkEnd w:id="20"/>
      <w:bookmarkEnd w:id="21"/>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根据先规划、后建设，先重点、后一般，先急后缓的原则，使系统建起来后即能发挥作用，同时使用高清数字球机，确保可以监控到各个角度，确保无死角监控，同时在夜晚也可以监控到监控区域的情况。</w:t>
      </w:r>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结合本项目的实际现状，根据智慧湿地公园建设的特性和设计原则的要求，现对莲花湖</w:t>
      </w:r>
      <w:r>
        <w:rPr>
          <w:rFonts w:ascii="宋体" w:hAnsi="宋体" w:cs="Times New Roman"/>
          <w:kern w:val="0"/>
          <w:sz w:val="24"/>
          <w:szCs w:val="24"/>
        </w:rPr>
        <w:t>湿地</w:t>
      </w:r>
      <w:r>
        <w:rPr>
          <w:rFonts w:hint="eastAsia" w:ascii="宋体" w:hAnsi="宋体" w:cs="Times New Roman"/>
          <w:kern w:val="0"/>
          <w:sz w:val="24"/>
          <w:szCs w:val="24"/>
        </w:rPr>
        <w:t>公园视频监控系统进行如下规划：</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1333"/>
        <w:gridCol w:w="1333"/>
        <w:gridCol w:w="522"/>
        <w:gridCol w:w="1333"/>
        <w:gridCol w:w="133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监控名称</w:t>
            </w:r>
          </w:p>
        </w:tc>
        <w:tc>
          <w:tcPr>
            <w:tcW w:w="853"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经度</w:t>
            </w:r>
          </w:p>
        </w:tc>
        <w:tc>
          <w:tcPr>
            <w:tcW w:w="949"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纬度</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监控名称</w:t>
            </w:r>
          </w:p>
        </w:tc>
        <w:tc>
          <w:tcPr>
            <w:tcW w:w="842"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经度</w:t>
            </w:r>
          </w:p>
        </w:tc>
        <w:tc>
          <w:tcPr>
            <w:tcW w:w="1087"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115.2236206</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29.86473657</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监控18</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115.2180035</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29.8373333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115.2190567</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29.86268234</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监控19</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115.2215731</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29.8396295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监控3</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115.218966</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29.85694726</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监控20</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115.2247781</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29.848988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监控4</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115.2186103</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29.85426059</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监控21</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115.2312183</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29.84122089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监控5</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115.210341</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29.858043</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监控22</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115.2254749</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29.8515226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监控6</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115.2125365</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29.85572754</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监控23</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115.2260118</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29.8541159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监控7</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115.2120713</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29.8539512</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监控24</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115.2272862</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29.858279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监控8</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115.2133581</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29.8524806</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监控25</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115.2270965</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29.8596145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监控9</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115.2135031</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29.8486746</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监控26</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115.2205397</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29.866377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监控10</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115.214218</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29.847688</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监控27</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115.2208387</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29.8595211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监控11</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115.215214</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29.844831</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监控28</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115.2323449</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29.84417094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监控12</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115.2249312</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29.84606934</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监控29</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115.2204148</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29.8567743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监控13</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115.221144</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29.84597628</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监控30</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115.2207235</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29.8552752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监控14</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115.2188823</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29.8353682</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监控31</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115.2217896</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29.8548291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监控15</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115.2211879</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29.8329819</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监控32</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115.2079984</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29.857602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监控16</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115.2292281</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29.8605435</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监控33</w:t>
            </w:r>
          </w:p>
        </w:tc>
        <w:tc>
          <w:tcPr>
            <w:tcW w:w="842"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115.2343297</w:t>
            </w:r>
          </w:p>
        </w:tc>
        <w:tc>
          <w:tcPr>
            <w:tcW w:w="1087"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29.83649319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监控17</w:t>
            </w:r>
          </w:p>
        </w:tc>
        <w:tc>
          <w:tcPr>
            <w:tcW w:w="853"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115.2270377</w:t>
            </w:r>
          </w:p>
        </w:tc>
        <w:tc>
          <w:tcPr>
            <w:tcW w:w="949" w:type="pct"/>
            <w:shd w:val="clear" w:color="auto" w:fill="auto"/>
            <w:noWrap/>
            <w:vAlign w:val="center"/>
          </w:tcPr>
          <w:p>
            <w:pPr>
              <w:widowControl/>
              <w:jc w:val="left"/>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29.8396216</w:t>
            </w:r>
          </w:p>
        </w:tc>
        <w:tc>
          <w:tcPr>
            <w:tcW w:w="118"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576"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842"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c>
          <w:tcPr>
            <w:tcW w:w="1087" w:type="pct"/>
            <w:shd w:val="clear" w:color="auto" w:fill="auto"/>
            <w:noWrap/>
            <w:vAlign w:val="center"/>
          </w:tcPr>
          <w:p>
            <w:pPr>
              <w:widowControl/>
              <w:ind w:firstLine="360"/>
              <w:jc w:val="center"/>
              <w:rPr>
                <w:rFonts w:ascii="宋体" w:hAnsi="宋体" w:cs="宋体"/>
                <w:color w:val="000000"/>
                <w:kern w:val="0"/>
                <w:sz w:val="24"/>
                <w:szCs w:val="24"/>
                <w:lang w:eastAsia="en-US"/>
              </w:rPr>
            </w:pPr>
            <w:r>
              <w:rPr>
                <w:rFonts w:hint="eastAsia" w:ascii="宋体" w:hAnsi="宋体" w:cs="宋体"/>
                <w:color w:val="000000"/>
                <w:kern w:val="0"/>
                <w:sz w:val="24"/>
                <w:szCs w:val="24"/>
                <w:lang w:eastAsia="en-US"/>
              </w:rPr>
              <w:t>　</w:t>
            </w:r>
          </w:p>
        </w:tc>
      </w:tr>
    </w:tbl>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前端系统：由1个高空</w:t>
      </w:r>
      <w:r>
        <w:rPr>
          <w:rFonts w:ascii="宋体" w:hAnsi="宋体" w:cs="Times New Roman"/>
          <w:kern w:val="0"/>
          <w:sz w:val="24"/>
          <w:szCs w:val="24"/>
        </w:rPr>
        <w:t>监控塔</w:t>
      </w:r>
      <w:r>
        <w:rPr>
          <w:rFonts w:hint="eastAsia" w:ascii="宋体" w:hAnsi="宋体" w:cs="Times New Roman"/>
          <w:kern w:val="0"/>
          <w:sz w:val="24"/>
          <w:szCs w:val="24"/>
        </w:rPr>
        <w:t>和32个沿湖立杆点安装的摄像机及其它配套设施组成，如下图监控1至监控3</w:t>
      </w:r>
      <w:r>
        <w:rPr>
          <w:rFonts w:ascii="宋体" w:hAnsi="宋体" w:cs="Times New Roman"/>
          <w:kern w:val="0"/>
          <w:sz w:val="24"/>
          <w:szCs w:val="24"/>
        </w:rPr>
        <w:t>2</w:t>
      </w:r>
      <w:r>
        <w:rPr>
          <w:rFonts w:hint="eastAsia" w:ascii="宋体" w:hAnsi="宋体" w:cs="Times New Roman"/>
          <w:kern w:val="0"/>
          <w:sz w:val="24"/>
          <w:szCs w:val="24"/>
        </w:rPr>
        <w:t>为沿湖新立监控杆点位，监控3</w:t>
      </w:r>
      <w:r>
        <w:rPr>
          <w:rFonts w:ascii="宋体" w:hAnsi="宋体" w:cs="Times New Roman"/>
          <w:kern w:val="0"/>
          <w:sz w:val="24"/>
          <w:szCs w:val="24"/>
        </w:rPr>
        <w:t>3</w:t>
      </w:r>
      <w:r>
        <w:rPr>
          <w:rFonts w:hint="eastAsia" w:ascii="宋体" w:hAnsi="宋体" w:cs="Times New Roman"/>
          <w:kern w:val="0"/>
          <w:sz w:val="24"/>
          <w:szCs w:val="24"/>
        </w:rPr>
        <w:t>为监控塔</w:t>
      </w:r>
      <w:r>
        <w:rPr>
          <w:rFonts w:ascii="宋体" w:hAnsi="宋体" w:cs="Times New Roman"/>
          <w:kern w:val="0"/>
          <w:sz w:val="24"/>
          <w:szCs w:val="24"/>
        </w:rPr>
        <w:t>。</w:t>
      </w:r>
    </w:p>
    <w:p>
      <w:pPr>
        <w:ind w:firstLine="360"/>
        <w:jc w:val="center"/>
        <w:rPr>
          <w:rFonts w:cs="Times New Roman"/>
          <w:kern w:val="0"/>
          <w:sz w:val="24"/>
          <w:szCs w:val="24"/>
          <w:lang w:eastAsia="en-US"/>
        </w:rPr>
      </w:pPr>
      <w:r>
        <w:rPr>
          <w:rFonts w:cs="Times New Roman"/>
          <w:kern w:val="0"/>
          <w:sz w:val="24"/>
          <w:szCs w:val="24"/>
        </w:rPr>
        <w:pict>
          <v:shape id="_x0000_i1026" o:spt="75" alt="说明: 56c3c5abc28c5ef07d14a5fa3bd205f" type="#_x0000_t75" style="height:569.05pt;width:374.75pt;" filled="f" o:preferrelative="t" stroked="f" coordsize="21600,21600">
            <v:path/>
            <v:fill on="f" focussize="0,0"/>
            <v:stroke on="f" joinstyle="miter"/>
            <v:imagedata r:id="rId6" o:title="56c3c5abc28c5ef07d14a5fa3bd205f"/>
            <o:lock v:ext="edit" aspectratio="t"/>
            <w10:wrap type="none"/>
            <w10:anchorlock/>
          </v:shape>
        </w:pict>
      </w:r>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在莲花湖湿地公园关键点位处新建</w:t>
      </w:r>
      <w:r>
        <w:rPr>
          <w:rFonts w:ascii="宋体" w:hAnsi="宋体" w:cs="Times New Roman"/>
          <w:kern w:val="0"/>
          <w:sz w:val="24"/>
          <w:szCs w:val="24"/>
        </w:rPr>
        <w:t>1</w:t>
      </w:r>
      <w:r>
        <w:rPr>
          <w:rFonts w:hint="eastAsia" w:ascii="宋体" w:hAnsi="宋体" w:cs="Times New Roman"/>
          <w:kern w:val="0"/>
          <w:sz w:val="24"/>
          <w:szCs w:val="24"/>
        </w:rPr>
        <w:t>座高35米</w:t>
      </w:r>
      <w:r>
        <w:rPr>
          <w:rFonts w:ascii="宋体" w:hAnsi="宋体" w:cs="Times New Roman"/>
          <w:kern w:val="0"/>
          <w:sz w:val="24"/>
          <w:szCs w:val="24"/>
        </w:rPr>
        <w:t>监控塔</w:t>
      </w:r>
      <w:r>
        <w:rPr>
          <w:rFonts w:hint="eastAsia" w:ascii="宋体" w:hAnsi="宋体" w:cs="Times New Roman"/>
          <w:kern w:val="0"/>
          <w:sz w:val="24"/>
          <w:szCs w:val="24"/>
        </w:rPr>
        <w:t>，在塔上安装一台1600万像素全景相机和一台800万像素高清激光云台摄像机，对整个湖面进行全方位无死角监控，管理人员可通过显示大屏进行实时</w:t>
      </w:r>
      <w:r>
        <w:rPr>
          <w:rFonts w:ascii="宋体" w:hAnsi="宋体" w:cs="Times New Roman"/>
          <w:kern w:val="0"/>
          <w:sz w:val="24"/>
          <w:szCs w:val="24"/>
        </w:rPr>
        <w:t>监控监督、全面掌握公园</w:t>
      </w:r>
      <w:r>
        <w:rPr>
          <w:rFonts w:hint="eastAsia" w:ascii="宋体" w:hAnsi="宋体" w:cs="Times New Roman"/>
          <w:kern w:val="0"/>
          <w:sz w:val="24"/>
          <w:szCs w:val="24"/>
        </w:rPr>
        <w:t>实时</w:t>
      </w:r>
      <w:r>
        <w:rPr>
          <w:rFonts w:ascii="宋体" w:hAnsi="宋体" w:cs="Times New Roman"/>
          <w:kern w:val="0"/>
          <w:sz w:val="24"/>
          <w:szCs w:val="24"/>
        </w:rPr>
        <w:t>视频信息。</w:t>
      </w:r>
      <w:r>
        <w:rPr>
          <w:rFonts w:hint="eastAsia" w:ascii="宋体" w:hAnsi="宋体" w:cs="Times New Roman"/>
          <w:kern w:val="0"/>
          <w:sz w:val="24"/>
          <w:szCs w:val="24"/>
        </w:rPr>
        <w:t>监控存储按3</w:t>
      </w:r>
      <w:r>
        <w:rPr>
          <w:rFonts w:ascii="宋体" w:hAnsi="宋体" w:cs="Times New Roman"/>
          <w:kern w:val="0"/>
          <w:sz w:val="24"/>
          <w:szCs w:val="24"/>
        </w:rPr>
        <w:t>0</w:t>
      </w:r>
      <w:r>
        <w:rPr>
          <w:rFonts w:hint="eastAsia" w:ascii="宋体" w:hAnsi="宋体" w:cs="Times New Roman"/>
          <w:kern w:val="0"/>
          <w:sz w:val="24"/>
          <w:szCs w:val="24"/>
        </w:rPr>
        <w:t>天考虑。</w:t>
      </w:r>
    </w:p>
    <w:p>
      <w:pPr>
        <w:ind w:left="220" w:hanging="220" w:hangingChars="100"/>
        <w:jc w:val="center"/>
        <w:rPr>
          <w:rFonts w:ascii="宋体" w:hAnsi="宋体" w:cs="Times New Roman"/>
          <w:kern w:val="0"/>
          <w:sz w:val="22"/>
          <w:szCs w:val="21"/>
        </w:rPr>
      </w:pPr>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在莲花湖湿地公园沿湖新立</w:t>
      </w:r>
      <w:r>
        <w:rPr>
          <w:rFonts w:ascii="宋体" w:hAnsi="宋体" w:cs="Times New Roman"/>
          <w:kern w:val="0"/>
          <w:sz w:val="24"/>
          <w:szCs w:val="24"/>
        </w:rPr>
        <w:t>32</w:t>
      </w:r>
      <w:r>
        <w:rPr>
          <w:rFonts w:hint="eastAsia" w:ascii="宋体" w:hAnsi="宋体" w:cs="Times New Roman"/>
          <w:kern w:val="0"/>
          <w:sz w:val="24"/>
          <w:szCs w:val="24"/>
        </w:rPr>
        <w:t>根6米监控杆</w:t>
      </w:r>
      <w:r>
        <w:rPr>
          <w:rFonts w:ascii="宋体" w:hAnsi="宋体" w:cs="Times New Roman"/>
          <w:kern w:val="0"/>
          <w:sz w:val="24"/>
          <w:szCs w:val="24"/>
        </w:rPr>
        <w:t>，</w:t>
      </w:r>
      <w:r>
        <w:rPr>
          <w:rFonts w:hint="eastAsia" w:ascii="宋体" w:hAnsi="宋体" w:cs="Times New Roman"/>
          <w:kern w:val="0"/>
          <w:sz w:val="24"/>
          <w:szCs w:val="24"/>
        </w:rPr>
        <w:t>每根监控杆上安装一台400万星光级高清球形摄像机，达到以点带面的全方位监测目的，对非法捕鱼，私自下湖，湖面游船等禁止行为予以实时监控；对闯入危险地点采取主动监控预警，起到及时制止，远程监测等功能。</w:t>
      </w:r>
    </w:p>
    <w:p>
      <w:pPr>
        <w:ind w:firstLine="360"/>
        <w:jc w:val="center"/>
        <w:rPr>
          <w:rFonts w:cs="Times New Roman"/>
          <w:kern w:val="0"/>
          <w:sz w:val="22"/>
        </w:rPr>
      </w:pPr>
    </w:p>
    <w:p>
      <w:pPr>
        <w:ind w:firstLine="360"/>
        <w:jc w:val="center"/>
        <w:rPr>
          <w:rFonts w:ascii="宋体" w:hAnsi="宋体" w:cs="Times New Roman"/>
          <w:kern w:val="0"/>
          <w:sz w:val="22"/>
          <w:szCs w:val="24"/>
        </w:rPr>
      </w:pPr>
    </w:p>
    <w:p>
      <w:pPr>
        <w:ind w:firstLine="422"/>
        <w:rPr>
          <w:rFonts w:cs="Times New Roman"/>
          <w:kern w:val="0"/>
          <w:sz w:val="24"/>
          <w:szCs w:val="24"/>
        </w:rPr>
      </w:pPr>
      <w:r>
        <w:rPr>
          <w:rFonts w:hint="eastAsia" w:cs="Times New Roman"/>
          <w:kern w:val="0"/>
          <w:sz w:val="24"/>
          <w:szCs w:val="24"/>
        </w:rPr>
        <w:t>视频</w:t>
      </w:r>
      <w:r>
        <w:rPr>
          <w:rFonts w:cs="Times New Roman"/>
          <w:kern w:val="0"/>
          <w:sz w:val="24"/>
          <w:szCs w:val="24"/>
        </w:rPr>
        <w:t>监控塔</w:t>
      </w:r>
      <w:r>
        <w:rPr>
          <w:rFonts w:hint="eastAsia" w:cs="Times New Roman"/>
          <w:kern w:val="0"/>
          <w:sz w:val="24"/>
          <w:szCs w:val="24"/>
        </w:rPr>
        <w:t>及沿湖立杆至</w:t>
      </w:r>
      <w:r>
        <w:rPr>
          <w:rFonts w:cs="Times New Roman"/>
          <w:kern w:val="0"/>
          <w:sz w:val="24"/>
          <w:szCs w:val="24"/>
        </w:rPr>
        <w:t>监控</w:t>
      </w:r>
      <w:r>
        <w:rPr>
          <w:rFonts w:hint="eastAsia" w:cs="Times New Roman"/>
          <w:kern w:val="0"/>
          <w:sz w:val="24"/>
          <w:szCs w:val="24"/>
        </w:rPr>
        <w:t>中心</w:t>
      </w:r>
      <w:r>
        <w:rPr>
          <w:rFonts w:cs="Times New Roman"/>
          <w:kern w:val="0"/>
          <w:sz w:val="24"/>
          <w:szCs w:val="24"/>
        </w:rPr>
        <w:t>机房采用</w:t>
      </w:r>
      <w:r>
        <w:rPr>
          <w:rFonts w:hint="eastAsia" w:cs="Times New Roman"/>
          <w:kern w:val="0"/>
          <w:sz w:val="24"/>
          <w:szCs w:val="24"/>
        </w:rPr>
        <w:t>运营商网络</w:t>
      </w:r>
      <w:r>
        <w:rPr>
          <w:rFonts w:cs="Times New Roman"/>
          <w:kern w:val="0"/>
          <w:sz w:val="24"/>
          <w:szCs w:val="24"/>
        </w:rPr>
        <w:t>传输</w:t>
      </w:r>
      <w:r>
        <w:rPr>
          <w:rFonts w:hint="eastAsia" w:cs="Times New Roman"/>
          <w:kern w:val="0"/>
          <w:sz w:val="24"/>
          <w:szCs w:val="24"/>
        </w:rPr>
        <w:t>专线将前端采集到</w:t>
      </w:r>
      <w:r>
        <w:rPr>
          <w:rFonts w:cs="Times New Roman"/>
          <w:kern w:val="0"/>
          <w:sz w:val="24"/>
          <w:szCs w:val="24"/>
        </w:rPr>
        <w:t>的</w:t>
      </w:r>
      <w:r>
        <w:rPr>
          <w:rFonts w:hint="eastAsia" w:cs="Times New Roman"/>
          <w:kern w:val="0"/>
          <w:sz w:val="24"/>
          <w:szCs w:val="24"/>
        </w:rPr>
        <w:t>高清视频数据传输到莲花湖湿地</w:t>
      </w:r>
      <w:r>
        <w:rPr>
          <w:rFonts w:cs="Times New Roman"/>
          <w:kern w:val="0"/>
          <w:sz w:val="24"/>
          <w:szCs w:val="24"/>
        </w:rPr>
        <w:t>公园</w:t>
      </w:r>
      <w:r>
        <w:rPr>
          <w:rFonts w:hint="eastAsia" w:cs="Times New Roman"/>
          <w:kern w:val="0"/>
          <w:sz w:val="24"/>
          <w:szCs w:val="24"/>
        </w:rPr>
        <w:t>监控中心机房。监控中心</w:t>
      </w:r>
      <w:r>
        <w:rPr>
          <w:rFonts w:cs="Times New Roman"/>
          <w:kern w:val="0"/>
          <w:sz w:val="24"/>
          <w:szCs w:val="24"/>
        </w:rPr>
        <w:t>机房-省</w:t>
      </w:r>
      <w:r>
        <w:rPr>
          <w:rFonts w:hint="eastAsia" w:cs="Times New Roman"/>
          <w:kern w:val="0"/>
          <w:sz w:val="24"/>
          <w:szCs w:val="24"/>
        </w:rPr>
        <w:t>林业</w:t>
      </w:r>
      <w:r>
        <w:rPr>
          <w:rFonts w:cs="Times New Roman"/>
          <w:kern w:val="0"/>
          <w:sz w:val="24"/>
          <w:szCs w:val="24"/>
        </w:rPr>
        <w:t>厅</w:t>
      </w:r>
      <w:r>
        <w:rPr>
          <w:rFonts w:hint="eastAsia" w:cs="Times New Roman"/>
          <w:kern w:val="0"/>
          <w:sz w:val="24"/>
          <w:szCs w:val="24"/>
        </w:rPr>
        <w:t>监控</w:t>
      </w:r>
      <w:r>
        <w:rPr>
          <w:rFonts w:cs="Times New Roman"/>
          <w:kern w:val="0"/>
          <w:sz w:val="24"/>
          <w:szCs w:val="24"/>
        </w:rPr>
        <w:t>平台采用</w:t>
      </w:r>
      <w:r>
        <w:rPr>
          <w:rFonts w:hint="eastAsia" w:cs="Times New Roman"/>
          <w:kern w:val="0"/>
          <w:sz w:val="24"/>
          <w:szCs w:val="24"/>
        </w:rPr>
        <w:t>运营商传输</w:t>
      </w:r>
      <w:r>
        <w:rPr>
          <w:rFonts w:cs="Times New Roman"/>
          <w:kern w:val="0"/>
          <w:sz w:val="24"/>
          <w:szCs w:val="24"/>
        </w:rPr>
        <w:t>专线</w:t>
      </w:r>
      <w:r>
        <w:rPr>
          <w:rFonts w:hint="eastAsia" w:cs="Times New Roman"/>
          <w:kern w:val="0"/>
          <w:sz w:val="24"/>
          <w:szCs w:val="24"/>
        </w:rPr>
        <w:t>将监控中心视频数据传输到省林业厅监控平台对接</w:t>
      </w:r>
      <w:r>
        <w:rPr>
          <w:rFonts w:cs="Times New Roman"/>
          <w:kern w:val="0"/>
          <w:sz w:val="24"/>
          <w:szCs w:val="24"/>
        </w:rPr>
        <w:t>。</w:t>
      </w:r>
    </w:p>
    <w:p>
      <w:pPr>
        <w:ind w:firstLine="360"/>
        <w:jc w:val="center"/>
        <w:rPr>
          <w:rFonts w:cs="Times New Roman"/>
          <w:kern w:val="0"/>
          <w:sz w:val="24"/>
          <w:szCs w:val="24"/>
        </w:rPr>
      </w:pPr>
    </w:p>
    <w:p>
      <w:pPr>
        <w:ind w:left="284" w:firstLine="360"/>
        <w:outlineLvl w:val="1"/>
        <w:rPr>
          <w:rFonts w:ascii="黑体" w:hAnsi="黑体" w:eastAsia="黑体" w:cs="Times New Roman"/>
          <w:b/>
          <w:bCs/>
          <w:kern w:val="0"/>
          <w:sz w:val="30"/>
          <w:szCs w:val="32"/>
        </w:rPr>
      </w:pPr>
      <w:bookmarkStart w:id="22" w:name="_Toc451789873"/>
      <w:bookmarkStart w:id="23" w:name="_Toc75287781"/>
      <w:r>
        <w:rPr>
          <w:rFonts w:hint="eastAsia" w:ascii="黑体" w:hAnsi="黑体" w:eastAsia="黑体" w:cs="Times New Roman"/>
          <w:b/>
          <w:bCs/>
          <w:kern w:val="0"/>
          <w:sz w:val="30"/>
          <w:szCs w:val="32"/>
        </w:rPr>
        <w:t>2</w:t>
      </w:r>
      <w:r>
        <w:rPr>
          <w:rFonts w:ascii="黑体" w:hAnsi="黑体" w:eastAsia="黑体" w:cs="Times New Roman"/>
          <w:b/>
          <w:bCs/>
          <w:kern w:val="0"/>
          <w:sz w:val="30"/>
          <w:szCs w:val="32"/>
        </w:rPr>
        <w:t>.3</w:t>
      </w:r>
      <w:r>
        <w:rPr>
          <w:rFonts w:hint="eastAsia" w:ascii="黑体" w:hAnsi="黑体" w:eastAsia="黑体" w:cs="Times New Roman"/>
          <w:b/>
          <w:bCs/>
          <w:kern w:val="0"/>
          <w:sz w:val="30"/>
          <w:szCs w:val="32"/>
        </w:rPr>
        <w:t>存储设计</w:t>
      </w:r>
      <w:bookmarkEnd w:id="22"/>
      <w:bookmarkEnd w:id="23"/>
    </w:p>
    <w:p>
      <w:pPr>
        <w:tabs>
          <w:tab w:val="left" w:pos="480"/>
        </w:tabs>
        <w:ind w:left="426" w:firstLine="360"/>
        <w:outlineLvl w:val="2"/>
        <w:rPr>
          <w:rFonts w:ascii="黑体" w:hAnsi="黑体" w:eastAsia="黑体" w:cs="Times New Roman"/>
          <w:b/>
          <w:bCs/>
          <w:kern w:val="0"/>
          <w:sz w:val="28"/>
          <w:szCs w:val="28"/>
        </w:rPr>
      </w:pPr>
      <w:bookmarkStart w:id="24" w:name="_Toc75287782"/>
      <w:bookmarkStart w:id="25" w:name="_Toc451789874"/>
      <w:r>
        <w:rPr>
          <w:rFonts w:hint="eastAsia" w:ascii="黑体" w:hAnsi="黑体" w:eastAsia="黑体" w:cs="Times New Roman"/>
          <w:b/>
          <w:bCs/>
          <w:kern w:val="0"/>
          <w:sz w:val="28"/>
          <w:szCs w:val="28"/>
        </w:rPr>
        <w:t>2</w:t>
      </w:r>
      <w:r>
        <w:rPr>
          <w:rFonts w:ascii="黑体" w:hAnsi="黑体" w:eastAsia="黑体" w:cs="Times New Roman"/>
          <w:b/>
          <w:bCs/>
          <w:kern w:val="0"/>
          <w:sz w:val="28"/>
          <w:szCs w:val="28"/>
        </w:rPr>
        <w:t>.3.1</w:t>
      </w:r>
      <w:r>
        <w:rPr>
          <w:rFonts w:hint="eastAsia" w:ascii="黑体" w:hAnsi="黑体" w:eastAsia="黑体" w:cs="Times New Roman"/>
          <w:b/>
          <w:bCs/>
          <w:kern w:val="0"/>
          <w:sz w:val="28"/>
          <w:szCs w:val="28"/>
        </w:rPr>
        <w:t>存储传输</w:t>
      </w:r>
      <w:bookmarkEnd w:id="24"/>
      <w:bookmarkEnd w:id="25"/>
    </w:p>
    <w:p>
      <w:pPr>
        <w:ind w:firstLine="480" w:firstLineChars="200"/>
        <w:rPr>
          <w:rFonts w:ascii="宋体" w:hAnsi="宋体" w:cs="隶书"/>
          <w:kern w:val="0"/>
          <w:sz w:val="24"/>
          <w:szCs w:val="24"/>
        </w:rPr>
      </w:pPr>
      <w:r>
        <w:rPr>
          <w:rFonts w:hint="eastAsia" w:ascii="宋体" w:hAnsi="宋体" w:cs="隶书"/>
          <w:kern w:val="0"/>
          <w:sz w:val="24"/>
          <w:szCs w:val="24"/>
        </w:rPr>
        <w:t>本系统点位比较分散，总共有</w:t>
      </w:r>
      <w:r>
        <w:rPr>
          <w:rFonts w:ascii="宋体" w:hAnsi="宋体" w:cs="隶书"/>
          <w:kern w:val="0"/>
          <w:sz w:val="24"/>
          <w:szCs w:val="24"/>
        </w:rPr>
        <w:t>33</w:t>
      </w:r>
      <w:r>
        <w:rPr>
          <w:rFonts w:hint="eastAsia" w:ascii="宋体" w:hAnsi="宋体" w:cs="隶书"/>
          <w:kern w:val="0"/>
          <w:sz w:val="24"/>
          <w:szCs w:val="24"/>
        </w:rPr>
        <w:t>个点位，3</w:t>
      </w:r>
      <w:r>
        <w:rPr>
          <w:rFonts w:ascii="宋体" w:hAnsi="宋体" w:cs="隶书"/>
          <w:kern w:val="0"/>
          <w:sz w:val="24"/>
          <w:szCs w:val="24"/>
        </w:rPr>
        <w:t>4</w:t>
      </w:r>
      <w:r>
        <w:rPr>
          <w:rFonts w:hint="eastAsia" w:ascii="宋体" w:hAnsi="宋体" w:cs="隶书"/>
          <w:kern w:val="0"/>
          <w:sz w:val="24"/>
          <w:szCs w:val="24"/>
        </w:rPr>
        <w:t>台摄像机。目前设计按照本地监控中心集中存储3</w:t>
      </w:r>
      <w:r>
        <w:rPr>
          <w:rFonts w:ascii="宋体" w:hAnsi="宋体" w:cs="隶书"/>
          <w:kern w:val="0"/>
          <w:sz w:val="24"/>
          <w:szCs w:val="24"/>
        </w:rPr>
        <w:t>4</w:t>
      </w:r>
      <w:r>
        <w:rPr>
          <w:rFonts w:hint="eastAsia" w:ascii="宋体" w:hAnsi="宋体" w:cs="隶书"/>
          <w:kern w:val="0"/>
          <w:sz w:val="24"/>
          <w:szCs w:val="24"/>
        </w:rPr>
        <w:t>个台摄像机的视频数据，再通过网络推送图像至省监控中心，因此本地监控中心存储传输系统必须能够满足海量高清数字球机流的传输。</w:t>
      </w:r>
    </w:p>
    <w:p>
      <w:pPr>
        <w:tabs>
          <w:tab w:val="left" w:pos="480"/>
        </w:tabs>
        <w:ind w:left="425" w:firstLine="360"/>
        <w:outlineLvl w:val="2"/>
        <w:rPr>
          <w:rFonts w:ascii="黑体" w:hAnsi="黑体" w:eastAsia="黑体" w:cs="Times New Roman"/>
          <w:b/>
          <w:bCs/>
          <w:kern w:val="0"/>
          <w:sz w:val="28"/>
          <w:szCs w:val="28"/>
        </w:rPr>
      </w:pPr>
      <w:bookmarkStart w:id="26" w:name="_Toc451789875"/>
      <w:bookmarkStart w:id="27" w:name="_Toc75287783"/>
      <w:r>
        <w:rPr>
          <w:rFonts w:hint="eastAsia" w:ascii="黑体" w:hAnsi="黑体" w:eastAsia="黑体" w:cs="Times New Roman"/>
          <w:b/>
          <w:bCs/>
          <w:kern w:val="0"/>
          <w:sz w:val="28"/>
          <w:szCs w:val="28"/>
        </w:rPr>
        <w:t>2</w:t>
      </w:r>
      <w:r>
        <w:rPr>
          <w:rFonts w:ascii="黑体" w:hAnsi="黑体" w:eastAsia="黑体" w:cs="Times New Roman"/>
          <w:b/>
          <w:bCs/>
          <w:kern w:val="0"/>
          <w:sz w:val="28"/>
          <w:szCs w:val="28"/>
        </w:rPr>
        <w:t>.3.2</w:t>
      </w:r>
      <w:bookmarkStart w:id="28" w:name="_Hlk75162632"/>
      <w:r>
        <w:rPr>
          <w:rFonts w:hint="eastAsia" w:ascii="黑体" w:hAnsi="黑体" w:eastAsia="黑体" w:cs="Times New Roman"/>
          <w:b/>
          <w:bCs/>
          <w:kern w:val="0"/>
          <w:sz w:val="28"/>
          <w:szCs w:val="28"/>
        </w:rPr>
        <w:t>存储</w:t>
      </w:r>
      <w:bookmarkEnd w:id="26"/>
      <w:bookmarkEnd w:id="28"/>
      <w:r>
        <w:rPr>
          <w:rFonts w:hint="eastAsia" w:ascii="黑体" w:hAnsi="黑体" w:eastAsia="黑体" w:cs="Times New Roman"/>
          <w:b/>
          <w:bCs/>
          <w:kern w:val="0"/>
          <w:sz w:val="28"/>
          <w:szCs w:val="28"/>
        </w:rPr>
        <w:t>计算</w:t>
      </w:r>
      <w:bookmarkEnd w:id="27"/>
    </w:p>
    <w:p>
      <w:pPr>
        <w:ind w:firstLine="480" w:firstLineChars="200"/>
        <w:rPr>
          <w:rFonts w:ascii="宋体" w:hAnsi="宋体" w:cs="隶书"/>
          <w:kern w:val="0"/>
          <w:sz w:val="24"/>
          <w:szCs w:val="24"/>
        </w:rPr>
      </w:pPr>
      <w:r>
        <w:rPr>
          <w:rFonts w:hint="eastAsia" w:ascii="宋体" w:hAnsi="宋体" w:cs="隶书"/>
          <w:kern w:val="0"/>
          <w:sz w:val="24"/>
          <w:szCs w:val="24"/>
        </w:rPr>
        <w:t>前端录像数据采用集中式存储，集中管理的方式存储，本次项目中采用的是</w:t>
      </w:r>
      <w:r>
        <w:rPr>
          <w:rFonts w:ascii="宋体" w:hAnsi="宋体" w:cs="隶书"/>
          <w:kern w:val="0"/>
          <w:sz w:val="24"/>
          <w:szCs w:val="24"/>
        </w:rPr>
        <w:t>6</w:t>
      </w:r>
      <w:r>
        <w:rPr>
          <w:rFonts w:hint="eastAsia" w:ascii="宋体" w:hAnsi="宋体" w:cs="隶书"/>
          <w:kern w:val="0"/>
          <w:sz w:val="24"/>
          <w:szCs w:val="24"/>
        </w:rPr>
        <w:t>T</w:t>
      </w:r>
      <w:r>
        <w:rPr>
          <w:rFonts w:ascii="宋体" w:hAnsi="宋体" w:cs="隶书"/>
          <w:kern w:val="0"/>
          <w:sz w:val="24"/>
          <w:szCs w:val="24"/>
        </w:rPr>
        <w:t>B</w:t>
      </w:r>
      <w:r>
        <w:rPr>
          <w:rFonts w:hint="eastAsia" w:ascii="宋体" w:hAnsi="宋体" w:cs="隶书"/>
          <w:kern w:val="0"/>
          <w:sz w:val="24"/>
          <w:szCs w:val="24"/>
        </w:rPr>
        <w:t>硬盘总共</w:t>
      </w:r>
      <w:r>
        <w:rPr>
          <w:rFonts w:ascii="宋体" w:hAnsi="宋体" w:cs="隶书"/>
          <w:kern w:val="0"/>
          <w:sz w:val="24"/>
          <w:szCs w:val="24"/>
        </w:rPr>
        <w:t>10</w:t>
      </w:r>
      <w:r>
        <w:rPr>
          <w:rFonts w:hint="eastAsia" w:ascii="宋体" w:hAnsi="宋体" w:cs="隶书"/>
          <w:kern w:val="0"/>
          <w:sz w:val="24"/>
          <w:szCs w:val="24"/>
        </w:rPr>
        <w:t>块。</w:t>
      </w:r>
    </w:p>
    <w:p>
      <w:pPr>
        <w:tabs>
          <w:tab w:val="left" w:pos="480"/>
        </w:tabs>
        <w:ind w:left="426" w:firstLine="360"/>
        <w:outlineLvl w:val="2"/>
        <w:rPr>
          <w:rFonts w:ascii="黑体" w:hAnsi="黑体" w:eastAsia="黑体" w:cs="Times New Roman"/>
          <w:b/>
          <w:bCs/>
          <w:kern w:val="0"/>
          <w:sz w:val="28"/>
          <w:szCs w:val="28"/>
        </w:rPr>
      </w:pPr>
      <w:bookmarkStart w:id="29" w:name="_Toc75287784"/>
      <w:bookmarkStart w:id="30" w:name="_Toc451789876"/>
      <w:r>
        <w:rPr>
          <w:rFonts w:hint="eastAsia" w:ascii="黑体" w:hAnsi="黑体" w:eastAsia="黑体" w:cs="Times New Roman"/>
          <w:b/>
          <w:bCs/>
          <w:kern w:val="0"/>
          <w:sz w:val="28"/>
          <w:szCs w:val="28"/>
        </w:rPr>
        <w:t>2</w:t>
      </w:r>
      <w:r>
        <w:rPr>
          <w:rFonts w:ascii="黑体" w:hAnsi="黑体" w:eastAsia="黑体" w:cs="Times New Roman"/>
          <w:b/>
          <w:bCs/>
          <w:kern w:val="0"/>
          <w:sz w:val="28"/>
          <w:szCs w:val="28"/>
        </w:rPr>
        <w:t>.3.3</w:t>
      </w:r>
      <w:r>
        <w:rPr>
          <w:rFonts w:hint="eastAsia" w:ascii="黑体" w:hAnsi="黑体" w:eastAsia="黑体" w:cs="Times New Roman"/>
          <w:b/>
          <w:bCs/>
          <w:kern w:val="0"/>
          <w:sz w:val="28"/>
          <w:szCs w:val="28"/>
        </w:rPr>
        <w:t>存储时间</w:t>
      </w:r>
      <w:bookmarkEnd w:id="29"/>
      <w:bookmarkEnd w:id="30"/>
    </w:p>
    <w:p>
      <w:pPr>
        <w:ind w:firstLine="480" w:firstLineChars="200"/>
        <w:rPr>
          <w:rFonts w:ascii="宋体" w:hAnsi="宋体" w:cs="隶书"/>
          <w:kern w:val="0"/>
          <w:sz w:val="24"/>
          <w:szCs w:val="24"/>
        </w:rPr>
      </w:pPr>
      <w:r>
        <w:rPr>
          <w:rFonts w:hint="eastAsia" w:ascii="宋体" w:hAnsi="宋体" w:cs="隶书"/>
          <w:kern w:val="0"/>
          <w:sz w:val="24"/>
          <w:szCs w:val="24"/>
        </w:rPr>
        <w:t>系统采用集中存储，4</w:t>
      </w:r>
      <w:r>
        <w:rPr>
          <w:rFonts w:ascii="宋体" w:hAnsi="宋体" w:cs="隶书"/>
          <w:kern w:val="0"/>
          <w:sz w:val="24"/>
          <w:szCs w:val="24"/>
        </w:rPr>
        <w:t>00</w:t>
      </w:r>
      <w:r>
        <w:rPr>
          <w:rFonts w:hint="eastAsia" w:ascii="宋体" w:hAnsi="宋体" w:cs="隶书"/>
          <w:kern w:val="0"/>
          <w:sz w:val="24"/>
          <w:szCs w:val="24"/>
        </w:rPr>
        <w:t>万像素的存储不低于4M码流，</w:t>
      </w:r>
      <w:r>
        <w:rPr>
          <w:rFonts w:ascii="宋体" w:hAnsi="宋体" w:cs="隶书"/>
          <w:kern w:val="0"/>
          <w:sz w:val="24"/>
          <w:szCs w:val="24"/>
        </w:rPr>
        <w:t>800</w:t>
      </w:r>
      <w:r>
        <w:rPr>
          <w:rFonts w:hint="eastAsia" w:ascii="宋体" w:hAnsi="宋体" w:cs="隶书"/>
          <w:kern w:val="0"/>
          <w:sz w:val="24"/>
          <w:szCs w:val="24"/>
        </w:rPr>
        <w:t>万像素的存储不低于12M码流，1</w:t>
      </w:r>
      <w:r>
        <w:rPr>
          <w:rFonts w:ascii="宋体" w:hAnsi="宋体" w:cs="隶书"/>
          <w:kern w:val="0"/>
          <w:sz w:val="24"/>
          <w:szCs w:val="24"/>
        </w:rPr>
        <w:t>600</w:t>
      </w:r>
      <w:r>
        <w:rPr>
          <w:rFonts w:hint="eastAsia" w:ascii="宋体" w:hAnsi="宋体" w:cs="隶书"/>
          <w:kern w:val="0"/>
          <w:sz w:val="24"/>
          <w:szCs w:val="24"/>
        </w:rPr>
        <w:t>万像素的存储不低于1</w:t>
      </w:r>
      <w:r>
        <w:rPr>
          <w:rFonts w:ascii="宋体" w:hAnsi="宋体" w:cs="隶书"/>
          <w:kern w:val="0"/>
          <w:sz w:val="24"/>
          <w:szCs w:val="24"/>
        </w:rPr>
        <w:t>6</w:t>
      </w:r>
      <w:r>
        <w:rPr>
          <w:rFonts w:hint="eastAsia" w:ascii="宋体" w:hAnsi="宋体" w:cs="隶书"/>
          <w:kern w:val="0"/>
          <w:sz w:val="24"/>
          <w:szCs w:val="24"/>
        </w:rPr>
        <w:t>M码流，存储时间为30天，实现全自动刷新，循环存储。能够进行多任务操作，监控、查询等互不影响。</w:t>
      </w:r>
    </w:p>
    <w:p>
      <w:pPr>
        <w:tabs>
          <w:tab w:val="left" w:pos="480"/>
        </w:tabs>
        <w:ind w:left="426" w:firstLine="360"/>
        <w:outlineLvl w:val="2"/>
        <w:rPr>
          <w:rFonts w:ascii="黑体" w:hAnsi="黑体" w:eastAsia="黑体" w:cs="Times New Roman"/>
          <w:b/>
          <w:bCs/>
          <w:kern w:val="0"/>
          <w:sz w:val="28"/>
          <w:szCs w:val="28"/>
        </w:rPr>
      </w:pPr>
      <w:bookmarkStart w:id="31" w:name="_Toc451789877"/>
      <w:bookmarkStart w:id="32" w:name="_Toc75287785"/>
      <w:r>
        <w:rPr>
          <w:rFonts w:hint="eastAsia" w:ascii="黑体" w:hAnsi="黑体" w:eastAsia="黑体" w:cs="Times New Roman"/>
          <w:b/>
          <w:bCs/>
          <w:kern w:val="0"/>
          <w:sz w:val="28"/>
          <w:szCs w:val="28"/>
        </w:rPr>
        <w:t>2.3</w:t>
      </w:r>
      <w:r>
        <w:rPr>
          <w:rFonts w:ascii="黑体" w:hAnsi="黑体" w:eastAsia="黑体" w:cs="Times New Roman"/>
          <w:b/>
          <w:bCs/>
          <w:kern w:val="0"/>
          <w:sz w:val="28"/>
          <w:szCs w:val="28"/>
        </w:rPr>
        <w:t>.4</w:t>
      </w:r>
      <w:r>
        <w:rPr>
          <w:rFonts w:hint="eastAsia" w:ascii="黑体" w:hAnsi="黑体" w:eastAsia="黑体" w:cs="Times New Roman"/>
          <w:b/>
          <w:bCs/>
          <w:kern w:val="0"/>
          <w:sz w:val="28"/>
          <w:szCs w:val="28"/>
        </w:rPr>
        <w:t>设备选型</w:t>
      </w:r>
      <w:bookmarkEnd w:id="31"/>
      <w:bookmarkEnd w:id="32"/>
    </w:p>
    <w:p>
      <w:pPr>
        <w:ind w:firstLine="480" w:firstLineChars="200"/>
        <w:rPr>
          <w:rFonts w:ascii="宋体" w:hAnsi="宋体" w:cs="隶书"/>
          <w:kern w:val="0"/>
          <w:sz w:val="24"/>
          <w:szCs w:val="24"/>
        </w:rPr>
      </w:pPr>
      <w:r>
        <w:rPr>
          <w:rFonts w:hint="eastAsia" w:ascii="宋体" w:hAnsi="宋体" w:cs="隶书"/>
          <w:kern w:val="0"/>
          <w:sz w:val="24"/>
          <w:szCs w:val="24"/>
        </w:rPr>
        <w:t>1、针对本次视频监控系统的特殊性和数据的重要性，以及长时间的数据存储和随时地查询举证等读写数据的要求，前端录像数据采用集中式存储，集中管理。</w:t>
      </w:r>
    </w:p>
    <w:p>
      <w:pPr>
        <w:ind w:firstLine="480" w:firstLineChars="200"/>
        <w:rPr>
          <w:rFonts w:ascii="宋体" w:hAnsi="宋体" w:cs="隶书"/>
          <w:kern w:val="0"/>
          <w:sz w:val="24"/>
          <w:szCs w:val="24"/>
        </w:rPr>
      </w:pPr>
      <w:r>
        <w:rPr>
          <w:rFonts w:ascii="宋体" w:hAnsi="宋体" w:cs="隶书"/>
          <w:kern w:val="0"/>
          <w:sz w:val="24"/>
          <w:szCs w:val="24"/>
        </w:rPr>
        <w:t>2</w:t>
      </w:r>
      <w:r>
        <w:rPr>
          <w:rFonts w:hint="eastAsia" w:ascii="宋体" w:hAnsi="宋体" w:cs="隶书"/>
          <w:kern w:val="0"/>
          <w:sz w:val="24"/>
          <w:szCs w:val="24"/>
        </w:rPr>
        <w:t>、本次所选择的存储设备能应对大量数据传输、交换，海量数据的存储和妥善保存；能随时随地调用数据以备查询；因监控行业有数据存储容量弹性大的特点，具备增减容量的功能。</w:t>
      </w:r>
    </w:p>
    <w:p>
      <w:pPr>
        <w:ind w:firstLine="480" w:firstLineChars="200"/>
        <w:rPr>
          <w:rFonts w:ascii="宋体" w:hAnsi="宋体" w:cs="隶书"/>
          <w:kern w:val="0"/>
          <w:sz w:val="24"/>
          <w:szCs w:val="24"/>
        </w:rPr>
      </w:pPr>
      <w:r>
        <w:rPr>
          <w:rFonts w:hint="eastAsia" w:ascii="宋体" w:hAnsi="宋体" w:cs="隶书"/>
          <w:kern w:val="0"/>
          <w:sz w:val="24"/>
          <w:szCs w:val="24"/>
        </w:rPr>
        <w:t>3、本项目存储采用1台</w:t>
      </w:r>
      <w:r>
        <w:rPr>
          <w:rFonts w:hint="eastAsia" w:cs="Times New Roman"/>
          <w:kern w:val="0"/>
          <w:sz w:val="24"/>
          <w:szCs w:val="24"/>
        </w:rPr>
        <w:t>智能网络存储</w:t>
      </w:r>
      <w:r>
        <w:rPr>
          <w:rFonts w:cs="Times New Roman"/>
          <w:kern w:val="0"/>
          <w:sz w:val="24"/>
          <w:szCs w:val="24"/>
        </w:rPr>
        <w:t>服务器</w:t>
      </w:r>
      <w:r>
        <w:rPr>
          <w:rFonts w:hint="eastAsia" w:cs="Times New Roman"/>
          <w:kern w:val="0"/>
          <w:sz w:val="24"/>
          <w:szCs w:val="24"/>
        </w:rPr>
        <w:t>对实时视频进行快速存储，实现存储系统的高可靠、高可用性</w:t>
      </w:r>
      <w:r>
        <w:rPr>
          <w:rFonts w:hint="eastAsia" w:ascii="宋体" w:hAnsi="宋体" w:cs="隶书"/>
          <w:kern w:val="0"/>
          <w:sz w:val="24"/>
          <w:szCs w:val="24"/>
        </w:rPr>
        <w:t>。</w:t>
      </w:r>
    </w:p>
    <w:p>
      <w:pPr>
        <w:tabs>
          <w:tab w:val="left" w:pos="480"/>
        </w:tabs>
        <w:ind w:left="426" w:firstLine="360"/>
        <w:outlineLvl w:val="2"/>
        <w:rPr>
          <w:rFonts w:ascii="黑体" w:hAnsi="黑体" w:eastAsia="黑体" w:cs="Times New Roman"/>
          <w:b/>
          <w:bCs/>
          <w:kern w:val="0"/>
          <w:sz w:val="28"/>
          <w:szCs w:val="28"/>
        </w:rPr>
      </w:pPr>
      <w:bookmarkStart w:id="33" w:name="_Toc451789878"/>
      <w:bookmarkStart w:id="34" w:name="_Toc75287786"/>
      <w:r>
        <w:rPr>
          <w:rFonts w:hint="eastAsia" w:ascii="黑体" w:hAnsi="黑体" w:eastAsia="黑体" w:cs="Times New Roman"/>
          <w:b/>
          <w:bCs/>
          <w:kern w:val="0"/>
          <w:sz w:val="28"/>
          <w:szCs w:val="28"/>
        </w:rPr>
        <w:t>2</w:t>
      </w:r>
      <w:r>
        <w:rPr>
          <w:rFonts w:ascii="黑体" w:hAnsi="黑体" w:eastAsia="黑体" w:cs="Times New Roman"/>
          <w:b/>
          <w:bCs/>
          <w:kern w:val="0"/>
          <w:sz w:val="28"/>
          <w:szCs w:val="28"/>
        </w:rPr>
        <w:t>.3.5</w:t>
      </w:r>
      <w:r>
        <w:rPr>
          <w:rFonts w:hint="eastAsia" w:ascii="黑体" w:hAnsi="黑体" w:eastAsia="黑体" w:cs="Times New Roman"/>
          <w:b/>
          <w:bCs/>
          <w:kern w:val="0"/>
          <w:sz w:val="28"/>
          <w:szCs w:val="28"/>
        </w:rPr>
        <w:t>监控中心</w:t>
      </w:r>
      <w:bookmarkEnd w:id="33"/>
      <w:bookmarkEnd w:id="34"/>
    </w:p>
    <w:p>
      <w:pPr>
        <w:ind w:firstLine="480" w:firstLineChars="200"/>
        <w:rPr>
          <w:rFonts w:ascii="宋体" w:hAnsi="宋体" w:cs="隶书"/>
          <w:kern w:val="0"/>
          <w:sz w:val="24"/>
          <w:szCs w:val="24"/>
        </w:rPr>
      </w:pPr>
      <w:r>
        <w:rPr>
          <w:rFonts w:hint="eastAsia" w:ascii="宋体" w:hAnsi="宋体" w:cs="隶书"/>
          <w:kern w:val="0"/>
          <w:sz w:val="24"/>
          <w:szCs w:val="24"/>
        </w:rPr>
        <w:t>本次监控中心在本地，在本地监控中心建设1</w:t>
      </w:r>
      <w:r>
        <w:rPr>
          <w:rFonts w:ascii="宋体" w:hAnsi="宋体" w:cs="隶书"/>
          <w:kern w:val="0"/>
          <w:sz w:val="24"/>
          <w:szCs w:val="24"/>
        </w:rPr>
        <w:t>8</w:t>
      </w:r>
      <w:r>
        <w:rPr>
          <w:rFonts w:hint="eastAsia" w:ascii="宋体" w:hAnsi="宋体" w:cs="隶书"/>
          <w:kern w:val="0"/>
          <w:sz w:val="24"/>
          <w:szCs w:val="24"/>
        </w:rPr>
        <w:t>块5</w:t>
      </w:r>
      <w:r>
        <w:rPr>
          <w:rFonts w:ascii="宋体" w:hAnsi="宋体" w:cs="隶书"/>
          <w:kern w:val="0"/>
          <w:sz w:val="24"/>
          <w:szCs w:val="24"/>
        </w:rPr>
        <w:t>5</w:t>
      </w:r>
      <w:r>
        <w:rPr>
          <w:rFonts w:hint="eastAsia" w:ascii="宋体" w:hAnsi="宋体" w:cs="隶书"/>
          <w:kern w:val="0"/>
          <w:sz w:val="24"/>
          <w:szCs w:val="24"/>
        </w:rPr>
        <w:t>英寸大屏，通过电脑进行本地监控图像查看和大屏上展示。</w:t>
      </w:r>
    </w:p>
    <w:p>
      <w:pPr>
        <w:ind w:left="284" w:firstLine="360"/>
        <w:outlineLvl w:val="1"/>
        <w:rPr>
          <w:rFonts w:ascii="黑体" w:hAnsi="黑体" w:eastAsia="黑体" w:cs="Times New Roman"/>
          <w:b/>
          <w:bCs/>
          <w:kern w:val="0"/>
          <w:sz w:val="30"/>
          <w:szCs w:val="32"/>
        </w:rPr>
      </w:pPr>
      <w:bookmarkStart w:id="35" w:name="_Toc75287787"/>
      <w:r>
        <w:rPr>
          <w:rFonts w:hint="eastAsia" w:ascii="黑体" w:hAnsi="黑体" w:eastAsia="黑体" w:cs="Times New Roman"/>
          <w:b/>
          <w:bCs/>
          <w:kern w:val="0"/>
          <w:sz w:val="30"/>
          <w:szCs w:val="32"/>
        </w:rPr>
        <w:t>2</w:t>
      </w:r>
      <w:r>
        <w:rPr>
          <w:rFonts w:ascii="黑体" w:hAnsi="黑体" w:eastAsia="黑体" w:cs="Times New Roman"/>
          <w:b/>
          <w:bCs/>
          <w:kern w:val="0"/>
          <w:sz w:val="30"/>
          <w:szCs w:val="32"/>
        </w:rPr>
        <w:t>.4</w:t>
      </w:r>
      <w:r>
        <w:rPr>
          <w:rFonts w:hint="eastAsia" w:ascii="黑体" w:hAnsi="黑体" w:eastAsia="黑体" w:cs="Times New Roman"/>
          <w:b/>
          <w:bCs/>
          <w:kern w:val="0"/>
          <w:sz w:val="30"/>
          <w:szCs w:val="32"/>
        </w:rPr>
        <w:t>管理系统</w:t>
      </w:r>
      <w:bookmarkEnd w:id="35"/>
    </w:p>
    <w:p>
      <w:pPr>
        <w:ind w:firstLine="480" w:firstLineChars="200"/>
        <w:rPr>
          <w:rFonts w:cs="Times New Roman"/>
          <w:kern w:val="0"/>
          <w:sz w:val="24"/>
          <w:szCs w:val="24"/>
        </w:rPr>
      </w:pPr>
      <w:r>
        <w:rPr>
          <w:rFonts w:hint="eastAsia" w:cs="Times New Roman"/>
          <w:kern w:val="0"/>
          <w:sz w:val="24"/>
          <w:szCs w:val="24"/>
        </w:rPr>
        <w:t>采用智能管理软件，功能模块化部署，具备视频监控系统管理模块，对前端摄像机、网络硬盘录像机等设备统一管理，可支持大量高清摄像机实时显示、云台控制，录像操作、回放等功能。</w:t>
      </w:r>
    </w:p>
    <w:p>
      <w:pPr>
        <w:ind w:firstLine="182" w:firstLineChars="83"/>
        <w:rPr>
          <w:rFonts w:cs="Times New Roman"/>
          <w:kern w:val="0"/>
          <w:sz w:val="22"/>
        </w:rPr>
      </w:pPr>
    </w:p>
    <w:p>
      <w:pPr>
        <w:ind w:firstLine="480"/>
        <w:rPr>
          <w:rFonts w:cs="Times New Roman"/>
          <w:kern w:val="0"/>
          <w:sz w:val="20"/>
          <w:szCs w:val="20"/>
        </w:rPr>
      </w:pPr>
    </w:p>
    <w:p>
      <w:pPr>
        <w:ind w:left="238" w:firstLine="360"/>
        <w:jc w:val="left"/>
        <w:outlineLvl w:val="0"/>
        <w:rPr>
          <w:rFonts w:ascii="黑体" w:hAnsi="黑体" w:eastAsia="黑体" w:cs="Times New Roman"/>
          <w:b/>
          <w:bCs/>
          <w:kern w:val="44"/>
          <w:sz w:val="30"/>
          <w:szCs w:val="30"/>
        </w:rPr>
      </w:pPr>
      <w:bookmarkStart w:id="36" w:name="_Toc74326886"/>
      <w:bookmarkStart w:id="37" w:name="_Toc75287788"/>
      <w:bookmarkStart w:id="38" w:name="_Toc68101575"/>
      <w:r>
        <w:rPr>
          <w:rFonts w:hint="eastAsia" w:ascii="黑体" w:hAnsi="黑体" w:eastAsia="黑体" w:cs="Times New Roman"/>
          <w:b/>
          <w:bCs/>
          <w:kern w:val="44"/>
          <w:sz w:val="30"/>
          <w:szCs w:val="30"/>
        </w:rPr>
        <w:t>系统功能</w:t>
      </w:r>
      <w:bookmarkEnd w:id="36"/>
      <w:bookmarkEnd w:id="37"/>
      <w:bookmarkEnd w:id="38"/>
    </w:p>
    <w:p>
      <w:pPr>
        <w:ind w:firstLine="301" w:firstLineChars="100"/>
        <w:outlineLvl w:val="1"/>
        <w:rPr>
          <w:rFonts w:ascii="Arial" w:hAnsi="Arial" w:eastAsia="黑体" w:cs="Times New Roman"/>
          <w:b/>
          <w:bCs/>
          <w:kern w:val="0"/>
          <w:sz w:val="30"/>
          <w:szCs w:val="32"/>
        </w:rPr>
      </w:pPr>
      <w:bookmarkStart w:id="39" w:name="_Toc68101576"/>
      <w:bookmarkStart w:id="40" w:name="_Toc75287789"/>
      <w:r>
        <w:rPr>
          <w:rFonts w:hint="eastAsia" w:ascii="Arial" w:hAnsi="Arial" w:eastAsia="黑体" w:cs="Times New Roman"/>
          <w:b/>
          <w:bCs/>
          <w:kern w:val="0"/>
          <w:sz w:val="30"/>
          <w:szCs w:val="32"/>
        </w:rPr>
        <w:t>3</w:t>
      </w:r>
      <w:r>
        <w:rPr>
          <w:rFonts w:ascii="Arial" w:hAnsi="Arial" w:eastAsia="黑体" w:cs="Times New Roman"/>
          <w:b/>
          <w:bCs/>
          <w:kern w:val="0"/>
          <w:sz w:val="30"/>
          <w:szCs w:val="32"/>
        </w:rPr>
        <w:t>.1</w:t>
      </w:r>
      <w:r>
        <w:rPr>
          <w:rFonts w:hint="eastAsia" w:ascii="Arial" w:hAnsi="Arial" w:eastAsia="黑体" w:cs="Times New Roman"/>
          <w:b/>
          <w:bCs/>
          <w:kern w:val="0"/>
          <w:sz w:val="30"/>
          <w:szCs w:val="32"/>
        </w:rPr>
        <w:t>全域可视化</w:t>
      </w:r>
      <w:bookmarkEnd w:id="39"/>
      <w:bookmarkEnd w:id="40"/>
    </w:p>
    <w:p>
      <w:pPr>
        <w:ind w:firstLine="422"/>
        <w:rPr>
          <w:rFonts w:cs="Times New Roman"/>
          <w:kern w:val="0"/>
          <w:sz w:val="24"/>
          <w:szCs w:val="24"/>
        </w:rPr>
      </w:pPr>
      <w:r>
        <w:rPr>
          <w:rFonts w:hint="eastAsia" w:cs="Times New Roman"/>
          <w:kern w:val="0"/>
          <w:sz w:val="24"/>
          <w:szCs w:val="24"/>
        </w:rPr>
        <w:t>通过监控平台管理软件，可对各监控点实时及历史视频图像随时进行调阅，供管理人员随时掌握公园现场实时状况和突发事件事后取证。</w:t>
      </w:r>
    </w:p>
    <w:p>
      <w:pPr>
        <w:ind w:firstLine="422"/>
        <w:jc w:val="center"/>
        <w:rPr>
          <w:rFonts w:cs="Times New Roman"/>
          <w:kern w:val="0"/>
          <w:sz w:val="24"/>
          <w:szCs w:val="24"/>
        </w:rPr>
      </w:pPr>
    </w:p>
    <w:p>
      <w:pPr>
        <w:ind w:firstLine="301" w:firstLineChars="100"/>
        <w:outlineLvl w:val="1"/>
        <w:rPr>
          <w:rFonts w:ascii="Arial" w:hAnsi="Arial" w:eastAsia="黑体" w:cs="Times New Roman"/>
          <w:b/>
          <w:bCs/>
          <w:kern w:val="0"/>
          <w:sz w:val="30"/>
          <w:szCs w:val="32"/>
        </w:rPr>
      </w:pPr>
      <w:bookmarkStart w:id="41" w:name="_Toc75287790"/>
      <w:bookmarkStart w:id="42" w:name="_Toc68101577"/>
      <w:r>
        <w:rPr>
          <w:rFonts w:hint="eastAsia" w:ascii="Arial" w:hAnsi="Arial" w:eastAsia="黑体" w:cs="Times New Roman"/>
          <w:b/>
          <w:bCs/>
          <w:kern w:val="0"/>
          <w:sz w:val="30"/>
          <w:szCs w:val="32"/>
        </w:rPr>
        <w:t>3</w:t>
      </w:r>
      <w:r>
        <w:rPr>
          <w:rFonts w:ascii="Arial" w:hAnsi="Arial" w:eastAsia="黑体" w:cs="Times New Roman"/>
          <w:b/>
          <w:bCs/>
          <w:kern w:val="0"/>
          <w:sz w:val="30"/>
          <w:szCs w:val="32"/>
        </w:rPr>
        <w:t>.2</w:t>
      </w:r>
      <w:r>
        <w:rPr>
          <w:rFonts w:hint="eastAsia" w:ascii="Arial" w:hAnsi="Arial" w:eastAsia="黑体" w:cs="Times New Roman"/>
          <w:b/>
          <w:bCs/>
          <w:kern w:val="0"/>
          <w:sz w:val="30"/>
          <w:szCs w:val="32"/>
        </w:rPr>
        <w:t>声光主动</w:t>
      </w:r>
      <w:r>
        <w:rPr>
          <w:rFonts w:ascii="Arial" w:hAnsi="Arial" w:eastAsia="黑体" w:cs="Times New Roman"/>
          <w:b/>
          <w:bCs/>
          <w:kern w:val="0"/>
          <w:sz w:val="30"/>
          <w:szCs w:val="32"/>
        </w:rPr>
        <w:t>预警</w:t>
      </w:r>
      <w:bookmarkEnd w:id="41"/>
      <w:bookmarkEnd w:id="42"/>
    </w:p>
    <w:p>
      <w:pPr>
        <w:ind w:firstLine="422"/>
        <w:rPr>
          <w:rFonts w:cs="Times New Roman"/>
          <w:kern w:val="0"/>
          <w:sz w:val="24"/>
          <w:szCs w:val="24"/>
        </w:rPr>
      </w:pPr>
      <w:r>
        <w:rPr>
          <w:rFonts w:hint="eastAsia" w:cs="Times New Roman"/>
          <w:kern w:val="0"/>
          <w:sz w:val="24"/>
          <w:szCs w:val="24"/>
        </w:rPr>
        <w:t>危险区域采用智能警戒摄像机，当游客非法闯入危险区域时，摄像机可以检测到人员闯入，同时联动声光预警，及时提醒游客注意安全。监控中心平台与视频联动，实时了解现场情况，实现可视化调度与应急管理，对各种突发事件可采取快速、有效的反应措施，进一步控制事态，避免损失进一步扩大。</w:t>
      </w:r>
    </w:p>
    <w:p>
      <w:pPr>
        <w:ind w:firstLine="200"/>
        <w:jc w:val="center"/>
        <w:rPr>
          <w:rFonts w:ascii="宋体" w:hAnsi="宋体" w:cs="Times New Roman"/>
          <w:kern w:val="0"/>
          <w:sz w:val="24"/>
          <w:szCs w:val="24"/>
        </w:rPr>
      </w:pPr>
    </w:p>
    <w:p>
      <w:pPr>
        <w:ind w:firstLine="301" w:firstLineChars="100"/>
        <w:outlineLvl w:val="1"/>
        <w:rPr>
          <w:rFonts w:ascii="Arial" w:hAnsi="Arial" w:eastAsia="黑体" w:cs="Times New Roman"/>
          <w:b/>
          <w:bCs/>
          <w:kern w:val="0"/>
          <w:sz w:val="30"/>
          <w:szCs w:val="32"/>
        </w:rPr>
      </w:pPr>
      <w:bookmarkStart w:id="43" w:name="_Toc75287791"/>
      <w:bookmarkStart w:id="44" w:name="_Toc68101578"/>
      <w:r>
        <w:rPr>
          <w:rFonts w:hint="eastAsia" w:ascii="Arial" w:hAnsi="Arial" w:eastAsia="黑体" w:cs="Times New Roman"/>
          <w:b/>
          <w:bCs/>
          <w:kern w:val="0"/>
          <w:sz w:val="30"/>
          <w:szCs w:val="32"/>
        </w:rPr>
        <w:t>3</w:t>
      </w:r>
      <w:r>
        <w:rPr>
          <w:rFonts w:ascii="Arial" w:hAnsi="Arial" w:eastAsia="黑体" w:cs="Times New Roman"/>
          <w:b/>
          <w:bCs/>
          <w:kern w:val="0"/>
          <w:sz w:val="30"/>
          <w:szCs w:val="32"/>
        </w:rPr>
        <w:t>.3</w:t>
      </w:r>
      <w:r>
        <w:rPr>
          <w:rFonts w:hint="eastAsia" w:ascii="Arial" w:hAnsi="Arial" w:eastAsia="黑体" w:cs="Times New Roman"/>
          <w:b/>
          <w:bCs/>
          <w:kern w:val="0"/>
          <w:sz w:val="30"/>
          <w:szCs w:val="32"/>
        </w:rPr>
        <w:t>灵活组网</w:t>
      </w:r>
      <w:bookmarkEnd w:id="43"/>
      <w:bookmarkEnd w:id="44"/>
    </w:p>
    <w:p>
      <w:pPr>
        <w:ind w:firstLine="422"/>
        <w:rPr>
          <w:rFonts w:cs="Times New Roman"/>
          <w:kern w:val="0"/>
          <w:sz w:val="24"/>
          <w:szCs w:val="24"/>
        </w:rPr>
      </w:pPr>
      <w:r>
        <w:rPr>
          <w:rFonts w:hint="eastAsia" w:cs="Times New Roman"/>
          <w:kern w:val="0"/>
          <w:sz w:val="24"/>
          <w:szCs w:val="24"/>
        </w:rPr>
        <w:t>针对于一些无法部署有线网络或网络施工困难的点位，也可采用无线灵活组网方式，</w:t>
      </w:r>
      <w:r>
        <w:rPr>
          <w:rFonts w:hint="eastAsia" w:ascii="宋体" w:hAnsi="宋体" w:cs="Times New Roman"/>
          <w:kern w:val="0"/>
          <w:sz w:val="24"/>
          <w:szCs w:val="24"/>
        </w:rPr>
        <w:t>使用WLAN无线网络实现数据传输不受距离和地点的约束，软硬件规划简明，安装容易，组网和扩容方便，维护成本低，覆盖面积大。</w:t>
      </w:r>
    </w:p>
    <w:p>
      <w:pPr>
        <w:ind w:firstLine="301" w:firstLineChars="100"/>
        <w:outlineLvl w:val="1"/>
        <w:rPr>
          <w:rFonts w:ascii="Arial" w:hAnsi="Arial" w:eastAsia="黑体" w:cs="Times New Roman"/>
          <w:b/>
          <w:bCs/>
          <w:kern w:val="0"/>
          <w:sz w:val="30"/>
          <w:szCs w:val="32"/>
        </w:rPr>
      </w:pPr>
      <w:bookmarkStart w:id="45" w:name="_Toc68101579"/>
      <w:bookmarkStart w:id="46" w:name="_Toc75287792"/>
      <w:r>
        <w:rPr>
          <w:rFonts w:hint="eastAsia" w:ascii="Arial" w:hAnsi="Arial" w:eastAsia="黑体" w:cs="Times New Roman"/>
          <w:b/>
          <w:bCs/>
          <w:kern w:val="0"/>
          <w:sz w:val="30"/>
          <w:szCs w:val="32"/>
        </w:rPr>
        <w:t>3</w:t>
      </w:r>
      <w:r>
        <w:rPr>
          <w:rFonts w:ascii="Arial" w:hAnsi="Arial" w:eastAsia="黑体" w:cs="Times New Roman"/>
          <w:b/>
          <w:bCs/>
          <w:kern w:val="0"/>
          <w:sz w:val="30"/>
          <w:szCs w:val="32"/>
        </w:rPr>
        <w:t>.4</w:t>
      </w:r>
      <w:r>
        <w:rPr>
          <w:rFonts w:hint="eastAsia" w:ascii="Arial" w:hAnsi="Arial" w:eastAsia="黑体" w:cs="Times New Roman"/>
          <w:b/>
          <w:bCs/>
          <w:kern w:val="0"/>
          <w:sz w:val="30"/>
          <w:szCs w:val="32"/>
        </w:rPr>
        <w:t>报警联动</w:t>
      </w:r>
      <w:bookmarkEnd w:id="45"/>
      <w:bookmarkEnd w:id="46"/>
    </w:p>
    <w:p>
      <w:pPr>
        <w:ind w:firstLine="422"/>
        <w:rPr>
          <w:rFonts w:cs="Times New Roman"/>
          <w:kern w:val="0"/>
          <w:sz w:val="24"/>
          <w:szCs w:val="24"/>
        </w:rPr>
      </w:pPr>
      <w:r>
        <w:rPr>
          <w:rFonts w:hint="eastAsia" w:cs="Times New Roman"/>
          <w:kern w:val="0"/>
          <w:sz w:val="24"/>
          <w:szCs w:val="24"/>
        </w:rPr>
        <w:t>配置智能规则后，在预览界面可看到规则框，规则框默认显示为蓝色，当报警触发时，规则框显示为红色闪烁。设置报警联动视频且已开启自动打开视频后，有目标触发规则产生报警时，系统会产生报警并自动联动报警实时视频。</w:t>
      </w:r>
    </w:p>
    <w:p>
      <w:pPr>
        <w:snapToGrid w:val="0"/>
        <w:rPr>
          <w:rFonts w:ascii="宋体" w:hAnsi="宋体" w:cs="Times New Roman"/>
          <w:kern w:val="0"/>
          <w:sz w:val="24"/>
          <w:szCs w:val="24"/>
        </w:rPr>
      </w:pPr>
    </w:p>
    <w:p>
      <w:pPr>
        <w:snapToGrid w:val="0"/>
        <w:ind w:firstLine="480"/>
        <w:rPr>
          <w:rFonts w:ascii="宋体" w:hAnsi="宋体" w:cs="Times New Roman"/>
          <w:kern w:val="0"/>
          <w:sz w:val="24"/>
          <w:szCs w:val="24"/>
        </w:rPr>
      </w:pPr>
    </w:p>
    <w:p>
      <w:pPr>
        <w:ind w:firstLine="301" w:firstLineChars="100"/>
        <w:outlineLvl w:val="1"/>
        <w:rPr>
          <w:rFonts w:ascii="Arial" w:hAnsi="Arial" w:eastAsia="黑体" w:cs="Times New Roman"/>
          <w:b/>
          <w:bCs/>
          <w:kern w:val="0"/>
          <w:sz w:val="30"/>
          <w:szCs w:val="32"/>
        </w:rPr>
      </w:pPr>
      <w:bookmarkStart w:id="47" w:name="_Toc75287793"/>
      <w:bookmarkStart w:id="48" w:name="_Toc451789880"/>
      <w:r>
        <w:rPr>
          <w:rFonts w:hint="eastAsia" w:ascii="Arial" w:hAnsi="Arial" w:eastAsia="黑体" w:cs="Times New Roman"/>
          <w:b/>
          <w:bCs/>
          <w:kern w:val="0"/>
          <w:sz w:val="30"/>
          <w:szCs w:val="32"/>
        </w:rPr>
        <w:t>3</w:t>
      </w:r>
      <w:r>
        <w:rPr>
          <w:rFonts w:ascii="Arial" w:hAnsi="Arial" w:eastAsia="黑体" w:cs="Times New Roman"/>
          <w:b/>
          <w:bCs/>
          <w:kern w:val="0"/>
          <w:sz w:val="30"/>
          <w:szCs w:val="32"/>
        </w:rPr>
        <w:t>.5</w:t>
      </w:r>
      <w:r>
        <w:rPr>
          <w:rFonts w:hint="eastAsia" w:ascii="Arial" w:hAnsi="Arial" w:eastAsia="黑体" w:cs="Times New Roman"/>
          <w:b/>
          <w:bCs/>
          <w:kern w:val="0"/>
          <w:sz w:val="30"/>
          <w:szCs w:val="32"/>
        </w:rPr>
        <w:t>全天候全方位监视功能</w:t>
      </w:r>
      <w:bookmarkEnd w:id="47"/>
      <w:bookmarkEnd w:id="48"/>
    </w:p>
    <w:p>
      <w:pPr>
        <w:ind w:firstLine="480" w:firstLineChars="200"/>
        <w:rPr>
          <w:rFonts w:ascii="宋体" w:hAnsi="宋体" w:cs="隶书"/>
          <w:kern w:val="0"/>
          <w:sz w:val="24"/>
          <w:szCs w:val="24"/>
        </w:rPr>
      </w:pPr>
      <w:r>
        <w:rPr>
          <w:rFonts w:hint="eastAsia" w:ascii="宋体" w:hAnsi="宋体" w:cs="隶书"/>
          <w:kern w:val="0"/>
          <w:sz w:val="24"/>
          <w:szCs w:val="24"/>
        </w:rPr>
        <w:t>不论在白天、晚上还是其他室外环境，均能在中心清晰地观察到前端现场的实时图像。实时点播时，能按照指定设备、指定通道进行图像的实时监视调用，调用时不能影响别的通道进行图像传输，支持监视图像的无级缩放、图像抓帧，支持跨设备的图像组屏。夜间光线照度差的监控通过红外等手段,使能取得良好的夜间图像。</w:t>
      </w:r>
    </w:p>
    <w:p>
      <w:pPr>
        <w:ind w:firstLine="301" w:firstLineChars="100"/>
        <w:outlineLvl w:val="1"/>
        <w:rPr>
          <w:rFonts w:ascii="Arial" w:hAnsi="Arial" w:eastAsia="黑体" w:cs="Times New Roman"/>
          <w:b/>
          <w:bCs/>
          <w:kern w:val="0"/>
          <w:sz w:val="30"/>
          <w:szCs w:val="32"/>
        </w:rPr>
      </w:pPr>
      <w:bookmarkStart w:id="49" w:name="_Toc451789881"/>
      <w:bookmarkStart w:id="50" w:name="_Toc75287794"/>
      <w:r>
        <w:rPr>
          <w:rFonts w:hint="eastAsia" w:ascii="Arial" w:hAnsi="Arial" w:eastAsia="黑体" w:cs="Times New Roman"/>
          <w:b/>
          <w:bCs/>
          <w:kern w:val="0"/>
          <w:sz w:val="30"/>
          <w:szCs w:val="32"/>
        </w:rPr>
        <w:t>3</w:t>
      </w:r>
      <w:r>
        <w:rPr>
          <w:rFonts w:ascii="Arial" w:hAnsi="Arial" w:eastAsia="黑体" w:cs="Times New Roman"/>
          <w:b/>
          <w:bCs/>
          <w:kern w:val="0"/>
          <w:sz w:val="30"/>
          <w:szCs w:val="32"/>
        </w:rPr>
        <w:t>.6</w:t>
      </w:r>
      <w:r>
        <w:rPr>
          <w:rFonts w:hint="eastAsia" w:ascii="Arial" w:hAnsi="Arial" w:eastAsia="黑体" w:cs="Times New Roman"/>
          <w:b/>
          <w:bCs/>
          <w:kern w:val="0"/>
          <w:sz w:val="30"/>
          <w:szCs w:val="32"/>
        </w:rPr>
        <w:t>历史图像的检索和回放</w:t>
      </w:r>
      <w:bookmarkEnd w:id="49"/>
      <w:bookmarkEnd w:id="50"/>
    </w:p>
    <w:p>
      <w:pPr>
        <w:ind w:firstLine="480" w:firstLineChars="200"/>
        <w:rPr>
          <w:rFonts w:ascii="宋体" w:hAnsi="宋体" w:cs="隶书"/>
          <w:kern w:val="0"/>
          <w:sz w:val="24"/>
          <w:szCs w:val="24"/>
        </w:rPr>
      </w:pPr>
      <w:r>
        <w:rPr>
          <w:rFonts w:hint="eastAsia" w:ascii="宋体" w:hAnsi="宋体" w:cs="隶书"/>
          <w:kern w:val="0"/>
          <w:sz w:val="24"/>
          <w:szCs w:val="24"/>
        </w:rPr>
        <w:t>系统能在中心的用户终端上根据权限和级别，按照指定设备、通道、时间、等要素检索历史图像文件并回放，需要时可以对录像进行长期保存。回放支持正常播放、快速播放、慢速播放、逐帧进退、画面暂停、图像抓帧等。</w:t>
      </w:r>
    </w:p>
    <w:p>
      <w:pPr>
        <w:ind w:firstLine="480" w:firstLineChars="200"/>
        <w:rPr>
          <w:rFonts w:ascii="宋体" w:hAnsi="宋体" w:cs="隶书"/>
          <w:kern w:val="0"/>
          <w:sz w:val="24"/>
          <w:szCs w:val="24"/>
        </w:rPr>
      </w:pPr>
    </w:p>
    <w:p>
      <w:pPr>
        <w:ind w:firstLine="301" w:firstLineChars="100"/>
        <w:outlineLvl w:val="1"/>
        <w:rPr>
          <w:rFonts w:ascii="Arial" w:hAnsi="Arial" w:eastAsia="黑体" w:cs="Times New Roman"/>
          <w:b/>
          <w:bCs/>
          <w:kern w:val="0"/>
          <w:sz w:val="30"/>
          <w:szCs w:val="32"/>
        </w:rPr>
      </w:pPr>
      <w:bookmarkStart w:id="51" w:name="_Toc433900522"/>
      <w:bookmarkStart w:id="52" w:name="_Toc451789882"/>
      <w:bookmarkStart w:id="53" w:name="_Toc75287795"/>
      <w:r>
        <w:rPr>
          <w:rFonts w:hint="eastAsia" w:ascii="Arial" w:hAnsi="Arial" w:eastAsia="黑体" w:cs="Times New Roman"/>
          <w:b/>
          <w:bCs/>
          <w:kern w:val="0"/>
          <w:sz w:val="30"/>
          <w:szCs w:val="32"/>
        </w:rPr>
        <w:t>3</w:t>
      </w:r>
      <w:r>
        <w:rPr>
          <w:rFonts w:ascii="Arial" w:hAnsi="Arial" w:eastAsia="黑体" w:cs="Times New Roman"/>
          <w:b/>
          <w:bCs/>
          <w:kern w:val="0"/>
          <w:sz w:val="30"/>
          <w:szCs w:val="32"/>
        </w:rPr>
        <w:t>.7</w:t>
      </w:r>
      <w:r>
        <w:rPr>
          <w:rFonts w:hint="eastAsia" w:ascii="Arial" w:hAnsi="Arial" w:eastAsia="黑体" w:cs="Times New Roman"/>
          <w:b/>
          <w:bCs/>
          <w:kern w:val="0"/>
          <w:sz w:val="30"/>
          <w:szCs w:val="32"/>
        </w:rPr>
        <w:t>高清视频采集、传输、显示</w:t>
      </w:r>
      <w:bookmarkEnd w:id="51"/>
      <w:bookmarkEnd w:id="52"/>
      <w:bookmarkEnd w:id="53"/>
    </w:p>
    <w:p>
      <w:pPr>
        <w:ind w:firstLine="480" w:firstLineChars="200"/>
        <w:rPr>
          <w:rFonts w:ascii="宋体" w:hAnsi="宋体" w:cs="隶书"/>
          <w:kern w:val="0"/>
          <w:sz w:val="24"/>
          <w:szCs w:val="24"/>
        </w:rPr>
      </w:pPr>
      <w:r>
        <w:rPr>
          <w:rFonts w:hint="eastAsia" w:ascii="宋体" w:hAnsi="宋体" w:cs="隶书"/>
          <w:kern w:val="0"/>
          <w:sz w:val="24"/>
          <w:szCs w:val="24"/>
        </w:rPr>
        <w:t>前端高清球机进行视频采集，到光纤传输、交换转发、电脑观看，整个过程全部支持高清制式，无转换损失。</w:t>
      </w:r>
    </w:p>
    <w:p>
      <w:pPr>
        <w:ind w:firstLine="301" w:firstLineChars="100"/>
        <w:outlineLvl w:val="1"/>
        <w:rPr>
          <w:rFonts w:ascii="Arial" w:hAnsi="Arial" w:eastAsia="黑体" w:cs="Times New Roman"/>
          <w:b/>
          <w:bCs/>
          <w:kern w:val="0"/>
          <w:sz w:val="30"/>
          <w:szCs w:val="32"/>
        </w:rPr>
      </w:pPr>
      <w:bookmarkStart w:id="54" w:name="_Toc451789883"/>
      <w:bookmarkStart w:id="55" w:name="_Toc75287796"/>
      <w:r>
        <w:rPr>
          <w:rFonts w:hint="eastAsia" w:ascii="Arial" w:hAnsi="Arial" w:eastAsia="黑体" w:cs="Times New Roman"/>
          <w:b/>
          <w:bCs/>
          <w:kern w:val="0"/>
          <w:sz w:val="30"/>
          <w:szCs w:val="32"/>
        </w:rPr>
        <w:t>3</w:t>
      </w:r>
      <w:r>
        <w:rPr>
          <w:rFonts w:ascii="Arial" w:hAnsi="Arial" w:eastAsia="黑体" w:cs="Times New Roman"/>
          <w:b/>
          <w:bCs/>
          <w:kern w:val="0"/>
          <w:sz w:val="30"/>
          <w:szCs w:val="32"/>
        </w:rPr>
        <w:t>.8</w:t>
      </w:r>
      <w:r>
        <w:rPr>
          <w:rFonts w:hint="eastAsia" w:ascii="Arial" w:hAnsi="Arial" w:eastAsia="黑体" w:cs="Times New Roman"/>
          <w:b/>
          <w:bCs/>
          <w:kern w:val="0"/>
          <w:sz w:val="30"/>
          <w:szCs w:val="32"/>
        </w:rPr>
        <w:t>图像记录和备份功能</w:t>
      </w:r>
      <w:bookmarkEnd w:id="54"/>
      <w:bookmarkEnd w:id="55"/>
    </w:p>
    <w:p>
      <w:pPr>
        <w:ind w:firstLine="480" w:firstLineChars="200"/>
        <w:rPr>
          <w:rFonts w:ascii="宋体" w:hAnsi="宋体" w:cs="隶书"/>
          <w:kern w:val="0"/>
          <w:sz w:val="24"/>
          <w:szCs w:val="24"/>
        </w:rPr>
      </w:pPr>
      <w:r>
        <w:rPr>
          <w:rFonts w:hint="eastAsia" w:ascii="宋体" w:hAnsi="宋体" w:cs="隶书"/>
          <w:kern w:val="0"/>
          <w:sz w:val="24"/>
          <w:szCs w:val="24"/>
        </w:rPr>
        <w:t>所有图像能在监控中心进行集中储存记录，保留时间30天以上。</w:t>
      </w:r>
    </w:p>
    <w:p>
      <w:pPr>
        <w:ind w:firstLine="480"/>
        <w:rPr>
          <w:rFonts w:ascii="宋体" w:hAnsi="宋体" w:cs="Times New Roman"/>
          <w:kern w:val="0"/>
          <w:sz w:val="22"/>
        </w:rPr>
      </w:pPr>
    </w:p>
    <w:p>
      <w:pPr>
        <w:ind w:left="238" w:firstLine="360"/>
        <w:jc w:val="left"/>
        <w:outlineLvl w:val="0"/>
        <w:rPr>
          <w:rFonts w:ascii="黑体" w:hAnsi="黑体" w:eastAsia="黑体" w:cs="Times New Roman"/>
          <w:b/>
          <w:bCs/>
          <w:kern w:val="44"/>
          <w:sz w:val="30"/>
          <w:szCs w:val="30"/>
        </w:rPr>
      </w:pPr>
      <w:bookmarkStart w:id="56" w:name="_Toc524944012"/>
      <w:bookmarkEnd w:id="56"/>
      <w:bookmarkStart w:id="57" w:name="_Toc524944409"/>
      <w:bookmarkEnd w:id="57"/>
      <w:bookmarkStart w:id="58" w:name="_Toc524943655"/>
      <w:bookmarkEnd w:id="58"/>
      <w:bookmarkStart w:id="59" w:name="_Toc524944009"/>
      <w:bookmarkEnd w:id="59"/>
      <w:bookmarkStart w:id="60" w:name="_Toc524944010"/>
      <w:bookmarkEnd w:id="60"/>
      <w:bookmarkStart w:id="61" w:name="_Toc524944410"/>
      <w:bookmarkEnd w:id="61"/>
      <w:bookmarkStart w:id="62" w:name="_Toc525118197"/>
      <w:bookmarkEnd w:id="62"/>
      <w:bookmarkStart w:id="63" w:name="_Toc525118623"/>
      <w:bookmarkEnd w:id="63"/>
      <w:bookmarkStart w:id="64" w:name="_Toc524943657"/>
      <w:bookmarkEnd w:id="64"/>
      <w:bookmarkStart w:id="65" w:name="_Toc524944011"/>
      <w:bookmarkEnd w:id="65"/>
      <w:bookmarkStart w:id="66" w:name="_Toc524944411"/>
      <w:bookmarkEnd w:id="66"/>
      <w:bookmarkStart w:id="67" w:name="_Toc524943656"/>
      <w:bookmarkEnd w:id="67"/>
      <w:bookmarkStart w:id="68" w:name="_Toc525118198"/>
      <w:bookmarkEnd w:id="68"/>
      <w:bookmarkStart w:id="69" w:name="_Toc525118196"/>
      <w:bookmarkEnd w:id="69"/>
      <w:bookmarkStart w:id="70" w:name="_Toc525118622"/>
      <w:bookmarkEnd w:id="70"/>
      <w:bookmarkStart w:id="71" w:name="_Toc525118624"/>
      <w:bookmarkEnd w:id="71"/>
      <w:bookmarkStart w:id="72" w:name="_Toc524943658"/>
      <w:bookmarkEnd w:id="72"/>
      <w:bookmarkStart w:id="73" w:name="_Toc525118625"/>
      <w:bookmarkEnd w:id="73"/>
      <w:bookmarkStart w:id="74" w:name="_Toc524944412"/>
      <w:bookmarkEnd w:id="74"/>
      <w:bookmarkStart w:id="75" w:name="_Toc525118199"/>
      <w:bookmarkEnd w:id="75"/>
      <w:bookmarkStart w:id="76" w:name="_Toc75287797"/>
      <w:bookmarkStart w:id="77" w:name="_Toc74326887"/>
      <w:r>
        <w:rPr>
          <w:rFonts w:hint="eastAsia" w:ascii="黑体" w:hAnsi="黑体" w:eastAsia="黑体" w:cs="Times New Roman"/>
          <w:b/>
          <w:bCs/>
          <w:kern w:val="44"/>
          <w:sz w:val="30"/>
          <w:szCs w:val="30"/>
        </w:rPr>
        <w:t>主要产品介绍</w:t>
      </w:r>
      <w:bookmarkEnd w:id="76"/>
      <w:bookmarkEnd w:id="77"/>
    </w:p>
    <w:p>
      <w:pPr>
        <w:ind w:firstLine="360"/>
        <w:outlineLvl w:val="1"/>
        <w:rPr>
          <w:rFonts w:ascii="黑体" w:hAnsi="黑体" w:eastAsia="黑体" w:cs="Times New Roman"/>
          <w:b/>
          <w:bCs/>
          <w:kern w:val="0"/>
          <w:sz w:val="30"/>
          <w:szCs w:val="32"/>
        </w:rPr>
      </w:pPr>
      <w:bookmarkStart w:id="78" w:name="_Toc68101582"/>
      <w:bookmarkStart w:id="79" w:name="_Toc75287798"/>
      <w:r>
        <w:rPr>
          <w:rFonts w:hint="eastAsia" w:ascii="黑体" w:hAnsi="黑体" w:eastAsia="黑体" w:cs="Times New Roman"/>
          <w:b/>
          <w:bCs/>
          <w:kern w:val="0"/>
          <w:sz w:val="30"/>
          <w:szCs w:val="32"/>
        </w:rPr>
        <w:t>4</w:t>
      </w:r>
      <w:r>
        <w:rPr>
          <w:rFonts w:ascii="黑体" w:hAnsi="黑体" w:eastAsia="黑体" w:cs="Times New Roman"/>
          <w:b/>
          <w:bCs/>
          <w:kern w:val="0"/>
          <w:sz w:val="30"/>
          <w:szCs w:val="32"/>
        </w:rPr>
        <w:t>.1</w:t>
      </w:r>
      <w:r>
        <w:rPr>
          <w:rFonts w:hint="eastAsia" w:ascii="黑体" w:hAnsi="黑体" w:eastAsia="黑体" w:cs="Times New Roman"/>
          <w:b/>
          <w:bCs/>
          <w:kern w:val="0"/>
          <w:sz w:val="30"/>
          <w:szCs w:val="32"/>
        </w:rPr>
        <w:t>星光级</w:t>
      </w:r>
      <w:bookmarkEnd w:id="78"/>
      <w:r>
        <w:rPr>
          <w:rFonts w:hint="eastAsia" w:ascii="黑体" w:hAnsi="黑体" w:eastAsia="黑体" w:cs="Times New Roman"/>
          <w:b/>
          <w:bCs/>
          <w:kern w:val="0"/>
          <w:sz w:val="30"/>
          <w:szCs w:val="32"/>
        </w:rPr>
        <w:t>高空全景相机</w:t>
      </w:r>
      <w:bookmarkEnd w:id="79"/>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1. 主视频图像（拼接后）：水平视场角：360°；垂直视场角：80°；</w:t>
      </w:r>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2. 1600万像素 高空全景相机，带红外功能，自动补光；</w:t>
      </w:r>
    </w:p>
    <w:p>
      <w:pPr>
        <w:ind w:firstLine="360"/>
        <w:outlineLvl w:val="1"/>
        <w:rPr>
          <w:rFonts w:ascii="黑体" w:hAnsi="黑体" w:eastAsia="黑体" w:cs="Times New Roman"/>
          <w:b/>
          <w:bCs/>
          <w:kern w:val="0"/>
          <w:sz w:val="30"/>
          <w:szCs w:val="32"/>
        </w:rPr>
      </w:pPr>
      <w:bookmarkStart w:id="80" w:name="_Toc75287799"/>
      <w:r>
        <w:rPr>
          <w:rFonts w:ascii="黑体" w:hAnsi="黑体" w:eastAsia="黑体" w:cs="Times New Roman"/>
          <w:b/>
          <w:bCs/>
          <w:kern w:val="0"/>
          <w:sz w:val="30"/>
          <w:szCs w:val="32"/>
        </w:rPr>
        <w:t>4.</w:t>
      </w:r>
      <w:r>
        <w:rPr>
          <w:rFonts w:hint="eastAsia" w:ascii="黑体" w:hAnsi="黑体" w:eastAsia="黑体" w:cs="Times New Roman"/>
          <w:b/>
          <w:bCs/>
          <w:kern w:val="0"/>
          <w:sz w:val="30"/>
          <w:szCs w:val="32"/>
        </w:rPr>
        <w:t>2星光级一体化红外激光云台摄像机</w:t>
      </w:r>
      <w:bookmarkEnd w:id="80"/>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1、</w:t>
      </w:r>
      <w:r>
        <w:rPr>
          <w:rFonts w:ascii="宋体" w:hAnsi="宋体" w:cs="Times New Roman"/>
          <w:kern w:val="0"/>
          <w:sz w:val="24"/>
          <w:szCs w:val="24"/>
        </w:rPr>
        <w:t>支持48倍光学变倍，16倍数字变倍</w:t>
      </w:r>
      <w:r>
        <w:rPr>
          <w:rFonts w:hint="eastAsia" w:ascii="宋体" w:hAnsi="宋体" w:cs="Times New Roman"/>
          <w:kern w:val="0"/>
          <w:sz w:val="24"/>
          <w:szCs w:val="24"/>
        </w:rPr>
        <w:t>；</w:t>
      </w:r>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2、</w:t>
      </w:r>
      <w:r>
        <w:rPr>
          <w:rFonts w:ascii="宋体" w:hAnsi="宋体" w:cs="Times New Roman"/>
          <w:kern w:val="0"/>
          <w:sz w:val="24"/>
          <w:szCs w:val="24"/>
        </w:rPr>
        <w:t>采用800万像素1/1.8英寸CMOS 传感器</w:t>
      </w:r>
      <w:r>
        <w:rPr>
          <w:rFonts w:hint="eastAsia" w:ascii="宋体" w:hAnsi="宋体" w:cs="Times New Roman"/>
          <w:kern w:val="0"/>
          <w:sz w:val="24"/>
          <w:szCs w:val="24"/>
        </w:rPr>
        <w:t>；</w:t>
      </w:r>
    </w:p>
    <w:p>
      <w:pPr>
        <w:ind w:firstLine="480" w:firstLineChars="200"/>
        <w:jc w:val="left"/>
        <w:rPr>
          <w:rFonts w:ascii="宋体" w:hAnsi="宋体" w:cs="Times New Roman"/>
          <w:kern w:val="0"/>
          <w:sz w:val="24"/>
          <w:szCs w:val="24"/>
          <w:lang w:eastAsia="en-US"/>
        </w:rPr>
      </w:pPr>
      <w:r>
        <w:rPr>
          <w:rFonts w:hint="eastAsia" w:ascii="宋体" w:hAnsi="宋体" w:cs="Times New Roman"/>
          <w:kern w:val="0"/>
          <w:sz w:val="24"/>
          <w:szCs w:val="24"/>
          <w:lang w:eastAsia="en-US"/>
        </w:rPr>
        <w:t>3、</w:t>
      </w:r>
      <w:r>
        <w:rPr>
          <w:rFonts w:ascii="宋体" w:hAnsi="宋体" w:cs="Times New Roman"/>
          <w:kern w:val="0"/>
          <w:sz w:val="24"/>
          <w:szCs w:val="24"/>
          <w:lang w:eastAsia="en-US"/>
        </w:rPr>
        <w:t>支持星光级超低照度，彩色：0.005Lux@F1.4 黑白：0.0005Lux@F1.4</w:t>
      </w:r>
      <w:r>
        <w:rPr>
          <w:rFonts w:hint="eastAsia" w:ascii="宋体" w:hAnsi="宋体" w:cs="Times New Roman"/>
          <w:kern w:val="0"/>
          <w:sz w:val="24"/>
          <w:szCs w:val="24"/>
          <w:lang w:eastAsia="en-US"/>
        </w:rPr>
        <w:t>；</w:t>
      </w:r>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4、</w:t>
      </w:r>
      <w:r>
        <w:rPr>
          <w:rFonts w:ascii="宋体" w:hAnsi="宋体" w:cs="Times New Roman"/>
          <w:kern w:val="0"/>
          <w:sz w:val="24"/>
          <w:szCs w:val="24"/>
        </w:rPr>
        <w:t>支持光学透雾，雾天也能输出清晰、透彻的图像</w:t>
      </w:r>
      <w:r>
        <w:rPr>
          <w:rFonts w:hint="eastAsia" w:ascii="宋体" w:hAnsi="宋体" w:cs="Times New Roman"/>
          <w:kern w:val="0"/>
          <w:sz w:val="24"/>
          <w:szCs w:val="24"/>
        </w:rPr>
        <w:t>；</w:t>
      </w:r>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5、</w:t>
      </w:r>
      <w:r>
        <w:rPr>
          <w:rFonts w:ascii="宋体" w:hAnsi="宋体" w:cs="Times New Roman"/>
          <w:kern w:val="0"/>
          <w:sz w:val="24"/>
          <w:szCs w:val="24"/>
        </w:rPr>
        <w:t>支持光学防抖</w:t>
      </w:r>
      <w:r>
        <w:rPr>
          <w:rFonts w:hint="eastAsia" w:ascii="宋体" w:hAnsi="宋体" w:cs="Times New Roman"/>
          <w:kern w:val="0"/>
          <w:sz w:val="24"/>
          <w:szCs w:val="24"/>
        </w:rPr>
        <w:t>；</w:t>
      </w:r>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6、</w:t>
      </w:r>
      <w:r>
        <w:rPr>
          <w:rFonts w:ascii="宋体" w:hAnsi="宋体" w:cs="Times New Roman"/>
          <w:kern w:val="0"/>
          <w:sz w:val="24"/>
          <w:szCs w:val="24"/>
        </w:rPr>
        <w:t>支持手动雨刷功能</w:t>
      </w:r>
      <w:r>
        <w:rPr>
          <w:rFonts w:hint="eastAsia" w:ascii="宋体" w:hAnsi="宋体" w:cs="Times New Roman"/>
          <w:kern w:val="0"/>
          <w:sz w:val="24"/>
          <w:szCs w:val="24"/>
        </w:rPr>
        <w:t>；</w:t>
      </w:r>
    </w:p>
    <w:p>
      <w:pPr>
        <w:ind w:firstLine="360"/>
        <w:outlineLvl w:val="1"/>
        <w:rPr>
          <w:rFonts w:ascii="黑体" w:hAnsi="黑体" w:eastAsia="黑体" w:cs="Times New Roman"/>
          <w:b/>
          <w:bCs/>
          <w:kern w:val="0"/>
          <w:sz w:val="30"/>
          <w:szCs w:val="32"/>
        </w:rPr>
      </w:pPr>
      <w:bookmarkStart w:id="81" w:name="_Toc75287800"/>
      <w:r>
        <w:rPr>
          <w:rFonts w:ascii="黑体" w:hAnsi="黑体" w:eastAsia="黑体" w:cs="Times New Roman"/>
          <w:b/>
          <w:bCs/>
          <w:kern w:val="0"/>
          <w:sz w:val="30"/>
          <w:szCs w:val="32"/>
        </w:rPr>
        <w:t xml:space="preserve">4.3 </w:t>
      </w:r>
      <w:r>
        <w:rPr>
          <w:rFonts w:hint="eastAsia" w:ascii="黑体" w:hAnsi="黑体" w:eastAsia="黑体" w:cs="Times New Roman"/>
          <w:b/>
          <w:bCs/>
          <w:kern w:val="0"/>
          <w:sz w:val="30"/>
          <w:szCs w:val="32"/>
        </w:rPr>
        <w:t>400万星光级高清网络球机</w:t>
      </w:r>
      <w:bookmarkEnd w:id="81"/>
    </w:p>
    <w:p>
      <w:pPr>
        <w:ind w:firstLine="480" w:firstLineChars="200"/>
        <w:jc w:val="left"/>
        <w:rPr>
          <w:rFonts w:ascii="宋体" w:hAnsi="宋体" w:cs="Times New Roman"/>
          <w:kern w:val="0"/>
          <w:sz w:val="24"/>
          <w:szCs w:val="24"/>
        </w:rPr>
      </w:pPr>
      <w:bookmarkStart w:id="82" w:name="_Toc68101584"/>
      <w:r>
        <w:rPr>
          <w:rFonts w:hint="eastAsia" w:ascii="宋体" w:hAnsi="宋体" w:cs="Times New Roman"/>
          <w:kern w:val="0"/>
          <w:sz w:val="24"/>
          <w:szCs w:val="24"/>
        </w:rPr>
        <w:t>400万像素，支持32倍光学变倍，16倍数字变倍，带红外功能，自动补光。</w:t>
      </w:r>
    </w:p>
    <w:p>
      <w:pPr>
        <w:ind w:firstLine="301" w:firstLineChars="100"/>
        <w:outlineLvl w:val="1"/>
        <w:rPr>
          <w:rFonts w:ascii="黑体" w:hAnsi="黑体" w:eastAsia="黑体" w:cs="Times New Roman"/>
          <w:b/>
          <w:bCs/>
          <w:kern w:val="0"/>
          <w:sz w:val="30"/>
          <w:szCs w:val="32"/>
        </w:rPr>
      </w:pPr>
      <w:bookmarkStart w:id="83" w:name="_Toc75287801"/>
      <w:r>
        <w:rPr>
          <w:rFonts w:ascii="黑体" w:hAnsi="黑体" w:eastAsia="黑体" w:cs="Times New Roman"/>
          <w:b/>
          <w:bCs/>
          <w:kern w:val="0"/>
          <w:sz w:val="30"/>
          <w:szCs w:val="32"/>
        </w:rPr>
        <w:t>4.4</w:t>
      </w:r>
      <w:r>
        <w:rPr>
          <w:rFonts w:hint="eastAsia" w:ascii="黑体" w:hAnsi="黑体" w:eastAsia="黑体" w:cs="Times New Roman"/>
          <w:b/>
          <w:bCs/>
          <w:kern w:val="0"/>
          <w:sz w:val="30"/>
          <w:szCs w:val="32"/>
        </w:rPr>
        <w:t>网络存储</w:t>
      </w:r>
      <w:r>
        <w:rPr>
          <w:rFonts w:ascii="黑体" w:hAnsi="黑体" w:eastAsia="黑体" w:cs="Times New Roman"/>
          <w:b/>
          <w:bCs/>
          <w:kern w:val="0"/>
          <w:sz w:val="30"/>
          <w:szCs w:val="32"/>
        </w:rPr>
        <w:t>服务器</w:t>
      </w:r>
      <w:bookmarkEnd w:id="82"/>
      <w:bookmarkEnd w:id="83"/>
    </w:p>
    <w:p>
      <w:pPr>
        <w:ind w:firstLine="480" w:firstLineChars="200"/>
        <w:jc w:val="left"/>
        <w:rPr>
          <w:rFonts w:ascii="宋体" w:hAnsi="宋体" w:cs="Times New Roman"/>
          <w:kern w:val="0"/>
          <w:sz w:val="24"/>
          <w:szCs w:val="24"/>
        </w:rPr>
      </w:pPr>
      <w:r>
        <w:rPr>
          <w:rFonts w:hint="eastAsia" w:ascii="宋体" w:hAnsi="宋体" w:cs="Times New Roman"/>
          <w:kern w:val="0"/>
          <w:sz w:val="24"/>
          <w:szCs w:val="24"/>
        </w:rPr>
        <w:t>1、</w:t>
      </w:r>
      <w:r>
        <w:rPr>
          <w:rFonts w:ascii="宋体" w:hAnsi="宋体" w:cs="Times New Roman"/>
          <w:kern w:val="0"/>
          <w:sz w:val="24"/>
          <w:szCs w:val="24"/>
        </w:rPr>
        <w:t>支持SBB2.0国际标准架构，方便产品维护和升级;单盘，RAID0、1、5、6、JBOD、Hot-Spare（热备）、SRAID</w:t>
      </w:r>
      <w:r>
        <w:rPr>
          <w:rFonts w:hint="eastAsia" w:ascii="宋体" w:hAnsi="宋体" w:cs="Times New Roman"/>
          <w:kern w:val="0"/>
          <w:sz w:val="24"/>
          <w:szCs w:val="24"/>
        </w:rPr>
        <w:t>；</w:t>
      </w:r>
      <w:r>
        <w:rPr>
          <w:rFonts w:ascii="宋体" w:hAnsi="宋体" w:cs="Times New Roman"/>
          <w:kern w:val="0"/>
          <w:sz w:val="24"/>
          <w:szCs w:val="24"/>
        </w:rPr>
        <w:br w:type="textWrapping"/>
      </w:r>
      <w:r>
        <w:rPr>
          <w:rFonts w:hint="eastAsia" w:ascii="宋体" w:hAnsi="宋体" w:cs="Times New Roman"/>
          <w:kern w:val="0"/>
          <w:sz w:val="24"/>
          <w:szCs w:val="24"/>
        </w:rPr>
        <w:t xml:space="preserve">   2、</w:t>
      </w:r>
      <w:r>
        <w:rPr>
          <w:rFonts w:ascii="宋体" w:hAnsi="宋体" w:cs="Times New Roman"/>
          <w:kern w:val="0"/>
          <w:sz w:val="24"/>
          <w:szCs w:val="24"/>
        </w:rPr>
        <w:t>支持全局热备和局部热备;支持逻辑卷的动态在线扩展</w:t>
      </w:r>
      <w:r>
        <w:rPr>
          <w:rFonts w:hint="eastAsia" w:ascii="宋体" w:hAnsi="宋体" w:cs="Times New Roman"/>
          <w:kern w:val="0"/>
          <w:sz w:val="24"/>
          <w:szCs w:val="24"/>
        </w:rPr>
        <w:t>；</w:t>
      </w:r>
      <w:r>
        <w:rPr>
          <w:rFonts w:ascii="宋体" w:hAnsi="宋体" w:cs="Times New Roman"/>
          <w:kern w:val="0"/>
          <w:sz w:val="24"/>
          <w:szCs w:val="24"/>
        </w:rPr>
        <w:br w:type="textWrapping"/>
      </w:r>
      <w:r>
        <w:rPr>
          <w:rFonts w:hint="eastAsia" w:ascii="宋体" w:hAnsi="宋体" w:cs="Times New Roman"/>
          <w:kern w:val="0"/>
          <w:sz w:val="24"/>
          <w:szCs w:val="24"/>
        </w:rPr>
        <w:t xml:space="preserve">   3、</w:t>
      </w:r>
      <w:r>
        <w:rPr>
          <w:rFonts w:ascii="宋体" w:hAnsi="宋体" w:cs="Times New Roman"/>
          <w:kern w:val="0"/>
          <w:sz w:val="24"/>
          <w:szCs w:val="24"/>
        </w:rPr>
        <w:t>支持SRAID功能，保证磁盘数据的安全性，确保数据的完整</w:t>
      </w:r>
      <w:r>
        <w:rPr>
          <w:rFonts w:hint="eastAsia" w:ascii="宋体" w:hAnsi="宋体" w:cs="Times New Roman"/>
          <w:kern w:val="0"/>
          <w:sz w:val="24"/>
          <w:szCs w:val="24"/>
        </w:rPr>
        <w:t>；</w:t>
      </w:r>
      <w:r>
        <w:rPr>
          <w:rFonts w:ascii="宋体" w:hAnsi="宋体" w:cs="Times New Roman"/>
          <w:kern w:val="0"/>
          <w:sz w:val="24"/>
          <w:szCs w:val="24"/>
        </w:rPr>
        <w:br w:type="textWrapping"/>
      </w:r>
      <w:r>
        <w:rPr>
          <w:rFonts w:hint="eastAsia" w:ascii="宋体" w:hAnsi="宋体" w:cs="Times New Roman"/>
          <w:kern w:val="0"/>
          <w:sz w:val="24"/>
          <w:szCs w:val="24"/>
        </w:rPr>
        <w:t xml:space="preserve">   4、</w:t>
      </w:r>
      <w:r>
        <w:rPr>
          <w:rFonts w:ascii="宋体" w:hAnsi="宋体" w:cs="Times New Roman"/>
          <w:kern w:val="0"/>
          <w:sz w:val="24"/>
          <w:szCs w:val="24"/>
        </w:rPr>
        <w:t>支持RAID误操作恢复功能，防止磁盘被误操作导致数据丢失，增加数据安全性</w:t>
      </w:r>
      <w:r>
        <w:rPr>
          <w:rFonts w:hint="eastAsia" w:ascii="宋体" w:hAnsi="宋体" w:cs="Times New Roman"/>
          <w:kern w:val="0"/>
          <w:sz w:val="24"/>
          <w:szCs w:val="24"/>
        </w:rPr>
        <w:t>；</w:t>
      </w:r>
      <w:r>
        <w:rPr>
          <w:rFonts w:ascii="宋体" w:hAnsi="宋体" w:cs="Times New Roman"/>
          <w:kern w:val="0"/>
          <w:sz w:val="24"/>
          <w:szCs w:val="24"/>
        </w:rPr>
        <w:br w:type="textWrapping"/>
      </w:r>
      <w:r>
        <w:rPr>
          <w:rFonts w:hint="eastAsia" w:ascii="宋体" w:hAnsi="宋体" w:cs="Times New Roman"/>
          <w:kern w:val="0"/>
          <w:sz w:val="24"/>
          <w:szCs w:val="24"/>
        </w:rPr>
        <w:t xml:space="preserve">   5、</w:t>
      </w:r>
      <w:r>
        <w:rPr>
          <w:rFonts w:ascii="宋体" w:hAnsi="宋体" w:cs="Times New Roman"/>
          <w:kern w:val="0"/>
          <w:sz w:val="24"/>
          <w:szCs w:val="24"/>
        </w:rPr>
        <w:t>支持对磁盘进行使用前预检和使用中巡检，提前预防，及时报警</w:t>
      </w:r>
      <w:r>
        <w:rPr>
          <w:rFonts w:hint="eastAsia" w:ascii="宋体" w:hAnsi="宋体" w:cs="Times New Roman"/>
          <w:kern w:val="0"/>
          <w:sz w:val="24"/>
          <w:szCs w:val="24"/>
        </w:rPr>
        <w:t>；</w:t>
      </w:r>
    </w:p>
    <w:p>
      <w:pPr>
        <w:ind w:firstLine="240" w:firstLineChars="100"/>
        <w:jc w:val="left"/>
        <w:rPr>
          <w:rFonts w:ascii="宋体" w:hAnsi="宋体" w:cs="Times New Roman"/>
          <w:kern w:val="0"/>
          <w:sz w:val="24"/>
          <w:szCs w:val="24"/>
        </w:rPr>
      </w:pPr>
      <w:r>
        <w:rPr>
          <w:rFonts w:hint="eastAsia" w:ascii="宋体" w:hAnsi="宋体" w:cs="Times New Roman"/>
          <w:kern w:val="0"/>
          <w:sz w:val="24"/>
          <w:szCs w:val="24"/>
        </w:rPr>
        <w:t>6、</w:t>
      </w:r>
      <w:r>
        <w:rPr>
          <w:rFonts w:ascii="宋体" w:hAnsi="宋体" w:cs="Times New Roman"/>
          <w:kern w:val="0"/>
          <w:sz w:val="24"/>
          <w:szCs w:val="24"/>
        </w:rPr>
        <w:t>支持同个存储服务器和不同存储服务器间的磁盘漫游，保证磁盘中的数据不丢失</w:t>
      </w:r>
      <w:r>
        <w:rPr>
          <w:rFonts w:hint="eastAsia" w:ascii="宋体" w:hAnsi="宋体" w:cs="Times New Roman"/>
          <w:kern w:val="0"/>
          <w:sz w:val="24"/>
          <w:szCs w:val="24"/>
        </w:rPr>
        <w:t>；</w:t>
      </w:r>
    </w:p>
    <w:p>
      <w:pPr>
        <w:ind w:left="567" w:firstLine="360"/>
        <w:outlineLvl w:val="1"/>
        <w:rPr>
          <w:rFonts w:ascii="黑体" w:hAnsi="黑体" w:eastAsia="黑体" w:cs="Times New Roman"/>
          <w:b/>
          <w:bCs/>
          <w:kern w:val="0"/>
          <w:sz w:val="30"/>
          <w:szCs w:val="32"/>
        </w:rPr>
      </w:pPr>
      <w:bookmarkStart w:id="84" w:name="_Toc75287802"/>
      <w:r>
        <w:rPr>
          <w:rFonts w:hint="eastAsia" w:ascii="黑体" w:hAnsi="黑体" w:eastAsia="黑体" w:cs="Times New Roman"/>
          <w:b/>
          <w:bCs/>
          <w:kern w:val="0"/>
          <w:sz w:val="30"/>
          <w:szCs w:val="32"/>
        </w:rPr>
        <w:t>4</w:t>
      </w:r>
      <w:r>
        <w:rPr>
          <w:rFonts w:ascii="黑体" w:hAnsi="黑体" w:eastAsia="黑体" w:cs="Times New Roman"/>
          <w:b/>
          <w:bCs/>
          <w:kern w:val="0"/>
          <w:sz w:val="30"/>
          <w:szCs w:val="32"/>
        </w:rPr>
        <w:t>.</w:t>
      </w:r>
      <w:r>
        <w:rPr>
          <w:rFonts w:hint="eastAsia" w:ascii="黑体" w:hAnsi="黑体" w:eastAsia="黑体" w:cs="Times New Roman"/>
          <w:b/>
          <w:bCs/>
          <w:kern w:val="0"/>
          <w:sz w:val="30"/>
          <w:szCs w:val="32"/>
        </w:rPr>
        <w:t>5解码器</w:t>
      </w:r>
      <w:bookmarkEnd w:id="84"/>
    </w:p>
    <w:p>
      <w:pPr>
        <w:ind w:firstLine="360"/>
        <w:jc w:val="left"/>
        <w:rPr>
          <w:rFonts w:cs="Times New Roman"/>
          <w:kern w:val="0"/>
          <w:sz w:val="22"/>
        </w:rPr>
      </w:pPr>
    </w:p>
    <w:p>
      <w:pPr>
        <w:ind w:left="480"/>
        <w:jc w:val="left"/>
        <w:rPr>
          <w:rFonts w:ascii="宋体" w:hAnsi="宋体" w:cs="Times New Roman"/>
          <w:kern w:val="0"/>
          <w:sz w:val="24"/>
          <w:szCs w:val="24"/>
        </w:rPr>
      </w:pPr>
      <w:r>
        <w:rPr>
          <w:rFonts w:hint="eastAsia" w:ascii="宋体" w:hAnsi="宋体" w:cs="Times New Roman"/>
          <w:kern w:val="0"/>
          <w:sz w:val="24"/>
          <w:szCs w:val="24"/>
        </w:rPr>
        <w:t>1、</w:t>
      </w:r>
      <w:r>
        <w:rPr>
          <w:rFonts w:ascii="宋体" w:hAnsi="宋体" w:cs="Times New Roman"/>
          <w:kern w:val="0"/>
          <w:sz w:val="24"/>
          <w:szCs w:val="24"/>
        </w:rPr>
        <w:t>支持18路HDMI信号输出接口</w:t>
      </w:r>
      <w:r>
        <w:rPr>
          <w:rFonts w:hint="eastAsia" w:ascii="宋体" w:hAnsi="宋体" w:cs="Times New Roman"/>
          <w:kern w:val="0"/>
          <w:sz w:val="24"/>
          <w:szCs w:val="24"/>
        </w:rPr>
        <w:t>；</w:t>
      </w:r>
      <w:r>
        <w:rPr>
          <w:rFonts w:ascii="宋体" w:hAnsi="宋体" w:cs="Times New Roman"/>
          <w:kern w:val="0"/>
          <w:sz w:val="24"/>
          <w:szCs w:val="24"/>
        </w:rPr>
        <w:br w:type="textWrapping"/>
      </w:r>
      <w:r>
        <w:rPr>
          <w:rFonts w:hint="eastAsia" w:ascii="宋体" w:hAnsi="宋体" w:cs="Times New Roman"/>
          <w:kern w:val="0"/>
          <w:sz w:val="24"/>
          <w:szCs w:val="24"/>
        </w:rPr>
        <w:t>2、</w:t>
      </w:r>
      <w:r>
        <w:rPr>
          <w:rFonts w:ascii="宋体" w:hAnsi="宋体" w:cs="Times New Roman"/>
          <w:kern w:val="0"/>
          <w:sz w:val="24"/>
          <w:szCs w:val="24"/>
        </w:rPr>
        <w:t>支持18路HDMI音频输出</w:t>
      </w:r>
      <w:r>
        <w:rPr>
          <w:rFonts w:hint="eastAsia" w:ascii="宋体" w:hAnsi="宋体" w:cs="Times New Roman"/>
          <w:kern w:val="0"/>
          <w:sz w:val="24"/>
          <w:szCs w:val="24"/>
        </w:rPr>
        <w:t>；</w:t>
      </w:r>
      <w:r>
        <w:rPr>
          <w:rFonts w:ascii="宋体" w:hAnsi="宋体" w:cs="Times New Roman"/>
          <w:kern w:val="0"/>
          <w:sz w:val="24"/>
          <w:szCs w:val="24"/>
        </w:rPr>
        <w:br w:type="textWrapping"/>
      </w:r>
      <w:r>
        <w:rPr>
          <w:rFonts w:hint="eastAsia" w:ascii="宋体" w:hAnsi="宋体" w:cs="Times New Roman"/>
          <w:kern w:val="0"/>
          <w:sz w:val="24"/>
          <w:szCs w:val="24"/>
        </w:rPr>
        <w:t>3、</w:t>
      </w:r>
      <w:r>
        <w:rPr>
          <w:rFonts w:ascii="宋体" w:hAnsi="宋体" w:cs="Times New Roman"/>
          <w:kern w:val="0"/>
          <w:sz w:val="24"/>
          <w:szCs w:val="24"/>
        </w:rPr>
        <w:t>支持MPEG2/MPEG4/H.264/H.265/SVAC/MJPEG标准网络视频流解码</w:t>
      </w:r>
      <w:r>
        <w:rPr>
          <w:rFonts w:hint="eastAsia" w:ascii="宋体" w:hAnsi="宋体" w:cs="Times New Roman"/>
          <w:kern w:val="0"/>
          <w:sz w:val="24"/>
          <w:szCs w:val="24"/>
        </w:rPr>
        <w:t>；</w:t>
      </w:r>
      <w:r>
        <w:rPr>
          <w:rFonts w:ascii="宋体" w:hAnsi="宋体" w:cs="Times New Roman"/>
          <w:kern w:val="0"/>
          <w:sz w:val="24"/>
          <w:szCs w:val="24"/>
        </w:rPr>
        <w:br w:type="textWrapping"/>
      </w:r>
      <w:r>
        <w:rPr>
          <w:rFonts w:ascii="宋体" w:hAnsi="宋体" w:cs="Times New Roman"/>
          <w:kern w:val="0"/>
          <w:sz w:val="24"/>
          <w:szCs w:val="24"/>
        </w:rPr>
        <w:t>QCIF/CIF/2CIF/HD1/D1/720P/1080P/300W/500W/600W/800W/1200W视频解码</w:t>
      </w:r>
      <w:r>
        <w:rPr>
          <w:rFonts w:hint="eastAsia" w:ascii="宋体" w:hAnsi="宋体" w:cs="Times New Roman"/>
          <w:kern w:val="0"/>
          <w:sz w:val="24"/>
          <w:szCs w:val="24"/>
        </w:rPr>
        <w:t>；</w:t>
      </w:r>
      <w:r>
        <w:rPr>
          <w:rFonts w:ascii="宋体" w:hAnsi="宋体" w:cs="Times New Roman"/>
          <w:kern w:val="0"/>
          <w:sz w:val="24"/>
          <w:szCs w:val="24"/>
        </w:rPr>
        <w:br w:type="textWrapping"/>
      </w:r>
      <w:r>
        <w:rPr>
          <w:rFonts w:hint="eastAsia" w:ascii="宋体" w:hAnsi="宋体" w:cs="Times New Roman"/>
          <w:kern w:val="0"/>
          <w:sz w:val="24"/>
          <w:szCs w:val="24"/>
        </w:rPr>
        <w:t>4、</w:t>
      </w:r>
      <w:r>
        <w:rPr>
          <w:rFonts w:ascii="宋体" w:hAnsi="宋体" w:cs="Times New Roman"/>
          <w:kern w:val="0"/>
          <w:sz w:val="24"/>
          <w:szCs w:val="24"/>
        </w:rPr>
        <w:t>支持通过串口控制屏幕开关</w:t>
      </w:r>
      <w:r>
        <w:rPr>
          <w:rFonts w:hint="eastAsia" w:ascii="宋体" w:hAnsi="宋体" w:cs="Times New Roman"/>
          <w:kern w:val="0"/>
          <w:sz w:val="24"/>
          <w:szCs w:val="24"/>
        </w:rPr>
        <w:t>；</w:t>
      </w:r>
      <w:r>
        <w:rPr>
          <w:rFonts w:ascii="宋体" w:hAnsi="宋体" w:cs="Times New Roman"/>
          <w:kern w:val="0"/>
          <w:sz w:val="24"/>
          <w:szCs w:val="24"/>
        </w:rPr>
        <w:br w:type="textWrapping"/>
      </w:r>
      <w:r>
        <w:rPr>
          <w:rFonts w:hint="eastAsia" w:ascii="宋体" w:hAnsi="宋体" w:cs="Times New Roman"/>
          <w:kern w:val="0"/>
          <w:sz w:val="24"/>
          <w:szCs w:val="24"/>
        </w:rPr>
        <w:t>5、</w:t>
      </w:r>
      <w:r>
        <w:rPr>
          <w:rFonts w:ascii="宋体" w:hAnsi="宋体" w:cs="Times New Roman"/>
          <w:kern w:val="0"/>
          <w:sz w:val="24"/>
          <w:szCs w:val="24"/>
        </w:rPr>
        <w:t>支持1/4/9/16画面分割切换</w:t>
      </w:r>
      <w:r>
        <w:rPr>
          <w:rFonts w:ascii="宋体" w:hAnsi="宋体" w:cs="Times New Roman"/>
          <w:kern w:val="0"/>
          <w:sz w:val="24"/>
          <w:szCs w:val="24"/>
        </w:rPr>
        <w:br w:type="textWrapping"/>
      </w:r>
      <w:r>
        <w:rPr>
          <w:rFonts w:ascii="宋体" w:hAnsi="宋体" w:cs="Times New Roman"/>
          <w:kern w:val="0"/>
          <w:sz w:val="24"/>
          <w:szCs w:val="24"/>
        </w:rPr>
        <w:t>HDMI输出接口支持3840x2160,，1920x1080,1280x1024，1280x720，1024x768五种显示分辨率</w:t>
      </w:r>
      <w:r>
        <w:rPr>
          <w:rFonts w:hint="eastAsia" w:ascii="宋体" w:hAnsi="宋体" w:cs="Times New Roman"/>
          <w:kern w:val="0"/>
          <w:sz w:val="24"/>
          <w:szCs w:val="24"/>
        </w:rPr>
        <w:t>；</w:t>
      </w:r>
      <w:r>
        <w:rPr>
          <w:rFonts w:ascii="宋体" w:hAnsi="宋体" w:cs="Times New Roman"/>
          <w:kern w:val="0"/>
          <w:sz w:val="24"/>
          <w:szCs w:val="24"/>
        </w:rPr>
        <w:br w:type="textWrapping"/>
      </w:r>
    </w:p>
    <w:p>
      <w:pPr>
        <w:ind w:firstLine="360"/>
        <w:outlineLvl w:val="1"/>
        <w:rPr>
          <w:rFonts w:ascii="黑体" w:hAnsi="黑体" w:eastAsia="黑体" w:cs="Times New Roman"/>
          <w:b/>
          <w:bCs/>
          <w:kern w:val="0"/>
          <w:sz w:val="30"/>
          <w:szCs w:val="32"/>
        </w:rPr>
      </w:pPr>
      <w:bookmarkStart w:id="85" w:name="_Toc75287803"/>
      <w:r>
        <w:rPr>
          <w:rFonts w:ascii="黑体" w:hAnsi="黑体" w:eastAsia="黑体" w:cs="Times New Roman"/>
          <w:b/>
          <w:bCs/>
          <w:kern w:val="0"/>
          <w:sz w:val="30"/>
          <w:szCs w:val="32"/>
        </w:rPr>
        <w:t>4.</w:t>
      </w:r>
      <w:r>
        <w:rPr>
          <w:rFonts w:hint="eastAsia" w:ascii="黑体" w:hAnsi="黑体" w:eastAsia="黑体" w:cs="Times New Roman"/>
          <w:b/>
          <w:bCs/>
          <w:kern w:val="0"/>
          <w:sz w:val="30"/>
          <w:szCs w:val="32"/>
        </w:rPr>
        <w:t>6监控塔</w:t>
      </w:r>
      <w:bookmarkEnd w:id="85"/>
    </w:p>
    <w:p>
      <w:pPr>
        <w:widowControl/>
        <w:spacing w:line="400" w:lineRule="exact"/>
        <w:ind w:firstLine="360" w:firstLineChars="150"/>
        <w:jc w:val="left"/>
        <w:rPr>
          <w:rFonts w:ascii="宋体" w:hAnsi="宋体" w:cs="Times New Roman"/>
          <w:kern w:val="0"/>
          <w:sz w:val="24"/>
          <w:szCs w:val="24"/>
        </w:rPr>
      </w:pPr>
      <w:r>
        <w:rPr>
          <w:rFonts w:hint="eastAsia" w:ascii="宋体" w:hAnsi="宋体" w:cs="Times New Roman"/>
          <w:kern w:val="0"/>
          <w:sz w:val="24"/>
          <w:szCs w:val="24"/>
        </w:rPr>
        <w:t>1.高35米</w:t>
      </w:r>
    </w:p>
    <w:p>
      <w:pPr>
        <w:widowControl/>
        <w:spacing w:line="400" w:lineRule="exact"/>
        <w:ind w:firstLine="360" w:firstLineChars="150"/>
        <w:jc w:val="left"/>
        <w:rPr>
          <w:rFonts w:ascii="宋体" w:hAnsi="宋体" w:cs="Times New Roman"/>
          <w:kern w:val="0"/>
          <w:sz w:val="24"/>
          <w:szCs w:val="24"/>
        </w:rPr>
      </w:pPr>
      <w:r>
        <w:rPr>
          <w:rFonts w:hint="eastAsia" w:ascii="宋体" w:hAnsi="宋体" w:cs="Times New Roman"/>
          <w:kern w:val="0"/>
          <w:sz w:val="24"/>
          <w:szCs w:val="24"/>
        </w:rPr>
        <w:t>2．单管塔的管径指塔体截面的外对边距；</w:t>
      </w:r>
    </w:p>
    <w:p>
      <w:pPr>
        <w:widowControl/>
        <w:spacing w:line="400" w:lineRule="exact"/>
        <w:ind w:left="360" w:hanging="360" w:hangingChars="150"/>
        <w:jc w:val="left"/>
        <w:rPr>
          <w:rFonts w:ascii="宋体" w:hAnsi="宋体" w:cs="Times New Roman"/>
          <w:kern w:val="0"/>
          <w:sz w:val="24"/>
          <w:szCs w:val="24"/>
        </w:rPr>
      </w:pPr>
      <w:r>
        <w:rPr>
          <w:rFonts w:hint="eastAsia" w:ascii="宋体" w:hAnsi="宋体" w:cs="Times New Roman"/>
          <w:kern w:val="0"/>
          <w:sz w:val="24"/>
          <w:szCs w:val="24"/>
        </w:rPr>
        <w:t xml:space="preserve">   3. 塔体截面为正十六边形，本通信钢管鉴采用套接连接及外爬钉上下，钢管芩与基础采用地脚螺栓连接，设计风压：0.35KPa；</w:t>
      </w:r>
    </w:p>
    <w:p>
      <w:pPr>
        <w:widowControl/>
        <w:spacing w:line="400" w:lineRule="exact"/>
        <w:ind w:firstLine="360" w:firstLineChars="150"/>
        <w:jc w:val="left"/>
        <w:rPr>
          <w:rFonts w:ascii="宋体" w:hAnsi="宋体" w:cs="Times New Roman"/>
          <w:kern w:val="0"/>
          <w:sz w:val="24"/>
          <w:szCs w:val="24"/>
        </w:rPr>
      </w:pPr>
      <w:r>
        <w:rPr>
          <w:rFonts w:hint="eastAsia" w:ascii="宋体" w:hAnsi="宋体" w:cs="Times New Roman"/>
          <w:kern w:val="0"/>
          <w:sz w:val="24"/>
          <w:szCs w:val="24"/>
        </w:rPr>
        <w:t>4.塔脚板及地脚锚栓应用C15混凝土封闭；</w:t>
      </w:r>
    </w:p>
    <w:p>
      <w:pPr>
        <w:ind w:firstLine="360"/>
        <w:jc w:val="left"/>
        <w:rPr>
          <w:rFonts w:cs="Times New Roman"/>
          <w:kern w:val="0"/>
          <w:sz w:val="22"/>
        </w:rPr>
      </w:pPr>
      <w:r>
        <w:rPr>
          <w:rFonts w:hint="eastAsia" w:ascii="宋体" w:hAnsi="宋体" w:cs="Times New Roman"/>
          <w:kern w:val="0"/>
          <w:sz w:val="24"/>
          <w:szCs w:val="24"/>
        </w:rPr>
        <w:t>5.单管塔基础：混凝土强度等级不低于C25</w:t>
      </w:r>
    </w:p>
    <w:p>
      <w:pPr>
        <w:widowControl/>
        <w:spacing w:line="400" w:lineRule="exact"/>
        <w:jc w:val="center"/>
        <w:rPr>
          <w:rFonts w:ascii="宋体" w:hAnsi="宋体" w:cs="宋体"/>
          <w:b/>
          <w:kern w:val="0"/>
          <w:sz w:val="32"/>
          <w:szCs w:val="32"/>
        </w:rPr>
      </w:pPr>
    </w:p>
    <w:p>
      <w:pPr>
        <w:widowControl/>
        <w:spacing w:line="400" w:lineRule="exact"/>
        <w:jc w:val="center"/>
        <w:outlineLvl w:val="0"/>
        <w:rPr>
          <w:rFonts w:ascii="宋体" w:hAnsi="宋体" w:cs="宋体"/>
          <w:b/>
          <w:kern w:val="0"/>
          <w:sz w:val="32"/>
          <w:szCs w:val="32"/>
        </w:rPr>
      </w:pPr>
    </w:p>
    <w:p>
      <w:pPr>
        <w:spacing w:line="415" w:lineRule="auto"/>
        <w:ind w:left="629"/>
        <w:outlineLvl w:val="2"/>
        <w:rPr>
          <w:rFonts w:ascii="Cambria" w:hAnsi="Cambria" w:cs="Times New Roman"/>
          <w:b/>
          <w:kern w:val="0"/>
          <w:sz w:val="24"/>
          <w:szCs w:val="24"/>
          <w:lang w:val="zh-CN"/>
        </w:rPr>
      </w:pPr>
      <w:r>
        <w:rPr>
          <w:rFonts w:hint="eastAsia" w:ascii="Cambria" w:hAnsi="Cambria" w:cs="Times New Roman"/>
          <w:b/>
          <w:kern w:val="0"/>
          <w:sz w:val="24"/>
          <w:szCs w:val="24"/>
        </w:rPr>
        <w:t>二、商务要求</w:t>
      </w:r>
    </w:p>
    <w:p>
      <w:pPr>
        <w:spacing w:line="415" w:lineRule="auto"/>
        <w:ind w:left="629"/>
        <w:outlineLvl w:val="2"/>
        <w:rPr>
          <w:rFonts w:ascii="Cambria" w:hAnsi="Cambria" w:cs="Times New Roman"/>
          <w:color w:val="4F81BD"/>
          <w:kern w:val="0"/>
          <w:sz w:val="24"/>
          <w:szCs w:val="24"/>
          <w:lang w:val="zh-CN"/>
        </w:rPr>
      </w:pPr>
      <w:r>
        <w:rPr>
          <w:rFonts w:hint="eastAsia" w:ascii="宋体" w:hAnsi="宋体" w:cs="宋体"/>
          <w:bCs/>
          <w:color w:val="000000"/>
          <w:kern w:val="0"/>
          <w:sz w:val="24"/>
          <w:szCs w:val="21"/>
        </w:rPr>
        <w:t xml:space="preserve">   1、工期要求：签订合同后</w:t>
      </w:r>
      <w:r>
        <w:rPr>
          <w:rFonts w:hint="eastAsia" w:ascii="宋体" w:hAnsi="宋体" w:cs="宋体"/>
          <w:bCs/>
          <w:color w:val="000000"/>
          <w:kern w:val="0"/>
          <w:sz w:val="24"/>
          <w:szCs w:val="21"/>
          <w:lang w:val="en-US" w:eastAsia="zh-CN"/>
        </w:rPr>
        <w:t>6</w:t>
      </w:r>
      <w:bookmarkStart w:id="86" w:name="_GoBack"/>
      <w:bookmarkEnd w:id="86"/>
      <w:r>
        <w:rPr>
          <w:rFonts w:hint="eastAsia" w:ascii="宋体" w:hAnsi="宋体" w:cs="宋体"/>
          <w:bCs/>
          <w:color w:val="000000"/>
          <w:kern w:val="0"/>
          <w:sz w:val="24"/>
          <w:szCs w:val="21"/>
        </w:rPr>
        <w:t>0日历天</w:t>
      </w:r>
    </w:p>
    <w:p>
      <w:pPr>
        <w:spacing w:line="360" w:lineRule="auto"/>
        <w:ind w:firstLine="1018" w:firstLineChars="463"/>
        <w:jc w:val="left"/>
        <w:rPr>
          <w:rFonts w:ascii="宋体" w:hAnsi="宋体" w:cs="宋体"/>
          <w:bCs/>
          <w:color w:val="000000"/>
          <w:kern w:val="0"/>
          <w:sz w:val="22"/>
          <w:szCs w:val="21"/>
        </w:rPr>
      </w:pPr>
      <w:r>
        <w:rPr>
          <w:rFonts w:hint="eastAsia" w:ascii="宋体" w:hAnsi="宋体" w:cs="宋体"/>
          <w:bCs/>
          <w:color w:val="000000"/>
          <w:kern w:val="0"/>
          <w:sz w:val="22"/>
          <w:szCs w:val="21"/>
        </w:rPr>
        <w:t>2、付款方式：签订合同后支付合同款60%，工程完工并验收合格后支付合同款30%，审计完成后付清10%余款。</w:t>
      </w:r>
    </w:p>
    <w:p>
      <w:pPr>
        <w:spacing w:line="360" w:lineRule="auto"/>
        <w:ind w:firstLine="1018" w:firstLineChars="463"/>
        <w:jc w:val="left"/>
        <w:rPr>
          <w:rFonts w:ascii="宋体" w:hAnsi="宋体" w:cs="宋体"/>
          <w:bCs/>
          <w:color w:val="000000"/>
          <w:kern w:val="0"/>
          <w:sz w:val="22"/>
          <w:szCs w:val="21"/>
        </w:rPr>
      </w:pPr>
      <w:r>
        <w:rPr>
          <w:rFonts w:hint="eastAsia" w:ascii="宋体" w:hAnsi="宋体" w:cs="宋体"/>
          <w:bCs/>
          <w:color w:val="000000"/>
          <w:kern w:val="0"/>
          <w:sz w:val="22"/>
          <w:szCs w:val="21"/>
        </w:rPr>
        <w:t>3、质量保修期：自设备安装调试完且经验收合格之日起三年。</w:t>
      </w:r>
    </w:p>
    <w:p>
      <w:pPr>
        <w:spacing w:line="360" w:lineRule="auto"/>
        <w:ind w:firstLine="1018" w:firstLineChars="463"/>
        <w:jc w:val="left"/>
        <w:rPr>
          <w:rFonts w:ascii="宋体" w:hAnsi="宋体" w:cs="宋体"/>
          <w:bCs/>
          <w:color w:val="000000"/>
          <w:kern w:val="0"/>
          <w:sz w:val="22"/>
          <w:szCs w:val="21"/>
        </w:rPr>
      </w:pPr>
      <w:r>
        <w:rPr>
          <w:rFonts w:hint="eastAsia" w:ascii="宋体" w:hAnsi="宋体" w:cs="宋体"/>
          <w:bCs/>
          <w:color w:val="000000"/>
          <w:kern w:val="0"/>
          <w:sz w:val="22"/>
          <w:szCs w:val="21"/>
        </w:rPr>
        <w:t>4、采购预算：</w:t>
      </w:r>
      <w:r>
        <w:rPr>
          <w:rFonts w:hint="eastAsia" w:ascii="Times New Roman" w:hAnsi="Times New Roman" w:cs="Times New Roman"/>
          <w:kern w:val="0"/>
          <w:sz w:val="22"/>
        </w:rPr>
        <w:t>本项目采购预算控制金额为</w:t>
      </w:r>
      <w:r>
        <w:rPr>
          <w:rFonts w:hint="eastAsia" w:ascii="宋体" w:hAnsi="宋体" w:cs="宋体"/>
          <w:kern w:val="0"/>
          <w:sz w:val="22"/>
          <w:szCs w:val="21"/>
        </w:rPr>
        <w:t>1063546</w:t>
      </w:r>
      <w:r>
        <w:rPr>
          <w:rFonts w:hint="eastAsia" w:ascii="Times New Roman" w:hAnsi="Times New Roman" w:cs="Times New Roman"/>
          <w:kern w:val="0"/>
          <w:sz w:val="24"/>
          <w:szCs w:val="24"/>
        </w:rPr>
        <w:t>元</w:t>
      </w:r>
      <w:r>
        <w:rPr>
          <w:rFonts w:hint="eastAsia" w:ascii="Times New Roman" w:hAnsi="Times New Roman" w:cs="Times New Roman"/>
          <w:kern w:val="0"/>
          <w:sz w:val="22"/>
        </w:rPr>
        <w:t>，超出预算控制金额将导致其投标无效。</w:t>
      </w:r>
    </w:p>
    <w:p>
      <w:pPr>
        <w:spacing w:line="415" w:lineRule="auto"/>
        <w:ind w:firstLine="964" w:firstLineChars="300"/>
        <w:outlineLvl w:val="2"/>
        <w:rPr>
          <w:rFonts w:ascii="宋体" w:hAnsi="宋体" w:cs="宋体"/>
          <w:b/>
          <w:color w:val="4F81BD"/>
          <w:kern w:val="0"/>
          <w:sz w:val="32"/>
          <w:szCs w:val="32"/>
        </w:rPr>
      </w:pPr>
    </w:p>
    <w:p>
      <w:pPr>
        <w:spacing w:line="415" w:lineRule="auto"/>
        <w:ind w:firstLine="964" w:firstLineChars="300"/>
        <w:outlineLvl w:val="2"/>
        <w:rPr>
          <w:rFonts w:ascii="宋体" w:hAnsi="宋体" w:cs="宋体"/>
          <w:b/>
          <w:color w:val="4F81BD"/>
          <w:kern w:val="0"/>
          <w:sz w:val="32"/>
          <w:szCs w:val="32"/>
        </w:rPr>
      </w:pPr>
    </w:p>
    <w:p>
      <w:pPr>
        <w:spacing w:line="415" w:lineRule="auto"/>
        <w:ind w:firstLine="964" w:firstLineChars="300"/>
        <w:outlineLvl w:val="2"/>
        <w:rPr>
          <w:rFonts w:ascii="宋体" w:hAnsi="宋体" w:cs="宋体"/>
          <w:b/>
          <w:color w:val="4F81BD"/>
          <w:kern w:val="0"/>
          <w:sz w:val="32"/>
          <w:szCs w:val="32"/>
        </w:rPr>
      </w:pPr>
    </w:p>
    <w:p>
      <w:pPr>
        <w:spacing w:line="415" w:lineRule="auto"/>
        <w:ind w:firstLine="964" w:firstLineChars="300"/>
        <w:outlineLvl w:val="2"/>
        <w:rPr>
          <w:rFonts w:ascii="宋体" w:hAnsi="宋体" w:cs="宋体"/>
          <w:b/>
          <w:color w:val="4F81BD"/>
          <w:kern w:val="0"/>
          <w:sz w:val="32"/>
          <w:szCs w:val="32"/>
        </w:rPr>
      </w:pPr>
    </w:p>
    <w:p>
      <w:pPr>
        <w:spacing w:line="415" w:lineRule="auto"/>
        <w:ind w:firstLine="964" w:firstLineChars="300"/>
        <w:outlineLvl w:val="2"/>
        <w:rPr>
          <w:rFonts w:ascii="宋体" w:hAnsi="宋体" w:cs="宋体"/>
          <w:b/>
          <w:color w:val="4F81BD"/>
          <w:kern w:val="0"/>
          <w:sz w:val="32"/>
          <w:szCs w:val="32"/>
        </w:rPr>
      </w:pPr>
    </w:p>
    <w:p>
      <w:pPr>
        <w:spacing w:line="415" w:lineRule="auto"/>
        <w:ind w:firstLine="964" w:firstLineChars="300"/>
        <w:outlineLvl w:val="2"/>
        <w:rPr>
          <w:rFonts w:ascii="宋体" w:hAnsi="宋体" w:cs="宋体"/>
          <w:b/>
          <w:color w:val="4F81BD"/>
          <w:kern w:val="0"/>
          <w:sz w:val="32"/>
          <w:szCs w:val="32"/>
        </w:rPr>
      </w:pPr>
    </w:p>
    <w:p>
      <w:pPr>
        <w:spacing w:line="415" w:lineRule="auto"/>
        <w:ind w:firstLine="964" w:firstLineChars="300"/>
        <w:outlineLvl w:val="2"/>
        <w:rPr>
          <w:rFonts w:ascii="宋体" w:hAnsi="宋体" w:cs="宋体"/>
          <w:b/>
          <w:color w:val="4F81BD"/>
          <w:kern w:val="0"/>
          <w:sz w:val="32"/>
          <w:szCs w:val="32"/>
        </w:rPr>
      </w:pPr>
    </w:p>
    <w:p>
      <w:pPr>
        <w:spacing w:line="415" w:lineRule="auto"/>
        <w:ind w:firstLine="964" w:firstLineChars="300"/>
        <w:outlineLvl w:val="2"/>
        <w:rPr>
          <w:rFonts w:ascii="宋体" w:hAnsi="宋体" w:cs="宋体"/>
          <w:b/>
          <w:color w:val="4F81BD"/>
          <w:kern w:val="0"/>
          <w:sz w:val="32"/>
          <w:szCs w:val="32"/>
        </w:rPr>
      </w:pPr>
    </w:p>
    <w:p>
      <w:pPr>
        <w:spacing w:line="415" w:lineRule="auto"/>
        <w:ind w:firstLine="964" w:firstLineChars="300"/>
        <w:outlineLvl w:val="2"/>
        <w:rPr>
          <w:rFonts w:ascii="宋体" w:hAnsi="宋体" w:cs="宋体"/>
          <w:b/>
          <w:color w:val="4F81BD"/>
          <w:kern w:val="0"/>
          <w:sz w:val="32"/>
          <w:szCs w:val="32"/>
        </w:rPr>
      </w:pPr>
    </w:p>
    <w:p>
      <w:pPr>
        <w:spacing w:line="415" w:lineRule="auto"/>
        <w:ind w:firstLine="964" w:firstLineChars="300"/>
        <w:outlineLvl w:val="2"/>
        <w:rPr>
          <w:rFonts w:ascii="宋体" w:hAnsi="宋体" w:cs="宋体"/>
          <w:b/>
          <w:color w:val="4F81BD"/>
          <w:kern w:val="0"/>
          <w:sz w:val="32"/>
          <w:szCs w:val="32"/>
        </w:rPr>
      </w:pPr>
    </w:p>
    <w:p>
      <w:pPr>
        <w:widowControl/>
        <w:spacing w:after="156" w:afterLines="50" w:line="400" w:lineRule="exact"/>
        <w:ind w:firstLine="1928" w:firstLineChars="600"/>
        <w:jc w:val="left"/>
        <w:outlineLvl w:val="0"/>
        <w:rPr>
          <w:rFonts w:ascii="宋体" w:hAnsi="宋体" w:cs="宋体"/>
          <w:b/>
          <w:bCs/>
          <w:kern w:val="0"/>
          <w:sz w:val="32"/>
          <w:szCs w:val="32"/>
        </w:rPr>
      </w:pPr>
      <w:r>
        <w:rPr>
          <w:rFonts w:hint="eastAsia" w:ascii="宋体" w:hAnsi="宋体" w:cs="宋体"/>
          <w:b/>
          <w:bCs/>
          <w:kern w:val="0"/>
          <w:sz w:val="32"/>
          <w:szCs w:val="32"/>
        </w:rPr>
        <w:t>分项报价清单</w:t>
      </w:r>
    </w:p>
    <w:tbl>
      <w:tblPr>
        <w:tblStyle w:val="42"/>
        <w:tblW w:w="8670" w:type="dxa"/>
        <w:tblInd w:w="93" w:type="dxa"/>
        <w:tblLayout w:type="autofit"/>
        <w:tblCellMar>
          <w:top w:w="0" w:type="dxa"/>
          <w:left w:w="108" w:type="dxa"/>
          <w:bottom w:w="0" w:type="dxa"/>
          <w:right w:w="108" w:type="dxa"/>
        </w:tblCellMar>
      </w:tblPr>
      <w:tblGrid>
        <w:gridCol w:w="907"/>
        <w:gridCol w:w="1755"/>
        <w:gridCol w:w="4194"/>
        <w:gridCol w:w="907"/>
        <w:gridCol w:w="907"/>
      </w:tblGrid>
      <w:tr>
        <w:tblPrEx>
          <w:tblCellMar>
            <w:top w:w="0" w:type="dxa"/>
            <w:left w:w="108" w:type="dxa"/>
            <w:bottom w:w="0" w:type="dxa"/>
            <w:right w:w="108" w:type="dxa"/>
          </w:tblCellMar>
        </w:tblPrEx>
        <w:trPr>
          <w:trHeight w:val="600" w:hRule="atLeast"/>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7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41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规格参数</w:t>
            </w:r>
          </w:p>
        </w:tc>
        <w:tc>
          <w:tcPr>
            <w:tcW w:w="9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9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r>
      <w:tr>
        <w:tblPrEx>
          <w:tblCellMar>
            <w:top w:w="0" w:type="dxa"/>
            <w:left w:w="108" w:type="dxa"/>
            <w:bottom w:w="0" w:type="dxa"/>
            <w:right w:w="108" w:type="dxa"/>
          </w:tblCellMar>
        </w:tblPrEx>
        <w:trPr>
          <w:trHeight w:val="600" w:hRule="atLeast"/>
        </w:trPr>
        <w:tc>
          <w:tcPr>
            <w:tcW w:w="685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一、前端设备</w:t>
            </w:r>
          </w:p>
        </w:tc>
        <w:tc>
          <w:tcPr>
            <w:tcW w:w="907"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907"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1782"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35</w:t>
            </w:r>
            <w:r>
              <w:rPr>
                <w:rFonts w:hint="eastAsia" w:ascii="宋体" w:hAnsi="宋体" w:cs="Times New Roman"/>
                <w:color w:val="000000"/>
                <w:kern w:val="0"/>
                <w:sz w:val="18"/>
                <w:szCs w:val="18"/>
              </w:rPr>
              <w:t>米监控塔</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Times New Roman"/>
                <w:color w:val="000000"/>
                <w:kern w:val="0"/>
                <w:sz w:val="18"/>
                <w:szCs w:val="18"/>
              </w:rPr>
              <w:t>高</w:t>
            </w:r>
            <w:r>
              <w:rPr>
                <w:rFonts w:ascii="Times New Roman" w:hAnsi="Times New Roman" w:cs="Times New Roman"/>
                <w:color w:val="000000"/>
                <w:kern w:val="0"/>
                <w:sz w:val="18"/>
                <w:szCs w:val="18"/>
              </w:rPr>
              <w:t>35</w:t>
            </w:r>
            <w:r>
              <w:rPr>
                <w:rFonts w:hint="eastAsia" w:ascii="宋体" w:hAnsi="宋体" w:cs="Times New Roman"/>
                <w:color w:val="000000"/>
                <w:kern w:val="0"/>
                <w:sz w:val="18"/>
                <w:szCs w:val="18"/>
              </w:rPr>
              <w:t>米</w:t>
            </w:r>
            <w:r>
              <w:rPr>
                <w:rFonts w:ascii="Times New Roman" w:hAnsi="Times New Roman" w:cs="Times New Roman"/>
                <w:color w:val="000000"/>
                <w:kern w:val="0"/>
                <w:sz w:val="18"/>
                <w:szCs w:val="18"/>
              </w:rPr>
              <w:t>2</w:t>
            </w:r>
            <w:r>
              <w:rPr>
                <w:rFonts w:hint="eastAsia" w:ascii="宋体" w:hAnsi="宋体" w:cs="Times New Roman"/>
                <w:color w:val="000000"/>
                <w:kern w:val="0"/>
                <w:sz w:val="18"/>
                <w:szCs w:val="18"/>
              </w:rPr>
              <w:t>．单管塔的管径指塔体截面的外对边距；</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2.</w:t>
            </w:r>
            <w:r>
              <w:rPr>
                <w:rFonts w:hint="eastAsia" w:ascii="宋体" w:hAnsi="宋体" w:cs="Times New Roman"/>
                <w:color w:val="000000"/>
                <w:kern w:val="0"/>
                <w:sz w:val="18"/>
                <w:szCs w:val="18"/>
              </w:rPr>
              <w:t>塔体截面为正十六边形，本通信钢管鉴采用套接连接及外爬钉上下，钢管芩与基础采用地脚螺栓连接，设计风压：</w:t>
            </w:r>
            <w:r>
              <w:rPr>
                <w:rFonts w:ascii="Times New Roman" w:hAnsi="Times New Roman" w:cs="Times New Roman"/>
                <w:color w:val="000000"/>
                <w:kern w:val="0"/>
                <w:sz w:val="18"/>
                <w:szCs w:val="18"/>
              </w:rPr>
              <w:t>0.35KPa</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3.</w:t>
            </w:r>
            <w:r>
              <w:rPr>
                <w:rFonts w:hint="eastAsia" w:ascii="宋体" w:hAnsi="宋体" w:cs="Times New Roman"/>
                <w:color w:val="000000"/>
                <w:kern w:val="0"/>
                <w:sz w:val="18"/>
                <w:szCs w:val="18"/>
              </w:rPr>
              <w:t>塔脚板及地脚锚栓应用</w:t>
            </w:r>
            <w:r>
              <w:rPr>
                <w:rFonts w:ascii="Times New Roman" w:hAnsi="Times New Roman" w:cs="Times New Roman"/>
                <w:color w:val="000000"/>
                <w:kern w:val="0"/>
                <w:sz w:val="18"/>
                <w:szCs w:val="18"/>
              </w:rPr>
              <w:t>C15</w:t>
            </w:r>
            <w:r>
              <w:rPr>
                <w:rFonts w:hint="eastAsia" w:ascii="宋体" w:hAnsi="宋体" w:cs="Times New Roman"/>
                <w:color w:val="000000"/>
                <w:kern w:val="0"/>
                <w:sz w:val="18"/>
                <w:szCs w:val="18"/>
              </w:rPr>
              <w:t>混凝土封闭；</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4.</w:t>
            </w:r>
            <w:r>
              <w:rPr>
                <w:rFonts w:hint="eastAsia" w:ascii="宋体" w:hAnsi="宋体" w:cs="Times New Roman"/>
                <w:color w:val="000000"/>
                <w:kern w:val="0"/>
                <w:sz w:val="18"/>
                <w:szCs w:val="18"/>
              </w:rPr>
              <w:t>单管塔基础：混凝土强度等级不低于</w:t>
            </w:r>
            <w:r>
              <w:rPr>
                <w:rFonts w:ascii="Times New Roman" w:hAnsi="Times New Roman" w:cs="Times New Roman"/>
                <w:color w:val="000000"/>
                <w:kern w:val="0"/>
                <w:sz w:val="18"/>
                <w:szCs w:val="18"/>
              </w:rPr>
              <w:t>C25</w:t>
            </w:r>
            <w:r>
              <w:rPr>
                <w:rFonts w:hint="eastAsia" w:ascii="宋体" w:hAnsi="宋体" w:cs="Times New Roman"/>
                <w:color w:val="000000"/>
                <w:kern w:val="0"/>
                <w:sz w:val="18"/>
                <w:szCs w:val="18"/>
              </w:rPr>
              <w:t>；</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座</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高空全景相机</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1600</w:t>
            </w:r>
            <w:r>
              <w:rPr>
                <w:rFonts w:hint="eastAsia" w:ascii="宋体" w:hAnsi="宋体" w:cs="Times New Roman"/>
                <w:color w:val="000000"/>
                <w:kern w:val="0"/>
                <w:sz w:val="18"/>
                <w:szCs w:val="18"/>
              </w:rPr>
              <w:t>万</w:t>
            </w:r>
            <w:r>
              <w:rPr>
                <w:rFonts w:ascii="Times New Roman" w:hAnsi="Times New Roman" w:cs="Times New Roman"/>
                <w:color w:val="000000"/>
                <w:kern w:val="0"/>
                <w:sz w:val="18"/>
                <w:szCs w:val="18"/>
              </w:rPr>
              <w:t>360°</w:t>
            </w:r>
            <w:r>
              <w:rPr>
                <w:rFonts w:hint="eastAsia" w:ascii="宋体" w:hAnsi="宋体" w:cs="Times New Roman"/>
                <w:color w:val="000000"/>
                <w:kern w:val="0"/>
                <w:sz w:val="18"/>
                <w:szCs w:val="18"/>
              </w:rPr>
              <w:t>高空全景相机，带红外功能，自动补光</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柱装全景支架</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国产定制</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星光级一体化红外激光云台摄像</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1.8</w:t>
            </w:r>
            <w:r>
              <w:rPr>
                <w:rFonts w:hint="eastAsia" w:ascii="宋体" w:hAnsi="宋体" w:cs="Times New Roman"/>
                <w:color w:val="000000"/>
                <w:kern w:val="0"/>
                <w:sz w:val="18"/>
                <w:szCs w:val="18"/>
              </w:rPr>
              <w:t>英寸</w:t>
            </w:r>
            <w:r>
              <w:rPr>
                <w:rFonts w:ascii="Times New Roman" w:hAnsi="Times New Roman" w:cs="Times New Roman"/>
                <w:color w:val="000000"/>
                <w:kern w:val="0"/>
                <w:sz w:val="18"/>
                <w:szCs w:val="18"/>
              </w:rPr>
              <w:t xml:space="preserve"> CMOS</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800</w:t>
            </w:r>
            <w:r>
              <w:rPr>
                <w:rFonts w:hint="eastAsia" w:ascii="宋体" w:hAnsi="宋体" w:cs="Times New Roman"/>
                <w:color w:val="000000"/>
                <w:kern w:val="0"/>
                <w:sz w:val="18"/>
                <w:szCs w:val="18"/>
              </w:rPr>
              <w:t>万星光级一体化红外激光云台摄像机</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云台安装支架</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国产定制</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室外落地一体化机柜</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700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750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1200mm</w:t>
            </w:r>
            <w:r>
              <w:rPr>
                <w:rFonts w:hint="eastAsia" w:ascii="宋体" w:hAnsi="宋体" w:cs="Times New Roman"/>
                <w:color w:val="000000"/>
                <w:kern w:val="0"/>
                <w:sz w:val="18"/>
                <w:szCs w:val="18"/>
              </w:rPr>
              <w:t>（含现浇底座、接地材料）</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r>
              <w:rPr>
                <w:rFonts w:hint="eastAsia" w:ascii="宋体" w:hAnsi="宋体" w:cs="Times New Roman"/>
                <w:color w:val="000000"/>
                <w:kern w:val="0"/>
                <w:sz w:val="18"/>
                <w:szCs w:val="18"/>
              </w:rPr>
              <w:t>类非屏蔽</w:t>
            </w:r>
            <w:r>
              <w:rPr>
                <w:rFonts w:ascii="Times New Roman" w:hAnsi="Times New Roman" w:cs="Times New Roman"/>
                <w:color w:val="000000"/>
                <w:kern w:val="0"/>
                <w:sz w:val="18"/>
                <w:szCs w:val="18"/>
              </w:rPr>
              <w:t>UTP</w:t>
            </w:r>
            <w:r>
              <w:rPr>
                <w:rFonts w:hint="eastAsia" w:ascii="宋体" w:hAnsi="宋体" w:cs="Times New Roman"/>
                <w:color w:val="000000"/>
                <w:kern w:val="0"/>
                <w:sz w:val="18"/>
                <w:szCs w:val="18"/>
              </w:rPr>
              <w:t>双绞线</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305m</w:t>
            </w:r>
            <w:r>
              <w:rPr>
                <w:rFonts w:hint="eastAsia" w:ascii="宋体" w:hAnsi="宋体" w:cs="Times New Roman"/>
                <w:color w:val="000000"/>
                <w:kern w:val="0"/>
                <w:sz w:val="18"/>
                <w:szCs w:val="18"/>
              </w:rPr>
              <w:t>／箱</w:t>
            </w:r>
            <w:r>
              <w:rPr>
                <w:rFonts w:ascii="Times New Roman" w:hAnsi="Times New Roman" w:cs="Times New Roman"/>
                <w:color w:val="000000"/>
                <w:kern w:val="0"/>
                <w:sz w:val="18"/>
                <w:szCs w:val="18"/>
              </w:rPr>
              <w:t xml:space="preserve"> GC-BS-I9 4*2*0.5</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箱</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星光级高清网络球机</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400</w:t>
            </w:r>
            <w:r>
              <w:rPr>
                <w:rFonts w:hint="eastAsia" w:ascii="宋体" w:hAnsi="宋体" w:cs="Times New Roman"/>
                <w:color w:val="000000"/>
                <w:kern w:val="0"/>
                <w:sz w:val="18"/>
                <w:szCs w:val="18"/>
              </w:rPr>
              <w:t>万像素，支持</w:t>
            </w:r>
            <w:r>
              <w:rPr>
                <w:rFonts w:ascii="Times New Roman" w:hAnsi="Times New Roman" w:cs="Times New Roman"/>
                <w:color w:val="000000"/>
                <w:kern w:val="0"/>
                <w:sz w:val="18"/>
                <w:szCs w:val="18"/>
              </w:rPr>
              <w:t>32</w:t>
            </w:r>
            <w:r>
              <w:rPr>
                <w:rFonts w:hint="eastAsia" w:ascii="宋体" w:hAnsi="宋体" w:cs="Times New Roman"/>
                <w:color w:val="000000"/>
                <w:kern w:val="0"/>
                <w:sz w:val="18"/>
                <w:szCs w:val="18"/>
              </w:rPr>
              <w:t>倍光学变倍，</w:t>
            </w:r>
            <w:r>
              <w:rPr>
                <w:rFonts w:ascii="Times New Roman" w:hAnsi="Times New Roman" w:cs="Times New Roman"/>
                <w:color w:val="000000"/>
                <w:kern w:val="0"/>
                <w:sz w:val="18"/>
                <w:szCs w:val="18"/>
              </w:rPr>
              <w:t>16</w:t>
            </w:r>
            <w:r>
              <w:rPr>
                <w:rFonts w:hint="eastAsia" w:ascii="宋体" w:hAnsi="宋体" w:cs="Times New Roman"/>
                <w:color w:val="000000"/>
                <w:kern w:val="0"/>
                <w:sz w:val="18"/>
                <w:szCs w:val="18"/>
              </w:rPr>
              <w:t>倍数字变倍，带红外功能，自动补光</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球机支架</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国产定制</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RVV2</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1.5</w:t>
            </w:r>
            <w:r>
              <w:rPr>
                <w:rFonts w:hint="eastAsia" w:ascii="宋体" w:hAnsi="宋体" w:cs="Times New Roman"/>
                <w:color w:val="000000"/>
                <w:kern w:val="0"/>
                <w:sz w:val="18"/>
                <w:szCs w:val="18"/>
              </w:rPr>
              <w:t>铜芯电源线</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10000</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光纤收发器</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单模单纤光纤收发器</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r>
      <w:tr>
        <w:tblPrEx>
          <w:tblCellMar>
            <w:top w:w="0" w:type="dxa"/>
            <w:left w:w="108" w:type="dxa"/>
            <w:bottom w:w="0" w:type="dxa"/>
            <w:right w:w="108" w:type="dxa"/>
          </w:tblCellMar>
        </w:tblPrEx>
        <w:trPr>
          <w:trHeight w:val="600" w:hRule="atLeast"/>
        </w:trPr>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17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监控杆</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r>
              <w:rPr>
                <w:rFonts w:hint="eastAsia" w:ascii="宋体" w:hAnsi="宋体" w:cs="Times New Roman"/>
                <w:color w:val="000000"/>
                <w:kern w:val="0"/>
                <w:sz w:val="18"/>
                <w:szCs w:val="18"/>
              </w:rPr>
              <w:t>米，（含地笼、接地线缆）</w:t>
            </w:r>
          </w:p>
        </w:tc>
        <w:tc>
          <w:tcPr>
            <w:tcW w:w="9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9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杆体：圆锥钢杆</w:t>
            </w:r>
            <w:r>
              <w:rPr>
                <w:rFonts w:ascii="Times New Roman" w:hAnsi="Times New Roman" w:cs="Times New Roman"/>
                <w:color w:val="000000"/>
                <w:kern w:val="0"/>
                <w:sz w:val="18"/>
                <w:szCs w:val="18"/>
              </w:rPr>
              <w:t>6000-Φ140-Φ100-4</w:t>
            </w:r>
            <w:r>
              <w:rPr>
                <w:rFonts w:hint="eastAsia" w:ascii="宋体" w:hAnsi="宋体" w:cs="宋体"/>
                <w:color w:val="000000"/>
                <w:kern w:val="0"/>
                <w:sz w:val="18"/>
                <w:szCs w:val="18"/>
              </w:rPr>
              <w:t>，横臂（圆管）</w:t>
            </w:r>
            <w:r>
              <w:rPr>
                <w:rFonts w:ascii="Times New Roman" w:hAnsi="Times New Roman" w:cs="Times New Roman"/>
                <w:color w:val="000000"/>
                <w:kern w:val="0"/>
                <w:sz w:val="18"/>
                <w:szCs w:val="18"/>
              </w:rPr>
              <w:t>1000</w:t>
            </w:r>
            <w:r>
              <w:rPr>
                <w:rFonts w:ascii="Times New Roman" w:hAnsi="Times New Roman" w:cs="Times New Roman"/>
                <w:color w:val="FF0000"/>
                <w:kern w:val="0"/>
                <w:sz w:val="18"/>
                <w:szCs w:val="18"/>
              </w:rPr>
              <w:t>-Φ60-3.5</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地笼：</w:t>
            </w:r>
            <w:r>
              <w:rPr>
                <w:rFonts w:ascii="Times New Roman" w:hAnsi="Times New Roman" w:cs="Times New Roman"/>
                <w:color w:val="000000"/>
                <w:kern w:val="0"/>
                <w:sz w:val="18"/>
                <w:szCs w:val="18"/>
              </w:rPr>
              <w:t>4-M20-Φ350</w:t>
            </w:r>
            <w:r>
              <w:rPr>
                <w:rFonts w:hint="eastAsia" w:ascii="宋体" w:hAnsi="宋体" w:cs="宋体"/>
                <w:color w:val="000000"/>
                <w:kern w:val="0"/>
                <w:sz w:val="18"/>
                <w:szCs w:val="18"/>
              </w:rPr>
              <w:t>＊</w:t>
            </w:r>
            <w:r>
              <w:rPr>
                <w:rFonts w:ascii="Times New Roman" w:hAnsi="Times New Roman" w:cs="Times New Roman"/>
                <w:color w:val="000000"/>
                <w:kern w:val="0"/>
                <w:sz w:val="18"/>
                <w:szCs w:val="18"/>
              </w:rPr>
              <w:t>700</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手井</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500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600mm</w:t>
            </w:r>
            <w:r>
              <w:rPr>
                <w:rFonts w:hint="eastAsia" w:ascii="宋体" w:hAnsi="宋体" w:cs="Times New Roman"/>
                <w:color w:val="000000"/>
                <w:kern w:val="0"/>
                <w:sz w:val="18"/>
                <w:szCs w:val="18"/>
              </w:rPr>
              <w:t>（含开完、回填、砌砖、粉刷以及砖、砂、水泥等材料）</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设备箱</w:t>
            </w:r>
          </w:p>
        </w:tc>
        <w:tc>
          <w:tcPr>
            <w:tcW w:w="4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国产定制，含接地排、</w:t>
            </w:r>
            <w:r>
              <w:rPr>
                <w:rFonts w:ascii="Times New Roman" w:hAnsi="Times New Roman" w:cs="Times New Roman"/>
                <w:color w:val="000000"/>
                <w:kern w:val="0"/>
                <w:sz w:val="18"/>
                <w:szCs w:val="18"/>
              </w:rPr>
              <w:t>12</w:t>
            </w:r>
            <w:r>
              <w:rPr>
                <w:rFonts w:hint="eastAsia" w:ascii="宋体" w:hAnsi="宋体" w:cs="宋体"/>
                <w:color w:val="000000"/>
                <w:kern w:val="0"/>
                <w:sz w:val="18"/>
                <w:szCs w:val="18"/>
              </w:rPr>
              <w:t>芯熔纤单元，</w:t>
            </w:r>
            <w:r>
              <w:rPr>
                <w:rFonts w:ascii="Times New Roman" w:hAnsi="Times New Roman" w:cs="Times New Roman"/>
                <w:color w:val="000000"/>
                <w:kern w:val="0"/>
                <w:sz w:val="18"/>
                <w:szCs w:val="18"/>
              </w:rPr>
              <w:t>5</w:t>
            </w:r>
            <w:r>
              <w:rPr>
                <w:rFonts w:hint="eastAsia" w:ascii="宋体" w:hAnsi="宋体" w:cs="宋体"/>
                <w:color w:val="000000"/>
                <w:kern w:val="0"/>
                <w:sz w:val="18"/>
                <w:szCs w:val="18"/>
              </w:rPr>
              <w:t>孔三插接线板</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防雷器</w:t>
            </w:r>
          </w:p>
        </w:tc>
        <w:tc>
          <w:tcPr>
            <w:tcW w:w="4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三合一等电位防雷器</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PVC</w:t>
            </w:r>
            <w:r>
              <w:rPr>
                <w:rFonts w:hint="eastAsia" w:ascii="宋体" w:hAnsi="宋体" w:cs="Times New Roman"/>
                <w:color w:val="000000"/>
                <w:kern w:val="0"/>
                <w:sz w:val="18"/>
                <w:szCs w:val="18"/>
              </w:rPr>
              <w:t>子管</w:t>
            </w:r>
          </w:p>
        </w:tc>
        <w:tc>
          <w:tcPr>
            <w:tcW w:w="419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Φ28</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32PVC</w:t>
            </w:r>
            <w:r>
              <w:rPr>
                <w:rFonts w:hint="eastAsia" w:ascii="宋体" w:hAnsi="宋体" w:cs="Times New Roman"/>
                <w:color w:val="000000"/>
                <w:kern w:val="0"/>
                <w:sz w:val="18"/>
                <w:szCs w:val="18"/>
              </w:rPr>
              <w:t>子管</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10000</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4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破路、恢复</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685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二、存储设备</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810" w:hRule="atLeast"/>
        </w:trPr>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7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网络存储服务器</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Times New Roman"/>
                <w:color w:val="000000"/>
                <w:kern w:val="0"/>
                <w:sz w:val="18"/>
                <w:szCs w:val="18"/>
              </w:rPr>
              <w:t>．采用</w:t>
            </w:r>
            <w:r>
              <w:rPr>
                <w:rFonts w:ascii="Times New Roman" w:hAnsi="Times New Roman" w:cs="Times New Roman"/>
                <w:color w:val="000000"/>
                <w:kern w:val="0"/>
                <w:sz w:val="18"/>
                <w:szCs w:val="18"/>
              </w:rPr>
              <w:t>LINUX</w:t>
            </w:r>
            <w:r>
              <w:rPr>
                <w:rFonts w:hint="eastAsia" w:ascii="宋体" w:hAnsi="宋体" w:cs="Times New Roman"/>
                <w:color w:val="000000"/>
                <w:kern w:val="0"/>
                <w:sz w:val="18"/>
                <w:szCs w:val="18"/>
              </w:rPr>
              <w:t>操作系统，</w:t>
            </w:r>
            <w:r>
              <w:rPr>
                <w:rFonts w:ascii="Times New Roman" w:hAnsi="Times New Roman" w:cs="Times New Roman"/>
                <w:color w:val="000000"/>
                <w:kern w:val="0"/>
                <w:sz w:val="18"/>
                <w:szCs w:val="18"/>
              </w:rPr>
              <w:t>1</w:t>
            </w:r>
            <w:r>
              <w:rPr>
                <w:rFonts w:hint="eastAsia" w:ascii="宋体" w:hAnsi="宋体" w:cs="Times New Roman"/>
                <w:color w:val="000000"/>
                <w:kern w:val="0"/>
                <w:sz w:val="18"/>
                <w:szCs w:val="18"/>
              </w:rPr>
              <w:t>个</w:t>
            </w:r>
            <w:r>
              <w:rPr>
                <w:rFonts w:ascii="Times New Roman" w:hAnsi="Times New Roman" w:cs="Times New Roman"/>
                <w:color w:val="000000"/>
                <w:kern w:val="0"/>
                <w:sz w:val="18"/>
                <w:szCs w:val="18"/>
              </w:rPr>
              <w:t>64</w:t>
            </w:r>
            <w:r>
              <w:rPr>
                <w:rFonts w:hint="eastAsia" w:ascii="宋体" w:hAnsi="宋体" w:cs="Times New Roman"/>
                <w:color w:val="000000"/>
                <w:kern w:val="0"/>
                <w:sz w:val="18"/>
                <w:szCs w:val="18"/>
              </w:rPr>
              <w:t>位四核处理器，</w:t>
            </w:r>
            <w:r>
              <w:rPr>
                <w:rFonts w:ascii="Times New Roman" w:hAnsi="Times New Roman" w:cs="Times New Roman"/>
                <w:color w:val="000000"/>
                <w:kern w:val="0"/>
                <w:sz w:val="18"/>
                <w:szCs w:val="18"/>
              </w:rPr>
              <w:t>4G</w:t>
            </w:r>
            <w:r>
              <w:rPr>
                <w:rFonts w:hint="eastAsia" w:ascii="宋体" w:hAnsi="宋体" w:cs="Times New Roman"/>
                <w:color w:val="000000"/>
                <w:kern w:val="0"/>
                <w:sz w:val="18"/>
                <w:szCs w:val="18"/>
              </w:rPr>
              <w:t>内存，可扩</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Times New Roman"/>
                <w:color w:val="000000"/>
                <w:kern w:val="0"/>
                <w:sz w:val="18"/>
                <w:szCs w:val="18"/>
              </w:rPr>
              <w:t>具有</w:t>
            </w:r>
            <w:r>
              <w:rPr>
                <w:rFonts w:ascii="Times New Roman" w:hAnsi="Times New Roman" w:cs="Times New Roman"/>
                <w:color w:val="000000"/>
                <w:kern w:val="0"/>
                <w:sz w:val="18"/>
                <w:szCs w:val="18"/>
              </w:rPr>
              <w:t>2</w:t>
            </w:r>
            <w:r>
              <w:rPr>
                <w:rFonts w:hint="eastAsia" w:ascii="宋体" w:hAnsi="宋体" w:cs="Times New Roman"/>
                <w:color w:val="000000"/>
                <w:kern w:val="0"/>
                <w:sz w:val="18"/>
                <w:szCs w:val="18"/>
              </w:rPr>
              <w:t>个电源模块、能独立进行工作。</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6T</w:t>
            </w:r>
            <w:r>
              <w:rPr>
                <w:rFonts w:hint="eastAsia" w:ascii="宋体" w:hAnsi="宋体" w:cs="Times New Roman"/>
                <w:color w:val="000000"/>
                <w:kern w:val="0"/>
                <w:sz w:val="18"/>
                <w:szCs w:val="18"/>
              </w:rPr>
              <w:t>硬盘</w:t>
            </w:r>
          </w:p>
        </w:tc>
        <w:tc>
          <w:tcPr>
            <w:tcW w:w="419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6000G;7200RPM;256M;SATA</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r>
      <w:tr>
        <w:tblPrEx>
          <w:tblCellMar>
            <w:top w:w="0" w:type="dxa"/>
            <w:left w:w="108" w:type="dxa"/>
            <w:bottom w:w="0" w:type="dxa"/>
            <w:right w:w="108" w:type="dxa"/>
          </w:tblCellMar>
        </w:tblPrEx>
        <w:trPr>
          <w:trHeight w:val="600" w:hRule="atLeast"/>
        </w:trPr>
        <w:tc>
          <w:tcPr>
            <w:tcW w:w="685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三、大屏设备</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600" w:hRule="atLeast"/>
        </w:trPr>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7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55</w:t>
            </w:r>
            <w:r>
              <w:rPr>
                <w:rFonts w:hint="eastAsia" w:ascii="宋体" w:hAnsi="宋体" w:cs="Times New Roman"/>
                <w:color w:val="000000"/>
                <w:kern w:val="0"/>
                <w:sz w:val="18"/>
                <w:szCs w:val="18"/>
              </w:rPr>
              <w:t>寸大屏</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Times New Roman"/>
                <w:color w:val="000000"/>
                <w:kern w:val="0"/>
                <w:sz w:val="18"/>
                <w:szCs w:val="18"/>
              </w:rPr>
              <w:t>．屏幕尺寸</w:t>
            </w:r>
            <w:r>
              <w:rPr>
                <w:rFonts w:ascii="Times New Roman" w:hAnsi="Times New Roman" w:cs="Times New Roman"/>
                <w:color w:val="000000"/>
                <w:kern w:val="0"/>
                <w:sz w:val="18"/>
                <w:szCs w:val="18"/>
              </w:rPr>
              <w:t>55</w:t>
            </w:r>
            <w:r>
              <w:rPr>
                <w:rFonts w:hint="eastAsia" w:ascii="宋体" w:hAnsi="宋体" w:cs="Times New Roman"/>
                <w:color w:val="000000"/>
                <w:kern w:val="0"/>
                <w:sz w:val="18"/>
                <w:szCs w:val="18"/>
              </w:rPr>
              <w:t>寸，</w:t>
            </w:r>
            <w:r>
              <w:rPr>
                <w:rFonts w:ascii="Times New Roman" w:hAnsi="Times New Roman" w:cs="Times New Roman"/>
                <w:color w:val="000000"/>
                <w:kern w:val="0"/>
                <w:sz w:val="18"/>
                <w:szCs w:val="18"/>
              </w:rPr>
              <w:t>LED</w:t>
            </w:r>
            <w:r>
              <w:rPr>
                <w:rFonts w:hint="eastAsia" w:ascii="宋体" w:hAnsi="宋体" w:cs="Times New Roman"/>
                <w:color w:val="000000"/>
                <w:kern w:val="0"/>
                <w:sz w:val="18"/>
                <w:szCs w:val="18"/>
              </w:rPr>
              <w:t>光源；分辨率：</w:t>
            </w:r>
            <w:r>
              <w:rPr>
                <w:rFonts w:ascii="Times New Roman" w:hAnsi="Times New Roman" w:cs="Times New Roman"/>
                <w:color w:val="000000"/>
                <w:kern w:val="0"/>
                <w:sz w:val="18"/>
                <w:szCs w:val="18"/>
              </w:rPr>
              <w:t>1920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1080</w:t>
            </w:r>
            <w:r>
              <w:rPr>
                <w:rFonts w:hint="eastAsia" w:ascii="宋体" w:hAnsi="宋体" w:cs="Times New Roman"/>
                <w:color w:val="000000"/>
                <w:kern w:val="0"/>
                <w:sz w:val="18"/>
                <w:szCs w:val="18"/>
              </w:rPr>
              <w:t>，双边拼缝</w:t>
            </w:r>
            <w:r>
              <w:rPr>
                <w:rFonts w:ascii="Times New Roman" w:hAnsi="Times New Roman" w:cs="Times New Roman"/>
                <w:color w:val="000000"/>
                <w:kern w:val="0"/>
                <w:sz w:val="18"/>
                <w:szCs w:val="18"/>
              </w:rPr>
              <w:t>≤3.5mm;</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Times New Roman"/>
                <w:color w:val="000000"/>
                <w:kern w:val="0"/>
                <w:sz w:val="18"/>
                <w:szCs w:val="18"/>
              </w:rPr>
              <w:t>．亮度不低于</w:t>
            </w:r>
            <w:r>
              <w:rPr>
                <w:rFonts w:ascii="Times New Roman" w:hAnsi="Times New Roman" w:cs="Times New Roman"/>
                <w:color w:val="000000"/>
                <w:kern w:val="0"/>
                <w:sz w:val="18"/>
                <w:szCs w:val="18"/>
              </w:rPr>
              <w:t>500cd</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m2</w:t>
            </w:r>
            <w:r>
              <w:rPr>
                <w:rFonts w:hint="eastAsia" w:ascii="宋体" w:hAnsi="宋体" w:cs="Times New Roman"/>
                <w:color w:val="000000"/>
                <w:kern w:val="0"/>
                <w:sz w:val="18"/>
                <w:szCs w:val="18"/>
              </w:rPr>
              <w:t>，对比度不低于</w:t>
            </w:r>
            <w:r>
              <w:rPr>
                <w:rFonts w:ascii="Times New Roman" w:hAnsi="Times New Roman" w:cs="Times New Roman"/>
                <w:color w:val="000000"/>
                <w:kern w:val="0"/>
                <w:sz w:val="18"/>
                <w:szCs w:val="18"/>
              </w:rPr>
              <w:t>4000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w:t>
            </w:r>
            <w:r>
              <w:rPr>
                <w:rFonts w:hint="eastAsia" w:ascii="宋体" w:hAnsi="宋体" w:cs="Times New Roman"/>
                <w:color w:val="000000"/>
                <w:kern w:val="0"/>
                <w:sz w:val="18"/>
                <w:szCs w:val="18"/>
              </w:rPr>
              <w:t>；图像显示清晰度</w:t>
            </w:r>
            <w:r>
              <w:rPr>
                <w:rFonts w:ascii="Times New Roman" w:hAnsi="Times New Roman" w:cs="Times New Roman"/>
                <w:color w:val="000000"/>
                <w:kern w:val="0"/>
                <w:sz w:val="18"/>
                <w:szCs w:val="18"/>
              </w:rPr>
              <w:t>≥950TVL</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7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r>
              <w:rPr>
                <w:rFonts w:hint="eastAsia" w:ascii="宋体" w:hAnsi="宋体" w:cs="Times New Roman"/>
                <w:color w:val="000000"/>
                <w:kern w:val="0"/>
                <w:sz w:val="18"/>
                <w:szCs w:val="18"/>
              </w:rPr>
              <w:t>路高清解码器</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r>
              <w:rPr>
                <w:rFonts w:ascii="Times New Roman" w:hAnsi="Times New Roman" w:cs="Times New Roman"/>
                <w:color w:val="000000"/>
                <w:kern w:val="0"/>
                <w:sz w:val="18"/>
                <w:szCs w:val="18"/>
              </w:rPr>
              <w:t>18</w:t>
            </w:r>
            <w:r>
              <w:rPr>
                <w:rFonts w:hint="eastAsia" w:ascii="宋体" w:hAnsi="宋体" w:cs="宋体"/>
                <w:color w:val="000000"/>
                <w:kern w:val="0"/>
                <w:sz w:val="18"/>
                <w:szCs w:val="18"/>
              </w:rPr>
              <w:t>路</w:t>
            </w:r>
            <w:r>
              <w:rPr>
                <w:rFonts w:ascii="Times New Roman" w:hAnsi="Times New Roman" w:cs="Times New Roman"/>
                <w:color w:val="000000"/>
                <w:kern w:val="0"/>
                <w:sz w:val="18"/>
                <w:szCs w:val="18"/>
              </w:rPr>
              <w:t>HDMI</w:t>
            </w:r>
            <w:r>
              <w:rPr>
                <w:rFonts w:hint="eastAsia" w:ascii="宋体" w:hAnsi="宋体" w:cs="宋体"/>
                <w:color w:val="000000"/>
                <w:kern w:val="0"/>
                <w:sz w:val="18"/>
                <w:szCs w:val="18"/>
              </w:rPr>
              <w:t>信号输出接口</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r>
              <w:rPr>
                <w:rFonts w:ascii="Times New Roman" w:hAnsi="Times New Roman" w:cs="Times New Roman"/>
                <w:color w:val="000000"/>
                <w:kern w:val="0"/>
                <w:sz w:val="18"/>
                <w:szCs w:val="18"/>
              </w:rPr>
              <w:t>18</w:t>
            </w:r>
            <w:r>
              <w:rPr>
                <w:rFonts w:hint="eastAsia" w:ascii="宋体" w:hAnsi="宋体" w:cs="宋体"/>
                <w:color w:val="000000"/>
                <w:kern w:val="0"/>
                <w:sz w:val="18"/>
                <w:szCs w:val="18"/>
              </w:rPr>
              <w:t>路</w:t>
            </w:r>
            <w:r>
              <w:rPr>
                <w:rFonts w:ascii="Times New Roman" w:hAnsi="Times New Roman" w:cs="Times New Roman"/>
                <w:color w:val="000000"/>
                <w:kern w:val="0"/>
                <w:sz w:val="18"/>
                <w:szCs w:val="18"/>
              </w:rPr>
              <w:t>HDMI</w:t>
            </w:r>
            <w:r>
              <w:rPr>
                <w:rFonts w:hint="eastAsia" w:ascii="宋体" w:hAnsi="宋体" w:cs="宋体"/>
                <w:color w:val="000000"/>
                <w:kern w:val="0"/>
                <w:sz w:val="18"/>
                <w:szCs w:val="18"/>
              </w:rPr>
              <w:t>音频输出</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国产原厂配套线材、接插件</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原厂配套</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7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国产交流配电箱</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20KW</w:t>
            </w:r>
            <w:r>
              <w:rPr>
                <w:rFonts w:hint="eastAsia" w:ascii="宋体" w:hAnsi="宋体" w:cs="Times New Roman"/>
                <w:color w:val="000000"/>
                <w:kern w:val="0"/>
                <w:sz w:val="18"/>
                <w:szCs w:val="18"/>
              </w:rPr>
              <w:t>大屏专用配电箱</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Times New Roman"/>
                <w:color w:val="000000"/>
                <w:kern w:val="0"/>
                <w:sz w:val="18"/>
                <w:szCs w:val="18"/>
              </w:rPr>
              <w:t>、输入</w:t>
            </w:r>
            <w:r>
              <w:rPr>
                <w:rFonts w:ascii="Times New Roman" w:hAnsi="Times New Roman" w:cs="Times New Roman"/>
                <w:color w:val="000000"/>
                <w:kern w:val="0"/>
                <w:sz w:val="18"/>
                <w:szCs w:val="18"/>
              </w:rPr>
              <w:t>300A</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3P</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w:t>
            </w:r>
            <w:r>
              <w:rPr>
                <w:rFonts w:hint="eastAsia" w:ascii="宋体" w:hAnsi="宋体" w:cs="Times New Roman"/>
                <w:color w:val="000000"/>
                <w:kern w:val="0"/>
                <w:sz w:val="18"/>
                <w:szCs w:val="18"/>
              </w:rPr>
              <w:t>个，输出</w:t>
            </w:r>
            <w:r>
              <w:rPr>
                <w:rFonts w:ascii="Times New Roman" w:hAnsi="Times New Roman" w:cs="Times New Roman"/>
                <w:color w:val="000000"/>
                <w:kern w:val="0"/>
                <w:sz w:val="18"/>
                <w:szCs w:val="18"/>
              </w:rPr>
              <w:t>100A</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3P</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2</w:t>
            </w:r>
            <w:r>
              <w:rPr>
                <w:rFonts w:hint="eastAsia" w:ascii="宋体" w:hAnsi="宋体" w:cs="Times New Roman"/>
                <w:color w:val="000000"/>
                <w:kern w:val="0"/>
                <w:sz w:val="18"/>
                <w:szCs w:val="18"/>
              </w:rPr>
              <w:t>个，</w:t>
            </w:r>
            <w:r>
              <w:rPr>
                <w:rFonts w:ascii="Times New Roman" w:hAnsi="Times New Roman" w:cs="Times New Roman"/>
                <w:color w:val="000000"/>
                <w:kern w:val="0"/>
                <w:sz w:val="18"/>
                <w:szCs w:val="18"/>
              </w:rPr>
              <w:t>50A</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3P</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3</w:t>
            </w:r>
            <w:r>
              <w:rPr>
                <w:rFonts w:hint="eastAsia" w:ascii="宋体" w:hAnsi="宋体" w:cs="Times New Roman"/>
                <w:color w:val="000000"/>
                <w:kern w:val="0"/>
                <w:sz w:val="18"/>
                <w:szCs w:val="18"/>
              </w:rPr>
              <w:t>个；</w:t>
            </w:r>
            <w:r>
              <w:rPr>
                <w:rFonts w:ascii="Times New Roman" w:hAnsi="Times New Roman" w:cs="Times New Roman"/>
                <w:color w:val="000000"/>
                <w:kern w:val="0"/>
                <w:sz w:val="18"/>
                <w:szCs w:val="18"/>
              </w:rPr>
              <w:t>63A</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3P</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12</w:t>
            </w:r>
            <w:r>
              <w:rPr>
                <w:rFonts w:hint="eastAsia" w:ascii="宋体" w:hAnsi="宋体" w:cs="Times New Roman"/>
                <w:color w:val="000000"/>
                <w:kern w:val="0"/>
                <w:sz w:val="18"/>
                <w:szCs w:val="18"/>
              </w:rPr>
              <w:t>个；</w:t>
            </w:r>
            <w:r>
              <w:rPr>
                <w:rFonts w:ascii="Times New Roman" w:hAnsi="Times New Roman" w:cs="Times New Roman"/>
                <w:color w:val="000000"/>
                <w:kern w:val="0"/>
                <w:sz w:val="18"/>
                <w:szCs w:val="18"/>
              </w:rPr>
              <w:t>32A</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3P</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3</w:t>
            </w:r>
            <w:r>
              <w:rPr>
                <w:rFonts w:hint="eastAsia" w:ascii="宋体" w:hAnsi="宋体" w:cs="Times New Roman"/>
                <w:color w:val="000000"/>
                <w:kern w:val="0"/>
                <w:sz w:val="18"/>
                <w:szCs w:val="18"/>
              </w:rPr>
              <w:t>个；</w:t>
            </w:r>
            <w:r>
              <w:rPr>
                <w:rFonts w:ascii="Times New Roman" w:hAnsi="Times New Roman" w:cs="Times New Roman"/>
                <w:color w:val="000000"/>
                <w:kern w:val="0"/>
                <w:sz w:val="18"/>
                <w:szCs w:val="18"/>
              </w:rPr>
              <w:t>16A</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1P</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12</w:t>
            </w:r>
            <w:r>
              <w:rPr>
                <w:rFonts w:hint="eastAsia" w:ascii="宋体" w:hAnsi="宋体" w:cs="Times New Roman"/>
                <w:color w:val="000000"/>
                <w:kern w:val="0"/>
                <w:sz w:val="18"/>
                <w:szCs w:val="18"/>
              </w:rPr>
              <w:t>个；</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Times New Roman"/>
                <w:color w:val="000000"/>
                <w:kern w:val="0"/>
                <w:sz w:val="18"/>
                <w:szCs w:val="18"/>
              </w:rPr>
              <w:t>、采用品牌开关；具备</w:t>
            </w:r>
            <w:r>
              <w:rPr>
                <w:rFonts w:ascii="Times New Roman" w:hAnsi="Times New Roman" w:cs="Times New Roman"/>
                <w:color w:val="000000"/>
                <w:kern w:val="0"/>
                <w:sz w:val="18"/>
                <w:szCs w:val="18"/>
              </w:rPr>
              <w:t>B</w:t>
            </w:r>
            <w:r>
              <w:rPr>
                <w:rFonts w:hint="eastAsia" w:ascii="宋体" w:hAnsi="宋体" w:cs="Times New Roman"/>
                <w:color w:val="000000"/>
                <w:kern w:val="0"/>
                <w:sz w:val="18"/>
                <w:szCs w:val="18"/>
              </w:rPr>
              <w:t>级防雷装置；采用智能仪表；具备监控系统通讯接口</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685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四、管理平台</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w:t>
            </w:r>
          </w:p>
        </w:tc>
      </w:tr>
      <w:tr>
        <w:tblPrEx>
          <w:tblCellMar>
            <w:top w:w="0" w:type="dxa"/>
            <w:left w:w="108" w:type="dxa"/>
            <w:bottom w:w="0" w:type="dxa"/>
            <w:right w:w="108" w:type="dxa"/>
          </w:tblCellMar>
        </w:tblPrEx>
        <w:trPr>
          <w:trHeight w:val="600" w:hRule="atLeast"/>
        </w:trPr>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7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视频综合管理平</w:t>
            </w:r>
            <w:r>
              <w:rPr>
                <w:rFonts w:ascii="Times New Roman" w:hAnsi="Times New Roman" w:cs="Times New Roman"/>
                <w:color w:val="000000"/>
                <w:kern w:val="0"/>
                <w:sz w:val="18"/>
                <w:szCs w:val="18"/>
              </w:rPr>
              <w:br w:type="textWrapping"/>
            </w:r>
            <w:r>
              <w:rPr>
                <w:rFonts w:hint="eastAsia" w:ascii="宋体" w:hAnsi="宋体" w:cs="宋体"/>
                <w:color w:val="000000"/>
                <w:kern w:val="0"/>
                <w:sz w:val="18"/>
                <w:szCs w:val="18"/>
              </w:rPr>
              <w:t>台</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Times New Roman"/>
                <w:color w:val="000000"/>
                <w:kern w:val="0"/>
                <w:sz w:val="18"/>
                <w:szCs w:val="18"/>
              </w:rPr>
              <w:t>．客户端支持多屏应用，同时展现多个业务界面，支持以浮动窗方式，实时展示报警状态；</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Times New Roman"/>
                <w:color w:val="000000"/>
                <w:kern w:val="0"/>
                <w:sz w:val="18"/>
                <w:szCs w:val="18"/>
              </w:rPr>
              <w:t>．支持视频流转发、录像回放和下载，具有组播设置选项，支持发送</w:t>
            </w:r>
            <w:r>
              <w:rPr>
                <w:rFonts w:ascii="Times New Roman" w:hAnsi="Times New Roman" w:cs="Times New Roman"/>
                <w:color w:val="000000"/>
                <w:kern w:val="0"/>
                <w:sz w:val="18"/>
                <w:szCs w:val="18"/>
              </w:rPr>
              <w:t>RTSP</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RTMP</w:t>
            </w:r>
            <w:r>
              <w:rPr>
                <w:rFonts w:hint="eastAsia" w:ascii="宋体" w:hAnsi="宋体" w:cs="Times New Roman"/>
                <w:color w:val="000000"/>
                <w:kern w:val="0"/>
                <w:sz w:val="18"/>
                <w:szCs w:val="18"/>
              </w:rPr>
              <w:t>协议实时码流；</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Times New Roman"/>
                <w:color w:val="000000"/>
                <w:kern w:val="0"/>
                <w:sz w:val="18"/>
                <w:szCs w:val="18"/>
              </w:rPr>
              <w:t>．支持实时预览，支持</w:t>
            </w:r>
            <w:r>
              <w:rPr>
                <w:rFonts w:ascii="Times New Roman" w:hAnsi="Times New Roman" w:cs="Times New Roman"/>
                <w:color w:val="000000"/>
                <w:kern w:val="0"/>
                <w:sz w:val="18"/>
                <w:szCs w:val="18"/>
              </w:rPr>
              <w:t>1/4/6/8/9/13/16/20/25/36/64</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r>
              <w:rPr>
                <w:rFonts w:hint="eastAsia" w:ascii="宋体" w:hAnsi="宋体" w:cs="Times New Roman"/>
                <w:color w:val="000000"/>
                <w:kern w:val="0"/>
                <w:sz w:val="18"/>
                <w:szCs w:val="18"/>
              </w:rPr>
              <w:t>．支持多路回放，多路同步回放（多路最大支持</w:t>
            </w:r>
            <w:r>
              <w:rPr>
                <w:rFonts w:ascii="Times New Roman" w:hAnsi="Times New Roman" w:cs="Times New Roman"/>
                <w:color w:val="000000"/>
                <w:kern w:val="0"/>
                <w:sz w:val="18"/>
                <w:szCs w:val="18"/>
              </w:rPr>
              <w:t>36</w:t>
            </w:r>
            <w:r>
              <w:rPr>
                <w:rFonts w:hint="eastAsia" w:ascii="宋体" w:hAnsi="宋体" w:cs="Times New Roman"/>
                <w:color w:val="000000"/>
                <w:kern w:val="0"/>
                <w:sz w:val="18"/>
                <w:szCs w:val="18"/>
              </w:rPr>
              <w:t>路）</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7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r>
              <w:rPr>
                <w:rFonts w:hint="eastAsia" w:ascii="宋体" w:hAnsi="宋体" w:cs="Times New Roman"/>
                <w:color w:val="000000"/>
                <w:kern w:val="0"/>
                <w:sz w:val="18"/>
                <w:szCs w:val="18"/>
              </w:rPr>
              <w:t>口汇聚交换机</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r>
              <w:rPr>
                <w:rFonts w:hint="eastAsia" w:ascii="宋体" w:hAnsi="宋体" w:cs="Times New Roman"/>
                <w:color w:val="000000"/>
                <w:kern w:val="0"/>
                <w:sz w:val="18"/>
                <w:szCs w:val="18"/>
              </w:rPr>
              <w:t>个</w:t>
            </w:r>
            <w:r>
              <w:rPr>
                <w:rFonts w:ascii="Times New Roman" w:hAnsi="Times New Roman" w:cs="Times New Roman"/>
                <w:color w:val="000000"/>
                <w:kern w:val="0"/>
                <w:sz w:val="18"/>
                <w:szCs w:val="18"/>
              </w:rPr>
              <w:t>10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100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1000Base-T</w:t>
            </w:r>
            <w:r>
              <w:rPr>
                <w:rFonts w:hint="eastAsia" w:ascii="宋体" w:hAnsi="宋体" w:cs="Times New Roman"/>
                <w:color w:val="000000"/>
                <w:kern w:val="0"/>
                <w:sz w:val="18"/>
                <w:szCs w:val="18"/>
              </w:rPr>
              <w:t>以太网端口</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5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r>
              <w:rPr>
                <w:rFonts w:hint="eastAsia" w:ascii="宋体" w:hAnsi="宋体" w:cs="Times New Roman"/>
                <w:color w:val="000000"/>
                <w:kern w:val="0"/>
                <w:sz w:val="18"/>
                <w:szCs w:val="18"/>
              </w:rPr>
              <w:t>个</w:t>
            </w:r>
            <w:r>
              <w:rPr>
                <w:rFonts w:ascii="Times New Roman" w:hAnsi="Times New Roman" w:cs="Times New Roman"/>
                <w:color w:val="000000"/>
                <w:kern w:val="0"/>
                <w:sz w:val="18"/>
                <w:szCs w:val="18"/>
              </w:rPr>
              <w:t>100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1000 Base-X SFP</w:t>
            </w:r>
            <w:r>
              <w:rPr>
                <w:rFonts w:hint="eastAsia" w:ascii="宋体" w:hAnsi="宋体" w:cs="Times New Roman"/>
                <w:color w:val="000000"/>
                <w:kern w:val="0"/>
                <w:sz w:val="18"/>
                <w:szCs w:val="18"/>
              </w:rPr>
              <w:t>光口</w:t>
            </w: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操作台</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二联操作台</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标准服务器机柜</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w:t>
            </w:r>
            <w:r>
              <w:rPr>
                <w:rFonts w:hint="eastAsia" w:ascii="宋体" w:hAnsi="宋体" w:cs="Times New Roman"/>
                <w:color w:val="000000"/>
                <w:kern w:val="0"/>
                <w:sz w:val="18"/>
                <w:szCs w:val="18"/>
              </w:rPr>
              <w:t>英寸，</w:t>
            </w:r>
            <w:r>
              <w:rPr>
                <w:rFonts w:ascii="Times New Roman" w:hAnsi="Times New Roman" w:cs="Times New Roman"/>
                <w:color w:val="000000"/>
                <w:kern w:val="0"/>
                <w:sz w:val="18"/>
                <w:szCs w:val="18"/>
              </w:rPr>
              <w:t>42U</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2200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600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1000mm</w:t>
            </w:r>
            <w:r>
              <w:rPr>
                <w:rFonts w:hint="eastAsia" w:ascii="宋体" w:hAnsi="宋体" w:cs="Times New Roman"/>
                <w:color w:val="000000"/>
                <w:kern w:val="0"/>
                <w:sz w:val="18"/>
                <w:szCs w:val="18"/>
              </w:rPr>
              <w:t>，前网后网，</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ODF</w:t>
            </w:r>
            <w:r>
              <w:rPr>
                <w:rFonts w:hint="eastAsia" w:ascii="宋体" w:hAnsi="宋体" w:cs="Times New Roman"/>
                <w:color w:val="000000"/>
                <w:kern w:val="0"/>
                <w:sz w:val="18"/>
                <w:szCs w:val="18"/>
              </w:rPr>
              <w:t>子框</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72</w:t>
            </w:r>
            <w:r>
              <w:rPr>
                <w:rFonts w:hint="eastAsia" w:ascii="宋体" w:hAnsi="宋体" w:cs="Times New Roman"/>
                <w:color w:val="000000"/>
                <w:kern w:val="0"/>
                <w:sz w:val="18"/>
                <w:szCs w:val="18"/>
              </w:rPr>
              <w:t>芯</w:t>
            </w:r>
            <w:r>
              <w:rPr>
                <w:rFonts w:ascii="Times New Roman" w:hAnsi="Times New Roman" w:cs="Times New Roman"/>
                <w:color w:val="000000"/>
                <w:kern w:val="0"/>
                <w:sz w:val="18"/>
                <w:szCs w:val="18"/>
              </w:rPr>
              <w:t>0DF</w:t>
            </w:r>
            <w:r>
              <w:rPr>
                <w:rFonts w:hint="eastAsia" w:ascii="宋体" w:hAnsi="宋体" w:cs="Times New Roman"/>
                <w:color w:val="000000"/>
                <w:kern w:val="0"/>
                <w:sz w:val="18"/>
                <w:szCs w:val="18"/>
              </w:rPr>
              <w:t>子框（满配）</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插槽式光纤收发</w:t>
            </w:r>
            <w:r>
              <w:rPr>
                <w:rFonts w:ascii="Times New Roman" w:hAnsi="Times New Roman" w:cs="Times New Roman"/>
                <w:color w:val="000000"/>
                <w:kern w:val="0"/>
                <w:sz w:val="18"/>
                <w:szCs w:val="18"/>
              </w:rPr>
              <w:br w:type="textWrapping"/>
            </w:r>
            <w:r>
              <w:rPr>
                <w:rFonts w:hint="eastAsia" w:ascii="宋体" w:hAnsi="宋体" w:cs="宋体"/>
                <w:color w:val="000000"/>
                <w:kern w:val="0"/>
                <w:sz w:val="18"/>
                <w:szCs w:val="18"/>
              </w:rPr>
              <w:t>器机架</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插卡式</w:t>
            </w:r>
            <w:r>
              <w:rPr>
                <w:rFonts w:ascii="Times New Roman" w:hAnsi="Times New Roman" w:cs="Times New Roman"/>
                <w:color w:val="000000"/>
                <w:kern w:val="0"/>
                <w:sz w:val="18"/>
                <w:szCs w:val="18"/>
              </w:rPr>
              <w:t>16</w:t>
            </w:r>
            <w:r>
              <w:rPr>
                <w:rFonts w:hint="eastAsia" w:ascii="宋体" w:hAnsi="宋体" w:cs="宋体"/>
                <w:color w:val="000000"/>
                <w:kern w:val="0"/>
                <w:sz w:val="18"/>
                <w:szCs w:val="18"/>
              </w:rPr>
              <w:t>槽收发器机箱（含</w:t>
            </w:r>
            <w:r>
              <w:rPr>
                <w:rFonts w:ascii="Times New Roman" w:hAnsi="Times New Roman" w:cs="Times New Roman"/>
                <w:color w:val="000000"/>
                <w:kern w:val="0"/>
                <w:sz w:val="18"/>
                <w:szCs w:val="18"/>
              </w:rPr>
              <w:t>16</w:t>
            </w:r>
            <w:r>
              <w:rPr>
                <w:rFonts w:hint="eastAsia" w:ascii="宋体" w:hAnsi="宋体" w:cs="宋体"/>
                <w:color w:val="000000"/>
                <w:kern w:val="0"/>
                <w:sz w:val="18"/>
                <w:szCs w:val="18"/>
              </w:rPr>
              <w:t>台千兆单模单纤插卡收发器）</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网络配线架</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r>
              <w:rPr>
                <w:rFonts w:hint="eastAsia" w:ascii="宋体" w:hAnsi="宋体" w:cs="Times New Roman"/>
                <w:color w:val="000000"/>
                <w:kern w:val="0"/>
                <w:sz w:val="18"/>
                <w:szCs w:val="18"/>
              </w:rPr>
              <w:t>口，带理线器</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tblPrEx>
          <w:tblCellMar>
            <w:top w:w="0" w:type="dxa"/>
            <w:left w:w="108" w:type="dxa"/>
            <w:bottom w:w="0" w:type="dxa"/>
            <w:right w:w="108" w:type="dxa"/>
          </w:tblCellMar>
        </w:tblPrEx>
        <w:trPr>
          <w:trHeight w:val="679"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监控管理终端</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I5</w:t>
            </w:r>
            <w:r>
              <w:rPr>
                <w:rFonts w:hint="eastAsia" w:ascii="宋体" w:hAnsi="宋体" w:cs="Times New Roman"/>
                <w:color w:val="000000"/>
                <w:kern w:val="0"/>
                <w:sz w:val="18"/>
                <w:szCs w:val="18"/>
              </w:rPr>
              <w:t>处理器／</w:t>
            </w:r>
            <w:r>
              <w:rPr>
                <w:rFonts w:ascii="Times New Roman" w:hAnsi="Times New Roman" w:cs="Times New Roman"/>
                <w:color w:val="000000"/>
                <w:kern w:val="0"/>
                <w:sz w:val="18"/>
                <w:szCs w:val="18"/>
              </w:rPr>
              <w:t>4G</w:t>
            </w:r>
            <w:r>
              <w:rPr>
                <w:rFonts w:hint="eastAsia" w:ascii="宋体" w:hAnsi="宋体" w:cs="Times New Roman"/>
                <w:color w:val="000000"/>
                <w:kern w:val="0"/>
                <w:sz w:val="18"/>
                <w:szCs w:val="18"/>
              </w:rPr>
              <w:t>内存／</w:t>
            </w:r>
            <w:r>
              <w:rPr>
                <w:rFonts w:ascii="Times New Roman" w:hAnsi="Times New Roman" w:cs="Times New Roman"/>
                <w:color w:val="000000"/>
                <w:kern w:val="0"/>
                <w:sz w:val="18"/>
                <w:szCs w:val="18"/>
              </w:rPr>
              <w:t>500G</w:t>
            </w:r>
            <w:r>
              <w:rPr>
                <w:rFonts w:hint="eastAsia" w:ascii="宋体" w:hAnsi="宋体" w:cs="Times New Roman"/>
                <w:color w:val="000000"/>
                <w:kern w:val="0"/>
                <w:sz w:val="18"/>
                <w:szCs w:val="18"/>
              </w:rPr>
              <w:t>硬盘／英特尔芯片主板／独立显卡／</w:t>
            </w:r>
            <w:r>
              <w:rPr>
                <w:rFonts w:ascii="Times New Roman" w:hAnsi="Times New Roman" w:cs="Times New Roman"/>
                <w:color w:val="000000"/>
                <w:kern w:val="0"/>
                <w:sz w:val="18"/>
                <w:szCs w:val="18"/>
              </w:rPr>
              <w:t>64</w:t>
            </w:r>
            <w:r>
              <w:rPr>
                <w:rFonts w:hint="eastAsia" w:ascii="宋体" w:hAnsi="宋体" w:cs="Times New Roman"/>
                <w:color w:val="000000"/>
                <w:kern w:val="0"/>
                <w:sz w:val="18"/>
                <w:szCs w:val="18"/>
              </w:rPr>
              <w:t>位操作系统／</w:t>
            </w:r>
            <w:r>
              <w:rPr>
                <w:rFonts w:ascii="Times New Roman" w:hAnsi="Times New Roman" w:cs="Times New Roman"/>
                <w:color w:val="000000"/>
                <w:kern w:val="0"/>
                <w:sz w:val="18"/>
                <w:szCs w:val="18"/>
              </w:rPr>
              <w:t>23</w:t>
            </w:r>
            <w:r>
              <w:rPr>
                <w:rFonts w:hint="eastAsia" w:ascii="宋体" w:hAnsi="宋体" w:cs="Times New Roman"/>
                <w:color w:val="000000"/>
                <w:kern w:val="0"/>
                <w:sz w:val="18"/>
                <w:szCs w:val="18"/>
              </w:rPr>
              <w:t>英寸显示屏</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tblPrEx>
          <w:tblCellMar>
            <w:top w:w="0" w:type="dxa"/>
            <w:left w:w="108" w:type="dxa"/>
            <w:bottom w:w="0" w:type="dxa"/>
            <w:right w:w="108" w:type="dxa"/>
          </w:tblCellMar>
        </w:tblPrEx>
        <w:trPr>
          <w:trHeight w:val="600" w:hRule="atLeast"/>
        </w:trPr>
        <w:tc>
          <w:tcPr>
            <w:tcW w:w="685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color w:val="FF0000"/>
                <w:kern w:val="0"/>
                <w:sz w:val="18"/>
                <w:szCs w:val="18"/>
              </w:rPr>
            </w:pPr>
            <w:r>
              <w:rPr>
                <w:rFonts w:hint="eastAsia" w:ascii="宋体" w:hAnsi="宋体" w:cs="宋体"/>
                <w:color w:val="FF0000"/>
                <w:kern w:val="0"/>
                <w:sz w:val="18"/>
                <w:szCs w:val="18"/>
              </w:rPr>
              <w:t>五、专线费</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　</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20M</w:t>
            </w:r>
            <w:r>
              <w:rPr>
                <w:rFonts w:hint="eastAsia" w:ascii="宋体" w:hAnsi="宋体" w:cs="Times New Roman"/>
                <w:color w:val="FF0000"/>
                <w:kern w:val="0"/>
                <w:sz w:val="18"/>
                <w:szCs w:val="18"/>
              </w:rPr>
              <w:t>传输专线租赁及维护费（三年）</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18"/>
                <w:szCs w:val="18"/>
              </w:rPr>
            </w:pPr>
            <w:r>
              <w:rPr>
                <w:rFonts w:hint="eastAsia" w:ascii="宋体" w:hAnsi="宋体" w:cs="宋体"/>
                <w:color w:val="FF0000"/>
                <w:kern w:val="0"/>
                <w:sz w:val="18"/>
                <w:szCs w:val="18"/>
              </w:rPr>
              <w:t>前端各监控点至监控中心的光纤专线</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条</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33</w:t>
            </w:r>
          </w:p>
        </w:tc>
      </w:tr>
      <w:tr>
        <w:tblPrEx>
          <w:tblCellMar>
            <w:top w:w="0" w:type="dxa"/>
            <w:left w:w="108" w:type="dxa"/>
            <w:bottom w:w="0" w:type="dxa"/>
            <w:right w:w="108" w:type="dxa"/>
          </w:tblCellMar>
        </w:tblPrEx>
        <w:trPr>
          <w:trHeight w:val="600" w:hRule="atLeast"/>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2</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100M</w:t>
            </w:r>
            <w:r>
              <w:rPr>
                <w:rFonts w:hint="eastAsia" w:ascii="宋体" w:hAnsi="宋体" w:cs="Times New Roman"/>
                <w:color w:val="FF0000"/>
                <w:kern w:val="0"/>
                <w:sz w:val="18"/>
                <w:szCs w:val="18"/>
              </w:rPr>
              <w:t>传输专线及维护费（三年）</w:t>
            </w:r>
          </w:p>
        </w:tc>
        <w:tc>
          <w:tcPr>
            <w:tcW w:w="41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18"/>
                <w:szCs w:val="18"/>
              </w:rPr>
            </w:pPr>
            <w:r>
              <w:rPr>
                <w:rFonts w:hint="eastAsia" w:ascii="宋体" w:hAnsi="宋体" w:cs="宋体"/>
                <w:color w:val="FF0000"/>
                <w:kern w:val="0"/>
                <w:sz w:val="18"/>
                <w:szCs w:val="18"/>
              </w:rPr>
              <w:t>监控中心至省林业厅的长途专线</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条</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 w:val="18"/>
                <w:szCs w:val="18"/>
              </w:rPr>
            </w:pPr>
            <w:r>
              <w:rPr>
                <w:rFonts w:ascii="Times New Roman" w:hAnsi="Times New Roman" w:cs="Times New Roman"/>
                <w:color w:val="FF0000"/>
                <w:kern w:val="0"/>
                <w:sz w:val="18"/>
                <w:szCs w:val="18"/>
              </w:rPr>
              <w:t>1</w:t>
            </w:r>
          </w:p>
        </w:tc>
      </w:tr>
      <w:tr>
        <w:tblPrEx>
          <w:tblCellMar>
            <w:top w:w="0" w:type="dxa"/>
            <w:left w:w="108" w:type="dxa"/>
            <w:bottom w:w="0" w:type="dxa"/>
            <w:right w:w="108" w:type="dxa"/>
          </w:tblCellMar>
        </w:tblPrEx>
        <w:trPr>
          <w:trHeight w:val="600" w:hRule="atLeast"/>
        </w:trPr>
        <w:tc>
          <w:tcPr>
            <w:tcW w:w="867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bl>
    <w:p>
      <w:pPr>
        <w:spacing w:line="360" w:lineRule="auto"/>
        <w:rPr>
          <w:rFonts w:ascii="Times New Roman" w:hAnsi="Times New Roman" w:eastAsia="方正姚体" w:cs="Times New Roman"/>
          <w:bCs/>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42"/>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8"/>
        <w:gridCol w:w="1131"/>
        <w:gridCol w:w="670"/>
        <w:gridCol w:w="652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5" w:hRule="atLeast"/>
          <w:jc w:val="center"/>
        </w:trPr>
        <w:tc>
          <w:tcPr>
            <w:tcW w:w="728" w:type="dxa"/>
            <w:vMerge w:val="restart"/>
            <w:shd w:val="clear" w:color="auto" w:fill="FFFFFF"/>
            <w:vAlign w:val="center"/>
          </w:tcPr>
          <w:p>
            <w:pPr>
              <w:widowControl/>
              <w:ind w:left="-78" w:leftChars="-37" w:right="-86" w:rightChars="-41" w:firstLine="360"/>
              <w:jc w:val="center"/>
              <w:rPr>
                <w:rFonts w:ascii="宋体" w:hAnsi="宋体" w:cs="Times New Roman"/>
                <w:b/>
                <w:kern w:val="0"/>
                <w:sz w:val="22"/>
                <w:szCs w:val="21"/>
                <w:lang w:eastAsia="en-US"/>
              </w:rPr>
            </w:pPr>
            <w:r>
              <w:rPr>
                <w:rFonts w:hint="eastAsia" w:ascii="宋体" w:hAnsi="宋体" w:cs="Times New Roman"/>
                <w:b/>
                <w:bCs/>
                <w:kern w:val="0"/>
                <w:sz w:val="22"/>
                <w:szCs w:val="21"/>
                <w:lang w:eastAsia="en-US"/>
              </w:rPr>
              <w:t>商务评议</w:t>
            </w:r>
          </w:p>
        </w:tc>
        <w:tc>
          <w:tcPr>
            <w:tcW w:w="1131" w:type="dxa"/>
            <w:shd w:val="clear" w:color="auto" w:fill="FFFFFF"/>
            <w:vAlign w:val="center"/>
          </w:tcPr>
          <w:p>
            <w:pPr>
              <w:widowControl/>
              <w:jc w:val="left"/>
              <w:rPr>
                <w:rFonts w:ascii="宋体" w:hAnsi="宋体" w:cs="Times New Roman"/>
                <w:b/>
                <w:kern w:val="0"/>
                <w:sz w:val="22"/>
                <w:szCs w:val="21"/>
                <w:lang w:eastAsia="en-US"/>
              </w:rPr>
            </w:pPr>
            <w:r>
              <w:rPr>
                <w:rFonts w:hint="eastAsia" w:ascii="宋体" w:hAnsi="宋体" w:cs="Times New Roman"/>
                <w:b/>
                <w:kern w:val="0"/>
                <w:sz w:val="22"/>
                <w:szCs w:val="21"/>
                <w:lang w:eastAsia="en-US"/>
              </w:rPr>
              <w:t>评审因素</w:t>
            </w:r>
          </w:p>
        </w:tc>
        <w:tc>
          <w:tcPr>
            <w:tcW w:w="670" w:type="dxa"/>
            <w:shd w:val="clear" w:color="auto" w:fill="FFFFFF"/>
            <w:vAlign w:val="center"/>
          </w:tcPr>
          <w:p>
            <w:pPr>
              <w:widowControl/>
              <w:ind w:left="-73" w:leftChars="-35" w:right="-80" w:rightChars="-38"/>
              <w:jc w:val="left"/>
              <w:rPr>
                <w:rFonts w:ascii="宋体" w:hAnsi="宋体" w:cs="Times New Roman"/>
                <w:b/>
                <w:kern w:val="0"/>
                <w:sz w:val="22"/>
                <w:szCs w:val="21"/>
                <w:lang w:eastAsia="en-US"/>
              </w:rPr>
            </w:pPr>
            <w:r>
              <w:rPr>
                <w:rFonts w:hint="eastAsia" w:ascii="宋体" w:hAnsi="宋体" w:cs="Times New Roman"/>
                <w:b/>
                <w:kern w:val="0"/>
                <w:sz w:val="22"/>
                <w:szCs w:val="21"/>
                <w:lang w:eastAsia="en-US"/>
              </w:rPr>
              <w:t>分值</w:t>
            </w:r>
          </w:p>
        </w:tc>
        <w:tc>
          <w:tcPr>
            <w:tcW w:w="6520" w:type="dxa"/>
            <w:shd w:val="clear" w:color="auto" w:fill="FFFFFF"/>
            <w:vAlign w:val="center"/>
          </w:tcPr>
          <w:p>
            <w:pPr>
              <w:widowControl/>
              <w:ind w:firstLine="360"/>
              <w:jc w:val="center"/>
              <w:rPr>
                <w:rFonts w:ascii="宋体" w:hAnsi="宋体" w:cs="Times New Roman"/>
                <w:b/>
                <w:kern w:val="0"/>
                <w:sz w:val="22"/>
                <w:szCs w:val="21"/>
                <w:lang w:eastAsia="en-US"/>
              </w:rPr>
            </w:pPr>
            <w:r>
              <w:rPr>
                <w:rFonts w:hint="eastAsia" w:ascii="宋体" w:hAnsi="宋体" w:cs="Times New Roman"/>
                <w:b/>
                <w:kern w:val="0"/>
                <w:sz w:val="22"/>
                <w:szCs w:val="21"/>
                <w:lang w:eastAsia="en-US"/>
              </w:rPr>
              <w:t>评分标准</w:t>
            </w:r>
          </w:p>
        </w:tc>
        <w:tc>
          <w:tcPr>
            <w:tcW w:w="656" w:type="dxa"/>
            <w:shd w:val="clear" w:color="auto" w:fill="FFFFFF"/>
            <w:vAlign w:val="center"/>
          </w:tcPr>
          <w:p>
            <w:pPr>
              <w:widowControl/>
              <w:jc w:val="left"/>
              <w:rPr>
                <w:rFonts w:ascii="宋体" w:hAnsi="宋体" w:cs="Times New Roman"/>
                <w:b/>
                <w:kern w:val="0"/>
                <w:sz w:val="22"/>
                <w:szCs w:val="21"/>
                <w:lang w:eastAsia="en-US"/>
              </w:rPr>
            </w:pPr>
            <w:r>
              <w:rPr>
                <w:rFonts w:hint="eastAsia" w:ascii="宋体" w:hAnsi="宋体" w:cs="Times New Roman"/>
                <w:b/>
                <w:kern w:val="0"/>
                <w:sz w:val="22"/>
                <w:szCs w:val="21"/>
                <w:lang w:eastAsia="en-US"/>
              </w:rPr>
              <w:t>因素</w:t>
            </w:r>
          </w:p>
          <w:p>
            <w:pPr>
              <w:widowControl/>
              <w:jc w:val="left"/>
              <w:rPr>
                <w:rFonts w:ascii="宋体" w:hAnsi="宋体" w:cs="Times New Roman"/>
                <w:b/>
                <w:kern w:val="0"/>
                <w:sz w:val="22"/>
                <w:szCs w:val="21"/>
                <w:lang w:eastAsia="en-US"/>
              </w:rPr>
            </w:pPr>
            <w:r>
              <w:rPr>
                <w:rFonts w:hint="eastAsia" w:ascii="宋体" w:hAnsi="宋体" w:cs="Times New Roman"/>
                <w:b/>
                <w:kern w:val="0"/>
                <w:sz w:val="22"/>
                <w:szCs w:val="21"/>
                <w:lang w:eastAsia="en-US"/>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54" w:hRule="atLeast"/>
          <w:jc w:val="center"/>
        </w:trPr>
        <w:tc>
          <w:tcPr>
            <w:tcW w:w="728" w:type="dxa"/>
            <w:vMerge w:val="continue"/>
            <w:shd w:val="clear" w:color="auto" w:fill="FFFFFF"/>
            <w:vAlign w:val="center"/>
          </w:tcPr>
          <w:p>
            <w:pPr>
              <w:widowControl/>
              <w:numPr>
                <w:ilvl w:val="0"/>
                <w:numId w:val="6"/>
              </w:numPr>
              <w:tabs>
                <w:tab w:val="left" w:pos="322"/>
              </w:tabs>
              <w:spacing w:line="360" w:lineRule="auto"/>
              <w:ind w:left="-42" w:right="-42" w:rightChars="-20" w:firstLine="0"/>
              <w:jc w:val="right"/>
              <w:rPr>
                <w:rFonts w:ascii="宋体" w:hAnsi="宋体" w:cs="Times New Roman"/>
                <w:b/>
                <w:kern w:val="0"/>
                <w:sz w:val="22"/>
                <w:szCs w:val="21"/>
                <w:lang w:eastAsia="en-US"/>
              </w:rPr>
            </w:pPr>
          </w:p>
        </w:tc>
        <w:tc>
          <w:tcPr>
            <w:tcW w:w="1131" w:type="dxa"/>
            <w:shd w:val="clear" w:color="auto" w:fill="FFFFFF"/>
            <w:vAlign w:val="center"/>
          </w:tcPr>
          <w:p>
            <w:pPr>
              <w:widowControl/>
              <w:spacing w:line="300" w:lineRule="auto"/>
              <w:ind w:left="-105" w:leftChars="-50" w:right="-105" w:rightChars="-50"/>
              <w:jc w:val="left"/>
              <w:rPr>
                <w:rFonts w:ascii="宋体" w:hAnsi="宋体" w:cs="Times New Roman"/>
                <w:kern w:val="0"/>
                <w:sz w:val="22"/>
                <w:szCs w:val="21"/>
              </w:rPr>
            </w:pPr>
            <w:r>
              <w:rPr>
                <w:rFonts w:hint="eastAsia" w:ascii="宋体" w:hAnsi="宋体" w:cs="Times New Roman"/>
                <w:kern w:val="0"/>
                <w:sz w:val="22"/>
                <w:szCs w:val="21"/>
              </w:rPr>
              <w:t>磋商响应文件的完整性</w:t>
            </w:r>
          </w:p>
        </w:tc>
        <w:tc>
          <w:tcPr>
            <w:tcW w:w="670" w:type="dxa"/>
            <w:shd w:val="clear" w:color="auto" w:fill="FFFFFF"/>
            <w:vAlign w:val="center"/>
          </w:tcPr>
          <w:p>
            <w:pPr>
              <w:widowControl/>
              <w:spacing w:line="240" w:lineRule="exact"/>
              <w:ind w:left="-105" w:leftChars="-50" w:right="-105" w:rightChars="-50" w:firstLine="360"/>
              <w:jc w:val="center"/>
              <w:rPr>
                <w:rFonts w:ascii="宋体" w:hAnsi="宋体" w:cs="Times New Roman"/>
                <w:kern w:val="0"/>
                <w:sz w:val="22"/>
                <w:szCs w:val="21"/>
                <w:lang w:eastAsia="en-US"/>
              </w:rPr>
            </w:pPr>
            <w:r>
              <w:rPr>
                <w:rFonts w:hint="eastAsia" w:ascii="宋体" w:hAnsi="宋体" w:cs="Times New Roman"/>
                <w:kern w:val="0"/>
                <w:sz w:val="22"/>
                <w:szCs w:val="21"/>
                <w:lang w:eastAsia="en-US"/>
              </w:rPr>
              <w:t>2</w:t>
            </w:r>
          </w:p>
        </w:tc>
        <w:tc>
          <w:tcPr>
            <w:tcW w:w="6520" w:type="dxa"/>
            <w:shd w:val="clear" w:color="auto" w:fill="FFFFFF"/>
            <w:vAlign w:val="center"/>
          </w:tcPr>
          <w:p>
            <w:pPr>
              <w:widowControl/>
              <w:spacing w:line="240" w:lineRule="exact"/>
              <w:ind w:left="-105" w:leftChars="-50" w:right="-105" w:rightChars="-50" w:firstLine="360"/>
              <w:jc w:val="left"/>
              <w:rPr>
                <w:rFonts w:ascii="宋体" w:hAnsi="宋体" w:cs="Times New Roman"/>
                <w:b/>
                <w:kern w:val="0"/>
                <w:sz w:val="22"/>
                <w:szCs w:val="21"/>
              </w:rPr>
            </w:pPr>
            <w:r>
              <w:rPr>
                <w:rFonts w:hint="eastAsia" w:ascii="宋体" w:hAnsi="宋体" w:cs="Times New Roman"/>
                <w:kern w:val="0"/>
                <w:sz w:val="22"/>
                <w:szCs w:val="21"/>
              </w:rPr>
              <w:t>磋商响应</w:t>
            </w:r>
            <w:r>
              <w:rPr>
                <w:rFonts w:ascii="宋体" w:hAnsi="宋体" w:cs="Times New Roman"/>
                <w:kern w:val="0"/>
                <w:sz w:val="22"/>
                <w:szCs w:val="21"/>
              </w:rPr>
              <w:t>文件全面响应</w:t>
            </w:r>
            <w:r>
              <w:rPr>
                <w:rFonts w:hint="eastAsia" w:ascii="宋体" w:hAnsi="宋体" w:cs="Times New Roman"/>
                <w:kern w:val="0"/>
                <w:sz w:val="22"/>
                <w:szCs w:val="21"/>
              </w:rPr>
              <w:t>磋商</w:t>
            </w:r>
            <w:r>
              <w:rPr>
                <w:rFonts w:ascii="宋体" w:hAnsi="宋体" w:cs="Times New Roman"/>
                <w:kern w:val="0"/>
                <w:sz w:val="22"/>
                <w:szCs w:val="21"/>
              </w:rPr>
              <w:t>文件要求，编制完整、非活页装订，且有详细目录、连续页码、目录与有关材料装订顺序对应清晰、查阅方便得</w:t>
            </w:r>
            <w:r>
              <w:rPr>
                <w:rFonts w:hint="eastAsia" w:ascii="宋体" w:hAnsi="宋体" w:cs="Times New Roman"/>
                <w:kern w:val="0"/>
                <w:sz w:val="22"/>
                <w:szCs w:val="21"/>
              </w:rPr>
              <w:t>2</w:t>
            </w:r>
            <w:r>
              <w:rPr>
                <w:rFonts w:ascii="宋体" w:hAnsi="宋体" w:cs="Times New Roman"/>
                <w:kern w:val="0"/>
                <w:sz w:val="22"/>
                <w:szCs w:val="21"/>
              </w:rPr>
              <w:t>分。编排杂乱无章、叙述答非所问、资料残缺不全、资料模糊不清、前后不一致等，每处扣</w:t>
            </w:r>
            <w:r>
              <w:rPr>
                <w:rFonts w:hint="eastAsia" w:ascii="宋体" w:hAnsi="宋体" w:cs="Times New Roman"/>
                <w:kern w:val="0"/>
                <w:sz w:val="22"/>
                <w:szCs w:val="21"/>
              </w:rPr>
              <w:t>0.5</w:t>
            </w:r>
            <w:r>
              <w:rPr>
                <w:rFonts w:ascii="宋体" w:hAnsi="宋体" w:cs="Times New Roman"/>
                <w:kern w:val="0"/>
                <w:sz w:val="22"/>
                <w:szCs w:val="21"/>
              </w:rPr>
              <w:t>分，扣完为止</w:t>
            </w:r>
            <w:r>
              <w:rPr>
                <w:rFonts w:hint="eastAsia" w:ascii="宋体" w:hAnsi="宋体" w:cs="Times New Roman"/>
                <w:kern w:val="0"/>
                <w:sz w:val="22"/>
                <w:szCs w:val="21"/>
              </w:rPr>
              <w:t>，活页装订不得分。</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28" w:type="dxa"/>
            <w:vMerge w:val="continue"/>
            <w:shd w:val="clear" w:color="auto" w:fill="FFFFFF"/>
            <w:vAlign w:val="center"/>
          </w:tcPr>
          <w:p>
            <w:pPr>
              <w:widowControl/>
              <w:numPr>
                <w:ilvl w:val="0"/>
                <w:numId w:val="6"/>
              </w:numPr>
              <w:tabs>
                <w:tab w:val="left" w:pos="322"/>
              </w:tabs>
              <w:spacing w:line="360" w:lineRule="auto"/>
              <w:ind w:left="-42" w:right="-42" w:rightChars="-20" w:firstLine="0"/>
              <w:jc w:val="right"/>
              <w:rPr>
                <w:rFonts w:ascii="宋体" w:hAnsi="宋体" w:cs="Times New Roman"/>
                <w:b/>
                <w:kern w:val="0"/>
                <w:sz w:val="22"/>
                <w:szCs w:val="21"/>
              </w:rPr>
            </w:pPr>
          </w:p>
        </w:tc>
        <w:tc>
          <w:tcPr>
            <w:tcW w:w="1131" w:type="dxa"/>
            <w:shd w:val="clear" w:color="auto" w:fill="FFFFFF"/>
            <w:vAlign w:val="center"/>
          </w:tcPr>
          <w:p>
            <w:pPr>
              <w:widowControl/>
              <w:spacing w:line="300" w:lineRule="auto"/>
              <w:ind w:left="-105" w:leftChars="-50" w:right="-105" w:rightChars="-50"/>
              <w:jc w:val="left"/>
              <w:rPr>
                <w:rFonts w:ascii="宋体" w:hAnsi="宋体" w:cs="Times New Roman"/>
                <w:b/>
                <w:kern w:val="0"/>
                <w:sz w:val="22"/>
                <w:szCs w:val="21"/>
                <w:lang w:eastAsia="en-US"/>
              </w:rPr>
            </w:pPr>
            <w:r>
              <w:rPr>
                <w:rFonts w:ascii="宋体" w:hAnsi="宋体" w:cs="Times New Roman"/>
                <w:bCs/>
                <w:kern w:val="0"/>
                <w:sz w:val="22"/>
                <w:szCs w:val="21"/>
                <w:lang w:eastAsia="en-US"/>
              </w:rPr>
              <w:t>成功案例</w:t>
            </w:r>
          </w:p>
        </w:tc>
        <w:tc>
          <w:tcPr>
            <w:tcW w:w="670" w:type="dxa"/>
            <w:shd w:val="clear" w:color="auto" w:fill="FFFFFF"/>
            <w:vAlign w:val="center"/>
          </w:tcPr>
          <w:p>
            <w:pPr>
              <w:widowControl/>
              <w:spacing w:line="300" w:lineRule="auto"/>
              <w:ind w:left="-105" w:leftChars="-50" w:right="-105" w:rightChars="-50" w:firstLine="360"/>
              <w:jc w:val="center"/>
              <w:rPr>
                <w:rFonts w:ascii="宋体" w:hAnsi="宋体" w:cs="Times New Roman"/>
                <w:b/>
                <w:kern w:val="0"/>
                <w:sz w:val="22"/>
                <w:szCs w:val="21"/>
              </w:rPr>
            </w:pPr>
            <w:r>
              <w:rPr>
                <w:rFonts w:hint="eastAsia" w:ascii="宋体" w:hAnsi="宋体" w:cs="Times New Roman"/>
                <w:kern w:val="0"/>
                <w:sz w:val="22"/>
                <w:szCs w:val="21"/>
              </w:rPr>
              <w:t>8</w:t>
            </w:r>
          </w:p>
        </w:tc>
        <w:tc>
          <w:tcPr>
            <w:tcW w:w="6520" w:type="dxa"/>
            <w:shd w:val="clear" w:color="auto" w:fill="FFFFFF"/>
            <w:vAlign w:val="center"/>
          </w:tcPr>
          <w:p>
            <w:pPr>
              <w:widowControl/>
              <w:ind w:left="-105" w:leftChars="-50" w:right="-105" w:rightChars="-50" w:firstLine="360"/>
              <w:jc w:val="left"/>
              <w:rPr>
                <w:rFonts w:ascii="宋体" w:hAnsi="宋体" w:cs="Times New Roman"/>
                <w:kern w:val="0"/>
                <w:sz w:val="22"/>
                <w:szCs w:val="21"/>
              </w:rPr>
            </w:pPr>
            <w:r>
              <w:rPr>
                <w:rFonts w:hint="eastAsia" w:ascii="宋体" w:hAnsi="宋体" w:cs="Times New Roman"/>
                <w:kern w:val="0"/>
                <w:sz w:val="22"/>
                <w:szCs w:val="21"/>
              </w:rPr>
              <w:t>根据供应商提供的近三年（2018年9月至今）类似项目成功案例数量进行评分，提供一个类似成功案例不得分，以后每多提供一个类似成功案例加2分，此项最高得8分。（提供类似成功案例的</w:t>
            </w:r>
            <w:r>
              <w:rPr>
                <w:rFonts w:hint="eastAsia" w:ascii="宋体" w:hAnsi="宋体" w:cs="Times New Roman"/>
                <w:kern w:val="0"/>
                <w:szCs w:val="21"/>
              </w:rPr>
              <w:t>中标(成交)通知书和合同协</w:t>
            </w:r>
            <w:r>
              <w:rPr>
                <w:rFonts w:hint="eastAsia" w:ascii="Times New Roman" w:hAnsi="Times New Roman" w:cs="Times New Roman"/>
                <w:kern w:val="0"/>
                <w:szCs w:val="21"/>
              </w:rPr>
              <w:t>议书</w:t>
            </w:r>
            <w:r>
              <w:rPr>
                <w:rFonts w:hint="eastAsia" w:ascii="宋体" w:hAnsi="宋体" w:cs="Times New Roman"/>
                <w:kern w:val="0"/>
                <w:sz w:val="22"/>
                <w:szCs w:val="21"/>
              </w:rPr>
              <w:t>证明材料复印件并加盖公章，以中标</w:t>
            </w:r>
            <w:r>
              <w:rPr>
                <w:rFonts w:hint="eastAsia" w:ascii="宋体" w:hAnsi="宋体" w:cs="Times New Roman"/>
                <w:kern w:val="0"/>
                <w:szCs w:val="21"/>
              </w:rPr>
              <w:t>(成交)</w:t>
            </w:r>
            <w:r>
              <w:rPr>
                <w:rFonts w:hint="eastAsia" w:ascii="宋体" w:hAnsi="宋体" w:cs="Times New Roman"/>
                <w:kern w:val="0"/>
                <w:sz w:val="22"/>
                <w:szCs w:val="21"/>
              </w:rPr>
              <w:t>通知书载明的时间为准）</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24" w:hRule="atLeast"/>
          <w:jc w:val="center"/>
        </w:trPr>
        <w:tc>
          <w:tcPr>
            <w:tcW w:w="728" w:type="dxa"/>
            <w:vMerge w:val="continue"/>
            <w:shd w:val="clear" w:color="auto" w:fill="FFFFFF"/>
            <w:vAlign w:val="center"/>
          </w:tcPr>
          <w:p>
            <w:pPr>
              <w:widowControl/>
              <w:numPr>
                <w:ilvl w:val="0"/>
                <w:numId w:val="6"/>
              </w:numPr>
              <w:tabs>
                <w:tab w:val="left" w:pos="322"/>
              </w:tabs>
              <w:spacing w:line="360" w:lineRule="auto"/>
              <w:ind w:left="-42" w:right="-42" w:rightChars="-20" w:firstLine="0"/>
              <w:jc w:val="right"/>
              <w:rPr>
                <w:rFonts w:ascii="宋体" w:hAnsi="宋体" w:cs="Times New Roman"/>
                <w:b/>
                <w:kern w:val="0"/>
                <w:sz w:val="22"/>
                <w:szCs w:val="21"/>
              </w:rPr>
            </w:pPr>
          </w:p>
        </w:tc>
        <w:tc>
          <w:tcPr>
            <w:tcW w:w="1131" w:type="dxa"/>
            <w:shd w:val="clear" w:color="auto" w:fill="FFFFFF"/>
            <w:vAlign w:val="center"/>
          </w:tcPr>
          <w:p>
            <w:pPr>
              <w:widowControl/>
              <w:spacing w:line="300" w:lineRule="auto"/>
              <w:ind w:left="-105" w:leftChars="-50" w:right="-105" w:rightChars="-50"/>
              <w:jc w:val="left"/>
              <w:rPr>
                <w:rFonts w:ascii="宋体" w:hAnsi="宋体" w:cs="Times New Roman"/>
                <w:kern w:val="0"/>
                <w:sz w:val="22"/>
                <w:szCs w:val="21"/>
                <w:lang w:eastAsia="en-US"/>
              </w:rPr>
            </w:pPr>
            <w:r>
              <w:rPr>
                <w:rFonts w:hint="eastAsia" w:ascii="宋体" w:hAnsi="宋体" w:cs="Times New Roman"/>
                <w:kern w:val="0"/>
                <w:sz w:val="22"/>
                <w:szCs w:val="21"/>
                <w:lang w:eastAsia="en-US"/>
              </w:rPr>
              <w:t>企业实力</w:t>
            </w:r>
          </w:p>
        </w:tc>
        <w:tc>
          <w:tcPr>
            <w:tcW w:w="670" w:type="dxa"/>
            <w:shd w:val="clear" w:color="auto" w:fill="FFFFFF"/>
            <w:vAlign w:val="center"/>
          </w:tcPr>
          <w:p>
            <w:pPr>
              <w:widowControl/>
              <w:spacing w:line="240" w:lineRule="exact"/>
              <w:ind w:left="-105" w:leftChars="-50" w:right="-105" w:rightChars="-50"/>
              <w:jc w:val="left"/>
              <w:rPr>
                <w:rFonts w:ascii="宋体" w:hAnsi="宋体" w:cs="Times New Roman"/>
                <w:kern w:val="0"/>
                <w:sz w:val="22"/>
                <w:szCs w:val="21"/>
              </w:rPr>
            </w:pPr>
            <w:r>
              <w:rPr>
                <w:rFonts w:hint="eastAsia" w:ascii="宋体" w:hAnsi="宋体" w:cs="Times New Roman"/>
                <w:kern w:val="0"/>
                <w:sz w:val="22"/>
                <w:szCs w:val="21"/>
                <w:lang w:eastAsia="en-US"/>
              </w:rPr>
              <w:t>1</w:t>
            </w:r>
            <w:r>
              <w:rPr>
                <w:rFonts w:hint="eastAsia" w:ascii="宋体" w:hAnsi="宋体" w:cs="Times New Roman"/>
                <w:kern w:val="0"/>
                <w:sz w:val="22"/>
                <w:szCs w:val="21"/>
              </w:rPr>
              <w:t>4</w:t>
            </w:r>
          </w:p>
        </w:tc>
        <w:tc>
          <w:tcPr>
            <w:tcW w:w="6520" w:type="dxa"/>
            <w:shd w:val="clear" w:color="auto" w:fill="FFFFFF"/>
            <w:vAlign w:val="center"/>
          </w:tcPr>
          <w:p>
            <w:pPr>
              <w:widowControl/>
              <w:ind w:firstLine="360"/>
              <w:jc w:val="left"/>
              <w:rPr>
                <w:rFonts w:ascii="Times New Roman" w:hAnsi="Times New Roman" w:cs="Times New Roman"/>
                <w:kern w:val="0"/>
                <w:sz w:val="22"/>
              </w:rPr>
            </w:pPr>
            <w:r>
              <w:rPr>
                <w:rFonts w:hint="eastAsia" w:ascii="宋体" w:hAnsi="宋体" w:cs="Times New Roman"/>
                <w:kern w:val="0"/>
                <w:sz w:val="22"/>
                <w:szCs w:val="21"/>
              </w:rPr>
              <w:t>1.</w:t>
            </w:r>
            <w:r>
              <w:rPr>
                <w:rFonts w:hint="eastAsia" w:ascii="Times New Roman" w:hAnsi="Times New Roman" w:cs="Times New Roman"/>
                <w:kern w:val="0"/>
                <w:sz w:val="22"/>
              </w:rPr>
              <w:t>供应商具备合格有效的ISO9001质量管理体系认证证书得2分；</w:t>
            </w:r>
          </w:p>
          <w:p>
            <w:pPr>
              <w:widowControl/>
              <w:ind w:firstLine="360"/>
              <w:jc w:val="left"/>
              <w:rPr>
                <w:rFonts w:ascii="Times New Roman" w:hAnsi="Times New Roman" w:cs="Times New Roman"/>
                <w:kern w:val="0"/>
                <w:sz w:val="22"/>
              </w:rPr>
            </w:pPr>
            <w:r>
              <w:rPr>
                <w:rFonts w:hint="eastAsia" w:ascii="Times New Roman" w:hAnsi="Times New Roman" w:cs="Times New Roman"/>
                <w:kern w:val="0"/>
                <w:sz w:val="22"/>
              </w:rPr>
              <w:t>2.供应商具备合格有效的ISO14001环境管理体系认证证书得2分；</w:t>
            </w:r>
          </w:p>
          <w:p>
            <w:pPr>
              <w:widowControl/>
              <w:ind w:firstLine="360"/>
              <w:jc w:val="left"/>
              <w:rPr>
                <w:rFonts w:ascii="Times New Roman" w:hAnsi="Times New Roman" w:cs="Times New Roman"/>
                <w:kern w:val="0"/>
                <w:sz w:val="22"/>
              </w:rPr>
            </w:pPr>
            <w:r>
              <w:rPr>
                <w:rFonts w:hint="eastAsia" w:ascii="Times New Roman" w:hAnsi="Times New Roman" w:cs="Times New Roman"/>
                <w:kern w:val="0"/>
                <w:sz w:val="22"/>
              </w:rPr>
              <w:t>3.供应商具备合格有效的ISO45001职业健康安全体系认证证书得2分；</w:t>
            </w:r>
          </w:p>
          <w:p>
            <w:pPr>
              <w:widowControl/>
              <w:ind w:firstLine="360"/>
              <w:jc w:val="left"/>
              <w:rPr>
                <w:rFonts w:ascii="Times New Roman" w:hAnsi="Times New Roman" w:cs="Times New Roman"/>
                <w:kern w:val="0"/>
                <w:sz w:val="22"/>
              </w:rPr>
            </w:pPr>
            <w:r>
              <w:rPr>
                <w:rFonts w:hint="eastAsia" w:ascii="Times New Roman" w:hAnsi="Times New Roman" w:cs="Times New Roman"/>
                <w:kern w:val="0"/>
                <w:sz w:val="22"/>
              </w:rPr>
              <w:t>4.供应商具备合格有效的ISO20000信息技术服务体系认证证书得2分；</w:t>
            </w:r>
          </w:p>
          <w:p>
            <w:pPr>
              <w:widowControl/>
              <w:ind w:firstLine="360"/>
              <w:jc w:val="left"/>
              <w:rPr>
                <w:rFonts w:hint="eastAsia" w:ascii="Times New Roman" w:hAnsi="Times New Roman" w:cs="Times New Roman"/>
                <w:kern w:val="0"/>
                <w:sz w:val="22"/>
              </w:rPr>
            </w:pPr>
            <w:r>
              <w:rPr>
                <w:rFonts w:hint="eastAsia" w:ascii="Times New Roman" w:hAnsi="Times New Roman" w:cs="Times New Roman"/>
                <w:kern w:val="0"/>
                <w:sz w:val="22"/>
              </w:rPr>
              <w:t>5.供应商具备合格有效的ISO27001信息安全体系认证证书</w:t>
            </w:r>
          </w:p>
          <w:p>
            <w:pPr>
              <w:widowControl/>
              <w:ind w:firstLine="360"/>
              <w:jc w:val="left"/>
              <w:rPr>
                <w:rFonts w:ascii="Times New Roman" w:hAnsi="Times New Roman" w:cs="Times New Roman"/>
                <w:kern w:val="0"/>
                <w:sz w:val="22"/>
              </w:rPr>
            </w:pPr>
            <w:r>
              <w:rPr>
                <w:rFonts w:hint="eastAsia" w:ascii="Times New Roman" w:hAnsi="Times New Roman" w:cs="Times New Roman"/>
                <w:kern w:val="0"/>
                <w:sz w:val="22"/>
              </w:rPr>
              <w:t>得2分；</w:t>
            </w:r>
          </w:p>
          <w:p>
            <w:pPr>
              <w:widowControl/>
              <w:ind w:firstLine="220" w:firstLineChars="100"/>
              <w:jc w:val="left"/>
              <w:rPr>
                <w:rFonts w:ascii="Times New Roman" w:hAnsi="Times New Roman" w:cs="Times New Roman"/>
                <w:kern w:val="0"/>
                <w:sz w:val="22"/>
              </w:rPr>
            </w:pPr>
            <w:r>
              <w:rPr>
                <w:rFonts w:hint="eastAsia" w:ascii="Times New Roman" w:hAnsi="Times New Roman" w:cs="Times New Roman"/>
                <w:kern w:val="0"/>
                <w:sz w:val="22"/>
              </w:rPr>
              <w:t>6.供应商具有国家级高新技术企业证书得2分。</w:t>
            </w:r>
          </w:p>
          <w:p>
            <w:pPr>
              <w:widowControl/>
              <w:ind w:firstLine="220" w:firstLineChars="100"/>
              <w:jc w:val="left"/>
              <w:rPr>
                <w:rFonts w:ascii="Times New Roman" w:hAnsi="Times New Roman" w:cs="Times New Roman"/>
                <w:kern w:val="0"/>
                <w:sz w:val="22"/>
              </w:rPr>
            </w:pPr>
            <w:r>
              <w:rPr>
                <w:rFonts w:hint="eastAsia" w:ascii="Times New Roman" w:hAnsi="Times New Roman" w:cs="Times New Roman"/>
                <w:kern w:val="0"/>
                <w:sz w:val="22"/>
              </w:rPr>
              <w:t>7.供应商具备ITSS信息技术服务运行维护标准符合性证书三级及以上得2分</w:t>
            </w:r>
          </w:p>
          <w:p>
            <w:pPr>
              <w:widowControl/>
              <w:spacing w:line="240" w:lineRule="exact"/>
              <w:ind w:left="-105" w:leftChars="-50" w:right="-105" w:rightChars="-50" w:firstLine="360"/>
              <w:jc w:val="left"/>
              <w:rPr>
                <w:rFonts w:ascii="宋体" w:hAnsi="宋体" w:cs="Times New Roman"/>
                <w:b/>
                <w:bCs/>
                <w:kern w:val="0"/>
                <w:sz w:val="22"/>
                <w:szCs w:val="21"/>
              </w:rPr>
            </w:pPr>
            <w:r>
              <w:rPr>
                <w:rFonts w:hint="eastAsia" w:ascii="宋体" w:hAnsi="宋体" w:cs="Times New Roman"/>
                <w:b/>
                <w:kern w:val="0"/>
                <w:sz w:val="22"/>
                <w:szCs w:val="21"/>
              </w:rPr>
              <w:t>（提供以上认证证书的原件真彩扫描打印件并加盖公章）</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5" w:hRule="atLeast"/>
          <w:jc w:val="center"/>
        </w:trPr>
        <w:tc>
          <w:tcPr>
            <w:tcW w:w="728" w:type="dxa"/>
            <w:vMerge w:val="continue"/>
            <w:shd w:val="clear" w:color="auto" w:fill="FFFFFF"/>
            <w:vAlign w:val="center"/>
          </w:tcPr>
          <w:p>
            <w:pPr>
              <w:widowControl/>
              <w:numPr>
                <w:ilvl w:val="0"/>
                <w:numId w:val="6"/>
              </w:numPr>
              <w:tabs>
                <w:tab w:val="left" w:pos="322"/>
              </w:tabs>
              <w:spacing w:line="360" w:lineRule="auto"/>
              <w:ind w:left="-42" w:right="-42" w:rightChars="-20" w:firstLine="0"/>
              <w:jc w:val="right"/>
              <w:rPr>
                <w:rFonts w:ascii="宋体" w:hAnsi="宋体" w:cs="Times New Roman"/>
                <w:b/>
                <w:kern w:val="0"/>
                <w:sz w:val="22"/>
                <w:szCs w:val="21"/>
              </w:rPr>
            </w:pPr>
          </w:p>
        </w:tc>
        <w:tc>
          <w:tcPr>
            <w:tcW w:w="1131" w:type="dxa"/>
            <w:shd w:val="clear" w:color="auto" w:fill="FFFFFF"/>
            <w:vAlign w:val="center"/>
          </w:tcPr>
          <w:p>
            <w:pPr>
              <w:widowControl/>
              <w:spacing w:line="300" w:lineRule="auto"/>
              <w:ind w:left="-105" w:leftChars="-50" w:right="-105" w:rightChars="-50"/>
              <w:jc w:val="left"/>
              <w:rPr>
                <w:rFonts w:ascii="宋体" w:hAnsi="宋体" w:cs="Times New Roman"/>
                <w:kern w:val="0"/>
                <w:sz w:val="22"/>
                <w:szCs w:val="21"/>
                <w:lang w:eastAsia="en-US"/>
              </w:rPr>
            </w:pPr>
            <w:r>
              <w:rPr>
                <w:rFonts w:hint="eastAsia" w:ascii="宋体" w:hAnsi="宋体" w:cs="Times New Roman"/>
                <w:kern w:val="0"/>
                <w:sz w:val="22"/>
                <w:szCs w:val="21"/>
                <w:lang w:eastAsia="en-US"/>
              </w:rPr>
              <w:t>企业荣誉</w:t>
            </w:r>
          </w:p>
        </w:tc>
        <w:tc>
          <w:tcPr>
            <w:tcW w:w="670" w:type="dxa"/>
            <w:shd w:val="clear" w:color="auto" w:fill="FFFFFF"/>
            <w:vAlign w:val="center"/>
          </w:tcPr>
          <w:p>
            <w:pPr>
              <w:widowControl/>
              <w:spacing w:line="300" w:lineRule="auto"/>
              <w:ind w:left="-105" w:leftChars="-50" w:right="-105" w:rightChars="-50" w:firstLine="360"/>
              <w:jc w:val="center"/>
              <w:rPr>
                <w:rFonts w:ascii="宋体" w:hAnsi="宋体" w:cs="Times New Roman"/>
                <w:kern w:val="0"/>
                <w:sz w:val="22"/>
                <w:szCs w:val="21"/>
              </w:rPr>
            </w:pPr>
            <w:r>
              <w:rPr>
                <w:rFonts w:hint="eastAsia" w:ascii="宋体" w:hAnsi="宋体" w:cs="Times New Roman"/>
                <w:kern w:val="0"/>
                <w:sz w:val="22"/>
                <w:szCs w:val="21"/>
              </w:rPr>
              <w:t>6</w:t>
            </w:r>
          </w:p>
        </w:tc>
        <w:tc>
          <w:tcPr>
            <w:tcW w:w="6520" w:type="dxa"/>
            <w:shd w:val="clear" w:color="auto" w:fill="FFFFFF"/>
            <w:vAlign w:val="center"/>
          </w:tcPr>
          <w:p>
            <w:pPr>
              <w:widowControl/>
              <w:ind w:left="-105" w:leftChars="-50" w:right="-105" w:rightChars="-50" w:firstLine="360"/>
              <w:jc w:val="left"/>
              <w:rPr>
                <w:rFonts w:ascii="宋体" w:hAnsi="宋体" w:cs="Times New Roman"/>
                <w:kern w:val="0"/>
                <w:sz w:val="22"/>
                <w:szCs w:val="21"/>
              </w:rPr>
            </w:pPr>
            <w:r>
              <w:rPr>
                <w:rFonts w:hint="eastAsia" w:ascii="宋体" w:hAnsi="宋体" w:cs="Times New Roman"/>
                <w:kern w:val="0"/>
                <w:sz w:val="22"/>
                <w:szCs w:val="21"/>
              </w:rPr>
              <w:t>1</w:t>
            </w:r>
            <w:r>
              <w:rPr>
                <w:rFonts w:hint="eastAsia" w:ascii="Times New Roman" w:hAnsi="Times New Roman" w:cs="Times New Roman"/>
                <w:kern w:val="0"/>
                <w:sz w:val="22"/>
              </w:rPr>
              <w:t>. AAA资信等级证书得2分</w:t>
            </w:r>
            <w:r>
              <w:rPr>
                <w:rFonts w:hint="eastAsia" w:ascii="宋体" w:hAnsi="宋体" w:cs="Times New Roman"/>
                <w:kern w:val="0"/>
                <w:sz w:val="22"/>
                <w:szCs w:val="21"/>
              </w:rPr>
              <w:t>；</w:t>
            </w:r>
          </w:p>
          <w:p>
            <w:pPr>
              <w:widowControl/>
              <w:ind w:left="-105" w:leftChars="-50" w:right="-105" w:rightChars="-50" w:firstLine="360"/>
              <w:jc w:val="left"/>
              <w:rPr>
                <w:rFonts w:ascii="宋体" w:hAnsi="宋体" w:cs="Times New Roman"/>
                <w:kern w:val="0"/>
                <w:sz w:val="22"/>
                <w:szCs w:val="21"/>
              </w:rPr>
            </w:pPr>
            <w:r>
              <w:rPr>
                <w:rFonts w:hint="eastAsia" w:ascii="宋体" w:hAnsi="宋体" w:cs="Times New Roman"/>
                <w:kern w:val="0"/>
                <w:sz w:val="22"/>
                <w:szCs w:val="21"/>
              </w:rPr>
              <w:t>2.</w:t>
            </w:r>
            <w:r>
              <w:rPr>
                <w:rFonts w:hint="eastAsia" w:ascii="Times New Roman" w:hAnsi="Times New Roman" w:cs="Times New Roman"/>
                <w:kern w:val="0"/>
                <w:szCs w:val="21"/>
              </w:rPr>
              <w:t xml:space="preserve"> 近三年（2018年至2020年）公司获得过省级守合同、重信用企业奖，每获得一年得2分，最高分4分</w:t>
            </w:r>
            <w:r>
              <w:rPr>
                <w:rFonts w:hint="eastAsia" w:ascii="宋体" w:hAnsi="宋体" w:cs="Times New Roman"/>
                <w:kern w:val="0"/>
                <w:sz w:val="22"/>
                <w:szCs w:val="21"/>
              </w:rPr>
              <w:t>；</w:t>
            </w:r>
          </w:p>
          <w:p>
            <w:pPr>
              <w:widowControl/>
              <w:ind w:left="-105" w:leftChars="-50" w:right="-105" w:rightChars="-50" w:firstLine="360"/>
              <w:jc w:val="left"/>
              <w:rPr>
                <w:rFonts w:ascii="宋体" w:hAnsi="宋体" w:cs="Times New Roman"/>
                <w:b/>
                <w:kern w:val="0"/>
                <w:sz w:val="22"/>
                <w:szCs w:val="21"/>
              </w:rPr>
            </w:pPr>
            <w:r>
              <w:rPr>
                <w:rFonts w:hint="eastAsia" w:ascii="宋体" w:hAnsi="宋体" w:cs="Times New Roman"/>
                <w:b/>
                <w:kern w:val="0"/>
                <w:sz w:val="22"/>
                <w:szCs w:val="21"/>
              </w:rPr>
              <w:t>（提供以上认证证书的原件真彩扫描打印件并加盖公章）</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2529" w:type="dxa"/>
            <w:gridSpan w:val="3"/>
            <w:shd w:val="clear" w:color="auto" w:fill="FFFFFF"/>
            <w:vAlign w:val="center"/>
          </w:tcPr>
          <w:p>
            <w:pPr>
              <w:widowControl/>
              <w:ind w:left="-48" w:leftChars="-23" w:right="-36" w:rightChars="-17" w:firstLine="360"/>
              <w:jc w:val="center"/>
              <w:rPr>
                <w:rFonts w:ascii="宋体" w:hAnsi="宋体" w:cs="Times New Roman"/>
                <w:b/>
                <w:kern w:val="0"/>
                <w:sz w:val="22"/>
                <w:szCs w:val="21"/>
                <w:lang w:eastAsia="en-US"/>
              </w:rPr>
            </w:pPr>
            <w:r>
              <w:rPr>
                <w:rFonts w:hint="eastAsia" w:ascii="宋体" w:hAnsi="宋体" w:cs="Times New Roman"/>
                <w:b/>
                <w:kern w:val="0"/>
                <w:sz w:val="22"/>
                <w:szCs w:val="21"/>
                <w:lang w:eastAsia="en-US"/>
              </w:rPr>
              <w:t>商务分合计</w:t>
            </w:r>
          </w:p>
        </w:tc>
        <w:tc>
          <w:tcPr>
            <w:tcW w:w="7176" w:type="dxa"/>
            <w:gridSpan w:val="2"/>
            <w:shd w:val="clear" w:color="auto" w:fill="FFFFFF"/>
            <w:vAlign w:val="center"/>
          </w:tcPr>
          <w:p>
            <w:pPr>
              <w:widowControl/>
              <w:jc w:val="center"/>
              <w:rPr>
                <w:rFonts w:ascii="宋体" w:hAnsi="宋体" w:cs="Times New Roman"/>
                <w:b/>
                <w:kern w:val="0"/>
                <w:sz w:val="22"/>
                <w:szCs w:val="21"/>
                <w:lang w:eastAsia="en-US"/>
              </w:rPr>
            </w:pPr>
            <w:r>
              <w:rPr>
                <w:rFonts w:hint="eastAsia" w:ascii="宋体" w:hAnsi="宋体" w:cs="Times New Roman"/>
                <w:b/>
                <w:kern w:val="0"/>
                <w:sz w:val="22"/>
                <w:szCs w:val="21"/>
                <w:lang w:eastAsia="en-US"/>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8" w:type="dxa"/>
            <w:vMerge w:val="restart"/>
            <w:shd w:val="clear" w:color="auto" w:fill="FFFFFF"/>
            <w:vAlign w:val="center"/>
          </w:tcPr>
          <w:p>
            <w:pPr>
              <w:widowControl/>
              <w:tabs>
                <w:tab w:val="left" w:pos="322"/>
              </w:tabs>
              <w:ind w:left="-42" w:right="-42" w:rightChars="-20" w:firstLine="360"/>
              <w:jc w:val="right"/>
              <w:rPr>
                <w:rFonts w:ascii="宋体" w:hAnsi="宋体" w:cs="Times New Roman"/>
                <w:b/>
                <w:kern w:val="0"/>
                <w:sz w:val="22"/>
                <w:szCs w:val="21"/>
                <w:lang w:eastAsia="en-US"/>
              </w:rPr>
            </w:pPr>
            <w:r>
              <w:rPr>
                <w:rFonts w:hint="eastAsia" w:ascii="宋体" w:hAnsi="宋体" w:cs="Times New Roman"/>
                <w:b/>
                <w:bCs/>
                <w:kern w:val="0"/>
                <w:sz w:val="22"/>
                <w:szCs w:val="21"/>
                <w:lang w:eastAsia="en-US"/>
              </w:rPr>
              <w:t>技术服务评议</w:t>
            </w:r>
          </w:p>
        </w:tc>
        <w:tc>
          <w:tcPr>
            <w:tcW w:w="1131" w:type="dxa"/>
            <w:shd w:val="clear" w:color="auto" w:fill="FFFFFF"/>
            <w:vAlign w:val="center"/>
          </w:tcPr>
          <w:p>
            <w:pPr>
              <w:widowControl/>
              <w:ind w:left="-78" w:leftChars="-37" w:right="-86" w:rightChars="-41"/>
              <w:jc w:val="left"/>
              <w:rPr>
                <w:rFonts w:ascii="宋体" w:hAnsi="宋体" w:cs="Times New Roman"/>
                <w:b/>
                <w:kern w:val="0"/>
                <w:sz w:val="22"/>
                <w:szCs w:val="21"/>
                <w:lang w:eastAsia="en-US"/>
              </w:rPr>
            </w:pPr>
            <w:r>
              <w:rPr>
                <w:rFonts w:hint="eastAsia" w:ascii="宋体" w:hAnsi="宋体" w:cs="Times New Roman"/>
                <w:b/>
                <w:kern w:val="0"/>
                <w:sz w:val="22"/>
                <w:szCs w:val="21"/>
                <w:lang w:eastAsia="en-US"/>
              </w:rPr>
              <w:t>评审因素</w:t>
            </w:r>
          </w:p>
        </w:tc>
        <w:tc>
          <w:tcPr>
            <w:tcW w:w="670" w:type="dxa"/>
            <w:shd w:val="clear" w:color="auto" w:fill="FFFFFF"/>
            <w:vAlign w:val="center"/>
          </w:tcPr>
          <w:p>
            <w:pPr>
              <w:widowControl/>
              <w:ind w:left="-73" w:leftChars="-35" w:right="-80" w:rightChars="-38"/>
              <w:jc w:val="left"/>
              <w:rPr>
                <w:rFonts w:ascii="宋体" w:hAnsi="宋体" w:cs="Times New Roman"/>
                <w:b/>
                <w:kern w:val="0"/>
                <w:sz w:val="22"/>
                <w:szCs w:val="21"/>
                <w:lang w:eastAsia="en-US"/>
              </w:rPr>
            </w:pPr>
            <w:r>
              <w:rPr>
                <w:rFonts w:hint="eastAsia" w:ascii="宋体" w:hAnsi="宋体" w:cs="Times New Roman"/>
                <w:b/>
                <w:kern w:val="0"/>
                <w:sz w:val="22"/>
                <w:szCs w:val="21"/>
                <w:lang w:eastAsia="en-US"/>
              </w:rPr>
              <w:t>分值</w:t>
            </w:r>
          </w:p>
        </w:tc>
        <w:tc>
          <w:tcPr>
            <w:tcW w:w="6520" w:type="dxa"/>
            <w:shd w:val="clear" w:color="auto" w:fill="FFFFFF"/>
            <w:vAlign w:val="center"/>
          </w:tcPr>
          <w:p>
            <w:pPr>
              <w:widowControl/>
              <w:ind w:left="-78" w:leftChars="-37" w:right="-86" w:rightChars="-41" w:firstLine="360"/>
              <w:jc w:val="center"/>
              <w:rPr>
                <w:rFonts w:ascii="宋体" w:hAnsi="宋体" w:cs="Times New Roman"/>
                <w:b/>
                <w:kern w:val="0"/>
                <w:sz w:val="22"/>
                <w:szCs w:val="21"/>
                <w:lang w:eastAsia="en-US"/>
              </w:rPr>
            </w:pPr>
            <w:r>
              <w:rPr>
                <w:rFonts w:hint="eastAsia" w:ascii="宋体" w:hAnsi="宋体" w:cs="Times New Roman"/>
                <w:b/>
                <w:kern w:val="0"/>
                <w:sz w:val="22"/>
                <w:szCs w:val="21"/>
                <w:lang w:eastAsia="en-US"/>
              </w:rPr>
              <w:t>评分标准</w:t>
            </w:r>
          </w:p>
        </w:tc>
        <w:tc>
          <w:tcPr>
            <w:tcW w:w="656" w:type="dxa"/>
            <w:shd w:val="clear" w:color="auto" w:fill="FFFFFF"/>
            <w:vAlign w:val="center"/>
          </w:tcPr>
          <w:p>
            <w:pPr>
              <w:widowControl/>
              <w:jc w:val="left"/>
              <w:rPr>
                <w:rFonts w:ascii="宋体" w:hAnsi="宋体" w:cs="Times New Roman"/>
                <w:b/>
                <w:kern w:val="0"/>
                <w:sz w:val="22"/>
                <w:szCs w:val="21"/>
                <w:lang w:eastAsia="en-US"/>
              </w:rPr>
            </w:pPr>
            <w:r>
              <w:rPr>
                <w:rFonts w:hint="eastAsia" w:ascii="宋体" w:hAnsi="宋体" w:cs="Times New Roman"/>
                <w:b/>
                <w:kern w:val="0"/>
                <w:sz w:val="22"/>
                <w:szCs w:val="21"/>
                <w:lang w:eastAsia="en-US"/>
              </w:rPr>
              <w:t>因素</w:t>
            </w:r>
          </w:p>
          <w:p>
            <w:pPr>
              <w:widowControl/>
              <w:jc w:val="left"/>
              <w:rPr>
                <w:rFonts w:ascii="宋体" w:hAnsi="宋体" w:cs="Times New Roman"/>
                <w:b/>
                <w:kern w:val="0"/>
                <w:sz w:val="22"/>
                <w:szCs w:val="21"/>
                <w:lang w:eastAsia="en-US"/>
              </w:rPr>
            </w:pPr>
            <w:r>
              <w:rPr>
                <w:rFonts w:hint="eastAsia" w:ascii="宋体" w:hAnsi="宋体" w:cs="Times New Roman"/>
                <w:b/>
                <w:kern w:val="0"/>
                <w:sz w:val="22"/>
                <w:szCs w:val="21"/>
                <w:lang w:eastAsia="en-US"/>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28" w:type="dxa"/>
            <w:vMerge w:val="continue"/>
            <w:shd w:val="clear" w:color="auto" w:fill="FFFFFF"/>
            <w:vAlign w:val="center"/>
          </w:tcPr>
          <w:p>
            <w:pPr>
              <w:widowControl/>
              <w:tabs>
                <w:tab w:val="left" w:pos="322"/>
              </w:tabs>
              <w:ind w:left="-42" w:right="-42" w:rightChars="-20" w:firstLine="360"/>
              <w:jc w:val="right"/>
              <w:rPr>
                <w:rFonts w:ascii="宋体" w:hAnsi="宋体" w:cs="Times New Roman"/>
                <w:b/>
                <w:kern w:val="0"/>
                <w:sz w:val="22"/>
                <w:szCs w:val="21"/>
                <w:lang w:eastAsia="en-US"/>
              </w:rPr>
            </w:pPr>
          </w:p>
        </w:tc>
        <w:tc>
          <w:tcPr>
            <w:tcW w:w="1131" w:type="dxa"/>
            <w:shd w:val="clear" w:color="auto" w:fill="FFFFFF"/>
            <w:vAlign w:val="center"/>
          </w:tcPr>
          <w:p>
            <w:pPr>
              <w:widowControl/>
              <w:jc w:val="left"/>
              <w:rPr>
                <w:rFonts w:ascii="宋体" w:hAnsi="宋体" w:cs="Times New Roman"/>
                <w:b/>
                <w:kern w:val="0"/>
                <w:sz w:val="22"/>
                <w:szCs w:val="21"/>
                <w:lang w:eastAsia="en-US"/>
              </w:rPr>
            </w:pPr>
            <w:r>
              <w:rPr>
                <w:rFonts w:hint="eastAsia" w:ascii="宋体" w:hAnsi="宋体" w:cs="Times New Roman"/>
                <w:kern w:val="0"/>
                <w:sz w:val="22"/>
                <w:szCs w:val="21"/>
                <w:lang w:eastAsia="en-US"/>
              </w:rPr>
              <w:t>质量保障措施</w:t>
            </w:r>
          </w:p>
        </w:tc>
        <w:tc>
          <w:tcPr>
            <w:tcW w:w="670" w:type="dxa"/>
            <w:shd w:val="clear" w:color="auto" w:fill="FFFFFF"/>
            <w:vAlign w:val="center"/>
          </w:tcPr>
          <w:p>
            <w:pPr>
              <w:widowControl/>
              <w:ind w:firstLine="360"/>
              <w:jc w:val="center"/>
              <w:rPr>
                <w:rFonts w:ascii="宋体" w:hAnsi="宋体" w:cs="Times New Roman"/>
                <w:b/>
                <w:kern w:val="0"/>
                <w:sz w:val="22"/>
                <w:szCs w:val="21"/>
                <w:lang w:eastAsia="en-US"/>
              </w:rPr>
            </w:pPr>
            <w:r>
              <w:rPr>
                <w:rFonts w:hint="eastAsia" w:ascii="宋体" w:hAnsi="宋体" w:cs="Times New Roman"/>
                <w:kern w:val="0"/>
                <w:sz w:val="22"/>
                <w:szCs w:val="21"/>
                <w:lang w:eastAsia="en-US"/>
              </w:rPr>
              <w:t>8</w:t>
            </w:r>
          </w:p>
        </w:tc>
        <w:tc>
          <w:tcPr>
            <w:tcW w:w="6520" w:type="dxa"/>
            <w:shd w:val="clear" w:color="auto" w:fill="FFFFFF"/>
            <w:vAlign w:val="center"/>
          </w:tcPr>
          <w:p>
            <w:pPr>
              <w:widowControl/>
              <w:ind w:firstLine="360"/>
              <w:jc w:val="left"/>
              <w:rPr>
                <w:rFonts w:ascii="宋体" w:hAnsi="宋体" w:cs="Times New Roman"/>
                <w:kern w:val="0"/>
                <w:sz w:val="22"/>
                <w:szCs w:val="21"/>
              </w:rPr>
            </w:pPr>
            <w:r>
              <w:rPr>
                <w:rFonts w:hint="eastAsia" w:ascii="宋体" w:hAnsi="宋体" w:cs="Times New Roman"/>
                <w:kern w:val="0"/>
                <w:sz w:val="22"/>
                <w:szCs w:val="21"/>
              </w:rPr>
              <w:t>供应商针对本项目的质量保障措施配置科学合理、规章制度健全、岗位职责及质量管理目标明确得6-8分；质量保障措施配置合理、规章制度健全、岗位职责及质量管理目标明确的得2-5分；质量保障措施配置基本合理、规章制度健全、岗位职责及质量管理目标基本明确的得1分。</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20" w:hRule="atLeast"/>
          <w:jc w:val="center"/>
        </w:trPr>
        <w:tc>
          <w:tcPr>
            <w:tcW w:w="728" w:type="dxa"/>
            <w:vMerge w:val="continue"/>
            <w:shd w:val="clear" w:color="auto" w:fill="FFFFFF"/>
            <w:vAlign w:val="center"/>
          </w:tcPr>
          <w:p>
            <w:pPr>
              <w:widowControl/>
              <w:tabs>
                <w:tab w:val="left" w:pos="322"/>
              </w:tabs>
              <w:ind w:left="-42" w:right="-42" w:rightChars="-20" w:firstLine="360"/>
              <w:jc w:val="right"/>
              <w:rPr>
                <w:rFonts w:ascii="宋体" w:hAnsi="宋体" w:cs="Times New Roman"/>
                <w:b/>
                <w:kern w:val="0"/>
                <w:sz w:val="22"/>
                <w:szCs w:val="21"/>
              </w:rPr>
            </w:pPr>
          </w:p>
        </w:tc>
        <w:tc>
          <w:tcPr>
            <w:tcW w:w="1131" w:type="dxa"/>
            <w:shd w:val="clear" w:color="auto" w:fill="FFFFFF"/>
            <w:vAlign w:val="center"/>
          </w:tcPr>
          <w:p>
            <w:pPr>
              <w:widowControl/>
              <w:jc w:val="left"/>
              <w:rPr>
                <w:rFonts w:ascii="宋体" w:hAnsi="宋体" w:cs="Times New Roman"/>
                <w:kern w:val="0"/>
                <w:sz w:val="22"/>
                <w:szCs w:val="21"/>
                <w:lang w:eastAsia="en-US"/>
              </w:rPr>
            </w:pPr>
            <w:r>
              <w:rPr>
                <w:rFonts w:hint="eastAsia" w:ascii="宋体" w:hAnsi="宋体" w:cs="Times New Roman"/>
                <w:kern w:val="0"/>
                <w:sz w:val="22"/>
                <w:szCs w:val="21"/>
                <w:lang w:eastAsia="en-US"/>
              </w:rPr>
              <w:t>安全、文明管理体系与措施</w:t>
            </w:r>
          </w:p>
        </w:tc>
        <w:tc>
          <w:tcPr>
            <w:tcW w:w="670" w:type="dxa"/>
            <w:shd w:val="clear" w:color="auto" w:fill="FFFFFF"/>
            <w:vAlign w:val="center"/>
          </w:tcPr>
          <w:p>
            <w:pPr>
              <w:widowControl/>
              <w:spacing w:line="400" w:lineRule="exact"/>
              <w:ind w:firstLine="360"/>
              <w:jc w:val="center"/>
              <w:rPr>
                <w:rFonts w:ascii="宋体" w:hAnsi="宋体" w:cs="Times New Roman"/>
                <w:kern w:val="0"/>
                <w:sz w:val="22"/>
                <w:szCs w:val="21"/>
              </w:rPr>
            </w:pPr>
            <w:r>
              <w:rPr>
                <w:rFonts w:hint="eastAsia" w:ascii="宋体" w:hAnsi="宋体" w:cs="Times New Roman"/>
                <w:kern w:val="0"/>
                <w:sz w:val="22"/>
                <w:szCs w:val="21"/>
              </w:rPr>
              <w:t>6</w:t>
            </w:r>
          </w:p>
        </w:tc>
        <w:tc>
          <w:tcPr>
            <w:tcW w:w="6520" w:type="dxa"/>
            <w:shd w:val="clear" w:color="auto" w:fill="FFFFFF"/>
            <w:vAlign w:val="center"/>
          </w:tcPr>
          <w:p>
            <w:pPr>
              <w:widowControl/>
              <w:ind w:firstLine="360"/>
              <w:jc w:val="left"/>
              <w:rPr>
                <w:rFonts w:ascii="宋体" w:hAnsi="宋体" w:cs="Times New Roman"/>
                <w:kern w:val="0"/>
                <w:sz w:val="22"/>
                <w:szCs w:val="21"/>
              </w:rPr>
            </w:pPr>
            <w:r>
              <w:rPr>
                <w:rFonts w:hint="eastAsia" w:ascii="宋体" w:hAnsi="宋体" w:cs="Times New Roman"/>
                <w:kern w:val="0"/>
                <w:sz w:val="22"/>
                <w:szCs w:val="21"/>
              </w:rPr>
              <w:t>供应商的安全生产、文明施工管理资源配置科学合理、管理制度健全、安全生产预案与措施针对性强的得4-6分；安全生产、文明施工管理资源配置合理、管理制度健全、安全生产预案与措施完善的得2-3分；安全生产、文明施工管理资源配置基本合理、管理制度健全、安全生产预案与措施勉强完善的得1分。</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5" w:hRule="atLeast"/>
          <w:jc w:val="center"/>
        </w:trPr>
        <w:tc>
          <w:tcPr>
            <w:tcW w:w="728" w:type="dxa"/>
            <w:vMerge w:val="continue"/>
            <w:shd w:val="clear" w:color="auto" w:fill="FFFFFF"/>
            <w:vAlign w:val="center"/>
          </w:tcPr>
          <w:p>
            <w:pPr>
              <w:widowControl/>
              <w:tabs>
                <w:tab w:val="left" w:pos="322"/>
              </w:tabs>
              <w:ind w:left="-42" w:right="-42" w:rightChars="-20" w:firstLine="360"/>
              <w:jc w:val="right"/>
              <w:rPr>
                <w:rFonts w:ascii="宋体" w:hAnsi="宋体" w:cs="Times New Roman"/>
                <w:b/>
                <w:kern w:val="0"/>
                <w:sz w:val="22"/>
                <w:szCs w:val="21"/>
              </w:rPr>
            </w:pPr>
          </w:p>
        </w:tc>
        <w:tc>
          <w:tcPr>
            <w:tcW w:w="1131" w:type="dxa"/>
            <w:shd w:val="clear" w:color="auto" w:fill="FFFFFF"/>
            <w:vAlign w:val="center"/>
          </w:tcPr>
          <w:p>
            <w:pPr>
              <w:widowControl/>
              <w:jc w:val="left"/>
              <w:rPr>
                <w:rFonts w:ascii="宋体" w:hAnsi="宋体" w:cs="Times New Roman"/>
                <w:b/>
                <w:kern w:val="0"/>
                <w:sz w:val="22"/>
                <w:szCs w:val="21"/>
                <w:lang w:eastAsia="en-US"/>
              </w:rPr>
            </w:pPr>
            <w:r>
              <w:rPr>
                <w:rFonts w:hint="eastAsia" w:ascii="宋体" w:hAnsi="宋体" w:cs="Times New Roman"/>
                <w:kern w:val="0"/>
                <w:sz w:val="22"/>
                <w:szCs w:val="21"/>
                <w:lang w:eastAsia="en-US"/>
              </w:rPr>
              <w:t>工程进度保障措施</w:t>
            </w:r>
          </w:p>
        </w:tc>
        <w:tc>
          <w:tcPr>
            <w:tcW w:w="670" w:type="dxa"/>
            <w:shd w:val="clear" w:color="auto" w:fill="FFFFFF"/>
            <w:vAlign w:val="center"/>
          </w:tcPr>
          <w:p>
            <w:pPr>
              <w:widowControl/>
              <w:ind w:firstLine="360"/>
              <w:jc w:val="center"/>
              <w:rPr>
                <w:rFonts w:ascii="宋体" w:hAnsi="宋体" w:cs="Times New Roman"/>
                <w:b/>
                <w:kern w:val="0"/>
                <w:sz w:val="22"/>
                <w:szCs w:val="21"/>
              </w:rPr>
            </w:pPr>
            <w:r>
              <w:rPr>
                <w:rFonts w:hint="eastAsia" w:ascii="宋体" w:hAnsi="宋体" w:cs="Times New Roman"/>
                <w:kern w:val="0"/>
                <w:sz w:val="22"/>
                <w:szCs w:val="21"/>
              </w:rPr>
              <w:t>6</w:t>
            </w:r>
          </w:p>
        </w:tc>
        <w:tc>
          <w:tcPr>
            <w:tcW w:w="6520" w:type="dxa"/>
            <w:shd w:val="clear" w:color="auto" w:fill="FFFFFF"/>
            <w:vAlign w:val="center"/>
          </w:tcPr>
          <w:p>
            <w:pPr>
              <w:widowControl/>
              <w:ind w:firstLine="360"/>
              <w:jc w:val="left"/>
              <w:rPr>
                <w:rFonts w:ascii="宋体" w:hAnsi="宋体" w:cs="Times New Roman"/>
                <w:kern w:val="0"/>
                <w:sz w:val="22"/>
                <w:szCs w:val="21"/>
              </w:rPr>
            </w:pPr>
            <w:r>
              <w:rPr>
                <w:rFonts w:hint="eastAsia" w:ascii="宋体" w:hAnsi="宋体" w:cs="宋体"/>
                <w:kern w:val="0"/>
                <w:sz w:val="22"/>
                <w:szCs w:val="21"/>
              </w:rPr>
              <w:t>供应商的工程进度</w:t>
            </w:r>
            <w:r>
              <w:rPr>
                <w:rFonts w:hint="eastAsia" w:ascii="宋体" w:hAnsi="宋体" w:cs="Times New Roman"/>
                <w:kern w:val="0"/>
                <w:sz w:val="22"/>
                <w:szCs w:val="21"/>
              </w:rPr>
              <w:t>保障措施</w:t>
            </w:r>
            <w:r>
              <w:rPr>
                <w:rFonts w:hint="eastAsia" w:ascii="宋体" w:hAnsi="宋体" w:cs="宋体"/>
                <w:kern w:val="0"/>
                <w:sz w:val="22"/>
                <w:szCs w:val="21"/>
              </w:rPr>
              <w:t>完善合理，且完全符合项目特点得4-</w:t>
            </w:r>
            <w:r>
              <w:rPr>
                <w:rFonts w:hint="eastAsia" w:cs="Times New Roman"/>
                <w:kern w:val="0"/>
                <w:sz w:val="22"/>
                <w:szCs w:val="21"/>
              </w:rPr>
              <w:t>6分</w:t>
            </w:r>
            <w:r>
              <w:rPr>
                <w:rFonts w:hint="eastAsia" w:ascii="宋体" w:hAnsi="宋体" w:cs="宋体"/>
                <w:kern w:val="0"/>
                <w:sz w:val="22"/>
                <w:szCs w:val="21"/>
              </w:rPr>
              <w:t>；工程进度</w:t>
            </w:r>
            <w:r>
              <w:rPr>
                <w:rFonts w:hint="eastAsia" w:ascii="宋体" w:hAnsi="宋体" w:cs="Times New Roman"/>
                <w:kern w:val="0"/>
                <w:sz w:val="22"/>
                <w:szCs w:val="21"/>
              </w:rPr>
              <w:t>保障措施较</w:t>
            </w:r>
            <w:r>
              <w:rPr>
                <w:rFonts w:hint="eastAsia" w:ascii="宋体" w:hAnsi="宋体" w:cs="宋体"/>
                <w:kern w:val="0"/>
                <w:sz w:val="22"/>
                <w:szCs w:val="21"/>
              </w:rPr>
              <w:t>合理得2-3</w:t>
            </w:r>
            <w:r>
              <w:rPr>
                <w:rFonts w:hint="eastAsia" w:cs="Times New Roman"/>
                <w:kern w:val="0"/>
                <w:sz w:val="22"/>
                <w:szCs w:val="21"/>
              </w:rPr>
              <w:t>分；工程进度</w:t>
            </w:r>
            <w:r>
              <w:rPr>
                <w:rFonts w:hint="eastAsia" w:ascii="宋体" w:hAnsi="宋体" w:cs="Times New Roman"/>
                <w:kern w:val="0"/>
                <w:sz w:val="22"/>
                <w:szCs w:val="21"/>
              </w:rPr>
              <w:t>保障措施</w:t>
            </w:r>
            <w:r>
              <w:rPr>
                <w:rFonts w:hint="eastAsia" w:cs="Times New Roman"/>
                <w:kern w:val="0"/>
                <w:sz w:val="22"/>
                <w:szCs w:val="21"/>
              </w:rPr>
              <w:t>基本合理得1分</w:t>
            </w:r>
            <w:r>
              <w:rPr>
                <w:rFonts w:hint="eastAsia" w:ascii="宋体" w:hAnsi="宋体" w:cs="宋体"/>
                <w:kern w:val="0"/>
                <w:sz w:val="22"/>
                <w:szCs w:val="21"/>
              </w:rPr>
              <w:t>。</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4" w:hRule="atLeast"/>
          <w:jc w:val="center"/>
        </w:trPr>
        <w:tc>
          <w:tcPr>
            <w:tcW w:w="728" w:type="dxa"/>
            <w:vMerge w:val="continue"/>
            <w:shd w:val="clear" w:color="auto" w:fill="FFFFFF"/>
            <w:vAlign w:val="center"/>
          </w:tcPr>
          <w:p>
            <w:pPr>
              <w:widowControl/>
              <w:tabs>
                <w:tab w:val="left" w:pos="322"/>
              </w:tabs>
              <w:ind w:left="-42" w:right="-42" w:rightChars="-20" w:firstLine="360"/>
              <w:jc w:val="right"/>
              <w:rPr>
                <w:rFonts w:ascii="宋体" w:hAnsi="宋体" w:cs="Times New Roman"/>
                <w:b/>
                <w:kern w:val="0"/>
                <w:sz w:val="22"/>
                <w:szCs w:val="21"/>
              </w:rPr>
            </w:pPr>
          </w:p>
        </w:tc>
        <w:tc>
          <w:tcPr>
            <w:tcW w:w="1131" w:type="dxa"/>
            <w:shd w:val="clear" w:color="auto" w:fill="FFFFFF"/>
            <w:vAlign w:val="center"/>
          </w:tcPr>
          <w:p>
            <w:pPr>
              <w:widowControl/>
              <w:spacing w:line="300" w:lineRule="auto"/>
              <w:ind w:left="-105" w:leftChars="-50" w:right="-105" w:rightChars="-50" w:firstLine="360"/>
              <w:jc w:val="center"/>
              <w:rPr>
                <w:rFonts w:ascii="宋体" w:hAnsi="宋体" w:cs="Times New Roman"/>
                <w:kern w:val="0"/>
                <w:sz w:val="22"/>
                <w:szCs w:val="21"/>
                <w:lang w:eastAsia="en-US"/>
              </w:rPr>
            </w:pPr>
            <w:r>
              <w:rPr>
                <w:rFonts w:hint="eastAsia" w:ascii="宋体" w:hAnsi="宋体" w:cs="Times New Roman"/>
                <w:kern w:val="0"/>
                <w:sz w:val="22"/>
                <w:szCs w:val="21"/>
                <w:lang w:eastAsia="en-US"/>
              </w:rPr>
              <w:t>应急保障措施</w:t>
            </w:r>
          </w:p>
        </w:tc>
        <w:tc>
          <w:tcPr>
            <w:tcW w:w="670" w:type="dxa"/>
            <w:shd w:val="clear" w:color="auto" w:fill="FFFFFF"/>
            <w:vAlign w:val="center"/>
          </w:tcPr>
          <w:p>
            <w:pPr>
              <w:widowControl/>
              <w:spacing w:line="300" w:lineRule="auto"/>
              <w:ind w:left="-105" w:leftChars="-50" w:right="-105" w:rightChars="-50" w:firstLine="360"/>
              <w:jc w:val="center"/>
              <w:rPr>
                <w:rFonts w:ascii="宋体" w:hAnsi="宋体" w:cs="Times New Roman"/>
                <w:kern w:val="0"/>
                <w:sz w:val="22"/>
                <w:szCs w:val="21"/>
                <w:lang w:eastAsia="en-US"/>
              </w:rPr>
            </w:pPr>
            <w:r>
              <w:rPr>
                <w:rFonts w:hint="eastAsia" w:ascii="宋体" w:hAnsi="宋体" w:cs="Times New Roman"/>
                <w:kern w:val="0"/>
                <w:sz w:val="22"/>
                <w:szCs w:val="21"/>
                <w:lang w:eastAsia="en-US"/>
              </w:rPr>
              <w:t>6</w:t>
            </w:r>
          </w:p>
        </w:tc>
        <w:tc>
          <w:tcPr>
            <w:tcW w:w="6520" w:type="dxa"/>
            <w:shd w:val="clear" w:color="auto" w:fill="FFFFFF"/>
          </w:tcPr>
          <w:p>
            <w:pPr>
              <w:widowControl/>
              <w:ind w:firstLine="360"/>
              <w:jc w:val="left"/>
              <w:rPr>
                <w:rFonts w:ascii="宋体" w:hAnsi="宋体" w:cs="Times New Roman"/>
                <w:kern w:val="0"/>
                <w:sz w:val="22"/>
                <w:szCs w:val="21"/>
              </w:rPr>
            </w:pPr>
            <w:r>
              <w:rPr>
                <w:rFonts w:hint="eastAsia" w:ascii="宋体" w:hAnsi="宋体" w:cs="宋体"/>
                <w:kern w:val="0"/>
                <w:sz w:val="22"/>
                <w:szCs w:val="21"/>
              </w:rPr>
              <w:t>供应商的工程</w:t>
            </w:r>
            <w:r>
              <w:rPr>
                <w:rFonts w:hint="eastAsia" w:ascii="宋体" w:hAnsi="宋体" w:cs="Times New Roman"/>
                <w:kern w:val="0"/>
                <w:sz w:val="22"/>
                <w:szCs w:val="21"/>
              </w:rPr>
              <w:t>应急保障措施</w:t>
            </w:r>
            <w:r>
              <w:rPr>
                <w:rFonts w:hint="eastAsia" w:ascii="宋体" w:hAnsi="宋体" w:cs="宋体"/>
                <w:kern w:val="0"/>
                <w:sz w:val="22"/>
                <w:szCs w:val="21"/>
              </w:rPr>
              <w:t>完善合理，且完全符合项目特点得4-</w:t>
            </w:r>
            <w:r>
              <w:rPr>
                <w:rFonts w:hint="eastAsia" w:cs="Times New Roman"/>
                <w:kern w:val="0"/>
                <w:sz w:val="22"/>
                <w:szCs w:val="21"/>
              </w:rPr>
              <w:t>6分</w:t>
            </w:r>
            <w:r>
              <w:rPr>
                <w:rFonts w:hint="eastAsia" w:ascii="宋体" w:hAnsi="宋体" w:cs="宋体"/>
                <w:kern w:val="0"/>
                <w:sz w:val="22"/>
                <w:szCs w:val="21"/>
              </w:rPr>
              <w:t>；工程</w:t>
            </w:r>
            <w:r>
              <w:rPr>
                <w:rFonts w:hint="eastAsia" w:ascii="宋体" w:hAnsi="宋体" w:cs="Times New Roman"/>
                <w:kern w:val="0"/>
                <w:sz w:val="22"/>
                <w:szCs w:val="21"/>
              </w:rPr>
              <w:t>应急保障措施较</w:t>
            </w:r>
            <w:r>
              <w:rPr>
                <w:rFonts w:hint="eastAsia" w:ascii="宋体" w:hAnsi="宋体" w:cs="宋体"/>
                <w:kern w:val="0"/>
                <w:sz w:val="22"/>
                <w:szCs w:val="21"/>
              </w:rPr>
              <w:t>合理得2-3</w:t>
            </w:r>
            <w:r>
              <w:rPr>
                <w:rFonts w:hint="eastAsia" w:cs="Times New Roman"/>
                <w:kern w:val="0"/>
                <w:sz w:val="22"/>
                <w:szCs w:val="21"/>
              </w:rPr>
              <w:t>分；工程</w:t>
            </w:r>
            <w:r>
              <w:rPr>
                <w:rFonts w:hint="eastAsia" w:ascii="宋体" w:hAnsi="宋体" w:cs="Times New Roman"/>
                <w:kern w:val="0"/>
                <w:sz w:val="22"/>
                <w:szCs w:val="21"/>
              </w:rPr>
              <w:t>应急保障措施</w:t>
            </w:r>
            <w:r>
              <w:rPr>
                <w:rFonts w:hint="eastAsia" w:cs="Times New Roman"/>
                <w:kern w:val="0"/>
                <w:sz w:val="22"/>
                <w:szCs w:val="21"/>
              </w:rPr>
              <w:t>基本合理得1分</w:t>
            </w:r>
            <w:r>
              <w:rPr>
                <w:rFonts w:hint="eastAsia" w:ascii="宋体" w:hAnsi="宋体" w:cs="宋体"/>
                <w:kern w:val="0"/>
                <w:sz w:val="22"/>
                <w:szCs w:val="21"/>
              </w:rPr>
              <w:t>。</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3" w:hRule="atLeast"/>
          <w:jc w:val="center"/>
        </w:trPr>
        <w:tc>
          <w:tcPr>
            <w:tcW w:w="728" w:type="dxa"/>
            <w:vMerge w:val="continue"/>
            <w:shd w:val="clear" w:color="auto" w:fill="FFFFFF"/>
            <w:vAlign w:val="center"/>
          </w:tcPr>
          <w:p>
            <w:pPr>
              <w:widowControl/>
              <w:tabs>
                <w:tab w:val="left" w:pos="322"/>
              </w:tabs>
              <w:ind w:left="-42" w:right="-42" w:rightChars="-20" w:firstLine="360"/>
              <w:jc w:val="right"/>
              <w:rPr>
                <w:rFonts w:ascii="宋体" w:hAnsi="宋体" w:cs="Times New Roman"/>
                <w:b/>
                <w:kern w:val="0"/>
                <w:sz w:val="22"/>
                <w:szCs w:val="21"/>
              </w:rPr>
            </w:pPr>
          </w:p>
        </w:tc>
        <w:tc>
          <w:tcPr>
            <w:tcW w:w="1131" w:type="dxa"/>
            <w:vMerge w:val="restart"/>
            <w:shd w:val="clear" w:color="auto" w:fill="FFFFFF"/>
            <w:vAlign w:val="center"/>
          </w:tcPr>
          <w:p>
            <w:pPr>
              <w:widowControl/>
              <w:spacing w:line="300" w:lineRule="auto"/>
              <w:ind w:left="-105" w:leftChars="-50" w:right="-105" w:rightChars="-50" w:firstLine="360"/>
              <w:jc w:val="center"/>
              <w:rPr>
                <w:rFonts w:ascii="宋体" w:hAnsi="宋体" w:cs="Times New Roman"/>
                <w:kern w:val="0"/>
                <w:sz w:val="22"/>
                <w:szCs w:val="21"/>
                <w:lang w:eastAsia="en-US"/>
              </w:rPr>
            </w:pPr>
            <w:r>
              <w:rPr>
                <w:rFonts w:hint="eastAsia" w:ascii="宋体" w:hAnsi="宋体" w:cs="Times New Roman"/>
                <w:kern w:val="0"/>
                <w:sz w:val="22"/>
                <w:szCs w:val="21"/>
                <w:lang w:eastAsia="en-US"/>
              </w:rPr>
              <w:t>售后服务</w:t>
            </w:r>
          </w:p>
        </w:tc>
        <w:tc>
          <w:tcPr>
            <w:tcW w:w="670" w:type="dxa"/>
            <w:shd w:val="clear" w:color="auto" w:fill="FFFFFF"/>
            <w:vAlign w:val="center"/>
          </w:tcPr>
          <w:p>
            <w:pPr>
              <w:widowControl/>
              <w:spacing w:line="300" w:lineRule="auto"/>
              <w:ind w:left="-105" w:leftChars="-50" w:right="-105" w:rightChars="-50" w:firstLine="360"/>
              <w:jc w:val="center"/>
              <w:rPr>
                <w:rFonts w:ascii="宋体" w:hAnsi="宋体" w:cs="Times New Roman"/>
                <w:kern w:val="0"/>
                <w:sz w:val="22"/>
                <w:szCs w:val="21"/>
                <w:lang w:eastAsia="en-US"/>
              </w:rPr>
            </w:pPr>
            <w:r>
              <w:rPr>
                <w:rFonts w:hint="eastAsia" w:ascii="宋体" w:hAnsi="宋体" w:cs="Times New Roman"/>
                <w:kern w:val="0"/>
                <w:sz w:val="22"/>
                <w:szCs w:val="21"/>
                <w:lang w:eastAsia="en-US"/>
              </w:rPr>
              <w:t>3</w:t>
            </w:r>
          </w:p>
        </w:tc>
        <w:tc>
          <w:tcPr>
            <w:tcW w:w="6520" w:type="dxa"/>
            <w:shd w:val="clear" w:color="auto" w:fill="FFFFFF"/>
            <w:vAlign w:val="center"/>
          </w:tcPr>
          <w:p>
            <w:pPr>
              <w:widowControl/>
              <w:spacing w:line="300" w:lineRule="auto"/>
              <w:ind w:left="-105" w:leftChars="-50" w:right="-105" w:rightChars="-50" w:firstLine="360"/>
              <w:jc w:val="left"/>
              <w:rPr>
                <w:rFonts w:ascii="宋体" w:hAnsi="宋体" w:cs="Times New Roman"/>
                <w:kern w:val="0"/>
                <w:sz w:val="22"/>
                <w:szCs w:val="21"/>
              </w:rPr>
            </w:pPr>
            <w:r>
              <w:rPr>
                <w:rFonts w:hint="eastAsia" w:ascii="宋体" w:hAnsi="宋体" w:cs="Times New Roman"/>
                <w:kern w:val="0"/>
                <w:sz w:val="22"/>
                <w:szCs w:val="21"/>
              </w:rPr>
              <w:t>供应商应对紧急情况方案详细可行得3分，合理可行得 2分，基本可行得1分。</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67" w:hRule="atLeast"/>
          <w:jc w:val="center"/>
        </w:trPr>
        <w:tc>
          <w:tcPr>
            <w:tcW w:w="728" w:type="dxa"/>
            <w:vMerge w:val="continue"/>
            <w:shd w:val="clear" w:color="auto" w:fill="FFFFFF"/>
            <w:vAlign w:val="center"/>
          </w:tcPr>
          <w:p>
            <w:pPr>
              <w:widowControl/>
              <w:tabs>
                <w:tab w:val="left" w:pos="322"/>
              </w:tabs>
              <w:ind w:left="-42" w:right="-42" w:rightChars="-20" w:firstLine="360"/>
              <w:jc w:val="right"/>
              <w:rPr>
                <w:rFonts w:ascii="宋体" w:hAnsi="宋体" w:cs="Times New Roman"/>
                <w:b/>
                <w:kern w:val="0"/>
                <w:sz w:val="22"/>
                <w:szCs w:val="21"/>
              </w:rPr>
            </w:pPr>
          </w:p>
        </w:tc>
        <w:tc>
          <w:tcPr>
            <w:tcW w:w="1131" w:type="dxa"/>
            <w:vMerge w:val="continue"/>
            <w:shd w:val="clear" w:color="auto" w:fill="FFFFFF"/>
            <w:vAlign w:val="center"/>
          </w:tcPr>
          <w:p>
            <w:pPr>
              <w:widowControl/>
              <w:spacing w:line="300" w:lineRule="auto"/>
              <w:ind w:left="-105" w:leftChars="-50" w:right="-105" w:rightChars="-50" w:firstLine="360"/>
              <w:jc w:val="center"/>
              <w:rPr>
                <w:rFonts w:ascii="宋体" w:hAnsi="宋体" w:cs="Times New Roman"/>
                <w:kern w:val="0"/>
                <w:sz w:val="22"/>
                <w:szCs w:val="21"/>
              </w:rPr>
            </w:pPr>
          </w:p>
        </w:tc>
        <w:tc>
          <w:tcPr>
            <w:tcW w:w="670" w:type="dxa"/>
            <w:shd w:val="clear" w:color="auto" w:fill="FFFFFF"/>
            <w:vAlign w:val="center"/>
          </w:tcPr>
          <w:p>
            <w:pPr>
              <w:widowControl/>
              <w:spacing w:line="300" w:lineRule="auto"/>
              <w:ind w:left="-105" w:leftChars="-50" w:right="-105" w:rightChars="-50" w:firstLine="360"/>
              <w:jc w:val="center"/>
              <w:rPr>
                <w:rFonts w:ascii="宋体" w:hAnsi="宋体" w:cs="Times New Roman"/>
                <w:kern w:val="0"/>
                <w:sz w:val="22"/>
                <w:szCs w:val="21"/>
              </w:rPr>
            </w:pPr>
            <w:r>
              <w:rPr>
                <w:rFonts w:hint="eastAsia" w:ascii="宋体" w:hAnsi="宋体" w:cs="Times New Roman"/>
                <w:kern w:val="0"/>
                <w:sz w:val="22"/>
                <w:szCs w:val="21"/>
              </w:rPr>
              <w:t>8</w:t>
            </w:r>
          </w:p>
        </w:tc>
        <w:tc>
          <w:tcPr>
            <w:tcW w:w="6520" w:type="dxa"/>
            <w:shd w:val="clear" w:color="auto" w:fill="FFFFFF"/>
            <w:vAlign w:val="center"/>
          </w:tcPr>
          <w:p>
            <w:pPr>
              <w:widowControl/>
              <w:spacing w:line="300" w:lineRule="auto"/>
              <w:ind w:left="-105" w:leftChars="-50" w:right="-105" w:rightChars="-50"/>
              <w:jc w:val="left"/>
              <w:rPr>
                <w:rFonts w:ascii="宋体" w:hAnsi="宋体" w:cs="宋体"/>
                <w:kern w:val="0"/>
                <w:sz w:val="22"/>
                <w:szCs w:val="21"/>
              </w:rPr>
            </w:pPr>
            <w:r>
              <w:rPr>
                <w:rFonts w:hint="eastAsia" w:ascii="宋体" w:hAnsi="宋体" w:cs="宋体"/>
                <w:kern w:val="0"/>
                <w:sz w:val="22"/>
                <w:szCs w:val="21"/>
              </w:rPr>
              <w:t>1、供应商在项目所在地设有维护网点（需附详细地址、网点照片证明、营业执照），得2分；</w:t>
            </w:r>
          </w:p>
          <w:p>
            <w:pPr>
              <w:widowControl/>
              <w:spacing w:line="300" w:lineRule="auto"/>
              <w:ind w:left="-105" w:leftChars="-50" w:right="-105" w:rightChars="-50"/>
              <w:jc w:val="left"/>
              <w:rPr>
                <w:rFonts w:ascii="宋体" w:hAnsi="宋体" w:cs="宋体"/>
                <w:kern w:val="0"/>
                <w:sz w:val="22"/>
                <w:szCs w:val="21"/>
              </w:rPr>
            </w:pPr>
            <w:r>
              <w:rPr>
                <w:rFonts w:hint="eastAsia" w:ascii="宋体" w:hAnsi="宋体" w:cs="宋体"/>
                <w:kern w:val="0"/>
                <w:sz w:val="22"/>
                <w:szCs w:val="21"/>
              </w:rPr>
              <w:t>2、供应商提供7*24小时售后响应服务，响应时间≤2小时，得2分；3、供应商必须提供售后承诺函并加盖投标人公章，得2分；</w:t>
            </w:r>
          </w:p>
          <w:p>
            <w:pPr>
              <w:widowControl/>
              <w:spacing w:line="300" w:lineRule="auto"/>
              <w:ind w:left="-105" w:leftChars="-50" w:right="-105" w:rightChars="-50"/>
              <w:jc w:val="left"/>
              <w:rPr>
                <w:rFonts w:ascii="宋体" w:hAnsi="宋体" w:cs="Times New Roman"/>
                <w:kern w:val="0"/>
                <w:sz w:val="22"/>
                <w:szCs w:val="21"/>
              </w:rPr>
            </w:pPr>
            <w:r>
              <w:rPr>
                <w:rFonts w:hint="eastAsia" w:ascii="宋体" w:hAnsi="宋体" w:cs="宋体"/>
                <w:kern w:val="0"/>
                <w:sz w:val="22"/>
                <w:szCs w:val="21"/>
              </w:rPr>
              <w:t>4、供应商必须提供完整的售后服务方案以及售后服务团队，优得2分，良得1分，差得0分。</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9" w:hRule="atLeast"/>
          <w:jc w:val="center"/>
        </w:trPr>
        <w:tc>
          <w:tcPr>
            <w:tcW w:w="728" w:type="dxa"/>
            <w:vMerge w:val="continue"/>
            <w:shd w:val="clear" w:color="auto" w:fill="FFFFFF"/>
            <w:vAlign w:val="center"/>
          </w:tcPr>
          <w:p>
            <w:pPr>
              <w:widowControl/>
              <w:tabs>
                <w:tab w:val="left" w:pos="322"/>
              </w:tabs>
              <w:ind w:left="-42" w:right="-42" w:rightChars="-20" w:firstLine="360"/>
              <w:jc w:val="right"/>
              <w:rPr>
                <w:rFonts w:ascii="宋体" w:hAnsi="宋体" w:cs="Times New Roman"/>
                <w:b/>
                <w:kern w:val="0"/>
                <w:sz w:val="22"/>
                <w:szCs w:val="21"/>
              </w:rPr>
            </w:pPr>
          </w:p>
        </w:tc>
        <w:tc>
          <w:tcPr>
            <w:tcW w:w="1131" w:type="dxa"/>
            <w:vMerge w:val="continue"/>
            <w:shd w:val="clear" w:color="auto" w:fill="FFFFFF"/>
            <w:vAlign w:val="center"/>
          </w:tcPr>
          <w:p>
            <w:pPr>
              <w:widowControl/>
              <w:spacing w:line="300" w:lineRule="auto"/>
              <w:ind w:left="-105" w:leftChars="-50" w:right="-105" w:rightChars="-50" w:firstLine="360"/>
              <w:jc w:val="center"/>
              <w:rPr>
                <w:rFonts w:ascii="宋体" w:hAnsi="宋体" w:cs="Times New Roman"/>
                <w:kern w:val="0"/>
                <w:sz w:val="22"/>
                <w:szCs w:val="21"/>
              </w:rPr>
            </w:pPr>
          </w:p>
        </w:tc>
        <w:tc>
          <w:tcPr>
            <w:tcW w:w="670" w:type="dxa"/>
            <w:shd w:val="clear" w:color="auto" w:fill="FFFFFF"/>
            <w:vAlign w:val="center"/>
          </w:tcPr>
          <w:p>
            <w:pPr>
              <w:widowControl/>
              <w:spacing w:line="300" w:lineRule="auto"/>
              <w:ind w:left="-105" w:leftChars="-50" w:right="-105" w:rightChars="-50" w:firstLine="360"/>
              <w:jc w:val="center"/>
              <w:rPr>
                <w:rFonts w:ascii="宋体" w:hAnsi="宋体" w:cs="Times New Roman"/>
                <w:kern w:val="0"/>
                <w:sz w:val="22"/>
                <w:szCs w:val="21"/>
              </w:rPr>
            </w:pPr>
            <w:r>
              <w:rPr>
                <w:rFonts w:hint="eastAsia" w:ascii="宋体" w:hAnsi="宋体" w:cs="Times New Roman"/>
                <w:kern w:val="0"/>
                <w:sz w:val="22"/>
                <w:szCs w:val="21"/>
              </w:rPr>
              <w:t>3</w:t>
            </w:r>
          </w:p>
        </w:tc>
        <w:tc>
          <w:tcPr>
            <w:tcW w:w="6520" w:type="dxa"/>
            <w:shd w:val="clear" w:color="auto" w:fill="FFFFFF"/>
            <w:vAlign w:val="center"/>
          </w:tcPr>
          <w:p>
            <w:pPr>
              <w:widowControl/>
              <w:spacing w:line="300" w:lineRule="auto"/>
              <w:ind w:left="-105" w:leftChars="-50" w:right="-105" w:rightChars="-50"/>
              <w:jc w:val="left"/>
              <w:rPr>
                <w:rFonts w:ascii="宋体" w:hAnsi="宋体" w:cs="Times New Roman"/>
                <w:kern w:val="0"/>
                <w:sz w:val="22"/>
                <w:szCs w:val="21"/>
              </w:rPr>
            </w:pPr>
            <w:r>
              <w:rPr>
                <w:rFonts w:hint="eastAsia" w:ascii="宋体" w:hAnsi="宋体" w:cs="Times New Roman"/>
                <w:kern w:val="0"/>
                <w:sz w:val="22"/>
                <w:szCs w:val="21"/>
              </w:rPr>
              <w:t>根据各供应商提供的培训计划方案综合评比，方案详细可行得3分，合理可行得2分，基本满足得1分。</w:t>
            </w:r>
          </w:p>
        </w:tc>
        <w:tc>
          <w:tcPr>
            <w:tcW w:w="656" w:type="dxa"/>
            <w:shd w:val="clear" w:color="auto" w:fill="FFFFFF"/>
            <w:vAlign w:val="center"/>
          </w:tcPr>
          <w:p>
            <w:pPr>
              <w:widowControl/>
              <w:ind w:left="-65" w:leftChars="-31" w:right="-36" w:rightChars="-17" w:firstLine="360"/>
              <w:jc w:val="right"/>
              <w:rPr>
                <w:rFonts w:ascii="宋体" w:hAnsi="宋体" w:cs="Times New Roman"/>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2" w:hRule="atLeast"/>
          <w:jc w:val="center"/>
        </w:trPr>
        <w:tc>
          <w:tcPr>
            <w:tcW w:w="2529" w:type="dxa"/>
            <w:gridSpan w:val="3"/>
            <w:shd w:val="clear" w:color="auto" w:fill="FFFFFF"/>
            <w:vAlign w:val="center"/>
          </w:tcPr>
          <w:p>
            <w:pPr>
              <w:widowControl/>
              <w:ind w:left="-48" w:leftChars="-23" w:right="-36" w:rightChars="-17" w:firstLine="360"/>
              <w:jc w:val="center"/>
              <w:rPr>
                <w:rFonts w:ascii="宋体" w:hAnsi="宋体" w:cs="Times New Roman"/>
                <w:b/>
                <w:kern w:val="0"/>
                <w:sz w:val="22"/>
                <w:szCs w:val="21"/>
                <w:lang w:eastAsia="en-US"/>
              </w:rPr>
            </w:pPr>
            <w:r>
              <w:rPr>
                <w:rFonts w:hint="eastAsia" w:ascii="宋体" w:hAnsi="宋体" w:cs="Times New Roman"/>
                <w:b/>
                <w:kern w:val="0"/>
                <w:sz w:val="22"/>
                <w:szCs w:val="21"/>
                <w:lang w:eastAsia="en-US"/>
              </w:rPr>
              <w:t>技术分合计</w:t>
            </w:r>
          </w:p>
        </w:tc>
        <w:tc>
          <w:tcPr>
            <w:tcW w:w="7176" w:type="dxa"/>
            <w:gridSpan w:val="2"/>
            <w:shd w:val="clear" w:color="auto" w:fill="FFFFFF"/>
            <w:vAlign w:val="center"/>
          </w:tcPr>
          <w:p>
            <w:pPr>
              <w:widowControl/>
              <w:ind w:left="-65" w:leftChars="-31" w:right="-36" w:rightChars="-17" w:firstLine="360"/>
              <w:jc w:val="center"/>
              <w:rPr>
                <w:rFonts w:ascii="宋体" w:hAnsi="宋体" w:cs="Times New Roman"/>
                <w:b/>
                <w:kern w:val="0"/>
                <w:sz w:val="22"/>
                <w:szCs w:val="21"/>
                <w:lang w:eastAsia="en-US"/>
              </w:rPr>
            </w:pPr>
            <w:r>
              <w:rPr>
                <w:rFonts w:hint="eastAsia" w:ascii="宋体" w:hAnsi="宋体" w:cs="Times New Roman"/>
                <w:b/>
                <w:kern w:val="0"/>
                <w:sz w:val="22"/>
                <w:szCs w:val="21"/>
                <w:lang w:eastAsia="en-US"/>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20" w:hRule="atLeast"/>
          <w:jc w:val="center"/>
        </w:trPr>
        <w:tc>
          <w:tcPr>
            <w:tcW w:w="1859" w:type="dxa"/>
            <w:gridSpan w:val="2"/>
            <w:shd w:val="clear" w:color="auto" w:fill="FFFFFF"/>
            <w:vAlign w:val="center"/>
          </w:tcPr>
          <w:p>
            <w:pPr>
              <w:widowControl/>
              <w:ind w:firstLine="360"/>
              <w:jc w:val="center"/>
              <w:rPr>
                <w:rFonts w:cs="Times New Roman"/>
                <w:kern w:val="0"/>
                <w:sz w:val="22"/>
                <w:szCs w:val="21"/>
                <w:lang w:eastAsia="en-US"/>
              </w:rPr>
            </w:pPr>
            <w:r>
              <w:rPr>
                <w:rFonts w:hint="eastAsia" w:ascii="宋体" w:hAnsi="宋体" w:cs="Times New Roman"/>
                <w:b/>
                <w:bCs/>
                <w:kern w:val="0"/>
                <w:sz w:val="22"/>
                <w:szCs w:val="21"/>
                <w:lang w:eastAsia="en-US"/>
              </w:rPr>
              <w:t>价格评议</w:t>
            </w:r>
          </w:p>
        </w:tc>
        <w:tc>
          <w:tcPr>
            <w:tcW w:w="670" w:type="dxa"/>
            <w:shd w:val="clear" w:color="auto" w:fill="FFFFFF"/>
            <w:vAlign w:val="center"/>
          </w:tcPr>
          <w:p>
            <w:pPr>
              <w:widowControl/>
              <w:jc w:val="left"/>
              <w:rPr>
                <w:rFonts w:cs="Times New Roman"/>
                <w:kern w:val="0"/>
                <w:sz w:val="22"/>
                <w:szCs w:val="21"/>
                <w:lang w:eastAsia="en-US"/>
              </w:rPr>
            </w:pPr>
            <w:r>
              <w:rPr>
                <w:rFonts w:hint="eastAsia" w:ascii="宋体" w:hAnsi="宋体" w:cs="宋体"/>
                <w:kern w:val="0"/>
                <w:sz w:val="22"/>
                <w:szCs w:val="21"/>
                <w:lang w:eastAsia="en-US"/>
              </w:rPr>
              <w:t>30</w:t>
            </w:r>
          </w:p>
        </w:tc>
        <w:tc>
          <w:tcPr>
            <w:tcW w:w="7176" w:type="dxa"/>
            <w:gridSpan w:val="2"/>
            <w:shd w:val="clear" w:color="auto" w:fill="FFFFFF"/>
          </w:tcPr>
          <w:p>
            <w:pPr>
              <w:widowControl/>
              <w:ind w:firstLine="360"/>
              <w:jc w:val="left"/>
              <w:rPr>
                <w:rFonts w:cs="Times New Roman"/>
                <w:kern w:val="0"/>
                <w:sz w:val="22"/>
                <w:szCs w:val="21"/>
                <w:lang w:eastAsia="en-US"/>
              </w:rPr>
            </w:pPr>
            <w:r>
              <w:rPr>
                <w:rFonts w:hint="eastAsia" w:cs="Times New Roman"/>
                <w:kern w:val="0"/>
                <w:sz w:val="22"/>
                <w:szCs w:val="21"/>
              </w:rPr>
              <w:t>磋商小组只对符合性审查合格的磋商响应文件进行价格评议，报价分采用低价优先法计算，即满足磋商文件要求且价格（落实政府采购政策进行价格调整的，以调整后的价格计算）最低的报价为评标基准价，其价格分为满分。其他供应商的价格分按照下列公式计算：报价得分=(评标基准价／供应商报价)×</w:t>
            </w:r>
            <w:r>
              <w:rPr>
                <w:rFonts w:hint="eastAsia" w:ascii="宋体" w:hAnsi="宋体" w:cs="宋体"/>
                <w:kern w:val="0"/>
                <w:sz w:val="22"/>
                <w:szCs w:val="21"/>
              </w:rPr>
              <w:t>30</w:t>
            </w:r>
            <w:r>
              <w:rPr>
                <w:rFonts w:hint="eastAsia" w:cs="Times New Roman"/>
                <w:kern w:val="0"/>
                <w:sz w:val="22"/>
                <w:szCs w:val="21"/>
              </w:rPr>
              <w:t>。</w:t>
            </w:r>
            <w:r>
              <w:rPr>
                <w:rFonts w:hint="eastAsia" w:cs="Times New Roman"/>
                <w:kern w:val="0"/>
                <w:sz w:val="22"/>
                <w:szCs w:val="21"/>
                <w:lang w:eastAsia="en-US"/>
              </w:rPr>
              <w:t>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2" w:hRule="atLeast"/>
          <w:jc w:val="center"/>
        </w:trPr>
        <w:tc>
          <w:tcPr>
            <w:tcW w:w="2529" w:type="dxa"/>
            <w:gridSpan w:val="3"/>
            <w:shd w:val="clear" w:color="auto" w:fill="FFFFFF"/>
            <w:vAlign w:val="center"/>
          </w:tcPr>
          <w:p>
            <w:pPr>
              <w:widowControl/>
              <w:ind w:left="-48" w:leftChars="-23" w:right="-36" w:rightChars="-17" w:firstLine="360"/>
              <w:jc w:val="center"/>
              <w:rPr>
                <w:rFonts w:ascii="宋体" w:hAnsi="宋体" w:cs="Times New Roman"/>
                <w:b/>
                <w:kern w:val="0"/>
                <w:sz w:val="22"/>
                <w:szCs w:val="21"/>
                <w:lang w:eastAsia="en-US"/>
              </w:rPr>
            </w:pPr>
            <w:r>
              <w:rPr>
                <w:rFonts w:hint="eastAsia" w:ascii="宋体" w:hAnsi="宋体" w:cs="Times New Roman"/>
                <w:b/>
                <w:kern w:val="0"/>
                <w:sz w:val="22"/>
                <w:szCs w:val="21"/>
                <w:lang w:eastAsia="en-US"/>
              </w:rPr>
              <w:t>报价分合计</w:t>
            </w:r>
          </w:p>
        </w:tc>
        <w:tc>
          <w:tcPr>
            <w:tcW w:w="7176" w:type="dxa"/>
            <w:gridSpan w:val="2"/>
            <w:shd w:val="clear" w:color="auto" w:fill="FFFFFF"/>
            <w:vAlign w:val="center"/>
          </w:tcPr>
          <w:p>
            <w:pPr>
              <w:widowControl/>
              <w:ind w:left="-65" w:leftChars="-31" w:right="-36" w:rightChars="-17" w:firstLine="360"/>
              <w:jc w:val="center"/>
              <w:rPr>
                <w:rFonts w:ascii="宋体" w:hAnsi="宋体" w:cs="Times New Roman"/>
                <w:b/>
                <w:kern w:val="0"/>
                <w:sz w:val="22"/>
                <w:szCs w:val="21"/>
                <w:lang w:eastAsia="en-US"/>
              </w:rPr>
            </w:pPr>
            <w:r>
              <w:rPr>
                <w:rFonts w:hint="eastAsia" w:ascii="宋体" w:hAnsi="宋体" w:cs="Times New Roman"/>
                <w:b/>
                <w:kern w:val="0"/>
                <w:sz w:val="22"/>
                <w:szCs w:val="21"/>
                <w:lang w:eastAsia="en-US"/>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2529" w:type="dxa"/>
            <w:gridSpan w:val="3"/>
            <w:shd w:val="clear" w:color="auto" w:fill="FFFFFF"/>
            <w:vAlign w:val="center"/>
          </w:tcPr>
          <w:p>
            <w:pPr>
              <w:widowControl/>
              <w:ind w:left="-48" w:leftChars="-23" w:right="-36" w:rightChars="-17" w:firstLine="360"/>
              <w:jc w:val="center"/>
              <w:rPr>
                <w:rFonts w:ascii="宋体" w:hAnsi="宋体" w:cs="Times New Roman"/>
                <w:b/>
                <w:kern w:val="0"/>
                <w:sz w:val="22"/>
                <w:szCs w:val="21"/>
                <w:lang w:eastAsia="en-US"/>
              </w:rPr>
            </w:pPr>
            <w:r>
              <w:rPr>
                <w:rFonts w:hint="eastAsia" w:ascii="宋体" w:hAnsi="宋体" w:cs="Times New Roman"/>
                <w:b/>
                <w:kern w:val="0"/>
                <w:sz w:val="22"/>
                <w:szCs w:val="21"/>
                <w:lang w:eastAsia="en-US"/>
              </w:rPr>
              <w:t>得分总计</w:t>
            </w:r>
          </w:p>
        </w:tc>
        <w:tc>
          <w:tcPr>
            <w:tcW w:w="7176" w:type="dxa"/>
            <w:gridSpan w:val="2"/>
            <w:shd w:val="clear" w:color="auto" w:fill="FFFFFF"/>
            <w:vAlign w:val="center"/>
          </w:tcPr>
          <w:p>
            <w:pPr>
              <w:widowControl/>
              <w:ind w:left="-65" w:leftChars="-31" w:right="-36" w:rightChars="-17" w:firstLine="360"/>
              <w:jc w:val="center"/>
              <w:rPr>
                <w:rFonts w:ascii="宋体" w:hAnsi="宋体" w:cs="Times New Roman"/>
                <w:b/>
                <w:kern w:val="0"/>
                <w:sz w:val="22"/>
                <w:szCs w:val="21"/>
                <w:lang w:eastAsia="en-US"/>
              </w:rPr>
            </w:pPr>
            <w:r>
              <w:rPr>
                <w:rFonts w:hint="eastAsia" w:ascii="宋体" w:hAnsi="宋体" w:cs="Times New Roman"/>
                <w:b/>
                <w:kern w:val="0"/>
                <w:sz w:val="22"/>
                <w:szCs w:val="21"/>
                <w:lang w:eastAsia="en-US"/>
              </w:rPr>
              <w:t>100分</w:t>
            </w:r>
          </w:p>
        </w:tc>
      </w:tr>
    </w:tbl>
    <w:p>
      <w:pPr>
        <w:spacing w:line="360" w:lineRule="auto"/>
        <w:rPr>
          <w:sz w:val="24"/>
          <w:szCs w:val="24"/>
        </w:rPr>
      </w:pPr>
      <w:r>
        <w:rPr>
          <w:rFonts w:hint="eastAsia"/>
          <w:sz w:val="24"/>
          <w:szCs w:val="24"/>
        </w:rPr>
        <w:br w:type="page"/>
      </w:r>
    </w:p>
    <w:p>
      <w:pPr>
        <w:jc w:val="center"/>
        <w:rPr>
          <w:sz w:val="32"/>
          <w:szCs w:val="32"/>
        </w:rPr>
      </w:pPr>
      <w:r>
        <w:rPr>
          <w:rFonts w:hint="eastAsia"/>
          <w:sz w:val="32"/>
          <w:szCs w:val="32"/>
        </w:rPr>
        <w:t>供应商报名表</w:t>
      </w:r>
    </w:p>
    <w:p>
      <w:pPr>
        <w:rPr>
          <w:szCs w:val="21"/>
        </w:rPr>
      </w:pPr>
      <w:r>
        <w:rPr>
          <w:rFonts w:hint="eastAsia"/>
          <w:szCs w:val="21"/>
        </w:rPr>
        <w:t>项目编号：</w:t>
      </w:r>
      <w:r>
        <w:rPr>
          <w:szCs w:val="21"/>
          <w:u w:val="single"/>
        </w:rPr>
        <w:t xml:space="preserve">                </w:t>
      </w:r>
    </w:p>
    <w:p>
      <w:pPr>
        <w:rPr>
          <w:szCs w:val="21"/>
        </w:rPr>
      </w:pPr>
      <w:r>
        <w:rPr>
          <w:rFonts w:hint="eastAsia"/>
          <w:szCs w:val="21"/>
        </w:rPr>
        <w:t>项目名称：</w:t>
      </w:r>
      <w:r>
        <w:rPr>
          <w:szCs w:val="21"/>
        </w:rPr>
        <w:t xml:space="preserve">  </w:t>
      </w:r>
      <w:r>
        <w:rPr>
          <w:szCs w:val="21"/>
          <w:u w:val="single"/>
        </w:rPr>
        <w:t xml:space="preserve">                </w:t>
      </w:r>
      <w:r>
        <w:rPr>
          <w:szCs w:val="21"/>
        </w:rPr>
        <w:t xml:space="preserve">                       </w:t>
      </w: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Cs w:val="21"/>
              </w:rPr>
            </w:pPr>
            <w:r>
              <w:rPr>
                <w:rFonts w:hint="eastAsia" w:ascii="宋体" w:hAnsi="宋体" w:cs="宋体"/>
                <w:kern w:val="0"/>
                <w:szCs w:val="21"/>
              </w:rPr>
              <w:t>供应商名称（盖章）</w:t>
            </w:r>
          </w:p>
        </w:tc>
        <w:tc>
          <w:tcPr>
            <w:tcW w:w="6288" w:type="dxa"/>
            <w:vAlign w:val="center"/>
          </w:tcPr>
          <w:p>
            <w:pPr>
              <w:widowControl/>
              <w:spacing w:before="100" w:beforeAutospacing="1" w:after="100" w:afterAutospacing="1"/>
              <w:jc w:val="left"/>
              <w:rPr>
                <w:rFonts w:ascii="宋体" w:cs="宋体"/>
                <w:kern w:val="0"/>
                <w:szCs w:val="21"/>
              </w:rPr>
            </w:pPr>
            <w:r>
              <w:rPr>
                <w:rFonts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Cs w:val="21"/>
              </w:rPr>
            </w:pPr>
            <w:r>
              <w:rPr>
                <w:rFonts w:hint="eastAsia" w:ascii="宋体" w:hAnsi="宋体" w:cs="宋体"/>
                <w:kern w:val="0"/>
                <w:szCs w:val="21"/>
              </w:rPr>
              <w:t>联系人姓名</w:t>
            </w:r>
          </w:p>
        </w:tc>
        <w:tc>
          <w:tcPr>
            <w:tcW w:w="6288" w:type="dxa"/>
            <w:vAlign w:val="center"/>
          </w:tcPr>
          <w:p>
            <w:pPr>
              <w:widowControl/>
              <w:spacing w:before="100" w:beforeAutospacing="1" w:after="100" w:afterAutospacing="1"/>
              <w:jc w:val="left"/>
              <w:rPr>
                <w:rFonts w:ascii="宋体" w:cs="宋体"/>
                <w:kern w:val="0"/>
                <w:szCs w:val="21"/>
              </w:rPr>
            </w:pPr>
            <w:r>
              <w:rPr>
                <w:rFonts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234" w:type="dxa"/>
            <w:vAlign w:val="center"/>
          </w:tcPr>
          <w:p>
            <w:pPr>
              <w:widowControl/>
              <w:spacing w:before="100" w:beforeAutospacing="1" w:after="100" w:afterAutospacing="1"/>
              <w:jc w:val="left"/>
              <w:rPr>
                <w:rFonts w:ascii="宋体" w:cs="宋体"/>
                <w:kern w:val="0"/>
                <w:szCs w:val="21"/>
              </w:rPr>
            </w:pPr>
            <w:r>
              <w:rPr>
                <w:rFonts w:hint="eastAsia" w:ascii="宋体" w:hAnsi="宋体" w:cs="宋体"/>
                <w:kern w:val="0"/>
                <w:szCs w:val="21"/>
              </w:rPr>
              <w:t>联系人电话（办公电话和手机）</w:t>
            </w:r>
          </w:p>
        </w:tc>
        <w:tc>
          <w:tcPr>
            <w:tcW w:w="6288" w:type="dxa"/>
            <w:vAlign w:val="center"/>
          </w:tcPr>
          <w:p>
            <w:pPr>
              <w:widowControl/>
              <w:spacing w:before="100" w:beforeAutospacing="1" w:after="100" w:afterAutospacing="1"/>
              <w:jc w:val="left"/>
              <w:rPr>
                <w:rFonts w:ascii="宋体" w:cs="宋体"/>
                <w:kern w:val="0"/>
                <w:szCs w:val="21"/>
              </w:rPr>
            </w:pPr>
            <w:r>
              <w:rPr>
                <w:rFonts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Cs w:val="21"/>
              </w:rPr>
            </w:pPr>
            <w:r>
              <w:rPr>
                <w:rFonts w:hint="eastAsia" w:ascii="宋体" w:hAnsi="宋体" w:cs="宋体"/>
                <w:kern w:val="0"/>
                <w:szCs w:val="21"/>
              </w:rPr>
              <w:t>联系人邮箱</w:t>
            </w:r>
          </w:p>
        </w:tc>
        <w:tc>
          <w:tcPr>
            <w:tcW w:w="6288" w:type="dxa"/>
            <w:vAlign w:val="center"/>
          </w:tcPr>
          <w:p>
            <w:pPr>
              <w:widowControl/>
              <w:spacing w:before="100" w:beforeAutospacing="1" w:after="100" w:afterAutospacing="1"/>
              <w:jc w:val="left"/>
              <w:rPr>
                <w:rFonts w:ascii="宋体" w:cs="宋体"/>
                <w:kern w:val="0"/>
                <w:szCs w:val="21"/>
              </w:rPr>
            </w:pPr>
            <w:r>
              <w:rPr>
                <w:rFonts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restart"/>
            <w:vAlign w:val="center"/>
          </w:tcPr>
          <w:p>
            <w:pPr>
              <w:widowControl/>
              <w:spacing w:before="100" w:beforeAutospacing="1" w:after="100" w:afterAutospacing="1"/>
              <w:jc w:val="left"/>
              <w:rPr>
                <w:rFonts w:ascii="宋体" w:cs="宋体"/>
                <w:kern w:val="0"/>
                <w:szCs w:val="21"/>
              </w:rPr>
            </w:pPr>
            <w:r>
              <w:rPr>
                <w:rFonts w:hint="eastAsia" w:ascii="宋体" w:hAnsi="宋体" w:cs="宋体"/>
                <w:kern w:val="0"/>
                <w:szCs w:val="21"/>
              </w:rPr>
              <w:t>供应商提供的</w:t>
            </w:r>
          </w:p>
          <w:p>
            <w:pPr>
              <w:widowControl/>
              <w:spacing w:before="100" w:beforeAutospacing="1" w:after="100" w:afterAutospacing="1"/>
              <w:jc w:val="left"/>
              <w:rPr>
                <w:rFonts w:ascii="宋体" w:cs="宋体"/>
                <w:kern w:val="0"/>
                <w:szCs w:val="21"/>
              </w:rPr>
            </w:pPr>
            <w:r>
              <w:rPr>
                <w:rFonts w:hint="eastAsia" w:ascii="宋体" w:hAnsi="宋体" w:cs="宋体"/>
                <w:kern w:val="0"/>
                <w:szCs w:val="21"/>
              </w:rPr>
              <w:t>报名资料</w:t>
            </w:r>
          </w:p>
        </w:tc>
        <w:tc>
          <w:tcPr>
            <w:tcW w:w="6288" w:type="dxa"/>
          </w:tcPr>
          <w:p>
            <w:pPr>
              <w:rPr>
                <w:szCs w:val="21"/>
              </w:rPr>
            </w:pPr>
            <w:r>
              <w:rPr>
                <w:szCs w:val="21"/>
              </w:rPr>
              <w:t>1.</w:t>
            </w:r>
            <w:r>
              <w:rPr>
                <w:rFonts w:hint="eastAsia" w:ascii="宋体" w:hAnsi="宋体" w:cs="宋体"/>
                <w:szCs w:val="21"/>
              </w:rPr>
              <w:t xml:space="preserve"> 有效期内的营业执照</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Cs w:val="21"/>
              </w:rPr>
            </w:pPr>
          </w:p>
        </w:tc>
        <w:tc>
          <w:tcPr>
            <w:tcW w:w="6288" w:type="dxa"/>
          </w:tcPr>
          <w:p>
            <w:pPr>
              <w:rPr>
                <w:szCs w:val="21"/>
              </w:rPr>
            </w:pPr>
            <w:r>
              <w:rPr>
                <w:szCs w:val="21"/>
              </w:rPr>
              <w:t>2.</w:t>
            </w:r>
            <w:r>
              <w:rPr>
                <w:rFonts w:hint="eastAsia" w:ascii="宋体" w:hAnsi="宋体"/>
                <w:szCs w:val="21"/>
              </w:rPr>
              <w:t xml:space="preserve"> 提供近三年（2018、2019、2020）的财务审计报告（如新成立的公司需提供自成立之日起相应年限的审计报告）</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Cs w:val="21"/>
              </w:rPr>
            </w:pPr>
          </w:p>
        </w:tc>
        <w:tc>
          <w:tcPr>
            <w:tcW w:w="6288" w:type="dxa"/>
          </w:tcPr>
          <w:p>
            <w:pPr>
              <w:rPr>
                <w:szCs w:val="21"/>
              </w:rPr>
            </w:pPr>
            <w:r>
              <w:rPr>
                <w:rFonts w:hint="eastAsia" w:cs="Times New Roman"/>
                <w:szCs w:val="21"/>
              </w:rPr>
              <w:t>3.提供近6个月内任意一个月的纳税凭证</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Cs w:val="21"/>
              </w:rPr>
            </w:pPr>
          </w:p>
        </w:tc>
        <w:tc>
          <w:tcPr>
            <w:tcW w:w="6288" w:type="dxa"/>
          </w:tcPr>
          <w:p>
            <w:pPr>
              <w:rPr>
                <w:szCs w:val="21"/>
              </w:rPr>
            </w:pPr>
            <w:r>
              <w:rPr>
                <w:szCs w:val="21"/>
              </w:rPr>
              <w:t>4.</w:t>
            </w:r>
            <w:r>
              <w:rPr>
                <w:rFonts w:hint="eastAsia"/>
                <w:szCs w:val="21"/>
              </w:rPr>
              <w:t>参加政府采购活动前</w:t>
            </w:r>
            <w:r>
              <w:rPr>
                <w:szCs w:val="21"/>
              </w:rPr>
              <w:t>3</w:t>
            </w:r>
            <w:r>
              <w:rPr>
                <w:rFonts w:hint="eastAsia"/>
                <w:szCs w:val="21"/>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Cs w:val="21"/>
              </w:rPr>
            </w:pPr>
          </w:p>
        </w:tc>
        <w:tc>
          <w:tcPr>
            <w:tcW w:w="6288" w:type="dxa"/>
          </w:tcPr>
          <w:p>
            <w:pPr>
              <w:rPr>
                <w:szCs w:val="21"/>
              </w:rPr>
            </w:pPr>
            <w:r>
              <w:rPr>
                <w:szCs w:val="21"/>
              </w:rPr>
              <w:t>5.</w:t>
            </w:r>
            <w:r>
              <w:rPr>
                <w:rFonts w:hint="eastAsia"/>
                <w:szCs w:val="21"/>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234" w:type="dxa"/>
            <w:vMerge w:val="continue"/>
            <w:vAlign w:val="center"/>
          </w:tcPr>
          <w:p>
            <w:pPr>
              <w:widowControl/>
              <w:jc w:val="left"/>
              <w:rPr>
                <w:rFonts w:ascii="宋体" w:cs="宋体"/>
                <w:kern w:val="0"/>
                <w:szCs w:val="21"/>
              </w:rPr>
            </w:pPr>
          </w:p>
        </w:tc>
        <w:tc>
          <w:tcPr>
            <w:tcW w:w="6288" w:type="dxa"/>
          </w:tcPr>
          <w:p>
            <w:pPr>
              <w:rPr>
                <w:szCs w:val="21"/>
              </w:rPr>
            </w:pPr>
            <w:r>
              <w:rPr>
                <w:szCs w:val="21"/>
              </w:rPr>
              <w:t>6.</w:t>
            </w:r>
            <w:r>
              <w:rPr>
                <w:rFonts w:hint="eastAsia"/>
                <w:szCs w:val="21"/>
              </w:rPr>
              <w:t>未被列入</w:t>
            </w:r>
            <w:r>
              <w:rPr>
                <w:szCs w:val="21"/>
              </w:rPr>
              <w:t xml:space="preserve"> </w:t>
            </w:r>
            <w:r>
              <w:rPr>
                <w:rFonts w:hint="eastAsia"/>
                <w:szCs w:val="21"/>
              </w:rPr>
              <w:t>“信用中国”网站（</w:t>
            </w:r>
            <w:r>
              <w:rPr>
                <w:szCs w:val="21"/>
              </w:rPr>
              <w:t>www.creditchina.gov.cn</w:t>
            </w:r>
            <w:r>
              <w:rPr>
                <w:rFonts w:hint="eastAsia"/>
                <w:szCs w:val="21"/>
              </w:rPr>
              <w:t>）失信被执行人、重大税收违法案件当事人名单</w:t>
            </w:r>
            <w:r>
              <w:rPr>
                <w:rFonts w:hint="eastAsia" w:ascii="宋体" w:hAnsi="宋体"/>
                <w:color w:val="000000"/>
                <w:szCs w:val="21"/>
              </w:rPr>
              <w:t>和“中国政府采购”网站（</w:t>
            </w:r>
            <w:r>
              <w:rPr>
                <w:rFonts w:ascii="宋体" w:hAnsi="宋体"/>
                <w:color w:val="000000"/>
                <w:szCs w:val="21"/>
              </w:rPr>
              <w:t>www.ccgp.gov.cn</w:t>
            </w:r>
            <w:r>
              <w:rPr>
                <w:rFonts w:hint="eastAsia" w:ascii="宋体" w:hAnsi="宋体"/>
                <w:color w:val="000000"/>
                <w:szCs w:val="21"/>
              </w:rPr>
              <w:t>）政府采购严重违法失信行为记录名单</w:t>
            </w:r>
            <w:r>
              <w:rPr>
                <w:rFonts w:hint="eastAsia"/>
                <w:szCs w:val="21"/>
              </w:rPr>
              <w:t>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2234" w:type="dxa"/>
            <w:vMerge w:val="continue"/>
            <w:vAlign w:val="center"/>
          </w:tcPr>
          <w:p>
            <w:pPr>
              <w:widowControl/>
              <w:jc w:val="left"/>
              <w:rPr>
                <w:rFonts w:ascii="宋体" w:cs="宋体"/>
                <w:kern w:val="0"/>
                <w:szCs w:val="21"/>
              </w:rPr>
            </w:pPr>
          </w:p>
        </w:tc>
        <w:tc>
          <w:tcPr>
            <w:tcW w:w="6288" w:type="dxa"/>
          </w:tcPr>
          <w:p>
            <w:pPr>
              <w:rPr>
                <w:szCs w:val="21"/>
              </w:rPr>
            </w:pPr>
            <w:r>
              <w:rPr>
                <w:rFonts w:hint="eastAsia"/>
                <w:szCs w:val="21"/>
              </w:rPr>
              <w:t>7.特定条件：</w:t>
            </w:r>
          </w:p>
          <w:p>
            <w:pPr>
              <w:rPr>
                <w:szCs w:val="21"/>
              </w:rPr>
            </w:pPr>
            <w:r>
              <w:rPr>
                <w:rFonts w:hint="eastAsia"/>
                <w:szCs w:val="21"/>
              </w:rPr>
              <w:t>（1）建设行政主管部门核发的电子与智能化专业承包贰级及以上资质，并具备有效的安全生产许可证；</w:t>
            </w:r>
          </w:p>
          <w:p>
            <w:pPr>
              <w:rPr>
                <w:szCs w:val="21"/>
              </w:rPr>
            </w:pPr>
            <w:r>
              <w:rPr>
                <w:rFonts w:hint="eastAsia"/>
                <w:szCs w:val="21"/>
              </w:rPr>
              <w:t>（2）供应商拟派项目经理须具备机电工程专业贰级及以上注册建造师执业资格，具备有效的安全生产考核合格证书（B证），须为本单位职工（提供在本单位缴纳的近6个月内任意一个月缴纳社保证明材料、有效期内的劳动合同），且承诺无在建项目；</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234" w:type="dxa"/>
            <w:vAlign w:val="center"/>
          </w:tcPr>
          <w:p>
            <w:pPr>
              <w:widowControl/>
              <w:jc w:val="left"/>
              <w:rPr>
                <w:rFonts w:ascii="宋体" w:cs="宋体"/>
                <w:b/>
                <w:kern w:val="0"/>
                <w:szCs w:val="21"/>
              </w:rPr>
            </w:pPr>
            <w:r>
              <w:rPr>
                <w:rFonts w:hint="eastAsia" w:ascii="宋体" w:hAnsi="宋体" w:cs="宋体"/>
                <w:b/>
                <w:kern w:val="0"/>
                <w:szCs w:val="21"/>
              </w:rPr>
              <w:t>供应商意见</w:t>
            </w:r>
          </w:p>
        </w:tc>
        <w:tc>
          <w:tcPr>
            <w:tcW w:w="6288" w:type="dxa"/>
          </w:tcPr>
          <w:p>
            <w:pPr>
              <w:rPr>
                <w:b/>
                <w:szCs w:val="21"/>
              </w:rPr>
            </w:pPr>
            <w:r>
              <w:rPr>
                <w:rFonts w:hint="eastAsia"/>
                <w:b/>
                <w:szCs w:val="21"/>
              </w:rPr>
              <w:t>供应商可对本项目采购需求的公正性、专业性、合理性等提出自己正确的意见、建议等（可另页详细表述）。</w:t>
            </w:r>
          </w:p>
        </w:tc>
      </w:tr>
    </w:tbl>
    <w:p>
      <w:pPr>
        <w:pStyle w:val="36"/>
        <w:shd w:val="clear" w:color="auto" w:fill="FFFFFF"/>
        <w:spacing w:before="150" w:beforeAutospacing="0" w:after="150" w:afterAutospacing="0" w:line="360" w:lineRule="atLeast"/>
        <w:ind w:left="150"/>
        <w:rPr>
          <w:rStyle w:val="45"/>
          <w:b w:val="0"/>
          <w:color w:val="000000"/>
          <w:sz w:val="21"/>
          <w:szCs w:val="21"/>
        </w:rPr>
      </w:pPr>
      <w:r>
        <w:rPr>
          <w:rStyle w:val="45"/>
          <w:rFonts w:hint="eastAsia"/>
          <w:b w:val="0"/>
          <w:color w:val="000000"/>
          <w:sz w:val="21"/>
          <w:szCs w:val="21"/>
        </w:rPr>
        <w:t>注意事项：</w:t>
      </w:r>
    </w:p>
    <w:p>
      <w:pPr>
        <w:pStyle w:val="36"/>
        <w:shd w:val="clear" w:color="auto" w:fill="FFFFFF"/>
        <w:spacing w:before="150" w:beforeAutospacing="0" w:after="150" w:afterAutospacing="0" w:line="360" w:lineRule="atLeast"/>
        <w:ind w:left="150" w:firstLine="420" w:firstLineChars="200"/>
        <w:rPr>
          <w:rStyle w:val="45"/>
          <w:b w:val="0"/>
          <w:color w:val="000000"/>
          <w:sz w:val="21"/>
          <w:szCs w:val="21"/>
        </w:rPr>
      </w:pPr>
      <w:r>
        <w:rPr>
          <w:color w:val="000000"/>
          <w:sz w:val="21"/>
          <w:szCs w:val="21"/>
        </w:rPr>
        <w:t>1.</w:t>
      </w:r>
      <w:r>
        <w:rPr>
          <w:rFonts w:hint="eastAsia"/>
          <w:color w:val="000000"/>
          <w:sz w:val="21"/>
          <w:szCs w:val="21"/>
        </w:rPr>
        <w:t>供应商必须严格按照公告的内容和要求，完整递交有关资料，</w:t>
      </w:r>
      <w:r>
        <w:rPr>
          <w:rStyle w:val="45"/>
          <w:rFonts w:hint="eastAsia"/>
          <w:b w:val="0"/>
          <w:color w:val="000000"/>
          <w:sz w:val="21"/>
          <w:szCs w:val="21"/>
        </w:rPr>
        <w:t>逾期递交的将予以拒收。</w:t>
      </w:r>
    </w:p>
    <w:p>
      <w:pPr>
        <w:pStyle w:val="36"/>
        <w:shd w:val="clear" w:color="auto" w:fill="FFFFFF"/>
        <w:spacing w:before="150" w:beforeAutospacing="0" w:after="150" w:afterAutospacing="0" w:line="360" w:lineRule="atLeast"/>
        <w:ind w:left="150" w:firstLine="420" w:firstLineChars="200"/>
        <w:rPr>
          <w:rFonts w:ascii="微软雅黑" w:hAnsi="微软雅黑" w:eastAsia="微软雅黑"/>
          <w:color w:val="000000"/>
          <w:sz w:val="21"/>
          <w:szCs w:val="21"/>
        </w:rPr>
      </w:pPr>
      <w:r>
        <w:rPr>
          <w:rFonts w:ascii="宋体" w:hAnsi="宋体" w:cs="宋体"/>
          <w:color w:val="000000"/>
          <w:sz w:val="21"/>
          <w:szCs w:val="21"/>
        </w:rPr>
        <w:t>2.</w:t>
      </w:r>
      <w:r>
        <w:rPr>
          <w:rFonts w:hint="eastAsia" w:ascii="宋体" w:hAnsi="宋体" w:cs="宋体"/>
          <w:bCs/>
          <w:color w:val="000000"/>
          <w:sz w:val="21"/>
          <w:szCs w:val="21"/>
        </w:rPr>
        <w:t>供应商所递交的资料（全部盖有单位公章）必须为一般常用电脑办公软件能够读取的清晰、易于辨识的彩色电子扫描件、照片（相关证书和证明材料的原件）</w:t>
      </w:r>
      <w:r>
        <w:rPr>
          <w:rFonts w:ascii="宋体" w:cs="宋体"/>
          <w:bCs/>
          <w:color w:val="000000"/>
          <w:sz w:val="21"/>
          <w:szCs w:val="21"/>
        </w:rPr>
        <w:t>,</w:t>
      </w:r>
      <w:r>
        <w:rPr>
          <w:rFonts w:hint="eastAsia" w:ascii="宋体" w:hAnsi="宋体" w:cs="宋体"/>
          <w:bCs/>
          <w:color w:val="000000"/>
          <w:sz w:val="21"/>
          <w:szCs w:val="21"/>
        </w:rPr>
        <w:t>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sz w:val="21"/>
          <w:szCs w:val="21"/>
        </w:rPr>
        <w:t xml:space="preserve"> </w:t>
      </w:r>
    </w:p>
    <w:p>
      <w:pPr>
        <w:pStyle w:val="36"/>
        <w:shd w:val="clear" w:color="auto" w:fill="FFFFFF"/>
        <w:spacing w:before="150" w:beforeAutospacing="0" w:after="150" w:afterAutospacing="0" w:line="360" w:lineRule="atLeast"/>
        <w:ind w:left="150" w:firstLine="420" w:firstLineChars="200"/>
        <w:rPr>
          <w:sz w:val="21"/>
          <w:szCs w:val="21"/>
        </w:rPr>
      </w:pPr>
      <w:r>
        <w:rPr>
          <w:color w:val="000000"/>
          <w:sz w:val="21"/>
          <w:szCs w:val="21"/>
        </w:rPr>
        <w:t>3.</w:t>
      </w:r>
      <w:r>
        <w:rPr>
          <w:rFonts w:hint="eastAsia"/>
          <w:color w:val="000000"/>
          <w:sz w:val="21"/>
          <w:szCs w:val="21"/>
        </w:rPr>
        <w:t>须在邮件（附件文件名注明公司全称）注明公司全称、项目名称及项目编号（不注明我单位将拒收报名邮件）。</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他">
    <w:altName w:val="宋体"/>
    <w:panose1 w:val="00000000000000000000"/>
    <w:charset w:val="86"/>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suff w:val="space"/>
      <w:lvlText w:val="%1、"/>
      <w:lvlJc w:val="left"/>
      <w:pPr>
        <w:ind w:left="240" w:firstLine="0"/>
      </w:pPr>
      <w:rPr>
        <w:rFonts w:ascii="Times New Roman" w:hAnsi="Times New Roman" w:eastAsia="Times New Roman" w:cs="Times New Roman"/>
        <w:color w:val="auto"/>
        <w:lang w:val="en-US"/>
      </w:rPr>
    </w:lvl>
    <w:lvl w:ilvl="1" w:tentative="0">
      <w:start w:val="1"/>
      <w:numFmt w:val="decimal"/>
      <w:isLgl/>
      <w:suff w:val="space"/>
      <w:lvlText w:val="%1.%2"/>
      <w:lvlJc w:val="left"/>
      <w:pPr>
        <w:ind w:left="2040" w:firstLine="0"/>
      </w:pPr>
      <w:rPr>
        <w:rFonts w:hint="default" w:ascii="Times New Roman" w:hAnsi="Times New Roman" w:eastAsia="他" w:cs="Times New Roman"/>
        <w:color w:val="auto"/>
      </w:rPr>
    </w:lvl>
    <w:lvl w:ilvl="2" w:tentative="0">
      <w:start w:val="1"/>
      <w:numFmt w:val="decimal"/>
      <w:isLgl/>
      <w:suff w:val="space"/>
      <w:lvlText w:val="%1.%2.%3"/>
      <w:lvlJc w:val="left"/>
      <w:pPr>
        <w:ind w:left="-54" w:firstLine="0"/>
      </w:pPr>
      <w:rPr>
        <w:rFonts w:hint="eastAsia"/>
        <w:sz w:val="24"/>
        <w:szCs w:val="24"/>
      </w:rPr>
    </w:lvl>
    <w:lvl w:ilvl="3" w:tentative="0">
      <w:start w:val="1"/>
      <w:numFmt w:val="decimal"/>
      <w:isLgl/>
      <w:suff w:val="space"/>
      <w:lvlText w:val="%1.%2.%3.%4"/>
      <w:lvlJc w:val="left"/>
      <w:pPr>
        <w:ind w:left="-54" w:firstLine="0"/>
      </w:pPr>
      <w:rPr>
        <w:rFonts w:hint="default" w:ascii="Times New Roman" w:hAnsi="Times New Roman" w:cs="Times New Roman"/>
      </w:rPr>
    </w:lvl>
    <w:lvl w:ilvl="4" w:tentative="0">
      <w:start w:val="1"/>
      <w:numFmt w:val="decimal"/>
      <w:suff w:val="nothing"/>
      <w:lvlText w:val="%5"/>
      <w:lvlJc w:val="left"/>
      <w:pPr>
        <w:ind w:left="-54" w:firstLine="0"/>
      </w:pPr>
      <w:rPr>
        <w:rFonts w:hint="eastAsia"/>
      </w:rPr>
    </w:lvl>
    <w:lvl w:ilvl="5" w:tentative="0">
      <w:start w:val="1"/>
      <w:numFmt w:val="none"/>
      <w:suff w:val="nothing"/>
      <w:lvlText w:val=""/>
      <w:lvlJc w:val="left"/>
      <w:pPr>
        <w:ind w:left="-54" w:firstLine="0"/>
      </w:pPr>
      <w:rPr>
        <w:rFonts w:hint="eastAsia"/>
      </w:rPr>
    </w:lvl>
    <w:lvl w:ilvl="6" w:tentative="0">
      <w:start w:val="1"/>
      <w:numFmt w:val="none"/>
      <w:suff w:val="nothing"/>
      <w:lvlText w:val=""/>
      <w:lvlJc w:val="left"/>
      <w:pPr>
        <w:ind w:left="-54" w:firstLine="0"/>
      </w:pPr>
      <w:rPr>
        <w:rFonts w:hint="eastAsia"/>
      </w:rPr>
    </w:lvl>
    <w:lvl w:ilvl="7" w:tentative="0">
      <w:start w:val="1"/>
      <w:numFmt w:val="none"/>
      <w:suff w:val="nothing"/>
      <w:lvlText w:val=""/>
      <w:lvlJc w:val="left"/>
      <w:pPr>
        <w:ind w:left="-54" w:firstLine="0"/>
      </w:pPr>
      <w:rPr>
        <w:rFonts w:hint="eastAsia"/>
      </w:rPr>
    </w:lvl>
    <w:lvl w:ilvl="8" w:tentative="0">
      <w:start w:val="1"/>
      <w:numFmt w:val="none"/>
      <w:suff w:val="nothing"/>
      <w:lvlText w:val=""/>
      <w:lvlJc w:val="left"/>
      <w:pPr>
        <w:ind w:left="-54" w:firstLine="0"/>
      </w:pPr>
      <w:rPr>
        <w:rFonts w:hint="eastAsia"/>
      </w:rPr>
    </w:lvl>
  </w:abstractNum>
  <w:abstractNum w:abstractNumId="1">
    <w:nsid w:val="0E1201E5"/>
    <w:multiLevelType w:val="multilevel"/>
    <w:tmpl w:val="0E1201E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553456F0"/>
    <w:multiLevelType w:val="singleLevel"/>
    <w:tmpl w:val="553456F0"/>
    <w:lvl w:ilvl="0" w:tentative="0">
      <w:start w:val="1"/>
      <w:numFmt w:val="chineseCounting"/>
      <w:pStyle w:val="175"/>
      <w:suff w:val="nothing"/>
      <w:lvlText w:val="%1、"/>
      <w:lvlJc w:val="left"/>
      <w:rPr>
        <w:rFonts w:cs="Times New Roman"/>
      </w:rPr>
    </w:lvl>
  </w:abstractNum>
  <w:abstractNum w:abstractNumId="4">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
    <w:nsid w:val="73A26C21"/>
    <w:multiLevelType w:val="multilevel"/>
    <w:tmpl w:val="73A26C2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DE9"/>
    <w:rsid w:val="00016BFD"/>
    <w:rsid w:val="00017135"/>
    <w:rsid w:val="00021D98"/>
    <w:rsid w:val="00026D00"/>
    <w:rsid w:val="000527BB"/>
    <w:rsid w:val="00056AED"/>
    <w:rsid w:val="0008087C"/>
    <w:rsid w:val="0008654C"/>
    <w:rsid w:val="0009726D"/>
    <w:rsid w:val="000A6872"/>
    <w:rsid w:val="000B1383"/>
    <w:rsid w:val="000D728B"/>
    <w:rsid w:val="00101CA6"/>
    <w:rsid w:val="00104393"/>
    <w:rsid w:val="00120CEA"/>
    <w:rsid w:val="00122B5C"/>
    <w:rsid w:val="00127B67"/>
    <w:rsid w:val="00162BF4"/>
    <w:rsid w:val="00174B5D"/>
    <w:rsid w:val="00180156"/>
    <w:rsid w:val="001A6F22"/>
    <w:rsid w:val="001B3DD1"/>
    <w:rsid w:val="00227C74"/>
    <w:rsid w:val="00241FC1"/>
    <w:rsid w:val="00247E29"/>
    <w:rsid w:val="00251305"/>
    <w:rsid w:val="00263FDD"/>
    <w:rsid w:val="0027306D"/>
    <w:rsid w:val="00286F91"/>
    <w:rsid w:val="002912E3"/>
    <w:rsid w:val="002C0DCE"/>
    <w:rsid w:val="002C75CD"/>
    <w:rsid w:val="002D3A86"/>
    <w:rsid w:val="002E6F83"/>
    <w:rsid w:val="002E70BC"/>
    <w:rsid w:val="00306A2F"/>
    <w:rsid w:val="00354132"/>
    <w:rsid w:val="00356FB9"/>
    <w:rsid w:val="0038354E"/>
    <w:rsid w:val="00397598"/>
    <w:rsid w:val="003A3307"/>
    <w:rsid w:val="003C173C"/>
    <w:rsid w:val="0042465C"/>
    <w:rsid w:val="00431D7E"/>
    <w:rsid w:val="004357AA"/>
    <w:rsid w:val="004451C8"/>
    <w:rsid w:val="00462B04"/>
    <w:rsid w:val="00465FFA"/>
    <w:rsid w:val="0048653B"/>
    <w:rsid w:val="004A6B38"/>
    <w:rsid w:val="004D26D1"/>
    <w:rsid w:val="005032F1"/>
    <w:rsid w:val="0051396C"/>
    <w:rsid w:val="00526415"/>
    <w:rsid w:val="005517D8"/>
    <w:rsid w:val="00556F46"/>
    <w:rsid w:val="0055775B"/>
    <w:rsid w:val="00577CD8"/>
    <w:rsid w:val="00587588"/>
    <w:rsid w:val="006101C6"/>
    <w:rsid w:val="00664878"/>
    <w:rsid w:val="0067218F"/>
    <w:rsid w:val="006763BF"/>
    <w:rsid w:val="00680095"/>
    <w:rsid w:val="006A74A1"/>
    <w:rsid w:val="006B1667"/>
    <w:rsid w:val="006B566D"/>
    <w:rsid w:val="0070527E"/>
    <w:rsid w:val="00710283"/>
    <w:rsid w:val="00714951"/>
    <w:rsid w:val="00731C4C"/>
    <w:rsid w:val="00770BDF"/>
    <w:rsid w:val="007E530D"/>
    <w:rsid w:val="0081133A"/>
    <w:rsid w:val="00841971"/>
    <w:rsid w:val="00843EA0"/>
    <w:rsid w:val="0085685E"/>
    <w:rsid w:val="00862199"/>
    <w:rsid w:val="008632F9"/>
    <w:rsid w:val="00877547"/>
    <w:rsid w:val="008C273B"/>
    <w:rsid w:val="008D5B51"/>
    <w:rsid w:val="009111CF"/>
    <w:rsid w:val="00912E34"/>
    <w:rsid w:val="00917353"/>
    <w:rsid w:val="00947F79"/>
    <w:rsid w:val="00965878"/>
    <w:rsid w:val="00973CEA"/>
    <w:rsid w:val="00984E78"/>
    <w:rsid w:val="009F57B7"/>
    <w:rsid w:val="00A06B58"/>
    <w:rsid w:val="00AB6164"/>
    <w:rsid w:val="00AC4743"/>
    <w:rsid w:val="00AC4FF6"/>
    <w:rsid w:val="00AC7064"/>
    <w:rsid w:val="00AD57E9"/>
    <w:rsid w:val="00AE0050"/>
    <w:rsid w:val="00B02FC2"/>
    <w:rsid w:val="00B37D97"/>
    <w:rsid w:val="00B422CC"/>
    <w:rsid w:val="00B87DB2"/>
    <w:rsid w:val="00BC3C37"/>
    <w:rsid w:val="00BD15BE"/>
    <w:rsid w:val="00C045C9"/>
    <w:rsid w:val="00C04CDB"/>
    <w:rsid w:val="00C554DF"/>
    <w:rsid w:val="00C7441B"/>
    <w:rsid w:val="00C7583C"/>
    <w:rsid w:val="00C77263"/>
    <w:rsid w:val="00C8060B"/>
    <w:rsid w:val="00C81BC1"/>
    <w:rsid w:val="00C94576"/>
    <w:rsid w:val="00C96727"/>
    <w:rsid w:val="00C97A38"/>
    <w:rsid w:val="00CA0AA0"/>
    <w:rsid w:val="00D049F5"/>
    <w:rsid w:val="00D239DE"/>
    <w:rsid w:val="00D34002"/>
    <w:rsid w:val="00D52A41"/>
    <w:rsid w:val="00D63126"/>
    <w:rsid w:val="00D64C90"/>
    <w:rsid w:val="00D665CD"/>
    <w:rsid w:val="00D838F7"/>
    <w:rsid w:val="00D9157E"/>
    <w:rsid w:val="00DA12FB"/>
    <w:rsid w:val="00DA3AC3"/>
    <w:rsid w:val="00DC47E0"/>
    <w:rsid w:val="00DD4640"/>
    <w:rsid w:val="00DE7188"/>
    <w:rsid w:val="00DE75E6"/>
    <w:rsid w:val="00DF10C2"/>
    <w:rsid w:val="00E14B01"/>
    <w:rsid w:val="00E5330B"/>
    <w:rsid w:val="00E6320A"/>
    <w:rsid w:val="00E652DF"/>
    <w:rsid w:val="00E721AB"/>
    <w:rsid w:val="00E849D4"/>
    <w:rsid w:val="00E94B33"/>
    <w:rsid w:val="00EB4553"/>
    <w:rsid w:val="00EB5D3C"/>
    <w:rsid w:val="00EC51EB"/>
    <w:rsid w:val="00ED3F8E"/>
    <w:rsid w:val="00EF6F42"/>
    <w:rsid w:val="00F10D7E"/>
    <w:rsid w:val="00F27BC7"/>
    <w:rsid w:val="00F52DE9"/>
    <w:rsid w:val="00F67B38"/>
    <w:rsid w:val="00F76F50"/>
    <w:rsid w:val="00F83087"/>
    <w:rsid w:val="00FC1D2C"/>
    <w:rsid w:val="00FD4208"/>
    <w:rsid w:val="00FF19EE"/>
    <w:rsid w:val="036E1E2C"/>
    <w:rsid w:val="05357BDD"/>
    <w:rsid w:val="05EB380B"/>
    <w:rsid w:val="081669CA"/>
    <w:rsid w:val="0B706B75"/>
    <w:rsid w:val="0B74362C"/>
    <w:rsid w:val="0D662123"/>
    <w:rsid w:val="0DCB5D0A"/>
    <w:rsid w:val="13BB3CF4"/>
    <w:rsid w:val="17867FBC"/>
    <w:rsid w:val="195D260D"/>
    <w:rsid w:val="1B2B3562"/>
    <w:rsid w:val="1BD4729A"/>
    <w:rsid w:val="1D3A4920"/>
    <w:rsid w:val="202042A9"/>
    <w:rsid w:val="22584D7B"/>
    <w:rsid w:val="23E661CC"/>
    <w:rsid w:val="24AF6192"/>
    <w:rsid w:val="336D2623"/>
    <w:rsid w:val="348827AB"/>
    <w:rsid w:val="357E4F48"/>
    <w:rsid w:val="38BD05F5"/>
    <w:rsid w:val="40586677"/>
    <w:rsid w:val="41974E7F"/>
    <w:rsid w:val="426E2F53"/>
    <w:rsid w:val="43AD4FFF"/>
    <w:rsid w:val="4631003F"/>
    <w:rsid w:val="4F1E5C9D"/>
    <w:rsid w:val="5045265C"/>
    <w:rsid w:val="51322DE5"/>
    <w:rsid w:val="527231F0"/>
    <w:rsid w:val="54117053"/>
    <w:rsid w:val="570C6CFC"/>
    <w:rsid w:val="5A452253"/>
    <w:rsid w:val="5D177DDA"/>
    <w:rsid w:val="5D1B63ED"/>
    <w:rsid w:val="5DB549BD"/>
    <w:rsid w:val="5E0C14F9"/>
    <w:rsid w:val="641512DC"/>
    <w:rsid w:val="65E25D1A"/>
    <w:rsid w:val="68D24476"/>
    <w:rsid w:val="6DA05F80"/>
    <w:rsid w:val="6F00649B"/>
    <w:rsid w:val="6FBC0A3F"/>
    <w:rsid w:val="72C54810"/>
    <w:rsid w:val="75885BC0"/>
    <w:rsid w:val="77471B72"/>
    <w:rsid w:val="788B400E"/>
    <w:rsid w:val="7C6D675F"/>
    <w:rsid w:val="7CD55063"/>
    <w:rsid w:val="7DA42B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99"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uiPriority="0" w:semiHidden="0" w:name="toc 5" w:locked="1"/>
    <w:lsdException w:qFormat="1" w:uiPriority="0" w:semiHidden="0" w:name="toc 6" w:locked="1"/>
    <w:lsdException w:uiPriority="0" w:semiHidden="0" w:name="toc 7" w:locked="1"/>
    <w:lsdException w:qFormat="1" w:uiPriority="0" w:semiHidden="0" w:name="toc 8" w:locked="1"/>
    <w:lsdException w:qFormat="1" w:uiPriority="0" w:semiHidden="0" w:name="toc 9" w:locked="1"/>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5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4"/>
    <w:qFormat/>
    <w:locked/>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link w:val="85"/>
    <w:qFormat/>
    <w:locked/>
    <w:uiPriority w:val="0"/>
    <w:pPr>
      <w:keepNext/>
      <w:keepLines/>
      <w:spacing w:line="415" w:lineRule="auto"/>
      <w:outlineLvl w:val="2"/>
    </w:pPr>
    <w:rPr>
      <w:b/>
      <w:bCs/>
      <w:sz w:val="32"/>
      <w:szCs w:val="32"/>
    </w:rPr>
  </w:style>
  <w:style w:type="paragraph" w:styleId="6">
    <w:name w:val="heading 4"/>
    <w:basedOn w:val="1"/>
    <w:next w:val="1"/>
    <w:link w:val="66"/>
    <w:qFormat/>
    <w:locked/>
    <w:uiPriority w:val="0"/>
    <w:pPr>
      <w:widowControl/>
      <w:pBdr>
        <w:bottom w:val="single" w:color="B8CCE4" w:sz="4" w:space="2"/>
      </w:pBdr>
      <w:spacing w:before="200" w:after="80"/>
      <w:jc w:val="left"/>
      <w:outlineLvl w:val="3"/>
    </w:pPr>
    <w:rPr>
      <w:rFonts w:ascii="Cambria" w:hAnsi="Cambria" w:cs="Times New Roman"/>
      <w:i/>
      <w:iCs/>
      <w:color w:val="4F81BD"/>
      <w:kern w:val="0"/>
      <w:sz w:val="24"/>
      <w:szCs w:val="24"/>
      <w:lang w:eastAsia="en-US"/>
    </w:rPr>
  </w:style>
  <w:style w:type="paragraph" w:styleId="7">
    <w:name w:val="heading 5"/>
    <w:basedOn w:val="1"/>
    <w:next w:val="1"/>
    <w:link w:val="67"/>
    <w:qFormat/>
    <w:locked/>
    <w:uiPriority w:val="99"/>
    <w:pPr>
      <w:widowControl/>
      <w:spacing w:before="200" w:after="80"/>
      <w:jc w:val="left"/>
      <w:outlineLvl w:val="4"/>
    </w:pPr>
    <w:rPr>
      <w:rFonts w:ascii="Cambria" w:hAnsi="Cambria" w:cs="Times New Roman"/>
      <w:color w:val="4F81BD"/>
      <w:kern w:val="0"/>
      <w:sz w:val="22"/>
      <w:lang w:eastAsia="en-US"/>
    </w:rPr>
  </w:style>
  <w:style w:type="paragraph" w:styleId="8">
    <w:name w:val="heading 6"/>
    <w:basedOn w:val="1"/>
    <w:next w:val="1"/>
    <w:link w:val="68"/>
    <w:qFormat/>
    <w:locked/>
    <w:uiPriority w:val="0"/>
    <w:pPr>
      <w:widowControl/>
      <w:spacing w:before="280" w:after="100"/>
      <w:jc w:val="left"/>
      <w:outlineLvl w:val="5"/>
    </w:pPr>
    <w:rPr>
      <w:rFonts w:ascii="Cambria" w:hAnsi="Cambria" w:cs="Times New Roman"/>
      <w:i/>
      <w:iCs/>
      <w:color w:val="4F81BD"/>
      <w:kern w:val="0"/>
      <w:sz w:val="22"/>
      <w:lang w:eastAsia="en-US"/>
    </w:rPr>
  </w:style>
  <w:style w:type="paragraph" w:styleId="9">
    <w:name w:val="heading 7"/>
    <w:basedOn w:val="1"/>
    <w:next w:val="1"/>
    <w:link w:val="69"/>
    <w:qFormat/>
    <w:locked/>
    <w:uiPriority w:val="0"/>
    <w:pPr>
      <w:widowControl/>
      <w:spacing w:before="320" w:after="100"/>
      <w:jc w:val="left"/>
      <w:outlineLvl w:val="6"/>
    </w:pPr>
    <w:rPr>
      <w:rFonts w:ascii="Cambria" w:hAnsi="Cambria" w:cs="Times New Roman"/>
      <w:b/>
      <w:bCs/>
      <w:color w:val="9BBB59"/>
      <w:kern w:val="0"/>
      <w:sz w:val="20"/>
      <w:szCs w:val="20"/>
      <w:lang w:eastAsia="en-US"/>
    </w:rPr>
  </w:style>
  <w:style w:type="paragraph" w:styleId="10">
    <w:name w:val="heading 8"/>
    <w:basedOn w:val="1"/>
    <w:next w:val="1"/>
    <w:link w:val="70"/>
    <w:qFormat/>
    <w:locked/>
    <w:uiPriority w:val="0"/>
    <w:pPr>
      <w:widowControl/>
      <w:spacing w:before="320" w:after="100"/>
      <w:jc w:val="left"/>
      <w:outlineLvl w:val="7"/>
    </w:pPr>
    <w:rPr>
      <w:rFonts w:ascii="Cambria" w:hAnsi="Cambria" w:cs="Times New Roman"/>
      <w:b/>
      <w:bCs/>
      <w:i/>
      <w:iCs/>
      <w:color w:val="9BBB59"/>
      <w:kern w:val="0"/>
      <w:sz w:val="20"/>
      <w:szCs w:val="20"/>
      <w:lang w:eastAsia="en-US"/>
    </w:rPr>
  </w:style>
  <w:style w:type="paragraph" w:styleId="11">
    <w:name w:val="heading 9"/>
    <w:basedOn w:val="1"/>
    <w:next w:val="1"/>
    <w:link w:val="71"/>
    <w:qFormat/>
    <w:locked/>
    <w:uiPriority w:val="0"/>
    <w:pPr>
      <w:widowControl/>
      <w:spacing w:before="320" w:after="100"/>
      <w:jc w:val="left"/>
      <w:outlineLvl w:val="8"/>
    </w:pPr>
    <w:rPr>
      <w:rFonts w:ascii="Cambria" w:hAnsi="Cambria" w:cs="Times New Roman"/>
      <w:i/>
      <w:iCs/>
      <w:color w:val="9BBB59"/>
      <w:kern w:val="0"/>
      <w:sz w:val="20"/>
      <w:szCs w:val="20"/>
      <w:lang w:eastAsia="en-US"/>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12">
    <w:name w:val="toc 7"/>
    <w:basedOn w:val="1"/>
    <w:next w:val="1"/>
    <w:unhideWhenUsed/>
    <w:locked/>
    <w:uiPriority w:val="0"/>
    <w:pPr>
      <w:ind w:left="1260"/>
      <w:jc w:val="left"/>
    </w:pPr>
    <w:rPr>
      <w:rFonts w:cs="Times New Roman"/>
      <w:sz w:val="18"/>
      <w:szCs w:val="18"/>
    </w:rPr>
  </w:style>
  <w:style w:type="paragraph" w:styleId="13">
    <w:name w:val="Normal Indent"/>
    <w:basedOn w:val="1"/>
    <w:link w:val="86"/>
    <w:qFormat/>
    <w:uiPriority w:val="0"/>
    <w:pPr>
      <w:ind w:firstLine="420"/>
    </w:pPr>
    <w:rPr>
      <w:rFonts w:cs="Times New Roman"/>
    </w:rPr>
  </w:style>
  <w:style w:type="paragraph" w:styleId="14">
    <w:name w:val="caption"/>
    <w:basedOn w:val="1"/>
    <w:next w:val="1"/>
    <w:qFormat/>
    <w:locked/>
    <w:uiPriority w:val="99"/>
    <w:pPr>
      <w:widowControl/>
      <w:ind w:firstLine="360"/>
      <w:jc w:val="left"/>
    </w:pPr>
    <w:rPr>
      <w:rFonts w:ascii="Times New Roman" w:hAnsi="Times New Roman" w:cs="Times New Roman"/>
      <w:b/>
      <w:bCs/>
      <w:kern w:val="0"/>
      <w:sz w:val="18"/>
      <w:szCs w:val="18"/>
      <w:lang w:eastAsia="en-US"/>
    </w:rPr>
  </w:style>
  <w:style w:type="paragraph" w:styleId="15">
    <w:name w:val="Document Map"/>
    <w:basedOn w:val="1"/>
    <w:link w:val="136"/>
    <w:semiHidden/>
    <w:qFormat/>
    <w:uiPriority w:val="0"/>
    <w:pPr>
      <w:shd w:val="clear" w:color="auto" w:fill="000080"/>
    </w:pPr>
    <w:rPr>
      <w:rFonts w:cs="Times New Roman"/>
    </w:rPr>
  </w:style>
  <w:style w:type="paragraph" w:styleId="16">
    <w:name w:val="annotation text"/>
    <w:basedOn w:val="1"/>
    <w:link w:val="72"/>
    <w:unhideWhenUsed/>
    <w:qFormat/>
    <w:uiPriority w:val="0"/>
    <w:pPr>
      <w:jc w:val="left"/>
    </w:pPr>
  </w:style>
  <w:style w:type="paragraph" w:styleId="17">
    <w:name w:val="Body Text 3"/>
    <w:basedOn w:val="1"/>
    <w:link w:val="133"/>
    <w:uiPriority w:val="0"/>
    <w:rPr>
      <w:rFonts w:ascii="宋体" w:hAnsi="Times New Roman" w:cs="Times New Roman"/>
      <w:sz w:val="24"/>
      <w:szCs w:val="20"/>
    </w:rPr>
  </w:style>
  <w:style w:type="paragraph" w:styleId="18">
    <w:name w:val="Body Text"/>
    <w:basedOn w:val="1"/>
    <w:link w:val="74"/>
    <w:qFormat/>
    <w:uiPriority w:val="0"/>
    <w:pPr>
      <w:spacing w:line="420" w:lineRule="auto"/>
    </w:pPr>
    <w:rPr>
      <w:sz w:val="24"/>
    </w:rPr>
  </w:style>
  <w:style w:type="paragraph" w:styleId="19">
    <w:name w:val="Body Text Indent"/>
    <w:basedOn w:val="1"/>
    <w:next w:val="20"/>
    <w:link w:val="87"/>
    <w:qFormat/>
    <w:uiPriority w:val="0"/>
    <w:pPr>
      <w:tabs>
        <w:tab w:val="left" w:pos="615"/>
      </w:tabs>
      <w:spacing w:line="480" w:lineRule="atLeast"/>
      <w:ind w:firstLine="840" w:firstLineChars="300"/>
    </w:pPr>
    <w:rPr>
      <w:rFonts w:ascii="宋体"/>
      <w:kern w:val="0"/>
      <w:sz w:val="28"/>
      <w:szCs w:val="15"/>
    </w:rPr>
  </w:style>
  <w:style w:type="paragraph" w:styleId="20">
    <w:name w:val="envelope return"/>
    <w:basedOn w:val="1"/>
    <w:qFormat/>
    <w:uiPriority w:val="99"/>
    <w:pPr>
      <w:snapToGrid w:val="0"/>
    </w:pPr>
    <w:rPr>
      <w:rFonts w:ascii="Arial" w:hAnsi="Arial" w:cs="Arial"/>
    </w:rPr>
  </w:style>
  <w:style w:type="paragraph" w:styleId="21">
    <w:name w:val="toc 5"/>
    <w:basedOn w:val="1"/>
    <w:next w:val="1"/>
    <w:unhideWhenUsed/>
    <w:locked/>
    <w:uiPriority w:val="0"/>
    <w:pPr>
      <w:ind w:left="840"/>
      <w:jc w:val="left"/>
    </w:pPr>
    <w:rPr>
      <w:rFonts w:cs="Times New Roman"/>
      <w:sz w:val="18"/>
      <w:szCs w:val="18"/>
    </w:rPr>
  </w:style>
  <w:style w:type="paragraph" w:styleId="22">
    <w:name w:val="toc 3"/>
    <w:basedOn w:val="1"/>
    <w:next w:val="1"/>
    <w:qFormat/>
    <w:locked/>
    <w:uiPriority w:val="39"/>
    <w:pPr>
      <w:ind w:left="420"/>
      <w:jc w:val="left"/>
    </w:pPr>
    <w:rPr>
      <w:rFonts w:cs="Times New Roman"/>
      <w:iCs/>
      <w:sz w:val="20"/>
      <w:szCs w:val="20"/>
    </w:rPr>
  </w:style>
  <w:style w:type="paragraph" w:styleId="23">
    <w:name w:val="Plain Text"/>
    <w:basedOn w:val="1"/>
    <w:link w:val="88"/>
    <w:qFormat/>
    <w:uiPriority w:val="99"/>
    <w:rPr>
      <w:rFonts w:ascii="宋体" w:hAnsi="Courier New" w:cs="Courier New"/>
      <w:szCs w:val="21"/>
    </w:rPr>
  </w:style>
  <w:style w:type="paragraph" w:styleId="24">
    <w:name w:val="toc 8"/>
    <w:basedOn w:val="1"/>
    <w:next w:val="1"/>
    <w:unhideWhenUsed/>
    <w:qFormat/>
    <w:locked/>
    <w:uiPriority w:val="0"/>
    <w:pPr>
      <w:ind w:left="1470"/>
      <w:jc w:val="left"/>
    </w:pPr>
    <w:rPr>
      <w:rFonts w:cs="Times New Roman"/>
      <w:sz w:val="18"/>
      <w:szCs w:val="18"/>
    </w:rPr>
  </w:style>
  <w:style w:type="paragraph" w:styleId="25">
    <w:name w:val="Date"/>
    <w:basedOn w:val="1"/>
    <w:next w:val="1"/>
    <w:link w:val="78"/>
    <w:qFormat/>
    <w:uiPriority w:val="0"/>
    <w:pPr>
      <w:widowControl/>
      <w:ind w:left="100" w:leftChars="2500" w:firstLine="360"/>
      <w:jc w:val="left"/>
    </w:pPr>
    <w:rPr>
      <w:rFonts w:ascii="华文中宋" w:hAnsi="华文中宋" w:eastAsia="华文中宋" w:cs="Times New Roman"/>
      <w:kern w:val="0"/>
      <w:sz w:val="30"/>
      <w:lang w:eastAsia="en-US"/>
    </w:rPr>
  </w:style>
  <w:style w:type="paragraph" w:styleId="26">
    <w:name w:val="Body Text Indent 2"/>
    <w:basedOn w:val="1"/>
    <w:link w:val="79"/>
    <w:qFormat/>
    <w:uiPriority w:val="0"/>
    <w:pPr>
      <w:widowControl/>
      <w:spacing w:line="360" w:lineRule="auto"/>
      <w:ind w:right="-159" w:firstLine="600" w:firstLineChars="200"/>
      <w:jc w:val="left"/>
    </w:pPr>
    <w:rPr>
      <w:rFonts w:ascii="Times New Roman" w:hAnsi="Times New Roman" w:cs="Times New Roman"/>
      <w:color w:val="000000"/>
      <w:kern w:val="0"/>
      <w:sz w:val="30"/>
      <w:lang w:eastAsia="en-US"/>
    </w:rPr>
  </w:style>
  <w:style w:type="paragraph" w:styleId="27">
    <w:name w:val="Balloon Text"/>
    <w:basedOn w:val="1"/>
    <w:link w:val="59"/>
    <w:qFormat/>
    <w:uiPriority w:val="0"/>
    <w:rPr>
      <w:sz w:val="18"/>
      <w:szCs w:val="18"/>
    </w:rPr>
  </w:style>
  <w:style w:type="paragraph" w:styleId="28">
    <w:name w:val="footer"/>
    <w:basedOn w:val="1"/>
    <w:link w:val="60"/>
    <w:qFormat/>
    <w:uiPriority w:val="0"/>
    <w:pPr>
      <w:tabs>
        <w:tab w:val="center" w:pos="4153"/>
        <w:tab w:val="right" w:pos="8306"/>
      </w:tabs>
      <w:snapToGrid w:val="0"/>
      <w:jc w:val="left"/>
    </w:pPr>
    <w:rPr>
      <w:sz w:val="18"/>
      <w:szCs w:val="18"/>
    </w:rPr>
  </w:style>
  <w:style w:type="paragraph" w:styleId="29">
    <w:name w:val="toc 1"/>
    <w:basedOn w:val="1"/>
    <w:next w:val="1"/>
    <w:qFormat/>
    <w:locked/>
    <w:uiPriority w:val="39"/>
    <w:pPr>
      <w:tabs>
        <w:tab w:val="left" w:pos="1020"/>
        <w:tab w:val="right" w:leader="dot" w:pos="8302"/>
      </w:tabs>
    </w:pPr>
    <w:rPr>
      <w:rFonts w:ascii="Times New Roman" w:hAnsi="Times New Roman"/>
      <w:szCs w:val="21"/>
    </w:rPr>
  </w:style>
  <w:style w:type="paragraph" w:styleId="30">
    <w:name w:val="toc 4"/>
    <w:basedOn w:val="1"/>
    <w:next w:val="1"/>
    <w:qFormat/>
    <w:locked/>
    <w:uiPriority w:val="0"/>
    <w:pPr>
      <w:ind w:left="1260" w:leftChars="600"/>
    </w:pPr>
  </w:style>
  <w:style w:type="paragraph" w:styleId="31">
    <w:name w:val="Subtitle"/>
    <w:basedOn w:val="1"/>
    <w:next w:val="1"/>
    <w:link w:val="80"/>
    <w:qFormat/>
    <w:locked/>
    <w:uiPriority w:val="0"/>
    <w:pPr>
      <w:widowControl/>
      <w:spacing w:before="200" w:after="900"/>
      <w:jc w:val="right"/>
    </w:pPr>
    <w:rPr>
      <w:rFonts w:cs="Times New Roman"/>
      <w:i/>
      <w:iCs/>
      <w:sz w:val="24"/>
      <w:szCs w:val="24"/>
    </w:rPr>
  </w:style>
  <w:style w:type="paragraph" w:styleId="32">
    <w:name w:val="toc 6"/>
    <w:basedOn w:val="1"/>
    <w:next w:val="1"/>
    <w:unhideWhenUsed/>
    <w:qFormat/>
    <w:locked/>
    <w:uiPriority w:val="0"/>
    <w:pPr>
      <w:ind w:left="1050"/>
      <w:jc w:val="left"/>
    </w:pPr>
    <w:rPr>
      <w:rFonts w:cs="Times New Roman"/>
      <w:sz w:val="18"/>
      <w:szCs w:val="18"/>
    </w:rPr>
  </w:style>
  <w:style w:type="paragraph" w:styleId="33">
    <w:name w:val="Body Text Indent 3"/>
    <w:basedOn w:val="1"/>
    <w:link w:val="81"/>
    <w:qFormat/>
    <w:uiPriority w:val="0"/>
    <w:pPr>
      <w:widowControl/>
      <w:spacing w:line="300" w:lineRule="auto"/>
      <w:ind w:firstLine="480" w:firstLineChars="200"/>
      <w:jc w:val="left"/>
    </w:pPr>
    <w:rPr>
      <w:rFonts w:ascii="Times New Roman" w:hAnsi="Times New Roman" w:cs="Times New Roman"/>
      <w:kern w:val="0"/>
      <w:sz w:val="24"/>
      <w:lang w:eastAsia="en-US"/>
    </w:rPr>
  </w:style>
  <w:style w:type="paragraph" w:styleId="34">
    <w:name w:val="toc 2"/>
    <w:basedOn w:val="1"/>
    <w:next w:val="1"/>
    <w:qFormat/>
    <w:locked/>
    <w:uiPriority w:val="39"/>
    <w:pPr>
      <w:ind w:left="210"/>
      <w:jc w:val="left"/>
    </w:pPr>
    <w:rPr>
      <w:rFonts w:cs="Times New Roman"/>
      <w:smallCaps/>
      <w:sz w:val="20"/>
      <w:szCs w:val="20"/>
    </w:rPr>
  </w:style>
  <w:style w:type="paragraph" w:styleId="35">
    <w:name w:val="toc 9"/>
    <w:basedOn w:val="1"/>
    <w:next w:val="1"/>
    <w:unhideWhenUsed/>
    <w:qFormat/>
    <w:locked/>
    <w:uiPriority w:val="0"/>
    <w:pPr>
      <w:ind w:left="1680"/>
      <w:jc w:val="left"/>
    </w:pPr>
    <w:rPr>
      <w:rFonts w:cs="Times New Roman"/>
      <w:sz w:val="18"/>
      <w:szCs w:val="18"/>
    </w:rPr>
  </w:style>
  <w:style w:type="paragraph" w:styleId="36">
    <w:name w:val="Normal (Web)"/>
    <w:basedOn w:val="1"/>
    <w:qFormat/>
    <w:uiPriority w:val="0"/>
    <w:pPr>
      <w:spacing w:beforeAutospacing="1" w:afterAutospacing="1"/>
      <w:jc w:val="left"/>
    </w:pPr>
    <w:rPr>
      <w:rFonts w:cs="Times New Roman"/>
      <w:kern w:val="0"/>
      <w:sz w:val="24"/>
    </w:rPr>
  </w:style>
  <w:style w:type="paragraph" w:styleId="37">
    <w:name w:val="index 1"/>
    <w:basedOn w:val="1"/>
    <w:next w:val="1"/>
    <w:semiHidden/>
    <w:qFormat/>
    <w:uiPriority w:val="0"/>
    <w:pPr>
      <w:spacing w:line="220" w:lineRule="exact"/>
      <w:jc w:val="center"/>
    </w:pPr>
    <w:rPr>
      <w:rFonts w:ascii="仿宋_GB2312" w:eastAsia="仿宋_GB2312" w:cs="Times New Roman"/>
      <w:szCs w:val="21"/>
    </w:rPr>
  </w:style>
  <w:style w:type="paragraph" w:styleId="38">
    <w:name w:val="Title"/>
    <w:basedOn w:val="1"/>
    <w:next w:val="1"/>
    <w:link w:val="82"/>
    <w:qFormat/>
    <w:locked/>
    <w:uiPriority w:val="0"/>
    <w:pPr>
      <w:widowControl/>
      <w:pBdr>
        <w:top w:val="single" w:color="A7BFDE" w:sz="8" w:space="10"/>
        <w:bottom w:val="single" w:color="9BBB59" w:sz="24" w:space="15"/>
      </w:pBdr>
      <w:jc w:val="center"/>
    </w:pPr>
    <w:rPr>
      <w:rFonts w:ascii="Cambria" w:hAnsi="Cambria" w:cs="Times New Roman"/>
      <w:i/>
      <w:iCs/>
      <w:color w:val="243F60"/>
      <w:sz w:val="60"/>
      <w:szCs w:val="60"/>
    </w:rPr>
  </w:style>
  <w:style w:type="paragraph" w:styleId="39">
    <w:name w:val="annotation subject"/>
    <w:basedOn w:val="16"/>
    <w:next w:val="16"/>
    <w:link w:val="135"/>
    <w:semiHidden/>
    <w:qFormat/>
    <w:uiPriority w:val="0"/>
    <w:rPr>
      <w:rFonts w:cs="Times New Roman"/>
      <w:b/>
      <w:bCs/>
    </w:rPr>
  </w:style>
  <w:style w:type="paragraph" w:styleId="40">
    <w:name w:val="Body Text First Indent"/>
    <w:basedOn w:val="18"/>
    <w:link w:val="131"/>
    <w:qFormat/>
    <w:uiPriority w:val="0"/>
    <w:pPr>
      <w:spacing w:after="120" w:line="240" w:lineRule="auto"/>
      <w:ind w:firstLine="420" w:firstLineChars="100"/>
    </w:pPr>
    <w:rPr>
      <w:rFonts w:cs="Times New Roman"/>
      <w:sz w:val="21"/>
    </w:rPr>
  </w:style>
  <w:style w:type="paragraph" w:styleId="41">
    <w:name w:val="Body Text First Indent 2"/>
    <w:basedOn w:val="19"/>
    <w:qFormat/>
    <w:uiPriority w:val="99"/>
    <w:pPr>
      <w:ind w:firstLine="420" w:firstLineChars="200"/>
    </w:pPr>
    <w:rPr>
      <w:rFonts w:ascii="Times New Roman"/>
      <w:sz w:val="21"/>
    </w:rPr>
  </w:style>
  <w:style w:type="table" w:styleId="43">
    <w:name w:val="Table Grid"/>
    <w:basedOn w:val="4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rFonts w:cs="Times New Roman"/>
      <w:b/>
      <w:bCs/>
    </w:rPr>
  </w:style>
  <w:style w:type="character" w:styleId="46">
    <w:name w:val="page number"/>
    <w:qFormat/>
    <w:uiPriority w:val="0"/>
    <w:rPr>
      <w:rFonts w:cs="Times New Roman"/>
    </w:rPr>
  </w:style>
  <w:style w:type="character" w:styleId="47">
    <w:name w:val="FollowedHyperlink"/>
    <w:qFormat/>
    <w:uiPriority w:val="0"/>
    <w:rPr>
      <w:rFonts w:cs="Times New Roman"/>
      <w:color w:val="800080"/>
      <w:u w:val="none"/>
    </w:rPr>
  </w:style>
  <w:style w:type="character" w:styleId="48">
    <w:name w:val="Emphasis"/>
    <w:qFormat/>
    <w:locked/>
    <w:uiPriority w:val="99"/>
    <w:rPr>
      <w:rFonts w:cs="Times New Roman"/>
      <w:b/>
      <w:i/>
      <w:color w:val="5A5A5A"/>
    </w:rPr>
  </w:style>
  <w:style w:type="character" w:styleId="49">
    <w:name w:val="HTML Definition"/>
    <w:qFormat/>
    <w:uiPriority w:val="99"/>
    <w:rPr>
      <w:rFonts w:cs="Times New Roman"/>
    </w:rPr>
  </w:style>
  <w:style w:type="character" w:styleId="50">
    <w:name w:val="HTML Typewriter"/>
    <w:qFormat/>
    <w:uiPriority w:val="99"/>
    <w:rPr>
      <w:rFonts w:ascii="monospace" w:hAnsi="monospace" w:cs="monospace"/>
      <w:sz w:val="20"/>
    </w:rPr>
  </w:style>
  <w:style w:type="character" w:styleId="51">
    <w:name w:val="HTML Acronym"/>
    <w:qFormat/>
    <w:uiPriority w:val="99"/>
    <w:rPr>
      <w:rFonts w:cs="Times New Roman"/>
    </w:rPr>
  </w:style>
  <w:style w:type="character" w:styleId="52">
    <w:name w:val="HTML Variable"/>
    <w:qFormat/>
    <w:uiPriority w:val="99"/>
    <w:rPr>
      <w:rFonts w:cs="Times New Roman"/>
    </w:rPr>
  </w:style>
  <w:style w:type="character" w:styleId="53">
    <w:name w:val="Hyperlink"/>
    <w:qFormat/>
    <w:uiPriority w:val="99"/>
    <w:rPr>
      <w:rFonts w:cs="Times New Roman"/>
      <w:color w:val="0000FF"/>
      <w:u w:val="single"/>
    </w:rPr>
  </w:style>
  <w:style w:type="character" w:styleId="54">
    <w:name w:val="HTML Code"/>
    <w:qFormat/>
    <w:uiPriority w:val="99"/>
    <w:rPr>
      <w:rFonts w:ascii="monospace" w:hAnsi="monospace" w:cs="monospace"/>
      <w:sz w:val="20"/>
    </w:rPr>
  </w:style>
  <w:style w:type="character" w:styleId="55">
    <w:name w:val="HTML Cite"/>
    <w:qFormat/>
    <w:uiPriority w:val="99"/>
    <w:rPr>
      <w:rFonts w:cs="Times New Roman"/>
    </w:rPr>
  </w:style>
  <w:style w:type="character" w:styleId="56">
    <w:name w:val="HTML Keyboard"/>
    <w:qFormat/>
    <w:uiPriority w:val="99"/>
    <w:rPr>
      <w:rFonts w:ascii="monospace" w:hAnsi="monospace" w:cs="monospace"/>
      <w:sz w:val="20"/>
    </w:rPr>
  </w:style>
  <w:style w:type="character" w:styleId="57">
    <w:name w:val="HTML Sample"/>
    <w:qFormat/>
    <w:uiPriority w:val="99"/>
    <w:rPr>
      <w:rFonts w:ascii="monospace" w:hAnsi="monospace" w:cs="monospace"/>
    </w:rPr>
  </w:style>
  <w:style w:type="character" w:customStyle="1" w:styleId="58">
    <w:name w:val="标题 1 Char"/>
    <w:link w:val="3"/>
    <w:qFormat/>
    <w:locked/>
    <w:uiPriority w:val="0"/>
    <w:rPr>
      <w:rFonts w:eastAsia="宋体" w:cs="Times New Roman"/>
      <w:b/>
      <w:bCs/>
      <w:kern w:val="44"/>
      <w:sz w:val="44"/>
      <w:szCs w:val="44"/>
    </w:rPr>
  </w:style>
  <w:style w:type="character" w:customStyle="1" w:styleId="59">
    <w:name w:val="批注框文本 Char"/>
    <w:link w:val="27"/>
    <w:semiHidden/>
    <w:qFormat/>
    <w:locked/>
    <w:uiPriority w:val="0"/>
    <w:rPr>
      <w:rFonts w:cs="Times New Roman"/>
      <w:sz w:val="18"/>
      <w:szCs w:val="18"/>
    </w:rPr>
  </w:style>
  <w:style w:type="character" w:customStyle="1" w:styleId="60">
    <w:name w:val="页脚 Char"/>
    <w:link w:val="28"/>
    <w:qFormat/>
    <w:locked/>
    <w:uiPriority w:val="0"/>
    <w:rPr>
      <w:rFonts w:cs="Times New Roman"/>
      <w:sz w:val="18"/>
      <w:szCs w:val="18"/>
    </w:rPr>
  </w:style>
  <w:style w:type="character" w:customStyle="1" w:styleId="61">
    <w:name w:val="页眉 Char"/>
    <w:link w:val="2"/>
    <w:qFormat/>
    <w:locked/>
    <w:uiPriority w:val="0"/>
    <w:rPr>
      <w:rFonts w:cs="Times New Roman"/>
      <w:sz w:val="18"/>
      <w:szCs w:val="18"/>
    </w:rPr>
  </w:style>
  <w:style w:type="paragraph" w:styleId="62">
    <w:name w:val="List Paragraph"/>
    <w:basedOn w:val="1"/>
    <w:qFormat/>
    <w:uiPriority w:val="99"/>
    <w:pPr>
      <w:ind w:firstLine="420" w:firstLineChars="200"/>
    </w:pPr>
    <w:rPr>
      <w:rFonts w:cs="Times New Roman"/>
      <w:szCs w:val="21"/>
    </w:rPr>
  </w:style>
  <w:style w:type="paragraph" w:customStyle="1" w:styleId="6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4">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65">
    <w:name w:val="大汉方案正文"/>
    <w:basedOn w:val="1"/>
    <w:qFormat/>
    <w:uiPriority w:val="0"/>
    <w:pPr>
      <w:spacing w:line="360" w:lineRule="auto"/>
      <w:ind w:firstLine="200" w:firstLineChars="200"/>
    </w:pPr>
    <w:rPr>
      <w:rFonts w:ascii="Arial" w:hAnsi="Arial"/>
      <w:sz w:val="24"/>
      <w:szCs w:val="20"/>
    </w:rPr>
  </w:style>
  <w:style w:type="character" w:customStyle="1" w:styleId="66">
    <w:name w:val="标题 4 Char"/>
    <w:link w:val="6"/>
    <w:qFormat/>
    <w:uiPriority w:val="0"/>
    <w:rPr>
      <w:rFonts w:ascii="Cambria" w:hAnsi="Cambria" w:eastAsia="宋体"/>
      <w:i/>
      <w:iCs/>
      <w:color w:val="4F81BD"/>
      <w:sz w:val="24"/>
      <w:szCs w:val="24"/>
      <w:lang w:eastAsia="en-US"/>
    </w:rPr>
  </w:style>
  <w:style w:type="character" w:customStyle="1" w:styleId="67">
    <w:name w:val="标题 5 Char"/>
    <w:link w:val="7"/>
    <w:qFormat/>
    <w:uiPriority w:val="99"/>
    <w:rPr>
      <w:rFonts w:ascii="Cambria" w:hAnsi="Cambria" w:eastAsia="宋体"/>
      <w:color w:val="4F81BD"/>
      <w:sz w:val="22"/>
      <w:szCs w:val="22"/>
      <w:lang w:eastAsia="en-US"/>
    </w:rPr>
  </w:style>
  <w:style w:type="character" w:customStyle="1" w:styleId="68">
    <w:name w:val="标题 6 Char"/>
    <w:link w:val="8"/>
    <w:qFormat/>
    <w:uiPriority w:val="0"/>
    <w:rPr>
      <w:rFonts w:ascii="Cambria" w:hAnsi="Cambria" w:eastAsia="宋体"/>
      <w:i/>
      <w:iCs/>
      <w:color w:val="4F81BD"/>
      <w:sz w:val="22"/>
      <w:szCs w:val="22"/>
      <w:lang w:eastAsia="en-US"/>
    </w:rPr>
  </w:style>
  <w:style w:type="character" w:customStyle="1" w:styleId="69">
    <w:name w:val="标题 7 Char"/>
    <w:link w:val="9"/>
    <w:qFormat/>
    <w:uiPriority w:val="0"/>
    <w:rPr>
      <w:rFonts w:ascii="Cambria" w:hAnsi="Cambria" w:eastAsia="宋体"/>
      <w:b/>
      <w:bCs/>
      <w:color w:val="9BBB59"/>
      <w:lang w:eastAsia="en-US"/>
    </w:rPr>
  </w:style>
  <w:style w:type="character" w:customStyle="1" w:styleId="70">
    <w:name w:val="标题 8 Char"/>
    <w:link w:val="10"/>
    <w:qFormat/>
    <w:uiPriority w:val="0"/>
    <w:rPr>
      <w:rFonts w:ascii="Cambria" w:hAnsi="Cambria" w:eastAsia="宋体"/>
      <w:b/>
      <w:bCs/>
      <w:i/>
      <w:iCs/>
      <w:color w:val="9BBB59"/>
      <w:lang w:eastAsia="en-US"/>
    </w:rPr>
  </w:style>
  <w:style w:type="character" w:customStyle="1" w:styleId="71">
    <w:name w:val="标题 9 Char"/>
    <w:link w:val="11"/>
    <w:qFormat/>
    <w:uiPriority w:val="0"/>
    <w:rPr>
      <w:rFonts w:ascii="Cambria" w:hAnsi="Cambria" w:eastAsia="宋体"/>
      <w:i/>
      <w:iCs/>
      <w:color w:val="9BBB59"/>
      <w:lang w:eastAsia="en-US"/>
    </w:rPr>
  </w:style>
  <w:style w:type="character" w:customStyle="1" w:styleId="72">
    <w:name w:val="批注文字 Char"/>
    <w:link w:val="16"/>
    <w:qFormat/>
    <w:uiPriority w:val="0"/>
    <w:rPr>
      <w:rFonts w:eastAsia="宋体" w:cs="黑体"/>
      <w:kern w:val="2"/>
      <w:sz w:val="21"/>
      <w:szCs w:val="22"/>
    </w:rPr>
  </w:style>
  <w:style w:type="character" w:customStyle="1" w:styleId="73">
    <w:name w:val="批注主题 Char"/>
    <w:semiHidden/>
    <w:uiPriority w:val="0"/>
    <w:rPr>
      <w:rFonts w:eastAsia="宋体" w:cs="黑体"/>
      <w:b/>
      <w:bCs/>
      <w:kern w:val="2"/>
      <w:sz w:val="21"/>
      <w:szCs w:val="22"/>
    </w:rPr>
  </w:style>
  <w:style w:type="character" w:customStyle="1" w:styleId="74">
    <w:name w:val="正文文本 Char"/>
    <w:link w:val="18"/>
    <w:qFormat/>
    <w:uiPriority w:val="0"/>
    <w:rPr>
      <w:rFonts w:eastAsia="宋体" w:cs="黑体"/>
      <w:kern w:val="2"/>
      <w:sz w:val="24"/>
      <w:szCs w:val="22"/>
    </w:rPr>
  </w:style>
  <w:style w:type="character" w:customStyle="1" w:styleId="75">
    <w:name w:val="正文首行缩进 Char"/>
    <w:qFormat/>
    <w:uiPriority w:val="0"/>
    <w:rPr>
      <w:rFonts w:eastAsia="宋体" w:cs="黑体"/>
      <w:kern w:val="2"/>
      <w:sz w:val="21"/>
      <w:szCs w:val="22"/>
    </w:rPr>
  </w:style>
  <w:style w:type="character" w:customStyle="1" w:styleId="76">
    <w:name w:val="文档结构图 Char"/>
    <w:semiHidden/>
    <w:qFormat/>
    <w:uiPriority w:val="0"/>
    <w:rPr>
      <w:rFonts w:ascii="宋体" w:eastAsia="宋体" w:cs="黑体"/>
      <w:kern w:val="2"/>
      <w:sz w:val="18"/>
      <w:szCs w:val="18"/>
    </w:rPr>
  </w:style>
  <w:style w:type="character" w:customStyle="1" w:styleId="77">
    <w:name w:val="正文文本 3 Char"/>
    <w:qFormat/>
    <w:uiPriority w:val="0"/>
    <w:rPr>
      <w:rFonts w:eastAsia="宋体" w:cs="黑体"/>
      <w:kern w:val="2"/>
      <w:sz w:val="16"/>
      <w:szCs w:val="16"/>
    </w:rPr>
  </w:style>
  <w:style w:type="character" w:customStyle="1" w:styleId="78">
    <w:name w:val="日期 Char"/>
    <w:link w:val="25"/>
    <w:qFormat/>
    <w:uiPriority w:val="0"/>
    <w:rPr>
      <w:rFonts w:ascii="华文中宋" w:hAnsi="华文中宋" w:eastAsia="华文中宋"/>
      <w:sz w:val="30"/>
      <w:szCs w:val="22"/>
      <w:lang w:eastAsia="en-US"/>
    </w:rPr>
  </w:style>
  <w:style w:type="character" w:customStyle="1" w:styleId="79">
    <w:name w:val="正文文本缩进 2 Char"/>
    <w:link w:val="26"/>
    <w:qFormat/>
    <w:uiPriority w:val="0"/>
    <w:rPr>
      <w:rFonts w:ascii="Times New Roman" w:hAnsi="Times New Roman" w:eastAsia="宋体"/>
      <w:color w:val="000000"/>
      <w:sz w:val="30"/>
      <w:szCs w:val="22"/>
      <w:lang w:eastAsia="en-US"/>
    </w:rPr>
  </w:style>
  <w:style w:type="character" w:customStyle="1" w:styleId="80">
    <w:name w:val="副标题 Char"/>
    <w:link w:val="31"/>
    <w:qFormat/>
    <w:uiPriority w:val="0"/>
    <w:rPr>
      <w:rFonts w:eastAsia="宋体"/>
      <w:i/>
      <w:iCs/>
      <w:kern w:val="2"/>
      <w:sz w:val="24"/>
      <w:szCs w:val="24"/>
    </w:rPr>
  </w:style>
  <w:style w:type="character" w:customStyle="1" w:styleId="81">
    <w:name w:val="正文文本缩进 3 Char"/>
    <w:link w:val="33"/>
    <w:qFormat/>
    <w:uiPriority w:val="0"/>
    <w:rPr>
      <w:rFonts w:ascii="Times New Roman" w:hAnsi="Times New Roman" w:eastAsia="宋体"/>
      <w:sz w:val="24"/>
      <w:szCs w:val="22"/>
      <w:lang w:eastAsia="en-US"/>
    </w:rPr>
  </w:style>
  <w:style w:type="character" w:customStyle="1" w:styleId="82">
    <w:name w:val="标题 Char"/>
    <w:link w:val="38"/>
    <w:qFormat/>
    <w:uiPriority w:val="0"/>
    <w:rPr>
      <w:rFonts w:ascii="Cambria" w:hAnsi="Cambria" w:eastAsia="宋体"/>
      <w:i/>
      <w:iCs/>
      <w:color w:val="243F60"/>
      <w:kern w:val="2"/>
      <w:sz w:val="60"/>
      <w:szCs w:val="60"/>
    </w:rPr>
  </w:style>
  <w:style w:type="table" w:customStyle="1" w:styleId="83">
    <w:name w:val="网格型1"/>
    <w:basedOn w:val="42"/>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4">
    <w:name w:val="标题 2 Char"/>
    <w:link w:val="4"/>
    <w:qFormat/>
    <w:locked/>
    <w:uiPriority w:val="0"/>
    <w:rPr>
      <w:rFonts w:ascii="Cambria" w:hAnsi="Cambria" w:eastAsia="宋体" w:cs="黑体"/>
      <w:b/>
      <w:bCs/>
      <w:kern w:val="2"/>
      <w:sz w:val="21"/>
      <w:szCs w:val="32"/>
    </w:rPr>
  </w:style>
  <w:style w:type="character" w:customStyle="1" w:styleId="85">
    <w:name w:val="标题 3 Char"/>
    <w:link w:val="5"/>
    <w:qFormat/>
    <w:locked/>
    <w:uiPriority w:val="0"/>
    <w:rPr>
      <w:rFonts w:eastAsia="宋体" w:cs="黑体"/>
      <w:b/>
      <w:bCs/>
      <w:kern w:val="2"/>
      <w:sz w:val="32"/>
      <w:szCs w:val="32"/>
    </w:rPr>
  </w:style>
  <w:style w:type="character" w:customStyle="1" w:styleId="86">
    <w:name w:val="正文缩进 Char"/>
    <w:link w:val="13"/>
    <w:qFormat/>
    <w:locked/>
    <w:uiPriority w:val="0"/>
    <w:rPr>
      <w:rFonts w:eastAsia="宋体"/>
      <w:kern w:val="2"/>
      <w:sz w:val="21"/>
      <w:szCs w:val="22"/>
    </w:rPr>
  </w:style>
  <w:style w:type="character" w:customStyle="1" w:styleId="87">
    <w:name w:val="正文文本缩进 Char"/>
    <w:link w:val="19"/>
    <w:qFormat/>
    <w:locked/>
    <w:uiPriority w:val="0"/>
    <w:rPr>
      <w:rFonts w:ascii="宋体" w:eastAsia="宋体" w:cs="黑体"/>
      <w:sz w:val="28"/>
      <w:szCs w:val="15"/>
    </w:rPr>
  </w:style>
  <w:style w:type="character" w:customStyle="1" w:styleId="88">
    <w:name w:val="纯文本 Char"/>
    <w:link w:val="23"/>
    <w:qFormat/>
    <w:locked/>
    <w:uiPriority w:val="99"/>
    <w:rPr>
      <w:rFonts w:ascii="宋体" w:hAnsi="Courier New" w:eastAsia="宋体" w:cs="Courier New"/>
      <w:kern w:val="2"/>
      <w:sz w:val="21"/>
      <w:szCs w:val="21"/>
    </w:rPr>
  </w:style>
  <w:style w:type="character" w:customStyle="1" w:styleId="89">
    <w:name w:val="Book Title1"/>
    <w:qFormat/>
    <w:uiPriority w:val="99"/>
    <w:rPr>
      <w:rFonts w:ascii="Cambria" w:hAnsi="Cambria" w:eastAsia="宋体" w:cs="Times New Roman"/>
      <w:b/>
      <w:bCs/>
      <w:i/>
      <w:iCs/>
      <w:color w:val="auto"/>
    </w:rPr>
  </w:style>
  <w:style w:type="character" w:customStyle="1" w:styleId="90">
    <w:name w:val="无间隔 Char"/>
    <w:link w:val="91"/>
    <w:qFormat/>
    <w:locked/>
    <w:uiPriority w:val="99"/>
    <w:rPr>
      <w:rFonts w:ascii="Times New Roman" w:hAnsi="Times New Roman" w:eastAsia="宋体"/>
      <w:sz w:val="22"/>
      <w:lang w:eastAsia="en-US"/>
    </w:rPr>
  </w:style>
  <w:style w:type="paragraph" w:customStyle="1" w:styleId="91">
    <w:name w:val="No Spacing1"/>
    <w:basedOn w:val="1"/>
    <w:link w:val="90"/>
    <w:qFormat/>
    <w:uiPriority w:val="99"/>
    <w:pPr>
      <w:widowControl/>
      <w:jc w:val="left"/>
    </w:pPr>
    <w:rPr>
      <w:rFonts w:ascii="Times New Roman" w:hAnsi="Times New Roman" w:cs="Times New Roman"/>
      <w:kern w:val="0"/>
      <w:sz w:val="22"/>
      <w:szCs w:val="20"/>
      <w:lang w:eastAsia="en-US"/>
    </w:rPr>
  </w:style>
  <w:style w:type="character" w:customStyle="1" w:styleId="92">
    <w:name w:val="Subtle Emphasis1"/>
    <w:qFormat/>
    <w:uiPriority w:val="99"/>
    <w:rPr>
      <w:i/>
      <w:color w:val="5A5A5A"/>
    </w:rPr>
  </w:style>
  <w:style w:type="character" w:customStyle="1" w:styleId="93">
    <w:name w:val="font01"/>
    <w:qFormat/>
    <w:uiPriority w:val="99"/>
    <w:rPr>
      <w:rFonts w:ascii="宋体" w:hAnsi="宋体" w:eastAsia="宋体" w:cs="宋体"/>
      <w:color w:val="000000"/>
      <w:sz w:val="24"/>
      <w:szCs w:val="24"/>
      <w:u w:val="none"/>
    </w:rPr>
  </w:style>
  <w:style w:type="character" w:customStyle="1" w:styleId="94">
    <w:name w:val="font11"/>
    <w:qFormat/>
    <w:uiPriority w:val="99"/>
    <w:rPr>
      <w:rFonts w:ascii="宋体" w:hAnsi="宋体" w:eastAsia="宋体" w:cs="宋体"/>
      <w:b/>
      <w:color w:val="000000"/>
      <w:sz w:val="36"/>
      <w:szCs w:val="36"/>
      <w:u w:val="none"/>
    </w:rPr>
  </w:style>
  <w:style w:type="character" w:customStyle="1" w:styleId="95">
    <w:name w:val="明显引用 Char"/>
    <w:link w:val="96"/>
    <w:qFormat/>
    <w:locked/>
    <w:uiPriority w:val="99"/>
    <w:rPr>
      <w:rFonts w:ascii="Cambria" w:hAnsi="Cambria" w:eastAsia="宋体"/>
      <w:i/>
      <w:iCs/>
      <w:color w:val="C7EDCC"/>
      <w:sz w:val="24"/>
      <w:szCs w:val="24"/>
      <w:shd w:val="clear" w:color="auto" w:fill="4F81BD"/>
    </w:rPr>
  </w:style>
  <w:style w:type="paragraph" w:customStyle="1" w:styleId="96">
    <w:name w:val="Intense Quote1"/>
    <w:basedOn w:val="1"/>
    <w:next w:val="1"/>
    <w:link w:val="95"/>
    <w:qFormat/>
    <w:uiPriority w:val="99"/>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cs="Times New Roman"/>
      <w:i/>
      <w:iCs/>
      <w:color w:val="C7EDCC"/>
      <w:kern w:val="0"/>
      <w:sz w:val="24"/>
      <w:szCs w:val="24"/>
    </w:rPr>
  </w:style>
  <w:style w:type="character" w:customStyle="1" w:styleId="97">
    <w:name w:val="Intense Reference1"/>
    <w:qFormat/>
    <w:uiPriority w:val="99"/>
    <w:rPr>
      <w:rFonts w:cs="Times New Roman"/>
      <w:b/>
      <w:bCs/>
      <w:color w:val="76923C"/>
      <w:u w:val="single" w:color="9BBB59"/>
    </w:rPr>
  </w:style>
  <w:style w:type="character" w:customStyle="1" w:styleId="98">
    <w:name w:val="引用 Char"/>
    <w:link w:val="99"/>
    <w:qFormat/>
    <w:locked/>
    <w:uiPriority w:val="99"/>
    <w:rPr>
      <w:rFonts w:ascii="Cambria" w:hAnsi="Cambria" w:eastAsia="宋体"/>
      <w:i/>
      <w:iCs/>
      <w:color w:val="5A5A5A"/>
    </w:rPr>
  </w:style>
  <w:style w:type="paragraph" w:customStyle="1" w:styleId="99">
    <w:name w:val="Quote1"/>
    <w:basedOn w:val="1"/>
    <w:next w:val="1"/>
    <w:link w:val="98"/>
    <w:qFormat/>
    <w:uiPriority w:val="99"/>
    <w:pPr>
      <w:widowControl/>
      <w:ind w:firstLine="360"/>
      <w:jc w:val="left"/>
    </w:pPr>
    <w:rPr>
      <w:rFonts w:ascii="Cambria" w:hAnsi="Cambria" w:cs="Times New Roman"/>
      <w:i/>
      <w:iCs/>
      <w:color w:val="5A5A5A"/>
      <w:kern w:val="0"/>
      <w:sz w:val="20"/>
      <w:szCs w:val="20"/>
    </w:rPr>
  </w:style>
  <w:style w:type="character" w:customStyle="1" w:styleId="100">
    <w:name w:val="Subtle Reference1"/>
    <w:qFormat/>
    <w:uiPriority w:val="99"/>
    <w:rPr>
      <w:color w:val="auto"/>
      <w:u w:val="single" w:color="9BBB59"/>
    </w:rPr>
  </w:style>
  <w:style w:type="character" w:customStyle="1" w:styleId="101">
    <w:name w:val="Intense Emphasis1"/>
    <w:qFormat/>
    <w:uiPriority w:val="99"/>
    <w:rPr>
      <w:b/>
      <w:i/>
      <w:color w:val="4F81BD"/>
      <w:sz w:val="22"/>
    </w:rPr>
  </w:style>
  <w:style w:type="character" w:customStyle="1" w:styleId="102">
    <w:name w:val="apple-style-span"/>
    <w:qFormat/>
    <w:uiPriority w:val="99"/>
    <w:rPr>
      <w:rFonts w:cs="Times New Roman"/>
    </w:rPr>
  </w:style>
  <w:style w:type="character" w:customStyle="1" w:styleId="103">
    <w:name w:val="font51"/>
    <w:qFormat/>
    <w:uiPriority w:val="99"/>
    <w:rPr>
      <w:rFonts w:ascii="宋体" w:hAnsi="宋体" w:eastAsia="宋体" w:cs="宋体"/>
      <w:b/>
      <w:color w:val="000000"/>
      <w:sz w:val="24"/>
      <w:szCs w:val="24"/>
      <w:u w:val="none"/>
    </w:rPr>
  </w:style>
  <w:style w:type="character" w:customStyle="1" w:styleId="104">
    <w:name w:val="页眉 Char1"/>
    <w:semiHidden/>
    <w:qFormat/>
    <w:uiPriority w:val="99"/>
    <w:rPr>
      <w:rFonts w:ascii="Times New Roman" w:hAnsi="Times New Roman" w:eastAsia="宋体" w:cs="Times New Roman"/>
      <w:kern w:val="0"/>
      <w:sz w:val="18"/>
      <w:szCs w:val="18"/>
      <w:lang w:eastAsia="en-US"/>
    </w:rPr>
  </w:style>
  <w:style w:type="character" w:customStyle="1" w:styleId="105">
    <w:name w:val="标题 Char1"/>
    <w:qFormat/>
    <w:uiPriority w:val="0"/>
    <w:rPr>
      <w:rFonts w:ascii="Cambria" w:hAnsi="Cambria" w:eastAsia="宋体" w:cs="Times New Roman"/>
      <w:b/>
      <w:bCs/>
      <w:kern w:val="0"/>
      <w:sz w:val="32"/>
      <w:szCs w:val="32"/>
      <w:lang w:eastAsia="en-US"/>
    </w:rPr>
  </w:style>
  <w:style w:type="character" w:customStyle="1" w:styleId="106">
    <w:name w:val="副标题 Char1"/>
    <w:qFormat/>
    <w:uiPriority w:val="0"/>
    <w:rPr>
      <w:rFonts w:ascii="Cambria" w:hAnsi="Cambria" w:eastAsia="宋体" w:cs="Times New Roman"/>
      <w:b/>
      <w:bCs/>
      <w:kern w:val="28"/>
      <w:sz w:val="32"/>
      <w:szCs w:val="32"/>
      <w:lang w:eastAsia="en-US"/>
    </w:rPr>
  </w:style>
  <w:style w:type="character" w:customStyle="1" w:styleId="107">
    <w:name w:val="引用 Char1"/>
    <w:uiPriority w:val="99"/>
    <w:rPr>
      <w:rFonts w:ascii="Times New Roman" w:hAnsi="Times New Roman" w:eastAsia="宋体" w:cs="Times New Roman"/>
      <w:i/>
      <w:iCs/>
      <w:color w:val="000000"/>
      <w:kern w:val="0"/>
      <w:sz w:val="22"/>
      <w:lang w:eastAsia="en-US"/>
    </w:rPr>
  </w:style>
  <w:style w:type="paragraph" w:customStyle="1" w:styleId="108">
    <w:name w:val="List Paragraph1"/>
    <w:basedOn w:val="1"/>
    <w:uiPriority w:val="0"/>
    <w:pPr>
      <w:widowControl/>
      <w:ind w:left="720" w:firstLine="360"/>
      <w:contextualSpacing/>
      <w:jc w:val="left"/>
    </w:pPr>
    <w:rPr>
      <w:rFonts w:ascii="Times New Roman" w:hAnsi="Times New Roman" w:cs="Times New Roman"/>
      <w:kern w:val="0"/>
      <w:sz w:val="22"/>
      <w:lang w:eastAsia="en-US"/>
    </w:rPr>
  </w:style>
  <w:style w:type="character" w:customStyle="1" w:styleId="109">
    <w:name w:val="明显引用 Char1"/>
    <w:qFormat/>
    <w:uiPriority w:val="99"/>
    <w:rPr>
      <w:rFonts w:ascii="Times New Roman" w:hAnsi="Times New Roman" w:eastAsia="宋体" w:cs="Times New Roman"/>
      <w:b/>
      <w:bCs/>
      <w:i/>
      <w:iCs/>
      <w:color w:val="4F81BD"/>
      <w:kern w:val="0"/>
      <w:sz w:val="22"/>
      <w:lang w:eastAsia="en-US"/>
    </w:rPr>
  </w:style>
  <w:style w:type="paragraph" w:customStyle="1" w:styleId="110">
    <w:name w:val="TOC Heading1"/>
    <w:basedOn w:val="3"/>
    <w:next w:val="1"/>
    <w:qFormat/>
    <w:uiPriority w:val="99"/>
    <w:pPr>
      <w:keepNext w:val="0"/>
      <w:keepLines w:val="0"/>
      <w:widowControl/>
      <w:pBdr>
        <w:bottom w:val="single" w:color="365F91" w:sz="12" w:space="1"/>
      </w:pBdr>
      <w:spacing w:before="600" w:after="80" w:line="240" w:lineRule="auto"/>
      <w:jc w:val="left"/>
      <w:outlineLvl w:val="9"/>
    </w:pPr>
    <w:rPr>
      <w:rFonts w:ascii="Cambria" w:hAnsi="Cambria" w:cs="Times New Roman"/>
      <w:color w:val="365F91"/>
      <w:kern w:val="0"/>
      <w:sz w:val="24"/>
      <w:szCs w:val="24"/>
      <w:lang w:eastAsia="en-US"/>
    </w:rPr>
  </w:style>
  <w:style w:type="paragraph" w:customStyle="1" w:styleId="111">
    <w:name w:val="xl39"/>
    <w:basedOn w:val="1"/>
    <w:qFormat/>
    <w:uiPriority w:val="0"/>
    <w:pPr>
      <w:widowControl/>
      <w:spacing w:before="100" w:beforeAutospacing="1" w:after="100" w:afterAutospacing="1"/>
      <w:ind w:firstLine="360"/>
      <w:jc w:val="center"/>
      <w:textAlignment w:val="center"/>
    </w:pPr>
    <w:rPr>
      <w:rFonts w:ascii="华文细黑" w:hAnsi="华文细黑" w:eastAsia="华文细黑" w:cs="Times New Roman"/>
      <w:kern w:val="0"/>
      <w:sz w:val="32"/>
      <w:szCs w:val="32"/>
      <w:lang w:eastAsia="en-US"/>
    </w:rPr>
  </w:style>
  <w:style w:type="paragraph" w:customStyle="1" w:styleId="112">
    <w:name w:val="_Style 1"/>
    <w:basedOn w:val="1"/>
    <w:uiPriority w:val="99"/>
    <w:pPr>
      <w:widowControl/>
      <w:ind w:firstLine="420" w:firstLineChars="200"/>
      <w:jc w:val="left"/>
    </w:pPr>
    <w:rPr>
      <w:rFonts w:cs="Times New Roman"/>
      <w:kern w:val="0"/>
      <w:sz w:val="22"/>
      <w:lang w:eastAsia="en-US"/>
    </w:rPr>
  </w:style>
  <w:style w:type="paragraph" w:customStyle="1" w:styleId="113">
    <w:name w:val="p19"/>
    <w:basedOn w:val="1"/>
    <w:qFormat/>
    <w:uiPriority w:val="0"/>
    <w:pPr>
      <w:widowControl/>
    </w:pPr>
    <w:rPr>
      <w:rFonts w:ascii="Times New Roman" w:hAnsi="Times New Roman" w:cs="Times New Roman"/>
      <w:kern w:val="0"/>
      <w:szCs w:val="21"/>
    </w:rPr>
  </w:style>
  <w:style w:type="character" w:customStyle="1" w:styleId="114">
    <w:name w:val="正文文字4 Char"/>
    <w:qFormat/>
    <w:uiPriority w:val="0"/>
    <w:rPr>
      <w:rFonts w:hint="eastAsia" w:ascii="宋体" w:hAnsi="宋体" w:eastAsia="宋体" w:cs="宋体"/>
      <w:kern w:val="2"/>
      <w:sz w:val="21"/>
      <w:szCs w:val="24"/>
      <w:lang w:val="en-US" w:eastAsia="zh-CN"/>
    </w:rPr>
  </w:style>
  <w:style w:type="character" w:customStyle="1" w:styleId="115">
    <w:name w:val="纯文本 Char1"/>
    <w:qFormat/>
    <w:uiPriority w:val="0"/>
    <w:rPr>
      <w:rFonts w:ascii="宋体" w:hAnsi="Courier New" w:eastAsia="宋体" w:cs="Courier New"/>
      <w:kern w:val="2"/>
      <w:sz w:val="21"/>
      <w:szCs w:val="21"/>
      <w:lang w:val="en-US" w:eastAsia="zh-CN" w:bidi="ar-SA"/>
    </w:rPr>
  </w:style>
  <w:style w:type="character" w:customStyle="1" w:styleId="116">
    <w:name w:val="Char Char18"/>
    <w:link w:val="117"/>
    <w:qFormat/>
    <w:uiPriority w:val="0"/>
    <w:rPr>
      <w:b/>
      <w:bCs/>
      <w:kern w:val="2"/>
      <w:sz w:val="32"/>
      <w:szCs w:val="32"/>
    </w:rPr>
  </w:style>
  <w:style w:type="paragraph" w:customStyle="1" w:styleId="117">
    <w:name w:val="标题 3_0"/>
    <w:basedOn w:val="118"/>
    <w:next w:val="118"/>
    <w:link w:val="116"/>
    <w:qFormat/>
    <w:uiPriority w:val="0"/>
    <w:pPr>
      <w:keepNext/>
      <w:keepLines/>
      <w:spacing w:before="260" w:after="260" w:line="415" w:lineRule="auto"/>
      <w:outlineLvl w:val="2"/>
    </w:pPr>
    <w:rPr>
      <w:rFonts w:eastAsia="微软雅黑"/>
      <w:b/>
      <w:bCs/>
      <w:sz w:val="32"/>
      <w:szCs w:val="32"/>
    </w:rPr>
  </w:style>
  <w:style w:type="paragraph" w:customStyle="1" w:styleId="118">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9">
    <w:name w:val="unnamed11"/>
    <w:qFormat/>
    <w:uiPriority w:val="0"/>
  </w:style>
  <w:style w:type="character" w:customStyle="1" w:styleId="120">
    <w:name w:val="Char Char3"/>
    <w:link w:val="121"/>
    <w:uiPriority w:val="0"/>
    <w:rPr>
      <w:rFonts w:ascii="Cambria" w:hAnsi="Cambria" w:cs="宋体"/>
      <w:b/>
      <w:bCs/>
      <w:kern w:val="2"/>
      <w:sz w:val="32"/>
      <w:szCs w:val="32"/>
    </w:rPr>
  </w:style>
  <w:style w:type="paragraph" w:customStyle="1" w:styleId="121">
    <w:name w:val="标题 2_1"/>
    <w:basedOn w:val="122"/>
    <w:next w:val="122"/>
    <w:link w:val="120"/>
    <w:qFormat/>
    <w:uiPriority w:val="0"/>
    <w:pPr>
      <w:keepNext/>
      <w:keepLines/>
      <w:spacing w:before="260" w:after="260" w:line="415" w:lineRule="auto"/>
      <w:outlineLvl w:val="1"/>
    </w:pPr>
    <w:rPr>
      <w:rFonts w:ascii="Cambria" w:hAnsi="Cambria" w:eastAsia="微软雅黑" w:cs="宋体"/>
      <w:b/>
      <w:bCs/>
      <w:sz w:val="32"/>
      <w:szCs w:val="32"/>
    </w:rPr>
  </w:style>
  <w:style w:type="paragraph" w:customStyle="1" w:styleId="122">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页脚 Char1"/>
    <w:qFormat/>
    <w:uiPriority w:val="0"/>
    <w:rPr>
      <w:kern w:val="2"/>
      <w:sz w:val="18"/>
      <w:szCs w:val="18"/>
    </w:rPr>
  </w:style>
  <w:style w:type="character" w:customStyle="1" w:styleId="124">
    <w:name w:val="Char Char19"/>
    <w:link w:val="125"/>
    <w:uiPriority w:val="0"/>
    <w:rPr>
      <w:rFonts w:ascii="Cambria" w:hAnsi="Cambria" w:cs="宋体"/>
      <w:b/>
      <w:bCs/>
      <w:kern w:val="2"/>
      <w:sz w:val="32"/>
      <w:szCs w:val="32"/>
    </w:rPr>
  </w:style>
  <w:style w:type="paragraph" w:customStyle="1" w:styleId="125">
    <w:name w:val="标题 2_0"/>
    <w:basedOn w:val="118"/>
    <w:next w:val="118"/>
    <w:link w:val="124"/>
    <w:qFormat/>
    <w:uiPriority w:val="0"/>
    <w:pPr>
      <w:keepNext/>
      <w:keepLines/>
      <w:spacing w:before="260" w:after="260" w:line="415" w:lineRule="auto"/>
      <w:outlineLvl w:val="1"/>
    </w:pPr>
    <w:rPr>
      <w:rFonts w:ascii="Cambria" w:hAnsi="Cambria" w:eastAsia="微软雅黑" w:cs="宋体"/>
      <w:b/>
      <w:bCs/>
      <w:sz w:val="32"/>
      <w:szCs w:val="32"/>
    </w:rPr>
  </w:style>
  <w:style w:type="character" w:customStyle="1" w:styleId="126">
    <w:name w:val="font161"/>
    <w:qFormat/>
    <w:uiPriority w:val="0"/>
    <w:rPr>
      <w:b/>
      <w:bCs/>
      <w:sz w:val="32"/>
      <w:szCs w:val="32"/>
    </w:rPr>
  </w:style>
  <w:style w:type="character" w:customStyle="1" w:styleId="127">
    <w:name w:val="明显强调1"/>
    <w:qFormat/>
    <w:uiPriority w:val="0"/>
    <w:rPr>
      <w:rFonts w:eastAsia="仿宋_GB2312"/>
      <w:bCs/>
      <w:iCs/>
      <w:color w:val="auto"/>
      <w:sz w:val="32"/>
    </w:rPr>
  </w:style>
  <w:style w:type="character" w:customStyle="1" w:styleId="128">
    <w:name w:val="Char Char2"/>
    <w:link w:val="129"/>
    <w:qFormat/>
    <w:uiPriority w:val="9"/>
    <w:rPr>
      <w:b/>
      <w:bCs/>
      <w:kern w:val="2"/>
      <w:sz w:val="32"/>
      <w:szCs w:val="32"/>
    </w:rPr>
  </w:style>
  <w:style w:type="paragraph" w:customStyle="1" w:styleId="129">
    <w:name w:val="标题 3_1"/>
    <w:basedOn w:val="122"/>
    <w:next w:val="122"/>
    <w:link w:val="128"/>
    <w:qFormat/>
    <w:uiPriority w:val="9"/>
    <w:pPr>
      <w:keepNext/>
      <w:keepLines/>
      <w:spacing w:before="260" w:after="260" w:line="416" w:lineRule="auto"/>
      <w:outlineLvl w:val="2"/>
    </w:pPr>
    <w:rPr>
      <w:rFonts w:eastAsia="微软雅黑"/>
      <w:b/>
      <w:bCs/>
      <w:sz w:val="32"/>
      <w:szCs w:val="32"/>
    </w:rPr>
  </w:style>
  <w:style w:type="character" w:customStyle="1" w:styleId="130">
    <w:name w:val="批注文字 Char1"/>
    <w:semiHidden/>
    <w:qFormat/>
    <w:uiPriority w:val="99"/>
    <w:rPr>
      <w:sz w:val="22"/>
      <w:szCs w:val="22"/>
      <w:lang w:eastAsia="en-US"/>
    </w:rPr>
  </w:style>
  <w:style w:type="character" w:customStyle="1" w:styleId="131">
    <w:name w:val="正文首行缩进 Char1"/>
    <w:link w:val="40"/>
    <w:qFormat/>
    <w:uiPriority w:val="0"/>
    <w:rPr>
      <w:rFonts w:eastAsia="宋体"/>
      <w:kern w:val="2"/>
      <w:sz w:val="21"/>
      <w:szCs w:val="22"/>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Times New Roman"/>
      <w:kern w:val="0"/>
      <w:sz w:val="20"/>
      <w:szCs w:val="20"/>
    </w:rPr>
  </w:style>
  <w:style w:type="character" w:customStyle="1" w:styleId="133">
    <w:name w:val="正文文本 3 Char1"/>
    <w:link w:val="17"/>
    <w:qFormat/>
    <w:uiPriority w:val="0"/>
    <w:rPr>
      <w:rFonts w:ascii="宋体" w:hAnsi="Times New Roman" w:eastAsia="宋体"/>
      <w:kern w:val="2"/>
      <w:sz w:val="24"/>
    </w:rPr>
  </w:style>
  <w:style w:type="paragraph" w:customStyle="1" w:styleId="13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Times New Roman"/>
      <w:kern w:val="0"/>
      <w:sz w:val="20"/>
      <w:szCs w:val="20"/>
    </w:rPr>
  </w:style>
  <w:style w:type="character" w:customStyle="1" w:styleId="135">
    <w:name w:val="批注主题 Char1"/>
    <w:link w:val="39"/>
    <w:semiHidden/>
    <w:uiPriority w:val="0"/>
    <w:rPr>
      <w:rFonts w:eastAsia="宋体"/>
      <w:b/>
      <w:bCs/>
      <w:kern w:val="2"/>
      <w:sz w:val="21"/>
      <w:szCs w:val="22"/>
    </w:rPr>
  </w:style>
  <w:style w:type="character" w:customStyle="1" w:styleId="136">
    <w:name w:val="文档结构图 Char1"/>
    <w:link w:val="15"/>
    <w:semiHidden/>
    <w:qFormat/>
    <w:uiPriority w:val="0"/>
    <w:rPr>
      <w:rFonts w:eastAsia="宋体"/>
      <w:kern w:val="2"/>
      <w:sz w:val="21"/>
      <w:szCs w:val="22"/>
      <w:shd w:val="clear" w:color="auto" w:fill="000080"/>
    </w:rPr>
  </w:style>
  <w:style w:type="paragraph" w:customStyle="1" w:styleId="137">
    <w:name w:val="列出段落1"/>
    <w:basedOn w:val="1"/>
    <w:qFormat/>
    <w:uiPriority w:val="0"/>
    <w:pPr>
      <w:ind w:firstLine="852" w:firstLineChars="303"/>
      <w:jc w:val="left"/>
    </w:pPr>
    <w:rPr>
      <w:rFonts w:cs="Times New Roman"/>
      <w:b/>
      <w:sz w:val="28"/>
      <w:szCs w:val="28"/>
    </w:rPr>
  </w:style>
  <w:style w:type="paragraph" w:customStyle="1" w:styleId="138">
    <w:name w:val="Table Paragraph"/>
    <w:basedOn w:val="1"/>
    <w:qFormat/>
    <w:uiPriority w:val="1"/>
    <w:pPr>
      <w:jc w:val="left"/>
    </w:pPr>
    <w:rPr>
      <w:rFonts w:eastAsia="Times New Roman" w:cs="Times New Roman"/>
      <w:kern w:val="0"/>
      <w:sz w:val="22"/>
      <w:lang w:eastAsia="en-US"/>
    </w:rPr>
  </w:style>
  <w:style w:type="paragraph" w:customStyle="1" w:styleId="139">
    <w:name w:val="Char1"/>
    <w:basedOn w:val="40"/>
    <w:qFormat/>
    <w:uiPriority w:val="0"/>
    <w:pPr>
      <w:spacing w:after="0" w:line="360" w:lineRule="auto"/>
      <w:ind w:firstLine="200" w:firstLineChars="200"/>
    </w:pPr>
    <w:rPr>
      <w:rFonts w:ascii="Tahoma" w:hAnsi="Tahoma"/>
      <w:sz w:val="36"/>
      <w:szCs w:val="36"/>
    </w:rPr>
  </w:style>
  <w:style w:type="paragraph" w:customStyle="1" w:styleId="140">
    <w:name w:val="font8"/>
    <w:basedOn w:val="1"/>
    <w:uiPriority w:val="0"/>
    <w:pPr>
      <w:widowControl/>
      <w:spacing w:before="100" w:beforeAutospacing="1" w:after="100" w:afterAutospacing="1"/>
      <w:jc w:val="left"/>
    </w:pPr>
    <w:rPr>
      <w:rFonts w:cs="Times New Roman"/>
      <w:kern w:val="0"/>
      <w:sz w:val="20"/>
      <w:szCs w:val="20"/>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4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2"/>
    </w:rPr>
  </w:style>
  <w:style w:type="paragraph" w:customStyle="1" w:styleId="144">
    <w:name w:val="Char111"/>
    <w:basedOn w:val="40"/>
    <w:qFormat/>
    <w:uiPriority w:val="0"/>
    <w:pPr>
      <w:spacing w:after="0" w:line="360" w:lineRule="auto"/>
      <w:ind w:firstLine="200" w:firstLineChars="200"/>
    </w:pPr>
    <w:rPr>
      <w:rFonts w:ascii="Tahoma" w:hAnsi="Tahoma"/>
      <w:sz w:val="36"/>
      <w:szCs w:val="36"/>
    </w:rPr>
  </w:style>
  <w:style w:type="paragraph" w:customStyle="1" w:styleId="14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0"/>
      <w:szCs w:val="20"/>
    </w:rPr>
  </w:style>
  <w:style w:type="paragraph" w:customStyle="1" w:styleId="146">
    <w:name w:val="表标题"/>
    <w:basedOn w:val="1"/>
    <w:qFormat/>
    <w:uiPriority w:val="0"/>
    <w:pPr>
      <w:spacing w:line="305" w:lineRule="auto"/>
      <w:ind w:firstLine="50" w:firstLineChars="50"/>
    </w:pPr>
    <w:rPr>
      <w:rFonts w:ascii="黑体" w:hAnsi="宋体" w:eastAsia="黑体" w:cs="Times New Roman"/>
      <w:kern w:val="44"/>
      <w:sz w:val="24"/>
    </w:rPr>
  </w:style>
  <w:style w:type="paragraph" w:customStyle="1" w:styleId="147">
    <w:name w:val="xl51"/>
    <w:basedOn w:val="1"/>
    <w:qFormat/>
    <w:uiPriority w:val="0"/>
    <w:pPr>
      <w:widowControl/>
      <w:pBdr>
        <w:bottom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48">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0"/>
      <w:szCs w:val="20"/>
    </w:rPr>
  </w:style>
  <w:style w:type="paragraph" w:customStyle="1" w:styleId="149">
    <w:name w:val="Char"/>
    <w:basedOn w:val="1"/>
    <w:qFormat/>
    <w:uiPriority w:val="0"/>
    <w:rPr>
      <w:rFonts w:cs="Times New Roman"/>
    </w:rPr>
  </w:style>
  <w:style w:type="paragraph" w:customStyle="1" w:styleId="150">
    <w:name w:val="样式 标题 3 + (中文) 黑体 小四 非加粗 段前: 7.8 磅 段后: 0 磅 行距: 固定值 20 磅_1"/>
    <w:basedOn w:val="129"/>
    <w:qFormat/>
    <w:uiPriority w:val="0"/>
    <w:pPr>
      <w:spacing w:before="0" w:after="0" w:line="400" w:lineRule="exact"/>
    </w:pPr>
    <w:rPr>
      <w:rFonts w:eastAsia="黑体"/>
      <w:b w:val="0"/>
      <w:bCs w:val="0"/>
      <w:sz w:val="24"/>
      <w:szCs w:val="20"/>
    </w:rPr>
  </w:style>
  <w:style w:type="paragraph" w:customStyle="1" w:styleId="151">
    <w:name w:val="表格"/>
    <w:basedOn w:val="1"/>
    <w:uiPriority w:val="0"/>
    <w:pPr>
      <w:jc w:val="center"/>
      <w:textAlignment w:val="center"/>
    </w:pPr>
    <w:rPr>
      <w:rFonts w:ascii="华文细黑" w:hAnsi="华文细黑" w:cs="Times New Roman"/>
      <w:kern w:val="0"/>
      <w:szCs w:val="20"/>
    </w:rPr>
  </w:style>
  <w:style w:type="paragraph" w:customStyle="1" w:styleId="152">
    <w:name w:val="1"/>
    <w:basedOn w:val="1"/>
    <w:next w:val="1"/>
    <w:qFormat/>
    <w:uiPriority w:val="0"/>
    <w:rPr>
      <w:rFonts w:cs="Times New Roman"/>
    </w:rPr>
  </w:style>
  <w:style w:type="paragraph" w:customStyle="1" w:styleId="153">
    <w:name w:val="样式 标题 2 + Times New Roman 四号 非加粗 段前: 5 磅 段后: 0 磅 行距: 固定值 20..._0"/>
    <w:basedOn w:val="125"/>
    <w:qFormat/>
    <w:uiPriority w:val="0"/>
    <w:pPr>
      <w:spacing w:before="100" w:after="0" w:line="400" w:lineRule="exact"/>
    </w:pPr>
    <w:rPr>
      <w:rFonts w:ascii="Times New Roman" w:hAnsi="Times New Roman" w:eastAsia="黑体"/>
      <w:b w:val="0"/>
      <w:bCs w:val="0"/>
      <w:sz w:val="28"/>
      <w:szCs w:val="20"/>
    </w:rPr>
  </w:style>
  <w:style w:type="paragraph" w:customStyle="1" w:styleId="154">
    <w:name w:val="样式 标题 2 + Times New Roman 四号 非加粗 段前: 5 磅 段后: 0 磅 行距: 固定值 20..."/>
    <w:basedOn w:val="4"/>
    <w:qFormat/>
    <w:uiPriority w:val="0"/>
    <w:pPr>
      <w:numPr>
        <w:ilvl w:val="0"/>
        <w:numId w:val="0"/>
      </w:numPr>
      <w:tabs>
        <w:tab w:val="clear" w:pos="576"/>
      </w:tabs>
      <w:spacing w:before="100" w:after="0" w:line="400" w:lineRule="exact"/>
    </w:pPr>
    <w:rPr>
      <w:rFonts w:ascii="Times New Roman" w:hAnsi="Times New Roman" w:eastAsia="黑体" w:cs="宋体"/>
      <w:b w:val="0"/>
      <w:bCs w:val="0"/>
      <w:sz w:val="28"/>
      <w:szCs w:val="20"/>
      <w:lang w:eastAsia="en-US"/>
    </w:rPr>
  </w:style>
  <w:style w:type="paragraph" w:customStyle="1" w:styleId="1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0"/>
      <w:szCs w:val="20"/>
    </w:rPr>
  </w:style>
  <w:style w:type="paragraph" w:customStyle="1" w:styleId="158">
    <w:name w:val="xl45"/>
    <w:basedOn w:val="1"/>
    <w:qFormat/>
    <w:uiPriority w:val="0"/>
    <w:pPr>
      <w:widowControl/>
      <w:spacing w:before="100" w:beforeAutospacing="1" w:after="100" w:afterAutospacing="1"/>
      <w:jc w:val="right"/>
    </w:pPr>
    <w:rPr>
      <w:rFonts w:ascii="宋体" w:hAnsi="宋体" w:cs="Times New Roman"/>
      <w:kern w:val="0"/>
      <w:sz w:val="24"/>
    </w:rPr>
  </w:style>
  <w:style w:type="paragraph" w:customStyle="1" w:styleId="1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kern w:val="0"/>
      <w:sz w:val="20"/>
      <w:szCs w:val="20"/>
    </w:rPr>
  </w:style>
  <w:style w:type="paragraph" w:customStyle="1" w:styleId="160">
    <w:name w:val="p15"/>
    <w:basedOn w:val="1"/>
    <w:qFormat/>
    <w:uiPriority w:val="0"/>
    <w:pPr>
      <w:widowControl/>
    </w:pPr>
    <w:rPr>
      <w:rFonts w:ascii="Times New Roman" w:hAnsi="Times New Roman" w:cs="Times New Roman"/>
      <w:kern w:val="0"/>
      <w:szCs w:val="21"/>
    </w:rPr>
  </w:style>
  <w:style w:type="paragraph" w:customStyle="1" w:styleId="161">
    <w:name w:val="纯文本1"/>
    <w:basedOn w:val="1"/>
    <w:qFormat/>
    <w:uiPriority w:val="0"/>
    <w:pPr>
      <w:widowControl/>
      <w:adjustRightInd w:val="0"/>
      <w:spacing w:line="305" w:lineRule="auto"/>
      <w:ind w:firstLine="420"/>
      <w:textAlignment w:val="baseline"/>
    </w:pPr>
    <w:rPr>
      <w:rFonts w:ascii="宋体" w:hAnsi="Courier New" w:cs="Times New Roman"/>
      <w:szCs w:val="20"/>
    </w:rPr>
  </w:style>
  <w:style w:type="paragraph" w:customStyle="1" w:styleId="16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lang w:eastAsia="en-US"/>
    </w:rPr>
  </w:style>
  <w:style w:type="paragraph" w:customStyle="1" w:styleId="16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0"/>
      <w:szCs w:val="20"/>
    </w:rPr>
  </w:style>
  <w:style w:type="paragraph" w:customStyle="1" w:styleId="1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Times New Roman"/>
      <w:kern w:val="0"/>
      <w:sz w:val="20"/>
      <w:szCs w:val="20"/>
    </w:rPr>
  </w:style>
  <w:style w:type="paragraph" w:customStyle="1" w:styleId="165">
    <w:name w:val="文"/>
    <w:basedOn w:val="1"/>
    <w:qFormat/>
    <w:uiPriority w:val="0"/>
    <w:pPr>
      <w:tabs>
        <w:tab w:val="left" w:pos="1134"/>
      </w:tabs>
      <w:spacing w:before="20" w:after="40" w:line="300" w:lineRule="auto"/>
      <w:ind w:left="1134" w:firstLine="420"/>
    </w:pPr>
    <w:rPr>
      <w:rFonts w:ascii="Arial" w:hAnsi="Arial" w:cs="Times New Roman"/>
      <w:szCs w:val="20"/>
    </w:rPr>
  </w:style>
  <w:style w:type="paragraph" w:customStyle="1" w:styleId="1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Times New Roman"/>
      <w:kern w:val="0"/>
      <w:sz w:val="20"/>
      <w:szCs w:val="20"/>
    </w:rPr>
  </w:style>
  <w:style w:type="paragraph" w:customStyle="1" w:styleId="167">
    <w:name w:val="表格文字"/>
    <w:basedOn w:val="1"/>
    <w:qFormat/>
    <w:uiPriority w:val="0"/>
    <w:pPr>
      <w:adjustRightInd w:val="0"/>
      <w:spacing w:line="420" w:lineRule="atLeast"/>
      <w:jc w:val="left"/>
      <w:textAlignment w:val="baseline"/>
    </w:pPr>
    <w:rPr>
      <w:rFonts w:cs="Times New Roman"/>
      <w:kern w:val="0"/>
      <w:szCs w:val="20"/>
    </w:rPr>
  </w:style>
  <w:style w:type="paragraph" w:customStyle="1" w:styleId="168">
    <w:name w:val="font7"/>
    <w:basedOn w:val="1"/>
    <w:qFormat/>
    <w:uiPriority w:val="0"/>
    <w:pPr>
      <w:widowControl/>
      <w:spacing w:before="100" w:beforeAutospacing="1" w:after="100" w:afterAutospacing="1"/>
      <w:jc w:val="left"/>
    </w:pPr>
    <w:rPr>
      <w:rFonts w:hint="eastAsia" w:ascii="宋体" w:hAnsi="宋体" w:cs="Times New Roman"/>
      <w:kern w:val="0"/>
      <w:sz w:val="20"/>
      <w:szCs w:val="20"/>
    </w:rPr>
  </w:style>
  <w:style w:type="paragraph" w:customStyle="1" w:styleId="16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Times New Roman"/>
      <w:kern w:val="0"/>
      <w:sz w:val="20"/>
      <w:szCs w:val="20"/>
    </w:rPr>
  </w:style>
  <w:style w:type="paragraph" w:customStyle="1" w:styleId="1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7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Times New Roman"/>
      <w:b/>
      <w:bCs/>
      <w:kern w:val="0"/>
      <w:sz w:val="20"/>
      <w:szCs w:val="20"/>
    </w:rPr>
  </w:style>
  <w:style w:type="paragraph" w:customStyle="1" w:styleId="172">
    <w:name w:val="样式 标题 3 + (中文) 黑体 小四 非加粗 段前: 7.8 磅 段后: 0 磅 行距: 固定值 20 磅"/>
    <w:basedOn w:val="5"/>
    <w:qFormat/>
    <w:uiPriority w:val="0"/>
    <w:pPr>
      <w:spacing w:line="400" w:lineRule="exact"/>
    </w:pPr>
    <w:rPr>
      <w:rFonts w:eastAsia="黑体" w:cs="宋体"/>
      <w:b w:val="0"/>
      <w:bCs w:val="0"/>
      <w:sz w:val="24"/>
      <w:szCs w:val="20"/>
      <w:lang w:eastAsia="en-US"/>
    </w:rPr>
  </w:style>
  <w:style w:type="paragraph" w:customStyle="1" w:styleId="173">
    <w:name w:val="6'"/>
    <w:basedOn w:val="1"/>
    <w:qFormat/>
    <w:uiPriority w:val="0"/>
    <w:pPr>
      <w:autoSpaceDE w:val="0"/>
      <w:autoSpaceDN w:val="0"/>
      <w:adjustRightInd w:val="0"/>
      <w:snapToGrid w:val="0"/>
      <w:spacing w:line="320" w:lineRule="exact"/>
      <w:jc w:val="center"/>
      <w:textAlignment w:val="baseline"/>
    </w:pPr>
    <w:rPr>
      <w:rFonts w:cs="Times New Roman"/>
      <w:spacing w:val="20"/>
      <w:kern w:val="28"/>
      <w:szCs w:val="20"/>
    </w:rPr>
  </w:style>
  <w:style w:type="paragraph" w:customStyle="1" w:styleId="174">
    <w:name w:val="font6"/>
    <w:basedOn w:val="1"/>
    <w:qFormat/>
    <w:uiPriority w:val="0"/>
    <w:pPr>
      <w:widowControl/>
      <w:spacing w:before="100" w:beforeAutospacing="1" w:after="100" w:afterAutospacing="1"/>
      <w:jc w:val="left"/>
    </w:pPr>
    <w:rPr>
      <w:rFonts w:hint="eastAsia" w:ascii="宋体" w:hAnsi="宋体" w:cs="Times New Roman"/>
      <w:kern w:val="0"/>
      <w:sz w:val="20"/>
      <w:szCs w:val="20"/>
    </w:rPr>
  </w:style>
  <w:style w:type="paragraph" w:customStyle="1" w:styleId="175">
    <w:name w:val="条款节部分"/>
    <w:basedOn w:val="1"/>
    <w:qFormat/>
    <w:uiPriority w:val="0"/>
    <w:pPr>
      <w:numPr>
        <w:ilvl w:val="0"/>
        <w:numId w:val="2"/>
      </w:numPr>
      <w:tabs>
        <w:tab w:val="left" w:pos="2850"/>
      </w:tabs>
      <w:ind w:firstLine="360"/>
    </w:pPr>
    <w:rPr>
      <w:rFonts w:eastAsia="仿宋_GB2312" w:cs="Times New Roman"/>
      <w:sz w:val="32"/>
      <w:szCs w:val="32"/>
    </w:rPr>
  </w:style>
  <w:style w:type="paragraph" w:customStyle="1" w:styleId="17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77">
    <w:name w:val="font5"/>
    <w:basedOn w:val="1"/>
    <w:qFormat/>
    <w:uiPriority w:val="0"/>
    <w:pPr>
      <w:widowControl/>
      <w:spacing w:before="100" w:beforeAutospacing="1" w:after="100" w:afterAutospacing="1"/>
      <w:jc w:val="left"/>
    </w:pPr>
    <w:rPr>
      <w:rFonts w:hint="eastAsia" w:ascii="宋体" w:hAnsi="宋体" w:cs="Times New Roman"/>
      <w:kern w:val="0"/>
      <w:sz w:val="18"/>
      <w:szCs w:val="18"/>
    </w:rPr>
  </w:style>
  <w:style w:type="paragraph" w:customStyle="1" w:styleId="178">
    <w:name w:val="xl50"/>
    <w:basedOn w:val="1"/>
    <w:qFormat/>
    <w:uiPriority w:val="0"/>
    <w:pPr>
      <w:widowControl/>
      <w:spacing w:before="100" w:beforeAutospacing="1" w:after="100" w:afterAutospacing="1"/>
      <w:jc w:val="center"/>
    </w:pPr>
    <w:rPr>
      <w:rFonts w:ascii="宋体" w:hAnsi="宋体" w:cs="Times New Roman"/>
      <w:kern w:val="0"/>
      <w:sz w:val="20"/>
      <w:szCs w:val="20"/>
    </w:rPr>
  </w:style>
  <w:style w:type="paragraph" w:customStyle="1" w:styleId="17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0">
    <w:name w:val="默认段落字体 Para Char Char Char Char"/>
    <w:basedOn w:val="1"/>
    <w:qFormat/>
    <w:uiPriority w:val="0"/>
    <w:pPr>
      <w:spacing w:line="240" w:lineRule="atLeast"/>
      <w:ind w:left="420" w:firstLine="420"/>
    </w:pPr>
    <w:rPr>
      <w:rFonts w:cs="Times New Roman"/>
    </w:rPr>
  </w:style>
  <w:style w:type="paragraph" w:customStyle="1" w:styleId="181">
    <w:name w:val="xl34"/>
    <w:basedOn w:val="1"/>
    <w:qFormat/>
    <w:uiPriority w:val="0"/>
    <w:pPr>
      <w:widowControl/>
      <w:spacing w:before="100" w:beforeAutospacing="1" w:after="100" w:afterAutospacing="1"/>
      <w:jc w:val="left"/>
    </w:pPr>
    <w:rPr>
      <w:rFonts w:ascii="宋体" w:hAnsi="宋体" w:cs="Times New Roman"/>
      <w:b/>
      <w:bCs/>
      <w:kern w:val="0"/>
      <w:sz w:val="24"/>
    </w:rPr>
  </w:style>
  <w:style w:type="paragraph" w:customStyle="1" w:styleId="18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2"/>
    </w:rPr>
  </w:style>
  <w:style w:type="paragraph" w:customStyle="1" w:styleId="18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8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85">
    <w:name w:val="xl35"/>
    <w:basedOn w:val="1"/>
    <w:qFormat/>
    <w:uiPriority w:val="0"/>
    <w:pPr>
      <w:widowControl/>
      <w:spacing w:before="100" w:beforeAutospacing="1" w:after="100" w:afterAutospacing="1"/>
      <w:jc w:val="center"/>
    </w:pPr>
    <w:rPr>
      <w:rFonts w:ascii="宋体" w:hAnsi="宋体" w:cs="Times New Roman"/>
      <w:b/>
      <w:bCs/>
      <w:kern w:val="0"/>
      <w:sz w:val="36"/>
      <w:szCs w:val="36"/>
    </w:rPr>
  </w:style>
  <w:style w:type="paragraph" w:customStyle="1" w:styleId="186">
    <w:name w:val="reader-word-layer reader-word-s1-4"/>
    <w:basedOn w:val="118"/>
    <w:qFormat/>
    <w:uiPriority w:val="0"/>
    <w:pPr>
      <w:widowControl/>
      <w:spacing w:before="100" w:beforeAutospacing="1" w:after="100" w:afterAutospacing="1"/>
      <w:jc w:val="left"/>
    </w:pPr>
    <w:rPr>
      <w:rFonts w:ascii="宋体" w:hAnsi="宋体"/>
      <w:kern w:val="0"/>
      <w:sz w:val="24"/>
      <w:szCs w:val="24"/>
    </w:rPr>
  </w:style>
  <w:style w:type="paragraph" w:customStyle="1" w:styleId="1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88">
    <w:name w:val="样式 标题 3 + (中文) 黑体 小四 非加粗 段前: 7.8 磅 段后: 0 磅 行距: 固定值 20 磅_0"/>
    <w:basedOn w:val="117"/>
    <w:qFormat/>
    <w:uiPriority w:val="0"/>
    <w:pPr>
      <w:spacing w:before="0" w:after="0" w:line="400" w:lineRule="exact"/>
    </w:pPr>
    <w:rPr>
      <w:rFonts w:eastAsia="黑体"/>
      <w:b w:val="0"/>
      <w:bCs w:val="0"/>
      <w:sz w:val="24"/>
      <w:szCs w:val="20"/>
    </w:rPr>
  </w:style>
  <w:style w:type="paragraph" w:customStyle="1" w:styleId="189">
    <w:name w:val="Char21"/>
    <w:basedOn w:val="15"/>
    <w:qFormat/>
    <w:uiPriority w:val="0"/>
    <w:rPr>
      <w:rFonts w:ascii="宋体" w:hAnsi="宋体"/>
      <w:sz w:val="24"/>
      <w:szCs w:val="24"/>
    </w:rPr>
  </w:style>
  <w:style w:type="paragraph" w:customStyle="1" w:styleId="190">
    <w:name w:val="样式 标题 2 + Times New Roman 四号 非加粗 段前: 5 磅 段后: 0 磅 行距: 固定值 20..._1"/>
    <w:basedOn w:val="121"/>
    <w:qFormat/>
    <w:uiPriority w:val="0"/>
    <w:pPr>
      <w:spacing w:before="100" w:after="0" w:line="400" w:lineRule="exact"/>
    </w:pPr>
    <w:rPr>
      <w:rFonts w:ascii="Times New Roman" w:hAnsi="Times New Roman" w:eastAsia="黑体"/>
      <w:b w:val="0"/>
      <w:bCs w:val="0"/>
      <w:sz w:val="28"/>
      <w:szCs w:val="20"/>
    </w:rPr>
  </w:style>
  <w:style w:type="paragraph" w:customStyle="1" w:styleId="19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2"/>
    </w:rPr>
  </w:style>
  <w:style w:type="character" w:customStyle="1" w:styleId="192">
    <w:name w:val="Char Char1811"/>
    <w:qFormat/>
    <w:uiPriority w:val="0"/>
    <w:rPr>
      <w:b/>
      <w:bCs/>
      <w:sz w:val="32"/>
      <w:szCs w:val="32"/>
    </w:rPr>
  </w:style>
  <w:style w:type="character" w:customStyle="1" w:styleId="193">
    <w:name w:val="Char Char311"/>
    <w:qFormat/>
    <w:uiPriority w:val="0"/>
    <w:rPr>
      <w:rFonts w:ascii="Cambria" w:hAnsi="Cambria" w:cs="宋体"/>
      <w:b/>
      <w:bCs/>
      <w:sz w:val="32"/>
      <w:szCs w:val="32"/>
    </w:rPr>
  </w:style>
  <w:style w:type="character" w:customStyle="1" w:styleId="194">
    <w:name w:val="Char Char1911"/>
    <w:qFormat/>
    <w:uiPriority w:val="0"/>
    <w:rPr>
      <w:rFonts w:ascii="Cambria" w:hAnsi="Cambria" w:cs="宋体"/>
      <w:b/>
      <w:bCs/>
      <w:sz w:val="32"/>
      <w:szCs w:val="32"/>
    </w:rPr>
  </w:style>
  <w:style w:type="character" w:customStyle="1" w:styleId="195">
    <w:name w:val="Char Char211"/>
    <w:qFormat/>
    <w:uiPriority w:val="0"/>
    <w:rPr>
      <w:b/>
      <w:bCs/>
      <w:sz w:val="32"/>
      <w:szCs w:val="32"/>
    </w:rPr>
  </w:style>
  <w:style w:type="paragraph" w:customStyle="1" w:styleId="196">
    <w:name w:val="列出段落11"/>
    <w:basedOn w:val="1"/>
    <w:qFormat/>
    <w:uiPriority w:val="0"/>
    <w:pPr>
      <w:ind w:firstLine="852" w:firstLineChars="303"/>
      <w:jc w:val="left"/>
    </w:pPr>
    <w:rPr>
      <w:rFonts w:cs="Times New Roman"/>
      <w:b/>
      <w:sz w:val="28"/>
      <w:szCs w:val="28"/>
    </w:rPr>
  </w:style>
  <w:style w:type="paragraph" w:customStyle="1" w:styleId="197">
    <w:name w:val="纯文本11"/>
    <w:basedOn w:val="1"/>
    <w:qFormat/>
    <w:uiPriority w:val="0"/>
    <w:pPr>
      <w:widowControl/>
      <w:adjustRightInd w:val="0"/>
      <w:spacing w:line="305" w:lineRule="auto"/>
      <w:ind w:firstLine="420"/>
      <w:textAlignment w:val="baseline"/>
    </w:pPr>
    <w:rPr>
      <w:rFonts w:ascii="宋体" w:hAnsi="Courier New" w:cs="Times New Roman"/>
      <w:szCs w:val="20"/>
    </w:rPr>
  </w:style>
  <w:style w:type="paragraph" w:customStyle="1" w:styleId="198">
    <w:name w:val="Char11"/>
    <w:basedOn w:val="40"/>
    <w:qFormat/>
    <w:uiPriority w:val="0"/>
    <w:pPr>
      <w:spacing w:after="0" w:line="360" w:lineRule="auto"/>
      <w:ind w:firstLine="200" w:firstLineChars="200"/>
    </w:pPr>
    <w:rPr>
      <w:rFonts w:ascii="Tahoma" w:hAnsi="Tahoma"/>
      <w:kern w:val="0"/>
      <w:sz w:val="36"/>
      <w:szCs w:val="36"/>
    </w:rPr>
  </w:style>
  <w:style w:type="paragraph" w:customStyle="1" w:styleId="199">
    <w:name w:val="Plain Text1"/>
    <w:basedOn w:val="1"/>
    <w:qFormat/>
    <w:uiPriority w:val="0"/>
    <w:pPr>
      <w:widowControl/>
      <w:adjustRightInd w:val="0"/>
      <w:spacing w:line="305" w:lineRule="auto"/>
      <w:ind w:firstLine="420"/>
      <w:textAlignment w:val="baseline"/>
    </w:pPr>
    <w:rPr>
      <w:rFonts w:ascii="宋体" w:hAnsi="Courier New" w:cs="Times New Roman"/>
      <w:szCs w:val="20"/>
    </w:rPr>
  </w:style>
  <w:style w:type="paragraph" w:customStyle="1" w:styleId="200">
    <w:name w:val="Char2"/>
    <w:basedOn w:val="15"/>
    <w:qFormat/>
    <w:uiPriority w:val="0"/>
    <w:rPr>
      <w:rFonts w:ascii="宋体" w:hAnsi="宋体"/>
      <w:kern w:val="0"/>
      <w:sz w:val="24"/>
      <w:szCs w:val="24"/>
      <w:shd w:val="clear" w:color="auto" w:fill="000080"/>
    </w:rPr>
  </w:style>
  <w:style w:type="character" w:customStyle="1" w:styleId="201">
    <w:name w:val="Char Char181"/>
    <w:qFormat/>
    <w:uiPriority w:val="0"/>
    <w:rPr>
      <w:b/>
      <w:sz w:val="32"/>
    </w:rPr>
  </w:style>
  <w:style w:type="character" w:customStyle="1" w:styleId="202">
    <w:name w:val="Char Char31"/>
    <w:qFormat/>
    <w:uiPriority w:val="0"/>
    <w:rPr>
      <w:rFonts w:ascii="Cambria" w:hAnsi="Cambria"/>
      <w:b/>
      <w:sz w:val="32"/>
    </w:rPr>
  </w:style>
  <w:style w:type="character" w:customStyle="1" w:styleId="203">
    <w:name w:val="Char Char191"/>
    <w:qFormat/>
    <w:uiPriority w:val="0"/>
    <w:rPr>
      <w:rFonts w:ascii="Cambria" w:hAnsi="Cambria"/>
      <w:b/>
      <w:sz w:val="32"/>
    </w:rPr>
  </w:style>
  <w:style w:type="character" w:customStyle="1" w:styleId="204">
    <w:name w:val="Char Char21"/>
    <w:qFormat/>
    <w:uiPriority w:val="0"/>
    <w:rPr>
      <w:b/>
      <w:sz w:val="32"/>
    </w:rPr>
  </w:style>
  <w:style w:type="paragraph" w:customStyle="1" w:styleId="205">
    <w:name w:val="Normal_1_0"/>
    <w:next w:val="1"/>
    <w:qFormat/>
    <w:uiPriority w:val="0"/>
    <w:pPr>
      <w:widowControl w:val="0"/>
      <w:jc w:val="both"/>
    </w:pPr>
    <w:rPr>
      <w:rFonts w:ascii="Times New Roman" w:hAnsi="Times New Roman" w:eastAsia="宋体" w:cs="Times New Roman"/>
      <w:szCs w:val="24"/>
      <w:lang w:val="en-US" w:eastAsia="zh-CN" w:bidi="ar-SA"/>
    </w:rPr>
  </w:style>
  <w:style w:type="paragraph" w:customStyle="1" w:styleId="206">
    <w:name w:val="TOC Heading"/>
    <w:basedOn w:val="3"/>
    <w:next w:val="1"/>
    <w:semiHidden/>
    <w:unhideWhenUsed/>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styleId="207">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1626</Words>
  <Characters>9269</Characters>
  <Lines>77</Lines>
  <Paragraphs>21</Paragraphs>
  <TotalTime>165</TotalTime>
  <ScaleCrop>false</ScaleCrop>
  <LinksUpToDate>false</LinksUpToDate>
  <CharactersWithSpaces>10874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2017-04-17T01:17:00Z</dcterms:created>
  <dc:creator>wangh</dc:creator>
  <cp:lastModifiedBy>lenovo</cp:lastModifiedBy>
  <cp:lastPrinted>2021-10-08T01:33:00Z</cp:lastPrinted>
  <dcterms:modified xsi:type="dcterms:W3CDTF">2021-10-09T03:37:10Z</dcterms:modified>
  <dc:title>湖北省省级政府采购需求公示</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37440CCBF14442BB9C261FC16003C231</vt:lpwstr>
  </property>
</Properties>
</file>