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sz w:val="24"/>
          <w:szCs w:val="24"/>
        </w:rPr>
      </w:pPr>
      <w:r>
        <w:rPr>
          <w:sz w:val="24"/>
          <w:szCs w:val="24"/>
        </w:rPr>
        <w:t>附件</w:t>
      </w:r>
      <w:r>
        <w:rPr>
          <w:rFonts w:hint="eastAsia"/>
          <w:sz w:val="24"/>
          <w:szCs w:val="24"/>
        </w:rPr>
        <w:t>一</w:t>
      </w:r>
      <w:r>
        <w:rPr>
          <w:sz w:val="24"/>
          <w:szCs w:val="24"/>
        </w:rPr>
        <w:t>：项目采购需求：</w:t>
      </w:r>
    </w:p>
    <w:p>
      <w:pPr>
        <w:numPr>
          <w:ilvl w:val="0"/>
          <w:numId w:val="0"/>
        </w:numPr>
        <w:spacing w:line="360" w:lineRule="auto"/>
        <w:jc w:val="center"/>
        <w:rPr>
          <w:rFonts w:ascii="Times New Roman" w:hAnsi="Times New Roman" w:cs="Times New Roman"/>
          <w:b/>
          <w:sz w:val="36"/>
          <w:szCs w:val="36"/>
        </w:rPr>
      </w:pPr>
      <w:r>
        <w:rPr>
          <w:rFonts w:ascii="Times New Roman" w:hAnsi="Times New Roman" w:cs="Times New Roman"/>
          <w:b/>
          <w:sz w:val="36"/>
          <w:szCs w:val="36"/>
          <w:lang w:val="hr-HR" w:bidi="ar-EG"/>
        </w:rPr>
        <w:t>采购</w:t>
      </w:r>
      <w:r>
        <w:rPr>
          <w:rFonts w:ascii="Times New Roman" w:hAnsi="Times New Roman" w:cs="Times New Roman"/>
          <w:b/>
          <w:sz w:val="36"/>
          <w:szCs w:val="36"/>
        </w:rPr>
        <w:t>货物</w:t>
      </w:r>
      <w:r>
        <w:rPr>
          <w:rFonts w:hint="eastAsia" w:ascii="Times New Roman" w:hAnsi="Times New Roman" w:cs="Times New Roman"/>
          <w:b/>
          <w:sz w:val="36"/>
          <w:szCs w:val="36"/>
        </w:rPr>
        <w:t>（服务）</w:t>
      </w:r>
      <w:r>
        <w:rPr>
          <w:rFonts w:ascii="Times New Roman" w:hAnsi="Times New Roman" w:cs="Times New Roman"/>
          <w:b/>
          <w:sz w:val="36"/>
          <w:szCs w:val="36"/>
        </w:rPr>
        <w:t>要求</w:t>
      </w:r>
    </w:p>
    <w:p>
      <w:pPr>
        <w:pStyle w:val="21"/>
        <w:ind w:left="1140" w:firstLine="0" w:firstLineChars="0"/>
        <w:jc w:val="center"/>
        <w:rPr>
          <w:rFonts w:hint="eastAsia" w:ascii="黑体" w:hAnsi="Calibri" w:eastAsia="黑体" w:cs="黑体"/>
          <w:color w:val="auto"/>
          <w:sz w:val="28"/>
          <w:szCs w:val="28"/>
          <w:lang w:eastAsia="zh-CN"/>
        </w:rPr>
      </w:pPr>
    </w:p>
    <w:p>
      <w:pPr>
        <w:spacing w:line="360" w:lineRule="auto"/>
        <w:rPr>
          <w:rFonts w:hint="eastAsia" w:ascii="宋体" w:hAnsi="宋体" w:eastAsia="宋体"/>
          <w:bCs/>
          <w:kern w:val="44"/>
          <w:sz w:val="24"/>
          <w:lang w:eastAsia="zh-CN"/>
        </w:rPr>
      </w:pPr>
      <w:r>
        <w:rPr>
          <w:rFonts w:hint="eastAsia" w:ascii="宋体" w:hAnsi="宋体"/>
          <w:bCs/>
          <w:kern w:val="44"/>
          <w:sz w:val="24"/>
        </w:rPr>
        <w:t>1、采购内容：</w:t>
      </w:r>
      <w:r>
        <w:rPr>
          <w:rFonts w:hint="eastAsia" w:ascii="宋体" w:hAnsi="宋体" w:eastAsia="宋体" w:cs="宋体"/>
          <w:bCs/>
          <w:kern w:val="0"/>
          <w:sz w:val="24"/>
          <w:szCs w:val="24"/>
          <w:lang w:eastAsia="zh-CN"/>
        </w:rPr>
        <w:t>阳新县洋港镇燕窠村燕窠桥至邓山公路改造工程</w:t>
      </w:r>
    </w:p>
    <w:p>
      <w:pPr>
        <w:spacing w:line="360" w:lineRule="auto"/>
        <w:rPr>
          <w:rFonts w:ascii="宋体" w:hAnsi="宋体"/>
          <w:bCs/>
          <w:kern w:val="44"/>
          <w:sz w:val="24"/>
        </w:rPr>
      </w:pPr>
      <w:r>
        <w:rPr>
          <w:rFonts w:hint="eastAsia" w:ascii="宋体" w:hAnsi="宋体"/>
          <w:bCs/>
          <w:kern w:val="44"/>
          <w:sz w:val="24"/>
        </w:rPr>
        <w:t>2、工期：</w:t>
      </w:r>
      <w:r>
        <w:rPr>
          <w:rFonts w:hint="eastAsia"/>
          <w:sz w:val="24"/>
        </w:rPr>
        <w:t>合同签订后</w:t>
      </w:r>
      <w:r>
        <w:rPr>
          <w:rFonts w:hint="eastAsia" w:ascii="宋体" w:hAnsi="宋体"/>
          <w:bCs/>
          <w:kern w:val="44"/>
          <w:sz w:val="24"/>
          <w:u w:val="single"/>
          <w:lang w:val="en-US" w:eastAsia="zh-CN"/>
        </w:rPr>
        <w:t xml:space="preserve">  120  </w:t>
      </w:r>
      <w:r>
        <w:rPr>
          <w:rFonts w:hint="eastAsia" w:ascii="宋体" w:hAnsi="宋体"/>
          <w:bCs/>
          <w:kern w:val="44"/>
          <w:sz w:val="24"/>
        </w:rPr>
        <w:t>日历天。开工时间以建设单位开工令为准。</w:t>
      </w:r>
    </w:p>
    <w:p>
      <w:pPr>
        <w:spacing w:line="360" w:lineRule="auto"/>
        <w:rPr>
          <w:rFonts w:hint="eastAsia" w:ascii="宋体" w:hAnsi="宋体" w:eastAsia="宋体"/>
          <w:bCs/>
          <w:kern w:val="44"/>
          <w:sz w:val="24"/>
          <w:lang w:val="en-US" w:eastAsia="zh-CN"/>
        </w:rPr>
      </w:pPr>
      <w:r>
        <w:rPr>
          <w:rFonts w:hint="eastAsia" w:ascii="宋体" w:hAnsi="宋体"/>
          <w:bCs/>
          <w:kern w:val="44"/>
          <w:sz w:val="24"/>
        </w:rPr>
        <w:t>3、施工地点：阳新县</w:t>
      </w:r>
      <w:r>
        <w:rPr>
          <w:rFonts w:hint="eastAsia" w:ascii="宋体" w:hAnsi="宋体"/>
          <w:bCs/>
          <w:kern w:val="44"/>
          <w:sz w:val="24"/>
          <w:lang w:eastAsia="zh-CN"/>
        </w:rPr>
        <w:t>洋港镇</w:t>
      </w:r>
    </w:p>
    <w:p>
      <w:pPr>
        <w:spacing w:line="360" w:lineRule="auto"/>
        <w:rPr>
          <w:rFonts w:ascii="宋体" w:hAnsi="宋体"/>
          <w:bCs/>
          <w:kern w:val="44"/>
          <w:sz w:val="24"/>
        </w:rPr>
      </w:pPr>
      <w:r>
        <w:rPr>
          <w:rFonts w:hint="eastAsia" w:ascii="宋体" w:hAnsi="宋体"/>
          <w:bCs/>
          <w:kern w:val="44"/>
          <w:sz w:val="24"/>
        </w:rPr>
        <w:t>4、采购预算：</w:t>
      </w:r>
      <w:r>
        <w:rPr>
          <w:rFonts w:hint="eastAsia" w:ascii="宋体" w:hAnsi="宋体" w:eastAsia="宋体" w:cs="宋体"/>
          <w:kern w:val="0"/>
          <w:szCs w:val="21"/>
          <w:lang w:val="en-US" w:eastAsia="zh-CN"/>
        </w:rPr>
        <w:t>190.408347</w:t>
      </w:r>
      <w:r>
        <w:rPr>
          <w:rFonts w:hint="eastAsia" w:ascii="宋体" w:hAnsi="宋体"/>
          <w:bCs/>
          <w:kern w:val="44"/>
          <w:sz w:val="24"/>
        </w:rPr>
        <w:t>万元，超过预算作无效投标处理。</w:t>
      </w:r>
    </w:p>
    <w:p>
      <w:pPr>
        <w:spacing w:line="360" w:lineRule="auto"/>
        <w:rPr>
          <w:rFonts w:hint="default" w:ascii="宋体" w:hAnsi="宋体" w:eastAsia="宋体"/>
          <w:bCs/>
          <w:kern w:val="44"/>
          <w:sz w:val="24"/>
          <w:lang w:val="en-US" w:eastAsia="zh-CN"/>
        </w:rPr>
      </w:pPr>
      <w:r>
        <w:rPr>
          <w:rFonts w:hint="eastAsia" w:ascii="宋体" w:hAnsi="宋体"/>
          <w:bCs/>
          <w:kern w:val="44"/>
          <w:sz w:val="24"/>
        </w:rPr>
        <w:t>5、质量目标：达到国家规定的验收合格标准</w:t>
      </w:r>
      <w:r>
        <w:rPr>
          <w:rFonts w:hint="eastAsia" w:ascii="宋体" w:hAnsi="宋体"/>
          <w:bCs/>
          <w:kern w:val="44"/>
          <w:sz w:val="24"/>
          <w:lang w:eastAsia="zh-CN"/>
        </w:rPr>
        <w:t>。</w:t>
      </w:r>
    </w:p>
    <w:p>
      <w:pPr>
        <w:spacing w:line="360" w:lineRule="auto"/>
        <w:rPr>
          <w:rFonts w:ascii="宋体" w:hAnsi="宋体"/>
          <w:bCs/>
          <w:kern w:val="44"/>
          <w:sz w:val="24"/>
        </w:rPr>
      </w:pPr>
      <w:r>
        <w:rPr>
          <w:rFonts w:hint="eastAsia" w:ascii="宋体" w:hAnsi="宋体"/>
          <w:bCs/>
          <w:kern w:val="44"/>
          <w:sz w:val="24"/>
        </w:rPr>
        <w:t>6、工程量清单见附件。</w:t>
      </w:r>
    </w:p>
    <w:p>
      <w:pPr>
        <w:pStyle w:val="21"/>
        <w:widowControl w:val="0"/>
        <w:numPr>
          <w:ilvl w:val="0"/>
          <w:numId w:val="0"/>
        </w:numPr>
        <w:spacing w:line="360" w:lineRule="auto"/>
        <w:jc w:val="left"/>
        <w:rPr>
          <w:rFonts w:hint="eastAsia" w:ascii="黑体" w:hAnsi="Calibri" w:eastAsia="宋体" w:cs="黑体"/>
          <w:color w:val="auto"/>
          <w:sz w:val="28"/>
          <w:szCs w:val="28"/>
          <w:lang w:eastAsia="zh-CN"/>
        </w:rPr>
      </w:pPr>
      <w:r>
        <w:rPr>
          <w:rFonts w:hint="eastAsia" w:ascii="宋体" w:hAnsi="宋体"/>
          <w:bCs/>
          <w:kern w:val="44"/>
          <w:sz w:val="24"/>
        </w:rPr>
        <w:t>7、付款方式：</w:t>
      </w:r>
      <w:r>
        <w:rPr>
          <w:rFonts w:hint="eastAsia"/>
          <w:bCs/>
          <w:kern w:val="44"/>
          <w:sz w:val="24"/>
          <w:lang w:eastAsia="zh-CN"/>
        </w:rPr>
        <w:t>无进度款，工程完工验收付款</w:t>
      </w:r>
      <w:r>
        <w:rPr>
          <w:rFonts w:hint="eastAsia"/>
          <w:bCs/>
          <w:kern w:val="44"/>
          <w:sz w:val="24"/>
          <w:lang w:val="en-US" w:eastAsia="zh-CN"/>
        </w:rPr>
        <w:t>60%，审计完成付款至95%，剩余5%质量保证金第二年付清。具体</w:t>
      </w:r>
      <w:r>
        <w:rPr>
          <w:rFonts w:hint="eastAsia" w:ascii="宋体" w:hAnsi="宋体"/>
          <w:bCs/>
          <w:kern w:val="44"/>
          <w:sz w:val="24"/>
        </w:rPr>
        <w:t>以双方协商为准</w:t>
      </w:r>
      <w:r>
        <w:rPr>
          <w:rFonts w:hint="eastAsia"/>
          <w:bCs/>
          <w:kern w:val="44"/>
          <w:sz w:val="24"/>
          <w:lang w:eastAsia="zh-CN"/>
        </w:rPr>
        <w:t>。</w:t>
      </w:r>
    </w:p>
    <w:p>
      <w:pPr>
        <w:rPr>
          <w:rFonts w:hint="eastAsia" w:ascii="Times New Roman" w:hAnsi="Times New Roman" w:eastAsia="宋体" w:cs="Times New Roman"/>
          <w:b/>
          <w:sz w:val="36"/>
          <w:szCs w:val="36"/>
          <w:lang w:eastAsia="zh-CN"/>
        </w:rPr>
      </w:pPr>
      <w:r>
        <w:rPr>
          <w:rFonts w:hint="eastAsia" w:ascii="Times New Roman" w:hAnsi="Times New Roman" w:cs="Times New Roman"/>
          <w:b/>
          <w:sz w:val="36"/>
          <w:szCs w:val="36"/>
          <w:lang w:eastAsia="zh-CN"/>
        </w:rPr>
        <w:t>附件：</w:t>
      </w:r>
      <w:r>
        <w:rPr>
          <w:rFonts w:hint="eastAsia" w:ascii="Times New Roman" w:hAnsi="Times New Roman" w:cs="Times New Roman"/>
          <w:b/>
          <w:sz w:val="36"/>
          <w:szCs w:val="36"/>
          <w:lang w:eastAsia="zh-CN"/>
        </w:rPr>
        <w:object>
          <v:shape id="_x0000_i1025" o:spt="75" type="#_x0000_t75" style="height:42.75pt;width:301.5pt;" o:ole="t" filled="f" o:preferrelative="t" stroked="f" coordsize="21600,21600">
            <v:path/>
            <v:fill on="f" focussize="0,0"/>
            <v:stroke on="f"/>
            <v:imagedata r:id="rId6" o:title=""/>
            <o:lock v:ext="edit" aspectratio="t"/>
            <w10:wrap type="none"/>
            <w10:anchorlock/>
          </v:shape>
          <o:OLEObject Type="Embed" ProgID="Package" ShapeID="_x0000_i1025" DrawAspect="Content" ObjectID="_1468075725" r:id="rId5">
            <o:LockedField>false</o:LockedField>
          </o:OLEObject>
        </w:object>
      </w:r>
      <w:r>
        <w:rPr>
          <w:rFonts w:ascii="Times New Roman" w:hAnsi="Times New Roman" w:cs="Times New Roman"/>
          <w:b/>
          <w:sz w:val="36"/>
          <w:szCs w:val="36"/>
        </w:rPr>
        <w:br w:type="page"/>
      </w:r>
    </w:p>
    <w:p>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t>评审办法及评分标准</w:t>
      </w:r>
    </w:p>
    <w:p>
      <w:pPr>
        <w:pStyle w:val="13"/>
        <w:spacing w:line="5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pPr>
        <w:pStyle w:val="13"/>
        <w:spacing w:line="500" w:lineRule="exact"/>
        <w:ind w:firstLine="480" w:firstLineChars="200"/>
        <w:rPr>
          <w:rFonts w:ascii="Times New Roman" w:hAnsi="Times New Roman"/>
          <w:color w:val="000000" w:themeColor="text1"/>
          <w:sz w:val="24"/>
          <w:szCs w:val="24"/>
        </w:rPr>
      </w:pPr>
      <w:r>
        <w:rPr>
          <w:rFonts w:hint="eastAsia" w:ascii="Times New Roman" w:hAnsi="Times New Roman"/>
          <w:color w:val="000000" w:themeColor="text1"/>
          <w:sz w:val="24"/>
          <w:szCs w:val="24"/>
        </w:rPr>
        <w:t>本次采购遵循公平竞争原则、公正原则和诚实信用原则。</w:t>
      </w:r>
    </w:p>
    <w:p>
      <w:pPr>
        <w:adjustRightInd w:val="0"/>
        <w:snapToGrid w:val="0"/>
        <w:spacing w:line="360" w:lineRule="auto"/>
        <w:rPr>
          <w:b/>
          <w:bCs/>
          <w:sz w:val="24"/>
          <w:lang w:val="zh-CN"/>
        </w:rPr>
      </w:pPr>
      <w:r>
        <w:rPr>
          <w:rFonts w:hint="eastAsia"/>
          <w:b/>
          <w:bCs/>
          <w:sz w:val="24"/>
          <w:lang w:val="zh-CN"/>
        </w:rPr>
        <w:t>（一）评审方法</w:t>
      </w:r>
    </w:p>
    <w:p>
      <w:pPr>
        <w:adjustRightInd w:val="0"/>
        <w:snapToGrid w:val="0"/>
        <w:spacing w:line="360" w:lineRule="auto"/>
        <w:ind w:firstLine="480" w:firstLineChars="200"/>
        <w:rPr>
          <w:bCs/>
          <w:sz w:val="24"/>
        </w:rPr>
      </w:pPr>
      <w:r>
        <w:rPr>
          <w:rFonts w:hint="eastAsia"/>
          <w:bCs/>
          <w:sz w:val="24"/>
          <w:lang w:val="zh-CN"/>
        </w:rPr>
        <w:t>本次评审采用综合评分法。即满分</w:t>
      </w:r>
      <w:r>
        <w:rPr>
          <w:bCs/>
          <w:sz w:val="24"/>
          <w:lang w:val="zh-CN"/>
        </w:rPr>
        <w:t>100</w:t>
      </w:r>
      <w:r>
        <w:rPr>
          <w:rFonts w:hint="eastAsia"/>
          <w:bCs/>
          <w:sz w:val="24"/>
          <w:lang w:val="zh-CN"/>
        </w:rPr>
        <w:t>分，其中综合评议占</w:t>
      </w:r>
      <w:r>
        <w:rPr>
          <w:rFonts w:hint="eastAsia"/>
          <w:bCs/>
          <w:sz w:val="24"/>
          <w:lang w:val="en-US" w:eastAsia="zh-CN"/>
        </w:rPr>
        <w:t>20</w:t>
      </w:r>
      <w:r>
        <w:rPr>
          <w:bCs/>
          <w:sz w:val="24"/>
          <w:lang w:val="zh-CN"/>
        </w:rPr>
        <w:t>%</w:t>
      </w:r>
      <w:r>
        <w:rPr>
          <w:rFonts w:hint="eastAsia"/>
          <w:bCs/>
          <w:sz w:val="24"/>
          <w:lang w:val="zh-CN"/>
        </w:rPr>
        <w:t>，技术评议占</w:t>
      </w:r>
      <w:r>
        <w:rPr>
          <w:rFonts w:hint="eastAsia"/>
          <w:bCs/>
          <w:sz w:val="24"/>
          <w:lang w:val="en-US" w:eastAsia="zh-CN"/>
        </w:rPr>
        <w:t>50</w:t>
      </w:r>
      <w:r>
        <w:rPr>
          <w:rFonts w:hint="eastAsia"/>
          <w:bCs/>
          <w:sz w:val="24"/>
          <w:lang w:val="zh-CN"/>
        </w:rPr>
        <w:t>％，报价占</w:t>
      </w:r>
      <w:r>
        <w:rPr>
          <w:rFonts w:hint="eastAsia"/>
          <w:bCs/>
          <w:sz w:val="24"/>
          <w:lang w:val="en-US" w:eastAsia="zh-CN"/>
        </w:rPr>
        <w:t>30</w:t>
      </w:r>
      <w:r>
        <w:rPr>
          <w:bCs/>
          <w:sz w:val="24"/>
          <w:lang w:val="zh-CN"/>
        </w:rPr>
        <w:t>%</w:t>
      </w:r>
      <w:r>
        <w:rPr>
          <w:rFonts w:hint="eastAsia"/>
          <w:bCs/>
          <w:sz w:val="24"/>
          <w:lang w:val="zh-CN"/>
        </w:rPr>
        <w:t>。</w:t>
      </w:r>
    </w:p>
    <w:p>
      <w:pPr>
        <w:adjustRightInd w:val="0"/>
        <w:snapToGrid w:val="0"/>
        <w:spacing w:line="360" w:lineRule="auto"/>
        <w:rPr>
          <w:b/>
          <w:bCs/>
          <w:sz w:val="24"/>
          <w:lang w:val="zh-CN"/>
        </w:rPr>
      </w:pPr>
      <w:r>
        <w:rPr>
          <w:rFonts w:hint="eastAsia"/>
          <w:b/>
          <w:bCs/>
          <w:sz w:val="24"/>
          <w:lang w:val="zh-CN"/>
        </w:rPr>
        <w:t>（二）评审步骤</w:t>
      </w:r>
    </w:p>
    <w:p>
      <w:pPr>
        <w:adjustRightInd w:val="0"/>
        <w:snapToGrid w:val="0"/>
        <w:spacing w:line="360" w:lineRule="auto"/>
        <w:rPr>
          <w:bCs/>
          <w:sz w:val="24"/>
          <w:lang w:val="zh-CN"/>
        </w:rPr>
      </w:pPr>
      <w:r>
        <w:rPr>
          <w:rFonts w:hint="eastAsia"/>
          <w:bCs/>
          <w:sz w:val="24"/>
          <w:lang w:val="zh-CN"/>
        </w:rPr>
        <w:t>磋商小组对响应文件的评审分为资格性符合性检查、商务服务评议和价格评议：</w:t>
      </w:r>
    </w:p>
    <w:p>
      <w:pPr>
        <w:adjustRightInd w:val="0"/>
        <w:snapToGrid w:val="0"/>
        <w:spacing w:line="360" w:lineRule="auto"/>
        <w:rPr>
          <w:bCs/>
          <w:sz w:val="24"/>
          <w:lang w:val="zh-CN"/>
        </w:rPr>
      </w:pPr>
      <w:r>
        <w:rPr>
          <w:bCs/>
          <w:sz w:val="24"/>
          <w:lang w:val="zh-CN"/>
        </w:rPr>
        <w:t>1.</w:t>
      </w:r>
      <w:r>
        <w:rPr>
          <w:rFonts w:hint="eastAsia"/>
          <w:bCs/>
          <w:sz w:val="24"/>
          <w:lang w:val="zh-CN"/>
        </w:rPr>
        <w:t>资格性符合性检查表</w:t>
      </w:r>
    </w:p>
    <w:p>
      <w:pPr>
        <w:adjustRightInd w:val="0"/>
        <w:snapToGrid w:val="0"/>
        <w:spacing w:line="360" w:lineRule="auto"/>
        <w:ind w:firstLine="480" w:firstLineChars="200"/>
        <w:rPr>
          <w:bCs/>
          <w:sz w:val="24"/>
          <w:lang w:val="zh-CN"/>
        </w:rPr>
      </w:pPr>
      <w:r>
        <w:rPr>
          <w:rFonts w:hint="eastAsia"/>
          <w:bCs/>
          <w:sz w:val="24"/>
          <w:lang w:val="zh-CN"/>
        </w:rPr>
        <w:t>磋商小组验证各供应商代表或委托授权人的身份。供应商代表或委托授权人身份与响应文件不符的、响应文件未按要求加盖印章和签字的，磋商小组有权拒绝该供应商参加磋商。</w:t>
      </w:r>
    </w:p>
    <w:p>
      <w:pPr>
        <w:adjustRightInd w:val="0"/>
        <w:snapToGrid w:val="0"/>
        <w:spacing w:line="360" w:lineRule="auto"/>
        <w:rPr>
          <w:bCs/>
          <w:sz w:val="24"/>
        </w:rPr>
      </w:pPr>
      <w:r>
        <w:rPr>
          <w:bCs/>
          <w:sz w:val="24"/>
          <w:lang w:val="zh-CN"/>
        </w:rPr>
        <w:t>2.</w:t>
      </w:r>
      <w:r>
        <w:rPr>
          <w:rFonts w:hint="eastAsia"/>
          <w:bCs/>
          <w:sz w:val="24"/>
          <w:lang w:val="zh-CN"/>
        </w:rPr>
        <w:t>综合评议（占</w:t>
      </w:r>
      <w:r>
        <w:rPr>
          <w:rFonts w:hint="eastAsia"/>
          <w:bCs/>
          <w:sz w:val="24"/>
          <w:lang w:val="en-US" w:eastAsia="zh-CN"/>
        </w:rPr>
        <w:t>20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磋商小组依据“综合评议评分表”中的分值及标准进行评分。</w:t>
      </w:r>
    </w:p>
    <w:p>
      <w:pPr>
        <w:adjustRightInd w:val="0"/>
        <w:snapToGrid w:val="0"/>
        <w:spacing w:line="360" w:lineRule="auto"/>
        <w:rPr>
          <w:bCs/>
          <w:sz w:val="24"/>
        </w:rPr>
      </w:pPr>
      <w:r>
        <w:rPr>
          <w:bCs/>
          <w:sz w:val="24"/>
          <w:lang w:val="zh-CN"/>
        </w:rPr>
        <w:t>3.</w:t>
      </w:r>
      <w:r>
        <w:rPr>
          <w:rFonts w:hint="eastAsia"/>
          <w:bCs/>
          <w:sz w:val="24"/>
          <w:lang w:val="zh-CN"/>
        </w:rPr>
        <w:t>技术服务评议（占</w:t>
      </w:r>
      <w:r>
        <w:rPr>
          <w:rFonts w:hint="eastAsia"/>
          <w:bCs/>
          <w:sz w:val="24"/>
          <w:lang w:val="en-US" w:eastAsia="zh-CN"/>
        </w:rPr>
        <w:t>50</w:t>
      </w:r>
      <w:r>
        <w:rPr>
          <w:bCs/>
          <w:sz w:val="24"/>
          <w:lang w:val="zh-CN"/>
        </w:rPr>
        <w:t>%</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磋商小组依据“技术服务评议评分表”中的分值及标准进行评分。</w:t>
      </w:r>
    </w:p>
    <w:p>
      <w:pPr>
        <w:adjustRightInd w:val="0"/>
        <w:snapToGrid w:val="0"/>
        <w:spacing w:line="360" w:lineRule="auto"/>
        <w:rPr>
          <w:bCs/>
          <w:sz w:val="24"/>
          <w:lang w:val="zh-CN"/>
        </w:rPr>
      </w:pPr>
      <w:r>
        <w:rPr>
          <w:bCs/>
          <w:sz w:val="24"/>
          <w:lang w:val="zh-CN"/>
        </w:rPr>
        <w:t>4.</w:t>
      </w:r>
      <w:r>
        <w:rPr>
          <w:rFonts w:hint="eastAsia"/>
          <w:bCs/>
          <w:sz w:val="24"/>
          <w:lang w:val="zh-CN"/>
        </w:rPr>
        <w:t>价格评议（占</w:t>
      </w:r>
      <w:r>
        <w:rPr>
          <w:rFonts w:hint="eastAsia"/>
          <w:bCs/>
          <w:sz w:val="24"/>
          <w:lang w:val="en-US" w:eastAsia="zh-CN"/>
        </w:rPr>
        <w:t>3</w:t>
      </w:r>
      <w:r>
        <w:rPr>
          <w:bCs/>
          <w:sz w:val="24"/>
          <w:lang w:val="zh-CN"/>
        </w:rPr>
        <w:t>0%</w:t>
      </w:r>
      <w:r>
        <w:rPr>
          <w:rFonts w:hint="eastAsia"/>
          <w:bCs/>
          <w:sz w:val="24"/>
          <w:lang w:val="zh-CN"/>
        </w:rPr>
        <w:t>）</w:t>
      </w:r>
    </w:p>
    <w:p>
      <w:pPr>
        <w:adjustRightInd w:val="0"/>
        <w:snapToGrid w:val="0"/>
        <w:spacing w:line="360" w:lineRule="auto"/>
        <w:ind w:firstLine="480" w:firstLineChars="200"/>
        <w:rPr>
          <w:bCs/>
          <w:sz w:val="24"/>
          <w:lang w:val="zh-CN"/>
        </w:rPr>
      </w:pPr>
      <w:r>
        <w:rPr>
          <w:rFonts w:hint="eastAsia"/>
          <w:bCs/>
          <w:sz w:val="24"/>
          <w:lang w:val="zh-CN"/>
        </w:rPr>
        <w:t>价格分采用低价优先法计算，即满足磋商文件要求且最后报价最低的供应商的价格为磋商基准价，其价格分为满分。其他供应商的价格分统一按照下列公式计算：</w:t>
      </w:r>
    </w:p>
    <w:p>
      <w:pPr>
        <w:adjustRightInd w:val="0"/>
        <w:snapToGrid w:val="0"/>
        <w:spacing w:line="360" w:lineRule="auto"/>
        <w:ind w:firstLine="480" w:firstLineChars="200"/>
        <w:rPr>
          <w:bCs/>
          <w:sz w:val="24"/>
          <w:lang w:val="zh-CN"/>
        </w:rPr>
      </w:pPr>
      <w:r>
        <w:rPr>
          <w:rFonts w:hint="eastAsia"/>
          <w:bCs/>
          <w:sz w:val="24"/>
          <w:lang w:val="zh-CN"/>
        </w:rPr>
        <w:t>磋商报价得分</w:t>
      </w:r>
      <w:r>
        <w:rPr>
          <w:bCs/>
          <w:sz w:val="24"/>
          <w:lang w:val="zh-CN"/>
        </w:rPr>
        <w:t>=</w:t>
      </w:r>
      <w:r>
        <w:rPr>
          <w:rFonts w:hint="eastAsia"/>
          <w:bCs/>
          <w:sz w:val="24"/>
          <w:lang w:val="zh-CN"/>
        </w:rPr>
        <w:t>（磋商基准价</w:t>
      </w:r>
      <w:r>
        <w:rPr>
          <w:bCs/>
          <w:sz w:val="24"/>
          <w:lang w:val="zh-CN"/>
        </w:rPr>
        <w:t>/</w:t>
      </w:r>
      <w:r>
        <w:rPr>
          <w:rFonts w:hint="eastAsia"/>
          <w:bCs/>
          <w:sz w:val="24"/>
          <w:lang w:val="zh-CN"/>
        </w:rPr>
        <w:t>最后磋商报价）×</w:t>
      </w:r>
      <w:r>
        <w:rPr>
          <w:rFonts w:hint="eastAsia" w:ascii="宋体" w:hAnsi="宋体" w:cs="宋体"/>
          <w:color w:val="000000"/>
        </w:rPr>
        <w:t>价格权值</w:t>
      </w:r>
      <w:r>
        <w:rPr>
          <w:rFonts w:hint="eastAsia"/>
          <w:bCs/>
          <w:sz w:val="24"/>
          <w:lang w:val="zh-CN"/>
        </w:rPr>
        <w:t>×</w:t>
      </w:r>
      <w:r>
        <w:rPr>
          <w:bCs/>
          <w:sz w:val="24"/>
          <w:lang w:val="zh-CN"/>
        </w:rPr>
        <w:t>100</w:t>
      </w:r>
    </w:p>
    <w:p>
      <w:pPr>
        <w:adjustRightInd w:val="0"/>
        <w:snapToGrid w:val="0"/>
        <w:spacing w:line="360" w:lineRule="auto"/>
        <w:rPr>
          <w:bCs/>
          <w:sz w:val="24"/>
          <w:lang w:val="zh-CN"/>
        </w:rPr>
      </w:pPr>
      <w:r>
        <w:rPr>
          <w:bCs/>
          <w:sz w:val="24"/>
          <w:lang w:val="zh-CN"/>
        </w:rPr>
        <w:t>5.</w:t>
      </w:r>
      <w:r>
        <w:rPr>
          <w:rFonts w:hint="eastAsia"/>
          <w:bCs/>
          <w:sz w:val="24"/>
          <w:lang w:val="zh-CN"/>
        </w:rPr>
        <w:t>推荐成交候选供应商</w:t>
      </w:r>
    </w:p>
    <w:p>
      <w:pPr>
        <w:rPr>
          <w:rFonts w:ascii="Times New Roman" w:hAnsi="Times New Roman" w:cs="Times New Roman"/>
          <w:b/>
          <w:sz w:val="36"/>
          <w:szCs w:val="36"/>
        </w:rPr>
      </w:pPr>
      <w:r>
        <w:rPr>
          <w:rFonts w:hint="eastAsia"/>
          <w:bCs/>
          <w:sz w:val="24"/>
          <w:lang w:val="zh-CN"/>
        </w:rPr>
        <w:t>评磋商小组应当根据综合评分情况，按照评审得分由高到低顺序推荐</w:t>
      </w:r>
      <w:r>
        <w:rPr>
          <w:bCs/>
          <w:sz w:val="24"/>
          <w:lang w:val="zh-CN"/>
        </w:rPr>
        <w:t>3</w:t>
      </w:r>
      <w:r>
        <w:rPr>
          <w:rFonts w:hint="eastAsia"/>
          <w:bCs/>
          <w:sz w:val="24"/>
          <w:lang w:val="zh-CN"/>
        </w:rPr>
        <w:t>名以上成交候选供应商，并编写评审报告。评审得分相同的，按照最后报价由低到高的顺序推荐。评审得分且最后报价相同的，按照技术指标优劣顺序推荐。</w:t>
      </w:r>
      <w:r>
        <w:rPr>
          <w:rFonts w:ascii="Times New Roman" w:hAnsi="Times New Roman" w:cs="Times New Roman"/>
          <w:b/>
          <w:sz w:val="36"/>
          <w:szCs w:val="36"/>
        </w:rPr>
        <w:br w:type="page"/>
      </w:r>
    </w:p>
    <w:p>
      <w:pPr>
        <w:pStyle w:val="21"/>
      </w:pPr>
    </w:p>
    <w:p>
      <w:pPr>
        <w:pStyle w:val="4"/>
        <w:spacing w:before="0" w:after="0" w:line="360" w:lineRule="auto"/>
        <w:jc w:val="center"/>
        <w:rPr>
          <w:rFonts w:hint="eastAsia" w:ascii="宋体" w:hAnsi="宋体" w:eastAsia="宋体"/>
        </w:rPr>
      </w:pPr>
      <w:bookmarkStart w:id="0" w:name="_Toc425944899"/>
      <w:r>
        <w:rPr>
          <w:rFonts w:hint="eastAsia" w:ascii="宋体" w:hAnsi="宋体" w:eastAsia="宋体"/>
        </w:rPr>
        <w:t>评审方法前附表</w:t>
      </w:r>
      <w:bookmarkEnd w:id="0"/>
    </w:p>
    <w:tbl>
      <w:tblPr>
        <w:tblStyle w:val="17"/>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447"/>
        <w:gridCol w:w="728"/>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dxa"/>
            <w:gridSpan w:val="2"/>
            <w:noWrap/>
            <w:vAlign w:val="center"/>
          </w:tcPr>
          <w:p>
            <w:pPr>
              <w:widowControl/>
              <w:spacing w:line="500" w:lineRule="exact"/>
              <w:jc w:val="center"/>
              <w:rPr>
                <w:rFonts w:ascii="宋体" w:hAnsi="宋体" w:cs="宋体"/>
                <w:b/>
                <w:bCs/>
                <w:color w:val="000000"/>
                <w:kern w:val="0"/>
                <w:sz w:val="22"/>
              </w:rPr>
            </w:pPr>
            <w:r>
              <w:rPr>
                <w:rFonts w:hint="eastAsia" w:ascii="宋体" w:hAnsi="宋体" w:cs="宋体"/>
                <w:b/>
                <w:bCs/>
                <w:color w:val="000000"/>
                <w:kern w:val="0"/>
                <w:sz w:val="22"/>
              </w:rPr>
              <w:t>评分项目</w:t>
            </w:r>
          </w:p>
        </w:tc>
        <w:tc>
          <w:tcPr>
            <w:tcW w:w="728" w:type="dxa"/>
            <w:noWrap/>
            <w:vAlign w:val="center"/>
          </w:tcPr>
          <w:p>
            <w:pPr>
              <w:widowControl/>
              <w:spacing w:line="500" w:lineRule="exact"/>
              <w:jc w:val="left"/>
              <w:rPr>
                <w:rFonts w:ascii="宋体" w:cs="宋体"/>
                <w:b/>
                <w:bCs/>
                <w:color w:val="000000"/>
                <w:sz w:val="22"/>
              </w:rPr>
            </w:pPr>
            <w:r>
              <w:rPr>
                <w:rFonts w:hint="eastAsia" w:ascii="宋体" w:hAnsi="宋体" w:cs="宋体"/>
                <w:b/>
                <w:bCs/>
                <w:color w:val="000000"/>
                <w:kern w:val="0"/>
                <w:sz w:val="22"/>
              </w:rPr>
              <w:t>分数</w:t>
            </w:r>
          </w:p>
        </w:tc>
        <w:tc>
          <w:tcPr>
            <w:tcW w:w="5790" w:type="dxa"/>
            <w:noWrap/>
            <w:vAlign w:val="center"/>
          </w:tcPr>
          <w:p>
            <w:pPr>
              <w:widowControl/>
              <w:spacing w:line="500" w:lineRule="exact"/>
              <w:jc w:val="center"/>
              <w:rPr>
                <w:rFonts w:ascii="宋体" w:cs="宋体"/>
                <w:b/>
                <w:bCs/>
                <w:color w:val="000000"/>
                <w:sz w:val="22"/>
              </w:rPr>
            </w:pPr>
            <w:r>
              <w:rPr>
                <w:rFonts w:hint="eastAsia" w:ascii="宋体" w:hAnsi="宋体" w:cs="宋体"/>
                <w:b/>
                <w:bCs/>
                <w:color w:val="000000"/>
                <w:kern w:val="0"/>
                <w:sz w:val="22"/>
              </w:rPr>
              <w:t>评</w:t>
            </w:r>
            <w:r>
              <w:rPr>
                <w:rFonts w:ascii="宋体" w:hAnsi="宋体" w:cs="宋体"/>
                <w:b/>
                <w:bCs/>
                <w:color w:val="000000"/>
                <w:kern w:val="0"/>
                <w:sz w:val="22"/>
              </w:rPr>
              <w:t xml:space="preserve">  </w:t>
            </w:r>
            <w:r>
              <w:rPr>
                <w:rFonts w:hint="eastAsia" w:ascii="宋体" w:hAnsi="宋体" w:cs="宋体"/>
                <w:b/>
                <w:bCs/>
                <w:color w:val="000000"/>
                <w:kern w:val="0"/>
                <w:sz w:val="22"/>
              </w:rPr>
              <w:t>分</w:t>
            </w:r>
            <w:r>
              <w:rPr>
                <w:rFonts w:ascii="宋体" w:hAnsi="宋体" w:cs="宋体"/>
                <w:b/>
                <w:bCs/>
                <w:color w:val="000000"/>
                <w:kern w:val="0"/>
                <w:sz w:val="22"/>
              </w:rPr>
              <w:t xml:space="preserve">  </w:t>
            </w:r>
            <w:r>
              <w:rPr>
                <w:rFonts w:hint="eastAsia" w:ascii="宋体" w:hAnsi="宋体" w:cs="宋体"/>
                <w:b/>
                <w:bCs/>
                <w:color w:val="000000"/>
                <w:kern w:val="0"/>
                <w:sz w:val="22"/>
              </w:rPr>
              <w:t>标</w:t>
            </w:r>
            <w:r>
              <w:rPr>
                <w:rFonts w:ascii="宋体" w:hAnsi="宋体" w:cs="宋体"/>
                <w:b/>
                <w:bCs/>
                <w:color w:val="000000"/>
                <w:kern w:val="0"/>
                <w:sz w:val="22"/>
              </w:rPr>
              <w:t xml:space="preserve">  </w:t>
            </w:r>
            <w:r>
              <w:rPr>
                <w:rFonts w:hint="eastAsia" w:ascii="宋体" w:hAnsi="宋体" w:cs="宋体"/>
                <w:b/>
                <w:bCs/>
                <w:color w:val="000000"/>
                <w:kern w:val="0"/>
                <w:sz w:val="22"/>
              </w:rPr>
              <w:t>准</w:t>
            </w:r>
            <w:r>
              <w:rPr>
                <w:rFonts w:ascii="宋体" w:hAnsi="宋体" w:cs="宋体"/>
                <w:b/>
                <w:bCs/>
                <w:color w:val="000000"/>
                <w:kern w:val="0"/>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41" w:type="dxa"/>
            <w:gridSpan w:val="2"/>
            <w:noWrap/>
            <w:vAlign w:val="center"/>
          </w:tcPr>
          <w:p>
            <w:pPr>
              <w:widowControl/>
              <w:spacing w:line="360" w:lineRule="auto"/>
              <w:jc w:val="center"/>
              <w:rPr>
                <w:rFonts w:ascii="宋体" w:hAnsi="宋体" w:cs="宋体"/>
                <w:color w:val="000000"/>
                <w:sz w:val="22"/>
              </w:rPr>
            </w:pPr>
            <w:r>
              <w:rPr>
                <w:rFonts w:hint="eastAsia" w:ascii="宋体" w:hAnsi="宋体" w:cs="宋体"/>
                <w:color w:val="000000"/>
                <w:sz w:val="22"/>
              </w:rPr>
              <w:t>报价部分</w:t>
            </w:r>
          </w:p>
        </w:tc>
        <w:tc>
          <w:tcPr>
            <w:tcW w:w="728" w:type="dxa"/>
            <w:noWrap/>
            <w:vAlign w:val="center"/>
          </w:tcPr>
          <w:p>
            <w:pPr>
              <w:widowControl/>
              <w:spacing w:line="360" w:lineRule="auto"/>
              <w:jc w:val="center"/>
              <w:rPr>
                <w:rFonts w:ascii="宋体" w:cs="宋体"/>
                <w:color w:val="000000"/>
                <w:sz w:val="22"/>
              </w:rPr>
            </w:pPr>
            <w:r>
              <w:rPr>
                <w:rFonts w:ascii="宋体" w:hAnsi="宋体" w:cs="宋体"/>
                <w:color w:val="000000"/>
                <w:sz w:val="22"/>
              </w:rPr>
              <w:t>3</w:t>
            </w:r>
            <w:r>
              <w:rPr>
                <w:rFonts w:hint="eastAsia" w:ascii="宋体" w:hAnsi="宋体" w:cs="宋体"/>
                <w:color w:val="000000"/>
                <w:sz w:val="22"/>
              </w:rPr>
              <w:t>0</w:t>
            </w:r>
          </w:p>
        </w:tc>
        <w:tc>
          <w:tcPr>
            <w:tcW w:w="5790" w:type="dxa"/>
            <w:noWrap/>
            <w:vAlign w:val="center"/>
          </w:tcPr>
          <w:p>
            <w:pPr>
              <w:rPr>
                <w:color w:val="000000"/>
              </w:rPr>
            </w:pPr>
            <w:r>
              <w:rPr>
                <w:rFonts w:hint="eastAsia"/>
                <w:color w:val="000000"/>
              </w:rPr>
              <w:t>综合评分法中的价格分统一采用低价优先法计算，即满足磋商文件要求且最后报价最低的供应商的价格为磋商基准价，其价格分为满分。其他供应商的价格分统一按照下列公式计算：</w:t>
            </w:r>
          </w:p>
          <w:p>
            <w:pPr>
              <w:widowControl/>
              <w:spacing w:line="360" w:lineRule="exact"/>
              <w:jc w:val="left"/>
              <w:textAlignment w:val="center"/>
              <w:rPr>
                <w:rFonts w:ascii="宋体" w:hAnsi="宋体" w:cs="宋体"/>
                <w:color w:val="000000"/>
                <w:sz w:val="22"/>
              </w:rPr>
            </w:pPr>
            <w:r>
              <w:rPr>
                <w:rFonts w:hint="eastAsia"/>
                <w:color w:val="000000"/>
              </w:rPr>
              <w:t>　　磋商报价得分=（磋商基准价/最后磋商报价）×价格权值×100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94" w:type="dxa"/>
            <w:vMerge w:val="restart"/>
            <w:noWrap/>
            <w:vAlign w:val="center"/>
          </w:tcPr>
          <w:p>
            <w:pPr>
              <w:jc w:val="center"/>
              <w:rPr>
                <w:rFonts w:ascii="宋体" w:cs="宋体"/>
                <w:color w:val="000000"/>
                <w:sz w:val="22"/>
              </w:rPr>
            </w:pPr>
            <w:r>
              <w:rPr>
                <w:rFonts w:hint="eastAsia" w:ascii="宋体" w:hAnsi="宋体" w:cs="宋体"/>
                <w:color w:val="000000"/>
                <w:sz w:val="22"/>
              </w:rPr>
              <w:t>商</w:t>
            </w:r>
          </w:p>
          <w:p>
            <w:pPr>
              <w:jc w:val="center"/>
              <w:rPr>
                <w:rFonts w:ascii="宋体" w:cs="宋体"/>
                <w:color w:val="000000"/>
                <w:sz w:val="22"/>
              </w:rPr>
            </w:pPr>
            <w:r>
              <w:rPr>
                <w:rFonts w:hint="eastAsia" w:ascii="宋体" w:hAnsi="宋体" w:cs="宋体"/>
                <w:color w:val="000000"/>
                <w:sz w:val="22"/>
              </w:rPr>
              <w:t>务</w:t>
            </w:r>
          </w:p>
          <w:p>
            <w:pPr>
              <w:jc w:val="center"/>
              <w:rPr>
                <w:rFonts w:ascii="宋体" w:cs="宋体"/>
                <w:color w:val="000000"/>
                <w:sz w:val="22"/>
              </w:rPr>
            </w:pPr>
            <w:r>
              <w:rPr>
                <w:rFonts w:hint="eastAsia" w:ascii="宋体" w:hAnsi="宋体" w:cs="宋体"/>
                <w:color w:val="000000"/>
                <w:sz w:val="22"/>
              </w:rPr>
              <w:t>部</w:t>
            </w:r>
          </w:p>
          <w:p>
            <w:pPr>
              <w:jc w:val="center"/>
              <w:rPr>
                <w:rFonts w:ascii="宋体" w:hAnsi="宋体" w:cs="宋体"/>
                <w:color w:val="000000"/>
                <w:sz w:val="22"/>
              </w:rPr>
            </w:pPr>
            <w:r>
              <w:rPr>
                <w:rFonts w:hint="eastAsia" w:ascii="宋体" w:hAnsi="宋体" w:cs="宋体"/>
                <w:color w:val="000000"/>
                <w:sz w:val="22"/>
              </w:rPr>
              <w:t>分</w:t>
            </w:r>
          </w:p>
          <w:p>
            <w:pPr>
              <w:widowControl/>
              <w:spacing w:line="360" w:lineRule="exact"/>
              <w:jc w:val="center"/>
              <w:textAlignment w:val="center"/>
              <w:rPr>
                <w:rFonts w:ascii="宋体" w:hAnsi="宋体" w:cs="宋体"/>
                <w:color w:val="000000"/>
                <w:sz w:val="22"/>
              </w:rPr>
            </w:pPr>
            <w:r>
              <w:rPr>
                <w:rFonts w:hint="eastAsia" w:ascii="宋体" w:hAnsi="宋体" w:cs="宋体"/>
                <w:color w:val="000000"/>
                <w:sz w:val="22"/>
                <w:lang w:val="en-US" w:eastAsia="zh-CN"/>
              </w:rPr>
              <w:t>20</w:t>
            </w:r>
            <w:r>
              <w:rPr>
                <w:rFonts w:hint="eastAsia" w:ascii="宋体" w:hAnsi="宋体" w:cs="宋体"/>
                <w:color w:val="000000"/>
                <w:sz w:val="22"/>
              </w:rPr>
              <w:t>分</w:t>
            </w:r>
          </w:p>
        </w:tc>
        <w:tc>
          <w:tcPr>
            <w:tcW w:w="1447" w:type="dxa"/>
            <w:noWrap/>
            <w:vAlign w:val="center"/>
          </w:tcPr>
          <w:p>
            <w:pPr>
              <w:widowControl/>
              <w:spacing w:line="360" w:lineRule="exact"/>
              <w:jc w:val="center"/>
              <w:textAlignment w:val="center"/>
              <w:rPr>
                <w:rFonts w:ascii="宋体" w:hAnsi="宋体" w:cs="宋体"/>
                <w:color w:val="000000"/>
                <w:sz w:val="22"/>
              </w:rPr>
            </w:pPr>
            <w:r>
              <w:rPr>
                <w:rFonts w:hint="eastAsia" w:ascii="宋体" w:hAnsi="宋体" w:cs="宋体"/>
                <w:color w:val="000000"/>
                <w:sz w:val="22"/>
              </w:rPr>
              <w:t>类似业绩</w:t>
            </w:r>
          </w:p>
        </w:tc>
        <w:tc>
          <w:tcPr>
            <w:tcW w:w="728" w:type="dxa"/>
            <w:noWrap/>
            <w:vAlign w:val="center"/>
          </w:tcPr>
          <w:p>
            <w:pPr>
              <w:widowControl/>
              <w:spacing w:line="360" w:lineRule="auto"/>
              <w:jc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6</w:t>
            </w:r>
          </w:p>
        </w:tc>
        <w:tc>
          <w:tcPr>
            <w:tcW w:w="5790" w:type="dxa"/>
            <w:noWrap/>
            <w:vAlign w:val="center"/>
          </w:tcPr>
          <w:p>
            <w:pPr>
              <w:widowControl/>
              <w:spacing w:line="360" w:lineRule="exact"/>
              <w:jc w:val="left"/>
              <w:textAlignment w:val="center"/>
              <w:rPr>
                <w:rFonts w:ascii="宋体" w:hAnsi="宋体" w:cs="宋体"/>
                <w:color w:val="000000"/>
                <w:sz w:val="22"/>
              </w:rPr>
            </w:pPr>
            <w:r>
              <w:rPr>
                <w:rFonts w:hint="eastAsia" w:ascii="宋体" w:hAnsi="宋体" w:cs="宋体"/>
                <w:color w:val="000000"/>
                <w:sz w:val="22"/>
              </w:rPr>
              <w:t>供应商近三年具有类似项目业绩，每项得</w:t>
            </w:r>
            <w:r>
              <w:rPr>
                <w:rFonts w:hint="eastAsia" w:ascii="宋体" w:hAnsi="宋体" w:cs="宋体"/>
                <w:color w:val="000000"/>
                <w:sz w:val="22"/>
                <w:lang w:val="en-US" w:eastAsia="zh-CN"/>
              </w:rPr>
              <w:t>2</w:t>
            </w:r>
            <w:r>
              <w:rPr>
                <w:rFonts w:hint="eastAsia" w:ascii="宋体" w:hAnsi="宋体" w:cs="宋体"/>
                <w:color w:val="000000"/>
                <w:sz w:val="22"/>
              </w:rPr>
              <w:t>分，满分</w:t>
            </w:r>
            <w:r>
              <w:rPr>
                <w:rFonts w:hint="eastAsia" w:ascii="宋体" w:hAnsi="宋体" w:cs="宋体"/>
                <w:color w:val="000000"/>
                <w:sz w:val="22"/>
                <w:lang w:val="en-US" w:eastAsia="zh-CN"/>
              </w:rPr>
              <w:t>6</w:t>
            </w:r>
            <w:r>
              <w:rPr>
                <w:rFonts w:hint="eastAsia" w:ascii="宋体" w:hAnsi="宋体" w:cs="宋体"/>
                <w:color w:val="000000"/>
                <w:sz w:val="22"/>
              </w:rPr>
              <w:t>分。（须提供中标通知书或施工合同复印件，未提供不得分）。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894" w:type="dxa"/>
            <w:vMerge w:val="continue"/>
            <w:noWrap/>
            <w:vAlign w:val="center"/>
          </w:tcPr>
          <w:p>
            <w:pPr>
              <w:widowControl/>
              <w:spacing w:line="360" w:lineRule="exact"/>
              <w:jc w:val="left"/>
              <w:textAlignment w:val="center"/>
              <w:rPr>
                <w:rFonts w:ascii="宋体" w:hAnsi="宋体" w:cs="宋体"/>
                <w:color w:val="000000"/>
                <w:sz w:val="22"/>
              </w:rPr>
            </w:pPr>
          </w:p>
        </w:tc>
        <w:tc>
          <w:tcPr>
            <w:tcW w:w="1447" w:type="dxa"/>
            <w:vMerge w:val="restart"/>
            <w:noWrap/>
            <w:vAlign w:val="center"/>
          </w:tcPr>
          <w:p>
            <w:pPr>
              <w:widowControl/>
              <w:spacing w:line="360" w:lineRule="exact"/>
              <w:jc w:val="center"/>
              <w:textAlignment w:val="center"/>
              <w:rPr>
                <w:rFonts w:ascii="宋体" w:hAnsi="宋体" w:cs="宋体"/>
                <w:color w:val="000000"/>
                <w:sz w:val="22"/>
              </w:rPr>
            </w:pPr>
            <w:r>
              <w:rPr>
                <w:rFonts w:hint="eastAsia" w:ascii="宋体" w:hAnsi="宋体" w:cs="宋体"/>
                <w:color w:val="000000"/>
                <w:sz w:val="22"/>
              </w:rPr>
              <w:t>企业实力</w:t>
            </w:r>
          </w:p>
          <w:p>
            <w:pPr>
              <w:widowControl/>
              <w:spacing w:line="360" w:lineRule="exact"/>
              <w:jc w:val="center"/>
              <w:textAlignment w:val="center"/>
              <w:rPr>
                <w:rFonts w:ascii="宋体" w:hAnsi="宋体" w:cs="宋体"/>
                <w:color w:val="000000"/>
                <w:sz w:val="22"/>
              </w:rPr>
            </w:pPr>
          </w:p>
        </w:tc>
        <w:tc>
          <w:tcPr>
            <w:tcW w:w="728" w:type="dxa"/>
            <w:noWrap/>
            <w:vAlign w:val="center"/>
          </w:tcPr>
          <w:p>
            <w:pPr>
              <w:widowControl/>
              <w:spacing w:line="360" w:lineRule="auto"/>
              <w:jc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6</w:t>
            </w:r>
          </w:p>
        </w:tc>
        <w:tc>
          <w:tcPr>
            <w:tcW w:w="5790" w:type="dxa"/>
            <w:noWrap/>
            <w:vAlign w:val="center"/>
          </w:tcPr>
          <w:p>
            <w:pPr>
              <w:widowControl/>
              <w:spacing w:line="360" w:lineRule="exact"/>
              <w:jc w:val="left"/>
              <w:textAlignment w:val="center"/>
              <w:rPr>
                <w:rFonts w:ascii="宋体" w:hAnsi="宋体" w:cs="宋体"/>
                <w:color w:val="000000"/>
                <w:sz w:val="22"/>
              </w:rPr>
            </w:pPr>
            <w:r>
              <w:rPr>
                <w:rFonts w:hint="eastAsia" w:ascii="宋体" w:hAnsi="宋体" w:cs="宋体"/>
                <w:color w:val="000000"/>
                <w:sz w:val="22"/>
              </w:rPr>
              <w:t>供应商同时具有有效的质量管理体系认证、</w:t>
            </w:r>
            <w:bookmarkStart w:id="7" w:name="_GoBack"/>
            <w:bookmarkEnd w:id="7"/>
            <w:r>
              <w:rPr>
                <w:rFonts w:hint="eastAsia" w:ascii="宋体" w:hAnsi="宋体" w:cs="宋体"/>
                <w:color w:val="000000"/>
                <w:sz w:val="22"/>
              </w:rPr>
              <w:t>环境管理体系认证、职业健康安全管理体系认证的每提供一个得</w:t>
            </w:r>
            <w:r>
              <w:rPr>
                <w:rFonts w:hint="eastAsia" w:ascii="宋体" w:hAnsi="宋体" w:cs="宋体"/>
                <w:color w:val="000000"/>
                <w:sz w:val="22"/>
                <w:lang w:val="en-US" w:eastAsia="zh-CN"/>
              </w:rPr>
              <w:t>2</w:t>
            </w:r>
            <w:r>
              <w:rPr>
                <w:rFonts w:hint="eastAsia" w:ascii="宋体" w:hAnsi="宋体" w:cs="宋体"/>
                <w:color w:val="000000"/>
                <w:sz w:val="22"/>
              </w:rPr>
              <w:t>分，满分</w:t>
            </w:r>
            <w:r>
              <w:rPr>
                <w:rFonts w:hint="eastAsia" w:ascii="宋体" w:hAnsi="宋体" w:cs="宋体"/>
                <w:color w:val="000000"/>
                <w:sz w:val="22"/>
                <w:lang w:val="en-US" w:eastAsia="zh-CN"/>
              </w:rPr>
              <w:t>6</w:t>
            </w:r>
            <w:r>
              <w:rPr>
                <w:rFonts w:hint="eastAsia" w:ascii="宋体" w:hAnsi="宋体" w:cs="宋体"/>
                <w:color w:val="000000"/>
                <w:sz w:val="22"/>
              </w:rPr>
              <w:t>分。没有或暂停的不得分，提供上述证书及在中国认证认可委员会官方网站的认证体系统查询结果截图，未按要求提供证明材料按无效证书处理。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94" w:type="dxa"/>
            <w:vMerge w:val="continue"/>
            <w:noWrap/>
            <w:vAlign w:val="center"/>
          </w:tcPr>
          <w:p>
            <w:pPr>
              <w:widowControl/>
              <w:spacing w:line="360" w:lineRule="exact"/>
              <w:jc w:val="left"/>
              <w:textAlignment w:val="center"/>
              <w:rPr>
                <w:rFonts w:ascii="宋体" w:hAnsi="宋体" w:cs="宋体"/>
                <w:color w:val="000000"/>
                <w:sz w:val="22"/>
              </w:rPr>
            </w:pPr>
          </w:p>
        </w:tc>
        <w:tc>
          <w:tcPr>
            <w:tcW w:w="1447" w:type="dxa"/>
            <w:noWrap/>
            <w:vAlign w:val="center"/>
          </w:tcPr>
          <w:p>
            <w:pPr>
              <w:widowControl/>
              <w:spacing w:line="36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企业信誉</w:t>
            </w:r>
          </w:p>
        </w:tc>
        <w:tc>
          <w:tcPr>
            <w:tcW w:w="728" w:type="dxa"/>
            <w:noWrap/>
            <w:vAlign w:val="center"/>
          </w:tcPr>
          <w:p>
            <w:pPr>
              <w:widowControl/>
              <w:spacing w:line="360" w:lineRule="auto"/>
              <w:jc w:val="center"/>
              <w:rPr>
                <w:rFonts w:hint="default" w:ascii="宋体" w:hAnsi="宋体" w:cs="宋体"/>
                <w:color w:val="000000"/>
                <w:sz w:val="22"/>
                <w:lang w:val="en-US" w:eastAsia="zh-CN"/>
              </w:rPr>
            </w:pPr>
            <w:r>
              <w:rPr>
                <w:rFonts w:hint="eastAsia" w:ascii="宋体" w:hAnsi="宋体" w:cs="宋体"/>
                <w:color w:val="000000"/>
                <w:sz w:val="22"/>
                <w:lang w:val="en-US" w:eastAsia="zh-CN"/>
              </w:rPr>
              <w:t>2</w:t>
            </w:r>
          </w:p>
        </w:tc>
        <w:tc>
          <w:tcPr>
            <w:tcW w:w="5790" w:type="dxa"/>
            <w:noWrap/>
            <w:vAlign w:val="center"/>
          </w:tcPr>
          <w:p>
            <w:pPr>
              <w:numPr>
                <w:ilvl w:val="0"/>
                <w:numId w:val="0"/>
              </w:numPr>
              <w:rPr>
                <w:rFonts w:hint="default" w:ascii="宋体" w:hAnsi="宋体" w:cs="宋体"/>
                <w:color w:val="000000"/>
                <w:sz w:val="22"/>
                <w:lang w:val="en-US"/>
              </w:rPr>
            </w:pPr>
            <w:r>
              <w:rPr>
                <w:rFonts w:hint="eastAsia" w:ascii="宋体" w:hAnsi="宋体" w:cs="宋体"/>
                <w:color w:val="000000"/>
                <w:sz w:val="22"/>
              </w:rPr>
              <w:t>供应商</w:t>
            </w:r>
            <w:r>
              <w:rPr>
                <w:rFonts w:hint="eastAsia" w:ascii="宋体" w:hAnsi="宋体" w:cs="宋体"/>
                <w:color w:val="000000"/>
                <w:sz w:val="22"/>
                <w:lang w:eastAsia="zh-CN"/>
              </w:rPr>
              <w:t>提供有效的信用评价</w:t>
            </w:r>
            <w:r>
              <w:rPr>
                <w:rFonts w:hint="eastAsia" w:ascii="宋体" w:hAnsi="宋体" w:cs="宋体"/>
                <w:color w:val="000000"/>
                <w:sz w:val="22"/>
                <w:lang w:val="en-US" w:eastAsia="zh-CN"/>
              </w:rPr>
              <w:t>3A级信用企业证书得2分。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894" w:type="dxa"/>
            <w:vMerge w:val="continue"/>
            <w:noWrap/>
            <w:vAlign w:val="center"/>
          </w:tcPr>
          <w:p>
            <w:pPr>
              <w:widowControl/>
              <w:spacing w:line="360" w:lineRule="exact"/>
              <w:jc w:val="left"/>
              <w:textAlignment w:val="center"/>
              <w:rPr>
                <w:rFonts w:ascii="宋体" w:hAnsi="宋体" w:cs="宋体"/>
                <w:color w:val="000000"/>
                <w:sz w:val="22"/>
              </w:rPr>
            </w:pPr>
          </w:p>
        </w:tc>
        <w:tc>
          <w:tcPr>
            <w:tcW w:w="1447" w:type="dxa"/>
            <w:noWrap/>
            <w:vAlign w:val="center"/>
          </w:tcPr>
          <w:p>
            <w:pPr>
              <w:widowControl/>
              <w:spacing w:line="360" w:lineRule="exact"/>
              <w:jc w:val="center"/>
              <w:textAlignment w:val="center"/>
              <w:rPr>
                <w:rFonts w:ascii="宋体" w:hAnsi="宋体" w:cs="宋体"/>
                <w:color w:val="000000"/>
                <w:sz w:val="22"/>
              </w:rPr>
            </w:pPr>
          </w:p>
          <w:p>
            <w:pPr>
              <w:widowControl/>
              <w:spacing w:line="360" w:lineRule="exact"/>
              <w:jc w:val="center"/>
              <w:textAlignment w:val="center"/>
              <w:rPr>
                <w:rFonts w:ascii="宋体" w:hAnsi="宋体" w:cs="宋体"/>
                <w:color w:val="000000"/>
                <w:sz w:val="22"/>
              </w:rPr>
            </w:pPr>
            <w:r>
              <w:rPr>
                <w:rFonts w:hint="eastAsia" w:ascii="宋体" w:hAnsi="宋体" w:cs="宋体"/>
                <w:color w:val="000000"/>
                <w:sz w:val="22"/>
              </w:rPr>
              <w:t>项目班子配备</w:t>
            </w:r>
          </w:p>
        </w:tc>
        <w:tc>
          <w:tcPr>
            <w:tcW w:w="728" w:type="dxa"/>
            <w:noWrap/>
            <w:vAlign w:val="center"/>
          </w:tcPr>
          <w:p>
            <w:pPr>
              <w:widowControl/>
              <w:spacing w:line="360" w:lineRule="auto"/>
              <w:jc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6</w:t>
            </w:r>
          </w:p>
        </w:tc>
        <w:tc>
          <w:tcPr>
            <w:tcW w:w="5790" w:type="dxa"/>
            <w:noWrap/>
            <w:vAlign w:val="center"/>
          </w:tcPr>
          <w:p>
            <w:pPr>
              <w:numPr>
                <w:ilvl w:val="0"/>
                <w:numId w:val="0"/>
              </w:numPr>
              <w:rPr>
                <w:rFonts w:hint="eastAsia" w:eastAsia="宋体"/>
                <w:color w:val="000000"/>
                <w:lang w:eastAsia="zh-CN"/>
              </w:rPr>
            </w:pPr>
            <w:r>
              <w:rPr>
                <w:rFonts w:hint="eastAsia" w:ascii="宋体" w:hAnsi="宋体" w:cs="宋体"/>
                <w:color w:val="000000"/>
                <w:sz w:val="22"/>
              </w:rPr>
              <w:t>提供项目成员每提供一名（劳务合同）的</w:t>
            </w:r>
            <w:r>
              <w:rPr>
                <w:rFonts w:hint="eastAsia" w:ascii="宋体" w:hAnsi="宋体" w:cs="宋体"/>
                <w:color w:val="000000"/>
                <w:sz w:val="22"/>
                <w:lang w:val="en-US" w:eastAsia="zh-CN"/>
              </w:rPr>
              <w:t>1</w:t>
            </w:r>
            <w:r>
              <w:rPr>
                <w:rFonts w:hint="eastAsia" w:ascii="宋体" w:hAnsi="宋体" w:cs="宋体"/>
                <w:color w:val="000000"/>
                <w:sz w:val="22"/>
              </w:rPr>
              <w:t>分：预算员，施工员，资料员</w:t>
            </w:r>
            <w:bookmarkStart w:id="1" w:name="_Toc12779"/>
            <w:bookmarkStart w:id="2" w:name="_Toc22098"/>
            <w:r>
              <w:rPr>
                <w:rFonts w:hint="eastAsia" w:ascii="宋体" w:hAnsi="宋体" w:cs="宋体"/>
                <w:color w:val="000000"/>
                <w:sz w:val="22"/>
              </w:rPr>
              <w:t>，质量员</w:t>
            </w:r>
            <w:bookmarkEnd w:id="1"/>
            <w:bookmarkEnd w:id="2"/>
            <w:bookmarkStart w:id="3" w:name="_Toc10371"/>
            <w:bookmarkStart w:id="4" w:name="_Toc19767"/>
            <w:r>
              <w:rPr>
                <w:rFonts w:hint="eastAsia" w:ascii="宋体" w:hAnsi="宋体" w:cs="宋体"/>
                <w:color w:val="000000"/>
                <w:sz w:val="22"/>
              </w:rPr>
              <w:t>，标准员</w:t>
            </w:r>
            <w:bookmarkEnd w:id="3"/>
            <w:bookmarkEnd w:id="4"/>
            <w:bookmarkStart w:id="5" w:name="_Toc6268"/>
            <w:bookmarkStart w:id="6" w:name="_Toc32670"/>
            <w:r>
              <w:rPr>
                <w:rFonts w:hint="eastAsia" w:ascii="宋体" w:hAnsi="宋体" w:cs="宋体"/>
                <w:color w:val="000000"/>
                <w:sz w:val="22"/>
              </w:rPr>
              <w:t>，</w:t>
            </w:r>
            <w:bookmarkEnd w:id="5"/>
            <w:bookmarkEnd w:id="6"/>
            <w:r>
              <w:rPr>
                <w:rFonts w:hint="eastAsia" w:ascii="宋体" w:hAnsi="宋体" w:cs="宋体"/>
                <w:color w:val="000000"/>
                <w:sz w:val="22"/>
                <w:lang w:eastAsia="zh-CN"/>
              </w:rPr>
              <w:t>材料员。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4" w:type="dxa"/>
            <w:vMerge w:val="restart"/>
            <w:noWrap/>
            <w:vAlign w:val="center"/>
          </w:tcPr>
          <w:p>
            <w:pPr>
              <w:jc w:val="center"/>
              <w:rPr>
                <w:rFonts w:ascii="宋体" w:cs="宋体"/>
                <w:color w:val="000000"/>
                <w:sz w:val="22"/>
              </w:rPr>
            </w:pPr>
          </w:p>
          <w:p>
            <w:pPr>
              <w:jc w:val="center"/>
              <w:rPr>
                <w:rFonts w:ascii="宋体" w:cs="宋体"/>
                <w:color w:val="000000"/>
                <w:sz w:val="22"/>
              </w:rPr>
            </w:pPr>
          </w:p>
          <w:p>
            <w:pPr>
              <w:jc w:val="both"/>
              <w:rPr>
                <w:rFonts w:ascii="宋体" w:cs="宋体"/>
                <w:color w:val="000000"/>
                <w:sz w:val="22"/>
              </w:rPr>
            </w:pPr>
          </w:p>
          <w:p>
            <w:pPr>
              <w:jc w:val="center"/>
              <w:rPr>
                <w:rFonts w:ascii="宋体" w:cs="宋体"/>
                <w:color w:val="000000"/>
                <w:sz w:val="22"/>
              </w:rPr>
            </w:pPr>
          </w:p>
          <w:p>
            <w:pPr>
              <w:jc w:val="center"/>
              <w:rPr>
                <w:rFonts w:ascii="宋体" w:cs="宋体"/>
                <w:color w:val="000000"/>
                <w:sz w:val="22"/>
              </w:rPr>
            </w:pPr>
            <w:r>
              <w:rPr>
                <w:rFonts w:hint="eastAsia" w:ascii="宋体" w:cs="宋体"/>
                <w:color w:val="000000"/>
                <w:sz w:val="22"/>
              </w:rPr>
              <w:t>技</w:t>
            </w:r>
          </w:p>
          <w:p>
            <w:pPr>
              <w:jc w:val="center"/>
              <w:rPr>
                <w:rFonts w:ascii="宋体" w:cs="宋体"/>
                <w:color w:val="000000"/>
                <w:sz w:val="22"/>
              </w:rPr>
            </w:pPr>
            <w:r>
              <w:rPr>
                <w:rFonts w:hint="eastAsia" w:ascii="宋体" w:cs="宋体"/>
                <w:color w:val="000000"/>
                <w:sz w:val="22"/>
              </w:rPr>
              <w:t>术</w:t>
            </w:r>
          </w:p>
          <w:p>
            <w:pPr>
              <w:jc w:val="center"/>
              <w:rPr>
                <w:rFonts w:ascii="宋体" w:cs="宋体"/>
                <w:color w:val="000000"/>
                <w:sz w:val="22"/>
              </w:rPr>
            </w:pPr>
            <w:r>
              <w:rPr>
                <w:rFonts w:hint="eastAsia" w:ascii="宋体" w:cs="宋体"/>
                <w:color w:val="000000"/>
                <w:sz w:val="22"/>
              </w:rPr>
              <w:t>部</w:t>
            </w:r>
          </w:p>
          <w:p>
            <w:pPr>
              <w:jc w:val="center"/>
              <w:rPr>
                <w:rFonts w:ascii="宋体" w:cs="宋体"/>
                <w:color w:val="000000"/>
                <w:sz w:val="22"/>
              </w:rPr>
            </w:pPr>
            <w:r>
              <w:rPr>
                <w:rFonts w:hint="eastAsia" w:ascii="宋体" w:cs="宋体"/>
                <w:color w:val="000000"/>
                <w:sz w:val="22"/>
              </w:rPr>
              <w:t>分</w:t>
            </w:r>
          </w:p>
          <w:p>
            <w:pPr>
              <w:jc w:val="center"/>
              <w:rPr>
                <w:rFonts w:ascii="宋体" w:eastAsia="宋体" w:cs="宋体"/>
                <w:color w:val="000000"/>
                <w:sz w:val="22"/>
              </w:rPr>
            </w:pPr>
            <w:r>
              <w:rPr>
                <w:rFonts w:hint="eastAsia" w:ascii="宋体" w:cs="宋体"/>
                <w:color w:val="000000"/>
                <w:sz w:val="22"/>
                <w:lang w:val="en-US" w:eastAsia="zh-CN"/>
              </w:rPr>
              <w:t>50</w:t>
            </w:r>
            <w:r>
              <w:rPr>
                <w:rFonts w:hint="eastAsia" w:ascii="宋体" w:cs="宋体"/>
                <w:color w:val="000000"/>
                <w:sz w:val="22"/>
              </w:rPr>
              <w:t>分</w:t>
            </w:r>
          </w:p>
        </w:tc>
        <w:tc>
          <w:tcPr>
            <w:tcW w:w="1447" w:type="dxa"/>
            <w:noWrap/>
            <w:vAlign w:val="center"/>
          </w:tcPr>
          <w:p>
            <w:pPr>
              <w:widowControl/>
              <w:spacing w:line="360" w:lineRule="exact"/>
              <w:jc w:val="center"/>
              <w:textAlignment w:val="center"/>
              <w:rPr>
                <w:rFonts w:ascii="宋体" w:hAnsi="宋体" w:cs="宋体"/>
                <w:color w:val="000000"/>
                <w:sz w:val="22"/>
              </w:rPr>
            </w:pPr>
            <w:r>
              <w:rPr>
                <w:rFonts w:hint="eastAsia" w:ascii="宋体" w:hAnsi="宋体" w:cs="宋体"/>
                <w:color w:val="000000"/>
                <w:sz w:val="22"/>
              </w:rPr>
              <w:t>主要分项工程施工方案和技术保障措施</w:t>
            </w:r>
          </w:p>
        </w:tc>
        <w:tc>
          <w:tcPr>
            <w:tcW w:w="728" w:type="dxa"/>
            <w:noWrap/>
            <w:vAlign w:val="center"/>
          </w:tcPr>
          <w:p>
            <w:pPr>
              <w:widowControl/>
              <w:spacing w:line="36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8</w:t>
            </w:r>
          </w:p>
        </w:tc>
        <w:tc>
          <w:tcPr>
            <w:tcW w:w="5790" w:type="dxa"/>
            <w:noWrap/>
            <w:vAlign w:val="center"/>
          </w:tcPr>
          <w:p>
            <w:pPr>
              <w:widowControl/>
              <w:spacing w:line="360" w:lineRule="exact"/>
              <w:jc w:val="left"/>
              <w:textAlignment w:val="center"/>
              <w:rPr>
                <w:rFonts w:ascii="宋体" w:hAnsi="宋体" w:cs="宋体"/>
                <w:color w:val="000000"/>
                <w:sz w:val="22"/>
              </w:rPr>
            </w:pPr>
            <w:r>
              <w:rPr>
                <w:rFonts w:hint="eastAsia" w:ascii="宋体" w:hAnsi="宋体" w:cs="宋体"/>
                <w:color w:val="000000"/>
                <w:sz w:val="22"/>
              </w:rPr>
              <w:t>根据投标人提供的分项工程施工方案和技术保障</w:t>
            </w:r>
            <w:r>
              <w:rPr>
                <w:rFonts w:hint="eastAsia" w:ascii="宋体" w:hAnsi="宋体" w:cs="宋体"/>
                <w:color w:val="000000"/>
                <w:sz w:val="22"/>
                <w:lang w:val="hr-HR"/>
              </w:rPr>
              <w:t>措施全面完整、科学、有针对性、可行性高得</w:t>
            </w:r>
            <w:r>
              <w:rPr>
                <w:rFonts w:hint="eastAsia" w:ascii="宋体" w:hAnsi="宋体" w:cs="宋体"/>
                <w:color w:val="000000"/>
                <w:sz w:val="22"/>
                <w:lang w:val="en-US" w:eastAsia="zh-CN"/>
              </w:rPr>
              <w:t>8</w:t>
            </w:r>
            <w:r>
              <w:rPr>
                <w:rFonts w:hint="eastAsia" w:ascii="宋体" w:hAnsi="宋体" w:cs="宋体"/>
                <w:color w:val="000000"/>
                <w:sz w:val="22"/>
              </w:rPr>
              <w:t>分；</w:t>
            </w:r>
            <w:r>
              <w:rPr>
                <w:rFonts w:ascii="宋体" w:hAnsi="宋体" w:cs="宋体"/>
                <w:color w:val="000000"/>
                <w:sz w:val="22"/>
              </w:rPr>
              <w:t>措施论述简单、稍有欠缺得3-</w:t>
            </w:r>
            <w:r>
              <w:rPr>
                <w:rFonts w:hint="eastAsia" w:ascii="宋体" w:hAnsi="宋体" w:cs="宋体"/>
                <w:color w:val="000000"/>
                <w:sz w:val="22"/>
              </w:rPr>
              <w:t>5</w:t>
            </w:r>
            <w:r>
              <w:rPr>
                <w:rFonts w:ascii="宋体" w:hAnsi="宋体" w:cs="宋体"/>
                <w:color w:val="000000"/>
                <w:sz w:val="22"/>
              </w:rPr>
              <w:t>分；措施简单、针对性差、可行性低得1-2分；没有不得分。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94" w:type="dxa"/>
            <w:vMerge w:val="continue"/>
            <w:noWrap/>
            <w:vAlign w:val="center"/>
          </w:tcPr>
          <w:p>
            <w:pPr>
              <w:jc w:val="center"/>
              <w:rPr>
                <w:rFonts w:ascii="宋体" w:eastAsia="宋体" w:cs="宋体"/>
                <w:color w:val="000000"/>
                <w:sz w:val="22"/>
              </w:rPr>
            </w:pPr>
          </w:p>
        </w:tc>
        <w:tc>
          <w:tcPr>
            <w:tcW w:w="1447" w:type="dxa"/>
            <w:noWrap/>
            <w:vAlign w:val="center"/>
          </w:tcPr>
          <w:p>
            <w:pPr>
              <w:widowControl/>
              <w:spacing w:line="360" w:lineRule="exact"/>
              <w:jc w:val="center"/>
              <w:textAlignment w:val="center"/>
              <w:rPr>
                <w:rFonts w:ascii="宋体" w:hAnsi="宋体" w:cs="宋体"/>
                <w:color w:val="000000"/>
                <w:sz w:val="22"/>
              </w:rPr>
            </w:pPr>
            <w:r>
              <w:rPr>
                <w:rFonts w:hint="eastAsia" w:ascii="宋体" w:hAnsi="宋体" w:cs="宋体"/>
                <w:color w:val="000000"/>
                <w:sz w:val="22"/>
              </w:rPr>
              <w:t>项目重难点分析</w:t>
            </w:r>
          </w:p>
        </w:tc>
        <w:tc>
          <w:tcPr>
            <w:tcW w:w="728" w:type="dxa"/>
            <w:noWrap/>
            <w:vAlign w:val="center"/>
          </w:tcPr>
          <w:p>
            <w:pPr>
              <w:widowControl/>
              <w:spacing w:line="36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6</w:t>
            </w:r>
          </w:p>
        </w:tc>
        <w:tc>
          <w:tcPr>
            <w:tcW w:w="5790" w:type="dxa"/>
            <w:noWrap/>
            <w:vAlign w:val="center"/>
          </w:tcPr>
          <w:p>
            <w:pPr>
              <w:widowControl/>
              <w:spacing w:line="360" w:lineRule="exact"/>
              <w:jc w:val="left"/>
              <w:textAlignment w:val="center"/>
              <w:rPr>
                <w:rFonts w:ascii="宋体" w:hAnsi="宋体" w:cs="宋体"/>
                <w:color w:val="000000"/>
                <w:sz w:val="22"/>
              </w:rPr>
            </w:pPr>
            <w:r>
              <w:rPr>
                <w:rFonts w:hint="eastAsia" w:ascii="宋体" w:hAnsi="宋体" w:cs="宋体"/>
                <w:color w:val="000000"/>
                <w:sz w:val="22"/>
              </w:rPr>
              <w:t>根据各投标人提供的分项工程施工重难点方案，</w:t>
            </w:r>
            <w:r>
              <w:rPr>
                <w:rFonts w:hint="eastAsia" w:ascii="宋体" w:hAnsi="宋体" w:cs="宋体"/>
                <w:color w:val="000000"/>
                <w:sz w:val="22"/>
                <w:lang w:val="hr-HR"/>
              </w:rPr>
              <w:t>措施全面完整、科学、有针对性、可行性高得</w:t>
            </w:r>
            <w:r>
              <w:rPr>
                <w:rFonts w:hint="eastAsia" w:ascii="宋体" w:hAnsi="宋体" w:cs="宋体"/>
                <w:color w:val="000000"/>
                <w:sz w:val="22"/>
                <w:lang w:val="en-US" w:eastAsia="zh-CN"/>
              </w:rPr>
              <w:t>6</w:t>
            </w:r>
            <w:r>
              <w:rPr>
                <w:rFonts w:hint="eastAsia" w:ascii="宋体" w:hAnsi="宋体" w:cs="宋体"/>
                <w:color w:val="000000"/>
                <w:sz w:val="22"/>
              </w:rPr>
              <w:t>分；</w:t>
            </w:r>
            <w:r>
              <w:rPr>
                <w:rFonts w:ascii="宋体" w:hAnsi="宋体" w:cs="宋体"/>
                <w:color w:val="000000"/>
                <w:sz w:val="22"/>
              </w:rPr>
              <w:t>措施论述简单、稍有欠缺得</w:t>
            </w:r>
            <w:r>
              <w:rPr>
                <w:rFonts w:hint="eastAsia" w:ascii="宋体" w:hAnsi="宋体" w:cs="宋体"/>
                <w:color w:val="000000"/>
                <w:sz w:val="22"/>
                <w:lang w:val="en-US" w:eastAsia="zh-CN"/>
              </w:rPr>
              <w:t>3</w:t>
            </w:r>
            <w:r>
              <w:rPr>
                <w:rFonts w:ascii="宋体" w:hAnsi="宋体" w:cs="宋体"/>
                <w:color w:val="000000"/>
                <w:sz w:val="22"/>
              </w:rPr>
              <w:t>分；措施简单、针对性差、可行性低得</w:t>
            </w:r>
            <w:r>
              <w:rPr>
                <w:rFonts w:hint="eastAsia" w:ascii="宋体" w:hAnsi="宋体" w:cs="宋体"/>
                <w:color w:val="000000"/>
                <w:sz w:val="22"/>
                <w:lang w:val="en-US" w:eastAsia="zh-CN"/>
              </w:rPr>
              <w:t>1</w:t>
            </w:r>
            <w:r>
              <w:rPr>
                <w:rFonts w:ascii="宋体" w:hAnsi="宋体" w:cs="宋体"/>
                <w:color w:val="000000"/>
                <w:sz w:val="22"/>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4" w:type="dxa"/>
            <w:vMerge w:val="continue"/>
            <w:noWrap/>
            <w:vAlign w:val="center"/>
          </w:tcPr>
          <w:p>
            <w:pPr>
              <w:jc w:val="center"/>
              <w:rPr>
                <w:rFonts w:ascii="宋体" w:cs="宋体"/>
                <w:color w:val="000000"/>
                <w:sz w:val="22"/>
              </w:rPr>
            </w:pPr>
          </w:p>
        </w:tc>
        <w:tc>
          <w:tcPr>
            <w:tcW w:w="1447" w:type="dxa"/>
            <w:noWrap/>
            <w:vAlign w:val="center"/>
          </w:tcPr>
          <w:p>
            <w:pPr>
              <w:widowControl/>
              <w:spacing w:line="360" w:lineRule="exact"/>
              <w:jc w:val="center"/>
              <w:textAlignment w:val="center"/>
              <w:rPr>
                <w:rFonts w:ascii="宋体" w:hAnsi="宋体" w:cs="宋体"/>
                <w:color w:val="000000"/>
                <w:sz w:val="22"/>
              </w:rPr>
            </w:pPr>
            <w:r>
              <w:rPr>
                <w:rFonts w:hint="eastAsia" w:ascii="宋体" w:hAnsi="宋体" w:cs="宋体"/>
                <w:color w:val="000000"/>
                <w:sz w:val="22"/>
              </w:rPr>
              <w:t>检测报告</w:t>
            </w:r>
          </w:p>
        </w:tc>
        <w:tc>
          <w:tcPr>
            <w:tcW w:w="728" w:type="dxa"/>
            <w:noWrap/>
            <w:vAlign w:val="center"/>
          </w:tcPr>
          <w:p>
            <w:pPr>
              <w:widowControl/>
              <w:spacing w:line="360" w:lineRule="exact"/>
              <w:jc w:val="center"/>
              <w:textAlignment w:val="center"/>
              <w:rPr>
                <w:rFonts w:hint="eastAsia" w:ascii="宋体" w:hAnsi="宋体" w:eastAsia="宋体" w:cs="宋体"/>
                <w:color w:val="000000"/>
                <w:sz w:val="22"/>
                <w:lang w:eastAsia="zh-CN"/>
              </w:rPr>
            </w:pPr>
            <w:r>
              <w:rPr>
                <w:rFonts w:hint="eastAsia" w:ascii="宋体" w:hAnsi="宋体" w:cs="宋体"/>
                <w:color w:val="000000"/>
                <w:sz w:val="22"/>
                <w:lang w:val="en-US" w:eastAsia="zh-CN"/>
              </w:rPr>
              <w:t>3</w:t>
            </w:r>
          </w:p>
        </w:tc>
        <w:tc>
          <w:tcPr>
            <w:tcW w:w="5790" w:type="dxa"/>
            <w:noWrap/>
            <w:vAlign w:val="center"/>
          </w:tcPr>
          <w:p>
            <w:pPr>
              <w:widowControl/>
              <w:spacing w:line="360" w:lineRule="exact"/>
              <w:jc w:val="left"/>
              <w:textAlignment w:val="center"/>
              <w:rPr>
                <w:rFonts w:ascii="宋体" w:hAnsi="宋体" w:cs="宋体"/>
                <w:color w:val="000000"/>
                <w:sz w:val="22"/>
              </w:rPr>
            </w:pPr>
            <w:r>
              <w:rPr>
                <w:rFonts w:ascii="宋体" w:hAnsi="宋体" w:cs="宋体"/>
                <w:color w:val="000000"/>
                <w:sz w:val="22"/>
              </w:rPr>
              <w:t>提供所投</w:t>
            </w:r>
            <w:r>
              <w:rPr>
                <w:rFonts w:hint="eastAsia" w:ascii="宋体" w:hAnsi="宋体" w:cs="宋体"/>
                <w:color w:val="000000"/>
                <w:sz w:val="22"/>
              </w:rPr>
              <w:t>标志牌、标线涂料</w:t>
            </w:r>
            <w:r>
              <w:rPr>
                <w:rFonts w:ascii="宋体" w:hAnsi="宋体" w:cs="宋体"/>
                <w:color w:val="000000"/>
                <w:sz w:val="22"/>
              </w:rPr>
              <w:t>经国家相关质量监督检验机构检测出具的合法有效的检测报告的给</w:t>
            </w:r>
            <w:r>
              <w:rPr>
                <w:rFonts w:hint="eastAsia" w:ascii="宋体" w:hAnsi="宋体" w:cs="宋体"/>
                <w:color w:val="000000"/>
                <w:sz w:val="22"/>
                <w:lang w:val="en-US" w:eastAsia="zh-CN"/>
              </w:rPr>
              <w:t>3</w:t>
            </w:r>
            <w:r>
              <w:rPr>
                <w:rFonts w:ascii="宋体" w:hAnsi="宋体" w:cs="宋体"/>
                <w:color w:val="000000"/>
                <w:sz w:val="22"/>
              </w:rPr>
              <w:t>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4" w:type="dxa"/>
            <w:vMerge w:val="continue"/>
            <w:noWrap/>
            <w:vAlign w:val="center"/>
          </w:tcPr>
          <w:p>
            <w:pPr>
              <w:jc w:val="center"/>
              <w:rPr>
                <w:rFonts w:ascii="宋体" w:cs="宋体"/>
                <w:color w:val="000000"/>
                <w:sz w:val="22"/>
              </w:rPr>
            </w:pPr>
          </w:p>
        </w:tc>
        <w:tc>
          <w:tcPr>
            <w:tcW w:w="1447" w:type="dxa"/>
            <w:noWrap/>
            <w:vAlign w:val="center"/>
          </w:tcPr>
          <w:p>
            <w:pPr>
              <w:pStyle w:val="33"/>
              <w:spacing w:line="242" w:lineRule="auto"/>
              <w:ind w:left="105" w:right="187"/>
              <w:jc w:val="center"/>
              <w:rPr>
                <w:rFonts w:ascii="宋体" w:hAnsi="宋体" w:cs="宋体"/>
                <w:color w:val="000000"/>
                <w:sz w:val="22"/>
              </w:rPr>
            </w:pPr>
            <w:r>
              <w:rPr>
                <w:rFonts w:hint="eastAsia" w:ascii="宋体" w:hAnsi="宋体" w:cs="宋体"/>
                <w:color w:val="000000"/>
                <w:sz w:val="22"/>
              </w:rPr>
              <w:t>工期保证措施</w:t>
            </w:r>
          </w:p>
        </w:tc>
        <w:tc>
          <w:tcPr>
            <w:tcW w:w="728" w:type="dxa"/>
            <w:noWrap/>
            <w:vAlign w:val="center"/>
          </w:tcPr>
          <w:p>
            <w:pPr>
              <w:pStyle w:val="33"/>
              <w:ind w:left="7"/>
              <w:jc w:val="center"/>
              <w:rPr>
                <w:rFonts w:ascii="宋体" w:hAnsi="宋体" w:cs="宋体"/>
                <w:color w:val="000000"/>
                <w:sz w:val="22"/>
              </w:rPr>
            </w:pPr>
            <w:r>
              <w:rPr>
                <w:rFonts w:hint="eastAsia" w:ascii="宋体" w:hAnsi="宋体" w:cs="宋体"/>
                <w:color w:val="000000"/>
                <w:sz w:val="22"/>
              </w:rPr>
              <w:t>4</w:t>
            </w:r>
          </w:p>
        </w:tc>
        <w:tc>
          <w:tcPr>
            <w:tcW w:w="5790" w:type="dxa"/>
            <w:noWrap/>
            <w:vAlign w:val="center"/>
          </w:tcPr>
          <w:p>
            <w:pPr>
              <w:pStyle w:val="33"/>
              <w:ind w:right="134" w:rightChars="64"/>
              <w:jc w:val="left"/>
              <w:rPr>
                <w:rFonts w:ascii="宋体" w:hAnsi="宋体" w:cs="宋体"/>
                <w:color w:val="000000"/>
                <w:sz w:val="22"/>
              </w:rPr>
            </w:pPr>
            <w:r>
              <w:rPr>
                <w:rFonts w:hint="eastAsia" w:ascii="宋体" w:hAnsi="宋体" w:cs="宋体"/>
                <w:color w:val="000000"/>
                <w:sz w:val="22"/>
              </w:rPr>
              <w:t>根据投标人提供的确保工期的技术组织措施进行评分，工期的技术组织措施合理得</w:t>
            </w:r>
            <w:r>
              <w:rPr>
                <w:rFonts w:hint="eastAsia" w:ascii="宋体" w:hAnsi="宋体" w:cs="宋体"/>
                <w:color w:val="000000"/>
                <w:sz w:val="22"/>
                <w:lang w:val="en-US" w:eastAsia="zh-CN"/>
              </w:rPr>
              <w:t>4</w:t>
            </w:r>
            <w:r>
              <w:rPr>
                <w:rFonts w:hint="eastAsia" w:ascii="宋体" w:hAnsi="宋体" w:cs="宋体"/>
                <w:color w:val="000000"/>
                <w:sz w:val="22"/>
              </w:rPr>
              <w:t>分，工期的技术组织措施较合理得2分，工期的技术组织措施基本合理得1分，没有不得分。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4" w:type="dxa"/>
            <w:vMerge w:val="continue"/>
            <w:noWrap/>
            <w:vAlign w:val="center"/>
          </w:tcPr>
          <w:p>
            <w:pPr>
              <w:jc w:val="center"/>
              <w:rPr>
                <w:rFonts w:ascii="宋体" w:cs="宋体"/>
                <w:color w:val="000000"/>
                <w:sz w:val="22"/>
              </w:rPr>
            </w:pPr>
          </w:p>
        </w:tc>
        <w:tc>
          <w:tcPr>
            <w:tcW w:w="1447" w:type="dxa"/>
            <w:noWrap/>
            <w:vAlign w:val="center"/>
          </w:tcPr>
          <w:p>
            <w:pPr>
              <w:pStyle w:val="33"/>
              <w:spacing w:line="242" w:lineRule="auto"/>
              <w:ind w:left="105" w:right="187"/>
              <w:jc w:val="center"/>
              <w:rPr>
                <w:rFonts w:ascii="宋体" w:hAnsi="宋体" w:cs="宋体"/>
                <w:color w:val="000000"/>
                <w:sz w:val="22"/>
              </w:rPr>
            </w:pPr>
            <w:r>
              <w:rPr>
                <w:rFonts w:hint="eastAsia" w:ascii="宋体" w:hAnsi="宋体" w:cs="宋体"/>
                <w:color w:val="000000"/>
                <w:sz w:val="22"/>
              </w:rPr>
              <w:t>质量保证措施</w:t>
            </w:r>
          </w:p>
        </w:tc>
        <w:tc>
          <w:tcPr>
            <w:tcW w:w="728" w:type="dxa"/>
            <w:noWrap/>
            <w:vAlign w:val="center"/>
          </w:tcPr>
          <w:p>
            <w:pPr>
              <w:spacing w:before="156"/>
              <w:ind w:left="7"/>
              <w:jc w:val="center"/>
              <w:rPr>
                <w:rFonts w:ascii="宋体" w:hAnsi="宋体" w:cs="宋体"/>
                <w:color w:val="000000"/>
                <w:sz w:val="22"/>
              </w:rPr>
            </w:pPr>
            <w:r>
              <w:rPr>
                <w:rFonts w:hint="eastAsia" w:ascii="宋体" w:hAnsi="宋体" w:cs="宋体"/>
                <w:color w:val="000000"/>
                <w:sz w:val="22"/>
              </w:rPr>
              <w:t>4</w:t>
            </w:r>
          </w:p>
        </w:tc>
        <w:tc>
          <w:tcPr>
            <w:tcW w:w="5790" w:type="dxa"/>
            <w:noWrap/>
            <w:vAlign w:val="center"/>
          </w:tcPr>
          <w:p>
            <w:pPr>
              <w:pStyle w:val="33"/>
              <w:ind w:right="134" w:rightChars="64"/>
              <w:jc w:val="left"/>
              <w:rPr>
                <w:rFonts w:ascii="宋体" w:hAnsi="宋体" w:cs="宋体"/>
                <w:color w:val="000000"/>
                <w:sz w:val="22"/>
              </w:rPr>
            </w:pPr>
            <w:r>
              <w:rPr>
                <w:rFonts w:hint="eastAsia" w:ascii="宋体" w:hAnsi="宋体" w:cs="宋体"/>
                <w:color w:val="000000"/>
                <w:sz w:val="22"/>
              </w:rPr>
              <w:t>根据投标人提供的确保工程质量的技术保证措施方案进行评分，措施科学可行有保障得</w:t>
            </w:r>
            <w:r>
              <w:rPr>
                <w:rFonts w:hint="eastAsia" w:ascii="宋体" w:hAnsi="宋体" w:cs="宋体"/>
                <w:color w:val="000000"/>
                <w:sz w:val="22"/>
                <w:lang w:val="en-US" w:eastAsia="zh-CN"/>
              </w:rPr>
              <w:t>4</w:t>
            </w:r>
            <w:r>
              <w:rPr>
                <w:rFonts w:hint="eastAsia" w:ascii="宋体" w:hAnsi="宋体" w:cs="宋体"/>
                <w:color w:val="000000"/>
                <w:sz w:val="22"/>
              </w:rPr>
              <w:t>分，措施较科学可行有保障得2分，措施基本科学可行有保障得1分，没有不得分。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4" w:type="dxa"/>
            <w:vMerge w:val="continue"/>
            <w:noWrap/>
            <w:vAlign w:val="center"/>
          </w:tcPr>
          <w:p>
            <w:pPr>
              <w:jc w:val="center"/>
              <w:rPr>
                <w:rFonts w:ascii="宋体" w:cs="宋体"/>
                <w:color w:val="000000"/>
                <w:sz w:val="22"/>
              </w:rPr>
            </w:pPr>
          </w:p>
        </w:tc>
        <w:tc>
          <w:tcPr>
            <w:tcW w:w="1447" w:type="dxa"/>
            <w:noWrap/>
            <w:vAlign w:val="center"/>
          </w:tcPr>
          <w:p>
            <w:pPr>
              <w:pStyle w:val="33"/>
              <w:spacing w:line="242" w:lineRule="auto"/>
              <w:ind w:left="105" w:right="187"/>
              <w:jc w:val="center"/>
              <w:rPr>
                <w:rFonts w:ascii="宋体" w:hAnsi="宋体" w:cs="宋体"/>
                <w:color w:val="000000"/>
                <w:sz w:val="22"/>
              </w:rPr>
            </w:pPr>
            <w:r>
              <w:rPr>
                <w:rFonts w:hint="eastAsia" w:ascii="宋体" w:hAnsi="宋体" w:cs="宋体"/>
                <w:color w:val="000000"/>
                <w:sz w:val="22"/>
              </w:rPr>
              <w:t>应急预案</w:t>
            </w:r>
          </w:p>
        </w:tc>
        <w:tc>
          <w:tcPr>
            <w:tcW w:w="728" w:type="dxa"/>
            <w:noWrap/>
            <w:vAlign w:val="center"/>
          </w:tcPr>
          <w:p>
            <w:pPr>
              <w:spacing w:before="4"/>
              <w:jc w:val="center"/>
              <w:rPr>
                <w:rFonts w:ascii="宋体" w:hAnsi="宋体" w:cs="宋体"/>
                <w:color w:val="000000"/>
                <w:sz w:val="22"/>
              </w:rPr>
            </w:pPr>
            <w:r>
              <w:rPr>
                <w:rFonts w:hint="eastAsia" w:ascii="宋体" w:hAnsi="宋体" w:cs="宋体"/>
                <w:color w:val="000000"/>
                <w:sz w:val="22"/>
              </w:rPr>
              <w:t>5</w:t>
            </w:r>
          </w:p>
        </w:tc>
        <w:tc>
          <w:tcPr>
            <w:tcW w:w="5790" w:type="dxa"/>
            <w:noWrap/>
            <w:vAlign w:val="center"/>
          </w:tcPr>
          <w:p>
            <w:pPr>
              <w:pStyle w:val="33"/>
              <w:ind w:right="134" w:rightChars="64"/>
              <w:jc w:val="left"/>
              <w:rPr>
                <w:rFonts w:ascii="宋体" w:hAnsi="宋体" w:cs="宋体"/>
                <w:color w:val="000000"/>
                <w:sz w:val="22"/>
              </w:rPr>
            </w:pPr>
            <w:r>
              <w:rPr>
                <w:rFonts w:hint="eastAsia" w:ascii="宋体" w:hAnsi="宋体" w:cs="宋体"/>
                <w:color w:val="000000"/>
                <w:sz w:val="22"/>
              </w:rPr>
              <w:t>根据投标人提供的应急预案进行评分，预案合理有保障得5分，预案较合理有保障得2-3分，预案基本合理有保障1分，没有不得分。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4" w:type="dxa"/>
            <w:vMerge w:val="continue"/>
            <w:noWrap/>
            <w:vAlign w:val="center"/>
          </w:tcPr>
          <w:p>
            <w:pPr>
              <w:jc w:val="center"/>
              <w:rPr>
                <w:rFonts w:ascii="宋体" w:cs="宋体"/>
                <w:color w:val="000000"/>
                <w:sz w:val="22"/>
              </w:rPr>
            </w:pPr>
          </w:p>
        </w:tc>
        <w:tc>
          <w:tcPr>
            <w:tcW w:w="1447" w:type="dxa"/>
            <w:noWrap/>
            <w:vAlign w:val="center"/>
          </w:tcPr>
          <w:p>
            <w:pPr>
              <w:pStyle w:val="33"/>
              <w:spacing w:line="242" w:lineRule="auto"/>
              <w:ind w:left="105" w:right="187"/>
              <w:jc w:val="center"/>
              <w:rPr>
                <w:rFonts w:ascii="宋体" w:hAnsi="宋体" w:cs="宋体"/>
                <w:color w:val="000000"/>
                <w:sz w:val="22"/>
              </w:rPr>
            </w:pPr>
            <w:r>
              <w:rPr>
                <w:rFonts w:hint="eastAsia" w:ascii="宋体" w:hAnsi="宋体" w:cs="宋体"/>
                <w:color w:val="000000"/>
                <w:sz w:val="22"/>
              </w:rPr>
              <w:t>安全保证措施</w:t>
            </w:r>
          </w:p>
        </w:tc>
        <w:tc>
          <w:tcPr>
            <w:tcW w:w="728" w:type="dxa"/>
            <w:noWrap/>
            <w:vAlign w:val="center"/>
          </w:tcPr>
          <w:p>
            <w:pPr>
              <w:ind w:left="7"/>
              <w:jc w:val="center"/>
              <w:rPr>
                <w:rFonts w:ascii="宋体" w:hAnsi="宋体" w:cs="宋体"/>
                <w:color w:val="000000"/>
                <w:sz w:val="22"/>
              </w:rPr>
            </w:pPr>
            <w:r>
              <w:rPr>
                <w:rFonts w:hint="eastAsia" w:ascii="宋体" w:hAnsi="宋体" w:cs="宋体"/>
                <w:color w:val="000000"/>
                <w:sz w:val="22"/>
              </w:rPr>
              <w:t>5</w:t>
            </w:r>
          </w:p>
        </w:tc>
        <w:tc>
          <w:tcPr>
            <w:tcW w:w="5790" w:type="dxa"/>
            <w:noWrap/>
            <w:vAlign w:val="center"/>
          </w:tcPr>
          <w:p>
            <w:pPr>
              <w:pStyle w:val="33"/>
              <w:spacing w:line="242" w:lineRule="auto"/>
              <w:ind w:right="187"/>
              <w:jc w:val="left"/>
              <w:rPr>
                <w:rFonts w:ascii="宋体" w:hAnsi="宋体" w:cs="宋体"/>
                <w:color w:val="000000"/>
                <w:sz w:val="22"/>
              </w:rPr>
            </w:pPr>
            <w:r>
              <w:rPr>
                <w:rFonts w:hint="eastAsia" w:ascii="宋体" w:hAnsi="宋体" w:cs="宋体"/>
                <w:color w:val="000000"/>
                <w:sz w:val="22"/>
              </w:rPr>
              <w:t>根据各投标人的安全保证措施，安全防护符合国家和地方安全管理规定及施工现场条件的要求，安全管理体系，安全教育、安全培训计划健全等情况进行综合评审：安全保障措施合理科学得5分，保障措施较合理科学得2-3分，保障措施基本合理科学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4" w:type="dxa"/>
            <w:vMerge w:val="continue"/>
            <w:noWrap/>
            <w:vAlign w:val="center"/>
          </w:tcPr>
          <w:p>
            <w:pPr>
              <w:jc w:val="center"/>
              <w:rPr>
                <w:rFonts w:ascii="宋体" w:cs="宋体"/>
                <w:color w:val="000000"/>
                <w:sz w:val="22"/>
              </w:rPr>
            </w:pPr>
          </w:p>
        </w:tc>
        <w:tc>
          <w:tcPr>
            <w:tcW w:w="1447" w:type="dxa"/>
            <w:noWrap/>
            <w:vAlign w:val="center"/>
          </w:tcPr>
          <w:p>
            <w:pPr>
              <w:pStyle w:val="33"/>
              <w:spacing w:line="242" w:lineRule="auto"/>
              <w:ind w:left="105" w:right="187"/>
              <w:jc w:val="center"/>
              <w:rPr>
                <w:rFonts w:ascii="宋体" w:hAnsi="宋体" w:cs="宋体"/>
                <w:color w:val="000000"/>
                <w:sz w:val="22"/>
              </w:rPr>
            </w:pPr>
            <w:r>
              <w:rPr>
                <w:rFonts w:hint="eastAsia" w:ascii="宋体" w:hAnsi="宋体" w:cs="宋体"/>
                <w:color w:val="000000"/>
                <w:sz w:val="22"/>
              </w:rPr>
              <w:t>文明施工组织措施</w:t>
            </w:r>
          </w:p>
        </w:tc>
        <w:tc>
          <w:tcPr>
            <w:tcW w:w="728" w:type="dxa"/>
            <w:noWrap/>
            <w:vAlign w:val="center"/>
          </w:tcPr>
          <w:p>
            <w:pPr>
              <w:ind w:left="7"/>
              <w:jc w:val="center"/>
              <w:rPr>
                <w:rFonts w:ascii="宋体" w:hAnsi="宋体" w:cs="宋体"/>
                <w:color w:val="000000"/>
                <w:sz w:val="22"/>
              </w:rPr>
            </w:pPr>
            <w:r>
              <w:rPr>
                <w:rFonts w:hint="eastAsia" w:ascii="宋体" w:hAnsi="宋体" w:cs="宋体"/>
                <w:color w:val="000000"/>
                <w:sz w:val="22"/>
              </w:rPr>
              <w:t>5</w:t>
            </w:r>
          </w:p>
        </w:tc>
        <w:tc>
          <w:tcPr>
            <w:tcW w:w="5790" w:type="dxa"/>
            <w:noWrap/>
            <w:vAlign w:val="center"/>
          </w:tcPr>
          <w:p>
            <w:pPr>
              <w:pStyle w:val="33"/>
              <w:spacing w:before="2"/>
              <w:ind w:right="134" w:rightChars="64"/>
              <w:jc w:val="left"/>
              <w:rPr>
                <w:rFonts w:ascii="宋体" w:hAnsi="宋体" w:cs="宋体"/>
                <w:color w:val="000000"/>
                <w:sz w:val="22"/>
              </w:rPr>
            </w:pPr>
            <w:r>
              <w:rPr>
                <w:rFonts w:hint="eastAsia" w:ascii="宋体" w:hAnsi="宋体" w:cs="宋体"/>
                <w:color w:val="000000"/>
                <w:sz w:val="22"/>
              </w:rPr>
              <w:t>根据各投标人的文明施工组织措施，文明施工计划完整、全面，关键环节有控制措施且责任到人等情况进行综合评审：文明措施合理科学得5分，文明措施较合理科学得2-3分，文明措施基本合理科学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4" w:type="dxa"/>
            <w:vMerge w:val="continue"/>
            <w:noWrap/>
            <w:vAlign w:val="center"/>
          </w:tcPr>
          <w:p>
            <w:pPr>
              <w:jc w:val="center"/>
              <w:rPr>
                <w:rFonts w:ascii="宋体" w:cs="宋体"/>
                <w:color w:val="000000"/>
                <w:sz w:val="22"/>
              </w:rPr>
            </w:pPr>
          </w:p>
        </w:tc>
        <w:tc>
          <w:tcPr>
            <w:tcW w:w="1447" w:type="dxa"/>
            <w:noWrap/>
            <w:vAlign w:val="center"/>
          </w:tcPr>
          <w:p>
            <w:pPr>
              <w:pStyle w:val="33"/>
              <w:spacing w:before="2"/>
              <w:ind w:right="134" w:rightChars="64"/>
              <w:jc w:val="center"/>
              <w:rPr>
                <w:rFonts w:ascii="宋体" w:hAnsi="宋体" w:cs="宋体"/>
                <w:color w:val="000000"/>
                <w:sz w:val="22"/>
              </w:rPr>
            </w:pPr>
            <w:r>
              <w:rPr>
                <w:rFonts w:hint="eastAsia" w:ascii="宋体" w:hAnsi="宋体" w:cs="宋体"/>
                <w:color w:val="000000"/>
                <w:sz w:val="22"/>
              </w:rPr>
              <w:t>维护保养方案</w:t>
            </w:r>
          </w:p>
        </w:tc>
        <w:tc>
          <w:tcPr>
            <w:tcW w:w="728" w:type="dxa"/>
            <w:noWrap/>
            <w:vAlign w:val="center"/>
          </w:tcPr>
          <w:p>
            <w:pPr>
              <w:ind w:left="7"/>
              <w:jc w:val="center"/>
              <w:rPr>
                <w:rFonts w:ascii="宋体" w:hAnsi="宋体" w:cs="宋体"/>
                <w:color w:val="000000"/>
                <w:sz w:val="22"/>
              </w:rPr>
            </w:pPr>
            <w:r>
              <w:rPr>
                <w:rFonts w:hint="eastAsia" w:ascii="宋体" w:hAnsi="宋体" w:cs="宋体"/>
                <w:color w:val="000000"/>
                <w:sz w:val="22"/>
              </w:rPr>
              <w:t>5</w:t>
            </w:r>
          </w:p>
        </w:tc>
        <w:tc>
          <w:tcPr>
            <w:tcW w:w="5790" w:type="dxa"/>
            <w:noWrap/>
            <w:vAlign w:val="center"/>
          </w:tcPr>
          <w:p>
            <w:pPr>
              <w:pStyle w:val="33"/>
              <w:spacing w:before="2"/>
              <w:ind w:right="134" w:rightChars="64"/>
              <w:jc w:val="left"/>
              <w:rPr>
                <w:rFonts w:ascii="宋体" w:hAnsi="宋体" w:cs="宋体"/>
                <w:color w:val="000000"/>
                <w:sz w:val="22"/>
              </w:rPr>
            </w:pPr>
            <w:r>
              <w:rPr>
                <w:rFonts w:hint="eastAsia" w:ascii="宋体" w:hAnsi="宋体" w:cs="宋体"/>
                <w:color w:val="000000"/>
                <w:sz w:val="22"/>
              </w:rPr>
              <w:t>根据投标人提供的维护保养方案进行评分，维护保养方案合理科学可行得5分，维护保养方案较科学合理得2-3分，维护保养方案基本科学合理得1分，没有不得分。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4" w:type="dxa"/>
            <w:vMerge w:val="continue"/>
            <w:noWrap/>
            <w:vAlign w:val="center"/>
          </w:tcPr>
          <w:p>
            <w:pPr>
              <w:jc w:val="center"/>
              <w:rPr>
                <w:rFonts w:ascii="宋体" w:cs="宋体"/>
                <w:color w:val="000000"/>
                <w:sz w:val="22"/>
              </w:rPr>
            </w:pPr>
          </w:p>
        </w:tc>
        <w:tc>
          <w:tcPr>
            <w:tcW w:w="1447" w:type="dxa"/>
            <w:noWrap/>
            <w:vAlign w:val="center"/>
          </w:tcPr>
          <w:p>
            <w:pPr>
              <w:pStyle w:val="33"/>
              <w:spacing w:before="2"/>
              <w:ind w:right="134" w:rightChars="64"/>
              <w:jc w:val="center"/>
              <w:rPr>
                <w:rFonts w:ascii="宋体" w:hAnsi="宋体" w:cs="宋体"/>
                <w:color w:val="000000"/>
                <w:sz w:val="22"/>
              </w:rPr>
            </w:pPr>
            <w:r>
              <w:rPr>
                <w:rFonts w:hint="eastAsia" w:ascii="宋体" w:hAnsi="宋体" w:cs="宋体"/>
                <w:color w:val="000000"/>
                <w:sz w:val="22"/>
              </w:rPr>
              <w:t>售后服务</w:t>
            </w:r>
          </w:p>
          <w:p>
            <w:pPr>
              <w:pStyle w:val="33"/>
              <w:spacing w:before="2"/>
              <w:ind w:right="134" w:rightChars="64"/>
              <w:jc w:val="center"/>
              <w:rPr>
                <w:rFonts w:ascii="宋体" w:hAnsi="宋体" w:cs="宋体"/>
                <w:color w:val="000000"/>
                <w:sz w:val="22"/>
              </w:rPr>
            </w:pPr>
            <w:r>
              <w:rPr>
                <w:rFonts w:hint="eastAsia" w:ascii="宋体" w:hAnsi="宋体" w:cs="宋体"/>
                <w:color w:val="000000"/>
                <w:sz w:val="22"/>
              </w:rPr>
              <w:t>方案</w:t>
            </w:r>
          </w:p>
        </w:tc>
        <w:tc>
          <w:tcPr>
            <w:tcW w:w="728" w:type="dxa"/>
            <w:noWrap/>
            <w:vAlign w:val="center"/>
          </w:tcPr>
          <w:p>
            <w:pPr>
              <w:pStyle w:val="33"/>
              <w:ind w:left="7"/>
              <w:jc w:val="center"/>
              <w:rPr>
                <w:rFonts w:ascii="宋体" w:hAnsi="宋体" w:cs="宋体"/>
                <w:color w:val="000000"/>
                <w:sz w:val="22"/>
              </w:rPr>
            </w:pPr>
            <w:r>
              <w:rPr>
                <w:rFonts w:hint="eastAsia" w:ascii="宋体" w:hAnsi="宋体" w:cs="宋体"/>
                <w:color w:val="000000"/>
                <w:sz w:val="22"/>
              </w:rPr>
              <w:t>5</w:t>
            </w:r>
          </w:p>
        </w:tc>
        <w:tc>
          <w:tcPr>
            <w:tcW w:w="5790" w:type="dxa"/>
            <w:noWrap/>
            <w:vAlign w:val="center"/>
          </w:tcPr>
          <w:p>
            <w:pPr>
              <w:pStyle w:val="33"/>
              <w:spacing w:before="2"/>
              <w:ind w:right="134" w:rightChars="64"/>
              <w:jc w:val="left"/>
              <w:rPr>
                <w:rFonts w:ascii="宋体" w:hAnsi="宋体" w:cs="宋体"/>
                <w:color w:val="000000"/>
                <w:sz w:val="22"/>
              </w:rPr>
            </w:pPr>
            <w:r>
              <w:rPr>
                <w:rFonts w:hint="eastAsia" w:ascii="宋体" w:hAnsi="宋体" w:cs="宋体"/>
                <w:color w:val="000000"/>
                <w:sz w:val="22"/>
              </w:rPr>
              <w:t>根据投标人提供的售后服务措施（包括但不限于质保期、故障响应时间和培训措施），每个措施详尽，满足采购人要求的，可行性强的的得5分。</w:t>
            </w:r>
          </w:p>
          <w:p>
            <w:pPr>
              <w:pStyle w:val="33"/>
              <w:spacing w:before="2"/>
              <w:ind w:right="134" w:rightChars="64"/>
              <w:jc w:val="left"/>
              <w:rPr>
                <w:rFonts w:ascii="宋体" w:hAnsi="宋体" w:cs="宋体"/>
                <w:color w:val="000000"/>
                <w:sz w:val="22"/>
              </w:rPr>
            </w:pPr>
            <w:r>
              <w:rPr>
                <w:rFonts w:hint="eastAsia" w:ascii="宋体" w:hAnsi="宋体" w:cs="宋体"/>
                <w:color w:val="000000"/>
                <w:sz w:val="22"/>
              </w:rPr>
              <w:t>售后服务措施（包括但不限于质保期、故障响应时间和培训措施）不够详尽，基本满足采购人要求的得3 分。</w:t>
            </w:r>
          </w:p>
          <w:p>
            <w:pPr>
              <w:pStyle w:val="33"/>
              <w:spacing w:before="2"/>
              <w:ind w:right="134" w:rightChars="64"/>
              <w:jc w:val="left"/>
              <w:rPr>
                <w:rFonts w:ascii="宋体" w:hAnsi="宋体" w:cs="宋体"/>
                <w:color w:val="000000"/>
                <w:sz w:val="22"/>
              </w:rPr>
            </w:pPr>
            <w:r>
              <w:rPr>
                <w:rFonts w:hint="eastAsia" w:ascii="宋体" w:hAnsi="宋体" w:cs="宋体"/>
                <w:color w:val="000000"/>
                <w:sz w:val="22"/>
              </w:rPr>
              <w:t>有售后服务措施，但措施针对性不强，基本可行的得1 分，未提供不得分。</w:t>
            </w:r>
          </w:p>
        </w:tc>
      </w:tr>
    </w:tbl>
    <w:p>
      <w:pPr>
        <w:rPr>
          <w:rFonts w:hint="eastAsia" w:ascii="宋体" w:hAnsi="宋体"/>
          <w:color w:val="000000"/>
          <w:szCs w:val="21"/>
        </w:rPr>
      </w:pPr>
    </w:p>
    <w:p>
      <w:pPr>
        <w:rPr>
          <w:rFonts w:ascii="宋体" w:hAnsi="宋体"/>
          <w:color w:val="000000"/>
          <w:szCs w:val="21"/>
        </w:rPr>
      </w:pPr>
      <w:r>
        <w:rPr>
          <w:rFonts w:hint="eastAsia" w:ascii="宋体" w:hAnsi="宋体"/>
          <w:color w:val="000000"/>
          <w:szCs w:val="21"/>
        </w:rPr>
        <w:t>备注：</w:t>
      </w:r>
    </w:p>
    <w:p>
      <w:pPr>
        <w:widowControl/>
        <w:numPr>
          <w:ilvl w:val="0"/>
          <w:numId w:val="1"/>
        </w:numPr>
        <w:jc w:val="left"/>
        <w:rPr>
          <w:rFonts w:hint="eastAsia" w:ascii="宋体" w:hAnsi="宋体"/>
          <w:szCs w:val="21"/>
        </w:rPr>
      </w:pPr>
      <w:r>
        <w:rPr>
          <w:rFonts w:hint="eastAsia" w:ascii="宋体" w:hAnsi="宋体"/>
          <w:szCs w:val="21"/>
        </w:rPr>
        <w:t>商务标计算按报价人最终报价计算。本次评标采用综合评分法。磋商小组对满足竞争性磋商文件实质性要求的报价文件，按照本章规定的评分标准进行打分，并按得分由高到低顺序推荐中标候选人。评审得分相同的，按照最后报价由低到高的顺序推荐。评审得分且最后报价相同的，按照技术指标优劣顺序推荐。证明材料需提供真彩扫描打印件。</w:t>
      </w:r>
    </w:p>
    <w:p>
      <w:pPr>
        <w:rPr>
          <w:rFonts w:hint="eastAsia"/>
          <w:lang w:val="en-US" w:eastAsia="zh-CN"/>
        </w:rPr>
      </w:pPr>
      <w:r>
        <w:rPr>
          <w:rFonts w:hint="eastAsia" w:ascii="宋体" w:hAnsi="宋体" w:cs="宋体"/>
          <w:bCs/>
          <w:color w:val="000000"/>
          <w:lang w:val="en-US" w:eastAsia="zh-CN"/>
        </w:rPr>
        <w:t>2.</w:t>
      </w:r>
      <w:r>
        <w:rPr>
          <w:rFonts w:hint="eastAsia" w:ascii="宋体" w:hAnsi="宋体" w:cs="宋体"/>
          <w:bCs/>
          <w:color w:val="000000"/>
        </w:rPr>
        <w:t>如供应商的最终报价低于采购预算的</w:t>
      </w:r>
      <w:r>
        <w:rPr>
          <w:rFonts w:hint="eastAsia" w:ascii="宋体" w:hAnsi="宋体" w:cs="宋体"/>
          <w:bCs/>
          <w:color w:val="000000"/>
          <w:lang w:val="en-US" w:eastAsia="zh-CN"/>
        </w:rPr>
        <w:t>90</w:t>
      </w:r>
      <w:r>
        <w:rPr>
          <w:rFonts w:hint="eastAsia" w:ascii="宋体" w:hAnsi="宋体" w:cs="宋体"/>
          <w:bCs/>
          <w:color w:val="000000"/>
        </w:rPr>
        <w:t>%，磋商小组可启动磋商报价低于成本问询程序：要求供应商作出书面说明并提供相关证明材料，如供应商在 30 分钟内无法提供不低于成本的相关证明材料， 由磋商小组认定该供应商以低于成本价恶意竞标将并否决其投标</w:t>
      </w:r>
      <w:r>
        <w:rPr>
          <w:rFonts w:hint="eastAsia"/>
          <w:lang w:val="en-US" w:eastAsia="zh-CN"/>
        </w:rPr>
        <w:br w:type="page"/>
      </w:r>
    </w:p>
    <w:p>
      <w:pPr>
        <w:rPr>
          <w:rFonts w:hint="default" w:eastAsia="宋体"/>
          <w:lang w:val="en-US" w:eastAsia="zh-CN"/>
        </w:rPr>
      </w:pPr>
      <w:r>
        <w:rPr>
          <w:rFonts w:hint="eastAsia"/>
          <w:lang w:val="en-US" w:eastAsia="zh-CN"/>
        </w:rPr>
        <w:t>附件二</w:t>
      </w:r>
    </w:p>
    <w:p>
      <w:pPr>
        <w:jc w:val="center"/>
        <w:rPr>
          <w:sz w:val="32"/>
          <w:szCs w:val="32"/>
        </w:rPr>
      </w:pPr>
      <w:r>
        <w:rPr>
          <w:rFonts w:hint="eastAsia"/>
          <w:sz w:val="32"/>
          <w:szCs w:val="32"/>
        </w:rPr>
        <w:t>供应商报名表</w:t>
      </w:r>
    </w:p>
    <w:p>
      <w:pPr>
        <w:rPr>
          <w:sz w:val="28"/>
          <w:szCs w:val="28"/>
        </w:rPr>
      </w:pPr>
      <w:r>
        <w:rPr>
          <w:rFonts w:hint="eastAsia"/>
          <w:sz w:val="28"/>
          <w:szCs w:val="28"/>
        </w:rPr>
        <w:t>项目编号：</w:t>
      </w:r>
      <w:r>
        <w:rPr>
          <w:rFonts w:hint="eastAsia"/>
          <w:sz w:val="28"/>
          <w:szCs w:val="28"/>
          <w:u w:val="single"/>
        </w:rPr>
        <w:t xml:space="preserve">                </w:t>
      </w:r>
      <w:r>
        <w:rPr>
          <w:rFonts w:hint="eastAsia"/>
          <w:sz w:val="28"/>
          <w:szCs w:val="28"/>
        </w:rPr>
        <w:t xml:space="preserve">项目名称：  </w:t>
      </w:r>
      <w:r>
        <w:rPr>
          <w:rFonts w:hint="eastAsia"/>
          <w:sz w:val="28"/>
          <w:szCs w:val="28"/>
          <w:u w:val="single"/>
        </w:rPr>
        <w:t xml:space="preserve">                </w:t>
      </w:r>
      <w:r>
        <w:rPr>
          <w:rFonts w:hint="eastAsia"/>
          <w:sz w:val="28"/>
          <w:szCs w:val="28"/>
        </w:rPr>
        <w:t xml:space="preserve">                       </w:t>
      </w:r>
    </w:p>
    <w:tbl>
      <w:tblPr>
        <w:tblStyle w:val="17"/>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供应商名称（盖章）</w:t>
            </w:r>
          </w:p>
        </w:tc>
        <w:tc>
          <w:tcPr>
            <w:tcW w:w="5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联系人姓名</w:t>
            </w:r>
          </w:p>
        </w:tc>
        <w:tc>
          <w:tcPr>
            <w:tcW w:w="5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联系人电话</w:t>
            </w:r>
          </w:p>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（办公电话和手机）</w:t>
            </w:r>
          </w:p>
        </w:tc>
        <w:tc>
          <w:tcPr>
            <w:tcW w:w="5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联系人邮箱</w:t>
            </w:r>
          </w:p>
        </w:tc>
        <w:tc>
          <w:tcPr>
            <w:tcW w:w="58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restart"/>
            <w:tcBorders>
              <w:top w:val="single" w:color="auto" w:sz="4" w:space="0"/>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供应商提供的</w:t>
            </w:r>
          </w:p>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报名资料</w:t>
            </w: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1.</w:t>
            </w:r>
            <w:r>
              <w:rPr>
                <w:rFonts w:hint="eastAsia" w:ascii="宋体" w:hAnsi="宋体" w:eastAsia="宋体" w:cs="宋体"/>
                <w:kern w:val="0"/>
                <w:szCs w:val="21"/>
              </w:rPr>
              <w:t>法人或者其他组织的营业执照等证明文件，如供应商是自然人的提供身份证明材料</w:t>
            </w:r>
            <w:r>
              <w:rPr>
                <w:rFonts w:hint="eastAsia" w:ascii="宋体" w:hAnsi="宋体" w:eastAsia="宋体" w:cs="宋体"/>
                <w:bCs/>
                <w:color w:val="000000" w:themeColor="text1"/>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2.</w:t>
            </w:r>
            <w:r>
              <w:rPr>
                <w:rFonts w:hint="eastAsia" w:ascii="宋体" w:hAnsi="宋体" w:eastAsia="宋体" w:cs="宋体"/>
                <w:kern w:val="0"/>
                <w:szCs w:val="21"/>
              </w:rPr>
              <w:t>财务状况报告必须无亏损，依法缴纳税收和社会保障资金的相关材料</w:t>
            </w:r>
            <w:r>
              <w:rPr>
                <w:rFonts w:hint="eastAsia" w:ascii="宋体" w:hAnsi="宋体" w:eastAsia="宋体" w:cs="宋体"/>
                <w:bCs/>
                <w:color w:val="000000" w:themeColor="text1"/>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3.</w:t>
            </w:r>
            <w:r>
              <w:rPr>
                <w:rFonts w:hint="eastAsia" w:ascii="宋体" w:hAnsi="宋体" w:eastAsia="宋体" w:cs="宋体"/>
                <w:kern w:val="0"/>
                <w:szCs w:val="21"/>
              </w:rPr>
              <w:t>具备履行合同所必需的设备和专业技术能力的证明材料</w:t>
            </w:r>
            <w:r>
              <w:rPr>
                <w:rFonts w:hint="eastAsia" w:ascii="宋体" w:hAnsi="宋体" w:eastAsia="宋体" w:cs="宋体"/>
                <w:bCs/>
                <w:color w:val="000000" w:themeColor="text1"/>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4.</w:t>
            </w:r>
            <w:r>
              <w:rPr>
                <w:rFonts w:hint="eastAsia" w:ascii="宋体" w:hAnsi="宋体" w:eastAsia="宋体" w:cs="宋体"/>
                <w:kern w:val="0"/>
                <w:szCs w:val="21"/>
              </w:rPr>
              <w:t>参加政府采购活动前3年内在经营活动中没有重大违法记录的书面声明</w:t>
            </w:r>
            <w:r>
              <w:rPr>
                <w:rFonts w:hint="eastAsia" w:ascii="宋体" w:hAnsi="宋体" w:eastAsia="宋体" w:cs="宋体"/>
                <w:bCs/>
                <w:color w:val="000000" w:themeColor="text1"/>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5.</w:t>
            </w:r>
            <w:r>
              <w:rPr>
                <w:rFonts w:hint="eastAsia" w:ascii="宋体" w:hAnsi="宋体" w:eastAsia="宋体" w:cs="宋体"/>
                <w:kern w:val="0"/>
                <w:szCs w:val="21"/>
              </w:rPr>
              <w:t>具备法律、行政法规规定的其他条件的证明材料</w:t>
            </w:r>
            <w:r>
              <w:rPr>
                <w:rFonts w:hint="eastAsia" w:ascii="宋体" w:hAnsi="宋体" w:eastAsia="宋体" w:cs="宋体"/>
                <w:bCs/>
                <w:color w:val="000000" w:themeColor="text1"/>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6.</w:t>
            </w:r>
            <w:r>
              <w:rPr>
                <w:rFonts w:hint="eastAsia" w:ascii="宋体" w:hAnsi="宋体" w:eastAsia="宋体" w:cs="宋体"/>
                <w:kern w:val="0"/>
                <w:szCs w:val="21"/>
              </w:rPr>
              <w:t>未被列入 “信用中国”网站（www.creditchina.gov.cn）失信被执行人、重大税收违法案件当事人名单、政府采购严重违法失信行为记录名单的网页打印件</w:t>
            </w:r>
            <w:r>
              <w:rPr>
                <w:rFonts w:hint="eastAsia" w:ascii="宋体" w:hAnsi="宋体" w:eastAsia="宋体" w:cs="宋体"/>
                <w:bCs/>
                <w:color w:val="000000" w:themeColor="text1"/>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hint="eastAsia" w:ascii="宋体" w:hAnsi="宋体" w:eastAsia="宋体" w:cs="宋体"/>
                <w:kern w:val="0"/>
                <w:szCs w:val="21"/>
              </w:rPr>
            </w:pPr>
          </w:p>
        </w:tc>
        <w:tc>
          <w:tcPr>
            <w:tcW w:w="5816" w:type="dxa"/>
            <w:tcBorders>
              <w:top w:val="single" w:color="auto" w:sz="4" w:space="0"/>
              <w:left w:val="single" w:color="auto" w:sz="4" w:space="0"/>
              <w:bottom w:val="single" w:color="auto" w:sz="4" w:space="0"/>
              <w:right w:val="single" w:color="auto" w:sz="4" w:space="0"/>
            </w:tcBorders>
          </w:tcPr>
          <w:p>
            <w:pPr>
              <w:widowControl/>
              <w:numPr>
                <w:ilvl w:val="0"/>
                <w:numId w:val="2"/>
              </w:numPr>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color w:val="000000" w:themeColor="text1"/>
                <w:szCs w:val="21"/>
              </w:rPr>
              <w:t>本次招标</w:t>
            </w:r>
            <w:r>
              <w:rPr>
                <w:rFonts w:hint="eastAsia"/>
                <w:color w:val="000000" w:themeColor="text1"/>
                <w:szCs w:val="21"/>
                <w:lang w:eastAsia="zh-CN"/>
              </w:rPr>
              <w:t>不</w:t>
            </w:r>
            <w:r>
              <w:rPr>
                <w:rFonts w:hint="eastAsia"/>
                <w:color w:val="000000" w:themeColor="text1"/>
                <w:szCs w:val="21"/>
              </w:rPr>
              <w:t>接受联合体</w:t>
            </w:r>
            <w:r>
              <w:rPr>
                <w:rFonts w:hint="eastAsia"/>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114" w:type="dxa"/>
            <w:tcBorders>
              <w:left w:val="single" w:color="auto" w:sz="4" w:space="0"/>
              <w:right w:val="single" w:color="auto" w:sz="4" w:space="0"/>
            </w:tcBorders>
            <w:vAlign w:val="center"/>
          </w:tcPr>
          <w:p>
            <w:pPr>
              <w:widowControl/>
              <w:adjustRightInd w:val="0"/>
              <w:snapToGrid w:val="0"/>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特定条件</w:t>
            </w:r>
          </w:p>
        </w:tc>
        <w:tc>
          <w:tcPr>
            <w:tcW w:w="5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bCs/>
                <w:kern w:val="0"/>
                <w:szCs w:val="21"/>
                <w:lang w:eastAsia="zh-CN"/>
              </w:rPr>
            </w:pPr>
            <w:r>
              <w:rPr>
                <w:rFonts w:hint="eastAsia" w:ascii="宋体" w:hAnsi="宋体" w:eastAsia="宋体" w:cs="宋体"/>
                <w:bCs/>
                <w:kern w:val="0"/>
                <w:szCs w:val="21"/>
                <w:lang w:eastAsia="zh-CN"/>
              </w:rPr>
              <w:t>1.供应商应具有公路工程施工</w:t>
            </w:r>
            <w:r>
              <w:rPr>
                <w:rFonts w:hint="eastAsia" w:ascii="宋体" w:hAnsi="宋体" w:cs="宋体"/>
                <w:bCs/>
                <w:kern w:val="0"/>
                <w:szCs w:val="21"/>
                <w:lang w:eastAsia="zh-CN"/>
              </w:rPr>
              <w:t>总</w:t>
            </w:r>
            <w:r>
              <w:rPr>
                <w:rFonts w:hint="eastAsia" w:ascii="宋体" w:hAnsi="宋体" w:eastAsia="宋体" w:cs="宋体"/>
                <w:bCs/>
                <w:kern w:val="0"/>
                <w:szCs w:val="21"/>
                <w:lang w:eastAsia="zh-CN"/>
              </w:rPr>
              <w:t>承包叁级及以上资质，安全生产许可证在有效期内；</w:t>
            </w:r>
          </w:p>
          <w:p>
            <w:pPr>
              <w:adjustRightInd w:val="0"/>
              <w:snapToGrid w:val="0"/>
              <w:spacing w:line="360" w:lineRule="auto"/>
              <w:rPr>
                <w:rFonts w:hint="eastAsia" w:ascii="宋体" w:hAnsi="宋体" w:eastAsia="宋体" w:cs="宋体"/>
                <w:bCs/>
                <w:kern w:val="0"/>
                <w:szCs w:val="21"/>
                <w:lang w:eastAsia="zh-CN"/>
              </w:rPr>
            </w:pPr>
            <w:r>
              <w:rPr>
                <w:rFonts w:hint="eastAsia" w:ascii="宋体" w:hAnsi="宋体" w:eastAsia="宋体" w:cs="宋体"/>
                <w:bCs/>
                <w:kern w:val="0"/>
                <w:szCs w:val="21"/>
                <w:lang w:eastAsia="zh-CN"/>
              </w:rPr>
              <w:t>2.在人员、设备、资金等方面具有相应的施工能力；</w:t>
            </w:r>
          </w:p>
          <w:p>
            <w:pPr>
              <w:adjustRightInd w:val="0"/>
              <w:snapToGrid w:val="0"/>
              <w:spacing w:line="360" w:lineRule="auto"/>
              <w:rPr>
                <w:rFonts w:hint="eastAsia" w:ascii="宋体" w:hAnsi="宋体" w:eastAsia="宋体" w:cs="宋体"/>
                <w:bCs/>
                <w:kern w:val="0"/>
                <w:szCs w:val="21"/>
                <w:lang w:eastAsia="zh-CN"/>
              </w:rPr>
            </w:pPr>
            <w:r>
              <w:rPr>
                <w:rFonts w:hint="eastAsia" w:ascii="宋体" w:hAnsi="宋体" w:eastAsia="宋体" w:cs="宋体"/>
                <w:bCs/>
                <w:kern w:val="0"/>
                <w:szCs w:val="21"/>
                <w:lang w:eastAsia="zh-CN"/>
              </w:rPr>
              <w:t>3.供应商拟派的项目经理须具备公路工程专业贰级及以上注册建造师证书和《安全生产考核证书》B证，且未担任其他在施建设工程项目的项目经理，项目技术负责人必须具有公路工程相关专业中级工程师及以上职称或注册建造师执业资格；提供所在单位为其缴纳的社保部门出具的社保记录证明及有效的劳动合同。</w:t>
            </w:r>
          </w:p>
          <w:p>
            <w:pPr>
              <w:adjustRightInd w:val="0"/>
              <w:snapToGrid w:val="0"/>
              <w:spacing w:line="360" w:lineRule="auto"/>
              <w:jc w:val="left"/>
              <w:rPr>
                <w:rFonts w:hint="default" w:ascii="宋体" w:hAnsi="宋体" w:eastAsia="宋体" w:cs="宋体"/>
                <w:bCs/>
                <w:color w:val="000000" w:themeColor="text1"/>
                <w:kern w:val="0"/>
                <w:sz w:val="21"/>
                <w:szCs w:val="21"/>
                <w:lang w:val="en-US" w:eastAsia="zh-CN" w:bidi="ar-SA"/>
              </w:rPr>
            </w:pPr>
            <w:r>
              <w:rPr>
                <w:rFonts w:hint="eastAsia" w:ascii="宋体" w:hAnsi="宋体" w:eastAsia="宋体" w:cs="宋体"/>
                <w:bCs/>
                <w:kern w:val="0"/>
                <w:szCs w:val="21"/>
                <w:lang w:val="en-US" w:eastAsia="zh-CN"/>
              </w:rPr>
              <w:t>4</w:t>
            </w:r>
            <w:r>
              <w:rPr>
                <w:rFonts w:hint="eastAsia" w:ascii="宋体" w:hAnsi="宋体" w:eastAsia="宋体" w:cs="宋体"/>
                <w:bCs/>
                <w:kern w:val="0"/>
                <w:szCs w:val="21"/>
                <w:lang w:eastAsia="zh-CN"/>
              </w:rPr>
              <w:t>.本工程不接受在阳新县公共资源交易监督管理局有不良记录的企业投标</w:t>
            </w:r>
            <w:r>
              <w:rPr>
                <w:rFonts w:hint="eastAsia" w:ascii="宋体" w:hAnsi="宋体" w:cs="宋体"/>
                <w:bCs/>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14" w:type="dxa"/>
            <w:tcBorders>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供应商意见</w:t>
            </w:r>
          </w:p>
        </w:tc>
        <w:tc>
          <w:tcPr>
            <w:tcW w:w="581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360" w:lineRule="auto"/>
              <w:jc w:val="left"/>
              <w:rPr>
                <w:rFonts w:hint="eastAsia" w:ascii="宋体" w:hAnsi="宋体" w:eastAsia="宋体" w:cs="宋体"/>
                <w:bCs/>
                <w:color w:val="000000" w:themeColor="text1"/>
                <w:kern w:val="0"/>
                <w:sz w:val="21"/>
                <w:szCs w:val="21"/>
                <w:lang w:val="en-US" w:eastAsia="zh-CN" w:bidi="ar-SA"/>
              </w:rPr>
            </w:pPr>
            <w:r>
              <w:rPr>
                <w:rFonts w:hint="eastAsia" w:ascii="宋体" w:hAnsi="宋体" w:eastAsia="宋体" w:cs="宋体"/>
                <w:bCs/>
                <w:color w:val="000000" w:themeColor="text1"/>
                <w:kern w:val="0"/>
                <w:sz w:val="21"/>
                <w:szCs w:val="21"/>
                <w:lang w:val="en-US" w:eastAsia="zh-CN" w:bidi="ar-SA"/>
              </w:rPr>
              <w:t>供应商可对本项目采购需求及评分标准的公正性、专业性、合理性等提出自己正确的意见、建议等（可另页详细表述）。</w:t>
            </w:r>
          </w:p>
        </w:tc>
      </w:tr>
    </w:tbl>
    <w:p>
      <w:pPr>
        <w:pStyle w:val="14"/>
        <w:shd w:val="clear" w:color="auto" w:fill="FFFFFF"/>
        <w:spacing w:before="150" w:beforeAutospacing="0" w:after="150" w:afterAutospacing="0" w:line="360" w:lineRule="atLeast"/>
        <w:ind w:left="150"/>
        <w:rPr>
          <w:rStyle w:val="20"/>
          <w:b w:val="0"/>
          <w:color w:val="000000" w:themeColor="text1"/>
        </w:rPr>
      </w:pPr>
      <w:r>
        <w:rPr>
          <w:rStyle w:val="20"/>
          <w:rFonts w:hint="eastAsia"/>
          <w:b w:val="0"/>
          <w:color w:val="000000" w:themeColor="text1"/>
        </w:rPr>
        <w:t>注意事项：</w:t>
      </w:r>
    </w:p>
    <w:p>
      <w:pPr>
        <w:pStyle w:val="14"/>
        <w:shd w:val="clear" w:color="auto" w:fill="FFFFFF"/>
        <w:spacing w:before="150" w:beforeAutospacing="0" w:after="150" w:afterAutospacing="0" w:line="360" w:lineRule="atLeast"/>
        <w:ind w:left="150" w:firstLine="480" w:firstLineChars="200"/>
        <w:rPr>
          <w:rStyle w:val="20"/>
          <w:b w:val="0"/>
          <w:color w:val="000000" w:themeColor="text1"/>
        </w:rPr>
      </w:pPr>
      <w:r>
        <w:rPr>
          <w:rFonts w:hint="eastAsia"/>
          <w:color w:val="000000" w:themeColor="text1"/>
        </w:rPr>
        <w:t>1.供应商必须严格按照公告的内容和要求，完整递交有关资料，</w:t>
      </w:r>
      <w:r>
        <w:rPr>
          <w:rStyle w:val="20"/>
          <w:rFonts w:hint="eastAsia"/>
          <w:b w:val="0"/>
          <w:color w:val="000000" w:themeColor="text1"/>
        </w:rPr>
        <w:t>逾期递交的将予以拒收。</w:t>
      </w:r>
    </w:p>
    <w:p>
      <w:pPr>
        <w:pStyle w:val="14"/>
        <w:shd w:val="clear" w:color="auto" w:fill="FFFFFF"/>
        <w:spacing w:before="150" w:beforeAutospacing="0" w:after="150" w:afterAutospacing="0" w:line="360" w:lineRule="atLeast"/>
        <w:ind w:left="150" w:firstLine="480" w:firstLineChars="200"/>
        <w:rPr>
          <w:rFonts w:ascii="微软雅黑" w:hAnsi="微软雅黑" w:eastAsia="微软雅黑"/>
          <w:color w:val="000000" w:themeColor="text1"/>
          <w:sz w:val="18"/>
          <w:szCs w:val="18"/>
        </w:rPr>
      </w:pPr>
      <w:r>
        <w:rPr>
          <w:rFonts w:ascii="宋体" w:hAnsi="宋体" w:cs="宋体"/>
          <w:color w:val="000000" w:themeColor="text1"/>
          <w:szCs w:val="24"/>
        </w:rPr>
        <w:t>2.</w:t>
      </w:r>
      <w:r>
        <w:rPr>
          <w:rFonts w:ascii="宋体" w:hAnsi="宋体" w:cs="宋体"/>
          <w:bCs/>
          <w:color w:val="000000" w:themeColor="text1"/>
          <w:szCs w:val="24"/>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r>
        <w:rPr>
          <w:rFonts w:hint="eastAsia"/>
          <w:color w:val="000000" w:themeColor="text1"/>
        </w:rPr>
        <w:t>3.须在邮件（附件文件名注明公司全称）注明公司全称、项目名称及项目编号（不注明我单位将拒收报名邮件）。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Fq0pqrgBAABUAwAADgAAAAAAAAABACAAAAAeAQAAZHJzL2Uyb0RvYy54bWxQSwUGAAAAAAYABgBZ&#10;AQAASAUA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BD90A"/>
    <w:multiLevelType w:val="singleLevel"/>
    <w:tmpl w:val="A4FBD90A"/>
    <w:lvl w:ilvl="0" w:tentative="0">
      <w:start w:val="7"/>
      <w:numFmt w:val="decimal"/>
      <w:lvlText w:val="%1."/>
      <w:lvlJc w:val="left"/>
      <w:pPr>
        <w:tabs>
          <w:tab w:val="left" w:pos="312"/>
        </w:tabs>
      </w:pPr>
    </w:lvl>
  </w:abstractNum>
  <w:abstractNum w:abstractNumId="1">
    <w:nsid w:val="F7234C54"/>
    <w:multiLevelType w:val="singleLevel"/>
    <w:tmpl w:val="F7234C5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6BFD"/>
    <w:rsid w:val="00023CBA"/>
    <w:rsid w:val="00024ED8"/>
    <w:rsid w:val="0002546C"/>
    <w:rsid w:val="000274B8"/>
    <w:rsid w:val="00033E96"/>
    <w:rsid w:val="00037A6F"/>
    <w:rsid w:val="00040735"/>
    <w:rsid w:val="00050608"/>
    <w:rsid w:val="000527BB"/>
    <w:rsid w:val="000549A9"/>
    <w:rsid w:val="00056AED"/>
    <w:rsid w:val="00064C78"/>
    <w:rsid w:val="0008654C"/>
    <w:rsid w:val="000867B4"/>
    <w:rsid w:val="00087E3A"/>
    <w:rsid w:val="0009726D"/>
    <w:rsid w:val="000A3309"/>
    <w:rsid w:val="000A6872"/>
    <w:rsid w:val="000B3AFC"/>
    <w:rsid w:val="000C6BBE"/>
    <w:rsid w:val="000C7A81"/>
    <w:rsid w:val="00101CA6"/>
    <w:rsid w:val="00104393"/>
    <w:rsid w:val="00112B11"/>
    <w:rsid w:val="00120CEA"/>
    <w:rsid w:val="00122B5C"/>
    <w:rsid w:val="00127B67"/>
    <w:rsid w:val="00167F38"/>
    <w:rsid w:val="00172A27"/>
    <w:rsid w:val="0019680B"/>
    <w:rsid w:val="001A2453"/>
    <w:rsid w:val="001C3F98"/>
    <w:rsid w:val="001D00A2"/>
    <w:rsid w:val="001F7783"/>
    <w:rsid w:val="00227C74"/>
    <w:rsid w:val="00232881"/>
    <w:rsid w:val="0023592C"/>
    <w:rsid w:val="00241FC1"/>
    <w:rsid w:val="00247E29"/>
    <w:rsid w:val="00250BFB"/>
    <w:rsid w:val="00251305"/>
    <w:rsid w:val="00251DA2"/>
    <w:rsid w:val="0027306D"/>
    <w:rsid w:val="00286F91"/>
    <w:rsid w:val="002912E3"/>
    <w:rsid w:val="002B2C7F"/>
    <w:rsid w:val="002B3115"/>
    <w:rsid w:val="002C0DCE"/>
    <w:rsid w:val="002C2BE3"/>
    <w:rsid w:val="002C55AE"/>
    <w:rsid w:val="002D20BD"/>
    <w:rsid w:val="002D2CFE"/>
    <w:rsid w:val="002E3FA6"/>
    <w:rsid w:val="002F48B3"/>
    <w:rsid w:val="002F4AFA"/>
    <w:rsid w:val="002F7250"/>
    <w:rsid w:val="00301A1C"/>
    <w:rsid w:val="00302295"/>
    <w:rsid w:val="003241BB"/>
    <w:rsid w:val="00334D3C"/>
    <w:rsid w:val="00335DA3"/>
    <w:rsid w:val="00340104"/>
    <w:rsid w:val="00354132"/>
    <w:rsid w:val="00364E6E"/>
    <w:rsid w:val="0038354E"/>
    <w:rsid w:val="00384F78"/>
    <w:rsid w:val="003A3307"/>
    <w:rsid w:val="003B7B1B"/>
    <w:rsid w:val="003E7010"/>
    <w:rsid w:val="003F43BF"/>
    <w:rsid w:val="00407960"/>
    <w:rsid w:val="004136C5"/>
    <w:rsid w:val="0042465C"/>
    <w:rsid w:val="004357AA"/>
    <w:rsid w:val="004451C8"/>
    <w:rsid w:val="004465E5"/>
    <w:rsid w:val="00450AE4"/>
    <w:rsid w:val="0045317F"/>
    <w:rsid w:val="00455635"/>
    <w:rsid w:val="00462B04"/>
    <w:rsid w:val="00465FFA"/>
    <w:rsid w:val="00471D57"/>
    <w:rsid w:val="0048332F"/>
    <w:rsid w:val="0048653B"/>
    <w:rsid w:val="00487186"/>
    <w:rsid w:val="004A769B"/>
    <w:rsid w:val="004B38AE"/>
    <w:rsid w:val="004B5D9E"/>
    <w:rsid w:val="004C102D"/>
    <w:rsid w:val="004C21DE"/>
    <w:rsid w:val="004C2FBC"/>
    <w:rsid w:val="004E0358"/>
    <w:rsid w:val="00501094"/>
    <w:rsid w:val="0051315F"/>
    <w:rsid w:val="0051396C"/>
    <w:rsid w:val="00526415"/>
    <w:rsid w:val="0053126C"/>
    <w:rsid w:val="00532D66"/>
    <w:rsid w:val="005363F4"/>
    <w:rsid w:val="005517D8"/>
    <w:rsid w:val="00552BF4"/>
    <w:rsid w:val="00557E5B"/>
    <w:rsid w:val="0056029B"/>
    <w:rsid w:val="00577CD8"/>
    <w:rsid w:val="00587588"/>
    <w:rsid w:val="00587B63"/>
    <w:rsid w:val="005967B6"/>
    <w:rsid w:val="00597933"/>
    <w:rsid w:val="005A2FA8"/>
    <w:rsid w:val="005B3427"/>
    <w:rsid w:val="005C7953"/>
    <w:rsid w:val="005D0EA4"/>
    <w:rsid w:val="005E47BA"/>
    <w:rsid w:val="0060427B"/>
    <w:rsid w:val="00604A95"/>
    <w:rsid w:val="006101C6"/>
    <w:rsid w:val="0062072B"/>
    <w:rsid w:val="0065413A"/>
    <w:rsid w:val="0066049D"/>
    <w:rsid w:val="00667E7D"/>
    <w:rsid w:val="00673A2E"/>
    <w:rsid w:val="00674BD9"/>
    <w:rsid w:val="00680095"/>
    <w:rsid w:val="00681F25"/>
    <w:rsid w:val="006B1667"/>
    <w:rsid w:val="006B393A"/>
    <w:rsid w:val="006B566D"/>
    <w:rsid w:val="006B5F1F"/>
    <w:rsid w:val="006C22D5"/>
    <w:rsid w:val="006D5ED3"/>
    <w:rsid w:val="00700383"/>
    <w:rsid w:val="00710283"/>
    <w:rsid w:val="00714951"/>
    <w:rsid w:val="00731C4C"/>
    <w:rsid w:val="00737F1A"/>
    <w:rsid w:val="0074795C"/>
    <w:rsid w:val="00754B48"/>
    <w:rsid w:val="00770BDF"/>
    <w:rsid w:val="007779CC"/>
    <w:rsid w:val="00783B2B"/>
    <w:rsid w:val="00785A5A"/>
    <w:rsid w:val="007A1F2A"/>
    <w:rsid w:val="007B43B5"/>
    <w:rsid w:val="00806578"/>
    <w:rsid w:val="00813A8C"/>
    <w:rsid w:val="0082060A"/>
    <w:rsid w:val="00841971"/>
    <w:rsid w:val="00842F5C"/>
    <w:rsid w:val="00843EA0"/>
    <w:rsid w:val="00845C04"/>
    <w:rsid w:val="00855B79"/>
    <w:rsid w:val="0085685E"/>
    <w:rsid w:val="00862199"/>
    <w:rsid w:val="0086302C"/>
    <w:rsid w:val="00877547"/>
    <w:rsid w:val="008C1458"/>
    <w:rsid w:val="008D1697"/>
    <w:rsid w:val="008D3473"/>
    <w:rsid w:val="008D594A"/>
    <w:rsid w:val="008D5B51"/>
    <w:rsid w:val="008E2B15"/>
    <w:rsid w:val="00901DA9"/>
    <w:rsid w:val="009111CF"/>
    <w:rsid w:val="00912E34"/>
    <w:rsid w:val="00917353"/>
    <w:rsid w:val="0092386A"/>
    <w:rsid w:val="00923DAF"/>
    <w:rsid w:val="009328B6"/>
    <w:rsid w:val="00935480"/>
    <w:rsid w:val="00960937"/>
    <w:rsid w:val="00965878"/>
    <w:rsid w:val="00972423"/>
    <w:rsid w:val="00984E78"/>
    <w:rsid w:val="009A662A"/>
    <w:rsid w:val="009B48B8"/>
    <w:rsid w:val="009D463C"/>
    <w:rsid w:val="009D546E"/>
    <w:rsid w:val="009D6071"/>
    <w:rsid w:val="009D6CBD"/>
    <w:rsid w:val="009F32BA"/>
    <w:rsid w:val="009F57B7"/>
    <w:rsid w:val="00A03FCC"/>
    <w:rsid w:val="00A04C63"/>
    <w:rsid w:val="00A07E51"/>
    <w:rsid w:val="00A51660"/>
    <w:rsid w:val="00A767BF"/>
    <w:rsid w:val="00A77B29"/>
    <w:rsid w:val="00A80F76"/>
    <w:rsid w:val="00AA0343"/>
    <w:rsid w:val="00AA16B1"/>
    <w:rsid w:val="00AC4743"/>
    <w:rsid w:val="00AC4FF6"/>
    <w:rsid w:val="00AC6171"/>
    <w:rsid w:val="00AC7064"/>
    <w:rsid w:val="00AD4497"/>
    <w:rsid w:val="00AD466D"/>
    <w:rsid w:val="00AD57E9"/>
    <w:rsid w:val="00AE0050"/>
    <w:rsid w:val="00AE009B"/>
    <w:rsid w:val="00AE2C55"/>
    <w:rsid w:val="00AE565A"/>
    <w:rsid w:val="00AF42F0"/>
    <w:rsid w:val="00B17A0A"/>
    <w:rsid w:val="00B2763F"/>
    <w:rsid w:val="00B27FDA"/>
    <w:rsid w:val="00B37D97"/>
    <w:rsid w:val="00B422CC"/>
    <w:rsid w:val="00B54BA9"/>
    <w:rsid w:val="00B71E64"/>
    <w:rsid w:val="00B76C43"/>
    <w:rsid w:val="00B80D41"/>
    <w:rsid w:val="00B87DB2"/>
    <w:rsid w:val="00BC0370"/>
    <w:rsid w:val="00BD0E7D"/>
    <w:rsid w:val="00BD15BE"/>
    <w:rsid w:val="00BE7C0F"/>
    <w:rsid w:val="00C00883"/>
    <w:rsid w:val="00C045C9"/>
    <w:rsid w:val="00C41FC1"/>
    <w:rsid w:val="00C4672B"/>
    <w:rsid w:val="00C554DF"/>
    <w:rsid w:val="00C704DC"/>
    <w:rsid w:val="00C7583C"/>
    <w:rsid w:val="00C77263"/>
    <w:rsid w:val="00C8060B"/>
    <w:rsid w:val="00C862D3"/>
    <w:rsid w:val="00C94576"/>
    <w:rsid w:val="00CA2ADF"/>
    <w:rsid w:val="00CB1F38"/>
    <w:rsid w:val="00CD3343"/>
    <w:rsid w:val="00CE7D0E"/>
    <w:rsid w:val="00D049F5"/>
    <w:rsid w:val="00D12C9E"/>
    <w:rsid w:val="00D239DE"/>
    <w:rsid w:val="00D2556F"/>
    <w:rsid w:val="00D34002"/>
    <w:rsid w:val="00D35226"/>
    <w:rsid w:val="00D354CC"/>
    <w:rsid w:val="00D51D16"/>
    <w:rsid w:val="00D538BD"/>
    <w:rsid w:val="00D57782"/>
    <w:rsid w:val="00D63126"/>
    <w:rsid w:val="00D64C90"/>
    <w:rsid w:val="00D665CD"/>
    <w:rsid w:val="00D70B51"/>
    <w:rsid w:val="00D71D31"/>
    <w:rsid w:val="00D76028"/>
    <w:rsid w:val="00D85A87"/>
    <w:rsid w:val="00D9157E"/>
    <w:rsid w:val="00DA12FB"/>
    <w:rsid w:val="00DA3AC3"/>
    <w:rsid w:val="00DB7FCC"/>
    <w:rsid w:val="00DC47E0"/>
    <w:rsid w:val="00DE729E"/>
    <w:rsid w:val="00DE75E6"/>
    <w:rsid w:val="00DF4031"/>
    <w:rsid w:val="00DF5BE5"/>
    <w:rsid w:val="00DF750C"/>
    <w:rsid w:val="00E10DD5"/>
    <w:rsid w:val="00E14B01"/>
    <w:rsid w:val="00E20A1B"/>
    <w:rsid w:val="00E401E6"/>
    <w:rsid w:val="00E40ED1"/>
    <w:rsid w:val="00E433B2"/>
    <w:rsid w:val="00E44BA6"/>
    <w:rsid w:val="00E52266"/>
    <w:rsid w:val="00E52889"/>
    <w:rsid w:val="00E61009"/>
    <w:rsid w:val="00E6320A"/>
    <w:rsid w:val="00E643E2"/>
    <w:rsid w:val="00E652DF"/>
    <w:rsid w:val="00E721AB"/>
    <w:rsid w:val="00E85276"/>
    <w:rsid w:val="00E901E4"/>
    <w:rsid w:val="00E94B33"/>
    <w:rsid w:val="00EA5552"/>
    <w:rsid w:val="00EA7180"/>
    <w:rsid w:val="00EB4E46"/>
    <w:rsid w:val="00EB5D3C"/>
    <w:rsid w:val="00EB7758"/>
    <w:rsid w:val="00ED3F8E"/>
    <w:rsid w:val="00EE5A92"/>
    <w:rsid w:val="00EF6F42"/>
    <w:rsid w:val="00F00A58"/>
    <w:rsid w:val="00F015B2"/>
    <w:rsid w:val="00F06506"/>
    <w:rsid w:val="00F10D7E"/>
    <w:rsid w:val="00F22277"/>
    <w:rsid w:val="00F232EB"/>
    <w:rsid w:val="00F27BC7"/>
    <w:rsid w:val="00F33A46"/>
    <w:rsid w:val="00F35110"/>
    <w:rsid w:val="00F52DE9"/>
    <w:rsid w:val="00F67B38"/>
    <w:rsid w:val="00F75C7B"/>
    <w:rsid w:val="00F7772A"/>
    <w:rsid w:val="00F83087"/>
    <w:rsid w:val="00F85D93"/>
    <w:rsid w:val="00F959CE"/>
    <w:rsid w:val="00F95A75"/>
    <w:rsid w:val="00FA7FE1"/>
    <w:rsid w:val="00FB6F4C"/>
    <w:rsid w:val="00FD4208"/>
    <w:rsid w:val="00FE7F1F"/>
    <w:rsid w:val="00FF19EE"/>
    <w:rsid w:val="00FF427F"/>
    <w:rsid w:val="01790D18"/>
    <w:rsid w:val="04793D1F"/>
    <w:rsid w:val="0C45417B"/>
    <w:rsid w:val="0C5510B9"/>
    <w:rsid w:val="0E1331EC"/>
    <w:rsid w:val="0E320096"/>
    <w:rsid w:val="0EAD5531"/>
    <w:rsid w:val="11A51AC2"/>
    <w:rsid w:val="127E70F0"/>
    <w:rsid w:val="141B7793"/>
    <w:rsid w:val="14D62568"/>
    <w:rsid w:val="15F04171"/>
    <w:rsid w:val="18C45DF2"/>
    <w:rsid w:val="18D576C9"/>
    <w:rsid w:val="1A926300"/>
    <w:rsid w:val="1C5B20D6"/>
    <w:rsid w:val="1C987838"/>
    <w:rsid w:val="1D3A4920"/>
    <w:rsid w:val="1DF625FB"/>
    <w:rsid w:val="202042A9"/>
    <w:rsid w:val="23656384"/>
    <w:rsid w:val="247C672C"/>
    <w:rsid w:val="24872877"/>
    <w:rsid w:val="25AA7995"/>
    <w:rsid w:val="27B106C6"/>
    <w:rsid w:val="28E36878"/>
    <w:rsid w:val="2A4116F3"/>
    <w:rsid w:val="2AE24380"/>
    <w:rsid w:val="2BFD7314"/>
    <w:rsid w:val="2C772B92"/>
    <w:rsid w:val="2F747B39"/>
    <w:rsid w:val="315623E4"/>
    <w:rsid w:val="345C4F8B"/>
    <w:rsid w:val="35055FED"/>
    <w:rsid w:val="36402EC4"/>
    <w:rsid w:val="36620CC0"/>
    <w:rsid w:val="383340C7"/>
    <w:rsid w:val="39CF47DA"/>
    <w:rsid w:val="39DE3B7B"/>
    <w:rsid w:val="3BC900F9"/>
    <w:rsid w:val="3E6350B2"/>
    <w:rsid w:val="3F524F8F"/>
    <w:rsid w:val="3FA3157A"/>
    <w:rsid w:val="4021663B"/>
    <w:rsid w:val="435C72CE"/>
    <w:rsid w:val="469F68E0"/>
    <w:rsid w:val="4C7D3FD0"/>
    <w:rsid w:val="50BB5463"/>
    <w:rsid w:val="536F1C69"/>
    <w:rsid w:val="55920551"/>
    <w:rsid w:val="570C6CFC"/>
    <w:rsid w:val="5A452253"/>
    <w:rsid w:val="5B663F46"/>
    <w:rsid w:val="5CBA3BBE"/>
    <w:rsid w:val="5CBE6072"/>
    <w:rsid w:val="5DB549BD"/>
    <w:rsid w:val="5E746E3D"/>
    <w:rsid w:val="5F4B73FF"/>
    <w:rsid w:val="60577F0C"/>
    <w:rsid w:val="60F426AC"/>
    <w:rsid w:val="61545FAA"/>
    <w:rsid w:val="623E5D6C"/>
    <w:rsid w:val="629D22A4"/>
    <w:rsid w:val="63BF4A1A"/>
    <w:rsid w:val="647A6AA1"/>
    <w:rsid w:val="64A74286"/>
    <w:rsid w:val="64C45C5E"/>
    <w:rsid w:val="64D955DF"/>
    <w:rsid w:val="65336FCC"/>
    <w:rsid w:val="670269E3"/>
    <w:rsid w:val="671C65C7"/>
    <w:rsid w:val="68CD2E01"/>
    <w:rsid w:val="68F0582B"/>
    <w:rsid w:val="6AAA6CCA"/>
    <w:rsid w:val="6B2E3BA7"/>
    <w:rsid w:val="721C79F3"/>
    <w:rsid w:val="72AA3ED9"/>
    <w:rsid w:val="7330683B"/>
    <w:rsid w:val="73B13682"/>
    <w:rsid w:val="757375BD"/>
    <w:rsid w:val="77471B72"/>
    <w:rsid w:val="786E620A"/>
    <w:rsid w:val="7AC45324"/>
    <w:rsid w:val="7AD21950"/>
    <w:rsid w:val="7F894542"/>
    <w:rsid w:val="7F8D6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2"/>
    <w:qFormat/>
    <w:uiPriority w:val="9"/>
    <w:pPr>
      <w:keepNext/>
      <w:keepLines/>
      <w:spacing w:before="340" w:after="330" w:line="576" w:lineRule="auto"/>
      <w:outlineLvl w:val="0"/>
    </w:pPr>
    <w:rPr>
      <w:b/>
      <w:bCs/>
      <w:kern w:val="44"/>
      <w:sz w:val="44"/>
      <w:szCs w:val="44"/>
    </w:rPr>
  </w:style>
  <w:style w:type="paragraph" w:styleId="4">
    <w:name w:val="heading 2"/>
    <w:basedOn w:val="5"/>
    <w:next w:val="5"/>
    <w:semiHidden/>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customStyle="1" w:styleId="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ody Text"/>
    <w:basedOn w:val="1"/>
    <w:link w:val="27"/>
    <w:unhideWhenUsed/>
    <w:qFormat/>
    <w:uiPriority w:val="99"/>
    <w:rPr>
      <w:rFonts w:ascii="宋体" w:hAnsiTheme="minorHAnsi" w:eastAsiaTheme="minorEastAsia" w:cstheme="minorBidi"/>
      <w:sz w:val="24"/>
    </w:rPr>
  </w:style>
  <w:style w:type="paragraph" w:styleId="7">
    <w:name w:val="Body Text Indent"/>
    <w:basedOn w:val="1"/>
    <w:next w:val="8"/>
    <w:qFormat/>
    <w:uiPriority w:val="0"/>
    <w:pPr>
      <w:spacing w:after="120"/>
      <w:ind w:left="420" w:leftChars="200"/>
    </w:pPr>
    <w:rPr>
      <w:kern w:val="0"/>
      <w:sz w:val="20"/>
    </w:rPr>
  </w:style>
  <w:style w:type="paragraph" w:styleId="8">
    <w:name w:val="envelope return"/>
    <w:basedOn w:val="1"/>
    <w:unhideWhenUsed/>
    <w:qFormat/>
    <w:uiPriority w:val="99"/>
    <w:pPr>
      <w:snapToGrid w:val="0"/>
    </w:pPr>
    <w:rPr>
      <w:rFonts w:ascii="Arial" w:hAnsi="Arial"/>
    </w:rPr>
  </w:style>
  <w:style w:type="paragraph" w:styleId="9">
    <w:name w:val="Balloon Text"/>
    <w:basedOn w:val="1"/>
    <w:link w:val="25"/>
    <w:unhideWhenUsed/>
    <w:qFormat/>
    <w:uiPriority w:val="99"/>
    <w:rPr>
      <w:sz w:val="18"/>
      <w:szCs w:val="18"/>
    </w:rPr>
  </w:style>
  <w:style w:type="paragraph" w:styleId="10">
    <w:name w:val="footer"/>
    <w:basedOn w:val="1"/>
    <w:link w:val="24"/>
    <w:unhideWhenUsed/>
    <w:qFormat/>
    <w:uiPriority w:val="0"/>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13">
    <w:name w:val="Body Text 2"/>
    <w:basedOn w:val="1"/>
    <w:qFormat/>
    <w:uiPriority w:val="0"/>
    <w:pPr>
      <w:adjustRightInd w:val="0"/>
      <w:snapToGrid w:val="0"/>
      <w:spacing w:line="480" w:lineRule="atLeast"/>
    </w:pPr>
    <w:rPr>
      <w:rFonts w:ascii="宋体" w:hAnsi="宋体"/>
      <w:sz w:val="28"/>
      <w:szCs w:val="20"/>
    </w:rPr>
  </w:style>
  <w:style w:type="paragraph" w:styleId="14">
    <w:name w:val="Normal (Web)"/>
    <w:basedOn w:val="1"/>
    <w:unhideWhenUsed/>
    <w:qFormat/>
    <w:uiPriority w:val="0"/>
    <w:pPr>
      <w:spacing w:beforeAutospacing="1" w:afterAutospacing="1"/>
      <w:jc w:val="left"/>
    </w:pPr>
    <w:rPr>
      <w:rFonts w:cs="Times New Roman"/>
      <w:kern w:val="0"/>
      <w:sz w:val="24"/>
    </w:rPr>
  </w:style>
  <w:style w:type="paragraph" w:styleId="15">
    <w:name w:val="Title"/>
    <w:basedOn w:val="1"/>
    <w:next w:val="1"/>
    <w:link w:val="26"/>
    <w:qFormat/>
    <w:uiPriority w:val="0"/>
    <w:pPr>
      <w:spacing w:before="240" w:after="60"/>
      <w:jc w:val="center"/>
      <w:outlineLvl w:val="0"/>
    </w:pPr>
    <w:rPr>
      <w:rFonts w:ascii="Cambria" w:hAnsi="Cambria" w:eastAsia="方正小标宋简体" w:cs="Times New Roman"/>
      <w:b/>
      <w:bCs/>
      <w:sz w:val="32"/>
      <w:szCs w:val="32"/>
    </w:rPr>
  </w:style>
  <w:style w:type="paragraph" w:styleId="16">
    <w:name w:val="Body Text First Indent 2"/>
    <w:basedOn w:val="7"/>
    <w:qFormat/>
    <w:uiPriority w:val="0"/>
    <w:pPr>
      <w:widowControl w:val="0"/>
      <w:spacing w:after="120"/>
      <w:ind w:left="420" w:leftChars="200" w:firstLine="420" w:firstLineChars="200"/>
      <w:jc w:val="both"/>
    </w:pPr>
    <w:rPr>
      <w:kern w:val="2"/>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paragraph" w:customStyle="1" w:styleId="2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22">
    <w:name w:val="标题 1 Char"/>
    <w:basedOn w:val="19"/>
    <w:link w:val="3"/>
    <w:qFormat/>
    <w:uiPriority w:val="9"/>
    <w:rPr>
      <w:rFonts w:eastAsia="宋体"/>
      <w:b/>
      <w:bCs/>
      <w:kern w:val="44"/>
      <w:sz w:val="44"/>
      <w:szCs w:val="44"/>
    </w:rPr>
  </w:style>
  <w:style w:type="character" w:customStyle="1" w:styleId="23">
    <w:name w:val="页眉 Char"/>
    <w:basedOn w:val="19"/>
    <w:link w:val="11"/>
    <w:qFormat/>
    <w:uiPriority w:val="99"/>
    <w:rPr>
      <w:sz w:val="18"/>
      <w:szCs w:val="18"/>
    </w:rPr>
  </w:style>
  <w:style w:type="character" w:customStyle="1" w:styleId="24">
    <w:name w:val="页脚 Char"/>
    <w:basedOn w:val="19"/>
    <w:link w:val="10"/>
    <w:qFormat/>
    <w:uiPriority w:val="99"/>
    <w:rPr>
      <w:sz w:val="18"/>
      <w:szCs w:val="18"/>
    </w:rPr>
  </w:style>
  <w:style w:type="character" w:customStyle="1" w:styleId="25">
    <w:name w:val="批注框文本 Char"/>
    <w:basedOn w:val="19"/>
    <w:link w:val="9"/>
    <w:semiHidden/>
    <w:qFormat/>
    <w:uiPriority w:val="99"/>
    <w:rPr>
      <w:sz w:val="18"/>
      <w:szCs w:val="18"/>
    </w:rPr>
  </w:style>
  <w:style w:type="character" w:customStyle="1" w:styleId="26">
    <w:name w:val="标题 Char"/>
    <w:basedOn w:val="19"/>
    <w:link w:val="15"/>
    <w:qFormat/>
    <w:uiPriority w:val="0"/>
    <w:rPr>
      <w:rFonts w:ascii="Cambria" w:hAnsi="Cambria" w:eastAsia="方正小标宋简体"/>
      <w:b/>
      <w:bCs/>
      <w:kern w:val="2"/>
      <w:sz w:val="32"/>
      <w:szCs w:val="32"/>
    </w:rPr>
  </w:style>
  <w:style w:type="character" w:customStyle="1" w:styleId="27">
    <w:name w:val="正文文本 Char"/>
    <w:basedOn w:val="19"/>
    <w:link w:val="6"/>
    <w:qFormat/>
    <w:uiPriority w:val="99"/>
    <w:rPr>
      <w:rFonts w:ascii="宋体" w:hAnsiTheme="minorHAnsi" w:eastAsiaTheme="minorEastAsia" w:cstheme="minorBidi"/>
      <w:kern w:val="2"/>
      <w:sz w:val="24"/>
      <w:szCs w:val="22"/>
    </w:rPr>
  </w:style>
  <w:style w:type="paragraph" w:styleId="28">
    <w:name w:val="List Paragraph"/>
    <w:basedOn w:val="1"/>
    <w:unhideWhenUsed/>
    <w:qFormat/>
    <w:uiPriority w:val="99"/>
    <w:pPr>
      <w:ind w:firstLine="420" w:firstLineChars="200"/>
    </w:pPr>
  </w:style>
  <w:style w:type="paragraph" w:customStyle="1" w:styleId="29">
    <w:name w:val="正文 New New New New New New New New New"/>
    <w:qFormat/>
    <w:uiPriority w:val="0"/>
    <w:pPr>
      <w:widowControl w:val="0"/>
      <w:jc w:val="both"/>
    </w:pPr>
    <w:rPr>
      <w:rFonts w:hint="eastAsia" w:ascii="Times New Roman" w:hAnsi="Times New Roman" w:eastAsia="宋体" w:cs="Calibri"/>
      <w:kern w:val="2"/>
      <w:sz w:val="21"/>
      <w:lang w:val="en-US" w:eastAsia="zh-CN" w:bidi="ar-SA"/>
    </w:rPr>
  </w:style>
  <w:style w:type="paragraph" w:customStyle="1" w:styleId="30">
    <w:name w:val="文档正文"/>
    <w:basedOn w:val="1"/>
    <w:qFormat/>
    <w:uiPriority w:val="0"/>
    <w:pPr>
      <w:adjustRightInd w:val="0"/>
      <w:spacing w:line="312" w:lineRule="atLeast"/>
      <w:ind w:firstLine="567"/>
      <w:textAlignment w:val="baseline"/>
    </w:pPr>
    <w:rPr>
      <w:rFonts w:ascii="长城仿宋" w:hAnsi="Times New Roman" w:eastAsia="长城仿宋" w:cs="Times New Roman"/>
      <w:kern w:val="0"/>
      <w:sz w:val="28"/>
      <w:szCs w:val="24"/>
    </w:rPr>
  </w:style>
  <w:style w:type="paragraph" w:customStyle="1" w:styleId="31">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32">
    <w:name w:val="样式 标题 2 + Times New Roman 四号 非加粗 段前: 5 磅 段后: 0 磅 行距: 固定值 20..."/>
    <w:basedOn w:val="4"/>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33">
    <w:name w:val="Table Paragraph"/>
    <w:basedOn w:val="1"/>
    <w:qFormat/>
    <w:uiPriority w:val="1"/>
    <w:pPr>
      <w:autoSpaceDE w:val="0"/>
      <w:autoSpaceDN w:val="0"/>
      <w:adjustRightInd w:val="0"/>
      <w:jc w:val="left"/>
    </w:pPr>
    <w:rPr>
      <w:rFonts w:eastAsia="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6D148-545F-4857-BDAD-11D14E4685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638</Words>
  <Characters>3637</Characters>
  <Lines>30</Lines>
  <Paragraphs>8</Paragraphs>
  <TotalTime>3</TotalTime>
  <ScaleCrop>false</ScaleCrop>
  <LinksUpToDate>false</LinksUpToDate>
  <CharactersWithSpaces>4267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2019-10-31T02:40:00Z</dcterms:created>
  <dc:creator>wangh</dc:creator>
  <cp:lastModifiedBy>骜</cp:lastModifiedBy>
  <cp:lastPrinted>2021-11-01T23:55:00Z</cp:lastPrinted>
  <dcterms:modified xsi:type="dcterms:W3CDTF">2021-11-02T07:43:19Z</dcterms:modified>
  <dc:title>湖北省省级政府采购需求公示</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E014B1150EA94E7B9CCEEB7A4204E0A3</vt:lpwstr>
  </property>
</Properties>
</file>