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b/>
          <w:sz w:val="32"/>
          <w:szCs w:val="32"/>
        </w:rPr>
      </w:pPr>
      <w:r>
        <w:rPr>
          <w:rFonts w:hint="eastAsia"/>
          <w:b/>
          <w:sz w:val="32"/>
          <w:szCs w:val="32"/>
        </w:rPr>
        <w:t>附件1：</w:t>
      </w:r>
    </w:p>
    <w:p>
      <w:pPr>
        <w:autoSpaceDE w:val="0"/>
        <w:autoSpaceDN w:val="0"/>
        <w:adjustRightInd w:val="0"/>
        <w:spacing w:line="360" w:lineRule="auto"/>
        <w:jc w:val="center"/>
        <w:rPr>
          <w:rFonts w:ascii="宋体" w:cs="宋体"/>
          <w:b/>
          <w:bCs/>
          <w:sz w:val="30"/>
          <w:szCs w:val="30"/>
          <w:lang w:val="zh-CN"/>
        </w:rPr>
      </w:pPr>
      <w:bookmarkStart w:id="4" w:name="_GoBack"/>
      <w:r>
        <w:rPr>
          <w:rFonts w:hint="eastAsia" w:ascii="宋体" w:cs="宋体"/>
          <w:b/>
          <w:bCs/>
          <w:sz w:val="30"/>
          <w:szCs w:val="30"/>
          <w:lang w:val="zh-CN"/>
        </w:rPr>
        <w:t>阳新县高铁新区控制性详细规划项目</w:t>
      </w:r>
      <w:bookmarkEnd w:id="4"/>
      <w:r>
        <w:rPr>
          <w:rFonts w:hint="eastAsia" w:ascii="宋体" w:cs="宋体"/>
          <w:b/>
          <w:bCs/>
          <w:sz w:val="30"/>
          <w:szCs w:val="30"/>
          <w:lang w:val="zh-CN"/>
        </w:rPr>
        <w:t>采购内容及要求</w:t>
      </w:r>
    </w:p>
    <w:p>
      <w:pPr>
        <w:tabs>
          <w:tab w:val="left" w:pos="425"/>
          <w:tab w:val="left" w:pos="709"/>
        </w:tabs>
        <w:adjustRightInd w:val="0"/>
        <w:spacing w:line="520" w:lineRule="exact"/>
        <w:textAlignment w:val="baseline"/>
        <w:rPr>
          <w:rFonts w:ascii="宋体" w:cs="宋体"/>
          <w:b/>
          <w:bCs/>
          <w:kern w:val="0"/>
          <w:sz w:val="24"/>
          <w:szCs w:val="24"/>
        </w:rPr>
      </w:pPr>
      <w:bookmarkStart w:id="0" w:name="_Toc535856212"/>
      <w:bookmarkStart w:id="1" w:name="_Toc275766394"/>
      <w:bookmarkStart w:id="2" w:name="_Toc8310052"/>
      <w:r>
        <w:rPr>
          <w:rFonts w:hint="eastAsia" w:ascii="宋体" w:cs="宋体"/>
          <w:b/>
          <w:bCs/>
          <w:kern w:val="0"/>
          <w:sz w:val="24"/>
          <w:szCs w:val="24"/>
        </w:rPr>
        <w:t>一、项目概况</w:t>
      </w:r>
      <w:bookmarkEnd w:id="0"/>
      <w:bookmarkEnd w:id="1"/>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阳新高铁站区域是阳新重要的交通枢纽与城市形象窗口，承担着城市功能外溢拓展与拉动城市新格局发展的重要任务。随着城市建设进入新阶段，为进一步落实县委县政府战略布局意图，顺应区域融合发展趋势，推进阳新高质量发展，开展《阳新高铁新区控制性详细规划》编制尤为必要。</w:t>
      </w:r>
    </w:p>
    <w:p>
      <w:pPr>
        <w:tabs>
          <w:tab w:val="left" w:pos="1155"/>
        </w:tabs>
        <w:spacing w:line="520" w:lineRule="exact"/>
        <w:ind w:firstLine="420" w:firstLineChars="200"/>
        <w:rPr>
          <w:rFonts w:ascii="宋体" w:hAnsi="宋体" w:cs="宋体"/>
          <w:kern w:val="0"/>
          <w:sz w:val="24"/>
          <w:szCs w:val="24"/>
        </w:rPr>
      </w:pPr>
      <w:r>
        <w:drawing>
          <wp:anchor distT="0" distB="0" distL="114300" distR="114300" simplePos="0" relativeHeight="251659264" behindDoc="0" locked="0" layoutInCell="1" allowOverlap="1">
            <wp:simplePos x="0" y="0"/>
            <wp:positionH relativeFrom="margin">
              <wp:align>center</wp:align>
            </wp:positionH>
            <wp:positionV relativeFrom="paragraph">
              <wp:posOffset>1119505</wp:posOffset>
            </wp:positionV>
            <wp:extent cx="5049520" cy="3522345"/>
            <wp:effectExtent l="0" t="0" r="0" b="19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l="33655" t="3111" r="2278" b="4800"/>
                    <a:stretch>
                      <a:fillRect/>
                    </a:stretch>
                  </pic:blipFill>
                  <pic:spPr>
                    <a:xfrm>
                      <a:off x="0" y="0"/>
                      <a:ext cx="5049520" cy="3522345"/>
                    </a:xfrm>
                    <a:prstGeom prst="rect">
                      <a:avLst/>
                    </a:prstGeom>
                    <a:noFill/>
                    <a:ln>
                      <a:noFill/>
                    </a:ln>
                  </pic:spPr>
                </pic:pic>
              </a:graphicData>
            </a:graphic>
          </wp:anchor>
        </w:drawing>
      </w:r>
      <w:r>
        <w:rPr>
          <w:rFonts w:hint="eastAsia" w:ascii="宋体" w:hAnsi="宋体" w:cs="宋体"/>
          <w:kern w:val="0"/>
          <w:sz w:val="24"/>
          <w:szCs w:val="24"/>
        </w:rPr>
        <w:t>规划项目位于阳新城西火车站核心片区，北邻城北工业园，西接武阳一级公路与牛头山湖，南临规划351国道，东面北湖，规划范围8.62平方公里，场地建设条件良好、交通便捷、自然资源特色鲜明。</w:t>
      </w:r>
    </w:p>
    <w:p>
      <w:pPr>
        <w:tabs>
          <w:tab w:val="left" w:pos="1155"/>
        </w:tabs>
        <w:spacing w:line="520" w:lineRule="exact"/>
        <w:ind w:firstLine="480" w:firstLineChars="200"/>
        <w:jc w:val="center"/>
        <w:rPr>
          <w:rFonts w:ascii="宋体" w:hAnsi="宋体" w:cs="宋体"/>
          <w:kern w:val="0"/>
          <w:sz w:val="24"/>
          <w:szCs w:val="24"/>
        </w:rPr>
      </w:pPr>
      <w:r>
        <w:rPr>
          <w:rFonts w:hint="eastAsia" w:ascii="宋体" w:hAnsi="宋体" w:cs="宋体"/>
          <w:kern w:val="0"/>
          <w:sz w:val="24"/>
          <w:szCs w:val="24"/>
        </w:rPr>
        <w:t>规划范围</w:t>
      </w:r>
    </w:p>
    <w:p>
      <w:pPr>
        <w:tabs>
          <w:tab w:val="left" w:pos="425"/>
          <w:tab w:val="left" w:pos="709"/>
        </w:tabs>
        <w:adjustRightInd w:val="0"/>
        <w:spacing w:line="520" w:lineRule="exact"/>
        <w:textAlignment w:val="baseline"/>
        <w:rPr>
          <w:rFonts w:ascii="宋体" w:cs="宋体"/>
          <w:b/>
          <w:bCs/>
          <w:kern w:val="0"/>
          <w:sz w:val="24"/>
          <w:szCs w:val="24"/>
        </w:rPr>
      </w:pPr>
      <w:r>
        <w:rPr>
          <w:rFonts w:hint="eastAsia" w:ascii="宋体" w:cs="宋体"/>
          <w:b/>
          <w:bCs/>
          <w:kern w:val="0"/>
          <w:sz w:val="24"/>
          <w:szCs w:val="24"/>
        </w:rPr>
        <w:t>二、</w:t>
      </w:r>
      <w:bookmarkEnd w:id="2"/>
      <w:r>
        <w:rPr>
          <w:rFonts w:hint="eastAsia" w:ascii="宋体" w:cs="宋体"/>
          <w:b/>
          <w:bCs/>
          <w:kern w:val="0"/>
          <w:sz w:val="24"/>
          <w:szCs w:val="24"/>
        </w:rPr>
        <w:t>设计内容</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hint="eastAsia" w:ascii="宋体" w:hAnsi="宋体" w:cs="宋体"/>
          <w:sz w:val="24"/>
        </w:rPr>
        <w:t>阳新高铁新区</w:t>
      </w:r>
      <w:r>
        <w:rPr>
          <w:rFonts w:hint="eastAsia" w:ascii="宋体" w:hAnsi="宋体" w:cs="宋体"/>
          <w:kern w:val="0"/>
          <w:sz w:val="24"/>
          <w:szCs w:val="24"/>
        </w:rPr>
        <w:t>控制性详细规划》技术成果包含：文本、图则及附件等。需要严格按照控制性详细规划编制的相关规范要求内容进行编制。重点对规划区的功能定位、发展空间、交通组织、公共服务设施、市政基础设施等进行深入研究，以落实城市总体规划意图为目的，以土地使用控制为重点，详细规定建设用地性质、使用强度和空间环境。</w:t>
      </w:r>
    </w:p>
    <w:p>
      <w:pPr>
        <w:tabs>
          <w:tab w:val="left" w:pos="425"/>
          <w:tab w:val="left" w:pos="709"/>
        </w:tabs>
        <w:adjustRightInd w:val="0"/>
        <w:spacing w:line="520" w:lineRule="exact"/>
        <w:textAlignment w:val="baseline"/>
        <w:rPr>
          <w:rFonts w:ascii="宋体" w:cs="宋体"/>
          <w:b/>
          <w:bCs/>
          <w:kern w:val="0"/>
          <w:sz w:val="24"/>
          <w:szCs w:val="24"/>
        </w:rPr>
      </w:pPr>
      <w:bookmarkStart w:id="3" w:name="_Toc8310053"/>
      <w:r>
        <w:rPr>
          <w:rFonts w:hint="eastAsia" w:ascii="宋体" w:cs="宋体"/>
          <w:b/>
          <w:bCs/>
          <w:kern w:val="0"/>
          <w:sz w:val="24"/>
          <w:szCs w:val="24"/>
        </w:rPr>
        <w:t>三、</w:t>
      </w:r>
      <w:bookmarkEnd w:id="3"/>
      <w:r>
        <w:rPr>
          <w:rFonts w:hint="eastAsia" w:ascii="宋体" w:cs="宋体"/>
          <w:b/>
          <w:bCs/>
          <w:kern w:val="0"/>
          <w:sz w:val="24"/>
          <w:szCs w:val="24"/>
        </w:rPr>
        <w:t>设计要求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前瞻性研究片区定位与主导功能。以城市总规为纲领，寻找区域支撑要素，研究前瞻性定位与职能细分。以具指导性的整体规划方案契合高铁新区的战略目标，完善阳新东部高铁片区的综合公共服务功能。</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明确</w:t>
      </w:r>
      <w:r>
        <w:rPr>
          <w:rFonts w:ascii="宋体" w:hAnsi="宋体" w:cs="宋体"/>
          <w:kern w:val="0"/>
          <w:sz w:val="24"/>
          <w:szCs w:val="24"/>
        </w:rPr>
        <w:t>空间结构。对重点地区内的土地及建筑用途进一步分析，明确需要保留的原有功能与所需补充的新功能，最终确定土地使用、功能结构及业态。</w:t>
      </w:r>
    </w:p>
    <w:p>
      <w:pPr>
        <w:tabs>
          <w:tab w:val="left" w:pos="1155"/>
        </w:tabs>
        <w:spacing w:line="520" w:lineRule="exact"/>
        <w:ind w:firstLine="480" w:firstLineChars="200"/>
        <w:rPr>
          <w:rFonts w:ascii="宋体" w:hAnsi="宋体" w:cs="宋体"/>
          <w:kern w:val="0"/>
          <w:sz w:val="24"/>
          <w:szCs w:val="24"/>
        </w:rPr>
      </w:pPr>
      <w:r>
        <w:rPr>
          <w:rFonts w:ascii="宋体" w:hAnsi="宋体" w:cs="宋体"/>
          <w:kern w:val="0"/>
          <w:sz w:val="24"/>
          <w:szCs w:val="24"/>
        </w:rPr>
        <w:t>划定功能分区。确定区域内各类土地的用地界线、用地性质，确定地块划分，根据城市建设的要求，确定各用地内适建、不适建或者有条件地允许建设的建筑类型。</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规划</w:t>
      </w:r>
      <w:r>
        <w:rPr>
          <w:rFonts w:ascii="宋体" w:hAnsi="宋体" w:cs="宋体"/>
          <w:kern w:val="0"/>
          <w:sz w:val="24"/>
          <w:szCs w:val="24"/>
        </w:rPr>
        <w:t>道路交通。在对基础资料深入研究的基础上，对规划区内外的道路交通情况进行分析，制定完整的道路系统，同时做好与周边城市交通系统的衔接。规定各级道路的红线、断面、交叉口形式及渠化措施、控制点坐标和标高。</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划定</w:t>
      </w:r>
      <w:r>
        <w:rPr>
          <w:rFonts w:ascii="宋体" w:hAnsi="宋体" w:cs="宋体"/>
          <w:kern w:val="0"/>
          <w:sz w:val="24"/>
          <w:szCs w:val="24"/>
        </w:rPr>
        <w:t>“六线”。包括道路红线、城市绿线、城市紫线、城市蓝线、城市黄线、城市橙线，进行系统规划，确定线位及相关规划控制要求。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确定</w:t>
      </w:r>
      <w:r>
        <w:rPr>
          <w:rFonts w:ascii="宋体" w:hAnsi="宋体" w:cs="宋体"/>
          <w:kern w:val="0"/>
          <w:sz w:val="24"/>
          <w:szCs w:val="24"/>
        </w:rPr>
        <w:t>公共服务设施和市政配套设施</w:t>
      </w:r>
      <w:r>
        <w:rPr>
          <w:rFonts w:hint="eastAsia" w:ascii="宋体" w:hAnsi="宋体" w:cs="宋体"/>
          <w:kern w:val="0"/>
          <w:sz w:val="24"/>
          <w:szCs w:val="24"/>
        </w:rPr>
        <w:t>的布局与规模</w:t>
      </w:r>
      <w:r>
        <w:rPr>
          <w:rFonts w:ascii="宋体" w:hAnsi="宋体" w:cs="宋体"/>
          <w:kern w:val="0"/>
          <w:sz w:val="24"/>
          <w:szCs w:val="24"/>
        </w:rPr>
        <w:t>。确定规划区内各类公共服务设施的规划原则、等级、规模、分布位置等。同时根据规划建设容量确定市政工程管线的位置、管径和工程设施的用地界线，进行管线综合，确定地下空间开发利用具体要求。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确定</w:t>
      </w:r>
      <w:r>
        <w:rPr>
          <w:rFonts w:ascii="宋体" w:hAnsi="宋体" w:cs="宋体"/>
          <w:kern w:val="0"/>
          <w:sz w:val="24"/>
          <w:szCs w:val="24"/>
        </w:rPr>
        <w:t>绿地景观</w:t>
      </w:r>
      <w:r>
        <w:rPr>
          <w:rFonts w:hint="eastAsia" w:ascii="宋体" w:hAnsi="宋体" w:cs="宋体"/>
          <w:kern w:val="0"/>
          <w:sz w:val="24"/>
          <w:szCs w:val="24"/>
        </w:rPr>
        <w:t>空间布局</w:t>
      </w:r>
      <w:r>
        <w:rPr>
          <w:rFonts w:ascii="宋体" w:hAnsi="宋体" w:cs="宋体"/>
          <w:kern w:val="0"/>
          <w:sz w:val="24"/>
          <w:szCs w:val="24"/>
        </w:rPr>
        <w:t>。提出绿地配置要求，合理配置规划区内各类绿地。</w:t>
      </w:r>
    </w:p>
    <w:p>
      <w:pPr>
        <w:tabs>
          <w:tab w:val="left" w:pos="1155"/>
        </w:tabs>
        <w:spacing w:line="520" w:lineRule="exact"/>
        <w:ind w:firstLine="480" w:firstLineChars="200"/>
        <w:rPr>
          <w:rFonts w:ascii="宋体" w:hAnsi="宋体" w:cs="宋体"/>
          <w:kern w:val="0"/>
          <w:sz w:val="24"/>
          <w:szCs w:val="24"/>
        </w:rPr>
      </w:pPr>
      <w:r>
        <w:rPr>
          <w:rFonts w:ascii="宋体" w:hAnsi="宋体" w:cs="宋体"/>
          <w:kern w:val="0"/>
          <w:sz w:val="24"/>
          <w:szCs w:val="24"/>
        </w:rPr>
        <w:t>确定规划控制指标。规定性指标包括各地块用地性质、用地面积、建筑密度、建筑控制高度、建筑红线后退距离、容积率、绿地率、用地可变性、地下空间利用、交通出入口方位、停车泊位及其他需要配置的公共设施等控制指标。指导性指标包括:人口容量、建筑形式、建筑体量、建筑色彩、建筑风格、其他环境要求。</w:t>
      </w:r>
    </w:p>
    <w:p>
      <w:pPr>
        <w:tabs>
          <w:tab w:val="left" w:pos="425"/>
          <w:tab w:val="left" w:pos="709"/>
        </w:tabs>
        <w:adjustRightInd w:val="0"/>
        <w:spacing w:line="520" w:lineRule="exact"/>
        <w:textAlignment w:val="baseline"/>
        <w:rPr>
          <w:rFonts w:ascii="宋体" w:cs="宋体"/>
          <w:b/>
          <w:bCs/>
          <w:kern w:val="0"/>
          <w:sz w:val="24"/>
          <w:szCs w:val="24"/>
        </w:rPr>
      </w:pPr>
      <w:r>
        <w:rPr>
          <w:rFonts w:hint="eastAsia" w:ascii="宋体" w:cs="宋体"/>
          <w:b/>
          <w:bCs/>
          <w:kern w:val="0"/>
          <w:sz w:val="24"/>
          <w:szCs w:val="24"/>
        </w:rPr>
        <w:t>四、规划成果提交形式及要求：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1、成果包括规划文本、图件和附件三部分。其中图件包括法定图则、技术图纸、管理图则；附件包括说明书等内容。</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2、提交正式成果文件光盘</w:t>
      </w:r>
      <w:r>
        <w:rPr>
          <w:rFonts w:ascii="宋体" w:hAnsi="宋体" w:cs="宋体"/>
          <w:kern w:val="0"/>
          <w:sz w:val="24"/>
          <w:szCs w:val="24"/>
        </w:rPr>
        <w:t>1</w:t>
      </w:r>
      <w:r>
        <w:rPr>
          <w:rFonts w:hint="eastAsia" w:ascii="宋体" w:hAnsi="宋体" w:cs="宋体"/>
          <w:kern w:val="0"/>
          <w:sz w:val="24"/>
          <w:szCs w:val="24"/>
        </w:rPr>
        <w:t>套、A3文件</w:t>
      </w:r>
      <w:r>
        <w:rPr>
          <w:rFonts w:ascii="宋体" w:hAnsi="宋体" w:cs="宋体"/>
          <w:kern w:val="0"/>
          <w:sz w:val="24"/>
          <w:szCs w:val="24"/>
        </w:rPr>
        <w:t>6</w:t>
      </w:r>
      <w:r>
        <w:rPr>
          <w:rFonts w:hint="eastAsia" w:ascii="宋体" w:hAnsi="宋体" w:cs="宋体"/>
          <w:kern w:val="0"/>
          <w:sz w:val="24"/>
          <w:szCs w:val="24"/>
        </w:rPr>
        <w:t>套。</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 xml:space="preserve">3、提交的成果必须严格按城市规划要求，并满足设计任务书的内容，应完整、系统、有条理，充分表达规划设计的内容和深度。          </w:t>
      </w:r>
    </w:p>
    <w:p>
      <w:pPr>
        <w:pStyle w:val="69"/>
        <w:numPr>
          <w:ilvl w:val="0"/>
          <w:numId w:val="0"/>
        </w:numPr>
        <w:jc w:val="both"/>
        <w:outlineLvl w:val="1"/>
        <w:rPr>
          <w:rFonts w:ascii="Arial" w:hAnsi="Arial"/>
          <w:color w:val="auto"/>
          <w:kern w:val="0"/>
          <w:sz w:val="28"/>
        </w:rPr>
      </w:pPr>
      <w:r>
        <w:rPr>
          <w:rFonts w:hint="eastAsia" w:cs="宋体"/>
          <w:kern w:val="0"/>
        </w:rPr>
        <w:t>4、图纸和文本文件必须做到清晰完整、尺寸齐全、准确，同类图纸规格统一。</w:t>
      </w:r>
      <w:r>
        <w:rPr>
          <w:rFonts w:hint="eastAsia" w:ascii="Arial" w:hAnsi="Arial"/>
          <w:color w:val="auto"/>
          <w:kern w:val="0"/>
          <w:sz w:val="28"/>
        </w:rPr>
        <w:t>五</w:t>
      </w:r>
      <w:r>
        <w:rPr>
          <w:rFonts w:ascii="Arial" w:hAnsi="Arial"/>
          <w:color w:val="auto"/>
          <w:kern w:val="0"/>
          <w:sz w:val="28"/>
        </w:rPr>
        <w:t>、其他要求</w:t>
      </w:r>
    </w:p>
    <w:p>
      <w:pPr>
        <w:pStyle w:val="69"/>
        <w:numPr>
          <w:ilvl w:val="0"/>
          <w:numId w:val="0"/>
        </w:numPr>
        <w:ind w:firstLine="480"/>
        <w:jc w:val="both"/>
        <w:rPr>
          <w:rFonts w:cs="宋体"/>
          <w:b w:val="0"/>
          <w:bCs w:val="0"/>
          <w:color w:val="auto"/>
          <w:kern w:val="0"/>
        </w:rPr>
      </w:pPr>
      <w:r>
        <w:rPr>
          <w:rFonts w:hint="eastAsia" w:cs="宋体"/>
          <w:b w:val="0"/>
          <w:bCs w:val="0"/>
          <w:color w:val="auto"/>
          <w:kern w:val="0"/>
        </w:rPr>
        <w:t>1、预算金额：75万元。</w:t>
      </w:r>
    </w:p>
    <w:p>
      <w:pPr>
        <w:pStyle w:val="69"/>
        <w:numPr>
          <w:ilvl w:val="0"/>
          <w:numId w:val="0"/>
        </w:numPr>
        <w:ind w:firstLine="480"/>
        <w:jc w:val="both"/>
        <w:rPr>
          <w:rFonts w:cs="宋体"/>
          <w:b w:val="0"/>
          <w:bCs w:val="0"/>
          <w:color w:val="auto"/>
          <w:kern w:val="0"/>
        </w:rPr>
      </w:pPr>
      <w:r>
        <w:rPr>
          <w:rFonts w:hint="eastAsia" w:cs="宋体"/>
          <w:b w:val="0"/>
          <w:bCs w:val="0"/>
          <w:color w:val="auto"/>
          <w:kern w:val="0"/>
        </w:rPr>
        <w:t>2</w:t>
      </w:r>
      <w:r>
        <w:rPr>
          <w:rFonts w:cs="宋体"/>
          <w:b w:val="0"/>
          <w:bCs w:val="0"/>
          <w:color w:val="auto"/>
          <w:kern w:val="0"/>
        </w:rPr>
        <w:t>、付款方式：合同签订后付</w:t>
      </w:r>
      <w:r>
        <w:rPr>
          <w:rFonts w:hint="eastAsia" w:cs="宋体"/>
          <w:b w:val="0"/>
          <w:bCs w:val="0"/>
          <w:color w:val="auto"/>
          <w:kern w:val="0"/>
        </w:rPr>
        <w:t>3</w:t>
      </w:r>
      <w:r>
        <w:rPr>
          <w:rFonts w:cs="宋体"/>
          <w:b w:val="0"/>
          <w:bCs w:val="0"/>
          <w:color w:val="auto"/>
          <w:kern w:val="0"/>
        </w:rPr>
        <w:t>0%，</w:t>
      </w:r>
      <w:r>
        <w:rPr>
          <w:rFonts w:hint="eastAsia" w:cs="宋体"/>
          <w:b w:val="0"/>
          <w:bCs w:val="0"/>
          <w:color w:val="auto"/>
          <w:kern w:val="0"/>
        </w:rPr>
        <w:t>专家评审通过后付40%，余款最终成果提交后付清</w:t>
      </w:r>
      <w:r>
        <w:rPr>
          <w:rFonts w:cs="宋体"/>
          <w:b w:val="0"/>
          <w:bCs w:val="0"/>
          <w:color w:val="auto"/>
          <w:kern w:val="0"/>
        </w:rPr>
        <w:t>。</w:t>
      </w:r>
    </w:p>
    <w:p>
      <w:pPr>
        <w:pStyle w:val="69"/>
        <w:numPr>
          <w:ilvl w:val="0"/>
          <w:numId w:val="0"/>
        </w:numPr>
        <w:ind w:firstLine="480"/>
        <w:jc w:val="both"/>
        <w:rPr>
          <w:rFonts w:cs="宋体"/>
          <w:b w:val="0"/>
          <w:bCs w:val="0"/>
          <w:color w:val="auto"/>
          <w:kern w:val="0"/>
        </w:rPr>
      </w:pPr>
      <w:r>
        <w:rPr>
          <w:rFonts w:hint="eastAsia" w:cs="宋体"/>
          <w:b w:val="0"/>
          <w:bCs w:val="0"/>
          <w:color w:val="auto"/>
          <w:kern w:val="0"/>
        </w:rPr>
        <w:t>3、服务期：2021年底出初步成果，2022年4月底交最终成果。</w:t>
      </w:r>
    </w:p>
    <w:p/>
    <w:p>
      <w:pPr>
        <w:spacing w:line="360" w:lineRule="auto"/>
        <w:rPr>
          <w:sz w:val="32"/>
          <w:szCs w:val="32"/>
        </w:rPr>
      </w:pPr>
    </w:p>
    <w:p>
      <w:pPr>
        <w:pStyle w:val="2"/>
      </w:pPr>
    </w:p>
    <w:p/>
    <w:p>
      <w:pPr>
        <w:pStyle w:val="2"/>
      </w:pPr>
    </w:p>
    <w:p/>
    <w:p>
      <w:pPr>
        <w:pStyle w:val="2"/>
      </w:pPr>
    </w:p>
    <w:p/>
    <w:p>
      <w:pPr>
        <w:spacing w:line="360" w:lineRule="auto"/>
        <w:rPr>
          <w:sz w:val="32"/>
          <w:szCs w:val="32"/>
        </w:rPr>
      </w:pPr>
    </w:p>
    <w:p>
      <w:pPr>
        <w:spacing w:line="360" w:lineRule="auto"/>
        <w:rPr>
          <w:sz w:val="32"/>
          <w:szCs w:val="32"/>
        </w:rPr>
      </w:pPr>
    </w:p>
    <w:p>
      <w:pPr>
        <w:spacing w:line="360" w:lineRule="auto"/>
        <w:rPr>
          <w:sz w:val="32"/>
          <w:szCs w:val="32"/>
        </w:rPr>
      </w:pPr>
      <w:r>
        <w:rPr>
          <w:rFonts w:hint="eastAsia"/>
          <w:sz w:val="32"/>
          <w:szCs w:val="32"/>
        </w:rPr>
        <w:t>附件2：</w:t>
      </w:r>
    </w:p>
    <w:p>
      <w:pPr>
        <w:jc w:val="center"/>
        <w:rPr>
          <w:rFonts w:ascii="宋体" w:hAnsi="宋体"/>
          <w:sz w:val="24"/>
          <w:szCs w:val="24"/>
        </w:rPr>
      </w:pPr>
      <w:r>
        <w:rPr>
          <w:rFonts w:hint="eastAsia" w:ascii="宋体" w:hAnsi="宋体"/>
          <w:sz w:val="24"/>
          <w:szCs w:val="24"/>
        </w:rPr>
        <w:t>供应商报名表</w:t>
      </w:r>
    </w:p>
    <w:p>
      <w:pPr>
        <w:rPr>
          <w:rFonts w:ascii="宋体" w:hAnsi="宋体"/>
          <w:sz w:val="24"/>
          <w:szCs w:val="24"/>
        </w:rPr>
      </w:pPr>
      <w:r>
        <w:rPr>
          <w:rFonts w:hint="eastAsia" w:ascii="宋体" w:hAnsi="宋体"/>
          <w:sz w:val="24"/>
          <w:szCs w:val="24"/>
        </w:rPr>
        <w:t>项目编号：</w:t>
      </w:r>
      <w:r>
        <w:rPr>
          <w:rFonts w:hint="eastAsia" w:ascii="宋体" w:hAnsi="宋体"/>
          <w:sz w:val="24"/>
          <w:szCs w:val="24"/>
          <w:u w:val="single"/>
        </w:rPr>
        <w:t xml:space="preserve"> 131-2021CG-</w:t>
      </w:r>
      <w:r>
        <w:rPr>
          <w:rFonts w:hint="eastAsia" w:ascii="宋体" w:hAnsi="宋体"/>
          <w:sz w:val="24"/>
          <w:szCs w:val="24"/>
          <w:u w:val="single"/>
          <w:lang w:val="en-US" w:eastAsia="zh-CN"/>
        </w:rPr>
        <w:t>217</w:t>
      </w:r>
      <w:r>
        <w:rPr>
          <w:rFonts w:hint="eastAsia" w:ascii="宋体" w:hAnsi="宋体"/>
          <w:sz w:val="24"/>
          <w:szCs w:val="24"/>
          <w:u w:val="single"/>
        </w:rPr>
        <w:t xml:space="preserve">     </w:t>
      </w:r>
    </w:p>
    <w:p>
      <w:pPr>
        <w:autoSpaceDE w:val="0"/>
        <w:autoSpaceDN w:val="0"/>
        <w:adjustRightInd w:val="0"/>
        <w:spacing w:line="360" w:lineRule="auto"/>
        <w:rPr>
          <w:rFonts w:ascii="宋体" w:cs="宋体"/>
          <w:b/>
          <w:bCs/>
          <w:sz w:val="30"/>
          <w:szCs w:val="30"/>
          <w:lang w:val="zh-CN"/>
        </w:rPr>
      </w:pPr>
      <w:r>
        <w:rPr>
          <w:rFonts w:hint="eastAsia" w:ascii="宋体" w:hAnsi="宋体"/>
          <w:sz w:val="24"/>
          <w:szCs w:val="24"/>
        </w:rPr>
        <w:t xml:space="preserve">项目名称：阳新县高铁新区控制性详细规划项目 </w:t>
      </w:r>
      <w:r>
        <w:rPr>
          <w:rFonts w:hint="eastAsia"/>
          <w:sz w:val="28"/>
          <w:szCs w:val="28"/>
        </w:rPr>
        <w:t xml:space="preserve">       </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6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30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ascii="宋体" w:hAnsi="宋体" w:cs="宋体"/>
                <w:kern w:val="0"/>
                <w:sz w:val="24"/>
                <w:szCs w:val="24"/>
              </w:rPr>
              <w:t>供应商名称（盖章）</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8"/>
                <w:szCs w:val="28"/>
              </w:rPr>
            </w:pPr>
            <w:r>
              <w:rPr>
                <w:rFonts w:hint="eastAsia" w:ascii="宋体" w:hAnsi="宋体" w:cs="宋体"/>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0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ascii="宋体" w:hAnsi="宋体" w:cs="宋体"/>
                <w:kern w:val="0"/>
                <w:sz w:val="24"/>
                <w:szCs w:val="24"/>
              </w:rPr>
              <w:t>联系人姓名</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8"/>
                <w:szCs w:val="28"/>
              </w:rPr>
            </w:pPr>
            <w:r>
              <w:rPr>
                <w:rFonts w:hint="eastAsia" w:ascii="宋体" w:hAnsi="宋体" w:cs="宋体"/>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30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ascii="宋体" w:hAnsi="宋体" w:cs="宋体"/>
                <w:kern w:val="0"/>
                <w:sz w:val="24"/>
                <w:szCs w:val="24"/>
              </w:rPr>
              <w:t>联系人电话（办公电话和手机）</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8"/>
                <w:szCs w:val="28"/>
              </w:rPr>
            </w:pPr>
            <w:r>
              <w:rPr>
                <w:rFonts w:hint="eastAsia" w:ascii="宋体" w:hAnsi="宋体" w:cs="宋体"/>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30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ascii="宋体" w:hAnsi="宋体" w:cs="宋体"/>
                <w:kern w:val="0"/>
                <w:sz w:val="24"/>
                <w:szCs w:val="24"/>
              </w:rPr>
              <w:t>联系人邮箱</w:t>
            </w:r>
          </w:p>
        </w:tc>
        <w:tc>
          <w:tcPr>
            <w:tcW w:w="64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8"/>
                <w:szCs w:val="28"/>
              </w:rPr>
            </w:pPr>
            <w:r>
              <w:rPr>
                <w:rFonts w:hint="eastAsia" w:ascii="宋体" w:hAnsi="宋体" w:cs="宋体"/>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30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ascii="宋体" w:hAnsi="宋体"/>
                <w:color w:val="000000"/>
                <w:sz w:val="24"/>
                <w:szCs w:val="24"/>
              </w:rPr>
            </w:pPr>
            <w:r>
              <w:rPr>
                <w:rFonts w:hint="eastAsia" w:ascii="宋体" w:hAnsi="宋体"/>
                <w:color w:val="000000"/>
                <w:sz w:val="24"/>
                <w:szCs w:val="24"/>
              </w:rPr>
              <w:t>供应商提供的</w:t>
            </w:r>
          </w:p>
          <w:p>
            <w:pPr>
              <w:widowControl/>
              <w:spacing w:before="100" w:beforeAutospacing="1" w:after="100" w:afterAutospacing="1"/>
              <w:jc w:val="left"/>
              <w:rPr>
                <w:rFonts w:ascii="宋体" w:hAnsi="宋体"/>
                <w:color w:val="000000"/>
                <w:sz w:val="24"/>
                <w:szCs w:val="24"/>
              </w:rPr>
            </w:pPr>
            <w:r>
              <w:rPr>
                <w:rFonts w:hint="eastAsia" w:ascii="宋体" w:hAnsi="宋体"/>
                <w:color w:val="000000"/>
                <w:sz w:val="24"/>
                <w:szCs w:val="24"/>
              </w:rPr>
              <w:t>报名资料</w:t>
            </w: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ascii="宋体" w:hAnsi="宋体"/>
                <w:color w:val="000000"/>
                <w:sz w:val="24"/>
                <w:szCs w:val="24"/>
              </w:rPr>
            </w:pPr>
            <w:r>
              <w:rPr>
                <w:rFonts w:hint="eastAsia" w:ascii="宋体" w:hAnsi="宋体"/>
                <w:color w:val="000000"/>
                <w:sz w:val="24"/>
                <w:szCs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ascii="宋体" w:hAnsi="宋体"/>
                <w:color w:val="000000"/>
                <w:sz w:val="24"/>
                <w:szCs w:val="24"/>
              </w:rPr>
            </w:pPr>
            <w:r>
              <w:rPr>
                <w:rFonts w:hint="eastAsia" w:ascii="宋体" w:hAnsi="宋体"/>
                <w:color w:val="000000"/>
                <w:sz w:val="24"/>
                <w:szCs w:val="24"/>
              </w:rPr>
              <w:t>2.财务状况报告，依法缴纳税收的相关材料。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ascii="宋体" w:hAnsi="宋体"/>
                <w:color w:val="000000"/>
                <w:sz w:val="24"/>
                <w:szCs w:val="24"/>
              </w:rPr>
            </w:pPr>
            <w:r>
              <w:rPr>
                <w:rFonts w:hint="eastAsia" w:ascii="宋体" w:hAnsi="宋体"/>
                <w:color w:val="000000"/>
                <w:sz w:val="24"/>
                <w:szCs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ascii="宋体" w:hAnsi="宋体"/>
                <w:color w:val="000000"/>
                <w:sz w:val="24"/>
                <w:szCs w:val="24"/>
              </w:rPr>
            </w:pPr>
            <w:r>
              <w:rPr>
                <w:rFonts w:hint="eastAsia" w:ascii="宋体" w:hAnsi="宋体"/>
                <w:color w:val="000000"/>
                <w:sz w:val="24"/>
                <w:szCs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ascii="宋体" w:hAnsi="宋体"/>
                <w:color w:val="000000"/>
                <w:sz w:val="24"/>
                <w:szCs w:val="24"/>
              </w:rPr>
            </w:pPr>
            <w:r>
              <w:rPr>
                <w:rFonts w:hint="eastAsia" w:ascii="宋体" w:hAnsi="宋体"/>
                <w:color w:val="000000"/>
                <w:sz w:val="24"/>
                <w:szCs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ascii="宋体" w:hAnsi="宋体"/>
                <w:color w:val="000000"/>
                <w:sz w:val="24"/>
                <w:szCs w:val="24"/>
              </w:rPr>
            </w:pPr>
            <w:r>
              <w:rPr>
                <w:rFonts w:hint="eastAsia" w:ascii="宋体" w:hAnsi="宋体"/>
                <w:color w:val="000000"/>
                <w:sz w:val="24"/>
                <w:szCs w:val="24"/>
              </w:rPr>
              <w:t>6. 未被列入“信用中国”网站(www.creditchina.gov.cn)失信被执行人、重大税收违法案件当事人名单和“中国政府采购”网站（www.ccgp.gov.cn）政府采购严重违法失信行为记录名单的网页打印件。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spacing w:line="100" w:lineRule="atLeast"/>
              <w:rPr>
                <w:rFonts w:hint="default" w:ascii="宋体" w:hAnsi="宋体" w:eastAsia="宋体"/>
                <w:color w:val="000000"/>
                <w:sz w:val="24"/>
                <w:szCs w:val="24"/>
                <w:lang w:val="en-US" w:eastAsia="zh-CN"/>
              </w:rPr>
            </w:pPr>
            <w:r>
              <w:rPr>
                <w:rFonts w:hint="eastAsia" w:ascii="宋体" w:hAnsi="宋体"/>
                <w:color w:val="000000"/>
                <w:sz w:val="24"/>
                <w:szCs w:val="24"/>
                <w:lang w:val="en-US" w:eastAsia="zh-CN"/>
              </w:rPr>
              <w:t>7.提供中小企业声明函。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302" w:type="dxa"/>
            <w:vMerge w:val="continue"/>
            <w:tcBorders>
              <w:left w:val="single" w:color="auto" w:sz="4" w:space="0"/>
              <w:right w:val="single" w:color="auto" w:sz="4" w:space="0"/>
            </w:tcBorders>
            <w:vAlign w:val="center"/>
          </w:tcPr>
          <w:p>
            <w:pPr>
              <w:widowControl/>
              <w:jc w:val="left"/>
              <w:rPr>
                <w:rFonts w:ascii="宋体" w:hAnsi="宋体"/>
                <w:color w:val="000000"/>
                <w:sz w:val="24"/>
                <w:szCs w:val="24"/>
              </w:rPr>
            </w:pPr>
          </w:p>
        </w:tc>
        <w:tc>
          <w:tcPr>
            <w:tcW w:w="6482" w:type="dxa"/>
            <w:tcBorders>
              <w:top w:val="single" w:color="auto" w:sz="4" w:space="0"/>
              <w:left w:val="single" w:color="auto" w:sz="4" w:space="0"/>
              <w:bottom w:val="single" w:color="auto" w:sz="4" w:space="0"/>
              <w:right w:val="single" w:color="auto" w:sz="4" w:space="0"/>
            </w:tcBorders>
          </w:tcPr>
          <w:p>
            <w:pPr>
              <w:jc w:val="left"/>
              <w:rPr>
                <w:rFonts w:ascii="宋体" w:hAnsi="宋体"/>
                <w:color w:val="000000"/>
                <w:sz w:val="24"/>
                <w:szCs w:val="24"/>
              </w:rPr>
            </w:pPr>
            <w:r>
              <w:rPr>
                <w:rFonts w:hint="eastAsia" w:ascii="宋体" w:hAnsi="宋体"/>
                <w:color w:val="000000"/>
                <w:sz w:val="24"/>
                <w:szCs w:val="24"/>
                <w:lang w:val="en-US" w:eastAsia="zh-CN"/>
              </w:rPr>
              <w:t>8</w:t>
            </w:r>
            <w:r>
              <w:rPr>
                <w:rFonts w:hint="eastAsia" w:ascii="宋体" w:hAnsi="宋体"/>
                <w:color w:val="000000"/>
                <w:sz w:val="24"/>
                <w:szCs w:val="24"/>
              </w:rPr>
              <w:t>.特定条件：</w:t>
            </w:r>
          </w:p>
          <w:p>
            <w:pPr>
              <w:adjustRightInd w:val="0"/>
              <w:snapToGrid w:val="0"/>
              <w:spacing w:line="460" w:lineRule="exact"/>
              <w:rPr>
                <w:rFonts w:ascii="宋体" w:hAnsi="宋体"/>
                <w:color w:val="FF0000"/>
                <w:sz w:val="24"/>
                <w:szCs w:val="24"/>
              </w:rPr>
            </w:pPr>
            <w:r>
              <w:rPr>
                <w:rFonts w:hint="eastAsia" w:ascii="宋体" w:hAnsi="宋体"/>
                <w:color w:val="000000"/>
                <w:sz w:val="24"/>
                <w:szCs w:val="24"/>
              </w:rPr>
              <w:t>供应商需具备建设行政主管部门颁发的城乡规划编制乙级及以上资质。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302" w:type="dxa"/>
            <w:tcBorders>
              <w:left w:val="single" w:color="auto" w:sz="4" w:space="0"/>
              <w:bottom w:val="single" w:color="auto" w:sz="4" w:space="0"/>
              <w:right w:val="single" w:color="auto" w:sz="4" w:space="0"/>
            </w:tcBorders>
          </w:tcPr>
          <w:p>
            <w:pPr>
              <w:rPr>
                <w:rFonts w:ascii="宋体" w:hAnsi="宋体"/>
                <w:b/>
                <w:sz w:val="24"/>
                <w:szCs w:val="24"/>
              </w:rPr>
            </w:pPr>
            <w:r>
              <w:rPr>
                <w:rFonts w:hint="eastAsia" w:ascii="宋体" w:hAnsi="宋体"/>
                <w:b/>
                <w:sz w:val="24"/>
                <w:szCs w:val="24"/>
              </w:rPr>
              <w:t>供应商意见</w:t>
            </w:r>
          </w:p>
        </w:tc>
        <w:tc>
          <w:tcPr>
            <w:tcW w:w="6482" w:type="dxa"/>
            <w:tcBorders>
              <w:top w:val="single" w:color="auto" w:sz="4" w:space="0"/>
              <w:left w:val="single" w:color="auto" w:sz="4" w:space="0"/>
              <w:bottom w:val="single" w:color="auto" w:sz="4" w:space="0"/>
              <w:right w:val="single" w:color="auto" w:sz="4" w:space="0"/>
            </w:tcBorders>
          </w:tcPr>
          <w:p>
            <w:pPr>
              <w:rPr>
                <w:rFonts w:ascii="宋体" w:hAnsi="宋体"/>
                <w:b/>
                <w:sz w:val="24"/>
                <w:szCs w:val="24"/>
              </w:rPr>
            </w:pPr>
            <w:r>
              <w:rPr>
                <w:rFonts w:hint="eastAsia" w:ascii="宋体" w:hAnsi="宋体"/>
                <w:b/>
                <w:sz w:val="24"/>
                <w:szCs w:val="24"/>
              </w:rPr>
              <w:t>供应商可对本项目采购需求及评分标准的公正性、专业性、合理性等提出自己正确的意见、建议等（可另页详细表述）。</w:t>
            </w:r>
          </w:p>
        </w:tc>
      </w:tr>
    </w:tbl>
    <w:p>
      <w:pPr>
        <w:pStyle w:val="14"/>
        <w:shd w:val="clear" w:color="auto" w:fill="FFFFFF"/>
        <w:spacing w:before="150" w:beforeAutospacing="0" w:after="150" w:afterAutospacing="0" w:line="240" w:lineRule="atLeast"/>
        <w:rPr>
          <w:rStyle w:val="18"/>
          <w:rFonts w:ascii="黑体" w:hAnsi="黑体" w:eastAsia="黑体" w:cs="黑体"/>
          <w:b w:val="0"/>
          <w:sz w:val="21"/>
          <w:szCs w:val="21"/>
        </w:rPr>
      </w:pPr>
      <w:r>
        <w:rPr>
          <w:rStyle w:val="18"/>
          <w:rFonts w:hint="eastAsia" w:ascii="黑体" w:hAnsi="黑体" w:eastAsia="黑体" w:cs="黑体"/>
          <w:b w:val="0"/>
          <w:sz w:val="21"/>
          <w:szCs w:val="21"/>
        </w:rPr>
        <w:t>注意事项：</w:t>
      </w:r>
    </w:p>
    <w:p>
      <w:pPr>
        <w:pStyle w:val="14"/>
        <w:shd w:val="clear" w:color="auto" w:fill="FFFFFF"/>
        <w:spacing w:before="150" w:beforeAutospacing="0" w:after="150" w:afterAutospacing="0" w:line="200" w:lineRule="atLeast"/>
        <w:ind w:left="147" w:firstLine="420" w:firstLineChars="200"/>
        <w:rPr>
          <w:rStyle w:val="18"/>
          <w:b w:val="0"/>
          <w:sz w:val="21"/>
          <w:szCs w:val="21"/>
        </w:rPr>
      </w:pPr>
      <w:r>
        <w:rPr>
          <w:rFonts w:hint="eastAsia"/>
          <w:sz w:val="21"/>
          <w:szCs w:val="21"/>
        </w:rPr>
        <w:t>1.供应商必须严格按照公告的内容和要求，完整递交有关资料，</w:t>
      </w:r>
      <w:r>
        <w:rPr>
          <w:rStyle w:val="18"/>
          <w:rFonts w:hint="eastAsia"/>
          <w:b w:val="0"/>
          <w:sz w:val="21"/>
          <w:szCs w:val="21"/>
        </w:rPr>
        <w:t>逾期递交的将予以拒收。</w:t>
      </w:r>
    </w:p>
    <w:p>
      <w:pPr>
        <w:pStyle w:val="14"/>
        <w:shd w:val="clear" w:color="auto" w:fill="FFFFFF"/>
        <w:spacing w:before="150" w:beforeAutospacing="0" w:after="150" w:afterAutospacing="0" w:line="200" w:lineRule="atLeast"/>
        <w:ind w:left="147" w:firstLine="420" w:firstLineChars="200"/>
        <w:rPr>
          <w:rFonts w:ascii="宋体" w:hAnsi="宋体" w:cs="宋体"/>
          <w:bCs/>
          <w:sz w:val="21"/>
          <w:szCs w:val="21"/>
        </w:rPr>
      </w:pPr>
      <w:r>
        <w:rPr>
          <w:rFonts w:ascii="宋体" w:hAnsi="宋体" w:cs="宋体"/>
          <w:sz w:val="21"/>
          <w:szCs w:val="21"/>
        </w:rPr>
        <w:t>2.</w:t>
      </w:r>
      <w:r>
        <w:rPr>
          <w:rFonts w:ascii="宋体" w:hAnsi="宋体" w:cs="宋体"/>
          <w:bCs/>
          <w:sz w:val="21"/>
          <w:szCs w:val="21"/>
        </w:rPr>
        <w:t xml:space="preserve">供应商所递交的资料（全部盖有单位公章）必须为一般常用电脑办公软件能够读取的清晰、易于辨识的彩色电子扫描件、照片（相关证书和证明材料的原件）,并对其递交资料内容的真实性、有效性及完整性负责，如提供文件资料有错漏、模糊不清、复印件的电子扫描件、照片、无法读取识别或弄虚作假等，一律属于无效文件。 </w:t>
      </w:r>
    </w:p>
    <w:p>
      <w:pPr>
        <w:pStyle w:val="14"/>
        <w:shd w:val="clear" w:color="auto" w:fill="FFFFFF"/>
        <w:spacing w:before="150" w:beforeAutospacing="0" w:after="150" w:afterAutospacing="0" w:line="200" w:lineRule="atLeast"/>
        <w:ind w:left="147" w:firstLine="420" w:firstLineChars="200"/>
        <w:rPr>
          <w:rFonts w:ascii="宋体" w:hAnsi="宋体" w:cs="宋体"/>
          <w:bCs/>
          <w:sz w:val="21"/>
          <w:szCs w:val="21"/>
        </w:rPr>
      </w:pPr>
      <w:r>
        <w:rPr>
          <w:rFonts w:hint="eastAsia" w:ascii="宋体" w:hAnsi="宋体" w:cs="宋体"/>
          <w:bCs/>
          <w:sz w:val="21"/>
          <w:szCs w:val="21"/>
        </w:rPr>
        <w:t>3.为保证报名资料的完整性，针对每一家报名供应商我单位只接受一次一个压缩文件包。</w:t>
      </w:r>
    </w:p>
    <w:p>
      <w:pPr>
        <w:pStyle w:val="14"/>
        <w:shd w:val="clear" w:color="auto" w:fill="FFFFFF"/>
        <w:spacing w:before="150" w:beforeAutospacing="0" w:after="150" w:afterAutospacing="0" w:line="200" w:lineRule="atLeast"/>
        <w:ind w:left="147" w:firstLine="420" w:firstLineChars="200"/>
        <w:rPr>
          <w:rFonts w:ascii="宋体" w:hAnsi="宋体"/>
          <w:b/>
          <w:sz w:val="28"/>
          <w:szCs w:val="28"/>
        </w:rPr>
      </w:pPr>
      <w:r>
        <w:rPr>
          <w:rFonts w:hint="eastAsia"/>
          <w:sz w:val="21"/>
          <w:szCs w:val="21"/>
        </w:rPr>
        <w:t>3.须在邮件（附件文件名注明公司全称）注明公司全称、项目名称、包号及项目编号（不注明我单位将拒收报名邮件）。</w:t>
      </w:r>
    </w:p>
    <w:p>
      <w:pPr>
        <w:adjustRightInd w:val="0"/>
        <w:snapToGrid w:val="0"/>
        <w:spacing w:line="360" w:lineRule="auto"/>
        <w:outlineLvl w:val="0"/>
        <w:rPr>
          <w:rFonts w:ascii="宋体" w:hAnsi="宋体"/>
          <w:b/>
          <w:sz w:val="28"/>
          <w:szCs w:val="28"/>
        </w:rPr>
      </w:pPr>
      <w:r>
        <w:rPr>
          <w:rFonts w:hint="eastAsia" w:ascii="宋体" w:hAnsi="宋体"/>
          <w:b/>
          <w:sz w:val="28"/>
          <w:szCs w:val="28"/>
        </w:rPr>
        <w:t>评分标准如下：</w:t>
      </w:r>
    </w:p>
    <w:tbl>
      <w:tblPr>
        <w:tblStyle w:val="15"/>
        <w:tblW w:w="9726" w:type="dxa"/>
        <w:tblInd w:w="-176"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10"/>
        <w:gridCol w:w="1559"/>
        <w:gridCol w:w="709"/>
        <w:gridCol w:w="674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5" w:hRule="atLeast"/>
        </w:trPr>
        <w:tc>
          <w:tcPr>
            <w:tcW w:w="710" w:type="dxa"/>
            <w:tcBorders>
              <w:bottom w:val="single" w:color="000000" w:sz="4" w:space="0"/>
              <w:right w:val="single" w:color="000000" w:sz="4" w:space="0"/>
            </w:tcBorders>
            <w:shd w:val="clear" w:color="auto" w:fill="D7D7D7"/>
            <w:vAlign w:val="center"/>
          </w:tcPr>
          <w:p>
            <w:pPr>
              <w:spacing w:line="300" w:lineRule="exact"/>
              <w:jc w:val="center"/>
              <w:rPr>
                <w:rFonts w:ascii="宋体" w:hAnsi="宋体" w:cs="宋体"/>
                <w:b/>
                <w:kern w:val="0"/>
                <w:szCs w:val="21"/>
              </w:rPr>
            </w:pPr>
            <w:r>
              <w:rPr>
                <w:rFonts w:hint="eastAsia" w:ascii="宋体" w:hAnsi="宋体" w:cs="宋体"/>
                <w:b/>
                <w:kern w:val="0"/>
                <w:szCs w:val="21"/>
              </w:rPr>
              <w:t>评分</w:t>
            </w:r>
          </w:p>
          <w:p>
            <w:pPr>
              <w:spacing w:line="300" w:lineRule="exact"/>
              <w:jc w:val="center"/>
              <w:rPr>
                <w:rFonts w:ascii="宋体" w:hAnsi="宋体" w:cs="宋体"/>
                <w:b/>
                <w:kern w:val="1"/>
                <w:szCs w:val="21"/>
              </w:rPr>
            </w:pPr>
            <w:r>
              <w:rPr>
                <w:rFonts w:hint="eastAsia" w:ascii="宋体" w:hAnsi="宋体" w:cs="宋体"/>
                <w:b/>
                <w:kern w:val="0"/>
                <w:szCs w:val="21"/>
              </w:rPr>
              <w:t>项目</w:t>
            </w:r>
          </w:p>
        </w:tc>
        <w:tc>
          <w:tcPr>
            <w:tcW w:w="1559" w:type="dxa"/>
            <w:tcBorders>
              <w:bottom w:val="single" w:color="000000" w:sz="4" w:space="0"/>
              <w:right w:val="single" w:color="000000" w:sz="4" w:space="0"/>
            </w:tcBorders>
            <w:shd w:val="clear" w:color="auto" w:fill="D7D7D7"/>
            <w:vAlign w:val="center"/>
          </w:tcPr>
          <w:p>
            <w:pPr>
              <w:spacing w:line="300" w:lineRule="exact"/>
              <w:jc w:val="center"/>
              <w:rPr>
                <w:rFonts w:ascii="宋体" w:hAnsi="宋体" w:cs="宋体"/>
                <w:b/>
                <w:kern w:val="1"/>
                <w:szCs w:val="21"/>
              </w:rPr>
            </w:pPr>
            <w:r>
              <w:rPr>
                <w:rFonts w:hint="eastAsia" w:ascii="宋体" w:hAnsi="宋体" w:cs="宋体"/>
                <w:b/>
                <w:kern w:val="0"/>
                <w:szCs w:val="21"/>
              </w:rPr>
              <w:t>分项内容</w:t>
            </w:r>
          </w:p>
        </w:tc>
        <w:tc>
          <w:tcPr>
            <w:tcW w:w="709" w:type="dxa"/>
            <w:tcBorders>
              <w:bottom w:val="single" w:color="000000" w:sz="4" w:space="0"/>
              <w:right w:val="single" w:color="000000" w:sz="4" w:space="0"/>
            </w:tcBorders>
            <w:shd w:val="clear" w:color="auto" w:fill="D7D7D7"/>
            <w:vAlign w:val="center"/>
          </w:tcPr>
          <w:p>
            <w:pPr>
              <w:spacing w:line="300" w:lineRule="exact"/>
              <w:jc w:val="center"/>
              <w:rPr>
                <w:rFonts w:ascii="宋体" w:hAnsi="宋体" w:cs="宋体"/>
                <w:b/>
                <w:kern w:val="1"/>
                <w:szCs w:val="21"/>
              </w:rPr>
            </w:pPr>
            <w:r>
              <w:rPr>
                <w:rFonts w:hint="eastAsia" w:ascii="宋体" w:hAnsi="宋体" w:cs="宋体"/>
                <w:b/>
                <w:kern w:val="0"/>
                <w:szCs w:val="21"/>
              </w:rPr>
              <w:t>分值</w:t>
            </w:r>
          </w:p>
        </w:tc>
        <w:tc>
          <w:tcPr>
            <w:tcW w:w="6748" w:type="dxa"/>
            <w:tcBorders>
              <w:bottom w:val="single" w:color="000000" w:sz="4" w:space="0"/>
            </w:tcBorders>
            <w:shd w:val="clear" w:color="auto" w:fill="D7D7D7"/>
            <w:vAlign w:val="center"/>
          </w:tcPr>
          <w:p>
            <w:pPr>
              <w:spacing w:line="300" w:lineRule="exact"/>
              <w:jc w:val="center"/>
              <w:rPr>
                <w:rFonts w:ascii="宋体" w:hAnsi="宋体" w:cs="宋体"/>
                <w:b/>
                <w:kern w:val="1"/>
                <w:szCs w:val="21"/>
              </w:rPr>
            </w:pPr>
            <w:r>
              <w:rPr>
                <w:rFonts w:hint="eastAsia" w:ascii="宋体" w:hAnsi="宋体" w:cs="宋体"/>
                <w:b/>
                <w:kern w:val="0"/>
                <w:szCs w:val="21"/>
              </w:rPr>
              <w:t>评分说明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6" w:hRule="atLeast"/>
        </w:trPr>
        <w:tc>
          <w:tcPr>
            <w:tcW w:w="710" w:type="dxa"/>
            <w:tcBorders>
              <w:top w:val="single" w:color="000000" w:sz="4" w:space="0"/>
              <w:bottom w:val="single" w:color="000000" w:sz="4" w:space="0"/>
              <w:right w:val="single" w:color="000000" w:sz="4" w:space="0"/>
            </w:tcBorders>
            <w:vAlign w:val="center"/>
          </w:tcPr>
          <w:p>
            <w:pPr>
              <w:spacing w:line="300" w:lineRule="exact"/>
              <w:jc w:val="center"/>
              <w:rPr>
                <w:rFonts w:ascii="宋体" w:hAnsi="宋体" w:cs="宋体"/>
                <w:kern w:val="1"/>
                <w:szCs w:val="21"/>
              </w:rPr>
            </w:pPr>
            <w:r>
              <w:rPr>
                <w:rFonts w:hint="eastAsia" w:ascii="宋体" w:hAnsi="宋体" w:cs="宋体"/>
                <w:kern w:val="1"/>
                <w:szCs w:val="21"/>
              </w:rPr>
              <w:t>报价</w:t>
            </w:r>
          </w:p>
          <w:p>
            <w:pPr>
              <w:spacing w:line="300" w:lineRule="exact"/>
              <w:jc w:val="center"/>
              <w:rPr>
                <w:rFonts w:ascii="宋体" w:hAnsi="宋体" w:cs="宋体"/>
                <w:kern w:val="1"/>
                <w:szCs w:val="21"/>
              </w:rPr>
            </w:pPr>
            <w:r>
              <w:rPr>
                <w:rFonts w:ascii="宋体" w:hAnsi="宋体" w:cs="宋体"/>
                <w:kern w:val="1"/>
                <w:szCs w:val="21"/>
              </w:rPr>
              <w:t>部分</w:t>
            </w:r>
          </w:p>
          <w:p>
            <w:pPr>
              <w:spacing w:line="300" w:lineRule="exact"/>
              <w:jc w:val="center"/>
              <w:rPr>
                <w:rFonts w:ascii="宋体" w:hAnsi="宋体" w:cs="宋体"/>
                <w:kern w:val="1"/>
                <w:szCs w:val="21"/>
              </w:rPr>
            </w:pPr>
            <w:r>
              <w:rPr>
                <w:rFonts w:hint="eastAsia" w:ascii="宋体" w:hAnsi="宋体" w:cs="宋体"/>
                <w:kern w:val="1"/>
                <w:szCs w:val="21"/>
              </w:rPr>
              <w:t>（10分）</w:t>
            </w:r>
          </w:p>
        </w:tc>
        <w:tc>
          <w:tcPr>
            <w:tcW w:w="1559" w:type="dxa"/>
            <w:tcBorders>
              <w:top w:val="single" w:color="000000" w:sz="4" w:space="0"/>
              <w:bottom w:val="single" w:color="000000" w:sz="4" w:space="0"/>
              <w:right w:val="single" w:color="000000" w:sz="4" w:space="0"/>
            </w:tcBorders>
            <w:vAlign w:val="center"/>
          </w:tcPr>
          <w:p>
            <w:pPr>
              <w:spacing w:line="300" w:lineRule="exact"/>
              <w:jc w:val="center"/>
              <w:rPr>
                <w:rFonts w:ascii="宋体" w:hAnsi="宋体" w:cs="宋体"/>
                <w:kern w:val="1"/>
                <w:szCs w:val="21"/>
              </w:rPr>
            </w:pPr>
            <w:r>
              <w:rPr>
                <w:rFonts w:hint="eastAsia" w:ascii="宋体" w:hAnsi="宋体" w:cs="宋体"/>
                <w:kern w:val="1"/>
                <w:szCs w:val="21"/>
              </w:rPr>
              <w:t>报价评审</w:t>
            </w:r>
          </w:p>
        </w:tc>
        <w:tc>
          <w:tcPr>
            <w:tcW w:w="709" w:type="dxa"/>
            <w:tcBorders>
              <w:top w:val="single" w:color="000000" w:sz="4" w:space="0"/>
              <w:bottom w:val="single" w:color="000000" w:sz="4" w:space="0"/>
              <w:right w:val="single" w:color="000000" w:sz="4" w:space="0"/>
            </w:tcBorders>
            <w:vAlign w:val="center"/>
          </w:tcPr>
          <w:p>
            <w:pPr>
              <w:spacing w:line="300" w:lineRule="exact"/>
              <w:rPr>
                <w:rFonts w:ascii="宋体" w:hAnsi="宋体" w:cs="宋体"/>
                <w:kern w:val="1"/>
                <w:szCs w:val="21"/>
              </w:rPr>
            </w:pPr>
            <w:r>
              <w:rPr>
                <w:rFonts w:hint="eastAsia" w:ascii="宋体" w:hAnsi="宋体" w:cs="宋体"/>
                <w:kern w:val="1"/>
                <w:szCs w:val="21"/>
              </w:rPr>
              <w:t>10</w:t>
            </w:r>
          </w:p>
        </w:tc>
        <w:tc>
          <w:tcPr>
            <w:tcW w:w="6748" w:type="dxa"/>
            <w:tcBorders>
              <w:top w:val="single" w:color="000000" w:sz="4" w:space="0"/>
              <w:bottom w:val="single" w:color="000000" w:sz="4" w:space="0"/>
            </w:tcBorders>
            <w:vAlign w:val="center"/>
          </w:tcPr>
          <w:p>
            <w:pPr>
              <w:spacing w:line="300" w:lineRule="exact"/>
              <w:rPr>
                <w:rFonts w:ascii="宋体" w:hAnsi="宋体" w:cs="宋体"/>
                <w:kern w:val="1"/>
                <w:szCs w:val="21"/>
              </w:rPr>
            </w:pPr>
            <w:r>
              <w:rPr>
                <w:rFonts w:hint="eastAsia" w:ascii="宋体" w:hAnsi="宋体" w:cs="宋体"/>
                <w:kern w:val="1"/>
                <w:szCs w:val="21"/>
              </w:rPr>
              <w:t>资格审查合格且最终报价最低的供应商的报价为评标基准价，其价格分为满分。其他供应商的价格分统一按照下列公式计算：</w:t>
            </w:r>
          </w:p>
          <w:p>
            <w:pPr>
              <w:spacing w:line="300" w:lineRule="exact"/>
              <w:rPr>
                <w:rFonts w:ascii="宋体" w:hAnsi="宋体" w:cs="宋体"/>
                <w:kern w:val="1"/>
                <w:szCs w:val="21"/>
              </w:rPr>
            </w:pPr>
            <w:r>
              <w:rPr>
                <w:rFonts w:hint="eastAsia" w:ascii="宋体" w:hAnsi="宋体" w:cs="宋体"/>
                <w:kern w:val="1"/>
                <w:szCs w:val="21"/>
              </w:rPr>
              <w:t>投标报价得分=（评标基准价/投标报价）×10</w:t>
            </w:r>
          </w:p>
          <w:p>
            <w:pPr>
              <w:spacing w:line="300" w:lineRule="exact"/>
              <w:rPr>
                <w:rFonts w:ascii="宋体" w:hAnsi="宋体" w:cs="宋体"/>
                <w:kern w:val="1"/>
                <w:szCs w:val="21"/>
              </w:rPr>
            </w:pPr>
            <w:r>
              <w:rPr>
                <w:rFonts w:hint="eastAsia" w:ascii="宋体" w:hAnsi="宋体" w:cs="宋体"/>
                <w:kern w:val="1"/>
                <w:szCs w:val="21"/>
              </w:rPr>
              <w:t>（报价得分四舍五入，保留两位小数）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6" w:hRule="atLeast"/>
        </w:trPr>
        <w:tc>
          <w:tcPr>
            <w:tcW w:w="710" w:type="dxa"/>
            <w:vMerge w:val="restart"/>
            <w:tcBorders>
              <w:top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技术部分</w:t>
            </w:r>
            <w:r>
              <w:rPr>
                <w:rFonts w:ascii="宋体" w:hAnsi="宋体" w:cs="宋体"/>
                <w:kern w:val="0"/>
                <w:szCs w:val="21"/>
              </w:rPr>
              <w:t>35</w:t>
            </w:r>
            <w:r>
              <w:rPr>
                <w:rFonts w:hint="eastAsia" w:ascii="宋体" w:hAnsi="宋体" w:cs="宋体"/>
                <w:kern w:val="0"/>
                <w:szCs w:val="21"/>
              </w:rPr>
              <w:t>分</w:t>
            </w:r>
          </w:p>
          <w:p>
            <w:pPr>
              <w:spacing w:line="300" w:lineRule="exact"/>
              <w:jc w:val="center"/>
              <w:rPr>
                <w:rFonts w:ascii="宋体" w:hAnsi="宋体" w:cs="宋体"/>
                <w:kern w:val="1"/>
                <w:szCs w:val="21"/>
              </w:rPr>
            </w:pPr>
          </w:p>
        </w:tc>
        <w:tc>
          <w:tcPr>
            <w:tcW w:w="155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现状及项目背景情况的分析研究</w:t>
            </w:r>
          </w:p>
        </w:tc>
        <w:tc>
          <w:tcPr>
            <w:tcW w:w="70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10</w:t>
            </w:r>
          </w:p>
        </w:tc>
        <w:tc>
          <w:tcPr>
            <w:tcW w:w="6748"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对阳新县发展脉络、发展特征的分析研究，对项目背景、规划工作的认识与解读：</w:t>
            </w:r>
          </w:p>
          <w:p>
            <w:pPr>
              <w:widowControl/>
              <w:spacing w:line="360" w:lineRule="exact"/>
              <w:rPr>
                <w:rFonts w:ascii="宋体" w:hAnsi="宋体" w:cs="宋体"/>
                <w:kern w:val="0"/>
                <w:szCs w:val="21"/>
              </w:rPr>
            </w:pPr>
            <w:r>
              <w:rPr>
                <w:rFonts w:hint="eastAsia" w:ascii="宋体" w:hAnsi="宋体" w:cs="宋体"/>
                <w:kern w:val="0"/>
                <w:szCs w:val="21"/>
              </w:rPr>
              <w:t>1、研究深刻、分析全面、对现状及项目背景非常了解的得</w:t>
            </w:r>
            <w:r>
              <w:rPr>
                <w:rFonts w:ascii="宋体" w:hAnsi="宋体" w:cs="宋体"/>
                <w:kern w:val="0"/>
                <w:szCs w:val="21"/>
              </w:rPr>
              <w:t>8</w:t>
            </w:r>
            <w:r>
              <w:rPr>
                <w:rFonts w:hint="eastAsia" w:ascii="宋体" w:hAnsi="宋体" w:cs="宋体"/>
                <w:kern w:val="0"/>
                <w:szCs w:val="21"/>
              </w:rPr>
              <w:t>-1</w:t>
            </w:r>
            <w:r>
              <w:rPr>
                <w:rFonts w:ascii="宋体" w:hAnsi="宋体" w:cs="宋体"/>
                <w:kern w:val="0"/>
                <w:szCs w:val="21"/>
              </w:rPr>
              <w:t>0</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2、研究较深刻、分析较全面、一般熟悉和了解的得</w:t>
            </w:r>
            <w:r>
              <w:rPr>
                <w:rFonts w:ascii="宋体" w:hAnsi="宋体" w:cs="宋体"/>
                <w:kern w:val="0"/>
                <w:szCs w:val="21"/>
              </w:rPr>
              <w:t>4</w:t>
            </w:r>
            <w:r>
              <w:rPr>
                <w:rFonts w:hint="eastAsia" w:ascii="宋体" w:hAnsi="宋体" w:cs="宋体"/>
                <w:kern w:val="0"/>
                <w:szCs w:val="21"/>
              </w:rPr>
              <w:t>-</w:t>
            </w:r>
            <w:r>
              <w:rPr>
                <w:rFonts w:ascii="宋体" w:hAnsi="宋体" w:cs="宋体"/>
                <w:kern w:val="0"/>
                <w:szCs w:val="21"/>
              </w:rPr>
              <w:t>7</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3、研究一般、分析一般、不太熟悉和不太了解的得1-</w:t>
            </w:r>
            <w:r>
              <w:rPr>
                <w:rFonts w:ascii="宋体" w:hAnsi="宋体" w:cs="宋体"/>
                <w:kern w:val="0"/>
                <w:szCs w:val="21"/>
              </w:rPr>
              <w:t>3</w:t>
            </w:r>
            <w:r>
              <w:rPr>
                <w:rFonts w:hint="eastAsia" w:ascii="宋体" w:hAnsi="宋体" w:cs="宋体"/>
                <w:kern w:val="0"/>
                <w:szCs w:val="21"/>
              </w:rPr>
              <w:t>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6" w:hRule="atLeast"/>
        </w:trPr>
        <w:tc>
          <w:tcPr>
            <w:tcW w:w="710" w:type="dxa"/>
            <w:vMerge w:val="continue"/>
            <w:tcBorders>
              <w:right w:val="single" w:color="000000" w:sz="4" w:space="0"/>
            </w:tcBorders>
            <w:vAlign w:val="center"/>
          </w:tcPr>
          <w:p>
            <w:pPr>
              <w:spacing w:line="300" w:lineRule="exact"/>
              <w:jc w:val="center"/>
              <w:rPr>
                <w:rFonts w:ascii="宋体" w:hAnsi="宋体" w:cs="宋体"/>
                <w:kern w:val="1"/>
                <w:szCs w:val="21"/>
              </w:rPr>
            </w:pPr>
          </w:p>
        </w:tc>
        <w:tc>
          <w:tcPr>
            <w:tcW w:w="1559" w:type="dxa"/>
            <w:tcBorders>
              <w:top w:val="single" w:color="000000"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规划思路及规划重点的把握</w:t>
            </w:r>
          </w:p>
        </w:tc>
        <w:tc>
          <w:tcPr>
            <w:tcW w:w="709" w:type="dxa"/>
            <w:tcBorders>
              <w:top w:val="single" w:color="000000"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15</w:t>
            </w:r>
          </w:p>
        </w:tc>
        <w:tc>
          <w:tcPr>
            <w:tcW w:w="6748"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对工作目标、重点的理解以及工作思路清晰程度及工作内容和成果体系完成深度的描述合理性进行打分：</w:t>
            </w:r>
          </w:p>
          <w:p>
            <w:pPr>
              <w:widowControl/>
              <w:spacing w:line="360" w:lineRule="exact"/>
              <w:rPr>
                <w:rFonts w:ascii="宋体" w:hAnsi="宋体" w:cs="宋体"/>
                <w:kern w:val="0"/>
                <w:szCs w:val="21"/>
              </w:rPr>
            </w:pPr>
            <w:r>
              <w:rPr>
                <w:rFonts w:hint="eastAsia" w:ascii="宋体" w:hAnsi="宋体" w:cs="宋体"/>
                <w:kern w:val="0"/>
                <w:szCs w:val="21"/>
              </w:rPr>
              <w:t>1、目标理解透彻，对项目内容、重点及成果要求把握准确，工作思路清晰内容框架完整，技术创新较多，工作内容非常深入，成果体系全面的得</w:t>
            </w:r>
            <w:r>
              <w:rPr>
                <w:rFonts w:ascii="宋体" w:hAnsi="宋体" w:cs="宋体"/>
                <w:kern w:val="0"/>
                <w:szCs w:val="21"/>
              </w:rPr>
              <w:t>10</w:t>
            </w:r>
            <w:r>
              <w:rPr>
                <w:rFonts w:hint="eastAsia" w:ascii="宋体" w:hAnsi="宋体" w:cs="宋体"/>
                <w:kern w:val="0"/>
                <w:szCs w:val="21"/>
              </w:rPr>
              <w:t>-</w:t>
            </w:r>
            <w:r>
              <w:rPr>
                <w:rFonts w:ascii="宋体" w:hAnsi="宋体" w:cs="宋体"/>
                <w:kern w:val="0"/>
                <w:szCs w:val="21"/>
              </w:rPr>
              <w:t>15</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2、理解项目目标，对项目内容、重点及成果要求把握较为准确，工作思路清晰内容框架较为完整、有一点技术创新，工作内容、成果体系基本合格的得</w:t>
            </w:r>
            <w:r>
              <w:rPr>
                <w:rFonts w:ascii="宋体" w:hAnsi="宋体" w:cs="宋体"/>
                <w:kern w:val="0"/>
                <w:szCs w:val="21"/>
              </w:rPr>
              <w:t>5</w:t>
            </w:r>
            <w:r>
              <w:rPr>
                <w:rFonts w:hint="eastAsia" w:ascii="宋体" w:hAnsi="宋体" w:cs="宋体"/>
                <w:kern w:val="0"/>
                <w:szCs w:val="21"/>
              </w:rPr>
              <w:t>-</w:t>
            </w:r>
            <w:r>
              <w:rPr>
                <w:rFonts w:ascii="宋体" w:hAnsi="宋体" w:cs="宋体"/>
                <w:kern w:val="0"/>
                <w:szCs w:val="21"/>
              </w:rPr>
              <w:t>9</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3、对项目目标理解程度不够，对项目内容、重点及成果要求把握不准确，工作思路、内容框架不完整、无技术创新的得1-</w:t>
            </w:r>
            <w:r>
              <w:rPr>
                <w:rFonts w:ascii="宋体" w:hAnsi="宋体" w:cs="宋体"/>
                <w:kern w:val="0"/>
                <w:szCs w:val="21"/>
              </w:rPr>
              <w:t>4</w:t>
            </w:r>
            <w:r>
              <w:rPr>
                <w:rFonts w:hint="eastAsia" w:ascii="宋体" w:hAnsi="宋体" w:cs="宋体"/>
                <w:kern w:val="0"/>
                <w:szCs w:val="21"/>
              </w:rPr>
              <w:t>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2" w:hRule="atLeast"/>
        </w:trPr>
        <w:tc>
          <w:tcPr>
            <w:tcW w:w="710" w:type="dxa"/>
            <w:vMerge w:val="continue"/>
            <w:tcBorders>
              <w:right w:val="single" w:color="000000" w:sz="4" w:space="0"/>
            </w:tcBorders>
            <w:vAlign w:val="center"/>
          </w:tcPr>
          <w:p>
            <w:pPr>
              <w:spacing w:line="300" w:lineRule="exact"/>
              <w:jc w:val="center"/>
              <w:rPr>
                <w:rFonts w:ascii="宋体" w:hAnsi="宋体" w:cs="宋体"/>
                <w:kern w:val="1"/>
                <w:szCs w:val="21"/>
              </w:rPr>
            </w:pPr>
          </w:p>
        </w:tc>
        <w:tc>
          <w:tcPr>
            <w:tcW w:w="1559" w:type="dxa"/>
            <w:tcBorders>
              <w:top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工作计划</w:t>
            </w:r>
          </w:p>
        </w:tc>
        <w:tc>
          <w:tcPr>
            <w:tcW w:w="709" w:type="dxa"/>
            <w:tcBorders>
              <w:top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6748" w:type="dxa"/>
            <w:tcBorders>
              <w:top w:val="single" w:color="000000" w:sz="4" w:space="0"/>
            </w:tcBorders>
            <w:vAlign w:val="center"/>
          </w:tcPr>
          <w:p>
            <w:pPr>
              <w:widowControl/>
              <w:numPr>
                <w:ilvl w:val="0"/>
                <w:numId w:val="2"/>
              </w:numPr>
              <w:spacing w:line="360" w:lineRule="exact"/>
              <w:rPr>
                <w:rFonts w:ascii="宋体" w:hAnsi="宋体" w:cs="宋体"/>
                <w:kern w:val="0"/>
                <w:szCs w:val="21"/>
              </w:rPr>
            </w:pPr>
            <w:r>
              <w:rPr>
                <w:rFonts w:hint="eastAsia" w:ascii="宋体" w:hAnsi="宋体" w:cs="宋体"/>
                <w:kern w:val="0"/>
                <w:szCs w:val="21"/>
              </w:rPr>
              <w:t>时间安排合理，可操作性强，项目进度紧凑合理，目标明确有很好的进度把控措施，与招标人工作衔接良好的得</w:t>
            </w:r>
            <w:r>
              <w:rPr>
                <w:rFonts w:ascii="宋体" w:hAnsi="宋体" w:cs="宋体"/>
                <w:kern w:val="0"/>
                <w:szCs w:val="21"/>
              </w:rPr>
              <w:t>4</w:t>
            </w: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分；</w:t>
            </w:r>
          </w:p>
          <w:p>
            <w:pPr>
              <w:widowControl/>
              <w:numPr>
                <w:ilvl w:val="0"/>
                <w:numId w:val="2"/>
              </w:numPr>
              <w:spacing w:line="360" w:lineRule="exact"/>
              <w:rPr>
                <w:rFonts w:ascii="宋体" w:hAnsi="宋体" w:cs="宋体"/>
                <w:kern w:val="0"/>
                <w:szCs w:val="21"/>
              </w:rPr>
            </w:pPr>
            <w:r>
              <w:rPr>
                <w:rFonts w:hint="eastAsia" w:ascii="宋体" w:hAnsi="宋体" w:cs="宋体"/>
                <w:kern w:val="0"/>
                <w:szCs w:val="21"/>
              </w:rPr>
              <w:t>时间安排比较合理，可操作性比较强，项目进度较紧凑合理，目标较为明确，有进度把控措施，与招标人工作衔接比较良好的得</w:t>
            </w:r>
            <w:r>
              <w:rPr>
                <w:rFonts w:ascii="宋体" w:hAnsi="宋体" w:cs="宋体"/>
                <w:kern w:val="0"/>
                <w:szCs w:val="21"/>
              </w:rPr>
              <w:t>2</w:t>
            </w: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3、时间安排不够合理，可操作性不强，项目进度阶段划分、各节点目标、进度把控措施不够完善，与招标人工作衔接不好的得1分。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26" w:hRule="atLeast"/>
        </w:trPr>
        <w:tc>
          <w:tcPr>
            <w:tcW w:w="710" w:type="dxa"/>
            <w:vMerge w:val="continue"/>
            <w:tcBorders>
              <w:bottom w:val="single" w:color="auto" w:sz="4" w:space="0"/>
              <w:right w:val="single" w:color="000000" w:sz="4" w:space="0"/>
            </w:tcBorders>
            <w:vAlign w:val="center"/>
          </w:tcPr>
          <w:p>
            <w:pPr>
              <w:spacing w:line="300" w:lineRule="exact"/>
              <w:jc w:val="center"/>
              <w:rPr>
                <w:rFonts w:ascii="宋体" w:hAnsi="宋体" w:cs="宋体"/>
                <w:kern w:val="1"/>
                <w:szCs w:val="21"/>
              </w:rPr>
            </w:pPr>
          </w:p>
        </w:tc>
        <w:tc>
          <w:tcPr>
            <w:tcW w:w="1559" w:type="dxa"/>
            <w:tcBorders>
              <w:top w:val="single" w:color="000000"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保障措施及后续服务</w:t>
            </w:r>
          </w:p>
        </w:tc>
        <w:tc>
          <w:tcPr>
            <w:tcW w:w="70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6748"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1、保障措施充分、有效、全面、完备、确保工作目标实现，能够提供高质量的后续跟踪服务的得</w:t>
            </w:r>
            <w:r>
              <w:rPr>
                <w:rFonts w:ascii="宋体" w:hAnsi="宋体" w:cs="宋体"/>
                <w:kern w:val="0"/>
                <w:szCs w:val="21"/>
              </w:rPr>
              <w:t>4</w:t>
            </w: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2、保障措施比较充分、有效、完备，确保工作目标实现，能够提供较好的后续跟踪服务的得</w:t>
            </w:r>
            <w:r>
              <w:rPr>
                <w:rFonts w:ascii="宋体" w:hAnsi="宋体" w:cs="宋体"/>
                <w:kern w:val="0"/>
                <w:szCs w:val="21"/>
              </w:rPr>
              <w:t>2</w:t>
            </w: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3、保障措施不够充分、有效、全面、完，确保工作目标实现，不能提供后续跟踪服务的得1分。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10" w:type="dxa"/>
            <w:vMerge w:val="restart"/>
            <w:tcBorders>
              <w:top w:val="single" w:color="auto" w:sz="4" w:space="0"/>
              <w:right w:val="single" w:color="000000" w:sz="4" w:space="0"/>
            </w:tcBorders>
            <w:vAlign w:val="center"/>
          </w:tcPr>
          <w:p>
            <w:pPr>
              <w:spacing w:line="300" w:lineRule="exact"/>
              <w:jc w:val="center"/>
              <w:rPr>
                <w:rFonts w:ascii="宋体" w:hAnsi="宋体" w:cs="仿宋"/>
                <w:kern w:val="1"/>
                <w:szCs w:val="21"/>
              </w:rPr>
            </w:pPr>
            <w:r>
              <w:rPr>
                <w:rFonts w:hint="eastAsia" w:ascii="宋体" w:hAnsi="宋体" w:cs="宋体"/>
                <w:kern w:val="0"/>
                <w:szCs w:val="21"/>
              </w:rPr>
              <w:t>商务部分</w:t>
            </w:r>
            <w:r>
              <w:rPr>
                <w:rFonts w:ascii="宋体" w:hAnsi="宋体" w:cs="宋体"/>
                <w:kern w:val="0"/>
                <w:szCs w:val="21"/>
              </w:rPr>
              <w:t>55</w:t>
            </w:r>
            <w:r>
              <w:rPr>
                <w:rFonts w:hint="eastAsia" w:ascii="宋体" w:hAnsi="宋体" w:cs="宋体"/>
                <w:kern w:val="0"/>
                <w:szCs w:val="21"/>
              </w:rPr>
              <w:t>分</w:t>
            </w:r>
          </w:p>
        </w:tc>
        <w:tc>
          <w:tcPr>
            <w:tcW w:w="1559" w:type="dxa"/>
            <w:tcBorders>
              <w:top w:val="single" w:color="auto"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项目业绩</w:t>
            </w:r>
          </w:p>
        </w:tc>
        <w:tc>
          <w:tcPr>
            <w:tcW w:w="70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25</w:t>
            </w:r>
          </w:p>
        </w:tc>
        <w:tc>
          <w:tcPr>
            <w:tcW w:w="6748"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1、近五年（201</w:t>
            </w:r>
            <w:r>
              <w:rPr>
                <w:rFonts w:ascii="宋体" w:hAnsi="宋体" w:cs="宋体"/>
                <w:kern w:val="0"/>
                <w:szCs w:val="21"/>
              </w:rPr>
              <w:t>6</w:t>
            </w:r>
            <w:r>
              <w:rPr>
                <w:rFonts w:hint="eastAsia" w:ascii="宋体" w:hAnsi="宋体" w:cs="宋体"/>
                <w:kern w:val="0"/>
                <w:szCs w:val="21"/>
              </w:rPr>
              <w:t>年至今）承担过类似本项目（如：城市控制性详细规划类）业绩，每一项得3分，最高得15分。</w:t>
            </w:r>
          </w:p>
          <w:p>
            <w:pPr>
              <w:widowControl/>
              <w:spacing w:line="360" w:lineRule="exact"/>
              <w:rPr>
                <w:rFonts w:ascii="宋体" w:hAnsi="宋体" w:cs="宋体"/>
                <w:kern w:val="0"/>
                <w:szCs w:val="21"/>
              </w:rPr>
            </w:pPr>
            <w:r>
              <w:rPr>
                <w:rFonts w:hint="eastAsia" w:ascii="宋体" w:hAnsi="宋体" w:cs="宋体"/>
                <w:kern w:val="0"/>
                <w:szCs w:val="21"/>
              </w:rPr>
              <w:t>2、以主编单位身份承担过国家级相关规范编制的，得5分。</w:t>
            </w:r>
          </w:p>
          <w:p>
            <w:pPr>
              <w:widowControl/>
              <w:spacing w:line="360" w:lineRule="exact"/>
              <w:rPr>
                <w:rFonts w:ascii="宋体" w:hAnsi="宋体" w:cs="宋体"/>
              </w:rPr>
            </w:pPr>
            <w:r>
              <w:rPr>
                <w:rFonts w:hint="eastAsia" w:ascii="宋体" w:hAnsi="宋体" w:cs="宋体"/>
                <w:kern w:val="0"/>
                <w:szCs w:val="21"/>
              </w:rPr>
              <w:t>3、以主编单位身份承担过省级规划编制导则的，得5分。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2" w:hRule="atLeast"/>
        </w:trPr>
        <w:tc>
          <w:tcPr>
            <w:tcW w:w="710" w:type="dxa"/>
            <w:vMerge w:val="continue"/>
            <w:tcBorders>
              <w:right w:val="single" w:color="000000" w:sz="4" w:space="0"/>
            </w:tcBorders>
            <w:vAlign w:val="center"/>
          </w:tcPr>
          <w:p>
            <w:pPr>
              <w:jc w:val="left"/>
              <w:rPr>
                <w:rFonts w:ascii="宋体" w:hAnsi="宋体" w:cs="宋体"/>
                <w:kern w:val="1"/>
                <w:szCs w:val="21"/>
              </w:rPr>
            </w:pPr>
          </w:p>
        </w:tc>
        <w:tc>
          <w:tcPr>
            <w:tcW w:w="155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项目获奖情况</w:t>
            </w:r>
          </w:p>
        </w:tc>
        <w:tc>
          <w:tcPr>
            <w:tcW w:w="70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25</w:t>
            </w:r>
          </w:p>
        </w:tc>
        <w:tc>
          <w:tcPr>
            <w:tcW w:w="6748" w:type="dxa"/>
            <w:tcBorders>
              <w:top w:val="single" w:color="000000" w:sz="4" w:space="0"/>
              <w:bottom w:val="single" w:color="000000" w:sz="4" w:space="0"/>
            </w:tcBorders>
            <w:vAlign w:val="center"/>
          </w:tcPr>
          <w:p>
            <w:pPr>
              <w:rPr>
                <w:rFonts w:ascii="宋体" w:hAnsi="宋体" w:cs="宋体"/>
              </w:rPr>
            </w:pPr>
            <w:r>
              <w:rPr>
                <w:rFonts w:ascii="宋体" w:hAnsi="宋体" w:cs="宋体"/>
              </w:rPr>
              <w:t>1</w:t>
            </w:r>
            <w:r>
              <w:rPr>
                <w:rFonts w:hint="eastAsia" w:ascii="宋体" w:hAnsi="宋体" w:cs="宋体"/>
              </w:rPr>
              <w:t>、201</w:t>
            </w:r>
            <w:r>
              <w:rPr>
                <w:rFonts w:ascii="宋体" w:hAnsi="宋体" w:cs="宋体"/>
              </w:rPr>
              <w:t>6</w:t>
            </w:r>
            <w:r>
              <w:rPr>
                <w:rFonts w:hint="eastAsia" w:ascii="宋体" w:hAnsi="宋体" w:cs="宋体"/>
              </w:rPr>
              <w:t>年至今获得国际、国家级规划设计奖项的数量得分，按每个得</w:t>
            </w:r>
            <w:r>
              <w:rPr>
                <w:rFonts w:ascii="宋体" w:hAnsi="宋体" w:cs="宋体"/>
              </w:rPr>
              <w:t>5</w:t>
            </w:r>
            <w:r>
              <w:rPr>
                <w:rFonts w:hint="eastAsia" w:ascii="宋体" w:hAnsi="宋体" w:cs="宋体"/>
              </w:rPr>
              <w:t>分；此项总分值最多得10分</w:t>
            </w:r>
          </w:p>
          <w:p>
            <w:pPr>
              <w:rPr>
                <w:rFonts w:ascii="宋体" w:hAnsi="宋体" w:cs="宋体"/>
                <w:kern w:val="0"/>
                <w:szCs w:val="21"/>
              </w:rPr>
            </w:pPr>
            <w:r>
              <w:rPr>
                <w:rFonts w:hint="eastAsia" w:ascii="宋体" w:hAnsi="宋体" w:cs="宋体"/>
              </w:rPr>
              <w:t>2、2016年至今按获得省级规划设计奖项的数量得分，按每个得</w:t>
            </w:r>
            <w:r>
              <w:rPr>
                <w:rFonts w:ascii="宋体" w:hAnsi="宋体" w:cs="宋体"/>
              </w:rPr>
              <w:t>3</w:t>
            </w:r>
            <w:r>
              <w:rPr>
                <w:rFonts w:hint="eastAsia" w:ascii="宋体" w:hAnsi="宋体" w:cs="宋体"/>
              </w:rPr>
              <w:t>分；此项总分值最多得</w:t>
            </w:r>
            <w:r>
              <w:rPr>
                <w:rFonts w:ascii="宋体" w:hAnsi="宋体" w:cs="宋体"/>
              </w:rPr>
              <w:t>15</w:t>
            </w:r>
            <w:r>
              <w:rPr>
                <w:rFonts w:hint="eastAsia" w:ascii="宋体" w:hAnsi="宋体" w:cs="宋体"/>
              </w:rPr>
              <w:t>分。</w:t>
            </w:r>
            <w:r>
              <w:rPr>
                <w:rFonts w:hint="eastAsia" w:ascii="宋体" w:hAnsi="宋体" w:cs="宋体"/>
                <w:kern w:val="0"/>
                <w:szCs w:val="21"/>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2" w:hRule="atLeast"/>
        </w:trPr>
        <w:tc>
          <w:tcPr>
            <w:tcW w:w="710" w:type="dxa"/>
            <w:vMerge w:val="continue"/>
            <w:tcBorders>
              <w:bottom w:val="single" w:color="auto" w:sz="4" w:space="0"/>
              <w:right w:val="single" w:color="000000" w:sz="4" w:space="0"/>
            </w:tcBorders>
            <w:vAlign w:val="center"/>
          </w:tcPr>
          <w:p>
            <w:pPr>
              <w:jc w:val="left"/>
              <w:rPr>
                <w:rFonts w:ascii="宋体" w:hAnsi="宋体" w:cs="宋体"/>
                <w:kern w:val="1"/>
                <w:szCs w:val="21"/>
              </w:rPr>
            </w:pPr>
          </w:p>
        </w:tc>
        <w:tc>
          <w:tcPr>
            <w:tcW w:w="155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项目团队人员</w:t>
            </w:r>
          </w:p>
        </w:tc>
        <w:tc>
          <w:tcPr>
            <w:tcW w:w="70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6748"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1、项目团队人员：配置副高（含）以上职称且具有注册城乡规划师资格，成员8名及以上的，得5分；成员4名至7名的，得3分；成员4名以下的，得1分。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2" w:hRule="atLeast"/>
        </w:trPr>
        <w:tc>
          <w:tcPr>
            <w:tcW w:w="710" w:type="dxa"/>
            <w:tcBorders>
              <w:top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合  计</w:t>
            </w:r>
          </w:p>
        </w:tc>
        <w:tc>
          <w:tcPr>
            <w:tcW w:w="1559"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100</w:t>
            </w:r>
          </w:p>
        </w:tc>
        <w:tc>
          <w:tcPr>
            <w:tcW w:w="709" w:type="dxa"/>
            <w:tcBorders>
              <w:top w:val="single" w:color="000000" w:sz="4" w:space="0"/>
              <w:bottom w:val="single" w:color="000000" w:sz="4" w:space="0"/>
              <w:right w:val="single" w:color="000000" w:sz="4" w:space="0"/>
            </w:tcBorders>
            <w:vAlign w:val="center"/>
          </w:tcPr>
          <w:p>
            <w:pPr>
              <w:widowControl/>
              <w:spacing w:line="360" w:lineRule="exact"/>
              <w:rPr>
                <w:rFonts w:ascii="宋体" w:hAnsi="宋体" w:cs="宋体"/>
                <w:kern w:val="0"/>
                <w:szCs w:val="21"/>
                <w:highlight w:val="yellow"/>
              </w:rPr>
            </w:pPr>
          </w:p>
        </w:tc>
        <w:tc>
          <w:tcPr>
            <w:tcW w:w="6748"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p>
        </w:tc>
      </w:tr>
    </w:tbl>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597F8"/>
    <w:multiLevelType w:val="singleLevel"/>
    <w:tmpl w:val="8FB597F8"/>
    <w:lvl w:ilvl="0" w:tentative="0">
      <w:start w:val="1"/>
      <w:numFmt w:val="decimal"/>
      <w:suff w:val="nothing"/>
      <w:lvlText w:val="%1、"/>
      <w:lvlJc w:val="left"/>
    </w:lvl>
  </w:abstractNum>
  <w:abstractNum w:abstractNumId="1">
    <w:nsid w:val="5044164E"/>
    <w:multiLevelType w:val="singleLevel"/>
    <w:tmpl w:val="5044164E"/>
    <w:lvl w:ilvl="0" w:tentative="0">
      <w:start w:val="1"/>
      <w:numFmt w:val="decimal"/>
      <w:pStyle w:val="69"/>
      <w:lvlText w:val="%1．"/>
      <w:lvlJc w:val="left"/>
      <w:pPr>
        <w:tabs>
          <w:tab w:val="left" w:pos="480"/>
        </w:tabs>
        <w:ind w:left="480" w:hanging="480"/>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E9"/>
    <w:rsid w:val="00016BFD"/>
    <w:rsid w:val="00020C1F"/>
    <w:rsid w:val="000446AE"/>
    <w:rsid w:val="000503CB"/>
    <w:rsid w:val="000527BB"/>
    <w:rsid w:val="000531E0"/>
    <w:rsid w:val="00056AED"/>
    <w:rsid w:val="00057E9A"/>
    <w:rsid w:val="00062C59"/>
    <w:rsid w:val="00073B17"/>
    <w:rsid w:val="00081311"/>
    <w:rsid w:val="0008654C"/>
    <w:rsid w:val="00091C83"/>
    <w:rsid w:val="0009726D"/>
    <w:rsid w:val="000A6872"/>
    <w:rsid w:val="000B373D"/>
    <w:rsid w:val="00104393"/>
    <w:rsid w:val="00122B5C"/>
    <w:rsid w:val="00127B67"/>
    <w:rsid w:val="00143F19"/>
    <w:rsid w:val="00146C0E"/>
    <w:rsid w:val="001826C1"/>
    <w:rsid w:val="00186691"/>
    <w:rsid w:val="001A56DC"/>
    <w:rsid w:val="001B7E04"/>
    <w:rsid w:val="00201D9A"/>
    <w:rsid w:val="0021111D"/>
    <w:rsid w:val="002144DA"/>
    <w:rsid w:val="00222EAF"/>
    <w:rsid w:val="00223105"/>
    <w:rsid w:val="00227C74"/>
    <w:rsid w:val="00241FC1"/>
    <w:rsid w:val="00247E29"/>
    <w:rsid w:val="00251305"/>
    <w:rsid w:val="002630E7"/>
    <w:rsid w:val="0027119B"/>
    <w:rsid w:val="0027306D"/>
    <w:rsid w:val="00273FA5"/>
    <w:rsid w:val="00286F91"/>
    <w:rsid w:val="002912E3"/>
    <w:rsid w:val="00295F92"/>
    <w:rsid w:val="002A70BC"/>
    <w:rsid w:val="002B073D"/>
    <w:rsid w:val="002B6592"/>
    <w:rsid w:val="002C0DCE"/>
    <w:rsid w:val="002C54A8"/>
    <w:rsid w:val="002C6853"/>
    <w:rsid w:val="002F7D8B"/>
    <w:rsid w:val="003074AA"/>
    <w:rsid w:val="00312B82"/>
    <w:rsid w:val="003150B7"/>
    <w:rsid w:val="00334EC7"/>
    <w:rsid w:val="00344FCD"/>
    <w:rsid w:val="00354132"/>
    <w:rsid w:val="003679FF"/>
    <w:rsid w:val="00373053"/>
    <w:rsid w:val="0038354E"/>
    <w:rsid w:val="003A3307"/>
    <w:rsid w:val="003B3BFC"/>
    <w:rsid w:val="003E0BDD"/>
    <w:rsid w:val="00410820"/>
    <w:rsid w:val="00415A08"/>
    <w:rsid w:val="0042465C"/>
    <w:rsid w:val="004357AA"/>
    <w:rsid w:val="004451C8"/>
    <w:rsid w:val="00451D41"/>
    <w:rsid w:val="00462B04"/>
    <w:rsid w:val="00465FFA"/>
    <w:rsid w:val="004759EB"/>
    <w:rsid w:val="0048653B"/>
    <w:rsid w:val="004A2C0E"/>
    <w:rsid w:val="004B7E96"/>
    <w:rsid w:val="004C46BC"/>
    <w:rsid w:val="00502777"/>
    <w:rsid w:val="00511DDA"/>
    <w:rsid w:val="0051396C"/>
    <w:rsid w:val="00526415"/>
    <w:rsid w:val="00564E6F"/>
    <w:rsid w:val="00577CD8"/>
    <w:rsid w:val="0058158B"/>
    <w:rsid w:val="00583C11"/>
    <w:rsid w:val="00587588"/>
    <w:rsid w:val="00587CA4"/>
    <w:rsid w:val="005B0F8C"/>
    <w:rsid w:val="005C3BD8"/>
    <w:rsid w:val="00607ECE"/>
    <w:rsid w:val="006101C6"/>
    <w:rsid w:val="006173D0"/>
    <w:rsid w:val="00635608"/>
    <w:rsid w:val="00641405"/>
    <w:rsid w:val="00652240"/>
    <w:rsid w:val="0065554A"/>
    <w:rsid w:val="006558D6"/>
    <w:rsid w:val="00673B41"/>
    <w:rsid w:val="00680095"/>
    <w:rsid w:val="006800AF"/>
    <w:rsid w:val="00686D40"/>
    <w:rsid w:val="00690EAF"/>
    <w:rsid w:val="006B1667"/>
    <w:rsid w:val="006B2932"/>
    <w:rsid w:val="006B3AC5"/>
    <w:rsid w:val="006B566D"/>
    <w:rsid w:val="0070333C"/>
    <w:rsid w:val="00710283"/>
    <w:rsid w:val="00714951"/>
    <w:rsid w:val="00731C4C"/>
    <w:rsid w:val="007450CE"/>
    <w:rsid w:val="0074721E"/>
    <w:rsid w:val="00770BDF"/>
    <w:rsid w:val="007C6F74"/>
    <w:rsid w:val="00841971"/>
    <w:rsid w:val="00843EA0"/>
    <w:rsid w:val="0085685E"/>
    <w:rsid w:val="008571D3"/>
    <w:rsid w:val="00862199"/>
    <w:rsid w:val="00877547"/>
    <w:rsid w:val="00887255"/>
    <w:rsid w:val="008B01C0"/>
    <w:rsid w:val="008B49FA"/>
    <w:rsid w:val="008B54B9"/>
    <w:rsid w:val="008C352F"/>
    <w:rsid w:val="008D0769"/>
    <w:rsid w:val="008D5B51"/>
    <w:rsid w:val="009111CF"/>
    <w:rsid w:val="00912E34"/>
    <w:rsid w:val="00917353"/>
    <w:rsid w:val="00942F18"/>
    <w:rsid w:val="009544AA"/>
    <w:rsid w:val="00965878"/>
    <w:rsid w:val="00984E78"/>
    <w:rsid w:val="009E0A25"/>
    <w:rsid w:val="009E21B4"/>
    <w:rsid w:val="009F7E27"/>
    <w:rsid w:val="00A2171B"/>
    <w:rsid w:val="00A24FC6"/>
    <w:rsid w:val="00A261DC"/>
    <w:rsid w:val="00AA253D"/>
    <w:rsid w:val="00AC4743"/>
    <w:rsid w:val="00AC4FF6"/>
    <w:rsid w:val="00AC7064"/>
    <w:rsid w:val="00AD57E9"/>
    <w:rsid w:val="00AE0050"/>
    <w:rsid w:val="00AE11F8"/>
    <w:rsid w:val="00AE3586"/>
    <w:rsid w:val="00AF600A"/>
    <w:rsid w:val="00B34DD8"/>
    <w:rsid w:val="00B37D97"/>
    <w:rsid w:val="00B422CC"/>
    <w:rsid w:val="00B51D8C"/>
    <w:rsid w:val="00B56C83"/>
    <w:rsid w:val="00B6700E"/>
    <w:rsid w:val="00B701C4"/>
    <w:rsid w:val="00B87DB2"/>
    <w:rsid w:val="00BA042E"/>
    <w:rsid w:val="00BA295E"/>
    <w:rsid w:val="00BB1D59"/>
    <w:rsid w:val="00BD15BE"/>
    <w:rsid w:val="00BE5B50"/>
    <w:rsid w:val="00BE76E9"/>
    <w:rsid w:val="00C45A0C"/>
    <w:rsid w:val="00C554DF"/>
    <w:rsid w:val="00C55903"/>
    <w:rsid w:val="00C77263"/>
    <w:rsid w:val="00C8060B"/>
    <w:rsid w:val="00C94576"/>
    <w:rsid w:val="00CE6C50"/>
    <w:rsid w:val="00D049F5"/>
    <w:rsid w:val="00D173A7"/>
    <w:rsid w:val="00D20236"/>
    <w:rsid w:val="00D2079D"/>
    <w:rsid w:val="00D239DE"/>
    <w:rsid w:val="00D34002"/>
    <w:rsid w:val="00D603E6"/>
    <w:rsid w:val="00D63126"/>
    <w:rsid w:val="00D64C90"/>
    <w:rsid w:val="00D665CD"/>
    <w:rsid w:val="00D74175"/>
    <w:rsid w:val="00D9157E"/>
    <w:rsid w:val="00DA12FB"/>
    <w:rsid w:val="00DA1688"/>
    <w:rsid w:val="00DA2C0D"/>
    <w:rsid w:val="00DA3018"/>
    <w:rsid w:val="00DA3AC3"/>
    <w:rsid w:val="00DB5C86"/>
    <w:rsid w:val="00DC16A6"/>
    <w:rsid w:val="00DC47E0"/>
    <w:rsid w:val="00DD6CB6"/>
    <w:rsid w:val="00DE537C"/>
    <w:rsid w:val="00DE75E6"/>
    <w:rsid w:val="00DF460D"/>
    <w:rsid w:val="00E14B01"/>
    <w:rsid w:val="00E208DE"/>
    <w:rsid w:val="00E6320A"/>
    <w:rsid w:val="00E652DF"/>
    <w:rsid w:val="00E721AB"/>
    <w:rsid w:val="00E76E32"/>
    <w:rsid w:val="00E94B33"/>
    <w:rsid w:val="00EB3819"/>
    <w:rsid w:val="00EB5D3C"/>
    <w:rsid w:val="00ED3F8E"/>
    <w:rsid w:val="00ED7636"/>
    <w:rsid w:val="00EF6F42"/>
    <w:rsid w:val="00F10D7E"/>
    <w:rsid w:val="00F14563"/>
    <w:rsid w:val="00F27BC7"/>
    <w:rsid w:val="00F508E2"/>
    <w:rsid w:val="00F52DE9"/>
    <w:rsid w:val="00F67B38"/>
    <w:rsid w:val="00F83087"/>
    <w:rsid w:val="00F934CB"/>
    <w:rsid w:val="00FC4837"/>
    <w:rsid w:val="00FD4208"/>
    <w:rsid w:val="00FE5DDE"/>
    <w:rsid w:val="00FF19EE"/>
    <w:rsid w:val="00FF5192"/>
    <w:rsid w:val="01656F98"/>
    <w:rsid w:val="06926718"/>
    <w:rsid w:val="09E86809"/>
    <w:rsid w:val="0A72484D"/>
    <w:rsid w:val="0EEA793F"/>
    <w:rsid w:val="12BB4F01"/>
    <w:rsid w:val="1B8B4DE1"/>
    <w:rsid w:val="1D3A4920"/>
    <w:rsid w:val="1E7433B2"/>
    <w:rsid w:val="202042A9"/>
    <w:rsid w:val="258A1875"/>
    <w:rsid w:val="265B59A7"/>
    <w:rsid w:val="27AD2A43"/>
    <w:rsid w:val="2B1607B4"/>
    <w:rsid w:val="2BA4537A"/>
    <w:rsid w:val="30284463"/>
    <w:rsid w:val="39B772DD"/>
    <w:rsid w:val="3E3E0016"/>
    <w:rsid w:val="41311379"/>
    <w:rsid w:val="48E11683"/>
    <w:rsid w:val="4F91646D"/>
    <w:rsid w:val="570C6CFC"/>
    <w:rsid w:val="575259F3"/>
    <w:rsid w:val="5A452253"/>
    <w:rsid w:val="5DB549BD"/>
    <w:rsid w:val="63A77BDE"/>
    <w:rsid w:val="662871EC"/>
    <w:rsid w:val="6B5419A3"/>
    <w:rsid w:val="724D2AB4"/>
    <w:rsid w:val="77471B72"/>
    <w:rsid w:val="7B051604"/>
    <w:rsid w:val="7BAB6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iPriority="99" w:semiHidden="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21"/>
    <w:qFormat/>
    <w:uiPriority w:val="9"/>
    <w:pPr>
      <w:keepNext/>
      <w:keepLines/>
      <w:spacing w:before="260" w:after="260" w:line="416" w:lineRule="auto"/>
      <w:outlineLvl w:val="1"/>
    </w:pPr>
    <w:rPr>
      <w:rFonts w:ascii="Cambria" w:hAnsi="Cambria" w:cs="Times New Roman"/>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Normal Indent"/>
    <w:basedOn w:val="1"/>
    <w:link w:val="22"/>
    <w:qFormat/>
    <w:uiPriority w:val="99"/>
    <w:pPr>
      <w:widowControl/>
      <w:spacing w:line="360" w:lineRule="auto"/>
      <w:ind w:firstLine="200" w:firstLineChars="200"/>
      <w:jc w:val="left"/>
    </w:pPr>
    <w:rPr>
      <w:rFonts w:cs="Times New Roman"/>
      <w:kern w:val="0"/>
      <w:sz w:val="24"/>
      <w:szCs w:val="20"/>
      <w:lang w:val="zh-CN" w:eastAsia="zh-CN"/>
    </w:rPr>
  </w:style>
  <w:style w:type="paragraph" w:styleId="5">
    <w:name w:val="annotation text"/>
    <w:basedOn w:val="1"/>
    <w:unhideWhenUsed/>
    <w:qFormat/>
    <w:uiPriority w:val="0"/>
    <w:pPr>
      <w:jc w:val="left"/>
    </w:pPr>
  </w:style>
  <w:style w:type="paragraph" w:styleId="6">
    <w:name w:val="Body Text"/>
    <w:basedOn w:val="1"/>
    <w:link w:val="23"/>
    <w:qFormat/>
    <w:uiPriority w:val="99"/>
    <w:pPr>
      <w:spacing w:after="120"/>
    </w:pPr>
    <w:rPr>
      <w:rFonts w:cs="Times New Roman"/>
    </w:rPr>
  </w:style>
  <w:style w:type="paragraph" w:styleId="7">
    <w:name w:val="Plain Text"/>
    <w:basedOn w:val="1"/>
    <w:link w:val="24"/>
    <w:qFormat/>
    <w:uiPriority w:val="0"/>
    <w:rPr>
      <w:rFonts w:ascii="宋体" w:hAnsi="Courier New" w:cs="Times New Roman"/>
      <w:kern w:val="0"/>
      <w:sz w:val="20"/>
      <w:szCs w:val="20"/>
      <w:lang w:val="zh-CN"/>
    </w:rPr>
  </w:style>
  <w:style w:type="paragraph" w:styleId="8">
    <w:name w:val="Balloon Text"/>
    <w:basedOn w:val="1"/>
    <w:link w:val="25"/>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List"/>
    <w:basedOn w:val="1"/>
    <w:qFormat/>
    <w:uiPriority w:val="99"/>
    <w:pPr>
      <w:ind w:left="200" w:hanging="200" w:hangingChars="200"/>
    </w:pPr>
    <w:rPr>
      <w:rFonts w:cs="Times New Roman"/>
      <w:szCs w:val="24"/>
    </w:rPr>
  </w:style>
  <w:style w:type="paragraph" w:styleId="13">
    <w:name w:val="Body Text 2"/>
    <w:basedOn w:val="1"/>
    <w:link w:val="28"/>
    <w:unhideWhenUsed/>
    <w:qFormat/>
    <w:uiPriority w:val="99"/>
    <w:pPr>
      <w:spacing w:after="120" w:line="480" w:lineRule="auto"/>
    </w:pPr>
    <w:rPr>
      <w:rFonts w:ascii="Times New Roman" w:hAnsi="Times New Roman" w:cs="Times New Roman"/>
      <w:szCs w:val="24"/>
    </w:rPr>
  </w:style>
  <w:style w:type="paragraph" w:styleId="14">
    <w:name w:val="Normal (Web)"/>
    <w:basedOn w:val="1"/>
    <w:unhideWhenUsed/>
    <w:qFormat/>
    <w:uiPriority w:val="99"/>
    <w:pPr>
      <w:spacing w:beforeAutospacing="1" w:afterAutospacing="1"/>
      <w:jc w:val="left"/>
    </w:pPr>
    <w:rPr>
      <w:rFonts w:cs="Times New Roman"/>
      <w:kern w:val="0"/>
      <w:sz w:val="24"/>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bCs/>
    </w:rPr>
  </w:style>
  <w:style w:type="character" w:styleId="19">
    <w:name w:val="Hyperlink"/>
    <w:unhideWhenUsed/>
    <w:qFormat/>
    <w:uiPriority w:val="99"/>
    <w:rPr>
      <w:color w:val="0000FF"/>
      <w:u w:val="single"/>
    </w:rPr>
  </w:style>
  <w:style w:type="character" w:customStyle="1" w:styleId="20">
    <w:name w:val="标题 1 Char"/>
    <w:link w:val="2"/>
    <w:qFormat/>
    <w:uiPriority w:val="9"/>
    <w:rPr>
      <w:rFonts w:eastAsia="宋体"/>
      <w:b/>
      <w:bCs/>
      <w:kern w:val="44"/>
      <w:sz w:val="44"/>
      <w:szCs w:val="44"/>
    </w:rPr>
  </w:style>
  <w:style w:type="character" w:customStyle="1" w:styleId="21">
    <w:name w:val="标题 2 Char"/>
    <w:link w:val="3"/>
    <w:qFormat/>
    <w:uiPriority w:val="9"/>
    <w:rPr>
      <w:rFonts w:ascii="Cambria" w:hAnsi="Cambria" w:eastAsia="宋体" w:cs="Times New Roman"/>
      <w:b/>
      <w:bCs/>
      <w:kern w:val="2"/>
      <w:sz w:val="32"/>
      <w:szCs w:val="32"/>
    </w:rPr>
  </w:style>
  <w:style w:type="character" w:customStyle="1" w:styleId="22">
    <w:name w:val="正文缩进 Char"/>
    <w:link w:val="4"/>
    <w:qFormat/>
    <w:locked/>
    <w:uiPriority w:val="99"/>
    <w:rPr>
      <w:rFonts w:ascii="Calibri" w:hAnsi="Calibri"/>
      <w:sz w:val="24"/>
      <w:lang w:val="zh-CN"/>
    </w:rPr>
  </w:style>
  <w:style w:type="character" w:customStyle="1" w:styleId="23">
    <w:name w:val="正文文本 Char"/>
    <w:link w:val="6"/>
    <w:qFormat/>
    <w:uiPriority w:val="99"/>
    <w:rPr>
      <w:rFonts w:ascii="Calibri" w:hAnsi="Calibri" w:eastAsia="宋体" w:cs="Times New Roman"/>
      <w:kern w:val="2"/>
      <w:sz w:val="21"/>
      <w:szCs w:val="22"/>
    </w:rPr>
  </w:style>
  <w:style w:type="character" w:customStyle="1" w:styleId="24">
    <w:name w:val="纯文本 Char1"/>
    <w:link w:val="7"/>
    <w:semiHidden/>
    <w:qFormat/>
    <w:uiPriority w:val="0"/>
    <w:rPr>
      <w:rFonts w:ascii="宋体" w:hAnsi="Courier New" w:cs="Courier New"/>
      <w:kern w:val="2"/>
      <w:sz w:val="21"/>
      <w:szCs w:val="21"/>
    </w:rPr>
  </w:style>
  <w:style w:type="character" w:customStyle="1" w:styleId="25">
    <w:name w:val="批注框文本 Char"/>
    <w:link w:val="8"/>
    <w:semiHidden/>
    <w:qFormat/>
    <w:uiPriority w:val="99"/>
    <w:rPr>
      <w:sz w:val="18"/>
      <w:szCs w:val="18"/>
    </w:rPr>
  </w:style>
  <w:style w:type="character" w:customStyle="1" w:styleId="26">
    <w:name w:val="页脚 Char"/>
    <w:link w:val="9"/>
    <w:qFormat/>
    <w:uiPriority w:val="99"/>
    <w:rPr>
      <w:sz w:val="18"/>
      <w:szCs w:val="18"/>
    </w:rPr>
  </w:style>
  <w:style w:type="character" w:customStyle="1" w:styleId="27">
    <w:name w:val="页眉 Char"/>
    <w:link w:val="10"/>
    <w:qFormat/>
    <w:uiPriority w:val="99"/>
    <w:rPr>
      <w:sz w:val="18"/>
      <w:szCs w:val="18"/>
    </w:rPr>
  </w:style>
  <w:style w:type="character" w:customStyle="1" w:styleId="28">
    <w:name w:val="正文文本 2 Char"/>
    <w:link w:val="13"/>
    <w:qFormat/>
    <w:uiPriority w:val="99"/>
    <w:rPr>
      <w:kern w:val="2"/>
      <w:sz w:val="21"/>
      <w:szCs w:val="24"/>
    </w:rPr>
  </w:style>
  <w:style w:type="character" w:customStyle="1" w:styleId="29">
    <w:name w:val="纯文本 Char"/>
    <w:qFormat/>
    <w:uiPriority w:val="0"/>
    <w:rPr>
      <w:rFonts w:ascii="宋体" w:hAnsi="Courier New"/>
      <w:lang w:val="zh-CN"/>
    </w:rPr>
  </w:style>
  <w:style w:type="paragraph" w:styleId="30">
    <w:name w:val="List Paragraph"/>
    <w:basedOn w:val="1"/>
    <w:qFormat/>
    <w:uiPriority w:val="34"/>
    <w:pPr>
      <w:ind w:firstLine="420" w:firstLineChars="200"/>
    </w:pPr>
    <w:rPr>
      <w:rFonts w:cs="Times New Roman"/>
    </w:rPr>
  </w:style>
  <w:style w:type="paragraph" w:customStyle="1" w:styleId="31">
    <w:name w:val="Defined_BodyText"/>
    <w:basedOn w:val="1"/>
    <w:uiPriority w:val="0"/>
    <w:rPr>
      <w:rFonts w:ascii="Tahoma" w:hAnsi="Tahoma" w:cs="Tahoma"/>
      <w:color w:val="000000"/>
      <w:sz w:val="16"/>
      <w:szCs w:val="21"/>
    </w:rPr>
  </w:style>
  <w:style w:type="paragraph" w:customStyle="1" w:styleId="32">
    <w:name w:val="Table Paragraph"/>
    <w:basedOn w:val="1"/>
    <w:qFormat/>
    <w:uiPriority w:val="0"/>
    <w:rPr>
      <w:rFonts w:ascii="仿宋" w:hAnsi="仿宋" w:eastAsia="仿宋" w:cs="仿宋"/>
      <w:lang w:val="zh-CN" w:bidi="zh-CN"/>
    </w:rPr>
  </w:style>
  <w:style w:type="paragraph" w:customStyle="1" w:styleId="33">
    <w:name w:val="列出段落1"/>
    <w:basedOn w:val="1"/>
    <w:qFormat/>
    <w:uiPriority w:val="34"/>
    <w:pPr>
      <w:ind w:firstLine="420" w:firstLineChars="200"/>
    </w:pPr>
    <w:rPr>
      <w:rFonts w:cs="Times New Roman"/>
    </w:rPr>
  </w:style>
  <w:style w:type="character" w:customStyle="1" w:styleId="34">
    <w:name w:val="font01"/>
    <w:qFormat/>
    <w:uiPriority w:val="0"/>
    <w:rPr>
      <w:rFonts w:ascii="Helvetica" w:hAnsi="Helvetica" w:eastAsia="Helvetica" w:cs="Helvetica"/>
      <w:color w:val="000000"/>
      <w:sz w:val="16"/>
      <w:szCs w:val="16"/>
      <w:u w:val="none"/>
    </w:rPr>
  </w:style>
  <w:style w:type="character" w:customStyle="1" w:styleId="35">
    <w:name w:val="font41"/>
    <w:qFormat/>
    <w:uiPriority w:val="0"/>
    <w:rPr>
      <w:rFonts w:hint="eastAsia" w:ascii="宋体" w:hAnsi="宋体" w:eastAsia="宋体" w:cs="宋体"/>
      <w:color w:val="000000"/>
      <w:sz w:val="16"/>
      <w:szCs w:val="16"/>
      <w:u w:val="none"/>
    </w:rPr>
  </w:style>
  <w:style w:type="character" w:customStyle="1" w:styleId="36">
    <w:name w:val="font11"/>
    <w:qFormat/>
    <w:uiPriority w:val="0"/>
    <w:rPr>
      <w:rFonts w:hint="default" w:ascii="Times New Roman" w:hAnsi="Times New Roman" w:cs="Times New Roman"/>
      <w:color w:val="000000"/>
      <w:sz w:val="16"/>
      <w:szCs w:val="16"/>
      <w:u w:val="none"/>
    </w:rPr>
  </w:style>
  <w:style w:type="character" w:customStyle="1" w:styleId="37">
    <w:name w:val="font21"/>
    <w:qFormat/>
    <w:uiPriority w:val="0"/>
    <w:rPr>
      <w:rFonts w:ascii="Helvetica" w:hAnsi="Helvetica" w:eastAsia="Helvetica" w:cs="Helvetica"/>
      <w:color w:val="000000"/>
      <w:sz w:val="16"/>
      <w:szCs w:val="16"/>
      <w:u w:val="none"/>
    </w:rPr>
  </w:style>
  <w:style w:type="character" w:customStyle="1" w:styleId="38">
    <w:name w:val="font51"/>
    <w:qFormat/>
    <w:uiPriority w:val="0"/>
    <w:rPr>
      <w:rFonts w:hint="eastAsia" w:ascii="宋体" w:hAnsi="宋体" w:eastAsia="宋体" w:cs="宋体"/>
      <w:color w:val="000000"/>
      <w:sz w:val="16"/>
      <w:szCs w:val="16"/>
      <w:u w:val="none"/>
    </w:rPr>
  </w:style>
  <w:style w:type="character" w:customStyle="1" w:styleId="39">
    <w:name w:val="font31"/>
    <w:qFormat/>
    <w:uiPriority w:val="0"/>
    <w:rPr>
      <w:rFonts w:hint="eastAsia" w:ascii="宋体" w:hAnsi="宋体" w:eastAsia="宋体" w:cs="宋体"/>
      <w:color w:val="000000"/>
      <w:sz w:val="16"/>
      <w:szCs w:val="16"/>
      <w:u w:val="none"/>
    </w:rPr>
  </w:style>
  <w:style w:type="character" w:customStyle="1" w:styleId="40">
    <w:name w:val="font61"/>
    <w:qFormat/>
    <w:uiPriority w:val="0"/>
    <w:rPr>
      <w:rFonts w:hint="eastAsia" w:ascii="宋体" w:hAnsi="宋体" w:eastAsia="宋体" w:cs="宋体"/>
      <w:color w:val="000000"/>
      <w:sz w:val="16"/>
      <w:szCs w:val="16"/>
      <w:u w:val="none"/>
    </w:rPr>
  </w:style>
  <w:style w:type="character" w:customStyle="1" w:styleId="41">
    <w:name w:val="font71"/>
    <w:qFormat/>
    <w:uiPriority w:val="0"/>
    <w:rPr>
      <w:rFonts w:ascii="Helvetica" w:hAnsi="Helvetica" w:eastAsia="Helvetica" w:cs="Helvetica"/>
      <w:color w:val="000000"/>
      <w:sz w:val="16"/>
      <w:szCs w:val="16"/>
      <w:u w:val="none"/>
    </w:rPr>
  </w:style>
  <w:style w:type="character" w:customStyle="1" w:styleId="42">
    <w:name w:val="font91"/>
    <w:qFormat/>
    <w:uiPriority w:val="0"/>
    <w:rPr>
      <w:rFonts w:hint="default" w:ascii="Times New Roman" w:hAnsi="Times New Roman" w:cs="Times New Roman"/>
      <w:color w:val="000000"/>
      <w:sz w:val="16"/>
      <w:szCs w:val="16"/>
      <w:u w:val="none"/>
    </w:rPr>
  </w:style>
  <w:style w:type="character" w:customStyle="1" w:styleId="43">
    <w:name w:val="font81"/>
    <w:qFormat/>
    <w:uiPriority w:val="0"/>
    <w:rPr>
      <w:rFonts w:hint="eastAsia" w:ascii="宋体" w:hAnsi="宋体" w:eastAsia="宋体" w:cs="宋体"/>
      <w:color w:val="000000"/>
      <w:sz w:val="16"/>
      <w:szCs w:val="16"/>
      <w:u w:val="none"/>
    </w:rPr>
  </w:style>
  <w:style w:type="paragraph" w:customStyle="1" w:styleId="44">
    <w:name w:val="font5"/>
    <w:basedOn w:val="1"/>
    <w:uiPriority w:val="0"/>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45">
    <w:name w:val="font6"/>
    <w:basedOn w:val="1"/>
    <w:uiPriority w:val="0"/>
    <w:pPr>
      <w:widowControl/>
      <w:spacing w:before="100" w:beforeAutospacing="1" w:after="100" w:afterAutospacing="1"/>
      <w:jc w:val="left"/>
    </w:pPr>
    <w:rPr>
      <w:rFonts w:ascii="仿宋" w:hAnsi="仿宋" w:eastAsia="仿宋" w:cs="宋体"/>
      <w:b/>
      <w:bCs/>
      <w:color w:val="000000"/>
      <w:kern w:val="0"/>
      <w:sz w:val="20"/>
      <w:szCs w:val="20"/>
    </w:rPr>
  </w:style>
  <w:style w:type="paragraph" w:customStyle="1" w:styleId="46">
    <w:name w:val="font7"/>
    <w:basedOn w:val="1"/>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47">
    <w:name w:val="xl15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48">
    <w:name w:val="xl16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49">
    <w:name w:val="xl16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50">
    <w:name w:val="xl16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51">
    <w:name w:val="xl16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b/>
      <w:bCs/>
      <w:color w:val="000000"/>
      <w:kern w:val="0"/>
      <w:sz w:val="20"/>
      <w:szCs w:val="20"/>
    </w:rPr>
  </w:style>
  <w:style w:type="paragraph" w:customStyle="1" w:styleId="52">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0"/>
      <w:szCs w:val="20"/>
    </w:rPr>
  </w:style>
  <w:style w:type="paragraph" w:customStyle="1" w:styleId="53">
    <w:name w:val="xl1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4"/>
      <w:szCs w:val="24"/>
    </w:rPr>
  </w:style>
  <w:style w:type="paragraph" w:customStyle="1" w:styleId="54">
    <w:name w:val="xl1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55">
    <w:name w:val="xl1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6">
    <w:name w:val="xl168"/>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7">
    <w:name w:val="xl169"/>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8">
    <w:name w:val="xl170"/>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9">
    <w:name w:val="xl171"/>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0">
    <w:name w:val="xl172"/>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1">
    <w:name w:val="xl173"/>
    <w:basedOn w:val="1"/>
    <w:uiPriority w:val="0"/>
    <w:pPr>
      <w:widowControl/>
      <w:pBdr>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62">
    <w:name w:val="xl174"/>
    <w:basedOn w:val="1"/>
    <w:uiPriority w:val="0"/>
    <w:pPr>
      <w:widowControl/>
      <w:pBdr>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63">
    <w:name w:val="xl175"/>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4">
    <w:name w:val="xl1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5">
    <w:name w:val="xl17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b/>
      <w:bCs/>
      <w:color w:val="000000"/>
      <w:kern w:val="0"/>
      <w:sz w:val="20"/>
      <w:szCs w:val="20"/>
    </w:rPr>
  </w:style>
  <w:style w:type="paragraph" w:customStyle="1" w:styleId="66">
    <w:name w:val="xl178"/>
    <w:basedOn w:val="1"/>
    <w:uiPriority w:val="0"/>
    <w:pPr>
      <w:widowControl/>
      <w:shd w:val="clear" w:color="000000" w:fill="FFFFFF"/>
      <w:spacing w:before="100" w:beforeAutospacing="1" w:after="100" w:afterAutospacing="1"/>
      <w:jc w:val="center"/>
      <w:textAlignment w:val="center"/>
    </w:pPr>
    <w:rPr>
      <w:rFonts w:ascii="仿宋" w:hAnsi="仿宋" w:eastAsia="仿宋" w:cs="宋体"/>
      <w:b/>
      <w:bCs/>
      <w:color w:val="000000"/>
      <w:kern w:val="0"/>
      <w:sz w:val="32"/>
      <w:szCs w:val="32"/>
    </w:rPr>
  </w:style>
  <w:style w:type="paragraph" w:customStyle="1" w:styleId="67">
    <w:name w:val="xl179"/>
    <w:basedOn w:val="1"/>
    <w:uiPriority w:val="0"/>
    <w:pPr>
      <w:widowControl/>
      <w:shd w:val="clear" w:color="000000" w:fill="FFFFFF"/>
      <w:spacing w:before="100" w:beforeAutospacing="1" w:after="100" w:afterAutospacing="1"/>
      <w:jc w:val="center"/>
      <w:textAlignment w:val="center"/>
    </w:pPr>
    <w:rPr>
      <w:rFonts w:ascii="仿宋" w:hAnsi="仿宋" w:eastAsia="仿宋" w:cs="宋体"/>
      <w:b/>
      <w:bCs/>
      <w:kern w:val="0"/>
      <w:sz w:val="32"/>
      <w:szCs w:val="32"/>
    </w:rPr>
  </w:style>
  <w:style w:type="paragraph" w:customStyle="1" w:styleId="68">
    <w:name w:val="xl180"/>
    <w:basedOn w:val="1"/>
    <w:uiPriority w:val="0"/>
    <w:pPr>
      <w:widowControl/>
      <w:shd w:val="clear" w:color="000000" w:fill="FFFFFF"/>
      <w:spacing w:before="100" w:beforeAutospacing="1" w:after="100" w:afterAutospacing="1"/>
      <w:jc w:val="center"/>
      <w:textAlignment w:val="center"/>
    </w:pPr>
    <w:rPr>
      <w:rFonts w:ascii="仿宋" w:hAnsi="仿宋" w:eastAsia="仿宋" w:cs="宋体"/>
      <w:b/>
      <w:bCs/>
      <w:color w:val="000000"/>
      <w:kern w:val="0"/>
      <w:sz w:val="32"/>
      <w:szCs w:val="32"/>
    </w:rPr>
  </w:style>
  <w:style w:type="paragraph" w:customStyle="1" w:styleId="69">
    <w:name w:val="样式4"/>
    <w:basedOn w:val="1"/>
    <w:qFormat/>
    <w:uiPriority w:val="99"/>
    <w:pPr>
      <w:numPr>
        <w:ilvl w:val="0"/>
        <w:numId w:val="1"/>
      </w:numPr>
      <w:spacing w:line="500" w:lineRule="exact"/>
      <w:jc w:val="left"/>
    </w:pPr>
    <w:rPr>
      <w:rFonts w:ascii="宋体" w:hAnsi="宋体" w:cs="Times New Roman"/>
      <w:b/>
      <w:bCs/>
      <w:color w:val="00000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513</Words>
  <Characters>2927</Characters>
  <Lines>24</Lines>
  <Paragraphs>6</Paragraphs>
  <TotalTime>1</TotalTime>
  <ScaleCrop>false</ScaleCrop>
  <LinksUpToDate>false</LinksUpToDate>
  <CharactersWithSpaces>3434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2021-11-18T02:57:00Z</dcterms:created>
  <dc:creator>wangh</dc:creator>
  <cp:lastModifiedBy>123</cp:lastModifiedBy>
  <cp:lastPrinted>2019-04-17T03:47:00Z</cp:lastPrinted>
  <dcterms:modified xsi:type="dcterms:W3CDTF">2021-11-22T02:39:53Z</dcterms:modified>
  <dc:title>湖北省省级政府采购需求公示</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2B262861DD384E8FA9BB15FE5DD2BC31</vt:lpwstr>
  </property>
</Properties>
</file>