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40" w:beforeLines="100" w:after="720" w:afterLines="300"/>
        <w:jc w:val="center"/>
        <w:rPr>
          <w:rFonts w:hint="eastAsia" w:ascii="黑体" w:hAnsi="黑体" w:eastAsia="黑体"/>
          <w:b/>
          <w:sz w:val="52"/>
          <w:szCs w:val="52"/>
        </w:rPr>
      </w:pPr>
    </w:p>
    <w:p>
      <w:pPr>
        <w:spacing w:before="240" w:beforeLines="100" w:after="720" w:afterLines="300"/>
        <w:jc w:val="center"/>
        <w:rPr>
          <w:rFonts w:ascii="黑体" w:hAnsi="黑体" w:eastAsia="黑体"/>
          <w:b/>
          <w:sz w:val="52"/>
          <w:szCs w:val="52"/>
        </w:rPr>
      </w:pPr>
      <w:r>
        <w:rPr>
          <w:rFonts w:hint="eastAsia" w:ascii="黑体" w:hAnsi="黑体" w:eastAsia="黑体"/>
          <w:b/>
          <w:sz w:val="52"/>
          <w:szCs w:val="52"/>
        </w:rPr>
        <w:t>阳新县县级政府采购</w:t>
      </w:r>
    </w:p>
    <w:p>
      <w:pPr>
        <w:spacing w:after="720" w:afterLines="300"/>
        <w:jc w:val="center"/>
        <w:rPr>
          <w:rFonts w:ascii="黑体" w:hAnsi="黑体" w:eastAsia="黑体"/>
          <w:b/>
          <w:sz w:val="144"/>
          <w:szCs w:val="144"/>
        </w:rPr>
      </w:pPr>
      <w:r>
        <w:rPr>
          <w:rFonts w:hint="eastAsia" w:ascii="黑体" w:hAnsi="黑体" w:eastAsia="黑体"/>
          <w:b/>
          <w:sz w:val="144"/>
          <w:szCs w:val="144"/>
        </w:rPr>
        <w:t>招 标 文 件</w:t>
      </w:r>
    </w:p>
    <w:p>
      <w:pPr>
        <w:spacing w:line="360" w:lineRule="auto"/>
        <w:ind w:left="2055" w:leftChars="619" w:right="1306" w:rightChars="622" w:hanging="755" w:hangingChars="209"/>
        <w:rPr>
          <w:rFonts w:ascii="黑体" w:hAnsi="黑体" w:eastAsia="黑体" w:cs="Times New Roman"/>
          <w:b/>
          <w:bCs/>
          <w:sz w:val="36"/>
          <w:szCs w:val="24"/>
        </w:rPr>
      </w:pPr>
    </w:p>
    <w:p>
      <w:pPr>
        <w:spacing w:line="360" w:lineRule="auto"/>
        <w:ind w:right="1306" w:rightChars="622"/>
        <w:rPr>
          <w:rFonts w:ascii="黑体" w:hAnsi="黑体" w:eastAsia="黑体" w:cs="Times New Roman"/>
          <w:b/>
          <w:bCs/>
          <w:sz w:val="36"/>
          <w:szCs w:val="24"/>
        </w:rPr>
      </w:pPr>
    </w:p>
    <w:p>
      <w:pPr>
        <w:spacing w:line="360" w:lineRule="auto"/>
        <w:ind w:left="2055" w:leftChars="619" w:right="1306" w:rightChars="622" w:hanging="755" w:hangingChars="209"/>
        <w:rPr>
          <w:rFonts w:ascii="黑体" w:hAnsi="黑体" w:eastAsia="黑体" w:cs="Times New Roman"/>
          <w:b/>
          <w:bCs/>
          <w:sz w:val="36"/>
          <w:szCs w:val="24"/>
        </w:rPr>
      </w:pPr>
    </w:p>
    <w:p>
      <w:pPr>
        <w:spacing w:line="360" w:lineRule="auto"/>
        <w:ind w:right="63" w:rightChars="30" w:firstLine="600" w:firstLineChars="200"/>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项目编号：131-2021CG</w:t>
      </w:r>
      <w:r>
        <w:rPr>
          <w:rFonts w:hint="eastAsia" w:ascii="宋体" w:hAnsi="宋体" w:eastAsia="宋体" w:cs="Times New Roman"/>
          <w:kern w:val="0"/>
          <w:sz w:val="30"/>
          <w:szCs w:val="30"/>
          <w:lang w:val="en-US" w:bidi="zh-CN"/>
        </w:rPr>
        <w:t>-263</w:t>
      </w:r>
      <w:r>
        <w:rPr>
          <w:rFonts w:hint="eastAsia" w:ascii="宋体" w:hAnsi="宋体" w:eastAsia="宋体" w:cs="Times New Roman"/>
          <w:kern w:val="0"/>
          <w:sz w:val="30"/>
          <w:szCs w:val="30"/>
          <w:lang w:val="zh-CN" w:bidi="zh-CN"/>
        </w:rPr>
        <w:t xml:space="preserve">                   </w:t>
      </w:r>
    </w:p>
    <w:p>
      <w:pPr>
        <w:spacing w:line="360" w:lineRule="auto"/>
        <w:ind w:right="283" w:rightChars="135" w:firstLine="600" w:firstLineChars="200"/>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 xml:space="preserve">采 购 人：阳新县住房和城乡建设局              </w:t>
      </w:r>
    </w:p>
    <w:p>
      <w:pPr>
        <w:spacing w:line="360" w:lineRule="auto"/>
        <w:ind w:left="2130" w:leftChars="300" w:right="63" w:rightChars="30" w:hanging="1500" w:hangingChars="500"/>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项目名称：</w:t>
      </w:r>
      <w:bookmarkStart w:id="235" w:name="_GoBack"/>
      <w:r>
        <w:rPr>
          <w:rFonts w:hint="eastAsia" w:ascii="宋体" w:hAnsi="宋体" w:eastAsia="宋体" w:cs="Times New Roman"/>
          <w:kern w:val="0"/>
          <w:sz w:val="30"/>
          <w:szCs w:val="30"/>
          <w:lang w:val="zh-CN" w:bidi="zh-CN"/>
        </w:rPr>
        <w:t>阳新县第一次全国自然灾害综合风险普查房屋建筑和市政设施调查项目</w:t>
      </w:r>
      <w:bookmarkEnd w:id="235"/>
    </w:p>
    <w:p>
      <w:pPr>
        <w:autoSpaceDE w:val="0"/>
        <w:autoSpaceDN w:val="0"/>
        <w:adjustRightInd w:val="0"/>
        <w:snapToGrid w:val="0"/>
        <w:spacing w:line="360" w:lineRule="auto"/>
        <w:jc w:val="center"/>
        <w:rPr>
          <w:rFonts w:ascii="Times New Roman" w:hAnsi="Times New Roman" w:eastAsia="宋体" w:cs="Times New Roman"/>
          <w:bCs/>
          <w:color w:val="000000"/>
          <w:kern w:val="0"/>
          <w:sz w:val="56"/>
          <w:szCs w:val="56"/>
          <w:lang w:val="zh-CN" w:bidi="zh-CN"/>
        </w:rPr>
      </w:pPr>
    </w:p>
    <w:p>
      <w:pPr>
        <w:autoSpaceDE w:val="0"/>
        <w:autoSpaceDN w:val="0"/>
        <w:adjustRightInd w:val="0"/>
        <w:snapToGrid w:val="0"/>
        <w:spacing w:line="360" w:lineRule="auto"/>
        <w:jc w:val="center"/>
        <w:rPr>
          <w:rFonts w:ascii="Times New Roman" w:hAnsi="Times New Roman" w:eastAsia="宋体" w:cs="Times New Roman"/>
          <w:bCs/>
          <w:color w:val="000000"/>
          <w:kern w:val="0"/>
          <w:sz w:val="56"/>
          <w:szCs w:val="56"/>
          <w:lang w:val="zh-CN" w:bidi="zh-CN"/>
        </w:rPr>
      </w:pPr>
      <w:r>
        <w:rPr>
          <w:rFonts w:hint="eastAsia" w:ascii="Times New Roman" w:hAnsi="Times New Roman" w:eastAsia="宋体" w:cs="Times New Roman"/>
          <w:bCs/>
          <w:color w:val="000000"/>
          <w:kern w:val="0"/>
          <w:sz w:val="56"/>
          <w:szCs w:val="56"/>
          <w:lang w:val="zh-CN" w:bidi="zh-CN"/>
        </w:rPr>
        <w:t>湖北诚建工程管理咨询有限公司</w:t>
      </w:r>
    </w:p>
    <w:p>
      <w:pPr>
        <w:jc w:val="center"/>
        <w:rPr>
          <w:rFonts w:ascii="黑体" w:hAnsi="黑体" w:eastAsia="黑体" w:cs="Times New Roman"/>
          <w:b/>
          <w:bCs/>
          <w:sz w:val="32"/>
        </w:rPr>
        <w:sectPr>
          <w:headerReference r:id="rId3" w:type="default"/>
          <w:footerReference r:id="rId4" w:type="default"/>
          <w:pgSz w:w="11906" w:h="16838"/>
          <w:pgMar w:top="1440" w:right="1800" w:bottom="1440" w:left="1800" w:header="113" w:footer="992" w:gutter="0"/>
          <w:cols w:space="720" w:num="1"/>
          <w:docGrid w:linePitch="286" w:charSpace="0"/>
        </w:sectPr>
      </w:pPr>
      <w:r>
        <w:rPr>
          <w:rFonts w:hint="eastAsia" w:ascii="黑体" w:hAnsi="黑体" w:eastAsia="黑体" w:cs="Times New Roman"/>
          <w:b/>
          <w:bCs/>
          <w:sz w:val="44"/>
          <w:szCs w:val="44"/>
          <w:u w:val="single"/>
        </w:rPr>
        <w:t>2021</w:t>
      </w:r>
      <w:r>
        <w:rPr>
          <w:rFonts w:hint="eastAsia" w:ascii="黑体" w:hAnsi="黑体" w:eastAsia="黑体"/>
          <w:b/>
          <w:sz w:val="44"/>
          <w:szCs w:val="44"/>
        </w:rPr>
        <w:t>年</w:t>
      </w:r>
      <w:r>
        <w:rPr>
          <w:rFonts w:ascii="黑体" w:hAnsi="黑体" w:eastAsia="黑体" w:cs="Times New Roman"/>
          <w:b/>
          <w:bCs/>
          <w:sz w:val="44"/>
          <w:szCs w:val="44"/>
          <w:u w:val="single"/>
        </w:rPr>
        <w:t>12</w:t>
      </w:r>
      <w:r>
        <w:rPr>
          <w:rFonts w:hint="eastAsia" w:ascii="黑体" w:hAnsi="黑体" w:eastAsia="黑体"/>
          <w:b/>
          <w:sz w:val="44"/>
          <w:szCs w:val="44"/>
        </w:rPr>
        <w:t>月</w:t>
      </w:r>
    </w:p>
    <w:p>
      <w:pPr>
        <w:jc w:val="center"/>
        <w:rPr>
          <w:rFonts w:ascii="宋体" w:hAnsi="宋体"/>
          <w:b/>
          <w:sz w:val="44"/>
          <w:szCs w:val="44"/>
        </w:rPr>
      </w:pPr>
      <w:r>
        <w:rPr>
          <w:rFonts w:hint="eastAsia" w:ascii="宋体" w:hAnsi="宋体"/>
          <w:b/>
          <w:sz w:val="44"/>
          <w:szCs w:val="44"/>
          <w:lang w:val="en-US" w:eastAsia="zh-CN"/>
        </w:rPr>
        <w:t>招标</w:t>
      </w:r>
      <w:r>
        <w:rPr>
          <w:rFonts w:hint="eastAsia" w:ascii="宋体" w:hAnsi="宋体"/>
          <w:b/>
          <w:sz w:val="44"/>
          <w:szCs w:val="44"/>
        </w:rPr>
        <w:t>文件审核意见表</w:t>
      </w:r>
    </w:p>
    <w:p>
      <w:pPr>
        <w:rPr>
          <w:rFonts w:hint="default" w:ascii="宋体" w:hAnsi="宋体" w:eastAsiaTheme="minorEastAsia"/>
          <w:sz w:val="28"/>
          <w:szCs w:val="28"/>
          <w:lang w:val="en-US" w:eastAsia="zh-CN"/>
        </w:rPr>
      </w:pPr>
      <w:r>
        <w:rPr>
          <w:rFonts w:hint="eastAsia" w:ascii="宋体" w:hAnsi="宋体"/>
          <w:sz w:val="28"/>
          <w:szCs w:val="28"/>
        </w:rPr>
        <w:t>项目编号：</w:t>
      </w:r>
      <w:r>
        <w:rPr>
          <w:rFonts w:ascii="宋体" w:hAnsi="宋体"/>
          <w:sz w:val="28"/>
          <w:szCs w:val="28"/>
        </w:rPr>
        <w:t>131-2021CG-</w:t>
      </w:r>
      <w:r>
        <w:rPr>
          <w:rFonts w:hint="eastAsia" w:ascii="宋体" w:hAnsi="宋体"/>
          <w:sz w:val="28"/>
          <w:szCs w:val="28"/>
          <w:lang w:val="en-US" w:eastAsia="zh-CN"/>
        </w:rPr>
        <w:t>263</w:t>
      </w:r>
    </w:p>
    <w:tbl>
      <w:tblPr>
        <w:tblStyle w:val="24"/>
        <w:tblW w:w="8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4"/>
        <w:gridCol w:w="6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104" w:type="dxa"/>
            <w:vAlign w:val="center"/>
          </w:tcPr>
          <w:p>
            <w:pPr>
              <w:jc w:val="center"/>
              <w:rPr>
                <w:rFonts w:ascii="宋体" w:hAnsi="宋体"/>
                <w:sz w:val="28"/>
                <w:szCs w:val="28"/>
              </w:rPr>
            </w:pPr>
            <w:r>
              <w:rPr>
                <w:rFonts w:hint="eastAsia" w:ascii="宋体" w:hAnsi="宋体"/>
                <w:sz w:val="28"/>
                <w:szCs w:val="28"/>
              </w:rPr>
              <w:t>项目名称</w:t>
            </w:r>
          </w:p>
        </w:tc>
        <w:tc>
          <w:tcPr>
            <w:tcW w:w="6675" w:type="dxa"/>
            <w:vAlign w:val="center"/>
          </w:tcPr>
          <w:p>
            <w:pPr>
              <w:jc w:val="left"/>
              <w:rPr>
                <w:sz w:val="24"/>
                <w:szCs w:val="24"/>
              </w:rPr>
            </w:pPr>
            <w:r>
              <w:rPr>
                <w:rFonts w:hint="eastAsia" w:ascii="华文中宋" w:hAnsi="华文中宋" w:eastAsia="华文中宋" w:cs="Times New Roman"/>
                <w:sz w:val="28"/>
                <w:szCs w:val="22"/>
                <w:lang w:val="zh-CN" w:eastAsia="zh-CN"/>
              </w:rPr>
              <w:t>阳新县第一次全国自然灾害综合风险普查房屋建筑和市政设施调查项目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104" w:type="dxa"/>
            <w:vAlign w:val="center"/>
          </w:tcPr>
          <w:p>
            <w:pPr>
              <w:jc w:val="center"/>
              <w:rPr>
                <w:rFonts w:hint="eastAsia" w:ascii="宋体" w:hAnsi="宋体" w:eastAsia="宋体"/>
                <w:sz w:val="28"/>
                <w:szCs w:val="28"/>
                <w:lang w:eastAsia="zh-CN"/>
              </w:rPr>
            </w:pPr>
            <w:r>
              <w:rPr>
                <w:rFonts w:hint="eastAsia" w:ascii="宋体" w:hAnsi="宋体"/>
                <w:sz w:val="28"/>
                <w:szCs w:val="28"/>
                <w:lang w:val="en-US" w:eastAsia="zh-CN"/>
              </w:rPr>
              <w:t>招标人</w:t>
            </w:r>
          </w:p>
        </w:tc>
        <w:tc>
          <w:tcPr>
            <w:tcW w:w="6675" w:type="dxa"/>
            <w:vAlign w:val="center"/>
          </w:tcPr>
          <w:p>
            <w:pPr>
              <w:jc w:val="left"/>
              <w:rPr>
                <w:rFonts w:ascii="宋体" w:hAnsi="宋体"/>
                <w:sz w:val="24"/>
                <w:szCs w:val="24"/>
              </w:rPr>
            </w:pPr>
            <w:r>
              <w:rPr>
                <w:rFonts w:hint="eastAsia" w:ascii="宋体" w:hAnsi="宋体" w:eastAsia="宋体" w:cs="Times New Roman"/>
                <w:kern w:val="0"/>
                <w:sz w:val="30"/>
                <w:szCs w:val="30"/>
                <w:lang w:val="zh-CN" w:bidi="zh-CN"/>
              </w:rPr>
              <w:t xml:space="preserve">阳新县住房和城乡建设局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2104" w:type="dxa"/>
            <w:vAlign w:val="center"/>
          </w:tcPr>
          <w:p>
            <w:pPr>
              <w:jc w:val="center"/>
              <w:rPr>
                <w:rFonts w:hint="default" w:ascii="宋体" w:hAnsi="宋体" w:eastAsia="宋体"/>
                <w:sz w:val="28"/>
                <w:szCs w:val="28"/>
                <w:lang w:val="en-US" w:eastAsia="zh-CN"/>
              </w:rPr>
            </w:pPr>
            <w:r>
              <w:rPr>
                <w:rFonts w:hint="eastAsia" w:ascii="宋体" w:hAnsi="宋体"/>
                <w:sz w:val="28"/>
                <w:szCs w:val="28"/>
                <w:lang w:val="en-US" w:eastAsia="zh-CN"/>
              </w:rPr>
              <w:t>采购代理机构</w:t>
            </w:r>
          </w:p>
        </w:tc>
        <w:tc>
          <w:tcPr>
            <w:tcW w:w="6675" w:type="dxa"/>
            <w:vAlign w:val="center"/>
          </w:tcPr>
          <w:p>
            <w:pPr>
              <w:jc w:val="left"/>
              <w:rPr>
                <w:rFonts w:ascii="宋体" w:hAnsi="宋体"/>
                <w:sz w:val="24"/>
                <w:szCs w:val="24"/>
              </w:rPr>
            </w:pPr>
            <w:r>
              <w:rPr>
                <w:rFonts w:hint="eastAsia" w:ascii="宋体" w:hAnsi="宋体" w:eastAsia="宋体" w:cs="Times New Roman"/>
                <w:kern w:val="0"/>
                <w:sz w:val="30"/>
                <w:szCs w:val="30"/>
                <w:lang w:val="zh-CN" w:bidi="zh-CN"/>
              </w:rPr>
              <w:t>湖北诚建工程管理咨询有限公司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2104" w:type="dxa"/>
            <w:vAlign w:val="center"/>
          </w:tcPr>
          <w:p>
            <w:pPr>
              <w:jc w:val="center"/>
              <w:rPr>
                <w:rFonts w:ascii="宋体" w:hAnsi="宋体"/>
                <w:sz w:val="28"/>
                <w:szCs w:val="28"/>
              </w:rPr>
            </w:pPr>
            <w:r>
              <w:rPr>
                <w:rFonts w:hint="eastAsia" w:ascii="宋体" w:hAnsi="宋体"/>
                <w:sz w:val="28"/>
                <w:szCs w:val="28"/>
              </w:rPr>
              <w:t>送审内容</w:t>
            </w:r>
          </w:p>
        </w:tc>
        <w:tc>
          <w:tcPr>
            <w:tcW w:w="6675" w:type="dxa"/>
            <w:vAlign w:val="center"/>
          </w:tcPr>
          <w:p>
            <w:pPr>
              <w:jc w:val="left"/>
              <w:rPr>
                <w:rFonts w:hint="eastAsia" w:ascii="华文中宋" w:hAnsi="华文中宋" w:eastAsia="华文中宋" w:cs="Times New Roman"/>
                <w:sz w:val="32"/>
                <w:szCs w:val="24"/>
                <w:lang w:val="en-US" w:eastAsia="zh-CN"/>
              </w:rPr>
            </w:pPr>
            <w:r>
              <w:rPr>
                <w:rFonts w:hint="eastAsia" w:ascii="华文中宋" w:hAnsi="华文中宋" w:eastAsia="华文中宋" w:cs="Times New Roman"/>
                <w:sz w:val="28"/>
                <w:szCs w:val="22"/>
                <w:lang w:val="zh-CN" w:eastAsia="zh-CN"/>
              </w:rPr>
              <w:t>阳新县第一次全国自然灾害综合风险普查房屋建筑和市政设施调查项目招标公告及招标文件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3" w:hRule="atLeast"/>
        </w:trPr>
        <w:tc>
          <w:tcPr>
            <w:tcW w:w="2104" w:type="dxa"/>
            <w:vAlign w:val="center"/>
          </w:tcPr>
          <w:p>
            <w:pPr>
              <w:jc w:val="center"/>
              <w:rPr>
                <w:rFonts w:ascii="宋体" w:hAnsi="宋体"/>
                <w:sz w:val="28"/>
                <w:szCs w:val="28"/>
              </w:rPr>
            </w:pPr>
            <w:r>
              <w:rPr>
                <w:rFonts w:hint="eastAsia" w:ascii="宋体" w:hAnsi="宋体"/>
                <w:sz w:val="28"/>
                <w:szCs w:val="28"/>
                <w:lang w:val="en-US" w:eastAsia="zh-CN"/>
              </w:rPr>
              <w:t>招标人</w:t>
            </w:r>
            <w:r>
              <w:rPr>
                <w:rFonts w:hint="eastAsia" w:ascii="宋体" w:hAnsi="宋体"/>
                <w:sz w:val="28"/>
                <w:szCs w:val="28"/>
              </w:rPr>
              <w:t>对</w:t>
            </w:r>
            <w:r>
              <w:rPr>
                <w:rFonts w:hint="eastAsia" w:ascii="宋体" w:hAnsi="宋体"/>
                <w:sz w:val="28"/>
                <w:szCs w:val="28"/>
                <w:lang w:eastAsia="zh-CN"/>
              </w:rPr>
              <w:t>招标</w:t>
            </w:r>
            <w:r>
              <w:rPr>
                <w:rFonts w:hint="eastAsia" w:ascii="宋体" w:hAnsi="宋体"/>
                <w:sz w:val="28"/>
                <w:szCs w:val="28"/>
              </w:rPr>
              <w:t>公告及</w:t>
            </w:r>
            <w:r>
              <w:rPr>
                <w:rFonts w:hint="eastAsia" w:ascii="宋体" w:hAnsi="宋体"/>
                <w:sz w:val="28"/>
                <w:szCs w:val="28"/>
                <w:lang w:eastAsia="zh-CN"/>
              </w:rPr>
              <w:t>招标</w:t>
            </w:r>
            <w:r>
              <w:rPr>
                <w:rFonts w:hint="eastAsia" w:ascii="宋体" w:hAnsi="宋体"/>
                <w:sz w:val="28"/>
                <w:szCs w:val="28"/>
              </w:rPr>
              <w:t>文件审核意见</w:t>
            </w:r>
          </w:p>
        </w:tc>
        <w:tc>
          <w:tcPr>
            <w:tcW w:w="6675" w:type="dxa"/>
            <w:vAlign w:val="center"/>
          </w:tcPr>
          <w:p>
            <w:pPr>
              <w:jc w:val="both"/>
              <w:rPr>
                <w:rFonts w:ascii="宋体" w:hAnsi="宋体"/>
                <w:sz w:val="28"/>
                <w:szCs w:val="28"/>
              </w:rPr>
            </w:pPr>
            <w:r>
              <w:rPr>
                <w:rFonts w:hint="eastAsia" w:ascii="宋体" w:hAnsi="宋体"/>
                <w:sz w:val="28"/>
                <w:szCs w:val="28"/>
                <w:lang w:val="en-US" w:eastAsia="zh-CN"/>
              </w:rPr>
              <w:t>招标人</w:t>
            </w:r>
            <w:r>
              <w:rPr>
                <w:rFonts w:hint="eastAsia" w:ascii="宋体" w:hAnsi="宋体"/>
                <w:sz w:val="28"/>
                <w:szCs w:val="28"/>
              </w:rPr>
              <w:t>签字（盖章）：</w:t>
            </w: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pStyle w:val="31"/>
            </w:pPr>
          </w:p>
          <w:p>
            <w:pPr>
              <w:rPr>
                <w:rFonts w:ascii="宋体" w:hAnsi="宋体"/>
                <w:sz w:val="28"/>
                <w:szCs w:val="28"/>
              </w:rPr>
            </w:pPr>
          </w:p>
          <w:p>
            <w:pPr>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2021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p>
        </w:tc>
      </w:tr>
    </w:tbl>
    <w:p>
      <w:pPr>
        <w:rPr>
          <w:rFonts w:hint="eastAsia" w:ascii="黑体" w:hAnsi="黑体" w:eastAsia="黑体"/>
          <w:sz w:val="44"/>
          <w:szCs w:val="44"/>
        </w:rPr>
      </w:pPr>
    </w:p>
    <w:p>
      <w:pPr>
        <w:rPr>
          <w:rFonts w:hint="eastAsia" w:ascii="黑体" w:hAnsi="黑体" w:eastAsia="黑体"/>
          <w:sz w:val="44"/>
          <w:szCs w:val="44"/>
        </w:rPr>
      </w:pPr>
      <w:r>
        <w:rPr>
          <w:rFonts w:hint="eastAsia" w:ascii="黑体" w:hAnsi="黑体" w:eastAsia="黑体"/>
          <w:sz w:val="44"/>
          <w:szCs w:val="44"/>
        </w:rPr>
        <w:br w:type="page"/>
      </w:r>
    </w:p>
    <w:p>
      <w:pPr>
        <w:spacing w:before="240"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8"/>
            <w:tabs>
              <w:tab w:val="left" w:pos="1260"/>
              <w:tab w:val="right" w:leader="dot" w:pos="8222"/>
            </w:tabs>
            <w:rPr>
              <w:rFonts w:eastAsia="黑体" w:asciiTheme="minorHAnsi" w:hAnsiTheme="minorHAnsi" w:cstheme="minorBidi"/>
              <w:b/>
              <w:i w:val="0"/>
              <w:iCs/>
              <w:color w:val="000000" w:themeColor="text1"/>
              <w:kern w:val="0"/>
              <w:sz w:val="28"/>
              <w:szCs w:val="22"/>
              <w:lang w:val="en-US" w:eastAsia="zh-CN" w:bidi="ar-SA"/>
              <w14:textFill>
                <w14:solidFill>
                  <w14:schemeClr w14:val="tx1"/>
                </w14:solidFill>
              </w14:textFill>
            </w:rPr>
          </w:pPr>
          <w:r>
            <w:fldChar w:fldCharType="begin"/>
          </w:r>
          <w:r>
            <w:instrText xml:space="preserve"> TOC \o "1-2" \h \z \u </w:instrText>
          </w:r>
          <w:r>
            <w:fldChar w:fldCharType="separate"/>
          </w:r>
        </w:p>
        <w:p>
          <w:pPr>
            <w:pStyle w:val="18"/>
            <w:tabs>
              <w:tab w:val="right" w:leader="dot" w:pos="8306"/>
            </w:tabs>
          </w:pPr>
          <w:r>
            <w:fldChar w:fldCharType="begin"/>
          </w:r>
          <w:r>
            <w:instrText xml:space="preserve"> HYPERLINK \l _Toc4425 </w:instrText>
          </w:r>
          <w:r>
            <w:fldChar w:fldCharType="separate"/>
          </w:r>
          <w:r>
            <w:rPr>
              <w:rFonts w:hint="eastAsia" w:ascii="黑体" w:hAnsi="黑体" w:eastAsia="黑体"/>
            </w:rPr>
            <w:t>第一章 投标邀请书</w:t>
          </w:r>
          <w:r>
            <w:tab/>
          </w:r>
          <w:r>
            <w:fldChar w:fldCharType="begin"/>
          </w:r>
          <w:r>
            <w:instrText xml:space="preserve"> PAGEREF _Toc4425 \h </w:instrText>
          </w:r>
          <w:r>
            <w:fldChar w:fldCharType="separate"/>
          </w:r>
          <w:r>
            <w:t>4</w:t>
          </w:r>
          <w:r>
            <w:fldChar w:fldCharType="end"/>
          </w:r>
          <w:r>
            <w:fldChar w:fldCharType="end"/>
          </w:r>
        </w:p>
        <w:p>
          <w:pPr>
            <w:pStyle w:val="18"/>
            <w:tabs>
              <w:tab w:val="right" w:leader="dot" w:pos="8306"/>
            </w:tabs>
          </w:pPr>
          <w:r>
            <w:fldChar w:fldCharType="begin"/>
          </w:r>
          <w:r>
            <w:instrText xml:space="preserve"> HYPERLINK \l _Toc23056 </w:instrText>
          </w:r>
          <w:r>
            <w:fldChar w:fldCharType="separate"/>
          </w:r>
          <w:r>
            <w:rPr>
              <w:rFonts w:hint="eastAsia" w:ascii="黑体" w:hAnsi="黑体" w:eastAsia="黑体"/>
            </w:rPr>
            <w:t>第二章 投标人须知</w:t>
          </w:r>
          <w:r>
            <w:tab/>
          </w:r>
          <w:r>
            <w:fldChar w:fldCharType="begin"/>
          </w:r>
          <w:r>
            <w:instrText xml:space="preserve"> PAGEREF _Toc23056 \h </w:instrText>
          </w:r>
          <w:r>
            <w:fldChar w:fldCharType="separate"/>
          </w:r>
          <w:r>
            <w:t>6</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_Toc18514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_Toc18514 \h </w:instrText>
          </w:r>
          <w:r>
            <w:fldChar w:fldCharType="separate"/>
          </w:r>
          <w:r>
            <w:t>6</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_Toc2294 </w:instrText>
          </w:r>
          <w:r>
            <w:fldChar w:fldCharType="separate"/>
          </w:r>
          <w:r>
            <w:rPr>
              <w:rFonts w:hint="eastAsia" w:cs="Times New Roman" w:asciiTheme="majorEastAsia" w:hAnsiTheme="majorEastAsia"/>
              <w:bCs/>
              <w:szCs w:val="40"/>
              <w:lang w:val="zh-CN"/>
            </w:rPr>
            <w:t>说  明</w:t>
          </w:r>
          <w:r>
            <w:tab/>
          </w:r>
          <w:r>
            <w:fldChar w:fldCharType="begin"/>
          </w:r>
          <w:r>
            <w:instrText xml:space="preserve"> PAGEREF _Toc2294 \h </w:instrText>
          </w:r>
          <w:r>
            <w:fldChar w:fldCharType="separate"/>
          </w:r>
          <w:r>
            <w:t>8</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_Toc13630 </w:instrText>
          </w:r>
          <w: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招标文件</w:t>
          </w:r>
          <w:r>
            <w:tab/>
          </w:r>
          <w:r>
            <w:fldChar w:fldCharType="begin"/>
          </w:r>
          <w:r>
            <w:instrText xml:space="preserve"> PAGEREF _Toc13630 \h </w:instrText>
          </w:r>
          <w:r>
            <w:fldChar w:fldCharType="separate"/>
          </w:r>
          <w:r>
            <w:t>9</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_Toc29820 </w:instrText>
          </w:r>
          <w: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投标文件</w:t>
          </w:r>
          <w:r>
            <w:tab/>
          </w:r>
          <w:r>
            <w:fldChar w:fldCharType="begin"/>
          </w:r>
          <w:r>
            <w:instrText xml:space="preserve"> PAGEREF _Toc29820 \h </w:instrText>
          </w:r>
          <w:r>
            <w:fldChar w:fldCharType="separate"/>
          </w:r>
          <w:r>
            <w:t>10</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_Toc32371 </w:instrText>
          </w:r>
          <w: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开标与评标</w:t>
          </w:r>
          <w:r>
            <w:tab/>
          </w:r>
          <w:r>
            <w:fldChar w:fldCharType="begin"/>
          </w:r>
          <w:r>
            <w:instrText xml:space="preserve"> PAGEREF _Toc32371 \h </w:instrText>
          </w:r>
          <w:r>
            <w:fldChar w:fldCharType="separate"/>
          </w:r>
          <w:r>
            <w:t>15</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_Toc3493 </w:instrText>
          </w:r>
          <w: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投标人信用信息及查询</w:t>
          </w:r>
          <w:r>
            <w:tab/>
          </w:r>
          <w:r>
            <w:fldChar w:fldCharType="begin"/>
          </w:r>
          <w:r>
            <w:instrText xml:space="preserve"> PAGEREF _Toc3493 \h </w:instrText>
          </w:r>
          <w:r>
            <w:fldChar w:fldCharType="separate"/>
          </w:r>
          <w:r>
            <w:t>17</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_Toc3133 </w:instrText>
          </w:r>
          <w:r>
            <w:fldChar w:fldCharType="separate"/>
          </w:r>
          <w:r>
            <w:rPr>
              <w:rFonts w:hint="eastAsia" w:cs="Times New Roman" w:asciiTheme="majorEastAsia" w:hAnsiTheme="majorEastAsia"/>
              <w:bCs w:val="0"/>
              <w:szCs w:val="30"/>
              <w:lang w:val="zh-CN"/>
            </w:rPr>
            <w:t xml:space="preserve">五、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_Toc3133 \h </w:instrText>
          </w:r>
          <w:r>
            <w:fldChar w:fldCharType="separate"/>
          </w:r>
          <w:r>
            <w:t>17</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_Toc12701 </w:instrText>
          </w:r>
          <w:r>
            <w:fldChar w:fldCharType="separate"/>
          </w:r>
          <w:r>
            <w:rPr>
              <w:rFonts w:hint="eastAsia" w:cs="Times New Roman" w:asciiTheme="majorEastAsia" w:hAnsiTheme="majorEastAsia"/>
              <w:bCs w:val="0"/>
              <w:szCs w:val="30"/>
              <w:lang w:val="zh-CN"/>
            </w:rPr>
            <w:t xml:space="preserve">六、 </w:t>
          </w:r>
          <w:r>
            <w:rPr>
              <w:rFonts w:hint="eastAsia" w:cs="Times New Roman" w:asciiTheme="majorEastAsia" w:hAnsiTheme="majorEastAsia"/>
              <w:bCs w:val="0"/>
              <w:lang w:val="zh-CN"/>
            </w:rPr>
            <w:t>采购信息公告</w:t>
          </w:r>
          <w:r>
            <w:tab/>
          </w:r>
          <w:r>
            <w:fldChar w:fldCharType="begin"/>
          </w:r>
          <w:r>
            <w:instrText xml:space="preserve"> PAGEREF _Toc12701 \h </w:instrText>
          </w:r>
          <w:r>
            <w:fldChar w:fldCharType="separate"/>
          </w:r>
          <w:r>
            <w:t>19</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_Toc11513 </w:instrText>
          </w:r>
          <w: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质疑及提交</w:t>
          </w:r>
          <w:r>
            <w:tab/>
          </w:r>
          <w:r>
            <w:fldChar w:fldCharType="begin"/>
          </w:r>
          <w:r>
            <w:instrText xml:space="preserve"> PAGEREF _Toc11513 \h </w:instrText>
          </w:r>
          <w:r>
            <w:fldChar w:fldCharType="separate"/>
          </w:r>
          <w:r>
            <w:t>19</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_Toc19363 </w:instrText>
          </w:r>
          <w: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相关条文解读</w:t>
          </w:r>
          <w:r>
            <w:tab/>
          </w:r>
          <w:r>
            <w:fldChar w:fldCharType="begin"/>
          </w:r>
          <w:r>
            <w:instrText xml:space="preserve"> PAGEREF _Toc19363 \h </w:instrText>
          </w:r>
          <w:r>
            <w:fldChar w:fldCharType="separate"/>
          </w:r>
          <w:r>
            <w:t>20</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_Toc982 </w:instrText>
          </w:r>
          <w: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其他注意事项</w:t>
          </w:r>
          <w:r>
            <w:tab/>
          </w:r>
          <w:r>
            <w:fldChar w:fldCharType="begin"/>
          </w:r>
          <w:r>
            <w:instrText xml:space="preserve"> PAGEREF _Toc982 \h </w:instrText>
          </w:r>
          <w:r>
            <w:fldChar w:fldCharType="separate"/>
          </w:r>
          <w:r>
            <w:t>20</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_Toc2899 </w:instrText>
          </w:r>
          <w: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适用法律</w:t>
          </w:r>
          <w:r>
            <w:tab/>
          </w:r>
          <w:r>
            <w:fldChar w:fldCharType="begin"/>
          </w:r>
          <w:r>
            <w:instrText xml:space="preserve"> PAGEREF _Toc2899 \h </w:instrText>
          </w:r>
          <w:r>
            <w:fldChar w:fldCharType="separate"/>
          </w:r>
          <w:r>
            <w:t>21</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_Toc24205 </w:instrText>
          </w:r>
          <w: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招标文件的解释权</w:t>
          </w:r>
          <w:r>
            <w:tab/>
          </w:r>
          <w:r>
            <w:fldChar w:fldCharType="begin"/>
          </w:r>
          <w:r>
            <w:instrText xml:space="preserve"> PAGEREF _Toc24205 \h </w:instrText>
          </w:r>
          <w:r>
            <w:fldChar w:fldCharType="separate"/>
          </w:r>
          <w:r>
            <w:t>21</w:t>
          </w:r>
          <w:r>
            <w:fldChar w:fldCharType="end"/>
          </w:r>
          <w:r>
            <w:fldChar w:fldCharType="end"/>
          </w:r>
        </w:p>
        <w:p>
          <w:pPr>
            <w:pStyle w:val="18"/>
            <w:tabs>
              <w:tab w:val="right" w:leader="dot" w:pos="8306"/>
            </w:tabs>
          </w:pPr>
          <w:r>
            <w:fldChar w:fldCharType="begin"/>
          </w:r>
          <w:r>
            <w:instrText xml:space="preserve"> HYPERLINK \l _Toc31234 </w:instrText>
          </w:r>
          <w:r>
            <w:fldChar w:fldCharType="separate"/>
          </w:r>
          <w:r>
            <w:rPr>
              <w:rFonts w:hint="eastAsia" w:ascii="Wingdings" w:hAnsi="Wingdings" w:eastAsia="黑体"/>
              <w:highlight w:val="lightGray"/>
            </w:rPr>
            <w:t>第三章</w:t>
          </w:r>
          <w:r>
            <w:rPr>
              <w:rFonts w:hint="eastAsia" w:ascii="Wingdings" w:hAnsi="Wingdings" w:eastAsia="黑体"/>
            </w:rPr>
            <w:t xml:space="preserve"> </w:t>
          </w:r>
          <w:r>
            <w:rPr>
              <w:rFonts w:hint="eastAsia" w:ascii="黑体" w:hAnsi="黑体" w:eastAsia="黑体"/>
            </w:rPr>
            <w:t>项目技术、服务及商务要求</w:t>
          </w:r>
          <w:r>
            <w:tab/>
          </w:r>
          <w:r>
            <w:fldChar w:fldCharType="begin"/>
          </w:r>
          <w:r>
            <w:instrText xml:space="preserve"> PAGEREF _Toc31234 \h </w:instrText>
          </w:r>
          <w:r>
            <w:fldChar w:fldCharType="separate"/>
          </w:r>
          <w:r>
            <w:t>22</w:t>
          </w:r>
          <w:r>
            <w:fldChar w:fldCharType="end"/>
          </w:r>
          <w:r>
            <w:fldChar w:fldCharType="end"/>
          </w:r>
        </w:p>
        <w:p>
          <w:pPr>
            <w:pStyle w:val="18"/>
            <w:tabs>
              <w:tab w:val="right" w:leader="dot" w:pos="8306"/>
            </w:tabs>
          </w:pPr>
          <w:r>
            <w:fldChar w:fldCharType="begin"/>
          </w:r>
          <w:r>
            <w:instrText xml:space="preserve"> HYPERLINK \l _Toc12713 </w:instrText>
          </w:r>
          <w:r>
            <w:fldChar w:fldCharType="separate"/>
          </w:r>
          <w:r>
            <w:rPr>
              <w:rFonts w:hint="eastAsia" w:ascii="黑体" w:hAnsi="黑体" w:eastAsia="黑体"/>
            </w:rPr>
            <w:t>第四章 资格审查方法及标准</w:t>
          </w:r>
          <w:r>
            <w:tab/>
          </w:r>
          <w:r>
            <w:fldChar w:fldCharType="begin"/>
          </w:r>
          <w:r>
            <w:instrText xml:space="preserve"> PAGEREF _Toc12713 \h </w:instrText>
          </w:r>
          <w:r>
            <w:fldChar w:fldCharType="separate"/>
          </w:r>
          <w:r>
            <w:t>28</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_Toc20563 </w:instrText>
          </w:r>
          <w:r>
            <w:fldChar w:fldCharType="separate"/>
          </w:r>
          <w:r>
            <w:rPr>
              <w:rFonts w:hint="eastAsia" w:ascii="宋体" w:hAnsi="宋体" w:cs="Times New Roman"/>
              <w:bCs w:val="0"/>
              <w:szCs w:val="30"/>
            </w:rPr>
            <w:t>一、 资格审查方法</w:t>
          </w:r>
          <w:r>
            <w:tab/>
          </w:r>
          <w:r>
            <w:fldChar w:fldCharType="begin"/>
          </w:r>
          <w:r>
            <w:instrText xml:space="preserve"> PAGEREF _Toc20563 \h </w:instrText>
          </w:r>
          <w:r>
            <w:fldChar w:fldCharType="separate"/>
          </w:r>
          <w:r>
            <w:t>28</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_Toc14436 </w:instrText>
          </w:r>
          <w:r>
            <w:fldChar w:fldCharType="separate"/>
          </w:r>
          <w:r>
            <w:rPr>
              <w:rFonts w:hint="eastAsia" w:ascii="宋体" w:hAnsi="宋体" w:cs="Times New Roman"/>
              <w:bCs w:val="0"/>
              <w:szCs w:val="30"/>
            </w:rPr>
            <w:t>二、 资格审查标准</w:t>
          </w:r>
          <w:r>
            <w:tab/>
          </w:r>
          <w:r>
            <w:fldChar w:fldCharType="begin"/>
          </w:r>
          <w:r>
            <w:instrText xml:space="preserve"> PAGEREF _Toc14436 \h </w:instrText>
          </w:r>
          <w:r>
            <w:fldChar w:fldCharType="separate"/>
          </w:r>
          <w:r>
            <w:t>28</w:t>
          </w:r>
          <w:r>
            <w:fldChar w:fldCharType="end"/>
          </w:r>
          <w:r>
            <w:fldChar w:fldCharType="end"/>
          </w:r>
        </w:p>
        <w:p>
          <w:pPr>
            <w:pStyle w:val="18"/>
            <w:tabs>
              <w:tab w:val="right" w:leader="dot" w:pos="8306"/>
            </w:tabs>
          </w:pPr>
          <w:r>
            <w:fldChar w:fldCharType="begin"/>
          </w:r>
          <w:r>
            <w:instrText xml:space="preserve"> HYPERLINK \l _Toc13620 </w:instrText>
          </w:r>
          <w:r>
            <w:fldChar w:fldCharType="separate"/>
          </w:r>
          <w:r>
            <w:rPr>
              <w:rFonts w:hint="eastAsia" w:ascii="黑体" w:hAnsi="黑体" w:eastAsia="黑体"/>
            </w:rPr>
            <w:t>第五章 评标方法、程序及标准</w:t>
          </w:r>
          <w:r>
            <w:tab/>
          </w:r>
          <w:r>
            <w:fldChar w:fldCharType="begin"/>
          </w:r>
          <w:r>
            <w:instrText xml:space="preserve"> PAGEREF _Toc13620 \h </w:instrText>
          </w:r>
          <w:r>
            <w:fldChar w:fldCharType="separate"/>
          </w:r>
          <w:r>
            <w:t>31</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_Toc23591 </w:instrText>
          </w:r>
          <w:r>
            <w:fldChar w:fldCharType="separate"/>
          </w:r>
          <w:r>
            <w:rPr>
              <w:rFonts w:hint="eastAsia" w:cs="Times New Roman" w:asciiTheme="majorEastAsia" w:hAnsiTheme="majorEastAsia"/>
              <w:bCs w:val="0"/>
              <w:szCs w:val="30"/>
              <w:lang w:val="zh-CN"/>
            </w:rPr>
            <w:t>一、 评标方法</w:t>
          </w:r>
          <w:r>
            <w:tab/>
          </w:r>
          <w:r>
            <w:fldChar w:fldCharType="begin"/>
          </w:r>
          <w:r>
            <w:instrText xml:space="preserve"> PAGEREF _Toc23591 \h </w:instrText>
          </w:r>
          <w:r>
            <w:fldChar w:fldCharType="separate"/>
          </w:r>
          <w:r>
            <w:t>31</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_Toc6615 </w:instrText>
          </w:r>
          <w:r>
            <w:fldChar w:fldCharType="separate"/>
          </w:r>
          <w:r>
            <w:rPr>
              <w:rFonts w:hint="eastAsia" w:cs="Times New Roman" w:asciiTheme="majorEastAsia" w:hAnsiTheme="majorEastAsia"/>
              <w:bCs w:val="0"/>
              <w:szCs w:val="30"/>
              <w:lang w:val="zh-CN"/>
            </w:rPr>
            <w:t>二、 评标程序及标准</w:t>
          </w:r>
          <w:r>
            <w:tab/>
          </w:r>
          <w:r>
            <w:fldChar w:fldCharType="begin"/>
          </w:r>
          <w:r>
            <w:instrText xml:space="preserve"> PAGEREF _Toc6615 \h </w:instrText>
          </w:r>
          <w:r>
            <w:fldChar w:fldCharType="separate"/>
          </w:r>
          <w:r>
            <w:t>31</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_Toc26911 </w:instrText>
          </w:r>
          <w:r>
            <w:fldChar w:fldCharType="separate"/>
          </w:r>
          <w:r>
            <w:rPr>
              <w:rFonts w:hint="eastAsia" w:cs="Times New Roman" w:asciiTheme="majorEastAsia" w:hAnsiTheme="majorEastAsia"/>
              <w:bCs w:val="0"/>
              <w:szCs w:val="30"/>
              <w:lang w:val="zh-CN"/>
            </w:rPr>
            <w:t>三、 评审因素及评分标准</w:t>
          </w:r>
          <w:r>
            <w:tab/>
          </w:r>
          <w:r>
            <w:fldChar w:fldCharType="begin"/>
          </w:r>
          <w:r>
            <w:instrText xml:space="preserve"> PAGEREF _Toc26911 \h </w:instrText>
          </w:r>
          <w:r>
            <w:fldChar w:fldCharType="separate"/>
          </w:r>
          <w:r>
            <w:t>35</w:t>
          </w:r>
          <w:r>
            <w:fldChar w:fldCharType="end"/>
          </w:r>
          <w:r>
            <w:fldChar w:fldCharType="end"/>
          </w:r>
        </w:p>
        <w:p>
          <w:pPr>
            <w:pStyle w:val="18"/>
            <w:tabs>
              <w:tab w:val="right" w:leader="dot" w:pos="8306"/>
            </w:tabs>
          </w:pPr>
          <w:r>
            <w:fldChar w:fldCharType="begin"/>
          </w:r>
          <w:r>
            <w:instrText xml:space="preserve"> HYPERLINK \l _Toc17001 </w:instrText>
          </w:r>
          <w:r>
            <w:fldChar w:fldCharType="separate"/>
          </w:r>
          <w:r>
            <w:rPr>
              <w:rFonts w:hint="eastAsia" w:ascii="黑体" w:hAnsi="黑体" w:eastAsia="黑体"/>
            </w:rPr>
            <w:t xml:space="preserve">第六章 </w:t>
          </w:r>
          <w:r>
            <w:rPr>
              <w:rFonts w:ascii="黑体" w:hAnsi="黑体" w:eastAsia="黑体"/>
            </w:rPr>
            <w:t xml:space="preserve"> </w:t>
          </w:r>
          <w:r>
            <w:rPr>
              <w:rFonts w:hint="eastAsia" w:ascii="黑体" w:hAnsi="黑体" w:eastAsia="黑体"/>
            </w:rPr>
            <w:t>合同书格式（参考）</w:t>
          </w:r>
          <w:r>
            <w:tab/>
          </w:r>
          <w:r>
            <w:fldChar w:fldCharType="begin"/>
          </w:r>
          <w:r>
            <w:instrText xml:space="preserve"> PAGEREF _Toc17001 \h </w:instrText>
          </w:r>
          <w:r>
            <w:fldChar w:fldCharType="separate"/>
          </w:r>
          <w:r>
            <w:t>41</w:t>
          </w:r>
          <w:r>
            <w:fldChar w:fldCharType="end"/>
          </w:r>
          <w:r>
            <w:fldChar w:fldCharType="end"/>
          </w:r>
        </w:p>
        <w:p>
          <w:pPr>
            <w:pStyle w:val="18"/>
            <w:tabs>
              <w:tab w:val="right" w:leader="dot" w:pos="8306"/>
            </w:tabs>
          </w:pPr>
          <w:r>
            <w:fldChar w:fldCharType="begin"/>
          </w:r>
          <w:r>
            <w:instrText xml:space="preserve"> HYPERLINK \l _Toc152 </w:instrText>
          </w:r>
          <w:r>
            <w:fldChar w:fldCharType="separate"/>
          </w:r>
          <w:r>
            <w:rPr>
              <w:rFonts w:hint="eastAsia" w:ascii="黑体" w:hAnsi="黑体" w:eastAsia="黑体"/>
            </w:rPr>
            <w:t xml:space="preserve">第七章 </w:t>
          </w:r>
          <w:r>
            <w:rPr>
              <w:rFonts w:ascii="黑体" w:hAnsi="黑体" w:eastAsia="黑体"/>
            </w:rPr>
            <w:t xml:space="preserve"> </w:t>
          </w:r>
          <w:r>
            <w:rPr>
              <w:rFonts w:hint="eastAsia" w:ascii="黑体" w:hAnsi="黑体" w:eastAsia="黑体"/>
            </w:rPr>
            <w:t>投标文件格式（参考）</w:t>
          </w:r>
          <w:r>
            <w:tab/>
          </w:r>
          <w:r>
            <w:fldChar w:fldCharType="begin"/>
          </w:r>
          <w:r>
            <w:instrText xml:space="preserve"> PAGEREF _Toc152 \h </w:instrText>
          </w:r>
          <w:r>
            <w:fldChar w:fldCharType="separate"/>
          </w:r>
          <w:r>
            <w:t>43</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_Toc18837 </w:instrText>
          </w:r>
          <w: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_Toc18837 \h </w:instrText>
          </w:r>
          <w:r>
            <w:fldChar w:fldCharType="separate"/>
          </w:r>
          <w:r>
            <w:t>51</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_Toc32496 </w:instrText>
          </w:r>
          <w:r>
            <w:fldChar w:fldCharType="separate"/>
          </w:r>
          <w:r>
            <w:rPr>
              <w:rFonts w:hint="eastAsia" w:ascii="宋体" w:hAnsi="宋体" w:eastAsia="宋体"/>
              <w:i w:val="0"/>
            </w:rPr>
            <w:t xml:space="preserve">附件二、 </w:t>
          </w:r>
          <w:r>
            <w:rPr>
              <w:rFonts w:hint="eastAsia" w:ascii="宋体" w:hAnsi="宋体" w:eastAsia="宋体"/>
            </w:rPr>
            <w:t>中小企业声明函</w:t>
          </w:r>
          <w:r>
            <w:tab/>
          </w:r>
          <w:r>
            <w:fldChar w:fldCharType="begin"/>
          </w:r>
          <w:r>
            <w:instrText xml:space="preserve"> PAGEREF _Toc32496 \h </w:instrText>
          </w:r>
          <w:r>
            <w:fldChar w:fldCharType="separate"/>
          </w:r>
          <w:r>
            <w:t>52</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_Toc7449 </w:instrText>
          </w:r>
          <w:r>
            <w:fldChar w:fldCharType="separate"/>
          </w:r>
          <w:r>
            <w:rPr>
              <w:rFonts w:hint="eastAsia" w:ascii="宋体" w:hAnsi="宋体" w:eastAsia="宋体" w:cs="Times New Roman"/>
              <w:i w:val="0"/>
              <w:szCs w:val="30"/>
              <w:lang w:val="zh-CN"/>
            </w:rPr>
            <w:t xml:space="preserve">附件三、 </w:t>
          </w:r>
          <w:r>
            <w:rPr>
              <w:rFonts w:hint="eastAsia" w:ascii="宋体" w:hAnsi="宋体" w:eastAsia="宋体"/>
            </w:rPr>
            <w:t>残疾人福利性单位声明函（不符合不提供）</w:t>
          </w:r>
          <w:r>
            <w:tab/>
          </w:r>
          <w:r>
            <w:fldChar w:fldCharType="begin"/>
          </w:r>
          <w:r>
            <w:instrText xml:space="preserve"> PAGEREF _Toc7449 \h </w:instrText>
          </w:r>
          <w:r>
            <w:fldChar w:fldCharType="separate"/>
          </w:r>
          <w:r>
            <w:t>55</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_Toc31330 </w:instrText>
          </w:r>
          <w:r>
            <w:fldChar w:fldCharType="separate"/>
          </w:r>
          <w:r>
            <w:rPr>
              <w:rFonts w:hint="eastAsia" w:ascii="宋体" w:hAnsi="宋体" w:eastAsia="宋体"/>
              <w:i w:val="0"/>
            </w:rPr>
            <w:t xml:space="preserve">附件四、 </w:t>
          </w:r>
          <w:r>
            <w:rPr>
              <w:rFonts w:hint="eastAsia" w:ascii="宋体" w:hAnsi="宋体" w:eastAsia="宋体"/>
            </w:rPr>
            <w:t>开标一览表</w:t>
          </w:r>
          <w:r>
            <w:tab/>
          </w:r>
          <w:r>
            <w:fldChar w:fldCharType="begin"/>
          </w:r>
          <w:r>
            <w:instrText xml:space="preserve"> PAGEREF _Toc31330 \h </w:instrText>
          </w:r>
          <w:r>
            <w:fldChar w:fldCharType="separate"/>
          </w:r>
          <w:r>
            <w:t>57</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_Toc9198 </w:instrText>
          </w:r>
          <w:r>
            <w:fldChar w:fldCharType="separate"/>
          </w:r>
          <w:r>
            <w:rPr>
              <w:rFonts w:hint="eastAsia" w:ascii="宋体" w:hAnsi="宋体" w:eastAsia="宋体"/>
              <w:i w:val="0"/>
            </w:rPr>
            <w:t xml:space="preserve">附件五、 </w:t>
          </w:r>
          <w:r>
            <w:rPr>
              <w:rFonts w:hint="eastAsia" w:ascii="宋体" w:hAnsi="宋体" w:eastAsia="宋体"/>
            </w:rPr>
            <w:t>投标报价明细表</w:t>
          </w:r>
          <w:r>
            <w:tab/>
          </w:r>
          <w:r>
            <w:fldChar w:fldCharType="begin"/>
          </w:r>
          <w:r>
            <w:instrText xml:space="preserve"> PAGEREF _Toc9198 \h </w:instrText>
          </w:r>
          <w:r>
            <w:fldChar w:fldCharType="separate"/>
          </w:r>
          <w:r>
            <w:t>58</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_Toc26879 </w:instrText>
          </w:r>
          <w:r>
            <w:fldChar w:fldCharType="separate"/>
          </w:r>
          <w:r>
            <w:rPr>
              <w:rFonts w:hint="eastAsia" w:ascii="宋体" w:hAnsi="宋体" w:eastAsia="宋体"/>
              <w:i w:val="0"/>
            </w:rPr>
            <w:t xml:space="preserve">附件六、 </w:t>
          </w:r>
          <w:r>
            <w:rPr>
              <w:rFonts w:hint="eastAsia" w:ascii="宋体" w:hAnsi="宋体" w:eastAsia="宋体"/>
            </w:rPr>
            <w:t>法定代表人授权书</w:t>
          </w:r>
          <w:r>
            <w:tab/>
          </w:r>
          <w:r>
            <w:fldChar w:fldCharType="begin"/>
          </w:r>
          <w:r>
            <w:instrText xml:space="preserve"> PAGEREF _Toc26879 \h </w:instrText>
          </w:r>
          <w:r>
            <w:fldChar w:fldCharType="separate"/>
          </w:r>
          <w:r>
            <w:t>59</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_Toc732 </w:instrText>
          </w:r>
          <w:r>
            <w:fldChar w:fldCharType="separate"/>
          </w:r>
          <w:r>
            <w:rPr>
              <w:rFonts w:hint="eastAsia" w:ascii="宋体" w:hAnsi="宋体" w:eastAsia="宋体"/>
              <w:i w:val="0"/>
            </w:rPr>
            <w:t xml:space="preserve">附件七、 </w:t>
          </w:r>
          <w:r>
            <w:rPr>
              <w:rFonts w:hint="eastAsia" w:ascii="宋体" w:hAnsi="宋体" w:eastAsia="宋体"/>
            </w:rPr>
            <w:t>投标人的资格声明</w:t>
          </w:r>
          <w:r>
            <w:tab/>
          </w:r>
          <w:r>
            <w:fldChar w:fldCharType="begin"/>
          </w:r>
          <w:r>
            <w:instrText xml:space="preserve"> PAGEREF _Toc732 \h </w:instrText>
          </w:r>
          <w:r>
            <w:fldChar w:fldCharType="separate"/>
          </w:r>
          <w:r>
            <w:t>60</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_Toc12168 </w:instrText>
          </w:r>
          <w:r>
            <w:fldChar w:fldCharType="separate"/>
          </w:r>
          <w:r>
            <w:rPr>
              <w:rFonts w:hint="eastAsia" w:ascii="宋体" w:hAnsi="宋体" w:eastAsia="宋体"/>
              <w:i w:val="0"/>
            </w:rPr>
            <w:t xml:space="preserve">附件八、 </w:t>
          </w:r>
          <w:r>
            <w:rPr>
              <w:rFonts w:hint="eastAsia" w:ascii="宋体" w:hAnsi="宋体" w:eastAsia="宋体"/>
            </w:rPr>
            <w:t>项目负责人、技术负责人简历表</w:t>
          </w:r>
          <w:r>
            <w:tab/>
          </w:r>
          <w:r>
            <w:fldChar w:fldCharType="begin"/>
          </w:r>
          <w:r>
            <w:instrText xml:space="preserve"> PAGEREF _Toc12168 \h </w:instrText>
          </w:r>
          <w:r>
            <w:fldChar w:fldCharType="separate"/>
          </w:r>
          <w:r>
            <w:t>61</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_Toc23145 </w:instrText>
          </w:r>
          <w:r>
            <w:fldChar w:fldCharType="separate"/>
          </w:r>
          <w:r>
            <w:rPr>
              <w:rFonts w:hint="eastAsia" w:ascii="宋体" w:hAnsi="宋体" w:eastAsia="宋体"/>
              <w:i w:val="0"/>
            </w:rPr>
            <w:t xml:space="preserve">附件九、 </w:t>
          </w:r>
          <w:r>
            <w:rPr>
              <w:rFonts w:hint="eastAsia" w:ascii="宋体" w:hAnsi="宋体" w:eastAsia="宋体"/>
            </w:rPr>
            <w:t>项目班子成员情况表</w:t>
          </w:r>
          <w:r>
            <w:tab/>
          </w:r>
          <w:r>
            <w:fldChar w:fldCharType="begin"/>
          </w:r>
          <w:r>
            <w:instrText xml:space="preserve"> PAGEREF _Toc23145 \h </w:instrText>
          </w:r>
          <w:r>
            <w:fldChar w:fldCharType="separate"/>
          </w:r>
          <w:r>
            <w:t>62</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_Toc10252 </w:instrText>
          </w:r>
          <w:r>
            <w:fldChar w:fldCharType="separate"/>
          </w:r>
          <w:r>
            <w:rPr>
              <w:rFonts w:hint="eastAsia" w:ascii="宋体" w:hAnsi="宋体" w:eastAsia="宋体"/>
              <w:i w:val="0"/>
            </w:rPr>
            <w:t xml:space="preserve">附件十、 </w:t>
          </w:r>
          <w:r>
            <w:rPr>
              <w:rFonts w:hint="eastAsia" w:ascii="宋体" w:hAnsi="宋体" w:eastAsia="宋体"/>
            </w:rPr>
            <w:t>投标人类似项目业绩表</w:t>
          </w:r>
          <w:r>
            <w:tab/>
          </w:r>
          <w:r>
            <w:fldChar w:fldCharType="begin"/>
          </w:r>
          <w:r>
            <w:instrText xml:space="preserve"> PAGEREF _Toc10252 \h </w:instrText>
          </w:r>
          <w:r>
            <w:fldChar w:fldCharType="separate"/>
          </w:r>
          <w:r>
            <w:t>63</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_Toc29058 </w:instrText>
          </w:r>
          <w:r>
            <w:fldChar w:fldCharType="separate"/>
          </w:r>
          <w:r>
            <w:rPr>
              <w:rFonts w:hint="eastAsia" w:ascii="宋体" w:hAnsi="宋体" w:eastAsia="宋体"/>
              <w:i w:val="0"/>
            </w:rPr>
            <w:t xml:space="preserve">附件十一、 </w:t>
          </w:r>
          <w:r>
            <w:rPr>
              <w:rFonts w:hint="eastAsia" w:ascii="宋体" w:hAnsi="宋体" w:eastAsia="宋体"/>
            </w:rPr>
            <w:t>符合性审查对照表</w:t>
          </w:r>
          <w:r>
            <w:tab/>
          </w:r>
          <w:r>
            <w:fldChar w:fldCharType="begin"/>
          </w:r>
          <w:r>
            <w:instrText xml:space="preserve"> PAGEREF _Toc29058 \h </w:instrText>
          </w:r>
          <w:r>
            <w:fldChar w:fldCharType="separate"/>
          </w:r>
          <w:r>
            <w:t>64</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_Toc26225 </w:instrText>
          </w:r>
          <w:r>
            <w:fldChar w:fldCharType="separate"/>
          </w:r>
          <w:r>
            <w:rPr>
              <w:rFonts w:hint="eastAsia" w:ascii="宋体" w:hAnsi="宋体" w:eastAsia="宋体"/>
              <w:i w:val="0"/>
            </w:rPr>
            <w:t xml:space="preserve">附件十二、 </w:t>
          </w:r>
          <w:r>
            <w:rPr>
              <w:rFonts w:hint="eastAsia" w:ascii="宋体" w:hAnsi="宋体" w:eastAsia="宋体"/>
            </w:rPr>
            <w:t>商务要求响应、偏离说明表</w:t>
          </w:r>
          <w:r>
            <w:tab/>
          </w:r>
          <w:r>
            <w:fldChar w:fldCharType="begin"/>
          </w:r>
          <w:r>
            <w:instrText xml:space="preserve"> PAGEREF _Toc26225 \h </w:instrText>
          </w:r>
          <w:r>
            <w:fldChar w:fldCharType="separate"/>
          </w:r>
          <w:r>
            <w:t>65</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_Toc6751 </w:instrText>
          </w:r>
          <w:r>
            <w:fldChar w:fldCharType="separate"/>
          </w:r>
          <w:r>
            <w:rPr>
              <w:rFonts w:hint="eastAsia" w:ascii="宋体" w:hAnsi="宋体" w:eastAsia="宋体"/>
              <w:i w:val="0"/>
            </w:rPr>
            <w:t xml:space="preserve">附件十三、 </w:t>
          </w:r>
          <w:r>
            <w:rPr>
              <w:rFonts w:hint="eastAsia" w:ascii="宋体" w:hAnsi="宋体" w:eastAsia="宋体"/>
            </w:rPr>
            <w:t>商务要求“★”号条款响应、偏离说明表</w:t>
          </w:r>
          <w:r>
            <w:tab/>
          </w:r>
          <w:r>
            <w:fldChar w:fldCharType="begin"/>
          </w:r>
          <w:r>
            <w:instrText xml:space="preserve"> PAGEREF _Toc6751 \h </w:instrText>
          </w:r>
          <w:r>
            <w:fldChar w:fldCharType="separate"/>
          </w:r>
          <w:r>
            <w:t>66</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_Toc29269 </w:instrText>
          </w:r>
          <w:r>
            <w:fldChar w:fldCharType="separate"/>
          </w:r>
          <w:r>
            <w:rPr>
              <w:rFonts w:hint="eastAsia" w:ascii="宋体" w:hAnsi="宋体" w:eastAsia="宋体"/>
              <w:i w:val="0"/>
            </w:rPr>
            <w:t xml:space="preserve">附件十四、 </w:t>
          </w:r>
          <w:r>
            <w:rPr>
              <w:rFonts w:hint="eastAsia" w:ascii="宋体" w:hAnsi="宋体" w:eastAsia="宋体"/>
            </w:rPr>
            <w:t>商务评议对照表</w:t>
          </w:r>
          <w:r>
            <w:tab/>
          </w:r>
          <w:r>
            <w:fldChar w:fldCharType="begin"/>
          </w:r>
          <w:r>
            <w:instrText xml:space="preserve"> PAGEREF _Toc29269 \h </w:instrText>
          </w:r>
          <w:r>
            <w:fldChar w:fldCharType="separate"/>
          </w:r>
          <w:r>
            <w:t>67</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_Toc19296 </w:instrText>
          </w:r>
          <w:r>
            <w:fldChar w:fldCharType="separate"/>
          </w:r>
          <w:r>
            <w:rPr>
              <w:rFonts w:hint="eastAsia" w:ascii="宋体" w:hAnsi="宋体" w:eastAsia="宋体"/>
              <w:i w:val="0"/>
            </w:rPr>
            <w:t xml:space="preserve">附件十五、 </w:t>
          </w:r>
          <w:r>
            <w:rPr>
              <w:rFonts w:hint="eastAsia" w:ascii="宋体" w:hAnsi="宋体" w:eastAsia="宋体"/>
            </w:rPr>
            <w:t>技术、服务要求响应、偏离说明表</w:t>
          </w:r>
          <w:r>
            <w:tab/>
          </w:r>
          <w:r>
            <w:fldChar w:fldCharType="begin"/>
          </w:r>
          <w:r>
            <w:instrText xml:space="preserve"> PAGEREF _Toc19296 \h </w:instrText>
          </w:r>
          <w:r>
            <w:fldChar w:fldCharType="separate"/>
          </w:r>
          <w:r>
            <w:t>68</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_Toc10475 </w:instrText>
          </w:r>
          <w:r>
            <w:fldChar w:fldCharType="separate"/>
          </w:r>
          <w:r>
            <w:rPr>
              <w:rFonts w:hint="eastAsia" w:ascii="宋体" w:hAnsi="宋体" w:eastAsia="宋体"/>
              <w:i w:val="0"/>
            </w:rPr>
            <w:t xml:space="preserve">附件十六、 </w:t>
          </w:r>
          <w:r>
            <w:rPr>
              <w:rFonts w:hint="eastAsia" w:ascii="宋体" w:hAnsi="宋体" w:eastAsia="宋体"/>
            </w:rPr>
            <w:t>技术、服务要求“★”号条款响应、偏离说明表</w:t>
          </w:r>
          <w:r>
            <w:tab/>
          </w:r>
          <w:r>
            <w:fldChar w:fldCharType="begin"/>
          </w:r>
          <w:r>
            <w:instrText xml:space="preserve"> PAGEREF _Toc10475 \h </w:instrText>
          </w:r>
          <w:r>
            <w:fldChar w:fldCharType="separate"/>
          </w:r>
          <w:r>
            <w:t>69</w:t>
          </w:r>
          <w:r>
            <w:fldChar w:fldCharType="end"/>
          </w:r>
          <w:r>
            <w:fldChar w:fldCharType="end"/>
          </w:r>
        </w:p>
        <w:p>
          <w:pPr>
            <w:pStyle w:val="19"/>
            <w:tabs>
              <w:tab w:val="right" w:leader="dot" w:pos="8306"/>
              <w:tab w:val="clear" w:pos="756"/>
              <w:tab w:val="clear" w:pos="966"/>
              <w:tab w:val="clear" w:pos="1204"/>
              <w:tab w:val="clear" w:pos="1442"/>
              <w:tab w:val="clear" w:pos="9514"/>
            </w:tabs>
          </w:pPr>
          <w:r>
            <w:fldChar w:fldCharType="begin"/>
          </w:r>
          <w:r>
            <w:instrText xml:space="preserve"> HYPERLINK \l _Toc29688 </w:instrText>
          </w:r>
          <w:r>
            <w:fldChar w:fldCharType="separate"/>
          </w:r>
          <w:r>
            <w:rPr>
              <w:rFonts w:hint="eastAsia" w:ascii="宋体" w:hAnsi="宋体" w:eastAsia="宋体"/>
              <w:i w:val="0"/>
            </w:rPr>
            <w:t xml:space="preserve">附件十七、 </w:t>
          </w:r>
          <w:r>
            <w:rPr>
              <w:rFonts w:hint="eastAsia" w:ascii="宋体" w:hAnsi="宋体" w:eastAsia="宋体"/>
            </w:rPr>
            <w:t>技术、服务评议对照表</w:t>
          </w:r>
          <w:r>
            <w:tab/>
          </w:r>
          <w:r>
            <w:fldChar w:fldCharType="begin"/>
          </w:r>
          <w:r>
            <w:instrText xml:space="preserve"> PAGEREF _Toc29688 \h </w:instrText>
          </w:r>
          <w:r>
            <w:fldChar w:fldCharType="separate"/>
          </w:r>
          <w:r>
            <w:t>70</w:t>
          </w:r>
          <w:r>
            <w:fldChar w:fldCharType="end"/>
          </w:r>
          <w:r>
            <w:fldChar w:fldCharType="end"/>
          </w:r>
        </w:p>
        <w:p>
          <w:pPr>
            <w:pStyle w:val="18"/>
            <w:tabs>
              <w:tab w:val="left" w:pos="1260"/>
              <w:tab w:val="right" w:leader="dot" w:pos="8300"/>
            </w:tabs>
          </w:pPr>
          <w:r>
            <w:fldChar w:fldCharType="end"/>
          </w:r>
          <w:r>
            <w:rPr>
              <w:b w:val="0"/>
              <w:bCs/>
              <w:lang w:val="zh-CN"/>
            </w:rPr>
            <w:tab/>
          </w:r>
        </w:p>
      </w:sdtContent>
    </w:sdt>
    <w:p>
      <w:r>
        <w:br w:type="page"/>
      </w:r>
    </w:p>
    <w:p>
      <w:pPr>
        <w:pStyle w:val="3"/>
        <w:numPr>
          <w:ilvl w:val="0"/>
          <w:numId w:val="1"/>
        </w:numPr>
        <w:spacing w:before="240" w:after="0" w:line="240" w:lineRule="auto"/>
        <w:ind w:left="883" w:hanging="883" w:hangingChars="200"/>
        <w:jc w:val="center"/>
        <w:rPr>
          <w:rFonts w:ascii="黑体" w:hAnsi="黑体" w:eastAsia="黑体"/>
        </w:rPr>
      </w:pPr>
      <w:bookmarkStart w:id="0" w:name="_Toc4425"/>
      <w:r>
        <w:rPr>
          <w:rFonts w:hint="eastAsia" w:ascii="黑体" w:hAnsi="黑体" w:eastAsia="黑体"/>
        </w:rPr>
        <w:t>投标邀请书</w:t>
      </w:r>
      <w:bookmarkEnd w:id="0"/>
    </w:p>
    <w:tbl>
      <w:tblPr>
        <w:tblStyle w:val="25"/>
        <w:tblW w:w="95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560" w:type="dxa"/>
          </w:tcPr>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right="330" w:firstLine="480" w:firstLineChars="200"/>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阳新县第一次全国自然灾害综合风险普查房屋建筑和市政设施调查项目的潜在投标人应在：可在 “湖北省政府采购网”、“黄石公共资源交易信息网”及“阳新县人民政府网”点击本公告中的链接下载获取招标文件，并于</w:t>
            </w:r>
            <w:r>
              <w:rPr>
                <w:rFonts w:hint="eastAsia" w:ascii="Times New Roman" w:hAnsi="Times New Roman" w:eastAsia="宋体"/>
                <w:color w:val="000000" w:themeColor="text1"/>
                <w:kern w:val="2"/>
                <w:szCs w:val="24"/>
                <w:lang w:val="en-US" w:eastAsia="zh-CN"/>
                <w14:textFill>
                  <w14:solidFill>
                    <w14:schemeClr w14:val="tx1"/>
                  </w14:solidFill>
                </w14:textFill>
              </w:rPr>
              <w:t>2022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ascii="Times New Roman" w:hAnsi="Times New Roman" w:eastAsia="宋体"/>
                <w:color w:val="000000" w:themeColor="text1"/>
                <w:kern w:val="2"/>
                <w:szCs w:val="24"/>
                <w:lang w:val="en-US" w:eastAsia="zh-CN"/>
                <w14:textFill>
                  <w14:solidFill>
                    <w14:schemeClr w14:val="tx1"/>
                  </w14:solidFill>
                </w14:textFill>
              </w:rPr>
              <w:t>1</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ascii="Times New Roman" w:hAnsi="Times New Roman" w:eastAsia="宋体"/>
                <w:color w:val="000000" w:themeColor="text1"/>
                <w:kern w:val="2"/>
                <w:szCs w:val="24"/>
                <w:lang w:val="en-US" w:eastAsia="zh-CN"/>
                <w14:textFill>
                  <w14:solidFill>
                    <w14:schemeClr w14:val="tx1"/>
                  </w14:solidFill>
                </w14:textFill>
              </w:rPr>
              <w:t>20</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ascii="Times New Roman" w:hAnsi="Times New Roman" w:eastAsia="宋体"/>
                <w:color w:val="000000" w:themeColor="text1"/>
                <w:kern w:val="2"/>
                <w:szCs w:val="24"/>
                <w:lang w:val="en-US" w:eastAsia="zh-CN"/>
                <w14:textFill>
                  <w14:solidFill>
                    <w14:schemeClr w14:val="tx1"/>
                  </w14:solidFill>
                </w14:textFill>
              </w:rPr>
              <w:t>9</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lang w:val="en-US" w:eastAsia="zh-CN"/>
                <w14:textFill>
                  <w14:solidFill>
                    <w14:schemeClr w14:val="tx1"/>
                  </w14:solidFill>
                </w14:textFill>
              </w:rPr>
              <w:t>00</w:t>
            </w:r>
            <w:r>
              <w:rPr>
                <w:rFonts w:hint="eastAsia" w:ascii="Times New Roman" w:hAnsi="Times New Roman" w:eastAsia="宋体"/>
                <w:color w:val="000000" w:themeColor="text1"/>
                <w:kern w:val="2"/>
                <w:szCs w:val="24"/>
                <w:lang w:val="hr-HR"/>
                <w14:textFill>
                  <w14:solidFill>
                    <w14:schemeClr w14:val="tx1"/>
                  </w14:solidFill>
                </w14:textFill>
              </w:rPr>
              <w:t>分（北京时间）前递交投标文件。</w:t>
            </w:r>
          </w:p>
        </w:tc>
      </w:tr>
    </w:tbl>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textAlignment w:val="auto"/>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一、项目基本情况</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hint="default" w:ascii="Times New Roman" w:hAnsi="Times New Roman" w:eastAsia="宋体"/>
          <w:color w:val="000000" w:themeColor="text1"/>
          <w:kern w:val="2"/>
          <w:szCs w:val="24"/>
          <w:lang w:val="en-US" w:eastAsia="zh-CN"/>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1、项目编号：131-2021CG-</w:t>
      </w:r>
      <w:r>
        <w:rPr>
          <w:rFonts w:hint="eastAsia" w:ascii="Times New Roman" w:hAnsi="Times New Roman" w:eastAsia="宋体"/>
          <w:color w:val="000000" w:themeColor="text1"/>
          <w:kern w:val="2"/>
          <w:szCs w:val="24"/>
          <w:lang w:val="en-US" w:eastAsia="zh-CN"/>
          <w14:textFill>
            <w14:solidFill>
              <w14:schemeClr w14:val="tx1"/>
            </w14:solidFill>
          </w14:textFill>
        </w:rPr>
        <w:t>263</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2、采购计划备案号：阳财采计备[2021]A</w:t>
      </w:r>
      <w:r>
        <w:rPr>
          <w:rFonts w:hint="eastAsia" w:ascii="Times New Roman" w:hAnsi="Times New Roman" w:eastAsia="宋体"/>
          <w:color w:val="000000" w:themeColor="text1"/>
          <w:kern w:val="2"/>
          <w:szCs w:val="24"/>
          <w:lang w:val="en-US" w:eastAsia="zh-CN"/>
          <w14:textFill>
            <w14:solidFill>
              <w14:schemeClr w14:val="tx1"/>
            </w14:solidFill>
          </w14:textFill>
        </w:rPr>
        <w:t>206</w:t>
      </w:r>
      <w:r>
        <w:rPr>
          <w:rFonts w:hint="eastAsia" w:ascii="Times New Roman" w:hAnsi="Times New Roman" w:eastAsia="宋体"/>
          <w:color w:val="000000" w:themeColor="text1"/>
          <w:kern w:val="2"/>
          <w:szCs w:val="24"/>
          <w:lang w:val="hr-HR"/>
          <w14:textFill>
            <w14:solidFill>
              <w14:schemeClr w14:val="tx1"/>
            </w14:solidFill>
          </w14:textFill>
        </w:rPr>
        <w:t>号</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1770" w:leftChars="157" w:right="-54" w:hanging="1440" w:hangingChars="60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3、项目名称：阳新县第一次全国自然灾害综合风险普查房屋建筑和市政设施调查项目</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4、采购方式：公开招标</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5、预算金额（最高限价）：788万元整</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6、采购需求：详见本项目招标文件第三章采购需求</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7、合同履行期限：</w:t>
      </w:r>
      <w:r>
        <w:rPr>
          <w:rFonts w:hint="eastAsia" w:ascii="Times New Roman" w:hAnsi="Times New Roman" w:eastAsia="宋体"/>
          <w:color w:val="000000" w:themeColor="text1"/>
          <w:kern w:val="2"/>
          <w:szCs w:val="24"/>
          <w:lang w:val="zh-CN"/>
          <w14:textFill>
            <w14:solidFill>
              <w14:schemeClr w14:val="tx1"/>
            </w14:solidFill>
          </w14:textFill>
        </w:rPr>
        <w:t>合同签订后至2022年6月底。（如完成时间有变化，以上级部门的时间为准）</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8、本项目（是/否）接受联合体投标：否</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ascii="Times New Roman" w:hAnsi="Times New Roman" w:eastAsia="宋体"/>
          <w:color w:val="000000" w:themeColor="text1"/>
          <w:kern w:val="2"/>
          <w:szCs w:val="24"/>
          <w:lang w:val="hr-HR"/>
          <w14:textFill>
            <w14:solidFill>
              <w14:schemeClr w14:val="tx1"/>
            </w14:solidFill>
          </w14:textFill>
        </w:rPr>
        <w:t>9</w:t>
      </w:r>
      <w:r>
        <w:rPr>
          <w:rFonts w:hint="eastAsia" w:ascii="Times New Roman" w:hAnsi="Times New Roman" w:eastAsia="宋体"/>
          <w:color w:val="000000" w:themeColor="text1"/>
          <w:kern w:val="2"/>
          <w:szCs w:val="24"/>
          <w:lang w:val="hr-HR"/>
          <w14:textFill>
            <w14:solidFill>
              <w14:schemeClr w14:val="tx1"/>
            </w14:solidFill>
          </w14:textFill>
        </w:rPr>
        <w:t>、是否可采购进口产品：否</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29" w:right="329"/>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ascii="Times New Roman" w:hAnsi="Times New Roman" w:eastAsia="宋体"/>
          <w:color w:val="000000" w:themeColor="text1"/>
          <w:kern w:val="2"/>
          <w:szCs w:val="24"/>
          <w:lang w:val="hr-HR"/>
          <w14:textFill>
            <w14:solidFill>
              <w14:schemeClr w14:val="tx1"/>
            </w14:solidFill>
          </w14:textFill>
        </w:rPr>
        <w:t>10</w:t>
      </w:r>
      <w:r>
        <w:rPr>
          <w:rFonts w:hint="eastAsia" w:ascii="Times New Roman" w:hAnsi="Times New Roman" w:eastAsia="宋体"/>
          <w:color w:val="000000" w:themeColor="text1"/>
          <w:kern w:val="2"/>
          <w:szCs w:val="24"/>
          <w:lang w:val="hr-HR"/>
          <w14:textFill>
            <w14:solidFill>
              <w14:schemeClr w14:val="tx1"/>
            </w14:solidFill>
          </w14:textFill>
        </w:rPr>
        <w:t>、本项目（是/否）专门面向中小微企业：否</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textAlignment w:val="auto"/>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二、申请人的资格要求</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1、投标人应具备《政府采购法》第二十二条规定的条件；</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（1）具有独立承担民事责任的能力；</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（2）具有良好的商业信誉和健全的财务会计制度；</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（3）具有履行合同所必需的设备和专业技术能力；</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（4）有依法缴纳税收和社会保障资金的良好记录；</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（5）参加政府采购活动前三年内，在经营活动中没有重大违法记录；</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（6）法律、行政法规规定的其他条件。</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2、投标人具有测绘行政主管部门颁发的乙级及以上测绘资质，且测绘资质专业范围必须同时具备测绘航空摄影、摄影测量与遥感、地理信息系统工程和工程测量；（提供测绘资质证书，证书应在有效期范围内）</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3、</w:t>
      </w:r>
      <w:r>
        <w:rPr>
          <w:rFonts w:ascii="Times New Roman" w:hAnsi="Times New Roman" w:eastAsia="宋体"/>
          <w:color w:val="000000" w:themeColor="text1"/>
          <w:kern w:val="2"/>
          <w:szCs w:val="24"/>
          <w:lang w:val="hr-HR"/>
          <w14:textFill>
            <w14:solidFill>
              <w14:schemeClr w14:val="tx1"/>
            </w14:solidFill>
          </w14:textFill>
        </w:rPr>
        <w:t>投标人参加政府采购活动前三年内未被列入“信用中国”网站(www.creditchina.gov.cn)失信被执行人、重大税收违法案件当事人、政府采购严重违法失信行为记录名单和“中国政府采购”网站（www.ccgp.gov.cn）政府采购严重违法失信行为记录名单；（提供相关查询记录和查询结果并加盖公章）</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firstLine="241" w:firstLineChars="100"/>
        <w:jc w:val="both"/>
        <w:textAlignment w:val="auto"/>
        <w:rPr>
          <w:rFonts w:hint="eastAsia" w:ascii="宋体" w:hAnsi="宋体" w:cs="宋体" w:eastAsiaTheme="minorEastAsia"/>
          <w:b/>
          <w:kern w:val="0"/>
          <w:sz w:val="24"/>
          <w:szCs w:val="24"/>
          <w:lang w:val="hr-HR" w:eastAsia="zh-CN" w:bidi="ar-SA"/>
        </w:rPr>
      </w:pPr>
      <w:r>
        <w:rPr>
          <w:rFonts w:hint="eastAsia" w:ascii="宋体" w:hAnsi="宋体" w:cs="宋体"/>
          <w:b/>
          <w:kern w:val="0"/>
          <w:sz w:val="24"/>
          <w:szCs w:val="24"/>
          <w:lang w:val="hr-HR" w:eastAsia="zh-CN" w:bidi="ar-SA"/>
        </w:rPr>
        <w:t>三</w:t>
      </w:r>
      <w:r>
        <w:rPr>
          <w:rFonts w:hint="eastAsia" w:ascii="宋体" w:hAnsi="宋体" w:cs="宋体" w:eastAsiaTheme="minorEastAsia"/>
          <w:b/>
          <w:kern w:val="0"/>
          <w:sz w:val="24"/>
          <w:szCs w:val="24"/>
          <w:lang w:val="hr-HR" w:eastAsia="zh-CN" w:bidi="ar-SA"/>
        </w:rPr>
        <w:t>、获取招标文件</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宋体" w:hAnsi="宋体"/>
          <w:szCs w:val="24"/>
        </w:rPr>
      </w:pPr>
      <w:r>
        <w:rPr>
          <w:rFonts w:hint="eastAsia" w:ascii="宋体" w:hAnsi="宋体"/>
          <w:szCs w:val="24"/>
        </w:rPr>
        <w:t>本项目实行网上下载标书，招标文件与本招标公告同时</w:t>
      </w:r>
      <w:r>
        <w:rPr>
          <w:rFonts w:hint="eastAsia"/>
          <w:szCs w:val="24"/>
        </w:rPr>
        <w:t>在“湖北省政府采购网”、“黄石市公共资源交易信息网”及“阳新县人民政府网”</w:t>
      </w:r>
      <w:r>
        <w:rPr>
          <w:rFonts w:hint="eastAsia" w:ascii="宋体" w:hAnsi="宋体"/>
          <w:szCs w:val="24"/>
        </w:rPr>
        <w:t>发布（见招标文件下载），凡自愿参加本项目投标者，请于2021年12月</w:t>
      </w:r>
      <w:r>
        <w:rPr>
          <w:rFonts w:hint="eastAsia" w:ascii="宋体" w:hAnsi="宋体"/>
          <w:szCs w:val="24"/>
          <w:lang w:val="en-US" w:eastAsia="zh-CN"/>
        </w:rPr>
        <w:t>29</w:t>
      </w:r>
      <w:r>
        <w:rPr>
          <w:rFonts w:hint="eastAsia" w:ascii="宋体" w:hAnsi="宋体"/>
          <w:szCs w:val="24"/>
        </w:rPr>
        <w:t>日至</w:t>
      </w:r>
      <w:r>
        <w:rPr>
          <w:rFonts w:hint="eastAsia" w:ascii="宋体" w:hAnsi="宋体"/>
          <w:szCs w:val="24"/>
          <w:lang w:val="en-US" w:eastAsia="zh-CN"/>
        </w:rPr>
        <w:t>2022</w:t>
      </w:r>
      <w:r>
        <w:rPr>
          <w:rFonts w:hint="eastAsia" w:ascii="宋体" w:hAnsi="宋体"/>
          <w:szCs w:val="24"/>
        </w:rPr>
        <w:t>年</w:t>
      </w:r>
      <w:r>
        <w:rPr>
          <w:rFonts w:hint="eastAsia" w:ascii="宋体" w:hAnsi="宋体"/>
          <w:szCs w:val="24"/>
          <w:lang w:val="en-US" w:eastAsia="zh-CN"/>
        </w:rPr>
        <w:t>1</w:t>
      </w:r>
      <w:r>
        <w:rPr>
          <w:rFonts w:hint="eastAsia" w:ascii="宋体" w:hAnsi="宋体"/>
          <w:szCs w:val="24"/>
        </w:rPr>
        <w:t>月</w:t>
      </w:r>
      <w:r>
        <w:rPr>
          <w:rFonts w:hint="eastAsia" w:ascii="宋体" w:hAnsi="宋体"/>
          <w:szCs w:val="24"/>
          <w:lang w:val="en-US" w:eastAsia="zh-CN"/>
        </w:rPr>
        <w:t>6</w:t>
      </w:r>
      <w:r>
        <w:rPr>
          <w:rFonts w:hint="eastAsia" w:ascii="宋体" w:hAnsi="宋体"/>
          <w:szCs w:val="24"/>
        </w:rPr>
        <w:t>日17时30分前点击项目招标公告中的链接下载招标文件，并在投标截止时间前递交投标文件</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textAlignment w:val="auto"/>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eastAsia="zh-CN"/>
          <w14:textFill>
            <w14:solidFill>
              <w14:schemeClr w14:val="tx1"/>
            </w14:solidFill>
          </w14:textFill>
        </w:rPr>
        <w:t>四</w:t>
      </w:r>
      <w:r>
        <w:rPr>
          <w:rFonts w:hint="eastAsia" w:ascii="Times New Roman" w:hAnsi="Times New Roman" w:eastAsia="宋体"/>
          <w:b/>
          <w:bCs/>
          <w:color w:val="000000" w:themeColor="text1"/>
          <w:kern w:val="2"/>
          <w:szCs w:val="24"/>
          <w:lang w:val="hr-HR"/>
          <w14:textFill>
            <w14:solidFill>
              <w14:schemeClr w14:val="tx1"/>
            </w14:solidFill>
          </w14:textFill>
        </w:rPr>
        <w:t>、提交投标文件截止时间、开标时间和地点</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1、开始时间：202</w:t>
      </w:r>
      <w:r>
        <w:rPr>
          <w:rFonts w:hint="eastAsia" w:ascii="Times New Roman" w:hAnsi="Times New Roman" w:eastAsia="宋体"/>
          <w:color w:val="000000" w:themeColor="text1"/>
          <w:kern w:val="2"/>
          <w:szCs w:val="24"/>
          <w:lang w:val="en-US" w:eastAsia="zh-CN"/>
          <w14:textFill>
            <w14:solidFill>
              <w14:schemeClr w14:val="tx1"/>
            </w14:solidFill>
          </w14:textFill>
        </w:rPr>
        <w:t>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ascii="Times New Roman" w:hAnsi="Times New Roman" w:eastAsia="宋体"/>
          <w:color w:val="000000" w:themeColor="text1"/>
          <w:kern w:val="2"/>
          <w:szCs w:val="24"/>
          <w:lang w:val="en-US" w:eastAsia="zh-CN"/>
          <w14:textFill>
            <w14:solidFill>
              <w14:schemeClr w14:val="tx1"/>
            </w14:solidFill>
          </w14:textFill>
        </w:rPr>
        <w:t>1</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ascii="Times New Roman" w:hAnsi="Times New Roman" w:eastAsia="宋体"/>
          <w:color w:val="000000" w:themeColor="text1"/>
          <w:kern w:val="2"/>
          <w:szCs w:val="24"/>
          <w:lang w:val="en-US" w:eastAsia="zh-CN"/>
          <w14:textFill>
            <w14:solidFill>
              <w14:schemeClr w14:val="tx1"/>
            </w14:solidFill>
          </w14:textFill>
        </w:rPr>
        <w:t>20</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ascii="Times New Roman" w:hAnsi="Times New Roman" w:eastAsia="宋体"/>
          <w:color w:val="000000" w:themeColor="text1"/>
          <w:kern w:val="2"/>
          <w:szCs w:val="24"/>
          <w:lang w:val="en-US" w:eastAsia="zh-CN"/>
          <w14:textFill>
            <w14:solidFill>
              <w14:schemeClr w14:val="tx1"/>
            </w14:solidFill>
          </w14:textFill>
        </w:rPr>
        <w:t>8</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lang w:val="en-US" w:eastAsia="zh-CN"/>
          <w14:textFill>
            <w14:solidFill>
              <w14:schemeClr w14:val="tx1"/>
            </w14:solidFill>
          </w14:textFill>
        </w:rPr>
        <w:t>30</w:t>
      </w:r>
      <w:r>
        <w:rPr>
          <w:rFonts w:hint="eastAsia" w:ascii="Times New Roman" w:hAnsi="Times New Roman" w:eastAsia="宋体"/>
          <w:color w:val="000000" w:themeColor="text1"/>
          <w:kern w:val="2"/>
          <w:szCs w:val="24"/>
          <w:lang w:val="hr-HR"/>
          <w14:textFill>
            <w14:solidFill>
              <w14:schemeClr w14:val="tx1"/>
            </w14:solidFill>
          </w14:textFill>
        </w:rPr>
        <w:t>分（北京时间）</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2、截止时间：202</w:t>
      </w:r>
      <w:r>
        <w:rPr>
          <w:rFonts w:hint="eastAsia" w:ascii="Times New Roman" w:hAnsi="Times New Roman" w:eastAsia="宋体"/>
          <w:color w:val="000000" w:themeColor="text1"/>
          <w:kern w:val="2"/>
          <w:szCs w:val="24"/>
          <w:lang w:val="en-US" w:eastAsia="zh-CN"/>
          <w14:textFill>
            <w14:solidFill>
              <w14:schemeClr w14:val="tx1"/>
            </w14:solidFill>
          </w14:textFill>
        </w:rPr>
        <w:t>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ascii="Times New Roman" w:hAnsi="Times New Roman" w:eastAsia="宋体"/>
          <w:color w:val="000000" w:themeColor="text1"/>
          <w:kern w:val="2"/>
          <w:szCs w:val="24"/>
          <w:lang w:val="en-US" w:eastAsia="zh-CN"/>
          <w14:textFill>
            <w14:solidFill>
              <w14:schemeClr w14:val="tx1"/>
            </w14:solidFill>
          </w14:textFill>
        </w:rPr>
        <w:t>1</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ascii="Times New Roman" w:hAnsi="Times New Roman" w:eastAsia="宋体"/>
          <w:color w:val="000000" w:themeColor="text1"/>
          <w:kern w:val="2"/>
          <w:szCs w:val="24"/>
          <w:lang w:val="en-US" w:eastAsia="zh-CN"/>
          <w14:textFill>
            <w14:solidFill>
              <w14:schemeClr w14:val="tx1"/>
            </w14:solidFill>
          </w14:textFill>
        </w:rPr>
        <w:t>20</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ascii="Times New Roman" w:hAnsi="Times New Roman" w:eastAsia="宋体"/>
          <w:color w:val="000000" w:themeColor="text1"/>
          <w:kern w:val="2"/>
          <w:szCs w:val="24"/>
          <w:lang w:val="en-US" w:eastAsia="zh-CN"/>
          <w14:textFill>
            <w14:solidFill>
              <w14:schemeClr w14:val="tx1"/>
            </w14:solidFill>
          </w14:textFill>
        </w:rPr>
        <w:t>9</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lang w:val="en-US" w:eastAsia="zh-CN"/>
          <w14:textFill>
            <w14:solidFill>
              <w14:schemeClr w14:val="tx1"/>
            </w14:solidFill>
          </w14:textFill>
        </w:rPr>
        <w:t>00</w:t>
      </w:r>
      <w:r>
        <w:rPr>
          <w:rFonts w:hint="eastAsia" w:ascii="Times New Roman" w:hAnsi="Times New Roman" w:eastAsia="宋体"/>
          <w:color w:val="000000" w:themeColor="text1"/>
          <w:kern w:val="2"/>
          <w:szCs w:val="24"/>
          <w:lang w:val="hr-HR"/>
          <w14:textFill>
            <w14:solidFill>
              <w14:schemeClr w14:val="tx1"/>
            </w14:solidFill>
          </w14:textFill>
        </w:rPr>
        <w:t>分（北京时间）</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29" w:right="329"/>
        <w:jc w:val="both"/>
        <w:textAlignment w:val="auto"/>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3、地点：阳新县公共资源交易中心</w:t>
      </w:r>
      <w:r>
        <w:rPr>
          <w:rFonts w:hint="eastAsia" w:ascii="Times New Roman" w:hAnsi="Times New Roman" w:eastAsia="宋体"/>
          <w:color w:val="000000" w:themeColor="text1"/>
          <w:kern w:val="2"/>
          <w:szCs w:val="24"/>
          <w:lang w:val="hr-HR" w:eastAsia="zh-CN"/>
          <w14:textFill>
            <w14:solidFill>
              <w14:schemeClr w14:val="tx1"/>
            </w14:solidFill>
          </w14:textFill>
        </w:rPr>
        <w:t>二</w:t>
      </w:r>
      <w:r>
        <w:rPr>
          <w:rFonts w:hint="eastAsia" w:ascii="Times New Roman" w:hAnsi="Times New Roman" w:eastAsia="宋体"/>
          <w:color w:val="000000" w:themeColor="text1"/>
          <w:kern w:val="2"/>
          <w:szCs w:val="24"/>
          <w:lang w:val="hr-HR"/>
          <w14:textFill>
            <w14:solidFill>
              <w14:schemeClr w14:val="tx1"/>
            </w14:solidFill>
          </w14:textFill>
        </w:rPr>
        <w:t>楼开标</w:t>
      </w:r>
      <w:r>
        <w:rPr>
          <w:rFonts w:hint="eastAsia" w:ascii="Times New Roman" w:hAnsi="Times New Roman" w:eastAsia="宋体"/>
          <w:color w:val="000000" w:themeColor="text1"/>
          <w:kern w:val="2"/>
          <w:szCs w:val="24"/>
          <w:lang w:val="hr-HR" w:eastAsia="zh-CN"/>
          <w14:textFill>
            <w14:solidFill>
              <w14:schemeClr w14:val="tx1"/>
            </w14:solidFill>
          </w14:textFill>
        </w:rPr>
        <w:t>二</w:t>
      </w:r>
      <w:r>
        <w:rPr>
          <w:rFonts w:hint="eastAsia" w:ascii="Times New Roman" w:hAnsi="Times New Roman" w:eastAsia="宋体"/>
          <w:color w:val="000000" w:themeColor="text1"/>
          <w:kern w:val="2"/>
          <w:szCs w:val="24"/>
          <w:lang w:val="hr-HR"/>
          <w14:textFill>
            <w14:solidFill>
              <w14:schemeClr w14:val="tx1"/>
            </w14:solidFill>
          </w14:textFill>
        </w:rPr>
        <w:t>厅</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textAlignment w:val="auto"/>
        <w:rPr>
          <w:rFonts w:hint="eastAsia" w:ascii="Times New Roman" w:hAnsi="Times New Roman" w:eastAsia="宋体" w:cs="Times New Roman"/>
          <w:b/>
          <w:bCs/>
          <w:color w:val="000000" w:themeColor="text1"/>
          <w:kern w:val="2"/>
          <w:szCs w:val="24"/>
          <w:lang w:val="hr-HR"/>
          <w14:textFill>
            <w14:solidFill>
              <w14:schemeClr w14:val="tx1"/>
            </w14:solidFill>
          </w14:textFill>
        </w:rPr>
      </w:pPr>
      <w:r>
        <w:rPr>
          <w:rFonts w:hint="eastAsia" w:ascii="Times New Roman" w:hAnsi="Times New Roman" w:eastAsia="宋体" w:cs="Times New Roman"/>
          <w:b/>
          <w:bCs/>
          <w:color w:val="000000" w:themeColor="text1"/>
          <w:kern w:val="2"/>
          <w:szCs w:val="24"/>
          <w:lang w:val="hr-HR" w:eastAsia="zh-CN"/>
          <w14:textFill>
            <w14:solidFill>
              <w14:schemeClr w14:val="tx1"/>
            </w14:solidFill>
          </w14:textFill>
        </w:rPr>
        <w:t>五</w:t>
      </w:r>
      <w:r>
        <w:rPr>
          <w:rFonts w:hint="eastAsia" w:ascii="Times New Roman" w:hAnsi="Times New Roman" w:eastAsia="宋体" w:cs="Times New Roman"/>
          <w:b/>
          <w:bCs/>
          <w:color w:val="000000" w:themeColor="text1"/>
          <w:kern w:val="2"/>
          <w:szCs w:val="24"/>
          <w:lang w:val="hr-HR"/>
          <w14:textFill>
            <w14:solidFill>
              <w14:schemeClr w14:val="tx1"/>
            </w14:solidFill>
          </w14:textFill>
        </w:rPr>
        <w:t>、公告期限</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29" w:right="329"/>
        <w:jc w:val="both"/>
        <w:textAlignment w:val="auto"/>
        <w:rPr>
          <w:rFonts w:hint="eastAsia" w:ascii="Times New Roman" w:hAnsi="Times New Roman" w:eastAsia="宋体" w:cs="Times New Roman"/>
          <w:color w:val="000000" w:themeColor="text1"/>
          <w:kern w:val="2"/>
          <w:szCs w:val="24"/>
          <w:lang w:val="hr-HR"/>
          <w14:textFill>
            <w14:solidFill>
              <w14:schemeClr w14:val="tx1"/>
            </w14:solidFill>
          </w14:textFill>
        </w:rPr>
      </w:pPr>
      <w:r>
        <w:rPr>
          <w:rFonts w:hint="eastAsia" w:ascii="Times New Roman" w:hAnsi="Times New Roman" w:eastAsia="宋体" w:cs="Times New Roman"/>
          <w:color w:val="000000" w:themeColor="text1"/>
          <w:kern w:val="2"/>
          <w:szCs w:val="24"/>
          <w:lang w:val="hr-HR"/>
          <w14:textFill>
            <w14:solidFill>
              <w14:schemeClr w14:val="tx1"/>
            </w14:solidFill>
          </w14:textFill>
        </w:rPr>
        <w:t>自本公告发布之日起5个工作日。</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textAlignment w:val="auto"/>
        <w:rPr>
          <w:rFonts w:hint="eastAsia" w:ascii="Times New Roman" w:hAnsi="Times New Roman" w:eastAsia="宋体" w:cs="Times New Roman"/>
          <w:b/>
          <w:bCs/>
          <w:color w:val="000000" w:themeColor="text1"/>
          <w:kern w:val="2"/>
          <w:szCs w:val="24"/>
          <w:lang w:val="hr-HR"/>
          <w14:textFill>
            <w14:solidFill>
              <w14:schemeClr w14:val="tx1"/>
            </w14:solidFill>
          </w14:textFill>
        </w:rPr>
      </w:pPr>
      <w:r>
        <w:rPr>
          <w:rFonts w:hint="eastAsia" w:ascii="Times New Roman" w:hAnsi="Times New Roman" w:eastAsia="宋体" w:cs="Times New Roman"/>
          <w:b/>
          <w:bCs/>
          <w:color w:val="000000" w:themeColor="text1"/>
          <w:kern w:val="2"/>
          <w:szCs w:val="24"/>
          <w:lang w:val="hr-HR" w:eastAsia="zh-CN"/>
          <w14:textFill>
            <w14:solidFill>
              <w14:schemeClr w14:val="tx1"/>
            </w14:solidFill>
          </w14:textFill>
        </w:rPr>
        <w:t>六、</w:t>
      </w:r>
      <w:r>
        <w:rPr>
          <w:rFonts w:hint="eastAsia" w:ascii="Times New Roman" w:hAnsi="Times New Roman" w:eastAsia="宋体" w:cs="Times New Roman"/>
          <w:b/>
          <w:bCs/>
          <w:color w:val="000000" w:themeColor="text1"/>
          <w:kern w:val="2"/>
          <w:szCs w:val="24"/>
          <w:lang w:val="hr-HR"/>
          <w14:textFill>
            <w14:solidFill>
              <w14:schemeClr w14:val="tx1"/>
            </w14:solidFill>
          </w14:textFill>
        </w:rPr>
        <w:t>其他补充事宜</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政府采购相关政策执行：落实政府采购强制、优先采购节能产品政策；政府采购优先采购环保产品政策；政府采购促进中小企业发展（监狱企业、残疾人福利性单位视同小微企业）等政策</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是否专门面向中小企业、监狱企业、残疾人福利性单位：</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否</w:t>
      </w: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投标人认为招标文件、招标过程和中标结果使自己的权益受到损害的，可以在知道或者应知其权益受到损害之日起7个工作日内向采购人或代理公司提出质疑（质疑函格式采用财政部国库司政府采购管理办公室发布的标准格式http://gks.mof.gov.cn/ztztz/zhengfucaigouguanli/201802/t20180201_2804589.htm）。</w:t>
      </w:r>
    </w:p>
    <w:p>
      <w:pPr>
        <w:pStyle w:val="21"/>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textAlignment w:val="auto"/>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eastAsia="zh-CN"/>
          <w14:textFill>
            <w14:solidFill>
              <w14:schemeClr w14:val="tx1"/>
            </w14:solidFill>
          </w14:textFill>
        </w:rPr>
        <w:t>七</w:t>
      </w:r>
      <w:r>
        <w:rPr>
          <w:rFonts w:hint="eastAsia" w:ascii="Times New Roman" w:hAnsi="Times New Roman" w:eastAsia="宋体"/>
          <w:b/>
          <w:bCs/>
          <w:color w:val="000000" w:themeColor="text1"/>
          <w:kern w:val="2"/>
          <w:szCs w:val="24"/>
          <w:lang w:val="hr-HR"/>
          <w14:textFill>
            <w14:solidFill>
              <w14:schemeClr w14:val="tx1"/>
            </w14:solidFill>
          </w14:textFill>
        </w:rPr>
        <w:t>、对本次招标提出询问，请按以下方式联系</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 xml:space="preserve">名   称：阳新县住房和城乡建设局 </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地   址：阳新县陵园大道13号</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联系人：孙大雄      联系电话：</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18086169300</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名   称：湖北诚建工程管理咨询有限公司</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地   址：阳新县兴国镇陵园大道11-13号</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联系人：刘梦秋      联系电话：18972790036</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3、项目联系方式</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项目联系人：刘梦秋</w:t>
      </w:r>
    </w:p>
    <w:p>
      <w:pPr>
        <w:keepNext w:val="0"/>
        <w:keepLines w:val="0"/>
        <w:pageBreakBefore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hr-HR" w:eastAsia="zh-CN" w:bidi="ar-SA"/>
          <w14:textFill>
            <w14:solidFill>
              <w14:schemeClr w14:val="tx1"/>
            </w14:solidFill>
          </w14:textFill>
        </w:rPr>
        <w:t xml:space="preserve">电   话：18972790036 </w:t>
      </w:r>
    </w:p>
    <w:p>
      <w:pPr>
        <w:pStyle w:val="31"/>
        <w:keepNext w:val="0"/>
        <w:keepLines w:val="0"/>
        <w:pageBreakBefore w:val="0"/>
        <w:kinsoku/>
        <w:wordWrap/>
        <w:overflowPunct/>
        <w:topLinePunct w:val="0"/>
        <w:autoSpaceDE/>
        <w:autoSpaceDN/>
        <w:bidi w:val="0"/>
        <w:adjustRightInd/>
        <w:snapToGrid w:val="0"/>
        <w:spacing w:line="288" w:lineRule="auto"/>
        <w:ind w:firstLine="0" w:firstLineChars="0"/>
        <w:jc w:val="right"/>
        <w:textAlignment w:val="auto"/>
        <w:rPr>
          <w:rFonts w:hint="eastAsia"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2021年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lang w:val="hr-HR"/>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29</w:t>
      </w:r>
      <w:r>
        <w:rPr>
          <w:rFonts w:hint="eastAsia" w:ascii="Times New Roman" w:hAnsi="Times New Roman" w:eastAsia="宋体" w:cs="Times New Roman"/>
          <w:color w:val="000000" w:themeColor="text1"/>
          <w:sz w:val="24"/>
          <w:szCs w:val="24"/>
          <w:lang w:val="hr-HR"/>
          <w14:textFill>
            <w14:solidFill>
              <w14:schemeClr w14:val="tx1"/>
            </w14:solidFill>
          </w14:textFill>
        </w:rPr>
        <w:t>日</w:t>
      </w:r>
    </w:p>
    <w:p>
      <w:pPr>
        <w:rPr>
          <w:rFonts w:hint="eastAsia"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br w:type="page"/>
      </w:r>
    </w:p>
    <w:p>
      <w:pPr>
        <w:pStyle w:val="31"/>
        <w:ind w:firstLine="0" w:firstLineChars="0"/>
        <w:rPr>
          <w:lang w:val="hr-HR"/>
        </w:rPr>
      </w:pPr>
    </w:p>
    <w:p>
      <w:pPr>
        <w:pStyle w:val="3"/>
        <w:numPr>
          <w:ilvl w:val="0"/>
          <w:numId w:val="1"/>
        </w:numPr>
        <w:spacing w:before="240" w:after="120" w:line="240" w:lineRule="auto"/>
        <w:ind w:left="883" w:hanging="883" w:hangingChars="200"/>
        <w:jc w:val="center"/>
        <w:rPr>
          <w:rFonts w:ascii="黑体" w:hAnsi="黑体" w:eastAsia="黑体"/>
        </w:rPr>
      </w:pPr>
      <w:bookmarkStart w:id="1" w:name="_Toc23056"/>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18514"/>
      <w:r>
        <w:rPr>
          <w:rFonts w:cs="Times New Roman" w:asciiTheme="majorEastAsia" w:hAnsiTheme="majorEastAsia" w:eastAsiaTheme="majorEastAsia"/>
          <w:b/>
          <w:bCs/>
          <w:sz w:val="32"/>
          <w:szCs w:val="32"/>
          <w:lang w:val="zh-CN"/>
        </w:rPr>
        <w:t>投标须知前附表</w:t>
      </w:r>
      <w:bookmarkEnd w:id="2"/>
      <w:bookmarkEnd w:id="3"/>
    </w:p>
    <w:tbl>
      <w:tblPr>
        <w:tblStyle w:val="24"/>
        <w:tblW w:w="8659"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05"/>
        <w:gridCol w:w="5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5" w:type="dxa"/>
            <w:tcBorders>
              <w:top w:val="single" w:color="auto" w:sz="4" w:space="0"/>
              <w:bottom w:val="single" w:color="auto" w:sz="4" w:space="0"/>
              <w:right w:val="single" w:color="auto" w:sz="4" w:space="0"/>
            </w:tcBorders>
            <w:vAlign w:val="center"/>
          </w:tcPr>
          <w:p>
            <w:pPr>
              <w:spacing w:line="276" w:lineRule="auto"/>
              <w:ind w:left="-53"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5"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5779" w:type="dxa"/>
            <w:tcBorders>
              <w:top w:val="single" w:color="auto" w:sz="4" w:space="0"/>
              <w:left w:val="single" w:color="auto" w:sz="4" w:space="0"/>
              <w:bottom w:val="single" w:color="auto" w:sz="4" w:space="0"/>
            </w:tcBorders>
            <w:vAlign w:val="center"/>
          </w:tcPr>
          <w:p>
            <w:pPr>
              <w:spacing w:line="276" w:lineRule="auto"/>
              <w:ind w:left="57" w:right="57" w:firstLine="484"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5779"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131-2021CG-</w:t>
            </w:r>
            <w:r>
              <w:rPr>
                <w:rFonts w:hint="eastAsia" w:ascii="宋体" w:hAnsi="宋体" w:eastAsia="宋体" w:cs="宋体"/>
                <w:color w:val="000000" w:themeColor="text1"/>
                <w:kern w:val="0"/>
                <w:sz w:val="24"/>
                <w:szCs w:val="24"/>
                <w:lang w:val="en-US" w:eastAsia="zh-CN"/>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阳新县第一次全国自然灾害综合风险普查房屋建筑和市政设施调查项目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阳新县住房和城乡建设局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投标文件份数</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资格预审</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00000" w:themeColor="text1"/>
                <w:sz w:val="24"/>
                <w:szCs w:val="24"/>
                <w:lang w:val="hr-HR"/>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投标文件递交时间</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备选方案</w:t>
            </w:r>
          </w:p>
        </w:tc>
        <w:tc>
          <w:tcPr>
            <w:tcW w:w="5779"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实物样品</w:t>
            </w:r>
          </w:p>
        </w:tc>
        <w:tc>
          <w:tcPr>
            <w:tcW w:w="5779"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不提交</w:t>
            </w:r>
          </w:p>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5779"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不组织</w:t>
            </w:r>
          </w:p>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color w:val="0D0D0D"/>
                <w:sz w:val="24"/>
                <w:szCs w:val="24"/>
              </w:rPr>
              <w:t>中标后分包</w:t>
            </w:r>
          </w:p>
        </w:tc>
        <w:tc>
          <w:tcPr>
            <w:tcW w:w="5779"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ascii="Times New Roman" w:hAnsi="宋体" w:eastAsia="宋体" w:cs="Times New Roman"/>
                <w:sz w:val="24"/>
                <w:szCs w:val="24"/>
              </w:rPr>
              <w:t>评标办法</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5779"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t>非专门面向（所属行业：其他未列明）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5779"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cs="Times New Roman" w:asciiTheme="minorEastAsia" w:hAnsiTheme="minorEastAsia"/>
                <w:color w:val="0D0D0D"/>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宋体" w:eastAsia="宋体" w:cs="Times New Roman"/>
                <w:sz w:val="24"/>
                <w:szCs w:val="24"/>
              </w:rPr>
            </w:pPr>
            <w:r>
              <w:rPr>
                <w:rFonts w:hint="eastAsia" w:ascii="Times New Roman" w:hAnsi="宋体" w:eastAsia="宋体" w:cs="Times New Roman"/>
                <w:sz w:val="24"/>
                <w:szCs w:val="24"/>
              </w:rPr>
              <w:t>付款方式</w:t>
            </w:r>
          </w:p>
        </w:tc>
        <w:tc>
          <w:tcPr>
            <w:tcW w:w="5779" w:type="dxa"/>
            <w:tcBorders>
              <w:top w:val="single" w:color="auto" w:sz="4" w:space="0"/>
              <w:left w:val="single" w:color="auto" w:sz="4" w:space="0"/>
              <w:bottom w:val="single" w:color="auto" w:sz="4" w:space="0"/>
            </w:tcBorders>
            <w:vAlign w:val="center"/>
          </w:tcPr>
          <w:p>
            <w:pPr>
              <w:jc w:val="center"/>
              <w:rPr>
                <w:rFonts w:hint="eastAsia" w:ascii="Times New Roman" w:hAnsi="宋体" w:eastAsia="宋体" w:cs="Times New Roman"/>
                <w:sz w:val="24"/>
                <w:szCs w:val="24"/>
              </w:rPr>
            </w:pPr>
            <w:r>
              <w:rPr>
                <w:rFonts w:hint="eastAsia" w:ascii="Times New Roman" w:hAnsi="宋体" w:eastAsia="宋体" w:cs="Times New Roman"/>
                <w:sz w:val="24"/>
                <w:szCs w:val="24"/>
              </w:rPr>
              <w:t>本项目采取分期付款方式，</w:t>
            </w:r>
            <w:r>
              <w:rPr>
                <w:rFonts w:hint="eastAsia" w:ascii="Times New Roman" w:hAnsi="宋体" w:eastAsia="宋体" w:cs="Times New Roman"/>
                <w:sz w:val="24"/>
                <w:szCs w:val="24"/>
                <w:lang w:eastAsia="zh-CN"/>
              </w:rPr>
              <w:t>合同签订后支付</w:t>
            </w:r>
            <w:r>
              <w:rPr>
                <w:rFonts w:hint="eastAsia" w:ascii="Times New Roman" w:hAnsi="宋体" w:eastAsia="宋体" w:cs="Times New Roman"/>
                <w:sz w:val="24"/>
                <w:szCs w:val="24"/>
              </w:rPr>
              <w:t>合同总金额的</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rPr>
              <w:t>0%</w:t>
            </w:r>
            <w:r>
              <w:rPr>
                <w:rFonts w:hint="eastAsia" w:ascii="Times New Roman" w:hAnsi="宋体" w:eastAsia="宋体" w:cs="Times New Roman"/>
                <w:sz w:val="24"/>
                <w:szCs w:val="24"/>
                <w:lang w:val="en-US" w:eastAsia="zh-CN"/>
              </w:rPr>
              <w:t>，</w:t>
            </w:r>
            <w:r>
              <w:rPr>
                <w:rFonts w:hint="eastAsia" w:ascii="Times New Roman" w:hAnsi="宋体" w:eastAsia="宋体" w:cs="Times New Roman"/>
                <w:sz w:val="24"/>
                <w:szCs w:val="24"/>
              </w:rPr>
              <w:t>完成外业调查后支付合同总金额的</w:t>
            </w:r>
            <w:r>
              <w:rPr>
                <w:rFonts w:hint="eastAsia" w:ascii="Times New Roman" w:hAnsi="宋体" w:eastAsia="宋体" w:cs="Times New Roman"/>
                <w:sz w:val="24"/>
                <w:szCs w:val="24"/>
                <w:lang w:val="en-US" w:eastAsia="zh-CN"/>
              </w:rPr>
              <w:t>5</w:t>
            </w:r>
            <w:r>
              <w:rPr>
                <w:rFonts w:hint="eastAsia" w:ascii="Times New Roman" w:hAnsi="宋体" w:eastAsia="宋体" w:cs="Times New Roman"/>
                <w:sz w:val="24"/>
                <w:szCs w:val="24"/>
              </w:rPr>
              <w:t>0%，</w:t>
            </w:r>
          </w:p>
          <w:p>
            <w:pPr>
              <w:jc w:val="both"/>
              <w:rPr>
                <w:rFonts w:hint="eastAsia" w:ascii="Times New Roman" w:hAnsi="宋体" w:eastAsia="宋体" w:cs="Times New Roman"/>
                <w:sz w:val="24"/>
                <w:szCs w:val="24"/>
              </w:rPr>
            </w:pPr>
            <w:r>
              <w:rPr>
                <w:rFonts w:hint="eastAsia" w:ascii="Times New Roman" w:hAnsi="宋体" w:eastAsia="宋体" w:cs="Times New Roman"/>
                <w:sz w:val="24"/>
                <w:szCs w:val="24"/>
              </w:rPr>
              <w:t>完成质量审核验收后支付合同总金额10%。</w:t>
            </w:r>
          </w:p>
        </w:tc>
      </w:tr>
    </w:tbl>
    <w:p>
      <w:pPr>
        <w:keepNext/>
        <w:keepLines/>
        <w:spacing w:before="100" w:beforeAutospacing="1" w:after="100" w:afterAutospacing="1" w:line="360" w:lineRule="auto"/>
        <w:jc w:val="center"/>
        <w:outlineLvl w:val="1"/>
        <w:rPr>
          <w:rFonts w:cs="Times New Roman" w:asciiTheme="majorEastAsia" w:hAnsiTheme="majorEastAsia"/>
          <w:b/>
          <w:bCs/>
          <w:lang w:val="zh-CN"/>
        </w:rPr>
      </w:pPr>
      <w:bookmarkStart w:id="4" w:name="_Toc494561938"/>
      <w:r>
        <w:rPr>
          <w:rFonts w:ascii="黑体" w:hAnsi="黑体" w:eastAsia="黑体" w:cs="Times New Roman"/>
          <w:b/>
          <w:bCs/>
          <w:sz w:val="32"/>
          <w:szCs w:val="32"/>
          <w:lang w:val="zh-CN"/>
        </w:rPr>
        <w:br w:type="page"/>
      </w:r>
      <w:bookmarkStart w:id="5" w:name="_Toc2294"/>
      <w:r>
        <w:rPr>
          <w:rFonts w:hint="eastAsia" w:cs="Times New Roman" w:asciiTheme="majorEastAsia" w:hAnsiTheme="majorEastAsia"/>
          <w:b/>
          <w:bCs/>
          <w:sz w:val="36"/>
          <w:szCs w:val="40"/>
          <w:lang w:val="zh-CN"/>
        </w:rPr>
        <w:t>说  明</w:t>
      </w:r>
      <w:bookmarkEnd w:id="4"/>
      <w:bookmarkEnd w:id="5"/>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ascii="宋体" w:hAnsi="宋体" w:eastAsia="宋体" w:cs="宋体"/>
          <w:color w:val="000000" w:themeColor="text1"/>
          <w:kern w:val="0"/>
          <w:sz w:val="24"/>
          <w:szCs w:val="24"/>
          <w14:textFill>
            <w14:solidFill>
              <w14:schemeClr w14:val="tx1"/>
            </w14:solidFill>
          </w14:textFill>
        </w:rPr>
        <w:t>阳新县住房和城乡建设局</w:t>
      </w:r>
      <w:r>
        <w:rPr>
          <w:rFonts w:hint="eastAsia" w:cs="Times New Roman" w:asciiTheme="minorEastAsia" w:hAnsiTheme="minorEastAsia"/>
          <w:sz w:val="24"/>
          <w:szCs w:val="24"/>
          <w:lang w:val="zh-CN"/>
        </w:rPr>
        <w:t>。</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Helvetica" w:asciiTheme="minorEastAsia" w:hAnsiTheme="minorEastAsia"/>
          <w:kern w:val="0"/>
          <w:sz w:val="24"/>
          <w:szCs w:val="24"/>
          <w:lang w:val="zh-CN"/>
        </w:rPr>
        <w:t>阳新县政府采购办公室、阳新县公共资源交易监督管理局</w:t>
      </w:r>
      <w:r>
        <w:rPr>
          <w:rFonts w:hint="eastAsia" w:cs="Times New Roman" w:asciiTheme="minorEastAsia" w:hAnsiTheme="minorEastAsia"/>
          <w:color w:val="FF0000"/>
          <w:sz w:val="24"/>
          <w:szCs w:val="24"/>
          <w:lang w:val="zh-CN"/>
        </w:rPr>
        <w:t>。</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cs="Helvetica" w:asciiTheme="minorEastAsia" w:hAnsiTheme="minorEastAsia"/>
          <w:kern w:val="0"/>
          <w:sz w:val="24"/>
          <w:szCs w:val="24"/>
          <w:lang w:val="zh-CN"/>
        </w:rPr>
        <w:t>湖北诚建工程管理咨询有限公司。</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4"/>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5"/>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6"/>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6"/>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5"/>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5"/>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5"/>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6"/>
        <w:numPr>
          <w:ilvl w:val="0"/>
          <w:numId w:val="7"/>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6"/>
        <w:ind w:left="0" w:leftChars="0" w:firstLine="0" w:firstLineChars="0"/>
        <w:rPr>
          <w:rFonts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46"/>
        <w:ind w:left="420" w:firstLine="0" w:firstLineChars="0"/>
        <w:rPr>
          <w:rFonts w:ascii="宋体" w:hAnsi="宋体"/>
          <w:sz w:val="24"/>
          <w:szCs w:val="24"/>
        </w:rPr>
      </w:pPr>
    </w:p>
    <w:tbl>
      <w:tblPr>
        <w:tblStyle w:val="2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84"/>
        <w:gridCol w:w="19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52"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102870</wp:posOffset>
                      </wp:positionV>
                      <wp:extent cx="1513840" cy="869950"/>
                      <wp:effectExtent l="0" t="0" r="29210" b="25400"/>
                      <wp:wrapNone/>
                      <wp:docPr id="2" name="Line 16"/>
                      <wp:cNvGraphicFramePr/>
                      <a:graphic xmlns:a="http://schemas.openxmlformats.org/drawingml/2006/main">
                        <a:graphicData uri="http://schemas.microsoft.com/office/word/2010/wordprocessingShape">
                          <wps:wsp>
                            <wps:cNvCnPr/>
                            <wps:spPr>
                              <a:xfrm flipH="1" flipV="1">
                                <a:off x="0" y="0"/>
                                <a:ext cx="1513840" cy="869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6" o:spid="_x0000_s1026" o:spt="20" style="position:absolute;left:0pt;flip:x y;margin-left:-1pt;margin-top:8.1pt;height:68.5pt;width:119.2pt;z-index:251661312;mso-width-relative:page;mso-height-relative:page;" filled="f" stroked="t" coordsize="21600,21600" o:gfxdata="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6owvV&#10;AAAACQEAAA8AAAAAAAAAAQAgAAAAIgAAAGRycy9kb3ducmV2LnhtbFBLAQIUABQAAAAIAIdO4kDs&#10;jzKV6gEAAPUDAAAOAAAAAAAAAAEAIAAAACQBAABkcnMvZTJvRG9jLnhtbFBLBQYAAAAABgAGAFkB&#10;AACA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4uAobVAAAA&#10;CAEAAA8AAAAAAAAAAQAgAAAAIgAAAGRycy9kb3ducmV2LnhtbFBLAQIUABQAAAAIAIdO4kD6cOSQ&#10;5wEAAPUDAAAOAAAAAAAAAAEAIAAAACQBAABkcnMvZTJvRG9jLnhtbFBLBQYAAAAABgAGAFkBAAB9&#10;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5"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5HTftUAAAAJAQAADwAAAAAAAAABACAAAAAi&#10;AAAAZHJzL2Rvd25yZXYueG1sUEsBAhQAFAAAAAgAh07iQKiChf3UAQAA2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1984"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1985"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1843"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52"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1984"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1985"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1843"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52"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1984"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1985"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1843"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52"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1984"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1985"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1843"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8"/>
        <w:spacing w:line="440" w:lineRule="exact"/>
        <w:ind w:firstLine="0" w:firstLineChars="0"/>
        <w:rPr>
          <w:rFonts w:ascii="宋体" w:hAnsi="宋体"/>
          <w:b/>
          <w:sz w:val="24"/>
          <w:szCs w:val="24"/>
        </w:rPr>
      </w:pPr>
      <w:r>
        <w:rPr>
          <w:rFonts w:hint="eastAsia" w:ascii="宋体" w:hAnsi="宋体"/>
          <w:b/>
          <w:sz w:val="24"/>
          <w:szCs w:val="24"/>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6"/>
        <w:adjustRightInd w:val="0"/>
        <w:snapToGrid w:val="0"/>
        <w:spacing w:line="300" w:lineRule="auto"/>
        <w:ind w:left="420" w:firstLine="0" w:firstLineChars="0"/>
        <w:rPr>
          <w:rFonts w:ascii="宋体" w:hAnsi="宋体"/>
          <w:sz w:val="24"/>
          <w:szCs w:val="24"/>
        </w:rPr>
      </w:pP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6" w:name="_Toc278891592"/>
      <w:bookmarkStart w:id="7" w:name="_Toc13630"/>
      <w:bookmarkStart w:id="8" w:name="_Toc272247695"/>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在招标过程中由采购机构发出的修正和补充文件等</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潜在投标人对招标文件有疑问的，可以向采购机构提出询问，或在6.2规定的时间前以书面的形式向采购机构提交疑问函。</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潜在投标人在项目招标公告期限届满之日起7个工作日内未对招标文件提出疑问的，采购机构将视其认同招标文件，在规定的时间后就招标文件内容提出的疑问将不予受理。</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机构将组织采购人对潜在投标人所提交疑问以书面（或网上公告）的形式予以答复。必要时，采购机构将组织相关专家召开答疑会，并将会议内容以书面的形式发给每个领取招标文件的潜在投标人（答复中不包括问题的来源）。</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0"/>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为使潜在投标人有充足时间对招标文件的澄清或者修改的内容进行研究和响应，采购机构和采购人可适当顺延提交投标文件的截止时间，并以书面（或网上公告）的形式通知所有领取招标文件的潜在投标人。</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10" w:name="_Toc29820"/>
      <w:bookmarkStart w:id="11" w:name="_Toc494561940"/>
      <w:bookmarkStart w:id="12" w:name="_Toc278891593"/>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2"/>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投标人应对投标文件中所提供资料的真实性负责，如有虚假，将依法承担相应责任。投标人应自觉接受采购机构对其中任何资料进一步核实的要求。</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2"/>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highlight w:val="yellow"/>
          <w:lang w:val="zh-CN"/>
        </w:rPr>
        <w:t>投标人应将投标文件的第一部分资格证明文件、第二部分商务文件和第三部分技术、服务文件合并编制装订，逐页标注页码，建立目录索引。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12"/>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为方便开标时唱标，投标人应将《开标一览表》一份单独密封提交，并在信封上标明"开标一览表"字样。投标人应将投标文件正本和所有的副本一起密封装在文件袋（或封装袋）中，</w:t>
      </w:r>
      <w:r>
        <w:rPr>
          <w:rFonts w:hint="eastAsia" w:cs="Times New Roman" w:asciiTheme="minorEastAsia" w:hAnsiTheme="minorEastAsia"/>
          <w:b/>
          <w:sz w:val="24"/>
          <w:szCs w:val="24"/>
          <w:highlight w:val="yellow"/>
          <w:lang w:val="zh-CN"/>
        </w:rPr>
        <w:t>并在封面上标明"正本和副本"字样。</w:t>
      </w:r>
      <w:r>
        <w:rPr>
          <w:rFonts w:hint="eastAsia" w:cs="Times New Roman" w:asciiTheme="minorEastAsia" w:hAnsiTheme="minorEastAsia"/>
          <w:b/>
          <w:sz w:val="24"/>
          <w:szCs w:val="24"/>
          <w:lang w:val="zh-CN"/>
        </w:rPr>
        <w:t>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4"/>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4"/>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4"/>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5"/>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6"/>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3"/>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采购机构或采购人可要求投标人延长投标有效期。这种要求与答复均应以书面形式提交。投标人可拒绝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投标文件的密封和标记</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投标人应将投标文件第一部分资格证明文件、第二部分商务文件、第三部分技术、服务文件一起合并装订成一本投标文件，一起封装。</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投标人应将投标文件正本和副本密封合装在封包中。</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如果未按要求加写密封、标记或存在错误，采购机构对其误投或提前启封概不负责。</w:t>
      </w:r>
    </w:p>
    <w:p>
      <w:pPr>
        <w:numPr>
          <w:ilvl w:val="0"/>
          <w:numId w:val="19"/>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cs="Times New Roman" w:asciiTheme="minorEastAsia" w:hAnsiTheme="minorEastAsia"/>
          <w:sz w:val="24"/>
          <w:szCs w:val="24"/>
          <w:lang w:val="zh-CN"/>
        </w:rPr>
        <w:t>采购人（或代理公司）</w:t>
      </w:r>
      <w:r>
        <w:rPr>
          <w:rFonts w:hint="eastAsia" w:ascii="Helvetica" w:hAnsi="Helvetica" w:eastAsia="宋体" w:cs="Helvetica"/>
          <w:kern w:val="0"/>
          <w:sz w:val="24"/>
          <w:szCs w:val="24"/>
          <w:lang w:val="zh-CN"/>
        </w:rPr>
        <w:t>规定的投标地点。</w:t>
      </w:r>
    </w:p>
    <w:p>
      <w:pPr>
        <w:numPr>
          <w:ilvl w:val="0"/>
          <w:numId w:val="20"/>
        </w:numPr>
        <w:spacing w:line="360" w:lineRule="auto"/>
        <w:ind w:left="616" w:hanging="616"/>
        <w:rPr>
          <w:rFonts w:ascii="Helvetica" w:hAnsi="Helvetica" w:eastAsia="宋体" w:cs="Helvetica"/>
          <w:b/>
          <w:kern w:val="0"/>
          <w:sz w:val="24"/>
          <w:szCs w:val="24"/>
          <w:lang w:val="zh-CN"/>
        </w:rPr>
      </w:pPr>
      <w:r>
        <w:rPr>
          <w:rFonts w:hint="eastAsia" w:cs="Times New Roman" w:asciiTheme="minorEastAsia" w:hAnsiTheme="minorEastAsia"/>
          <w:sz w:val="24"/>
          <w:szCs w:val="24"/>
          <w:lang w:val="zh-CN"/>
        </w:rPr>
        <w:t>采购人（或代理公司）</w:t>
      </w:r>
      <w:r>
        <w:rPr>
          <w:rFonts w:hint="eastAsia" w:ascii="Helvetica" w:hAnsi="Helvetica" w:eastAsia="宋体" w:cs="Helvetica"/>
          <w:b/>
          <w:kern w:val="0"/>
          <w:sz w:val="24"/>
          <w:szCs w:val="24"/>
          <w:lang w:val="zh-CN"/>
        </w:rPr>
        <w:t>拒收逾期送达或者未按招标文件要求密封的投标文件。</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cs="Times New Roman" w:asciiTheme="minorEastAsia" w:hAnsiTheme="minorEastAsia"/>
          <w:sz w:val="24"/>
          <w:szCs w:val="24"/>
          <w:lang w:val="zh-CN"/>
        </w:rPr>
        <w:t>采购人（或代理公司）</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1"/>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14" w:name="_Toc32371"/>
      <w:bookmarkStart w:id="15" w:name="_Toc272247698"/>
      <w:bookmarkStart w:id="16" w:name="_Toc278891595"/>
      <w:bookmarkStart w:id="17" w:name="_Toc494561942"/>
      <w:r>
        <w:rPr>
          <w:rFonts w:hint="eastAsia" w:cs="Times New Roman" w:asciiTheme="majorEastAsia" w:hAnsiTheme="majorEastAsia"/>
          <w:bCs w:val="0"/>
          <w:lang w:val="zh-CN"/>
        </w:rPr>
        <w:t>开标与评标</w:t>
      </w:r>
      <w:bookmarkEnd w:id="14"/>
      <w:bookmarkEnd w:id="15"/>
      <w:bookmarkEnd w:id="16"/>
      <w:bookmarkEnd w:id="17"/>
    </w:p>
    <w:p>
      <w:pPr>
        <w:numPr>
          <w:ilvl w:val="0"/>
          <w:numId w:val="3"/>
        </w:numPr>
        <w:spacing w:line="360" w:lineRule="auto"/>
        <w:ind w:left="560" w:hanging="560"/>
        <w:rPr>
          <w:rFonts w:cs="Times New Roman" w:asciiTheme="minorEastAsia" w:hAnsiTheme="minorEastAsia"/>
          <w:sz w:val="24"/>
          <w:szCs w:val="24"/>
          <w:lang w:val="zh-CN"/>
        </w:rPr>
      </w:pPr>
      <w:r>
        <w:rPr>
          <w:rFonts w:hint="eastAsia" w:ascii="宋体" w:hAnsi="宋体" w:eastAsia="宋体" w:cs="Times New Roman"/>
          <w:b/>
          <w:sz w:val="24"/>
          <w:szCs w:val="20"/>
          <w:lang w:val="zh-CN"/>
        </w:rPr>
        <w:t>开标</w:t>
      </w:r>
    </w:p>
    <w:p>
      <w:pPr>
        <w:numPr>
          <w:ilvl w:val="0"/>
          <w:numId w:val="22"/>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采购人</w:t>
      </w:r>
      <w:r>
        <w:rPr>
          <w:rFonts w:hint="eastAsia" w:ascii="宋体" w:hAnsi="宋体" w:eastAsia="宋体" w:cs="Times New Roman"/>
          <w:sz w:val="24"/>
          <w:szCs w:val="20"/>
          <w:lang w:val="zh-CN"/>
        </w:rPr>
        <w:t>（或代理公司）工作人员当众拆封，宣布投标人名称、投标价格和招标文件规定的需要宣布的其他内容。</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采购人（或代理公司）负责对开标过程进行记录，由参加开标的各投标人代表和相关工作人员对开标记录进行签字确认。</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投标人代表对开标过程和开标记录有疑义，以及认为采购人、代理公司相关工作人员有需要回避的情形的，应当场提出询问或者回避申请。采购人、代理公司将及时处理投标人代表提出的询问或者回避申请。</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资格审查</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sz w:val="24"/>
          <w:szCs w:val="20"/>
          <w:lang w:val="zh-CN"/>
        </w:rPr>
        <w:t>公开招标采购项目开标结束后，采购人和采购代理公司依据法律、法规及招标文件的规定，对投标人的资格进行审查，以确定投</w:t>
      </w:r>
      <w:r>
        <w:rPr>
          <w:rFonts w:hint="eastAsia" w:ascii="宋体" w:hAnsi="宋体" w:eastAsia="宋体" w:cs="Times New Roman"/>
          <w:bCs/>
          <w:sz w:val="24"/>
          <w:szCs w:val="20"/>
          <w:lang w:val="zh-CN"/>
        </w:rPr>
        <w:t>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3"/>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5"/>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7"/>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w:t>
      </w:r>
      <w:r>
        <w:rPr>
          <w:rFonts w:ascii="宋体" w:hAnsi="宋体" w:eastAsia="宋体" w:cs="Times New Roman"/>
          <w:sz w:val="24"/>
          <w:szCs w:val="20"/>
          <w:lang w:val="zh-CN"/>
        </w:rPr>
        <w:t>机构或者有关部门报告评标中发现的违法行为。</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3493"/>
      <w:r>
        <w:rPr>
          <w:rFonts w:hint="eastAsia" w:cs="Times New Roman" w:asciiTheme="majorEastAsia" w:hAnsiTheme="majorEastAsia"/>
          <w:bCs w:val="0"/>
          <w:lang w:val="zh-CN"/>
        </w:rPr>
        <w:t>投标人信用信息及查询</w:t>
      </w:r>
      <w:bookmarkEnd w:id="18"/>
      <w:bookmarkEnd w:id="19"/>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3133"/>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29"/>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29"/>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1"/>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4" w:name="_Toc12701"/>
      <w:bookmarkStart w:id="25" w:name="_Toc494561945"/>
      <w:r>
        <w:rPr>
          <w:rFonts w:hint="eastAsia" w:cs="Times New Roman" w:asciiTheme="majorEastAsia" w:hAnsiTheme="majorEastAsia"/>
          <w:bCs w:val="0"/>
          <w:lang w:val="zh-CN"/>
        </w:rPr>
        <w:t>采购信息公告</w:t>
      </w:r>
      <w:bookmarkEnd w:id="24"/>
      <w:bookmarkEnd w:id="25"/>
    </w:p>
    <w:p>
      <w:pPr>
        <w:numPr>
          <w:ilvl w:val="0"/>
          <w:numId w:val="3"/>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采购机构在招标活动中的公告、补充、更正、结果等采购信息均依法在政府采购监管部门指定媒体上（中国湖北政府采购网http://www.ccgp-hubei.gov.cn/）发布。</w:t>
      </w:r>
    </w:p>
    <w:p>
      <w:pPr>
        <w:numPr>
          <w:ilvl w:val="0"/>
          <w:numId w:val="32"/>
        </w:numPr>
        <w:tabs>
          <w:tab w:val="left" w:pos="616"/>
        </w:tabs>
        <w:spacing w:line="360" w:lineRule="auto"/>
        <w:ind w:left="616" w:hanging="616"/>
        <w:rPr>
          <w:rFonts w:cs="Helvetica" w:asciiTheme="minorEastAsia" w:hAnsiTheme="minorEastAsia"/>
          <w:b/>
          <w:kern w:val="0"/>
          <w:sz w:val="24"/>
          <w:szCs w:val="24"/>
          <w:lang w:val="zh-CN"/>
        </w:rPr>
      </w:pPr>
      <w:r>
        <w:rPr>
          <w:rFonts w:hint="eastAsia" w:cs="Helvetica" w:asciiTheme="minorEastAsia" w:hAnsiTheme="minorEastAsia"/>
          <w:kern w:val="0"/>
          <w:sz w:val="24"/>
          <w:szCs w:val="24"/>
          <w:lang w:val="zh-CN"/>
        </w:rPr>
        <w:t>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11513"/>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投标人认为招标文件、招标过程和中标结果使自己的权益受到损害的，可以在知道或者应知其权益受到损害之日起7个工作日内，向采购人（或代理公司）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8" w:name="_Toc19363"/>
      <w:bookmarkStart w:id="29" w:name="_Toc494561947"/>
      <w:r>
        <w:rPr>
          <w:rFonts w:hint="eastAsia" w:cs="Times New Roman" w:asciiTheme="majorEastAsia" w:hAnsiTheme="majorEastAsia"/>
          <w:bCs w:val="0"/>
          <w:lang w:val="zh-CN"/>
        </w:rPr>
        <w:t>相关条文解读</w:t>
      </w:r>
      <w:bookmarkEnd w:id="28"/>
      <w:bookmarkEnd w:id="29"/>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根据财政部《政府采购法实施条例》释义中关于供应商资格条件的解释，对于银行、保险、石油石化、电力、电信等有行业特殊情况的，采购人和采购机构允许其分支机构参与投标。</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982"/>
      <w:r>
        <w:rPr>
          <w:rFonts w:hint="eastAsia" w:cs="Times New Roman" w:asciiTheme="majorEastAsia" w:hAnsiTheme="majorEastAsia"/>
          <w:bCs w:val="0"/>
          <w:lang w:val="zh-CN"/>
        </w:rPr>
        <w:t>其他注意事项</w:t>
      </w:r>
      <w:bookmarkEnd w:id="30"/>
      <w:bookmarkEnd w:id="31"/>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8"/>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278891598"/>
      <w:bookmarkStart w:id="34" w:name="_Toc494561949"/>
      <w:bookmarkStart w:id="35" w:name="_Toc2899"/>
      <w:r>
        <w:rPr>
          <w:rFonts w:hint="eastAsia" w:cs="Times New Roman" w:asciiTheme="majorEastAsia" w:hAnsiTheme="majorEastAsia"/>
          <w:bCs w:val="0"/>
          <w:lang w:val="zh-CN"/>
        </w:rPr>
        <w:t>适用法律</w:t>
      </w:r>
      <w:bookmarkEnd w:id="32"/>
      <w:bookmarkEnd w:id="33"/>
      <w:bookmarkEnd w:id="34"/>
      <w:bookmarkEnd w:id="35"/>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3"/>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8"/>
        </w:numPr>
        <w:spacing w:before="40" w:after="40" w:line="360" w:lineRule="auto"/>
        <w:ind w:left="966" w:hanging="966"/>
        <w:jc w:val="left"/>
        <w:rPr>
          <w:rFonts w:cs="Times New Roman" w:asciiTheme="majorEastAsia" w:hAnsiTheme="majorEastAsia"/>
          <w:bCs w:val="0"/>
          <w:lang w:val="zh-CN"/>
        </w:rPr>
      </w:pPr>
      <w:bookmarkStart w:id="36" w:name="_Toc278891599"/>
      <w:bookmarkStart w:id="37" w:name="_Toc24205"/>
      <w:bookmarkStart w:id="38" w:name="_Toc272247702"/>
      <w:bookmarkStart w:id="39" w:name="_Toc494561950"/>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3"/>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3"/>
        <w:spacing w:line="240" w:lineRule="auto"/>
        <w:jc w:val="center"/>
        <w:rPr>
          <w:rFonts w:ascii="黑体" w:hAnsi="黑体" w:eastAsia="黑体"/>
        </w:rPr>
      </w:pPr>
      <w:bookmarkStart w:id="40" w:name="_Toc31234"/>
      <w:r>
        <w:rPr>
          <w:rFonts w:hint="eastAsia" w:ascii="Wingdings" w:hAnsi="Wingdings" w:eastAsia="黑体"/>
          <w:b w:val="0"/>
          <w:highlight w:val="lightGray"/>
        </w:rPr>
        <w:t>第三章</w:t>
      </w:r>
      <w:r>
        <w:rPr>
          <w:rFonts w:hint="eastAsia" w:ascii="Wingdings" w:hAnsi="Wingdings" w:eastAsia="黑体"/>
          <w:b w:val="0"/>
        </w:rPr>
        <w:t xml:space="preserve"> </w:t>
      </w:r>
      <w:r>
        <w:rPr>
          <w:rFonts w:hint="eastAsia" w:ascii="黑体" w:hAnsi="黑体" w:eastAsia="黑体"/>
        </w:rPr>
        <w:t>项目技术、服务及商务要求</w:t>
      </w:r>
      <w:bookmarkEnd w:id="40"/>
    </w:p>
    <w:p>
      <w:pPr>
        <w:autoSpaceDE w:val="0"/>
        <w:autoSpaceDN w:val="0"/>
        <w:spacing w:before="62" w:line="480" w:lineRule="auto"/>
        <w:jc w:val="left"/>
        <w:outlineLvl w:val="3"/>
        <w:rPr>
          <w:rFonts w:ascii="宋体" w:hAnsi="宋体" w:eastAsia="宋体"/>
          <w:sz w:val="24"/>
          <w:szCs w:val="24"/>
        </w:rPr>
      </w:pPr>
      <w:bookmarkStart w:id="41" w:name="_Toc17827"/>
      <w:r>
        <w:rPr>
          <w:rFonts w:ascii="宋体" w:hAnsi="宋体" w:eastAsia="宋体" w:cs="宋体"/>
          <w:b/>
          <w:bCs/>
          <w:kern w:val="0"/>
          <w:sz w:val="28"/>
          <w:szCs w:val="28"/>
          <w:lang w:val="zh-CN" w:bidi="zh-CN"/>
        </w:rPr>
        <w:t>一、项目背景</w:t>
      </w:r>
      <w:bookmarkEnd w:id="41"/>
      <w:bookmarkStart w:id="42" w:name="_Toc21666"/>
    </w:p>
    <w:p>
      <w:pPr>
        <w:spacing w:line="360" w:lineRule="auto"/>
        <w:ind w:firstLine="480" w:firstLineChars="200"/>
        <w:rPr>
          <w:rFonts w:ascii="宋体" w:hAnsi="宋体" w:eastAsia="宋体"/>
          <w:sz w:val="24"/>
          <w:szCs w:val="24"/>
        </w:rPr>
      </w:pPr>
      <w:r>
        <w:rPr>
          <w:rFonts w:hint="eastAsia" w:ascii="宋体" w:hAnsi="宋体" w:eastAsia="宋体"/>
          <w:sz w:val="24"/>
          <w:szCs w:val="24"/>
        </w:rPr>
        <w:t>在国务院第一次全国自然灾害综合风险普查领导小组印发的《第一次全国自然灾害综合风险普查总体方案》指导下，通过组织全省各方面力量，在</w:t>
      </w:r>
      <w:r>
        <w:rPr>
          <w:rFonts w:ascii="宋体" w:hAnsi="宋体" w:eastAsia="宋体"/>
          <w:sz w:val="24"/>
          <w:szCs w:val="24"/>
        </w:rPr>
        <w:t>2020～2022 年开展自然灾害综合风险普查，摸清全</w:t>
      </w:r>
      <w:r>
        <w:rPr>
          <w:rFonts w:hint="eastAsia" w:ascii="宋体" w:hAnsi="宋体" w:eastAsia="宋体"/>
          <w:sz w:val="24"/>
          <w:szCs w:val="24"/>
        </w:rPr>
        <w:t>县</w:t>
      </w:r>
      <w:r>
        <w:rPr>
          <w:rFonts w:ascii="宋体" w:hAnsi="宋体" w:eastAsia="宋体"/>
          <w:sz w:val="24"/>
          <w:szCs w:val="24"/>
        </w:rPr>
        <w:t>灾害风险隐患底数，</w:t>
      </w:r>
      <w:r>
        <w:rPr>
          <w:rFonts w:hint="eastAsia" w:ascii="宋体" w:hAnsi="宋体" w:eastAsia="宋体"/>
          <w:sz w:val="24"/>
          <w:szCs w:val="24"/>
        </w:rPr>
        <w:t>查明重点区域抗灾减灾能力，全面、深入客观认识全县灾害综合风险水平，建立全县自然灾害及承灾体调查数据采集与管理、灾害隐患及综合风险评估与区划、防灾减灾区划和应急管理信息系统，为各级政府有效开展自然灾害预测、防治和应急管理工作、切实保障人民生命财产安全和国家社会经济可持续发展提供全面、权威和高质量的灾害风险信息和科学决策依据。</w:t>
      </w:r>
    </w:p>
    <w:p>
      <w:pPr>
        <w:autoSpaceDE w:val="0"/>
        <w:autoSpaceDN w:val="0"/>
        <w:spacing w:before="62" w:line="480" w:lineRule="auto"/>
        <w:jc w:val="left"/>
        <w:outlineLvl w:val="3"/>
        <w:rPr>
          <w:rFonts w:ascii="宋体" w:hAnsi="宋体" w:eastAsia="宋体" w:cs="宋体"/>
          <w:b/>
          <w:bCs/>
          <w:kern w:val="0"/>
          <w:sz w:val="28"/>
          <w:szCs w:val="28"/>
          <w:lang w:val="zh-CN" w:bidi="zh-CN"/>
        </w:rPr>
      </w:pPr>
      <w:r>
        <w:rPr>
          <w:rFonts w:hint="eastAsia" w:ascii="宋体" w:hAnsi="宋体" w:eastAsia="宋体" w:cs="宋体"/>
          <w:b/>
          <w:bCs/>
          <w:kern w:val="0"/>
          <w:sz w:val="28"/>
          <w:szCs w:val="28"/>
          <w:lang w:bidi="zh-CN"/>
        </w:rPr>
        <w:t>二、</w:t>
      </w:r>
      <w:r>
        <w:rPr>
          <w:rFonts w:ascii="宋体" w:hAnsi="宋体" w:eastAsia="宋体" w:cs="宋体"/>
          <w:b/>
          <w:bCs/>
          <w:kern w:val="0"/>
          <w:sz w:val="28"/>
          <w:szCs w:val="28"/>
          <w:lang w:val="zh-CN" w:bidi="zh-CN"/>
        </w:rPr>
        <w:t>项目服务内容及要求</w:t>
      </w:r>
      <w:bookmarkEnd w:id="42"/>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（一）调查范围</w:t>
      </w:r>
    </w:p>
    <w:p>
      <w:pPr>
        <w:spacing w:line="360" w:lineRule="auto"/>
        <w:ind w:firstLine="480" w:firstLineChars="200"/>
        <w:rPr>
          <w:rFonts w:ascii="宋体" w:hAnsi="宋体" w:eastAsia="宋体" w:cs="宋体"/>
          <w:kern w:val="0"/>
          <w:sz w:val="22"/>
          <w:lang w:val="zh-CN" w:bidi="zh-CN"/>
        </w:rPr>
      </w:pPr>
      <w:r>
        <w:rPr>
          <w:rFonts w:hint="eastAsia" w:ascii="宋体" w:hAnsi="宋体" w:eastAsia="宋体" w:cs="宋体"/>
          <w:kern w:val="0"/>
          <w:sz w:val="24"/>
          <w:lang w:val="zh-CN" w:bidi="zh-CN"/>
        </w:rPr>
        <w:t>阳新县第一次全国自然灾害综合风险普查房屋建筑及市政设施调查范围是指标准时点</w:t>
      </w:r>
      <w:r>
        <w:rPr>
          <w:rFonts w:ascii="宋体" w:hAnsi="宋体" w:eastAsia="宋体" w:cs="宋体"/>
          <w:kern w:val="0"/>
          <w:sz w:val="24"/>
          <w:lang w:val="zh-CN" w:bidi="zh-CN"/>
        </w:rPr>
        <w:t>2020年12月31日在黄石市阳新县行政区范围（不含黄石新港（物流）工业园区范围）内实际存在的房屋建筑（不包含在建房屋建筑）</w:t>
      </w:r>
      <w:r>
        <w:rPr>
          <w:rFonts w:hint="eastAsia" w:ascii="宋体" w:hAnsi="宋体" w:eastAsia="宋体" w:cs="宋体"/>
          <w:kern w:val="0"/>
          <w:sz w:val="24"/>
          <w:lang w:val="zh-CN" w:bidi="zh-CN"/>
        </w:rPr>
        <w:t>及市政设施</w:t>
      </w:r>
      <w:r>
        <w:rPr>
          <w:rFonts w:ascii="宋体" w:hAnsi="宋体" w:eastAsia="宋体" w:cs="宋体"/>
          <w:kern w:val="0"/>
          <w:sz w:val="24"/>
          <w:lang w:val="zh-CN" w:bidi="zh-CN"/>
        </w:rPr>
        <w:t>。</w:t>
      </w:r>
      <w:r>
        <w:rPr>
          <w:rFonts w:hint="eastAsia" w:ascii="宋体" w:hAnsi="宋体" w:eastAsia="宋体" w:cs="宋体"/>
          <w:b/>
          <w:bCs/>
          <w:kern w:val="0"/>
          <w:sz w:val="24"/>
          <w:highlight w:val="yellow"/>
          <w:lang w:val="zh-CN" w:bidi="zh-CN"/>
        </w:rPr>
        <w:t>经数据清查测算，全县房屋建筑约</w:t>
      </w:r>
      <w:r>
        <w:rPr>
          <w:rFonts w:hint="eastAsia" w:ascii="宋体" w:hAnsi="宋体" w:eastAsia="宋体" w:cs="宋体"/>
          <w:b/>
          <w:bCs/>
          <w:kern w:val="0"/>
          <w:sz w:val="24"/>
          <w:highlight w:val="yellow"/>
          <w:lang w:val="en-US" w:bidi="zh-CN"/>
        </w:rPr>
        <w:t>46.7</w:t>
      </w:r>
      <w:r>
        <w:rPr>
          <w:rFonts w:hint="eastAsia" w:ascii="宋体" w:hAnsi="宋体" w:eastAsia="宋体" w:cs="宋体"/>
          <w:b/>
          <w:bCs/>
          <w:kern w:val="0"/>
          <w:sz w:val="24"/>
          <w:highlight w:val="yellow"/>
          <w:lang w:val="zh-CN" w:bidi="zh-CN"/>
        </w:rPr>
        <w:t>万幢，市政道路（含应急相关道路）约</w:t>
      </w:r>
      <w:r>
        <w:rPr>
          <w:rFonts w:hint="eastAsia" w:ascii="宋体" w:hAnsi="宋体" w:eastAsia="宋体" w:cs="宋体"/>
          <w:b/>
          <w:bCs/>
          <w:kern w:val="0"/>
          <w:sz w:val="24"/>
          <w:highlight w:val="yellow"/>
          <w:lang w:val="en-US" w:bidi="zh-CN"/>
        </w:rPr>
        <w:t>120</w:t>
      </w:r>
      <w:r>
        <w:rPr>
          <w:rFonts w:hint="eastAsia" w:ascii="宋体" w:hAnsi="宋体" w:eastAsia="宋体" w:cs="宋体"/>
          <w:b/>
          <w:bCs/>
          <w:kern w:val="0"/>
          <w:sz w:val="24"/>
          <w:highlight w:val="yellow"/>
          <w:lang w:val="zh-CN" w:bidi="zh-CN"/>
        </w:rPr>
        <w:t>公里，市政桥梁1</w:t>
      </w:r>
      <w:r>
        <w:rPr>
          <w:rFonts w:hint="eastAsia" w:ascii="宋体" w:hAnsi="宋体" w:eastAsia="宋体" w:cs="宋体"/>
          <w:b/>
          <w:bCs/>
          <w:kern w:val="0"/>
          <w:sz w:val="24"/>
          <w:highlight w:val="yellow"/>
          <w:lang w:bidi="zh-CN"/>
        </w:rPr>
        <w:t>8</w:t>
      </w:r>
      <w:r>
        <w:rPr>
          <w:rFonts w:hint="eastAsia" w:ascii="宋体" w:hAnsi="宋体" w:eastAsia="宋体" w:cs="宋体"/>
          <w:b/>
          <w:bCs/>
          <w:kern w:val="0"/>
          <w:sz w:val="24"/>
          <w:highlight w:val="yellow"/>
          <w:lang w:val="zh-CN" w:bidi="zh-CN"/>
        </w:rPr>
        <w:t>座。</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（二）调查内容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（1）房屋建筑调查主要包括城镇房屋调查和农村房屋调查。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城镇房屋依据国务院普查办、湖北省住房和城乡建设厅统一印发的技术导则开展工作，在全县范围内，以全省统一提供的房屋建筑调查底图为基础，实地调查单栋住宅、非住宅房屋建筑的基本情况、建筑结构和抗震设防情况、使用情况等信息，填写《城镇住宅建筑调查信息采集表》和《城镇非住宅建筑调查信息采集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农村房屋依据国务院普查办、湖北省住房和城乡建设厅统一印发的技术导则开展工作，包括农村集体用地范围内的农村住宅房屋和非住宅房屋，在国家统一提供的房屋建筑调查底图基础上，开展农村房屋的建筑面积、建造年代、结构类型、用途、层数、使用状况、抗震设防等信息，填写《农村住宅建筑调查信息采集表》（独立住宅、集体住宅）、《农村非住宅建筑调查信息采集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（2）市政设施调查范围包括市政桥梁、市政道路。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市政桥梁调查范围为市政工程设施行政主管部门管理的市政桥梁。市政道路调查范围为主要城市道路和应急有关的重要疏散道路。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市政设施调查依据</w:t>
      </w:r>
      <w:r>
        <w:rPr>
          <w:rFonts w:ascii="宋体" w:hAnsi="宋体" w:eastAsia="宋体"/>
          <w:sz w:val="24"/>
          <w:szCs w:val="24"/>
        </w:rPr>
        <w:t>国务院普查办、湖北省住房和城乡建设厅统一印发的技术导则开展工作</w:t>
      </w:r>
      <w:r>
        <w:rPr>
          <w:rFonts w:hint="eastAsia" w:ascii="宋体" w:hAnsi="宋体" w:eastAsia="宋体"/>
          <w:sz w:val="24"/>
          <w:szCs w:val="24"/>
        </w:rPr>
        <w:t>，充分利用相关部门掌握的信息及现场调查，获取市政道路、桥梁的地理位置、物理属性以及设防情况等信息。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市政道路调查包括道路等级、设计速度、净空、道路红线宽度、路幅型式及布设方式、机动车道数</w:t>
      </w:r>
      <w:r>
        <w:rPr>
          <w:rFonts w:ascii="宋体" w:hAnsi="宋体" w:eastAsia="宋体"/>
          <w:sz w:val="24"/>
          <w:szCs w:val="24"/>
        </w:rPr>
        <w:t>/单车道宽度、机动车道宽度、辅路机动车道数/单车道宽度、辅路机动车道宽度、路面结构类型、沿线附属构筑物情况等。填写《市政道路普查信息采集表》。</w:t>
      </w:r>
    </w:p>
    <w:p>
      <w:pPr>
        <w:spacing w:line="360" w:lineRule="auto"/>
        <w:ind w:firstLine="480" w:firstLineChars="200"/>
        <w:rPr>
          <w:rFonts w:ascii="宋体" w:hAnsi="宋体" w:eastAsia="宋体" w:cs="宋体"/>
          <w:spacing w:val="-5"/>
          <w:kern w:val="0"/>
          <w:sz w:val="24"/>
          <w:lang w:val="zh-CN" w:bidi="zh-CN"/>
        </w:rPr>
      </w:pPr>
      <w:r>
        <w:rPr>
          <w:rFonts w:hint="eastAsia" w:ascii="宋体" w:hAnsi="宋体" w:eastAsia="宋体"/>
          <w:sz w:val="24"/>
          <w:szCs w:val="24"/>
        </w:rPr>
        <w:t>市政桥梁调查中，对于绝大多数的中小跨径桥梁，充分利用管养维护部门的桥梁资料卡。对于大跨径特殊桥梁，应补充其特有的相关属性调查，如抗风设计技术指标、索体或吊杆规格、锚具类型、主塔材质和主尺、锚碇材质和主尺、支撑体系、阻尼装置规格、抗震键等信息。填写《市政桥梁普查信息采集表》。调查过程中还需要收集工程建设及管理养护说明以及必要的附图。包括说明工程建设管理养护情况的必要说明以及重要结构桥梁、大边坡等定期检查结果说明。</w:t>
      </w:r>
    </w:p>
    <w:p>
      <w:pPr>
        <w:pStyle w:val="31"/>
        <w:ind w:firstLine="482"/>
        <w:rPr>
          <w:rFonts w:eastAsia="宋体" w:cstheme="minorBidi"/>
          <w:b/>
          <w:bCs/>
          <w:color w:val="auto"/>
          <w:szCs w:val="24"/>
        </w:rPr>
      </w:pPr>
      <w:r>
        <w:rPr>
          <w:rFonts w:hint="eastAsia" w:eastAsia="宋体" w:cstheme="minorBidi"/>
          <w:b/>
          <w:bCs/>
          <w:color w:val="auto"/>
          <w:szCs w:val="24"/>
        </w:rPr>
        <w:t>（三）</w:t>
      </w:r>
      <w:r>
        <w:rPr>
          <w:rFonts w:hint="eastAsia" w:eastAsia="宋体" w:cstheme="minorBidi"/>
          <w:b/>
          <w:bCs/>
          <w:color w:val="auto"/>
          <w:szCs w:val="24"/>
          <w:lang w:val="zh-CN"/>
        </w:rPr>
        <w:t>工作</w:t>
      </w:r>
      <w:r>
        <w:rPr>
          <w:rFonts w:hint="eastAsia" w:eastAsia="宋体" w:cstheme="minorBidi"/>
          <w:b/>
          <w:bCs/>
          <w:color w:val="auto"/>
          <w:szCs w:val="24"/>
        </w:rPr>
        <w:t>编制</w:t>
      </w:r>
      <w:r>
        <w:rPr>
          <w:rFonts w:hint="eastAsia" w:eastAsia="宋体" w:cstheme="minorBidi"/>
          <w:b/>
          <w:bCs/>
          <w:color w:val="auto"/>
          <w:szCs w:val="24"/>
          <w:lang w:val="zh-CN"/>
        </w:rPr>
        <w:t>内容</w:t>
      </w:r>
      <w:r>
        <w:rPr>
          <w:rFonts w:hint="eastAsia" w:eastAsia="宋体" w:cstheme="minorBidi"/>
          <w:b/>
          <w:bCs/>
          <w:color w:val="auto"/>
          <w:szCs w:val="24"/>
        </w:rPr>
        <w:t>及要求</w:t>
      </w:r>
    </w:p>
    <w:p>
      <w:pPr>
        <w:autoSpaceDE w:val="0"/>
        <w:autoSpaceDN w:val="0"/>
        <w:spacing w:before="1"/>
        <w:ind w:left="710"/>
        <w:jc w:val="left"/>
        <w:rPr>
          <w:rFonts w:ascii="宋体" w:hAnsi="宋体" w:eastAsia="宋体" w:cs="宋体"/>
          <w:kern w:val="0"/>
          <w:sz w:val="24"/>
          <w:lang w:val="zh-CN" w:bidi="zh-CN"/>
        </w:rPr>
      </w:pPr>
      <w:r>
        <w:rPr>
          <w:rFonts w:hint="eastAsia" w:ascii="宋体" w:hAnsi="宋体" w:eastAsia="宋体" w:cs="宋体"/>
          <w:kern w:val="0"/>
          <w:sz w:val="24"/>
          <w:lang w:bidi="zh-CN"/>
        </w:rPr>
        <w:t>1、</w:t>
      </w:r>
      <w:r>
        <w:rPr>
          <w:rFonts w:ascii="宋体" w:hAnsi="宋体" w:eastAsia="宋体" w:cs="宋体"/>
          <w:kern w:val="0"/>
          <w:sz w:val="24"/>
          <w:lang w:val="zh-CN" w:bidi="zh-CN"/>
        </w:rPr>
        <w:t>工作内容包括：</w:t>
      </w:r>
    </w:p>
    <w:p>
      <w:pPr>
        <w:numPr>
          <w:ilvl w:val="0"/>
          <w:numId w:val="35"/>
        </w:numPr>
        <w:tabs>
          <w:tab w:val="left" w:pos="1312"/>
        </w:tabs>
        <w:autoSpaceDE w:val="0"/>
        <w:autoSpaceDN w:val="0"/>
        <w:spacing w:before="177"/>
        <w:ind w:hanging="602"/>
        <w:rPr>
          <w:rFonts w:ascii="宋体" w:hAnsi="宋体" w:eastAsia="宋体" w:cs="宋体"/>
          <w:spacing w:val="-1"/>
          <w:kern w:val="0"/>
          <w:sz w:val="24"/>
          <w:lang w:val="zh-CN" w:bidi="zh-CN"/>
        </w:rPr>
      </w:pPr>
      <w:r>
        <w:rPr>
          <w:rFonts w:ascii="宋体" w:hAnsi="宋体" w:eastAsia="宋体" w:cs="宋体"/>
          <w:spacing w:val="-1"/>
          <w:kern w:val="0"/>
          <w:sz w:val="24"/>
          <w:lang w:val="zh-CN" w:bidi="zh-CN"/>
        </w:rPr>
        <w:t>编制本地实施方案、工作方案等；</w:t>
      </w:r>
    </w:p>
    <w:p>
      <w:pPr>
        <w:numPr>
          <w:ilvl w:val="0"/>
          <w:numId w:val="35"/>
        </w:numPr>
        <w:tabs>
          <w:tab w:val="left" w:pos="1312"/>
        </w:tabs>
        <w:autoSpaceDE w:val="0"/>
        <w:autoSpaceDN w:val="0"/>
        <w:spacing w:before="177" w:line="379" w:lineRule="auto"/>
        <w:ind w:left="151" w:right="-54" w:firstLine="480"/>
        <w:rPr>
          <w:rFonts w:ascii="宋体" w:hAnsi="宋体" w:eastAsia="宋体" w:cs="宋体"/>
          <w:kern w:val="0"/>
          <w:sz w:val="24"/>
          <w:lang w:val="zh-CN" w:bidi="zh-CN"/>
        </w:rPr>
      </w:pPr>
      <w:r>
        <w:rPr>
          <w:rFonts w:ascii="宋体" w:hAnsi="宋体" w:eastAsia="宋体" w:cs="宋体"/>
          <w:kern w:val="0"/>
          <w:sz w:val="24"/>
          <w:lang w:val="zh-CN" w:bidi="zh-CN"/>
        </w:rPr>
        <w:t>对相关普查人员进行业务培训和软件操作培训，以保障普查工作的顺利开展；</w:t>
      </w:r>
    </w:p>
    <w:p>
      <w:pPr>
        <w:numPr>
          <w:ilvl w:val="0"/>
          <w:numId w:val="35"/>
        </w:numPr>
        <w:tabs>
          <w:tab w:val="left" w:pos="1314"/>
        </w:tabs>
        <w:autoSpaceDE w:val="0"/>
        <w:autoSpaceDN w:val="0"/>
        <w:spacing w:before="177" w:line="379" w:lineRule="auto"/>
        <w:ind w:left="151" w:right="309" w:firstLine="480"/>
        <w:rPr>
          <w:rFonts w:ascii="宋体" w:hAnsi="宋体" w:eastAsia="宋体" w:cs="宋体"/>
          <w:kern w:val="0"/>
          <w:sz w:val="24"/>
          <w:lang w:val="zh-CN" w:bidi="zh-CN"/>
        </w:rPr>
      </w:pPr>
      <w:r>
        <w:rPr>
          <w:rFonts w:ascii="宋体" w:hAnsi="宋体" w:eastAsia="宋体" w:cs="宋体"/>
          <w:kern w:val="0"/>
          <w:sz w:val="24"/>
          <w:lang w:val="zh-CN" w:bidi="zh-CN"/>
        </w:rPr>
        <w:t>现场调研</w:t>
      </w:r>
      <w:r>
        <w:rPr>
          <w:rFonts w:hint="eastAsia" w:ascii="宋体" w:hAnsi="宋体" w:eastAsia="宋体" w:cs="宋体"/>
          <w:spacing w:val="-1"/>
          <w:kern w:val="0"/>
          <w:sz w:val="24"/>
          <w:lang w:val="zh-CN" w:bidi="zh-CN"/>
        </w:rPr>
        <w:t>阳新县</w:t>
      </w:r>
      <w:r>
        <w:rPr>
          <w:rFonts w:ascii="宋体" w:hAnsi="宋体" w:eastAsia="宋体" w:cs="宋体"/>
          <w:spacing w:val="-1"/>
          <w:kern w:val="0"/>
          <w:sz w:val="24"/>
          <w:lang w:val="zh-CN" w:bidi="zh-CN"/>
        </w:rPr>
        <w:t>住房和城乡建设、自然资源、交通</w:t>
      </w:r>
      <w:r>
        <w:rPr>
          <w:rFonts w:hint="eastAsia" w:ascii="宋体" w:hAnsi="宋体" w:eastAsia="宋体" w:cs="宋体"/>
          <w:spacing w:val="-1"/>
          <w:kern w:val="0"/>
          <w:sz w:val="24"/>
          <w:lang w:val="zh-CN" w:bidi="zh-CN"/>
        </w:rPr>
        <w:t>运输</w:t>
      </w:r>
      <w:r>
        <w:rPr>
          <w:rFonts w:ascii="宋体" w:hAnsi="宋体" w:eastAsia="宋体" w:cs="宋体"/>
          <w:spacing w:val="-1"/>
          <w:kern w:val="0"/>
          <w:sz w:val="24"/>
          <w:lang w:val="zh-CN" w:bidi="zh-CN"/>
        </w:rPr>
        <w:t>等主要成员单位，深入了解各</w:t>
      </w:r>
      <w:r>
        <w:rPr>
          <w:rFonts w:ascii="宋体" w:hAnsi="宋体" w:eastAsia="宋体" w:cs="宋体"/>
          <w:kern w:val="0"/>
          <w:sz w:val="24"/>
          <w:lang w:val="zh-CN" w:bidi="zh-CN"/>
        </w:rPr>
        <w:t>部门业务情况，摸清现有基础数据情况、数据属性，收集与房屋普查相关的基础资料；</w:t>
      </w:r>
    </w:p>
    <w:p>
      <w:pPr>
        <w:numPr>
          <w:ilvl w:val="0"/>
          <w:numId w:val="35"/>
        </w:numPr>
        <w:tabs>
          <w:tab w:val="left" w:pos="1312"/>
        </w:tabs>
        <w:autoSpaceDE w:val="0"/>
        <w:autoSpaceDN w:val="0"/>
        <w:ind w:hanging="602"/>
        <w:rPr>
          <w:rFonts w:ascii="宋体" w:hAnsi="宋体" w:eastAsia="宋体" w:cs="宋体"/>
          <w:kern w:val="0"/>
          <w:sz w:val="24"/>
          <w:lang w:val="zh-CN" w:bidi="zh-CN"/>
        </w:rPr>
      </w:pPr>
      <w:r>
        <w:rPr>
          <w:rFonts w:ascii="宋体" w:hAnsi="宋体" w:eastAsia="宋体" w:cs="宋体"/>
          <w:kern w:val="0"/>
          <w:sz w:val="24"/>
          <w:lang w:val="zh-CN" w:bidi="zh-CN"/>
        </w:rPr>
        <w:t>对收集的基础资料的可利用性进行分析、整理和提取；</w:t>
      </w:r>
    </w:p>
    <w:p>
      <w:pPr>
        <w:numPr>
          <w:ilvl w:val="0"/>
          <w:numId w:val="35"/>
        </w:numPr>
        <w:tabs>
          <w:tab w:val="left" w:pos="1314"/>
        </w:tabs>
        <w:autoSpaceDE w:val="0"/>
        <w:autoSpaceDN w:val="0"/>
        <w:spacing w:before="177" w:line="379" w:lineRule="auto"/>
        <w:ind w:left="151" w:right="309" w:firstLine="480"/>
        <w:rPr>
          <w:rFonts w:ascii="宋体" w:hAnsi="宋体" w:eastAsia="宋体" w:cs="宋体"/>
          <w:kern w:val="0"/>
          <w:sz w:val="24"/>
          <w:lang w:val="zh-CN" w:bidi="zh-CN"/>
        </w:rPr>
      </w:pPr>
      <w:r>
        <w:rPr>
          <w:rFonts w:ascii="宋体" w:hAnsi="宋体" w:eastAsia="宋体" w:cs="宋体"/>
          <w:kern w:val="0"/>
          <w:sz w:val="24"/>
          <w:lang w:val="zh-CN" w:bidi="zh-CN"/>
        </w:rPr>
        <w:t>采用湖北省房屋建筑和</w:t>
      </w:r>
      <w:r>
        <w:rPr>
          <w:rFonts w:hint="eastAsia" w:ascii="宋体" w:hAnsi="宋体" w:eastAsia="宋体" w:cs="宋体"/>
          <w:kern w:val="0"/>
          <w:sz w:val="24"/>
          <w:lang w:val="zh-CN" w:bidi="zh-CN"/>
        </w:rPr>
        <w:t>市政设施</w:t>
      </w:r>
      <w:r>
        <w:rPr>
          <w:rFonts w:ascii="宋体" w:hAnsi="宋体" w:eastAsia="宋体" w:cs="宋体"/>
          <w:kern w:val="0"/>
          <w:sz w:val="24"/>
          <w:lang w:val="zh-CN" w:bidi="zh-CN"/>
        </w:rPr>
        <w:t>普查系统移动终端，对</w:t>
      </w:r>
      <w:r>
        <w:rPr>
          <w:rFonts w:hint="eastAsia" w:ascii="宋体" w:hAnsi="宋体" w:eastAsia="宋体" w:cs="宋体"/>
          <w:kern w:val="0"/>
          <w:sz w:val="24"/>
          <w:lang w:val="zh-CN" w:bidi="zh-CN"/>
        </w:rPr>
        <w:t>阳新县</w:t>
      </w:r>
      <w:r>
        <w:rPr>
          <w:rFonts w:ascii="宋体" w:hAnsi="宋体" w:eastAsia="宋体" w:cs="宋体"/>
          <w:kern w:val="0"/>
          <w:sz w:val="24"/>
          <w:lang w:val="zh-CN" w:bidi="zh-CN"/>
        </w:rPr>
        <w:t>房屋进行逐栋普查，</w:t>
      </w:r>
      <w:r>
        <w:rPr>
          <w:rFonts w:ascii="宋体" w:hAnsi="宋体" w:eastAsia="宋体" w:cs="宋体"/>
          <w:spacing w:val="-6"/>
          <w:kern w:val="0"/>
          <w:sz w:val="24"/>
          <w:lang w:val="zh-CN" w:bidi="zh-CN"/>
        </w:rPr>
        <w:t>并采集房屋相关属性信息和照片；对</w:t>
      </w:r>
      <w:r>
        <w:rPr>
          <w:rFonts w:hint="eastAsia" w:ascii="宋体" w:hAnsi="宋体" w:eastAsia="宋体" w:cs="宋体"/>
          <w:spacing w:val="-6"/>
          <w:kern w:val="0"/>
          <w:sz w:val="24"/>
          <w:lang w:val="zh-CN" w:bidi="zh-CN"/>
        </w:rPr>
        <w:t>阳新县市政道路、市政桥梁</w:t>
      </w:r>
      <w:r>
        <w:rPr>
          <w:rFonts w:ascii="宋体" w:hAnsi="宋体" w:eastAsia="宋体" w:cs="宋体"/>
          <w:spacing w:val="-6"/>
          <w:kern w:val="0"/>
          <w:sz w:val="24"/>
          <w:lang w:val="zh-CN" w:bidi="zh-CN"/>
        </w:rPr>
        <w:t>进行逐条普查，并采集相关属性信息</w:t>
      </w:r>
      <w:r>
        <w:rPr>
          <w:rFonts w:ascii="宋体" w:hAnsi="宋体" w:eastAsia="宋体" w:cs="宋体"/>
          <w:kern w:val="0"/>
          <w:sz w:val="24"/>
          <w:lang w:val="zh-CN" w:bidi="zh-CN"/>
        </w:rPr>
        <w:t>和照片；</w:t>
      </w:r>
    </w:p>
    <w:p>
      <w:pPr>
        <w:numPr>
          <w:ilvl w:val="0"/>
          <w:numId w:val="35"/>
        </w:numPr>
        <w:tabs>
          <w:tab w:val="left" w:pos="1312"/>
        </w:tabs>
        <w:autoSpaceDE w:val="0"/>
        <w:autoSpaceDN w:val="0"/>
        <w:spacing w:before="2"/>
        <w:ind w:hanging="602"/>
        <w:rPr>
          <w:rFonts w:ascii="宋体" w:hAnsi="宋体" w:eastAsia="宋体" w:cs="宋体"/>
          <w:kern w:val="0"/>
          <w:sz w:val="24"/>
          <w:lang w:val="zh-CN" w:bidi="zh-CN"/>
        </w:rPr>
      </w:pPr>
      <w:r>
        <w:rPr>
          <w:rFonts w:ascii="宋体" w:hAnsi="宋体" w:eastAsia="宋体" w:cs="宋体"/>
          <w:kern w:val="0"/>
          <w:sz w:val="24"/>
          <w:lang w:val="zh-CN" w:bidi="zh-CN"/>
        </w:rPr>
        <w:t>普查成果进行内外业质量检查；</w:t>
      </w:r>
    </w:p>
    <w:p>
      <w:pPr>
        <w:numPr>
          <w:ilvl w:val="0"/>
          <w:numId w:val="35"/>
        </w:numPr>
        <w:tabs>
          <w:tab w:val="left" w:pos="1312"/>
        </w:tabs>
        <w:autoSpaceDE w:val="0"/>
        <w:autoSpaceDN w:val="0"/>
        <w:spacing w:before="177"/>
        <w:ind w:hanging="602"/>
        <w:rPr>
          <w:rFonts w:ascii="宋体" w:hAnsi="宋体" w:eastAsia="宋体" w:cs="宋体"/>
          <w:kern w:val="0"/>
          <w:sz w:val="24"/>
          <w:lang w:val="zh-CN" w:bidi="zh-CN"/>
        </w:rPr>
      </w:pPr>
      <w:r>
        <w:rPr>
          <w:rFonts w:ascii="宋体" w:hAnsi="宋体" w:eastAsia="宋体" w:cs="宋体"/>
          <w:kern w:val="0"/>
          <w:sz w:val="24"/>
          <w:lang w:val="zh-CN" w:bidi="zh-CN"/>
        </w:rPr>
        <w:t>成果汇交，审核上报；</w:t>
      </w:r>
    </w:p>
    <w:p>
      <w:pPr>
        <w:numPr>
          <w:ilvl w:val="0"/>
          <w:numId w:val="35"/>
        </w:numPr>
        <w:tabs>
          <w:tab w:val="left" w:pos="1312"/>
        </w:tabs>
        <w:autoSpaceDE w:val="0"/>
        <w:autoSpaceDN w:val="0"/>
        <w:spacing w:before="177"/>
        <w:ind w:hanging="602"/>
        <w:rPr>
          <w:rFonts w:ascii="宋体" w:hAnsi="宋体" w:eastAsia="宋体" w:cs="宋体"/>
          <w:kern w:val="0"/>
          <w:sz w:val="24"/>
          <w:lang w:val="zh-CN" w:bidi="zh-CN"/>
        </w:rPr>
      </w:pPr>
      <w:r>
        <w:rPr>
          <w:rFonts w:hint="eastAsia" w:ascii="宋体" w:hAnsi="宋体" w:eastAsia="宋体" w:cs="宋体"/>
          <w:kern w:val="0"/>
          <w:sz w:val="24"/>
          <w:lang w:val="zh-CN" w:bidi="zh-CN"/>
        </w:rPr>
        <w:t>质检报告</w:t>
      </w:r>
      <w:r>
        <w:rPr>
          <w:rFonts w:ascii="宋体" w:hAnsi="宋体" w:eastAsia="宋体" w:cs="宋体"/>
          <w:kern w:val="0"/>
          <w:sz w:val="24"/>
          <w:lang w:val="zh-CN" w:bidi="zh-CN"/>
        </w:rPr>
        <w:t>编写。</w:t>
      </w:r>
    </w:p>
    <w:p>
      <w:pPr>
        <w:numPr>
          <w:ilvl w:val="0"/>
          <w:numId w:val="35"/>
        </w:numPr>
        <w:tabs>
          <w:tab w:val="left" w:pos="1312"/>
        </w:tabs>
        <w:autoSpaceDE w:val="0"/>
        <w:autoSpaceDN w:val="0"/>
        <w:spacing w:before="177"/>
        <w:ind w:hanging="602"/>
        <w:rPr>
          <w:rFonts w:ascii="宋体" w:hAnsi="宋体" w:eastAsia="宋体" w:cs="宋体"/>
          <w:kern w:val="0"/>
          <w:sz w:val="24"/>
          <w:lang w:val="zh-CN" w:bidi="zh-CN"/>
        </w:rPr>
      </w:pPr>
      <w:r>
        <w:rPr>
          <w:rFonts w:hint="eastAsia" w:ascii="宋体" w:hAnsi="宋体" w:eastAsia="宋体" w:cs="宋体"/>
          <w:kern w:val="0"/>
          <w:sz w:val="24"/>
          <w:lang w:val="zh-CN" w:bidi="zh-CN"/>
        </w:rPr>
        <w:t>工作报告及成果分析报告</w:t>
      </w:r>
      <w:r>
        <w:rPr>
          <w:rFonts w:ascii="宋体" w:hAnsi="宋体" w:eastAsia="宋体" w:cs="宋体"/>
          <w:kern w:val="0"/>
          <w:sz w:val="24"/>
          <w:lang w:val="zh-CN" w:bidi="zh-CN"/>
        </w:rPr>
        <w:t>编写。</w:t>
      </w:r>
    </w:p>
    <w:p>
      <w:pPr>
        <w:autoSpaceDE w:val="0"/>
        <w:autoSpaceDN w:val="0"/>
        <w:adjustRightInd w:val="0"/>
        <w:spacing w:before="177" w:line="379" w:lineRule="auto"/>
        <w:ind w:left="709" w:right="-54"/>
        <w:rPr>
          <w:rFonts w:ascii="宋体" w:hAnsi="宋体" w:eastAsia="宋体" w:cs="宋体"/>
          <w:kern w:val="0"/>
          <w:sz w:val="24"/>
          <w:lang w:val="zh-CN" w:bidi="zh-CN"/>
        </w:rPr>
      </w:pPr>
      <w:r>
        <w:rPr>
          <w:rFonts w:ascii="宋体" w:hAnsi="宋体" w:eastAsia="宋体" w:cs="宋体"/>
          <w:kern w:val="0"/>
          <w:sz w:val="24"/>
          <w:lang w:val="zh-CN" w:bidi="zh-CN"/>
        </w:rPr>
        <w:t>2、成果提交</w:t>
      </w:r>
    </w:p>
    <w:p>
      <w:pPr>
        <w:spacing w:line="360" w:lineRule="auto"/>
        <w:ind w:firstLine="480" w:firstLineChars="200"/>
        <w:rPr>
          <w:rFonts w:ascii="宋体" w:hAnsi="宋体" w:eastAsia="宋体" w:cs="宋体"/>
          <w:kern w:val="0"/>
          <w:sz w:val="24"/>
          <w:lang w:val="zh-CN" w:bidi="zh-CN"/>
        </w:rPr>
      </w:pPr>
      <w:bookmarkStart w:id="43" w:name="_Toc6025"/>
      <w:r>
        <w:rPr>
          <w:rFonts w:hint="eastAsia" w:ascii="宋体" w:hAnsi="宋体" w:eastAsia="宋体" w:cs="宋体"/>
          <w:kern w:val="0"/>
          <w:sz w:val="24"/>
          <w:lang w:val="zh-CN" w:bidi="zh-CN"/>
        </w:rPr>
        <w:t>（1）数据成果</w:t>
      </w:r>
    </w:p>
    <w:p>
      <w:pPr>
        <w:spacing w:line="360" w:lineRule="auto"/>
        <w:ind w:firstLine="480" w:firstLineChars="200"/>
        <w:rPr>
          <w:rFonts w:ascii="宋体" w:hAnsi="宋体" w:eastAsia="宋体" w:cs="宋体"/>
          <w:kern w:val="0"/>
          <w:sz w:val="24"/>
          <w:lang w:val="zh-CN" w:bidi="zh-CN"/>
        </w:rPr>
      </w:pPr>
      <w:r>
        <w:rPr>
          <w:rFonts w:hint="eastAsia" w:ascii="宋体" w:hAnsi="宋体" w:eastAsia="宋体" w:cs="宋体"/>
          <w:kern w:val="0"/>
          <w:sz w:val="24"/>
          <w:lang w:val="zh-CN" w:bidi="zh-CN"/>
        </w:rPr>
        <w:t>①房屋建筑调查数据集：包括城镇住宅建筑、城镇非住宅建筑、农村住宅建筑、农村非住宅建筑4类数据集。</w:t>
      </w:r>
    </w:p>
    <w:p>
      <w:pPr>
        <w:spacing w:line="360" w:lineRule="auto"/>
        <w:ind w:firstLine="480" w:firstLineChars="200"/>
        <w:rPr>
          <w:rFonts w:ascii="宋体" w:hAnsi="宋体" w:eastAsia="宋体" w:cs="宋体"/>
          <w:kern w:val="0"/>
          <w:sz w:val="24"/>
          <w:lang w:val="zh-CN" w:bidi="zh-CN"/>
        </w:rPr>
      </w:pPr>
      <w:r>
        <w:rPr>
          <w:rFonts w:hint="eastAsia" w:ascii="宋体" w:hAnsi="宋体" w:eastAsia="宋体" w:cs="宋体"/>
          <w:kern w:val="0"/>
          <w:sz w:val="24"/>
          <w:lang w:val="zh-CN" w:bidi="zh-CN"/>
        </w:rPr>
        <w:t>②市政设施调查数据集：包括2种市政设施（市政道路、市政桥梁）属性及分布、2种市政设施的隐患分级2类数据集。</w:t>
      </w:r>
    </w:p>
    <w:p>
      <w:pPr>
        <w:spacing w:line="360" w:lineRule="auto"/>
        <w:ind w:firstLine="480" w:firstLineChars="200"/>
        <w:rPr>
          <w:rFonts w:ascii="宋体" w:hAnsi="宋体" w:eastAsia="宋体" w:cs="宋体"/>
          <w:kern w:val="0"/>
          <w:sz w:val="24"/>
          <w:lang w:val="zh-CN" w:bidi="zh-CN"/>
        </w:rPr>
      </w:pPr>
      <w:r>
        <w:rPr>
          <w:rFonts w:hint="eastAsia" w:ascii="宋体" w:hAnsi="宋体" w:eastAsia="宋体" w:cs="宋体"/>
          <w:kern w:val="0"/>
          <w:sz w:val="24"/>
          <w:lang w:val="zh-CN" w:bidi="zh-CN"/>
        </w:rPr>
        <w:t>（2）文字报告成果</w:t>
      </w:r>
    </w:p>
    <w:p>
      <w:pPr>
        <w:spacing w:line="360" w:lineRule="auto"/>
        <w:ind w:firstLine="480" w:firstLineChars="200"/>
        <w:rPr>
          <w:rFonts w:ascii="宋体" w:hAnsi="宋体" w:eastAsia="宋体" w:cs="宋体"/>
          <w:kern w:val="0"/>
          <w:sz w:val="24"/>
          <w:lang w:bidi="zh-CN"/>
        </w:rPr>
      </w:pPr>
      <w:r>
        <w:rPr>
          <w:rFonts w:hint="eastAsia" w:ascii="宋体" w:hAnsi="宋体" w:eastAsia="宋体" w:cs="宋体"/>
          <w:kern w:val="0"/>
          <w:sz w:val="24"/>
          <w:lang w:val="zh-CN" w:bidi="zh-CN"/>
        </w:rPr>
        <w:t>①房屋建筑调查工作报告和成果分析报告。</w:t>
      </w:r>
      <w:r>
        <w:rPr>
          <w:rFonts w:hint="eastAsia" w:ascii="宋体" w:hAnsi="宋体" w:eastAsia="宋体" w:cs="宋体"/>
          <w:kern w:val="0"/>
          <w:sz w:val="24"/>
          <w:lang w:bidi="zh-CN"/>
        </w:rPr>
        <w:t xml:space="preserve"> </w:t>
      </w:r>
    </w:p>
    <w:p>
      <w:pPr>
        <w:spacing w:line="360" w:lineRule="auto"/>
        <w:ind w:firstLine="480" w:firstLineChars="200"/>
        <w:rPr>
          <w:rFonts w:ascii="宋体" w:hAnsi="宋体" w:eastAsia="宋体" w:cs="宋体"/>
          <w:kern w:val="0"/>
          <w:sz w:val="24"/>
          <w:lang w:val="zh-CN" w:bidi="zh-CN"/>
        </w:rPr>
      </w:pPr>
      <w:r>
        <w:rPr>
          <w:rFonts w:hint="eastAsia" w:ascii="宋体" w:hAnsi="宋体" w:eastAsia="宋体" w:cs="宋体"/>
          <w:kern w:val="0"/>
          <w:sz w:val="24"/>
          <w:lang w:val="zh-CN" w:bidi="zh-CN"/>
        </w:rPr>
        <w:t>②市政设施普查工作报告和成果分析报告。</w:t>
      </w:r>
    </w:p>
    <w:p>
      <w:pPr>
        <w:spacing w:line="360" w:lineRule="auto"/>
        <w:ind w:firstLine="480" w:firstLineChars="200"/>
        <w:rPr>
          <w:rFonts w:ascii="宋体" w:hAnsi="宋体" w:eastAsia="宋体" w:cs="宋体"/>
          <w:kern w:val="0"/>
          <w:sz w:val="24"/>
          <w:lang w:val="zh-CN" w:bidi="zh-CN"/>
        </w:rPr>
      </w:pPr>
      <w:r>
        <w:rPr>
          <w:rFonts w:ascii="宋体" w:hAnsi="宋体" w:eastAsia="宋体" w:cs="宋体"/>
          <w:kern w:val="0"/>
          <w:sz w:val="24"/>
          <w:lang w:val="zh-CN" w:bidi="zh-CN"/>
        </w:rPr>
        <w:fldChar w:fldCharType="begin"/>
      </w:r>
      <w:r>
        <w:rPr>
          <w:rFonts w:ascii="宋体" w:hAnsi="宋体" w:eastAsia="宋体" w:cs="宋体"/>
          <w:kern w:val="0"/>
          <w:sz w:val="24"/>
          <w:lang w:val="zh-CN" w:bidi="zh-CN"/>
        </w:rPr>
        <w:instrText xml:space="preserve"> </w:instrText>
      </w:r>
      <w:r>
        <w:rPr>
          <w:rFonts w:hint="eastAsia" w:ascii="宋体" w:hAnsi="宋体" w:eastAsia="宋体" w:cs="宋体"/>
          <w:kern w:val="0"/>
          <w:sz w:val="24"/>
          <w:lang w:val="zh-CN" w:bidi="zh-CN"/>
        </w:rPr>
        <w:instrText xml:space="preserve">= 3 \* GB3</w:instrText>
      </w:r>
      <w:r>
        <w:rPr>
          <w:rFonts w:ascii="宋体" w:hAnsi="宋体" w:eastAsia="宋体" w:cs="宋体"/>
          <w:kern w:val="0"/>
          <w:sz w:val="24"/>
          <w:lang w:val="zh-CN" w:bidi="zh-CN"/>
        </w:rPr>
        <w:instrText xml:space="preserve"> </w:instrText>
      </w:r>
      <w:r>
        <w:rPr>
          <w:rFonts w:ascii="宋体" w:hAnsi="宋体" w:eastAsia="宋体" w:cs="宋体"/>
          <w:kern w:val="0"/>
          <w:sz w:val="24"/>
          <w:lang w:val="zh-CN" w:bidi="zh-CN"/>
        </w:rPr>
        <w:fldChar w:fldCharType="separate"/>
      </w:r>
      <w:r>
        <w:rPr>
          <w:rFonts w:hint="eastAsia" w:ascii="宋体" w:hAnsi="宋体" w:eastAsia="宋体" w:cs="宋体"/>
          <w:kern w:val="0"/>
          <w:sz w:val="24"/>
          <w:lang w:val="zh-CN" w:bidi="zh-CN"/>
        </w:rPr>
        <w:t>③</w:t>
      </w:r>
      <w:r>
        <w:rPr>
          <w:rFonts w:ascii="宋体" w:hAnsi="宋体" w:eastAsia="宋体" w:cs="宋体"/>
          <w:kern w:val="0"/>
          <w:sz w:val="24"/>
          <w:lang w:val="zh-CN" w:bidi="zh-CN"/>
        </w:rPr>
        <w:fldChar w:fldCharType="end"/>
      </w:r>
      <w:r>
        <w:rPr>
          <w:rFonts w:hint="eastAsia" w:ascii="宋体" w:hAnsi="宋体" w:eastAsia="宋体" w:cs="宋体"/>
          <w:kern w:val="0"/>
          <w:sz w:val="24"/>
          <w:lang w:val="zh-CN" w:bidi="zh-CN"/>
        </w:rPr>
        <w:t>房屋建筑和市政设施调查质检报告。</w:t>
      </w:r>
    </w:p>
    <w:p>
      <w:pPr>
        <w:spacing w:line="360" w:lineRule="auto"/>
        <w:ind w:firstLine="480" w:firstLineChars="200"/>
        <w:rPr>
          <w:rFonts w:ascii="宋体" w:hAnsi="宋体" w:eastAsia="宋体" w:cs="宋体"/>
          <w:kern w:val="0"/>
          <w:sz w:val="24"/>
          <w:lang w:val="zh-CN" w:bidi="zh-CN"/>
        </w:rPr>
      </w:pPr>
      <w:r>
        <w:rPr>
          <w:rFonts w:hint="eastAsia" w:ascii="宋体" w:hAnsi="宋体" w:eastAsia="宋体" w:cs="宋体"/>
          <w:kern w:val="0"/>
          <w:sz w:val="24"/>
          <w:lang w:val="zh-CN" w:bidi="zh-CN"/>
        </w:rPr>
        <w:t>（</w:t>
      </w:r>
      <w:r>
        <w:rPr>
          <w:rFonts w:hint="eastAsia" w:ascii="宋体" w:hAnsi="宋体" w:eastAsia="宋体" w:cs="宋体"/>
          <w:kern w:val="0"/>
          <w:sz w:val="24"/>
          <w:lang w:bidi="zh-CN"/>
        </w:rPr>
        <w:t>3</w:t>
      </w:r>
      <w:r>
        <w:rPr>
          <w:rFonts w:hint="eastAsia" w:ascii="宋体" w:hAnsi="宋体" w:eastAsia="宋体" w:cs="宋体"/>
          <w:kern w:val="0"/>
          <w:sz w:val="24"/>
          <w:lang w:val="zh-CN" w:bidi="zh-CN"/>
        </w:rPr>
        <w:t>）</w:t>
      </w:r>
      <w:r>
        <w:rPr>
          <w:rFonts w:ascii="宋体" w:hAnsi="宋体" w:eastAsia="宋体" w:cs="宋体"/>
          <w:kern w:val="0"/>
          <w:sz w:val="24"/>
          <w:lang w:val="zh-CN" w:bidi="zh-CN"/>
        </w:rPr>
        <w:t>成果质量要求：</w:t>
      </w:r>
      <w:bookmarkEnd w:id="43"/>
    </w:p>
    <w:p>
      <w:pPr>
        <w:spacing w:line="360" w:lineRule="auto"/>
        <w:ind w:firstLine="480" w:firstLineChars="200"/>
        <w:rPr>
          <w:rFonts w:ascii="宋体" w:hAnsi="宋体" w:eastAsia="宋体" w:cs="宋体"/>
          <w:kern w:val="0"/>
          <w:sz w:val="24"/>
          <w:lang w:val="zh-CN" w:bidi="zh-CN"/>
        </w:rPr>
      </w:pPr>
      <w:r>
        <w:rPr>
          <w:rFonts w:ascii="宋体" w:hAnsi="宋体" w:eastAsia="宋体" w:cs="宋体"/>
          <w:kern w:val="0"/>
          <w:sz w:val="24"/>
          <w:lang w:val="zh-CN" w:bidi="zh-CN"/>
        </w:rPr>
        <w:t>符合我国国家有关技术规范要求和技术标准，确保本次普查工作符合国家、省、市、区相关要求，并保证本次普查成果通过</w:t>
      </w:r>
      <w:r>
        <w:rPr>
          <w:rFonts w:hint="eastAsia" w:ascii="宋体" w:hAnsi="宋体" w:eastAsia="宋体" w:cs="宋体"/>
          <w:kern w:val="0"/>
          <w:sz w:val="24"/>
          <w:lang w:val="zh-CN" w:bidi="zh-CN"/>
        </w:rPr>
        <w:t>阳新县</w:t>
      </w:r>
      <w:r>
        <w:rPr>
          <w:rFonts w:ascii="宋体" w:hAnsi="宋体" w:eastAsia="宋体" w:cs="宋体"/>
          <w:kern w:val="0"/>
          <w:sz w:val="24"/>
          <w:lang w:val="zh-CN" w:bidi="zh-CN"/>
        </w:rPr>
        <w:t>、湖北省和国家</w:t>
      </w:r>
      <w:r>
        <w:rPr>
          <w:rFonts w:hint="eastAsia" w:ascii="宋体" w:hAnsi="宋体" w:eastAsia="宋体" w:cs="宋体"/>
          <w:kern w:val="0"/>
          <w:sz w:val="24"/>
          <w:lang w:val="zh-CN" w:bidi="zh-CN"/>
        </w:rPr>
        <w:t>相关机构的质检和抽检。</w:t>
      </w:r>
    </w:p>
    <w:p>
      <w:pPr>
        <w:spacing w:line="360" w:lineRule="auto"/>
        <w:ind w:firstLine="480" w:firstLineChars="200"/>
        <w:rPr>
          <w:rFonts w:ascii="宋体" w:hAnsi="宋体" w:eastAsia="宋体"/>
          <w:sz w:val="24"/>
          <w:szCs w:val="24"/>
          <w:lang w:val="zh-CN"/>
        </w:rPr>
      </w:pPr>
      <w:r>
        <w:rPr>
          <w:rFonts w:hint="eastAsia" w:ascii="宋体" w:hAnsi="宋体" w:eastAsia="宋体"/>
          <w:sz w:val="24"/>
          <w:szCs w:val="24"/>
          <w:lang w:val="zh-CN"/>
        </w:rPr>
        <w:t>4、相关技术标准要求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（1）国家普查办文件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1）《第一次全国自然灾害综合风险普查总体方案》（国灾险普办发〔2020〕2号文件）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2）《国务院第一次全国自然灾害综合风险普查领导小组办公室关于进一步做好普查地方试点工作的通知》（国灾险普办发〔2020〕4号文件）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3）《第一次全国自然灾害综合风险普查成果汇集与审核办法（试行）》（国灾险普办发〔2020〕14号文件）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4）《国务院第一次全国自然灾害综合风险普查领导小组办公室关于印发调查类技术规范(试点版)的通知》（国灾险普办发〔2020〕17号文件及相关附件）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5）《国务院普查办成员单位或部门单独编制的行业实施方案》（国灾险普办发〔2021〕1号文件）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6）《第一次全国自然灾害综合风险普查2020年工作总结和2021年工作要点》（普办发〔2021〕2号要求）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7）《国务院第一次全国自然灾害综合风险普查领导小组办公室关于印发综合风险评估与区划体系说明的通知》（国灾险普办发〔2021〕5号）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8）《第一次全国自然灾害综合风险普查实施方案（修订版）》（国灾险普办发〔2021〕6号）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9）《第一次全国自然灾害综合风险普查行业和综合评估与区划数据需求清单（细化稿）》（国灾险普办发〔2021〕7号）</w:t>
      </w:r>
    </w:p>
    <w:p>
      <w:pPr>
        <w:spacing w:line="360" w:lineRule="auto"/>
        <w:ind w:firstLine="480" w:firstLineChars="200"/>
        <w:rPr>
          <w:rFonts w:ascii="宋体" w:hAnsi="宋体" w:eastAsia="宋体"/>
          <w:sz w:val="24"/>
          <w:szCs w:val="24"/>
        </w:rPr>
      </w:pPr>
      <w:bookmarkStart w:id="44" w:name="_Toc82959791"/>
      <w:r>
        <w:rPr>
          <w:rFonts w:hint="eastAsia" w:ascii="宋体" w:hAnsi="宋体" w:eastAsia="宋体"/>
          <w:sz w:val="24"/>
          <w:szCs w:val="24"/>
        </w:rPr>
        <w:t>（2）技术规范文件</w:t>
      </w:r>
      <w:bookmarkEnd w:id="44"/>
    </w:p>
    <w:p>
      <w:pPr>
        <w:spacing w:line="360" w:lineRule="auto"/>
        <w:ind w:firstLine="480" w:firstLineChars="200"/>
        <w:rPr>
          <w:rFonts w:ascii="宋体" w:hAnsi="宋体" w:eastAsia="宋体"/>
          <w:sz w:val="24"/>
          <w:szCs w:val="24"/>
        </w:rPr>
      </w:pPr>
      <w:r>
        <w:rPr>
          <w:rFonts w:hint="eastAsia" w:ascii="宋体" w:hAnsi="宋体" w:eastAsia="宋体"/>
          <w:sz w:val="24"/>
          <w:szCs w:val="24"/>
        </w:rPr>
        <w:t>1）《市政设施承灾体普查技术导则》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2）《城镇房屋建筑调查技术导则》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3）《农村房屋建筑调查技术导则》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4）《自然灾害房屋综合风险评估技术规范》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5）《普查工作底图技术规范》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6）《第一次全国自然灾害综合风险普查数据与成果汇交和质量审核办法（试行）》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7）《第一次全国自然灾害综合风险普查数据共享管理办法（试行）》。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说明：以上关于普查技术性文件以最新版本为准。</w:t>
      </w:r>
    </w:p>
    <w:p>
      <w:pPr>
        <w:autoSpaceDE w:val="0"/>
        <w:autoSpaceDN w:val="0"/>
        <w:spacing w:before="1" w:line="379" w:lineRule="auto"/>
        <w:ind w:left="710" w:right="2153"/>
        <w:jc w:val="left"/>
        <w:rPr>
          <w:rFonts w:ascii="宋体" w:hAnsi="宋体" w:eastAsia="宋体" w:cs="宋体"/>
          <w:kern w:val="0"/>
          <w:sz w:val="24"/>
          <w:lang w:val="zh-CN" w:bidi="zh-CN"/>
        </w:rPr>
      </w:pPr>
      <w:r>
        <w:rPr>
          <w:rFonts w:ascii="宋体" w:hAnsi="宋体" w:eastAsia="宋体" w:cs="宋体"/>
          <w:kern w:val="0"/>
          <w:sz w:val="24"/>
          <w:lang w:val="zh-CN" w:bidi="zh-CN"/>
        </w:rPr>
        <w:t>5、其他</w:t>
      </w:r>
    </w:p>
    <w:p>
      <w:pPr>
        <w:numPr>
          <w:ilvl w:val="0"/>
          <w:numId w:val="36"/>
        </w:numPr>
        <w:tabs>
          <w:tab w:val="left" w:pos="1314"/>
        </w:tabs>
        <w:autoSpaceDE w:val="0"/>
        <w:autoSpaceDN w:val="0"/>
        <w:spacing w:line="379" w:lineRule="auto"/>
        <w:ind w:right="310" w:firstLine="480"/>
        <w:rPr>
          <w:rFonts w:ascii="宋体" w:hAnsi="宋体" w:eastAsia="宋体" w:cs="宋体"/>
          <w:kern w:val="0"/>
          <w:sz w:val="24"/>
          <w:lang w:val="zh-CN" w:bidi="zh-CN"/>
        </w:rPr>
      </w:pPr>
      <w:r>
        <w:rPr>
          <w:rFonts w:ascii="宋体" w:hAnsi="宋体" w:eastAsia="宋体" w:cs="宋体"/>
          <w:spacing w:val="-1"/>
          <w:kern w:val="0"/>
          <w:sz w:val="24"/>
          <w:lang w:val="zh-CN" w:bidi="zh-CN"/>
        </w:rPr>
        <w:t>为使项目保证质量、按照项目工作内容要求、时间进度要求有序实施，本项目必</w:t>
      </w:r>
      <w:r>
        <w:rPr>
          <w:rFonts w:ascii="宋体" w:hAnsi="宋体" w:eastAsia="宋体" w:cs="宋体"/>
          <w:kern w:val="0"/>
          <w:sz w:val="24"/>
          <w:lang w:val="zh-CN" w:bidi="zh-CN"/>
        </w:rPr>
        <w:t>须组建一个完善的项目普查实施小组及项目负责人。</w:t>
      </w:r>
    </w:p>
    <w:p>
      <w:pPr>
        <w:numPr>
          <w:ilvl w:val="0"/>
          <w:numId w:val="36"/>
        </w:numPr>
        <w:tabs>
          <w:tab w:val="left" w:pos="1314"/>
        </w:tabs>
        <w:autoSpaceDE w:val="0"/>
        <w:autoSpaceDN w:val="0"/>
        <w:spacing w:line="379" w:lineRule="auto"/>
        <w:ind w:right="310" w:firstLine="480"/>
        <w:rPr>
          <w:rFonts w:ascii="宋体" w:hAnsi="宋体" w:eastAsia="宋体" w:cs="宋体"/>
          <w:spacing w:val="-1"/>
          <w:kern w:val="0"/>
          <w:sz w:val="24"/>
          <w:lang w:val="zh-CN" w:bidi="zh-CN"/>
        </w:rPr>
      </w:pPr>
      <w:r>
        <w:rPr>
          <w:rFonts w:ascii="宋体" w:hAnsi="宋体" w:eastAsia="宋体" w:cs="宋体"/>
          <w:spacing w:val="-1"/>
          <w:kern w:val="0"/>
          <w:sz w:val="24"/>
          <w:lang w:val="zh-CN" w:bidi="zh-CN"/>
        </w:rPr>
        <w:t>参与房屋建筑及</w:t>
      </w:r>
      <w:r>
        <w:rPr>
          <w:rFonts w:hint="eastAsia" w:ascii="宋体" w:hAnsi="宋体" w:eastAsia="宋体" w:cs="宋体"/>
          <w:spacing w:val="-1"/>
          <w:kern w:val="0"/>
          <w:sz w:val="24"/>
          <w:lang w:val="zh-CN" w:bidi="zh-CN"/>
        </w:rPr>
        <w:t>市政设施普</w:t>
      </w:r>
      <w:r>
        <w:rPr>
          <w:rFonts w:ascii="宋体" w:hAnsi="宋体" w:eastAsia="宋体" w:cs="宋体"/>
          <w:spacing w:val="-1"/>
          <w:kern w:val="0"/>
          <w:sz w:val="24"/>
          <w:lang w:val="zh-CN" w:bidi="zh-CN"/>
        </w:rPr>
        <w:t>查工作的所有人员，均需参加相关培训。普查过程中，普查人员应当坚持实事求是，恪守职业道德，拒绝、抵制普查工作中的违法行为。</w:t>
      </w:r>
    </w:p>
    <w:p>
      <w:pPr>
        <w:numPr>
          <w:ilvl w:val="0"/>
          <w:numId w:val="36"/>
        </w:numPr>
        <w:tabs>
          <w:tab w:val="left" w:pos="1314"/>
        </w:tabs>
        <w:autoSpaceDE w:val="0"/>
        <w:autoSpaceDN w:val="0"/>
        <w:spacing w:line="379" w:lineRule="auto"/>
        <w:ind w:right="310" w:firstLine="480"/>
        <w:rPr>
          <w:rFonts w:ascii="宋体" w:hAnsi="宋体" w:eastAsia="宋体" w:cs="宋体"/>
          <w:kern w:val="0"/>
          <w:sz w:val="24"/>
          <w:lang w:val="zh-CN" w:bidi="zh-CN"/>
        </w:rPr>
      </w:pPr>
      <w:r>
        <w:rPr>
          <w:rFonts w:ascii="宋体" w:hAnsi="宋体" w:eastAsia="宋体" w:cs="宋体"/>
          <w:spacing w:val="-1"/>
          <w:kern w:val="0"/>
          <w:sz w:val="24"/>
          <w:lang w:val="zh-CN" w:bidi="zh-CN"/>
        </w:rPr>
        <w:t>普查从业人员应真实、准确、完整地填报普查数据，不得伪造、篡改普查资料不得以任何方式要求任何单位和</w:t>
      </w:r>
      <w:r>
        <w:rPr>
          <w:rFonts w:ascii="宋体" w:hAnsi="宋体" w:eastAsia="宋体" w:cs="宋体"/>
          <w:spacing w:val="-4"/>
          <w:kern w:val="0"/>
          <w:sz w:val="24"/>
          <w:lang w:val="zh-CN" w:bidi="zh-CN"/>
        </w:rPr>
        <w:t>个人提供虚假资料。普查资料与成果，应按照国家有关规定保</w:t>
      </w:r>
      <w:r>
        <w:rPr>
          <w:rFonts w:ascii="宋体" w:hAnsi="宋体" w:eastAsia="宋体" w:cs="宋体"/>
          <w:spacing w:val="-5"/>
          <w:kern w:val="0"/>
          <w:sz w:val="24"/>
          <w:lang w:val="zh-CN" w:bidi="zh-CN"/>
        </w:rPr>
        <w:t>存，任何单位和个人不得对外提供、泄露，不得用于房屋建筑和道路桥梁普查以外的目的。</w:t>
      </w:r>
      <w:r>
        <w:rPr>
          <w:rFonts w:ascii="宋体" w:hAnsi="宋体" w:eastAsia="宋体" w:cs="宋体"/>
          <w:spacing w:val="-6"/>
          <w:kern w:val="0"/>
          <w:sz w:val="24"/>
          <w:lang w:val="zh-CN" w:bidi="zh-CN"/>
        </w:rPr>
        <w:t>未经采购人同意，关于本项目的任何情况均不得私自对外发布或散播，否则自行承担所有责任。</w:t>
      </w:r>
    </w:p>
    <w:p>
      <w:pPr>
        <w:numPr>
          <w:ilvl w:val="0"/>
          <w:numId w:val="36"/>
        </w:numPr>
        <w:tabs>
          <w:tab w:val="left" w:pos="1314"/>
        </w:tabs>
        <w:autoSpaceDE w:val="0"/>
        <w:autoSpaceDN w:val="0"/>
        <w:spacing w:line="379" w:lineRule="auto"/>
        <w:ind w:right="309" w:firstLine="480"/>
        <w:rPr>
          <w:rFonts w:ascii="宋体" w:hAnsi="宋体" w:eastAsia="宋体" w:cs="宋体"/>
          <w:kern w:val="0"/>
          <w:sz w:val="24"/>
          <w:lang w:val="zh-CN" w:bidi="zh-CN"/>
        </w:rPr>
      </w:pPr>
      <w:r>
        <w:rPr>
          <w:rFonts w:ascii="宋体" w:hAnsi="宋体" w:eastAsia="宋体" w:cs="宋体"/>
          <w:kern w:val="0"/>
          <w:sz w:val="24"/>
          <w:lang w:val="zh-CN" w:bidi="zh-CN"/>
        </w:rPr>
        <w:t>普查工作中需其他部门配合工作时，遇到相关问题可由采购人协助沟通；普查工</w:t>
      </w:r>
      <w:r>
        <w:rPr>
          <w:rFonts w:ascii="宋体" w:hAnsi="宋体" w:eastAsia="宋体" w:cs="宋体"/>
          <w:spacing w:val="-9"/>
          <w:kern w:val="0"/>
          <w:sz w:val="24"/>
          <w:lang w:val="zh-CN" w:bidi="zh-CN"/>
        </w:rPr>
        <w:t>作开展前，采购方将向成交供应商提供基础资料，并协调镇村级相关机构人员配合成交供应</w:t>
      </w:r>
      <w:r>
        <w:rPr>
          <w:rFonts w:ascii="宋体" w:hAnsi="宋体" w:eastAsia="宋体" w:cs="宋体"/>
          <w:kern w:val="0"/>
          <w:sz w:val="24"/>
          <w:lang w:val="zh-CN" w:bidi="zh-CN"/>
        </w:rPr>
        <w:t>商开展宣传培训、风险普查等工作。</w:t>
      </w:r>
    </w:p>
    <w:p>
      <w:pPr>
        <w:numPr>
          <w:ilvl w:val="0"/>
          <w:numId w:val="36"/>
        </w:numPr>
        <w:tabs>
          <w:tab w:val="left" w:pos="1312"/>
        </w:tabs>
        <w:autoSpaceDE w:val="0"/>
        <w:autoSpaceDN w:val="0"/>
        <w:spacing w:before="1" w:line="379" w:lineRule="auto"/>
        <w:ind w:right="189" w:firstLine="480"/>
        <w:rPr>
          <w:rFonts w:ascii="宋体" w:hAnsi="宋体" w:eastAsia="宋体" w:cs="宋体"/>
          <w:kern w:val="0"/>
          <w:sz w:val="24"/>
          <w:lang w:val="zh-CN" w:bidi="zh-CN"/>
        </w:rPr>
      </w:pPr>
      <w:r>
        <w:rPr>
          <w:rFonts w:ascii="宋体" w:hAnsi="宋体" w:eastAsia="宋体" w:cs="宋体"/>
          <w:spacing w:val="-2"/>
          <w:kern w:val="0"/>
          <w:sz w:val="24"/>
          <w:lang w:val="zh-CN" w:bidi="zh-CN"/>
        </w:rPr>
        <w:t>本项目所形成的数据成果归采购人所有。项目任务实施中涉及到的相关保密数据</w:t>
      </w:r>
      <w:r>
        <w:rPr>
          <w:rFonts w:ascii="宋体" w:hAnsi="宋体" w:eastAsia="宋体" w:cs="宋体"/>
          <w:spacing w:val="-9"/>
          <w:kern w:val="0"/>
          <w:sz w:val="24"/>
          <w:lang w:val="zh-CN" w:bidi="zh-CN"/>
        </w:rPr>
        <w:t>、资料、文档等按照相应相关保密规定执行，成交供应商有对资料保密的义务。不得以商业</w:t>
      </w:r>
      <w:r>
        <w:rPr>
          <w:rFonts w:ascii="宋体" w:hAnsi="宋体" w:eastAsia="宋体" w:cs="宋体"/>
          <w:spacing w:val="-13"/>
          <w:kern w:val="0"/>
          <w:sz w:val="24"/>
          <w:lang w:val="zh-CN" w:bidi="zh-CN"/>
        </w:rPr>
        <w:t>目的使用该资料或者开发和生产其他产品；成交供应商可根据需要对资料内容进行必要的修改和对数据格式进行转换，但未经许可，不得将修改、转换后的数据对外发布和提供。</w:t>
      </w:r>
    </w:p>
    <w:p>
      <w:pPr>
        <w:numPr>
          <w:ilvl w:val="0"/>
          <w:numId w:val="36"/>
        </w:numPr>
        <w:tabs>
          <w:tab w:val="left" w:pos="1314"/>
        </w:tabs>
        <w:autoSpaceDE w:val="0"/>
        <w:autoSpaceDN w:val="0"/>
        <w:spacing w:before="1" w:line="379" w:lineRule="auto"/>
        <w:ind w:right="310" w:firstLine="480"/>
        <w:rPr>
          <w:rFonts w:ascii="宋体" w:hAnsi="宋体" w:eastAsia="宋体" w:cs="宋体"/>
          <w:kern w:val="0"/>
          <w:sz w:val="24"/>
          <w:lang w:val="zh-CN" w:bidi="zh-CN"/>
        </w:rPr>
      </w:pPr>
      <w:r>
        <w:rPr>
          <w:rFonts w:ascii="宋体" w:hAnsi="宋体" w:eastAsia="宋体" w:cs="宋体"/>
          <w:spacing w:val="-1"/>
          <w:kern w:val="0"/>
          <w:sz w:val="24"/>
          <w:lang w:val="zh-CN" w:bidi="zh-CN"/>
        </w:rPr>
        <w:t>成交供应商全面负责项目普查的技术工作，对本次项目负全部的责任。负责工作</w:t>
      </w:r>
      <w:r>
        <w:rPr>
          <w:rFonts w:ascii="宋体" w:hAnsi="宋体" w:eastAsia="宋体" w:cs="宋体"/>
          <w:kern w:val="0"/>
          <w:sz w:val="24"/>
          <w:lang w:val="zh-CN" w:bidi="zh-CN"/>
        </w:rPr>
        <w:t>方案制定、技术培训、普查、项目推进和成果的提交及汇报。</w:t>
      </w:r>
    </w:p>
    <w:p>
      <w:pPr>
        <w:pStyle w:val="31"/>
        <w:ind w:firstLine="562"/>
        <w:rPr>
          <w:rFonts w:eastAsia="宋体"/>
          <w:b/>
          <w:color w:val="auto"/>
          <w:kern w:val="0"/>
          <w:sz w:val="28"/>
          <w:szCs w:val="22"/>
          <w:lang w:bidi="zh-CN"/>
        </w:rPr>
      </w:pPr>
      <w:r>
        <w:rPr>
          <w:rFonts w:hint="eastAsia" w:eastAsia="宋体"/>
          <w:b/>
          <w:color w:val="auto"/>
          <w:kern w:val="0"/>
          <w:sz w:val="28"/>
          <w:szCs w:val="22"/>
          <w:lang w:bidi="zh-CN"/>
        </w:rPr>
        <w:t>三、商务要求</w:t>
      </w:r>
    </w:p>
    <w:p>
      <w:pPr>
        <w:tabs>
          <w:tab w:val="left" w:pos="1314"/>
        </w:tabs>
        <w:autoSpaceDE w:val="0"/>
        <w:autoSpaceDN w:val="0"/>
        <w:spacing w:before="1" w:line="379" w:lineRule="auto"/>
        <w:ind w:right="310" w:firstLine="476" w:firstLineChars="200"/>
        <w:rPr>
          <w:rFonts w:ascii="宋体" w:hAnsi="宋体" w:eastAsia="宋体" w:cs="宋体"/>
          <w:spacing w:val="-1"/>
          <w:kern w:val="0"/>
          <w:sz w:val="24"/>
          <w:lang w:val="zh-CN" w:bidi="zh-CN"/>
        </w:rPr>
      </w:pPr>
      <w:bookmarkStart w:id="45" w:name="_Toc14600"/>
      <w:bookmarkStart w:id="46" w:name="_Toc10533"/>
      <w:r>
        <w:rPr>
          <w:rFonts w:hint="eastAsia" w:ascii="宋体" w:hAnsi="宋体" w:eastAsia="宋体" w:cs="宋体"/>
          <w:spacing w:val="-1"/>
          <w:kern w:val="0"/>
          <w:sz w:val="24"/>
          <w:lang w:bidi="zh-CN"/>
        </w:rPr>
        <w:t>（1）</w:t>
      </w:r>
      <w:r>
        <w:rPr>
          <w:rFonts w:ascii="宋体" w:hAnsi="宋体" w:eastAsia="宋体" w:cs="宋体"/>
          <w:spacing w:val="-1"/>
          <w:kern w:val="0"/>
          <w:sz w:val="24"/>
          <w:lang w:val="zh-CN" w:bidi="zh-CN"/>
        </w:rPr>
        <w:t>合同履行期限</w:t>
      </w:r>
      <w:bookmarkEnd w:id="45"/>
      <w:r>
        <w:rPr>
          <w:rFonts w:hint="eastAsia" w:ascii="宋体" w:hAnsi="宋体" w:eastAsia="宋体" w:cs="宋体"/>
          <w:spacing w:val="-1"/>
          <w:kern w:val="0"/>
          <w:sz w:val="24"/>
          <w:lang w:val="zh-CN" w:bidi="zh-CN"/>
        </w:rPr>
        <w:t>：合同签订后至</w:t>
      </w:r>
      <w:r>
        <w:rPr>
          <w:rFonts w:ascii="宋体" w:hAnsi="宋体" w:eastAsia="宋体" w:cs="宋体"/>
          <w:spacing w:val="-1"/>
          <w:kern w:val="0"/>
          <w:sz w:val="24"/>
          <w:lang w:val="zh-CN" w:bidi="zh-CN"/>
        </w:rPr>
        <w:t>2022年6月底。（如完成时间有变化，以上级部门的时间为准）。</w:t>
      </w:r>
    </w:p>
    <w:p>
      <w:pPr>
        <w:tabs>
          <w:tab w:val="left" w:pos="1314"/>
        </w:tabs>
        <w:autoSpaceDE w:val="0"/>
        <w:autoSpaceDN w:val="0"/>
        <w:spacing w:before="1" w:line="379" w:lineRule="auto"/>
        <w:ind w:right="310" w:firstLine="476" w:firstLineChars="200"/>
        <w:rPr>
          <w:rFonts w:hint="eastAsia" w:ascii="宋体" w:hAnsi="宋体" w:eastAsia="宋体" w:cs="宋体"/>
          <w:b/>
          <w:bCs/>
          <w:spacing w:val="-1"/>
          <w:kern w:val="0"/>
          <w:sz w:val="24"/>
          <w:lang w:val="zh-CN" w:bidi="zh-CN"/>
        </w:rPr>
      </w:pPr>
      <w:r>
        <w:rPr>
          <w:rFonts w:hint="eastAsia" w:ascii="宋体" w:hAnsi="宋体" w:eastAsia="宋体" w:cs="宋体"/>
          <w:spacing w:val="-1"/>
          <w:kern w:val="0"/>
          <w:sz w:val="24"/>
          <w:lang w:val="zh-CN" w:bidi="zh-CN"/>
        </w:rPr>
        <w:t>（</w:t>
      </w:r>
      <w:r>
        <w:rPr>
          <w:rFonts w:hint="eastAsia" w:ascii="宋体" w:hAnsi="宋体" w:eastAsia="宋体" w:cs="宋体"/>
          <w:spacing w:val="-1"/>
          <w:kern w:val="0"/>
          <w:sz w:val="24"/>
          <w:lang w:val="en-US" w:bidi="zh-CN"/>
        </w:rPr>
        <w:t>2</w:t>
      </w:r>
      <w:r>
        <w:rPr>
          <w:rFonts w:hint="eastAsia" w:ascii="宋体" w:hAnsi="宋体" w:eastAsia="宋体" w:cs="宋体"/>
          <w:b/>
          <w:bCs/>
          <w:spacing w:val="-1"/>
          <w:kern w:val="0"/>
          <w:sz w:val="24"/>
          <w:lang w:val="zh-CN" w:bidi="zh-CN"/>
        </w:rPr>
        <w:t>）付款方式：本项目采取分期付款方式，</w:t>
      </w:r>
      <w:r>
        <w:rPr>
          <w:rFonts w:hint="eastAsia" w:ascii="宋体" w:hAnsi="宋体" w:eastAsia="宋体" w:cs="宋体"/>
          <w:b/>
          <w:bCs/>
          <w:spacing w:val="-1"/>
          <w:kern w:val="0"/>
          <w:sz w:val="24"/>
          <w:lang w:val="zh-CN" w:eastAsia="zh-CN" w:bidi="zh-CN"/>
        </w:rPr>
        <w:t>合同签订后支付</w:t>
      </w:r>
      <w:r>
        <w:rPr>
          <w:rFonts w:hint="eastAsia" w:ascii="宋体" w:hAnsi="宋体" w:eastAsia="宋体" w:cs="宋体"/>
          <w:b/>
          <w:bCs/>
          <w:spacing w:val="-1"/>
          <w:kern w:val="0"/>
          <w:sz w:val="24"/>
          <w:lang w:val="zh-CN" w:bidi="zh-CN"/>
        </w:rPr>
        <w:t>合同总金额的</w:t>
      </w:r>
      <w:r>
        <w:rPr>
          <w:rFonts w:hint="eastAsia" w:ascii="宋体" w:hAnsi="宋体" w:eastAsia="宋体" w:cs="宋体"/>
          <w:b/>
          <w:bCs/>
          <w:spacing w:val="-1"/>
          <w:kern w:val="0"/>
          <w:sz w:val="24"/>
          <w:lang w:val="en-US" w:eastAsia="zh-CN" w:bidi="zh-CN"/>
        </w:rPr>
        <w:t>4</w:t>
      </w:r>
      <w:r>
        <w:rPr>
          <w:rFonts w:hint="eastAsia" w:ascii="宋体" w:hAnsi="宋体" w:eastAsia="宋体" w:cs="宋体"/>
          <w:b/>
          <w:bCs/>
          <w:spacing w:val="-1"/>
          <w:kern w:val="0"/>
          <w:sz w:val="24"/>
          <w:lang w:val="zh-CN" w:bidi="zh-CN"/>
        </w:rPr>
        <w:t>0%</w:t>
      </w:r>
      <w:r>
        <w:rPr>
          <w:rFonts w:hint="eastAsia" w:ascii="宋体" w:hAnsi="宋体" w:eastAsia="宋体" w:cs="宋体"/>
          <w:b/>
          <w:bCs/>
          <w:spacing w:val="-1"/>
          <w:kern w:val="0"/>
          <w:sz w:val="24"/>
          <w:lang w:val="en-US" w:eastAsia="zh-CN" w:bidi="zh-CN"/>
        </w:rPr>
        <w:t>，</w:t>
      </w:r>
      <w:r>
        <w:rPr>
          <w:rFonts w:hint="eastAsia" w:ascii="宋体" w:hAnsi="宋体" w:eastAsia="宋体" w:cs="宋体"/>
          <w:b/>
          <w:bCs/>
          <w:spacing w:val="-1"/>
          <w:kern w:val="0"/>
          <w:sz w:val="24"/>
          <w:lang w:val="zh-CN" w:bidi="zh-CN"/>
        </w:rPr>
        <w:t>完成外业调查后支付合同总金额的</w:t>
      </w:r>
      <w:r>
        <w:rPr>
          <w:rFonts w:hint="eastAsia" w:ascii="宋体" w:hAnsi="宋体" w:eastAsia="宋体" w:cs="宋体"/>
          <w:b/>
          <w:bCs/>
          <w:spacing w:val="-1"/>
          <w:kern w:val="0"/>
          <w:sz w:val="24"/>
          <w:lang w:val="en-US" w:eastAsia="zh-CN" w:bidi="zh-CN"/>
        </w:rPr>
        <w:t>5</w:t>
      </w:r>
      <w:r>
        <w:rPr>
          <w:rFonts w:hint="eastAsia" w:ascii="宋体" w:hAnsi="宋体" w:eastAsia="宋体" w:cs="宋体"/>
          <w:b/>
          <w:bCs/>
          <w:spacing w:val="-1"/>
          <w:kern w:val="0"/>
          <w:sz w:val="24"/>
          <w:lang w:val="zh-CN" w:bidi="zh-CN"/>
        </w:rPr>
        <w:t>0%，完成质量审核验收后支付合同总金额10%。</w:t>
      </w:r>
    </w:p>
    <w:p>
      <w:pPr>
        <w:tabs>
          <w:tab w:val="left" w:pos="1314"/>
        </w:tabs>
        <w:autoSpaceDE w:val="0"/>
        <w:autoSpaceDN w:val="0"/>
        <w:spacing w:before="1" w:line="379" w:lineRule="auto"/>
        <w:ind w:right="310" w:firstLine="476" w:firstLineChars="200"/>
        <w:rPr>
          <w:rFonts w:hint="eastAsia" w:ascii="宋体" w:hAnsi="宋体" w:eastAsia="宋体" w:cs="宋体"/>
          <w:spacing w:val="-1"/>
          <w:kern w:val="0"/>
          <w:sz w:val="24"/>
          <w:lang w:val="zh-CN" w:bidi="zh-CN"/>
        </w:rPr>
      </w:pPr>
      <w:r>
        <w:rPr>
          <w:rFonts w:hint="eastAsia" w:ascii="宋体" w:hAnsi="宋体" w:eastAsia="宋体" w:cs="宋体"/>
          <w:spacing w:val="-1"/>
          <w:kern w:val="0"/>
          <w:sz w:val="24"/>
          <w:lang w:val="zh-CN" w:bidi="zh-CN"/>
        </w:rPr>
        <w:t>（</w:t>
      </w:r>
      <w:r>
        <w:rPr>
          <w:rFonts w:hint="eastAsia" w:ascii="宋体" w:hAnsi="宋体" w:eastAsia="宋体" w:cs="宋体"/>
          <w:spacing w:val="-1"/>
          <w:kern w:val="0"/>
          <w:sz w:val="24"/>
          <w:lang w:val="en-US" w:bidi="zh-CN"/>
        </w:rPr>
        <w:t>3</w:t>
      </w:r>
      <w:r>
        <w:rPr>
          <w:rFonts w:hint="eastAsia" w:ascii="宋体" w:hAnsi="宋体" w:eastAsia="宋体" w:cs="宋体"/>
          <w:spacing w:val="-1"/>
          <w:kern w:val="0"/>
          <w:sz w:val="24"/>
          <w:lang w:val="zh-CN" w:bidi="zh-CN"/>
        </w:rPr>
        <w:t>）项目验收：本项目成果验收按照国家普查办、省普查办及市普查办相关要求执行。最终验收合格以普查成果通过国家验收为准，中标人须承担项目后期依据国家要求进行数据的整改工作,保证验收通过，由此产生的一切费用由中标人承担。</w:t>
      </w:r>
    </w:p>
    <w:p>
      <w:pPr>
        <w:tabs>
          <w:tab w:val="left" w:pos="1314"/>
        </w:tabs>
        <w:autoSpaceDE w:val="0"/>
        <w:autoSpaceDN w:val="0"/>
        <w:spacing w:before="1" w:line="379" w:lineRule="auto"/>
        <w:ind w:right="310" w:firstLine="476" w:firstLineChars="200"/>
        <w:rPr>
          <w:rFonts w:hint="eastAsia" w:ascii="宋体" w:hAnsi="宋体" w:eastAsia="宋体" w:cs="宋体"/>
          <w:spacing w:val="-1"/>
          <w:kern w:val="0"/>
          <w:sz w:val="24"/>
          <w:lang w:val="zh-CN" w:bidi="zh-CN"/>
        </w:rPr>
      </w:pPr>
      <w:r>
        <w:rPr>
          <w:rFonts w:hint="eastAsia" w:ascii="宋体" w:hAnsi="宋体" w:eastAsia="宋体" w:cs="宋体"/>
          <w:spacing w:val="-1"/>
          <w:kern w:val="0"/>
          <w:sz w:val="24"/>
          <w:lang w:val="zh-CN" w:bidi="zh-CN"/>
        </w:rPr>
        <w:t>（</w:t>
      </w:r>
      <w:r>
        <w:rPr>
          <w:rFonts w:hint="eastAsia" w:ascii="宋体" w:hAnsi="宋体" w:eastAsia="宋体" w:cs="宋体"/>
          <w:spacing w:val="-1"/>
          <w:kern w:val="0"/>
          <w:sz w:val="24"/>
          <w:lang w:val="en-US" w:bidi="zh-CN"/>
        </w:rPr>
        <w:t>4</w:t>
      </w:r>
      <w:r>
        <w:rPr>
          <w:rFonts w:hint="eastAsia" w:ascii="宋体" w:hAnsi="宋体" w:eastAsia="宋体" w:cs="宋体"/>
          <w:spacing w:val="-1"/>
          <w:kern w:val="0"/>
          <w:sz w:val="24"/>
          <w:lang w:val="zh-CN" w:bidi="zh-CN"/>
        </w:rPr>
        <w:t>）本项目总报价包含了完成本次普查所有内容的全部费用，包括技术服务费、人工费（含社会保险费和住房公积金）、成果资料编制费、管理费、专家评审费、会务费、食宿费、办公费、交通费、保险费、招标代理费、其他费用（如资料费、以及投标人认为完成本项目所需要的其他费用）及所有价内价外税金及合理利润等。</w:t>
      </w:r>
    </w:p>
    <w:p>
      <w:pPr>
        <w:tabs>
          <w:tab w:val="left" w:pos="1314"/>
        </w:tabs>
        <w:autoSpaceDE w:val="0"/>
        <w:autoSpaceDN w:val="0"/>
        <w:spacing w:before="1" w:line="379" w:lineRule="auto"/>
        <w:ind w:right="310" w:firstLine="476" w:firstLineChars="200"/>
        <w:rPr>
          <w:rFonts w:ascii="宋体" w:hAnsi="宋体" w:eastAsia="宋体" w:cs="宋体"/>
          <w:spacing w:val="-1"/>
          <w:kern w:val="0"/>
          <w:sz w:val="24"/>
          <w:lang w:val="zh-CN" w:bidi="zh-CN"/>
        </w:rPr>
      </w:pPr>
    </w:p>
    <w:p>
      <w:pPr>
        <w:tabs>
          <w:tab w:val="left" w:pos="1314"/>
        </w:tabs>
        <w:autoSpaceDE w:val="0"/>
        <w:autoSpaceDN w:val="0"/>
        <w:spacing w:before="1" w:line="379" w:lineRule="auto"/>
        <w:ind w:right="310" w:firstLine="476" w:firstLineChars="200"/>
        <w:rPr>
          <w:rFonts w:ascii="宋体" w:hAnsi="宋体" w:eastAsia="宋体" w:cs="宋体"/>
          <w:spacing w:val="-1"/>
          <w:kern w:val="0"/>
          <w:sz w:val="24"/>
          <w:lang w:val="zh-CN" w:bidi="zh-CN"/>
        </w:rPr>
      </w:pPr>
    </w:p>
    <w:p>
      <w:pPr>
        <w:autoSpaceDE w:val="0"/>
        <w:autoSpaceDN w:val="0"/>
        <w:spacing w:before="40"/>
        <w:ind w:left="791"/>
        <w:jc w:val="left"/>
        <w:outlineLvl w:val="1"/>
        <w:rPr>
          <w:rFonts w:ascii="宋体" w:hAnsi="宋体" w:eastAsia="宋体" w:cs="宋体"/>
          <w:b/>
          <w:kern w:val="0"/>
          <w:sz w:val="28"/>
          <w:lang w:val="zh-CN" w:bidi="zh-CN"/>
        </w:rPr>
      </w:pPr>
    </w:p>
    <w:bookmarkEnd w:id="46"/>
    <w:p>
      <w:pPr>
        <w:pStyle w:val="31"/>
      </w:pPr>
    </w:p>
    <w:p>
      <w:pPr>
        <w:pStyle w:val="31"/>
      </w:pPr>
    </w:p>
    <w:p>
      <w:pPr>
        <w:pStyle w:val="31"/>
      </w:pPr>
    </w:p>
    <w:p>
      <w:pPr>
        <w:pStyle w:val="31"/>
      </w:pPr>
    </w:p>
    <w:p>
      <w:pPr>
        <w:pStyle w:val="31"/>
        <w:ind w:left="0" w:leftChars="0" w:firstLine="0" w:firstLineChars="0"/>
      </w:pPr>
    </w:p>
    <w:p>
      <w:pPr>
        <w:pStyle w:val="31"/>
        <w:ind w:firstLine="0" w:firstLineChars="0"/>
        <w:sectPr>
          <w:footerReference r:id="rId5" w:type="default"/>
          <w:pgSz w:w="11906" w:h="16838"/>
          <w:pgMar w:top="1440" w:right="1800" w:bottom="1440" w:left="1800" w:header="113" w:footer="1077" w:gutter="0"/>
          <w:pgNumType w:start="1"/>
          <w:cols w:space="720" w:num="1"/>
          <w:docGrid w:linePitch="286" w:charSpace="0"/>
        </w:sectPr>
      </w:pPr>
    </w:p>
    <w:p>
      <w:pPr>
        <w:pStyle w:val="3"/>
        <w:spacing w:line="360" w:lineRule="auto"/>
        <w:jc w:val="center"/>
        <w:rPr>
          <w:rFonts w:ascii="黑体" w:hAnsi="黑体" w:eastAsia="黑体"/>
        </w:rPr>
      </w:pPr>
      <w:bookmarkStart w:id="47" w:name="_Toc12713"/>
      <w:r>
        <w:rPr>
          <w:rFonts w:hint="eastAsia" w:ascii="黑体" w:hAnsi="黑体" w:eastAsia="黑体"/>
        </w:rPr>
        <w:t>第四章 资格审查方法及标准</w:t>
      </w:r>
      <w:bookmarkEnd w:id="47"/>
    </w:p>
    <w:p>
      <w:pPr>
        <w:spacing w:line="360" w:lineRule="auto"/>
        <w:ind w:firstLine="420"/>
        <w:rPr>
          <w:rFonts w:ascii="宋体" w:hAnsi="宋体" w:cs="Times New Roman"/>
          <w:bCs/>
          <w:sz w:val="24"/>
          <w:szCs w:val="20"/>
        </w:rPr>
      </w:pPr>
      <w:r>
        <w:rPr>
          <w:rFonts w:hint="eastAsia" w:ascii="宋体" w:hAnsi="宋体" w:cs="Times New Roman"/>
          <w:bCs/>
          <w:sz w:val="24"/>
          <w:szCs w:val="20"/>
        </w:rPr>
        <w:t>根据《政府采购法》、《政府采购法实施条例》、《政府采购货物和服务招标投标管理办法》等相关法律法规确定以下资格审查方法及标准。</w:t>
      </w:r>
    </w:p>
    <w:p>
      <w:pPr>
        <w:pStyle w:val="4"/>
        <w:numPr>
          <w:ilvl w:val="0"/>
          <w:numId w:val="37"/>
        </w:numPr>
        <w:spacing w:before="0" w:after="0" w:line="360" w:lineRule="auto"/>
        <w:ind w:left="616" w:hanging="616"/>
        <w:jc w:val="left"/>
        <w:rPr>
          <w:rFonts w:ascii="宋体" w:hAnsi="宋体" w:cs="Times New Roman"/>
          <w:bCs w:val="0"/>
          <w:sz w:val="30"/>
          <w:szCs w:val="30"/>
        </w:rPr>
      </w:pPr>
      <w:bookmarkStart w:id="48" w:name="_Toc494561958"/>
      <w:bookmarkStart w:id="49" w:name="_Toc20563"/>
      <w:bookmarkStart w:id="50" w:name="_Toc18092"/>
      <w:bookmarkStart w:id="51" w:name="_Toc511894514"/>
      <w:r>
        <w:rPr>
          <w:rFonts w:hint="eastAsia" w:ascii="宋体" w:hAnsi="宋体" w:cs="Times New Roman"/>
          <w:bCs w:val="0"/>
          <w:sz w:val="30"/>
          <w:szCs w:val="30"/>
        </w:rPr>
        <w:t>资格审查方法</w:t>
      </w:r>
      <w:bookmarkEnd w:id="48"/>
      <w:bookmarkEnd w:id="49"/>
      <w:bookmarkEnd w:id="50"/>
      <w:bookmarkEnd w:id="51"/>
    </w:p>
    <w:p>
      <w:pPr>
        <w:spacing w:line="360" w:lineRule="auto"/>
        <w:ind w:firstLine="420"/>
        <w:rPr>
          <w:rFonts w:ascii="宋体" w:hAnsi="宋体" w:cs="Times New Roman"/>
          <w:bCs/>
          <w:sz w:val="24"/>
          <w:szCs w:val="20"/>
        </w:rPr>
      </w:pPr>
      <w:r>
        <w:rPr>
          <w:rFonts w:hint="eastAsia" w:ascii="宋体" w:hAnsi="宋体" w:cs="Times New Roman"/>
          <w:bCs/>
          <w:sz w:val="24"/>
          <w:szCs w:val="20"/>
        </w:rPr>
        <w:t>公开招标采购项目开标结束后，采购人、采购代理机构成立资格审查小组，依据法律、法规及招标文件的规定，对投标人的资格进行审查，以确定投标人资格是否合格。</w:t>
      </w:r>
    </w:p>
    <w:p>
      <w:pPr>
        <w:pStyle w:val="4"/>
        <w:numPr>
          <w:ilvl w:val="0"/>
          <w:numId w:val="37"/>
        </w:numPr>
        <w:spacing w:before="0" w:after="0" w:line="360" w:lineRule="auto"/>
        <w:ind w:left="616" w:hanging="616"/>
        <w:jc w:val="left"/>
        <w:rPr>
          <w:rFonts w:ascii="宋体" w:hAnsi="宋体" w:cs="Times New Roman"/>
          <w:bCs w:val="0"/>
          <w:sz w:val="30"/>
          <w:szCs w:val="30"/>
        </w:rPr>
      </w:pPr>
      <w:bookmarkStart w:id="52" w:name="_Toc494561959"/>
      <w:bookmarkStart w:id="53" w:name="_Toc511894515"/>
      <w:bookmarkStart w:id="54" w:name="_Toc7531"/>
      <w:bookmarkStart w:id="55" w:name="_Toc14436"/>
      <w:r>
        <w:rPr>
          <w:rFonts w:hint="eastAsia" w:ascii="宋体" w:hAnsi="宋体" w:cs="Times New Roman"/>
          <w:bCs w:val="0"/>
          <w:sz w:val="30"/>
          <w:szCs w:val="30"/>
        </w:rPr>
        <w:t>资格审查标准</w:t>
      </w:r>
      <w:bookmarkEnd w:id="52"/>
      <w:bookmarkEnd w:id="53"/>
      <w:bookmarkEnd w:id="54"/>
      <w:bookmarkEnd w:id="55"/>
    </w:p>
    <w:p>
      <w:pPr>
        <w:numPr>
          <w:ilvl w:val="0"/>
          <w:numId w:val="38"/>
        </w:numPr>
        <w:tabs>
          <w:tab w:val="left" w:pos="1098"/>
        </w:tabs>
        <w:spacing w:line="360" w:lineRule="auto"/>
        <w:ind w:left="14" w:firstLine="238"/>
        <w:rPr>
          <w:rFonts w:ascii="宋体" w:hAnsi="宋体" w:cs="Times New Roman"/>
          <w:b/>
          <w:sz w:val="24"/>
          <w:szCs w:val="24"/>
        </w:rPr>
      </w:pPr>
      <w:r>
        <w:rPr>
          <w:rFonts w:hint="eastAsia" w:ascii="宋体" w:hAnsi="宋体" w:cs="Times New Roman"/>
          <w:b/>
          <w:sz w:val="24"/>
          <w:szCs w:val="24"/>
        </w:rPr>
        <w:t>资格证明文件审查</w:t>
      </w:r>
    </w:p>
    <w:p>
      <w:pPr>
        <w:tabs>
          <w:tab w:val="left" w:pos="616"/>
        </w:tabs>
        <w:spacing w:line="360" w:lineRule="auto"/>
        <w:ind w:firstLine="420"/>
        <w:rPr>
          <w:rFonts w:ascii="Helvetica" w:hAnsi="Helvetica" w:cs="Helvetica"/>
          <w:b/>
          <w:kern w:val="0"/>
          <w:sz w:val="24"/>
          <w:szCs w:val="24"/>
        </w:rPr>
      </w:pPr>
      <w:r>
        <w:rPr>
          <w:rFonts w:hint="eastAsia" w:ascii="Helvetica" w:hAnsi="Helvetica" w:cs="Helvetica"/>
          <w:kern w:val="0"/>
          <w:sz w:val="24"/>
          <w:szCs w:val="24"/>
        </w:rPr>
        <w:t>所递交的资格证明文件出现不符合下列情形之一或不足以证明其符合下列情形之一的，应视为资格审查不合格，并按照</w:t>
      </w:r>
      <w:r>
        <w:rPr>
          <w:rFonts w:hint="eastAsia" w:ascii="Helvetica" w:hAnsi="Helvetica" w:cs="Helvetica"/>
          <w:b/>
          <w:kern w:val="0"/>
          <w:sz w:val="24"/>
          <w:szCs w:val="24"/>
        </w:rPr>
        <w:t>无效投标处理：</w:t>
      </w:r>
    </w:p>
    <w:p>
      <w:pPr>
        <w:pStyle w:val="48"/>
        <w:numPr>
          <w:ilvl w:val="0"/>
          <w:numId w:val="39"/>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应具备《政府采购法》第二十二条第一款规定的条件，</w:t>
      </w:r>
      <w:r>
        <w:rPr>
          <w:rFonts w:hint="eastAsia" w:hAnsi="宋体"/>
          <w:b/>
          <w:sz w:val="24"/>
          <w:szCs w:val="24"/>
        </w:rPr>
        <w:t>提供下列材料</w:t>
      </w:r>
      <w:r>
        <w:rPr>
          <w:rFonts w:hint="eastAsia" w:ascii="宋体" w:hAnsi="宋体" w:cs="Times New Roman"/>
          <w:b/>
          <w:sz w:val="24"/>
          <w:szCs w:val="24"/>
        </w:rPr>
        <w:t>：</w:t>
      </w:r>
    </w:p>
    <w:p>
      <w:pPr>
        <w:pStyle w:val="48"/>
        <w:numPr>
          <w:ilvl w:val="0"/>
          <w:numId w:val="40"/>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法人或者其他组织的营业执照等证明文件，自然人的身份证明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cs="Times New Roman"/>
          <w:sz w:val="24"/>
          <w:szCs w:val="24"/>
        </w:rPr>
        <w:t>：</w:t>
      </w:r>
    </w:p>
    <w:p>
      <w:pPr>
        <w:numPr>
          <w:ilvl w:val="0"/>
          <w:numId w:val="41"/>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法人</w:t>
      </w:r>
    </w:p>
    <w:p>
      <w:pPr>
        <w:pStyle w:val="48"/>
        <w:numPr>
          <w:ilvl w:val="1"/>
          <w:numId w:val="42"/>
        </w:numPr>
        <w:spacing w:line="360" w:lineRule="auto"/>
        <w:ind w:left="1435" w:hanging="482" w:firstLineChars="0"/>
        <w:rPr>
          <w:rFonts w:ascii="宋体" w:hAnsi="宋体"/>
          <w:sz w:val="24"/>
          <w:szCs w:val="24"/>
        </w:rPr>
      </w:pPr>
      <w:r>
        <w:rPr>
          <w:rFonts w:hint="eastAsia" w:ascii="楷体" w:hAnsi="楷体" w:eastAsia="楷体"/>
          <w:b/>
          <w:sz w:val="24"/>
          <w:szCs w:val="24"/>
        </w:rPr>
        <w:t>企业法人（包括合伙企业）：</w:t>
      </w:r>
      <w:r>
        <w:rPr>
          <w:rFonts w:hint="eastAsia" w:ascii="宋体" w:hAnsi="宋体"/>
          <w:sz w:val="24"/>
          <w:szCs w:val="24"/>
        </w:rPr>
        <w:t>提供工商部门注册的有效“企业法人营业执照”或“营业执照”；</w:t>
      </w:r>
    </w:p>
    <w:p>
      <w:pPr>
        <w:pStyle w:val="48"/>
        <w:numPr>
          <w:ilvl w:val="1"/>
          <w:numId w:val="42"/>
        </w:numPr>
        <w:spacing w:line="360" w:lineRule="auto"/>
        <w:ind w:left="1435" w:hanging="482" w:firstLineChars="0"/>
        <w:rPr>
          <w:rFonts w:ascii="宋体" w:hAnsi="宋体"/>
          <w:sz w:val="24"/>
          <w:szCs w:val="24"/>
        </w:rPr>
      </w:pPr>
      <w:r>
        <w:rPr>
          <w:rFonts w:hint="eastAsia" w:ascii="楷体" w:hAnsi="楷体" w:eastAsia="楷体"/>
          <w:b/>
          <w:sz w:val="24"/>
          <w:szCs w:val="24"/>
        </w:rPr>
        <w:t>事业单位法人：</w:t>
      </w:r>
      <w:r>
        <w:rPr>
          <w:rFonts w:hint="eastAsia" w:ascii="宋体" w:hAnsi="宋体"/>
          <w:sz w:val="24"/>
          <w:szCs w:val="24"/>
        </w:rPr>
        <w:t>提供有效的“事业单位法人证书”。</w:t>
      </w:r>
    </w:p>
    <w:p>
      <w:pPr>
        <w:numPr>
          <w:ilvl w:val="0"/>
          <w:numId w:val="41"/>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其他组织</w:t>
      </w:r>
    </w:p>
    <w:p>
      <w:pPr>
        <w:pStyle w:val="48"/>
        <w:numPr>
          <w:ilvl w:val="0"/>
          <w:numId w:val="43"/>
        </w:numPr>
        <w:spacing w:line="360" w:lineRule="auto"/>
        <w:ind w:left="0" w:firstLine="1435" w:firstLineChars="0"/>
        <w:rPr>
          <w:rFonts w:ascii="宋体" w:hAns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48"/>
        <w:numPr>
          <w:ilvl w:val="0"/>
          <w:numId w:val="43"/>
        </w:numPr>
        <w:spacing w:line="360" w:lineRule="auto"/>
        <w:ind w:left="0" w:firstLine="1435" w:firstLineChars="0"/>
        <w:rPr>
          <w:rFonts w:ascii="宋体" w:hAns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41"/>
        </w:numPr>
        <w:spacing w:line="360" w:lineRule="auto"/>
        <w:ind w:left="1321" w:hanging="720"/>
        <w:rPr>
          <w:rFonts w:ascii="宋体" w:hAnsi="宋体" w:cs="Times New Roman"/>
          <w:sz w:val="24"/>
          <w:szCs w:val="20"/>
        </w:rPr>
      </w:pPr>
      <w:r>
        <w:rPr>
          <w:rFonts w:hint="eastAsia" w:ascii="仿宋" w:hAnsi="仿宋" w:eastAsia="仿宋" w:cs="Times New Roman"/>
          <w:b/>
          <w:sz w:val="24"/>
          <w:szCs w:val="20"/>
        </w:rPr>
        <w:t>自然人：</w:t>
      </w:r>
      <w:r>
        <w:rPr>
          <w:rFonts w:hint="eastAsia" w:ascii="宋体" w:hAnsi="宋体" w:cs="Times New Roman"/>
          <w:sz w:val="24"/>
          <w:szCs w:val="20"/>
        </w:rPr>
        <w:t>提供有效的自然人身份证明。（仅限中国公民）</w:t>
      </w:r>
    </w:p>
    <w:p>
      <w:pPr>
        <w:pStyle w:val="48"/>
        <w:numPr>
          <w:ilvl w:val="0"/>
          <w:numId w:val="40"/>
        </w:numPr>
        <w:spacing w:line="360" w:lineRule="auto"/>
        <w:ind w:left="958" w:hanging="482" w:firstLineChars="0"/>
        <w:rPr>
          <w:rFonts w:hint="eastAsia" w:ascii="宋体" w:hAnsi="宋体" w:cs="Times New Roman"/>
          <w:sz w:val="24"/>
          <w:szCs w:val="24"/>
        </w:rPr>
      </w:pPr>
      <w:r>
        <w:rPr>
          <w:rFonts w:hint="eastAsia" w:ascii="宋体" w:hAnsi="宋体" w:cs="Times New Roman"/>
          <w:sz w:val="24"/>
          <w:szCs w:val="24"/>
        </w:rPr>
        <w:t>财务状况报告，依法缴纳税收和社会保障资金的相关材料（投标人提供上一个年度财务审计报告及参加政府采购活动前</w:t>
      </w:r>
      <w:r>
        <w:rPr>
          <w:rFonts w:hint="eastAsia" w:ascii="宋体" w:hAnsi="宋体" w:cs="Times New Roman"/>
          <w:sz w:val="24"/>
          <w:szCs w:val="24"/>
          <w:lang w:eastAsia="zh-CN"/>
        </w:rPr>
        <w:t>一年</w:t>
      </w:r>
      <w:r>
        <w:rPr>
          <w:rFonts w:hint="eastAsia" w:ascii="宋体" w:hAnsi="宋体" w:cs="Times New Roman"/>
          <w:sz w:val="24"/>
          <w:szCs w:val="24"/>
        </w:rPr>
        <w:t>内任意</w:t>
      </w:r>
      <w:r>
        <w:rPr>
          <w:rFonts w:hint="eastAsia" w:ascii="宋体" w:hAnsi="宋体" w:cs="Times New Roman"/>
          <w:sz w:val="24"/>
          <w:szCs w:val="24"/>
          <w:lang w:val="en-US" w:eastAsia="zh-CN"/>
        </w:rPr>
        <w:t>3</w:t>
      </w:r>
      <w:r>
        <w:rPr>
          <w:rFonts w:hint="eastAsia" w:ascii="宋体" w:hAnsi="宋体" w:cs="Times New Roman"/>
          <w:sz w:val="24"/>
          <w:szCs w:val="24"/>
        </w:rPr>
        <w:t>个月依法缴纳税收和社会保障资金的证明材料）：</w:t>
      </w:r>
    </w:p>
    <w:p>
      <w:pPr>
        <w:numPr>
          <w:ilvl w:val="0"/>
          <w:numId w:val="44"/>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财务状况报告</w:t>
      </w:r>
    </w:p>
    <w:p>
      <w:pPr>
        <w:pStyle w:val="48"/>
        <w:numPr>
          <w:ilvl w:val="0"/>
          <w:numId w:val="45"/>
        </w:numPr>
        <w:spacing w:line="360" w:lineRule="auto"/>
        <w:ind w:left="1435" w:hanging="482" w:firstLineChars="0"/>
        <w:rPr>
          <w:rFonts w:ascii="宋体" w:hAnsi="宋体"/>
          <w:sz w:val="24"/>
          <w:szCs w:val="24"/>
        </w:rPr>
      </w:pPr>
      <w:r>
        <w:rPr>
          <w:rFonts w:hint="eastAsia" w:ascii="楷体" w:hAnsi="楷体" w:eastAsia="楷体"/>
          <w:b/>
          <w:sz w:val="24"/>
          <w:szCs w:val="24"/>
        </w:rPr>
        <w:t>法人：</w:t>
      </w:r>
      <w:r>
        <w:rPr>
          <w:rFonts w:hint="eastAsia" w:ascii="宋体" w:hAnsi="宋体"/>
          <w:sz w:val="24"/>
          <w:szCs w:val="24"/>
        </w:rPr>
        <w:t>提供上年度经第三方审计的财务报告（完整的财务报告，包括“四表一注”，即资产负债表、利润表、现金流量表、所有者权益变动表及其附注），或其基本开户银行出具的资信证明；</w:t>
      </w:r>
    </w:p>
    <w:p>
      <w:pPr>
        <w:pStyle w:val="48"/>
        <w:numPr>
          <w:ilvl w:val="0"/>
          <w:numId w:val="45"/>
        </w:numPr>
        <w:spacing w:line="360" w:lineRule="auto"/>
        <w:ind w:left="1435" w:hanging="482" w:firstLineChars="0"/>
        <w:rPr>
          <w:rFonts w:ascii="宋体" w:hAns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48"/>
        <w:numPr>
          <w:ilvl w:val="0"/>
          <w:numId w:val="45"/>
        </w:numPr>
        <w:spacing w:line="360" w:lineRule="auto"/>
        <w:ind w:left="1435" w:hanging="482" w:firstLineChars="0"/>
        <w:rPr>
          <w:rFonts w:ascii="宋体" w:hAns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44"/>
        </w:numPr>
        <w:spacing w:line="360" w:lineRule="auto"/>
        <w:ind w:left="1321" w:hanging="720"/>
        <w:rPr>
          <w:rFonts w:ascii="仿宋" w:hAnsi="仿宋" w:eastAsia="仿宋" w:cs="Times New Roman"/>
          <w:b/>
          <w:sz w:val="24"/>
          <w:szCs w:val="20"/>
        </w:rPr>
      </w:pPr>
      <w:r>
        <w:rPr>
          <w:rFonts w:hint="eastAsia" w:ascii="仿宋" w:hAnsi="仿宋" w:eastAsia="仿宋" w:cs="Times New Roman"/>
          <w:b/>
          <w:sz w:val="24"/>
          <w:szCs w:val="20"/>
        </w:rPr>
        <w:t>依法缴纳税收和社会保障资金的证明材料</w:t>
      </w:r>
    </w:p>
    <w:p>
      <w:pPr>
        <w:pStyle w:val="48"/>
        <w:numPr>
          <w:ilvl w:val="0"/>
          <w:numId w:val="46"/>
        </w:numPr>
        <w:spacing w:line="360" w:lineRule="auto"/>
        <w:ind w:left="1441" w:hanging="488" w:firstLineChars="0"/>
        <w:rPr>
          <w:rFonts w:ascii="宋体" w:hAnsi="宋体"/>
          <w:sz w:val="24"/>
          <w:szCs w:val="24"/>
        </w:rPr>
      </w:pPr>
      <w:r>
        <w:rPr>
          <w:rFonts w:hint="eastAsia" w:ascii="宋体" w:hAnsi="宋体"/>
          <w:sz w:val="24"/>
          <w:szCs w:val="24"/>
        </w:rPr>
        <w:t>法人</w:t>
      </w:r>
    </w:p>
    <w:p>
      <w:pPr>
        <w:pStyle w:val="48"/>
        <w:numPr>
          <w:ilvl w:val="0"/>
          <w:numId w:val="47"/>
        </w:numPr>
        <w:spacing w:line="360" w:lineRule="auto"/>
        <w:ind w:left="1571" w:hanging="369" w:firstLineChars="0"/>
        <w:rPr>
          <w:rFonts w:hint="eastAsia" w:ascii="Helvetica" w:hAnsi="Helvetica" w:cs="Helvetica"/>
          <w:kern w:val="0"/>
          <w:sz w:val="24"/>
          <w:szCs w:val="24"/>
        </w:rPr>
      </w:pPr>
      <w:r>
        <w:rPr>
          <w:rFonts w:hint="eastAsia" w:ascii="Helvetica" w:hAnsi="Helvetica" w:cs="Helvetica"/>
          <w:kern w:val="0"/>
          <w:sz w:val="24"/>
          <w:szCs w:val="24"/>
        </w:rPr>
        <w:t>参加政府采购活动前</w:t>
      </w:r>
      <w:r>
        <w:rPr>
          <w:rFonts w:hint="eastAsia" w:ascii="Helvetica" w:hAnsi="Helvetica" w:cs="Helvetica"/>
          <w:kern w:val="0"/>
          <w:sz w:val="24"/>
          <w:szCs w:val="24"/>
          <w:lang w:eastAsia="zh-CN"/>
        </w:rPr>
        <w:t>一年</w:t>
      </w:r>
      <w:r>
        <w:rPr>
          <w:rFonts w:hint="eastAsia" w:ascii="Helvetica" w:hAnsi="Helvetica" w:cs="Helvetica"/>
          <w:kern w:val="0"/>
          <w:sz w:val="24"/>
          <w:szCs w:val="24"/>
        </w:rPr>
        <w:t>内任意</w:t>
      </w:r>
      <w:r>
        <w:rPr>
          <w:rFonts w:hint="eastAsia" w:ascii="Helvetica" w:hAnsi="Helvetica" w:cs="Helvetica"/>
          <w:kern w:val="0"/>
          <w:sz w:val="24"/>
          <w:szCs w:val="24"/>
          <w:lang w:val="en-US" w:eastAsia="zh-CN"/>
        </w:rPr>
        <w:t>3</w:t>
      </w:r>
      <w:r>
        <w:rPr>
          <w:rFonts w:hint="eastAsia" w:ascii="Helvetica" w:hAnsi="Helvetica" w:cs="Helvetica"/>
          <w:kern w:val="0"/>
          <w:sz w:val="24"/>
          <w:szCs w:val="24"/>
        </w:rPr>
        <w:t>个月缴纳增值税、营业税和企业所得税的凭据；</w:t>
      </w:r>
    </w:p>
    <w:p>
      <w:pPr>
        <w:pStyle w:val="48"/>
        <w:numPr>
          <w:ilvl w:val="0"/>
          <w:numId w:val="47"/>
        </w:numPr>
        <w:spacing w:line="360" w:lineRule="auto"/>
        <w:ind w:left="1571" w:hanging="369" w:firstLineChars="0"/>
        <w:rPr>
          <w:rFonts w:hint="eastAsia" w:ascii="Helvetica" w:hAnsi="Helvetica" w:cs="Helvetica"/>
          <w:kern w:val="0"/>
          <w:sz w:val="24"/>
          <w:szCs w:val="24"/>
        </w:rPr>
      </w:pPr>
      <w:r>
        <w:rPr>
          <w:rFonts w:hint="eastAsia" w:ascii="Helvetica" w:hAnsi="Helvetica" w:cs="Helvetica"/>
          <w:kern w:val="0"/>
          <w:sz w:val="24"/>
          <w:szCs w:val="24"/>
        </w:rPr>
        <w:t>参加政府采购活动前</w:t>
      </w:r>
      <w:r>
        <w:rPr>
          <w:rFonts w:hint="eastAsia" w:ascii="Helvetica" w:hAnsi="Helvetica" w:cs="Helvetica"/>
          <w:kern w:val="0"/>
          <w:sz w:val="24"/>
          <w:szCs w:val="24"/>
          <w:lang w:eastAsia="zh-CN"/>
        </w:rPr>
        <w:t>一年</w:t>
      </w:r>
      <w:r>
        <w:rPr>
          <w:rFonts w:hint="eastAsia" w:ascii="Helvetica" w:hAnsi="Helvetica" w:cs="Helvetica"/>
          <w:kern w:val="0"/>
          <w:sz w:val="24"/>
          <w:szCs w:val="24"/>
        </w:rPr>
        <w:t>内任意</w:t>
      </w:r>
      <w:r>
        <w:rPr>
          <w:rFonts w:hint="eastAsia" w:ascii="Helvetica" w:hAnsi="Helvetica" w:cs="Helvetica"/>
          <w:kern w:val="0"/>
          <w:sz w:val="24"/>
          <w:szCs w:val="24"/>
          <w:lang w:val="en-US" w:eastAsia="zh-CN"/>
        </w:rPr>
        <w:t>3</w:t>
      </w:r>
      <w:r>
        <w:rPr>
          <w:rFonts w:hint="eastAsia" w:ascii="Helvetica" w:hAnsi="Helvetica" w:cs="Helvetica"/>
          <w:kern w:val="0"/>
          <w:sz w:val="24"/>
          <w:szCs w:val="24"/>
        </w:rPr>
        <w:t>个月缴纳社会保险的凭据（专用收据或社会保险缴纳清单或社保证明）。</w:t>
      </w:r>
    </w:p>
    <w:p>
      <w:pPr>
        <w:pStyle w:val="48"/>
        <w:numPr>
          <w:ilvl w:val="0"/>
          <w:numId w:val="47"/>
        </w:numPr>
        <w:spacing w:line="360" w:lineRule="auto"/>
        <w:ind w:left="1571" w:hanging="369" w:firstLineChars="0"/>
        <w:rPr>
          <w:rFonts w:hint="eastAsia" w:ascii="Helvetica" w:hAnsi="Helvetica" w:cs="Helvetica"/>
          <w:kern w:val="0"/>
          <w:sz w:val="24"/>
          <w:szCs w:val="24"/>
        </w:rPr>
      </w:pPr>
      <w:r>
        <w:rPr>
          <w:rFonts w:hint="eastAsia" w:ascii="Helvetica" w:hAnsi="Helvetica" w:cs="Helvetica"/>
          <w:kern w:val="0"/>
          <w:sz w:val="24"/>
          <w:szCs w:val="24"/>
        </w:rPr>
        <w:t>其他组织和自然人</w:t>
      </w:r>
    </w:p>
    <w:p>
      <w:pPr>
        <w:pStyle w:val="48"/>
        <w:numPr>
          <w:ilvl w:val="0"/>
          <w:numId w:val="47"/>
        </w:numPr>
        <w:spacing w:line="360" w:lineRule="auto"/>
        <w:ind w:left="1571" w:hanging="369" w:firstLineChars="0"/>
        <w:rPr>
          <w:rFonts w:hint="eastAsia" w:ascii="Helvetica" w:hAnsi="Helvetica" w:cs="Helvetica"/>
          <w:kern w:val="0"/>
          <w:sz w:val="24"/>
          <w:szCs w:val="24"/>
        </w:rPr>
      </w:pPr>
      <w:r>
        <w:rPr>
          <w:rFonts w:hint="eastAsia" w:ascii="Helvetica" w:hAnsi="Helvetica" w:cs="Helvetica"/>
          <w:kern w:val="0"/>
          <w:sz w:val="24"/>
          <w:szCs w:val="24"/>
        </w:rPr>
        <w:t>参加政府采购活动前</w:t>
      </w:r>
      <w:r>
        <w:rPr>
          <w:rFonts w:hint="eastAsia" w:ascii="Helvetica" w:hAnsi="Helvetica" w:cs="Helvetica"/>
          <w:kern w:val="0"/>
          <w:sz w:val="24"/>
          <w:szCs w:val="24"/>
          <w:lang w:eastAsia="zh-CN"/>
        </w:rPr>
        <w:t>一年</w:t>
      </w:r>
      <w:r>
        <w:rPr>
          <w:rFonts w:hint="eastAsia" w:ascii="Helvetica" w:hAnsi="Helvetica" w:cs="Helvetica"/>
          <w:kern w:val="0"/>
          <w:sz w:val="24"/>
          <w:szCs w:val="24"/>
        </w:rPr>
        <w:t>内任意</w:t>
      </w:r>
      <w:r>
        <w:rPr>
          <w:rFonts w:hint="eastAsia" w:ascii="Helvetica" w:hAnsi="Helvetica" w:cs="Helvetica"/>
          <w:kern w:val="0"/>
          <w:sz w:val="24"/>
          <w:szCs w:val="24"/>
          <w:lang w:val="en-US" w:eastAsia="zh-CN"/>
        </w:rPr>
        <w:t>3</w:t>
      </w:r>
      <w:r>
        <w:rPr>
          <w:rFonts w:hint="eastAsia" w:ascii="Helvetica" w:hAnsi="Helvetica" w:cs="Helvetica"/>
          <w:kern w:val="0"/>
          <w:sz w:val="24"/>
          <w:szCs w:val="24"/>
        </w:rPr>
        <w:t>个月缴纳税收的凭据；</w:t>
      </w:r>
    </w:p>
    <w:p>
      <w:pPr>
        <w:pStyle w:val="48"/>
        <w:numPr>
          <w:ilvl w:val="0"/>
          <w:numId w:val="47"/>
        </w:numPr>
        <w:spacing w:line="360" w:lineRule="auto"/>
        <w:ind w:left="1571" w:hanging="369" w:firstLineChars="0"/>
        <w:rPr>
          <w:rFonts w:hint="eastAsia" w:ascii="Helvetica" w:hAnsi="Helvetica" w:cs="Helvetica"/>
          <w:kern w:val="0"/>
          <w:sz w:val="24"/>
          <w:szCs w:val="24"/>
        </w:rPr>
      </w:pPr>
      <w:r>
        <w:rPr>
          <w:rFonts w:hint="eastAsia" w:ascii="Helvetica" w:hAnsi="Helvetica" w:cs="Helvetica"/>
          <w:kern w:val="0"/>
          <w:sz w:val="24"/>
          <w:szCs w:val="24"/>
        </w:rPr>
        <w:t>参加政府采购活动前</w:t>
      </w:r>
      <w:r>
        <w:rPr>
          <w:rFonts w:hint="eastAsia" w:ascii="Helvetica" w:hAnsi="Helvetica" w:cs="Helvetica"/>
          <w:kern w:val="0"/>
          <w:sz w:val="24"/>
          <w:szCs w:val="24"/>
          <w:lang w:eastAsia="zh-CN"/>
        </w:rPr>
        <w:t>一年</w:t>
      </w:r>
      <w:r>
        <w:rPr>
          <w:rFonts w:hint="eastAsia" w:ascii="Helvetica" w:hAnsi="Helvetica" w:cs="Helvetica"/>
          <w:kern w:val="0"/>
          <w:sz w:val="24"/>
          <w:szCs w:val="24"/>
        </w:rPr>
        <w:t>内任意</w:t>
      </w:r>
      <w:r>
        <w:rPr>
          <w:rFonts w:hint="eastAsia" w:ascii="Helvetica" w:hAnsi="Helvetica" w:cs="Helvetica"/>
          <w:kern w:val="0"/>
          <w:sz w:val="24"/>
          <w:szCs w:val="24"/>
          <w:lang w:val="en-US" w:eastAsia="zh-CN"/>
        </w:rPr>
        <w:t>3</w:t>
      </w:r>
      <w:r>
        <w:rPr>
          <w:rFonts w:hint="eastAsia" w:ascii="Helvetica" w:hAnsi="Helvetica" w:cs="Helvetica"/>
          <w:kern w:val="0"/>
          <w:sz w:val="24"/>
          <w:szCs w:val="24"/>
        </w:rPr>
        <w:t>个月缴纳社会保险的凭据(专用收据或社会保险缴纳清单或社保证明)。</w:t>
      </w:r>
    </w:p>
    <w:p>
      <w:pPr>
        <w:pStyle w:val="48"/>
        <w:numPr>
          <w:ilvl w:val="0"/>
          <w:numId w:val="46"/>
        </w:numPr>
        <w:spacing w:line="360" w:lineRule="auto"/>
        <w:ind w:left="1441" w:hanging="488" w:firstLineChars="0"/>
        <w:rPr>
          <w:rFonts w:ascii="宋体" w:hAnsi="宋体"/>
          <w:sz w:val="24"/>
          <w:szCs w:val="24"/>
        </w:rPr>
      </w:pPr>
      <w:r>
        <w:rPr>
          <w:rFonts w:hint="eastAsia" w:ascii="宋体" w:hAnsi="宋体"/>
          <w:sz w:val="24"/>
          <w:szCs w:val="24"/>
        </w:rPr>
        <w:t>依法免税或不需要缴纳社会保险资金的投标人</w:t>
      </w:r>
    </w:p>
    <w:p>
      <w:pPr>
        <w:pStyle w:val="48"/>
        <w:spacing w:line="360" w:lineRule="auto"/>
        <w:ind w:left="1441" w:firstLine="0" w:firstLineChars="0"/>
        <w:rPr>
          <w:rFonts w:ascii="宋体" w:hAnsi="宋体"/>
          <w:sz w:val="24"/>
          <w:szCs w:val="24"/>
        </w:rPr>
      </w:pPr>
      <w:r>
        <w:rPr>
          <w:rFonts w:hint="eastAsia" w:ascii="宋体" w:hAnsi="宋体"/>
          <w:sz w:val="24"/>
          <w:szCs w:val="24"/>
        </w:rPr>
        <w:t>提供其依法免税或不需要缴纳社会保险资金的相关证明文件。</w:t>
      </w:r>
    </w:p>
    <w:p>
      <w:pPr>
        <w:pStyle w:val="48"/>
        <w:numPr>
          <w:ilvl w:val="0"/>
          <w:numId w:val="40"/>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具备履行合同所必需的设备和专业技术能力的声明材料：</w:t>
      </w:r>
    </w:p>
    <w:p>
      <w:pPr>
        <w:pStyle w:val="48"/>
        <w:numPr>
          <w:ilvl w:val="0"/>
          <w:numId w:val="40"/>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参加政府采购活动前3年内在经营活动中没有重大违法记录的书面声明：</w:t>
      </w:r>
    </w:p>
    <w:p>
      <w:pPr>
        <w:numPr>
          <w:ilvl w:val="0"/>
          <w:numId w:val="48"/>
        </w:numPr>
        <w:spacing w:line="360" w:lineRule="auto"/>
        <w:ind w:left="1321" w:hanging="720"/>
        <w:rPr>
          <w:rFonts w:ascii="宋体" w:hAnsi="宋体" w:cs="Times New Roman"/>
          <w:sz w:val="24"/>
          <w:szCs w:val="20"/>
        </w:rPr>
      </w:pPr>
      <w:r>
        <w:rPr>
          <w:rFonts w:hint="eastAsia" w:ascii="宋体" w:hAnsi="宋体" w:cs="Times New Roman"/>
          <w:sz w:val="24"/>
          <w:szCs w:val="20"/>
        </w:rPr>
        <w:t>应严格按照附件格式提交“参加政府采购活动前三年内在经营活动中没有重大违法记录的书面声明函”；</w:t>
      </w:r>
    </w:p>
    <w:p>
      <w:pPr>
        <w:numPr>
          <w:ilvl w:val="0"/>
          <w:numId w:val="48"/>
        </w:numPr>
        <w:spacing w:line="360" w:lineRule="auto"/>
        <w:ind w:left="1321" w:hanging="720"/>
        <w:rPr>
          <w:rFonts w:ascii="宋体" w:hAnsi="宋体" w:cs="Times New Roman"/>
          <w:sz w:val="24"/>
          <w:szCs w:val="20"/>
        </w:rPr>
      </w:pPr>
      <w:r>
        <w:rPr>
          <w:rFonts w:hint="eastAsia" w:ascii="宋体" w:hAnsi="宋体" w:cs="Times New Roman"/>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48"/>
        </w:numPr>
        <w:spacing w:line="360" w:lineRule="auto"/>
        <w:ind w:left="1321" w:hanging="720"/>
        <w:rPr>
          <w:rFonts w:ascii="仿宋" w:hAnsi="仿宋" w:eastAsia="仿宋" w:cs="Times New Roman"/>
          <w:sz w:val="24"/>
          <w:szCs w:val="20"/>
        </w:rPr>
      </w:pPr>
      <w:r>
        <w:rPr>
          <w:rFonts w:hint="eastAsia" w:ascii="宋体" w:hAnsi="宋体" w:cs="Times New Roman"/>
          <w:sz w:val="24"/>
          <w:szCs w:val="20"/>
        </w:rPr>
        <w:t>按照财政部《关于规范政府采购行政处罚有关问题的通知》的规定，</w:t>
      </w:r>
      <w:r>
        <w:rPr>
          <w:rFonts w:ascii="宋体" w:hAnsi="宋体" w:cs="Times New Roman"/>
          <w:sz w:val="24"/>
          <w:szCs w:val="20"/>
        </w:rPr>
        <w:t>各级人民政府财政部门依法对参加政府采购活动的供应商作出的禁止参加政府采购活动等行政处罚决定在全国范围内生效。</w:t>
      </w:r>
    </w:p>
    <w:p>
      <w:pPr>
        <w:pStyle w:val="48"/>
        <w:numPr>
          <w:ilvl w:val="0"/>
          <w:numId w:val="40"/>
        </w:numPr>
        <w:spacing w:line="360" w:lineRule="auto"/>
        <w:ind w:left="958" w:hanging="482" w:firstLineChars="0"/>
        <w:rPr>
          <w:rFonts w:ascii="宋体" w:hAnsi="宋体" w:cs="Times New Roman"/>
          <w:sz w:val="24"/>
          <w:szCs w:val="24"/>
        </w:rPr>
      </w:pPr>
      <w:r>
        <w:rPr>
          <w:rFonts w:hint="eastAsia" w:ascii="宋体" w:hAnsi="宋体" w:cs="Times New Roman"/>
          <w:sz w:val="24"/>
          <w:szCs w:val="24"/>
        </w:rPr>
        <w:t>具备法律、行政法规规定的其他条件的证明材料：</w:t>
      </w:r>
    </w:p>
    <w:p>
      <w:pPr>
        <w:numPr>
          <w:ilvl w:val="0"/>
          <w:numId w:val="49"/>
        </w:numPr>
        <w:spacing w:line="360" w:lineRule="auto"/>
        <w:ind w:left="1321" w:hanging="720"/>
        <w:rPr>
          <w:rFonts w:ascii="宋体" w:hAnsi="宋体" w:cs="Times New Roman"/>
          <w:sz w:val="24"/>
          <w:szCs w:val="20"/>
        </w:rPr>
      </w:pPr>
      <w:r>
        <w:rPr>
          <w:rFonts w:hint="eastAsia" w:ascii="宋体" w:hAnsi="宋体" w:cs="Times New Roman"/>
          <w:sz w:val="24"/>
          <w:szCs w:val="20"/>
        </w:rPr>
        <w:t>国家对生产和销售相关产品或提供相关服务有专门法律、行政法规规定的，则必须提供取得国家有关主管部门行政许可的证明材料。</w:t>
      </w:r>
    </w:p>
    <w:p>
      <w:pPr>
        <w:pStyle w:val="48"/>
        <w:numPr>
          <w:ilvl w:val="0"/>
          <w:numId w:val="39"/>
        </w:numPr>
        <w:spacing w:line="360" w:lineRule="auto"/>
        <w:ind w:left="840" w:hanging="364" w:firstLineChars="0"/>
        <w:rPr>
          <w:rFonts w:hint="eastAsia" w:ascii="宋体" w:hAnsi="宋体" w:cs="Times New Roman"/>
          <w:b/>
          <w:sz w:val="24"/>
          <w:szCs w:val="24"/>
        </w:rPr>
      </w:pPr>
      <w:r>
        <w:rPr>
          <w:rFonts w:hint="eastAsia" w:ascii="宋体" w:hAnsi="宋体" w:cs="Times New Roman"/>
          <w:b/>
          <w:sz w:val="24"/>
          <w:szCs w:val="24"/>
        </w:rPr>
        <w:t>未被“信用中国”网站(www.creditchina.gov.cn)列入失信被执行人、重大税收违法案件当事人名单，未被“中国政府采购网”(www.ccgp.gov.cn)列入政府采购严重违法失信行为记录名单的书面声明及以上网站查询结果页面截图；</w:t>
      </w:r>
    </w:p>
    <w:p>
      <w:pPr>
        <w:pStyle w:val="48"/>
        <w:numPr>
          <w:ilvl w:val="0"/>
          <w:numId w:val="39"/>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招标文件第一章“投标人资格要求”中有特殊要求的，投标人应提供其符合特殊要求的证明材料或者情况说明；</w:t>
      </w:r>
    </w:p>
    <w:p>
      <w:pPr>
        <w:pStyle w:val="48"/>
        <w:numPr>
          <w:ilvl w:val="0"/>
          <w:numId w:val="39"/>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不符合联合体投标相关规定和要求的；</w:t>
      </w:r>
    </w:p>
    <w:p>
      <w:pPr>
        <w:pStyle w:val="48"/>
        <w:numPr>
          <w:ilvl w:val="0"/>
          <w:numId w:val="39"/>
        </w:numPr>
        <w:spacing w:line="360" w:lineRule="auto"/>
        <w:ind w:left="840" w:hanging="364" w:firstLineChars="0"/>
        <w:rPr>
          <w:rFonts w:ascii="宋体" w:hAnsi="宋体" w:cs="Times New Roman"/>
          <w:b/>
          <w:sz w:val="24"/>
          <w:szCs w:val="24"/>
        </w:rPr>
      </w:pPr>
      <w:r>
        <w:rPr>
          <w:rFonts w:hint="eastAsia" w:ascii="宋体" w:hAnsi="宋体" w:cs="Times New Roman"/>
          <w:b/>
          <w:sz w:val="24"/>
          <w:szCs w:val="24"/>
        </w:rPr>
        <w:t>投标人认为需提供的其它相关资格证明材料；</w:t>
      </w:r>
    </w:p>
    <w:p>
      <w:pPr>
        <w:numPr>
          <w:ilvl w:val="0"/>
          <w:numId w:val="38"/>
        </w:numPr>
        <w:tabs>
          <w:tab w:val="left" w:pos="1098"/>
        </w:tabs>
        <w:spacing w:line="360" w:lineRule="auto"/>
        <w:ind w:left="14" w:firstLine="238"/>
        <w:rPr>
          <w:rFonts w:ascii="宋体" w:hAnsi="宋体" w:cs="Times New Roman"/>
          <w:b/>
          <w:sz w:val="24"/>
          <w:szCs w:val="24"/>
        </w:rPr>
      </w:pPr>
      <w:r>
        <w:rPr>
          <w:rFonts w:hint="eastAsia" w:ascii="宋体" w:hAnsi="宋体" w:cs="Times New Roman"/>
          <w:b/>
          <w:sz w:val="24"/>
          <w:szCs w:val="24"/>
        </w:rPr>
        <w:t>确定资格审查合格投标人</w:t>
      </w:r>
    </w:p>
    <w:p>
      <w:pPr>
        <w:pStyle w:val="48"/>
        <w:numPr>
          <w:ilvl w:val="0"/>
          <w:numId w:val="50"/>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48"/>
        <w:numPr>
          <w:ilvl w:val="0"/>
          <w:numId w:val="50"/>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资格审查合格投标人不足3家的，不进行评标。</w:t>
      </w:r>
    </w:p>
    <w:p>
      <w:pPr>
        <w:pStyle w:val="48"/>
        <w:numPr>
          <w:ilvl w:val="0"/>
          <w:numId w:val="50"/>
        </w:numPr>
        <w:spacing w:line="360" w:lineRule="auto"/>
        <w:ind w:left="840" w:hanging="364" w:firstLineChars="0"/>
        <w:rPr>
          <w:rFonts w:ascii="宋体" w:hAnsi="宋体" w:cs="Times New Roman"/>
          <w:sz w:val="24"/>
          <w:szCs w:val="24"/>
        </w:rPr>
      </w:pPr>
      <w:r>
        <w:rPr>
          <w:rFonts w:hint="eastAsia" w:ascii="宋体" w:hAnsi="宋体" w:cs="Times New Roman"/>
          <w:sz w:val="24"/>
          <w:szCs w:val="24"/>
        </w:rPr>
        <w:t>资格审查未通过的投标人可在结果公告质疑有效期内按公告中的联系方式获知</w:t>
      </w:r>
      <w:r>
        <w:rPr>
          <w:rFonts w:ascii="宋体" w:hAnsi="宋体" w:cs="Times New Roman"/>
          <w:sz w:val="24"/>
          <w:szCs w:val="24"/>
        </w:rPr>
        <w:t>本</w:t>
      </w:r>
      <w:r>
        <w:rPr>
          <w:rFonts w:hint="eastAsia" w:ascii="宋体" w:hAnsi="宋体" w:cs="Times New Roman"/>
          <w:sz w:val="24"/>
          <w:szCs w:val="24"/>
        </w:rPr>
        <w:t>单位</w:t>
      </w:r>
      <w:r>
        <w:rPr>
          <w:rFonts w:ascii="宋体" w:hAnsi="宋体" w:cs="Times New Roman"/>
          <w:sz w:val="24"/>
          <w:szCs w:val="24"/>
        </w:rPr>
        <w:t>的</w:t>
      </w:r>
      <w:r>
        <w:rPr>
          <w:rFonts w:hint="eastAsia" w:ascii="宋体" w:hAnsi="宋体" w:cs="Times New Roman"/>
          <w:sz w:val="24"/>
          <w:szCs w:val="24"/>
        </w:rPr>
        <w:t>资格审查情况。</w:t>
      </w:r>
    </w:p>
    <w:p>
      <w:pPr>
        <w:pStyle w:val="48"/>
        <w:numPr>
          <w:ilvl w:val="0"/>
          <w:numId w:val="50"/>
        </w:numPr>
        <w:spacing w:line="360" w:lineRule="auto"/>
        <w:ind w:left="840" w:hanging="364" w:firstLineChars="0"/>
        <w:rPr>
          <w:rFonts w:ascii="宋体" w:hAnsi="宋体" w:cs="Times New Roman"/>
          <w:b/>
          <w:sz w:val="24"/>
          <w:szCs w:val="24"/>
        </w:rPr>
      </w:pPr>
      <w:r>
        <w:rPr>
          <w:rFonts w:hint="eastAsia" w:ascii="宋体" w:hAnsi="宋体" w:cs="Times New Roman"/>
          <w:sz w:val="24"/>
          <w:szCs w:val="24"/>
        </w:rPr>
        <w:t>采购人已进行资格预审的，不再进行资格审查。未通过资格预审的投标人采购代理机构</w:t>
      </w:r>
      <w:r>
        <w:rPr>
          <w:rFonts w:hint="eastAsia" w:ascii="宋体" w:hAnsi="宋体" w:cs="Times New Roman"/>
          <w:b/>
          <w:sz w:val="24"/>
          <w:szCs w:val="24"/>
        </w:rPr>
        <w:t>拒绝</w:t>
      </w:r>
      <w:r>
        <w:rPr>
          <w:rFonts w:hint="eastAsia" w:ascii="宋体" w:hAnsi="宋体" w:cs="Times New Roman"/>
          <w:sz w:val="24"/>
          <w:szCs w:val="24"/>
        </w:rPr>
        <w:t>其投标。</w:t>
      </w:r>
    </w:p>
    <w:p>
      <w:pPr>
        <w:pStyle w:val="3"/>
        <w:spacing w:line="360" w:lineRule="auto"/>
        <w:jc w:val="center"/>
        <w:rPr>
          <w:rFonts w:ascii="黑体" w:hAnsi="黑体" w:eastAsia="黑体"/>
        </w:rPr>
      </w:pPr>
      <w:r>
        <w:rPr>
          <w:rFonts w:hint="eastAsia" w:ascii="宋体" w:hAnsi="宋体" w:cs="Times New Roman"/>
          <w:sz w:val="24"/>
          <w:szCs w:val="24"/>
        </w:rPr>
        <w:br w:type="page"/>
      </w:r>
      <w:bookmarkStart w:id="56" w:name="_Toc13620"/>
      <w:r>
        <w:rPr>
          <w:rFonts w:hint="eastAsia" w:ascii="黑体" w:hAnsi="黑体" w:eastAsia="黑体"/>
        </w:rPr>
        <w:t>第五章 评标方法、程序及标准</w:t>
      </w:r>
      <w:bookmarkEnd w:id="5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51"/>
        </w:numPr>
        <w:spacing w:before="0" w:after="0" w:line="360" w:lineRule="auto"/>
        <w:ind w:left="616" w:hanging="616"/>
        <w:jc w:val="left"/>
        <w:rPr>
          <w:rFonts w:cs="Times New Roman" w:asciiTheme="majorEastAsia" w:hAnsiTheme="majorEastAsia"/>
          <w:bCs w:val="0"/>
          <w:sz w:val="30"/>
          <w:szCs w:val="30"/>
          <w:lang w:val="zh-CN"/>
        </w:rPr>
      </w:pPr>
      <w:bookmarkStart w:id="57" w:name="_Toc278891605"/>
      <w:bookmarkStart w:id="58" w:name="_Toc272247708"/>
      <w:bookmarkStart w:id="59" w:name="_Toc494561961"/>
      <w:bookmarkStart w:id="60" w:name="_Toc23591"/>
      <w:r>
        <w:rPr>
          <w:rFonts w:hint="eastAsia" w:cs="Times New Roman" w:asciiTheme="majorEastAsia" w:hAnsiTheme="majorEastAsia"/>
          <w:bCs w:val="0"/>
          <w:sz w:val="30"/>
          <w:szCs w:val="30"/>
          <w:lang w:val="zh-CN"/>
        </w:rPr>
        <w:t>评标</w:t>
      </w:r>
      <w:bookmarkEnd w:id="57"/>
      <w:bookmarkEnd w:id="58"/>
      <w:r>
        <w:rPr>
          <w:rFonts w:hint="eastAsia" w:cs="Times New Roman" w:asciiTheme="majorEastAsia" w:hAnsiTheme="majorEastAsia"/>
          <w:bCs w:val="0"/>
          <w:sz w:val="30"/>
          <w:szCs w:val="30"/>
          <w:lang w:val="zh-CN"/>
        </w:rPr>
        <w:t>方法</w:t>
      </w:r>
      <w:bookmarkEnd w:id="59"/>
      <w:bookmarkEnd w:id="6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color w:val="0000FF"/>
          <w:sz w:val="24"/>
          <w:szCs w:val="20"/>
          <w:lang w:val="zh-CN"/>
        </w:rPr>
        <w:t>本项目评标采用综合评分法，</w:t>
      </w:r>
      <w:r>
        <w:rPr>
          <w:rFonts w:ascii="宋体" w:hAnsi="宋体" w:eastAsia="宋体" w:cs="Times New Roman"/>
          <w:bCs/>
          <w:color w:val="0000FF"/>
          <w:sz w:val="24"/>
          <w:szCs w:val="20"/>
          <w:lang w:val="zh-CN"/>
        </w:rPr>
        <w:t>是指投标文件满足招标文件全部实质性要求，且按照评审因素的量化指标评审得分最高的投标人为中标候选人的评标方法。</w:t>
      </w:r>
    </w:p>
    <w:p>
      <w:pPr>
        <w:pStyle w:val="4"/>
        <w:numPr>
          <w:ilvl w:val="0"/>
          <w:numId w:val="51"/>
        </w:numPr>
        <w:spacing w:before="0" w:after="0" w:line="360" w:lineRule="auto"/>
        <w:ind w:left="616" w:hanging="616"/>
        <w:jc w:val="left"/>
        <w:rPr>
          <w:rFonts w:cs="Times New Roman" w:asciiTheme="majorEastAsia" w:hAnsiTheme="majorEastAsia"/>
          <w:bCs w:val="0"/>
          <w:sz w:val="30"/>
          <w:szCs w:val="30"/>
          <w:lang w:val="zh-CN"/>
        </w:rPr>
      </w:pPr>
      <w:bookmarkStart w:id="61" w:name="_Toc278891606"/>
      <w:bookmarkStart w:id="62" w:name="_Toc272247709"/>
      <w:bookmarkStart w:id="63" w:name="_Toc6615"/>
      <w:bookmarkStart w:id="64" w:name="_Toc494561962"/>
      <w:r>
        <w:rPr>
          <w:rFonts w:hint="eastAsia" w:cs="Times New Roman" w:asciiTheme="majorEastAsia" w:hAnsiTheme="majorEastAsia"/>
          <w:bCs w:val="0"/>
          <w:sz w:val="30"/>
          <w:szCs w:val="30"/>
          <w:lang w:val="zh-CN"/>
        </w:rPr>
        <w:t>评标程序</w:t>
      </w:r>
      <w:bookmarkEnd w:id="61"/>
      <w:bookmarkEnd w:id="62"/>
      <w:r>
        <w:rPr>
          <w:rFonts w:hint="eastAsia" w:cs="Times New Roman" w:asciiTheme="majorEastAsia" w:hAnsiTheme="majorEastAsia"/>
          <w:bCs w:val="0"/>
          <w:sz w:val="30"/>
          <w:szCs w:val="30"/>
          <w:lang w:val="zh-CN"/>
        </w:rPr>
        <w:t>及标准</w:t>
      </w:r>
      <w:bookmarkEnd w:id="63"/>
      <w:bookmarkEnd w:id="6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52"/>
        </w:numPr>
        <w:spacing w:line="360" w:lineRule="auto"/>
        <w:ind w:left="1315" w:leftChars="154" w:hanging="992"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符合性审查出现下列情形之一的投标按照无效投标处理：</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5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无法定代表人签字（签章）或签字（签章）人无法定代表人有效授权的（本项目可以由分公司或分支机构总负责人签字（签章）或其授权人签字（签章））；</w:t>
      </w:r>
    </w:p>
    <w:p>
      <w:pPr>
        <w:numPr>
          <w:ilvl w:val="0"/>
          <w:numId w:val="53"/>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53"/>
        </w:numPr>
        <w:tabs>
          <w:tab w:val="left" w:pos="742"/>
        </w:tabs>
        <w:spacing w:line="360" w:lineRule="auto"/>
        <w:ind w:left="10" w:leftChars="5" w:firstLine="237" w:firstLineChars="99"/>
        <w:rPr>
          <w:rFonts w:hint="eastAsia"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符合招标文件第二章“投标人须知”中第</w:t>
      </w:r>
      <w:r>
        <w:rPr>
          <w:rFonts w:hint="eastAsia" w:ascii="Times New Roman" w:hAnsi="宋体" w:eastAsia="宋体" w:cs="Times New Roman"/>
          <w:sz w:val="24"/>
          <w:szCs w:val="24"/>
          <w:lang w:val="en-US" w:eastAsia="zh-CN"/>
        </w:rPr>
        <w:t>38</w:t>
      </w:r>
      <w:r>
        <w:rPr>
          <w:rFonts w:hint="eastAsia" w:ascii="Times New Roman" w:hAnsi="宋体" w:eastAsia="宋体" w:cs="Times New Roman"/>
          <w:sz w:val="24"/>
          <w:szCs w:val="24"/>
          <w:lang w:val="zh-CN"/>
        </w:rPr>
        <w:t>条中规定情形，以分公司形式参与投标的，法定代表人授权书未由分公司或分支机构总负责人签字（签章）并加盖公章的；</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 其他注意事项”中规定的书面声明的；</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52"/>
        </w:numPr>
        <w:ind w:left="1315" w:leftChars="154" w:hanging="992"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4"/>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4"/>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4"/>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52"/>
        </w:numPr>
        <w:ind w:left="1315" w:leftChars="154" w:hanging="992"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6"/>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6"/>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6"/>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2" w:firstLineChars="200"/>
        <w:rPr>
          <w:rFonts w:ascii="宋体" w:hAnsi="宋体" w:eastAsia="宋体" w:cs="Times New Roman"/>
          <w:b/>
          <w:bCs w:val="0"/>
          <w:color w:val="FF0000"/>
          <w:sz w:val="24"/>
          <w:szCs w:val="24"/>
        </w:rPr>
      </w:pPr>
      <w:r>
        <w:rPr>
          <w:rFonts w:hint="eastAsia" w:ascii="宋体" w:hAnsi="宋体" w:eastAsia="宋体" w:cs="Times New Roman"/>
          <w:b/>
          <w:bCs w:val="0"/>
          <w:color w:val="FF0000"/>
          <w:sz w:val="24"/>
          <w:szCs w:val="24"/>
        </w:rPr>
        <w:t>评标委员会对符合性审查合格的投标文件进行价格评议（</w:t>
      </w:r>
      <w:r>
        <w:rPr>
          <w:rFonts w:hint="eastAsia" w:ascii="宋体" w:hAnsi="宋体" w:eastAsia="宋体" w:cs="Times New Roman"/>
          <w:b/>
          <w:bCs w:val="0"/>
          <w:color w:val="FF0000"/>
          <w:sz w:val="24"/>
          <w:szCs w:val="21"/>
          <w:lang w:val="zh-CN"/>
        </w:rPr>
        <w:t>执行国家统一定价标准和采用固定价格采购的项目，其价格不列为评审因素</w:t>
      </w:r>
      <w:r>
        <w:rPr>
          <w:rFonts w:hint="eastAsia" w:ascii="宋体" w:hAnsi="宋体" w:eastAsia="宋体" w:cs="Times New Roman"/>
          <w:b/>
          <w:bCs w:val="0"/>
          <w:color w:val="FF0000"/>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7"/>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Cs/>
          <w:color w:val="0D0D0D"/>
          <w:sz w:val="24"/>
          <w:szCs w:val="20"/>
          <w:lang w:val="zh-CN"/>
        </w:rPr>
        <w:t>报价合理性说明：评标</w:t>
      </w:r>
      <w:r>
        <w:rPr>
          <w:rFonts w:ascii="宋体" w:hAnsi="宋体" w:eastAsia="宋体" w:cs="Helvetica"/>
          <w:kern w:val="0"/>
          <w:sz w:val="24"/>
          <w:szCs w:val="24"/>
          <w:lang w:val="zh-CN"/>
        </w:rPr>
        <w:t>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7"/>
        </w:numPr>
        <w:adjustRightInd w:val="0"/>
        <w:spacing w:line="360" w:lineRule="auto"/>
        <w:ind w:left="742" w:hanging="493"/>
        <w:rPr>
          <w:rFonts w:ascii="宋体" w:hAnsi="宋体" w:eastAsia="宋体" w:cs="Times New Roman"/>
          <w:b/>
          <w:color w:val="FF0000"/>
          <w:sz w:val="24"/>
          <w:szCs w:val="24"/>
          <w:lang w:val="zh-CN"/>
        </w:rPr>
      </w:pPr>
      <w:r>
        <w:rPr>
          <w:rFonts w:hint="eastAsia" w:ascii="宋体" w:hAnsi="宋体" w:eastAsia="宋体" w:cs="Times New Roman"/>
          <w:b/>
          <w:color w:val="FF0000"/>
          <w:sz w:val="24"/>
          <w:szCs w:val="24"/>
          <w:lang w:val="zh-CN"/>
        </w:rPr>
        <w:t>小型和微型企业、监狱企业、残疾人福利性单位价格扣除：</w:t>
      </w:r>
    </w:p>
    <w:p>
      <w:pPr>
        <w:numPr>
          <w:ilvl w:val="0"/>
          <w:numId w:val="58"/>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color w:val="FF0000"/>
          <w:sz w:val="24"/>
          <w:szCs w:val="20"/>
          <w:lang w:val="zh-CN"/>
        </w:rPr>
        <w:t>6%</w:t>
      </w:r>
      <w:r>
        <w:rPr>
          <w:rFonts w:hint="eastAsia" w:ascii="宋体" w:hAnsi="宋体" w:eastAsia="宋体" w:cs="Times New Roman"/>
          <w:bCs/>
          <w:color w:val="FF0000"/>
          <w:sz w:val="24"/>
          <w:szCs w:val="20"/>
          <w:lang w:val="zh-CN"/>
        </w:rPr>
        <w:t>的扣除，用扣除后的价格参与评审。</w:t>
      </w:r>
    </w:p>
    <w:p>
      <w:pPr>
        <w:numPr>
          <w:ilvl w:val="0"/>
          <w:numId w:val="58"/>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非专门面向中小企业的工程、服务类采购项目，投标人是小型和微型企业的价格给予</w:t>
      </w:r>
      <w:r>
        <w:rPr>
          <w:rFonts w:hint="eastAsia" w:ascii="宋体" w:hAnsi="宋体" w:eastAsia="宋体" w:cs="Times New Roman"/>
          <w:b/>
          <w:bCs/>
          <w:color w:val="FF0000"/>
          <w:sz w:val="24"/>
          <w:szCs w:val="20"/>
          <w:lang w:val="zh-CN"/>
        </w:rPr>
        <w:t>6%</w:t>
      </w:r>
      <w:r>
        <w:rPr>
          <w:rFonts w:hint="eastAsia" w:ascii="宋体" w:hAnsi="宋体" w:eastAsia="宋体" w:cs="Times New Roman"/>
          <w:bCs/>
          <w:color w:val="FF0000"/>
          <w:sz w:val="24"/>
          <w:szCs w:val="20"/>
          <w:lang w:val="zh-CN"/>
        </w:rPr>
        <w:t>的扣除，用扣除后的价格参与评审。</w:t>
      </w:r>
    </w:p>
    <w:p>
      <w:pPr>
        <w:numPr>
          <w:ilvl w:val="0"/>
          <w:numId w:val="58"/>
        </w:numPr>
        <w:spacing w:line="360" w:lineRule="auto"/>
        <w:ind w:left="1134" w:hanging="756"/>
        <w:rPr>
          <w:rFonts w:ascii="宋体" w:hAnsi="宋体" w:eastAsia="宋体" w:cs="Times New Roman"/>
          <w:bCs/>
          <w:color w:val="FF0000"/>
          <w:sz w:val="24"/>
          <w:szCs w:val="20"/>
          <w:lang w:val="zh-CN"/>
        </w:rPr>
      </w:pPr>
      <w:r>
        <w:rPr>
          <w:rFonts w:ascii="宋体" w:hAnsi="宋体" w:eastAsia="宋体" w:cs="Times New Roman"/>
          <w:bCs/>
          <w:color w:val="FF0000"/>
          <w:sz w:val="24"/>
          <w:szCs w:val="20"/>
          <w:lang w:val="zh-CN"/>
        </w:rPr>
        <w:t>鼓励大中型企业和其他自然人</w:t>
      </w:r>
      <w:r>
        <w:rPr>
          <w:rFonts w:ascii="宋体" w:hAnsi="宋体" w:eastAsia="宋体" w:cs="Times New Roman"/>
          <w:bCs/>
          <w:color w:val="FF0000"/>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FF0000"/>
          <w:sz w:val="24"/>
          <w:szCs w:val="20"/>
        </w:rPr>
        <w:t>30%</w:t>
      </w:r>
      <w:r>
        <w:rPr>
          <w:rFonts w:ascii="宋体" w:hAnsi="宋体" w:eastAsia="宋体" w:cs="Times New Roman"/>
          <w:bCs/>
          <w:color w:val="FF0000"/>
          <w:sz w:val="24"/>
          <w:szCs w:val="20"/>
        </w:rPr>
        <w:t>以上的，可给予联合体</w:t>
      </w:r>
      <w:r>
        <w:rPr>
          <w:rFonts w:ascii="宋体" w:hAnsi="宋体" w:eastAsia="宋体" w:cs="Times New Roman"/>
          <w:b/>
          <w:bCs/>
          <w:color w:val="FF0000"/>
          <w:sz w:val="24"/>
          <w:szCs w:val="20"/>
          <w:lang w:val="zh-CN"/>
        </w:rPr>
        <w:t>3%</w:t>
      </w:r>
      <w:r>
        <w:rPr>
          <w:rFonts w:ascii="宋体" w:hAnsi="宋体" w:eastAsia="宋体" w:cs="Times New Roman"/>
          <w:bCs/>
          <w:color w:val="FF0000"/>
          <w:sz w:val="24"/>
          <w:szCs w:val="20"/>
        </w:rPr>
        <w:t>的价格扣除</w:t>
      </w:r>
      <w:r>
        <w:rPr>
          <w:rFonts w:hint="eastAsia" w:ascii="宋体" w:hAnsi="宋体" w:eastAsia="宋体" w:cs="Times New Roman"/>
          <w:bCs/>
          <w:color w:val="FF0000"/>
          <w:sz w:val="24"/>
          <w:szCs w:val="20"/>
        </w:rPr>
        <w:t>，</w:t>
      </w:r>
      <w:r>
        <w:rPr>
          <w:rFonts w:hint="eastAsia" w:ascii="宋体" w:hAnsi="宋体" w:eastAsia="宋体" w:cs="Times New Roman"/>
          <w:bCs/>
          <w:color w:val="FF0000"/>
          <w:sz w:val="24"/>
          <w:szCs w:val="20"/>
          <w:lang w:val="zh-CN"/>
        </w:rPr>
        <w:t>不重复享受政策。</w:t>
      </w:r>
    </w:p>
    <w:p>
      <w:pPr>
        <w:numPr>
          <w:ilvl w:val="0"/>
          <w:numId w:val="58"/>
        </w:numPr>
        <w:spacing w:line="360" w:lineRule="auto"/>
        <w:ind w:left="1134" w:hanging="756"/>
        <w:rPr>
          <w:rFonts w:ascii="宋体" w:hAnsi="宋体" w:eastAsia="宋体" w:cs="Times New Roman"/>
          <w:bCs/>
          <w:color w:val="FF0000"/>
          <w:sz w:val="24"/>
          <w:szCs w:val="20"/>
          <w:lang w:val="zh-CN"/>
        </w:rPr>
      </w:pPr>
      <w:r>
        <w:rPr>
          <w:rFonts w:ascii="宋体" w:hAnsi="宋体" w:eastAsia="宋体" w:cs="Times New Roman"/>
          <w:bCs/>
          <w:color w:val="FF0000"/>
          <w:sz w:val="24"/>
          <w:szCs w:val="20"/>
          <w:lang w:val="zh-CN"/>
        </w:rPr>
        <w:t>监狱企业</w:t>
      </w:r>
      <w:r>
        <w:rPr>
          <w:rFonts w:hint="eastAsia" w:ascii="宋体" w:hAnsi="宋体" w:eastAsia="宋体" w:cs="Times New Roman"/>
          <w:bCs/>
          <w:color w:val="FF0000"/>
          <w:sz w:val="24"/>
          <w:szCs w:val="20"/>
          <w:lang w:val="zh-CN"/>
        </w:rPr>
        <w:t>、残疾人福利性单位</w:t>
      </w:r>
      <w:r>
        <w:rPr>
          <w:rFonts w:ascii="宋体" w:hAnsi="宋体" w:eastAsia="宋体" w:cs="Times New Roman"/>
          <w:bCs/>
          <w:color w:val="FF0000"/>
          <w:sz w:val="24"/>
          <w:szCs w:val="20"/>
          <w:lang w:val="zh-CN"/>
        </w:rPr>
        <w:t>视同小型、微型企业，享受预留份额、评审中价格扣除等政府采购促进中小企业发展的政府采购政策</w:t>
      </w:r>
      <w:r>
        <w:rPr>
          <w:rFonts w:hint="eastAsia" w:ascii="宋体" w:hAnsi="宋体" w:eastAsia="宋体" w:cs="Times New Roman"/>
          <w:bCs/>
          <w:color w:val="FF0000"/>
          <w:sz w:val="24"/>
          <w:szCs w:val="20"/>
          <w:lang w:val="zh-CN"/>
        </w:rPr>
        <w:t>，残疾人福利性单位属于小型、微型企业的，不重复享受政策。</w:t>
      </w:r>
    </w:p>
    <w:p>
      <w:pPr>
        <w:numPr>
          <w:ilvl w:val="0"/>
          <w:numId w:val="58"/>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6"/>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9"/>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9"/>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6"/>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60"/>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采购机构对各评委的总分进行复核。各项统计结果均精确到小数点后两位。</w:t>
      </w:r>
    </w:p>
    <w:p>
      <w:pPr>
        <w:numPr>
          <w:ilvl w:val="0"/>
          <w:numId w:val="60"/>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52"/>
        </w:numPr>
        <w:ind w:left="1315" w:leftChars="154" w:hanging="992"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61"/>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1"/>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1"/>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61"/>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61"/>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4"/>
        <w:numPr>
          <w:ilvl w:val="0"/>
          <w:numId w:val="51"/>
        </w:numPr>
        <w:spacing w:before="0" w:after="0" w:line="360" w:lineRule="auto"/>
        <w:ind w:left="616" w:hanging="616"/>
        <w:jc w:val="left"/>
        <w:rPr>
          <w:rFonts w:cs="Times New Roman" w:asciiTheme="majorEastAsia" w:hAnsiTheme="majorEastAsia"/>
          <w:bCs w:val="0"/>
          <w:sz w:val="30"/>
          <w:szCs w:val="30"/>
          <w:lang w:val="zh-CN"/>
        </w:rPr>
      </w:pPr>
      <w:bookmarkStart w:id="65" w:name="_Toc494561963"/>
      <w:bookmarkStart w:id="66" w:name="_Toc26911"/>
      <w:r>
        <w:rPr>
          <w:rFonts w:hint="eastAsia" w:cs="Times New Roman" w:asciiTheme="majorEastAsia" w:hAnsiTheme="majorEastAsia"/>
          <w:bCs w:val="0"/>
          <w:sz w:val="30"/>
          <w:szCs w:val="30"/>
          <w:lang w:val="zh-CN"/>
        </w:rPr>
        <w:t>评审因素及评分标准</w:t>
      </w:r>
      <w:bookmarkEnd w:id="65"/>
      <w:bookmarkEnd w:id="66"/>
    </w:p>
    <w:p>
      <w:pPr>
        <w:pStyle w:val="23"/>
        <w:ind w:left="420" w:firstLine="480"/>
        <w:rPr>
          <w:rFonts w:ascii="Helvetica" w:hAnsi="Helvetica" w:eastAsia="宋体" w:cs="Helvetica"/>
          <w:kern w:val="0"/>
          <w:sz w:val="24"/>
          <w:szCs w:val="24"/>
          <w:lang w:val="zh-CN"/>
        </w:rPr>
      </w:pPr>
      <w:bookmarkStart w:id="67" w:name="_Hlk89336112"/>
    </w:p>
    <w:p>
      <w:pPr>
        <w:rPr>
          <w:rFonts w:hint="eastAsia" w:ascii="Helvetica" w:hAnsi="Helvetica" w:eastAsia="宋体" w:cs="Helvetica"/>
          <w:kern w:val="0"/>
          <w:sz w:val="24"/>
          <w:szCs w:val="24"/>
          <w:lang w:val="zh-CN"/>
        </w:rPr>
      </w:pPr>
      <w:r>
        <w:rPr>
          <w:rFonts w:hint="eastAsia" w:ascii="Helvetica" w:hAnsi="Helvetica" w:eastAsia="宋体" w:cs="Helvetica"/>
          <w:kern w:val="0"/>
          <w:sz w:val="24"/>
          <w:szCs w:val="24"/>
          <w:lang w:val="zh-CN"/>
        </w:rPr>
        <w:br w:type="page"/>
      </w:r>
    </w:p>
    <w:p>
      <w:pPr>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附表1：资格性审查对照表</w:t>
      </w:r>
      <w:bookmarkEnd w:id="67"/>
    </w:p>
    <w:tbl>
      <w:tblPr>
        <w:tblStyle w:val="24"/>
        <w:tblpPr w:leftFromText="180" w:rightFromText="180" w:vertAnchor="text" w:horzAnchor="margin" w:tblpX="-421" w:tblpY="929"/>
        <w:tblOverlap w:val="never"/>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3521"/>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20" w:type="dxa"/>
            <w:vMerge w:val="restart"/>
          </w:tcPr>
          <w:p>
            <w:pPr>
              <w:pStyle w:val="52"/>
              <w:spacing w:line="240" w:lineRule="auto"/>
              <w:ind w:left="146" w:right="135"/>
              <w:jc w:val="both"/>
              <w:rPr>
                <w:sz w:val="21"/>
                <w:szCs w:val="21"/>
              </w:rPr>
            </w:pPr>
          </w:p>
          <w:p>
            <w:pPr>
              <w:pStyle w:val="52"/>
              <w:spacing w:line="240" w:lineRule="auto"/>
              <w:ind w:left="146" w:right="135"/>
              <w:jc w:val="both"/>
              <w:rPr>
                <w:sz w:val="21"/>
                <w:szCs w:val="21"/>
              </w:rPr>
            </w:pPr>
          </w:p>
          <w:p>
            <w:pPr>
              <w:pStyle w:val="52"/>
              <w:spacing w:line="240" w:lineRule="auto"/>
              <w:ind w:left="146" w:right="135"/>
              <w:jc w:val="both"/>
              <w:rPr>
                <w:sz w:val="21"/>
                <w:szCs w:val="21"/>
              </w:rPr>
            </w:pPr>
            <w:r>
              <w:rPr>
                <w:rFonts w:hint="eastAsia"/>
                <w:sz w:val="21"/>
                <w:szCs w:val="21"/>
              </w:rPr>
              <w:t>政府采购法二十二条规定内容</w:t>
            </w:r>
          </w:p>
        </w:tc>
        <w:tc>
          <w:tcPr>
            <w:tcW w:w="3521" w:type="dxa"/>
          </w:tcPr>
          <w:p>
            <w:pPr>
              <w:pStyle w:val="52"/>
              <w:spacing w:line="240" w:lineRule="auto"/>
              <w:ind w:left="1703" w:right="1261"/>
              <w:jc w:val="center"/>
              <w:rPr>
                <w:sz w:val="21"/>
                <w:szCs w:val="21"/>
              </w:rPr>
            </w:pPr>
            <w:r>
              <w:rPr>
                <w:rFonts w:hint="eastAsia"/>
                <w:sz w:val="21"/>
                <w:szCs w:val="21"/>
              </w:rPr>
              <w:t>审查内容</w:t>
            </w:r>
          </w:p>
        </w:tc>
        <w:tc>
          <w:tcPr>
            <w:tcW w:w="4536" w:type="dxa"/>
          </w:tcPr>
          <w:p>
            <w:pPr>
              <w:pStyle w:val="52"/>
              <w:spacing w:line="240" w:lineRule="auto"/>
              <w:ind w:left="2135" w:right="1694"/>
              <w:jc w:val="center"/>
              <w:rPr>
                <w:sz w:val="21"/>
                <w:szCs w:val="21"/>
              </w:rPr>
            </w:pPr>
            <w:r>
              <w:rPr>
                <w:rFonts w:hint="eastAsia"/>
                <w:sz w:val="21"/>
                <w:szCs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rPr>
                <w:b/>
                <w:sz w:val="21"/>
                <w:szCs w:val="21"/>
              </w:rPr>
            </w:pPr>
          </w:p>
          <w:p>
            <w:pPr>
              <w:pStyle w:val="52"/>
              <w:spacing w:line="240" w:lineRule="auto"/>
              <w:ind w:left="107"/>
              <w:rPr>
                <w:sz w:val="21"/>
                <w:szCs w:val="21"/>
              </w:rPr>
            </w:pPr>
            <w:r>
              <w:rPr>
                <w:rFonts w:hint="eastAsia"/>
                <w:sz w:val="21"/>
                <w:szCs w:val="21"/>
              </w:rPr>
              <w:t>（1）具有独立承担民事责任的能力；</w:t>
            </w:r>
          </w:p>
        </w:tc>
        <w:tc>
          <w:tcPr>
            <w:tcW w:w="4536" w:type="dxa"/>
            <w:vAlign w:val="center"/>
          </w:tcPr>
          <w:p>
            <w:pPr>
              <w:pStyle w:val="52"/>
              <w:spacing w:line="240" w:lineRule="auto"/>
              <w:ind w:left="107"/>
              <w:rPr>
                <w:rFonts w:hint="eastAsia"/>
                <w:sz w:val="21"/>
                <w:szCs w:val="21"/>
              </w:rPr>
            </w:pPr>
            <w:r>
              <w:rPr>
                <w:rFonts w:hint="eastAsia"/>
                <w:sz w:val="21"/>
                <w:szCs w:val="21"/>
              </w:rPr>
              <w:t>提供合格、有效的法人或者其他组织的营业执照 等证明文件；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ind w:left="107" w:right="97"/>
              <w:rPr>
                <w:sz w:val="21"/>
                <w:szCs w:val="21"/>
              </w:rPr>
            </w:pPr>
            <w:r>
              <w:rPr>
                <w:rFonts w:hint="eastAsia"/>
                <w:sz w:val="21"/>
                <w:szCs w:val="21"/>
              </w:rPr>
              <w:t>（2）具有良好的商业信誉和健全的财务会计制度；</w:t>
            </w:r>
          </w:p>
        </w:tc>
        <w:tc>
          <w:tcPr>
            <w:tcW w:w="4536" w:type="dxa"/>
            <w:vAlign w:val="center"/>
          </w:tcPr>
          <w:p>
            <w:pPr>
              <w:pStyle w:val="52"/>
              <w:spacing w:line="240" w:lineRule="auto"/>
              <w:ind w:left="107"/>
              <w:rPr>
                <w:rFonts w:hint="eastAsia"/>
                <w:sz w:val="21"/>
                <w:szCs w:val="21"/>
              </w:rPr>
            </w:pPr>
            <w:r>
              <w:rPr>
                <w:rFonts w:hint="eastAsia"/>
                <w:sz w:val="21"/>
                <w:szCs w:val="21"/>
              </w:rPr>
              <w:t>提供上一年度经审计的财务报告，加盖公章的复 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ind w:left="107"/>
              <w:rPr>
                <w:sz w:val="21"/>
                <w:szCs w:val="21"/>
              </w:rPr>
            </w:pPr>
            <w:r>
              <w:rPr>
                <w:rFonts w:hint="eastAsia"/>
                <w:sz w:val="21"/>
                <w:szCs w:val="21"/>
              </w:rPr>
              <w:t>（3）具有履行合同所必需的设备和专业技术能力；</w:t>
            </w:r>
          </w:p>
        </w:tc>
        <w:tc>
          <w:tcPr>
            <w:tcW w:w="4536" w:type="dxa"/>
            <w:vAlign w:val="center"/>
          </w:tcPr>
          <w:p>
            <w:pPr>
              <w:pStyle w:val="52"/>
              <w:spacing w:line="240" w:lineRule="auto"/>
              <w:ind w:left="107"/>
              <w:rPr>
                <w:rFonts w:hint="eastAsia"/>
                <w:sz w:val="21"/>
                <w:szCs w:val="21"/>
              </w:rPr>
            </w:pPr>
            <w:r>
              <w:rPr>
                <w:rFonts w:hint="eastAsia"/>
                <w:sz w:val="21"/>
                <w:szCs w:val="21"/>
              </w:rPr>
              <w:t>提供供应商履行合同所必须的设备和专业技术能 力的书面声明或证明材料；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rPr>
                <w:b/>
                <w:sz w:val="21"/>
                <w:szCs w:val="21"/>
              </w:rPr>
            </w:pPr>
          </w:p>
          <w:p>
            <w:pPr>
              <w:pStyle w:val="52"/>
              <w:spacing w:line="240" w:lineRule="auto"/>
              <w:ind w:left="107" w:right="97"/>
              <w:rPr>
                <w:sz w:val="21"/>
                <w:szCs w:val="21"/>
              </w:rPr>
            </w:pPr>
            <w:r>
              <w:rPr>
                <w:rFonts w:hint="eastAsia"/>
                <w:spacing w:val="-1"/>
                <w:sz w:val="21"/>
                <w:szCs w:val="21"/>
              </w:rPr>
              <w:t>（4）有依法缴纳税收和社会保障资金的良好记录；</w:t>
            </w:r>
          </w:p>
        </w:tc>
        <w:tc>
          <w:tcPr>
            <w:tcW w:w="4536" w:type="dxa"/>
            <w:vAlign w:val="center"/>
          </w:tcPr>
          <w:p>
            <w:pPr>
              <w:pStyle w:val="52"/>
              <w:spacing w:line="240" w:lineRule="auto"/>
              <w:ind w:left="107"/>
              <w:rPr>
                <w:rFonts w:hint="eastAsia"/>
                <w:sz w:val="21"/>
                <w:szCs w:val="21"/>
              </w:rPr>
            </w:pPr>
            <w:r>
              <w:rPr>
                <w:rFonts w:hint="eastAsia"/>
                <w:sz w:val="21"/>
                <w:szCs w:val="21"/>
              </w:rPr>
              <w:t>提供自本项目公告发布时间前</w:t>
            </w:r>
            <w:r>
              <w:rPr>
                <w:rFonts w:hint="eastAsia"/>
                <w:sz w:val="21"/>
                <w:szCs w:val="21"/>
                <w:lang w:eastAsia="zh-CN"/>
              </w:rPr>
              <w:t>一年</w:t>
            </w:r>
            <w:r>
              <w:rPr>
                <w:rFonts w:hint="eastAsia"/>
                <w:sz w:val="21"/>
                <w:szCs w:val="21"/>
              </w:rPr>
              <w:t>内任意</w:t>
            </w:r>
            <w:r>
              <w:rPr>
                <w:rFonts w:hint="eastAsia"/>
                <w:sz w:val="21"/>
                <w:szCs w:val="21"/>
                <w:lang w:val="en-US" w:eastAsia="zh-CN"/>
              </w:rPr>
              <w:t>3</w:t>
            </w:r>
            <w:r>
              <w:rPr>
                <w:rFonts w:hint="eastAsia"/>
                <w:sz w:val="21"/>
                <w:szCs w:val="21"/>
              </w:rPr>
              <w:t>个月缴纳税收的凭据（新注册企业及疫情期间享受政策免缴税企业视同正常缴纳，提供证明资料）和缴纳社会保险缴纳凭证的原件扫描件（加盖公章）；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ind w:left="107"/>
              <w:rPr>
                <w:sz w:val="21"/>
                <w:szCs w:val="21"/>
              </w:rPr>
            </w:pPr>
            <w:r>
              <w:rPr>
                <w:rFonts w:hint="eastAsia"/>
                <w:sz w:val="21"/>
                <w:szCs w:val="21"/>
              </w:rPr>
              <w:t>（5）参加本次活动前三年内，在经营活动中没有重大违法记录；</w:t>
            </w:r>
          </w:p>
        </w:tc>
        <w:tc>
          <w:tcPr>
            <w:tcW w:w="4536" w:type="dxa"/>
          </w:tcPr>
          <w:p>
            <w:pPr>
              <w:pStyle w:val="52"/>
              <w:spacing w:line="240" w:lineRule="auto"/>
              <w:ind w:left="107"/>
              <w:rPr>
                <w:rFonts w:hint="eastAsia"/>
                <w:sz w:val="21"/>
                <w:szCs w:val="21"/>
              </w:rPr>
            </w:pPr>
            <w:r>
              <w:rPr>
                <w:rFonts w:hint="eastAsia"/>
                <w:sz w:val="21"/>
                <w:szCs w:val="21"/>
              </w:rPr>
              <w:t>参加政府采购活动前3年内在经营活动中没有重大违法记录的书面声明；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ind w:left="107"/>
              <w:rPr>
                <w:sz w:val="21"/>
                <w:szCs w:val="21"/>
              </w:rPr>
            </w:pPr>
            <w:r>
              <w:rPr>
                <w:rFonts w:hint="eastAsia"/>
                <w:sz w:val="21"/>
                <w:szCs w:val="21"/>
              </w:rPr>
              <w:t>（6）法律、行政法规规定的其他条件。</w:t>
            </w:r>
          </w:p>
        </w:tc>
        <w:tc>
          <w:tcPr>
            <w:tcW w:w="4536" w:type="dxa"/>
          </w:tcPr>
          <w:p>
            <w:pPr>
              <w:pStyle w:val="52"/>
              <w:spacing w:line="240" w:lineRule="auto"/>
              <w:ind w:left="107"/>
              <w:rPr>
                <w:rFonts w:hint="eastAsia"/>
                <w:sz w:val="21"/>
                <w:szCs w:val="21"/>
              </w:rPr>
            </w:pPr>
            <w:r>
              <w:rPr>
                <w:rFonts w:hint="eastAsia"/>
                <w:sz w:val="21"/>
                <w:szCs w:val="21"/>
              </w:rPr>
              <w:t>提供符合法律、行政法规规定的其他条件的书面声明；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20" w:type="dxa"/>
            <w:vMerge w:val="restart"/>
          </w:tcPr>
          <w:p>
            <w:pPr>
              <w:pStyle w:val="52"/>
              <w:spacing w:line="240" w:lineRule="auto"/>
              <w:rPr>
                <w:b/>
                <w:sz w:val="21"/>
                <w:szCs w:val="21"/>
              </w:rPr>
            </w:pPr>
          </w:p>
          <w:p>
            <w:pPr>
              <w:pStyle w:val="52"/>
              <w:spacing w:line="240" w:lineRule="auto"/>
              <w:rPr>
                <w:b/>
                <w:sz w:val="21"/>
                <w:szCs w:val="21"/>
              </w:rPr>
            </w:pPr>
          </w:p>
          <w:p>
            <w:pPr>
              <w:pStyle w:val="52"/>
              <w:spacing w:line="240" w:lineRule="auto"/>
              <w:rPr>
                <w:b/>
                <w:sz w:val="21"/>
                <w:szCs w:val="21"/>
              </w:rPr>
            </w:pPr>
          </w:p>
          <w:p>
            <w:pPr>
              <w:pStyle w:val="52"/>
              <w:spacing w:line="240" w:lineRule="auto"/>
              <w:ind w:left="146" w:right="135"/>
              <w:jc w:val="both"/>
              <w:rPr>
                <w:sz w:val="21"/>
                <w:szCs w:val="21"/>
              </w:rPr>
            </w:pPr>
            <w:r>
              <w:rPr>
                <w:rFonts w:hint="eastAsia"/>
                <w:sz w:val="21"/>
                <w:szCs w:val="21"/>
              </w:rPr>
              <w:t>本项目的特定资格要求</w:t>
            </w:r>
          </w:p>
        </w:tc>
        <w:tc>
          <w:tcPr>
            <w:tcW w:w="3521" w:type="dxa"/>
            <w:tcBorders>
              <w:bottom w:val="nil"/>
            </w:tcBorders>
          </w:tcPr>
          <w:p>
            <w:pPr>
              <w:pStyle w:val="52"/>
              <w:spacing w:line="240" w:lineRule="auto"/>
              <w:ind w:left="107" w:right="97"/>
              <w:rPr>
                <w:spacing w:val="-1"/>
                <w:sz w:val="21"/>
                <w:szCs w:val="21"/>
                <w:highlight w:val="yellow"/>
              </w:rPr>
            </w:pPr>
            <w:r>
              <w:rPr>
                <w:rFonts w:hint="eastAsia"/>
                <w:sz w:val="21"/>
                <w:szCs w:val="21"/>
              </w:rPr>
              <w:t>（7）投标人具有测绘行政主管部门颁发的乙级及以上测绘资质，且测绘资质专业范围必须同时具备测绘航空摄影、摄影测量与遥感、地理信息系统工程和工程测量；（提供测绘资质证书副本原件，证书应在有效期范围内）</w:t>
            </w:r>
          </w:p>
        </w:tc>
        <w:tc>
          <w:tcPr>
            <w:tcW w:w="4536" w:type="dxa"/>
          </w:tcPr>
          <w:p>
            <w:pPr>
              <w:pStyle w:val="52"/>
              <w:spacing w:line="240" w:lineRule="auto"/>
              <w:ind w:left="107"/>
              <w:rPr>
                <w:rFonts w:hint="eastAsia"/>
                <w:sz w:val="21"/>
                <w:szCs w:val="21"/>
              </w:rPr>
            </w:pPr>
            <w:r>
              <w:rPr>
                <w:rFonts w:hint="eastAsia"/>
                <w:sz w:val="21"/>
                <w:szCs w:val="21"/>
              </w:rPr>
              <w:t>提供乙级及以上测绘资质证书，且测绘资质专业范围必须同时具备测绘航空摄影、摄影测量与遥感、地理信息系统工程和工程测量；（提供测绘资质证书复印件加盖公章，证书应在有效期范围内）；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ind w:left="107" w:right="97"/>
              <w:rPr>
                <w:spacing w:val="-1"/>
                <w:sz w:val="21"/>
                <w:szCs w:val="21"/>
              </w:rPr>
            </w:pPr>
            <w:r>
              <w:rPr>
                <w:rFonts w:hint="eastAsia"/>
                <w:spacing w:val="-1"/>
                <w:sz w:val="21"/>
                <w:szCs w:val="21"/>
              </w:rPr>
              <w:t>（8）供应商未被“信用中国”网站（www.creditchina.gov.cn）列入失信被执行人、重大税收违法案件当事人名单和“中国政府采购网”（http://www.ccgp.gov.cn/）政府采购严重违法失信行为记录名单并提供网页截图加盖单位公章以证明；一经发现不良信用记录将按照《财政部关于在政府采购活动中查询及使用信用记录有关问题的通知（财库〔2016〕125号）》执行（提供网站截图并加盖公章）；</w:t>
            </w:r>
          </w:p>
        </w:tc>
        <w:tc>
          <w:tcPr>
            <w:tcW w:w="4536" w:type="dxa"/>
          </w:tcPr>
          <w:p>
            <w:pPr>
              <w:pStyle w:val="52"/>
              <w:spacing w:line="240" w:lineRule="auto"/>
              <w:ind w:left="107" w:right="97"/>
              <w:rPr>
                <w:spacing w:val="-1"/>
                <w:sz w:val="21"/>
                <w:szCs w:val="21"/>
              </w:rPr>
            </w:pPr>
            <w:r>
              <w:rPr>
                <w:rFonts w:hint="eastAsia"/>
                <w:spacing w:val="-1"/>
                <w:sz w:val="21"/>
                <w:szCs w:val="21"/>
              </w:rPr>
              <w:t>供应商未被“信用中国”网站（www.creditchina.gov.cn）列入失信被执行人、重大税收违法案件当事人名单和“中国政府采购网”（http://www.ccgp.gov.cn/）政府采购严重违法失信行为记录名单并提供网页截图加盖单位公章以证明（提供网站截图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20" w:type="dxa"/>
            <w:vMerge w:val="continue"/>
            <w:tcBorders>
              <w:top w:val="nil"/>
            </w:tcBorders>
          </w:tcPr>
          <w:p>
            <w:pPr>
              <w:spacing w:line="240" w:lineRule="auto"/>
              <w:rPr>
                <w:szCs w:val="21"/>
              </w:rPr>
            </w:pPr>
          </w:p>
        </w:tc>
        <w:tc>
          <w:tcPr>
            <w:tcW w:w="3521" w:type="dxa"/>
          </w:tcPr>
          <w:p>
            <w:pPr>
              <w:pStyle w:val="52"/>
              <w:spacing w:line="240" w:lineRule="auto"/>
              <w:ind w:left="107"/>
              <w:rPr>
                <w:spacing w:val="3"/>
                <w:sz w:val="21"/>
                <w:szCs w:val="21"/>
              </w:rPr>
            </w:pPr>
            <w:r>
              <w:rPr>
                <w:rFonts w:hint="eastAsia"/>
                <w:sz w:val="21"/>
                <w:szCs w:val="21"/>
              </w:rPr>
              <w:t>（9）本项目不接受联合体投标</w:t>
            </w:r>
          </w:p>
        </w:tc>
        <w:tc>
          <w:tcPr>
            <w:tcW w:w="4536" w:type="dxa"/>
          </w:tcPr>
          <w:p>
            <w:pPr>
              <w:pStyle w:val="52"/>
              <w:spacing w:line="240" w:lineRule="auto"/>
              <w:ind w:left="106"/>
              <w:rPr>
                <w:spacing w:val="3"/>
                <w:sz w:val="21"/>
                <w:szCs w:val="21"/>
              </w:rPr>
            </w:pPr>
            <w:r>
              <w:rPr>
                <w:rFonts w:hint="eastAsia"/>
                <w:sz w:val="21"/>
                <w:szCs w:val="21"/>
              </w:rPr>
              <w:t>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9077" w:type="dxa"/>
            <w:gridSpan w:val="3"/>
          </w:tcPr>
          <w:p>
            <w:pPr>
              <w:pStyle w:val="52"/>
              <w:spacing w:line="240" w:lineRule="auto"/>
              <w:ind w:left="108"/>
              <w:rPr>
                <w:sz w:val="21"/>
                <w:szCs w:val="21"/>
              </w:rPr>
            </w:pPr>
            <w:r>
              <w:rPr>
                <w:rFonts w:hint="eastAsia"/>
                <w:b/>
                <w:sz w:val="21"/>
                <w:szCs w:val="21"/>
              </w:rPr>
              <w:t>说明：</w:t>
            </w:r>
            <w:r>
              <w:rPr>
                <w:rFonts w:hint="eastAsia"/>
                <w:sz w:val="21"/>
                <w:szCs w:val="21"/>
              </w:rPr>
              <w:t>资格审查未通过的供应商不进行后续评审。</w:t>
            </w:r>
          </w:p>
        </w:tc>
      </w:tr>
    </w:tbl>
    <w:p>
      <w:pPr>
        <w:spacing w:line="240" w:lineRule="auto"/>
        <w:rPr>
          <w:sz w:val="24"/>
        </w:rPr>
        <w:sectPr>
          <w:footerReference r:id="rId6" w:type="default"/>
          <w:pgSz w:w="11906" w:h="16838"/>
          <w:pgMar w:top="1440" w:right="1800" w:bottom="1440" w:left="1800" w:header="0" w:footer="1200" w:gutter="0"/>
          <w:cols w:space="720" w:num="1"/>
          <w:docGrid w:linePitch="286" w:charSpace="0"/>
        </w:sectPr>
      </w:pPr>
    </w:p>
    <w:p>
      <w:pPr>
        <w:pStyle w:val="23"/>
        <w:ind w:left="420"/>
        <w:rPr>
          <w:rFonts w:hint="eastAsia"/>
        </w:rPr>
      </w:pPr>
    </w:p>
    <w:p>
      <w:pPr>
        <w:pStyle w:val="23"/>
        <w:ind w:left="420"/>
        <w:rPr>
          <w:b/>
          <w:sz w:val="24"/>
        </w:rPr>
      </w:pPr>
      <w:r>
        <w:rPr>
          <w:rFonts w:hint="eastAsia"/>
        </w:rPr>
        <w:t>附表2：《符合性检查表》</w:t>
      </w:r>
    </w:p>
    <w:p>
      <w:pPr>
        <w:widowControl/>
        <w:rPr>
          <w:b/>
          <w:sz w:val="24"/>
        </w:rPr>
      </w:pPr>
    </w:p>
    <w:tbl>
      <w:tblPr>
        <w:tblStyle w:val="24"/>
        <w:tblpPr w:leftFromText="180" w:rightFromText="180" w:vertAnchor="text" w:horzAnchor="margin" w:tblpXSpec="center" w:tblpY="43"/>
        <w:tblOverlap w:val="never"/>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831"/>
        <w:gridCol w:w="2044"/>
        <w:gridCol w:w="5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714" w:type="dxa"/>
            <w:vAlign w:val="center"/>
          </w:tcPr>
          <w:p>
            <w:pPr>
              <w:widowControl/>
              <w:rPr>
                <w:b/>
                <w:sz w:val="24"/>
              </w:rPr>
            </w:pPr>
            <w:r>
              <w:rPr>
                <w:rFonts w:hint="eastAsia"/>
                <w:b/>
                <w:sz w:val="24"/>
              </w:rPr>
              <w:t>序号</w:t>
            </w:r>
          </w:p>
        </w:tc>
        <w:tc>
          <w:tcPr>
            <w:tcW w:w="2875" w:type="dxa"/>
            <w:gridSpan w:val="2"/>
            <w:vAlign w:val="center"/>
          </w:tcPr>
          <w:p>
            <w:pPr>
              <w:widowControl/>
              <w:rPr>
                <w:b/>
                <w:sz w:val="24"/>
              </w:rPr>
            </w:pPr>
            <w:r>
              <w:rPr>
                <w:rFonts w:hint="eastAsia"/>
                <w:b/>
                <w:sz w:val="24"/>
              </w:rPr>
              <w:t>评审因素</w:t>
            </w:r>
          </w:p>
        </w:tc>
        <w:tc>
          <w:tcPr>
            <w:tcW w:w="5488" w:type="dxa"/>
            <w:vAlign w:val="center"/>
          </w:tcPr>
          <w:p>
            <w:pPr>
              <w:widowControl/>
              <w:rPr>
                <w:b/>
                <w:sz w:val="24"/>
              </w:rPr>
            </w:pPr>
            <w:r>
              <w:rPr>
                <w:rFonts w:hint="eastAsia"/>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14" w:type="dxa"/>
            <w:vMerge w:val="restart"/>
          </w:tcPr>
          <w:p>
            <w:pPr>
              <w:widowControl/>
            </w:pPr>
          </w:p>
          <w:p>
            <w:pPr>
              <w:widowControl/>
            </w:pPr>
          </w:p>
          <w:p>
            <w:pPr>
              <w:widowControl/>
            </w:pPr>
          </w:p>
          <w:p>
            <w:pPr>
              <w:widowControl/>
            </w:pPr>
          </w:p>
          <w:p>
            <w:pPr>
              <w:widowControl/>
            </w:pPr>
          </w:p>
          <w:p>
            <w:pPr>
              <w:widowControl/>
            </w:pPr>
          </w:p>
          <w:p>
            <w:pPr>
              <w:widowControl/>
            </w:pPr>
          </w:p>
          <w:p>
            <w:pPr>
              <w:widowControl/>
            </w:pPr>
          </w:p>
          <w:p>
            <w:pPr>
              <w:widowControl/>
            </w:pPr>
          </w:p>
          <w:p>
            <w:pPr>
              <w:widowControl/>
            </w:pPr>
            <w:r>
              <w:rPr>
                <w:rFonts w:hint="eastAsia"/>
              </w:rPr>
              <w:t>1</w:t>
            </w:r>
          </w:p>
        </w:tc>
        <w:tc>
          <w:tcPr>
            <w:tcW w:w="831" w:type="dxa"/>
            <w:vMerge w:val="restart"/>
          </w:tcPr>
          <w:p>
            <w:pPr>
              <w:widowControl/>
            </w:pPr>
          </w:p>
          <w:p>
            <w:pPr>
              <w:widowControl/>
            </w:pPr>
          </w:p>
          <w:p>
            <w:pPr>
              <w:widowControl/>
            </w:pPr>
          </w:p>
          <w:p>
            <w:pPr>
              <w:widowControl/>
            </w:pPr>
          </w:p>
          <w:p>
            <w:pPr>
              <w:widowControl/>
            </w:pPr>
          </w:p>
          <w:p>
            <w:pPr>
              <w:widowControl/>
            </w:pPr>
          </w:p>
          <w:p>
            <w:pPr>
              <w:widowControl/>
            </w:pPr>
          </w:p>
          <w:p>
            <w:pPr>
              <w:widowControl/>
            </w:pPr>
          </w:p>
          <w:p>
            <w:pPr>
              <w:widowControl/>
            </w:pPr>
            <w:r>
              <w:rPr>
                <w:rFonts w:hint="eastAsia"/>
              </w:rPr>
              <w:t>有效性审查</w:t>
            </w:r>
          </w:p>
        </w:tc>
        <w:tc>
          <w:tcPr>
            <w:tcW w:w="2044" w:type="dxa"/>
          </w:tcPr>
          <w:p>
            <w:pPr>
              <w:widowControl/>
            </w:pPr>
            <w:r>
              <w:rPr>
                <w:rFonts w:hint="eastAsia"/>
              </w:rPr>
              <w:t>投标报价</w:t>
            </w:r>
          </w:p>
        </w:tc>
        <w:tc>
          <w:tcPr>
            <w:tcW w:w="5488" w:type="dxa"/>
          </w:tcPr>
          <w:p>
            <w:pPr>
              <w:widowControl/>
            </w:pPr>
            <w:r>
              <w:rPr>
                <w:rFonts w:hint="eastAsia"/>
              </w:rPr>
              <w:t>只有一个有效投标报价，且报价在预算以内。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投标文件要求</w:t>
            </w:r>
          </w:p>
        </w:tc>
        <w:tc>
          <w:tcPr>
            <w:tcW w:w="5488" w:type="dxa"/>
          </w:tcPr>
          <w:p>
            <w:pPr>
              <w:widowControl/>
            </w:pPr>
            <w:r>
              <w:rPr>
                <w:rFonts w:hint="eastAsia"/>
              </w:rPr>
              <w:t>投标书或资格证明文件符合招标文件要求。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投标有效期</w:t>
            </w:r>
          </w:p>
        </w:tc>
        <w:tc>
          <w:tcPr>
            <w:tcW w:w="5488" w:type="dxa"/>
          </w:tcPr>
          <w:p>
            <w:pPr>
              <w:widowControl/>
            </w:pPr>
            <w:r>
              <w:rPr>
                <w:rFonts w:hint="eastAsia"/>
              </w:rPr>
              <w:t>投标有效期满足规定。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经营范围</w:t>
            </w:r>
          </w:p>
        </w:tc>
        <w:tc>
          <w:tcPr>
            <w:tcW w:w="5488" w:type="dxa"/>
          </w:tcPr>
          <w:p>
            <w:pPr>
              <w:widowControl/>
            </w:pPr>
            <w:r>
              <w:rPr>
                <w:rFonts w:hint="eastAsia"/>
              </w:rPr>
              <w:t>没有超出经营范围投标的。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服务期</w:t>
            </w:r>
          </w:p>
        </w:tc>
        <w:tc>
          <w:tcPr>
            <w:tcW w:w="5488" w:type="dxa"/>
          </w:tcPr>
          <w:p>
            <w:pPr>
              <w:widowControl/>
            </w:pPr>
            <w:r>
              <w:rPr>
                <w:rFonts w:hint="eastAsia"/>
              </w:rPr>
              <w:t>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投标文件规范</w:t>
            </w:r>
          </w:p>
        </w:tc>
        <w:tc>
          <w:tcPr>
            <w:tcW w:w="5488" w:type="dxa"/>
          </w:tcPr>
          <w:p>
            <w:pPr>
              <w:widowControl/>
            </w:pPr>
            <w:r>
              <w:rPr>
                <w:rFonts w:hint="eastAsia"/>
              </w:rPr>
              <w:t>按照招标文件规定要求对投标文件密封、签署、盖章的。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投标文件签署</w:t>
            </w:r>
          </w:p>
        </w:tc>
        <w:tc>
          <w:tcPr>
            <w:tcW w:w="5488" w:type="dxa"/>
          </w:tcPr>
          <w:p>
            <w:pPr>
              <w:widowControl/>
            </w:pPr>
            <w:r>
              <w:rPr>
                <w:rFonts w:hint="eastAsia"/>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法定代表人身份证明及授权委托书</w:t>
            </w:r>
          </w:p>
        </w:tc>
        <w:tc>
          <w:tcPr>
            <w:tcW w:w="5488" w:type="dxa"/>
          </w:tcPr>
          <w:p>
            <w:pPr>
              <w:widowControl/>
            </w:pPr>
            <w:r>
              <w:rPr>
                <w:rFonts w:hint="eastAsia"/>
              </w:rPr>
              <w:t>法定代表人身份证明及授权委托书有效，且符合招标文 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714" w:type="dxa"/>
            <w:vMerge w:val="continue"/>
          </w:tcPr>
          <w:p>
            <w:pPr>
              <w:widowControl/>
            </w:pPr>
          </w:p>
        </w:tc>
        <w:tc>
          <w:tcPr>
            <w:tcW w:w="831" w:type="dxa"/>
            <w:vMerge w:val="continue"/>
          </w:tcPr>
          <w:p>
            <w:pPr>
              <w:widowControl/>
            </w:pPr>
          </w:p>
        </w:tc>
        <w:tc>
          <w:tcPr>
            <w:tcW w:w="2044" w:type="dxa"/>
            <w:vMerge w:val="restart"/>
          </w:tcPr>
          <w:p>
            <w:pPr>
              <w:widowControl/>
            </w:pPr>
          </w:p>
          <w:p>
            <w:pPr>
              <w:widowControl/>
            </w:pPr>
          </w:p>
          <w:p>
            <w:pPr>
              <w:widowControl/>
            </w:pPr>
          </w:p>
          <w:p>
            <w:pPr>
              <w:widowControl/>
            </w:pPr>
          </w:p>
          <w:p>
            <w:pPr>
              <w:widowControl/>
            </w:pPr>
          </w:p>
          <w:p>
            <w:pPr>
              <w:widowControl/>
            </w:pPr>
          </w:p>
          <w:p>
            <w:pPr>
              <w:widowControl/>
            </w:pPr>
            <w:r>
              <w:rPr>
                <w:rFonts w:hint="eastAsia"/>
              </w:rPr>
              <w:t>其他</w:t>
            </w:r>
          </w:p>
        </w:tc>
        <w:tc>
          <w:tcPr>
            <w:tcW w:w="5488" w:type="dxa"/>
            <w:vAlign w:val="center"/>
          </w:tcPr>
          <w:p>
            <w:pPr>
              <w:widowControl/>
            </w:pPr>
            <w:r>
              <w:rPr>
                <w:rFonts w:hint="eastAsia"/>
              </w:rPr>
              <w:t>招标文件中规定被视为无效投标的其它条款的。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714" w:type="dxa"/>
            <w:vMerge w:val="continue"/>
          </w:tcPr>
          <w:p>
            <w:pPr>
              <w:widowControl/>
            </w:pPr>
          </w:p>
        </w:tc>
        <w:tc>
          <w:tcPr>
            <w:tcW w:w="831" w:type="dxa"/>
            <w:vMerge w:val="continue"/>
          </w:tcPr>
          <w:p>
            <w:pPr>
              <w:widowControl/>
            </w:pPr>
          </w:p>
        </w:tc>
        <w:tc>
          <w:tcPr>
            <w:tcW w:w="2044" w:type="dxa"/>
            <w:vMerge w:val="continue"/>
          </w:tcPr>
          <w:p>
            <w:pPr>
              <w:widowControl/>
            </w:pPr>
          </w:p>
        </w:tc>
        <w:tc>
          <w:tcPr>
            <w:tcW w:w="5488" w:type="dxa"/>
            <w:vAlign w:val="center"/>
          </w:tcPr>
          <w:p>
            <w:pPr>
              <w:widowControl/>
            </w:pPr>
            <w:r>
              <w:rPr>
                <w:rFonts w:hint="eastAsia"/>
              </w:rPr>
              <w:t>符合法律、法规和投标文件中规定的其他实质性要求的。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trPr>
        <w:tc>
          <w:tcPr>
            <w:tcW w:w="714" w:type="dxa"/>
            <w:vMerge w:val="continue"/>
          </w:tcPr>
          <w:p>
            <w:pPr>
              <w:widowControl/>
            </w:pPr>
          </w:p>
        </w:tc>
        <w:tc>
          <w:tcPr>
            <w:tcW w:w="831" w:type="dxa"/>
            <w:vMerge w:val="continue"/>
          </w:tcPr>
          <w:p>
            <w:pPr>
              <w:widowControl/>
            </w:pPr>
          </w:p>
        </w:tc>
        <w:tc>
          <w:tcPr>
            <w:tcW w:w="2044" w:type="dxa"/>
            <w:vMerge w:val="continue"/>
          </w:tcPr>
          <w:p>
            <w:pPr>
              <w:widowControl/>
            </w:pPr>
          </w:p>
        </w:tc>
        <w:tc>
          <w:tcPr>
            <w:tcW w:w="5488" w:type="dxa"/>
          </w:tcPr>
          <w:p>
            <w:pPr>
              <w:widowControl/>
            </w:pPr>
            <w:r>
              <w:rPr>
                <w:rFonts w:hint="eastAsia"/>
              </w:rPr>
              <w:t>投标人有下列任一情形视为无效投标：</w:t>
            </w:r>
          </w:p>
          <w:p>
            <w:pPr>
              <w:widowControl/>
              <w:numPr>
                <w:ilvl w:val="0"/>
                <w:numId w:val="62"/>
              </w:numPr>
            </w:pPr>
            <w:r>
              <w:rPr>
                <w:rFonts w:hint="eastAsia"/>
              </w:rPr>
              <w:t>不同投标人的投标文件由同一单位或者个人编制；</w:t>
            </w:r>
          </w:p>
          <w:p>
            <w:pPr>
              <w:widowControl/>
              <w:numPr>
                <w:ilvl w:val="0"/>
                <w:numId w:val="62"/>
              </w:numPr>
            </w:pPr>
            <w:r>
              <w:rPr>
                <w:rFonts w:hint="eastAsia"/>
              </w:rPr>
              <w:t>不同投标人委托同一单位或者个人办理投标事宜；</w:t>
            </w:r>
          </w:p>
          <w:p>
            <w:pPr>
              <w:widowControl/>
              <w:numPr>
                <w:ilvl w:val="0"/>
                <w:numId w:val="62"/>
              </w:numPr>
            </w:pPr>
            <w:r>
              <w:rPr>
                <w:rFonts w:hint="eastAsia"/>
              </w:rPr>
              <w:t>不同投标人的投标文件载明的项目管理成员或者联系人员为同一人；</w:t>
            </w:r>
          </w:p>
          <w:p>
            <w:pPr>
              <w:widowControl/>
              <w:numPr>
                <w:ilvl w:val="0"/>
                <w:numId w:val="62"/>
              </w:numPr>
            </w:pPr>
            <w:r>
              <w:rPr>
                <w:rFonts w:hint="eastAsia"/>
              </w:rPr>
              <w:t>不同投标人的投标文件异常一致或者投标报价呈规律性差异；</w:t>
            </w:r>
          </w:p>
          <w:p>
            <w:pPr>
              <w:widowControl/>
              <w:numPr>
                <w:ilvl w:val="0"/>
                <w:numId w:val="62"/>
              </w:numPr>
            </w:pPr>
            <w:r>
              <w:rPr>
                <w:rFonts w:hint="eastAsia"/>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714" w:type="dxa"/>
            <w:vMerge w:val="restart"/>
          </w:tcPr>
          <w:p>
            <w:pPr>
              <w:widowControl/>
            </w:pPr>
          </w:p>
          <w:p>
            <w:pPr>
              <w:widowControl/>
            </w:pPr>
            <w:r>
              <w:rPr>
                <w:rFonts w:hint="eastAsia"/>
              </w:rPr>
              <w:t>2</w:t>
            </w:r>
          </w:p>
        </w:tc>
        <w:tc>
          <w:tcPr>
            <w:tcW w:w="831" w:type="dxa"/>
            <w:vMerge w:val="restart"/>
          </w:tcPr>
          <w:p>
            <w:pPr>
              <w:widowControl/>
            </w:pPr>
          </w:p>
          <w:p>
            <w:pPr>
              <w:widowControl/>
            </w:pPr>
            <w:r>
              <w:rPr>
                <w:rFonts w:hint="eastAsia"/>
              </w:rPr>
              <w:t>完整性审查</w:t>
            </w:r>
          </w:p>
        </w:tc>
        <w:tc>
          <w:tcPr>
            <w:tcW w:w="2044" w:type="dxa"/>
          </w:tcPr>
          <w:p>
            <w:pPr>
              <w:widowControl/>
            </w:pPr>
            <w:r>
              <w:rPr>
                <w:rFonts w:hint="eastAsia"/>
              </w:rPr>
              <w:t>投标文件份数</w:t>
            </w:r>
          </w:p>
        </w:tc>
        <w:tc>
          <w:tcPr>
            <w:tcW w:w="5488" w:type="dxa"/>
          </w:tcPr>
          <w:p>
            <w:pPr>
              <w:widowControl/>
            </w:pPr>
            <w:r>
              <w:rPr>
                <w:rFonts w:hint="eastAsia"/>
              </w:rPr>
              <w:t>投标文件正本、副本及数量符合招标文件要求。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714" w:type="dxa"/>
            <w:vMerge w:val="continue"/>
          </w:tcPr>
          <w:p>
            <w:pPr>
              <w:widowControl/>
            </w:pPr>
          </w:p>
        </w:tc>
        <w:tc>
          <w:tcPr>
            <w:tcW w:w="831" w:type="dxa"/>
            <w:vMerge w:val="continue"/>
          </w:tcPr>
          <w:p>
            <w:pPr>
              <w:widowControl/>
            </w:pPr>
          </w:p>
        </w:tc>
        <w:tc>
          <w:tcPr>
            <w:tcW w:w="2044" w:type="dxa"/>
          </w:tcPr>
          <w:p>
            <w:pPr>
              <w:widowControl/>
            </w:pPr>
          </w:p>
          <w:p>
            <w:pPr>
              <w:widowControl/>
            </w:pPr>
            <w:r>
              <w:rPr>
                <w:rFonts w:hint="eastAsia"/>
              </w:rPr>
              <w:t>投标文件内容</w:t>
            </w:r>
          </w:p>
        </w:tc>
        <w:tc>
          <w:tcPr>
            <w:tcW w:w="5488" w:type="dxa"/>
          </w:tcPr>
          <w:p>
            <w:pPr>
              <w:widowControl/>
            </w:pPr>
          </w:p>
          <w:p>
            <w:pPr>
              <w:widowControl/>
            </w:pPr>
            <w:r>
              <w:rPr>
                <w:rFonts w:hint="eastAsia"/>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714" w:type="dxa"/>
            <w:vMerge w:val="restart"/>
          </w:tcPr>
          <w:p>
            <w:pPr>
              <w:widowControl/>
            </w:pPr>
          </w:p>
          <w:p>
            <w:pPr>
              <w:widowControl/>
            </w:pPr>
          </w:p>
          <w:p>
            <w:pPr>
              <w:widowControl/>
            </w:pPr>
          </w:p>
          <w:p>
            <w:pPr>
              <w:widowControl/>
            </w:pPr>
            <w:r>
              <w:rPr>
                <w:rFonts w:hint="eastAsia"/>
              </w:rPr>
              <w:t>3</w:t>
            </w:r>
          </w:p>
        </w:tc>
        <w:tc>
          <w:tcPr>
            <w:tcW w:w="831" w:type="dxa"/>
            <w:vMerge w:val="restart"/>
          </w:tcPr>
          <w:p>
            <w:pPr>
              <w:widowControl/>
            </w:pPr>
          </w:p>
          <w:p>
            <w:pPr>
              <w:widowControl/>
            </w:pPr>
          </w:p>
          <w:p>
            <w:pPr>
              <w:widowControl/>
            </w:pPr>
            <w:r>
              <w:rPr>
                <w:rFonts w:hint="eastAsia"/>
              </w:rPr>
              <w:t>对招标文件的响应程度审查</w:t>
            </w:r>
          </w:p>
        </w:tc>
        <w:tc>
          <w:tcPr>
            <w:tcW w:w="2044" w:type="dxa"/>
          </w:tcPr>
          <w:p>
            <w:pPr>
              <w:widowControl/>
            </w:pPr>
            <w:r>
              <w:rPr>
                <w:rFonts w:hint="eastAsia"/>
              </w:rPr>
              <w:t>采购内容</w:t>
            </w:r>
          </w:p>
        </w:tc>
        <w:tc>
          <w:tcPr>
            <w:tcW w:w="5488" w:type="dxa"/>
          </w:tcPr>
          <w:p>
            <w:pPr>
              <w:widowControl/>
            </w:pPr>
            <w:r>
              <w:rPr>
                <w:rFonts w:hint="eastAsia"/>
              </w:rPr>
              <w:t>符合招标文件规定的要求。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714" w:type="dxa"/>
            <w:vMerge w:val="continue"/>
          </w:tcPr>
          <w:p>
            <w:pPr>
              <w:widowControl/>
            </w:pPr>
          </w:p>
        </w:tc>
        <w:tc>
          <w:tcPr>
            <w:tcW w:w="831" w:type="dxa"/>
            <w:vMerge w:val="continue"/>
          </w:tcPr>
          <w:p>
            <w:pPr>
              <w:widowControl/>
            </w:pPr>
          </w:p>
        </w:tc>
        <w:tc>
          <w:tcPr>
            <w:tcW w:w="2044" w:type="dxa"/>
          </w:tcPr>
          <w:p>
            <w:pPr>
              <w:widowControl/>
            </w:pPr>
          </w:p>
          <w:p>
            <w:pPr>
              <w:widowControl/>
            </w:pPr>
            <w:r>
              <w:rPr>
                <w:rFonts w:hint="eastAsia"/>
              </w:rPr>
              <w:t>技术参数要求</w:t>
            </w:r>
          </w:p>
        </w:tc>
        <w:tc>
          <w:tcPr>
            <w:tcW w:w="5488" w:type="dxa"/>
          </w:tcPr>
          <w:p>
            <w:pPr>
              <w:widowControl/>
            </w:pPr>
          </w:p>
          <w:p>
            <w:pPr>
              <w:widowControl/>
            </w:pPr>
            <w:r>
              <w:rPr>
                <w:rFonts w:hint="eastAsia"/>
              </w:rPr>
              <w:t>满足招标文件规定的要求。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招标文件实质性响应要求</w:t>
            </w:r>
          </w:p>
        </w:tc>
        <w:tc>
          <w:tcPr>
            <w:tcW w:w="5488" w:type="dxa"/>
          </w:tcPr>
          <w:p>
            <w:pPr>
              <w:widowControl/>
            </w:pPr>
          </w:p>
          <w:p>
            <w:pPr>
              <w:widowControl/>
            </w:pPr>
            <w:r>
              <w:rPr>
                <w:rFonts w:hint="eastAsia"/>
              </w:rPr>
              <w:t>投标文件满足招标文件商务、技术等实质性要求；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714" w:type="dxa"/>
            <w:vMerge w:val="continue"/>
          </w:tcPr>
          <w:p>
            <w:pPr>
              <w:widowControl/>
            </w:pPr>
          </w:p>
        </w:tc>
        <w:tc>
          <w:tcPr>
            <w:tcW w:w="831" w:type="dxa"/>
            <w:vMerge w:val="continue"/>
          </w:tcPr>
          <w:p>
            <w:pPr>
              <w:widowControl/>
            </w:pPr>
          </w:p>
        </w:tc>
        <w:tc>
          <w:tcPr>
            <w:tcW w:w="2044" w:type="dxa"/>
          </w:tcPr>
          <w:p>
            <w:pPr>
              <w:widowControl/>
            </w:pPr>
            <w:r>
              <w:rPr>
                <w:rFonts w:hint="eastAsia"/>
              </w:rPr>
              <w:t>其</w:t>
            </w:r>
            <w:r>
              <w:rPr>
                <w:rFonts w:hint="eastAsia"/>
              </w:rPr>
              <w:tab/>
            </w:r>
            <w:r>
              <w:rPr>
                <w:rFonts w:hint="eastAsia"/>
              </w:rPr>
              <w:t>他</w:t>
            </w:r>
          </w:p>
        </w:tc>
        <w:tc>
          <w:tcPr>
            <w:tcW w:w="5488" w:type="dxa"/>
          </w:tcPr>
          <w:p>
            <w:pPr>
              <w:widowControl/>
            </w:pPr>
            <w:r>
              <w:rPr>
                <w:rFonts w:hint="eastAsia"/>
              </w:rPr>
              <w:t>见招标文件其它规定无效响应和废标条款的规定。</w:t>
            </w:r>
          </w:p>
        </w:tc>
      </w:tr>
    </w:tbl>
    <w:p>
      <w:pPr>
        <w:widowControl/>
        <w:rPr>
          <w:b/>
          <w:sz w:val="24"/>
        </w:rPr>
      </w:pPr>
    </w:p>
    <w:p>
      <w:pPr>
        <w:spacing w:line="410" w:lineRule="exact"/>
        <w:jc w:val="left"/>
        <w:rPr>
          <w:rFonts w:cs="Times New Roman" w:asciiTheme="majorEastAsia" w:hAnsiTheme="majorEastAsia" w:eastAsiaTheme="majorEastAsia"/>
          <w:b/>
          <w:sz w:val="30"/>
          <w:szCs w:val="30"/>
          <w:lang w:val="zh-CN"/>
        </w:rPr>
      </w:pPr>
    </w:p>
    <w:p>
      <w:pPr>
        <w:spacing w:line="410" w:lineRule="exact"/>
        <w:jc w:val="left"/>
        <w:rPr>
          <w:rFonts w:cs="Times New Roman" w:asciiTheme="majorEastAsia" w:hAnsiTheme="majorEastAsia" w:eastAsiaTheme="majorEastAsia"/>
          <w:b/>
          <w:sz w:val="30"/>
          <w:szCs w:val="30"/>
          <w:lang w:val="zh-CN"/>
        </w:rPr>
      </w:pPr>
    </w:p>
    <w:p>
      <w:pPr>
        <w:spacing w:line="410" w:lineRule="exact"/>
        <w:jc w:val="left"/>
        <w:rPr>
          <w:rFonts w:cs="Times New Roman" w:asciiTheme="majorEastAsia" w:hAnsiTheme="majorEastAsia" w:eastAsiaTheme="majorEastAsia"/>
          <w:b/>
          <w:sz w:val="30"/>
          <w:szCs w:val="30"/>
          <w:lang w:val="zh-CN"/>
        </w:rPr>
      </w:pPr>
    </w:p>
    <w:p>
      <w:pPr>
        <w:spacing w:line="410" w:lineRule="exact"/>
        <w:jc w:val="left"/>
        <w:rPr>
          <w:rFonts w:cs="Times New Roman" w:asciiTheme="majorEastAsia" w:hAnsiTheme="majorEastAsia" w:eastAsiaTheme="majorEastAsia"/>
          <w:b/>
          <w:sz w:val="30"/>
          <w:szCs w:val="30"/>
          <w:lang w:val="zh-CN"/>
        </w:rPr>
      </w:pPr>
    </w:p>
    <w:p>
      <w:pPr>
        <w:spacing w:line="410" w:lineRule="exact"/>
        <w:jc w:val="left"/>
        <w:rPr>
          <w:rFonts w:cs="Times New Roman" w:asciiTheme="majorEastAsia" w:hAnsiTheme="majorEastAsia" w:eastAsiaTheme="majorEastAsia"/>
          <w:b/>
          <w:sz w:val="30"/>
          <w:szCs w:val="30"/>
          <w:lang w:val="zh-CN"/>
        </w:rPr>
      </w:pPr>
    </w:p>
    <w:p>
      <w:pPr>
        <w:spacing w:line="410" w:lineRule="exact"/>
        <w:jc w:val="left"/>
        <w:rPr>
          <w:rFonts w:cs="Times New Roman" w:asciiTheme="majorEastAsia" w:hAnsiTheme="majorEastAsia" w:eastAsiaTheme="majorEastAsia"/>
          <w:b/>
          <w:sz w:val="30"/>
          <w:szCs w:val="30"/>
          <w:lang w:val="zh-CN"/>
        </w:rPr>
      </w:pPr>
    </w:p>
    <w:p>
      <w:pPr>
        <w:spacing w:line="410" w:lineRule="exact"/>
        <w:jc w:val="left"/>
        <w:rPr>
          <w:rFonts w:cs="Times New Roman" w:asciiTheme="majorEastAsia" w:hAnsiTheme="majorEastAsia" w:eastAsiaTheme="majorEastAsia"/>
          <w:b/>
          <w:sz w:val="30"/>
          <w:szCs w:val="30"/>
          <w:lang w:val="zh-CN"/>
        </w:rPr>
      </w:pPr>
      <w:r>
        <w:rPr>
          <w:rFonts w:hint="eastAsia" w:cs="Times New Roman" w:asciiTheme="majorEastAsia" w:hAnsiTheme="majorEastAsia" w:eastAsiaTheme="majorEastAsia"/>
          <w:b/>
          <w:sz w:val="30"/>
          <w:szCs w:val="30"/>
          <w:lang w:val="zh-CN"/>
        </w:rPr>
        <w:t>四、评分标准细则</w:t>
      </w:r>
    </w:p>
    <w:p/>
    <w:tbl>
      <w:tblPr>
        <w:tblStyle w:val="24"/>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948"/>
        <w:gridCol w:w="631"/>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56" w:type="dxa"/>
            <w:gridSpan w:val="2"/>
            <w:vAlign w:val="center"/>
          </w:tcPr>
          <w:p>
            <w:pPr>
              <w:jc w:val="center"/>
              <w:rPr>
                <w:rFonts w:ascii="宋体" w:hAnsi="宋体" w:eastAsia="宋体" w:cs="宋体"/>
                <w:b/>
                <w:bCs/>
                <w:szCs w:val="21"/>
              </w:rPr>
            </w:pPr>
            <w:r>
              <w:rPr>
                <w:rFonts w:hint="eastAsia" w:ascii="宋体" w:hAnsi="宋体" w:eastAsia="宋体" w:cs="宋体"/>
                <w:b/>
                <w:bCs/>
                <w:szCs w:val="21"/>
              </w:rPr>
              <w:t>评分项目</w:t>
            </w:r>
          </w:p>
        </w:tc>
        <w:tc>
          <w:tcPr>
            <w:tcW w:w="631" w:type="dxa"/>
            <w:vAlign w:val="center"/>
          </w:tcPr>
          <w:p>
            <w:pPr>
              <w:jc w:val="center"/>
              <w:rPr>
                <w:rFonts w:ascii="宋体" w:hAnsi="宋体" w:eastAsia="宋体" w:cs="宋体"/>
                <w:b/>
                <w:bCs/>
                <w:szCs w:val="21"/>
              </w:rPr>
            </w:pPr>
            <w:r>
              <w:rPr>
                <w:rFonts w:hint="eastAsia" w:ascii="宋体" w:hAnsi="宋体" w:eastAsia="宋体" w:cs="宋体"/>
                <w:b/>
                <w:bCs/>
                <w:szCs w:val="21"/>
              </w:rPr>
              <w:t>分值</w:t>
            </w:r>
          </w:p>
        </w:tc>
        <w:tc>
          <w:tcPr>
            <w:tcW w:w="6091" w:type="dxa"/>
            <w:vAlign w:val="center"/>
          </w:tcPr>
          <w:p>
            <w:pPr>
              <w:jc w:val="center"/>
              <w:rPr>
                <w:rFonts w:ascii="宋体" w:hAnsi="宋体" w:eastAsia="宋体" w:cs="宋体"/>
                <w:b/>
                <w:bCs/>
                <w:szCs w:val="21"/>
              </w:rPr>
            </w:pPr>
            <w:r>
              <w:rPr>
                <w:rFonts w:hint="eastAsia" w:ascii="宋体" w:hAnsi="宋体" w:eastAsia="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7" w:hRule="atLeast"/>
          <w:jc w:val="center"/>
        </w:trPr>
        <w:tc>
          <w:tcPr>
            <w:tcW w:w="908" w:type="dxa"/>
            <w:vMerge w:val="restart"/>
            <w:vAlign w:val="center"/>
          </w:tcPr>
          <w:p>
            <w:pPr>
              <w:jc w:val="center"/>
              <w:rPr>
                <w:rFonts w:ascii="宋体" w:hAnsi="宋体" w:eastAsia="宋体" w:cs="宋体"/>
                <w:szCs w:val="21"/>
              </w:rPr>
            </w:pPr>
            <w:r>
              <w:rPr>
                <w:rFonts w:hint="eastAsia" w:ascii="宋体" w:hAnsi="宋体" w:eastAsia="宋体" w:cs="宋体"/>
                <w:szCs w:val="21"/>
              </w:rPr>
              <w:t>1、商务部分</w:t>
            </w:r>
          </w:p>
          <w:p>
            <w:r>
              <w:rPr>
                <w:rFonts w:hint="eastAsia"/>
              </w:rPr>
              <w:t>（45分）</w:t>
            </w:r>
          </w:p>
        </w:tc>
        <w:tc>
          <w:tcPr>
            <w:tcW w:w="948" w:type="dxa"/>
            <w:vAlign w:val="center"/>
          </w:tcPr>
          <w:p>
            <w:pPr>
              <w:jc w:val="center"/>
              <w:rPr>
                <w:rFonts w:ascii="宋体" w:hAnsi="宋体" w:eastAsia="宋体" w:cs="宋体"/>
                <w:szCs w:val="21"/>
              </w:rPr>
            </w:pPr>
            <w:r>
              <w:rPr>
                <w:rFonts w:hint="eastAsia" w:ascii="宋体" w:hAnsi="宋体" w:eastAsia="宋体" w:cs="宋体"/>
                <w:szCs w:val="21"/>
              </w:rPr>
              <w:t>综合技术实力</w:t>
            </w:r>
          </w:p>
        </w:tc>
        <w:tc>
          <w:tcPr>
            <w:tcW w:w="631" w:type="dxa"/>
            <w:vAlign w:val="center"/>
          </w:tcPr>
          <w:p>
            <w:pPr>
              <w:rPr>
                <w:rFonts w:ascii="宋体" w:hAnsi="宋体" w:eastAsia="宋体" w:cs="宋体"/>
                <w:szCs w:val="21"/>
              </w:rPr>
            </w:pPr>
            <w:r>
              <w:rPr>
                <w:rFonts w:hint="eastAsia" w:ascii="宋体" w:hAnsi="宋体" w:eastAsia="宋体" w:cs="宋体"/>
                <w:szCs w:val="21"/>
              </w:rPr>
              <w:t>23分</w:t>
            </w:r>
          </w:p>
        </w:tc>
        <w:tc>
          <w:tcPr>
            <w:tcW w:w="6091" w:type="dxa"/>
            <w:vAlign w:val="center"/>
          </w:tcPr>
          <w:p>
            <w:pPr>
              <w:rPr>
                <w:rFonts w:hint="eastAsia"/>
                <w:color w:val="FF0000"/>
              </w:rPr>
            </w:pPr>
            <w:r>
              <w:rPr>
                <w:rFonts w:hint="eastAsia"/>
              </w:rPr>
              <w:t>1、投标人具备有效期内ISO9001质量管理体系认证、ISO14001环境管理体系认证、ISO45001职业健康安全管理体系认证，且认证范围必须载明涵盖测绘航空摄影、摄影测量与遥感、地理信息系统工程和工程测量的得3分，不满足不得分。</w:t>
            </w:r>
            <w:r>
              <w:rPr>
                <w:rFonts w:hint="eastAsia"/>
                <w:color w:val="FF0000"/>
              </w:rPr>
              <w:t>（提供以上认证证书复印件及全国认证认可信息公共服务平台网上查询截图证明加盖公章）</w:t>
            </w:r>
          </w:p>
          <w:p>
            <w:pPr>
              <w:rPr>
                <w:rFonts w:hint="eastAsia"/>
              </w:rPr>
            </w:pPr>
            <w:r>
              <w:rPr>
                <w:rFonts w:hint="eastAsia"/>
              </w:rPr>
              <w:t>2、投标人具备有效期内IEC27001信息安全管理体系认证的得2分，不满足不得分。（提供以上认证证书复印件及全国认证认可信息公共服务平台网上查询截图证明加盖公章）</w:t>
            </w:r>
          </w:p>
          <w:p>
            <w:pPr>
              <w:rPr>
                <w:rFonts w:hint="eastAsia"/>
                <w:color w:val="FF0000"/>
              </w:rPr>
            </w:pPr>
            <w:r>
              <w:rPr>
                <w:rFonts w:hint="eastAsia"/>
              </w:rPr>
              <w:t>3、投标人具备“高新技术企业认证证书”和“瞪羚企业”的得2分，不满足不得分。</w:t>
            </w:r>
            <w:r>
              <w:rPr>
                <w:rFonts w:hint="eastAsia"/>
                <w:color w:val="FF0000"/>
              </w:rPr>
              <w:t>（提供证明材料加盖公章）</w:t>
            </w:r>
          </w:p>
          <w:p>
            <w:pPr>
              <w:rPr>
                <w:rFonts w:hint="eastAsia"/>
                <w:color w:val="FF0000"/>
              </w:rPr>
            </w:pPr>
            <w:r>
              <w:rPr>
                <w:rFonts w:hint="eastAsia"/>
              </w:rPr>
              <w:t>4、投标人近三年内同时被国家级测绘地理信息协会（或学会）认定为“地理信息产业高成长企业”和“地理信息产业最具活力小型企业”的得2分，不满足不得分。</w:t>
            </w:r>
            <w:r>
              <w:rPr>
                <w:rFonts w:hint="eastAsia"/>
                <w:color w:val="FF0000"/>
              </w:rPr>
              <w:t>（提供证书复印件加盖公章）</w:t>
            </w:r>
          </w:p>
          <w:p>
            <w:pPr>
              <w:rPr>
                <w:rFonts w:hint="eastAsia"/>
              </w:rPr>
            </w:pPr>
            <w:r>
              <w:rPr>
                <w:rFonts w:hint="eastAsia"/>
              </w:rPr>
              <w:t>5、投标人具有项目相关科研创新实力，每提供一项承灾体调查、自然灾害综合风险数据采集和建库软件、自然灾害普查外业调查采集与核查GIS系统、自然灾害普查成果质检与核查系统、自然灾害风险调查评估与区划系统软件等相关软件著作权登记证书的得1分，最高得5分，没有不得分。（提供证书复印件加盖公章）</w:t>
            </w:r>
          </w:p>
          <w:p>
            <w:pPr>
              <w:rPr>
                <w:rFonts w:hint="eastAsia"/>
              </w:rPr>
            </w:pPr>
            <w:r>
              <w:rPr>
                <w:rFonts w:hint="eastAsia"/>
              </w:rPr>
              <w:t>6、投标人同时具有AAA级资信企业、AAA级重合同守信用企业、AAA级信用企业、AAA级质量服务诚信单位、AAA级诚信供应商和AAA级诚信经营示范单位认证证书的得3分，不符合不得分。（提供证书复印件加盖公章）</w:t>
            </w:r>
          </w:p>
          <w:p>
            <w:pPr>
              <w:rPr>
                <w:rFonts w:hint="eastAsia"/>
              </w:rPr>
            </w:pPr>
            <w:r>
              <w:rPr>
                <w:rFonts w:hint="eastAsia"/>
              </w:rPr>
              <w:t>7、投标人近三年内具有数据采集类或调查类项目获得国家级测绘地理信息协会（或学会）颁发的测绘科技进步奖项（或优秀测绘工程奖）的，每一项奖励得3分，最高得6分，不符合不得分。</w:t>
            </w:r>
            <w:r>
              <w:rPr>
                <w:rFonts w:hint="eastAsia"/>
                <w:color w:val="FF0000"/>
              </w:rPr>
              <w:t>（提供证书复印件加盖公章）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908" w:type="dxa"/>
            <w:vMerge w:val="continue"/>
            <w:vAlign w:val="center"/>
          </w:tcPr>
          <w:p>
            <w:pPr>
              <w:jc w:val="center"/>
              <w:rPr>
                <w:rFonts w:ascii="宋体" w:hAnsi="宋体" w:eastAsia="宋体" w:cs="宋体"/>
                <w:szCs w:val="21"/>
              </w:rPr>
            </w:pPr>
          </w:p>
        </w:tc>
        <w:tc>
          <w:tcPr>
            <w:tcW w:w="948" w:type="dxa"/>
            <w:vAlign w:val="center"/>
          </w:tcPr>
          <w:p>
            <w:pPr>
              <w:jc w:val="center"/>
              <w:rPr>
                <w:rFonts w:ascii="宋体" w:hAnsi="宋体" w:eastAsia="宋体" w:cs="宋体"/>
                <w:szCs w:val="21"/>
              </w:rPr>
            </w:pPr>
            <w:r>
              <w:rPr>
                <w:rFonts w:hint="eastAsia" w:ascii="宋体" w:hAnsi="宋体" w:eastAsia="宋体" w:cs="宋体"/>
                <w:szCs w:val="21"/>
              </w:rPr>
              <w:t>类似项目业绩情况</w:t>
            </w:r>
          </w:p>
        </w:tc>
        <w:tc>
          <w:tcPr>
            <w:tcW w:w="631" w:type="dxa"/>
            <w:vAlign w:val="center"/>
          </w:tcPr>
          <w:p>
            <w:pPr>
              <w:jc w:val="center"/>
              <w:rPr>
                <w:rFonts w:ascii="宋体" w:hAnsi="宋体" w:eastAsia="宋体" w:cs="宋体"/>
                <w:szCs w:val="21"/>
                <w:highlight w:val="yellow"/>
              </w:rPr>
            </w:pPr>
            <w:r>
              <w:rPr>
                <w:rFonts w:hint="eastAsia" w:ascii="宋体" w:hAnsi="宋体" w:eastAsia="宋体" w:cs="宋体"/>
                <w:szCs w:val="21"/>
              </w:rPr>
              <w:t>12分</w:t>
            </w:r>
          </w:p>
        </w:tc>
        <w:tc>
          <w:tcPr>
            <w:tcW w:w="6091" w:type="dxa"/>
            <w:vAlign w:val="center"/>
          </w:tcPr>
          <w:p>
            <w:pPr>
              <w:rPr>
                <w:rFonts w:hint="eastAsia"/>
              </w:rPr>
            </w:pPr>
            <w:r>
              <w:rPr>
                <w:rFonts w:hint="eastAsia"/>
              </w:rPr>
              <w:t>近三年内，投标人承担有类似项目（承灾体调查、农房确权、房屋补充调查、不动产调查等）业绩，每一个项目业绩得3分，最高得12分，没有不得分。</w:t>
            </w:r>
            <w:r>
              <w:rPr>
                <w:rFonts w:hint="eastAsia"/>
                <w:color w:val="FF0000"/>
              </w:rPr>
              <w:t>（提供中标通知书和合同证明等证明材料加盖公章）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908" w:type="dxa"/>
            <w:vMerge w:val="continue"/>
            <w:vAlign w:val="center"/>
          </w:tcPr>
          <w:p>
            <w:pPr>
              <w:jc w:val="center"/>
              <w:rPr>
                <w:rFonts w:ascii="宋体" w:hAnsi="宋体" w:eastAsia="宋体" w:cs="宋体"/>
                <w:szCs w:val="21"/>
              </w:rPr>
            </w:pPr>
          </w:p>
        </w:tc>
        <w:tc>
          <w:tcPr>
            <w:tcW w:w="948" w:type="dxa"/>
            <w:vAlign w:val="center"/>
          </w:tcPr>
          <w:p>
            <w:pPr>
              <w:jc w:val="center"/>
              <w:rPr>
                <w:rFonts w:ascii="宋体" w:hAnsi="宋体" w:eastAsia="宋体" w:cs="宋体"/>
                <w:szCs w:val="21"/>
              </w:rPr>
            </w:pPr>
            <w:r>
              <w:rPr>
                <w:rFonts w:hint="eastAsia" w:ascii="宋体" w:hAnsi="宋体" w:eastAsia="宋体" w:cs="宋体"/>
                <w:szCs w:val="21"/>
              </w:rPr>
              <w:t>成功实施案例情况</w:t>
            </w:r>
          </w:p>
        </w:tc>
        <w:tc>
          <w:tcPr>
            <w:tcW w:w="631" w:type="dxa"/>
            <w:vAlign w:val="center"/>
          </w:tcPr>
          <w:p>
            <w:pPr>
              <w:jc w:val="center"/>
              <w:rPr>
                <w:rFonts w:ascii="宋体" w:hAnsi="宋体" w:eastAsia="宋体" w:cs="宋体"/>
                <w:szCs w:val="21"/>
              </w:rPr>
            </w:pPr>
            <w:r>
              <w:rPr>
                <w:rFonts w:hint="eastAsia" w:ascii="宋体" w:hAnsi="宋体" w:eastAsia="宋体" w:cs="宋体"/>
                <w:szCs w:val="21"/>
              </w:rPr>
              <w:t>10分</w:t>
            </w:r>
          </w:p>
        </w:tc>
        <w:tc>
          <w:tcPr>
            <w:tcW w:w="6091" w:type="dxa"/>
            <w:vAlign w:val="center"/>
          </w:tcPr>
          <w:p>
            <w:pPr>
              <w:jc w:val="left"/>
              <w:rPr>
                <w:rFonts w:ascii="宋体" w:hAnsi="宋体" w:eastAsia="宋体" w:cs="宋体"/>
                <w:szCs w:val="21"/>
                <w:highlight w:val="yellow"/>
              </w:rPr>
            </w:pPr>
            <w:r>
              <w:rPr>
                <w:rFonts w:hint="eastAsia" w:ascii="宋体" w:hAnsi="宋体" w:eastAsia="宋体" w:cs="宋体"/>
                <w:szCs w:val="21"/>
              </w:rPr>
              <w:t>近三年内，投标人承担有相关类似项目（调查数据采集、数据建库或地图编制项目）业绩经验，并通过省级检验部门验收合格的成功业绩，每一个项目成功业绩得</w:t>
            </w:r>
            <w:r>
              <w:rPr>
                <w:rFonts w:ascii="宋体" w:hAnsi="宋体" w:eastAsia="宋体" w:cs="宋体"/>
                <w:szCs w:val="21"/>
              </w:rPr>
              <w:t>2分，最高得</w:t>
            </w:r>
            <w:r>
              <w:rPr>
                <w:rFonts w:hint="eastAsia" w:ascii="宋体" w:hAnsi="宋体" w:eastAsia="宋体" w:cs="宋体"/>
                <w:szCs w:val="21"/>
              </w:rPr>
              <w:t>10</w:t>
            </w:r>
            <w:r>
              <w:rPr>
                <w:rFonts w:ascii="宋体" w:hAnsi="宋体" w:eastAsia="宋体" w:cs="宋体"/>
                <w:szCs w:val="21"/>
              </w:rPr>
              <w:t>分；（</w:t>
            </w:r>
            <w:r>
              <w:rPr>
                <w:rFonts w:ascii="宋体" w:hAnsi="宋体" w:eastAsia="宋体" w:cs="宋体"/>
                <w:color w:val="FF0000"/>
                <w:szCs w:val="21"/>
              </w:rPr>
              <w:t>提供合同证明和省级测绘质量监督检验部门出具“合格”及以上等级的检查验收报告</w:t>
            </w:r>
            <w:r>
              <w:rPr>
                <w:rFonts w:hint="eastAsia" w:ascii="宋体" w:hAnsi="宋体" w:eastAsia="宋体" w:cs="宋体"/>
                <w:color w:val="FF0000"/>
                <w:szCs w:val="21"/>
              </w:rPr>
              <w:t>复印件加盖公章</w:t>
            </w:r>
            <w:r>
              <w:rPr>
                <w:rFonts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jc w:val="center"/>
        </w:trPr>
        <w:tc>
          <w:tcPr>
            <w:tcW w:w="908" w:type="dxa"/>
            <w:vMerge w:val="restart"/>
            <w:vAlign w:val="center"/>
          </w:tcPr>
          <w:p>
            <w:pPr>
              <w:jc w:val="center"/>
              <w:rPr>
                <w:rFonts w:ascii="宋体" w:hAnsi="宋体" w:eastAsia="宋体" w:cs="宋体"/>
                <w:szCs w:val="21"/>
              </w:rPr>
            </w:pPr>
            <w:r>
              <w:rPr>
                <w:rFonts w:hint="eastAsia" w:ascii="宋体" w:hAnsi="宋体" w:eastAsia="宋体" w:cs="宋体"/>
                <w:szCs w:val="21"/>
              </w:rPr>
              <w:t>2、技术部分</w:t>
            </w:r>
          </w:p>
          <w:p>
            <w:r>
              <w:rPr>
                <w:rFonts w:hint="eastAsia"/>
              </w:rPr>
              <w:t>（45分）</w:t>
            </w:r>
          </w:p>
        </w:tc>
        <w:tc>
          <w:tcPr>
            <w:tcW w:w="948" w:type="dxa"/>
            <w:vAlign w:val="center"/>
          </w:tcPr>
          <w:p>
            <w:pPr>
              <w:jc w:val="center"/>
              <w:rPr>
                <w:rFonts w:ascii="宋体" w:hAnsi="宋体" w:eastAsia="宋体" w:cs="宋体"/>
                <w:szCs w:val="21"/>
              </w:rPr>
            </w:pPr>
            <w:r>
              <w:rPr>
                <w:rFonts w:hint="eastAsia" w:ascii="宋体" w:hAnsi="宋体" w:eastAsia="宋体" w:cs="宋体"/>
                <w:szCs w:val="21"/>
              </w:rPr>
              <w:t>技术实施方案编制</w:t>
            </w:r>
          </w:p>
        </w:tc>
        <w:tc>
          <w:tcPr>
            <w:tcW w:w="631" w:type="dxa"/>
            <w:vAlign w:val="center"/>
          </w:tcPr>
          <w:p>
            <w:pPr>
              <w:jc w:val="center"/>
              <w:rPr>
                <w:rFonts w:ascii="宋体" w:hAnsi="宋体" w:eastAsia="宋体" w:cs="宋体"/>
                <w:szCs w:val="21"/>
              </w:rPr>
            </w:pPr>
            <w:r>
              <w:rPr>
                <w:rFonts w:hint="eastAsia" w:ascii="宋体" w:hAnsi="宋体" w:eastAsia="宋体" w:cs="宋体"/>
                <w:szCs w:val="21"/>
              </w:rPr>
              <w:t>30分</w:t>
            </w:r>
          </w:p>
        </w:tc>
        <w:tc>
          <w:tcPr>
            <w:tcW w:w="6091" w:type="dxa"/>
            <w:vAlign w:val="center"/>
          </w:tcPr>
          <w:p>
            <w:pPr>
              <w:numPr>
                <w:ilvl w:val="0"/>
                <w:numId w:val="63"/>
              </w:numPr>
              <w:jc w:val="left"/>
              <w:rPr>
                <w:rFonts w:ascii="宋体" w:hAnsi="宋体" w:eastAsia="宋体" w:cs="宋体"/>
                <w:szCs w:val="21"/>
              </w:rPr>
            </w:pPr>
            <w:r>
              <w:rPr>
                <w:rFonts w:hint="eastAsia" w:ascii="宋体" w:hAnsi="宋体" w:eastAsia="宋体" w:cs="宋体"/>
                <w:szCs w:val="21"/>
              </w:rPr>
              <w:t>对项目技术实施方案整体情况进行评分：技术实施方案结构完整、描述思路清晰、响应内容全面、技术路线科学、文档结构排版美观的投标人得5-6分，合理可行的得3-4分，基本可行的得1-2分；</w:t>
            </w:r>
          </w:p>
          <w:p>
            <w:pPr>
              <w:jc w:val="left"/>
              <w:rPr>
                <w:rFonts w:ascii="宋体" w:hAnsi="宋体" w:eastAsia="宋体" w:cs="宋体"/>
                <w:szCs w:val="21"/>
              </w:rPr>
            </w:pPr>
            <w:r>
              <w:rPr>
                <w:rFonts w:hint="eastAsia" w:ascii="宋体" w:hAnsi="宋体" w:eastAsia="宋体" w:cs="宋体"/>
                <w:szCs w:val="21"/>
              </w:rPr>
              <w:t>2、对项目技术实施方案中质量保障措施、工期保障措施、安全保障措施、成果保密措施和应急保障措施等内容进行评分，保障措施有力，科学可行，符合本项目实际的得5-6分，合理可行的得3-4分，基本合理的得1-2分；</w:t>
            </w:r>
          </w:p>
          <w:p>
            <w:pPr>
              <w:jc w:val="left"/>
              <w:rPr>
                <w:rFonts w:ascii="宋体" w:hAnsi="宋体" w:eastAsia="宋体" w:cs="宋体"/>
                <w:szCs w:val="21"/>
              </w:rPr>
            </w:pPr>
            <w:r>
              <w:rPr>
                <w:rFonts w:hint="eastAsia" w:ascii="宋体" w:hAnsi="宋体" w:eastAsia="宋体" w:cs="宋体"/>
                <w:szCs w:val="21"/>
              </w:rPr>
              <w:t>3、对项目技术实施方案中组织管理、工期进度安排、人员设备配备等情况进行评分：项目组织合理、管理科学、进度保障措施完善、人员设备结构合理的得5-6分，合理可行的得3-4分，基本合理的得1-2分；</w:t>
            </w:r>
          </w:p>
          <w:p>
            <w:pPr>
              <w:jc w:val="left"/>
              <w:rPr>
                <w:rFonts w:ascii="宋体" w:hAnsi="宋体" w:eastAsia="宋体" w:cs="宋体"/>
                <w:szCs w:val="21"/>
              </w:rPr>
            </w:pPr>
            <w:r>
              <w:rPr>
                <w:rFonts w:hint="eastAsia" w:ascii="宋体" w:hAnsi="宋体" w:eastAsia="宋体" w:cs="宋体"/>
                <w:szCs w:val="21"/>
              </w:rPr>
              <w:t>4、对项目技术实施方案中各工序流程、技术要求等描述科学合理、工作思路清晰、预见性问题和对策明确的投标人得5-6分，合理可行的得3-4分，基本可行的得1-2分；</w:t>
            </w:r>
          </w:p>
          <w:p>
            <w:pPr>
              <w:jc w:val="left"/>
              <w:rPr>
                <w:rFonts w:ascii="宋体" w:hAnsi="宋体" w:eastAsia="宋体" w:cs="宋体"/>
                <w:szCs w:val="21"/>
              </w:rPr>
            </w:pPr>
            <w:r>
              <w:rPr>
                <w:rFonts w:hint="eastAsia" w:ascii="宋体" w:hAnsi="宋体" w:eastAsia="宋体" w:cs="宋体"/>
                <w:szCs w:val="21"/>
              </w:rPr>
              <w:t>5、对项目技术实施方案中工作重点和难点分析透彻准确、对重点和难点采取的应对措施科学完善合理的投标人得5-6分，合理可行的得3-4分，基本可行的得1-2分；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908" w:type="dxa"/>
            <w:vMerge w:val="continue"/>
            <w:vAlign w:val="center"/>
          </w:tcPr>
          <w:p>
            <w:pPr>
              <w:jc w:val="center"/>
              <w:rPr>
                <w:rFonts w:ascii="宋体" w:hAnsi="宋体" w:eastAsia="宋体" w:cs="宋体"/>
                <w:szCs w:val="21"/>
              </w:rPr>
            </w:pPr>
          </w:p>
        </w:tc>
        <w:tc>
          <w:tcPr>
            <w:tcW w:w="948" w:type="dxa"/>
            <w:vAlign w:val="center"/>
          </w:tcPr>
          <w:p>
            <w:pPr>
              <w:jc w:val="center"/>
              <w:rPr>
                <w:rFonts w:ascii="宋体" w:hAnsi="宋体" w:eastAsia="宋体" w:cs="宋体"/>
                <w:szCs w:val="21"/>
              </w:rPr>
            </w:pPr>
            <w:r>
              <w:rPr>
                <w:rFonts w:hint="eastAsia" w:ascii="宋体" w:hAnsi="宋体" w:eastAsia="宋体" w:cs="宋体"/>
                <w:szCs w:val="21"/>
              </w:rPr>
              <w:t>拟投入技术人员情况</w:t>
            </w:r>
          </w:p>
        </w:tc>
        <w:tc>
          <w:tcPr>
            <w:tcW w:w="631" w:type="dxa"/>
            <w:vAlign w:val="center"/>
          </w:tcPr>
          <w:p>
            <w:pPr>
              <w:jc w:val="center"/>
              <w:rPr>
                <w:rFonts w:ascii="宋体" w:hAnsi="宋体" w:eastAsia="宋体" w:cs="宋体"/>
                <w:szCs w:val="21"/>
              </w:rPr>
            </w:pPr>
            <w:r>
              <w:rPr>
                <w:rFonts w:hint="eastAsia" w:ascii="宋体" w:hAnsi="宋体" w:eastAsia="宋体" w:cs="宋体"/>
                <w:szCs w:val="21"/>
              </w:rPr>
              <w:t>11分</w:t>
            </w:r>
          </w:p>
        </w:tc>
        <w:tc>
          <w:tcPr>
            <w:tcW w:w="6091" w:type="dxa"/>
            <w:vAlign w:val="center"/>
          </w:tcPr>
          <w:p>
            <w:pPr>
              <w:jc w:val="left"/>
              <w:rPr>
                <w:rFonts w:hint="eastAsia"/>
              </w:rPr>
            </w:pPr>
            <w:r>
              <w:rPr>
                <w:rFonts w:hint="eastAsia"/>
              </w:rPr>
              <w:t>1、拟派项目负责人同时具备测绘专业高级工程师职称和注册测绘师资格的得2分；在满足此基础上，项目负责人近三年参与的项目获得过国家级测绘地理信息奖励的加2分，通过省级涉密测绘成果管理人员岗位培训合格的加</w:t>
            </w:r>
            <w:r>
              <w:t>2分，</w:t>
            </w:r>
            <w:r>
              <w:rPr>
                <w:rFonts w:hint="eastAsia"/>
              </w:rPr>
              <w:t>最高得6分；提供职称证书、注册测绘师资格证书、获奖证书和涉密培训合格证书复印件或省级测绘地理信息主管部门认可盖章证明的考核通过名单、近3个月社保系统查询截图复印件。</w:t>
            </w:r>
          </w:p>
          <w:p>
            <w:pPr>
              <w:jc w:val="left"/>
              <w:rPr>
                <w:rFonts w:hint="eastAsia"/>
              </w:rPr>
            </w:pPr>
            <w:r>
              <w:rPr>
                <w:rFonts w:hint="eastAsia"/>
              </w:rPr>
              <w:t>2、拟派项目技术负责人同时</w:t>
            </w:r>
            <w:r>
              <w:t>具备</w:t>
            </w:r>
            <w:r>
              <w:rPr>
                <w:rFonts w:hint="eastAsia"/>
              </w:rPr>
              <w:t>地理信息系统</w:t>
            </w:r>
            <w:r>
              <w:t>专业</w:t>
            </w:r>
            <w:r>
              <w:rPr>
                <w:rFonts w:hint="eastAsia"/>
              </w:rPr>
              <w:t>高级</w:t>
            </w:r>
            <w:r>
              <w:t>工程师职称</w:t>
            </w:r>
            <w:r>
              <w:rPr>
                <w:rFonts w:hint="eastAsia"/>
              </w:rPr>
              <w:t>和注册测绘师资格</w:t>
            </w:r>
            <w:r>
              <w:t>的得</w:t>
            </w:r>
            <w:r>
              <w:rPr>
                <w:rFonts w:hint="eastAsia"/>
              </w:rPr>
              <w:t>1</w:t>
            </w:r>
            <w:r>
              <w:t>分；在满足此基础上，项目技术负责人</w:t>
            </w:r>
            <w:r>
              <w:rPr>
                <w:rFonts w:hint="eastAsia"/>
              </w:rPr>
              <w:t>近三年</w:t>
            </w:r>
            <w:r>
              <w:t>参与的项目</w:t>
            </w:r>
            <w:r>
              <w:rPr>
                <w:rFonts w:hint="eastAsia"/>
              </w:rPr>
              <w:t>获得国家级测绘地理信息奖励</w:t>
            </w:r>
            <w:r>
              <w:t>获的加</w:t>
            </w:r>
            <w:r>
              <w:rPr>
                <w:rFonts w:hint="eastAsia"/>
              </w:rPr>
              <w:t>2</w:t>
            </w:r>
            <w:r>
              <w:t>分</w:t>
            </w:r>
            <w:r>
              <w:rPr>
                <w:rFonts w:hint="eastAsia"/>
              </w:rPr>
              <w:t>，通过省级涉密测绘成果管理人员岗位培训合格的加</w:t>
            </w:r>
            <w:r>
              <w:t>2分，</w:t>
            </w:r>
            <w:r>
              <w:rPr>
                <w:rFonts w:hint="eastAsia"/>
              </w:rPr>
              <w:t>最高得5分</w:t>
            </w:r>
            <w:r>
              <w:t>；</w:t>
            </w:r>
            <w:r>
              <w:rPr>
                <w:rFonts w:hint="eastAsia"/>
              </w:rPr>
              <w:t>提供职称证书、注册测绘师资格证书、获奖证书和涉密培训合格证书复印件或省级测绘地理信息主管部门认可盖章证明的考核通过名单、近3个月社保系统查询截图复印件。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08" w:type="dxa"/>
            <w:vMerge w:val="continue"/>
            <w:vAlign w:val="center"/>
          </w:tcPr>
          <w:p>
            <w:pPr>
              <w:jc w:val="center"/>
              <w:rPr>
                <w:rFonts w:ascii="宋体" w:hAnsi="宋体" w:eastAsia="宋体" w:cs="宋体"/>
                <w:szCs w:val="21"/>
              </w:rPr>
            </w:pPr>
          </w:p>
        </w:tc>
        <w:tc>
          <w:tcPr>
            <w:tcW w:w="948" w:type="dxa"/>
            <w:vAlign w:val="center"/>
          </w:tcPr>
          <w:p>
            <w:pPr>
              <w:jc w:val="center"/>
              <w:rPr>
                <w:rFonts w:ascii="宋体" w:hAnsi="宋体" w:eastAsia="宋体" w:cs="宋体"/>
                <w:szCs w:val="21"/>
              </w:rPr>
            </w:pPr>
            <w:r>
              <w:rPr>
                <w:rFonts w:hint="eastAsia" w:ascii="宋体" w:hAnsi="宋体" w:eastAsia="宋体" w:cs="宋体"/>
                <w:szCs w:val="21"/>
              </w:rPr>
              <w:t>拟投入仪器设备情况</w:t>
            </w:r>
          </w:p>
        </w:tc>
        <w:tc>
          <w:tcPr>
            <w:tcW w:w="631" w:type="dxa"/>
            <w:vAlign w:val="center"/>
          </w:tcPr>
          <w:p>
            <w:pPr>
              <w:jc w:val="center"/>
              <w:rPr>
                <w:rFonts w:ascii="宋体" w:hAnsi="宋体" w:eastAsia="宋体" w:cs="宋体"/>
                <w:szCs w:val="21"/>
              </w:rPr>
            </w:pPr>
            <w:r>
              <w:rPr>
                <w:rFonts w:hint="eastAsia" w:ascii="宋体" w:hAnsi="宋体" w:eastAsia="宋体" w:cs="宋体"/>
                <w:szCs w:val="21"/>
              </w:rPr>
              <w:t>4分</w:t>
            </w:r>
          </w:p>
        </w:tc>
        <w:tc>
          <w:tcPr>
            <w:tcW w:w="6091" w:type="dxa"/>
            <w:vAlign w:val="center"/>
          </w:tcPr>
          <w:p>
            <w:pPr>
              <w:jc w:val="left"/>
              <w:rPr>
                <w:rFonts w:ascii="宋体" w:hAnsi="宋体" w:eastAsia="宋体" w:cs="宋体"/>
                <w:szCs w:val="21"/>
              </w:rPr>
            </w:pPr>
            <w:r>
              <w:rPr>
                <w:rFonts w:hint="eastAsia" w:ascii="宋体" w:hAnsi="宋体" w:eastAsia="宋体" w:cs="宋体"/>
                <w:szCs w:val="21"/>
              </w:rPr>
              <w:t>投标人拟投入仪器设备中，具备G</w:t>
            </w:r>
            <w:r>
              <w:rPr>
                <w:rFonts w:ascii="宋体" w:hAnsi="宋体" w:eastAsia="宋体" w:cs="宋体"/>
                <w:szCs w:val="21"/>
              </w:rPr>
              <w:t>PS</w:t>
            </w:r>
            <w:r>
              <w:rPr>
                <w:rFonts w:hint="eastAsia" w:ascii="宋体" w:hAnsi="宋体" w:eastAsia="宋体" w:cs="宋体"/>
                <w:szCs w:val="21"/>
              </w:rPr>
              <w:t>接收机30台及以上的得4分，具备20台至29台得2分，具备19台及以下得1分，没有不得分。</w:t>
            </w:r>
            <w:r>
              <w:rPr>
                <w:rFonts w:hint="eastAsia" w:ascii="宋体" w:hAnsi="宋体" w:eastAsia="宋体" w:cs="宋体"/>
                <w:color w:val="FF0000"/>
                <w:szCs w:val="21"/>
              </w:rPr>
              <w:t>（提供省级检验部门出具的仪器检定证书复印件加盖公章（在合格有效期内））；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908" w:type="dxa"/>
            <w:vAlign w:val="center"/>
          </w:tcPr>
          <w:p>
            <w:pPr>
              <w:jc w:val="center"/>
              <w:rPr>
                <w:rFonts w:ascii="宋体" w:hAnsi="宋体" w:eastAsia="宋体" w:cs="宋体"/>
                <w:szCs w:val="21"/>
              </w:rPr>
            </w:pPr>
            <w:r>
              <w:rPr>
                <w:rFonts w:hint="eastAsia" w:ascii="宋体" w:hAnsi="宋体" w:eastAsia="宋体" w:cs="宋体"/>
                <w:szCs w:val="21"/>
              </w:rPr>
              <w:t>3、价格部分</w:t>
            </w:r>
          </w:p>
          <w:p>
            <w:r>
              <w:rPr>
                <w:rFonts w:hint="eastAsia"/>
              </w:rPr>
              <w:t>（10分）</w:t>
            </w:r>
          </w:p>
        </w:tc>
        <w:tc>
          <w:tcPr>
            <w:tcW w:w="948" w:type="dxa"/>
            <w:vAlign w:val="center"/>
          </w:tcPr>
          <w:p>
            <w:pPr>
              <w:jc w:val="center"/>
              <w:rPr>
                <w:rFonts w:ascii="宋体" w:hAnsi="宋体" w:eastAsia="宋体" w:cs="宋体"/>
                <w:szCs w:val="21"/>
              </w:rPr>
            </w:pPr>
            <w:r>
              <w:rPr>
                <w:rFonts w:hint="eastAsia" w:ascii="宋体" w:hAnsi="宋体" w:eastAsia="宋体" w:cs="宋体"/>
                <w:szCs w:val="21"/>
              </w:rPr>
              <w:t>报价</w:t>
            </w:r>
          </w:p>
          <w:p>
            <w:pPr>
              <w:jc w:val="center"/>
              <w:rPr>
                <w:rFonts w:ascii="宋体" w:hAnsi="宋体" w:eastAsia="宋体" w:cs="宋体"/>
                <w:szCs w:val="21"/>
              </w:rPr>
            </w:pPr>
            <w:r>
              <w:rPr>
                <w:rFonts w:hint="eastAsia" w:ascii="宋体" w:hAnsi="宋体" w:eastAsia="宋体" w:cs="宋体"/>
                <w:szCs w:val="21"/>
              </w:rPr>
              <w:t>得分</w:t>
            </w:r>
          </w:p>
        </w:tc>
        <w:tc>
          <w:tcPr>
            <w:tcW w:w="631" w:type="dxa"/>
            <w:vAlign w:val="center"/>
          </w:tcPr>
          <w:p>
            <w:pPr>
              <w:jc w:val="center"/>
              <w:rPr>
                <w:rFonts w:ascii="宋体" w:hAnsi="宋体" w:eastAsia="宋体" w:cs="宋体"/>
                <w:szCs w:val="21"/>
              </w:rPr>
            </w:pPr>
            <w:r>
              <w:rPr>
                <w:rFonts w:hint="eastAsia" w:ascii="宋体" w:hAnsi="宋体" w:eastAsia="宋体" w:cs="宋体"/>
                <w:szCs w:val="21"/>
              </w:rPr>
              <w:t>10分</w:t>
            </w:r>
          </w:p>
        </w:tc>
        <w:tc>
          <w:tcPr>
            <w:tcW w:w="6091" w:type="dxa"/>
            <w:vAlign w:val="center"/>
          </w:tcPr>
          <w:p>
            <w:pPr>
              <w:jc w:val="left"/>
              <w:rPr>
                <w:rFonts w:ascii="宋体" w:hAnsi="宋体" w:eastAsia="宋体" w:cs="宋体"/>
                <w:szCs w:val="21"/>
              </w:rPr>
            </w:pPr>
            <w:r>
              <w:rPr>
                <w:rFonts w:hint="eastAsia" w:ascii="宋体" w:hAnsi="宋体" w:eastAsia="宋体" w:cs="宋体"/>
                <w:szCs w:val="21"/>
              </w:rPr>
              <w:t>投标价格部分得分按照以下方式进行计算：</w:t>
            </w:r>
          </w:p>
          <w:p>
            <w:pPr>
              <w:jc w:val="left"/>
              <w:rPr>
                <w:rFonts w:ascii="宋体" w:hAnsi="宋体" w:eastAsia="宋体" w:cs="宋体"/>
                <w:szCs w:val="21"/>
              </w:rPr>
            </w:pPr>
            <w:r>
              <w:rPr>
                <w:rFonts w:hint="eastAsia" w:ascii="宋体" w:hAnsi="宋体" w:eastAsia="宋体" w:cs="宋体"/>
                <w:szCs w:val="21"/>
              </w:rPr>
              <w:t>1、有效投标报价：不超过最高限价，不低于最高限价的85%。（显著低于市场和成本报价的为无效报价）；</w:t>
            </w:r>
          </w:p>
          <w:p>
            <w:pPr>
              <w:jc w:val="left"/>
              <w:rPr>
                <w:rFonts w:ascii="宋体" w:hAnsi="宋体" w:eastAsia="宋体" w:cs="宋体"/>
                <w:szCs w:val="21"/>
              </w:rPr>
            </w:pPr>
            <w:r>
              <w:rPr>
                <w:rFonts w:hint="eastAsia" w:ascii="宋体" w:hAnsi="宋体" w:eastAsia="宋体" w:cs="宋体"/>
                <w:szCs w:val="21"/>
              </w:rPr>
              <w:t>2、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10。计算时保留两位小数。</w:t>
            </w:r>
          </w:p>
        </w:tc>
      </w:tr>
    </w:tbl>
    <w:p>
      <w:pPr>
        <w:rPr>
          <w:rFonts w:ascii="黑体" w:hAnsi="黑体" w:eastAsia="黑体"/>
        </w:rPr>
      </w:pPr>
      <w:bookmarkStart w:id="68" w:name="_Toc494665546"/>
      <w:bookmarkStart w:id="69" w:name="_Toc494664993"/>
      <w:bookmarkStart w:id="70" w:name="_Toc494665943"/>
      <w:bookmarkStart w:id="71" w:name="_Toc494721093"/>
      <w:bookmarkStart w:id="72" w:name="_Toc494702263"/>
      <w:bookmarkStart w:id="73" w:name="_Toc494745310"/>
      <w:r>
        <w:rPr>
          <w:rFonts w:hint="eastAsia"/>
          <w:b/>
          <w:bCs/>
          <w:szCs w:val="21"/>
        </w:rPr>
        <w:t>备注：以上需提供有效证明材料，且证明材料须提供</w:t>
      </w:r>
      <w:r>
        <w:rPr>
          <w:rFonts w:hint="eastAsia"/>
          <w:b/>
          <w:bCs/>
          <w:szCs w:val="21"/>
          <w:lang w:eastAsia="zh-CN"/>
        </w:rPr>
        <w:t>复印</w:t>
      </w:r>
      <w:r>
        <w:rPr>
          <w:rFonts w:hint="eastAsia"/>
          <w:b/>
          <w:bCs/>
          <w:szCs w:val="21"/>
        </w:rPr>
        <w:t>件并加盖公章。投标人投标时须认真对待、如实应标。凡提供虚假材料谋取中标的，一经查实，根据《政府采购法》第七十七条之规定，将对供应商处以罚款、列入不良行为记录名单、依法追究刑事责任</w:t>
      </w:r>
      <w:r>
        <w:rPr>
          <w:rFonts w:hint="eastAsia"/>
          <w:b/>
          <w:bCs/>
          <w:szCs w:val="21"/>
          <w:lang w:eastAsia="zh-CN"/>
        </w:rPr>
        <w:t>。</w:t>
      </w:r>
      <w:r>
        <w:rPr>
          <w:rFonts w:hint="eastAsia" w:ascii="黑体" w:hAnsi="黑体" w:eastAsia="黑体"/>
        </w:rPr>
        <w:br w:type="page"/>
      </w:r>
    </w:p>
    <w:p>
      <w:pPr>
        <w:pStyle w:val="3"/>
        <w:spacing w:before="0" w:after="0"/>
        <w:jc w:val="center"/>
        <w:rPr>
          <w:rFonts w:ascii="黑体" w:hAnsi="黑体" w:eastAsia="黑体"/>
        </w:rPr>
      </w:pPr>
      <w:bookmarkStart w:id="74" w:name="_Toc17001"/>
      <w:r>
        <w:rPr>
          <w:rFonts w:hint="eastAsia" w:ascii="黑体" w:hAnsi="黑体" w:eastAsia="黑体"/>
        </w:rPr>
        <w:t xml:space="preserve">第六章 </w:t>
      </w:r>
      <w:r>
        <w:rPr>
          <w:rFonts w:ascii="黑体" w:hAnsi="黑体" w:eastAsia="黑体"/>
        </w:rPr>
        <w:t xml:space="preserve"> </w:t>
      </w:r>
      <w:r>
        <w:rPr>
          <w:rFonts w:hint="eastAsia" w:ascii="黑体" w:hAnsi="黑体" w:eastAsia="黑体"/>
        </w:rPr>
        <w:t>合同书格式（参考）</w:t>
      </w:r>
      <w:bookmarkEnd w:id="68"/>
      <w:bookmarkEnd w:id="69"/>
      <w:bookmarkEnd w:id="70"/>
      <w:bookmarkEnd w:id="71"/>
      <w:bookmarkEnd w:id="72"/>
      <w:bookmarkEnd w:id="73"/>
      <w:bookmarkEnd w:id="74"/>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78"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65"/>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65"/>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65"/>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65"/>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65"/>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采购机构发出的中标通知书；</w:t>
      </w:r>
    </w:p>
    <w:p>
      <w:pPr>
        <w:numPr>
          <w:ilvl w:val="0"/>
          <w:numId w:val="65"/>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66"/>
        </w:numPr>
        <w:spacing w:before="78"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66"/>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66"/>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66"/>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64"/>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64"/>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64"/>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64"/>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pPr>
        <w:pStyle w:val="3"/>
        <w:jc w:val="center"/>
        <w:rPr>
          <w:rFonts w:ascii="黑体" w:hAnsi="黑体" w:eastAsia="黑体"/>
        </w:rPr>
      </w:pPr>
      <w:bookmarkStart w:id="75" w:name="_Toc494721094"/>
      <w:bookmarkStart w:id="76" w:name="_Toc494665944"/>
      <w:bookmarkStart w:id="77" w:name="_Toc494664994"/>
      <w:bookmarkStart w:id="78" w:name="_Toc494745311"/>
      <w:bookmarkStart w:id="79" w:name="_Toc494702264"/>
      <w:bookmarkStart w:id="80" w:name="_Toc494665547"/>
      <w:bookmarkStart w:id="81" w:name="_Toc152"/>
      <w:r>
        <w:rPr>
          <w:rFonts w:hint="eastAsia" w:ascii="黑体" w:hAnsi="黑体" w:eastAsia="黑体"/>
        </w:rPr>
        <w:t xml:space="preserve">第七章 </w:t>
      </w:r>
      <w:r>
        <w:rPr>
          <w:rFonts w:ascii="黑体" w:hAnsi="黑体" w:eastAsia="黑体"/>
        </w:rPr>
        <w:t xml:space="preserve"> </w:t>
      </w:r>
      <w:r>
        <w:rPr>
          <w:rFonts w:hint="eastAsia" w:ascii="黑体" w:hAnsi="黑体" w:eastAsia="黑体"/>
        </w:rPr>
        <w:t>投标文件格式（参考）</w:t>
      </w:r>
      <w:bookmarkEnd w:id="75"/>
      <w:bookmarkEnd w:id="76"/>
      <w:bookmarkEnd w:id="77"/>
      <w:bookmarkEnd w:id="78"/>
      <w:bookmarkEnd w:id="79"/>
      <w:bookmarkEnd w:id="80"/>
      <w:bookmarkEnd w:id="81"/>
    </w:p>
    <w:p>
      <w:pPr>
        <w:spacing w:after="780" w:afterLines="250"/>
        <w:jc w:val="center"/>
        <w:rPr>
          <w:rFonts w:ascii="黑体" w:hAnsi="黑体" w:eastAsia="黑体"/>
          <w:b/>
          <w:sz w:val="56"/>
          <w:szCs w:val="56"/>
          <w:highlight w:val="none"/>
        </w:rPr>
      </w:pPr>
      <w:r>
        <w:rPr>
          <w:rFonts w:hint="eastAsia" w:ascii="黑体" w:hAnsi="黑体" w:eastAsia="黑体"/>
          <w:b/>
          <w:sz w:val="56"/>
          <w:szCs w:val="56"/>
          <w:highlight w:val="none"/>
        </w:rPr>
        <w:t>阳新县县级政府采购</w:t>
      </w:r>
    </w:p>
    <w:p>
      <w:pPr>
        <w:spacing w:after="624" w:afterLines="200"/>
        <w:jc w:val="center"/>
        <w:rPr>
          <w:rFonts w:ascii="黑体" w:hAnsi="黑体" w:eastAsia="黑体"/>
          <w:b/>
          <w:sz w:val="144"/>
          <w:szCs w:val="144"/>
          <w:highlight w:val="none"/>
        </w:rPr>
      </w:pPr>
      <w:r>
        <w:rPr>
          <w:rFonts w:hint="eastAsia" w:ascii="黑体" w:hAnsi="黑体" w:eastAsia="黑体"/>
          <w:b/>
          <w:sz w:val="144"/>
          <w:szCs w:val="144"/>
          <w:highlight w:val="none"/>
        </w:rPr>
        <w:t>投 标 文 件</w:t>
      </w:r>
    </w:p>
    <w:p>
      <w:pPr>
        <w:pStyle w:val="4"/>
        <w:spacing w:before="340" w:after="480" w:line="360" w:lineRule="auto"/>
        <w:jc w:val="center"/>
        <w:rPr>
          <w:rFonts w:cs="Times New Roman" w:asciiTheme="majorEastAsia" w:hAnsiTheme="majorEastAsia"/>
          <w:bCs w:val="0"/>
          <w:sz w:val="44"/>
          <w:szCs w:val="44"/>
          <w:highlight w:val="none"/>
          <w:lang w:val="zh-CN"/>
        </w:rPr>
      </w:pPr>
    </w:p>
    <w:p>
      <w:pPr>
        <w:spacing w:line="360" w:lineRule="auto"/>
        <w:ind w:left="2051" w:leftChars="619" w:right="1299" w:rightChars="619" w:hanging="752" w:hangingChars="209"/>
        <w:rPr>
          <w:rFonts w:cs="Times New Roman" w:asciiTheme="minorEastAsia" w:hAnsiTheme="minorEastAsia"/>
          <w:bCs/>
          <w:sz w:val="36"/>
          <w:szCs w:val="24"/>
          <w:highlight w:val="none"/>
        </w:rPr>
      </w:pPr>
      <w:r>
        <w:rPr>
          <w:rFonts w:hint="eastAsia" w:cs="Times New Roman" w:asciiTheme="minorEastAsia" w:hAnsiTheme="minorEastAsia"/>
          <w:b/>
          <w:bCs/>
          <w:sz w:val="36"/>
          <w:szCs w:val="24"/>
          <w:highlight w:val="none"/>
        </w:rPr>
        <w:t>项目编号：</w:t>
      </w:r>
    </w:p>
    <w:p>
      <w:pPr>
        <w:spacing w:line="360" w:lineRule="auto"/>
        <w:ind w:left="2051" w:leftChars="619" w:right="1299" w:rightChars="619" w:hanging="752" w:hangingChars="209"/>
        <w:rPr>
          <w:rFonts w:cs="Times New Roman" w:asciiTheme="minorEastAsia" w:hAnsiTheme="minorEastAsia"/>
          <w:b/>
          <w:bCs/>
          <w:sz w:val="36"/>
          <w:szCs w:val="24"/>
          <w:highlight w:val="none"/>
        </w:rPr>
      </w:pPr>
      <w:r>
        <w:rPr>
          <w:rFonts w:hint="eastAsia" w:cs="Times New Roman" w:asciiTheme="minorEastAsia" w:hAnsiTheme="minorEastAsia"/>
          <w:b/>
          <w:bCs/>
          <w:sz w:val="36"/>
          <w:szCs w:val="24"/>
          <w:highlight w:val="none"/>
        </w:rPr>
        <w:t>项目名称：</w:t>
      </w:r>
    </w:p>
    <w:p>
      <w:pPr>
        <w:spacing w:line="360" w:lineRule="auto"/>
        <w:ind w:left="2051" w:leftChars="619" w:right="1299" w:rightChars="619" w:hanging="752" w:hangingChars="209"/>
        <w:rPr>
          <w:rFonts w:cs="Times New Roman" w:asciiTheme="minorEastAsia" w:hAnsiTheme="minorEastAsia"/>
          <w:bCs/>
          <w:sz w:val="36"/>
          <w:szCs w:val="24"/>
          <w:highlight w:val="none"/>
          <w:lang w:val="zh-CN"/>
        </w:rPr>
      </w:pPr>
      <w:r>
        <w:rPr>
          <w:rFonts w:hint="eastAsia" w:cs="Times New Roman" w:asciiTheme="minorEastAsia" w:hAnsiTheme="minorEastAsia"/>
          <w:b/>
          <w:bCs/>
          <w:sz w:val="36"/>
          <w:szCs w:val="24"/>
          <w:highlight w:val="none"/>
        </w:rPr>
        <w:t>采购人：</w:t>
      </w:r>
    </w:p>
    <w:p>
      <w:pPr>
        <w:spacing w:line="360" w:lineRule="auto"/>
        <w:ind w:left="2051" w:leftChars="619" w:right="1299" w:rightChars="619" w:hanging="752" w:hangingChars="209"/>
        <w:rPr>
          <w:rFonts w:hint="eastAsia"/>
          <w:highlight w:val="none"/>
        </w:rPr>
      </w:pPr>
      <w:r>
        <w:rPr>
          <w:rFonts w:hint="eastAsia" w:cs="Times New Roman" w:asciiTheme="minorEastAsia" w:hAnsiTheme="minorEastAsia"/>
          <w:b/>
          <w:bCs/>
          <w:sz w:val="36"/>
          <w:szCs w:val="24"/>
          <w:highlight w:val="none"/>
        </w:rPr>
        <w:t>采购内容：</w:t>
      </w:r>
    </w:p>
    <w:p>
      <w:pPr>
        <w:spacing w:line="360" w:lineRule="auto"/>
        <w:ind w:right="1287" w:rightChars="613"/>
        <w:jc w:val="center"/>
        <w:rPr>
          <w:rFonts w:cs="Times New Roman" w:asciiTheme="minorEastAsia" w:hAnsiTheme="minorEastAsia"/>
          <w:b/>
          <w:bCs/>
          <w:sz w:val="52"/>
          <w:szCs w:val="52"/>
          <w:highlight w:val="none"/>
        </w:rPr>
      </w:pPr>
      <w:r>
        <w:rPr>
          <w:rFonts w:hint="eastAsia" w:cs="Times New Roman" w:asciiTheme="minorEastAsia" w:hAnsiTheme="minorEastAsia"/>
          <w:b/>
          <w:bCs/>
          <w:sz w:val="52"/>
          <w:szCs w:val="52"/>
          <w:highlight w:val="none"/>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highlight w:val="none"/>
        </w:rPr>
      </w:pPr>
      <w:r>
        <w:rPr>
          <w:rFonts w:hint="eastAsia" w:cs="Times New Roman" w:asciiTheme="minorEastAsia" w:hAnsiTheme="minorEastAsia"/>
          <w:b/>
          <w:bCs/>
          <w:sz w:val="32"/>
          <w:szCs w:val="32"/>
          <w:highlight w:val="none"/>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eastAsia="zh-CN"/>
        </w:rPr>
        <w:t>二</w:t>
      </w:r>
      <w:r>
        <w:rPr>
          <w:rFonts w:hint="eastAsia" w:ascii="宋体" w:hAnsi="宋体" w:eastAsia="宋体"/>
          <w:b/>
          <w:sz w:val="36"/>
          <w:szCs w:val="36"/>
          <w:lang w:eastAsia="zh-CN"/>
        </w:rPr>
        <w:t>二</w:t>
      </w:r>
      <w:r>
        <w:rPr>
          <w:rFonts w:hint="eastAsia" w:ascii="宋体" w:hAnsi="宋体"/>
          <w:b/>
          <w:sz w:val="36"/>
          <w:szCs w:val="36"/>
        </w:rPr>
        <w:t>年 月</w:t>
      </w:r>
    </w:p>
    <w:p>
      <w:pPr>
        <w:rPr>
          <w:rFonts w:hint="eastAsia" w:cs="Times New Roman" w:asciiTheme="minorEastAsia" w:hAnsiTheme="minorEastAsia"/>
          <w:b/>
          <w:bCs/>
          <w:sz w:val="36"/>
          <w:szCs w:val="24"/>
          <w:highlight w:val="yellow"/>
        </w:rPr>
      </w:pPr>
      <w:r>
        <w:rPr>
          <w:rFonts w:hint="eastAsia" w:cs="Times New Roman" w:asciiTheme="minorEastAsia" w:hAnsiTheme="minorEastAsia"/>
          <w:b/>
          <w:bCs/>
          <w:sz w:val="36"/>
          <w:szCs w:val="24"/>
          <w:highlight w:val="yellow"/>
        </w:rPr>
        <w:br w:type="page"/>
      </w:r>
    </w:p>
    <w:p>
      <w:pPr>
        <w:spacing w:line="360" w:lineRule="auto"/>
        <w:jc w:val="center"/>
        <w:rPr>
          <w:rFonts w:cs="Times New Roman" w:asciiTheme="minorEastAsia" w:hAnsiTheme="minorEastAsia"/>
          <w:b/>
          <w:bCs/>
          <w:sz w:val="36"/>
          <w:szCs w:val="24"/>
          <w:highlight w:val="none"/>
        </w:rPr>
      </w:pPr>
      <w:r>
        <w:rPr>
          <w:rFonts w:hint="eastAsia" w:cs="Times New Roman" w:asciiTheme="minorEastAsia" w:hAnsiTheme="minorEastAsia"/>
          <w:b/>
          <w:bCs/>
          <w:sz w:val="36"/>
          <w:szCs w:val="24"/>
          <w:highlight w:val="none"/>
        </w:rPr>
        <w:t>投标文件目录</w:t>
      </w:r>
    </w:p>
    <w:p>
      <w:pPr>
        <w:pStyle w:val="31"/>
        <w:rPr>
          <w:rFonts w:hint="eastAsia"/>
        </w:rPr>
      </w:pPr>
    </w:p>
    <w:p>
      <w:pPr>
        <w:pStyle w:val="31"/>
      </w:pPr>
    </w:p>
    <w:p>
      <w:pPr>
        <w:pStyle w:val="31"/>
      </w:pPr>
    </w:p>
    <w:p>
      <w:pPr>
        <w:pStyle w:val="31"/>
      </w:pPr>
    </w:p>
    <w:p>
      <w:pPr>
        <w:pStyle w:val="31"/>
      </w:pPr>
    </w:p>
    <w:p>
      <w:pPr>
        <w:pStyle w:val="31"/>
      </w:pPr>
    </w:p>
    <w:p>
      <w:pPr>
        <w:pStyle w:val="31"/>
      </w:pPr>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2" w:name="_Toc494702266"/>
      <w:bookmarkStart w:id="83" w:name="_Toc494721096"/>
      <w:bookmarkStart w:id="84" w:name="_Toc494665549"/>
      <w:bookmarkStart w:id="85" w:name="_Toc494665946"/>
      <w:bookmarkStart w:id="86" w:name="_Toc494745313"/>
      <w:bookmarkStart w:id="87" w:name="_Toc494664996"/>
      <w:r>
        <w:rPr>
          <w:rFonts w:hint="eastAsia" w:ascii="黑体" w:hAnsi="黑体" w:eastAsia="黑体" w:cs="Times New Roman"/>
          <w:b/>
          <w:sz w:val="36"/>
          <w:szCs w:val="36"/>
        </w:rPr>
        <w:t>第一部分 资格证明文件组成</w:t>
      </w:r>
      <w:bookmarkEnd w:id="82"/>
      <w:bookmarkEnd w:id="83"/>
      <w:bookmarkEnd w:id="84"/>
      <w:bookmarkEnd w:id="85"/>
      <w:bookmarkEnd w:id="86"/>
      <w:bookmarkEnd w:id="87"/>
    </w:p>
    <w:p>
      <w:pPr>
        <w:numPr>
          <w:ilvl w:val="0"/>
          <w:numId w:val="67"/>
        </w:numPr>
        <w:autoSpaceDE w:val="0"/>
        <w:autoSpaceDN w:val="0"/>
        <w:adjustRightInd w:val="0"/>
        <w:spacing w:line="360" w:lineRule="auto"/>
        <w:ind w:left="490" w:hanging="370"/>
        <w:rPr>
          <w:rFonts w:hint="eastAsia" w:ascii="宋体" w:hAnsi="宋体"/>
          <w:kern w:val="0"/>
          <w:sz w:val="24"/>
          <w:szCs w:val="32"/>
        </w:rPr>
      </w:pPr>
      <w:r>
        <w:rPr>
          <w:rFonts w:hint="eastAsia" w:ascii="宋体" w:hAnsi="宋体"/>
          <w:kern w:val="0"/>
          <w:sz w:val="24"/>
          <w:szCs w:val="32"/>
        </w:rPr>
        <w:t>由各投标人根据参考格式要求自行编写。具体内容应包括但不限于以下内容：</w:t>
      </w:r>
    </w:p>
    <w:p>
      <w:pPr>
        <w:numPr>
          <w:ilvl w:val="0"/>
          <w:numId w:val="67"/>
        </w:numPr>
        <w:autoSpaceDE w:val="0"/>
        <w:autoSpaceDN w:val="0"/>
        <w:adjustRightInd w:val="0"/>
        <w:spacing w:line="360" w:lineRule="auto"/>
        <w:ind w:left="490" w:hanging="370"/>
        <w:rPr>
          <w:rFonts w:ascii="宋体" w:hAnsi="宋体" w:cs="Times New Roman"/>
          <w:b/>
          <w:kern w:val="0"/>
          <w:sz w:val="24"/>
          <w:szCs w:val="32"/>
        </w:rPr>
      </w:pPr>
      <w:r>
        <w:rPr>
          <w:rFonts w:hint="eastAsia" w:ascii="宋体" w:hAnsi="宋体"/>
          <w:kern w:val="0"/>
          <w:sz w:val="24"/>
          <w:szCs w:val="32"/>
        </w:rPr>
        <w:t>应具备《政府采购法》第二十二条第一款规定的条件，提供下列材料；</w:t>
      </w:r>
    </w:p>
    <w:p>
      <w:pPr>
        <w:numPr>
          <w:ilvl w:val="0"/>
          <w:numId w:val="68"/>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法人或者其他组织的营业执照等证明文件，自然人的身份证明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cs="Times New Roman"/>
          <w:kern w:val="0"/>
          <w:sz w:val="24"/>
          <w:szCs w:val="32"/>
        </w:rPr>
        <w:t>：</w:t>
      </w:r>
    </w:p>
    <w:p>
      <w:pPr>
        <w:numPr>
          <w:ilvl w:val="0"/>
          <w:numId w:val="69"/>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法人</w:t>
      </w:r>
    </w:p>
    <w:p>
      <w:pPr>
        <w:pStyle w:val="48"/>
        <w:numPr>
          <w:ilvl w:val="0"/>
          <w:numId w:val="70"/>
        </w:numPr>
        <w:spacing w:line="360" w:lineRule="auto"/>
        <w:ind w:left="902" w:hanging="482" w:firstLineChars="0"/>
        <w:rPr>
          <w:rFonts w:ascii="宋体" w:hAnsi="宋体"/>
          <w:sz w:val="24"/>
          <w:szCs w:val="24"/>
        </w:rPr>
      </w:pPr>
      <w:r>
        <w:rPr>
          <w:rFonts w:hint="eastAsia" w:ascii="楷体" w:hAnsi="楷体" w:eastAsia="楷体"/>
          <w:b/>
          <w:sz w:val="24"/>
          <w:szCs w:val="24"/>
        </w:rPr>
        <w:t>企业法人（包括合伙企业）：</w:t>
      </w:r>
      <w:r>
        <w:rPr>
          <w:rFonts w:hint="eastAsia" w:ascii="宋体" w:hAnsi="宋体"/>
          <w:sz w:val="24"/>
          <w:szCs w:val="24"/>
        </w:rPr>
        <w:t>提供工商部门注册的有效“企业法人营业执照”或“营业执照”；</w:t>
      </w:r>
    </w:p>
    <w:p>
      <w:pPr>
        <w:pStyle w:val="48"/>
        <w:numPr>
          <w:ilvl w:val="0"/>
          <w:numId w:val="70"/>
        </w:numPr>
        <w:spacing w:line="360" w:lineRule="auto"/>
        <w:ind w:left="902" w:hanging="482" w:firstLineChars="0"/>
        <w:rPr>
          <w:rFonts w:ascii="宋体" w:hAnsi="宋体"/>
          <w:sz w:val="24"/>
          <w:szCs w:val="24"/>
        </w:rPr>
      </w:pPr>
      <w:r>
        <w:rPr>
          <w:rFonts w:hint="eastAsia" w:ascii="楷体" w:hAnsi="楷体" w:eastAsia="楷体"/>
          <w:b/>
          <w:sz w:val="24"/>
          <w:szCs w:val="24"/>
        </w:rPr>
        <w:t>事业单位法人：</w:t>
      </w:r>
      <w:r>
        <w:rPr>
          <w:rFonts w:hint="eastAsia" w:ascii="宋体" w:hAnsi="宋体"/>
          <w:sz w:val="24"/>
          <w:szCs w:val="24"/>
        </w:rPr>
        <w:t>提供有效的“事业单位法人证书”。</w:t>
      </w:r>
    </w:p>
    <w:p>
      <w:pPr>
        <w:numPr>
          <w:ilvl w:val="0"/>
          <w:numId w:val="69"/>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其他组织</w:t>
      </w:r>
    </w:p>
    <w:p>
      <w:pPr>
        <w:pStyle w:val="48"/>
        <w:numPr>
          <w:ilvl w:val="0"/>
          <w:numId w:val="71"/>
        </w:numPr>
        <w:spacing w:line="360" w:lineRule="auto"/>
        <w:ind w:left="902" w:hanging="482" w:firstLineChars="0"/>
        <w:rPr>
          <w:rFonts w:ascii="宋体" w:hAns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48"/>
        <w:numPr>
          <w:ilvl w:val="0"/>
          <w:numId w:val="71"/>
        </w:numPr>
        <w:spacing w:line="360" w:lineRule="auto"/>
        <w:ind w:left="902" w:hanging="482" w:firstLineChars="0"/>
        <w:rPr>
          <w:rFonts w:ascii="宋体" w:hAns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69"/>
        </w:numPr>
        <w:spacing w:line="360" w:lineRule="auto"/>
        <w:ind w:left="986" w:hanging="720"/>
        <w:rPr>
          <w:rFonts w:ascii="宋体" w:hAnsi="宋体" w:cs="Times New Roman"/>
          <w:sz w:val="24"/>
          <w:szCs w:val="20"/>
        </w:rPr>
      </w:pPr>
      <w:r>
        <w:rPr>
          <w:rFonts w:hint="eastAsia" w:ascii="仿宋" w:hAnsi="仿宋" w:eastAsia="仿宋" w:cs="Times New Roman"/>
          <w:b/>
          <w:sz w:val="24"/>
          <w:szCs w:val="20"/>
        </w:rPr>
        <w:t>自然人：</w:t>
      </w:r>
      <w:r>
        <w:rPr>
          <w:rFonts w:hint="eastAsia" w:ascii="宋体" w:hAnsi="宋体" w:cs="Times New Roman"/>
          <w:sz w:val="24"/>
          <w:szCs w:val="20"/>
        </w:rPr>
        <w:t>提供有效的自然人身份证明。（仅限中国公民）</w:t>
      </w:r>
    </w:p>
    <w:p>
      <w:pPr>
        <w:numPr>
          <w:ilvl w:val="0"/>
          <w:numId w:val="68"/>
        </w:numPr>
        <w:autoSpaceDE w:val="0"/>
        <w:autoSpaceDN w:val="0"/>
        <w:adjustRightInd w:val="0"/>
        <w:spacing w:line="360" w:lineRule="auto"/>
        <w:ind w:left="606" w:hanging="493"/>
        <w:rPr>
          <w:rFonts w:hint="eastAsia" w:ascii="宋体" w:hAnsi="宋体" w:cs="Times New Roman"/>
          <w:kern w:val="0"/>
          <w:sz w:val="24"/>
          <w:szCs w:val="32"/>
        </w:rPr>
      </w:pPr>
      <w:r>
        <w:rPr>
          <w:rFonts w:hint="eastAsia" w:ascii="宋体" w:hAnsi="宋体" w:cs="Times New Roman"/>
          <w:kern w:val="0"/>
          <w:sz w:val="24"/>
          <w:szCs w:val="32"/>
        </w:rPr>
        <w:t>财务状况报告，依法缴纳税收和社会保障资金的相关材料</w:t>
      </w:r>
      <w:r>
        <w:rPr>
          <w:rFonts w:hint="eastAsia" w:ascii="宋体" w:hAnsi="宋体"/>
          <w:sz w:val="24"/>
          <w:szCs w:val="24"/>
        </w:rPr>
        <w:t>（</w:t>
      </w:r>
      <w:r>
        <w:rPr>
          <w:rFonts w:hint="eastAsia" w:ascii="宋体" w:hAnsi="宋体" w:cs="Times New Roman"/>
          <w:kern w:val="0"/>
          <w:sz w:val="24"/>
          <w:szCs w:val="32"/>
        </w:rPr>
        <w:t>投标人提供上一个年度财务审计报告及参加政府采购活动前</w:t>
      </w:r>
      <w:r>
        <w:rPr>
          <w:rFonts w:hint="eastAsia" w:ascii="宋体" w:hAnsi="宋体" w:cs="Times New Roman"/>
          <w:kern w:val="0"/>
          <w:sz w:val="24"/>
          <w:szCs w:val="32"/>
          <w:lang w:eastAsia="zh-CN"/>
        </w:rPr>
        <w:t>一年</w:t>
      </w:r>
      <w:r>
        <w:rPr>
          <w:rFonts w:hint="eastAsia" w:ascii="宋体" w:hAnsi="宋体" w:cs="Times New Roman"/>
          <w:kern w:val="0"/>
          <w:sz w:val="24"/>
          <w:szCs w:val="32"/>
        </w:rPr>
        <w:t>内任意</w:t>
      </w:r>
      <w:r>
        <w:rPr>
          <w:rFonts w:hint="eastAsia" w:ascii="宋体" w:hAnsi="宋体" w:cs="Times New Roman"/>
          <w:kern w:val="0"/>
          <w:sz w:val="24"/>
          <w:szCs w:val="32"/>
          <w:lang w:val="en-US" w:eastAsia="zh-CN"/>
        </w:rPr>
        <w:t>3</w:t>
      </w:r>
      <w:r>
        <w:rPr>
          <w:rFonts w:hint="eastAsia" w:ascii="宋体" w:hAnsi="宋体" w:cs="Times New Roman"/>
          <w:kern w:val="0"/>
          <w:sz w:val="24"/>
          <w:szCs w:val="32"/>
        </w:rPr>
        <w:t xml:space="preserve">个月依法缴纳税收和社会保障资金的证明材料）； </w:t>
      </w:r>
    </w:p>
    <w:p>
      <w:pPr>
        <w:numPr>
          <w:ilvl w:val="0"/>
          <w:numId w:val="72"/>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财务状况报告</w:t>
      </w:r>
    </w:p>
    <w:p>
      <w:pPr>
        <w:pStyle w:val="48"/>
        <w:numPr>
          <w:ilvl w:val="0"/>
          <w:numId w:val="73"/>
        </w:numPr>
        <w:spacing w:line="360" w:lineRule="auto"/>
        <w:ind w:left="902" w:hanging="482" w:firstLineChars="0"/>
        <w:rPr>
          <w:rFonts w:ascii="宋体" w:hAnsi="宋体"/>
          <w:sz w:val="24"/>
          <w:szCs w:val="24"/>
        </w:rPr>
      </w:pPr>
      <w:r>
        <w:rPr>
          <w:rFonts w:hint="eastAsia" w:ascii="楷体" w:hAnsi="楷体" w:eastAsia="楷体"/>
          <w:b/>
          <w:sz w:val="24"/>
          <w:szCs w:val="24"/>
        </w:rPr>
        <w:t>法人：</w:t>
      </w:r>
      <w:r>
        <w:rPr>
          <w:rFonts w:hint="eastAsia" w:ascii="宋体" w:hAnsi="宋体"/>
          <w:sz w:val="24"/>
          <w:szCs w:val="24"/>
        </w:rPr>
        <w:t>提供上年度经第三方审计的财务报告（完整的财务报告，包括“四表一注”，即资产负债表、利润表、现金流量表、所有者权益变动表及其附注），或其基本开户银行出具的资信证明；</w:t>
      </w:r>
    </w:p>
    <w:p>
      <w:pPr>
        <w:pStyle w:val="48"/>
        <w:numPr>
          <w:ilvl w:val="0"/>
          <w:numId w:val="73"/>
        </w:numPr>
        <w:spacing w:line="360" w:lineRule="auto"/>
        <w:ind w:left="902" w:hanging="482" w:firstLineChars="0"/>
        <w:rPr>
          <w:rFonts w:ascii="宋体" w:hAns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48"/>
        <w:numPr>
          <w:ilvl w:val="0"/>
          <w:numId w:val="73"/>
        </w:numPr>
        <w:spacing w:line="360" w:lineRule="auto"/>
        <w:ind w:left="902" w:hanging="482" w:firstLineChars="0"/>
        <w:rPr>
          <w:rFonts w:ascii="宋体" w:hAns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72"/>
        </w:numPr>
        <w:spacing w:line="360" w:lineRule="auto"/>
        <w:ind w:left="986" w:hanging="720"/>
        <w:rPr>
          <w:rFonts w:ascii="仿宋" w:hAnsi="仿宋" w:eastAsia="仿宋" w:cs="Times New Roman"/>
          <w:b/>
          <w:sz w:val="24"/>
          <w:szCs w:val="20"/>
        </w:rPr>
      </w:pPr>
      <w:r>
        <w:rPr>
          <w:rFonts w:hint="eastAsia" w:ascii="仿宋" w:hAnsi="仿宋" w:eastAsia="仿宋" w:cs="Times New Roman"/>
          <w:b/>
          <w:sz w:val="24"/>
          <w:szCs w:val="20"/>
        </w:rPr>
        <w:t>依法缴纳税收和社会保障资金的证明材料</w:t>
      </w:r>
    </w:p>
    <w:p>
      <w:pPr>
        <w:pStyle w:val="48"/>
        <w:numPr>
          <w:ilvl w:val="0"/>
          <w:numId w:val="74"/>
        </w:numPr>
        <w:spacing w:line="360" w:lineRule="auto"/>
        <w:ind w:left="902" w:hanging="482" w:firstLineChars="0"/>
        <w:rPr>
          <w:rFonts w:ascii="宋体" w:hAnsi="宋体"/>
          <w:sz w:val="24"/>
          <w:szCs w:val="24"/>
        </w:rPr>
      </w:pPr>
      <w:r>
        <w:rPr>
          <w:rFonts w:hint="eastAsia" w:ascii="宋体" w:hAnsi="宋体"/>
          <w:sz w:val="24"/>
          <w:szCs w:val="24"/>
        </w:rPr>
        <w:t>法人</w:t>
      </w:r>
    </w:p>
    <w:p>
      <w:pPr>
        <w:pStyle w:val="48"/>
        <w:numPr>
          <w:ilvl w:val="0"/>
          <w:numId w:val="75"/>
        </w:numPr>
        <w:spacing w:line="360" w:lineRule="auto"/>
        <w:ind w:firstLine="638" w:firstLineChars="266"/>
        <w:rPr>
          <w:rFonts w:ascii="Helvetica" w:hAnsi="Helvetica" w:cs="Helvetica"/>
          <w:kern w:val="0"/>
          <w:sz w:val="24"/>
          <w:szCs w:val="24"/>
        </w:rPr>
      </w:pPr>
      <w:r>
        <w:rPr>
          <w:rFonts w:hint="eastAsia" w:ascii="Helvetica" w:hAnsi="Helvetica" w:cs="Helvetica"/>
          <w:kern w:val="0"/>
          <w:sz w:val="24"/>
          <w:szCs w:val="24"/>
        </w:rPr>
        <w:t>参加政府采购活动</w:t>
      </w:r>
      <w:r>
        <w:rPr>
          <w:rFonts w:hint="eastAsia" w:ascii="Helvetica" w:hAnsi="Helvetica" w:cs="Helvetica"/>
          <w:kern w:val="0"/>
          <w:sz w:val="24"/>
          <w:szCs w:val="24"/>
          <w:lang w:eastAsia="zh-CN"/>
        </w:rPr>
        <w:t>前一年内任意3个月的</w:t>
      </w:r>
      <w:r>
        <w:rPr>
          <w:rFonts w:hint="eastAsia" w:ascii="Helvetica" w:hAnsi="Helvetica" w:cs="Helvetica"/>
          <w:kern w:val="0"/>
          <w:sz w:val="24"/>
          <w:szCs w:val="24"/>
        </w:rPr>
        <w:t>缴纳增值税、营业税和企业所得税的凭据；</w:t>
      </w:r>
    </w:p>
    <w:p>
      <w:pPr>
        <w:pStyle w:val="48"/>
        <w:numPr>
          <w:ilvl w:val="0"/>
          <w:numId w:val="75"/>
        </w:numPr>
        <w:spacing w:line="360" w:lineRule="auto"/>
        <w:ind w:firstLine="638" w:firstLineChars="266"/>
        <w:rPr>
          <w:rFonts w:hint="eastAsia" w:ascii="Helvetica" w:hAnsi="Helvetica" w:cs="Helvetica"/>
          <w:kern w:val="0"/>
          <w:sz w:val="24"/>
          <w:szCs w:val="24"/>
        </w:rPr>
      </w:pPr>
      <w:r>
        <w:rPr>
          <w:rFonts w:hint="eastAsia" w:ascii="Helvetica" w:hAnsi="Helvetica" w:cs="Helvetica"/>
          <w:kern w:val="0"/>
          <w:sz w:val="24"/>
          <w:szCs w:val="24"/>
        </w:rPr>
        <w:t>参加政府采购活动前</w:t>
      </w:r>
      <w:r>
        <w:rPr>
          <w:rFonts w:hint="eastAsia" w:ascii="Helvetica" w:hAnsi="Helvetica" w:cs="Helvetica"/>
          <w:kern w:val="0"/>
          <w:sz w:val="24"/>
          <w:szCs w:val="24"/>
          <w:lang w:eastAsia="zh-CN"/>
        </w:rPr>
        <w:t>一年</w:t>
      </w:r>
      <w:r>
        <w:rPr>
          <w:rFonts w:hint="eastAsia" w:ascii="Helvetica" w:hAnsi="Helvetica" w:cs="Helvetica"/>
          <w:kern w:val="0"/>
          <w:sz w:val="24"/>
          <w:szCs w:val="24"/>
        </w:rPr>
        <w:t>内任意</w:t>
      </w:r>
      <w:r>
        <w:rPr>
          <w:rFonts w:hint="eastAsia" w:ascii="Helvetica" w:hAnsi="Helvetica" w:cs="Helvetica"/>
          <w:kern w:val="0"/>
          <w:sz w:val="24"/>
          <w:szCs w:val="24"/>
          <w:lang w:val="en-US" w:eastAsia="zh-CN"/>
        </w:rPr>
        <w:t>3</w:t>
      </w:r>
      <w:r>
        <w:rPr>
          <w:rFonts w:hint="eastAsia" w:ascii="Helvetica" w:hAnsi="Helvetica" w:cs="Helvetica"/>
          <w:kern w:val="0"/>
          <w:sz w:val="24"/>
          <w:szCs w:val="24"/>
        </w:rPr>
        <w:t>个月缴纳社会保险的凭据（专用收据或社会保险缴纳清单或社保证明）。</w:t>
      </w:r>
    </w:p>
    <w:p>
      <w:pPr>
        <w:pStyle w:val="48"/>
        <w:numPr>
          <w:ilvl w:val="0"/>
          <w:numId w:val="74"/>
        </w:numPr>
        <w:spacing w:line="360" w:lineRule="auto"/>
        <w:ind w:left="902" w:hanging="482" w:firstLineChars="0"/>
        <w:rPr>
          <w:rFonts w:ascii="宋体" w:hAnsi="宋体"/>
          <w:sz w:val="24"/>
          <w:szCs w:val="24"/>
        </w:rPr>
      </w:pPr>
      <w:r>
        <w:rPr>
          <w:rFonts w:hint="eastAsia" w:ascii="宋体" w:hAnsi="宋体"/>
          <w:sz w:val="24"/>
          <w:szCs w:val="24"/>
        </w:rPr>
        <w:t>其他组织和自然人</w:t>
      </w:r>
    </w:p>
    <w:p>
      <w:pPr>
        <w:pStyle w:val="48"/>
        <w:numPr>
          <w:ilvl w:val="0"/>
          <w:numId w:val="76"/>
        </w:numPr>
        <w:spacing w:line="360" w:lineRule="auto"/>
        <w:ind w:left="1027" w:hanging="369" w:firstLineChars="0"/>
        <w:rPr>
          <w:rFonts w:ascii="Helvetica" w:hAnsi="Helvetica" w:cs="Helvetica"/>
          <w:kern w:val="0"/>
          <w:sz w:val="24"/>
          <w:szCs w:val="24"/>
        </w:rPr>
      </w:pPr>
      <w:r>
        <w:rPr>
          <w:rFonts w:hint="eastAsia" w:ascii="Helvetica" w:hAnsi="Helvetica" w:cs="Helvetica"/>
          <w:kern w:val="0"/>
          <w:sz w:val="24"/>
          <w:szCs w:val="24"/>
        </w:rPr>
        <w:t>参加政府采购活动</w:t>
      </w:r>
      <w:r>
        <w:rPr>
          <w:rFonts w:hint="eastAsia" w:ascii="Helvetica" w:hAnsi="Helvetica" w:cs="Helvetica"/>
          <w:kern w:val="0"/>
          <w:sz w:val="24"/>
          <w:szCs w:val="24"/>
          <w:lang w:eastAsia="zh-CN"/>
        </w:rPr>
        <w:t>前一年内任意3个月的</w:t>
      </w:r>
      <w:r>
        <w:rPr>
          <w:rFonts w:hint="eastAsia" w:ascii="Helvetica" w:hAnsi="Helvetica" w:cs="Helvetica"/>
          <w:kern w:val="0"/>
          <w:sz w:val="24"/>
          <w:szCs w:val="24"/>
        </w:rPr>
        <w:t>缴纳税收的凭据；</w:t>
      </w:r>
    </w:p>
    <w:p>
      <w:pPr>
        <w:pStyle w:val="48"/>
        <w:numPr>
          <w:ilvl w:val="0"/>
          <w:numId w:val="76"/>
        </w:numPr>
        <w:spacing w:line="360" w:lineRule="auto"/>
        <w:ind w:left="1027" w:hanging="369" w:firstLineChars="0"/>
        <w:rPr>
          <w:rFonts w:ascii="Helvetica" w:hAnsi="Helvetica" w:cs="Helvetica"/>
          <w:kern w:val="0"/>
          <w:sz w:val="24"/>
          <w:szCs w:val="24"/>
        </w:rPr>
      </w:pPr>
      <w:r>
        <w:rPr>
          <w:rFonts w:hint="eastAsia" w:ascii="Helvetica" w:hAnsi="Helvetica" w:cs="Helvetica"/>
          <w:kern w:val="0"/>
          <w:sz w:val="24"/>
          <w:szCs w:val="24"/>
        </w:rPr>
        <w:t>参加政府采购活动</w:t>
      </w:r>
      <w:r>
        <w:rPr>
          <w:rFonts w:hint="eastAsia" w:ascii="Helvetica" w:hAnsi="Helvetica" w:cs="Helvetica"/>
          <w:kern w:val="0"/>
          <w:sz w:val="24"/>
          <w:szCs w:val="24"/>
          <w:lang w:eastAsia="zh-CN"/>
        </w:rPr>
        <w:t>前一年内任意3个月的</w:t>
      </w:r>
      <w:r>
        <w:rPr>
          <w:rFonts w:hint="eastAsia" w:ascii="Helvetica" w:hAnsi="Helvetica" w:cs="Helvetica"/>
          <w:kern w:val="0"/>
          <w:sz w:val="24"/>
          <w:szCs w:val="24"/>
        </w:rPr>
        <w:t>缴纳社会保险的凭据(专用收据或社会保险缴纳清单或社保证明)。</w:t>
      </w:r>
    </w:p>
    <w:p>
      <w:pPr>
        <w:pStyle w:val="48"/>
        <w:numPr>
          <w:ilvl w:val="0"/>
          <w:numId w:val="74"/>
        </w:numPr>
        <w:spacing w:line="360" w:lineRule="auto"/>
        <w:ind w:left="902" w:hanging="482" w:firstLineChars="0"/>
        <w:rPr>
          <w:rFonts w:ascii="宋体" w:hAnsi="宋体"/>
          <w:sz w:val="24"/>
          <w:szCs w:val="24"/>
        </w:rPr>
      </w:pPr>
      <w:r>
        <w:rPr>
          <w:rFonts w:hint="eastAsia" w:ascii="宋体" w:hAnsi="宋体"/>
          <w:sz w:val="24"/>
          <w:szCs w:val="24"/>
        </w:rPr>
        <w:t>依法免税或不需要缴纳社会保险资金的投标人</w:t>
      </w:r>
    </w:p>
    <w:p>
      <w:pPr>
        <w:pStyle w:val="48"/>
        <w:spacing w:line="360" w:lineRule="auto"/>
        <w:ind w:left="902" w:firstLine="0" w:firstLineChars="0"/>
        <w:rPr>
          <w:rFonts w:ascii="宋体" w:hAnsi="宋体"/>
          <w:sz w:val="24"/>
          <w:szCs w:val="24"/>
        </w:rPr>
      </w:pPr>
      <w:r>
        <w:rPr>
          <w:rFonts w:hint="eastAsia" w:ascii="宋体" w:hAnsi="宋体"/>
          <w:sz w:val="24"/>
          <w:szCs w:val="24"/>
        </w:rPr>
        <w:t>提供其依法免税或不需要缴纳社会保险资金的相关证明文件。</w:t>
      </w:r>
    </w:p>
    <w:p>
      <w:pPr>
        <w:numPr>
          <w:ilvl w:val="0"/>
          <w:numId w:val="68"/>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具备履行合同所必需的设备和专业技术能力的声明材料：</w:t>
      </w:r>
    </w:p>
    <w:p>
      <w:pPr>
        <w:numPr>
          <w:ilvl w:val="0"/>
          <w:numId w:val="68"/>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参加政府采购活动前3年内在经营活动中没有重大违法记录的书面声明：</w:t>
      </w:r>
    </w:p>
    <w:p>
      <w:pPr>
        <w:numPr>
          <w:ilvl w:val="0"/>
          <w:numId w:val="77"/>
        </w:numPr>
        <w:spacing w:line="360" w:lineRule="auto"/>
        <w:ind w:left="986" w:hanging="720"/>
        <w:rPr>
          <w:rFonts w:ascii="仿宋" w:hAnsi="仿宋" w:eastAsia="仿宋" w:cs="Times New Roman"/>
          <w:sz w:val="24"/>
          <w:szCs w:val="20"/>
        </w:rPr>
      </w:pPr>
      <w:r>
        <w:rPr>
          <w:rFonts w:hint="eastAsia" w:ascii="宋体" w:hAnsi="宋体" w:cs="Times New Roman"/>
          <w:sz w:val="24"/>
          <w:szCs w:val="20"/>
        </w:rPr>
        <w:t>应严格按照附件格式提交“参加政府采购活动前三年内在经营活动中没有重大违法记录的书面声明函”；</w:t>
      </w:r>
    </w:p>
    <w:p>
      <w:pPr>
        <w:numPr>
          <w:ilvl w:val="0"/>
          <w:numId w:val="77"/>
        </w:numPr>
        <w:spacing w:line="360" w:lineRule="auto"/>
        <w:ind w:left="986" w:hanging="720"/>
        <w:rPr>
          <w:rFonts w:ascii="仿宋" w:hAnsi="仿宋" w:eastAsia="仿宋" w:cs="Times New Roman"/>
          <w:sz w:val="24"/>
          <w:szCs w:val="20"/>
        </w:rPr>
      </w:pPr>
      <w:r>
        <w:rPr>
          <w:rFonts w:hint="eastAsia" w:ascii="宋体" w:hAnsi="宋体" w:cs="Times New Roman"/>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77"/>
        </w:numPr>
        <w:spacing w:line="360" w:lineRule="auto"/>
        <w:ind w:left="986" w:hanging="720"/>
        <w:rPr>
          <w:rFonts w:ascii="仿宋" w:hAnsi="仿宋" w:eastAsia="仿宋" w:cs="Times New Roman"/>
          <w:sz w:val="24"/>
          <w:szCs w:val="20"/>
        </w:rPr>
      </w:pPr>
      <w:r>
        <w:rPr>
          <w:rFonts w:hint="eastAsia" w:ascii="宋体" w:hAnsi="宋体" w:cs="Times New Roman"/>
          <w:sz w:val="24"/>
          <w:szCs w:val="20"/>
        </w:rPr>
        <w:t>按照财政部《关于规范政府采购行政处罚有关问题的通知》的规定，</w:t>
      </w:r>
      <w:r>
        <w:rPr>
          <w:rFonts w:ascii="宋体" w:hAnsi="宋体" w:cs="Times New Roman"/>
          <w:sz w:val="24"/>
          <w:szCs w:val="20"/>
        </w:rPr>
        <w:t>各级人民政府财政部门依法对参加政府采购活动的供应商作出的禁止参加政府采购活动等行政处罚决定在全国范围内生效。</w:t>
      </w:r>
    </w:p>
    <w:p>
      <w:pPr>
        <w:numPr>
          <w:ilvl w:val="0"/>
          <w:numId w:val="68"/>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具备法律、行政法规规定的其他条件的证明材料：</w:t>
      </w:r>
    </w:p>
    <w:p>
      <w:pPr>
        <w:numPr>
          <w:ilvl w:val="0"/>
          <w:numId w:val="78"/>
        </w:numPr>
        <w:spacing w:line="360" w:lineRule="auto"/>
        <w:ind w:left="986" w:hanging="720"/>
        <w:rPr>
          <w:rFonts w:ascii="宋体" w:hAnsi="宋体" w:cs="Times New Roman"/>
          <w:sz w:val="24"/>
          <w:szCs w:val="20"/>
        </w:rPr>
      </w:pPr>
      <w:r>
        <w:rPr>
          <w:rFonts w:hint="eastAsia" w:ascii="宋体" w:hAnsi="宋体" w:cs="Times New Roman"/>
          <w:sz w:val="24"/>
          <w:szCs w:val="20"/>
        </w:rPr>
        <w:t>国家对生产和销售相关产品或提供相关服务有专门法律、行政法规规定的，则必须提供取得国家有关主管部门行政许可的证明材料。</w:t>
      </w:r>
    </w:p>
    <w:p>
      <w:pPr>
        <w:numPr>
          <w:ilvl w:val="0"/>
          <w:numId w:val="67"/>
        </w:numPr>
        <w:autoSpaceDE w:val="0"/>
        <w:autoSpaceDN w:val="0"/>
        <w:adjustRightInd w:val="0"/>
        <w:spacing w:line="360" w:lineRule="auto"/>
        <w:ind w:left="490" w:hanging="370"/>
        <w:rPr>
          <w:rFonts w:hint="eastAsia" w:ascii="宋体" w:hAnsi="宋体" w:cs="Courier New"/>
          <w:sz w:val="24"/>
          <w:szCs w:val="24"/>
        </w:rPr>
      </w:pPr>
      <w:r>
        <w:rPr>
          <w:rFonts w:hint="eastAsia" w:ascii="宋体" w:hAnsi="宋体" w:cs="Courier New"/>
          <w:sz w:val="24"/>
          <w:szCs w:val="24"/>
        </w:rPr>
        <w:t>未被“信用中国”网站(www.creditchina.gov.cn)</w:t>
      </w:r>
      <w:r>
        <w:rPr>
          <w:rFonts w:hint="eastAsia" w:ascii="宋体" w:hAnsi="宋体" w:cs="Times New Roman"/>
          <w:b/>
          <w:sz w:val="24"/>
          <w:szCs w:val="24"/>
        </w:rPr>
        <w:t xml:space="preserve"> </w:t>
      </w:r>
      <w:r>
        <w:rPr>
          <w:rFonts w:hint="eastAsia" w:ascii="宋体" w:hAnsi="宋体" w:cs="Courier New"/>
          <w:sz w:val="24"/>
          <w:szCs w:val="24"/>
        </w:rPr>
        <w:t>、“中国政府采购网”(www.ccgp.gov.cn)列入失信被执行人、重大税收违法案件当事人名单、政府采购严重违法失信行为记录名单的书面声明及以上网站查询结果页面截图；</w:t>
      </w:r>
    </w:p>
    <w:p>
      <w:pPr>
        <w:numPr>
          <w:ilvl w:val="0"/>
          <w:numId w:val="6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6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6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00" w:lineRule="exact"/>
        <w:ind w:left="490"/>
        <w:rPr>
          <w:rFonts w:hAnsi="宋体" w:cs="Times New Roman"/>
          <w:sz w:val="24"/>
          <w:szCs w:val="24"/>
        </w:rPr>
      </w:pPr>
    </w:p>
    <w:p>
      <w:pPr>
        <w:spacing w:line="360" w:lineRule="auto"/>
        <w:rPr>
          <w:rFonts w:ascii="宋体" w:hAnsi="宋体" w:cs="Times New Roman"/>
          <w:b/>
          <w:sz w:val="24"/>
          <w:szCs w:val="24"/>
        </w:rPr>
      </w:pPr>
      <w:r>
        <w:rPr>
          <w:rFonts w:hint="eastAsia" w:ascii="宋体" w:hAnsi="宋体" w:cs="Times New Roman"/>
          <w:b/>
          <w:kern w:val="0"/>
          <w:sz w:val="24"/>
          <w:szCs w:val="32"/>
        </w:rPr>
        <w:t>说明</w:t>
      </w:r>
      <w:r>
        <w:rPr>
          <w:rFonts w:hint="eastAsia" w:ascii="宋体" w:hAnsi="宋体" w:cs="Times New Roman"/>
          <w:b/>
          <w:sz w:val="24"/>
          <w:szCs w:val="24"/>
        </w:rPr>
        <w:t>：</w:t>
      </w:r>
      <w:r>
        <w:rPr>
          <w:rFonts w:hint="eastAsia" w:ascii="宋体" w:hAnsi="宋体" w:cs="Times New Roman"/>
          <w:sz w:val="24"/>
          <w:szCs w:val="24"/>
        </w:rPr>
        <w:t>1、以上材料提供不实的，按照《政府采购法》有关提供虚假材料的规定给予处罚；</w:t>
      </w:r>
    </w:p>
    <w:p>
      <w:pPr>
        <w:autoSpaceDE w:val="0"/>
        <w:autoSpaceDN w:val="0"/>
        <w:adjustRightInd w:val="0"/>
        <w:spacing w:line="360" w:lineRule="auto"/>
        <w:ind w:left="737" w:hanging="736" w:hangingChars="307"/>
        <w:rPr>
          <w:rFonts w:ascii="宋体" w:hAnsi="宋体" w:cs="Times New Roman"/>
          <w:b/>
          <w:sz w:val="24"/>
          <w:szCs w:val="24"/>
        </w:rPr>
      </w:pPr>
      <w:r>
        <w:rPr>
          <w:rFonts w:hint="eastAsia" w:ascii="宋体" w:hAnsi="宋体" w:cs="Times New Roman"/>
          <w:sz w:val="24"/>
          <w:szCs w:val="24"/>
        </w:rPr>
        <w:t>2、资格证明文件正本应为清晰影印件且加盖单位公章，否则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cs="Times New Roman"/>
          <w:b/>
          <w:sz w:val="24"/>
          <w:szCs w:val="24"/>
        </w:rPr>
        <w:t>。</w:t>
      </w:r>
      <w:bookmarkStart w:id="88" w:name="_Toc24442"/>
    </w:p>
    <w:p>
      <w:pPr>
        <w:rPr>
          <w:rFonts w:hint="eastAsia" w:ascii="黑体" w:hAnsi="黑体" w:eastAsia="黑体" w:cs="Times New Roman"/>
          <w:bCs/>
          <w:sz w:val="36"/>
          <w:szCs w:val="36"/>
        </w:rPr>
      </w:pPr>
      <w:r>
        <w:rPr>
          <w:rFonts w:hint="eastAsia" w:ascii="黑体" w:hAnsi="黑体" w:eastAsia="黑体" w:cs="Times New Roman"/>
          <w:bCs/>
          <w:sz w:val="36"/>
          <w:szCs w:val="36"/>
        </w:rPr>
        <w:br w:type="page"/>
      </w:r>
    </w:p>
    <w:p>
      <w:pPr>
        <w:autoSpaceDE w:val="0"/>
        <w:autoSpaceDN w:val="0"/>
        <w:adjustRightInd w:val="0"/>
        <w:spacing w:line="360" w:lineRule="auto"/>
        <w:ind w:left="1105" w:hanging="1105" w:hangingChars="307"/>
        <w:rPr>
          <w:rFonts w:ascii="黑体" w:hAnsi="黑体" w:eastAsia="黑体" w:cs="Times New Roman"/>
          <w:bCs/>
          <w:sz w:val="36"/>
          <w:szCs w:val="36"/>
        </w:rPr>
      </w:pPr>
      <w:r>
        <w:rPr>
          <w:rFonts w:hint="eastAsia" w:ascii="黑体" w:hAnsi="黑体" w:eastAsia="黑体" w:cs="Times New Roman"/>
          <w:bCs/>
          <w:sz w:val="36"/>
          <w:szCs w:val="36"/>
        </w:rPr>
        <w:t>附：</w:t>
      </w:r>
    </w:p>
    <w:p>
      <w:pPr>
        <w:rPr>
          <w:rFonts w:ascii="黑体" w:hAnsi="黑体" w:eastAsia="黑体" w:cs="Times New Roman"/>
          <w:bCs/>
          <w:sz w:val="36"/>
          <w:szCs w:val="36"/>
        </w:rPr>
      </w:pPr>
      <w:r>
        <w:rPr>
          <w:rFonts w:hint="eastAsia" w:ascii="黑体" w:hAnsi="黑体" w:eastAsia="黑体" w:cs="Times New Roman"/>
          <w:bCs/>
          <w:sz w:val="36"/>
          <w:szCs w:val="36"/>
        </w:rPr>
        <w:t>无重大违法记录声明函格式</w:t>
      </w:r>
      <w:bookmarkEnd w:id="88"/>
    </w:p>
    <w:p>
      <w:pPr>
        <w:jc w:val="center"/>
        <w:rPr>
          <w:rFonts w:ascii="宋体" w:hAnsi="宋体"/>
          <w:b/>
          <w:sz w:val="30"/>
          <w:szCs w:val="30"/>
        </w:rPr>
      </w:pPr>
      <w:r>
        <w:rPr>
          <w:rFonts w:hint="eastAsia" w:ascii="宋体" w:hAnsi="宋体"/>
          <w:b/>
          <w:sz w:val="28"/>
          <w:szCs w:val="30"/>
        </w:rPr>
        <w:t>参加政府采购活动前三年内在经营活动中没有重大违法记录的书面声明函</w:t>
      </w:r>
    </w:p>
    <w:p>
      <w:pPr>
        <w:spacing w:line="360" w:lineRule="auto"/>
        <w:rPr>
          <w:rFonts w:ascii="宋体" w:hAnsi="宋体" w:cs="Times New Roman"/>
          <w:b/>
          <w:sz w:val="28"/>
          <w:szCs w:val="28"/>
        </w:rPr>
      </w:pPr>
    </w:p>
    <w:p>
      <w:pPr>
        <w:spacing w:line="360" w:lineRule="auto"/>
        <w:rPr>
          <w:rFonts w:ascii="宋体" w:hAnsi="宋体" w:cs="Times New Roman"/>
          <w:b/>
          <w:sz w:val="28"/>
          <w:szCs w:val="28"/>
        </w:rPr>
      </w:pPr>
      <w:r>
        <w:rPr>
          <w:rFonts w:hint="eastAsia" w:ascii="宋体" w:hAnsi="宋体" w:cs="Times New Roman"/>
          <w:b/>
          <w:sz w:val="28"/>
          <w:szCs w:val="28"/>
        </w:rPr>
        <w:t>XXXXXX：</w:t>
      </w:r>
    </w:p>
    <w:p>
      <w:pPr>
        <w:spacing w:line="360" w:lineRule="auto"/>
        <w:ind w:firstLine="480" w:firstLineChars="200"/>
        <w:rPr>
          <w:rFonts w:ascii="宋体" w:hAnsi="宋体"/>
          <w:bCs/>
          <w:sz w:val="24"/>
          <w:szCs w:val="24"/>
        </w:rPr>
      </w:pPr>
      <w:r>
        <w:rPr>
          <w:rFonts w:hint="eastAsia" w:ascii="宋体" w:hAnsi="宋体"/>
          <w:bCs/>
          <w:sz w:val="24"/>
          <w:szCs w:val="24"/>
          <w:u w:val="single"/>
        </w:rPr>
        <w:t xml:space="preserve">   (投标人全称)  </w:t>
      </w:r>
      <w:r>
        <w:rPr>
          <w:rFonts w:hint="eastAsia" w:ascii="宋体" w:hAnsi="宋体"/>
          <w:bCs/>
          <w:sz w:val="24"/>
          <w:szCs w:val="24"/>
        </w:rPr>
        <w:t>参加贵中心组织的</w:t>
      </w:r>
      <w:r>
        <w:rPr>
          <w:rFonts w:hint="eastAsia" w:ascii="宋体" w:hAnsi="宋体"/>
          <w:bCs/>
          <w:sz w:val="24"/>
          <w:szCs w:val="24"/>
          <w:u w:val="single"/>
        </w:rPr>
        <w:t xml:space="preserve"> </w:t>
      </w:r>
      <w:r>
        <w:rPr>
          <w:rFonts w:hint="eastAsia" w:ascii="宋体" w:hAnsi="宋体" w:cs="Times New Roman"/>
          <w:sz w:val="24"/>
          <w:szCs w:val="24"/>
          <w:u w:val="single"/>
        </w:rPr>
        <w:t>（项目名称）</w:t>
      </w:r>
      <w:r>
        <w:rPr>
          <w:rFonts w:hint="eastAsia" w:ascii="宋体" w:hAnsi="宋体"/>
          <w:bCs/>
          <w:sz w:val="24"/>
          <w:szCs w:val="24"/>
          <w:u w:val="single"/>
        </w:rPr>
        <w:t xml:space="preserve"> </w:t>
      </w:r>
      <w:r>
        <w:rPr>
          <w:rFonts w:hint="eastAsia" w:ascii="宋体" w:hAnsi="宋体"/>
          <w:bCs/>
          <w:sz w:val="24"/>
          <w:szCs w:val="24"/>
        </w:rPr>
        <w:t>项目(项目编号：</w:t>
      </w:r>
      <w:r>
        <w:rPr>
          <w:rFonts w:hint="eastAsia" w:ascii="宋体" w:hAnsi="宋体"/>
          <w:bCs/>
          <w:sz w:val="24"/>
          <w:szCs w:val="24"/>
          <w:u w:val="single"/>
        </w:rPr>
        <w:t xml:space="preserve">          </w:t>
      </w:r>
      <w:r>
        <w:rPr>
          <w:rFonts w:hint="eastAsia" w:ascii="宋体" w:hAnsi="宋体"/>
          <w:bCs/>
          <w:sz w:val="24"/>
          <w:szCs w:val="24"/>
        </w:rPr>
        <w:t>)的政府采购活动，根据招标文件的规定提交相关资格证明文件。本单位郑重声明如下：</w:t>
      </w:r>
    </w:p>
    <w:p>
      <w:pPr>
        <w:pStyle w:val="48"/>
        <w:numPr>
          <w:ilvl w:val="1"/>
          <w:numId w:val="79"/>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48"/>
        <w:numPr>
          <w:ilvl w:val="1"/>
          <w:numId w:val="79"/>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参加本项目政府采购活动前三年内，本单位未受到过全国</w:t>
      </w:r>
      <w:r>
        <w:rPr>
          <w:rFonts w:ascii="宋体" w:hAnsi="宋体"/>
          <w:bCs/>
          <w:sz w:val="24"/>
          <w:szCs w:val="24"/>
        </w:rPr>
        <w:t>各级人民政府财政部门依法</w:t>
      </w:r>
      <w:r>
        <w:rPr>
          <w:rFonts w:hint="eastAsia" w:ascii="宋体" w:hAnsi="宋体"/>
          <w:bCs/>
          <w:sz w:val="24"/>
          <w:szCs w:val="24"/>
        </w:rPr>
        <w:t>作</w:t>
      </w:r>
      <w:r>
        <w:rPr>
          <w:rFonts w:ascii="宋体" w:hAnsi="宋体"/>
          <w:bCs/>
          <w:sz w:val="24"/>
          <w:szCs w:val="24"/>
        </w:rPr>
        <w:t>出的禁止参加政府采购活动等行政处罚决定</w:t>
      </w:r>
      <w:r>
        <w:rPr>
          <w:rFonts w:hint="eastAsia" w:ascii="宋体" w:hAnsi="宋体"/>
          <w:bCs/>
          <w:sz w:val="24"/>
          <w:szCs w:val="24"/>
        </w:rPr>
        <w:t>；</w:t>
      </w:r>
    </w:p>
    <w:p>
      <w:pPr>
        <w:pStyle w:val="48"/>
        <w:numPr>
          <w:ilvl w:val="1"/>
          <w:numId w:val="79"/>
        </w:numPr>
        <w:tabs>
          <w:tab w:val="left" w:pos="854"/>
        </w:tabs>
        <w:spacing w:line="360" w:lineRule="auto"/>
        <w:ind w:left="11" w:firstLine="480"/>
        <w:rPr>
          <w:rFonts w:ascii="宋体" w:hAns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sz w:val="24"/>
          <w:szCs w:val="24"/>
        </w:rPr>
      </w:pPr>
    </w:p>
    <w:p>
      <w:pPr>
        <w:tabs>
          <w:tab w:val="left" w:pos="854"/>
        </w:tabs>
        <w:spacing w:line="360" w:lineRule="auto"/>
        <w:rPr>
          <w:rFonts w:ascii="宋体" w:hAnsi="宋体"/>
          <w:bCs/>
          <w:sz w:val="24"/>
          <w:szCs w:val="24"/>
        </w:rPr>
      </w:pPr>
    </w:p>
    <w:p>
      <w:pPr>
        <w:spacing w:before="100" w:beforeAutospacing="1" w:after="100" w:afterAutospacing="1" w:line="360" w:lineRule="auto"/>
        <w:ind w:firstLine="3316" w:firstLineChars="1382"/>
        <w:rPr>
          <w:rFonts w:ascii="宋体" w:hAnsi="宋体" w:cs="Times New Roman"/>
          <w:bCs/>
          <w:sz w:val="24"/>
          <w:szCs w:val="21"/>
          <w:u w:val="single"/>
        </w:rPr>
      </w:pPr>
      <w:r>
        <w:rPr>
          <w:rFonts w:hint="eastAsia" w:ascii="宋体" w:hAnsi="宋体" w:cs="Times New Roman"/>
          <w:bCs/>
          <w:sz w:val="24"/>
          <w:szCs w:val="21"/>
        </w:rPr>
        <w:t>投标人 (公章)：</w:t>
      </w:r>
      <w:r>
        <w:rPr>
          <w:rFonts w:hint="eastAsia" w:ascii="宋体" w:hAnsi="宋体" w:cs="Times New Roman"/>
          <w:bCs/>
          <w:sz w:val="24"/>
          <w:szCs w:val="21"/>
          <w:u w:val="single"/>
        </w:rPr>
        <w:t xml:space="preserve">                      </w:t>
      </w:r>
    </w:p>
    <w:p>
      <w:pPr>
        <w:spacing w:before="100" w:beforeAutospacing="1" w:after="100" w:afterAutospacing="1" w:line="360" w:lineRule="auto"/>
        <w:ind w:firstLine="3316" w:firstLineChars="1382"/>
        <w:rPr>
          <w:rFonts w:ascii="宋体" w:hAnsi="宋体" w:cs="Times New Roman"/>
          <w:bCs/>
          <w:sz w:val="24"/>
          <w:szCs w:val="21"/>
          <w:u w:val="single"/>
        </w:rPr>
      </w:pPr>
      <w:r>
        <w:rPr>
          <w:rFonts w:hint="eastAsia" w:ascii="宋体" w:hAnsi="宋体" w:cs="Times New Roman"/>
          <w:bCs/>
          <w:sz w:val="24"/>
          <w:szCs w:val="21"/>
        </w:rPr>
        <w:t>投标人授权代表（签字）：</w:t>
      </w:r>
      <w:r>
        <w:rPr>
          <w:rFonts w:hint="eastAsia" w:ascii="宋体" w:hAnsi="宋体" w:cs="Times New Roman"/>
          <w:bCs/>
          <w:sz w:val="24"/>
          <w:szCs w:val="21"/>
          <w:u w:val="single"/>
        </w:rPr>
        <w:t xml:space="preserve">                  </w:t>
      </w:r>
    </w:p>
    <w:p>
      <w:pPr>
        <w:spacing w:before="100" w:beforeAutospacing="1" w:after="100" w:afterAutospacing="1" w:line="360" w:lineRule="auto"/>
        <w:ind w:firstLine="3316" w:firstLineChars="1382"/>
      </w:pPr>
      <w:r>
        <w:rPr>
          <w:rFonts w:hint="eastAsia" w:hAnsi="宋体" w:cs="Times New Roman"/>
          <w:sz w:val="24"/>
          <w:szCs w:val="24"/>
        </w:rPr>
        <w:t>日   期：</w:t>
      </w:r>
      <w:r>
        <w:rPr>
          <w:rFonts w:hint="eastAsia" w:ascii="宋体" w:hAnsi="宋体" w:cs="Times New Roman"/>
          <w:bCs/>
          <w:sz w:val="24"/>
          <w:szCs w:val="21"/>
          <w:u w:val="single"/>
        </w:rPr>
        <w:t xml:space="preserve">                                </w:t>
      </w:r>
    </w:p>
    <w:p>
      <w:pPr>
        <w:autoSpaceDE w:val="0"/>
        <w:autoSpaceDN w:val="0"/>
        <w:adjustRightInd w:val="0"/>
        <w:spacing w:line="360" w:lineRule="auto"/>
        <w:ind w:left="734" w:leftChars="346" w:hanging="8" w:hangingChars="3"/>
        <w:rPr>
          <w:rFonts w:ascii="宋体" w:hAnsi="宋体" w:cs="Times New Roman"/>
          <w:b/>
          <w:sz w:val="24"/>
          <w:szCs w:val="24"/>
        </w:rPr>
      </w:pPr>
      <w:r>
        <w:rPr>
          <w:rFonts w:eastAsia="黑体"/>
          <w:b/>
          <w:iCs/>
          <w:kern w:val="0"/>
          <w:sz w:val="28"/>
        </w:rPr>
        <w:br w:type="page"/>
      </w:r>
    </w:p>
    <w:p>
      <w:pPr>
        <w:spacing w:before="120" w:after="120" w:line="578" w:lineRule="auto"/>
        <w:jc w:val="center"/>
        <w:rPr>
          <w:rFonts w:ascii="黑体" w:hAnsi="黑体" w:eastAsia="黑体" w:cs="Times New Roman"/>
          <w:b/>
          <w:sz w:val="36"/>
          <w:szCs w:val="36"/>
        </w:rPr>
      </w:pPr>
      <w:bookmarkStart w:id="89" w:name="_Toc494665551"/>
      <w:bookmarkStart w:id="90" w:name="_Toc494721098"/>
      <w:bookmarkStart w:id="91" w:name="_Toc494665948"/>
      <w:bookmarkStart w:id="92" w:name="_Toc494664998"/>
      <w:bookmarkStart w:id="93" w:name="_Toc494702268"/>
      <w:bookmarkStart w:id="94" w:name="_Toc494745315"/>
      <w:r>
        <w:rPr>
          <w:rFonts w:hint="eastAsia" w:ascii="黑体" w:hAnsi="黑体" w:eastAsia="黑体" w:cs="Times New Roman"/>
          <w:b/>
          <w:sz w:val="36"/>
          <w:szCs w:val="36"/>
          <w:highlight w:val="none"/>
        </w:rPr>
        <w:t>第二部分 商务文件组成</w:t>
      </w:r>
      <w:bookmarkEnd w:id="89"/>
      <w:bookmarkEnd w:id="90"/>
      <w:bookmarkEnd w:id="91"/>
      <w:bookmarkEnd w:id="92"/>
      <w:bookmarkEnd w:id="93"/>
      <w:bookmarkEnd w:id="94"/>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由各投标人根据参考格式要求自行编写。具体内容应包括但不限于以下内容：</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投标书（附件一）；</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中小企业声明函（附件二）；</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残疾人福利性单位声明函（附件三，不符合的无需提供）</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开标一览表（附件四）；</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投标报价明细表（附件五）；</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法定代表人授权书（附件六）；</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  其他注意事项”中规定禁止情形的书面声明；</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投标人的资格声明（附件七）；</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项目负责人、技术负责人简历表（附件八）；</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项目班子成员情况表（附件九）；</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符合性审查对照表（附件十一）；</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商务要求响应、偏离说明表（附件十二）；</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商务要求“★”号条款响应、偏离说明表（附件十三）</w:t>
      </w: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t>商务评议对照表（附件十四）。</w:t>
      </w:r>
    </w:p>
    <w:p>
      <w:pPr>
        <w:numPr>
          <w:ilvl w:val="0"/>
          <w:numId w:val="0"/>
        </w:numPr>
        <w:autoSpaceDE w:val="0"/>
        <w:autoSpaceDN w:val="0"/>
        <w:adjustRightInd w:val="0"/>
        <w:spacing w:line="360" w:lineRule="auto"/>
        <w:ind w:left="120" w:leftChars="0"/>
        <w:rPr>
          <w:rFonts w:hint="eastAsia" w:ascii="宋体" w:hAnsi="宋体" w:eastAsia="宋体" w:cs="Courier New"/>
          <w:color w:val="0D0D0D"/>
          <w:sz w:val="24"/>
          <w:szCs w:val="24"/>
        </w:rPr>
      </w:pPr>
    </w:p>
    <w:p>
      <w:pPr>
        <w:numPr>
          <w:ilvl w:val="0"/>
          <w:numId w:val="80"/>
        </w:numPr>
        <w:autoSpaceDE w:val="0"/>
        <w:autoSpaceDN w:val="0"/>
        <w:adjustRightInd w:val="0"/>
        <w:spacing w:line="360" w:lineRule="auto"/>
        <w:ind w:left="616" w:hanging="496"/>
        <w:rPr>
          <w:rFonts w:hint="eastAsia" w:ascii="宋体" w:hAnsi="宋体" w:eastAsia="宋体" w:cs="Courier New"/>
          <w:color w:val="0D0D0D"/>
          <w:sz w:val="24"/>
          <w:szCs w:val="24"/>
        </w:rPr>
      </w:pPr>
      <w:r>
        <w:rPr>
          <w:rFonts w:hint="eastAsia" w:ascii="宋体" w:hAnsi="宋体" w:eastAsia="宋体" w:cs="Courier New"/>
          <w:color w:val="0D0D0D"/>
          <w:sz w:val="24"/>
          <w:szCs w:val="24"/>
        </w:rPr>
        <w:br w:type="page"/>
      </w:r>
    </w:p>
    <w:p>
      <w:pPr>
        <w:spacing w:before="120" w:after="120" w:line="578" w:lineRule="auto"/>
        <w:jc w:val="center"/>
        <w:rPr>
          <w:rFonts w:ascii="黑体" w:hAnsi="黑体" w:eastAsia="黑体" w:cs="Times New Roman"/>
          <w:b/>
          <w:color w:val="000000" w:themeColor="text1"/>
          <w:sz w:val="44"/>
          <w:szCs w:val="44"/>
          <w:highlight w:val="none"/>
          <w14:textFill>
            <w14:solidFill>
              <w14:schemeClr w14:val="tx1"/>
            </w14:solidFill>
          </w14:textFill>
        </w:rPr>
      </w:pPr>
      <w:bookmarkStart w:id="95" w:name="_Toc494665553"/>
      <w:bookmarkStart w:id="96" w:name="_Toc494702270"/>
      <w:bookmarkStart w:id="97" w:name="_Toc494665000"/>
      <w:bookmarkStart w:id="98" w:name="_Toc494721100"/>
      <w:bookmarkStart w:id="99" w:name="_Toc494745317"/>
      <w:bookmarkStart w:id="100" w:name="_Toc494665950"/>
      <w:r>
        <w:rPr>
          <w:rFonts w:hint="eastAsia" w:ascii="黑体" w:hAnsi="黑体" w:eastAsia="黑体" w:cs="Times New Roman"/>
          <w:b/>
          <w:bCs/>
          <w:color w:val="000000" w:themeColor="text1"/>
          <w:sz w:val="36"/>
          <w:szCs w:val="36"/>
          <w:highlight w:val="none"/>
          <w:lang w:val="zh-CN"/>
          <w14:textFill>
            <w14:solidFill>
              <w14:schemeClr w14:val="tx1"/>
            </w14:solidFill>
          </w14:textFill>
        </w:rPr>
        <w:t xml:space="preserve">第三部分 </w:t>
      </w:r>
      <w:r>
        <w:rPr>
          <w:rFonts w:ascii="黑体" w:hAnsi="黑体" w:eastAsia="黑体" w:cs="Times New Roman"/>
          <w:b/>
          <w:bCs/>
          <w:color w:val="000000" w:themeColor="text1"/>
          <w:sz w:val="36"/>
          <w:szCs w:val="36"/>
          <w:highlight w:val="none"/>
          <w:lang w:val="zh-CN"/>
          <w14:textFill>
            <w14:solidFill>
              <w14:schemeClr w14:val="tx1"/>
            </w14:solidFill>
          </w14:textFill>
        </w:rPr>
        <w:t xml:space="preserve"> </w:t>
      </w:r>
      <w:r>
        <w:rPr>
          <w:rFonts w:hint="eastAsia" w:ascii="黑体" w:hAnsi="黑体" w:eastAsia="黑体" w:cs="Times New Roman"/>
          <w:b/>
          <w:bCs/>
          <w:color w:val="000000" w:themeColor="text1"/>
          <w:sz w:val="36"/>
          <w:szCs w:val="36"/>
          <w:highlight w:val="none"/>
          <w:lang w:val="zh-CN"/>
          <w14:textFill>
            <w14:solidFill>
              <w14:schemeClr w14:val="tx1"/>
            </w14:solidFill>
          </w14:textFill>
        </w:rPr>
        <w:t>技术</w:t>
      </w:r>
      <w:r>
        <w:rPr>
          <w:rFonts w:hint="eastAsia" w:ascii="黑体" w:hAnsi="黑体" w:eastAsia="黑体" w:cs="Times New Roman"/>
          <w:b/>
          <w:color w:val="000000" w:themeColor="text1"/>
          <w:sz w:val="36"/>
          <w:szCs w:val="36"/>
          <w:highlight w:val="none"/>
          <w14:textFill>
            <w14:solidFill>
              <w14:schemeClr w14:val="tx1"/>
            </w14:solidFill>
          </w14:textFill>
        </w:rPr>
        <w:t>、服务文件组成</w:t>
      </w:r>
      <w:bookmarkEnd w:id="95"/>
      <w:bookmarkEnd w:id="96"/>
      <w:bookmarkEnd w:id="97"/>
      <w:bookmarkEnd w:id="98"/>
      <w:bookmarkEnd w:id="99"/>
      <w:bookmarkEnd w:id="100"/>
    </w:p>
    <w:p>
      <w:pPr>
        <w:numPr>
          <w:ilvl w:val="0"/>
          <w:numId w:val="81"/>
        </w:numPr>
        <w:autoSpaceDE w:val="0"/>
        <w:autoSpaceDN w:val="0"/>
        <w:adjustRightInd w:val="0"/>
        <w:spacing w:line="360" w:lineRule="auto"/>
        <w:ind w:left="488" w:hanging="369"/>
        <w:rPr>
          <w:rFonts w:hint="eastAsia"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由各投标人根据参考格式要求自行编写。具体内容应包括但不限于以下内容：</w:t>
      </w:r>
    </w:p>
    <w:p>
      <w:pPr>
        <w:numPr>
          <w:ilvl w:val="0"/>
          <w:numId w:val="81"/>
        </w:numPr>
        <w:autoSpaceDE w:val="0"/>
        <w:autoSpaceDN w:val="0"/>
        <w:adjustRightInd w:val="0"/>
        <w:spacing w:line="360" w:lineRule="auto"/>
        <w:ind w:left="488" w:hanging="369"/>
        <w:rPr>
          <w:rFonts w:hint="eastAsia"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81"/>
        </w:numPr>
        <w:autoSpaceDE w:val="0"/>
        <w:autoSpaceDN w:val="0"/>
        <w:adjustRightInd w:val="0"/>
        <w:spacing w:line="360" w:lineRule="auto"/>
        <w:ind w:left="488" w:hanging="369"/>
        <w:rPr>
          <w:rFonts w:hint="eastAsia"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技术、服务要求响应、偏离说明表（附件十五）；</w:t>
      </w:r>
    </w:p>
    <w:p>
      <w:pPr>
        <w:numPr>
          <w:ilvl w:val="0"/>
          <w:numId w:val="81"/>
        </w:numPr>
        <w:autoSpaceDE w:val="0"/>
        <w:autoSpaceDN w:val="0"/>
        <w:adjustRightInd w:val="0"/>
        <w:spacing w:line="360" w:lineRule="auto"/>
        <w:ind w:left="488" w:hanging="369"/>
        <w:rPr>
          <w:rFonts w:hint="eastAsia"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技术、服务要求“★”号条款响应、偏离说明表（附件十六）；</w:t>
      </w:r>
    </w:p>
    <w:p>
      <w:pPr>
        <w:numPr>
          <w:ilvl w:val="0"/>
          <w:numId w:val="81"/>
        </w:numPr>
        <w:autoSpaceDE w:val="0"/>
        <w:autoSpaceDN w:val="0"/>
        <w:adjustRightInd w:val="0"/>
        <w:spacing w:line="360" w:lineRule="auto"/>
        <w:ind w:left="488" w:hanging="369"/>
        <w:rPr>
          <w:rFonts w:hint="eastAsia" w:ascii="宋体" w:hAnsi="宋体" w:eastAsia="宋体" w:cs="Times New Roman"/>
          <w:kern w:val="0"/>
          <w:sz w:val="24"/>
          <w:szCs w:val="32"/>
        </w:rPr>
      </w:pPr>
      <w:r>
        <w:rPr>
          <w:rFonts w:hint="eastAsia" w:ascii="宋体" w:hAnsi="宋体" w:eastAsia="宋体" w:cs="Times New Roman"/>
          <w:kern w:val="0"/>
          <w:sz w:val="24"/>
          <w:szCs w:val="32"/>
        </w:rPr>
        <w:t>技术、服务评议对照表（附件十七）；</w:t>
      </w:r>
    </w:p>
    <w:p>
      <w:pPr>
        <w:numPr>
          <w:ilvl w:val="0"/>
          <w:numId w:val="8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82"/>
        </w:numPr>
        <w:spacing w:before="100" w:beforeAutospacing="1" w:after="156" w:afterLines="50" w:line="360" w:lineRule="auto"/>
        <w:ind w:left="3388" w:hanging="1288"/>
        <w:jc w:val="left"/>
        <w:rPr>
          <w:rFonts w:ascii="宋体" w:hAnsi="宋体" w:eastAsia="宋体"/>
        </w:rPr>
      </w:pPr>
      <w:bookmarkStart w:id="101" w:name="_Toc236473298"/>
      <w:bookmarkStart w:id="102" w:name="_Toc494665951"/>
      <w:bookmarkStart w:id="103" w:name="_Toc494721101"/>
      <w:bookmarkStart w:id="104" w:name="_Toc18837"/>
      <w:bookmarkStart w:id="105" w:name="_Toc494665001"/>
      <w:bookmarkStart w:id="106" w:name="_Toc494665554"/>
      <w:bookmarkStart w:id="107" w:name="_Toc494745318"/>
      <w:bookmarkStart w:id="108" w:name="_Toc238276242"/>
      <w:bookmarkStart w:id="109" w:name="_Toc494702271"/>
      <w:r>
        <w:rPr>
          <w:rFonts w:hint="eastAsia" w:ascii="宋体" w:hAnsi="宋体" w:eastAsia="宋体"/>
        </w:rPr>
        <w:t>投标书</w:t>
      </w:r>
      <w:bookmarkEnd w:id="101"/>
      <w:bookmarkEnd w:id="102"/>
      <w:bookmarkEnd w:id="103"/>
      <w:bookmarkEnd w:id="104"/>
      <w:bookmarkEnd w:id="105"/>
      <w:bookmarkEnd w:id="106"/>
      <w:bookmarkEnd w:id="107"/>
      <w:bookmarkEnd w:id="108"/>
      <w:bookmarkEnd w:id="109"/>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82"/>
        </w:numPr>
        <w:spacing w:before="100" w:beforeAutospacing="1" w:after="156" w:afterLines="50" w:line="360" w:lineRule="auto"/>
        <w:ind w:left="3388" w:hanging="1288"/>
        <w:rPr>
          <w:rFonts w:ascii="宋体" w:hAnsi="宋体" w:eastAsia="宋体"/>
        </w:rPr>
      </w:pPr>
      <w:bookmarkStart w:id="110" w:name="_Toc32496"/>
      <w:bookmarkStart w:id="111" w:name="_Toc456264006"/>
      <w:bookmarkStart w:id="112" w:name="_Toc494665953"/>
      <w:bookmarkStart w:id="113" w:name="_Toc494745320"/>
      <w:bookmarkStart w:id="114" w:name="_Toc494665003"/>
      <w:bookmarkStart w:id="115" w:name="_Toc494721103"/>
      <w:bookmarkStart w:id="116" w:name="_Toc494702273"/>
      <w:bookmarkStart w:id="117" w:name="_Toc494665556"/>
      <w:r>
        <w:rPr>
          <w:rFonts w:hint="eastAsia" w:ascii="宋体" w:hAnsi="宋体" w:eastAsia="宋体"/>
        </w:rPr>
        <w:t>中小企业声明函</w:t>
      </w:r>
      <w:bookmarkEnd w:id="110"/>
      <w:bookmarkEnd w:id="111"/>
      <w:bookmarkEnd w:id="112"/>
      <w:bookmarkEnd w:id="113"/>
      <w:bookmarkEnd w:id="114"/>
      <w:bookmarkEnd w:id="115"/>
      <w:bookmarkEnd w:id="116"/>
      <w:bookmarkEnd w:id="117"/>
    </w:p>
    <w:p>
      <w:pPr>
        <w:jc w:val="center"/>
        <w:rPr>
          <w:rFonts w:ascii="宋体" w:hAnsi="宋体"/>
          <w:sz w:val="28"/>
          <w:szCs w:val="28"/>
        </w:rPr>
      </w:pPr>
      <w:r>
        <w:rPr>
          <w:rFonts w:hint="eastAsia" w:ascii="宋体" w:hAnsi="宋体"/>
          <w:b/>
          <w:sz w:val="30"/>
          <w:szCs w:val="30"/>
        </w:rPr>
        <w:t>中小企业声明函</w:t>
      </w:r>
      <w:r>
        <w:rPr>
          <w:rFonts w:hint="eastAsia" w:ascii="宋体" w:hAnsi="宋体"/>
          <w:sz w:val="28"/>
          <w:szCs w:val="28"/>
        </w:rPr>
        <w:t>（工程、服务）</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本公司（联合体）郑重声明，根据《政府采购促进中小企业发展管理办法》（财库﹝2020﹞46号）的规定，本公司（联合体）参加</w:t>
      </w:r>
      <w:r>
        <w:rPr>
          <w:rFonts w:hint="eastAsia"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为万元，资产总额为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万元1，属于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本企业对上述声明内容的真实性负责。如有虚假，将依法承担相应责任。 </w:t>
      </w:r>
    </w:p>
    <w:p>
      <w:pPr>
        <w:spacing w:line="540" w:lineRule="exact"/>
        <w:rPr>
          <w:sz w:val="24"/>
          <w:szCs w:val="24"/>
        </w:rPr>
      </w:pP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企业名称（盖章）： </w:t>
      </w:r>
    </w:p>
    <w:p>
      <w:pPr>
        <w:widowControl/>
        <w:spacing w:line="5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pPr>
        <w:spacing w:line="540" w:lineRule="exact"/>
        <w:rPr>
          <w:sz w:val="24"/>
          <w:szCs w:val="24"/>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130175</wp:posOffset>
                </wp:positionV>
                <wp:extent cx="4624070" cy="4445"/>
                <wp:effectExtent l="0" t="4445" r="11430" b="10160"/>
                <wp:wrapNone/>
                <wp:docPr id="4" name="直接连接符 4"/>
                <wp:cNvGraphicFramePr/>
                <a:graphic xmlns:a="http://schemas.openxmlformats.org/drawingml/2006/main">
                  <a:graphicData uri="http://schemas.microsoft.com/office/word/2010/wordprocessingShape">
                    <wps:wsp>
                      <wps:cNvCnPr/>
                      <wps:spPr>
                        <a:xfrm flipV="1">
                          <a:off x="908685" y="9592945"/>
                          <a:ext cx="4624070" cy="444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7pt;margin-top:10.25pt;height:0.35pt;width:364.1pt;z-index:251663360;mso-width-relative:page;mso-height-relative:page;" filled="f" stroked="t" coordsize="21600,21600" o:gfxdata="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lbLL9QAAAAHAQAADwAAAAAAAAABACAAAAAiAAAAZHJzL2Rvd25yZXYu&#10;eG1sUEsBAhQAFAAAAAgAh07iQD2YFSz/AQAA1wMAAA4AAAAAAAAAAQAgAAAAIwEAAGRycy9lMm9E&#10;b2MueG1sUEsFBgAAAAAGAAYAWQEAAJQFAAAAAA==&#10;">
                <v:fill on="f" focussize="0,0"/>
                <v:stroke weight="0.5pt" color="#000000" miterlimit="8" joinstyle="miter"/>
                <v:imagedata o:title=""/>
                <o:lock v:ext="edit" aspectratio="f"/>
              </v:line>
            </w:pict>
          </mc:Fallback>
        </mc:AlternateContent>
      </w:r>
    </w:p>
    <w:p>
      <w:pPr>
        <w:widowControl/>
        <w:jc w:val="left"/>
        <w:rPr>
          <w:rFonts w:ascii="宋体" w:hAnsi="宋体" w:eastAsia="宋体" w:cs="宋体"/>
        </w:rPr>
        <w:sectPr>
          <w:pgSz w:w="11906" w:h="16838"/>
          <w:pgMar w:top="1020" w:right="1417" w:bottom="1020" w:left="1587" w:header="851" w:footer="624" w:gutter="0"/>
          <w:cols w:space="425" w:num="1"/>
          <w:docGrid w:type="linesAndChars" w:linePitch="312" w:charSpace="0"/>
        </w:sectPr>
      </w:pPr>
      <w:r>
        <w:rPr>
          <w:rFonts w:hint="eastAsia" w:ascii="宋体" w:hAnsi="宋体" w:eastAsia="宋体" w:cs="宋体"/>
          <w:color w:val="000000"/>
          <w:kern w:val="0"/>
          <w:sz w:val="11"/>
          <w:szCs w:val="11"/>
        </w:rPr>
        <w:t xml:space="preserve">1 </w:t>
      </w:r>
      <w:r>
        <w:rPr>
          <w:rFonts w:hint="eastAsia" w:ascii="宋体" w:hAnsi="宋体" w:eastAsia="宋体" w:cs="宋体"/>
          <w:color w:val="000000"/>
          <w:kern w:val="0"/>
          <w:sz w:val="18"/>
          <w:szCs w:val="18"/>
        </w:rPr>
        <w:t>从业人员、营业收入、资产总额填报上一年度数据，无上一年度数据的新成立企业可不填报。</w:t>
      </w:r>
      <w:r>
        <w:rPr>
          <w:rFonts w:hint="eastAsia" w:ascii="宋体" w:hAnsi="宋体" w:eastAsia="宋体" w:cs="宋体"/>
        </w:rPr>
        <w:br w:type="page"/>
      </w:r>
    </w:p>
    <w:p>
      <w:pPr>
        <w:tabs>
          <w:tab w:val="left" w:pos="2730"/>
        </w:tabs>
      </w:pPr>
    </w:p>
    <w:p>
      <w:pPr>
        <w:tabs>
          <w:tab w:val="left" w:pos="2730"/>
        </w:tabs>
      </w:pPr>
      <w:r>
        <w:tab/>
      </w:r>
    </w:p>
    <w:p>
      <w:pPr>
        <w:spacing w:line="240" w:lineRule="atLeast"/>
        <w:ind w:right="-65" w:rightChars="-31"/>
        <w:jc w:val="center"/>
        <w:rPr>
          <w:rFonts w:ascii="宋体" w:hAnsi="宋体" w:eastAsia="宋体" w:cs="Times New Roman"/>
          <w:b/>
          <w:sz w:val="30"/>
          <w:szCs w:val="30"/>
          <w:lang w:val="zh-CN"/>
        </w:rPr>
      </w:pPr>
      <w:bookmarkStart w:id="118" w:name="_Toc476153619"/>
      <w:r>
        <w:rPr>
          <w:rFonts w:hint="eastAsia" w:ascii="宋体" w:hAnsi="宋体" w:eastAsia="宋体" w:cs="Times New Roman"/>
          <w:b/>
          <w:sz w:val="30"/>
          <w:szCs w:val="30"/>
          <w:lang w:val="zh-CN"/>
        </w:rPr>
        <w:t>中小企业划型标准</w:t>
      </w:r>
      <w:bookmarkEnd w:id="118"/>
    </w:p>
    <w:tbl>
      <w:tblPr>
        <w:tblStyle w:val="24"/>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7" w:leftChars="-23" w:right="-65" w:rightChars="-31" w:hanging="165"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rPr>
        <w:sectPr>
          <w:headerReference r:id="rId7" w:type="default"/>
          <w:footerReference r:id="rId8" w:type="default"/>
          <w:pgSz w:w="16838" w:h="11906" w:orient="landscape"/>
          <w:pgMar w:top="720" w:right="720" w:bottom="720" w:left="720" w:header="851" w:footer="851" w:gutter="0"/>
          <w:cols w:space="425" w:num="1"/>
          <w:docGrid w:type="linesAndChars" w:linePitch="312" w:charSpace="0"/>
        </w:sectPr>
      </w:pPr>
      <w:bookmarkStart w:id="119" w:name="_Toc494665954"/>
      <w:bookmarkStart w:id="120" w:name="_Toc494702274"/>
      <w:bookmarkStart w:id="121" w:name="_Toc494665557"/>
      <w:bookmarkStart w:id="122" w:name="_Toc494721104"/>
      <w:bookmarkStart w:id="123" w:name="_Toc494665004"/>
      <w:bookmarkStart w:id="124" w:name="_Toc494745321"/>
    </w:p>
    <w:p>
      <w:pPr>
        <w:pStyle w:val="4"/>
        <w:numPr>
          <w:ilvl w:val="0"/>
          <w:numId w:val="82"/>
        </w:numPr>
        <w:spacing w:before="100" w:beforeAutospacing="1" w:after="156" w:afterLines="50" w:line="360" w:lineRule="auto"/>
        <w:ind w:left="3388" w:hanging="1288"/>
        <w:rPr>
          <w:rFonts w:hint="eastAsia" w:ascii="宋体" w:hAnsi="宋体" w:eastAsia="宋体"/>
          <w:lang w:val="zh-CN"/>
        </w:rPr>
      </w:pPr>
      <w:bookmarkStart w:id="125" w:name="_Toc7449"/>
      <w:r>
        <w:rPr>
          <w:rFonts w:hint="eastAsia" w:ascii="宋体" w:hAnsi="宋体" w:eastAsia="宋体"/>
        </w:rPr>
        <w:t>残疾人福利性单位声明函</w:t>
      </w:r>
      <w:bookmarkEnd w:id="119"/>
      <w:bookmarkEnd w:id="120"/>
      <w:bookmarkEnd w:id="121"/>
      <w:bookmarkEnd w:id="122"/>
      <w:bookmarkEnd w:id="123"/>
      <w:bookmarkEnd w:id="124"/>
      <w:r>
        <w:rPr>
          <w:rFonts w:hint="eastAsia" w:ascii="宋体" w:hAnsi="宋体" w:eastAsia="宋体"/>
        </w:rPr>
        <w:t>（不符合不提供）</w:t>
      </w:r>
      <w:bookmarkEnd w:id="125"/>
    </w:p>
    <w:p>
      <w:pPr>
        <w:adjustRightInd w:val="0"/>
        <w:snapToGrid w:val="0"/>
        <w:spacing w:before="312"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82"/>
        </w:numPr>
        <w:spacing w:before="100" w:beforeAutospacing="1" w:after="156" w:afterLines="50" w:line="360" w:lineRule="auto"/>
        <w:ind w:left="3388" w:hanging="1288"/>
        <w:rPr>
          <w:rFonts w:ascii="宋体" w:hAnsi="宋体" w:eastAsia="宋体"/>
        </w:rPr>
      </w:pPr>
      <w:bookmarkStart w:id="126" w:name="_Toc494577410"/>
      <w:bookmarkStart w:id="127" w:name="_Toc494745322"/>
      <w:bookmarkStart w:id="128" w:name="_Toc494665558"/>
      <w:bookmarkStart w:id="129" w:name="_Toc494702275"/>
      <w:bookmarkStart w:id="130" w:name="_Toc494721105"/>
      <w:bookmarkStart w:id="131" w:name="_Toc494665955"/>
      <w:bookmarkStart w:id="132" w:name="_Toc31330"/>
      <w:bookmarkStart w:id="133" w:name="_Toc494665005"/>
      <w:r>
        <w:rPr>
          <w:rFonts w:hint="eastAsia" w:ascii="宋体" w:hAnsi="宋体" w:eastAsia="宋体"/>
        </w:rPr>
        <w:t>开标一览表</w:t>
      </w:r>
      <w:bookmarkEnd w:id="126"/>
      <w:bookmarkEnd w:id="127"/>
      <w:bookmarkEnd w:id="128"/>
      <w:bookmarkEnd w:id="129"/>
      <w:bookmarkEnd w:id="130"/>
      <w:bookmarkEnd w:id="131"/>
      <w:bookmarkEnd w:id="132"/>
      <w:bookmarkEnd w:id="133"/>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364"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15"/>
        <w:gridCol w:w="4955"/>
        <w:gridCol w:w="17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5670"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项目名称</w:t>
            </w:r>
          </w:p>
        </w:tc>
        <w:tc>
          <w:tcPr>
            <w:tcW w:w="1701"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合计(万元)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93"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567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01"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6656" w:type="dxa"/>
            <w:gridSpan w:val="2"/>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6656" w:type="dxa"/>
            <w:gridSpan w:val="2"/>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项目负责人</w:t>
            </w:r>
          </w:p>
        </w:tc>
        <w:tc>
          <w:tcPr>
            <w:tcW w:w="6656" w:type="dxa"/>
            <w:gridSpan w:val="2"/>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6656" w:type="dxa"/>
            <w:gridSpan w:val="2"/>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 xml:space="preserve">）： </w:t>
            </w:r>
            <w:r>
              <w:rPr>
                <w:rFonts w:ascii="宋体" w:hAnsi="宋体" w:eastAsia="宋体" w:cs="Times New Roman"/>
                <w:color w:val="FF0000"/>
                <w:sz w:val="24"/>
              </w:rPr>
              <w:t xml:space="preserve"> </w:t>
            </w:r>
            <w:r>
              <w:rPr>
                <w:rFonts w:hint="eastAsia" w:ascii="宋体" w:hAnsi="宋体" w:eastAsia="宋体" w:cs="宋体"/>
                <w:color w:val="FF0000"/>
                <w:kern w:val="0"/>
                <w:sz w:val="24"/>
                <w:szCs w:val="24"/>
              </w:rPr>
              <w:t xml:space="preserve">万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 xml:space="preserve">仟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 xml:space="preserve">佰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 xml:space="preserve">拾 </w:t>
            </w:r>
            <w:r>
              <w:rPr>
                <w:rFonts w:ascii="宋体" w:hAnsi="宋体" w:eastAsia="宋体" w:cs="宋体"/>
                <w:color w:val="FF0000"/>
                <w:kern w:val="0"/>
                <w:sz w:val="24"/>
                <w:szCs w:val="24"/>
              </w:rPr>
              <w:t xml:space="preserve"> </w:t>
            </w:r>
            <w:r>
              <w:rPr>
                <w:rFonts w:hint="eastAsia" w:ascii="宋体" w:hAnsi="宋体" w:eastAsia="宋体" w:cs="宋体"/>
                <w:color w:val="FF0000"/>
                <w:kern w:val="0"/>
                <w:sz w:val="24"/>
                <w:szCs w:val="24"/>
              </w:rPr>
              <w:t>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jc w:val="left"/>
        <w:rPr>
          <w:rFonts w:ascii="宋体" w:hAnsi="宋体"/>
          <w:sz w:val="24"/>
        </w:rPr>
      </w:pPr>
    </w:p>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pStyle w:val="4"/>
        <w:numPr>
          <w:ilvl w:val="0"/>
          <w:numId w:val="82"/>
        </w:numPr>
        <w:spacing w:before="100" w:beforeAutospacing="1" w:after="156" w:afterLines="50" w:line="360" w:lineRule="auto"/>
        <w:ind w:left="3388" w:hanging="1288"/>
        <w:rPr>
          <w:rFonts w:ascii="宋体" w:hAnsi="宋体" w:eastAsia="宋体"/>
        </w:rPr>
      </w:pPr>
      <w:bookmarkStart w:id="134" w:name="_Toc494745323"/>
      <w:bookmarkStart w:id="135" w:name="_Toc494665956"/>
      <w:bookmarkStart w:id="136" w:name="_Toc494665006"/>
      <w:bookmarkStart w:id="137" w:name="_Toc494577411"/>
      <w:bookmarkStart w:id="138" w:name="_Toc9198"/>
      <w:bookmarkStart w:id="139" w:name="_Toc494665559"/>
      <w:bookmarkStart w:id="140" w:name="_Toc494721106"/>
      <w:bookmarkStart w:id="141" w:name="_Toc494702276"/>
      <w:r>
        <w:rPr>
          <w:rFonts w:hint="eastAsia" w:ascii="宋体" w:hAnsi="宋体" w:eastAsia="宋体"/>
        </w:rPr>
        <w:t>投标报价明细表</w:t>
      </w:r>
      <w:bookmarkEnd w:id="134"/>
      <w:bookmarkEnd w:id="135"/>
      <w:bookmarkEnd w:id="136"/>
      <w:bookmarkEnd w:id="137"/>
      <w:bookmarkEnd w:id="138"/>
      <w:bookmarkEnd w:id="139"/>
      <w:bookmarkEnd w:id="140"/>
      <w:bookmarkEnd w:id="141"/>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03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960"/>
        <w:gridCol w:w="1124"/>
        <w:gridCol w:w="963"/>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39"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96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类别</w:t>
            </w:r>
          </w:p>
        </w:tc>
        <w:tc>
          <w:tcPr>
            <w:tcW w:w="112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数量（约）</w:t>
            </w:r>
          </w:p>
        </w:tc>
        <w:tc>
          <w:tcPr>
            <w:tcW w:w="963"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125"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总价（元）</w:t>
            </w:r>
          </w:p>
        </w:tc>
        <w:tc>
          <w:tcPr>
            <w:tcW w:w="1125"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numPr>
                <w:ilvl w:val="0"/>
                <w:numId w:val="83"/>
              </w:numPr>
              <w:tabs>
                <w:tab w:val="left" w:pos="82"/>
              </w:tabs>
              <w:adjustRightInd w:val="0"/>
              <w:snapToGrid w:val="0"/>
              <w:jc w:val="center"/>
              <w:rPr>
                <w:rFonts w:ascii="宋体" w:hAnsi="宋体"/>
                <w:sz w:val="24"/>
              </w:rPr>
            </w:pPr>
          </w:p>
        </w:tc>
        <w:tc>
          <w:tcPr>
            <w:tcW w:w="2960" w:type="dxa"/>
            <w:shd w:val="clear" w:color="auto" w:fill="auto"/>
            <w:vAlign w:val="center"/>
          </w:tcPr>
          <w:p>
            <w:pPr>
              <w:tabs>
                <w:tab w:val="left" w:pos="0"/>
                <w:tab w:val="left" w:pos="56"/>
              </w:tabs>
              <w:adjustRightInd w:val="0"/>
              <w:snapToGrid w:val="0"/>
              <w:jc w:val="center"/>
              <w:rPr>
                <w:rFonts w:ascii="宋体" w:hAnsi="宋体"/>
                <w:sz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39"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960"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63"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125"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036" w:type="dxa"/>
            <w:gridSpan w:val="6"/>
            <w:shd w:val="clear" w:color="auto" w:fill="auto"/>
            <w:vAlign w:val="center"/>
          </w:tcPr>
          <w:p>
            <w:pPr>
              <w:tabs>
                <w:tab w:val="center" w:pos="3978"/>
                <w:tab w:val="left" w:pos="5226"/>
              </w:tabs>
              <w:spacing w:line="240" w:lineRule="atLeast"/>
              <w:ind w:left="-48" w:leftChars="-23" w:right="-65" w:rightChars="-31"/>
              <w:jc w:val="left"/>
              <w:rPr>
                <w:u w:val="single"/>
              </w:rPr>
            </w:pPr>
            <w:r>
              <w:rPr>
                <w:rFonts w:hint="eastAsia"/>
                <w:b/>
                <w:bCs/>
                <w:sz w:val="28"/>
                <w:szCs w:val="32"/>
              </w:rPr>
              <w:t>合计：</w:t>
            </w:r>
            <w:r>
              <w:rPr>
                <w:rFonts w:hint="eastAsia" w:ascii="宋体" w:hAnsi="宋体" w:eastAsia="宋体" w:cs="宋体"/>
                <w:color w:val="0D0D0D"/>
                <w:kern w:val="0"/>
                <w:sz w:val="24"/>
                <w:szCs w:val="24"/>
              </w:rPr>
              <w:t xml:space="preserve">小写：   </w:t>
            </w:r>
            <w:r>
              <w:rPr>
                <w:rFonts w:hint="eastAsia"/>
                <w:u w:val="single"/>
              </w:rPr>
              <w:t xml:space="preserve">                            </w:t>
            </w:r>
          </w:p>
          <w:p>
            <w:pPr>
              <w:pStyle w:val="31"/>
              <w:rPr>
                <w:u w:val="single"/>
              </w:rPr>
            </w:pPr>
            <w:r>
              <w:rPr>
                <w:rFonts w:hint="eastAsia" w:eastAsia="宋体"/>
                <w:color w:val="0D0D0D"/>
                <w:kern w:val="0"/>
                <w:szCs w:val="24"/>
              </w:rPr>
              <w:t>大写：</w:t>
            </w:r>
            <w:r>
              <w:rPr>
                <w:rFonts w:hint="eastAsia" w:eastAsia="宋体"/>
                <w:color w:val="0D0D0D"/>
                <w:kern w:val="0"/>
                <w:szCs w:val="24"/>
                <w:u w:val="single"/>
              </w:rPr>
              <w:t xml:space="preserve">                               </w:t>
            </w:r>
          </w:p>
        </w:tc>
      </w:tr>
    </w:tbl>
    <w:p>
      <w:pPr>
        <w:spacing w:line="360" w:lineRule="auto"/>
        <w:ind w:left="1049" w:hanging="1048" w:hangingChars="437"/>
        <w:jc w:val="left"/>
        <w:rPr>
          <w:rFonts w:ascii="宋体" w:hAnsi="宋体"/>
          <w:sz w:val="24"/>
          <w:highlight w:val="yellow"/>
        </w:rPr>
      </w:pPr>
      <w:r>
        <w:rPr>
          <w:rFonts w:hint="eastAsia" w:ascii="宋体" w:hAnsi="宋体"/>
          <w:sz w:val="24"/>
        </w:rPr>
        <w:t>说明</w:t>
      </w:r>
      <w:r>
        <w:rPr>
          <w:rFonts w:hint="eastAsia" w:ascii="宋体" w:hAnsi="宋体"/>
          <w:sz w:val="24"/>
          <w:highlight w:val="yellow"/>
        </w:rPr>
        <w:t>：1．所有价格均用人民币表示，单位为元。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highlight w:val="yellow"/>
        </w:rPr>
        <w:t>2．报价明细表合计应与《开标一览表》中的投标总报价一致。</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
      <w:pPr>
        <w:pStyle w:val="4"/>
        <w:numPr>
          <w:ilvl w:val="0"/>
          <w:numId w:val="82"/>
        </w:numPr>
        <w:spacing w:before="100" w:beforeAutospacing="1" w:after="156" w:afterLines="50" w:line="360" w:lineRule="auto"/>
        <w:ind w:left="3388" w:hanging="1288"/>
        <w:rPr>
          <w:rFonts w:ascii="宋体" w:hAnsi="宋体" w:eastAsia="宋体"/>
        </w:rPr>
      </w:pPr>
      <w:bookmarkStart w:id="142" w:name="_Toc494665563"/>
      <w:bookmarkStart w:id="143" w:name="_Toc236473303"/>
      <w:bookmarkStart w:id="144" w:name="_Toc494745327"/>
      <w:bookmarkStart w:id="145" w:name="_Toc494702280"/>
      <w:bookmarkStart w:id="146" w:name="_Toc494721110"/>
      <w:bookmarkStart w:id="147" w:name="_Toc494665960"/>
      <w:bookmarkStart w:id="148" w:name="_Toc26879"/>
      <w:bookmarkStart w:id="149" w:name="_Toc494665010"/>
      <w:bookmarkStart w:id="150" w:name="_Toc238276247"/>
      <w:r>
        <w:rPr>
          <w:rFonts w:hint="eastAsia" w:ascii="宋体" w:hAnsi="宋体" w:eastAsia="宋体"/>
        </w:rPr>
        <w:t>法定代表人授权书</w:t>
      </w:r>
      <w:bookmarkEnd w:id="142"/>
      <w:bookmarkEnd w:id="143"/>
      <w:bookmarkEnd w:id="144"/>
      <w:bookmarkEnd w:id="145"/>
      <w:bookmarkEnd w:id="146"/>
      <w:bookmarkEnd w:id="147"/>
      <w:bookmarkEnd w:id="148"/>
      <w:bookmarkEnd w:id="149"/>
      <w:bookmarkEnd w:id="150"/>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4"/>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71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rPr>
          <w:rFonts w:hint="eastAsia"/>
        </w:rPr>
        <w:t>注：本项目可由分公司或分支机构总负责人进行授权。</w:t>
      </w:r>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151" w:name="_Toc494702281"/>
      <w:bookmarkStart w:id="152" w:name="_Toc238276248"/>
      <w:bookmarkStart w:id="153" w:name="_Toc494665961"/>
      <w:bookmarkStart w:id="154" w:name="_Toc494745328"/>
      <w:bookmarkStart w:id="155" w:name="_Toc494721111"/>
      <w:bookmarkStart w:id="156" w:name="_Toc236473304"/>
      <w:bookmarkStart w:id="157" w:name="_Toc494665564"/>
      <w:bookmarkStart w:id="158" w:name="_Toc732"/>
      <w:bookmarkStart w:id="159" w:name="_Toc494665011"/>
      <w:r>
        <w:rPr>
          <w:rFonts w:hint="eastAsia" w:ascii="宋体" w:hAnsi="宋体" w:eastAsia="宋体"/>
        </w:rPr>
        <w:t>投标人的资格声明</w:t>
      </w:r>
      <w:bookmarkEnd w:id="151"/>
      <w:bookmarkEnd w:id="152"/>
      <w:bookmarkEnd w:id="153"/>
      <w:bookmarkEnd w:id="154"/>
      <w:bookmarkEnd w:id="155"/>
      <w:bookmarkEnd w:id="156"/>
      <w:bookmarkEnd w:id="157"/>
      <w:bookmarkEnd w:id="158"/>
      <w:bookmarkEnd w:id="159"/>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26"/>
        <w:gridCol w:w="198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126"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198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410"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26"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8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410"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26"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8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410"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1984"/>
        <w:gridCol w:w="17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19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01"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560"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119"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01"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560"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119"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01"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560"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 xml:space="preserve">电    话： </w:t>
      </w:r>
      <w:r>
        <w:rPr>
          <w:rFonts w:ascii="宋体" w:hAnsi="宋体" w:eastAsia="宋体" w:cs="Times New Roman"/>
          <w:b/>
          <w:sz w:val="24"/>
          <w:szCs w:val="24"/>
        </w:rPr>
        <w:t xml:space="preserve">              </w:t>
      </w: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 xml:space="preserve">日    期： </w:t>
      </w:r>
      <w:r>
        <w:rPr>
          <w:rFonts w:ascii="宋体" w:hAnsi="宋体" w:eastAsia="宋体" w:cs="Times New Roman"/>
          <w:b/>
          <w:sz w:val="24"/>
          <w:szCs w:val="24"/>
        </w:rPr>
        <w:t xml:space="preserve">  </w:t>
      </w:r>
      <w:r>
        <w:rPr>
          <w:rFonts w:hint="eastAsia" w:ascii="宋体" w:hAnsi="宋体" w:eastAsia="宋体" w:cs="Times New Roman"/>
          <w:b/>
          <w:sz w:val="24"/>
          <w:szCs w:val="24"/>
        </w:rPr>
        <w:t xml:space="preserve">年 </w:t>
      </w:r>
      <w:r>
        <w:rPr>
          <w:rFonts w:ascii="宋体" w:hAnsi="宋体" w:eastAsia="宋体" w:cs="Times New Roman"/>
          <w:b/>
          <w:sz w:val="24"/>
          <w:szCs w:val="24"/>
        </w:rPr>
        <w:t xml:space="preserve">  </w:t>
      </w:r>
      <w:r>
        <w:rPr>
          <w:rFonts w:hint="eastAsia" w:ascii="宋体" w:hAnsi="宋体" w:eastAsia="宋体" w:cs="Times New Roman"/>
          <w:b/>
          <w:sz w:val="24"/>
          <w:szCs w:val="24"/>
        </w:rPr>
        <w:t xml:space="preserve">月 </w:t>
      </w:r>
      <w:r>
        <w:rPr>
          <w:rFonts w:ascii="宋体" w:hAnsi="宋体" w:eastAsia="宋体" w:cs="Times New Roman"/>
          <w:b/>
          <w:sz w:val="24"/>
          <w:szCs w:val="24"/>
        </w:rPr>
        <w:t xml:space="preserve">  </w:t>
      </w:r>
      <w:r>
        <w:rPr>
          <w:rFonts w:hint="eastAsia" w:ascii="宋体" w:hAnsi="宋体" w:eastAsia="宋体" w:cs="Times New Roman"/>
          <w:b/>
          <w:sz w:val="24"/>
          <w:szCs w:val="24"/>
        </w:rPr>
        <w:t xml:space="preserve"> 日</w:t>
      </w:r>
    </w:p>
    <w:p>
      <w:pPr>
        <w:pStyle w:val="4"/>
        <w:numPr>
          <w:ilvl w:val="0"/>
          <w:numId w:val="82"/>
        </w:numPr>
        <w:spacing w:before="100" w:beforeAutospacing="1" w:after="156" w:afterLines="50" w:line="360" w:lineRule="auto"/>
        <w:ind w:left="3710" w:hanging="1610"/>
        <w:rPr>
          <w:rFonts w:ascii="宋体" w:hAnsi="宋体" w:eastAsia="宋体"/>
        </w:rPr>
      </w:pPr>
      <w:bookmarkStart w:id="160" w:name="_Toc494702282"/>
      <w:bookmarkStart w:id="161" w:name="_Toc494665962"/>
      <w:bookmarkStart w:id="162" w:name="_Toc494745329"/>
      <w:bookmarkStart w:id="163" w:name="_Toc494721112"/>
      <w:bookmarkStart w:id="164" w:name="_Toc494665565"/>
      <w:bookmarkStart w:id="165" w:name="_Toc12168"/>
      <w:bookmarkStart w:id="166" w:name="_Toc494665012"/>
      <w:r>
        <w:rPr>
          <w:rFonts w:hint="eastAsia" w:ascii="宋体" w:hAnsi="宋体" w:eastAsia="宋体"/>
        </w:rPr>
        <w:t>项目负责人、技术负责人简历表</w:t>
      </w:r>
      <w:bookmarkEnd w:id="160"/>
      <w:bookmarkEnd w:id="161"/>
      <w:bookmarkEnd w:id="162"/>
      <w:bookmarkEnd w:id="163"/>
      <w:bookmarkEnd w:id="164"/>
      <w:bookmarkEnd w:id="165"/>
      <w:bookmarkEnd w:id="16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348"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348"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348"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pPr>
        <w:pStyle w:val="4"/>
        <w:numPr>
          <w:ilvl w:val="0"/>
          <w:numId w:val="82"/>
        </w:numPr>
        <w:spacing w:before="100" w:beforeAutospacing="1" w:after="156" w:afterLines="50" w:line="360" w:lineRule="auto"/>
        <w:ind w:left="3710" w:hanging="1610"/>
        <w:rPr>
          <w:rFonts w:ascii="宋体" w:hAnsi="宋体" w:eastAsia="宋体"/>
        </w:rPr>
      </w:pPr>
      <w:bookmarkStart w:id="167" w:name="_Toc23145"/>
      <w:bookmarkStart w:id="168" w:name="_Toc494745330"/>
      <w:bookmarkStart w:id="169" w:name="_Toc494665013"/>
      <w:bookmarkStart w:id="170" w:name="_Toc494721113"/>
      <w:bookmarkStart w:id="171" w:name="_Toc494665963"/>
      <w:bookmarkStart w:id="172" w:name="_Toc236473307"/>
      <w:bookmarkStart w:id="173" w:name="_Toc494702283"/>
      <w:bookmarkStart w:id="174" w:name="_Toc238276251"/>
      <w:bookmarkStart w:id="175" w:name="_Toc494665566"/>
      <w:r>
        <w:rPr>
          <w:rFonts w:hint="eastAsia" w:ascii="宋体" w:hAnsi="宋体" w:eastAsia="宋体"/>
        </w:rPr>
        <w:t>项目班子成员情况表</w:t>
      </w:r>
      <w:bookmarkEnd w:id="167"/>
      <w:bookmarkEnd w:id="168"/>
      <w:bookmarkEnd w:id="169"/>
      <w:bookmarkEnd w:id="170"/>
      <w:bookmarkEnd w:id="171"/>
      <w:bookmarkEnd w:id="172"/>
      <w:bookmarkEnd w:id="173"/>
      <w:bookmarkEnd w:id="174"/>
      <w:bookmarkEnd w:id="1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417"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176" w:name="_Toc238276256"/>
      <w:bookmarkStart w:id="177" w:name="_Toc236473312"/>
      <w:bookmarkStart w:id="178" w:name="_Toc494721114"/>
      <w:bookmarkStart w:id="179" w:name="_Toc494745331"/>
      <w:bookmarkStart w:id="180" w:name="_Toc494665567"/>
      <w:bookmarkStart w:id="181" w:name="_Toc494665964"/>
      <w:bookmarkStart w:id="182" w:name="_Toc494665014"/>
      <w:bookmarkStart w:id="183" w:name="_Toc494702284"/>
      <w:bookmarkStart w:id="184" w:name="_Toc10252"/>
      <w:r>
        <w:rPr>
          <w:rFonts w:hint="eastAsia" w:ascii="宋体" w:hAnsi="宋体" w:eastAsia="宋体"/>
        </w:rPr>
        <w:t>投标人类似项目业绩表</w:t>
      </w:r>
      <w:bookmarkEnd w:id="176"/>
      <w:bookmarkEnd w:id="177"/>
      <w:bookmarkEnd w:id="178"/>
      <w:bookmarkEnd w:id="179"/>
      <w:bookmarkEnd w:id="180"/>
      <w:bookmarkEnd w:id="181"/>
      <w:bookmarkEnd w:id="182"/>
      <w:bookmarkEnd w:id="183"/>
      <w:bookmarkEnd w:id="18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121"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185" w:name="_Toc494721115"/>
      <w:bookmarkStart w:id="186" w:name="_Toc494665568"/>
      <w:bookmarkStart w:id="187" w:name="_Toc494665965"/>
      <w:bookmarkStart w:id="188" w:name="_Toc494665015"/>
      <w:bookmarkStart w:id="189" w:name="_Toc494745332"/>
      <w:bookmarkStart w:id="190" w:name="_Toc494702285"/>
      <w:bookmarkStart w:id="191" w:name="_Toc29058"/>
      <w:r>
        <w:rPr>
          <w:rFonts w:hint="eastAsia" w:ascii="宋体" w:hAnsi="宋体" w:eastAsia="宋体"/>
        </w:rPr>
        <w:t>符合性审查对照表</w:t>
      </w:r>
      <w:bookmarkEnd w:id="185"/>
      <w:bookmarkEnd w:id="186"/>
      <w:bookmarkEnd w:id="187"/>
      <w:bookmarkEnd w:id="188"/>
      <w:bookmarkEnd w:id="189"/>
      <w:bookmarkEnd w:id="190"/>
      <w:bookmarkEnd w:id="19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366"/>
        <w:gridCol w:w="2835"/>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6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83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7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417"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66" w:type="dxa"/>
            <w:vAlign w:val="center"/>
          </w:tcPr>
          <w:p>
            <w:pPr>
              <w:jc w:val="center"/>
              <w:rPr>
                <w:rFonts w:ascii="宋体" w:hAnsi="宋体" w:eastAsia="宋体" w:cs="仿宋_GB2312"/>
                <w:sz w:val="24"/>
                <w:szCs w:val="24"/>
              </w:rPr>
            </w:pPr>
          </w:p>
        </w:tc>
        <w:tc>
          <w:tcPr>
            <w:tcW w:w="2835"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192" w:name="_Toc494665966"/>
      <w:bookmarkStart w:id="193" w:name="_Toc494665016"/>
      <w:bookmarkStart w:id="194" w:name="_Toc494721116"/>
      <w:bookmarkStart w:id="195" w:name="_Toc494745333"/>
      <w:bookmarkStart w:id="196" w:name="_Toc494702286"/>
      <w:bookmarkStart w:id="197" w:name="_Toc26225"/>
      <w:bookmarkStart w:id="198" w:name="_Toc494665569"/>
      <w:r>
        <w:rPr>
          <w:rFonts w:hint="eastAsia" w:ascii="宋体" w:hAnsi="宋体" w:eastAsia="宋体"/>
        </w:rPr>
        <w:t>商务要求响应、偏离说明表</w:t>
      </w:r>
      <w:bookmarkEnd w:id="192"/>
      <w:bookmarkEnd w:id="193"/>
      <w:bookmarkEnd w:id="194"/>
      <w:bookmarkEnd w:id="195"/>
      <w:bookmarkEnd w:id="196"/>
      <w:bookmarkEnd w:id="197"/>
      <w:bookmarkEnd w:id="19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93"/>
        <w:gridCol w:w="2268"/>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09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26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70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84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093"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199" w:name="_Toc494665570"/>
      <w:bookmarkStart w:id="200" w:name="_Toc6751"/>
      <w:bookmarkStart w:id="201" w:name="_Toc494665967"/>
      <w:bookmarkStart w:id="202" w:name="_Toc494702287"/>
      <w:bookmarkStart w:id="203" w:name="_Toc494721117"/>
      <w:bookmarkStart w:id="204" w:name="_Toc494745334"/>
      <w:bookmarkStart w:id="205" w:name="_Toc494665017"/>
      <w:r>
        <w:rPr>
          <w:rFonts w:hint="eastAsia" w:ascii="宋体" w:hAnsi="宋体" w:eastAsia="宋体"/>
        </w:rPr>
        <w:t>商务要求“★”号条款响应、偏离说明表</w:t>
      </w:r>
      <w:bookmarkEnd w:id="199"/>
      <w:bookmarkEnd w:id="200"/>
      <w:bookmarkEnd w:id="201"/>
      <w:bookmarkEnd w:id="202"/>
      <w:bookmarkEnd w:id="203"/>
      <w:bookmarkEnd w:id="204"/>
      <w:bookmarkEnd w:id="20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19"/>
        <w:gridCol w:w="2268"/>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5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26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41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701"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519"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206" w:name="_Toc494665968"/>
      <w:bookmarkStart w:id="207" w:name="_Toc494665571"/>
      <w:bookmarkStart w:id="208" w:name="_Toc29269"/>
      <w:bookmarkStart w:id="209" w:name="_Toc494702288"/>
      <w:bookmarkStart w:id="210" w:name="_Toc494665018"/>
      <w:bookmarkStart w:id="211" w:name="_Toc494745335"/>
      <w:bookmarkStart w:id="212" w:name="_Toc494721118"/>
      <w:r>
        <w:rPr>
          <w:rFonts w:hint="eastAsia" w:ascii="宋体" w:hAnsi="宋体" w:eastAsia="宋体"/>
        </w:rPr>
        <w:t>商务评议对照表</w:t>
      </w:r>
      <w:bookmarkEnd w:id="206"/>
      <w:bookmarkEnd w:id="207"/>
      <w:bookmarkEnd w:id="208"/>
      <w:bookmarkEnd w:id="209"/>
      <w:bookmarkEnd w:id="210"/>
      <w:bookmarkEnd w:id="211"/>
      <w:bookmarkEnd w:id="21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316"/>
        <w:gridCol w:w="226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1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26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5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84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4"/>
              </w:numPr>
              <w:jc w:val="center"/>
              <w:rPr>
                <w:rFonts w:ascii="宋体" w:hAnsi="宋体" w:eastAsia="宋体" w:cs="仿宋_GB2312"/>
                <w:sz w:val="24"/>
                <w:szCs w:val="24"/>
              </w:rPr>
            </w:pP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4"/>
              </w:numPr>
              <w:jc w:val="center"/>
              <w:rPr>
                <w:rFonts w:ascii="宋体" w:hAnsi="宋体" w:eastAsia="宋体" w:cs="仿宋_GB2312"/>
                <w:sz w:val="24"/>
                <w:szCs w:val="24"/>
              </w:rPr>
            </w:pP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4"/>
              </w:numPr>
              <w:jc w:val="center"/>
              <w:rPr>
                <w:rFonts w:ascii="宋体" w:hAnsi="宋体" w:eastAsia="宋体" w:cs="仿宋_GB2312"/>
                <w:sz w:val="24"/>
                <w:szCs w:val="24"/>
              </w:rPr>
            </w:pP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4"/>
              </w:numPr>
              <w:jc w:val="center"/>
              <w:rPr>
                <w:rFonts w:ascii="宋体" w:hAnsi="宋体" w:eastAsia="宋体" w:cs="仿宋_GB2312"/>
                <w:sz w:val="24"/>
                <w:szCs w:val="24"/>
              </w:rPr>
            </w:pP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4"/>
              </w:numPr>
              <w:jc w:val="center"/>
              <w:rPr>
                <w:rFonts w:ascii="宋体" w:hAnsi="宋体" w:eastAsia="宋体" w:cs="仿宋_GB2312"/>
                <w:sz w:val="24"/>
                <w:szCs w:val="24"/>
              </w:rPr>
            </w:pP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4"/>
              </w:numPr>
              <w:jc w:val="center"/>
              <w:rPr>
                <w:rFonts w:ascii="宋体" w:hAnsi="宋体" w:eastAsia="宋体" w:cs="仿宋_GB2312"/>
                <w:sz w:val="24"/>
                <w:szCs w:val="24"/>
              </w:rPr>
            </w:pP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16" w:type="dxa"/>
            <w:vAlign w:val="center"/>
          </w:tcPr>
          <w:p>
            <w:pPr>
              <w:jc w:val="center"/>
              <w:rPr>
                <w:rFonts w:ascii="宋体" w:hAnsi="宋体" w:eastAsia="宋体" w:cs="仿宋_GB2312"/>
                <w:sz w:val="24"/>
                <w:szCs w:val="24"/>
              </w:rPr>
            </w:pPr>
          </w:p>
        </w:tc>
        <w:tc>
          <w:tcPr>
            <w:tcW w:w="2268"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c>
          <w:tcPr>
            <w:tcW w:w="184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213" w:name="_Toc494665969"/>
      <w:bookmarkStart w:id="214" w:name="_Toc494745336"/>
      <w:bookmarkStart w:id="215" w:name="_Toc494702289"/>
      <w:bookmarkStart w:id="216" w:name="_Toc494665019"/>
      <w:bookmarkStart w:id="217" w:name="_Toc19296"/>
      <w:bookmarkStart w:id="218" w:name="_Toc494721119"/>
      <w:bookmarkStart w:id="219" w:name="_Toc494665572"/>
      <w:r>
        <w:rPr>
          <w:rFonts w:hint="eastAsia" w:ascii="宋体" w:hAnsi="宋体" w:eastAsia="宋体"/>
        </w:rPr>
        <w:t>技术、服务要求响应、偏离说明表</w:t>
      </w:r>
      <w:bookmarkEnd w:id="213"/>
      <w:bookmarkEnd w:id="214"/>
      <w:bookmarkEnd w:id="215"/>
      <w:bookmarkEnd w:id="216"/>
      <w:bookmarkEnd w:id="217"/>
      <w:bookmarkEnd w:id="218"/>
      <w:bookmarkEnd w:id="21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516"/>
        <w:gridCol w:w="2126"/>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51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12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70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417"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516" w:type="dxa"/>
            <w:vAlign w:val="center"/>
          </w:tcPr>
          <w:p>
            <w:pPr>
              <w:jc w:val="center"/>
              <w:rPr>
                <w:rFonts w:ascii="宋体" w:hAnsi="宋体" w:eastAsia="宋体" w:cs="仿宋_GB2312"/>
                <w:sz w:val="24"/>
                <w:szCs w:val="24"/>
              </w:rPr>
            </w:pPr>
          </w:p>
        </w:tc>
        <w:tc>
          <w:tcPr>
            <w:tcW w:w="2126"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220" w:name="_Toc494665573"/>
      <w:bookmarkStart w:id="221" w:name="_Toc10475"/>
      <w:bookmarkStart w:id="222" w:name="_Toc494745337"/>
      <w:bookmarkStart w:id="223" w:name="_Toc494665970"/>
      <w:bookmarkStart w:id="224" w:name="_Toc494665020"/>
      <w:bookmarkStart w:id="225" w:name="_Toc494721120"/>
      <w:bookmarkStart w:id="226" w:name="_Toc494702290"/>
      <w:bookmarkStart w:id="227" w:name="_Toc329859066"/>
      <w:r>
        <w:rPr>
          <w:rFonts w:hint="eastAsia" w:ascii="宋体" w:hAnsi="宋体" w:eastAsia="宋体"/>
        </w:rPr>
        <w:t>技术、服务要求“★”号条款响应、偏离说明表</w:t>
      </w:r>
      <w:bookmarkEnd w:id="220"/>
      <w:bookmarkEnd w:id="221"/>
      <w:bookmarkEnd w:id="222"/>
      <w:bookmarkEnd w:id="223"/>
      <w:bookmarkEnd w:id="224"/>
      <w:bookmarkEnd w:id="225"/>
      <w:bookmarkEnd w:id="22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303"/>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30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7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55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303"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303"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303"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303"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303"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303" w:type="dxa"/>
            <w:vAlign w:val="center"/>
          </w:tcPr>
          <w:p>
            <w:pPr>
              <w:jc w:val="center"/>
              <w:rPr>
                <w:rFonts w:ascii="宋体" w:hAnsi="宋体" w:eastAsia="宋体" w:cs="仿宋_GB2312"/>
                <w:sz w:val="24"/>
                <w:szCs w:val="24"/>
              </w:rPr>
            </w:pPr>
          </w:p>
        </w:tc>
        <w:tc>
          <w:tcPr>
            <w:tcW w:w="1276" w:type="dxa"/>
            <w:vAlign w:val="center"/>
          </w:tcPr>
          <w:p>
            <w:pPr>
              <w:jc w:val="center"/>
              <w:rPr>
                <w:rFonts w:ascii="宋体" w:hAnsi="宋体" w:eastAsia="宋体" w:cs="仿宋_GB2312"/>
                <w:sz w:val="24"/>
                <w:szCs w:val="24"/>
              </w:rPr>
            </w:pPr>
          </w:p>
        </w:tc>
        <w:tc>
          <w:tcPr>
            <w:tcW w:w="155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27"/>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82"/>
        </w:numPr>
        <w:spacing w:before="100" w:beforeAutospacing="1" w:after="156" w:afterLines="50" w:line="360" w:lineRule="auto"/>
        <w:ind w:left="3710" w:hanging="1610"/>
        <w:rPr>
          <w:rFonts w:ascii="宋体" w:hAnsi="宋体" w:eastAsia="宋体"/>
        </w:rPr>
      </w:pPr>
      <w:bookmarkStart w:id="228" w:name="_Toc494665971"/>
      <w:bookmarkStart w:id="229" w:name="_Toc494745338"/>
      <w:bookmarkStart w:id="230" w:name="_Toc494665021"/>
      <w:bookmarkStart w:id="231" w:name="_Toc494702291"/>
      <w:bookmarkStart w:id="232" w:name="_Toc494721121"/>
      <w:bookmarkStart w:id="233" w:name="_Toc494665574"/>
      <w:bookmarkStart w:id="234" w:name="_Toc29688"/>
      <w:r>
        <w:rPr>
          <w:rFonts w:hint="eastAsia" w:ascii="宋体" w:hAnsi="宋体" w:eastAsia="宋体"/>
        </w:rPr>
        <w:t>技术、服务评议对照表</w:t>
      </w:r>
      <w:bookmarkEnd w:id="228"/>
      <w:bookmarkEnd w:id="229"/>
      <w:bookmarkEnd w:id="230"/>
      <w:bookmarkEnd w:id="231"/>
      <w:bookmarkEnd w:id="232"/>
      <w:bookmarkEnd w:id="233"/>
      <w:bookmarkEnd w:id="23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2481"/>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248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41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701"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2481" w:type="dxa"/>
            <w:vAlign w:val="center"/>
          </w:tcPr>
          <w:p>
            <w:pPr>
              <w:jc w:val="center"/>
              <w:rPr>
                <w:rFonts w:ascii="宋体" w:hAnsi="宋体" w:eastAsia="宋体" w:cs="仿宋_GB2312"/>
                <w:sz w:val="24"/>
                <w:szCs w:val="24"/>
              </w:rPr>
            </w:pPr>
          </w:p>
        </w:tc>
        <w:tc>
          <w:tcPr>
            <w:tcW w:w="1417" w:type="dxa"/>
            <w:vAlign w:val="center"/>
          </w:tcPr>
          <w:p>
            <w:pPr>
              <w:jc w:val="center"/>
              <w:rPr>
                <w:rFonts w:ascii="宋体" w:hAnsi="宋体" w:eastAsia="宋体" w:cs="仿宋_GB2312"/>
                <w:sz w:val="24"/>
                <w:szCs w:val="24"/>
              </w:rPr>
            </w:pPr>
          </w:p>
        </w:tc>
        <w:tc>
          <w:tcPr>
            <w:tcW w:w="1701"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440" w:right="1800" w:bottom="1440" w:left="1800"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21"/>
      </w:tabs>
      <w:rPr>
        <w:rFonts w:ascii="宋体" w:hAnsi="宋体" w:eastAsia="宋体" w:cs="宋体"/>
        <w:kern w:val="0"/>
        <w:sz w:val="18"/>
        <w:szCs w:val="18"/>
        <w:u w:val="single"/>
      </w:rPr>
    </w:pPr>
  </w:p>
  <w:p>
    <w:pPr>
      <w:pStyle w:val="2"/>
      <w:tabs>
        <w:tab w:val="center" w:pos="4153"/>
        <w:tab w:val="right" w:pos="8426"/>
      </w:tabs>
      <w:jc w:val="left"/>
      <w:rPr>
        <w:rFonts w:ascii="宋体" w:hAnsi="宋体" w:eastAsia="宋体" w:cs="宋体"/>
        <w:kern w:val="0"/>
        <w:sz w:val="18"/>
        <w:szCs w:val="18"/>
        <w:u w:val="single"/>
      </w:rPr>
    </w:pPr>
    <w:r>
      <w:rPr>
        <w:rFonts w:hint="eastAsia" w:ascii="宋体" w:hAnsi="宋体" w:eastAsia="宋体" w:cs="宋体"/>
        <w:kern w:val="0"/>
        <w:sz w:val="18"/>
        <w:szCs w:val="18"/>
        <w:u w:val="single"/>
      </w:rPr>
      <w:tab/>
    </w:r>
    <w:r>
      <w:rPr>
        <w:rFonts w:hint="eastAsia" w:ascii="宋体" w:hAnsi="宋体" w:eastAsia="宋体" w:cs="宋体"/>
        <w:kern w:val="0"/>
        <w:sz w:val="18"/>
        <w:szCs w:val="18"/>
        <w:u w:val="single"/>
      </w:rPr>
      <w:tab/>
    </w:r>
    <w:r>
      <w:rPr>
        <w:rFonts w:hint="eastAsia" w:ascii="宋体" w:hAnsi="宋体" w:eastAsia="宋体" w:cs="宋体"/>
        <w:kern w:val="0"/>
        <w:sz w:val="18"/>
        <w:szCs w:val="18"/>
        <w:u w:val="single"/>
      </w:rPr>
      <w:t>湖北诚建工程管理咨询有限公司制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21"/>
      </w:tabs>
      <w:rPr>
        <w:rFonts w:ascii="宋体" w:hAnsi="宋体" w:eastAsia="宋体" w:cs="宋体"/>
        <w:kern w:val="0"/>
        <w:sz w:val="18"/>
        <w:szCs w:val="18"/>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71</w:t>
                    </w:r>
                    <w:r>
                      <w:fldChar w:fldCharType="end"/>
                    </w:r>
                  </w:p>
                </w:txbxContent>
              </v:textbox>
            </v:shape>
          </w:pict>
        </mc:Fallback>
      </mc:AlternateContent>
    </w:r>
  </w:p>
  <w:p>
    <w:pPr>
      <w:pStyle w:val="2"/>
      <w:tabs>
        <w:tab w:val="center" w:pos="4153"/>
        <w:tab w:val="right" w:pos="8426"/>
      </w:tabs>
      <w:jc w:val="left"/>
      <w:rPr>
        <w:rFonts w:ascii="宋体" w:hAnsi="宋体" w:eastAsia="宋体" w:cs="宋体"/>
        <w:kern w:val="0"/>
        <w:sz w:val="18"/>
        <w:szCs w:val="18"/>
        <w:u w:val="single"/>
      </w:rPr>
    </w:pPr>
    <w:r>
      <w:rPr>
        <w:rFonts w:hint="eastAsia" w:ascii="宋体" w:hAnsi="宋体" w:eastAsia="宋体" w:cs="宋体"/>
        <w:kern w:val="0"/>
        <w:sz w:val="18"/>
        <w:szCs w:val="18"/>
        <w:u w:val="single"/>
      </w:rPr>
      <w:tab/>
    </w:r>
    <w:r>
      <w:rPr>
        <w:rFonts w:hint="eastAsia" w:ascii="宋体" w:hAnsi="宋体" w:eastAsia="宋体" w:cs="宋体"/>
        <w:kern w:val="0"/>
        <w:sz w:val="18"/>
        <w:szCs w:val="18"/>
        <w:u w:val="single"/>
      </w:rPr>
      <w:tab/>
    </w:r>
    <w:r>
      <w:rPr>
        <w:rFonts w:hint="eastAsia" w:ascii="宋体" w:hAnsi="宋体" w:eastAsia="宋体" w:cs="宋体"/>
        <w:kern w:val="0"/>
        <w:sz w:val="18"/>
        <w:szCs w:val="18"/>
        <w:u w:val="single"/>
      </w:rPr>
      <w:t>湖北诚建工程管理咨询有限公司制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themeColor="text1" w:sz="4" w:space="1"/>
      </w:pBdr>
      <w:tabs>
        <w:tab w:val="clear" w:pos="4153"/>
        <w:tab w:val="clear" w:pos="8306"/>
      </w:tabs>
      <w:ind w:right="-9"/>
      <w:jc w:val="right"/>
    </w:pPr>
    <w:r>
      <w:rPr>
        <w:rFonts w:hint="eastAsia" w:asciiTheme="minorEastAsia" w:hAnsiTheme="minorEastAsia"/>
      </w:rPr>
      <w:t xml:space="preserve">  </w:t>
    </w:r>
    <w:r>
      <w:rPr>
        <w:rFonts w:hint="eastAsia" w:ascii="宋体" w:hAnsi="宋体" w:eastAsia="宋体" w:cs="宋体"/>
        <w:kern w:val="0"/>
        <w:u w:val="single"/>
      </w:rPr>
      <w:t>湖北诚建工程管理咨询有限公司制</w:t>
    </w:r>
  </w:p>
  <w:p>
    <w:pPr>
      <w:pStyle w:val="2"/>
      <w:spacing w:line="14" w:lineRule="auto"/>
      <w:rPr>
        <w:sz w:val="20"/>
      </w:rPr>
    </w:pPr>
  </w:p>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themeColor="text1" w:sz="4" w:space="1"/>
      </w:pBdr>
      <w:tabs>
        <w:tab w:val="clear" w:pos="4153"/>
        <w:tab w:val="clear" w:pos="8306"/>
      </w:tabs>
      <w:ind w:right="-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71</w:t>
                    </w:r>
                    <w:r>
                      <w:fldChar w:fldCharType="end"/>
                    </w:r>
                  </w:p>
                </w:txbxContent>
              </v:textbox>
            </v:shape>
          </w:pict>
        </mc:Fallback>
      </mc:AlternateContent>
    </w:r>
    <w:r>
      <w:rPr>
        <w:rFonts w:hint="eastAsia" w:asciiTheme="minorEastAsia" w:hAnsiTheme="minorEastAsia"/>
      </w:rPr>
      <w:t xml:space="preserve">                                       </w:t>
    </w:r>
    <w:r>
      <w:rPr>
        <w:rFonts w:hint="eastAsia" w:ascii="宋体" w:hAnsi="宋体" w:eastAsia="宋体" w:cs="宋体"/>
        <w:kern w:val="0"/>
        <w:u w:val="single"/>
      </w:rPr>
      <w:t>湖北诚建工程管理咨询有限公司制</w:t>
    </w:r>
  </w:p>
  <w:p>
    <w:pPr>
      <w:pStyle w:val="16"/>
      <w:pBdr>
        <w:top w:val="single" w:color="000000" w:themeColor="text1" w:sz="4" w:space="1"/>
      </w:pBdr>
      <w:tabs>
        <w:tab w:val="clear" w:pos="4153"/>
        <w:tab w:val="clear" w:pos="8306"/>
      </w:tabs>
      <w:ind w:right="-9"/>
      <w:rPr>
        <w:rFonts w:asciiTheme="minorEastAsia" w:hAnsiTheme="minorEastAsia"/>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63" w:rightChars="30"/>
      <w:jc w:val="left"/>
      <w:rPr>
        <w:b/>
        <w:lang w:val="zh-CN"/>
      </w:rPr>
    </w:pPr>
  </w:p>
  <w:p>
    <w:pPr>
      <w:spacing w:line="360" w:lineRule="auto"/>
      <w:ind w:right="63" w:rightChars="30"/>
      <w:jc w:val="left"/>
      <w:rPr>
        <w:rFonts w:hint="eastAsia"/>
        <w:b/>
        <w:u w:val="single"/>
      </w:rPr>
    </w:pPr>
  </w:p>
  <w:p>
    <w:pPr>
      <w:spacing w:line="360" w:lineRule="auto"/>
      <w:ind w:right="63" w:rightChars="30"/>
      <w:jc w:val="left"/>
    </w:pPr>
    <w:r>
      <w:rPr>
        <w:rFonts w:hint="eastAsia"/>
        <w:b/>
        <w:u w:val="single"/>
        <w:lang w:val="zh-CN"/>
      </w:rPr>
      <w:t>阳新县第一次全国自然灾害综合风险普查房屋建筑和市政设施调查项目招标文件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63" w:rightChars="30"/>
      <w:jc w:val="left"/>
      <w:rPr>
        <w:b/>
      </w:rPr>
    </w:pPr>
    <w:r>
      <w:rPr>
        <w:rFonts w:hint="eastAsia"/>
        <w:b/>
      </w:rPr>
      <w:t>项目名称：</w:t>
    </w:r>
    <w:r>
      <w:rPr>
        <w:rFonts w:hint="eastAsia"/>
        <w:b/>
        <w:lang w:val="zh-CN"/>
      </w:rPr>
      <w:t>阳新县第一次全国自然灾害综合风险普查房屋建筑和市政桥梁调查项目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813F5"/>
    <w:multiLevelType w:val="singleLevel"/>
    <w:tmpl w:val="8A4813F5"/>
    <w:lvl w:ilvl="0" w:tentative="0">
      <w:start w:val="1"/>
      <w:numFmt w:val="lowerLetter"/>
      <w:suff w:val="space"/>
      <w:lvlText w:val="%1."/>
      <w:lvlJc w:val="left"/>
    </w:lvl>
  </w:abstractNum>
  <w:abstractNum w:abstractNumId="1">
    <w:nsid w:val="C2CA8481"/>
    <w:multiLevelType w:val="singleLevel"/>
    <w:tmpl w:val="C2CA8481"/>
    <w:lvl w:ilvl="0" w:tentative="0">
      <w:start w:val="1"/>
      <w:numFmt w:val="bullet"/>
      <w:lvlText w:val=""/>
      <w:lvlJc w:val="left"/>
      <w:pPr>
        <w:ind w:left="420" w:hanging="420"/>
      </w:pPr>
      <w:rPr>
        <w:rFonts w:hint="default" w:ascii="Wingdings" w:hAnsi="Wingdings"/>
      </w:rPr>
    </w:lvl>
  </w:abstractNum>
  <w:abstractNum w:abstractNumId="2">
    <w:nsid w:val="E093A4B0"/>
    <w:multiLevelType w:val="multilevel"/>
    <w:tmpl w:val="E093A4B0"/>
    <w:lvl w:ilvl="0" w:tentative="0">
      <w:start w:val="1"/>
      <w:numFmt w:val="decimal"/>
      <w:lvlText w:val="（%1）"/>
      <w:lvlJc w:val="left"/>
      <w:pPr>
        <w:ind w:left="230" w:hanging="604"/>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222" w:hanging="604"/>
      </w:pPr>
      <w:rPr>
        <w:rFonts w:hint="default"/>
        <w:lang w:val="zh-CN" w:eastAsia="zh-CN" w:bidi="zh-CN"/>
      </w:rPr>
    </w:lvl>
    <w:lvl w:ilvl="2" w:tentative="0">
      <w:start w:val="0"/>
      <w:numFmt w:val="bullet"/>
      <w:lvlText w:val="•"/>
      <w:lvlJc w:val="left"/>
      <w:pPr>
        <w:ind w:left="2205" w:hanging="604"/>
      </w:pPr>
      <w:rPr>
        <w:rFonts w:hint="default"/>
        <w:lang w:val="zh-CN" w:eastAsia="zh-CN" w:bidi="zh-CN"/>
      </w:rPr>
    </w:lvl>
    <w:lvl w:ilvl="3" w:tentative="0">
      <w:start w:val="0"/>
      <w:numFmt w:val="bullet"/>
      <w:lvlText w:val="•"/>
      <w:lvlJc w:val="left"/>
      <w:pPr>
        <w:ind w:left="3187" w:hanging="604"/>
      </w:pPr>
      <w:rPr>
        <w:rFonts w:hint="default"/>
        <w:lang w:val="zh-CN" w:eastAsia="zh-CN" w:bidi="zh-CN"/>
      </w:rPr>
    </w:lvl>
    <w:lvl w:ilvl="4" w:tentative="0">
      <w:start w:val="0"/>
      <w:numFmt w:val="bullet"/>
      <w:lvlText w:val="•"/>
      <w:lvlJc w:val="left"/>
      <w:pPr>
        <w:ind w:left="4170" w:hanging="604"/>
      </w:pPr>
      <w:rPr>
        <w:rFonts w:hint="default"/>
        <w:lang w:val="zh-CN" w:eastAsia="zh-CN" w:bidi="zh-CN"/>
      </w:rPr>
    </w:lvl>
    <w:lvl w:ilvl="5" w:tentative="0">
      <w:start w:val="0"/>
      <w:numFmt w:val="bullet"/>
      <w:lvlText w:val="•"/>
      <w:lvlJc w:val="left"/>
      <w:pPr>
        <w:ind w:left="5153" w:hanging="604"/>
      </w:pPr>
      <w:rPr>
        <w:rFonts w:hint="default"/>
        <w:lang w:val="zh-CN" w:eastAsia="zh-CN" w:bidi="zh-CN"/>
      </w:rPr>
    </w:lvl>
    <w:lvl w:ilvl="6" w:tentative="0">
      <w:start w:val="0"/>
      <w:numFmt w:val="bullet"/>
      <w:lvlText w:val="•"/>
      <w:lvlJc w:val="left"/>
      <w:pPr>
        <w:ind w:left="6135" w:hanging="604"/>
      </w:pPr>
      <w:rPr>
        <w:rFonts w:hint="default"/>
        <w:lang w:val="zh-CN" w:eastAsia="zh-CN" w:bidi="zh-CN"/>
      </w:rPr>
    </w:lvl>
    <w:lvl w:ilvl="7" w:tentative="0">
      <w:start w:val="0"/>
      <w:numFmt w:val="bullet"/>
      <w:lvlText w:val="•"/>
      <w:lvlJc w:val="left"/>
      <w:pPr>
        <w:ind w:left="7118" w:hanging="604"/>
      </w:pPr>
      <w:rPr>
        <w:rFonts w:hint="default"/>
        <w:lang w:val="zh-CN" w:eastAsia="zh-CN" w:bidi="zh-CN"/>
      </w:rPr>
    </w:lvl>
    <w:lvl w:ilvl="8" w:tentative="0">
      <w:start w:val="0"/>
      <w:numFmt w:val="bullet"/>
      <w:lvlText w:val="•"/>
      <w:lvlJc w:val="left"/>
      <w:pPr>
        <w:ind w:left="8100" w:hanging="604"/>
      </w:pPr>
      <w:rPr>
        <w:rFonts w:hint="default"/>
        <w:lang w:val="zh-CN" w:eastAsia="zh-CN" w:bidi="zh-CN"/>
      </w:rPr>
    </w:lvl>
  </w:abstractNum>
  <w:abstractNum w:abstractNumId="3">
    <w:nsid w:val="00000013"/>
    <w:multiLevelType w:val="multilevel"/>
    <w:tmpl w:val="00000013"/>
    <w:lvl w:ilvl="0" w:tentative="0">
      <w:start w:val="1"/>
      <w:numFmt w:val="decimal"/>
      <w:lvlText w:val="2.%1 "/>
      <w:lvlJc w:val="left"/>
      <w:pPr>
        <w:ind w:left="420" w:hanging="420"/>
      </w:pPr>
      <w:rPr>
        <w:rFonts w:hint="default" w:ascii="仿宋" w:hAnsi="仿宋" w:eastAsia="仿宋"/>
        <w:b/>
        <w:color w:val="auto"/>
      </w:rPr>
    </w:lvl>
    <w:lvl w:ilvl="1" w:tentative="0">
      <w:start w:val="1"/>
      <w:numFmt w:val="decimal"/>
      <w:lvlText w:val="%2、"/>
      <w:lvlJc w:val="left"/>
      <w:pPr>
        <w:ind w:left="1245" w:hanging="8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7"/>
    <w:multiLevelType w:val="multilevel"/>
    <w:tmpl w:val="0000001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8"/>
    <w:multiLevelType w:val="multilevel"/>
    <w:tmpl w:val="00000018"/>
    <w:lvl w:ilvl="0" w:tentative="0">
      <w:start w:val="1"/>
      <w:numFmt w:val="lowerLetter"/>
      <w:lvlText w:val="%1. "/>
      <w:lvlJc w:val="left"/>
      <w:pPr>
        <w:ind w:left="2546"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6">
    <w:nsid w:val="0000001C"/>
    <w:multiLevelType w:val="multilevel"/>
    <w:tmpl w:val="0000001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1"/>
    <w:multiLevelType w:val="multilevel"/>
    <w:tmpl w:val="00000021"/>
    <w:lvl w:ilvl="0" w:tentative="0">
      <w:start w:val="1"/>
      <w:numFmt w:val="decimal"/>
      <w:lvlText w:val="1.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9">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0">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2">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58"/>
    <w:multiLevelType w:val="multilevel"/>
    <w:tmpl w:val="00000058"/>
    <w:lvl w:ilvl="0" w:tentative="0">
      <w:start w:val="1"/>
      <w:numFmt w:val="decimal"/>
      <w:lvlText w:val="%1. "/>
      <w:lvlJc w:val="left"/>
      <w:pPr>
        <w:ind w:left="846"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6">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7">
    <w:nsid w:val="00000066"/>
    <w:multiLevelType w:val="multilevel"/>
    <w:tmpl w:val="00000066"/>
    <w:lvl w:ilvl="0" w:tentative="0">
      <w:start w:val="1"/>
      <w:numFmt w:val="decimal"/>
      <w:lvlText w:val="2.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8">
    <w:nsid w:val="0000006C"/>
    <w:multiLevelType w:val="multilevel"/>
    <w:tmpl w:val="0000006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6E"/>
    <w:multiLevelType w:val="multilevel"/>
    <w:tmpl w:val="0000006E"/>
    <w:lvl w:ilvl="0" w:tentative="0">
      <w:start w:val="1"/>
      <w:numFmt w:val="decimal"/>
      <w:lvlText w:val="%1 "/>
      <w:lvlJc w:val="left"/>
      <w:pPr>
        <w:ind w:left="643" w:hanging="420"/>
      </w:pPr>
      <w:rPr>
        <w:rFonts w:hint="default" w:ascii="楷体" w:hAnsi="楷体" w:eastAsia="楷体"/>
        <w:b w:val="0"/>
        <w:strike w:val="0"/>
        <w:color w:val="auto"/>
      </w:rPr>
    </w:lvl>
    <w:lvl w:ilvl="1" w:tentative="0">
      <w:start w:val="1"/>
      <w:numFmt w:val="decimal"/>
      <w:lvlText w:val="(%2) "/>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71"/>
    <w:multiLevelType w:val="multilevel"/>
    <w:tmpl w:val="00000071"/>
    <w:lvl w:ilvl="0" w:tentative="0">
      <w:start w:val="1"/>
      <w:numFmt w:val="decimal"/>
      <w:lvlText w:val="2.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1">
    <w:nsid w:val="00000072"/>
    <w:multiLevelType w:val="multilevel"/>
    <w:tmpl w:val="00000072"/>
    <w:lvl w:ilvl="0" w:tentative="0">
      <w:start w:val="1"/>
      <w:numFmt w:val="decimal"/>
      <w:lvlText w:val="2.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2">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7C"/>
    <w:multiLevelType w:val="multilevel"/>
    <w:tmpl w:val="0000007C"/>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5">
    <w:nsid w:val="00000086"/>
    <w:multiLevelType w:val="multilevel"/>
    <w:tmpl w:val="00000086"/>
    <w:lvl w:ilvl="0" w:tentative="0">
      <w:start w:val="1"/>
      <w:numFmt w:val="decimal"/>
      <w:lvlText w:val="1.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6">
    <w:nsid w:val="0000008D"/>
    <w:multiLevelType w:val="multilevel"/>
    <w:tmpl w:val="0000008D"/>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9">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3">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7">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43A1834"/>
    <w:multiLevelType w:val="multilevel"/>
    <w:tmpl w:val="143A1834"/>
    <w:lvl w:ilvl="0" w:tentative="0">
      <w:start w:val="1"/>
      <w:numFmt w:val="chineseCountingThousand"/>
      <w:lvlText w:val="附件%1、"/>
      <w:lvlJc w:val="left"/>
      <w:pPr>
        <w:ind w:left="25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0">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1">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4">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5">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6">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7">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9F46660"/>
    <w:multiLevelType w:val="singleLevel"/>
    <w:tmpl w:val="29F46660"/>
    <w:lvl w:ilvl="0" w:tentative="0">
      <w:start w:val="1"/>
      <w:numFmt w:val="decimal"/>
      <w:lvlText w:val="(%1)"/>
      <w:lvlJc w:val="left"/>
      <w:pPr>
        <w:ind w:left="425" w:hanging="425"/>
      </w:pPr>
      <w:rPr>
        <w:rFonts w:hint="default"/>
      </w:rPr>
    </w:lvl>
  </w:abstractNum>
  <w:abstractNum w:abstractNumId="49">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2">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5">
    <w:nsid w:val="33020AE6"/>
    <w:multiLevelType w:val="multilevel"/>
    <w:tmpl w:val="33020AE6"/>
    <w:lvl w:ilvl="0" w:tentative="0">
      <w:start w:val="1"/>
      <w:numFmt w:val="decimal"/>
      <w:lvlText w:val="%1"/>
      <w:lvlJc w:val="left"/>
      <w:pPr>
        <w:ind w:left="63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0">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1">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2">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4">
    <w:nsid w:val="4D94DA66"/>
    <w:multiLevelType w:val="multilevel"/>
    <w:tmpl w:val="4D94DA66"/>
    <w:lvl w:ilvl="0" w:tentative="0">
      <w:start w:val="1"/>
      <w:numFmt w:val="decimal"/>
      <w:lvlText w:val="（%1）"/>
      <w:lvlJc w:val="left"/>
      <w:pPr>
        <w:ind w:left="1232"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4" w:hanging="601"/>
      </w:pPr>
      <w:rPr>
        <w:rFonts w:hint="default"/>
        <w:lang w:val="zh-CN" w:eastAsia="zh-CN" w:bidi="zh-CN"/>
      </w:rPr>
    </w:lvl>
    <w:lvl w:ilvl="2" w:tentative="0">
      <w:start w:val="0"/>
      <w:numFmt w:val="bullet"/>
      <w:lvlText w:val="•"/>
      <w:lvlJc w:val="left"/>
      <w:pPr>
        <w:ind w:left="3069" w:hanging="601"/>
      </w:pPr>
      <w:rPr>
        <w:rFonts w:hint="default"/>
        <w:lang w:val="zh-CN" w:eastAsia="zh-CN" w:bidi="zh-CN"/>
      </w:rPr>
    </w:lvl>
    <w:lvl w:ilvl="3" w:tentative="0">
      <w:start w:val="0"/>
      <w:numFmt w:val="bullet"/>
      <w:lvlText w:val="•"/>
      <w:lvlJc w:val="left"/>
      <w:pPr>
        <w:ind w:left="3943" w:hanging="601"/>
      </w:pPr>
      <w:rPr>
        <w:rFonts w:hint="default"/>
        <w:lang w:val="zh-CN" w:eastAsia="zh-CN" w:bidi="zh-CN"/>
      </w:rPr>
    </w:lvl>
    <w:lvl w:ilvl="4" w:tentative="0">
      <w:start w:val="0"/>
      <w:numFmt w:val="bullet"/>
      <w:lvlText w:val="•"/>
      <w:lvlJc w:val="left"/>
      <w:pPr>
        <w:ind w:left="4818"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67" w:hanging="601"/>
      </w:pPr>
      <w:rPr>
        <w:rFonts w:hint="default"/>
        <w:lang w:val="zh-CN" w:eastAsia="zh-CN" w:bidi="zh-CN"/>
      </w:rPr>
    </w:lvl>
    <w:lvl w:ilvl="7" w:tentative="0">
      <w:start w:val="0"/>
      <w:numFmt w:val="bullet"/>
      <w:lvlText w:val="•"/>
      <w:lvlJc w:val="left"/>
      <w:pPr>
        <w:ind w:left="7442" w:hanging="601"/>
      </w:pPr>
      <w:rPr>
        <w:rFonts w:hint="default"/>
        <w:lang w:val="zh-CN" w:eastAsia="zh-CN" w:bidi="zh-CN"/>
      </w:rPr>
    </w:lvl>
    <w:lvl w:ilvl="8" w:tentative="0">
      <w:start w:val="0"/>
      <w:numFmt w:val="bullet"/>
      <w:lvlText w:val="•"/>
      <w:lvlJc w:val="left"/>
      <w:pPr>
        <w:ind w:left="8316" w:hanging="601"/>
      </w:pPr>
      <w:rPr>
        <w:rFonts w:hint="default"/>
        <w:lang w:val="zh-CN" w:eastAsia="zh-CN" w:bidi="zh-CN"/>
      </w:rPr>
    </w:lvl>
  </w:abstractNum>
  <w:abstractNum w:abstractNumId="65">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878DD6C"/>
    <w:multiLevelType w:val="singleLevel"/>
    <w:tmpl w:val="5878DD6C"/>
    <w:lvl w:ilvl="0" w:tentative="0">
      <w:start w:val="1"/>
      <w:numFmt w:val="decimal"/>
      <w:suff w:val="nothing"/>
      <w:lvlText w:val="%1、"/>
      <w:lvlJc w:val="left"/>
    </w:lvl>
  </w:abstractNum>
  <w:abstractNum w:abstractNumId="69">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0">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1">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2">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4">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77">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80">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83">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65"/>
  </w:num>
  <w:num w:numId="2">
    <w:abstractNumId w:val="55"/>
  </w:num>
  <w:num w:numId="3">
    <w:abstractNumId w:val="62"/>
  </w:num>
  <w:num w:numId="4">
    <w:abstractNumId w:val="42"/>
  </w:num>
  <w:num w:numId="5">
    <w:abstractNumId w:val="33"/>
  </w:num>
  <w:num w:numId="6">
    <w:abstractNumId w:val="73"/>
  </w:num>
  <w:num w:numId="7">
    <w:abstractNumId w:val="56"/>
  </w:num>
  <w:num w:numId="8">
    <w:abstractNumId w:val="30"/>
  </w:num>
  <w:num w:numId="9">
    <w:abstractNumId w:val="69"/>
  </w:num>
  <w:num w:numId="10">
    <w:abstractNumId w:val="54"/>
  </w:num>
  <w:num w:numId="11">
    <w:abstractNumId w:val="32"/>
  </w:num>
  <w:num w:numId="12">
    <w:abstractNumId w:val="47"/>
  </w:num>
  <w:num w:numId="13">
    <w:abstractNumId w:val="49"/>
  </w:num>
  <w:num w:numId="14">
    <w:abstractNumId w:val="36"/>
  </w:num>
  <w:num w:numId="15">
    <w:abstractNumId w:val="35"/>
  </w:num>
  <w:num w:numId="16">
    <w:abstractNumId w:val="80"/>
  </w:num>
  <w:num w:numId="17">
    <w:abstractNumId w:val="37"/>
  </w:num>
  <w:num w:numId="18">
    <w:abstractNumId w:val="53"/>
  </w:num>
  <w:num w:numId="19">
    <w:abstractNumId w:val="58"/>
  </w:num>
  <w:num w:numId="20">
    <w:abstractNumId w:val="61"/>
  </w:num>
  <w:num w:numId="21">
    <w:abstractNumId w:val="83"/>
  </w:num>
  <w:num w:numId="22">
    <w:abstractNumId w:val="67"/>
  </w:num>
  <w:num w:numId="23">
    <w:abstractNumId w:val="77"/>
  </w:num>
  <w:num w:numId="24">
    <w:abstractNumId w:val="81"/>
  </w:num>
  <w:num w:numId="25">
    <w:abstractNumId w:val="66"/>
  </w:num>
  <w:num w:numId="26">
    <w:abstractNumId w:val="34"/>
  </w:num>
  <w:num w:numId="27">
    <w:abstractNumId w:val="46"/>
  </w:num>
  <w:num w:numId="28">
    <w:abstractNumId w:val="78"/>
  </w:num>
  <w:num w:numId="29">
    <w:abstractNumId w:val="74"/>
  </w:num>
  <w:num w:numId="30">
    <w:abstractNumId w:val="60"/>
  </w:num>
  <w:num w:numId="31">
    <w:abstractNumId w:val="72"/>
  </w:num>
  <w:num w:numId="32">
    <w:abstractNumId w:val="50"/>
  </w:num>
  <w:num w:numId="33">
    <w:abstractNumId w:val="75"/>
  </w:num>
  <w:num w:numId="34">
    <w:abstractNumId w:val="29"/>
  </w:num>
  <w:num w:numId="35">
    <w:abstractNumId w:val="64"/>
  </w:num>
  <w:num w:numId="36">
    <w:abstractNumId w:val="2"/>
  </w:num>
  <w:num w:numId="37">
    <w:abstractNumId w:val="22"/>
  </w:num>
  <w:num w:numId="38">
    <w:abstractNumId w:val="14"/>
  </w:num>
  <w:num w:numId="39">
    <w:abstractNumId w:val="13"/>
  </w:num>
  <w:num w:numId="40">
    <w:abstractNumId w:val="23"/>
  </w:num>
  <w:num w:numId="41">
    <w:abstractNumId w:val="8"/>
  </w:num>
  <w:num w:numId="42">
    <w:abstractNumId w:val="19"/>
  </w:num>
  <w:num w:numId="43">
    <w:abstractNumId w:val="1"/>
  </w:num>
  <w:num w:numId="44">
    <w:abstractNumId w:val="25"/>
  </w:num>
  <w:num w:numId="45">
    <w:abstractNumId w:val="7"/>
  </w:num>
  <w:num w:numId="46">
    <w:abstractNumId w:val="12"/>
  </w:num>
  <w:num w:numId="47">
    <w:abstractNumId w:val="5"/>
  </w:num>
  <w:num w:numId="48">
    <w:abstractNumId w:val="16"/>
  </w:num>
  <w:num w:numId="49">
    <w:abstractNumId w:val="15"/>
  </w:num>
  <w:num w:numId="50">
    <w:abstractNumId w:val="27"/>
  </w:num>
  <w:num w:numId="51">
    <w:abstractNumId w:val="57"/>
  </w:num>
  <w:num w:numId="52">
    <w:abstractNumId w:val="44"/>
  </w:num>
  <w:num w:numId="53">
    <w:abstractNumId w:val="71"/>
  </w:num>
  <w:num w:numId="54">
    <w:abstractNumId w:val="84"/>
  </w:num>
  <w:num w:numId="55">
    <w:abstractNumId w:val="45"/>
  </w:num>
  <w:num w:numId="56">
    <w:abstractNumId w:val="43"/>
  </w:num>
  <w:num w:numId="57">
    <w:abstractNumId w:val="28"/>
  </w:num>
  <w:num w:numId="58">
    <w:abstractNumId w:val="70"/>
    <w:lvlOverride w:ilvl="0">
      <w:startOverride w:val="1"/>
    </w:lvlOverride>
  </w:num>
  <w:num w:numId="59">
    <w:abstractNumId w:val="40"/>
  </w:num>
  <w:num w:numId="60">
    <w:abstractNumId w:val="51"/>
  </w:num>
  <w:num w:numId="61">
    <w:abstractNumId w:val="82"/>
  </w:num>
  <w:num w:numId="62">
    <w:abstractNumId w:val="48"/>
  </w:num>
  <w:num w:numId="63">
    <w:abstractNumId w:val="68"/>
  </w:num>
  <w:num w:numId="64">
    <w:abstractNumId w:val="76"/>
  </w:num>
  <w:num w:numId="65">
    <w:abstractNumId w:val="63"/>
  </w:num>
  <w:num w:numId="66">
    <w:abstractNumId w:val="39"/>
  </w:num>
  <w:num w:numId="67">
    <w:abstractNumId w:val="24"/>
  </w:num>
  <w:num w:numId="68">
    <w:abstractNumId w:val="3"/>
  </w:num>
  <w:num w:numId="69">
    <w:abstractNumId w:val="20"/>
  </w:num>
  <w:num w:numId="70">
    <w:abstractNumId w:val="6"/>
  </w:num>
  <w:num w:numId="71">
    <w:abstractNumId w:val="4"/>
  </w:num>
  <w:num w:numId="72">
    <w:abstractNumId w:val="9"/>
  </w:num>
  <w:num w:numId="73">
    <w:abstractNumId w:val="26"/>
  </w:num>
  <w:num w:numId="74">
    <w:abstractNumId w:val="18"/>
  </w:num>
  <w:num w:numId="75">
    <w:abstractNumId w:val="0"/>
  </w:num>
  <w:num w:numId="76">
    <w:abstractNumId w:val="11"/>
  </w:num>
  <w:num w:numId="77">
    <w:abstractNumId w:val="21"/>
  </w:num>
  <w:num w:numId="78">
    <w:abstractNumId w:val="17"/>
  </w:num>
  <w:num w:numId="79">
    <w:abstractNumId w:val="10"/>
  </w:num>
  <w:num w:numId="80">
    <w:abstractNumId w:val="59"/>
  </w:num>
  <w:num w:numId="81">
    <w:abstractNumId w:val="79"/>
  </w:num>
  <w:num w:numId="82">
    <w:abstractNumId w:val="38"/>
  </w:num>
  <w:num w:numId="83">
    <w:abstractNumId w:val="31"/>
  </w:num>
  <w:num w:numId="84">
    <w:abstractNumId w:val="41"/>
  </w:num>
  <w:num w:numId="8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05369"/>
    <w:rsid w:val="140517CA"/>
    <w:rsid w:val="18F238C7"/>
    <w:rsid w:val="28166FD2"/>
    <w:rsid w:val="358F6B3E"/>
    <w:rsid w:val="35A73908"/>
    <w:rsid w:val="39F775C4"/>
    <w:rsid w:val="4C811AF8"/>
    <w:rsid w:val="54855564"/>
    <w:rsid w:val="563A5CCE"/>
    <w:rsid w:val="5BC23327"/>
    <w:rsid w:val="5E5059BD"/>
    <w:rsid w:val="63FF0B0C"/>
    <w:rsid w:val="69977FAA"/>
    <w:rsid w:val="7578254D"/>
    <w:rsid w:val="771947C5"/>
    <w:rsid w:val="7DC46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semiHidden/>
    <w:unhideWhenUsed/>
    <w:qFormat/>
    <w:uiPriority w:val="99"/>
    <w:pPr>
      <w:spacing w:after="120"/>
    </w:pPr>
  </w:style>
  <w:style w:type="paragraph" w:styleId="8">
    <w:name w:val="Normal Indent"/>
    <w:basedOn w:val="1"/>
    <w:link w:val="44"/>
    <w:qFormat/>
    <w:uiPriority w:val="0"/>
    <w:pPr>
      <w:ind w:firstLine="420"/>
    </w:pPr>
  </w:style>
  <w:style w:type="paragraph" w:styleId="9">
    <w:name w:val="annotation text"/>
    <w:basedOn w:val="1"/>
    <w:link w:val="38"/>
    <w:unhideWhenUsed/>
    <w:qFormat/>
    <w:uiPriority w:val="99"/>
    <w:pPr>
      <w:jc w:val="left"/>
    </w:pPr>
  </w:style>
  <w:style w:type="paragraph" w:styleId="10">
    <w:name w:val="Body Text Indent"/>
    <w:basedOn w:val="1"/>
    <w:link w:val="50"/>
    <w:unhideWhenUsed/>
    <w:qFormat/>
    <w:uiPriority w:val="99"/>
    <w:pPr>
      <w:widowControl/>
      <w:spacing w:after="120"/>
      <w:ind w:left="420"/>
    </w:pPr>
    <w:rPr>
      <w:rFonts w:ascii="Times New Roman" w:hAnsi="Times New Roman" w:cs="Times New Roman"/>
      <w:szCs w:val="21"/>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link w:val="41"/>
    <w:qFormat/>
    <w:uiPriority w:val="0"/>
    <w:rPr>
      <w:rFonts w:ascii="宋体" w:hAnsi="Courier New" w:cs="Courier New"/>
      <w:szCs w:val="21"/>
    </w:rPr>
  </w:style>
  <w:style w:type="paragraph" w:styleId="13">
    <w:name w:val="Date"/>
    <w:basedOn w:val="1"/>
    <w:next w:val="1"/>
    <w:link w:val="54"/>
    <w:semiHidden/>
    <w:unhideWhenUsed/>
    <w:qFormat/>
    <w:uiPriority w:val="99"/>
    <w:pPr>
      <w:ind w:left="100" w:leftChars="2500"/>
    </w:pPr>
  </w:style>
  <w:style w:type="paragraph" w:styleId="14">
    <w:name w:val="endnote text"/>
    <w:basedOn w:val="1"/>
    <w:link w:val="40"/>
    <w:unhideWhenUsed/>
    <w:qFormat/>
    <w:uiPriority w:val="99"/>
    <w:pPr>
      <w:snapToGrid w:val="0"/>
      <w:jc w:val="left"/>
    </w:pPr>
  </w:style>
  <w:style w:type="paragraph" w:styleId="15">
    <w:name w:val="Balloon Text"/>
    <w:basedOn w:val="1"/>
    <w:link w:val="34"/>
    <w:unhideWhenUsed/>
    <w:qFormat/>
    <w:uiPriority w:val="99"/>
    <w:rPr>
      <w:sz w:val="18"/>
      <w:szCs w:val="18"/>
    </w:rPr>
  </w:style>
  <w:style w:type="paragraph" w:styleId="16">
    <w:name w:val="footer"/>
    <w:basedOn w:val="1"/>
    <w:link w:val="33"/>
    <w:unhideWhenUsed/>
    <w:qFormat/>
    <w:uiPriority w:val="0"/>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line="440" w:lineRule="exact"/>
      <w:jc w:val="left"/>
    </w:pPr>
    <w:rPr>
      <w:rFonts w:eastAsia="黑体"/>
      <w:b/>
      <w:kern w:val="0"/>
      <w:sz w:val="28"/>
    </w:rPr>
  </w:style>
  <w:style w:type="paragraph" w:styleId="19">
    <w:name w:val="toc 2"/>
    <w:basedOn w:val="20"/>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20">
    <w:name w:val="引用1"/>
    <w:basedOn w:val="1"/>
    <w:next w:val="1"/>
    <w:link w:val="43"/>
    <w:qFormat/>
    <w:uiPriority w:val="29"/>
    <w:rPr>
      <w:i/>
      <w:iCs/>
      <w:color w:val="000000" w:themeColor="text1"/>
      <w14:textFill>
        <w14:solidFill>
          <w14:schemeClr w14:val="tx1"/>
        </w14:solidFill>
      </w14:textFill>
    </w:rPr>
  </w:style>
  <w:style w:type="paragraph" w:styleId="21">
    <w:name w:val="Normal (Web)"/>
    <w:basedOn w:val="1"/>
    <w:qFormat/>
    <w:uiPriority w:val="0"/>
    <w:pPr>
      <w:spacing w:beforeAutospacing="1" w:afterAutospacing="1"/>
      <w:jc w:val="left"/>
    </w:pPr>
    <w:rPr>
      <w:rFonts w:cs="Times New Roman"/>
      <w:kern w:val="0"/>
      <w:sz w:val="24"/>
    </w:rPr>
  </w:style>
  <w:style w:type="paragraph" w:styleId="22">
    <w:name w:val="annotation subject"/>
    <w:basedOn w:val="9"/>
    <w:next w:val="9"/>
    <w:link w:val="45"/>
    <w:unhideWhenUsed/>
    <w:qFormat/>
    <w:uiPriority w:val="99"/>
    <w:rPr>
      <w:b/>
      <w:bCs/>
    </w:rPr>
  </w:style>
  <w:style w:type="paragraph" w:styleId="23">
    <w:name w:val="Body Text First Indent 2"/>
    <w:basedOn w:val="10"/>
    <w:link w:val="51"/>
    <w:unhideWhenUsed/>
    <w:qFormat/>
    <w:uiPriority w:val="99"/>
    <w:pPr>
      <w:widowControl w:val="0"/>
      <w:ind w:left="200" w:leftChars="200" w:firstLine="420" w:firstLineChars="200"/>
    </w:pPr>
    <w:rPr>
      <w:rFonts w:asciiTheme="minorHAnsi" w:hAnsiTheme="minorHAnsi" w:cstheme="minorBidi"/>
      <w:szCs w:val="22"/>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endnote reference"/>
    <w:basedOn w:val="26"/>
    <w:unhideWhenUsed/>
    <w:qFormat/>
    <w:uiPriority w:val="99"/>
    <w:rPr>
      <w:vertAlign w:val="superscript"/>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rPr>
  </w:style>
  <w:style w:type="paragraph" w:customStyle="1" w:styleId="3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32">
    <w:name w:val="页眉 字符"/>
    <w:basedOn w:val="26"/>
    <w:link w:val="17"/>
    <w:qFormat/>
    <w:uiPriority w:val="99"/>
    <w:rPr>
      <w:sz w:val="18"/>
      <w:szCs w:val="18"/>
    </w:rPr>
  </w:style>
  <w:style w:type="character" w:customStyle="1" w:styleId="33">
    <w:name w:val="页脚 字符"/>
    <w:basedOn w:val="26"/>
    <w:link w:val="16"/>
    <w:qFormat/>
    <w:uiPriority w:val="99"/>
    <w:rPr>
      <w:sz w:val="18"/>
      <w:szCs w:val="18"/>
    </w:rPr>
  </w:style>
  <w:style w:type="character" w:customStyle="1" w:styleId="34">
    <w:name w:val="批注框文本 字符"/>
    <w:basedOn w:val="26"/>
    <w:link w:val="15"/>
    <w:semiHidden/>
    <w:qFormat/>
    <w:uiPriority w:val="99"/>
    <w:rPr>
      <w:sz w:val="18"/>
      <w:szCs w:val="18"/>
    </w:rPr>
  </w:style>
  <w:style w:type="paragraph" w:customStyle="1" w:styleId="35">
    <w:name w:val="列出段落1"/>
    <w:basedOn w:val="1"/>
    <w:qFormat/>
    <w:uiPriority w:val="34"/>
    <w:pPr>
      <w:ind w:firstLine="420" w:firstLineChars="200"/>
    </w:pPr>
  </w:style>
  <w:style w:type="character" w:customStyle="1" w:styleId="36">
    <w:name w:val="标题 1 字符"/>
    <w:basedOn w:val="26"/>
    <w:link w:val="3"/>
    <w:qFormat/>
    <w:uiPriority w:val="9"/>
    <w:rPr>
      <w:b/>
      <w:bCs/>
      <w:kern w:val="44"/>
      <w:sz w:val="44"/>
      <w:szCs w:val="44"/>
    </w:r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文字 字符"/>
    <w:basedOn w:val="26"/>
    <w:link w:val="9"/>
    <w:qFormat/>
    <w:uiPriority w:val="99"/>
  </w:style>
  <w:style w:type="character" w:customStyle="1" w:styleId="39">
    <w:name w:val="标题 2 字符"/>
    <w:basedOn w:val="26"/>
    <w:link w:val="4"/>
    <w:qFormat/>
    <w:uiPriority w:val="9"/>
    <w:rPr>
      <w:rFonts w:asciiTheme="majorHAnsi" w:hAnsiTheme="majorHAnsi" w:eastAsiaTheme="majorEastAsia" w:cstheme="majorBidi"/>
      <w:b/>
      <w:bCs/>
      <w:sz w:val="32"/>
      <w:szCs w:val="32"/>
    </w:rPr>
  </w:style>
  <w:style w:type="character" w:customStyle="1" w:styleId="40">
    <w:name w:val="尾注文本 字符"/>
    <w:basedOn w:val="26"/>
    <w:link w:val="14"/>
    <w:semiHidden/>
    <w:qFormat/>
    <w:uiPriority w:val="99"/>
  </w:style>
  <w:style w:type="character" w:customStyle="1" w:styleId="41">
    <w:name w:val="纯文本 字符"/>
    <w:link w:val="12"/>
    <w:qFormat/>
    <w:uiPriority w:val="0"/>
    <w:rPr>
      <w:rFonts w:ascii="宋体" w:hAnsi="Courier New" w:cs="Courier New"/>
      <w:szCs w:val="21"/>
    </w:rPr>
  </w:style>
  <w:style w:type="character" w:customStyle="1" w:styleId="42">
    <w:name w:val="纯文本 Char1"/>
    <w:basedOn w:val="26"/>
    <w:semiHidden/>
    <w:qFormat/>
    <w:uiPriority w:val="99"/>
    <w:rPr>
      <w:rFonts w:ascii="宋体" w:hAnsi="Courier New" w:eastAsia="宋体" w:cs="Courier New"/>
      <w:szCs w:val="21"/>
    </w:rPr>
  </w:style>
  <w:style w:type="character" w:customStyle="1" w:styleId="43">
    <w:name w:val="引用 Char"/>
    <w:basedOn w:val="26"/>
    <w:link w:val="20"/>
    <w:qFormat/>
    <w:uiPriority w:val="29"/>
    <w:rPr>
      <w:i/>
      <w:iCs/>
      <w:color w:val="000000" w:themeColor="text1"/>
      <w14:textFill>
        <w14:solidFill>
          <w14:schemeClr w14:val="tx1"/>
        </w14:solidFill>
      </w14:textFill>
    </w:rPr>
  </w:style>
  <w:style w:type="character" w:customStyle="1" w:styleId="44">
    <w:name w:val="正文缩进 字符"/>
    <w:link w:val="8"/>
    <w:qFormat/>
    <w:uiPriority w:val="0"/>
  </w:style>
  <w:style w:type="character" w:customStyle="1" w:styleId="45">
    <w:name w:val="批注主题 字符"/>
    <w:basedOn w:val="38"/>
    <w:link w:val="22"/>
    <w:semiHidden/>
    <w:qFormat/>
    <w:uiPriority w:val="99"/>
    <w:rPr>
      <w:b/>
      <w:bCs/>
    </w:rPr>
  </w:style>
  <w:style w:type="paragraph" w:customStyle="1" w:styleId="46">
    <w:name w:val="列出段落2"/>
    <w:basedOn w:val="1"/>
    <w:unhideWhenUsed/>
    <w:qFormat/>
    <w:uiPriority w:val="99"/>
    <w:pPr>
      <w:ind w:firstLine="420" w:firstLineChars="200"/>
    </w:pPr>
  </w:style>
  <w:style w:type="paragraph" w:customStyle="1" w:styleId="47">
    <w:name w:val="_Style 1"/>
    <w:qFormat/>
    <w:uiPriority w:val="1"/>
    <w:pPr>
      <w:adjustRightInd w:val="0"/>
      <w:snapToGrid w:val="0"/>
    </w:pPr>
    <w:rPr>
      <w:rFonts w:ascii="Tahoma" w:hAnsi="Tahoma" w:eastAsia="宋体" w:cs="Times New Roman"/>
      <w:sz w:val="22"/>
      <w:szCs w:val="22"/>
      <w:lang w:val="en-US" w:eastAsia="zh-CN" w:bidi="ar-SA"/>
    </w:rPr>
  </w:style>
  <w:style w:type="paragraph" w:styleId="48">
    <w:name w:val="List Paragraph"/>
    <w:basedOn w:val="1"/>
    <w:unhideWhenUsed/>
    <w:qFormat/>
    <w:uiPriority w:val="99"/>
    <w:pPr>
      <w:ind w:firstLine="420" w:firstLineChars="200"/>
    </w:pPr>
  </w:style>
  <w:style w:type="character" w:customStyle="1" w:styleId="49">
    <w:name w:val="正文文本 字符"/>
    <w:basedOn w:val="26"/>
    <w:link w:val="2"/>
    <w:semiHidden/>
    <w:qFormat/>
    <w:uiPriority w:val="99"/>
    <w:rPr>
      <w:rFonts w:asciiTheme="minorHAnsi" w:hAnsiTheme="minorHAnsi" w:eastAsiaTheme="minorEastAsia" w:cstheme="minorBidi"/>
      <w:kern w:val="2"/>
      <w:sz w:val="21"/>
      <w:szCs w:val="22"/>
    </w:rPr>
  </w:style>
  <w:style w:type="character" w:customStyle="1" w:styleId="50">
    <w:name w:val="正文文本缩进 字符"/>
    <w:basedOn w:val="26"/>
    <w:link w:val="10"/>
    <w:qFormat/>
    <w:uiPriority w:val="99"/>
    <w:rPr>
      <w:rFonts w:eastAsiaTheme="minorEastAsia"/>
      <w:kern w:val="2"/>
      <w:sz w:val="21"/>
      <w:szCs w:val="21"/>
    </w:rPr>
  </w:style>
  <w:style w:type="character" w:customStyle="1" w:styleId="51">
    <w:name w:val="正文文本首行缩进 2 字符"/>
    <w:basedOn w:val="50"/>
    <w:link w:val="23"/>
    <w:qFormat/>
    <w:uiPriority w:val="0"/>
    <w:rPr>
      <w:rFonts w:eastAsiaTheme="minorEastAsia"/>
      <w:kern w:val="2"/>
      <w:sz w:val="21"/>
      <w:szCs w:val="21"/>
    </w:rPr>
  </w:style>
  <w:style w:type="paragraph" w:customStyle="1" w:styleId="52">
    <w:name w:val="Table Paragraph"/>
    <w:basedOn w:val="1"/>
    <w:qFormat/>
    <w:uiPriority w:val="1"/>
    <w:pPr>
      <w:autoSpaceDE w:val="0"/>
      <w:autoSpaceDN w:val="0"/>
      <w:jc w:val="left"/>
    </w:pPr>
    <w:rPr>
      <w:rFonts w:ascii="宋体" w:hAnsi="宋体" w:eastAsia="宋体" w:cs="宋体"/>
      <w:kern w:val="0"/>
      <w:sz w:val="22"/>
    </w:rPr>
  </w:style>
  <w:style w:type="paragraph" w:customStyle="1" w:styleId="53">
    <w:name w:val="正文文本 (2)1"/>
    <w:basedOn w:val="1"/>
    <w:qFormat/>
    <w:uiPriority w:val="0"/>
    <w:pPr>
      <w:shd w:val="clear" w:color="auto" w:fill="FFFFFF"/>
      <w:autoSpaceDE w:val="0"/>
      <w:autoSpaceDN w:val="0"/>
      <w:spacing w:line="408" w:lineRule="exact"/>
      <w:ind w:hanging="480"/>
      <w:jc w:val="distribute"/>
    </w:pPr>
    <w:rPr>
      <w:rFonts w:ascii="MingLiU" w:hAnsi="MingLiU" w:eastAsia="MingLiU"/>
      <w:kern w:val="0"/>
      <w:sz w:val="22"/>
    </w:rPr>
  </w:style>
  <w:style w:type="character" w:customStyle="1" w:styleId="54">
    <w:name w:val="日期 字符"/>
    <w:basedOn w:val="26"/>
    <w:link w:val="13"/>
    <w:semiHidden/>
    <w:qFormat/>
    <w:uiPriority w:val="99"/>
    <w:rPr>
      <w:rFonts w:asciiTheme="minorHAnsi" w:hAnsiTheme="minorHAnsi" w:eastAsiaTheme="minorEastAsia" w:cstheme="minorBidi"/>
      <w:kern w:val="2"/>
      <w:sz w:val="21"/>
      <w:szCs w:val="22"/>
    </w:rPr>
  </w:style>
  <w:style w:type="character" w:customStyle="1" w:styleId="55">
    <w:name w:val="标题 4 字符"/>
    <w:basedOn w:val="26"/>
    <w:link w:val="6"/>
    <w:semiHidden/>
    <w:qFormat/>
    <w:uiPriority w:val="9"/>
    <w:rPr>
      <w:rFonts w:asciiTheme="majorHAnsi" w:hAnsiTheme="majorHAnsi" w:eastAsiaTheme="majorEastAsia" w:cstheme="majorBidi"/>
      <w:b/>
      <w:bCs/>
      <w:kern w:val="2"/>
      <w:sz w:val="28"/>
      <w:szCs w:val="28"/>
    </w:rPr>
  </w:style>
  <w:style w:type="paragraph" w:customStyle="1" w:styleId="56">
    <w:name w:val="表格文字"/>
    <w:basedOn w:val="1"/>
    <w:qFormat/>
    <w:uiPriority w:val="0"/>
    <w:pPr>
      <w:spacing w:before="25" w:after="25"/>
      <w:jc w:val="left"/>
    </w:pPr>
    <w:rPr>
      <w:bCs/>
      <w:spacing w:val="10"/>
      <w:kern w:val="0"/>
      <w:sz w:val="24"/>
    </w:rPr>
  </w:style>
  <w:style w:type="paragraph" w:styleId="57">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FD8-021B-47FD-8960-B8BBC642B7DD}">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5947</Words>
  <Characters>33898</Characters>
  <Lines>282</Lines>
  <Paragraphs>79</Paragraphs>
  <TotalTime>3</TotalTime>
  <ScaleCrop>false</ScaleCrop>
  <LinksUpToDate>false</LinksUpToDate>
  <CharactersWithSpaces>39766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Administrator</dc:creator>
  <cp:lastModifiedBy>lenovo</cp:lastModifiedBy>
  <cp:lastPrinted>2021-12-22T02:56:00Z</cp:lastPrinted>
  <dcterms:modified xsi:type="dcterms:W3CDTF">2021-12-29T08:14:40Z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A34CB201882E4CA6BF6266EB2C0E111F</vt:lpwstr>
  </property>
</Properties>
</file>