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color w:val="000000" w:themeColor="text1"/>
          <w:w w:val="120"/>
          <w:sz w:val="52"/>
          <w:szCs w:val="52"/>
          <w14:textFill>
            <w14:solidFill>
              <w14:schemeClr w14:val="tx1"/>
            </w14:solidFill>
          </w14:textFill>
        </w:rPr>
      </w:pPr>
      <w:r>
        <w:rPr>
          <w:rFonts w:hint="eastAsia"/>
          <w:color w:val="000000" w:themeColor="text1"/>
          <w:w w:val="120"/>
          <w:sz w:val="52"/>
          <w:szCs w:val="52"/>
          <w14:textFill>
            <w14:solidFill>
              <w14:schemeClr w14:val="tx1"/>
            </w14:solidFill>
          </w14:textFill>
        </w:rPr>
        <w:t>阳新县县级政府采购</w:t>
      </w:r>
    </w:p>
    <w:p>
      <w:pPr>
        <w:pStyle w:val="9"/>
        <w:adjustRightInd w:val="0"/>
        <w:snapToGrid w:val="0"/>
        <w:spacing w:line="720" w:lineRule="auto"/>
        <w:jc w:val="center"/>
        <w:rPr>
          <w:rFonts w:ascii="黑体" w:hAnsi="黑体" w:eastAsia="黑体" w:cs="Times New Roman"/>
          <w:b/>
          <w:bCs/>
          <w:sz w:val="36"/>
          <w:szCs w:val="24"/>
        </w:rPr>
      </w:pPr>
      <w:r>
        <w:rPr>
          <w:rFonts w:hint="eastAsia" w:ascii="Times New Roman" w:hAnsi="Times New Roman" w:eastAsia="宋体" w:cs="Times New Roman"/>
          <w:snapToGrid w:val="0"/>
          <w:kern w:val="10"/>
          <w:sz w:val="144"/>
          <w:szCs w:val="144"/>
        </w:rPr>
        <w:t>招 标 文 件</w:t>
      </w:r>
    </w:p>
    <w:p>
      <w:pPr>
        <w:spacing w:line="480" w:lineRule="auto"/>
        <w:ind w:left="0" w:leftChars="0" w:firstLine="1478" w:firstLineChars="462"/>
        <w:jc w:val="both"/>
        <w:rPr>
          <w:rFonts w:hint="default" w:eastAsiaTheme="minorEastAsia"/>
          <w:bCs/>
          <w:color w:val="000000" w:themeColor="text1"/>
          <w:sz w:val="32"/>
          <w:szCs w:val="32"/>
          <w:u w:val="single"/>
          <w:lang w:val="en-US" w:eastAsia="zh-CN"/>
          <w14:textFill>
            <w14:solidFill>
              <w14:schemeClr w14:val="tx1"/>
            </w14:solidFill>
          </w14:textFill>
        </w:rPr>
      </w:pPr>
      <w:r>
        <w:rPr>
          <w:rFonts w:hint="eastAsia"/>
          <w:bCs/>
          <w:color w:val="000000" w:themeColor="text1"/>
          <w:sz w:val="32"/>
          <w:szCs w:val="32"/>
          <w14:textFill>
            <w14:solidFill>
              <w14:schemeClr w14:val="tx1"/>
            </w14:solidFill>
          </w14:textFill>
        </w:rPr>
        <w:t>项目编号：</w:t>
      </w:r>
      <w:r>
        <w:rPr>
          <w:rFonts w:hint="eastAsia"/>
          <w:bCs/>
          <w:color w:val="000000" w:themeColor="text1"/>
          <w:sz w:val="32"/>
          <w:szCs w:val="32"/>
          <w:lang w:val="en-US" w:eastAsia="zh-CN"/>
          <w14:textFill>
            <w14:solidFill>
              <w14:schemeClr w14:val="tx1"/>
            </w14:solidFill>
          </w14:textFill>
        </w:rPr>
        <w:t>131-2021CG-254</w:t>
      </w:r>
    </w:p>
    <w:p>
      <w:pPr>
        <w:spacing w:line="480" w:lineRule="auto"/>
        <w:ind w:left="0" w:leftChars="0" w:firstLine="1478" w:firstLineChars="462"/>
        <w:jc w:val="both"/>
        <w:rPr>
          <w:bCs/>
          <w:color w:val="000000" w:themeColor="text1"/>
          <w:sz w:val="32"/>
          <w:szCs w:val="32"/>
          <w:u w:val="single"/>
          <w14:textFill>
            <w14:solidFill>
              <w14:schemeClr w14:val="tx1"/>
            </w14:solidFill>
          </w14:textFill>
        </w:rPr>
      </w:pPr>
      <w:r>
        <w:rPr>
          <w:rFonts w:hint="eastAsia"/>
          <w:bCs/>
          <w:color w:val="000000" w:themeColor="text1"/>
          <w:sz w:val="32"/>
          <w:szCs w:val="32"/>
          <w14:textFill>
            <w14:solidFill>
              <w14:schemeClr w14:val="tx1"/>
            </w14:solidFill>
          </w14:textFill>
        </w:rPr>
        <w:t>采 购 人：</w:t>
      </w:r>
      <w:r>
        <w:rPr>
          <w:rFonts w:hint="eastAsia" w:ascii="Times New Roman" w:hAnsi="Times New Roman" w:cs="Times New Roman"/>
          <w:sz w:val="30"/>
          <w:szCs w:val="30"/>
          <w:lang w:eastAsia="zh-CN"/>
        </w:rPr>
        <w:t>黄石新港（物流）工业园区经济发展局</w:t>
      </w:r>
    </w:p>
    <w:p>
      <w:pPr>
        <w:spacing w:line="480" w:lineRule="auto"/>
        <w:ind w:left="0" w:leftChars="0" w:firstLine="1478" w:firstLineChars="462"/>
        <w:jc w:val="both"/>
        <w:rPr>
          <w:rFonts w:hint="eastAsia"/>
          <w:bCs/>
          <w:color w:val="000000" w:themeColor="text1"/>
          <w:sz w:val="32"/>
          <w:szCs w:val="32"/>
          <w14:textFill>
            <w14:solidFill>
              <w14:schemeClr w14:val="tx1"/>
            </w14:solidFill>
          </w14:textFill>
        </w:rPr>
      </w:pPr>
      <w:r>
        <w:rPr>
          <w:rFonts w:hint="eastAsia"/>
          <w:bCs/>
          <w:color w:val="000000" w:themeColor="text1"/>
          <w:sz w:val="32"/>
          <w:szCs w:val="32"/>
          <w14:textFill>
            <w14:solidFill>
              <w14:schemeClr w14:val="tx1"/>
            </w14:solidFill>
          </w14:textFill>
        </w:rPr>
        <w:t>项目名称：</w:t>
      </w:r>
      <w:r>
        <w:rPr>
          <w:rFonts w:hint="eastAsia" w:ascii="Times New Roman" w:hAnsi="Times New Roman" w:cs="Times New Roman"/>
          <w:sz w:val="30"/>
          <w:szCs w:val="30"/>
          <w:highlight w:val="none"/>
          <w:lang w:eastAsia="zh-CN"/>
        </w:rPr>
        <w:t>黄石新港(物流)工业园区</w:t>
      </w:r>
      <w:r>
        <w:rPr>
          <w:rFonts w:hint="eastAsia" w:ascii="Times New Roman" w:hAnsi="Times New Roman" w:cs="Times New Roman"/>
          <w:sz w:val="30"/>
          <w:szCs w:val="30"/>
          <w:highlight w:val="none"/>
          <w:lang w:val="en-US" w:eastAsia="zh-CN"/>
        </w:rPr>
        <w:t>消防设备采购项目</w:t>
      </w:r>
    </w:p>
    <w:p>
      <w:pPr>
        <w:spacing w:line="480" w:lineRule="auto"/>
        <w:ind w:left="0" w:leftChars="0" w:firstLine="1478" w:firstLineChars="462"/>
        <w:jc w:val="both"/>
        <w:rPr>
          <w:rFonts w:hint="default" w:eastAsiaTheme="minorEastAsia"/>
          <w:bCs/>
          <w:color w:val="000000" w:themeColor="text1"/>
          <w:sz w:val="32"/>
          <w:szCs w:val="32"/>
          <w:u w:val="single"/>
          <w:lang w:val="en-US" w:eastAsia="zh-CN"/>
          <w14:textFill>
            <w14:solidFill>
              <w14:schemeClr w14:val="tx1"/>
            </w14:solidFill>
          </w14:textFill>
        </w:rPr>
      </w:pPr>
      <w:r>
        <w:rPr>
          <w:rFonts w:hint="eastAsia"/>
          <w:bCs/>
          <w:color w:val="000000" w:themeColor="text1"/>
          <w:sz w:val="32"/>
          <w:szCs w:val="32"/>
          <w14:textFill>
            <w14:solidFill>
              <w14:schemeClr w14:val="tx1"/>
            </w14:solidFill>
          </w14:textFill>
        </w:rPr>
        <w:t>采购内容：</w:t>
      </w:r>
      <w:r>
        <w:rPr>
          <w:rFonts w:hint="eastAsia"/>
          <w:bCs/>
          <w:color w:val="000000" w:themeColor="text1"/>
          <w:sz w:val="32"/>
          <w:szCs w:val="32"/>
          <w:lang w:val="en-US" w:eastAsia="zh-CN"/>
          <w14:textFill>
            <w14:solidFill>
              <w14:schemeClr w14:val="tx1"/>
            </w14:solidFill>
          </w14:textFill>
        </w:rPr>
        <w:t>包一：个人防护器材、灭火救援器材</w:t>
      </w:r>
    </w:p>
    <w:p>
      <w:pPr>
        <w:spacing w:line="360" w:lineRule="auto"/>
        <w:ind w:left="2052" w:leftChars="619" w:right="1306" w:rightChars="622" w:hanging="752" w:hangingChars="209"/>
        <w:rPr>
          <w:rFonts w:ascii="宋体" w:hAnsi="宋体" w:eastAsia="宋体" w:cs="Times New Roman"/>
          <w:sz w:val="36"/>
          <w:szCs w:val="36"/>
        </w:rPr>
      </w:pPr>
    </w:p>
    <w:p>
      <w:pPr>
        <w:adjustRightInd w:val="0"/>
        <w:snapToGrid w:val="0"/>
        <w:jc w:val="center"/>
        <w:rPr>
          <w:bCs/>
          <w:snapToGrid w:val="0"/>
          <w:color w:val="000000" w:themeColor="text1"/>
          <w:kern w:val="0"/>
          <w:position w:val="-98"/>
          <w:sz w:val="70"/>
          <w:szCs w:val="70"/>
          <w14:textFill>
            <w14:solidFill>
              <w14:schemeClr w14:val="tx1"/>
            </w14:solidFill>
          </w14:textFill>
        </w:rPr>
      </w:pPr>
      <w:r>
        <w:rPr>
          <w:rFonts w:hint="eastAsia"/>
          <w:bCs/>
          <w:snapToGrid w:val="0"/>
          <w:color w:val="000000" w:themeColor="text1"/>
          <w:kern w:val="0"/>
          <w:position w:val="-98"/>
          <w:sz w:val="70"/>
          <w:szCs w:val="70"/>
          <w14:textFill>
            <w14:solidFill>
              <w14:schemeClr w14:val="tx1"/>
            </w14:solidFill>
          </w14:textFill>
        </w:rPr>
        <w:t>武汉富纳工程咨询有限公司</w:t>
      </w:r>
    </w:p>
    <w:p>
      <w:pPr>
        <w:jc w:val="center"/>
        <w:rPr>
          <w:rFonts w:ascii="黑体" w:hAnsi="黑体" w:eastAsia="黑体"/>
          <w:b/>
          <w:color w:val="FF0000"/>
          <w:sz w:val="44"/>
        </w:rPr>
      </w:pPr>
      <w:r>
        <w:rPr>
          <w:rFonts w:hint="eastAsia"/>
          <w:color w:val="000000" w:themeColor="text1"/>
          <w:sz w:val="32"/>
          <w:szCs w:val="32"/>
          <w14:textFill>
            <w14:solidFill>
              <w14:schemeClr w14:val="tx1"/>
            </w14:solidFill>
          </w14:textFill>
        </w:rPr>
        <w:t>202</w:t>
      </w:r>
      <w:r>
        <w:rPr>
          <w:rFonts w:hint="eastAsia"/>
          <w:color w:val="000000" w:themeColor="text1"/>
          <w:sz w:val="32"/>
          <w:szCs w:val="32"/>
          <w:lang w:val="en-US" w:eastAsia="zh-CN"/>
          <w14:textFill>
            <w14:solidFill>
              <w14:schemeClr w14:val="tx1"/>
            </w14:solidFill>
          </w14:textFill>
        </w:rPr>
        <w:t>1</w:t>
      </w:r>
      <w:r>
        <w:rPr>
          <w:rFonts w:hint="eastAsia"/>
          <w:color w:val="000000" w:themeColor="text1"/>
          <w:sz w:val="32"/>
          <w:szCs w:val="32"/>
          <w:highlight w:val="none"/>
          <w14:textFill>
            <w14:solidFill>
              <w14:schemeClr w14:val="tx1"/>
            </w14:solidFill>
          </w14:textFill>
        </w:rPr>
        <w:t>年</w:t>
      </w:r>
      <w:r>
        <w:rPr>
          <w:rFonts w:hint="eastAsia"/>
          <w:color w:val="000000" w:themeColor="text1"/>
          <w:sz w:val="32"/>
          <w:szCs w:val="32"/>
          <w:highlight w:val="none"/>
          <w:lang w:val="en-US" w:eastAsia="zh-CN"/>
          <w14:textFill>
            <w14:solidFill>
              <w14:schemeClr w14:val="tx1"/>
            </w14:solidFill>
          </w14:textFill>
        </w:rPr>
        <w:t>12</w:t>
      </w:r>
      <w:r>
        <w:rPr>
          <w:rFonts w:hint="eastAsia" w:asciiTheme="minorEastAsia" w:hAnsiTheme="minorEastAsia" w:cstheme="minorEastAsia"/>
          <w:bCs/>
          <w:sz w:val="32"/>
          <w:szCs w:val="32"/>
          <w:highlight w:val="none"/>
        </w:rPr>
        <w:t>月</w:t>
      </w:r>
    </w:p>
    <w:p>
      <w:pPr>
        <w:sectPr>
          <w:headerReference r:id="rId3" w:type="default"/>
          <w:footerReference r:id="rId5" w:type="default"/>
          <w:headerReference r:id="rId4" w:type="even"/>
          <w:footerReference r:id="rId6" w:type="even"/>
          <w:pgSz w:w="11906" w:h="16838"/>
          <w:pgMar w:top="3402" w:right="1191" w:bottom="1134" w:left="1191" w:header="680" w:footer="680" w:gutter="0"/>
          <w:cols w:space="425" w:num="1"/>
          <w:docGrid w:type="lines" w:linePitch="312" w:charSpace="0"/>
        </w:sectPr>
      </w:pPr>
    </w:p>
    <w:p>
      <w:pPr>
        <w:spacing w:beforeLines="100"/>
        <w:jc w:val="center"/>
        <w:rPr>
          <w:rFonts w:ascii="黑体" w:hAnsi="黑体" w:eastAsia="黑体"/>
          <w:sz w:val="44"/>
          <w:szCs w:val="44"/>
        </w:rPr>
      </w:pPr>
      <w:r>
        <w:rPr>
          <w:rFonts w:hint="eastAsia" w:ascii="黑体" w:hAnsi="黑体" w:eastAsia="黑体"/>
          <w:sz w:val="44"/>
          <w:szCs w:val="44"/>
        </w:rPr>
        <w:t>目   录</w:t>
      </w:r>
    </w:p>
    <w:sdt>
      <w:sdtPr>
        <w:rPr>
          <w:lang w:val="zh-CN"/>
        </w:rPr>
        <w:id w:val="1482579200"/>
      </w:sdtPr>
      <w:sdtEndPr>
        <w:rPr>
          <w:b w:val="0"/>
          <w:bCs/>
          <w:lang w:val="zh-CN"/>
        </w:rPr>
      </w:sdtEndPr>
      <w:sdtContent>
        <w:p>
          <w:pPr>
            <w:pStyle w:val="14"/>
            <w:tabs>
              <w:tab w:val="left" w:pos="1260"/>
              <w:tab w:val="right" w:leader="dot" w:pos="9514"/>
            </w:tabs>
            <w:rPr>
              <w:rFonts w:eastAsiaTheme="minorEastAsia"/>
              <w:b w:val="0"/>
              <w:iCs w:val="0"/>
              <w:color w:val="auto"/>
              <w:kern w:val="2"/>
              <w:sz w:val="21"/>
            </w:rPr>
          </w:pPr>
          <w:r>
            <w:fldChar w:fldCharType="begin"/>
          </w:r>
          <w:r>
            <w:instrText xml:space="preserve"> TOC \o "1-2" \h \z \u </w:instrText>
          </w:r>
          <w:r>
            <w:fldChar w:fldCharType="separate"/>
          </w:r>
          <w:r>
            <w:fldChar w:fldCharType="begin"/>
          </w:r>
          <w:r>
            <w:instrText xml:space="preserve"> HYPERLINK \l "_Toc495861517" </w:instrText>
          </w:r>
          <w:r>
            <w:fldChar w:fldCharType="separate"/>
          </w:r>
          <w:r>
            <w:rPr>
              <w:rStyle w:val="26"/>
              <w:rFonts w:hint="eastAsia" w:ascii="黑体" w:hAnsi="黑体"/>
            </w:rPr>
            <w:t>第一章</w:t>
          </w:r>
          <w:r>
            <w:rPr>
              <w:rFonts w:eastAsiaTheme="minorEastAsia"/>
              <w:b w:val="0"/>
              <w:iCs w:val="0"/>
              <w:color w:val="auto"/>
              <w:kern w:val="2"/>
              <w:sz w:val="21"/>
            </w:rPr>
            <w:tab/>
          </w:r>
          <w:r>
            <w:rPr>
              <w:rStyle w:val="26"/>
              <w:rFonts w:hint="eastAsia" w:ascii="黑体" w:hAnsi="黑体"/>
            </w:rPr>
            <w:t>投标邀请书</w:t>
          </w:r>
          <w:r>
            <w:tab/>
          </w:r>
          <w:r>
            <w:fldChar w:fldCharType="begin"/>
          </w:r>
          <w:r>
            <w:instrText xml:space="preserve"> PAGEREF _Toc495861517 \h </w:instrText>
          </w:r>
          <w:r>
            <w:fldChar w:fldCharType="separate"/>
          </w:r>
          <w:r>
            <w:t>4</w:t>
          </w:r>
          <w:r>
            <w:fldChar w:fldCharType="end"/>
          </w:r>
          <w:r>
            <w:fldChar w:fldCharType="end"/>
          </w:r>
        </w:p>
        <w:p>
          <w:pPr>
            <w:pStyle w:val="14"/>
            <w:tabs>
              <w:tab w:val="left" w:pos="1260"/>
              <w:tab w:val="right" w:leader="dot" w:pos="9514"/>
            </w:tabs>
            <w:rPr>
              <w:rFonts w:eastAsiaTheme="minorEastAsia"/>
              <w:b w:val="0"/>
              <w:iCs w:val="0"/>
              <w:color w:val="auto"/>
              <w:kern w:val="2"/>
              <w:sz w:val="21"/>
            </w:rPr>
          </w:pPr>
          <w:r>
            <w:fldChar w:fldCharType="begin"/>
          </w:r>
          <w:r>
            <w:instrText xml:space="preserve"> HYPERLINK \l "_Toc495861518" </w:instrText>
          </w:r>
          <w:r>
            <w:fldChar w:fldCharType="separate"/>
          </w:r>
          <w:r>
            <w:rPr>
              <w:rStyle w:val="26"/>
              <w:rFonts w:hint="eastAsia" w:ascii="黑体" w:hAnsi="黑体"/>
            </w:rPr>
            <w:t>第二章</w:t>
          </w:r>
          <w:r>
            <w:rPr>
              <w:rFonts w:eastAsiaTheme="minorEastAsia"/>
              <w:b w:val="0"/>
              <w:iCs w:val="0"/>
              <w:color w:val="auto"/>
              <w:kern w:val="2"/>
              <w:sz w:val="21"/>
            </w:rPr>
            <w:tab/>
          </w:r>
          <w:r>
            <w:rPr>
              <w:rStyle w:val="26"/>
              <w:rFonts w:hint="eastAsia" w:ascii="黑体" w:hAnsi="黑体"/>
            </w:rPr>
            <w:t>投标人须知</w:t>
          </w:r>
          <w:r>
            <w:tab/>
          </w:r>
          <w:r>
            <w:fldChar w:fldCharType="begin"/>
          </w:r>
          <w:r>
            <w:instrText xml:space="preserve"> PAGEREF _Toc495861518 \h </w:instrText>
          </w:r>
          <w:r>
            <w:fldChar w:fldCharType="separate"/>
          </w:r>
          <w:r>
            <w:t>8</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"_Toc495861519" </w:instrText>
          </w:r>
          <w:r>
            <w:fldChar w:fldCharType="separate"/>
          </w:r>
          <w:r>
            <w:rPr>
              <w:rStyle w:val="26"/>
              <w:rFonts w:hint="eastAsia" w:cs="Times New Roman" w:asciiTheme="majorEastAsia" w:hAnsiTheme="majorEastAsia" w:eastAsiaTheme="majorEastAsia"/>
              <w:b/>
              <w:bCs/>
              <w:lang w:val="zh-CN"/>
            </w:rPr>
            <w:t>投标须知前附表</w:t>
          </w:r>
          <w:r>
            <w:tab/>
          </w:r>
          <w:r>
            <w:fldChar w:fldCharType="begin"/>
          </w:r>
          <w:r>
            <w:instrText xml:space="preserve"> PAGEREF _Toc495861519 \h </w:instrText>
          </w:r>
          <w:r>
            <w:fldChar w:fldCharType="separate"/>
          </w:r>
          <w:r>
            <w:t>8</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"_Toc495861520" </w:instrText>
          </w:r>
          <w:r>
            <w:fldChar w:fldCharType="separate"/>
          </w:r>
          <w:r>
            <w:rPr>
              <w:rStyle w:val="26"/>
              <w:rFonts w:hint="eastAsia" w:cs="Times New Roman" w:asciiTheme="majorEastAsia" w:hAnsiTheme="majorEastAsia"/>
              <w:lang w:val="zh-CN"/>
            </w:rPr>
            <w:t>一、</w:t>
          </w:r>
          <w:r>
            <w:rPr>
              <w:rFonts w:asciiTheme="minorHAnsi" w:hAnsiTheme="minorHAnsi"/>
              <w:iCs w:val="0"/>
              <w:color w:val="auto"/>
              <w:kern w:val="2"/>
              <w:sz w:val="21"/>
            </w:rPr>
            <w:tab/>
          </w:r>
          <w:r>
            <w:rPr>
              <w:rStyle w:val="26"/>
              <w:rFonts w:hint="eastAsia" w:cs="Times New Roman" w:asciiTheme="majorEastAsia" w:hAnsiTheme="majorEastAsia"/>
              <w:lang w:val="zh-CN"/>
            </w:rPr>
            <w:t>说明</w:t>
          </w:r>
          <w:r>
            <w:tab/>
          </w:r>
          <w:r>
            <w:t>……………………………………………………………………………………</w:t>
          </w:r>
          <w:r>
            <w:rPr>
              <w:rFonts w:hint="eastAsia"/>
            </w:rPr>
            <w:t>.</w:t>
          </w:r>
          <w:r>
            <w:fldChar w:fldCharType="begin"/>
          </w:r>
          <w:r>
            <w:instrText xml:space="preserve"> PAGEREF _Toc495861520 \h </w:instrText>
          </w:r>
          <w:r>
            <w:fldChar w:fldCharType="separate"/>
          </w:r>
          <w:r>
            <w:t>9</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"_Toc495861521" </w:instrText>
          </w:r>
          <w:r>
            <w:fldChar w:fldCharType="separate"/>
          </w:r>
          <w:r>
            <w:rPr>
              <w:rStyle w:val="26"/>
              <w:rFonts w:hint="eastAsia" w:cs="Times New Roman" w:asciiTheme="majorEastAsia" w:hAnsiTheme="majorEastAsia"/>
              <w:lang w:val="zh-CN"/>
            </w:rPr>
            <w:t>二、</w:t>
          </w:r>
          <w:r>
            <w:rPr>
              <w:rFonts w:asciiTheme="minorHAnsi" w:hAnsiTheme="minorHAnsi"/>
              <w:iCs w:val="0"/>
              <w:color w:val="auto"/>
              <w:kern w:val="2"/>
              <w:sz w:val="21"/>
            </w:rPr>
            <w:tab/>
          </w:r>
          <w:r>
            <w:rPr>
              <w:rStyle w:val="26"/>
              <w:rFonts w:hint="eastAsia" w:cs="Times New Roman" w:asciiTheme="majorEastAsia" w:hAnsiTheme="majorEastAsia"/>
              <w:lang w:val="zh-CN"/>
            </w:rPr>
            <w:t>招标文件</w:t>
          </w:r>
          <w:r>
            <w:tab/>
          </w:r>
          <w:r>
            <w:fldChar w:fldCharType="begin"/>
          </w:r>
          <w:r>
            <w:instrText xml:space="preserve"> PAGEREF _Toc495861521 \h </w:instrText>
          </w:r>
          <w:r>
            <w:fldChar w:fldCharType="separate"/>
          </w:r>
          <w:r>
            <w:t>10</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"_Toc495861522" </w:instrText>
          </w:r>
          <w:r>
            <w:fldChar w:fldCharType="separate"/>
          </w:r>
          <w:r>
            <w:rPr>
              <w:rStyle w:val="26"/>
              <w:rFonts w:hint="eastAsia" w:cs="Times New Roman" w:asciiTheme="majorEastAsia" w:hAnsiTheme="majorEastAsia"/>
              <w:lang w:val="zh-CN"/>
            </w:rPr>
            <w:t>三、</w:t>
          </w:r>
          <w:r>
            <w:rPr>
              <w:rFonts w:asciiTheme="minorHAnsi" w:hAnsiTheme="minorHAnsi"/>
              <w:iCs w:val="0"/>
              <w:color w:val="auto"/>
              <w:kern w:val="2"/>
              <w:sz w:val="21"/>
            </w:rPr>
            <w:tab/>
          </w:r>
          <w:r>
            <w:rPr>
              <w:rStyle w:val="26"/>
              <w:rFonts w:hint="eastAsia" w:cs="Times New Roman" w:asciiTheme="majorEastAsia" w:hAnsiTheme="majorEastAsia"/>
              <w:lang w:val="zh-CN"/>
            </w:rPr>
            <w:t>投标文件</w:t>
          </w:r>
          <w:r>
            <w:tab/>
          </w:r>
          <w:r>
            <w:fldChar w:fldCharType="begin"/>
          </w:r>
          <w:r>
            <w:instrText xml:space="preserve"> PAGEREF _Toc495861522 \h </w:instrText>
          </w:r>
          <w:r>
            <w:fldChar w:fldCharType="separate"/>
          </w:r>
          <w:r>
            <w:t>11</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"_Toc495861523" </w:instrText>
          </w:r>
          <w:r>
            <w:fldChar w:fldCharType="separate"/>
          </w:r>
          <w:r>
            <w:rPr>
              <w:rStyle w:val="26"/>
              <w:rFonts w:hint="eastAsia" w:cs="Times New Roman" w:asciiTheme="majorEastAsia" w:hAnsiTheme="majorEastAsia"/>
              <w:lang w:val="zh-CN"/>
            </w:rPr>
            <w:t>四、</w:t>
          </w:r>
          <w:r>
            <w:rPr>
              <w:rFonts w:asciiTheme="minorHAnsi" w:hAnsiTheme="minorHAnsi"/>
              <w:iCs w:val="0"/>
              <w:color w:val="auto"/>
              <w:kern w:val="2"/>
              <w:sz w:val="21"/>
            </w:rPr>
            <w:tab/>
          </w:r>
          <w:r>
            <w:rPr>
              <w:rStyle w:val="26"/>
              <w:rFonts w:hint="eastAsia" w:cs="Times New Roman" w:asciiTheme="majorEastAsia" w:hAnsiTheme="majorEastAsia"/>
              <w:lang w:val="zh-CN"/>
            </w:rPr>
            <w:t>开标与评标</w:t>
          </w:r>
          <w:r>
            <w:tab/>
          </w:r>
          <w:r>
            <w:fldChar w:fldCharType="begin"/>
          </w:r>
          <w:r>
            <w:instrText xml:space="preserve"> PAGEREF _Toc495861523 \h </w:instrText>
          </w:r>
          <w:r>
            <w:fldChar w:fldCharType="separate"/>
          </w:r>
          <w:r>
            <w:t>16</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"_Toc495861524" </w:instrText>
          </w:r>
          <w:r>
            <w:fldChar w:fldCharType="separate"/>
          </w:r>
          <w:r>
            <w:rPr>
              <w:rStyle w:val="26"/>
              <w:rFonts w:hint="eastAsia" w:cs="Times New Roman" w:asciiTheme="majorEastAsia" w:hAnsiTheme="majorEastAsia"/>
              <w:lang w:val="zh-CN"/>
            </w:rPr>
            <w:t>五、</w:t>
          </w:r>
          <w:r>
            <w:rPr>
              <w:rFonts w:asciiTheme="minorHAnsi" w:hAnsiTheme="minorHAnsi"/>
              <w:iCs w:val="0"/>
              <w:color w:val="auto"/>
              <w:kern w:val="2"/>
              <w:sz w:val="21"/>
            </w:rPr>
            <w:tab/>
          </w:r>
          <w:r>
            <w:rPr>
              <w:rStyle w:val="26"/>
              <w:rFonts w:hint="eastAsia" w:cs="Times New Roman" w:asciiTheme="majorEastAsia" w:hAnsiTheme="majorEastAsia"/>
              <w:lang w:val="zh-CN"/>
            </w:rPr>
            <w:t>投标人信用信息及查询</w:t>
          </w:r>
          <w:r>
            <w:tab/>
          </w:r>
          <w:r>
            <w:fldChar w:fldCharType="begin"/>
          </w:r>
          <w:r>
            <w:instrText xml:space="preserve"> PAGEREF _Toc495861524 \h </w:instrText>
          </w:r>
          <w:r>
            <w:fldChar w:fldCharType="separate"/>
          </w:r>
          <w:r>
            <w:t>18</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"_Toc495861525" </w:instrText>
          </w:r>
          <w:r>
            <w:fldChar w:fldCharType="separate"/>
          </w:r>
          <w:r>
            <w:rPr>
              <w:rStyle w:val="26"/>
              <w:rFonts w:hint="eastAsia" w:cs="Times New Roman" w:asciiTheme="majorEastAsia" w:hAnsiTheme="majorEastAsia"/>
              <w:lang w:val="zh-CN"/>
            </w:rPr>
            <w:t>六、</w:t>
          </w:r>
          <w:r>
            <w:rPr>
              <w:rFonts w:asciiTheme="minorHAnsi" w:hAnsiTheme="minorHAnsi"/>
              <w:iCs w:val="0"/>
              <w:color w:val="auto"/>
              <w:kern w:val="2"/>
              <w:sz w:val="21"/>
            </w:rPr>
            <w:tab/>
          </w:r>
          <w:r>
            <w:rPr>
              <w:rStyle w:val="26"/>
              <w:rFonts w:hint="eastAsia" w:cs="Times New Roman" w:asciiTheme="majorEastAsia" w:hAnsiTheme="majorEastAsia"/>
              <w:lang w:val="zh-CN"/>
            </w:rPr>
            <w:t>中标与合同</w:t>
          </w:r>
          <w:r>
            <w:tab/>
          </w:r>
          <w:r>
            <w:fldChar w:fldCharType="begin"/>
          </w:r>
          <w:r>
            <w:instrText xml:space="preserve"> PAGEREF _Toc495861525 \h </w:instrText>
          </w:r>
          <w:r>
            <w:fldChar w:fldCharType="separate"/>
          </w:r>
          <w:r>
            <w:t>18</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"_Toc495861526" </w:instrText>
          </w:r>
          <w:r>
            <w:fldChar w:fldCharType="separate"/>
          </w:r>
          <w:r>
            <w:rPr>
              <w:rStyle w:val="26"/>
              <w:rFonts w:hint="eastAsia" w:cs="Times New Roman" w:asciiTheme="majorEastAsia" w:hAnsiTheme="majorEastAsia"/>
              <w:lang w:val="zh-CN"/>
            </w:rPr>
            <w:t>七、</w:t>
          </w:r>
          <w:r>
            <w:rPr>
              <w:rFonts w:asciiTheme="minorHAnsi" w:hAnsiTheme="minorHAnsi"/>
              <w:iCs w:val="0"/>
              <w:color w:val="auto"/>
              <w:kern w:val="2"/>
              <w:sz w:val="21"/>
            </w:rPr>
            <w:tab/>
          </w:r>
          <w:r>
            <w:rPr>
              <w:rStyle w:val="26"/>
              <w:rFonts w:hint="eastAsia" w:cs="Times New Roman" w:asciiTheme="majorEastAsia" w:hAnsiTheme="majorEastAsia"/>
              <w:lang w:val="zh-CN"/>
            </w:rPr>
            <w:t>采购信息公告</w:t>
          </w:r>
          <w:r>
            <w:tab/>
          </w:r>
          <w:r>
            <w:fldChar w:fldCharType="begin"/>
          </w:r>
          <w:r>
            <w:instrText xml:space="preserve"> PAGEREF _Toc495861526 \h </w:instrText>
          </w:r>
          <w:r>
            <w:fldChar w:fldCharType="separate"/>
          </w:r>
          <w:r>
            <w:t>19</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"_Toc495861527" </w:instrText>
          </w:r>
          <w:r>
            <w:fldChar w:fldCharType="separate"/>
          </w:r>
          <w:r>
            <w:rPr>
              <w:rStyle w:val="26"/>
              <w:rFonts w:hint="eastAsia" w:cs="Times New Roman" w:asciiTheme="majorEastAsia" w:hAnsiTheme="majorEastAsia"/>
              <w:lang w:val="zh-CN"/>
            </w:rPr>
            <w:t>八、</w:t>
          </w:r>
          <w:r>
            <w:rPr>
              <w:rFonts w:asciiTheme="minorHAnsi" w:hAnsiTheme="minorHAnsi"/>
              <w:iCs w:val="0"/>
              <w:color w:val="auto"/>
              <w:kern w:val="2"/>
              <w:sz w:val="21"/>
            </w:rPr>
            <w:tab/>
          </w:r>
          <w:r>
            <w:rPr>
              <w:rStyle w:val="26"/>
              <w:rFonts w:hint="eastAsia" w:cs="Times New Roman" w:asciiTheme="majorEastAsia" w:hAnsiTheme="majorEastAsia"/>
              <w:lang w:val="zh-CN"/>
            </w:rPr>
            <w:t>质疑及提交</w:t>
          </w:r>
          <w:r>
            <w:tab/>
          </w:r>
          <w:r>
            <w:fldChar w:fldCharType="begin"/>
          </w:r>
          <w:r>
            <w:instrText xml:space="preserve"> PAGEREF _Toc495861527 \h </w:instrText>
          </w:r>
          <w:r>
            <w:fldChar w:fldCharType="separate"/>
          </w:r>
          <w:r>
            <w:t>20</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"_Toc495861528" </w:instrText>
          </w:r>
          <w:r>
            <w:fldChar w:fldCharType="separate"/>
          </w:r>
          <w:r>
            <w:rPr>
              <w:rStyle w:val="26"/>
              <w:rFonts w:hint="eastAsia" w:cs="Times New Roman" w:asciiTheme="majorEastAsia" w:hAnsiTheme="majorEastAsia"/>
              <w:lang w:val="zh-CN"/>
            </w:rPr>
            <w:t>九、</w:t>
          </w:r>
          <w:r>
            <w:rPr>
              <w:rFonts w:asciiTheme="minorHAnsi" w:hAnsiTheme="minorHAnsi"/>
              <w:iCs w:val="0"/>
              <w:color w:val="auto"/>
              <w:kern w:val="2"/>
              <w:sz w:val="21"/>
            </w:rPr>
            <w:tab/>
          </w:r>
          <w:r>
            <w:rPr>
              <w:rStyle w:val="26"/>
              <w:rFonts w:hint="eastAsia" w:cs="Times New Roman" w:asciiTheme="majorEastAsia" w:hAnsiTheme="majorEastAsia"/>
              <w:lang w:val="zh-CN"/>
            </w:rPr>
            <w:t>相关条文解读</w:t>
          </w:r>
          <w:r>
            <w:tab/>
          </w:r>
          <w:r>
            <w:fldChar w:fldCharType="begin"/>
          </w:r>
          <w:r>
            <w:instrText xml:space="preserve"> PAGEREF _Toc495861528 \h </w:instrText>
          </w:r>
          <w:r>
            <w:fldChar w:fldCharType="separate"/>
          </w:r>
          <w:r>
            <w:t>20</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"_Toc495861529" </w:instrText>
          </w:r>
          <w:r>
            <w:fldChar w:fldCharType="separate"/>
          </w:r>
          <w:r>
            <w:rPr>
              <w:rStyle w:val="26"/>
              <w:rFonts w:hint="eastAsia" w:cs="Times New Roman" w:asciiTheme="majorEastAsia" w:hAnsiTheme="majorEastAsia"/>
              <w:lang w:val="zh-CN"/>
            </w:rPr>
            <w:t>十、</w:t>
          </w:r>
          <w:r>
            <w:rPr>
              <w:rFonts w:asciiTheme="minorHAnsi" w:hAnsiTheme="minorHAnsi"/>
              <w:iCs w:val="0"/>
              <w:color w:val="auto"/>
              <w:kern w:val="2"/>
              <w:sz w:val="21"/>
            </w:rPr>
            <w:tab/>
          </w:r>
          <w:r>
            <w:rPr>
              <w:rStyle w:val="26"/>
              <w:rFonts w:hint="eastAsia" w:cs="Times New Roman" w:asciiTheme="majorEastAsia" w:hAnsiTheme="majorEastAsia"/>
              <w:lang w:val="zh-CN"/>
            </w:rPr>
            <w:t>其他注意事项</w:t>
          </w:r>
          <w:r>
            <w:tab/>
          </w:r>
          <w:r>
            <w:fldChar w:fldCharType="begin"/>
          </w:r>
          <w:r>
            <w:instrText xml:space="preserve"> PAGEREF _Toc495861529 \h </w:instrText>
          </w:r>
          <w:r>
            <w:fldChar w:fldCharType="separate"/>
          </w:r>
          <w:r>
            <w:t>21</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"_Toc495861530" </w:instrText>
          </w:r>
          <w:r>
            <w:fldChar w:fldCharType="separate"/>
          </w:r>
          <w:r>
            <w:rPr>
              <w:rStyle w:val="26"/>
              <w:rFonts w:hint="eastAsia" w:cs="Times New Roman" w:asciiTheme="majorEastAsia" w:hAnsiTheme="majorEastAsia"/>
              <w:lang w:val="zh-CN"/>
            </w:rPr>
            <w:t>十一、</w:t>
          </w:r>
          <w:r>
            <w:rPr>
              <w:rFonts w:asciiTheme="minorHAnsi" w:hAnsiTheme="minorHAnsi"/>
              <w:iCs w:val="0"/>
              <w:color w:val="auto"/>
              <w:kern w:val="2"/>
              <w:sz w:val="21"/>
            </w:rPr>
            <w:tab/>
          </w:r>
          <w:r>
            <w:rPr>
              <w:rStyle w:val="26"/>
              <w:rFonts w:hint="eastAsia" w:cs="Times New Roman" w:asciiTheme="majorEastAsia" w:hAnsiTheme="majorEastAsia"/>
              <w:lang w:val="zh-CN"/>
            </w:rPr>
            <w:t>适用法律</w:t>
          </w:r>
          <w:r>
            <w:tab/>
          </w:r>
          <w:r>
            <w:fldChar w:fldCharType="begin"/>
          </w:r>
          <w:r>
            <w:instrText xml:space="preserve"> PAGEREF _Toc495861530 \h </w:instrText>
          </w:r>
          <w:r>
            <w:fldChar w:fldCharType="separate"/>
          </w:r>
          <w:r>
            <w:t>21</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"_Toc495861531" </w:instrText>
          </w:r>
          <w:r>
            <w:fldChar w:fldCharType="separate"/>
          </w:r>
          <w:r>
            <w:rPr>
              <w:rStyle w:val="26"/>
              <w:rFonts w:hint="eastAsia" w:cs="Times New Roman" w:asciiTheme="majorEastAsia" w:hAnsiTheme="majorEastAsia"/>
              <w:lang w:val="zh-CN"/>
            </w:rPr>
            <w:t>十二、</w:t>
          </w:r>
          <w:r>
            <w:rPr>
              <w:rFonts w:asciiTheme="minorHAnsi" w:hAnsiTheme="minorHAnsi"/>
              <w:iCs w:val="0"/>
              <w:color w:val="auto"/>
              <w:kern w:val="2"/>
              <w:sz w:val="21"/>
            </w:rPr>
            <w:tab/>
          </w:r>
          <w:r>
            <w:rPr>
              <w:rStyle w:val="26"/>
              <w:rFonts w:hint="eastAsia" w:cs="Times New Roman" w:asciiTheme="majorEastAsia" w:hAnsiTheme="majorEastAsia"/>
              <w:lang w:val="zh-CN"/>
            </w:rPr>
            <w:t>招标文件的解释权</w:t>
          </w:r>
          <w:r>
            <w:tab/>
          </w:r>
          <w:r>
            <w:fldChar w:fldCharType="begin"/>
          </w:r>
          <w:r>
            <w:instrText xml:space="preserve"> PAGEREF _Toc495861531 \h </w:instrText>
          </w:r>
          <w:r>
            <w:fldChar w:fldCharType="separate"/>
          </w:r>
          <w:r>
            <w:t>21</w:t>
          </w:r>
          <w:r>
            <w:fldChar w:fldCharType="end"/>
          </w:r>
          <w:r>
            <w:fldChar w:fldCharType="end"/>
          </w:r>
        </w:p>
        <w:p>
          <w:pPr>
            <w:pStyle w:val="14"/>
            <w:tabs>
              <w:tab w:val="left" w:pos="1260"/>
              <w:tab w:val="right" w:leader="dot" w:pos="9514"/>
            </w:tabs>
            <w:rPr>
              <w:rFonts w:eastAsiaTheme="minorEastAsia"/>
              <w:b w:val="0"/>
              <w:iCs w:val="0"/>
              <w:color w:val="auto"/>
              <w:kern w:val="2"/>
              <w:sz w:val="21"/>
            </w:rPr>
          </w:pPr>
          <w:r>
            <w:fldChar w:fldCharType="begin"/>
          </w:r>
          <w:r>
            <w:instrText xml:space="preserve"> HYPERLINK \l "_Toc495861532" </w:instrText>
          </w:r>
          <w:r>
            <w:fldChar w:fldCharType="separate"/>
          </w:r>
          <w:r>
            <w:rPr>
              <w:rStyle w:val="26"/>
              <w:rFonts w:hint="eastAsia" w:ascii="黑体" w:hAnsi="黑体"/>
            </w:rPr>
            <w:t>第三章</w:t>
          </w:r>
          <w:r>
            <w:rPr>
              <w:rFonts w:eastAsiaTheme="minorEastAsia"/>
              <w:b w:val="0"/>
              <w:iCs w:val="0"/>
              <w:color w:val="auto"/>
              <w:kern w:val="2"/>
              <w:sz w:val="21"/>
            </w:rPr>
            <w:tab/>
          </w:r>
          <w:r>
            <w:rPr>
              <w:rStyle w:val="26"/>
              <w:rFonts w:hint="eastAsia" w:ascii="黑体" w:hAnsi="黑体"/>
            </w:rPr>
            <w:t>项目技术、服务及商务要求</w:t>
          </w:r>
          <w:r>
            <w:tab/>
          </w:r>
          <w:r>
            <w:fldChar w:fldCharType="begin"/>
          </w:r>
          <w:r>
            <w:instrText xml:space="preserve"> PAGEREF _Toc495861532 \h </w:instrText>
          </w:r>
          <w:r>
            <w:fldChar w:fldCharType="separate"/>
          </w:r>
          <w:r>
            <w:t>22</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"_Toc495861533" </w:instrText>
          </w:r>
          <w:r>
            <w:fldChar w:fldCharType="separate"/>
          </w:r>
          <w:r>
            <w:rPr>
              <w:rStyle w:val="26"/>
              <w:rFonts w:hint="eastAsia" w:cs="Times New Roman" w:asciiTheme="majorEastAsia" w:hAnsiTheme="majorEastAsia"/>
              <w:lang w:val="zh-CN"/>
            </w:rPr>
            <w:t>一、</w:t>
          </w:r>
          <w:r>
            <w:rPr>
              <w:rFonts w:asciiTheme="minorHAnsi" w:hAnsiTheme="minorHAnsi"/>
              <w:iCs w:val="0"/>
              <w:color w:val="auto"/>
              <w:kern w:val="2"/>
              <w:sz w:val="21"/>
            </w:rPr>
            <w:tab/>
          </w:r>
          <w:r>
            <w:rPr>
              <w:rStyle w:val="26"/>
              <w:rFonts w:hint="eastAsia" w:cs="Times New Roman" w:asciiTheme="majorEastAsia" w:hAnsiTheme="majorEastAsia"/>
              <w:lang w:val="zh-CN"/>
            </w:rPr>
            <w:t>采购清单</w:t>
          </w:r>
          <w:r>
            <w:tab/>
          </w:r>
          <w:r>
            <w:fldChar w:fldCharType="begin"/>
          </w:r>
          <w:r>
            <w:instrText xml:space="preserve"> PAGEREF _Toc495861533 \h </w:instrText>
          </w:r>
          <w:r>
            <w:fldChar w:fldCharType="separate"/>
          </w:r>
          <w:r>
            <w:t>22</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"_Toc495861534" </w:instrText>
          </w:r>
          <w:r>
            <w:fldChar w:fldCharType="separate"/>
          </w:r>
          <w:r>
            <w:rPr>
              <w:rStyle w:val="26"/>
              <w:rFonts w:hint="eastAsia" w:cs="Times New Roman" w:asciiTheme="majorEastAsia" w:hAnsiTheme="majorEastAsia"/>
              <w:lang w:val="zh-CN"/>
            </w:rPr>
            <w:t>二、</w:t>
          </w:r>
          <w:r>
            <w:rPr>
              <w:rFonts w:asciiTheme="minorHAnsi" w:hAnsiTheme="minorHAnsi"/>
              <w:iCs w:val="0"/>
              <w:color w:val="auto"/>
              <w:kern w:val="2"/>
              <w:sz w:val="21"/>
            </w:rPr>
            <w:tab/>
          </w:r>
          <w:r>
            <w:rPr>
              <w:rStyle w:val="26"/>
              <w:rFonts w:hint="eastAsia" w:cs="Times New Roman" w:asciiTheme="majorEastAsia" w:hAnsiTheme="majorEastAsia"/>
              <w:lang w:val="zh-CN"/>
            </w:rPr>
            <w:t>概述及简介</w:t>
          </w:r>
          <w:r>
            <w:tab/>
          </w:r>
          <w:r>
            <w:fldChar w:fldCharType="begin"/>
          </w:r>
          <w:r>
            <w:instrText xml:space="preserve"> PAGEREF _Toc495861534 \h </w:instrText>
          </w:r>
          <w:r>
            <w:fldChar w:fldCharType="separate"/>
          </w:r>
          <w:r>
            <w:rPr>
              <w:rFonts w:hint="eastAsia"/>
              <w:b/>
              <w:lang w:val="en-US" w:eastAsia="zh-CN"/>
            </w:rPr>
            <w:t>22</w:t>
          </w:r>
          <w:r>
            <w:rPr>
              <w:b/>
            </w:rPr>
            <w:t>。</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"_Toc495861535" </w:instrText>
          </w:r>
          <w:r>
            <w:fldChar w:fldCharType="separate"/>
          </w:r>
          <w:r>
            <w:rPr>
              <w:rStyle w:val="26"/>
              <w:rFonts w:hint="eastAsia" w:cs="Times New Roman" w:asciiTheme="majorEastAsia" w:hAnsiTheme="majorEastAsia"/>
              <w:lang w:val="zh-CN"/>
            </w:rPr>
            <w:t>三、</w:t>
          </w:r>
          <w:r>
            <w:rPr>
              <w:rFonts w:asciiTheme="minorHAnsi" w:hAnsiTheme="minorHAnsi"/>
              <w:iCs w:val="0"/>
              <w:color w:val="auto"/>
              <w:kern w:val="2"/>
              <w:sz w:val="21"/>
            </w:rPr>
            <w:tab/>
          </w:r>
          <w:r>
            <w:rPr>
              <w:rStyle w:val="26"/>
              <w:rFonts w:hint="eastAsia" w:cs="Times New Roman" w:asciiTheme="majorEastAsia" w:hAnsiTheme="majorEastAsia"/>
              <w:lang w:val="zh-CN"/>
            </w:rPr>
            <w:t>国家相关行政主管部门颁布的强制标准、规范</w:t>
          </w:r>
          <w:r>
            <w:tab/>
          </w:r>
          <w:r>
            <w:fldChar w:fldCharType="begin"/>
          </w:r>
          <w:r>
            <w:instrText xml:space="preserve"> PAGEREF _Toc495861535 \h </w:instrText>
          </w:r>
          <w:r>
            <w:fldChar w:fldCharType="separate"/>
          </w:r>
          <w:r>
            <w:rPr>
              <w:rFonts w:hint="eastAsia"/>
              <w:b/>
              <w:lang w:val="en-US" w:eastAsia="zh-CN"/>
            </w:rPr>
            <w:t>22</w:t>
          </w:r>
          <w:r>
            <w:rPr>
              <w:b/>
            </w:rPr>
            <w:t>。</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"_Toc495861536" </w:instrText>
          </w:r>
          <w:r>
            <w:fldChar w:fldCharType="separate"/>
          </w:r>
          <w:r>
            <w:rPr>
              <w:rStyle w:val="26"/>
              <w:rFonts w:hint="eastAsia" w:cs="Times New Roman" w:asciiTheme="majorEastAsia" w:hAnsiTheme="majorEastAsia"/>
              <w:lang w:val="zh-CN"/>
            </w:rPr>
            <w:t>四、</w:t>
          </w:r>
          <w:r>
            <w:rPr>
              <w:rFonts w:asciiTheme="minorHAnsi" w:hAnsiTheme="minorHAnsi"/>
              <w:iCs w:val="0"/>
              <w:color w:val="auto"/>
              <w:kern w:val="2"/>
              <w:sz w:val="21"/>
            </w:rPr>
            <w:tab/>
          </w:r>
          <w:r>
            <w:rPr>
              <w:rStyle w:val="26"/>
              <w:rFonts w:hint="eastAsia" w:cs="Times New Roman" w:asciiTheme="majorEastAsia" w:hAnsiTheme="majorEastAsia"/>
              <w:lang w:val="zh-CN"/>
            </w:rPr>
            <w:t>技术、服务要求</w:t>
          </w:r>
          <w:r>
            <w:tab/>
          </w:r>
          <w:r>
            <w:fldChar w:fldCharType="begin"/>
          </w:r>
          <w:r>
            <w:instrText xml:space="preserve"> PAGEREF _Toc495861536 \h </w:instrText>
          </w:r>
          <w:r>
            <w:fldChar w:fldCharType="separate"/>
          </w:r>
          <w:r>
            <w:rPr>
              <w:rFonts w:hint="eastAsia"/>
              <w:b/>
              <w:lang w:val="en-US" w:eastAsia="zh-CN"/>
            </w:rPr>
            <w:t>22</w:t>
          </w:r>
          <w:r>
            <w:rPr>
              <w:b/>
            </w:rPr>
            <w:t>。</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"_Toc495861537" </w:instrText>
          </w:r>
          <w:r>
            <w:fldChar w:fldCharType="separate"/>
          </w:r>
          <w:r>
            <w:rPr>
              <w:rStyle w:val="26"/>
              <w:rFonts w:hint="eastAsia" w:cs="Times New Roman" w:asciiTheme="majorEastAsia" w:hAnsiTheme="majorEastAsia"/>
              <w:lang w:val="zh-CN"/>
            </w:rPr>
            <w:t>五、</w:t>
          </w:r>
          <w:r>
            <w:rPr>
              <w:rFonts w:asciiTheme="minorHAnsi" w:hAnsiTheme="minorHAnsi"/>
              <w:iCs w:val="0"/>
              <w:color w:val="auto"/>
              <w:kern w:val="2"/>
              <w:sz w:val="21"/>
            </w:rPr>
            <w:tab/>
          </w:r>
          <w:r>
            <w:rPr>
              <w:rStyle w:val="26"/>
              <w:rFonts w:hint="eastAsia" w:cs="Times New Roman" w:asciiTheme="majorEastAsia" w:hAnsiTheme="majorEastAsia"/>
              <w:lang w:val="zh-CN"/>
            </w:rPr>
            <w:t>商务要求</w:t>
          </w:r>
          <w:r>
            <w:tab/>
          </w:r>
          <w:r>
            <w:fldChar w:fldCharType="begin"/>
          </w:r>
          <w:r>
            <w:instrText xml:space="preserve"> PAGEREF _Toc495861537 \h </w:instrText>
          </w:r>
          <w:r>
            <w:fldChar w:fldCharType="separate"/>
          </w:r>
          <w:r>
            <w:t>66</w:t>
          </w:r>
          <w:r>
            <w:fldChar w:fldCharType="end"/>
          </w:r>
          <w:r>
            <w:fldChar w:fldCharType="end"/>
          </w:r>
        </w:p>
        <w:p>
          <w:pPr>
            <w:pStyle w:val="14"/>
            <w:tabs>
              <w:tab w:val="left" w:pos="1260"/>
              <w:tab w:val="right" w:leader="dot" w:pos="9514"/>
            </w:tabs>
            <w:rPr>
              <w:rFonts w:eastAsiaTheme="minorEastAsia"/>
              <w:b w:val="0"/>
              <w:iCs w:val="0"/>
              <w:color w:val="auto"/>
              <w:kern w:val="2"/>
              <w:sz w:val="21"/>
            </w:rPr>
          </w:pPr>
          <w:r>
            <w:fldChar w:fldCharType="begin"/>
          </w:r>
          <w:r>
            <w:instrText xml:space="preserve"> HYPERLINK \l "_Toc495861538" </w:instrText>
          </w:r>
          <w:r>
            <w:fldChar w:fldCharType="separate"/>
          </w:r>
          <w:r>
            <w:rPr>
              <w:rStyle w:val="26"/>
              <w:rFonts w:hint="eastAsia" w:ascii="黑体" w:hAnsi="黑体"/>
            </w:rPr>
            <w:t>第四章</w:t>
          </w:r>
          <w:r>
            <w:rPr>
              <w:rFonts w:eastAsiaTheme="minorEastAsia"/>
              <w:b w:val="0"/>
              <w:iCs w:val="0"/>
              <w:color w:val="auto"/>
              <w:kern w:val="2"/>
              <w:sz w:val="21"/>
            </w:rPr>
            <w:tab/>
          </w:r>
          <w:r>
            <w:rPr>
              <w:rStyle w:val="26"/>
              <w:rFonts w:hint="eastAsia" w:ascii="黑体" w:hAnsi="黑体"/>
            </w:rPr>
            <w:t>资格审查方法及标准</w:t>
          </w:r>
          <w:r>
            <w:tab/>
          </w:r>
          <w:r>
            <w:fldChar w:fldCharType="begin"/>
          </w:r>
          <w:r>
            <w:instrText xml:space="preserve"> PAGEREF _Toc495861538 \h </w:instrText>
          </w:r>
          <w:r>
            <w:fldChar w:fldCharType="separate"/>
          </w:r>
          <w:r>
            <w:t>67</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"_Toc495861539" </w:instrText>
          </w:r>
          <w:r>
            <w:fldChar w:fldCharType="separate"/>
          </w:r>
          <w:r>
            <w:rPr>
              <w:rStyle w:val="26"/>
              <w:rFonts w:hint="eastAsia" w:cs="Times New Roman" w:asciiTheme="majorEastAsia" w:hAnsiTheme="majorEastAsia"/>
              <w:lang w:val="zh-CN"/>
            </w:rPr>
            <w:t>一、</w:t>
          </w:r>
          <w:r>
            <w:rPr>
              <w:rFonts w:asciiTheme="minorHAnsi" w:hAnsiTheme="minorHAnsi"/>
              <w:iCs w:val="0"/>
              <w:color w:val="auto"/>
              <w:kern w:val="2"/>
              <w:sz w:val="21"/>
            </w:rPr>
            <w:tab/>
          </w:r>
          <w:r>
            <w:rPr>
              <w:rStyle w:val="26"/>
              <w:rFonts w:hint="eastAsia" w:cs="Times New Roman" w:asciiTheme="majorEastAsia" w:hAnsiTheme="majorEastAsia"/>
              <w:lang w:val="zh-CN"/>
            </w:rPr>
            <w:t>资格审查方法</w:t>
          </w:r>
          <w:r>
            <w:tab/>
          </w:r>
          <w:r>
            <w:fldChar w:fldCharType="begin"/>
          </w:r>
          <w:r>
            <w:instrText xml:space="preserve"> PAGEREF _Toc495861539 \h </w:instrText>
          </w:r>
          <w:r>
            <w:fldChar w:fldCharType="separate"/>
          </w:r>
          <w:r>
            <w:t>67</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"_Toc495861540" </w:instrText>
          </w:r>
          <w:r>
            <w:fldChar w:fldCharType="separate"/>
          </w:r>
          <w:r>
            <w:rPr>
              <w:rStyle w:val="26"/>
              <w:rFonts w:hint="eastAsia" w:cs="Times New Roman" w:asciiTheme="majorEastAsia" w:hAnsiTheme="majorEastAsia"/>
              <w:lang w:val="zh-CN"/>
            </w:rPr>
            <w:t>二、</w:t>
          </w:r>
          <w:r>
            <w:rPr>
              <w:rFonts w:asciiTheme="minorHAnsi" w:hAnsiTheme="minorHAnsi"/>
              <w:iCs w:val="0"/>
              <w:color w:val="auto"/>
              <w:kern w:val="2"/>
              <w:sz w:val="21"/>
            </w:rPr>
            <w:tab/>
          </w:r>
          <w:r>
            <w:rPr>
              <w:rStyle w:val="26"/>
              <w:rFonts w:hint="eastAsia" w:cs="Times New Roman" w:asciiTheme="majorEastAsia" w:hAnsiTheme="majorEastAsia"/>
              <w:lang w:val="zh-CN"/>
            </w:rPr>
            <w:t>资格审查标准</w:t>
          </w:r>
          <w:r>
            <w:tab/>
          </w:r>
          <w:r>
            <w:fldChar w:fldCharType="begin"/>
          </w:r>
          <w:r>
            <w:instrText xml:space="preserve"> PAGEREF _Toc495861540 \h </w:instrText>
          </w:r>
          <w:r>
            <w:fldChar w:fldCharType="separate"/>
          </w:r>
          <w:r>
            <w:t>67</w:t>
          </w:r>
          <w:r>
            <w:fldChar w:fldCharType="end"/>
          </w:r>
          <w:r>
            <w:fldChar w:fldCharType="end"/>
          </w:r>
        </w:p>
        <w:p>
          <w:pPr>
            <w:pStyle w:val="14"/>
            <w:tabs>
              <w:tab w:val="left" w:pos="1260"/>
              <w:tab w:val="right" w:leader="dot" w:pos="9514"/>
            </w:tabs>
            <w:rPr>
              <w:rFonts w:eastAsiaTheme="minorEastAsia"/>
              <w:b w:val="0"/>
              <w:iCs w:val="0"/>
              <w:color w:val="auto"/>
              <w:kern w:val="2"/>
              <w:sz w:val="21"/>
            </w:rPr>
          </w:pPr>
          <w:r>
            <w:fldChar w:fldCharType="begin"/>
          </w:r>
          <w:r>
            <w:instrText xml:space="preserve"> HYPERLINK \l "_Toc495861541" </w:instrText>
          </w:r>
          <w:r>
            <w:fldChar w:fldCharType="separate"/>
          </w:r>
          <w:r>
            <w:rPr>
              <w:rStyle w:val="26"/>
              <w:rFonts w:hint="eastAsia" w:ascii="黑体" w:hAnsi="黑体"/>
            </w:rPr>
            <w:t>第五章</w:t>
          </w:r>
          <w:r>
            <w:rPr>
              <w:rFonts w:eastAsiaTheme="minorEastAsia"/>
              <w:b w:val="0"/>
              <w:iCs w:val="0"/>
              <w:color w:val="auto"/>
              <w:kern w:val="2"/>
              <w:sz w:val="21"/>
            </w:rPr>
            <w:tab/>
          </w:r>
          <w:r>
            <w:rPr>
              <w:rStyle w:val="26"/>
              <w:rFonts w:hint="eastAsia" w:ascii="黑体" w:hAnsi="黑体"/>
            </w:rPr>
            <w:t>评标方法、程序及标准</w:t>
          </w:r>
          <w:r>
            <w:tab/>
          </w:r>
          <w:r>
            <w:fldChar w:fldCharType="begin"/>
          </w:r>
          <w:r>
            <w:instrText xml:space="preserve"> PAGEREF _Toc495861541 \h </w:instrText>
          </w:r>
          <w:r>
            <w:fldChar w:fldCharType="separate"/>
          </w:r>
          <w:r>
            <w:t>69</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"_Toc495861542" </w:instrText>
          </w:r>
          <w:r>
            <w:fldChar w:fldCharType="separate"/>
          </w:r>
          <w:r>
            <w:rPr>
              <w:rStyle w:val="26"/>
              <w:rFonts w:hint="eastAsia" w:cs="Times New Roman" w:asciiTheme="majorEastAsia" w:hAnsiTheme="majorEastAsia"/>
              <w:lang w:val="zh-CN"/>
            </w:rPr>
            <w:t>一、</w:t>
          </w:r>
          <w:r>
            <w:rPr>
              <w:rFonts w:asciiTheme="minorHAnsi" w:hAnsiTheme="minorHAnsi"/>
              <w:iCs w:val="0"/>
              <w:color w:val="auto"/>
              <w:kern w:val="2"/>
              <w:sz w:val="21"/>
            </w:rPr>
            <w:tab/>
          </w:r>
          <w:r>
            <w:rPr>
              <w:rStyle w:val="26"/>
              <w:rFonts w:hint="eastAsia" w:cs="Times New Roman" w:asciiTheme="majorEastAsia" w:hAnsiTheme="majorEastAsia"/>
              <w:lang w:val="zh-CN"/>
            </w:rPr>
            <w:t>评标方法</w:t>
          </w:r>
          <w:r>
            <w:tab/>
          </w:r>
          <w:r>
            <w:fldChar w:fldCharType="begin"/>
          </w:r>
          <w:r>
            <w:instrText xml:space="preserve"> PAGEREF _Toc495861542 \h </w:instrText>
          </w:r>
          <w:r>
            <w:fldChar w:fldCharType="separate"/>
          </w:r>
          <w:r>
            <w:t>69</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"_Toc495861543" </w:instrText>
          </w:r>
          <w:r>
            <w:fldChar w:fldCharType="separate"/>
          </w:r>
          <w:r>
            <w:rPr>
              <w:rStyle w:val="26"/>
              <w:rFonts w:hint="eastAsia" w:cs="Times New Roman" w:asciiTheme="majorEastAsia" w:hAnsiTheme="majorEastAsia"/>
              <w:lang w:val="zh-CN"/>
            </w:rPr>
            <w:t>二、</w:t>
          </w:r>
          <w:r>
            <w:rPr>
              <w:rFonts w:asciiTheme="minorHAnsi" w:hAnsiTheme="minorHAnsi"/>
              <w:iCs w:val="0"/>
              <w:color w:val="auto"/>
              <w:kern w:val="2"/>
              <w:sz w:val="21"/>
            </w:rPr>
            <w:tab/>
          </w:r>
          <w:r>
            <w:rPr>
              <w:rStyle w:val="26"/>
              <w:rFonts w:hint="eastAsia" w:cs="Times New Roman" w:asciiTheme="majorEastAsia" w:hAnsiTheme="majorEastAsia"/>
              <w:lang w:val="zh-CN"/>
            </w:rPr>
            <w:t>评标程序及标准</w:t>
          </w:r>
          <w:r>
            <w:tab/>
          </w:r>
          <w:r>
            <w:fldChar w:fldCharType="begin"/>
          </w:r>
          <w:r>
            <w:instrText xml:space="preserve"> PAGEREF _Toc495861543 \h </w:instrText>
          </w:r>
          <w:r>
            <w:fldChar w:fldCharType="separate"/>
          </w:r>
          <w:r>
            <w:t>69</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"_Toc495861544" </w:instrText>
          </w:r>
          <w:r>
            <w:fldChar w:fldCharType="separate"/>
          </w:r>
          <w:r>
            <w:rPr>
              <w:rStyle w:val="26"/>
              <w:rFonts w:hint="eastAsia" w:cs="Times New Roman" w:asciiTheme="majorEastAsia" w:hAnsiTheme="majorEastAsia"/>
              <w:lang w:val="zh-CN"/>
            </w:rPr>
            <w:t>三、</w:t>
          </w:r>
          <w:r>
            <w:rPr>
              <w:rFonts w:asciiTheme="minorHAnsi" w:hAnsiTheme="minorHAnsi"/>
              <w:iCs w:val="0"/>
              <w:color w:val="auto"/>
              <w:kern w:val="2"/>
              <w:sz w:val="21"/>
            </w:rPr>
            <w:tab/>
          </w:r>
          <w:r>
            <w:rPr>
              <w:rStyle w:val="26"/>
              <w:rFonts w:hint="eastAsia" w:cs="Times New Roman" w:asciiTheme="majorEastAsia" w:hAnsiTheme="majorEastAsia"/>
              <w:lang w:val="zh-CN"/>
            </w:rPr>
            <w:t>评审因素及评分标准</w:t>
          </w:r>
          <w:r>
            <w:tab/>
          </w:r>
          <w:r>
            <w:fldChar w:fldCharType="begin"/>
          </w:r>
          <w:r>
            <w:instrText xml:space="preserve"> PAGEREF _Toc495861544 \h </w:instrText>
          </w:r>
          <w:r>
            <w:fldChar w:fldCharType="separate"/>
          </w:r>
          <w:r>
            <w:t>72</w:t>
          </w:r>
          <w:r>
            <w:fldChar w:fldCharType="end"/>
          </w:r>
          <w:r>
            <w:fldChar w:fldCharType="end"/>
          </w:r>
        </w:p>
        <w:p>
          <w:pPr>
            <w:pStyle w:val="14"/>
            <w:tabs>
              <w:tab w:val="left" w:pos="1260"/>
              <w:tab w:val="right" w:leader="dot" w:pos="9514"/>
            </w:tabs>
            <w:rPr>
              <w:rFonts w:eastAsiaTheme="minorEastAsia"/>
              <w:b w:val="0"/>
              <w:iCs w:val="0"/>
              <w:color w:val="auto"/>
              <w:kern w:val="2"/>
              <w:sz w:val="21"/>
            </w:rPr>
          </w:pPr>
          <w:r>
            <w:fldChar w:fldCharType="begin"/>
          </w:r>
          <w:r>
            <w:instrText xml:space="preserve"> HYPERLINK \l "_Toc495861545" </w:instrText>
          </w:r>
          <w:r>
            <w:fldChar w:fldCharType="separate"/>
          </w:r>
          <w:r>
            <w:rPr>
              <w:rStyle w:val="26"/>
              <w:rFonts w:hint="eastAsia" w:ascii="黑体" w:hAnsi="黑体"/>
            </w:rPr>
            <w:t>第六章</w:t>
          </w:r>
          <w:r>
            <w:rPr>
              <w:rFonts w:eastAsiaTheme="minorEastAsia"/>
              <w:b w:val="0"/>
              <w:iCs w:val="0"/>
              <w:color w:val="auto"/>
              <w:kern w:val="2"/>
              <w:sz w:val="21"/>
            </w:rPr>
            <w:tab/>
          </w:r>
          <w:r>
            <w:rPr>
              <w:rStyle w:val="26"/>
              <w:rFonts w:hint="eastAsia" w:ascii="黑体" w:hAnsi="黑体"/>
            </w:rPr>
            <w:t>合同书格式（参考）</w:t>
          </w:r>
          <w:r>
            <w:tab/>
          </w:r>
          <w:r>
            <w:fldChar w:fldCharType="begin"/>
          </w:r>
          <w:r>
            <w:instrText xml:space="preserve"> PAGEREF _Toc495861545 \h </w:instrText>
          </w:r>
          <w:r>
            <w:fldChar w:fldCharType="separate"/>
          </w:r>
          <w:r>
            <w:t>74</w:t>
          </w:r>
          <w:r>
            <w:fldChar w:fldCharType="end"/>
          </w:r>
          <w:r>
            <w:fldChar w:fldCharType="end"/>
          </w:r>
        </w:p>
        <w:p>
          <w:pPr>
            <w:pStyle w:val="14"/>
            <w:tabs>
              <w:tab w:val="left" w:pos="1260"/>
              <w:tab w:val="right" w:leader="dot" w:pos="9514"/>
            </w:tabs>
            <w:rPr>
              <w:rFonts w:eastAsiaTheme="minorEastAsia"/>
              <w:b w:val="0"/>
              <w:iCs w:val="0"/>
              <w:color w:val="auto"/>
              <w:kern w:val="2"/>
              <w:sz w:val="21"/>
            </w:rPr>
          </w:pPr>
          <w:r>
            <w:fldChar w:fldCharType="begin"/>
          </w:r>
          <w:r>
            <w:instrText xml:space="preserve"> HYPERLINK \l "_Toc495861546" </w:instrText>
          </w:r>
          <w:r>
            <w:fldChar w:fldCharType="separate"/>
          </w:r>
          <w:r>
            <w:rPr>
              <w:rStyle w:val="26"/>
              <w:rFonts w:hint="eastAsia" w:ascii="黑体" w:hAnsi="黑体"/>
            </w:rPr>
            <w:t>第七章</w:t>
          </w:r>
          <w:r>
            <w:rPr>
              <w:rFonts w:eastAsiaTheme="minorEastAsia"/>
              <w:b w:val="0"/>
              <w:iCs w:val="0"/>
              <w:color w:val="auto"/>
              <w:kern w:val="2"/>
              <w:sz w:val="21"/>
            </w:rPr>
            <w:tab/>
          </w:r>
          <w:r>
            <w:rPr>
              <w:rStyle w:val="26"/>
              <w:rFonts w:hint="eastAsia" w:ascii="黑体" w:hAnsi="黑体"/>
            </w:rPr>
            <w:t>投标文件格式（参考）</w:t>
          </w:r>
          <w:r>
            <w:tab/>
          </w:r>
          <w:r>
            <w:fldChar w:fldCharType="begin"/>
          </w:r>
          <w:r>
            <w:instrText xml:space="preserve"> PAGEREF _Toc495861546 \h </w:instrText>
          </w:r>
          <w:r>
            <w:fldChar w:fldCharType="separate"/>
          </w:r>
          <w:r>
            <w:t>77</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"_Toc495861547" </w:instrText>
          </w:r>
          <w:r>
            <w:fldChar w:fldCharType="separate"/>
          </w:r>
          <w:r>
            <w:rPr>
              <w:rStyle w:val="26"/>
              <w:rFonts w:hint="eastAsia" w:cs="Times New Roman" w:asciiTheme="majorEastAsia" w:hAnsiTheme="majorEastAsia"/>
              <w:lang w:val="zh-CN"/>
            </w:rPr>
            <w:t>第一部分资格证明文件</w:t>
          </w:r>
          <w:r>
            <w:tab/>
          </w:r>
          <w:r>
            <w:fldChar w:fldCharType="begin"/>
          </w:r>
          <w:r>
            <w:instrText xml:space="preserve"> PAGEREF _Toc495861547 \h </w:instrText>
          </w:r>
          <w:r>
            <w:fldChar w:fldCharType="separate"/>
          </w:r>
          <w:r>
            <w:t>77</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"_Toc495861548" </w:instrText>
          </w:r>
          <w:r>
            <w:fldChar w:fldCharType="separate"/>
          </w:r>
          <w:r>
            <w:rPr>
              <w:rStyle w:val="26"/>
              <w:rFonts w:hint="eastAsia" w:cs="Times New Roman" w:asciiTheme="majorEastAsia" w:hAnsiTheme="majorEastAsia"/>
              <w:lang w:val="zh-CN"/>
            </w:rPr>
            <w:t>第二部分商务文件</w:t>
          </w:r>
          <w:r>
            <w:tab/>
          </w:r>
          <w:r>
            <w:fldChar w:fldCharType="begin"/>
          </w:r>
          <w:r>
            <w:instrText xml:space="preserve"> PAGEREF _Toc495861548 \h </w:instrText>
          </w:r>
          <w:r>
            <w:fldChar w:fldCharType="separate"/>
          </w:r>
          <w:r>
            <w:t>79</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"_Toc495861549" </w:instrText>
          </w:r>
          <w:r>
            <w:fldChar w:fldCharType="separate"/>
          </w:r>
          <w:r>
            <w:rPr>
              <w:rStyle w:val="26"/>
              <w:rFonts w:hint="eastAsia" w:cs="Times New Roman" w:asciiTheme="majorEastAsia" w:hAnsiTheme="majorEastAsia"/>
              <w:lang w:val="zh-CN"/>
            </w:rPr>
            <w:t>第三部分技术、服务文件</w:t>
          </w:r>
          <w:r>
            <w:tab/>
          </w:r>
          <w:r>
            <w:fldChar w:fldCharType="begin"/>
          </w:r>
          <w:r>
            <w:instrText xml:space="preserve"> PAGEREF _Toc495861549 \h </w:instrText>
          </w:r>
          <w:r>
            <w:fldChar w:fldCharType="separate"/>
          </w:r>
          <w:r>
            <w:t>81</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"_Toc495861550" </w:instrText>
          </w:r>
          <w:r>
            <w:fldChar w:fldCharType="separate"/>
          </w:r>
          <w:r>
            <w:rPr>
              <w:rStyle w:val="26"/>
              <w:rFonts w:hint="eastAsia" w:eastAsia="宋体"/>
            </w:rPr>
            <w:t>附件一、</w:t>
          </w:r>
          <w:r>
            <w:rPr>
              <w:rFonts w:asciiTheme="minorHAnsi" w:hAnsiTheme="minorHAnsi"/>
              <w:iCs w:val="0"/>
              <w:color w:val="auto"/>
              <w:kern w:val="2"/>
              <w:sz w:val="21"/>
            </w:rPr>
            <w:tab/>
          </w:r>
          <w:r>
            <w:rPr>
              <w:rStyle w:val="26"/>
              <w:rFonts w:hint="eastAsia" w:eastAsia="宋体"/>
            </w:rPr>
            <w:t>投标书</w:t>
          </w:r>
          <w:r>
            <w:tab/>
          </w:r>
          <w:r>
            <w:fldChar w:fldCharType="begin"/>
          </w:r>
          <w:r>
            <w:instrText xml:space="preserve"> PAGEREF _Toc495861550 \h </w:instrText>
          </w:r>
          <w:r>
            <w:fldChar w:fldCharType="separate"/>
          </w:r>
          <w:r>
            <w:t>83</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"_Toc495861551" </w:instrText>
          </w:r>
          <w:r>
            <w:fldChar w:fldCharType="separate"/>
          </w:r>
          <w:r>
            <w:rPr>
              <w:rStyle w:val="26"/>
              <w:rFonts w:hint="eastAsia" w:eastAsia="宋体"/>
            </w:rPr>
            <w:t>附件二、</w:t>
          </w:r>
          <w:r>
            <w:rPr>
              <w:rFonts w:asciiTheme="minorHAnsi" w:hAnsiTheme="minorHAnsi"/>
              <w:iCs w:val="0"/>
              <w:color w:val="auto"/>
              <w:kern w:val="2"/>
              <w:sz w:val="21"/>
            </w:rPr>
            <w:tab/>
          </w:r>
          <w:r>
            <w:rPr>
              <w:rStyle w:val="26"/>
              <w:rFonts w:hint="eastAsia" w:eastAsia="宋体"/>
            </w:rPr>
            <w:t>制造商中小企业声明函</w:t>
          </w:r>
          <w:r>
            <w:tab/>
          </w:r>
          <w:r>
            <w:fldChar w:fldCharType="begin"/>
          </w:r>
          <w:r>
            <w:instrText xml:space="preserve"> PAGEREF _Toc495861551 \h </w:instrText>
          </w:r>
          <w:r>
            <w:fldChar w:fldCharType="separate"/>
          </w:r>
          <w:r>
            <w:t>84</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"_Toc495861552" </w:instrText>
          </w:r>
          <w:r>
            <w:fldChar w:fldCharType="separate"/>
          </w:r>
          <w:r>
            <w:rPr>
              <w:rStyle w:val="26"/>
              <w:rFonts w:hint="eastAsia" w:eastAsia="宋体"/>
            </w:rPr>
            <w:t>附件三、</w:t>
          </w:r>
          <w:r>
            <w:rPr>
              <w:rFonts w:asciiTheme="minorHAnsi" w:hAnsiTheme="minorHAnsi"/>
              <w:iCs w:val="0"/>
              <w:color w:val="auto"/>
              <w:kern w:val="2"/>
              <w:sz w:val="21"/>
            </w:rPr>
            <w:tab/>
          </w:r>
          <w:r>
            <w:rPr>
              <w:rStyle w:val="26"/>
              <w:rFonts w:hint="eastAsia" w:eastAsia="宋体"/>
            </w:rPr>
            <w:t>中小企业声明函</w:t>
          </w:r>
          <w:r>
            <w:tab/>
          </w:r>
          <w:r>
            <w:fldChar w:fldCharType="begin"/>
          </w:r>
          <w:r>
            <w:instrText xml:space="preserve"> PAGEREF _Toc495861552 \h </w:instrText>
          </w:r>
          <w:r>
            <w:fldChar w:fldCharType="separate"/>
          </w:r>
          <w:r>
            <w:t>85</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"_Toc495861553" </w:instrText>
          </w:r>
          <w:r>
            <w:fldChar w:fldCharType="separate"/>
          </w:r>
          <w:r>
            <w:rPr>
              <w:rStyle w:val="26"/>
              <w:rFonts w:hint="eastAsia" w:eastAsia="宋体"/>
            </w:rPr>
            <w:t>附件四、</w:t>
          </w:r>
          <w:r>
            <w:rPr>
              <w:rFonts w:asciiTheme="minorHAnsi" w:hAnsiTheme="minorHAnsi"/>
              <w:iCs w:val="0"/>
              <w:color w:val="auto"/>
              <w:kern w:val="2"/>
              <w:sz w:val="21"/>
            </w:rPr>
            <w:tab/>
          </w:r>
          <w:r>
            <w:rPr>
              <w:rStyle w:val="26"/>
              <w:rFonts w:hint="eastAsia" w:eastAsia="宋体"/>
            </w:rPr>
            <w:t>残疾人福利性单位声明函</w:t>
          </w:r>
          <w:r>
            <w:tab/>
          </w:r>
          <w:r>
            <w:fldChar w:fldCharType="begin"/>
          </w:r>
          <w:r>
            <w:instrText xml:space="preserve"> PAGEREF _Toc495861553 \h </w:instrText>
          </w:r>
          <w:r>
            <w:fldChar w:fldCharType="separate"/>
          </w:r>
          <w:r>
            <w:t>87</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"_Toc495861554" </w:instrText>
          </w:r>
          <w:r>
            <w:fldChar w:fldCharType="separate"/>
          </w:r>
          <w:r>
            <w:rPr>
              <w:rStyle w:val="26"/>
              <w:rFonts w:hint="eastAsia" w:eastAsia="宋体"/>
            </w:rPr>
            <w:t>附件五、</w:t>
          </w:r>
          <w:r>
            <w:rPr>
              <w:rFonts w:asciiTheme="minorHAnsi" w:hAnsiTheme="minorHAnsi"/>
              <w:iCs w:val="0"/>
              <w:color w:val="auto"/>
              <w:kern w:val="2"/>
              <w:sz w:val="21"/>
            </w:rPr>
            <w:tab/>
          </w:r>
          <w:r>
            <w:rPr>
              <w:rStyle w:val="26"/>
              <w:rFonts w:hint="eastAsia" w:eastAsia="宋体"/>
            </w:rPr>
            <w:t>开标一览表</w:t>
          </w:r>
          <w:r>
            <w:tab/>
          </w:r>
          <w:r>
            <w:fldChar w:fldCharType="begin"/>
          </w:r>
          <w:r>
            <w:instrText xml:space="preserve"> PAGEREF _Toc495861554 \h </w:instrText>
          </w:r>
          <w:r>
            <w:fldChar w:fldCharType="separate"/>
          </w:r>
          <w:r>
            <w:t>90</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"_Toc495861555" </w:instrText>
          </w:r>
          <w:r>
            <w:fldChar w:fldCharType="separate"/>
          </w:r>
          <w:r>
            <w:rPr>
              <w:rStyle w:val="26"/>
              <w:rFonts w:hint="eastAsia" w:eastAsia="宋体"/>
            </w:rPr>
            <w:t>附件六、</w:t>
          </w:r>
          <w:r>
            <w:rPr>
              <w:rFonts w:asciiTheme="minorHAnsi" w:hAnsiTheme="minorHAnsi"/>
              <w:iCs w:val="0"/>
              <w:color w:val="auto"/>
              <w:kern w:val="2"/>
              <w:sz w:val="21"/>
            </w:rPr>
            <w:tab/>
          </w:r>
          <w:r>
            <w:rPr>
              <w:rStyle w:val="26"/>
              <w:rFonts w:hint="eastAsia" w:eastAsia="宋体"/>
            </w:rPr>
            <w:t>投标报价明细表</w:t>
          </w:r>
          <w:r>
            <w:tab/>
          </w:r>
          <w:r>
            <w:fldChar w:fldCharType="begin"/>
          </w:r>
          <w:r>
            <w:instrText xml:space="preserve"> PAGEREF _Toc495861555 \h </w:instrText>
          </w:r>
          <w:r>
            <w:fldChar w:fldCharType="separate"/>
          </w:r>
          <w:r>
            <w:t>91</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"_Toc495861556" </w:instrText>
          </w:r>
          <w:r>
            <w:fldChar w:fldCharType="separate"/>
          </w:r>
          <w:r>
            <w:rPr>
              <w:rStyle w:val="26"/>
              <w:rFonts w:hint="eastAsia" w:eastAsia="宋体"/>
            </w:rPr>
            <w:t>附件七、</w:t>
          </w:r>
          <w:r>
            <w:rPr>
              <w:rFonts w:asciiTheme="minorHAnsi" w:hAnsiTheme="minorHAnsi"/>
              <w:iCs w:val="0"/>
              <w:color w:val="auto"/>
              <w:kern w:val="2"/>
              <w:sz w:val="21"/>
            </w:rPr>
            <w:tab/>
          </w:r>
          <w:r>
            <w:rPr>
              <w:rStyle w:val="26"/>
              <w:rFonts w:hint="eastAsia" w:eastAsia="宋体"/>
            </w:rPr>
            <w:t>小型和微型企业、监狱企业、残疾人福利性单位货物汇总表</w:t>
          </w:r>
          <w:r>
            <w:tab/>
          </w:r>
          <w:r>
            <w:fldChar w:fldCharType="begin"/>
          </w:r>
          <w:r>
            <w:instrText xml:space="preserve"> PAGEREF _Toc495861556 \h </w:instrText>
          </w:r>
          <w:r>
            <w:fldChar w:fldCharType="separate"/>
          </w:r>
          <w:r>
            <w:t>92</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"_Toc495861557" </w:instrText>
          </w:r>
          <w:r>
            <w:fldChar w:fldCharType="separate"/>
          </w:r>
          <w:r>
            <w:rPr>
              <w:rStyle w:val="26"/>
              <w:rFonts w:hint="eastAsia" w:eastAsia="宋体"/>
            </w:rPr>
            <w:t>附件八、</w:t>
          </w:r>
          <w:r>
            <w:rPr>
              <w:rFonts w:asciiTheme="minorHAnsi" w:hAnsiTheme="minorHAnsi"/>
              <w:iCs w:val="0"/>
              <w:color w:val="auto"/>
              <w:kern w:val="2"/>
              <w:sz w:val="21"/>
            </w:rPr>
            <w:tab/>
          </w:r>
          <w:r>
            <w:rPr>
              <w:rStyle w:val="26"/>
              <w:rFonts w:hint="eastAsia" w:eastAsia="宋体"/>
            </w:rPr>
            <w:t>投标货物（工程或服务）清单</w:t>
          </w:r>
          <w:r>
            <w:tab/>
          </w:r>
          <w:r>
            <w:fldChar w:fldCharType="begin"/>
          </w:r>
          <w:r>
            <w:instrText xml:space="preserve"> PAGEREF _Toc495861557 \h </w:instrText>
          </w:r>
          <w:r>
            <w:fldChar w:fldCharType="separate"/>
          </w:r>
          <w:r>
            <w:t>93</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"_Toc495861558" </w:instrText>
          </w:r>
          <w:r>
            <w:fldChar w:fldCharType="separate"/>
          </w:r>
          <w:r>
            <w:rPr>
              <w:rStyle w:val="26"/>
              <w:rFonts w:hint="eastAsia" w:eastAsia="宋体"/>
            </w:rPr>
            <w:t>附件九、</w:t>
          </w:r>
          <w:r>
            <w:rPr>
              <w:rFonts w:asciiTheme="minorHAnsi" w:hAnsiTheme="minorHAnsi"/>
              <w:iCs w:val="0"/>
              <w:color w:val="auto"/>
              <w:kern w:val="2"/>
              <w:sz w:val="21"/>
            </w:rPr>
            <w:tab/>
          </w:r>
          <w:r>
            <w:rPr>
              <w:rStyle w:val="26"/>
              <w:rFonts w:hint="eastAsia" w:eastAsia="宋体"/>
            </w:rPr>
            <w:t>交纳投标保证金的银行凭证</w:t>
          </w:r>
          <w:r>
            <w:tab/>
          </w:r>
          <w:r>
            <w:fldChar w:fldCharType="begin"/>
          </w:r>
          <w:r>
            <w:instrText xml:space="preserve"> PAGEREF _Toc495861558 \h </w:instrText>
          </w:r>
          <w:r>
            <w:fldChar w:fldCharType="separate"/>
          </w:r>
          <w:r>
            <w:t>94</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"_Toc495861559" </w:instrText>
          </w:r>
          <w:r>
            <w:fldChar w:fldCharType="separate"/>
          </w:r>
          <w:r>
            <w:rPr>
              <w:rStyle w:val="26"/>
              <w:rFonts w:hint="eastAsia" w:eastAsia="宋体"/>
            </w:rPr>
            <w:t>附件十、</w:t>
          </w:r>
          <w:r>
            <w:rPr>
              <w:rFonts w:asciiTheme="minorHAnsi" w:hAnsiTheme="minorHAnsi"/>
              <w:iCs w:val="0"/>
              <w:color w:val="auto"/>
              <w:kern w:val="2"/>
              <w:sz w:val="21"/>
            </w:rPr>
            <w:tab/>
          </w:r>
          <w:r>
            <w:rPr>
              <w:rStyle w:val="26"/>
              <w:rFonts w:hint="eastAsia" w:eastAsia="宋体"/>
            </w:rPr>
            <w:t>法定代表人授权书</w:t>
          </w:r>
          <w:r>
            <w:tab/>
          </w:r>
          <w:r>
            <w:fldChar w:fldCharType="begin"/>
          </w:r>
          <w:r>
            <w:instrText xml:space="preserve"> PAGEREF _Toc495861559 \h </w:instrText>
          </w:r>
          <w:r>
            <w:fldChar w:fldCharType="separate"/>
          </w:r>
          <w:r>
            <w:t>95</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"_Toc495861560" </w:instrText>
          </w:r>
          <w:r>
            <w:fldChar w:fldCharType="separate"/>
          </w:r>
          <w:r>
            <w:rPr>
              <w:rStyle w:val="26"/>
              <w:rFonts w:hint="eastAsia" w:eastAsia="宋体"/>
            </w:rPr>
            <w:t>附件十一、</w:t>
          </w:r>
          <w:r>
            <w:rPr>
              <w:rFonts w:asciiTheme="minorHAnsi" w:hAnsiTheme="minorHAnsi"/>
              <w:iCs w:val="0"/>
              <w:color w:val="auto"/>
              <w:kern w:val="2"/>
              <w:sz w:val="21"/>
            </w:rPr>
            <w:tab/>
          </w:r>
          <w:r>
            <w:rPr>
              <w:rStyle w:val="26"/>
              <w:rFonts w:hint="eastAsia" w:eastAsia="宋体"/>
            </w:rPr>
            <w:t>投标人的资格声明</w:t>
          </w:r>
          <w:r>
            <w:tab/>
          </w:r>
          <w:r>
            <w:fldChar w:fldCharType="begin"/>
          </w:r>
          <w:r>
            <w:instrText xml:space="preserve"> PAGEREF _Toc495861560 \h </w:instrText>
          </w:r>
          <w:r>
            <w:fldChar w:fldCharType="separate"/>
          </w:r>
          <w:r>
            <w:t>96</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"_Toc495861561" </w:instrText>
          </w:r>
          <w:r>
            <w:fldChar w:fldCharType="separate"/>
          </w:r>
          <w:r>
            <w:rPr>
              <w:rStyle w:val="26"/>
              <w:rFonts w:hint="eastAsia" w:eastAsia="宋体"/>
            </w:rPr>
            <w:t>附件十二、</w:t>
          </w:r>
          <w:r>
            <w:rPr>
              <w:rFonts w:asciiTheme="minorHAnsi" w:hAnsiTheme="minorHAnsi"/>
              <w:iCs w:val="0"/>
              <w:color w:val="auto"/>
              <w:kern w:val="2"/>
              <w:sz w:val="21"/>
            </w:rPr>
            <w:tab/>
          </w:r>
          <w:r>
            <w:rPr>
              <w:rStyle w:val="26"/>
              <w:rFonts w:hint="eastAsia" w:eastAsia="宋体"/>
            </w:rPr>
            <w:t>项目负责人、技术负责人简历表</w:t>
          </w:r>
          <w:r>
            <w:tab/>
          </w:r>
          <w:r>
            <w:fldChar w:fldCharType="begin"/>
          </w:r>
          <w:r>
            <w:instrText xml:space="preserve"> PAGEREF _Toc495861561 \h </w:instrText>
          </w:r>
          <w:r>
            <w:fldChar w:fldCharType="separate"/>
          </w:r>
          <w:r>
            <w:t>97</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"_Toc495861562" </w:instrText>
          </w:r>
          <w:r>
            <w:fldChar w:fldCharType="separate"/>
          </w:r>
          <w:r>
            <w:rPr>
              <w:rStyle w:val="26"/>
              <w:rFonts w:hint="eastAsia" w:eastAsia="宋体"/>
            </w:rPr>
            <w:t>附件十三、</w:t>
          </w:r>
          <w:r>
            <w:rPr>
              <w:rFonts w:asciiTheme="minorHAnsi" w:hAnsiTheme="minorHAnsi"/>
              <w:iCs w:val="0"/>
              <w:color w:val="auto"/>
              <w:kern w:val="2"/>
              <w:sz w:val="21"/>
            </w:rPr>
            <w:tab/>
          </w:r>
          <w:r>
            <w:rPr>
              <w:rStyle w:val="26"/>
              <w:rFonts w:hint="eastAsia" w:eastAsia="宋体"/>
            </w:rPr>
            <w:t>项目班子成员情况表</w:t>
          </w:r>
          <w:r>
            <w:tab/>
          </w:r>
          <w:r>
            <w:fldChar w:fldCharType="begin"/>
          </w:r>
          <w:r>
            <w:instrText xml:space="preserve"> PAGEREF _Toc495861562 \h </w:instrText>
          </w:r>
          <w:r>
            <w:fldChar w:fldCharType="separate"/>
          </w:r>
          <w:r>
            <w:t>98</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"_Toc495861563" </w:instrText>
          </w:r>
          <w:r>
            <w:fldChar w:fldCharType="separate"/>
          </w:r>
          <w:r>
            <w:rPr>
              <w:rStyle w:val="26"/>
              <w:rFonts w:hint="eastAsia" w:eastAsia="宋体"/>
            </w:rPr>
            <w:t>附件十四、</w:t>
          </w:r>
          <w:r>
            <w:rPr>
              <w:rFonts w:asciiTheme="minorHAnsi" w:hAnsiTheme="minorHAnsi"/>
              <w:iCs w:val="0"/>
              <w:color w:val="auto"/>
              <w:kern w:val="2"/>
              <w:sz w:val="21"/>
            </w:rPr>
            <w:tab/>
          </w:r>
          <w:r>
            <w:rPr>
              <w:rStyle w:val="26"/>
              <w:rFonts w:hint="eastAsia" w:eastAsia="宋体"/>
            </w:rPr>
            <w:t>投标人类似项目业绩表</w:t>
          </w:r>
          <w:r>
            <w:tab/>
          </w:r>
          <w:r>
            <w:fldChar w:fldCharType="begin"/>
          </w:r>
          <w:r>
            <w:instrText xml:space="preserve"> PAGEREF _Toc495861563 \h </w:instrText>
          </w:r>
          <w:r>
            <w:fldChar w:fldCharType="separate"/>
          </w:r>
          <w:r>
            <w:t>99</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"_Toc495861564" </w:instrText>
          </w:r>
          <w:r>
            <w:fldChar w:fldCharType="separate"/>
          </w:r>
          <w:r>
            <w:rPr>
              <w:rStyle w:val="26"/>
              <w:rFonts w:hint="eastAsia" w:eastAsia="宋体"/>
            </w:rPr>
            <w:t>附件十五、</w:t>
          </w:r>
          <w:r>
            <w:rPr>
              <w:rFonts w:asciiTheme="minorHAnsi" w:hAnsiTheme="minorHAnsi"/>
              <w:iCs w:val="0"/>
              <w:color w:val="auto"/>
              <w:kern w:val="2"/>
              <w:sz w:val="21"/>
            </w:rPr>
            <w:tab/>
          </w:r>
          <w:r>
            <w:rPr>
              <w:rStyle w:val="26"/>
              <w:rFonts w:hint="eastAsia" w:eastAsia="宋体"/>
            </w:rPr>
            <w:t>符合性审查对照表</w:t>
          </w:r>
          <w:r>
            <w:tab/>
          </w:r>
          <w:r>
            <w:fldChar w:fldCharType="begin"/>
          </w:r>
          <w:r>
            <w:instrText xml:space="preserve"> PAGEREF _Toc495861564 \h </w:instrText>
          </w:r>
          <w:r>
            <w:fldChar w:fldCharType="separate"/>
          </w:r>
          <w:r>
            <w:t>100</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"_Toc495861565" </w:instrText>
          </w:r>
          <w:r>
            <w:fldChar w:fldCharType="separate"/>
          </w:r>
          <w:r>
            <w:rPr>
              <w:rStyle w:val="26"/>
              <w:rFonts w:hint="eastAsia" w:eastAsia="宋体"/>
            </w:rPr>
            <w:t>附件十六、</w:t>
          </w:r>
          <w:r>
            <w:rPr>
              <w:rFonts w:asciiTheme="minorHAnsi" w:hAnsiTheme="minorHAnsi"/>
              <w:iCs w:val="0"/>
              <w:color w:val="auto"/>
              <w:kern w:val="2"/>
              <w:sz w:val="21"/>
            </w:rPr>
            <w:tab/>
          </w:r>
          <w:r>
            <w:rPr>
              <w:rStyle w:val="26"/>
              <w:rFonts w:hint="eastAsia" w:eastAsia="宋体"/>
            </w:rPr>
            <w:t>商务要求响应、偏离说明表</w:t>
          </w:r>
          <w:r>
            <w:tab/>
          </w:r>
          <w:r>
            <w:fldChar w:fldCharType="begin"/>
          </w:r>
          <w:r>
            <w:instrText xml:space="preserve"> PAGEREF _Toc495861565 \h </w:instrText>
          </w:r>
          <w:r>
            <w:fldChar w:fldCharType="separate"/>
          </w:r>
          <w:r>
            <w:t>101</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"_Toc495861566" </w:instrText>
          </w:r>
          <w:r>
            <w:fldChar w:fldCharType="separate"/>
          </w:r>
          <w:r>
            <w:rPr>
              <w:rStyle w:val="26"/>
              <w:rFonts w:hint="eastAsia" w:eastAsia="宋体"/>
            </w:rPr>
            <w:t>附件十七、</w:t>
          </w:r>
          <w:r>
            <w:rPr>
              <w:rFonts w:asciiTheme="minorHAnsi" w:hAnsiTheme="minorHAnsi"/>
              <w:iCs w:val="0"/>
              <w:color w:val="auto"/>
              <w:kern w:val="2"/>
              <w:sz w:val="21"/>
            </w:rPr>
            <w:tab/>
          </w:r>
          <w:r>
            <w:rPr>
              <w:rStyle w:val="26"/>
              <w:rFonts w:hint="eastAsia" w:eastAsia="宋体"/>
            </w:rPr>
            <w:t>商务要求“★”号条款响应、偏离说明表</w:t>
          </w:r>
          <w:r>
            <w:tab/>
          </w:r>
          <w:r>
            <w:fldChar w:fldCharType="begin"/>
          </w:r>
          <w:r>
            <w:instrText xml:space="preserve"> PAGEREF _Toc495861566 \h </w:instrText>
          </w:r>
          <w:r>
            <w:fldChar w:fldCharType="separate"/>
          </w:r>
          <w:r>
            <w:t>102</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"_Toc495861567" </w:instrText>
          </w:r>
          <w:r>
            <w:fldChar w:fldCharType="separate"/>
          </w:r>
          <w:r>
            <w:rPr>
              <w:rStyle w:val="26"/>
              <w:rFonts w:hint="eastAsia" w:eastAsia="宋体"/>
            </w:rPr>
            <w:t>附件十八、</w:t>
          </w:r>
          <w:r>
            <w:rPr>
              <w:rFonts w:asciiTheme="minorHAnsi" w:hAnsiTheme="minorHAnsi"/>
              <w:iCs w:val="0"/>
              <w:color w:val="auto"/>
              <w:kern w:val="2"/>
              <w:sz w:val="21"/>
            </w:rPr>
            <w:tab/>
          </w:r>
          <w:r>
            <w:rPr>
              <w:rStyle w:val="26"/>
              <w:rFonts w:hint="eastAsia" w:eastAsia="宋体"/>
            </w:rPr>
            <w:t>商务评议对照表</w:t>
          </w:r>
          <w:r>
            <w:tab/>
          </w:r>
          <w:r>
            <w:fldChar w:fldCharType="begin"/>
          </w:r>
          <w:r>
            <w:instrText xml:space="preserve"> PAGEREF _Toc495861567 \h </w:instrText>
          </w:r>
          <w:r>
            <w:fldChar w:fldCharType="separate"/>
          </w:r>
          <w:r>
            <w:t>103</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"_Toc495861568" </w:instrText>
          </w:r>
          <w:r>
            <w:fldChar w:fldCharType="separate"/>
          </w:r>
          <w:r>
            <w:rPr>
              <w:rStyle w:val="26"/>
              <w:rFonts w:hint="eastAsia" w:eastAsia="宋体"/>
            </w:rPr>
            <w:t>附件十九、</w:t>
          </w:r>
          <w:r>
            <w:rPr>
              <w:rFonts w:asciiTheme="minorHAnsi" w:hAnsiTheme="minorHAnsi"/>
              <w:iCs w:val="0"/>
              <w:color w:val="auto"/>
              <w:kern w:val="2"/>
              <w:sz w:val="21"/>
            </w:rPr>
            <w:tab/>
          </w:r>
          <w:r>
            <w:rPr>
              <w:rStyle w:val="26"/>
              <w:rFonts w:hint="eastAsia" w:eastAsia="宋体"/>
            </w:rPr>
            <w:t>技术、服务要求响应、偏离说明表</w:t>
          </w:r>
          <w:r>
            <w:tab/>
          </w:r>
          <w:r>
            <w:fldChar w:fldCharType="begin"/>
          </w:r>
          <w:r>
            <w:instrText xml:space="preserve"> PAGEREF _Toc495861568 \h </w:instrText>
          </w:r>
          <w:r>
            <w:fldChar w:fldCharType="separate"/>
          </w:r>
          <w:r>
            <w:t>104</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"_Toc495861569" </w:instrText>
          </w:r>
          <w:r>
            <w:fldChar w:fldCharType="separate"/>
          </w:r>
          <w:r>
            <w:rPr>
              <w:rStyle w:val="26"/>
              <w:rFonts w:hint="eastAsia" w:eastAsia="宋体"/>
            </w:rPr>
            <w:t>附件二十、</w:t>
          </w:r>
          <w:r>
            <w:rPr>
              <w:rFonts w:asciiTheme="minorHAnsi" w:hAnsiTheme="minorHAnsi"/>
              <w:iCs w:val="0"/>
              <w:color w:val="auto"/>
              <w:kern w:val="2"/>
              <w:sz w:val="21"/>
            </w:rPr>
            <w:tab/>
          </w:r>
          <w:r>
            <w:rPr>
              <w:rStyle w:val="26"/>
              <w:rFonts w:hint="eastAsia" w:eastAsia="宋体"/>
            </w:rPr>
            <w:t>技术、服务要求“★”号条款响应、偏离说明表</w:t>
          </w:r>
          <w:r>
            <w:tab/>
          </w:r>
          <w:r>
            <w:fldChar w:fldCharType="begin"/>
          </w:r>
          <w:r>
            <w:instrText xml:space="preserve"> PAGEREF _Toc495861569 \h </w:instrText>
          </w:r>
          <w:r>
            <w:fldChar w:fldCharType="separate"/>
          </w:r>
          <w:r>
            <w:t>105</w:t>
          </w:r>
          <w:r>
            <w:fldChar w:fldCharType="end"/>
          </w:r>
          <w:r>
            <w:fldChar w:fldCharType="end"/>
          </w:r>
        </w:p>
        <w:p>
          <w:pPr>
            <w:pStyle w:val="15"/>
            <w:tabs>
              <w:tab w:val="left" w:pos="1870"/>
            </w:tabs>
            <w:rPr>
              <w:rFonts w:asciiTheme="minorHAnsi" w:hAnsiTheme="minorHAnsi"/>
              <w:iCs w:val="0"/>
              <w:color w:val="auto"/>
              <w:kern w:val="2"/>
              <w:sz w:val="21"/>
            </w:rPr>
          </w:pPr>
          <w:r>
            <w:fldChar w:fldCharType="begin"/>
          </w:r>
          <w:r>
            <w:instrText xml:space="preserve"> HYPERLINK \l "_Toc495861570" </w:instrText>
          </w:r>
          <w:r>
            <w:fldChar w:fldCharType="separate"/>
          </w:r>
          <w:r>
            <w:rPr>
              <w:rStyle w:val="26"/>
              <w:rFonts w:hint="eastAsia" w:eastAsia="宋体"/>
            </w:rPr>
            <w:t>附件二十一、</w:t>
          </w:r>
          <w:r>
            <w:rPr>
              <w:rFonts w:asciiTheme="minorHAnsi" w:hAnsiTheme="minorHAnsi"/>
              <w:iCs w:val="0"/>
              <w:color w:val="auto"/>
              <w:kern w:val="2"/>
              <w:sz w:val="21"/>
            </w:rPr>
            <w:tab/>
          </w:r>
          <w:r>
            <w:rPr>
              <w:rStyle w:val="26"/>
              <w:rFonts w:hint="eastAsia" w:eastAsia="宋体"/>
            </w:rPr>
            <w:t>技术、服务评议对照表</w:t>
          </w:r>
          <w:r>
            <w:tab/>
          </w:r>
          <w:r>
            <w:fldChar w:fldCharType="begin"/>
          </w:r>
          <w:r>
            <w:instrText xml:space="preserve"> PAGEREF _Toc495861570 \h </w:instrText>
          </w:r>
          <w:r>
            <w:fldChar w:fldCharType="separate"/>
          </w:r>
          <w:r>
            <w:t>106</w:t>
          </w:r>
          <w:r>
            <w:fldChar w:fldCharType="end"/>
          </w:r>
          <w:r>
            <w:fldChar w:fldCharType="end"/>
          </w:r>
        </w:p>
        <w:p>
          <w:pPr>
            <w:pStyle w:val="14"/>
            <w:tabs>
              <w:tab w:val="left" w:pos="1260"/>
              <w:tab w:val="right" w:leader="dot" w:pos="9514"/>
            </w:tabs>
          </w:pPr>
          <w:r>
            <w:fldChar w:fldCharType="end"/>
          </w:r>
          <w:r>
            <w:rPr>
              <w:b w:val="0"/>
              <w:bCs/>
              <w:lang w:val="zh-CN"/>
            </w:rPr>
            <w:tab/>
          </w:r>
        </w:p>
      </w:sdtContent>
    </w:sdt>
    <w:p>
      <w:r>
        <w:br w:type="page"/>
      </w:r>
    </w:p>
    <w:p>
      <w:pPr>
        <w:pStyle w:val="3"/>
        <w:numPr>
          <w:ilvl w:val="0"/>
          <w:numId w:val="2"/>
        </w:numPr>
        <w:spacing w:before="240" w:after="120"/>
        <w:ind w:left="883" w:hanging="880" w:hangingChars="200"/>
        <w:jc w:val="center"/>
        <w:rPr>
          <w:rFonts w:ascii="黑体" w:hAnsi="黑体" w:eastAsia="黑体"/>
        </w:rPr>
      </w:pPr>
      <w:bookmarkStart w:id="0" w:name="_Toc495861517"/>
      <w:r>
        <w:rPr>
          <w:rFonts w:hint="eastAsia" w:ascii="黑体" w:hAnsi="黑体" w:eastAsia="黑体"/>
        </w:rPr>
        <w:t>投标邀请书</w:t>
      </w:r>
      <w:bookmarkEnd w:id="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8522" w:type="dxa"/>
          </w:tcPr>
          <w:p>
            <w:pPr>
              <w:bidi w:val="0"/>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rPr>
              <w:t>【项目概况】</w:t>
            </w:r>
          </w:p>
          <w:p>
            <w:pPr>
              <w:bidi w:val="0"/>
              <w:spacing w:line="360" w:lineRule="auto"/>
              <w:ind w:firstLine="420" w:firstLineChars="200"/>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u w:val="single"/>
                <w:vertAlign w:val="baseline"/>
                <w:lang w:eastAsia="zh-CN"/>
              </w:rPr>
              <w:t>黄石新港(物流)工业园区</w:t>
            </w:r>
            <w:r>
              <w:rPr>
                <w:rFonts w:hint="eastAsia" w:asciiTheme="minorEastAsia" w:hAnsiTheme="minorEastAsia" w:eastAsiaTheme="minorEastAsia" w:cstheme="minorEastAsia"/>
                <w:u w:val="single"/>
                <w:vertAlign w:val="baseline"/>
                <w:lang w:val="en-US" w:eastAsia="zh-CN"/>
              </w:rPr>
              <w:t>消防设备采购项目</w:t>
            </w:r>
            <w:r>
              <w:rPr>
                <w:rFonts w:hint="eastAsia" w:asciiTheme="minorEastAsia" w:hAnsiTheme="minorEastAsia" w:eastAsiaTheme="minorEastAsia" w:cstheme="minorEastAsia"/>
                <w:u w:val="single"/>
                <w:vertAlign w:val="baseline"/>
              </w:rPr>
              <w:t>招标项目</w:t>
            </w:r>
            <w:r>
              <w:rPr>
                <w:rFonts w:hint="eastAsia" w:asciiTheme="minorEastAsia" w:hAnsiTheme="minorEastAsia" w:eastAsiaTheme="minorEastAsia" w:cstheme="minorEastAsia"/>
                <w:vertAlign w:val="baseline"/>
              </w:rPr>
              <w:t>的潜在投标人应在</w:t>
            </w:r>
            <w:r>
              <w:rPr>
                <w:rFonts w:hint="eastAsia" w:asciiTheme="minorEastAsia" w:hAnsiTheme="minorEastAsia" w:eastAsiaTheme="minorEastAsia" w:cstheme="minorEastAsia"/>
                <w:u w:val="single"/>
                <w:vertAlign w:val="baseline"/>
              </w:rPr>
              <w:t>“湖北省政府采购网”、“黄石市公共</w:t>
            </w:r>
            <w:r>
              <w:rPr>
                <w:rFonts w:hint="eastAsia" w:asciiTheme="minorEastAsia" w:hAnsiTheme="minorEastAsia" w:eastAsiaTheme="minorEastAsia" w:cstheme="minorEastAsia"/>
                <w:highlight w:val="none"/>
                <w:u w:val="single"/>
                <w:vertAlign w:val="baseline"/>
              </w:rPr>
              <w:t>资源交易信息网”</w:t>
            </w:r>
            <w:r>
              <w:rPr>
                <w:rFonts w:hint="eastAsia" w:asciiTheme="minorEastAsia" w:hAnsiTheme="minorEastAsia" w:cstheme="minorEastAsia"/>
                <w:highlight w:val="none"/>
                <w:u w:val="single"/>
                <w:vertAlign w:val="baseline"/>
                <w:lang w:eastAsia="zh-CN"/>
              </w:rPr>
              <w:t>、</w:t>
            </w:r>
            <w:r>
              <w:rPr>
                <w:rFonts w:hint="eastAsia" w:asciiTheme="minorEastAsia" w:hAnsiTheme="minorEastAsia" w:eastAsiaTheme="minorEastAsia" w:cstheme="minorEastAsia"/>
                <w:highlight w:val="none"/>
                <w:u w:val="single"/>
                <w:vertAlign w:val="baseline"/>
              </w:rPr>
              <w:t>“阳新县人民政府网”</w:t>
            </w:r>
            <w:r>
              <w:rPr>
                <w:rFonts w:hint="eastAsia" w:asciiTheme="minorEastAsia" w:hAnsiTheme="minorEastAsia" w:cstheme="minorEastAsia"/>
                <w:highlight w:val="none"/>
                <w:u w:val="single"/>
                <w:vertAlign w:val="baseline"/>
                <w:lang w:val="en-US" w:eastAsia="zh-CN"/>
              </w:rPr>
              <w:t>及“武汉富纳工程咨询有限公司网”</w:t>
            </w:r>
            <w:r>
              <w:rPr>
                <w:rFonts w:hint="eastAsia" w:asciiTheme="minorEastAsia" w:hAnsiTheme="minorEastAsia" w:eastAsiaTheme="minorEastAsia" w:cstheme="minorEastAsia"/>
                <w:highlight w:val="none"/>
                <w:vertAlign w:val="baseline"/>
              </w:rPr>
              <w:t>取招标文件，并于202</w:t>
            </w:r>
            <w:r>
              <w:rPr>
                <w:rFonts w:hint="eastAsia" w:asciiTheme="minorEastAsia" w:hAnsiTheme="minorEastAsia" w:cstheme="minorEastAsia"/>
                <w:highlight w:val="none"/>
                <w:vertAlign w:val="baseline"/>
                <w:lang w:val="en-US" w:eastAsia="zh-CN"/>
              </w:rPr>
              <w:t>2</w:t>
            </w:r>
            <w:r>
              <w:rPr>
                <w:rFonts w:hint="eastAsia" w:asciiTheme="minorEastAsia" w:hAnsiTheme="minorEastAsia" w:eastAsiaTheme="minorEastAsia" w:cstheme="minorEastAsia"/>
                <w:highlight w:val="none"/>
                <w:vertAlign w:val="baseline"/>
              </w:rPr>
              <w:t>年</w:t>
            </w:r>
            <w:r>
              <w:rPr>
                <w:rFonts w:hint="eastAsia" w:asciiTheme="minorEastAsia" w:hAnsiTheme="minorEastAsia" w:cstheme="minorEastAsia"/>
                <w:highlight w:val="none"/>
                <w:vertAlign w:val="baseline"/>
                <w:lang w:val="en-US" w:eastAsia="zh-CN"/>
              </w:rPr>
              <w:t>1</w:t>
            </w:r>
            <w:r>
              <w:rPr>
                <w:rFonts w:hint="eastAsia" w:asciiTheme="minorEastAsia" w:hAnsiTheme="minorEastAsia" w:eastAsiaTheme="minorEastAsia" w:cstheme="minorEastAsia"/>
                <w:highlight w:val="none"/>
                <w:vertAlign w:val="baseline"/>
              </w:rPr>
              <w:t>月</w:t>
            </w:r>
            <w:r>
              <w:rPr>
                <w:rFonts w:hint="eastAsia" w:asciiTheme="minorEastAsia" w:hAnsiTheme="minorEastAsia" w:cstheme="minorEastAsia"/>
                <w:highlight w:val="none"/>
                <w:vertAlign w:val="baseline"/>
                <w:lang w:val="en-US" w:eastAsia="zh-CN"/>
              </w:rPr>
              <w:t>12</w:t>
            </w:r>
            <w:r>
              <w:rPr>
                <w:rFonts w:hint="eastAsia" w:asciiTheme="minorEastAsia" w:hAnsiTheme="minorEastAsia" w:eastAsiaTheme="minorEastAsia" w:cstheme="minorEastAsia"/>
                <w:highlight w:val="none"/>
                <w:vertAlign w:val="baseline"/>
              </w:rPr>
              <w:t>日</w:t>
            </w:r>
            <w:r>
              <w:rPr>
                <w:rFonts w:hint="eastAsia" w:asciiTheme="minorEastAsia" w:hAnsiTheme="minorEastAsia" w:cstheme="minorEastAsia"/>
                <w:highlight w:val="none"/>
                <w:vertAlign w:val="baseline"/>
                <w:lang w:val="en-US" w:eastAsia="zh-CN"/>
              </w:rPr>
              <w:t>9</w:t>
            </w:r>
            <w:r>
              <w:rPr>
                <w:rFonts w:hint="eastAsia" w:asciiTheme="minorEastAsia" w:hAnsiTheme="minorEastAsia" w:eastAsiaTheme="minorEastAsia" w:cstheme="minorEastAsia"/>
                <w:highlight w:val="none"/>
                <w:vertAlign w:val="baseline"/>
              </w:rPr>
              <w:t>点</w:t>
            </w:r>
            <w:r>
              <w:rPr>
                <w:rFonts w:hint="eastAsia" w:asciiTheme="minorEastAsia" w:hAnsiTheme="minorEastAsia" w:cstheme="minorEastAsia"/>
                <w:highlight w:val="none"/>
                <w:vertAlign w:val="baseline"/>
                <w:lang w:val="en-US" w:eastAsia="zh-CN"/>
              </w:rPr>
              <w:t>00</w:t>
            </w:r>
            <w:r>
              <w:rPr>
                <w:rFonts w:hint="eastAsia" w:asciiTheme="minorEastAsia" w:hAnsiTheme="minorEastAsia" w:eastAsiaTheme="minorEastAsia" w:cstheme="minorEastAsia"/>
                <w:highlight w:val="none"/>
                <w:vertAlign w:val="baseline"/>
              </w:rPr>
              <w:t>分（</w:t>
            </w:r>
            <w:r>
              <w:rPr>
                <w:rFonts w:hint="eastAsia" w:asciiTheme="minorEastAsia" w:hAnsiTheme="minorEastAsia" w:eastAsiaTheme="minorEastAsia" w:cstheme="minorEastAsia"/>
                <w:vertAlign w:val="baseline"/>
              </w:rPr>
              <w:t>北京时间）前递交投标文件。</w:t>
            </w:r>
          </w:p>
        </w:tc>
      </w:tr>
    </w:tbl>
    <w:p>
      <w:pPr>
        <w:bidi w:val="0"/>
        <w:rPr>
          <w:rFonts w:hint="eastAsia" w:asciiTheme="minorEastAsia" w:hAnsiTheme="minorEastAsia" w:eastAsiaTheme="minorEastAsia" w:cstheme="minorEastAsia"/>
        </w:rPr>
      </w:pPr>
    </w:p>
    <w:p>
      <w:pPr>
        <w:pStyle w:val="17"/>
        <w:keepNext w:val="0"/>
        <w:keepLines w:val="0"/>
        <w:widowControl/>
        <w:suppressLineNumbers w:val="0"/>
        <w:spacing w:before="0" w:beforeAutospacing="0" w:after="0" w:afterAutospacing="0" w:line="480" w:lineRule="auto"/>
        <w:ind w:left="556" w:right="556"/>
        <w:jc w:val="left"/>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color w:val="333333"/>
          <w:sz w:val="27"/>
          <w:szCs w:val="27"/>
          <w:shd w:val="clear" w:fill="FFFFFF"/>
        </w:rPr>
        <w:t>一、项目基本情况</w:t>
      </w:r>
    </w:p>
    <w:p>
      <w:pPr>
        <w:pStyle w:val="17"/>
        <w:keepNext w:val="0"/>
        <w:keepLines w:val="0"/>
        <w:widowControl/>
        <w:suppressLineNumbers w:val="0"/>
        <w:spacing w:before="0" w:beforeAutospacing="0" w:after="0" w:afterAutospacing="0" w:line="480" w:lineRule="auto"/>
        <w:ind w:left="556" w:right="556"/>
        <w:jc w:val="both"/>
        <w:rPr>
          <w:rFonts w:hint="default"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color w:val="333333"/>
          <w:sz w:val="24"/>
          <w:szCs w:val="24"/>
          <w:shd w:val="clear" w:fill="FFFFFF"/>
        </w:rPr>
        <w:t>1、项目</w:t>
      </w:r>
      <w:r>
        <w:rPr>
          <w:rFonts w:hint="eastAsia" w:asciiTheme="minorEastAsia" w:hAnsiTheme="minorEastAsia" w:eastAsiaTheme="minorEastAsia" w:cstheme="minorEastAsia"/>
          <w:color w:val="333333"/>
          <w:sz w:val="24"/>
          <w:szCs w:val="24"/>
          <w:highlight w:val="none"/>
          <w:shd w:val="clear" w:fill="FFFFFF"/>
        </w:rPr>
        <w:t>编号：</w:t>
      </w:r>
      <w:r>
        <w:rPr>
          <w:rFonts w:hint="eastAsia" w:asciiTheme="minorEastAsia" w:hAnsiTheme="minorEastAsia" w:eastAsiaTheme="minorEastAsia" w:cstheme="minorEastAsia"/>
          <w:color w:val="333333"/>
          <w:sz w:val="24"/>
          <w:szCs w:val="24"/>
          <w:highlight w:val="none"/>
          <w:shd w:val="clear" w:fill="FFFFFF"/>
          <w:lang w:val="en-US" w:eastAsia="zh-CN"/>
        </w:rPr>
        <w:t>131-2021CG-</w:t>
      </w:r>
      <w:r>
        <w:rPr>
          <w:rFonts w:hint="eastAsia" w:asciiTheme="minorEastAsia" w:hAnsiTheme="minorEastAsia" w:cstheme="minorEastAsia"/>
          <w:color w:val="333333"/>
          <w:sz w:val="24"/>
          <w:szCs w:val="24"/>
          <w:highlight w:val="none"/>
          <w:shd w:val="clear" w:fill="FFFFFF"/>
          <w:lang w:val="en-US" w:eastAsia="zh-CN"/>
        </w:rPr>
        <w:t>254</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highlight w:val="none"/>
          <w:shd w:val="clear" w:fill="FFFFFF"/>
        </w:rPr>
        <w:t>2、采购计划备案号：新港园区财采计备[2021]</w:t>
      </w:r>
      <w:r>
        <w:rPr>
          <w:rFonts w:hint="eastAsia" w:asciiTheme="minorEastAsia" w:hAnsiTheme="minorEastAsia" w:cstheme="minorEastAsia"/>
          <w:color w:val="333333"/>
          <w:sz w:val="24"/>
          <w:szCs w:val="24"/>
          <w:highlight w:val="none"/>
          <w:shd w:val="clear" w:fill="FFFFFF"/>
          <w:lang w:val="en-US" w:eastAsia="zh-CN"/>
        </w:rPr>
        <w:t>B</w:t>
      </w:r>
      <w:r>
        <w:rPr>
          <w:rFonts w:hint="eastAsia" w:asciiTheme="minorEastAsia" w:hAnsiTheme="minorEastAsia" w:eastAsiaTheme="minorEastAsia" w:cstheme="minorEastAsia"/>
          <w:color w:val="333333"/>
          <w:sz w:val="24"/>
          <w:szCs w:val="24"/>
          <w:highlight w:val="none"/>
          <w:shd w:val="clear" w:fill="FFFFFF"/>
        </w:rPr>
        <w:t>类</w:t>
      </w:r>
      <w:r>
        <w:rPr>
          <w:rFonts w:hint="eastAsia" w:asciiTheme="minorEastAsia" w:hAnsiTheme="minorEastAsia" w:cstheme="minorEastAsia"/>
          <w:color w:val="333333"/>
          <w:sz w:val="24"/>
          <w:szCs w:val="24"/>
          <w:highlight w:val="none"/>
          <w:shd w:val="clear" w:fill="FFFFFF"/>
          <w:lang w:val="en-US" w:eastAsia="zh-CN"/>
        </w:rPr>
        <w:t>32</w:t>
      </w:r>
      <w:r>
        <w:rPr>
          <w:rFonts w:hint="eastAsia" w:asciiTheme="minorEastAsia" w:hAnsiTheme="minorEastAsia" w:eastAsiaTheme="minorEastAsia" w:cstheme="minorEastAsia"/>
          <w:color w:val="333333"/>
          <w:sz w:val="24"/>
          <w:szCs w:val="24"/>
          <w:highlight w:val="none"/>
          <w:shd w:val="clear" w:fill="FFFFFF"/>
        </w:rPr>
        <w:t>号</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color w:val="333333"/>
          <w:sz w:val="24"/>
          <w:szCs w:val="24"/>
          <w:highlight w:val="none"/>
          <w:shd w:val="clear" w:fill="FFFFFF"/>
          <w:lang w:eastAsia="zh-CN"/>
        </w:rPr>
      </w:pPr>
      <w:r>
        <w:rPr>
          <w:rFonts w:hint="eastAsia" w:asciiTheme="minorEastAsia" w:hAnsiTheme="minorEastAsia" w:eastAsiaTheme="minorEastAsia" w:cstheme="minorEastAsia"/>
          <w:color w:val="333333"/>
          <w:sz w:val="24"/>
          <w:szCs w:val="24"/>
          <w:highlight w:val="none"/>
          <w:shd w:val="clear" w:fill="FFFFFF"/>
        </w:rPr>
        <w:t>3、项目名称：</w:t>
      </w:r>
      <w:r>
        <w:rPr>
          <w:rFonts w:hint="eastAsia" w:asciiTheme="minorEastAsia" w:hAnsiTheme="minorEastAsia" w:eastAsiaTheme="minorEastAsia" w:cstheme="minorEastAsia"/>
          <w:color w:val="333333"/>
          <w:sz w:val="24"/>
          <w:szCs w:val="24"/>
          <w:highlight w:val="none"/>
          <w:shd w:val="clear" w:fill="FFFFFF"/>
          <w:lang w:eastAsia="zh-CN"/>
        </w:rPr>
        <w:t>黄石新港(物流)工业园区消防设备采购项目</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highlight w:val="none"/>
          <w:shd w:val="clear" w:fill="FFFFFF"/>
        </w:rPr>
        <w:t xml:space="preserve">4、采购方式：公开招标 </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highlight w:val="none"/>
          <w:shd w:val="clear" w:fill="FFFFFF"/>
        </w:rPr>
        <w:t>5、预算金额：</w:t>
      </w:r>
      <w:r>
        <w:rPr>
          <w:rFonts w:hint="eastAsia" w:asciiTheme="minorEastAsia" w:hAnsiTheme="minorEastAsia" w:cstheme="minorEastAsia"/>
          <w:color w:val="333333"/>
          <w:sz w:val="24"/>
          <w:szCs w:val="24"/>
          <w:highlight w:val="none"/>
          <w:shd w:val="clear" w:fill="FFFFFF"/>
          <w:lang w:val="en-US" w:eastAsia="zh-CN"/>
        </w:rPr>
        <w:t>111.7072</w:t>
      </w:r>
      <w:r>
        <w:rPr>
          <w:rFonts w:hint="eastAsia" w:asciiTheme="minorEastAsia" w:hAnsiTheme="minorEastAsia" w:eastAsiaTheme="minorEastAsia" w:cstheme="minorEastAsia"/>
          <w:color w:val="333333"/>
          <w:sz w:val="24"/>
          <w:szCs w:val="24"/>
          <w:highlight w:val="none"/>
          <w:shd w:val="clear" w:fill="FFFFFF"/>
        </w:rPr>
        <w:t>(万元)</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highlight w:val="none"/>
          <w:shd w:val="clear" w:fill="FFFFFF"/>
        </w:rPr>
        <w:t>6、最高限价：</w:t>
      </w:r>
      <w:r>
        <w:rPr>
          <w:rFonts w:hint="eastAsia" w:asciiTheme="minorEastAsia" w:hAnsiTheme="minorEastAsia" w:cstheme="minorEastAsia"/>
          <w:color w:val="333333"/>
          <w:sz w:val="24"/>
          <w:szCs w:val="24"/>
          <w:highlight w:val="none"/>
          <w:shd w:val="clear" w:fill="FFFFFF"/>
          <w:lang w:val="en-US" w:eastAsia="zh-CN"/>
        </w:rPr>
        <w:t>111.7072</w:t>
      </w:r>
      <w:r>
        <w:rPr>
          <w:rFonts w:hint="eastAsia" w:asciiTheme="minorEastAsia" w:hAnsiTheme="minorEastAsia" w:eastAsiaTheme="minorEastAsia" w:cstheme="minorEastAsia"/>
          <w:color w:val="333333"/>
          <w:sz w:val="24"/>
          <w:szCs w:val="24"/>
          <w:highlight w:val="none"/>
          <w:shd w:val="clear" w:fill="FFFFFF"/>
        </w:rPr>
        <w:t>(万元)</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highlight w:val="none"/>
          <w:shd w:val="clear" w:fill="FFFFFF"/>
        </w:rPr>
        <w:t>7、采购需求：</w:t>
      </w:r>
      <w:r>
        <w:rPr>
          <w:rFonts w:hint="eastAsia" w:asciiTheme="minorEastAsia" w:hAnsiTheme="minorEastAsia" w:cstheme="minorEastAsia"/>
          <w:color w:val="333333"/>
          <w:sz w:val="24"/>
          <w:szCs w:val="24"/>
          <w:highlight w:val="none"/>
          <w:shd w:val="clear" w:fill="FFFFFF"/>
          <w:lang w:val="en-US" w:eastAsia="zh-CN"/>
        </w:rPr>
        <w:t>包一：个人防护器材、灭火救援器材</w:t>
      </w:r>
      <w:r>
        <w:rPr>
          <w:rFonts w:hint="eastAsia" w:asciiTheme="minorEastAsia" w:hAnsiTheme="minorEastAsia" w:eastAsiaTheme="minorEastAsia" w:cstheme="minorEastAsia"/>
          <w:color w:val="333333"/>
          <w:sz w:val="24"/>
          <w:szCs w:val="24"/>
          <w:highlight w:val="none"/>
          <w:shd w:val="clear" w:fill="FFFFFF"/>
        </w:rPr>
        <w:t xml:space="preserve"> </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highlight w:val="none"/>
          <w:shd w:val="clear" w:fill="FFFFFF"/>
        </w:rPr>
        <w:t>8、合同履行期限：</w:t>
      </w:r>
      <w:r>
        <w:rPr>
          <w:rFonts w:hint="eastAsia" w:asciiTheme="minorEastAsia" w:hAnsiTheme="minorEastAsia" w:eastAsiaTheme="minorEastAsia" w:cstheme="minorEastAsia"/>
          <w:color w:val="333333"/>
          <w:sz w:val="24"/>
          <w:szCs w:val="24"/>
          <w:highlight w:val="none"/>
          <w:shd w:val="clear" w:fill="FFFFFF"/>
          <w:lang w:val="en-US" w:eastAsia="zh-CN"/>
        </w:rPr>
        <w:t>合同签订后接到采购人通知之日起30日内</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highlight w:val="none"/>
          <w:shd w:val="clear" w:fill="FFFFFF"/>
        </w:rPr>
        <w:t xml:space="preserve">9、本项目（是/否）接受联合体投标：否 </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highlight w:val="none"/>
          <w:shd w:val="clear" w:fill="FFFFFF"/>
        </w:rPr>
        <w:t xml:space="preserve">10、是否可采购进口产品：否 </w:t>
      </w:r>
    </w:p>
    <w:p>
      <w:pPr>
        <w:pStyle w:val="17"/>
        <w:keepNext w:val="0"/>
        <w:keepLines w:val="0"/>
        <w:widowControl/>
        <w:suppressLineNumbers w:val="0"/>
        <w:spacing w:before="0" w:beforeAutospacing="0" w:after="300" w:afterAutospacing="0" w:line="480" w:lineRule="auto"/>
        <w:ind w:left="556" w:right="55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highlight w:val="none"/>
          <w:shd w:val="clear" w:fill="FFFFFF"/>
        </w:rPr>
        <w:t xml:space="preserve">11、本项目（是/否）专门面向中小微企业：否 </w:t>
      </w:r>
    </w:p>
    <w:p>
      <w:pPr>
        <w:pStyle w:val="17"/>
        <w:keepNext w:val="0"/>
        <w:keepLines w:val="0"/>
        <w:widowControl/>
        <w:suppressLineNumbers w:val="0"/>
        <w:spacing w:before="0" w:beforeAutospacing="0" w:after="0" w:afterAutospacing="0" w:line="480" w:lineRule="auto"/>
        <w:ind w:left="556" w:right="556"/>
        <w:jc w:val="left"/>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color w:val="333333"/>
          <w:sz w:val="27"/>
          <w:szCs w:val="27"/>
          <w:shd w:val="clear" w:fill="FFFFFF"/>
        </w:rPr>
        <w:t>二、申请人的资格要求</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1、满足《中华人民共和国政府采购法》第二十二条规定，即：</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（1）具有独立承担民事责任的能力；</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（2）具有良好的商业信誉和健全的财务会计制度；</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（3）具有履行合同所必需的设备和专业技术能力；</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（4）有依法缴纳税收和社会保障资金的良好记录；</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（5）参加政府采购活动前三年内，在经营活动中没有重大违法记录；</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（6）法律、行政法规规定的其他条件。</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2、单位负责人为同一人或者存在直接控股、管理关系的不同投标人，不得参加本项目同一合同项下的政府采购活动。</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3、为本采购项目提供整体设计、规范编制或者项目管理、监理、检测等服务的，不得再参加本项目的其他招标采购活动。</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4、未被列入失信被执行人、重大税收违法案件当事人名单，未被列入政府采购严重违法失信行为记录名单。</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5、落实政府采购政策需满足的资格要求：</w:t>
      </w:r>
      <w:r>
        <w:rPr>
          <w:rFonts w:hint="eastAsia" w:asciiTheme="minorEastAsia" w:hAnsiTheme="minorEastAsia" w:cstheme="minorEastAsia"/>
          <w:color w:val="333333"/>
          <w:sz w:val="24"/>
          <w:szCs w:val="24"/>
          <w:shd w:val="clear" w:fill="FFFFFF"/>
          <w:lang w:val="en-US" w:eastAsia="zh-CN"/>
        </w:rPr>
        <w:t>无。</w:t>
      </w:r>
      <w:r>
        <w:rPr>
          <w:rFonts w:hint="eastAsia" w:asciiTheme="minorEastAsia" w:hAnsiTheme="minorEastAsia" w:eastAsiaTheme="minorEastAsia" w:cstheme="minorEastAsia"/>
          <w:color w:val="333333"/>
          <w:sz w:val="24"/>
          <w:szCs w:val="24"/>
          <w:shd w:val="clear" w:fill="FFFFFF"/>
        </w:rPr>
        <w:t xml:space="preserve"> </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cstheme="minorEastAsia"/>
          <w:color w:val="333333"/>
          <w:sz w:val="24"/>
          <w:szCs w:val="24"/>
          <w:shd w:val="clear" w:fill="FFFFFF"/>
          <w:lang w:val="en-US" w:eastAsia="zh-CN"/>
        </w:rPr>
      </w:pPr>
      <w:r>
        <w:rPr>
          <w:rFonts w:hint="eastAsia" w:asciiTheme="minorEastAsia" w:hAnsiTheme="minorEastAsia" w:eastAsiaTheme="minorEastAsia" w:cstheme="minorEastAsia"/>
          <w:color w:val="333333"/>
          <w:sz w:val="24"/>
          <w:szCs w:val="24"/>
          <w:shd w:val="clear" w:fill="FFFFFF"/>
        </w:rPr>
        <w:t>6、本项目的特定资格要求：</w:t>
      </w:r>
      <w:r>
        <w:rPr>
          <w:rFonts w:hint="eastAsia" w:asciiTheme="minorEastAsia" w:hAnsiTheme="minorEastAsia" w:cstheme="minorEastAsia"/>
          <w:color w:val="333333"/>
          <w:sz w:val="24"/>
          <w:szCs w:val="24"/>
          <w:highlight w:val="none"/>
          <w:shd w:val="clear" w:fill="FFFFFF"/>
          <w:lang w:val="en-US" w:eastAsia="zh-CN"/>
        </w:rPr>
        <w:t>无。</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 xml:space="preserve"> </w:t>
      </w:r>
    </w:p>
    <w:p>
      <w:pPr>
        <w:pStyle w:val="17"/>
        <w:keepNext w:val="0"/>
        <w:keepLines w:val="0"/>
        <w:widowControl/>
        <w:suppressLineNumbers w:val="0"/>
        <w:spacing w:before="0" w:beforeAutospacing="0" w:after="0" w:afterAutospacing="0" w:line="480" w:lineRule="auto"/>
        <w:ind w:left="556" w:right="556"/>
        <w:jc w:val="left"/>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color w:val="333333"/>
          <w:sz w:val="27"/>
          <w:szCs w:val="27"/>
          <w:shd w:val="clear" w:fill="FFFFFF"/>
        </w:rPr>
        <w:t>三、获取招标文件</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1、时</w:t>
      </w:r>
      <w:r>
        <w:rPr>
          <w:rFonts w:hint="eastAsia" w:asciiTheme="minorEastAsia" w:hAnsiTheme="minorEastAsia" w:eastAsiaTheme="minorEastAsia" w:cstheme="minorEastAsia"/>
          <w:color w:val="333333"/>
          <w:sz w:val="24"/>
          <w:szCs w:val="24"/>
          <w:highlight w:val="none"/>
          <w:shd w:val="clear" w:fill="FFFFFF"/>
        </w:rPr>
        <w:t>间：2021年</w:t>
      </w:r>
      <w:r>
        <w:rPr>
          <w:rFonts w:hint="eastAsia" w:asciiTheme="minorEastAsia" w:hAnsiTheme="minorEastAsia" w:cstheme="minorEastAsia"/>
          <w:color w:val="333333"/>
          <w:sz w:val="24"/>
          <w:szCs w:val="24"/>
          <w:highlight w:val="none"/>
          <w:shd w:val="clear" w:fill="FFFFFF"/>
          <w:lang w:val="en-US" w:eastAsia="zh-CN"/>
        </w:rPr>
        <w:t>12</w:t>
      </w:r>
      <w:r>
        <w:rPr>
          <w:rFonts w:hint="eastAsia" w:asciiTheme="minorEastAsia" w:hAnsiTheme="minorEastAsia" w:eastAsiaTheme="minorEastAsia" w:cstheme="minorEastAsia"/>
          <w:color w:val="333333"/>
          <w:sz w:val="24"/>
          <w:szCs w:val="24"/>
          <w:highlight w:val="none"/>
          <w:shd w:val="clear" w:fill="FFFFFF"/>
        </w:rPr>
        <w:t>月</w:t>
      </w:r>
      <w:r>
        <w:rPr>
          <w:rFonts w:hint="eastAsia" w:asciiTheme="minorEastAsia" w:hAnsiTheme="minorEastAsia" w:cstheme="minorEastAsia"/>
          <w:color w:val="333333"/>
          <w:sz w:val="24"/>
          <w:szCs w:val="24"/>
          <w:highlight w:val="none"/>
          <w:shd w:val="clear" w:fill="FFFFFF"/>
          <w:lang w:val="en-US" w:eastAsia="zh-CN"/>
        </w:rPr>
        <w:t>22</w:t>
      </w:r>
      <w:r>
        <w:rPr>
          <w:rFonts w:hint="eastAsia" w:asciiTheme="minorEastAsia" w:hAnsiTheme="minorEastAsia" w:eastAsiaTheme="minorEastAsia" w:cstheme="minorEastAsia"/>
          <w:color w:val="333333"/>
          <w:sz w:val="24"/>
          <w:szCs w:val="24"/>
          <w:highlight w:val="none"/>
          <w:shd w:val="clear" w:fill="FFFFFF"/>
        </w:rPr>
        <w:t>日至2021年</w:t>
      </w:r>
      <w:r>
        <w:rPr>
          <w:rFonts w:hint="eastAsia" w:asciiTheme="minorEastAsia" w:hAnsiTheme="minorEastAsia" w:cstheme="minorEastAsia"/>
          <w:color w:val="333333"/>
          <w:sz w:val="24"/>
          <w:szCs w:val="24"/>
          <w:highlight w:val="none"/>
          <w:shd w:val="clear" w:fill="FFFFFF"/>
          <w:lang w:val="en-US" w:eastAsia="zh-CN"/>
        </w:rPr>
        <w:t>12</w:t>
      </w:r>
      <w:r>
        <w:rPr>
          <w:rFonts w:hint="eastAsia" w:asciiTheme="minorEastAsia" w:hAnsiTheme="minorEastAsia" w:eastAsiaTheme="minorEastAsia" w:cstheme="minorEastAsia"/>
          <w:color w:val="333333"/>
          <w:sz w:val="24"/>
          <w:szCs w:val="24"/>
          <w:highlight w:val="none"/>
          <w:shd w:val="clear" w:fill="FFFFFF"/>
        </w:rPr>
        <w:t>月</w:t>
      </w:r>
      <w:r>
        <w:rPr>
          <w:rFonts w:hint="eastAsia" w:asciiTheme="minorEastAsia" w:hAnsiTheme="minorEastAsia" w:cstheme="minorEastAsia"/>
          <w:color w:val="333333"/>
          <w:sz w:val="24"/>
          <w:szCs w:val="24"/>
          <w:highlight w:val="none"/>
          <w:shd w:val="clear" w:fill="FFFFFF"/>
          <w:lang w:val="en-US" w:eastAsia="zh-CN"/>
        </w:rPr>
        <w:t>28</w:t>
      </w:r>
      <w:r>
        <w:rPr>
          <w:rFonts w:hint="eastAsia" w:asciiTheme="minorEastAsia" w:hAnsiTheme="minorEastAsia" w:eastAsiaTheme="minorEastAsia" w:cstheme="minorEastAsia"/>
          <w:color w:val="333333"/>
          <w:sz w:val="24"/>
          <w:szCs w:val="24"/>
          <w:highlight w:val="none"/>
          <w:shd w:val="clear" w:fill="FFFFFF"/>
        </w:rPr>
        <w:t>日</w:t>
      </w:r>
      <w:r>
        <w:rPr>
          <w:rFonts w:hint="eastAsia" w:asciiTheme="minorEastAsia" w:hAnsiTheme="minorEastAsia" w:eastAsiaTheme="minorEastAsia" w:cstheme="minorEastAsia"/>
          <w:color w:val="333333"/>
          <w:sz w:val="24"/>
          <w:szCs w:val="24"/>
          <w:shd w:val="clear" w:fill="FFFFFF"/>
        </w:rPr>
        <w:t>，每天上午0</w:t>
      </w:r>
      <w:r>
        <w:rPr>
          <w:rFonts w:hint="eastAsia" w:asciiTheme="minorEastAsia" w:hAnsiTheme="minorEastAsia" w:cstheme="minorEastAsia"/>
          <w:color w:val="333333"/>
          <w:sz w:val="24"/>
          <w:szCs w:val="24"/>
          <w:shd w:val="clear" w:fill="FFFFFF"/>
          <w:lang w:val="en-US" w:eastAsia="zh-CN"/>
        </w:rPr>
        <w:t>9</w:t>
      </w:r>
      <w:r>
        <w:rPr>
          <w:rFonts w:hint="eastAsia" w:asciiTheme="minorEastAsia" w:hAnsiTheme="minorEastAsia" w:eastAsiaTheme="minorEastAsia" w:cstheme="minorEastAsia"/>
          <w:color w:val="333333"/>
          <w:sz w:val="24"/>
          <w:szCs w:val="24"/>
          <w:shd w:val="clear" w:fill="FFFFFF"/>
        </w:rPr>
        <w:t>:</w:t>
      </w:r>
      <w:r>
        <w:rPr>
          <w:rFonts w:hint="eastAsia" w:asciiTheme="minorEastAsia" w:hAnsiTheme="minorEastAsia" w:cstheme="minorEastAsia"/>
          <w:color w:val="333333"/>
          <w:sz w:val="24"/>
          <w:szCs w:val="24"/>
          <w:shd w:val="clear" w:fill="FFFFFF"/>
          <w:lang w:val="en-US" w:eastAsia="zh-CN"/>
        </w:rPr>
        <w:t>0</w:t>
      </w:r>
      <w:r>
        <w:rPr>
          <w:rFonts w:hint="eastAsia" w:asciiTheme="minorEastAsia" w:hAnsiTheme="minorEastAsia" w:eastAsiaTheme="minorEastAsia" w:cstheme="minorEastAsia"/>
          <w:color w:val="333333"/>
          <w:sz w:val="24"/>
          <w:szCs w:val="24"/>
          <w:shd w:val="clear" w:fill="FFFFFF"/>
        </w:rPr>
        <w:t>0至12:00，下午14:</w:t>
      </w:r>
      <w:r>
        <w:rPr>
          <w:rFonts w:hint="eastAsia" w:asciiTheme="minorEastAsia" w:hAnsiTheme="minorEastAsia" w:cstheme="minorEastAsia"/>
          <w:color w:val="333333"/>
          <w:sz w:val="24"/>
          <w:szCs w:val="24"/>
          <w:shd w:val="clear" w:fill="FFFFFF"/>
          <w:lang w:val="en-US" w:eastAsia="zh-CN"/>
        </w:rPr>
        <w:t>0</w:t>
      </w:r>
      <w:r>
        <w:rPr>
          <w:rFonts w:hint="eastAsia" w:asciiTheme="minorEastAsia" w:hAnsiTheme="minorEastAsia" w:eastAsiaTheme="minorEastAsia" w:cstheme="minorEastAsia"/>
          <w:color w:val="333333"/>
          <w:sz w:val="24"/>
          <w:szCs w:val="24"/>
          <w:shd w:val="clear" w:fill="FFFFFF"/>
        </w:rPr>
        <w:t xml:space="preserve">0至17:30（北京时间，法定节假日除外） </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2、地点：</w:t>
      </w:r>
      <w:r>
        <w:rPr>
          <w:rFonts w:hint="eastAsia" w:asciiTheme="minorEastAsia" w:hAnsiTheme="minorEastAsia" w:eastAsiaTheme="minorEastAsia" w:cstheme="minorEastAsia"/>
          <w:color w:val="333333"/>
          <w:sz w:val="24"/>
          <w:szCs w:val="24"/>
          <w:u w:val="single"/>
          <w:shd w:val="clear" w:fill="FFFFFF"/>
        </w:rPr>
        <w:t>“湖北省政府采购网”、“黄石市公共资源交易信息网”</w:t>
      </w:r>
      <w:r>
        <w:rPr>
          <w:rFonts w:hint="eastAsia" w:asciiTheme="minorEastAsia" w:hAnsiTheme="minorEastAsia" w:eastAsiaTheme="minorEastAsia" w:cstheme="minorEastAsia"/>
          <w:color w:val="333333"/>
          <w:sz w:val="24"/>
          <w:szCs w:val="24"/>
          <w:u w:val="single"/>
          <w:shd w:val="clear" w:fill="FFFFFF"/>
          <w:lang w:eastAsia="zh-CN"/>
        </w:rPr>
        <w:t>、</w:t>
      </w:r>
      <w:r>
        <w:rPr>
          <w:rFonts w:hint="eastAsia" w:asciiTheme="minorEastAsia" w:hAnsiTheme="minorEastAsia" w:eastAsiaTheme="minorEastAsia" w:cstheme="minorEastAsia"/>
          <w:color w:val="333333"/>
          <w:sz w:val="24"/>
          <w:szCs w:val="24"/>
          <w:u w:val="single"/>
          <w:shd w:val="clear" w:fill="FFFFFF"/>
        </w:rPr>
        <w:t>“阳新县人民政府网”</w:t>
      </w:r>
      <w:r>
        <w:rPr>
          <w:rFonts w:hint="eastAsia" w:asciiTheme="minorEastAsia" w:hAnsiTheme="minorEastAsia" w:eastAsiaTheme="minorEastAsia" w:cstheme="minorEastAsia"/>
          <w:color w:val="333333"/>
          <w:sz w:val="24"/>
          <w:szCs w:val="24"/>
          <w:u w:val="single"/>
          <w:shd w:val="clear" w:fill="FFFFFF"/>
          <w:lang w:val="en-US" w:eastAsia="zh-CN"/>
        </w:rPr>
        <w:t>及“武汉富纳工程咨询有限公司网”</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3、方式：</w:t>
      </w:r>
      <w:r>
        <w:rPr>
          <w:rFonts w:hint="eastAsia" w:asciiTheme="minorEastAsia" w:hAnsiTheme="minorEastAsia" w:eastAsiaTheme="minorEastAsia" w:cstheme="minorEastAsia"/>
          <w:color w:val="333333"/>
          <w:sz w:val="24"/>
          <w:szCs w:val="24"/>
          <w:u w:val="single"/>
          <w:shd w:val="clear" w:fill="FFFFFF"/>
        </w:rPr>
        <w:t xml:space="preserve">在附件免费下载招标文件 </w:t>
      </w:r>
    </w:p>
    <w:p>
      <w:pPr>
        <w:pStyle w:val="17"/>
        <w:keepNext w:val="0"/>
        <w:keepLines w:val="0"/>
        <w:widowControl/>
        <w:suppressLineNumbers w:val="0"/>
        <w:spacing w:before="0" w:beforeAutospacing="0" w:after="30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4、售价：0(元)</w:t>
      </w:r>
    </w:p>
    <w:p>
      <w:pPr>
        <w:pStyle w:val="17"/>
        <w:keepNext w:val="0"/>
        <w:keepLines w:val="0"/>
        <w:widowControl/>
        <w:suppressLineNumbers w:val="0"/>
        <w:spacing w:before="0" w:beforeAutospacing="0" w:after="0" w:afterAutospacing="0" w:line="480" w:lineRule="auto"/>
        <w:ind w:left="556" w:right="556"/>
        <w:jc w:val="left"/>
        <w:rPr>
          <w:rFonts w:hint="eastAsia" w:asciiTheme="minorEastAsia" w:hAnsiTheme="minorEastAsia" w:eastAsiaTheme="minorEastAsia" w:cstheme="minorEastAsia"/>
          <w:b/>
          <w:sz w:val="27"/>
          <w:szCs w:val="27"/>
          <w:highlight w:val="none"/>
        </w:rPr>
      </w:pPr>
      <w:r>
        <w:rPr>
          <w:rFonts w:hint="eastAsia" w:asciiTheme="minorEastAsia" w:hAnsiTheme="minorEastAsia" w:eastAsiaTheme="minorEastAsia" w:cstheme="minorEastAsia"/>
          <w:b/>
          <w:color w:val="333333"/>
          <w:sz w:val="27"/>
          <w:szCs w:val="27"/>
          <w:shd w:val="clear" w:fill="FFFFFF"/>
        </w:rPr>
        <w:t>四、提交</w:t>
      </w:r>
      <w:r>
        <w:rPr>
          <w:rFonts w:hint="eastAsia" w:asciiTheme="minorEastAsia" w:hAnsiTheme="minorEastAsia" w:eastAsiaTheme="minorEastAsia" w:cstheme="minorEastAsia"/>
          <w:b/>
          <w:color w:val="333333"/>
          <w:sz w:val="27"/>
          <w:szCs w:val="27"/>
          <w:highlight w:val="none"/>
          <w:shd w:val="clear" w:fill="FFFFFF"/>
        </w:rPr>
        <w:t>投标文件截止时间、开标时间和地点</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highlight w:val="none"/>
          <w:shd w:val="clear" w:fill="FFFFFF"/>
        </w:rPr>
        <w:t>1、开始时间：202</w:t>
      </w:r>
      <w:r>
        <w:rPr>
          <w:rFonts w:hint="eastAsia" w:asciiTheme="minorEastAsia" w:hAnsiTheme="minorEastAsia" w:cstheme="minorEastAsia"/>
          <w:color w:val="333333"/>
          <w:sz w:val="24"/>
          <w:szCs w:val="24"/>
          <w:highlight w:val="none"/>
          <w:shd w:val="clear" w:fill="FFFFFF"/>
          <w:lang w:val="en-US" w:eastAsia="zh-CN"/>
        </w:rPr>
        <w:t>2</w:t>
      </w:r>
      <w:r>
        <w:rPr>
          <w:rFonts w:hint="eastAsia" w:asciiTheme="minorEastAsia" w:hAnsiTheme="minorEastAsia" w:eastAsiaTheme="minorEastAsia" w:cstheme="minorEastAsia"/>
          <w:color w:val="333333"/>
          <w:sz w:val="24"/>
          <w:szCs w:val="24"/>
          <w:highlight w:val="none"/>
          <w:shd w:val="clear" w:fill="FFFFFF"/>
        </w:rPr>
        <w:t>年</w:t>
      </w:r>
      <w:r>
        <w:rPr>
          <w:rFonts w:hint="eastAsia" w:asciiTheme="minorEastAsia" w:hAnsiTheme="minorEastAsia" w:cstheme="minorEastAsia"/>
          <w:color w:val="333333"/>
          <w:sz w:val="24"/>
          <w:szCs w:val="24"/>
          <w:highlight w:val="none"/>
          <w:shd w:val="clear" w:fill="FFFFFF"/>
          <w:lang w:val="en-US" w:eastAsia="zh-CN"/>
        </w:rPr>
        <w:t>1</w:t>
      </w:r>
      <w:r>
        <w:rPr>
          <w:rFonts w:hint="eastAsia" w:asciiTheme="minorEastAsia" w:hAnsiTheme="minorEastAsia" w:eastAsiaTheme="minorEastAsia" w:cstheme="minorEastAsia"/>
          <w:color w:val="333333"/>
          <w:sz w:val="24"/>
          <w:szCs w:val="24"/>
          <w:highlight w:val="none"/>
          <w:shd w:val="clear" w:fill="FFFFFF"/>
        </w:rPr>
        <w:t>月</w:t>
      </w:r>
      <w:r>
        <w:rPr>
          <w:rFonts w:hint="eastAsia" w:asciiTheme="minorEastAsia" w:hAnsiTheme="minorEastAsia" w:cstheme="minorEastAsia"/>
          <w:color w:val="333333"/>
          <w:sz w:val="24"/>
          <w:szCs w:val="24"/>
          <w:highlight w:val="none"/>
          <w:shd w:val="clear" w:fill="FFFFFF"/>
          <w:lang w:val="en-US" w:eastAsia="zh-CN"/>
        </w:rPr>
        <w:t>12</w:t>
      </w:r>
      <w:r>
        <w:rPr>
          <w:rFonts w:hint="eastAsia" w:asciiTheme="minorEastAsia" w:hAnsiTheme="minorEastAsia" w:eastAsiaTheme="minorEastAsia" w:cstheme="minorEastAsia"/>
          <w:color w:val="333333"/>
          <w:sz w:val="24"/>
          <w:szCs w:val="24"/>
          <w:highlight w:val="none"/>
          <w:shd w:val="clear" w:fill="FFFFFF"/>
        </w:rPr>
        <w:t>日</w:t>
      </w:r>
      <w:r>
        <w:rPr>
          <w:rFonts w:hint="eastAsia" w:asciiTheme="minorEastAsia" w:hAnsiTheme="minorEastAsia" w:cstheme="minorEastAsia"/>
          <w:color w:val="333333"/>
          <w:sz w:val="24"/>
          <w:szCs w:val="24"/>
          <w:highlight w:val="none"/>
          <w:shd w:val="clear" w:fill="FFFFFF"/>
          <w:lang w:val="en-US" w:eastAsia="zh-CN"/>
        </w:rPr>
        <w:t>8</w:t>
      </w:r>
      <w:r>
        <w:rPr>
          <w:rFonts w:hint="eastAsia" w:asciiTheme="minorEastAsia" w:hAnsiTheme="minorEastAsia" w:eastAsiaTheme="minorEastAsia" w:cstheme="minorEastAsia"/>
          <w:color w:val="333333"/>
          <w:sz w:val="24"/>
          <w:szCs w:val="24"/>
          <w:highlight w:val="none"/>
          <w:shd w:val="clear" w:fill="FFFFFF"/>
        </w:rPr>
        <w:t>点</w:t>
      </w:r>
      <w:r>
        <w:rPr>
          <w:rFonts w:hint="eastAsia" w:asciiTheme="minorEastAsia" w:hAnsiTheme="minorEastAsia" w:cstheme="minorEastAsia"/>
          <w:color w:val="333333"/>
          <w:sz w:val="24"/>
          <w:szCs w:val="24"/>
          <w:highlight w:val="none"/>
          <w:shd w:val="clear" w:fill="FFFFFF"/>
          <w:lang w:val="en-US" w:eastAsia="zh-CN"/>
        </w:rPr>
        <w:t>30</w:t>
      </w:r>
      <w:r>
        <w:rPr>
          <w:rFonts w:hint="eastAsia" w:asciiTheme="minorEastAsia" w:hAnsiTheme="minorEastAsia" w:eastAsiaTheme="minorEastAsia" w:cstheme="minorEastAsia"/>
          <w:color w:val="333333"/>
          <w:sz w:val="24"/>
          <w:szCs w:val="24"/>
          <w:highlight w:val="none"/>
          <w:shd w:val="clear" w:fill="FFFFFF"/>
        </w:rPr>
        <w:t xml:space="preserve">分（北京时间） </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highlight w:val="none"/>
          <w:shd w:val="clear" w:fill="FFFFFF"/>
        </w:rPr>
        <w:t>2、截止时间：202</w:t>
      </w:r>
      <w:r>
        <w:rPr>
          <w:rFonts w:hint="eastAsia" w:asciiTheme="minorEastAsia" w:hAnsiTheme="minorEastAsia" w:cstheme="minorEastAsia"/>
          <w:color w:val="333333"/>
          <w:sz w:val="24"/>
          <w:szCs w:val="24"/>
          <w:highlight w:val="none"/>
          <w:shd w:val="clear" w:fill="FFFFFF"/>
          <w:lang w:val="en-US" w:eastAsia="zh-CN"/>
        </w:rPr>
        <w:t>2</w:t>
      </w:r>
      <w:r>
        <w:rPr>
          <w:rFonts w:hint="eastAsia" w:asciiTheme="minorEastAsia" w:hAnsiTheme="minorEastAsia" w:eastAsiaTheme="minorEastAsia" w:cstheme="minorEastAsia"/>
          <w:color w:val="333333"/>
          <w:sz w:val="24"/>
          <w:szCs w:val="24"/>
          <w:highlight w:val="none"/>
          <w:shd w:val="clear" w:fill="FFFFFF"/>
        </w:rPr>
        <w:t>年</w:t>
      </w:r>
      <w:r>
        <w:rPr>
          <w:rFonts w:hint="eastAsia" w:asciiTheme="minorEastAsia" w:hAnsiTheme="minorEastAsia" w:cstheme="minorEastAsia"/>
          <w:color w:val="333333"/>
          <w:sz w:val="24"/>
          <w:szCs w:val="24"/>
          <w:highlight w:val="none"/>
          <w:shd w:val="clear" w:fill="FFFFFF"/>
          <w:lang w:val="en-US" w:eastAsia="zh-CN"/>
        </w:rPr>
        <w:t>1</w:t>
      </w:r>
      <w:r>
        <w:rPr>
          <w:rFonts w:hint="eastAsia" w:asciiTheme="minorEastAsia" w:hAnsiTheme="minorEastAsia" w:eastAsiaTheme="minorEastAsia" w:cstheme="minorEastAsia"/>
          <w:color w:val="333333"/>
          <w:sz w:val="24"/>
          <w:szCs w:val="24"/>
          <w:highlight w:val="none"/>
          <w:shd w:val="clear" w:fill="FFFFFF"/>
        </w:rPr>
        <w:t>月</w:t>
      </w:r>
      <w:r>
        <w:rPr>
          <w:rFonts w:hint="eastAsia" w:asciiTheme="minorEastAsia" w:hAnsiTheme="minorEastAsia" w:cstheme="minorEastAsia"/>
          <w:color w:val="333333"/>
          <w:sz w:val="24"/>
          <w:szCs w:val="24"/>
          <w:highlight w:val="none"/>
          <w:shd w:val="clear" w:fill="FFFFFF"/>
          <w:lang w:val="en-US" w:eastAsia="zh-CN"/>
        </w:rPr>
        <w:t>12</w:t>
      </w:r>
      <w:r>
        <w:rPr>
          <w:rFonts w:hint="eastAsia" w:asciiTheme="minorEastAsia" w:hAnsiTheme="minorEastAsia" w:eastAsiaTheme="minorEastAsia" w:cstheme="minorEastAsia"/>
          <w:color w:val="333333"/>
          <w:sz w:val="24"/>
          <w:szCs w:val="24"/>
          <w:highlight w:val="none"/>
          <w:shd w:val="clear" w:fill="FFFFFF"/>
        </w:rPr>
        <w:t>日</w:t>
      </w:r>
      <w:r>
        <w:rPr>
          <w:rFonts w:hint="eastAsia" w:asciiTheme="minorEastAsia" w:hAnsiTheme="minorEastAsia" w:cstheme="minorEastAsia"/>
          <w:color w:val="333333"/>
          <w:sz w:val="24"/>
          <w:szCs w:val="24"/>
          <w:highlight w:val="none"/>
          <w:shd w:val="clear" w:fill="FFFFFF"/>
          <w:lang w:val="en-US" w:eastAsia="zh-CN"/>
        </w:rPr>
        <w:t>9</w:t>
      </w:r>
      <w:r>
        <w:rPr>
          <w:rFonts w:hint="eastAsia" w:asciiTheme="minorEastAsia" w:hAnsiTheme="minorEastAsia" w:eastAsiaTheme="minorEastAsia" w:cstheme="minorEastAsia"/>
          <w:color w:val="333333"/>
          <w:sz w:val="24"/>
          <w:szCs w:val="24"/>
          <w:highlight w:val="none"/>
          <w:shd w:val="clear" w:fill="FFFFFF"/>
        </w:rPr>
        <w:t>点</w:t>
      </w:r>
      <w:r>
        <w:rPr>
          <w:rFonts w:hint="eastAsia" w:asciiTheme="minorEastAsia" w:hAnsiTheme="minorEastAsia" w:cstheme="minorEastAsia"/>
          <w:color w:val="333333"/>
          <w:sz w:val="24"/>
          <w:szCs w:val="24"/>
          <w:highlight w:val="none"/>
          <w:shd w:val="clear" w:fill="FFFFFF"/>
          <w:lang w:val="en-US" w:eastAsia="zh-CN"/>
        </w:rPr>
        <w:t>00</w:t>
      </w:r>
      <w:r>
        <w:rPr>
          <w:rFonts w:hint="eastAsia" w:asciiTheme="minorEastAsia" w:hAnsiTheme="minorEastAsia" w:eastAsiaTheme="minorEastAsia" w:cstheme="minorEastAsia"/>
          <w:color w:val="333333"/>
          <w:sz w:val="24"/>
          <w:szCs w:val="24"/>
          <w:highlight w:val="none"/>
          <w:shd w:val="clear" w:fill="FFFFFF"/>
        </w:rPr>
        <w:t xml:space="preserve">分（北京时间） </w:t>
      </w:r>
    </w:p>
    <w:p>
      <w:pPr>
        <w:pStyle w:val="17"/>
        <w:keepNext w:val="0"/>
        <w:keepLines w:val="0"/>
        <w:widowControl/>
        <w:suppressLineNumbers w:val="0"/>
        <w:spacing w:before="0" w:beforeAutospacing="0" w:after="300" w:afterAutospacing="0" w:line="480" w:lineRule="auto"/>
        <w:ind w:left="556" w:right="-94" w:righ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highlight w:val="none"/>
          <w:shd w:val="clear" w:fill="FFFFFF"/>
        </w:rPr>
        <w:t>3、地点：阳新县公共资源交易中心</w:t>
      </w:r>
      <w:r>
        <w:rPr>
          <w:rFonts w:hint="eastAsia" w:asciiTheme="minorEastAsia" w:hAnsiTheme="minorEastAsia" w:cstheme="minorEastAsia"/>
          <w:color w:val="333333"/>
          <w:sz w:val="24"/>
          <w:szCs w:val="24"/>
          <w:highlight w:val="none"/>
          <w:shd w:val="clear" w:fill="FFFFFF"/>
          <w:lang w:val="en-US" w:eastAsia="zh-CN"/>
        </w:rPr>
        <w:t>二</w:t>
      </w:r>
      <w:r>
        <w:rPr>
          <w:rFonts w:hint="eastAsia" w:asciiTheme="minorEastAsia" w:hAnsiTheme="minorEastAsia" w:eastAsiaTheme="minorEastAsia" w:cstheme="minorEastAsia"/>
          <w:color w:val="333333"/>
          <w:sz w:val="24"/>
          <w:szCs w:val="24"/>
          <w:highlight w:val="none"/>
          <w:shd w:val="clear" w:fill="FFFFFF"/>
        </w:rPr>
        <w:t>楼开</w:t>
      </w:r>
      <w:r>
        <w:rPr>
          <w:rFonts w:hint="eastAsia" w:asciiTheme="minorEastAsia" w:hAnsiTheme="minorEastAsia" w:eastAsiaTheme="minorEastAsia" w:cstheme="minorEastAsia"/>
          <w:color w:val="333333"/>
          <w:sz w:val="24"/>
          <w:szCs w:val="24"/>
          <w:shd w:val="clear" w:fill="FFFFFF"/>
        </w:rPr>
        <w:t>标大厅（阳新县熊家垴安置小区东侧）</w:t>
      </w:r>
    </w:p>
    <w:p>
      <w:pPr>
        <w:pStyle w:val="17"/>
        <w:keepNext w:val="0"/>
        <w:keepLines w:val="0"/>
        <w:widowControl/>
        <w:suppressLineNumbers w:val="0"/>
        <w:spacing w:before="0" w:beforeAutospacing="0" w:after="0" w:afterAutospacing="0" w:line="480" w:lineRule="auto"/>
        <w:ind w:left="556" w:right="556"/>
        <w:jc w:val="left"/>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color w:val="333333"/>
          <w:sz w:val="27"/>
          <w:szCs w:val="27"/>
          <w:shd w:val="clear" w:fill="FFFFFF"/>
        </w:rPr>
        <w:t>五、公告期限</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自本公告发布之日起5个工作日。</w:t>
      </w:r>
    </w:p>
    <w:p>
      <w:pPr>
        <w:pStyle w:val="17"/>
        <w:keepNext w:val="0"/>
        <w:keepLines w:val="0"/>
        <w:widowControl/>
        <w:suppressLineNumbers w:val="0"/>
        <w:spacing w:before="0" w:beforeAutospacing="0" w:after="0" w:afterAutospacing="0" w:line="480" w:lineRule="auto"/>
        <w:ind w:left="556" w:right="556"/>
        <w:jc w:val="left"/>
        <w:rPr>
          <w:rFonts w:hint="eastAsia" w:asciiTheme="minorEastAsia" w:hAnsiTheme="minorEastAsia" w:eastAsiaTheme="minorEastAsia" w:cstheme="minorEastAsia"/>
          <w:b/>
          <w:color w:val="333333"/>
          <w:sz w:val="27"/>
          <w:szCs w:val="27"/>
          <w:shd w:val="clear" w:fill="FFFFFF"/>
        </w:rPr>
      </w:pPr>
    </w:p>
    <w:p>
      <w:pPr>
        <w:pStyle w:val="17"/>
        <w:keepNext w:val="0"/>
        <w:keepLines w:val="0"/>
        <w:widowControl/>
        <w:suppressLineNumbers w:val="0"/>
        <w:spacing w:before="0" w:beforeAutospacing="0" w:after="0" w:afterAutospacing="0" w:line="480" w:lineRule="auto"/>
        <w:ind w:left="556" w:right="556"/>
        <w:jc w:val="left"/>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color w:val="333333"/>
          <w:sz w:val="27"/>
          <w:szCs w:val="27"/>
          <w:shd w:val="clear" w:fill="FFFFFF"/>
        </w:rPr>
        <w:t>六、其他补充事宜</w:t>
      </w:r>
    </w:p>
    <w:p>
      <w:pPr>
        <w:pStyle w:val="17"/>
        <w:keepNext w:val="0"/>
        <w:keepLines w:val="0"/>
        <w:widowControl/>
        <w:suppressLineNumbers w:val="0"/>
        <w:spacing w:before="0" w:beforeAutospacing="0" w:after="0" w:afterAutospacing="0" w:line="480" w:lineRule="auto"/>
        <w:ind w:left="556" w:right="556"/>
        <w:jc w:val="both"/>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1.投标人认为招标文件、招标过程和中标结果使自己的权益受到损害的，可以在知道或者应知其权益受到损害之日起7个工作日内，向采购人或采购机构提出书面质疑。质疑时请提交书面质疑函一份（法人代表签字、加盖单位公章。具体要求详见本招标文件“第二章 投标人须知”中的第八条之规定），并附相关证据材料。</w:t>
      </w:r>
      <w:r>
        <w:rPr>
          <w:rFonts w:hint="eastAsia" w:ascii="宋体" w:hAnsi="宋体" w:eastAsia="宋体" w:cs="宋体"/>
          <w:color w:val="333333"/>
          <w:sz w:val="24"/>
          <w:szCs w:val="24"/>
          <w:highlight w:val="none"/>
          <w:shd w:val="clear" w:color="auto" w:fill="FFFFFF"/>
        </w:rPr>
        <w:br w:type="textWrapping"/>
      </w:r>
      <w:r>
        <w:rPr>
          <w:rFonts w:hint="eastAsia" w:ascii="宋体" w:hAnsi="宋体" w:eastAsia="宋体" w:cs="宋体"/>
          <w:color w:val="333333"/>
          <w:sz w:val="24"/>
          <w:szCs w:val="24"/>
          <w:highlight w:val="none"/>
          <w:shd w:val="clear" w:color="auto" w:fill="FFFFFF"/>
        </w:rPr>
        <w:t>2.落实政府采购强制、优先采购节能产品政策；政府采购优先采购环保产品政策；政府采购促进中小企业发展（监狱企业、残疾人福利性单位视同小微企业）等政策。</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 xml:space="preserve"> </w:t>
      </w:r>
    </w:p>
    <w:p>
      <w:pPr>
        <w:pStyle w:val="17"/>
        <w:keepNext w:val="0"/>
        <w:keepLines w:val="0"/>
        <w:widowControl/>
        <w:suppressLineNumbers w:val="0"/>
        <w:spacing w:before="0" w:beforeAutospacing="0" w:after="0" w:afterAutospacing="0" w:line="480" w:lineRule="auto"/>
        <w:ind w:left="556" w:right="556"/>
        <w:jc w:val="left"/>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color w:val="333333"/>
          <w:sz w:val="27"/>
          <w:szCs w:val="27"/>
          <w:shd w:val="clear" w:fill="FFFFFF"/>
        </w:rPr>
        <w:t>七、对本次招标提出询问，请按以下方式联系</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1、采购人信息</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名  称：</w:t>
      </w:r>
      <w:r>
        <w:rPr>
          <w:rFonts w:hint="eastAsia" w:asciiTheme="minorEastAsia" w:hAnsiTheme="minorEastAsia" w:eastAsiaTheme="minorEastAsia" w:cstheme="minorEastAsia"/>
          <w:color w:val="333333"/>
          <w:sz w:val="24"/>
          <w:szCs w:val="24"/>
          <w:shd w:val="clear" w:fill="FFFFFF"/>
          <w:lang w:eastAsia="zh-CN"/>
        </w:rPr>
        <w:t>黄石新港（物流）工业园区经济发展局</w:t>
      </w:r>
      <w:r>
        <w:rPr>
          <w:rFonts w:hint="eastAsia" w:asciiTheme="minorEastAsia" w:hAnsiTheme="minorEastAsia" w:eastAsiaTheme="minorEastAsia" w:cstheme="minorEastAsia"/>
          <w:color w:val="333333"/>
          <w:sz w:val="24"/>
          <w:szCs w:val="24"/>
          <w:shd w:val="clear" w:fill="FFFFFF"/>
        </w:rPr>
        <w:t xml:space="preserve"> </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地  址：</w:t>
      </w:r>
      <w:r>
        <w:rPr>
          <w:rFonts w:hint="eastAsia" w:asciiTheme="minorEastAsia" w:hAnsiTheme="minorEastAsia" w:eastAsiaTheme="minorEastAsia" w:cstheme="minorEastAsia"/>
          <w:color w:val="333333"/>
          <w:sz w:val="24"/>
          <w:szCs w:val="24"/>
          <w:shd w:val="clear" w:fill="FFFFFF"/>
          <w:lang w:eastAsia="zh-CN"/>
        </w:rPr>
        <w:t>阳新县韦源口镇</w:t>
      </w:r>
      <w:r>
        <w:rPr>
          <w:rFonts w:hint="eastAsia" w:asciiTheme="minorEastAsia" w:hAnsiTheme="minorEastAsia" w:eastAsiaTheme="minorEastAsia" w:cstheme="minorEastAsia"/>
          <w:color w:val="333333"/>
          <w:sz w:val="24"/>
          <w:szCs w:val="24"/>
          <w:shd w:val="clear" w:fill="FFFFFF"/>
        </w:rPr>
        <w:t xml:space="preserve"> </w:t>
      </w:r>
    </w:p>
    <w:p>
      <w:pPr>
        <w:pStyle w:val="17"/>
        <w:keepNext w:val="0"/>
        <w:keepLines w:val="0"/>
        <w:widowControl/>
        <w:suppressLineNumbers w:val="0"/>
        <w:spacing w:before="0" w:beforeAutospacing="0" w:after="150" w:afterAutospacing="0" w:line="360" w:lineRule="auto"/>
        <w:ind w:left="556" w:right="55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highlight w:val="none"/>
          <w:shd w:val="clear" w:fill="FFFFFF"/>
        </w:rPr>
        <w:t>联系方式：</w:t>
      </w:r>
      <w:r>
        <w:rPr>
          <w:rFonts w:hint="eastAsia" w:asciiTheme="minorEastAsia" w:hAnsiTheme="minorEastAsia" w:cstheme="minorEastAsia"/>
          <w:color w:val="333333"/>
          <w:sz w:val="24"/>
          <w:szCs w:val="24"/>
          <w:highlight w:val="none"/>
          <w:shd w:val="clear" w:fill="FFFFFF"/>
          <w:lang w:val="en-US" w:eastAsia="zh-CN"/>
        </w:rPr>
        <w:t>陈洪树；13986576066</w:t>
      </w:r>
      <w:r>
        <w:rPr>
          <w:rFonts w:hint="eastAsia" w:asciiTheme="minorEastAsia" w:hAnsiTheme="minorEastAsia" w:eastAsiaTheme="minorEastAsia" w:cstheme="minorEastAsia"/>
          <w:color w:val="333333"/>
          <w:sz w:val="24"/>
          <w:szCs w:val="24"/>
          <w:highlight w:val="none"/>
          <w:shd w:val="clear" w:fill="FFFFFF"/>
        </w:rPr>
        <w:t xml:space="preserve"> </w:t>
      </w:r>
    </w:p>
    <w:p>
      <w:pPr>
        <w:pStyle w:val="17"/>
        <w:keepNext w:val="0"/>
        <w:keepLines w:val="0"/>
        <w:widowControl/>
        <w:suppressLineNumbers w:val="0"/>
        <w:spacing w:before="0" w:beforeAutospacing="0" w:after="0" w:afterAutospacing="0" w:line="36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2、采购代理机构信息</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color w:val="333333"/>
          <w:sz w:val="24"/>
          <w:szCs w:val="24"/>
          <w:shd w:val="clear" w:fill="FFFFFF"/>
        </w:rPr>
      </w:pPr>
      <w:r>
        <w:rPr>
          <w:rFonts w:hint="eastAsia" w:asciiTheme="minorEastAsia" w:hAnsiTheme="minorEastAsia" w:eastAsiaTheme="minorEastAsia" w:cstheme="minorEastAsia"/>
          <w:color w:val="333333"/>
          <w:sz w:val="24"/>
          <w:szCs w:val="24"/>
          <w:shd w:val="clear" w:fill="FFFFFF"/>
        </w:rPr>
        <w:t xml:space="preserve">名    称：武汉富纳工程咨询有限公司 </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color w:val="333333"/>
          <w:sz w:val="24"/>
          <w:szCs w:val="24"/>
          <w:shd w:val="clear" w:fill="FFFFFF"/>
        </w:rPr>
      </w:pPr>
      <w:r>
        <w:rPr>
          <w:rFonts w:hint="eastAsia" w:asciiTheme="minorEastAsia" w:hAnsiTheme="minorEastAsia" w:eastAsiaTheme="minorEastAsia" w:cstheme="minorEastAsia"/>
          <w:color w:val="333333"/>
          <w:sz w:val="24"/>
          <w:szCs w:val="24"/>
          <w:shd w:val="clear" w:fill="FFFFFF"/>
        </w:rPr>
        <w:t>地　　址：阳新县熊家垴小区1栋2903室</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color w:val="333333"/>
          <w:sz w:val="24"/>
          <w:szCs w:val="24"/>
          <w:shd w:val="clear" w:fill="FFFFFF"/>
        </w:rPr>
      </w:pPr>
      <w:r>
        <w:rPr>
          <w:rFonts w:hint="eastAsia" w:asciiTheme="minorEastAsia" w:hAnsiTheme="minorEastAsia" w:eastAsiaTheme="minorEastAsia" w:cstheme="minorEastAsia"/>
          <w:color w:val="333333"/>
          <w:sz w:val="24"/>
          <w:szCs w:val="24"/>
          <w:shd w:val="clear" w:fill="FFFFFF"/>
        </w:rPr>
        <w:t>联系方式：乐之琳</w:t>
      </w:r>
      <w:r>
        <w:rPr>
          <w:rFonts w:hint="eastAsia" w:asciiTheme="minorEastAsia" w:hAnsiTheme="minorEastAsia" w:cstheme="minorEastAsia"/>
          <w:color w:val="333333"/>
          <w:sz w:val="24"/>
          <w:szCs w:val="24"/>
          <w:shd w:val="clear" w:fill="FFFFFF"/>
          <w:lang w:eastAsia="zh-CN"/>
        </w:rPr>
        <w:t>、</w:t>
      </w:r>
      <w:r>
        <w:rPr>
          <w:rFonts w:hint="eastAsia" w:asciiTheme="minorEastAsia" w:hAnsiTheme="minorEastAsia" w:cstheme="minorEastAsia"/>
          <w:color w:val="333333"/>
          <w:sz w:val="24"/>
          <w:szCs w:val="24"/>
          <w:shd w:val="clear" w:fill="FFFFFF"/>
          <w:lang w:val="en-US" w:eastAsia="zh-CN"/>
        </w:rPr>
        <w:t>赵彬彬</w:t>
      </w:r>
      <w:r>
        <w:rPr>
          <w:rFonts w:hint="eastAsia" w:asciiTheme="minorEastAsia" w:hAnsiTheme="minorEastAsia" w:eastAsiaTheme="minorEastAsia" w:cstheme="minorEastAsia"/>
          <w:color w:val="333333"/>
          <w:sz w:val="24"/>
          <w:szCs w:val="24"/>
          <w:shd w:val="clear" w:fill="FFFFFF"/>
          <w:lang w:eastAsia="zh-CN"/>
        </w:rPr>
        <w:t>；0714-7313868</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3、项目联系方式</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项目联系人：乐之琳</w:t>
      </w:r>
      <w:r>
        <w:rPr>
          <w:rFonts w:hint="eastAsia" w:asciiTheme="minorEastAsia" w:hAnsiTheme="minorEastAsia" w:cstheme="minorEastAsia"/>
          <w:color w:val="333333"/>
          <w:sz w:val="24"/>
          <w:szCs w:val="24"/>
          <w:shd w:val="clear" w:fill="FFFFFF"/>
          <w:lang w:val="en-US" w:eastAsia="zh-CN"/>
        </w:rPr>
        <w:t xml:space="preserve"> </w:t>
      </w:r>
      <w:r>
        <w:rPr>
          <w:rFonts w:hint="eastAsia" w:asciiTheme="minorEastAsia" w:hAnsiTheme="minorEastAsia" w:eastAsiaTheme="minorEastAsia" w:cstheme="minorEastAsia"/>
          <w:color w:val="333333"/>
          <w:sz w:val="24"/>
          <w:szCs w:val="24"/>
          <w:shd w:val="clear" w:fill="FFFFFF"/>
        </w:rPr>
        <w:t xml:space="preserve"> </w:t>
      </w:r>
    </w:p>
    <w:p>
      <w:pPr>
        <w:pStyle w:val="17"/>
        <w:keepNext w:val="0"/>
        <w:keepLines w:val="0"/>
        <w:widowControl/>
        <w:suppressLineNumbers w:val="0"/>
        <w:spacing w:before="0" w:beforeAutospacing="0" w:after="15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电   话：</w:t>
      </w:r>
      <w:r>
        <w:rPr>
          <w:rFonts w:hint="eastAsia" w:asciiTheme="minorEastAsia" w:hAnsiTheme="minorEastAsia" w:eastAsiaTheme="minorEastAsia" w:cstheme="minorEastAsia"/>
          <w:color w:val="333333"/>
          <w:sz w:val="24"/>
          <w:szCs w:val="24"/>
          <w:shd w:val="clear" w:fill="FFFFFF"/>
          <w:lang w:eastAsia="zh-CN"/>
        </w:rPr>
        <w:t>0714-7313868</w:t>
      </w:r>
      <w:r>
        <w:rPr>
          <w:rFonts w:hint="eastAsia" w:asciiTheme="minorEastAsia" w:hAnsiTheme="minorEastAsia" w:eastAsiaTheme="minorEastAsia" w:cstheme="minorEastAsia"/>
          <w:color w:val="333333"/>
          <w:sz w:val="24"/>
          <w:szCs w:val="24"/>
          <w:shd w:val="clear" w:fill="FFFFFF"/>
        </w:rPr>
        <w:t xml:space="preserve"> </w:t>
      </w:r>
    </w:p>
    <w:p>
      <w:pPr>
        <w:widowControl/>
        <w:jc w:val="left"/>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br w:type="page"/>
      </w:r>
    </w:p>
    <w:p>
      <w:pPr>
        <w:pStyle w:val="3"/>
        <w:numPr>
          <w:ilvl w:val="0"/>
          <w:numId w:val="2"/>
        </w:numPr>
        <w:spacing w:before="240" w:after="120"/>
        <w:ind w:left="883" w:hanging="880" w:hangingChars="200"/>
        <w:jc w:val="center"/>
        <w:rPr>
          <w:rFonts w:ascii="黑体" w:hAnsi="黑体" w:eastAsia="黑体"/>
        </w:rPr>
      </w:pPr>
      <w:bookmarkStart w:id="1" w:name="_Toc495861518"/>
      <w:r>
        <w:rPr>
          <w:rFonts w:hint="eastAsia" w:ascii="黑体" w:hAnsi="黑体" w:eastAsia="黑体"/>
        </w:rPr>
        <w:t>投标人须知</w:t>
      </w:r>
      <w:bookmarkEnd w:id="1"/>
    </w:p>
    <w:p>
      <w:pPr>
        <w:keepNext/>
        <w:keepLines/>
        <w:spacing w:line="360" w:lineRule="auto"/>
        <w:jc w:val="center"/>
        <w:outlineLvl w:val="1"/>
        <w:rPr>
          <w:rFonts w:cs="Times New Roman" w:asciiTheme="majorEastAsia" w:hAnsiTheme="majorEastAsia" w:eastAsiaTheme="majorEastAsia"/>
          <w:b/>
          <w:bCs/>
          <w:sz w:val="32"/>
          <w:szCs w:val="32"/>
          <w:lang w:val="zh-CN"/>
        </w:rPr>
      </w:pPr>
      <w:bookmarkStart w:id="2" w:name="_Toc495861519"/>
      <w:bookmarkStart w:id="3" w:name="_Toc494561937"/>
      <w:r>
        <w:rPr>
          <w:rFonts w:cs="Times New Roman" w:asciiTheme="majorEastAsia" w:hAnsiTheme="majorEastAsia" w:eastAsiaTheme="majorEastAsia"/>
          <w:b/>
          <w:bCs/>
          <w:sz w:val="32"/>
          <w:szCs w:val="32"/>
          <w:lang w:val="zh-CN"/>
        </w:rPr>
        <w:t>投标须知前附表</w:t>
      </w:r>
      <w:bookmarkEnd w:id="2"/>
      <w:bookmarkEnd w:id="3"/>
    </w:p>
    <w:tbl>
      <w:tblPr>
        <w:tblStyle w:val="19"/>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sz w:val="24"/>
                <w:szCs w:val="24"/>
              </w:rPr>
            </w:pPr>
            <w:r>
              <w:rPr>
                <w:rFonts w:ascii="宋体" w:hAnsi="宋体" w:eastAsia="宋体" w:cs="Times New Roman"/>
                <w:b/>
                <w:sz w:val="24"/>
                <w:szCs w:val="24"/>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sz w:val="24"/>
                <w:szCs w:val="24"/>
              </w:rPr>
            </w:pPr>
            <w:r>
              <w:rPr>
                <w:rFonts w:hint="eastAsia" w:ascii="Times New Roman" w:hAnsi="宋体" w:eastAsia="宋体" w:cs="Times New Roman"/>
                <w:b/>
                <w:sz w:val="24"/>
                <w:szCs w:val="24"/>
              </w:rPr>
              <w:t>名  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sz w:val="24"/>
                <w:szCs w:val="24"/>
              </w:rPr>
            </w:pPr>
            <w:r>
              <w:rPr>
                <w:rFonts w:ascii="Times New Roman" w:hAnsi="宋体" w:eastAsia="宋体" w:cs="Times New Roman"/>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项目编号</w:t>
            </w:r>
          </w:p>
        </w:tc>
        <w:tc>
          <w:tcPr>
            <w:tcW w:w="6470" w:type="dxa"/>
            <w:tcBorders>
              <w:top w:val="single" w:color="auto" w:sz="4" w:space="0"/>
              <w:left w:val="single" w:color="auto" w:sz="4" w:space="0"/>
              <w:bottom w:val="single" w:color="auto" w:sz="4" w:space="0"/>
            </w:tcBorders>
            <w:vAlign w:val="center"/>
          </w:tcPr>
          <w:p>
            <w:pPr>
              <w:rPr>
                <w:rFonts w:hint="default" w:ascii="Times New Roman" w:hAnsi="Times New Roman" w:eastAsia="宋体" w:cs="Times New Roman"/>
                <w:color w:val="FF0000"/>
                <w:sz w:val="24"/>
                <w:szCs w:val="24"/>
                <w:highlight w:val="none"/>
                <w:lang w:val="en-US"/>
              </w:rPr>
            </w:pPr>
            <w:r>
              <w:rPr>
                <w:rFonts w:hint="eastAsia" w:ascii="Times New Roman" w:hAnsi="Times New Roman" w:eastAsia="宋体" w:cs="Times New Roman"/>
                <w:color w:val="FF0000"/>
                <w:sz w:val="24"/>
                <w:szCs w:val="24"/>
                <w:highlight w:val="none"/>
                <w:lang w:val="en-US" w:eastAsia="zh-CN"/>
              </w:rPr>
              <w:t>131-2021CG-254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项目名称</w:t>
            </w:r>
          </w:p>
        </w:tc>
        <w:tc>
          <w:tcPr>
            <w:tcW w:w="6470" w:type="dxa"/>
            <w:tcBorders>
              <w:top w:val="single" w:color="auto" w:sz="4" w:space="0"/>
              <w:left w:val="single" w:color="auto" w:sz="4" w:space="0"/>
              <w:bottom w:val="single" w:color="auto" w:sz="4" w:space="0"/>
            </w:tcBorders>
            <w:vAlign w:val="center"/>
          </w:tcPr>
          <w:p>
            <w:pPr>
              <w:rPr>
                <w:rFonts w:hint="eastAsia" w:ascii="Times New Roman" w:hAnsi="Times New Roman" w:eastAsia="宋体" w:cs="Times New Roman"/>
                <w:color w:val="FF0000"/>
                <w:sz w:val="24"/>
                <w:szCs w:val="24"/>
                <w:lang w:eastAsia="zh-CN"/>
              </w:rPr>
            </w:pPr>
            <w:r>
              <w:rPr>
                <w:rFonts w:hint="eastAsia" w:ascii="Times New Roman" w:hAnsi="Times New Roman" w:eastAsia="宋体" w:cs="Times New Roman"/>
                <w:color w:val="FF0000"/>
                <w:sz w:val="24"/>
                <w:szCs w:val="24"/>
                <w:lang w:eastAsia="zh-CN"/>
              </w:rPr>
              <w:t>黄石新港(物流)工业园区消防设备采购项目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hint="eastAsia" w:ascii="Times New Roman" w:hAnsi="宋体" w:eastAsia="宋体" w:cs="Times New Roman"/>
                <w:color w:val="0D0D0D"/>
                <w:sz w:val="24"/>
                <w:szCs w:val="24"/>
              </w:rPr>
              <w:t>项目属性</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0D0D0D"/>
                <w:kern w:val="0"/>
                <w:sz w:val="24"/>
                <w:szCs w:val="24"/>
              </w:rPr>
            </w:pPr>
            <w:r>
              <w:rPr>
                <w:rFonts w:hint="eastAsia" w:ascii="宋体" w:hAnsi="宋体" w:eastAsia="宋体" w:cs="宋体"/>
                <w:color w:val="FF0000"/>
                <w:kern w:val="0"/>
                <w:sz w:val="24"/>
                <w:szCs w:val="24"/>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采购人</w:t>
            </w:r>
          </w:p>
        </w:tc>
        <w:tc>
          <w:tcPr>
            <w:tcW w:w="6470" w:type="dxa"/>
            <w:tcBorders>
              <w:top w:val="single" w:color="auto" w:sz="4" w:space="0"/>
              <w:left w:val="single" w:color="auto" w:sz="4" w:space="0"/>
              <w:bottom w:val="single" w:color="auto" w:sz="4" w:space="0"/>
            </w:tcBorders>
            <w:vAlign w:val="center"/>
          </w:tcPr>
          <w:p>
            <w:pPr>
              <w:rPr>
                <w:rFonts w:hint="eastAsia" w:ascii="宋体" w:hAnsi="宋体" w:eastAsia="宋体" w:cs="宋体"/>
                <w:color w:val="FF0000"/>
                <w:kern w:val="0"/>
                <w:sz w:val="24"/>
                <w:szCs w:val="24"/>
                <w:lang w:eastAsia="zh-CN"/>
              </w:rPr>
            </w:pPr>
            <w:r>
              <w:rPr>
                <w:rFonts w:hint="eastAsia" w:ascii="宋体" w:hAnsi="宋体" w:eastAsia="宋体" w:cs="宋体"/>
                <w:color w:val="FF0000"/>
                <w:kern w:val="0"/>
                <w:sz w:val="24"/>
                <w:szCs w:val="24"/>
                <w:lang w:eastAsia="zh-CN"/>
              </w:rPr>
              <w:t>黄石新港（物流）工业园区经济发展局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投标保证金</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rPr>
            </w:pPr>
            <w:r>
              <w:rPr>
                <w:rFonts w:hint="eastAsia" w:ascii="宋体" w:hAnsi="宋体" w:eastAsia="宋体" w:cs="宋体"/>
                <w:kern w:val="0"/>
                <w:sz w:val="24"/>
                <w:szCs w:val="24"/>
              </w:rPr>
              <w:t>本项目为政府采购项目无须缴纳保证金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保证金</w:t>
            </w:r>
            <w:r>
              <w:rPr>
                <w:rFonts w:hint="eastAsia" w:ascii="Times New Roman" w:hAnsi="宋体" w:eastAsia="宋体" w:cs="Times New Roman"/>
                <w:sz w:val="24"/>
                <w:szCs w:val="24"/>
              </w:rPr>
              <w:t>账户信息</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kern w:val="0"/>
                <w:sz w:val="24"/>
                <w:szCs w:val="24"/>
              </w:rPr>
            </w:pPr>
            <w:r>
              <w:rPr>
                <w:rFonts w:hint="eastAsia" w:ascii="宋体" w:hAnsi="宋体" w:eastAsia="宋体" w:cs="宋体"/>
                <w:color w:val="0D0D0D" w:themeColor="text1" w:themeTint="F2"/>
                <w:kern w:val="0"/>
                <w:sz w:val="24"/>
                <w:szCs w:val="24"/>
                <w14:textFill>
                  <w14:solidFill>
                    <w14:schemeClr w14:val="tx1">
                      <w14:lumMod w14:val="95000"/>
                      <w14:lumOff w14:val="5000"/>
                    </w14:schemeClr>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投标文件份数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正本</w:t>
            </w:r>
            <w:r>
              <w:rPr>
                <w:rFonts w:hint="eastAsia" w:ascii="Times New Roman" w:hAnsi="Times New Roman" w:eastAsia="宋体" w:cs="Times New Roman"/>
                <w:color w:val="0D0D0D"/>
                <w:sz w:val="24"/>
                <w:szCs w:val="24"/>
              </w:rPr>
              <w:t>一</w:t>
            </w:r>
            <w:r>
              <w:rPr>
                <w:rFonts w:ascii="Times New Roman" w:hAnsi="Times New Roman" w:eastAsia="宋体" w:cs="Times New Roman"/>
                <w:color w:val="0D0D0D"/>
                <w:sz w:val="24"/>
                <w:szCs w:val="24"/>
              </w:rPr>
              <w:t>份</w:t>
            </w:r>
            <w:r>
              <w:rPr>
                <w:rFonts w:hint="eastAsia" w:ascii="Times New Roman" w:hAnsi="Times New Roman" w:eastAsia="宋体" w:cs="Times New Roman"/>
                <w:color w:val="0D0D0D"/>
                <w:sz w:val="24"/>
                <w:szCs w:val="24"/>
              </w:rPr>
              <w:t>，</w:t>
            </w:r>
            <w:r>
              <w:rPr>
                <w:rFonts w:ascii="Times New Roman" w:hAnsi="Times New Roman" w:eastAsia="宋体" w:cs="Times New Roman"/>
                <w:color w:val="0D0D0D"/>
                <w:sz w:val="24"/>
                <w:szCs w:val="24"/>
              </w:rPr>
              <w:t>副本</w:t>
            </w:r>
            <w:r>
              <w:rPr>
                <w:rFonts w:hint="eastAsia" w:ascii="Times New Roman" w:hAnsi="Times New Roman" w:eastAsia="宋体" w:cs="Times New Roman"/>
                <w:color w:val="0D0D0D"/>
                <w:sz w:val="24"/>
                <w:szCs w:val="24"/>
              </w:rPr>
              <w:t>四</w:t>
            </w:r>
            <w:r>
              <w:rPr>
                <w:rFonts w:ascii="Times New Roman" w:hAnsi="Times New Roman" w:eastAsia="宋体" w:cs="Times New Roman"/>
                <w:color w:val="0D0D0D"/>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宋体" w:hAnsi="宋体" w:eastAsia="宋体" w:cs="宋体"/>
                <w:color w:val="0D0D0D"/>
                <w:kern w:val="0"/>
                <w:sz w:val="24"/>
                <w:szCs w:val="24"/>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FF0000"/>
                <w:sz w:val="24"/>
                <w:szCs w:val="24"/>
                <w:highlight w:val="none"/>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开标时间</w:t>
            </w:r>
            <w:r>
              <w:rPr>
                <w:rFonts w:hint="eastAsia" w:ascii="Times New Roman" w:hAnsi="宋体" w:eastAsia="宋体" w:cs="Times New Roman"/>
                <w:sz w:val="24"/>
                <w:szCs w:val="24"/>
              </w:rPr>
              <w:t>、地点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不允许</w:t>
            </w:r>
          </w:p>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highlight w:val="yellow"/>
              </w:rPr>
              <w:t>提交</w:t>
            </w:r>
          </w:p>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宋体" w:hAnsi="宋体" w:eastAsia="宋体" w:cs="宋体"/>
                <w:color w:val="000000"/>
                <w:sz w:val="24"/>
                <w:szCs w:val="24"/>
                <w:highlight w:val="none"/>
              </w:rPr>
              <w:t>现</w:t>
            </w:r>
            <w:r>
              <w:rPr>
                <w:rFonts w:hint="eastAsia" w:ascii="宋体" w:hAnsi="宋体" w:eastAsia="宋体" w:cs="宋体"/>
                <w:sz w:val="24"/>
                <w:szCs w:val="24"/>
                <w:highlight w:val="none"/>
              </w:rPr>
              <w:t>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不组织</w:t>
            </w:r>
          </w:p>
          <w:p>
            <w:pPr>
              <w:ind w:right="-105" w:rightChars="-50"/>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hint="eastAsia" w:ascii="Times New Roman" w:hAnsi="宋体" w:eastAsia="宋体" w:cs="Times New Roman"/>
                <w:color w:val="0D0D0D"/>
                <w:sz w:val="24"/>
                <w:szCs w:val="24"/>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不允许</w:t>
            </w:r>
          </w:p>
          <w:p>
            <w:pPr>
              <w:rPr>
                <w:rFonts w:ascii="Times New Roman" w:hAnsi="Times New Roman" w:eastAsia="宋体" w:cs="Times New Roman"/>
                <w:color w:val="0D0D0D"/>
                <w:sz w:val="24"/>
                <w:szCs w:val="24"/>
                <w:highlight w:val="yellow"/>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评标办法</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综合评分法</w:t>
            </w:r>
          </w:p>
          <w:p>
            <w:pPr>
              <w:rPr>
                <w:rFonts w:ascii="Times New Roman" w:hAnsi="Times New Roman" w:eastAsia="宋体" w:cs="Times New Roman"/>
                <w:color w:val="0D0D0D"/>
                <w:sz w:val="24"/>
                <w:szCs w:val="24"/>
                <w:lang w:val="zh-CN"/>
              </w:rPr>
            </w:pPr>
            <w:r>
              <w:rPr>
                <w:rFonts w:hint="eastAsia" w:ascii="Times New Roman" w:hAnsi="Times New Roman" w:eastAsia="宋体" w:cs="Times New Roman"/>
                <w:color w:val="0D0D0D"/>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中小企业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监狱企业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质疑及提交</w:t>
            </w:r>
          </w:p>
        </w:tc>
        <w:tc>
          <w:tcPr>
            <w:tcW w:w="6470"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D0D0D"/>
                <w:sz w:val="24"/>
                <w:szCs w:val="24"/>
              </w:rPr>
            </w:pPr>
            <w:r>
              <w:rPr>
                <w:rFonts w:hint="eastAsia" w:cs="Times New Roman" w:asciiTheme="minorEastAsia" w:hAnsiTheme="minorEastAsia"/>
                <w:color w:val="0D0D0D"/>
                <w:sz w:val="24"/>
                <w:szCs w:val="24"/>
              </w:rPr>
              <w:t>详见本章“质疑及提交”要求</w:t>
            </w:r>
          </w:p>
        </w:tc>
      </w:tr>
    </w:tbl>
    <w:p>
      <w:pPr>
        <w:keepNext/>
        <w:keepLines/>
        <w:numPr>
          <w:ilvl w:val="0"/>
          <w:numId w:val="4"/>
        </w:numPr>
        <w:spacing w:before="100" w:beforeAutospacing="1" w:after="100" w:afterAutospacing="1" w:line="360" w:lineRule="auto"/>
        <w:ind w:left="482" w:hanging="480" w:hangingChars="150"/>
        <w:outlineLvl w:val="1"/>
        <w:rPr>
          <w:rFonts w:ascii="黑体" w:hAnsi="黑体" w:eastAsia="黑体" w:cs="Times New Roman"/>
          <w:b/>
          <w:bCs/>
          <w:sz w:val="32"/>
          <w:szCs w:val="32"/>
          <w:lang w:val="zh-CN"/>
        </w:rPr>
      </w:pPr>
      <w:bookmarkStart w:id="4" w:name="_Toc494561938"/>
      <w:r>
        <w:rPr>
          <w:rFonts w:ascii="黑体" w:hAnsi="黑体" w:eastAsia="黑体" w:cs="Times New Roman"/>
          <w:b/>
          <w:bCs/>
          <w:sz w:val="32"/>
          <w:szCs w:val="32"/>
          <w:lang w:val="zh-CN"/>
        </w:rPr>
        <w:br w:type="page"/>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5" w:name="_Toc495861520"/>
      <w:r>
        <w:rPr>
          <w:rFonts w:hint="eastAsia" w:cs="Times New Roman" w:asciiTheme="majorEastAsia" w:hAnsiTheme="majorEastAsia"/>
          <w:bCs w:val="0"/>
          <w:lang w:val="zh-CN"/>
        </w:rPr>
        <w:t>说  明</w:t>
      </w:r>
      <w:bookmarkEnd w:id="4"/>
      <w:bookmarkEnd w:id="5"/>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cs="Times New Roman" w:asciiTheme="minorEastAsia" w:hAnsiTheme="minorEastAsia"/>
          <w:sz w:val="24"/>
          <w:szCs w:val="24"/>
          <w:lang w:val="zh-CN"/>
        </w:rPr>
        <w:t>详见第一章“投标邀请书”。</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“监管部门”是指：</w:t>
      </w:r>
      <w:r>
        <w:rPr>
          <w:rFonts w:hint="eastAsia" w:cs="Times New Roman" w:asciiTheme="minorEastAsia" w:hAnsiTheme="minorEastAsia"/>
          <w:color w:val="FF0000"/>
          <w:sz w:val="24"/>
          <w:szCs w:val="24"/>
          <w:lang w:val="zh-CN"/>
        </w:rPr>
        <w:t>阳新县政府采购办公室、阳新县公共资源交易监督管理局。</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“采购代理机构”是指：</w:t>
      </w:r>
      <w:r>
        <w:rPr>
          <w:rFonts w:hint="eastAsia" w:ascii="宋体" w:hAnsi="宋体" w:eastAsia="宋体" w:cs="Times New Roman"/>
          <w:b/>
          <w:color w:val="0D0D0D" w:themeColor="text1" w:themeTint="F2"/>
          <w:sz w:val="24"/>
          <w:szCs w:val="24"/>
          <w:u w:val="single"/>
          <w14:textFill>
            <w14:solidFill>
              <w14:schemeClr w14:val="tx1">
                <w14:lumMod w14:val="95000"/>
                <w14:lumOff w14:val="5000"/>
              </w14:schemeClr>
            </w14:solidFill>
          </w14:textFill>
        </w:rPr>
        <w:t>武汉富纳工程咨询有限公司</w:t>
      </w:r>
      <w:r>
        <w:rPr>
          <w:rFonts w:hint="eastAsia" w:cs="Times New Roman" w:asciiTheme="minorEastAsia" w:hAnsiTheme="minorEastAsia"/>
          <w:sz w:val="24"/>
          <w:szCs w:val="24"/>
          <w:lang w:val="zh-CN"/>
        </w:rPr>
        <w:t>。</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7"/>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9"/>
        </w:numPr>
        <w:spacing w:line="360" w:lineRule="auto"/>
        <w:ind w:left="854"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9"/>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8"/>
        </w:numPr>
        <w:spacing w:line="360" w:lineRule="auto"/>
        <w:ind w:left="476" w:hanging="476"/>
        <w:rPr>
          <w:rFonts w:cs="Times New Roman" w:asciiTheme="minorEastAsia" w:hAnsiTheme="minorEastAsia"/>
          <w:b/>
          <w:color w:val="0D0D0D"/>
          <w:sz w:val="24"/>
          <w:szCs w:val="24"/>
          <w:lang w:val="zh-CN"/>
        </w:rPr>
      </w:pPr>
      <w:r>
        <w:rPr>
          <w:rFonts w:hint="eastAsia" w:cs="Times New Roman" w:asciiTheme="minorEastAsia" w:hAnsiTheme="minorEastAsia"/>
          <w:b/>
          <w:color w:val="0D0D0D"/>
          <w:sz w:val="24"/>
          <w:szCs w:val="24"/>
          <w:lang w:val="zh-CN"/>
        </w:rPr>
        <w:t>“工程”是指</w:t>
      </w:r>
      <w:r>
        <w:rPr>
          <w:rFonts w:hint="eastAsia" w:cs="Times New Roman" w:asciiTheme="minorEastAsia" w:hAnsiTheme="minorEastAsia"/>
          <w:color w:val="0D0D0D"/>
          <w:sz w:val="24"/>
          <w:szCs w:val="24"/>
          <w:lang w:val="zh-CN"/>
        </w:rPr>
        <w:t>：与建筑物和构筑物的新建、改建、扩建及其相关的装修、拆除、修缮无关的工程。</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w:t>
      </w:r>
      <w:r>
        <w:rPr>
          <w:rFonts w:hint="eastAsia" w:cs="Times New Roman" w:asciiTheme="minorEastAsia" w:hAnsiTheme="minorEastAsia"/>
          <w:b/>
          <w:color w:val="0D0D0D" w:themeColor="text1" w:themeTint="F2"/>
          <w:sz w:val="24"/>
          <w:szCs w:val="24"/>
          <w:lang w:val="zh-CN"/>
          <w14:textFill>
            <w14:solidFill>
              <w14:schemeClr w14:val="tx1">
                <w14:lumMod w14:val="95000"/>
                <w14:lumOff w14:val="5000"/>
              </w14:schemeClr>
            </w14:solidFill>
          </w14:textFill>
        </w:rPr>
        <w:t>是指：</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除货物和工程（含本章3.2条所述工程及《招标投标法》所定义工程）以外的其他政府采购对象,包括政府自身需要的服务和政府向社会公众提供的公共服务。</w:t>
      </w:r>
    </w:p>
    <w:p>
      <w:pPr>
        <w:numPr>
          <w:ilvl w:val="0"/>
          <w:numId w:val="8"/>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投标费用</w:t>
      </w:r>
    </w:p>
    <w:p>
      <w:pPr>
        <w:numPr>
          <w:ilvl w:val="0"/>
          <w:numId w:val="10"/>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投标人应承担所有与准备和参加投标有关的费用。不论投标的结果如何，采购代理机构和采购人均无义务和责任承担这些费用。</w:t>
      </w:r>
    </w:p>
    <w:p>
      <w:pPr>
        <w:pStyle w:val="45"/>
        <w:numPr>
          <w:ilvl w:val="0"/>
          <w:numId w:val="10"/>
        </w:numPr>
        <w:adjustRightInd w:val="0"/>
        <w:snapToGrid w:val="0"/>
        <w:spacing w:line="300" w:lineRule="auto"/>
        <w:ind w:firstLineChars="0"/>
        <w:rPr>
          <w:rFonts w:ascii="宋体" w:hAnsi="宋体"/>
          <w:bCs/>
          <w:sz w:val="24"/>
          <w:szCs w:val="24"/>
        </w:rPr>
      </w:pPr>
      <w:r>
        <w:rPr>
          <w:rFonts w:hint="eastAsia" w:ascii="宋体" w:hAnsi="宋体"/>
          <w:sz w:val="24"/>
          <w:szCs w:val="24"/>
        </w:rPr>
        <w:t>采购代理服务费</w:t>
      </w:r>
    </w:p>
    <w:p>
      <w:pPr>
        <w:pStyle w:val="45"/>
        <w:numPr>
          <w:ilvl w:val="0"/>
          <w:numId w:val="11"/>
        </w:numPr>
        <w:ind w:hanging="567" w:firstLineChars="0"/>
        <w:rPr>
          <w:rFonts w:ascii="宋体" w:hAnsi="宋体"/>
          <w:b/>
          <w:sz w:val="24"/>
          <w:szCs w:val="24"/>
        </w:rPr>
      </w:pPr>
      <w:r>
        <w:rPr>
          <w:rFonts w:hint="eastAsia" w:ascii="宋体" w:hAnsi="宋体"/>
          <w:b/>
          <w:sz w:val="24"/>
          <w:szCs w:val="24"/>
        </w:rPr>
        <w:t>经过采购代理机构与采购人协议，规定由中标单位支付。采购代理服务费收费标准如下：</w:t>
      </w:r>
    </w:p>
    <w:p>
      <w:pPr>
        <w:pStyle w:val="45"/>
        <w:numPr>
          <w:ilvl w:val="0"/>
          <w:numId w:val="0"/>
        </w:numPr>
        <w:ind w:leftChars="0"/>
        <w:rPr>
          <w:rFonts w:hint="eastAsia" w:ascii="宋体" w:hAnsi="宋体"/>
          <w:b/>
          <w:sz w:val="24"/>
          <w:szCs w:val="24"/>
        </w:rPr>
      </w:pPr>
    </w:p>
    <w:p>
      <w:pPr>
        <w:pStyle w:val="45"/>
        <w:numPr>
          <w:ilvl w:val="0"/>
          <w:numId w:val="0"/>
        </w:numPr>
        <w:ind w:leftChars="0"/>
        <w:rPr>
          <w:rFonts w:hint="eastAsia" w:ascii="宋体" w:hAnsi="宋体"/>
          <w:b/>
          <w:sz w:val="24"/>
          <w:szCs w:val="24"/>
        </w:rPr>
      </w:pPr>
    </w:p>
    <w:tbl>
      <w:tblPr>
        <w:tblStyle w:val="19"/>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4" w:hRule="atLeast"/>
          <w:jc w:val="center"/>
        </w:trPr>
        <w:tc>
          <w:tcPr>
            <w:tcW w:w="2475" w:type="dxa"/>
          </w:tcPr>
          <w:p>
            <w:pPr>
              <w:spacing w:line="300" w:lineRule="auto"/>
              <w:ind w:firstLine="998" w:firstLineChars="416"/>
              <w:rPr>
                <w:rFonts w:ascii="宋体" w:hAnsi="宋体" w:cs="宋体"/>
                <w:sz w:val="24"/>
              </w:rPr>
            </w:pP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101600</wp:posOffset>
                      </wp:positionV>
                      <wp:extent cx="1410970" cy="869950"/>
                      <wp:effectExtent l="2540" t="3810" r="15240" b="21590"/>
                      <wp:wrapNone/>
                      <wp:docPr id="22" name="直接连接符 22"/>
                      <wp:cNvGraphicFramePr/>
                      <a:graphic xmlns:a="http://schemas.openxmlformats.org/drawingml/2006/main">
                        <a:graphicData uri="http://schemas.microsoft.com/office/word/2010/wordprocessingShape">
                          <wps:wsp>
                            <wps:cNvCnPr/>
                            <wps:spPr>
                              <a:xfrm flipH="1" flipV="1">
                                <a:off x="0" y="0"/>
                                <a:ext cx="1410970" cy="8699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1.05pt;margin-top:8pt;height:68.5pt;width:111.1pt;z-index:251660288;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BGc6zRAAAACQEAAA8AAAAAAAAAAQAgAAAAIgAAAGRycy9k&#10;b3ducmV2LnhtbFBLAQIUABQAAAAIAIdO4kB2AIncCQIAAP8DAAAOAAAAAAAAAAEAIAAAACABAABk&#10;cnMvZTJvRG9jLnhtbFBLBQYAAAAABgAGAFkBAACbBQ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23" name="直接连接符 23"/>
                      <wp:cNvGraphicFramePr/>
                      <a:graphic xmlns:a="http://schemas.openxmlformats.org/drawingml/2006/main">
                        <a:graphicData uri="http://schemas.microsoft.com/office/word/2010/wordprocessingShape">
                          <wps:wsp>
                            <wps:cNvCnPr/>
                            <wps:spPr>
                              <a:xfrm flipH="1" flipV="1">
                                <a:off x="0" y="0"/>
                                <a:ext cx="1597025" cy="4210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5.15pt;margin-top:4.3pt;height:33.15pt;width:125.75pt;z-index:251661312;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i4ChtUAAAAIAQAADwAAAAAAAAABACAAAAAiAAAAZHJzL2Rv&#10;d25yZXYueG1sUEsBAhQAFAAAAAgAh07iQO7ZygYEAgAA/wMAAA4AAAAAAAAAAQAgAAAAJAEAAGRy&#10;cy9lMm9Eb2MueG1sUEsFBgAAAAAGAAYAWQEAAJoFA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Vxb9d/EBAADi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7Lh8xlnDix1/Pbz&#10;j1+fvt79/ELr7fdvjE5IpiFgTdHXbh2POwzrmDnv22jzn9iwfZH2cJJW7RMT5Lx8fsGZuPdXD5dC&#10;xPRaecuy0XCjXWYMNezeYKJEFHofkt3GsaHhLy/mGQ5o/FpqO5k2EAV0XbmL3mh5o43JNzB2m2sT&#10;2Q7yCJQv0yHcv8JykhVgP8aVo3E4egXylZMsHQJp4+hN8FyCVZIzo+gJZYsAoU6gzTmRlNo4qiAr&#10;OmqYrY2XB2rFNkTd9aREEb3EUOtLvccxzbP1574gPTzN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kdN+1QAAAAkBAAAPAAAAAAAAAAEAIAAAACIAAABkcnMvZG93bnJldi54bWxQSwECFAAUAAAA&#10;CACHTuJAVxb9d/EBAADiAwAADgAAAAAAAAABACAAAAAkAQAAZHJzL2Uyb0RvYy54bWxQSwUGAAAA&#10;AAYABgBZAQAAhwUAAAAA&#10;">
                      <v:fill on="f" focussize="0,0"/>
                      <v:stroke color="#000000" joinstyle="round"/>
                      <v:imagedata o:title=""/>
                      <o:lock v:ext="edit" aspectratio="f"/>
                    </v:line>
                  </w:pict>
                </mc:Fallback>
              </mc:AlternateContent>
            </w:r>
            <w:r>
              <w:rPr>
                <w:rFonts w:hint="eastAsia" w:ascii="宋体" w:hAnsi="宋体" w:cs="宋体"/>
                <w:sz w:val="24"/>
              </w:rPr>
              <w:t>招标类型　　　</w:t>
            </w:r>
          </w:p>
          <w:p>
            <w:pPr>
              <w:spacing w:line="300" w:lineRule="auto"/>
              <w:ind w:firstLine="998" w:firstLineChars="416"/>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00" w:lineRule="auto"/>
              <w:ind w:firstLine="1504" w:firstLineChars="627"/>
              <w:rPr>
                <w:rFonts w:ascii="宋体" w:hAnsi="宋体" w:cs="宋体"/>
                <w:bCs/>
                <w:sz w:val="24"/>
              </w:rPr>
            </w:pPr>
            <w:r>
              <w:rPr>
                <w:rFonts w:hint="eastAsia" w:ascii="宋体" w:hAnsi="宋体" w:cs="宋体"/>
                <w:bCs/>
                <w:sz w:val="24"/>
              </w:rPr>
              <w:t>费率</w:t>
            </w:r>
          </w:p>
          <w:p>
            <w:pPr>
              <w:spacing w:line="300" w:lineRule="auto"/>
              <w:rPr>
                <w:rFonts w:ascii="宋体" w:hAnsi="宋体" w:cs="宋体"/>
                <w:sz w:val="24"/>
              </w:rPr>
            </w:pPr>
            <w:r>
              <w:rPr>
                <w:rFonts w:hint="eastAsia" w:ascii="宋体" w:hAnsi="宋体" w:cs="宋体"/>
                <w:sz w:val="24"/>
              </w:rPr>
              <w:t>金额（万元）</w:t>
            </w:r>
          </w:p>
        </w:tc>
        <w:tc>
          <w:tcPr>
            <w:tcW w:w="2028" w:type="dxa"/>
            <w:vAlign w:val="center"/>
          </w:tcPr>
          <w:p>
            <w:pPr>
              <w:spacing w:line="300" w:lineRule="auto"/>
              <w:jc w:val="center"/>
              <w:rPr>
                <w:rFonts w:ascii="宋体" w:hAnsi="宋体" w:cs="宋体"/>
                <w:sz w:val="24"/>
              </w:rPr>
            </w:pPr>
            <w:r>
              <w:rPr>
                <w:rFonts w:hint="eastAsia" w:ascii="宋体" w:hAnsi="宋体" w:cs="宋体"/>
                <w:sz w:val="24"/>
              </w:rPr>
              <w:t>货物招标</w:t>
            </w:r>
          </w:p>
        </w:tc>
        <w:tc>
          <w:tcPr>
            <w:tcW w:w="1842" w:type="dxa"/>
            <w:vAlign w:val="center"/>
          </w:tcPr>
          <w:p>
            <w:pPr>
              <w:spacing w:line="300" w:lineRule="auto"/>
              <w:jc w:val="center"/>
              <w:rPr>
                <w:rFonts w:ascii="宋体" w:hAnsi="宋体" w:cs="宋体"/>
                <w:sz w:val="24"/>
              </w:rPr>
            </w:pPr>
            <w:r>
              <w:rPr>
                <w:rFonts w:hint="eastAsia" w:ascii="宋体" w:hAnsi="宋体" w:cs="宋体"/>
                <w:sz w:val="24"/>
              </w:rPr>
              <w:t>服务招标</w:t>
            </w:r>
          </w:p>
        </w:tc>
        <w:tc>
          <w:tcPr>
            <w:tcW w:w="1985" w:type="dxa"/>
            <w:vAlign w:val="center"/>
          </w:tcPr>
          <w:p>
            <w:pPr>
              <w:spacing w:line="300" w:lineRule="auto"/>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75" w:type="dxa"/>
          </w:tcPr>
          <w:p>
            <w:pPr>
              <w:spacing w:line="300" w:lineRule="auto"/>
              <w:jc w:val="center"/>
              <w:rPr>
                <w:rFonts w:ascii="宋体" w:hAnsi="宋体" w:cs="宋体"/>
                <w:sz w:val="24"/>
              </w:rPr>
            </w:pPr>
            <w:r>
              <w:rPr>
                <w:rFonts w:hint="eastAsia" w:ascii="宋体" w:hAnsi="宋体" w:cs="宋体"/>
                <w:sz w:val="24"/>
              </w:rPr>
              <w:t>100以下</w:t>
            </w:r>
          </w:p>
        </w:tc>
        <w:tc>
          <w:tcPr>
            <w:tcW w:w="2028" w:type="dxa"/>
          </w:tcPr>
          <w:p>
            <w:pPr>
              <w:spacing w:line="300" w:lineRule="auto"/>
              <w:jc w:val="center"/>
              <w:rPr>
                <w:rFonts w:ascii="宋体" w:hAnsi="宋体" w:cs="宋体"/>
                <w:sz w:val="24"/>
              </w:rPr>
            </w:pPr>
            <w:r>
              <w:rPr>
                <w:rFonts w:hint="eastAsia" w:ascii="宋体" w:hAnsi="宋体" w:cs="宋体"/>
                <w:sz w:val="24"/>
              </w:rPr>
              <w:t>1.5%</w:t>
            </w:r>
          </w:p>
        </w:tc>
        <w:tc>
          <w:tcPr>
            <w:tcW w:w="1842" w:type="dxa"/>
          </w:tcPr>
          <w:p>
            <w:pPr>
              <w:spacing w:line="300" w:lineRule="auto"/>
              <w:jc w:val="center"/>
              <w:rPr>
                <w:rFonts w:ascii="宋体" w:hAnsi="宋体" w:cs="宋体"/>
                <w:sz w:val="24"/>
              </w:rPr>
            </w:pPr>
            <w:r>
              <w:rPr>
                <w:rFonts w:hint="eastAsia" w:ascii="宋体" w:hAnsi="宋体" w:cs="宋体"/>
                <w:sz w:val="24"/>
              </w:rPr>
              <w:t>1.5%</w:t>
            </w:r>
          </w:p>
        </w:tc>
        <w:tc>
          <w:tcPr>
            <w:tcW w:w="1985" w:type="dxa"/>
          </w:tcPr>
          <w:p>
            <w:pPr>
              <w:spacing w:line="300" w:lineRule="auto"/>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475" w:type="dxa"/>
          </w:tcPr>
          <w:p>
            <w:pPr>
              <w:spacing w:line="300" w:lineRule="auto"/>
              <w:jc w:val="center"/>
              <w:rPr>
                <w:rFonts w:ascii="宋体" w:hAnsi="宋体" w:cs="宋体"/>
                <w:sz w:val="24"/>
              </w:rPr>
            </w:pPr>
            <w:r>
              <w:rPr>
                <w:rFonts w:hint="eastAsia" w:ascii="宋体" w:hAnsi="宋体" w:cs="宋体"/>
                <w:sz w:val="24"/>
              </w:rPr>
              <w:t>100-500</w:t>
            </w:r>
          </w:p>
        </w:tc>
        <w:tc>
          <w:tcPr>
            <w:tcW w:w="2028" w:type="dxa"/>
          </w:tcPr>
          <w:p>
            <w:pPr>
              <w:spacing w:line="300" w:lineRule="auto"/>
              <w:jc w:val="center"/>
              <w:rPr>
                <w:rFonts w:ascii="宋体" w:hAnsi="宋体" w:cs="宋体"/>
                <w:sz w:val="24"/>
              </w:rPr>
            </w:pPr>
            <w:r>
              <w:rPr>
                <w:rFonts w:hint="eastAsia" w:ascii="宋体" w:hAnsi="宋体" w:cs="宋体"/>
                <w:sz w:val="24"/>
              </w:rPr>
              <w:t>1.1%</w:t>
            </w:r>
          </w:p>
        </w:tc>
        <w:tc>
          <w:tcPr>
            <w:tcW w:w="1842" w:type="dxa"/>
          </w:tcPr>
          <w:p>
            <w:pPr>
              <w:spacing w:line="300" w:lineRule="auto"/>
              <w:jc w:val="center"/>
              <w:rPr>
                <w:rFonts w:ascii="宋体" w:hAnsi="宋体" w:cs="宋体"/>
                <w:sz w:val="24"/>
              </w:rPr>
            </w:pPr>
            <w:r>
              <w:rPr>
                <w:rFonts w:hint="eastAsia" w:ascii="宋体" w:hAnsi="宋体" w:cs="宋体"/>
                <w:sz w:val="24"/>
              </w:rPr>
              <w:t>0.8%</w:t>
            </w:r>
          </w:p>
        </w:tc>
        <w:tc>
          <w:tcPr>
            <w:tcW w:w="1985" w:type="dxa"/>
          </w:tcPr>
          <w:p>
            <w:pPr>
              <w:spacing w:line="300" w:lineRule="auto"/>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475" w:type="dxa"/>
          </w:tcPr>
          <w:p>
            <w:pPr>
              <w:spacing w:line="300" w:lineRule="auto"/>
              <w:jc w:val="center"/>
              <w:rPr>
                <w:rFonts w:ascii="宋体" w:hAnsi="宋体" w:cs="宋体"/>
                <w:sz w:val="24"/>
              </w:rPr>
            </w:pPr>
            <w:r>
              <w:rPr>
                <w:rFonts w:hint="eastAsia" w:ascii="宋体" w:hAnsi="宋体" w:cs="宋体"/>
                <w:sz w:val="24"/>
              </w:rPr>
              <w:t>500-1000</w:t>
            </w:r>
          </w:p>
        </w:tc>
        <w:tc>
          <w:tcPr>
            <w:tcW w:w="2028" w:type="dxa"/>
          </w:tcPr>
          <w:p>
            <w:pPr>
              <w:spacing w:line="300" w:lineRule="auto"/>
              <w:jc w:val="center"/>
              <w:rPr>
                <w:rFonts w:ascii="宋体" w:hAnsi="宋体" w:cs="宋体"/>
                <w:sz w:val="24"/>
              </w:rPr>
            </w:pPr>
            <w:r>
              <w:rPr>
                <w:rFonts w:hint="eastAsia" w:ascii="宋体" w:hAnsi="宋体" w:cs="宋体"/>
                <w:sz w:val="24"/>
              </w:rPr>
              <w:t>0.8%</w:t>
            </w:r>
          </w:p>
        </w:tc>
        <w:tc>
          <w:tcPr>
            <w:tcW w:w="1842" w:type="dxa"/>
          </w:tcPr>
          <w:p>
            <w:pPr>
              <w:spacing w:line="300" w:lineRule="auto"/>
              <w:jc w:val="center"/>
              <w:rPr>
                <w:rFonts w:ascii="宋体" w:hAnsi="宋体" w:cs="宋体"/>
                <w:sz w:val="24"/>
              </w:rPr>
            </w:pPr>
            <w:r>
              <w:rPr>
                <w:rFonts w:hint="eastAsia" w:ascii="宋体" w:hAnsi="宋体" w:cs="宋体"/>
                <w:sz w:val="24"/>
              </w:rPr>
              <w:t>0.45%</w:t>
            </w:r>
          </w:p>
        </w:tc>
        <w:tc>
          <w:tcPr>
            <w:tcW w:w="1985" w:type="dxa"/>
          </w:tcPr>
          <w:p>
            <w:pPr>
              <w:spacing w:line="300" w:lineRule="auto"/>
              <w:jc w:val="center"/>
              <w:rPr>
                <w:rFonts w:ascii="宋体" w:hAnsi="宋体" w:cs="宋体"/>
                <w:sz w:val="24"/>
              </w:rPr>
            </w:pPr>
            <w:r>
              <w:rPr>
                <w:rFonts w:hint="eastAsia" w:ascii="宋体" w:hAnsi="宋体" w:cs="宋体"/>
                <w:sz w:val="24"/>
              </w:rPr>
              <w:t>0.55％</w:t>
            </w:r>
          </w:p>
        </w:tc>
      </w:tr>
    </w:tbl>
    <w:p>
      <w:pPr>
        <w:pStyle w:val="45"/>
        <w:adjustRightInd w:val="0"/>
        <w:snapToGrid w:val="0"/>
        <w:spacing w:line="300" w:lineRule="auto"/>
        <w:ind w:left="420" w:firstLine="0" w:firstLineChars="0"/>
        <w:rPr>
          <w:rFonts w:ascii="宋体" w:hAnsi="宋体"/>
          <w:b/>
          <w:sz w:val="24"/>
          <w:szCs w:val="24"/>
        </w:rPr>
      </w:pPr>
    </w:p>
    <w:p>
      <w:pPr>
        <w:pStyle w:val="45"/>
        <w:numPr>
          <w:ilvl w:val="0"/>
          <w:numId w:val="11"/>
        </w:numPr>
        <w:ind w:hanging="567" w:firstLineChars="0"/>
        <w:rPr>
          <w:rFonts w:ascii="宋体" w:hAnsi="宋体"/>
          <w:b/>
          <w:sz w:val="24"/>
          <w:szCs w:val="24"/>
        </w:rPr>
      </w:pPr>
      <w:r>
        <w:rPr>
          <w:rFonts w:ascii="宋体" w:hAnsi="宋体"/>
          <w:b/>
          <w:sz w:val="24"/>
          <w:szCs w:val="24"/>
        </w:rPr>
        <w:t>公共资源交易平台信息服务费由公共资源交易经办机构向中标人收取。公共资源交易平台信息费收费标准参照湖北省物价局和湖北省公共资源交易监督管理局联合下发的《关于降低公共资源交易平台信息服务收费标准的通知》（鄂价工服[2017]61号）文件执行。</w:t>
      </w:r>
    </w:p>
    <w:p>
      <w:pPr>
        <w:pStyle w:val="45"/>
        <w:numPr>
          <w:ilvl w:val="0"/>
          <w:numId w:val="11"/>
        </w:numPr>
        <w:ind w:hanging="567" w:firstLineChars="0"/>
        <w:rPr>
          <w:rFonts w:hint="eastAsia" w:ascii="宋体" w:hAnsi="宋体"/>
          <w:b/>
          <w:sz w:val="24"/>
          <w:szCs w:val="24"/>
        </w:rPr>
      </w:pPr>
      <w:r>
        <w:rPr>
          <w:rFonts w:hint="eastAsia" w:ascii="宋体" w:hAnsi="宋体"/>
          <w:b/>
          <w:sz w:val="24"/>
          <w:szCs w:val="24"/>
        </w:rPr>
        <w:t>服务费缴纳账户</w:t>
      </w:r>
    </w:p>
    <w:p>
      <w:pPr>
        <w:pStyle w:val="45"/>
        <w:numPr>
          <w:ilvl w:val="0"/>
          <w:numId w:val="0"/>
        </w:numPr>
        <w:ind w:leftChars="0" w:firstLine="720" w:firstLineChars="300"/>
        <w:rPr>
          <w:rFonts w:hint="eastAsia" w:ascii="宋体" w:hAnsi="宋体"/>
          <w:b/>
          <w:sz w:val="24"/>
          <w:szCs w:val="24"/>
        </w:rPr>
      </w:pPr>
      <w:r>
        <w:rPr>
          <w:rFonts w:hint="eastAsia" w:ascii="宋体" w:hAnsi="宋体"/>
          <w:b/>
          <w:sz w:val="24"/>
          <w:szCs w:val="24"/>
        </w:rPr>
        <w:t>公司户名：武汉富纳工程咨询有限公司</w:t>
      </w:r>
    </w:p>
    <w:p>
      <w:pPr>
        <w:pStyle w:val="45"/>
        <w:numPr>
          <w:ilvl w:val="0"/>
          <w:numId w:val="0"/>
        </w:numPr>
        <w:ind w:leftChars="0" w:firstLine="720" w:firstLineChars="300"/>
        <w:rPr>
          <w:rFonts w:hint="eastAsia" w:ascii="宋体" w:hAnsi="宋体"/>
          <w:b/>
          <w:sz w:val="24"/>
          <w:szCs w:val="24"/>
        </w:rPr>
      </w:pPr>
      <w:r>
        <w:rPr>
          <w:rFonts w:hint="eastAsia" w:ascii="宋体" w:hAnsi="宋体"/>
          <w:b/>
          <w:sz w:val="24"/>
          <w:szCs w:val="24"/>
        </w:rPr>
        <w:t>开户行：中国工商银行股份有限公司武汉徐家棚支行</w:t>
      </w:r>
    </w:p>
    <w:p>
      <w:pPr>
        <w:pStyle w:val="45"/>
        <w:numPr>
          <w:ilvl w:val="0"/>
          <w:numId w:val="0"/>
        </w:numPr>
        <w:ind w:leftChars="0" w:firstLine="720" w:firstLineChars="300"/>
        <w:rPr>
          <w:rFonts w:ascii="宋体" w:hAnsi="宋体"/>
          <w:b/>
          <w:sz w:val="24"/>
          <w:szCs w:val="24"/>
        </w:rPr>
      </w:pPr>
      <w:r>
        <w:rPr>
          <w:rFonts w:hint="eastAsia" w:ascii="宋体" w:hAnsi="宋体"/>
          <w:b/>
          <w:sz w:val="24"/>
          <w:szCs w:val="24"/>
        </w:rPr>
        <w:t>账号：3202 0061 0920 0170 550</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6" w:name="_Toc272247695"/>
      <w:bookmarkStart w:id="7" w:name="_Toc278891592"/>
      <w:bookmarkStart w:id="8" w:name="_Toc495861521"/>
      <w:bookmarkStart w:id="9" w:name="_Toc494561939"/>
      <w:r>
        <w:rPr>
          <w:rFonts w:hint="eastAsia" w:cs="Times New Roman" w:asciiTheme="majorEastAsia" w:hAnsiTheme="majorEastAsia"/>
          <w:bCs w:val="0"/>
          <w:lang w:val="zh-CN"/>
        </w:rPr>
        <w:t>招标文件</w:t>
      </w:r>
      <w:bookmarkEnd w:id="6"/>
      <w:bookmarkEnd w:id="7"/>
      <w:bookmarkEnd w:id="8"/>
      <w:bookmarkEnd w:id="9"/>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在招标过程中由采购代理机构发出的修正和补充文件等</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潜在投标人对招标文件有疑问的，可以向采购代理机构提出询问，或在6.2规定的时间前以书面的形式向采购代理机构提交疑问函。</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3"/>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采购代理机构和采购人可以对已发出的招标文件进行必要的澄清或者修改。</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w:t>
      </w:r>
      <w:r>
        <w:rPr>
          <w:rFonts w:hint="eastAsia" w:ascii="宋体" w:hAnsi="宋体" w:eastAsia="宋体" w:cs="Times New Roman"/>
          <w:sz w:val="24"/>
          <w:szCs w:val="20"/>
          <w:lang w:val="zh-CN"/>
        </w:rPr>
        <w:t>采购代理机构</w:t>
      </w:r>
      <w:r>
        <w:rPr>
          <w:rFonts w:hint="eastAsia" w:ascii="Helvetica" w:hAnsi="Helvetica" w:eastAsia="宋体" w:cs="Helvetica"/>
          <w:kern w:val="0"/>
          <w:sz w:val="24"/>
          <w:szCs w:val="24"/>
          <w:lang w:val="zh-CN"/>
        </w:rPr>
        <w:t>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w:t>
      </w:r>
      <w:r>
        <w:rPr>
          <w:rFonts w:hint="eastAsia" w:ascii="宋体" w:hAnsi="宋体" w:eastAsia="宋体" w:cs="Times New Roman"/>
          <w:sz w:val="24"/>
          <w:szCs w:val="20"/>
          <w:lang w:val="zh-CN"/>
        </w:rPr>
        <w:t>（或网上公告）</w:t>
      </w:r>
      <w:r>
        <w:rPr>
          <w:rFonts w:hint="eastAsia" w:ascii="Helvetica" w:hAnsi="Helvetica" w:eastAsia="宋体" w:cs="Helvetica"/>
          <w:kern w:val="0"/>
          <w:sz w:val="24"/>
          <w:szCs w:val="24"/>
          <w:lang w:val="zh-CN"/>
        </w:rPr>
        <w:t>形式通知所有获取招标文件的潜在投标人。</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4"/>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4"/>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4"/>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0" w:name="_Toc494561940"/>
      <w:bookmarkStart w:id="11" w:name="_Toc278891593"/>
      <w:bookmarkStart w:id="12" w:name="_Toc495861522"/>
      <w:bookmarkStart w:id="13" w:name="_Toc272247696"/>
      <w:r>
        <w:rPr>
          <w:rFonts w:hint="eastAsia" w:cs="Times New Roman" w:asciiTheme="majorEastAsia" w:hAnsiTheme="majorEastAsia"/>
          <w:bCs w:val="0"/>
          <w:lang w:val="zh-CN"/>
        </w:rPr>
        <w:t>投标文件</w:t>
      </w:r>
      <w:bookmarkEnd w:id="10"/>
      <w:bookmarkEnd w:id="11"/>
      <w:bookmarkEnd w:id="12"/>
      <w:bookmarkEnd w:id="13"/>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招标文件有分包要求，投标人对招标文件中多个包进行投标的，其投标文件的编制应按每包要求分别装订和封装，并注明对应包号。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5"/>
        </w:numPr>
        <w:spacing w:line="360" w:lineRule="auto"/>
        <w:ind w:left="616" w:hanging="616"/>
        <w:rPr>
          <w:rFonts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pP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投标人应对投标文件中所提供资料的真实性负责，</w:t>
      </w:r>
      <w:r>
        <w:rPr>
          <w:rFonts w:hint="eastAsia" w:cs="Times New Roman" w:asciiTheme="minorEastAsia" w:hAnsiTheme="minorEastAsia"/>
          <w:sz w:val="24"/>
          <w:szCs w:val="24"/>
          <w:lang w:val="zh-CN"/>
        </w:rPr>
        <w:t>若有虚假</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，将依法承担相应责任。投标人应自觉接受采购代理机构对其中任何资料进一步核实的要求。</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spacing w:line="360" w:lineRule="auto"/>
        <w:ind w:left="566" w:hanging="564" w:hangingChars="235"/>
        <w:rPr>
          <w:rFonts w:ascii="宋体" w:hAnsi="宋体" w:eastAsia="宋体" w:cs="Times New Roman"/>
          <w:b/>
          <w:sz w:val="24"/>
          <w:szCs w:val="20"/>
        </w:rPr>
      </w:pPr>
      <w:r>
        <w:rPr>
          <w:rFonts w:hint="eastAsia" w:cs="Times New Roman" w:asciiTheme="minorEastAsia" w:hAnsiTheme="minorEastAsia"/>
          <w:b/>
          <w:sz w:val="24"/>
          <w:szCs w:val="24"/>
        </w:rPr>
        <w:t>11.7</w:t>
      </w:r>
      <w:r>
        <w:rPr>
          <w:rFonts w:hint="eastAsia" w:cs="Times New Roman" w:asciiTheme="minorEastAsia" w:hAnsiTheme="minorEastAsia"/>
          <w:b/>
          <w:sz w:val="24"/>
          <w:szCs w:val="24"/>
          <w:lang w:val="zh-CN"/>
        </w:rPr>
        <w:t>投标人应将投标文件第一部分资格证明文件、第二部分商务文件、第三部分技术、服务文件分册编制装订，分别逐页连续标注页码，建立目录索引。</w:t>
      </w:r>
      <w:r>
        <w:rPr>
          <w:rFonts w:hint="eastAsia" w:ascii="宋体" w:hAnsi="宋体" w:eastAsia="宋体" w:cs="Times New Roman"/>
          <w:b/>
          <w:sz w:val="24"/>
          <w:szCs w:val="20"/>
          <w:lang w:val="zh-CN"/>
        </w:rPr>
        <w:t>各部分文件及内容详见第七章“投标文件格式”要求。</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《投标报价明细表》填写时应响应下列要求：</w:t>
      </w:r>
    </w:p>
    <w:p>
      <w:pPr>
        <w:numPr>
          <w:ilvl w:val="0"/>
          <w:numId w:val="17"/>
        </w:numPr>
        <w:spacing w:line="360" w:lineRule="auto"/>
        <w:ind w:left="980" w:hanging="854"/>
        <w:rPr>
          <w:rFonts w:cs="Times New Roman" w:asciiTheme="minorEastAsia" w:hAnsiTheme="minorEastAsia"/>
          <w:sz w:val="24"/>
          <w:szCs w:val="24"/>
          <w:lang w:val="zh-CN"/>
        </w:rPr>
      </w:pPr>
      <w:r>
        <w:rPr>
          <w:rFonts w:hint="eastAsia" w:ascii="宋体" w:hAnsi="宋体"/>
          <w:sz w:val="24"/>
        </w:rPr>
        <w:t>应包括所有根据合同或其他原因由投标人支付的款项、费用</w:t>
      </w:r>
      <w:r>
        <w:rPr>
          <w:rFonts w:hint="eastAsia" w:cs="Times New Roman" w:asciiTheme="minorEastAsia" w:hAnsiTheme="minorEastAsia"/>
          <w:sz w:val="24"/>
          <w:szCs w:val="24"/>
          <w:lang w:val="zh-CN"/>
        </w:rPr>
        <w:t>；</w:t>
      </w:r>
    </w:p>
    <w:p>
      <w:pPr>
        <w:numPr>
          <w:ilvl w:val="0"/>
          <w:numId w:val="17"/>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应包含货物运至最终目的地的运输、保险和伴随货物（工程或服务）的有关费用；</w:t>
      </w:r>
    </w:p>
    <w:p>
      <w:pPr>
        <w:numPr>
          <w:ilvl w:val="0"/>
          <w:numId w:val="17"/>
        </w:numPr>
        <w:spacing w:line="360" w:lineRule="auto"/>
        <w:ind w:left="980" w:hanging="854"/>
        <w:rPr>
          <w:rFonts w:cs="Courier New" w:asciiTheme="minorEastAsia" w:hAnsiTheme="minorEastAsia"/>
          <w:sz w:val="24"/>
          <w:szCs w:val="24"/>
          <w:lang w:val="zh-CN"/>
        </w:rPr>
      </w:pPr>
      <w:r>
        <w:rPr>
          <w:rFonts w:hint="eastAsia" w:cs="Times New Roman" w:asciiTheme="minorEastAsia" w:hAnsiTheme="minorEastAsia"/>
          <w:sz w:val="24"/>
          <w:szCs w:val="24"/>
          <w:lang w:val="zh-CN"/>
        </w:rPr>
        <w:t>应详细提供《投标报价明细表》和《投标货物、服务清单》等内容，否则按照</w:t>
      </w:r>
      <w:r>
        <w:rPr>
          <w:rFonts w:hint="eastAsia" w:cs="Times New Roman" w:asciiTheme="minorEastAsia" w:hAnsiTheme="minorEastAsia"/>
          <w:b/>
          <w:sz w:val="24"/>
          <w:szCs w:val="24"/>
          <w:lang w:val="zh-CN"/>
        </w:rPr>
        <w:t>无效投标处理。</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r>
        <w:rPr>
          <w:rFonts w:hint="eastAsia" w:cs="Times New Roman" w:asciiTheme="minorEastAsia" w:hAnsiTheme="minorEastAsia"/>
          <w:sz w:val="24"/>
          <w:szCs w:val="24"/>
          <w:lang w:val="zh-CN"/>
        </w:rPr>
        <w:t>否则中标后不允许分包。</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两个及以上投标人可以组成一个联合体，以一个投标人的身份共同参与投标。</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以联合体形式参加政府采购活动的，联合体各方不得再单独参加或者与其他投标人另外组成联合体参加同一合同项下的政府采购活动。</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签订采购合同，</w:t>
      </w:r>
      <w:r>
        <w:rPr>
          <w:rFonts w:hint="eastAsia" w:ascii="宋体" w:hAnsi="宋体"/>
          <w:color w:val="0D0D0D" w:themeColor="text1" w:themeTint="F2"/>
          <w:sz w:val="24"/>
          <w14:textFill>
            <w14:solidFill>
              <w14:schemeClr w14:val="tx1">
                <w14:lumMod w14:val="95000"/>
                <w14:lumOff w14:val="5000"/>
              </w14:schemeClr>
            </w14:solidFill>
          </w14:textFill>
        </w:rPr>
        <w:t>就采购合同约定的事项对采购人承担连带责任，</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联合体主体单位负主要</w:t>
      </w:r>
      <w:r>
        <w:rPr>
          <w:rFonts w:hint="eastAsia" w:cs="Times New Roman" w:asciiTheme="minorEastAsia" w:hAnsiTheme="minorEastAsia"/>
          <w:sz w:val="24"/>
          <w:szCs w:val="24"/>
          <w:lang w:val="zh-CN"/>
        </w:rPr>
        <w:t>责任。</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联合体中有同类资质的投标人按照联合体分工承担相同工作的，应当按照资质等级较低的投标人确定资质等级。</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8"/>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资格证明文件正本应为清晰彩色影印件且加盖单位公章，否则按照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。副本可为正本的复印件,但应在副本封面加盖单位公章。</w:t>
      </w:r>
    </w:p>
    <w:p>
      <w:pPr>
        <w:numPr>
          <w:ilvl w:val="0"/>
          <w:numId w:val="19"/>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6"/>
        </w:numPr>
        <w:spacing w:line="360" w:lineRule="auto"/>
        <w:ind w:left="560" w:hanging="560"/>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投标保证金</w:t>
      </w:r>
      <w:r>
        <w:rPr>
          <w:rFonts w:hint="eastAsia" w:cs="Times New Roman" w:asciiTheme="minorEastAsia" w:hAnsiTheme="minorEastAsia"/>
          <w:sz w:val="24"/>
          <w:szCs w:val="24"/>
          <w:lang w:val="zh-CN"/>
        </w:rPr>
        <w:t>（交纳金额及账户信息详见本章“投标须知前附表”中规定）。</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投标人应在投标文件中提供交纳保证金的凭证。</w:t>
      </w:r>
      <w:r>
        <w:rPr>
          <w:rFonts w:hint="eastAsia" w:cs="Times New Roman" w:asciiTheme="minorEastAsia" w:hAnsiTheme="minorEastAsia"/>
          <w:b/>
          <w:sz w:val="24"/>
          <w:szCs w:val="24"/>
          <w:lang w:val="zh-CN"/>
        </w:rPr>
        <w:t>同时参加多个分包的投标人，保证金应按照各包保证金要求分别交纳。</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color w:val="FF0000"/>
          <w:sz w:val="24"/>
          <w:szCs w:val="24"/>
          <w:lang w:val="zh-CN"/>
        </w:rPr>
        <w:t>投标人应在投标文件递交截至时间前</w:t>
      </w:r>
      <w:r>
        <w:rPr>
          <w:rFonts w:hint="eastAsia" w:cs="Times New Roman" w:asciiTheme="minorEastAsia" w:hAnsiTheme="minorEastAsia"/>
          <w:sz w:val="24"/>
          <w:szCs w:val="24"/>
          <w:lang w:val="zh-CN"/>
        </w:rPr>
        <w:t>，按规定将投标保证金汇入</w:t>
      </w:r>
      <w:r>
        <w:rPr>
          <w:rFonts w:hint="eastAsia" w:cs="Times New Roman" w:asciiTheme="minorEastAsia" w:hAnsiTheme="minorEastAsia"/>
          <w:color w:val="FF0000"/>
          <w:sz w:val="24"/>
          <w:szCs w:val="24"/>
          <w:lang w:val="zh-CN"/>
        </w:rPr>
        <w:t>阳新县公共资源交易中心</w:t>
      </w:r>
      <w:r>
        <w:rPr>
          <w:rFonts w:hint="eastAsia" w:cs="Times New Roman" w:asciiTheme="minorEastAsia" w:hAnsiTheme="minorEastAsia"/>
          <w:sz w:val="24"/>
          <w:szCs w:val="24"/>
          <w:lang w:val="zh-CN"/>
        </w:rPr>
        <w:t>专用账户。投标保证金应在投标有效期截止日后的</w:t>
      </w:r>
      <w:r>
        <w:rPr>
          <w:rFonts w:hint="eastAsia" w:cs="Times New Roman" w:asciiTheme="minorEastAsia" w:hAnsiTheme="minorEastAsia"/>
          <w:b/>
          <w:sz w:val="24"/>
          <w:szCs w:val="24"/>
          <w:lang w:val="zh-CN"/>
        </w:rPr>
        <w:t>30</w:t>
      </w:r>
      <w:r>
        <w:rPr>
          <w:rFonts w:hint="eastAsia" w:cs="Times New Roman" w:asciiTheme="minorEastAsia" w:hAnsiTheme="minorEastAsia"/>
          <w:sz w:val="24"/>
          <w:szCs w:val="24"/>
          <w:lang w:val="zh-CN"/>
        </w:rPr>
        <w:t>天期限内有效。</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投标保证金应按以下方式递交：</w:t>
      </w:r>
    </w:p>
    <w:p>
      <w:pPr>
        <w:numPr>
          <w:ilvl w:val="0"/>
          <w:numId w:val="21"/>
        </w:numPr>
        <w:spacing w:line="360" w:lineRule="auto"/>
        <w:ind w:left="980" w:hanging="980"/>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应以电汇或网上银行方式汇入保证金账户，不得以个人名义、不得以现金方式交纳。</w:t>
      </w:r>
    </w:p>
    <w:p>
      <w:pPr>
        <w:numPr>
          <w:ilvl w:val="0"/>
          <w:numId w:val="21"/>
        </w:numPr>
        <w:spacing w:line="360" w:lineRule="auto"/>
        <w:ind w:left="980" w:hanging="980"/>
        <w:rPr>
          <w:rFonts w:cs="Times New Roman" w:asciiTheme="minorEastAsia" w:hAnsiTheme="minorEastAsia"/>
          <w:sz w:val="24"/>
          <w:szCs w:val="24"/>
          <w:lang w:val="zh-CN"/>
        </w:rPr>
      </w:pPr>
      <w:r>
        <w:rPr>
          <w:rFonts w:hint="eastAsia" w:cs="Times New Roman" w:asciiTheme="minorEastAsia" w:hAnsiTheme="minorEastAsia"/>
          <w:color w:val="FF0000"/>
          <w:sz w:val="24"/>
          <w:szCs w:val="24"/>
          <w:lang w:val="zh-CN"/>
        </w:rPr>
        <w:t>到账时间以阳新县公共资源交易中心账户时间为准</w:t>
      </w:r>
      <w:r>
        <w:rPr>
          <w:rFonts w:hint="eastAsia" w:cs="Times New Roman" w:asciiTheme="minorEastAsia" w:hAnsiTheme="minorEastAsia"/>
          <w:sz w:val="24"/>
          <w:szCs w:val="24"/>
          <w:lang w:val="zh-CN"/>
        </w:rPr>
        <w:t>。</w:t>
      </w:r>
    </w:p>
    <w:p>
      <w:pPr>
        <w:numPr>
          <w:ilvl w:val="0"/>
          <w:numId w:val="21"/>
        </w:numPr>
        <w:spacing w:line="360" w:lineRule="auto"/>
        <w:ind w:left="980" w:hanging="980"/>
        <w:rPr>
          <w:rFonts w:cs="Times New Roman" w:asciiTheme="minorEastAsia" w:hAnsiTheme="minorEastAsia"/>
          <w:sz w:val="24"/>
          <w:szCs w:val="24"/>
          <w:lang w:val="zh-CN"/>
        </w:rPr>
      </w:pPr>
      <w:r>
        <w:rPr>
          <w:rFonts w:hint="eastAsia" w:cs="Times New Roman" w:asciiTheme="minorEastAsia" w:hAnsiTheme="minorEastAsia"/>
          <w:sz w:val="24"/>
          <w:szCs w:val="24"/>
          <w:lang w:val="zh-CN"/>
        </w:rPr>
        <w:t>交款凭证备注中应说明项目编号及开标时间。</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未按招标文件要求递交投标保证金，或交纳保证金的账户名称与投标人名称不一致的按照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20"/>
        </w:numPr>
        <w:spacing w:line="360" w:lineRule="auto"/>
        <w:ind w:left="616" w:hanging="616"/>
        <w:rPr>
          <w:rFonts w:cs="Times New Roman" w:asciiTheme="minorEastAsia" w:hAnsiTheme="minorEastAsia"/>
          <w:sz w:val="24"/>
          <w:szCs w:val="24"/>
          <w:lang w:val="zh-CN"/>
        </w:rPr>
      </w:pP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将在自中标通知书发出之日起</w:t>
      </w:r>
      <w:r>
        <w:rPr>
          <w:rFonts w:hint="eastAsia" w:cs="Times New Roman" w:asciiTheme="minorEastAsia" w:hAnsiTheme="minorEastAsia"/>
          <w:b/>
          <w:sz w:val="24"/>
          <w:szCs w:val="24"/>
          <w:lang w:val="zh-CN"/>
        </w:rPr>
        <w:t>5</w:t>
      </w:r>
      <w:r>
        <w:rPr>
          <w:rFonts w:hint="eastAsia" w:cs="Times New Roman" w:asciiTheme="minorEastAsia" w:hAnsiTheme="minorEastAsia"/>
          <w:sz w:val="24"/>
          <w:szCs w:val="24"/>
          <w:lang w:val="zh-CN"/>
        </w:rPr>
        <w:t>个工作日内（如无质疑或投诉）不计利息原额退还未中标人的投标保证金；自政府采购合同签订之日起</w:t>
      </w:r>
      <w:r>
        <w:rPr>
          <w:rFonts w:hint="eastAsia" w:cs="Times New Roman" w:asciiTheme="minorEastAsia" w:hAnsiTheme="minorEastAsia"/>
          <w:b/>
          <w:sz w:val="24"/>
          <w:szCs w:val="24"/>
          <w:lang w:val="zh-CN"/>
        </w:rPr>
        <w:t>5</w:t>
      </w:r>
      <w:r>
        <w:rPr>
          <w:rFonts w:hint="eastAsia" w:cs="Times New Roman" w:asciiTheme="minorEastAsia" w:hAnsiTheme="minorEastAsia"/>
          <w:sz w:val="24"/>
          <w:szCs w:val="24"/>
          <w:lang w:val="zh-CN"/>
        </w:rPr>
        <w:t>个工作日内不计利息原额退还中标人的投标保证金。</w:t>
      </w:r>
    </w:p>
    <w:p>
      <w:pPr>
        <w:numPr>
          <w:ilvl w:val="0"/>
          <w:numId w:val="20"/>
        </w:numPr>
        <w:spacing w:line="360" w:lineRule="auto"/>
        <w:ind w:left="616" w:hanging="616"/>
        <w:rPr>
          <w:rFonts w:cs="Times New Roman" w:asciiTheme="minorEastAsia" w:hAnsiTheme="minorEastAsia"/>
          <w:sz w:val="24"/>
          <w:szCs w:val="24"/>
          <w:lang w:val="zh-CN"/>
        </w:rPr>
      </w:pPr>
      <w:r>
        <w:rPr>
          <w:rFonts w:cs="Helvetica" w:asciiTheme="minorEastAsia" w:hAnsiTheme="minorEastAsia"/>
          <w:kern w:val="0"/>
          <w:sz w:val="24"/>
          <w:szCs w:val="24"/>
          <w:lang w:val="zh-CN"/>
        </w:rPr>
        <w:t>投标人在投标截止时间前撤回已提交的投标文件的，</w:t>
      </w: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将在</w:t>
      </w:r>
      <w:r>
        <w:rPr>
          <w:rFonts w:cs="Helvetica" w:asciiTheme="minorEastAsia" w:hAnsiTheme="minorEastAsia"/>
          <w:kern w:val="0"/>
          <w:sz w:val="24"/>
          <w:szCs w:val="24"/>
          <w:lang w:val="zh-CN"/>
        </w:rPr>
        <w:t>自收到投标人书面撤回通知之日起5个工作日内，退还已收取的投标保证金，但因投标人自身原因导致无法及时退还的除外。</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投标保证金将直接退还至投标人交纳时的账户，不以现金方式退还。</w:t>
      </w:r>
    </w:p>
    <w:p>
      <w:pPr>
        <w:numPr>
          <w:ilvl w:val="0"/>
          <w:numId w:val="20"/>
        </w:numPr>
        <w:spacing w:line="360" w:lineRule="auto"/>
        <w:ind w:left="616" w:hanging="616"/>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投标人有下列情形之一的，其投标保证金不予退还：</w:t>
      </w:r>
    </w:p>
    <w:p>
      <w:pPr>
        <w:numPr>
          <w:ilvl w:val="0"/>
          <w:numId w:val="22"/>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在投标文件有效期内撤销投标文件的；</w:t>
      </w:r>
    </w:p>
    <w:p>
      <w:pPr>
        <w:numPr>
          <w:ilvl w:val="0"/>
          <w:numId w:val="22"/>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在投标文件中提供虚假材料的；</w:t>
      </w:r>
    </w:p>
    <w:p>
      <w:pPr>
        <w:numPr>
          <w:ilvl w:val="0"/>
          <w:numId w:val="22"/>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中标后无正当理由拒绝签订政府采购合同的；</w:t>
      </w:r>
    </w:p>
    <w:p>
      <w:pPr>
        <w:numPr>
          <w:ilvl w:val="0"/>
          <w:numId w:val="22"/>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串通投标、恶意串通的；</w:t>
      </w:r>
    </w:p>
    <w:p>
      <w:pPr>
        <w:numPr>
          <w:ilvl w:val="0"/>
          <w:numId w:val="22"/>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法律、法规和招标文件中规定的其它不予退还投标保证金的情形。</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numPr>
          <w:ilvl w:val="0"/>
          <w:numId w:val="2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numPr>
          <w:ilvl w:val="0"/>
          <w:numId w:val="2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特殊情况下，在原投标有效期截止之前，</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或采购人可要求投标人延长投标有效期。这种要求与答复均应以书面形式提交。投标人可拒绝</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numPr>
          <w:ilvl w:val="0"/>
          <w:numId w:val="2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numPr>
          <w:ilvl w:val="0"/>
          <w:numId w:val="2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投标文件的密封和标记</w:t>
      </w:r>
    </w:p>
    <w:p>
      <w:pPr>
        <w:numPr>
          <w:ilvl w:val="0"/>
          <w:numId w:val="25"/>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投标文件包括第一部分资格证明文件，第二部分商务文件，第三部分技术、服务文件, 上述三部分应分别密封在独立封包中，并在封包上标明各部分名称，每个封包内应包括正本1份、副本</w:t>
      </w:r>
      <w:r>
        <w:rPr>
          <w:rFonts w:hint="eastAsia" w:ascii="宋体" w:hAnsi="宋体" w:eastAsia="宋体" w:cs="Times New Roman"/>
          <w:sz w:val="24"/>
          <w:szCs w:val="20"/>
        </w:rPr>
        <w:t>4</w:t>
      </w:r>
      <w:r>
        <w:rPr>
          <w:rFonts w:hint="eastAsia" w:ascii="宋体" w:hAnsi="宋体" w:eastAsia="宋体" w:cs="Times New Roman"/>
          <w:sz w:val="24"/>
          <w:szCs w:val="20"/>
          <w:lang w:val="zh-CN"/>
        </w:rPr>
        <w:t>份。（</w:t>
      </w:r>
      <w:r>
        <w:rPr>
          <w:rFonts w:hint="eastAsia" w:cs="Times New Roman" w:asciiTheme="minorEastAsia" w:hAnsiTheme="minorEastAsia"/>
          <w:b/>
          <w:sz w:val="24"/>
          <w:szCs w:val="24"/>
          <w:lang w:val="zh-CN"/>
        </w:rPr>
        <w:t>如</w:t>
      </w:r>
      <w:r>
        <w:rPr>
          <w:rFonts w:hint="eastAsia" w:cs="Helvetica" w:asciiTheme="minorEastAsia" w:hAnsiTheme="minorEastAsia"/>
          <w:b/>
          <w:kern w:val="0"/>
          <w:sz w:val="24"/>
          <w:szCs w:val="24"/>
          <w:lang w:val="zh-CN"/>
        </w:rPr>
        <w:t>采购人已组织过项目资格预审的，投标人无需再提交资格证明文件</w:t>
      </w:r>
      <w:r>
        <w:rPr>
          <w:rFonts w:hint="eastAsia" w:ascii="宋体" w:hAnsi="宋体" w:eastAsia="宋体" w:cs="Times New Roman"/>
          <w:sz w:val="24"/>
          <w:szCs w:val="20"/>
          <w:lang w:val="zh-CN"/>
        </w:rPr>
        <w:t>）</w:t>
      </w:r>
    </w:p>
    <w:p>
      <w:pPr>
        <w:numPr>
          <w:ilvl w:val="0"/>
          <w:numId w:val="26"/>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资格证明文件正本1份、副本</w:t>
      </w:r>
      <w:r>
        <w:rPr>
          <w:rFonts w:hint="eastAsia" w:cs="Times New Roman" w:asciiTheme="minorEastAsia" w:hAnsiTheme="minorEastAsia"/>
          <w:sz w:val="24"/>
          <w:szCs w:val="24"/>
        </w:rPr>
        <w:t>4</w:t>
      </w:r>
      <w:r>
        <w:rPr>
          <w:rFonts w:hint="eastAsia" w:cs="Times New Roman" w:asciiTheme="minorEastAsia" w:hAnsiTheme="minorEastAsia"/>
          <w:sz w:val="24"/>
          <w:szCs w:val="24"/>
          <w:lang w:val="zh-CN"/>
        </w:rPr>
        <w:t>份，密封在“资格证明文件”封包内</w:t>
      </w:r>
      <w:r>
        <w:rPr>
          <w:rFonts w:hint="eastAsia" w:cs="Times New Roman" w:asciiTheme="minorEastAsia" w:hAnsiTheme="minorEastAsia"/>
          <w:sz w:val="24"/>
          <w:szCs w:val="24"/>
        </w:rPr>
        <w:t>，封包上注明“第一部分 资格证明文件”</w:t>
      </w:r>
      <w:r>
        <w:rPr>
          <w:rFonts w:hint="eastAsia" w:cs="Times New Roman" w:asciiTheme="minorEastAsia" w:hAnsiTheme="minorEastAsia"/>
          <w:sz w:val="24"/>
          <w:szCs w:val="24"/>
          <w:lang w:val="zh-CN"/>
        </w:rPr>
        <w:t>；</w:t>
      </w:r>
    </w:p>
    <w:p>
      <w:pPr>
        <w:numPr>
          <w:ilvl w:val="0"/>
          <w:numId w:val="26"/>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商务文件正本1份、副本4份，密封在“商务文件”封包内，封包上注明“第二部分 商务文件”；</w:t>
      </w:r>
    </w:p>
    <w:p>
      <w:pPr>
        <w:numPr>
          <w:ilvl w:val="0"/>
          <w:numId w:val="26"/>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技术、服务文件正本1份、副本4份，密封在“技术、服务文件”封包内，封包上注明“第三部分 技术、服务文件”。</w:t>
      </w:r>
    </w:p>
    <w:p>
      <w:pPr>
        <w:numPr>
          <w:ilvl w:val="0"/>
          <w:numId w:val="25"/>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sz w:val="24"/>
          <w:szCs w:val="20"/>
          <w:lang w:val="zh-CN"/>
        </w:rPr>
        <w:t>为方便开标时唱标，投标人应将《开标一览表》原件一份</w:t>
      </w:r>
      <w:r>
        <w:rPr>
          <w:rFonts w:hint="eastAsia" w:ascii="宋体" w:hAnsi="宋体" w:eastAsia="宋体" w:cs="Times New Roman"/>
          <w:spacing w:val="-6"/>
          <w:kern w:val="0"/>
          <w:sz w:val="24"/>
          <w:szCs w:val="20"/>
          <w:lang w:val="zh-CN"/>
        </w:rPr>
        <w:t>装入一个信封，单独密封提交</w:t>
      </w:r>
      <w:r>
        <w:rPr>
          <w:rFonts w:hint="eastAsia" w:ascii="宋体" w:hAnsi="宋体" w:eastAsia="宋体" w:cs="Times New Roman"/>
          <w:sz w:val="24"/>
          <w:szCs w:val="20"/>
          <w:lang w:val="zh-CN"/>
        </w:rPr>
        <w:t>，并在信封上注明“开标一览表”字样。未单独提交或单独提交的上述资料未按照招标文件规定的格式填写完整并签字、盖章的招标代理机构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numPr>
          <w:ilvl w:val="0"/>
          <w:numId w:val="25"/>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“开标一览表”信封和投标文件各部分的封包上还应注明采购项目编号、项目名称、投标内容和有“在（招标文件中规定的开标日期和时间）之前不得启封”的字样，封口处加盖投标人公章。</w:t>
      </w:r>
    </w:p>
    <w:p>
      <w:pPr>
        <w:spacing w:line="360" w:lineRule="auto"/>
        <w:rPr>
          <w:rFonts w:ascii="宋体" w:hAnsi="宋体" w:eastAsia="宋体" w:cs="Times New Roman"/>
          <w:b/>
          <w:sz w:val="24"/>
          <w:szCs w:val="20"/>
          <w:lang w:val="zh-CN"/>
        </w:rPr>
      </w:pPr>
      <w:r>
        <w:rPr>
          <w:rFonts w:hint="eastAsia" w:ascii="宋体" w:hAnsi="宋体" w:eastAsia="宋体" w:cs="Times New Roman"/>
          <w:sz w:val="24"/>
          <w:szCs w:val="20"/>
        </w:rPr>
        <w:t>20.4</w:t>
      </w:r>
      <w:r>
        <w:rPr>
          <w:rFonts w:hint="eastAsia" w:ascii="宋体" w:hAnsi="宋体" w:eastAsia="宋体" w:cs="Times New Roman"/>
          <w:sz w:val="24"/>
          <w:szCs w:val="20"/>
          <w:lang w:val="zh-CN"/>
        </w:rPr>
        <w:t>未按要求密封、标记或存在错误，招标代理机构对其误投或提前启封概不负责。</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投标文件递交</w:t>
      </w:r>
    </w:p>
    <w:p>
      <w:pPr>
        <w:numPr>
          <w:ilvl w:val="0"/>
          <w:numId w:val="27"/>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投标人应在不迟于投标邀请书中规定的投标截止日期和时间将投标文件密封递交至</w:t>
      </w:r>
      <w:r>
        <w:rPr>
          <w:rFonts w:hint="eastAsia" w:ascii="Helvetica" w:hAnsi="Helvetica" w:eastAsia="宋体" w:cs="Helvetica"/>
          <w:color w:val="FF0000"/>
          <w:kern w:val="0"/>
          <w:sz w:val="24"/>
          <w:szCs w:val="24"/>
          <w:lang w:val="zh-CN"/>
        </w:rPr>
        <w:t>采购代理机构</w:t>
      </w:r>
      <w:r>
        <w:rPr>
          <w:rFonts w:hint="eastAsia" w:ascii="Helvetica" w:hAnsi="Helvetica" w:eastAsia="宋体" w:cs="Helvetica"/>
          <w:kern w:val="0"/>
          <w:sz w:val="24"/>
          <w:szCs w:val="24"/>
          <w:lang w:val="zh-CN"/>
        </w:rPr>
        <w:t>规定的投标地点。</w:t>
      </w:r>
    </w:p>
    <w:p>
      <w:pPr>
        <w:numPr>
          <w:ilvl w:val="0"/>
          <w:numId w:val="27"/>
        </w:numPr>
        <w:spacing w:line="360" w:lineRule="auto"/>
        <w:ind w:left="616" w:hanging="616"/>
        <w:rPr>
          <w:rFonts w:ascii="Helvetica" w:hAnsi="Helvetica" w:eastAsia="宋体" w:cs="Helvetica"/>
          <w:b/>
          <w:kern w:val="0"/>
          <w:sz w:val="24"/>
          <w:szCs w:val="24"/>
          <w:lang w:val="zh-CN"/>
        </w:rPr>
      </w:pPr>
      <w:r>
        <w:rPr>
          <w:rFonts w:hint="eastAsia" w:ascii="Helvetica" w:hAnsi="Helvetica" w:eastAsia="宋体" w:cs="Helvetica"/>
          <w:color w:val="FF0000"/>
          <w:kern w:val="0"/>
          <w:sz w:val="24"/>
          <w:szCs w:val="24"/>
          <w:lang w:val="zh-CN"/>
        </w:rPr>
        <w:t>采购代理机构</w:t>
      </w:r>
      <w:r>
        <w:rPr>
          <w:rFonts w:hint="eastAsia" w:ascii="Helvetica" w:hAnsi="Helvetica" w:eastAsia="宋体" w:cs="Helvetica"/>
          <w:b/>
          <w:kern w:val="0"/>
          <w:sz w:val="24"/>
          <w:szCs w:val="24"/>
          <w:lang w:val="zh-CN"/>
        </w:rPr>
        <w:t>拒收逾期送达或者未按招标文件要求密封的投标文件。</w:t>
      </w:r>
    </w:p>
    <w:p>
      <w:pPr>
        <w:numPr>
          <w:ilvl w:val="0"/>
          <w:numId w:val="27"/>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color w:val="FF0000"/>
          <w:kern w:val="0"/>
          <w:sz w:val="24"/>
          <w:szCs w:val="24"/>
          <w:lang w:val="zh-CN"/>
        </w:rPr>
        <w:t>采购代理机构</w:t>
      </w:r>
      <w:r>
        <w:rPr>
          <w:rFonts w:ascii="Helvetica" w:hAnsi="Helvetica" w:eastAsia="宋体" w:cs="Helvetica"/>
          <w:kern w:val="0"/>
          <w:sz w:val="24"/>
          <w:szCs w:val="24"/>
          <w:lang w:val="zh-CN"/>
        </w:rPr>
        <w:t>收到投标文件后，应当如实记载投标文件的送达时间和密封情况，签收保存，并向投标人出具签收回执。</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投标文件的修改和撤回</w:t>
      </w:r>
    </w:p>
    <w:p>
      <w:pPr>
        <w:numPr>
          <w:ilvl w:val="0"/>
          <w:numId w:val="28"/>
        </w:numPr>
        <w:spacing w:line="360" w:lineRule="auto"/>
        <w:ind w:left="616" w:hanging="616"/>
        <w:rPr>
          <w:rFonts w:ascii="宋体" w:hAnsi="宋体" w:eastAsia="宋体" w:cs="Times New Roman"/>
          <w:strike/>
          <w:sz w:val="24"/>
          <w:szCs w:val="20"/>
          <w:lang w:val="zh-CN"/>
        </w:rPr>
      </w:pP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采购代理机构</w:t>
      </w:r>
      <w:r>
        <w:rPr>
          <w:rFonts w:ascii="宋体" w:hAnsi="宋体" w:eastAsia="宋体" w:cs="Times New Roman"/>
          <w:sz w:val="24"/>
          <w:szCs w:val="20"/>
          <w:lang w:val="zh-CN"/>
        </w:rPr>
        <w:t>。补充、修改的内容应当按照招标文件要求签署、盖章、密封后，作为投标文件的组成部分。</w:t>
      </w:r>
    </w:p>
    <w:p>
      <w:pPr>
        <w:numPr>
          <w:ilvl w:val="0"/>
          <w:numId w:val="28"/>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投标有效期内投标人不得撤销其投标文件，否则按照本章“投标保证金”的规定其投标保证金不予退还。</w:t>
      </w:r>
    </w:p>
    <w:p>
      <w:pPr>
        <w:numPr>
          <w:ilvl w:val="0"/>
          <w:numId w:val="28"/>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投标人所递交的投标文件无论中标与否不予退还。</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4" w:name="_Toc272247698"/>
      <w:bookmarkStart w:id="15" w:name="_Toc494561942"/>
      <w:bookmarkStart w:id="16" w:name="_Toc278891595"/>
      <w:bookmarkStart w:id="17" w:name="_Toc495861523"/>
      <w:r>
        <w:rPr>
          <w:rFonts w:hint="eastAsia" w:cs="Times New Roman" w:asciiTheme="majorEastAsia" w:hAnsiTheme="majorEastAsia"/>
          <w:bCs w:val="0"/>
          <w:lang w:val="zh-CN"/>
        </w:rPr>
        <w:t>开标与评标</w:t>
      </w:r>
      <w:bookmarkEnd w:id="14"/>
      <w:bookmarkEnd w:id="15"/>
      <w:bookmarkEnd w:id="16"/>
      <w:bookmarkEnd w:id="17"/>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开标</w:t>
      </w:r>
    </w:p>
    <w:p>
      <w:pPr>
        <w:numPr>
          <w:ilvl w:val="0"/>
          <w:numId w:val="29"/>
        </w:numPr>
        <w:spacing w:line="360" w:lineRule="auto"/>
        <w:ind w:left="616" w:hanging="616"/>
        <w:rPr>
          <w:rFonts w:ascii="宋体" w:hAnsi="宋体" w:eastAsia="宋体" w:cs="Times New Roman"/>
          <w:b/>
          <w:sz w:val="24"/>
          <w:szCs w:val="20"/>
          <w:lang w:val="zh-CN"/>
        </w:rPr>
      </w:pPr>
      <w:r>
        <w:rPr>
          <w:rFonts w:hint="eastAsia" w:ascii="Helvetica" w:hAnsi="Helvetica" w:eastAsia="宋体" w:cs="Helvetica"/>
          <w:color w:val="FF0000"/>
          <w:kern w:val="0"/>
          <w:sz w:val="24"/>
          <w:szCs w:val="24"/>
          <w:lang w:val="zh-CN"/>
        </w:rPr>
        <w:t>采购代理机构</w:t>
      </w:r>
      <w:r>
        <w:rPr>
          <w:rFonts w:hint="eastAsia" w:ascii="宋体" w:hAnsi="宋体" w:eastAsia="宋体" w:cs="Times New Roman"/>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sz w:val="24"/>
          <w:szCs w:val="20"/>
          <w:lang w:val="zh-CN"/>
        </w:rPr>
        <w:t>，否则视同认可开标结果。</w:t>
      </w:r>
    </w:p>
    <w:p>
      <w:pPr>
        <w:numPr>
          <w:ilvl w:val="0"/>
          <w:numId w:val="29"/>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投标人法定代表人或其授权代表应携带有效身份证明参加项目开标会，</w:t>
      </w:r>
      <w:r>
        <w:rPr>
          <w:rFonts w:ascii="宋体" w:hAnsi="宋体" w:eastAsia="宋体" w:cs="Times New Roman"/>
          <w:sz w:val="24"/>
          <w:szCs w:val="20"/>
          <w:lang w:val="zh-CN"/>
        </w:rPr>
        <w:t>投标人未参加开标的，视同认可开标结果。</w:t>
      </w:r>
      <w:r>
        <w:rPr>
          <w:rFonts w:hint="eastAsia" w:ascii="宋体" w:hAnsi="宋体" w:eastAsia="宋体" w:cs="Times New Roman"/>
          <w:sz w:val="24"/>
          <w:szCs w:val="20"/>
          <w:lang w:val="zh-CN"/>
        </w:rPr>
        <w:t>截止</w:t>
      </w:r>
      <w:r>
        <w:rPr>
          <w:rFonts w:hint="eastAsia" w:ascii="宋体" w:hAnsi="宋体" w:eastAsia="宋体" w:cs="宋体"/>
          <w:kern w:val="0"/>
          <w:sz w:val="24"/>
          <w:szCs w:val="24"/>
        </w:rPr>
        <w:t>投标文件</w:t>
      </w:r>
      <w:r>
        <w:rPr>
          <w:rFonts w:hint="eastAsia" w:ascii="宋体" w:hAnsi="宋体" w:eastAsia="宋体" w:cs="Times New Roman"/>
          <w:sz w:val="24"/>
          <w:szCs w:val="20"/>
          <w:lang w:val="zh-CN"/>
        </w:rPr>
        <w:t>递交时间，投标人不足3家的，不进行开标</w:t>
      </w:r>
      <w:r>
        <w:rPr>
          <w:rFonts w:hint="eastAsia" w:ascii="Helvetica" w:hAnsi="Helvetica" w:eastAsia="宋体" w:cs="Helvetica"/>
          <w:kern w:val="0"/>
          <w:sz w:val="24"/>
          <w:szCs w:val="24"/>
          <w:lang w:val="zh-CN"/>
        </w:rPr>
        <w:t>。</w:t>
      </w:r>
    </w:p>
    <w:p>
      <w:pPr>
        <w:numPr>
          <w:ilvl w:val="0"/>
          <w:numId w:val="29"/>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开标时，由投标人或其推选的代表检查投标文件的密封情况，经确认无误后由</w:t>
      </w:r>
      <w:r>
        <w:rPr>
          <w:rFonts w:hint="eastAsia" w:ascii="Helvetica" w:hAnsi="Helvetica" w:eastAsia="宋体" w:cs="Helvetica"/>
          <w:color w:val="FF0000"/>
          <w:kern w:val="0"/>
          <w:sz w:val="24"/>
          <w:szCs w:val="24"/>
          <w:lang w:val="zh-CN"/>
        </w:rPr>
        <w:t>采购代理机构</w:t>
      </w:r>
      <w:r>
        <w:rPr>
          <w:rFonts w:hint="eastAsia" w:ascii="宋体" w:hAnsi="宋体" w:eastAsia="宋体" w:cs="Times New Roman"/>
          <w:sz w:val="24"/>
          <w:szCs w:val="20"/>
          <w:lang w:val="zh-CN"/>
        </w:rPr>
        <w:t>工作人员当众拆封，</w:t>
      </w:r>
      <w:r>
        <w:rPr>
          <w:rFonts w:ascii="宋体" w:hAnsi="宋体" w:eastAsia="宋体" w:cs="Times New Roman"/>
          <w:sz w:val="24"/>
          <w:szCs w:val="20"/>
          <w:lang w:val="zh-CN"/>
        </w:rPr>
        <w:t>宣布投标人名称、投标价格和招标文件规定的需要宣布的其他内容。</w:t>
      </w:r>
    </w:p>
    <w:p>
      <w:pPr>
        <w:numPr>
          <w:ilvl w:val="0"/>
          <w:numId w:val="29"/>
        </w:numPr>
        <w:spacing w:line="360" w:lineRule="auto"/>
        <w:ind w:left="616" w:hanging="616"/>
        <w:rPr>
          <w:rFonts w:ascii="宋体" w:hAnsi="宋体" w:eastAsia="宋体" w:cs="Times New Roman"/>
          <w:sz w:val="24"/>
          <w:szCs w:val="20"/>
          <w:lang w:val="zh-CN"/>
        </w:rPr>
      </w:pPr>
      <w:r>
        <w:rPr>
          <w:rFonts w:hint="eastAsia" w:ascii="Helvetica" w:hAnsi="Helvetica" w:eastAsia="宋体" w:cs="Helvetica"/>
          <w:color w:val="FF0000"/>
          <w:kern w:val="0"/>
          <w:sz w:val="24"/>
          <w:szCs w:val="24"/>
          <w:lang w:val="zh-CN"/>
        </w:rPr>
        <w:t>采购代理机构</w:t>
      </w:r>
      <w:r>
        <w:rPr>
          <w:rFonts w:ascii="宋体" w:hAnsi="宋体" w:eastAsia="宋体" w:cs="Times New Roman"/>
          <w:sz w:val="24"/>
          <w:szCs w:val="20"/>
          <w:lang w:val="zh-CN"/>
        </w:rPr>
        <w:t>负责</w:t>
      </w:r>
      <w:r>
        <w:rPr>
          <w:rFonts w:hint="eastAsia" w:ascii="宋体" w:hAnsi="宋体" w:eastAsia="宋体" w:cs="Times New Roman"/>
          <w:sz w:val="24"/>
          <w:szCs w:val="20"/>
          <w:lang w:val="zh-CN"/>
        </w:rPr>
        <w:t>对</w:t>
      </w:r>
      <w:r>
        <w:rPr>
          <w:rFonts w:ascii="宋体" w:hAnsi="宋体" w:eastAsia="宋体" w:cs="Times New Roman"/>
          <w:sz w:val="24"/>
          <w:szCs w:val="20"/>
          <w:lang w:val="zh-CN"/>
        </w:rPr>
        <w:t>开标过程</w:t>
      </w:r>
      <w:r>
        <w:rPr>
          <w:rFonts w:hint="eastAsia" w:ascii="宋体" w:hAnsi="宋体" w:eastAsia="宋体" w:cs="Times New Roman"/>
          <w:sz w:val="24"/>
          <w:szCs w:val="20"/>
          <w:lang w:val="zh-CN"/>
        </w:rPr>
        <w:t>进行</w:t>
      </w:r>
      <w:r>
        <w:rPr>
          <w:rFonts w:ascii="宋体" w:hAnsi="宋体" w:eastAsia="宋体" w:cs="Times New Roman"/>
          <w:sz w:val="24"/>
          <w:szCs w:val="20"/>
          <w:lang w:val="zh-CN"/>
        </w:rPr>
        <w:t>记录，由参加开标的各投标人代表和相关工作人员</w:t>
      </w:r>
      <w:r>
        <w:rPr>
          <w:rFonts w:hint="eastAsia" w:ascii="宋体" w:hAnsi="宋体" w:eastAsia="宋体" w:cs="Times New Roman"/>
          <w:sz w:val="24"/>
          <w:szCs w:val="20"/>
          <w:lang w:val="zh-CN"/>
        </w:rPr>
        <w:t>对开标记录进行</w:t>
      </w:r>
      <w:r>
        <w:rPr>
          <w:rFonts w:ascii="宋体" w:hAnsi="宋体" w:eastAsia="宋体" w:cs="Times New Roman"/>
          <w:sz w:val="24"/>
          <w:szCs w:val="20"/>
          <w:lang w:val="zh-CN"/>
        </w:rPr>
        <w:t>签字确认。</w:t>
      </w:r>
    </w:p>
    <w:p>
      <w:pPr>
        <w:numPr>
          <w:ilvl w:val="0"/>
          <w:numId w:val="29"/>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投标人代表对开标过程和开标记录有疑义，以及认为采购人、</w:t>
      </w:r>
      <w:r>
        <w:rPr>
          <w:rFonts w:hint="eastAsia" w:ascii="Helvetica" w:hAnsi="Helvetica" w:eastAsia="宋体" w:cs="Helvetica"/>
          <w:color w:val="FF0000"/>
          <w:kern w:val="0"/>
          <w:sz w:val="24"/>
          <w:szCs w:val="24"/>
          <w:lang w:val="zh-CN"/>
        </w:rPr>
        <w:t>代理公司</w:t>
      </w:r>
      <w:r>
        <w:rPr>
          <w:rFonts w:ascii="宋体" w:hAnsi="宋体" w:eastAsia="宋体" w:cs="Times New Roman"/>
          <w:sz w:val="24"/>
          <w:szCs w:val="20"/>
          <w:lang w:val="zh-CN"/>
        </w:rPr>
        <w:t>相关工作人员有需要回避的情形的，应当场提出询问或者回避申请。采购人、</w:t>
      </w:r>
      <w:r>
        <w:rPr>
          <w:rFonts w:hint="eastAsia" w:ascii="Helvetica" w:hAnsi="Helvetica" w:eastAsia="宋体" w:cs="Helvetica"/>
          <w:color w:val="FF0000"/>
          <w:kern w:val="0"/>
          <w:sz w:val="24"/>
          <w:szCs w:val="24"/>
          <w:lang w:val="zh-CN"/>
        </w:rPr>
        <w:t>代理公司</w:t>
      </w:r>
      <w:r>
        <w:rPr>
          <w:rFonts w:hint="eastAsia" w:ascii="宋体" w:hAnsi="宋体" w:eastAsia="宋体" w:cs="Times New Roman"/>
          <w:sz w:val="24"/>
          <w:szCs w:val="20"/>
          <w:lang w:val="zh-CN"/>
        </w:rPr>
        <w:t>将</w:t>
      </w:r>
      <w:r>
        <w:rPr>
          <w:rFonts w:ascii="宋体" w:hAnsi="宋体" w:eastAsia="宋体" w:cs="Times New Roman"/>
          <w:sz w:val="24"/>
          <w:szCs w:val="20"/>
          <w:lang w:val="zh-CN"/>
        </w:rPr>
        <w:t>及时处理投标人代表提出的询问或者回避申请。</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资格审查</w:t>
      </w:r>
    </w:p>
    <w:p>
      <w:pPr>
        <w:numPr>
          <w:ilvl w:val="0"/>
          <w:numId w:val="30"/>
        </w:numPr>
        <w:spacing w:line="360" w:lineRule="auto"/>
        <w:ind w:left="616" w:hanging="616"/>
        <w:rPr>
          <w:rFonts w:ascii="Helvetica" w:hAnsi="Helvetica" w:eastAsia="宋体" w:cs="Helvetica"/>
          <w:kern w:val="0"/>
          <w:sz w:val="24"/>
          <w:szCs w:val="24"/>
          <w:lang w:val="zh-CN"/>
        </w:rPr>
      </w:pPr>
      <w:r>
        <w:rPr>
          <w:rFonts w:hint="eastAsia" w:ascii="宋体" w:hAnsi="宋体" w:eastAsia="宋体" w:cs="Times New Roman"/>
          <w:bCs/>
          <w:sz w:val="24"/>
          <w:szCs w:val="20"/>
          <w:lang w:val="zh-CN"/>
        </w:rPr>
        <w:t>公开招标采购项目开标结束后，</w:t>
      </w:r>
      <w:r>
        <w:rPr>
          <w:rFonts w:hint="eastAsia" w:ascii="宋体" w:hAnsi="宋体" w:eastAsia="宋体" w:cs="Times New Roman"/>
          <w:bCs/>
          <w:color w:val="FF0000"/>
          <w:sz w:val="24"/>
          <w:szCs w:val="20"/>
          <w:lang w:val="zh-CN"/>
        </w:rPr>
        <w:t>采购人和采购代理公司</w:t>
      </w:r>
      <w:r>
        <w:rPr>
          <w:rFonts w:hint="eastAsia" w:ascii="宋体" w:hAnsi="宋体" w:eastAsia="宋体" w:cs="Times New Roman"/>
          <w:bCs/>
          <w:sz w:val="24"/>
          <w:szCs w:val="20"/>
          <w:lang w:val="zh-CN"/>
        </w:rPr>
        <w:t>依据法律、法规及招标文件的规定，对投标人的资格进行审查，以确定投标人资格是否合格。</w:t>
      </w:r>
      <w:r>
        <w:rPr>
          <w:rFonts w:ascii="Helvetica" w:hAnsi="Helvetica" w:eastAsia="宋体" w:cs="Helvetica"/>
          <w:kern w:val="0"/>
          <w:sz w:val="24"/>
          <w:szCs w:val="24"/>
          <w:lang w:val="zh-CN"/>
        </w:rPr>
        <w:t>合格投标人不足</w:t>
      </w:r>
      <w:r>
        <w:rPr>
          <w:rFonts w:ascii="宋体" w:hAnsi="宋体" w:eastAsia="宋体" w:cs="Helvetica"/>
          <w:kern w:val="0"/>
          <w:sz w:val="24"/>
          <w:szCs w:val="24"/>
          <w:lang w:val="zh-CN"/>
        </w:rPr>
        <w:t>3</w:t>
      </w:r>
      <w:r>
        <w:rPr>
          <w:rFonts w:ascii="Helvetica" w:hAnsi="Helvetica" w:eastAsia="宋体" w:cs="Helvetica"/>
          <w:kern w:val="0"/>
          <w:sz w:val="24"/>
          <w:szCs w:val="24"/>
          <w:lang w:val="zh-CN"/>
        </w:rPr>
        <w:t>家的，不</w:t>
      </w:r>
      <w:r>
        <w:rPr>
          <w:rFonts w:hint="eastAsia" w:ascii="Helvetica" w:hAnsi="Helvetica" w:eastAsia="宋体" w:cs="Helvetica"/>
          <w:kern w:val="0"/>
          <w:sz w:val="24"/>
          <w:szCs w:val="24"/>
          <w:lang w:val="zh-CN"/>
        </w:rPr>
        <w:t>进行</w:t>
      </w:r>
      <w:r>
        <w:rPr>
          <w:rFonts w:ascii="Helvetica" w:hAnsi="Helvetica" w:eastAsia="宋体" w:cs="Helvetica"/>
          <w:kern w:val="0"/>
          <w:sz w:val="24"/>
          <w:szCs w:val="24"/>
          <w:lang w:val="zh-CN"/>
        </w:rPr>
        <w:t>评标</w:t>
      </w:r>
      <w:r>
        <w:rPr>
          <w:rFonts w:hint="eastAsia" w:ascii="Helvetica" w:hAnsi="Helvetica" w:eastAsia="宋体" w:cs="Helvetica"/>
          <w:kern w:val="0"/>
          <w:sz w:val="24"/>
          <w:szCs w:val="24"/>
          <w:lang w:val="zh-CN"/>
        </w:rPr>
        <w:t>。</w:t>
      </w:r>
    </w:p>
    <w:p>
      <w:pPr>
        <w:numPr>
          <w:ilvl w:val="0"/>
          <w:numId w:val="30"/>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资格审查详见第四章“资格审查方法及标准”。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numPr>
          <w:ilvl w:val="0"/>
          <w:numId w:val="31"/>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numPr>
          <w:ilvl w:val="0"/>
          <w:numId w:val="31"/>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综合评分法是指投标文件满足招标文件全部实质性要求，且按照评审因素的量化指标评审得分最高的投标人为中标候选人的评标方法。</w:t>
      </w:r>
    </w:p>
    <w:p>
      <w:pPr>
        <w:numPr>
          <w:ilvl w:val="0"/>
          <w:numId w:val="31"/>
        </w:numPr>
        <w:spacing w:line="360" w:lineRule="auto"/>
        <w:ind w:left="616" w:hanging="616"/>
        <w:rPr>
          <w:rFonts w:ascii="宋体" w:hAnsi="宋体" w:eastAsia="宋体" w:cs="Times New Roman"/>
          <w:bCs/>
          <w:sz w:val="24"/>
          <w:szCs w:val="20"/>
          <w:lang w:val="zh-CN"/>
        </w:rPr>
      </w:pPr>
      <w:r>
        <w:rPr>
          <w:rFonts w:hint="eastAsia" w:ascii="Helvetica" w:hAnsi="Helvetica" w:eastAsia="宋体" w:cs="Helvetica"/>
          <w:kern w:val="0"/>
          <w:sz w:val="24"/>
          <w:szCs w:val="24"/>
          <w:lang w:val="zh-CN"/>
        </w:rPr>
        <w:t>评标方法详见第五章“评标方法、程序及标准”</w:t>
      </w:r>
      <w:r>
        <w:rPr>
          <w:rFonts w:hint="eastAsia" w:ascii="宋体" w:hAnsi="宋体" w:eastAsia="宋体" w:cs="Times New Roman"/>
          <w:bCs/>
          <w:sz w:val="24"/>
          <w:szCs w:val="20"/>
          <w:lang w:val="zh-CN"/>
        </w:rPr>
        <w:t>。</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numPr>
          <w:ilvl w:val="0"/>
          <w:numId w:val="32"/>
        </w:numPr>
        <w:spacing w:line="360" w:lineRule="auto"/>
        <w:ind w:left="616" w:hanging="616"/>
        <w:rPr>
          <w:rFonts w:ascii="宋体" w:hAnsi="宋体" w:eastAsia="宋体" w:cs="Times New Roman"/>
          <w:sz w:val="24"/>
          <w:szCs w:val="20"/>
          <w:lang w:val="zh-CN"/>
        </w:rPr>
      </w:pPr>
      <w:r>
        <w:rPr>
          <w:rFonts w:ascii="宋体" w:hAnsi="宋体" w:eastAsia="宋体" w:cs="Helvetica"/>
          <w:kern w:val="0"/>
          <w:sz w:val="24"/>
          <w:szCs w:val="24"/>
          <w:lang w:val="zh-CN"/>
        </w:rPr>
        <w:t>评标委员会</w:t>
      </w:r>
      <w:r>
        <w:rPr>
          <w:rFonts w:ascii="宋体" w:hAnsi="宋体" w:eastAsia="宋体" w:cs="Helvetica"/>
          <w:kern w:val="0"/>
          <w:sz w:val="24"/>
          <w:szCs w:val="24"/>
          <w:highlight w:val="none"/>
          <w:lang w:val="zh-CN"/>
        </w:rPr>
        <w:t>由采购人代表和评审专家组成，成员</w:t>
      </w:r>
      <w:r>
        <w:rPr>
          <w:rFonts w:ascii="宋体" w:hAnsi="宋体" w:eastAsia="宋体" w:cs="Helvetica"/>
          <w:kern w:val="0"/>
          <w:sz w:val="24"/>
          <w:szCs w:val="24"/>
          <w:lang w:val="zh-CN"/>
        </w:rPr>
        <w:t>人数应当为5人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Helvetica"/>
          <w:kern w:val="0"/>
          <w:sz w:val="24"/>
          <w:szCs w:val="24"/>
          <w:lang w:val="zh-CN"/>
        </w:rPr>
        <w:t>；</w:t>
      </w:r>
      <w:r>
        <w:rPr>
          <w:rFonts w:ascii="宋体" w:hAnsi="宋体" w:eastAsia="宋体" w:cs="Times New Roman"/>
          <w:sz w:val="24"/>
          <w:szCs w:val="20"/>
          <w:lang w:val="zh-CN"/>
        </w:rPr>
        <w:t>采购预算金额在1000万元</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w:t>
      </w:r>
      <w:r>
        <w:rPr>
          <w:rFonts w:hint="eastAsia" w:ascii="宋体" w:hAnsi="宋体" w:eastAsia="宋体" w:cs="Times New Roman"/>
          <w:sz w:val="24"/>
          <w:szCs w:val="20"/>
          <w:lang w:val="zh-CN"/>
        </w:rPr>
        <w:t>、</w:t>
      </w:r>
      <w:r>
        <w:rPr>
          <w:rFonts w:ascii="宋体" w:hAnsi="宋体" w:eastAsia="宋体" w:cs="Times New Roman"/>
          <w:sz w:val="24"/>
          <w:szCs w:val="20"/>
          <w:lang w:val="zh-CN"/>
        </w:rPr>
        <w:t>技术复杂</w:t>
      </w:r>
      <w:r>
        <w:rPr>
          <w:rFonts w:hint="eastAsia" w:ascii="宋体" w:hAnsi="宋体" w:eastAsia="宋体" w:cs="Times New Roman"/>
          <w:sz w:val="24"/>
          <w:szCs w:val="20"/>
          <w:lang w:val="zh-CN"/>
        </w:rPr>
        <w:t>或</w:t>
      </w:r>
      <w:r>
        <w:rPr>
          <w:rFonts w:ascii="宋体" w:hAnsi="宋体" w:eastAsia="宋体" w:cs="Times New Roman"/>
          <w:sz w:val="24"/>
          <w:szCs w:val="20"/>
          <w:lang w:val="zh-CN"/>
        </w:rPr>
        <w:t>社会影响较大</w:t>
      </w:r>
      <w:r>
        <w:rPr>
          <w:rFonts w:hint="eastAsia" w:ascii="宋体" w:hAnsi="宋体" w:eastAsia="宋体" w:cs="Times New Roman"/>
          <w:sz w:val="24"/>
          <w:szCs w:val="20"/>
          <w:lang w:val="zh-CN"/>
        </w:rPr>
        <w:t>的项目，</w:t>
      </w:r>
      <w:r>
        <w:rPr>
          <w:rFonts w:ascii="宋体" w:hAnsi="宋体" w:eastAsia="宋体" w:cs="Times New Roman"/>
          <w:sz w:val="24"/>
          <w:szCs w:val="20"/>
          <w:lang w:val="zh-CN"/>
        </w:rPr>
        <w:t>评标委员会成员人数应当为7人</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以上单数</w:t>
      </w:r>
      <w:r>
        <w:rPr>
          <w:rFonts w:hint="eastAsia" w:ascii="宋体" w:hAnsi="宋体" w:eastAsia="宋体" w:cs="Times New Roman"/>
          <w:sz w:val="24"/>
          <w:szCs w:val="20"/>
          <w:lang w:val="zh-CN"/>
        </w:rPr>
        <w:t>。</w:t>
      </w:r>
    </w:p>
    <w:p>
      <w:pPr>
        <w:numPr>
          <w:ilvl w:val="0"/>
          <w:numId w:val="32"/>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评标委员会成员依法从政府采购专家库中随机抽取。</w:t>
      </w:r>
      <w:r>
        <w:rPr>
          <w:rFonts w:ascii="宋体" w:hAnsi="宋体" w:eastAsia="宋体" w:cs="Times New Roman"/>
          <w:b/>
          <w:sz w:val="24"/>
          <w:szCs w:val="20"/>
          <w:lang w:val="zh-CN"/>
        </w:rPr>
        <w:t>对技术复杂、专业性强的采购项目，通过随机方式难以确定合适评审专家的，经主管预算单位同意，采购人可以自行选定相应专业领域的评审专家。</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numPr>
          <w:ilvl w:val="0"/>
          <w:numId w:val="33"/>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评标委员会负责具体评标事务，并独立履行下列职责：</w:t>
      </w:r>
    </w:p>
    <w:p>
      <w:pPr>
        <w:numPr>
          <w:ilvl w:val="0"/>
          <w:numId w:val="34"/>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审查、评价投标文件是否符合招标文件的商务、技术等实质性要求；</w:t>
      </w:r>
    </w:p>
    <w:p>
      <w:pPr>
        <w:numPr>
          <w:ilvl w:val="0"/>
          <w:numId w:val="34"/>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要求投标人对投标文件有关事项作出澄清或者说明；</w:t>
      </w:r>
    </w:p>
    <w:p>
      <w:pPr>
        <w:numPr>
          <w:ilvl w:val="0"/>
          <w:numId w:val="34"/>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numPr>
          <w:ilvl w:val="0"/>
          <w:numId w:val="34"/>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确定中标候选人名单或中标人；</w:t>
      </w:r>
    </w:p>
    <w:p>
      <w:pPr>
        <w:numPr>
          <w:ilvl w:val="0"/>
          <w:numId w:val="34"/>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采购代理</w:t>
      </w:r>
      <w:r>
        <w:rPr>
          <w:rFonts w:ascii="宋体" w:hAnsi="宋体" w:eastAsia="宋体" w:cs="Times New Roman"/>
          <w:sz w:val="24"/>
          <w:szCs w:val="20"/>
          <w:lang w:val="zh-CN"/>
        </w:rPr>
        <w:t>机构或者有关部门报告评标中发现的违法行为。</w:t>
      </w:r>
    </w:p>
    <w:p>
      <w:pPr>
        <w:numPr>
          <w:ilvl w:val="0"/>
          <w:numId w:val="33"/>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评标程序详见第五章“评标方法、程序及标准”。</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8" w:name="_Toc495861524"/>
      <w:bookmarkStart w:id="19" w:name="_Toc494561943"/>
      <w:r>
        <w:rPr>
          <w:rFonts w:hint="eastAsia" w:cs="Times New Roman" w:asciiTheme="majorEastAsia" w:hAnsiTheme="majorEastAsia"/>
          <w:bCs w:val="0"/>
          <w:lang w:val="zh-CN"/>
        </w:rPr>
        <w:t>投标人信用信息及查询</w:t>
      </w:r>
      <w:bookmarkEnd w:id="18"/>
      <w:bookmarkEnd w:id="19"/>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numPr>
          <w:ilvl w:val="0"/>
          <w:numId w:val="35"/>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numPr>
          <w:ilvl w:val="0"/>
          <w:numId w:val="35"/>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列入失信被执行人、重大税收违法案件当事人名单、政府采购严重违法失信行为记录名单的投标人，采购人、采购代理机构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numPr>
          <w:ilvl w:val="0"/>
          <w:numId w:val="35"/>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两个及以上自然人、法人或者其他组织组成联合体，以一个投标人的身份共同参加政府采购活动的，应当对所有联合体成员进行信用记录查询，联合体成员存在不良信用记录的，视同联合体存在不良信用信息。</w:t>
      </w:r>
    </w:p>
    <w:p>
      <w:pPr>
        <w:numPr>
          <w:ilvl w:val="0"/>
          <w:numId w:val="35"/>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投标人的信用记录，最终以评标时的“信用中国”网站</w:t>
      </w:r>
      <w:r>
        <w:rPr>
          <w:rFonts w:hint="eastAsia" w:ascii="宋体" w:hAnsi="宋体" w:cs="Helvetica"/>
          <w:kern w:val="0"/>
          <w:sz w:val="24"/>
          <w:szCs w:val="24"/>
        </w:rPr>
        <w:t>和“中国政府采购网”</w:t>
      </w:r>
      <w:r>
        <w:rPr>
          <w:rFonts w:hint="eastAsia" w:cs="Helvetica" w:asciiTheme="minorEastAsia" w:hAnsiTheme="minorEastAsia"/>
          <w:kern w:val="0"/>
          <w:sz w:val="24"/>
          <w:szCs w:val="24"/>
          <w:lang w:val="zh-CN"/>
        </w:rPr>
        <w:t>发布的信息为准。</w:t>
      </w:r>
    </w:p>
    <w:p>
      <w:pPr>
        <w:numPr>
          <w:ilvl w:val="0"/>
          <w:numId w:val="35"/>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在资格审查与评标工作未同日进行的特殊情形下，</w:t>
      </w:r>
      <w:r>
        <w:rPr>
          <w:rFonts w:hint="eastAsia" w:ascii="Helvetica" w:hAnsi="Helvetica" w:eastAsia="宋体" w:cs="Helvetica"/>
          <w:color w:val="FF0000"/>
          <w:kern w:val="0"/>
          <w:sz w:val="24"/>
          <w:szCs w:val="24"/>
          <w:lang w:val="zh-CN"/>
        </w:rPr>
        <w:t>采购代理机构</w:t>
      </w:r>
      <w:r>
        <w:rPr>
          <w:rFonts w:hint="eastAsia" w:cs="Helvetica" w:asciiTheme="minorEastAsia" w:hAnsiTheme="minorEastAsia"/>
          <w:kern w:val="0"/>
          <w:sz w:val="24"/>
          <w:szCs w:val="24"/>
          <w:lang w:val="zh-CN"/>
        </w:rPr>
        <w:t>工作人员在评标时对投标人的信用信息进行复核，发现评标当日存在不良信用信息的，由评标委员会按照符合性审查不合格作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0" w:name="_Toc494561944"/>
      <w:bookmarkStart w:id="21" w:name="_Toc495861525"/>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20"/>
      <w:bookmarkEnd w:id="21"/>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numPr>
          <w:ilvl w:val="0"/>
          <w:numId w:val="36"/>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采购人收到评标报告</w:t>
      </w:r>
      <w:r>
        <w:rPr>
          <w:rFonts w:ascii="宋体" w:hAnsi="宋体" w:eastAsia="宋体" w:cs="Helvetica"/>
          <w:kern w:val="0"/>
          <w:sz w:val="24"/>
          <w:szCs w:val="24"/>
          <w:lang w:val="zh-CN"/>
        </w:rPr>
        <w:t>5个工作日内，</w:t>
      </w:r>
      <w:r>
        <w:rPr>
          <w:rFonts w:hint="eastAsia" w:ascii="宋体" w:hAnsi="宋体" w:eastAsia="宋体" w:cs="Helvetica"/>
          <w:kern w:val="0"/>
          <w:sz w:val="24"/>
          <w:szCs w:val="24"/>
          <w:lang w:val="zh-CN"/>
        </w:rPr>
        <w:t>按</w:t>
      </w:r>
      <w:r>
        <w:rPr>
          <w:rFonts w:ascii="宋体" w:hAnsi="宋体" w:eastAsia="宋体" w:cs="Helvetica"/>
          <w:kern w:val="0"/>
          <w:sz w:val="24"/>
          <w:szCs w:val="24"/>
          <w:lang w:val="zh-CN"/>
        </w:rPr>
        <w:t>评标报告推荐的中标候选人顺序确定中标人。</w:t>
      </w:r>
    </w:p>
    <w:p>
      <w:pPr>
        <w:numPr>
          <w:ilvl w:val="0"/>
          <w:numId w:val="36"/>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numPr>
          <w:ilvl w:val="0"/>
          <w:numId w:val="37"/>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采用最低评标价法的，评标结果按投标报价由低到高顺序排列。投标报价相同的，按技术部分由高到低顺序排列。</w:t>
      </w:r>
    </w:p>
    <w:p>
      <w:pPr>
        <w:numPr>
          <w:ilvl w:val="0"/>
          <w:numId w:val="37"/>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中标人的数量有其他规定的，按招标文件相关规定执行。</w:t>
      </w:r>
    </w:p>
    <w:p>
      <w:pPr>
        <w:numPr>
          <w:ilvl w:val="0"/>
          <w:numId w:val="36"/>
        </w:numPr>
        <w:spacing w:line="360" w:lineRule="auto"/>
        <w:ind w:left="616" w:hanging="616"/>
        <w:rPr>
          <w:rFonts w:ascii="宋体" w:hAnsi="宋体" w:eastAsia="宋体" w:cs="Times New Roman"/>
          <w:strike/>
          <w:sz w:val="24"/>
          <w:szCs w:val="20"/>
          <w:lang w:val="zh-CN"/>
        </w:rPr>
      </w:pPr>
      <w:r>
        <w:rPr>
          <w:rFonts w:hint="eastAsia" w:ascii="宋体" w:hAnsi="宋体" w:eastAsia="宋体" w:cs="Times New Roman"/>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6"/>
        </w:numPr>
        <w:spacing w:line="360" w:lineRule="auto"/>
        <w:ind w:left="616" w:hanging="616"/>
        <w:rPr>
          <w:rFonts w:ascii="宋体" w:hAnsi="宋体" w:eastAsia="宋体" w:cs="Times New Roman"/>
          <w:strike/>
          <w:sz w:val="24"/>
          <w:szCs w:val="20"/>
          <w:lang w:val="zh-CN"/>
        </w:rPr>
      </w:pPr>
      <w:r>
        <w:rPr>
          <w:rFonts w:ascii="Helvetica" w:hAnsi="Helvetica" w:eastAsia="宋体" w:cs="Helvetica"/>
          <w:kern w:val="0"/>
          <w:sz w:val="24"/>
          <w:szCs w:val="24"/>
          <w:lang w:val="zh-CN"/>
        </w:rPr>
        <w:t>中标通知书发出后，采购人不得违法改变中标结果，中标人无正当理由不得放弃中标。</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numPr>
          <w:ilvl w:val="0"/>
          <w:numId w:val="38"/>
        </w:numPr>
        <w:spacing w:line="360" w:lineRule="auto"/>
        <w:ind w:left="616" w:hanging="616"/>
        <w:rPr>
          <w:rFonts w:ascii="宋体" w:hAnsi="宋体" w:eastAsia="宋体" w:cs="Times New Roman"/>
          <w:sz w:val="24"/>
          <w:szCs w:val="20"/>
          <w:lang w:val="zh-CN"/>
        </w:rPr>
      </w:pPr>
      <w:bookmarkStart w:id="22" w:name="_Toc278891597"/>
      <w:bookmarkStart w:id="23" w:name="_Toc272247700"/>
      <w:r>
        <w:rPr>
          <w:rFonts w:ascii="宋体" w:hAnsi="宋体" w:eastAsia="宋体" w:cs="Times New Roman"/>
          <w:sz w:val="24"/>
          <w:szCs w:val="20"/>
          <w:lang w:val="zh-CN"/>
        </w:rPr>
        <w:t>采购人应当自中标通知书发出之日起30日内，按照招标文件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，与中标人签订书面合同。所签订的合同不得对招标文件确定的事项和中标人投标文件作实质性修改。</w:t>
      </w:r>
    </w:p>
    <w:p>
      <w:pPr>
        <w:numPr>
          <w:ilvl w:val="0"/>
          <w:numId w:val="38"/>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采购人不得向中标人提出任何不合理的要求作为签订合同的条件。</w:t>
      </w:r>
    </w:p>
    <w:p>
      <w:pPr>
        <w:numPr>
          <w:ilvl w:val="0"/>
          <w:numId w:val="38"/>
        </w:numPr>
        <w:tabs>
          <w:tab w:val="left" w:pos="616"/>
        </w:tabs>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8"/>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8"/>
        </w:numPr>
        <w:tabs>
          <w:tab w:val="left" w:pos="616"/>
        </w:tabs>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8"/>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4" w:name="_Toc495861526"/>
      <w:bookmarkStart w:id="25" w:name="_Toc494561945"/>
      <w:r>
        <w:rPr>
          <w:rFonts w:hint="eastAsia" w:cs="Times New Roman" w:asciiTheme="majorEastAsia" w:hAnsiTheme="majorEastAsia"/>
          <w:bCs w:val="0"/>
          <w:lang w:val="zh-CN"/>
        </w:rPr>
        <w:t>采购信息公告</w:t>
      </w:r>
      <w:bookmarkEnd w:id="24"/>
      <w:bookmarkEnd w:id="25"/>
    </w:p>
    <w:p>
      <w:pPr>
        <w:numPr>
          <w:ilvl w:val="0"/>
          <w:numId w:val="6"/>
        </w:numPr>
        <w:spacing w:line="360" w:lineRule="auto"/>
        <w:ind w:left="560" w:hanging="560"/>
        <w:rPr>
          <w:rFonts w:ascii="宋体" w:hAnsi="宋体" w:eastAsia="宋体" w:cs="Helvetica"/>
          <w:b/>
          <w:color w:val="0D0D0D"/>
          <w:kern w:val="0"/>
          <w:sz w:val="24"/>
          <w:szCs w:val="24"/>
          <w:lang w:val="zh-CN"/>
        </w:rPr>
      </w:pPr>
      <w:r>
        <w:rPr>
          <w:rFonts w:hint="eastAsia" w:ascii="宋体" w:hAnsi="宋体" w:eastAsia="宋体" w:cs="Helvetica"/>
          <w:b/>
          <w:color w:val="0D0D0D"/>
          <w:kern w:val="0"/>
          <w:sz w:val="24"/>
          <w:szCs w:val="24"/>
          <w:lang w:val="zh-CN"/>
        </w:rPr>
        <w:t>公告的媒体及规定</w:t>
      </w:r>
    </w:p>
    <w:p>
      <w:pPr>
        <w:numPr>
          <w:ilvl w:val="0"/>
          <w:numId w:val="39"/>
        </w:numPr>
        <w:tabs>
          <w:tab w:val="left" w:pos="616"/>
        </w:tabs>
        <w:spacing w:line="360" w:lineRule="auto"/>
        <w:ind w:left="616" w:hanging="616"/>
        <w:rPr>
          <w:rFonts w:cs="Helvetica" w:asciiTheme="minorEastAsia" w:hAnsiTheme="minorEastAsia"/>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在招标活动中的公告、补充、更正、结果等采购信息均依法在政府采购监管部门指定媒体上（中国湖北政府采购网http://www.ccgp-hubei.gov.cn/）发布。</w:t>
      </w:r>
    </w:p>
    <w:p>
      <w:pPr>
        <w:numPr>
          <w:ilvl w:val="0"/>
          <w:numId w:val="39"/>
        </w:numPr>
        <w:tabs>
          <w:tab w:val="left" w:pos="616"/>
        </w:tabs>
        <w:spacing w:line="360" w:lineRule="auto"/>
        <w:ind w:left="616" w:hanging="616"/>
        <w:rPr>
          <w:rFonts w:cs="Helvetica" w:asciiTheme="minorEastAsia" w:hAnsiTheme="minorEastAsia"/>
          <w:b/>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w:t>
      </w:r>
      <w:r>
        <w:rPr>
          <w:rFonts w:hint="eastAsia" w:cs="Helvetica" w:asciiTheme="minorEastAsia" w:hAnsiTheme="minorEastAsia"/>
          <w:b/>
          <w:kern w:val="0"/>
          <w:sz w:val="24"/>
          <w:szCs w:val="24"/>
          <w:lang w:val="zh-CN"/>
        </w:rPr>
        <w:t>中标公告的公示期为1个工作日。</w:t>
      </w:r>
    </w:p>
    <w:p>
      <w:pPr>
        <w:numPr>
          <w:ilvl w:val="0"/>
          <w:numId w:val="39"/>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numPr>
          <w:ilvl w:val="0"/>
          <w:numId w:val="39"/>
        </w:numPr>
        <w:tabs>
          <w:tab w:val="left" w:pos="616"/>
        </w:tabs>
        <w:spacing w:line="360" w:lineRule="auto"/>
        <w:ind w:left="616" w:hanging="616"/>
        <w:rPr>
          <w:rFonts w:cs="Helvetica" w:asciiTheme="minorEastAsia" w:hAnsiTheme="minorEastAsia"/>
          <w:kern w:val="0"/>
          <w:sz w:val="24"/>
          <w:szCs w:val="24"/>
          <w:lang w:val="zh-CN"/>
        </w:rPr>
      </w:pPr>
      <w:r>
        <w:rPr>
          <w:rFonts w:cs="Helvetica" w:asciiTheme="minorEastAsia" w:hAnsiTheme="minorEastAsia"/>
          <w:kern w:val="0"/>
          <w:sz w:val="24"/>
          <w:szCs w:val="24"/>
          <w:lang w:val="zh-CN"/>
        </w:rPr>
        <w:t>采用综合评分法评审的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6" w:name="_Toc494561946"/>
      <w:bookmarkStart w:id="27" w:name="_Toc495861527"/>
      <w:r>
        <w:rPr>
          <w:rFonts w:hint="eastAsia" w:cs="Times New Roman" w:asciiTheme="majorEastAsia" w:hAnsiTheme="majorEastAsia"/>
          <w:bCs w:val="0"/>
          <w:lang w:val="zh-CN"/>
        </w:rPr>
        <w:t>质疑</w:t>
      </w:r>
      <w:bookmarkEnd w:id="22"/>
      <w:bookmarkEnd w:id="23"/>
      <w:r>
        <w:rPr>
          <w:rFonts w:hint="eastAsia" w:cs="Times New Roman" w:asciiTheme="majorEastAsia" w:hAnsiTheme="majorEastAsia"/>
          <w:bCs w:val="0"/>
          <w:lang w:val="zh-CN"/>
        </w:rPr>
        <w:t>及提交</w:t>
      </w:r>
      <w:bookmarkEnd w:id="26"/>
      <w:bookmarkEnd w:id="27"/>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投标人认为招标文件、招标过程和中标结果使自己的权益受到损害的，可以在知道或者应知其权益受到损害之日起7个工作日内，</w:t>
      </w:r>
      <w:r>
        <w:rPr>
          <w:rFonts w:ascii="宋体" w:hAnsi="宋体" w:eastAsia="宋体" w:cs="Times New Roman"/>
          <w:sz w:val="24"/>
          <w:szCs w:val="20"/>
          <w:lang w:val="zh-CN"/>
        </w:rPr>
        <w:t>向</w:t>
      </w:r>
      <w:r>
        <w:rPr>
          <w:rFonts w:hint="eastAsia" w:ascii="宋体" w:hAnsi="宋体" w:eastAsia="宋体" w:cs="Times New Roman"/>
          <w:color w:val="FF0000"/>
          <w:sz w:val="24"/>
          <w:szCs w:val="20"/>
          <w:lang w:val="zh-CN"/>
        </w:rPr>
        <w:t>采购人（或代理公司）</w:t>
      </w:r>
      <w:r>
        <w:rPr>
          <w:rFonts w:ascii="宋体" w:hAnsi="宋体" w:eastAsia="宋体" w:cs="Times New Roman"/>
          <w:sz w:val="24"/>
          <w:szCs w:val="20"/>
          <w:lang w:val="zh-CN"/>
        </w:rPr>
        <w:t>提出</w:t>
      </w:r>
      <w:r>
        <w:rPr>
          <w:rFonts w:hint="eastAsia" w:ascii="宋体" w:hAnsi="宋体" w:eastAsia="宋体" w:cs="Times New Roman"/>
          <w:sz w:val="24"/>
          <w:szCs w:val="20"/>
          <w:lang w:val="zh-CN"/>
        </w:rPr>
        <w:t>书面</w:t>
      </w:r>
      <w:r>
        <w:rPr>
          <w:rFonts w:ascii="宋体" w:hAnsi="宋体" w:eastAsia="宋体" w:cs="Times New Roman"/>
          <w:sz w:val="24"/>
          <w:szCs w:val="20"/>
          <w:lang w:val="zh-CN"/>
        </w:rPr>
        <w:t>质疑</w:t>
      </w:r>
      <w:r>
        <w:rPr>
          <w:rFonts w:hint="eastAsia" w:ascii="宋体" w:hAnsi="宋体" w:eastAsia="宋体" w:cs="Times New Roman"/>
          <w:sz w:val="24"/>
          <w:szCs w:val="20"/>
          <w:lang w:val="zh-CN"/>
        </w:rPr>
        <w:t>，质疑提出时间以收到之日为准。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numPr>
          <w:ilvl w:val="0"/>
          <w:numId w:val="40"/>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numPr>
          <w:ilvl w:val="0"/>
          <w:numId w:val="40"/>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numPr>
          <w:ilvl w:val="0"/>
          <w:numId w:val="40"/>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对中标结果提出质疑的，为中标公告期限届满之日。</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numPr>
          <w:ilvl w:val="0"/>
          <w:numId w:val="4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质疑人的名称、地址、联系人及联系电话等；</w:t>
      </w:r>
    </w:p>
    <w:p>
      <w:pPr>
        <w:numPr>
          <w:ilvl w:val="0"/>
          <w:numId w:val="4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被质疑人的名称、地址、联系人及联系电话等；</w:t>
      </w:r>
    </w:p>
    <w:p>
      <w:pPr>
        <w:numPr>
          <w:ilvl w:val="0"/>
          <w:numId w:val="4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质疑项目名称及编号、质疑事项和明确的请求；</w:t>
      </w:r>
    </w:p>
    <w:p>
      <w:pPr>
        <w:numPr>
          <w:ilvl w:val="0"/>
          <w:numId w:val="4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质疑事项的事实根据、法律依据及其他必要的证明材料；</w:t>
      </w:r>
    </w:p>
    <w:p>
      <w:pPr>
        <w:numPr>
          <w:ilvl w:val="0"/>
          <w:numId w:val="4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提出质疑的日期；</w:t>
      </w:r>
    </w:p>
    <w:p>
      <w:pPr>
        <w:numPr>
          <w:ilvl w:val="0"/>
          <w:numId w:val="4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numPr>
          <w:ilvl w:val="0"/>
          <w:numId w:val="4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投标人未按本章“质疑及提交”规定的时限、内容及方式进行质疑的，采购人</w:t>
      </w:r>
      <w:r>
        <w:rPr>
          <w:rFonts w:hint="eastAsia" w:ascii="宋体" w:hAnsi="宋体" w:eastAsia="宋体" w:cs="Times New Roman"/>
          <w:color w:val="FF0000"/>
          <w:sz w:val="24"/>
          <w:szCs w:val="20"/>
          <w:lang w:val="zh-CN"/>
        </w:rPr>
        <w:t>（或代理公司）</w:t>
      </w:r>
      <w:r>
        <w:rPr>
          <w:rFonts w:hint="eastAsia" w:ascii="宋体" w:hAnsi="宋体" w:eastAsia="宋体" w:cs="Times New Roman"/>
          <w:sz w:val="24"/>
          <w:szCs w:val="20"/>
          <w:lang w:val="zh-CN"/>
        </w:rPr>
        <w:t>不予受理。</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8" w:name="_Toc494561947"/>
      <w:bookmarkStart w:id="29" w:name="_Toc495861528"/>
      <w:r>
        <w:rPr>
          <w:rFonts w:hint="eastAsia" w:cs="Times New Roman" w:asciiTheme="majorEastAsia" w:hAnsiTheme="majorEastAsia"/>
          <w:bCs w:val="0"/>
          <w:lang w:val="zh-CN"/>
        </w:rPr>
        <w:t>相关条文解读</w:t>
      </w:r>
      <w:bookmarkEnd w:id="28"/>
      <w:bookmarkEnd w:id="29"/>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政府采购法第二十二条第一款第五项所称重大违法记录，是指投标人因违法经营受到刑事处罚或者责令停产停业、吊销许可证或者执照、较大数额罚款等行政处罚。</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各级人民政府财政部门依法对参加政府采购活动的投标人作出的禁止参加政府采购活动等行政处罚决定在全国范围内生效。</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投标人在参加政府采购活动前3年内因违法经营被禁止在一定期限内参加政府采购活动，期限届满的，可以参加政府采购活动。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根据财政部《政府采购法实施条例》释义中关于投标人资格条件的解释，对于银行、保险、石油石化、电力、电信等有行业特殊情况的，采购人和采购代理机构允许其分支机构参与投标。</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30" w:name="_Toc495861529"/>
      <w:bookmarkStart w:id="31" w:name="_Toc494561948"/>
      <w:r>
        <w:rPr>
          <w:rFonts w:hint="eastAsia" w:cs="Times New Roman" w:asciiTheme="majorEastAsia" w:hAnsiTheme="majorEastAsia"/>
          <w:bCs w:val="0"/>
          <w:lang w:val="zh-CN"/>
        </w:rPr>
        <w:t>其他注意事项</w:t>
      </w:r>
      <w:bookmarkEnd w:id="30"/>
      <w:bookmarkEnd w:id="31"/>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单位负责人为同一人或者存在直接控股、管理关系的不同投标人，不得参加同一合同项下的政府采购活动。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除单一来源采购项目外，为采购项目提供整体设计、规范编制或者项目管理、监理、检测等服务的投标人，不得再参加该采购项目的其他采购活动。</w:t>
      </w:r>
    </w:p>
    <w:p>
      <w:pPr>
        <w:pStyle w:val="4"/>
        <w:numPr>
          <w:ilvl w:val="0"/>
          <w:numId w:val="5"/>
        </w:numPr>
        <w:spacing w:before="40" w:after="40" w:line="360" w:lineRule="auto"/>
        <w:ind w:left="966" w:hanging="966"/>
        <w:jc w:val="left"/>
        <w:rPr>
          <w:rFonts w:cs="Times New Roman" w:asciiTheme="majorEastAsia" w:hAnsiTheme="majorEastAsia"/>
          <w:bCs w:val="0"/>
          <w:lang w:val="zh-CN"/>
        </w:rPr>
      </w:pPr>
      <w:bookmarkStart w:id="32" w:name="_Toc272247701"/>
      <w:bookmarkStart w:id="33" w:name="_Toc495861530"/>
      <w:bookmarkStart w:id="34" w:name="_Toc494561949"/>
      <w:bookmarkStart w:id="35" w:name="_Toc278891598"/>
      <w:r>
        <w:rPr>
          <w:rFonts w:hint="eastAsia" w:cs="Times New Roman" w:asciiTheme="majorEastAsia" w:hAnsiTheme="majorEastAsia"/>
          <w:bCs w:val="0"/>
          <w:lang w:val="zh-CN"/>
        </w:rPr>
        <w:t>适用法律</w:t>
      </w:r>
      <w:bookmarkEnd w:id="32"/>
      <w:bookmarkEnd w:id="33"/>
      <w:bookmarkEnd w:id="34"/>
      <w:bookmarkEnd w:id="35"/>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采购人、采购代理机构及投标人的一切招标投标活动均适用《政府采购法》、《政府采购法实施条例》、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6"/>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政府采购合同的履行、违约责任和解决争议的方法等适用《合同法》。</w:t>
      </w:r>
    </w:p>
    <w:p>
      <w:pPr>
        <w:pStyle w:val="4"/>
        <w:numPr>
          <w:ilvl w:val="0"/>
          <w:numId w:val="5"/>
        </w:numPr>
        <w:spacing w:before="40" w:after="40" w:line="360" w:lineRule="auto"/>
        <w:ind w:left="966" w:hanging="966"/>
        <w:jc w:val="left"/>
        <w:rPr>
          <w:rFonts w:cs="Times New Roman" w:asciiTheme="majorEastAsia" w:hAnsiTheme="majorEastAsia"/>
          <w:bCs w:val="0"/>
          <w:lang w:val="zh-CN"/>
        </w:rPr>
      </w:pPr>
      <w:bookmarkStart w:id="36" w:name="_Toc495861531"/>
      <w:bookmarkStart w:id="37" w:name="_Toc278891599"/>
      <w:bookmarkStart w:id="38" w:name="_Toc272247702"/>
      <w:bookmarkStart w:id="39" w:name="_Toc494561950"/>
      <w:r>
        <w:rPr>
          <w:rFonts w:hint="eastAsia" w:cs="Times New Roman" w:asciiTheme="majorEastAsia" w:hAnsiTheme="majorEastAsia"/>
          <w:bCs w:val="0"/>
          <w:lang w:val="zh-CN"/>
        </w:rPr>
        <w:t>招标文件的解释权</w:t>
      </w:r>
      <w:bookmarkEnd w:id="36"/>
      <w:bookmarkEnd w:id="37"/>
      <w:bookmarkEnd w:id="38"/>
      <w:bookmarkEnd w:id="39"/>
    </w:p>
    <w:p>
      <w:pPr>
        <w:numPr>
          <w:ilvl w:val="0"/>
          <w:numId w:val="6"/>
        </w:numPr>
        <w:spacing w:line="360" w:lineRule="auto"/>
        <w:ind w:left="560" w:hanging="560"/>
      </w:pPr>
      <w:r>
        <w:rPr>
          <w:rFonts w:hint="eastAsia" w:ascii="宋体" w:hAnsi="宋体" w:eastAsia="宋体" w:cs="Times New Roman"/>
          <w:sz w:val="24"/>
          <w:szCs w:val="20"/>
          <w:lang w:val="zh-CN"/>
        </w:rPr>
        <w:t>招标文件的最终解释权为</w:t>
      </w:r>
      <w:r>
        <w:rPr>
          <w:rFonts w:hint="eastAsia" w:ascii="宋体" w:hAnsi="宋体" w:eastAsia="宋体" w:cs="Times New Roman"/>
          <w:color w:val="FF0000"/>
          <w:sz w:val="24"/>
          <w:szCs w:val="20"/>
          <w:lang w:val="zh-CN"/>
        </w:rPr>
        <w:t>采购人、采购代理机构</w:t>
      </w:r>
      <w:r>
        <w:rPr>
          <w:rFonts w:hint="eastAsia" w:ascii="宋体" w:hAnsi="宋体" w:eastAsia="宋体" w:cs="Times New Roman"/>
          <w:sz w:val="24"/>
          <w:szCs w:val="20"/>
          <w:lang w:val="zh-CN"/>
        </w:rPr>
        <w:t>所有。</w:t>
      </w:r>
      <w:r>
        <w:br w:type="page"/>
      </w:r>
    </w:p>
    <w:p>
      <w:pPr>
        <w:pStyle w:val="3"/>
        <w:numPr>
          <w:ilvl w:val="0"/>
          <w:numId w:val="2"/>
        </w:numPr>
        <w:jc w:val="center"/>
        <w:rPr>
          <w:rFonts w:ascii="黑体" w:hAnsi="黑体" w:eastAsia="黑体"/>
        </w:rPr>
      </w:pPr>
      <w:bookmarkStart w:id="40" w:name="_Toc495861532"/>
      <w:r>
        <w:rPr>
          <w:rFonts w:hint="eastAsia" w:ascii="黑体" w:hAnsi="黑体" w:eastAsia="黑体"/>
        </w:rPr>
        <w:t>项目技术、服务及商务要求</w:t>
      </w:r>
      <w:bookmarkEnd w:id="40"/>
    </w:p>
    <w:p>
      <w:pPr>
        <w:pStyle w:val="4"/>
        <w:numPr>
          <w:ilvl w:val="0"/>
          <w:numId w:val="42"/>
        </w:numPr>
        <w:spacing w:before="0" w:after="0" w:line="360" w:lineRule="auto"/>
        <w:ind w:left="616" w:hanging="616"/>
        <w:jc w:val="left"/>
        <w:rPr>
          <w:rFonts w:cs="Times New Roman" w:asciiTheme="majorEastAsia" w:hAnsiTheme="majorEastAsia"/>
          <w:bCs w:val="0"/>
          <w:sz w:val="30"/>
          <w:szCs w:val="30"/>
          <w:lang w:val="zh-CN"/>
        </w:rPr>
      </w:pPr>
      <w:bookmarkStart w:id="41" w:name="_Toc495861533"/>
      <w:bookmarkStart w:id="42" w:name="_Toc494561952"/>
      <w:bookmarkStart w:id="43" w:name="_Toc339378679"/>
      <w:bookmarkStart w:id="44" w:name="_Toc338065593"/>
      <w:r>
        <w:rPr>
          <w:rFonts w:hint="eastAsia" w:cs="Times New Roman" w:asciiTheme="majorEastAsia" w:hAnsiTheme="majorEastAsia"/>
          <w:bCs w:val="0"/>
          <w:sz w:val="30"/>
          <w:szCs w:val="30"/>
          <w:lang w:val="zh-CN"/>
        </w:rPr>
        <w:t>采购清</w:t>
      </w:r>
      <w:r>
        <w:rPr>
          <w:rFonts w:hint="eastAsia" w:cs="Times New Roman" w:asciiTheme="majorEastAsia" w:hAnsiTheme="majorEastAsia"/>
          <w:bCs w:val="0"/>
          <w:sz w:val="30"/>
          <w:szCs w:val="30"/>
          <w:highlight w:val="none"/>
          <w:lang w:val="zh-CN"/>
        </w:rPr>
        <w:t>单</w:t>
      </w:r>
      <w:bookmarkEnd w:id="41"/>
      <w:bookmarkEnd w:id="42"/>
      <w:r>
        <w:rPr>
          <w:rFonts w:hint="eastAsia" w:cs="Times New Roman" w:asciiTheme="majorEastAsia" w:hAnsiTheme="majorEastAsia"/>
          <w:bCs w:val="0"/>
          <w:sz w:val="30"/>
          <w:szCs w:val="30"/>
          <w:highlight w:val="none"/>
          <w:lang w:val="zh-CN"/>
        </w:rPr>
        <w:t>（</w:t>
      </w:r>
      <w:r>
        <w:rPr>
          <w:rFonts w:hint="eastAsia" w:cs="Times New Roman" w:asciiTheme="majorEastAsia" w:hAnsiTheme="majorEastAsia"/>
          <w:bCs w:val="0"/>
          <w:sz w:val="30"/>
          <w:szCs w:val="30"/>
          <w:highlight w:val="none"/>
          <w:lang w:val="en-US" w:eastAsia="zh-CN"/>
        </w:rPr>
        <w:t>核心产品：正压式消防空气呼吸器</w:t>
      </w:r>
      <w:r>
        <w:rPr>
          <w:rFonts w:hint="eastAsia" w:cs="Times New Roman" w:asciiTheme="majorEastAsia" w:hAnsiTheme="majorEastAsia"/>
          <w:bCs w:val="0"/>
          <w:sz w:val="30"/>
          <w:szCs w:val="30"/>
          <w:highlight w:val="none"/>
          <w:lang w:val="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2839"/>
        <w:gridCol w:w="1574"/>
        <w:gridCol w:w="2037"/>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产品名称</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0" w:type="dxa"/>
            <w:gridSpan w:val="5"/>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sz w:val="24"/>
                <w:szCs w:val="24"/>
                <w:lang w:val="en-US" w:eastAsia="zh-CN"/>
              </w:rPr>
              <w:t>个人防护器材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消防头盔</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顶</w:t>
            </w:r>
          </w:p>
        </w:tc>
        <w:tc>
          <w:tcPr>
            <w:tcW w:w="2037"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需提供样品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灭火防护服</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037"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灭火救援手套</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2037"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22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消防安全腰带</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2037"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灭火防护靴</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2037"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shd w:val="clear"/>
                <w:lang w:val="en-US" w:eastAsia="zh-CN" w:bidi="ar"/>
              </w:rPr>
              <w:t>正压式消防空气呼吸器</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气瓶</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消防腰斧</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佩戴式防爆照明灯</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需提供样品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消防员呼救器</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需提供样品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防护头套</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安全钩</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抢险救援头盔</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顶</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抢险救援手套</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抢险救援服</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抢险救援靴</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手提灯</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需提供样品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水域救援服</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水域救援头盔</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顶</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通用安全绳</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0" w:type="dxa"/>
            <w:gridSpan w:val="5"/>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sz w:val="24"/>
                <w:szCs w:val="24"/>
                <w:lang w:val="en-US" w:eastAsia="zh-CN"/>
              </w:rPr>
              <w:t>灭火救援器材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绝缘杆</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绝缘手套</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低压水带（80）</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盘</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低压水带（65）</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盘</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需提供样品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多功能水枪</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需提供样品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直流水枪</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需提供样品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两用分水器</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三用分水器</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摇摆炮</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有毒气体检测仪</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手持扩音器</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排烟机</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机动链锯</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无齿锯</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283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液压破拆器材</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手动破拆器材</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铁铤</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消防斧</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15米金属拉梯</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6米拉梯</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挂钩梯</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伸缩梯</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绝缘剪断钳</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救生担架</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副</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防蜂服</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救生衣</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橡皮艇</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29"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手抬机动泵</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移动照明灯组</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防化服半封闭</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防化服全封闭</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救生抛投器</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救生气垫</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车载台</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空气压缩机</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警戒器材</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2037"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283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异型接口(65转80、卡口转快速各2)</w:t>
            </w:r>
          </w:p>
        </w:tc>
        <w:tc>
          <w:tcPr>
            <w:tcW w:w="1574"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2037"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229"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bl>
    <w:p>
      <w:pPr>
        <w:rPr>
          <w:lang w:val="zh-CN"/>
        </w:rPr>
      </w:pPr>
    </w:p>
    <w:bookmarkEnd w:id="43"/>
    <w:bookmarkEnd w:id="44"/>
    <w:p>
      <w:pPr>
        <w:spacing w:line="360" w:lineRule="auto"/>
        <w:rPr>
          <w:rFonts w:asciiTheme="minorEastAsia" w:hAnsiTheme="minorEastAsia"/>
          <w:sz w:val="24"/>
          <w:szCs w:val="24"/>
          <w:lang w:val="zh-CN"/>
        </w:rPr>
      </w:pPr>
      <w:bookmarkStart w:id="45" w:name="_Toc338065594"/>
      <w:bookmarkStart w:id="46" w:name="_Toc339378680"/>
    </w:p>
    <w:bookmarkEnd w:id="45"/>
    <w:bookmarkEnd w:id="46"/>
    <w:p>
      <w:pPr>
        <w:pStyle w:val="4"/>
        <w:numPr>
          <w:ilvl w:val="0"/>
          <w:numId w:val="42"/>
        </w:numPr>
        <w:spacing w:before="0" w:after="0" w:line="360" w:lineRule="auto"/>
        <w:ind w:left="616" w:hanging="616"/>
        <w:jc w:val="left"/>
        <w:rPr>
          <w:rFonts w:hint="default" w:cs="Times New Roman" w:asciiTheme="majorEastAsia" w:hAnsiTheme="majorEastAsia"/>
          <w:bCs w:val="0"/>
          <w:sz w:val="30"/>
          <w:szCs w:val="30"/>
          <w:lang w:val="en-US" w:eastAsia="zh-CN"/>
        </w:rPr>
      </w:pPr>
      <w:r>
        <w:rPr>
          <w:rFonts w:hint="eastAsia" w:cs="Times New Roman" w:asciiTheme="majorEastAsia" w:hAnsiTheme="majorEastAsia"/>
          <w:bCs w:val="0"/>
          <w:sz w:val="30"/>
          <w:szCs w:val="30"/>
          <w:lang w:val="en-US" w:eastAsia="zh-CN"/>
        </w:rPr>
        <w:t>项目概述及简介</w:t>
      </w:r>
    </w:p>
    <w:p>
      <w:pPr>
        <w:pStyle w:val="48"/>
        <w:adjustRightInd w:val="0"/>
        <w:snapToGrid w:val="0"/>
        <w:ind w:firstLine="483"/>
        <w:rPr>
          <w:rFonts w:hint="default"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本项目为</w:t>
      </w:r>
      <w:r>
        <w:rPr>
          <w:rFonts w:hint="eastAsia" w:asciiTheme="minorEastAsia" w:hAnsiTheme="minorEastAsia" w:eastAsiaTheme="minorEastAsia" w:cstheme="minorEastAsia"/>
          <w:color w:val="333333"/>
          <w:sz w:val="24"/>
          <w:szCs w:val="24"/>
          <w:shd w:val="clear" w:fill="FFFFFF"/>
          <w:lang w:eastAsia="zh-CN"/>
        </w:rPr>
        <w:t>黄石新港(物流)工业园区</w:t>
      </w:r>
      <w:r>
        <w:rPr>
          <w:rFonts w:hint="eastAsia" w:asciiTheme="minorEastAsia" w:hAnsiTheme="minorEastAsia" w:eastAsiaTheme="minorEastAsia" w:cstheme="minorEastAsia"/>
          <w:color w:val="333333"/>
          <w:sz w:val="24"/>
          <w:szCs w:val="24"/>
          <w:shd w:val="clear" w:fill="FFFFFF"/>
          <w:lang w:val="en-US" w:eastAsia="zh-CN"/>
        </w:rPr>
        <w:t>消防</w:t>
      </w:r>
      <w:r>
        <w:rPr>
          <w:rFonts w:hint="eastAsia" w:asciiTheme="minorEastAsia" w:hAnsiTheme="minorEastAsia" w:eastAsiaTheme="minorEastAsia" w:cstheme="minorEastAsia"/>
          <w:color w:val="333333"/>
          <w:sz w:val="24"/>
          <w:szCs w:val="24"/>
          <w:shd w:val="clear" w:fill="FFFFFF"/>
          <w:lang w:eastAsia="zh-CN"/>
        </w:rPr>
        <w:t>个人防护器材、灭火救援器材</w:t>
      </w:r>
      <w:r>
        <w:rPr>
          <w:rFonts w:hint="eastAsia" w:asciiTheme="minorEastAsia" w:hAnsiTheme="minorEastAsia" w:eastAsiaTheme="minorEastAsia" w:cstheme="minorEastAsia"/>
          <w:color w:val="333333"/>
          <w:sz w:val="24"/>
          <w:szCs w:val="24"/>
          <w:shd w:val="clear" w:fill="FFFFFF"/>
          <w:lang w:val="en-US" w:eastAsia="zh-CN"/>
        </w:rPr>
        <w:t>采购。</w:t>
      </w:r>
    </w:p>
    <w:p>
      <w:pPr>
        <w:rPr>
          <w:rFonts w:hint="default"/>
          <w:lang w:val="en-US" w:eastAsia="zh-CN"/>
        </w:rPr>
      </w:pPr>
    </w:p>
    <w:p>
      <w:pPr>
        <w:pStyle w:val="4"/>
        <w:numPr>
          <w:ilvl w:val="0"/>
          <w:numId w:val="42"/>
        </w:numPr>
        <w:spacing w:before="0" w:after="0" w:line="360" w:lineRule="auto"/>
        <w:ind w:left="616" w:hanging="616"/>
        <w:jc w:val="left"/>
        <w:rPr>
          <w:rFonts w:hint="eastAsia" w:cs="Times New Roman" w:asciiTheme="majorEastAsia" w:hAnsiTheme="majorEastAsia"/>
          <w:bCs w:val="0"/>
          <w:sz w:val="30"/>
          <w:szCs w:val="30"/>
          <w:lang w:val="zh-CN" w:eastAsia="zh-CN"/>
        </w:rPr>
      </w:pPr>
      <w:bookmarkStart w:id="47" w:name="_Toc67400150"/>
      <w:r>
        <w:rPr>
          <w:rFonts w:hint="eastAsia" w:cs="Times New Roman" w:asciiTheme="majorEastAsia" w:hAnsiTheme="majorEastAsia"/>
          <w:bCs w:val="0"/>
          <w:sz w:val="30"/>
          <w:szCs w:val="30"/>
          <w:lang w:val="zh-CN" w:eastAsia="zh-CN"/>
        </w:rPr>
        <w:t>国家相关行政主管部门颁布的强制标准、规范</w:t>
      </w:r>
      <w:bookmarkEnd w:id="47"/>
    </w:p>
    <w:p>
      <w:pPr>
        <w:pStyle w:val="49"/>
        <w:adjustRightInd w:val="0"/>
        <w:snapToGrid w:val="0"/>
        <w:spacing w:line="360" w:lineRule="auto"/>
        <w:ind w:firstLine="480" w:firstLineChars="200"/>
        <w:rPr>
          <w:rFonts w:hint="eastAsia" w:ascii="宋体" w:hAnsi="宋体"/>
        </w:rPr>
      </w:pPr>
      <w:r>
        <w:rPr>
          <w:rFonts w:hint="eastAsia" w:ascii="宋体" w:hAnsi="宋体"/>
        </w:rPr>
        <w:t>本项目所涉及的技术标准和规范、产品标准和规范、验收标准和规范等</w:t>
      </w:r>
      <w:r>
        <w:rPr>
          <w:rFonts w:hint="eastAsia" w:ascii="宋体" w:hAnsi="宋体"/>
          <w:lang w:val="en-US" w:eastAsia="zh-CN"/>
        </w:rPr>
        <w:t>应</w:t>
      </w:r>
      <w:r>
        <w:rPr>
          <w:rFonts w:hint="eastAsia" w:ascii="宋体" w:hAnsi="宋体"/>
        </w:rPr>
        <w:t>符合</w:t>
      </w:r>
      <w:r>
        <w:rPr>
          <w:rFonts w:hint="eastAsia" w:ascii="宋体" w:hAnsi="宋体"/>
          <w:lang w:val="en-US" w:eastAsia="zh-CN"/>
        </w:rPr>
        <w:t>国家现行</w:t>
      </w:r>
      <w:r>
        <w:rPr>
          <w:rFonts w:hint="eastAsia" w:ascii="宋体" w:hAnsi="宋体"/>
        </w:rPr>
        <w:t>有关标准和规范</w:t>
      </w:r>
    </w:p>
    <w:p>
      <w:pPr>
        <w:pStyle w:val="49"/>
        <w:adjustRightInd w:val="0"/>
        <w:snapToGrid w:val="0"/>
        <w:spacing w:line="360" w:lineRule="auto"/>
        <w:ind w:firstLine="480" w:firstLineChars="200"/>
        <w:rPr>
          <w:rFonts w:hint="eastAsia" w:ascii="宋体" w:hAnsi="宋体"/>
          <w:lang w:val="zh-CN" w:eastAsia="zh-CN"/>
        </w:rPr>
      </w:pPr>
    </w:p>
    <w:p>
      <w:pPr>
        <w:pStyle w:val="4"/>
        <w:numPr>
          <w:ilvl w:val="0"/>
          <w:numId w:val="42"/>
        </w:numPr>
        <w:spacing w:before="0" w:after="0" w:line="360" w:lineRule="auto"/>
        <w:ind w:left="616" w:hanging="616"/>
        <w:jc w:val="left"/>
        <w:rPr>
          <w:b/>
          <w:color w:val="000000"/>
          <w:highlight w:val="none"/>
        </w:rPr>
      </w:pPr>
      <w:r>
        <w:rPr>
          <w:rFonts w:hint="eastAsia" w:cs="Times New Roman" w:asciiTheme="majorEastAsia" w:hAnsiTheme="majorEastAsia"/>
          <w:bCs w:val="0"/>
          <w:sz w:val="30"/>
          <w:szCs w:val="30"/>
          <w:highlight w:val="none"/>
          <w:lang w:val="en-US" w:eastAsia="zh-CN"/>
        </w:rPr>
        <w:t>技术要求</w:t>
      </w:r>
    </w:p>
    <w:p>
      <w:pPr>
        <w:numPr>
          <w:ilvl w:val="0"/>
          <w:numId w:val="43"/>
        </w:numPr>
        <w:spacing w:line="360" w:lineRule="auto"/>
        <w:ind w:left="425" w:leftChars="0" w:hanging="425" w:firstLineChars="0"/>
        <w:jc w:val="both"/>
        <w:rPr>
          <w:rFonts w:hint="eastAsia"/>
          <w:b/>
          <w:bCs w:val="0"/>
          <w:color w:val="000000"/>
          <w:sz w:val="24"/>
          <w:szCs w:val="24"/>
          <w:highlight w:val="none"/>
        </w:rPr>
      </w:pPr>
      <w:r>
        <w:rPr>
          <w:rFonts w:hint="eastAsia"/>
          <w:b/>
          <w:bCs w:val="0"/>
          <w:color w:val="000000"/>
          <w:sz w:val="24"/>
          <w:szCs w:val="24"/>
          <w:highlight w:val="none"/>
        </w:rPr>
        <w:t>个人防护器材</w:t>
      </w:r>
    </w:p>
    <w:p>
      <w:pPr>
        <w:numPr>
          <w:ilvl w:val="0"/>
          <w:numId w:val="44"/>
        </w:numPr>
        <w:spacing w:line="360" w:lineRule="auto"/>
        <w:ind w:left="425" w:leftChars="0" w:hanging="425" w:firstLineChars="0"/>
        <w:jc w:val="both"/>
        <w:rPr>
          <w:rFonts w:hint="eastAsia"/>
          <w:b/>
          <w:bCs w:val="0"/>
          <w:color w:val="000000"/>
          <w:sz w:val="24"/>
          <w:szCs w:val="24"/>
          <w:highlight w:val="none"/>
        </w:rPr>
      </w:pPr>
      <w:r>
        <w:rPr>
          <w:rFonts w:hint="eastAsia"/>
          <w:b/>
          <w:bCs w:val="0"/>
          <w:color w:val="000000"/>
          <w:sz w:val="24"/>
          <w:szCs w:val="24"/>
          <w:highlight w:val="none"/>
        </w:rPr>
        <w:t>消防头盔</w:t>
      </w:r>
    </w:p>
    <w:p>
      <w:pPr>
        <w:keepNext w:val="0"/>
        <w:keepLines w:val="0"/>
        <w:pageBreakBefore w:val="0"/>
        <w:numPr>
          <w:ilvl w:val="0"/>
          <w:numId w:val="45"/>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整体要求</w:t>
      </w:r>
    </w:p>
    <w:p>
      <w:pPr>
        <w:keepNext w:val="0"/>
        <w:keepLines w:val="0"/>
        <w:pageBreakBefore w:val="0"/>
        <w:numPr>
          <w:ilvl w:val="0"/>
          <w:numId w:val="46"/>
        </w:numPr>
        <w:kinsoku/>
        <w:wordWrap/>
        <w:overflowPunct/>
        <w:topLinePunct w:val="0"/>
        <w:bidi w:val="0"/>
        <w:spacing w:line="360" w:lineRule="auto"/>
        <w:ind w:left="425" w:leftChars="0" w:right="-134" w:rightChars="-64" w:hanging="425" w:firstLineChars="0"/>
        <w:jc w:val="left"/>
        <w:rPr>
          <w:rFonts w:hint="eastAsia" w:ascii="宋体" w:hAnsi="宋体" w:eastAsia="宋体" w:cs="宋体"/>
          <w:b w:val="0"/>
          <w:bCs/>
          <w:kern w:val="0"/>
          <w:sz w:val="24"/>
          <w:szCs w:val="24"/>
        </w:rPr>
      </w:pPr>
      <w:r>
        <w:rPr>
          <w:sz w:val="24"/>
        </w:rPr>
        <mc:AlternateContent>
          <mc:Choice Requires="wps">
            <w:drawing>
              <wp:anchor distT="0" distB="0" distL="114300" distR="114300" simplePos="0" relativeHeight="251699200" behindDoc="0" locked="0" layoutInCell="1" allowOverlap="1">
                <wp:simplePos x="0" y="0"/>
                <wp:positionH relativeFrom="column">
                  <wp:posOffset>-333375</wp:posOffset>
                </wp:positionH>
                <wp:positionV relativeFrom="paragraph">
                  <wp:posOffset>12700</wp:posOffset>
                </wp:positionV>
                <wp:extent cx="276225" cy="314325"/>
                <wp:effectExtent l="0" t="0" r="9525" b="9525"/>
                <wp:wrapNone/>
                <wp:docPr id="7" name="文本框 7"/>
                <wp:cNvGraphicFramePr/>
                <a:graphic xmlns:a="http://schemas.openxmlformats.org/drawingml/2006/main">
                  <a:graphicData uri="http://schemas.microsoft.com/office/word/2010/wordprocessingShape">
                    <wps:wsp>
                      <wps:cNvSpPr txBox="1"/>
                      <wps:spPr>
                        <a:xfrm>
                          <a:off x="356235" y="6238240"/>
                          <a:ext cx="276225" cy="3143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5pt;margin-top:1pt;height:24.75pt;width:21.75pt;z-index:251699200;mso-width-relative:page;mso-height-relative:page;" fillcolor="#FFFFFF [3201]" filled="t" stroked="f" coordsize="21600,21600" o:gfxdata="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qG2GRtMAAAAHAQAA&#10;DwAAAAAAAAABACAAAAAiAAAAZHJzL2Rvd25yZXYueG1sUEsBAhQAFAAAAAgAh07iQAATJ3FXAgAA&#10;mQQAAA4AAAAAAAAAAQAgAAAAIgEAAGRycy9lMm9Eb2MueG1sUEsFBgAAAAAGAAYAWQEAAOsFAAAA&#10;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b w:val="0"/>
          <w:bCs/>
          <w:kern w:val="0"/>
          <w:sz w:val="24"/>
          <w:szCs w:val="24"/>
        </w:rPr>
        <w:t>符合国家GA44-2015《消防头盔》标准要求，</w:t>
      </w:r>
      <w:r>
        <w:rPr>
          <w:rFonts w:hint="eastAsia" w:ascii="宋体" w:hAnsi="宋体" w:eastAsia="宋体" w:cs="宋体"/>
          <w:b w:val="0"/>
          <w:bCs/>
          <w:kern w:val="0"/>
          <w:sz w:val="24"/>
          <w:szCs w:val="24"/>
          <w:highlight w:val="none"/>
        </w:rPr>
        <w:t>提供</w:t>
      </w:r>
      <w:r>
        <w:rPr>
          <w:rFonts w:hint="eastAsia" w:ascii="宋体" w:hAnsi="宋体" w:eastAsia="宋体" w:cs="宋体"/>
          <w:b/>
          <w:bCs w:val="0"/>
          <w:kern w:val="0"/>
          <w:sz w:val="24"/>
          <w:szCs w:val="24"/>
          <w:highlight w:val="none"/>
        </w:rPr>
        <w:t>检验报告复印件</w:t>
      </w:r>
      <w:r>
        <w:rPr>
          <w:rFonts w:hint="eastAsia" w:ascii="宋体" w:hAnsi="宋体" w:eastAsia="宋体" w:cs="宋体"/>
          <w:b/>
          <w:bCs w:val="0"/>
          <w:kern w:val="0"/>
          <w:sz w:val="24"/>
          <w:szCs w:val="24"/>
          <w:highlight w:val="none"/>
          <w:lang w:val="en-US" w:eastAsia="zh-CN"/>
        </w:rPr>
        <w:t>并加盖公章</w:t>
      </w:r>
      <w:r>
        <w:rPr>
          <w:rFonts w:hint="eastAsia" w:ascii="宋体" w:hAnsi="宋体" w:eastAsia="宋体" w:cs="宋体"/>
          <w:b w:val="0"/>
          <w:bCs/>
          <w:kern w:val="0"/>
          <w:sz w:val="24"/>
          <w:szCs w:val="24"/>
          <w:highlight w:val="none"/>
        </w:rPr>
        <w:t>。</w:t>
      </w:r>
    </w:p>
    <w:p>
      <w:pPr>
        <w:keepNext w:val="0"/>
        <w:keepLines w:val="0"/>
        <w:pageBreakBefore w:val="0"/>
        <w:numPr>
          <w:ilvl w:val="0"/>
          <w:numId w:val="46"/>
        </w:numPr>
        <w:tabs>
          <w:tab w:val="left" w:pos="1260"/>
          <w:tab w:val="clear" w:pos="420"/>
        </w:tabs>
        <w:kinsoku/>
        <w:wordWrap/>
        <w:overflowPunct/>
        <w:topLinePunct w:val="0"/>
        <w:bidi w:val="0"/>
        <w:spacing w:line="360" w:lineRule="auto"/>
        <w:ind w:left="1260" w:leftChars="0" w:hanging="126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主要用于对消防员头部、面部及颈部等部位进行安全防护，保护消防员头、颈部免受穿透、热辐射、火烧、电击和侧向挤压。</w:t>
      </w:r>
    </w:p>
    <w:p>
      <w:pPr>
        <w:keepNext w:val="0"/>
        <w:keepLines w:val="0"/>
        <w:pageBreakBefore w:val="0"/>
        <w:numPr>
          <w:ilvl w:val="0"/>
          <w:numId w:val="46"/>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符合17式消防头盔款式标识统型要求。</w:t>
      </w:r>
    </w:p>
    <w:p>
      <w:pPr>
        <w:bidi w:val="0"/>
        <w:rPr>
          <w:rFonts w:hint="eastAsia"/>
        </w:rPr>
      </w:pPr>
    </w:p>
    <w:p>
      <w:pPr>
        <w:keepNext w:val="0"/>
        <w:keepLines w:val="0"/>
        <w:pageBreakBefore w:val="0"/>
        <w:numPr>
          <w:ilvl w:val="0"/>
          <w:numId w:val="45"/>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外观及材质</w:t>
      </w:r>
    </w:p>
    <w:p>
      <w:pPr>
        <w:keepNext w:val="0"/>
        <w:keepLines w:val="0"/>
        <w:pageBreakBefore w:val="0"/>
        <w:numPr>
          <w:ilvl w:val="0"/>
          <w:numId w:val="47"/>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rPr>
        <w:t>为半盔式头盔，由帽壳、佩戴装置及附件（面罩、披肩）等构成，浅色透明面罩，粘贴19式消防帽徽</w:t>
      </w:r>
      <w:r>
        <w:rPr>
          <w:rFonts w:hint="eastAsia" w:ascii="宋体" w:hAnsi="宋体" w:eastAsia="宋体" w:cs="宋体"/>
          <w:b w:val="0"/>
          <w:bCs/>
          <w:kern w:val="0"/>
          <w:sz w:val="24"/>
          <w:szCs w:val="24"/>
          <w:lang w:eastAsia="zh-CN"/>
        </w:rPr>
        <w:t>；</w:t>
      </w:r>
      <w:r>
        <w:rPr>
          <w:rFonts w:hint="eastAsia" w:ascii="宋体" w:hAnsi="宋体" w:eastAsia="宋体" w:cs="宋体"/>
          <w:b w:val="0"/>
          <w:bCs/>
          <w:kern w:val="0"/>
          <w:sz w:val="24"/>
          <w:szCs w:val="24"/>
        </w:rPr>
        <w:t>颜色:黄色、红色。</w:t>
      </w:r>
      <w:r>
        <w:rPr>
          <w:rFonts w:hint="eastAsia" w:ascii="宋体" w:hAnsi="宋体" w:eastAsia="宋体" w:cs="宋体"/>
          <w:b w:val="0"/>
          <w:bCs/>
          <w:kern w:val="0"/>
          <w:sz w:val="24"/>
          <w:szCs w:val="24"/>
          <w:lang w:eastAsia="zh-CN"/>
        </w:rPr>
        <w:t>（指挥款为红色、战斗款为黄色）；</w:t>
      </w:r>
    </w:p>
    <w:p>
      <w:pPr>
        <w:keepNext w:val="0"/>
        <w:keepLines w:val="0"/>
        <w:pageBreakBefore w:val="0"/>
        <w:numPr>
          <w:ilvl w:val="0"/>
          <w:numId w:val="47"/>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材质：帽壳材质为聚酰胺材料（PA66），缓冲层及下颏带材质为对人体无毒、无自然伤害的阻燃材料，面罩材质为聚亚苯基砜（PPSU），帽壳为一次性注塑成型。</w:t>
      </w:r>
    </w:p>
    <w:p>
      <w:pPr>
        <w:keepNext w:val="0"/>
        <w:keepLines w:val="0"/>
        <w:pageBreakBefore w:val="0"/>
        <w:numPr>
          <w:ilvl w:val="0"/>
          <w:numId w:val="47"/>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披肩：应为装卸式，采用铝箔复合防水层及芳纶阻燃面料的三层结构，可完全覆盖消防员肩部与颈部，脱卸方便。</w:t>
      </w:r>
    </w:p>
    <w:p>
      <w:pPr>
        <w:keepNext w:val="0"/>
        <w:keepLines w:val="0"/>
        <w:pageBreakBefore w:val="0"/>
        <w:numPr>
          <w:ilvl w:val="0"/>
          <w:numId w:val="47"/>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滑轨：盔体两侧设黑色多功能模块化滑轨，耐高温阻燃材质。</w:t>
      </w:r>
    </w:p>
    <w:p>
      <w:pPr>
        <w:keepNext w:val="0"/>
        <w:keepLines w:val="0"/>
        <w:pageBreakBefore w:val="0"/>
        <w:numPr>
          <w:ilvl w:val="0"/>
          <w:numId w:val="47"/>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反光标识条：荧光黄色，荧光桔红色。</w:t>
      </w:r>
    </w:p>
    <w:p>
      <w:pPr>
        <w:bidi w:val="0"/>
        <w:rPr>
          <w:rFonts w:hint="eastAsia"/>
          <w:lang w:val="zh-CN"/>
        </w:rPr>
      </w:pPr>
    </w:p>
    <w:p>
      <w:pPr>
        <w:keepNext w:val="0"/>
        <w:keepLines w:val="0"/>
        <w:pageBreakBefore w:val="0"/>
        <w:numPr>
          <w:ilvl w:val="0"/>
          <w:numId w:val="45"/>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技术性能</w:t>
      </w:r>
    </w:p>
    <w:p>
      <w:pPr>
        <w:keepNext w:val="0"/>
        <w:keepLines w:val="0"/>
        <w:pageBreakBefore w:val="0"/>
        <w:numPr>
          <w:ilvl w:val="0"/>
          <w:numId w:val="48"/>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b w:val="0"/>
          <w:bCs/>
          <w:kern w:val="0"/>
          <w:sz w:val="24"/>
          <w:szCs w:val="24"/>
        </w:rPr>
      </w:pPr>
      <w:r>
        <w:rPr>
          <w:sz w:val="24"/>
        </w:rPr>
        <mc:AlternateContent>
          <mc:Choice Requires="wps">
            <w:drawing>
              <wp:anchor distT="0" distB="0" distL="114300" distR="114300" simplePos="0" relativeHeight="251700224" behindDoc="0" locked="0" layoutInCell="1" allowOverlap="1">
                <wp:simplePos x="0" y="0"/>
                <wp:positionH relativeFrom="column">
                  <wp:posOffset>-333375</wp:posOffset>
                </wp:positionH>
                <wp:positionV relativeFrom="paragraph">
                  <wp:posOffset>24130</wp:posOffset>
                </wp:positionV>
                <wp:extent cx="342900" cy="266700"/>
                <wp:effectExtent l="0" t="0" r="0" b="0"/>
                <wp:wrapNone/>
                <wp:docPr id="43" name="文本框 43"/>
                <wp:cNvGraphicFramePr/>
                <a:graphic xmlns:a="http://schemas.openxmlformats.org/drawingml/2006/main">
                  <a:graphicData uri="http://schemas.microsoft.com/office/word/2010/wordprocessingShape">
                    <wps:wsp>
                      <wps:cNvSpPr txBox="1"/>
                      <wps:spPr>
                        <a:xfrm>
                          <a:off x="308610" y="1852930"/>
                          <a:ext cx="342900"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5pt;margin-top:1.9pt;height:21pt;width:27pt;z-index:251700224;mso-width-relative:page;mso-height-relative:page;" fillcolor="#FFFFFF [3201]" filled="t" stroked="f" coordsize="21600,21600" o:gfxdata="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cxU9TSAAAABgEA&#10;AA8AAAAAAAAAAQAgAAAAIgAAAGRycy9kb3ducmV2LnhtbFBLAQIUABQAAAAIAIdO4kDevxZMWQIA&#10;AJsEAAAOAAAAAAAAAAEAIAAAACEBAABkcnMvZTJvRG9jLnhtbFBLBQYAAAAABgAGAFkBAADsBQAA&#10;A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b w:val="0"/>
          <w:bCs/>
          <w:kern w:val="0"/>
          <w:sz w:val="24"/>
          <w:szCs w:val="24"/>
        </w:rPr>
        <w:t>冲击吸收性能：高温预处理，最大冲击力≤3100N；辐射热预处理，最大冲击力≤3050N；低温预处理，最大冲击力≤3300N；浸水预处理，最大冲击力≤3000N；</w:t>
      </w:r>
    </w:p>
    <w:p>
      <w:pPr>
        <w:keepNext w:val="0"/>
        <w:keepLines w:val="0"/>
        <w:pageBreakBefore w:val="0"/>
        <w:numPr>
          <w:ilvl w:val="0"/>
          <w:numId w:val="48"/>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耐穿透性能：经实验后钢锥不与头模建立接触；</w:t>
      </w:r>
    </w:p>
    <w:p>
      <w:pPr>
        <w:keepNext w:val="0"/>
        <w:keepLines w:val="0"/>
        <w:pageBreakBefore w:val="0"/>
        <w:numPr>
          <w:ilvl w:val="0"/>
          <w:numId w:val="48"/>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耐燃烧性能：火源离开帽壳后，帽壳火焰在5s 内自熄，并且无火焰烧透到帽壳内部的明显迹象；</w:t>
      </w:r>
    </w:p>
    <w:p>
      <w:pPr>
        <w:keepNext w:val="0"/>
        <w:keepLines w:val="0"/>
        <w:pageBreakBefore w:val="0"/>
        <w:numPr>
          <w:ilvl w:val="0"/>
          <w:numId w:val="48"/>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阻燃性能：头盔经高温实验后，下颏带损毁长度≤7mm，续燃时间0s；披肩损毁长度≤25mm，续燃时间0s；面罩续燃时间 0s；各部分均无熔融、滴落现象；</w:t>
      </w:r>
    </w:p>
    <w:p>
      <w:pPr>
        <w:keepNext w:val="0"/>
        <w:keepLines w:val="0"/>
        <w:pageBreakBefore w:val="0"/>
        <w:numPr>
          <w:ilvl w:val="0"/>
          <w:numId w:val="48"/>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电绝缘性能：帽壳泄露电流≤1.0mA；</w:t>
      </w:r>
    </w:p>
    <w:p>
      <w:pPr>
        <w:keepNext w:val="0"/>
        <w:keepLines w:val="0"/>
        <w:pageBreakBefore w:val="0"/>
        <w:numPr>
          <w:ilvl w:val="0"/>
          <w:numId w:val="48"/>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下颏带抗拉强度：延伸长度≤15.5mm；</w:t>
      </w:r>
    </w:p>
    <w:p>
      <w:pPr>
        <w:keepNext w:val="0"/>
        <w:keepLines w:val="0"/>
        <w:pageBreakBefore w:val="0"/>
        <w:numPr>
          <w:ilvl w:val="0"/>
          <w:numId w:val="48"/>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侧向刚性：帽壳最大变形≤22mm，卸载后变形≤2.5mm，帽壳无碎片脱落；</w:t>
      </w:r>
    </w:p>
    <w:p>
      <w:pPr>
        <w:keepNext w:val="0"/>
        <w:keepLines w:val="0"/>
        <w:pageBreakBefore w:val="0"/>
        <w:numPr>
          <w:ilvl w:val="0"/>
          <w:numId w:val="48"/>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面罩光学性能：面罩透光率≥69%（浅色）；</w:t>
      </w:r>
    </w:p>
    <w:p>
      <w:pPr>
        <w:keepNext w:val="0"/>
        <w:keepLines w:val="0"/>
        <w:pageBreakBefore w:val="0"/>
        <w:numPr>
          <w:ilvl w:val="0"/>
          <w:numId w:val="48"/>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披肩防水性能 耐静水压＞17kPa；</w:t>
      </w:r>
    </w:p>
    <w:p>
      <w:pPr>
        <w:keepNext w:val="0"/>
        <w:keepLines w:val="0"/>
        <w:pageBreakBefore w:val="0"/>
        <w:numPr>
          <w:ilvl w:val="0"/>
          <w:numId w:val="48"/>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视野：左、右水平视野＞105°；</w:t>
      </w:r>
    </w:p>
    <w:p>
      <w:pPr>
        <w:keepNext w:val="0"/>
        <w:keepLines w:val="0"/>
        <w:pageBreakBefore w:val="0"/>
        <w:numPr>
          <w:ilvl w:val="0"/>
          <w:numId w:val="48"/>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质量：≤1100g。</w:t>
      </w:r>
    </w:p>
    <w:p>
      <w:pPr>
        <w:bidi w:val="0"/>
        <w:rPr>
          <w:rFonts w:hint="eastAsia"/>
        </w:rPr>
      </w:pPr>
    </w:p>
    <w:p>
      <w:pPr>
        <w:keepNext w:val="0"/>
        <w:keepLines w:val="0"/>
        <w:pageBreakBefore w:val="0"/>
        <w:numPr>
          <w:ilvl w:val="0"/>
          <w:numId w:val="45"/>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其他</w:t>
      </w:r>
    </w:p>
    <w:p>
      <w:pPr>
        <w:numPr>
          <w:ilvl w:val="0"/>
          <w:numId w:val="49"/>
        </w:numPr>
        <w:tabs>
          <w:tab w:val="left" w:pos="1260"/>
          <w:tab w:val="clear" w:pos="420"/>
        </w:tabs>
        <w:bidi w:val="0"/>
        <w:spacing w:line="360" w:lineRule="auto"/>
        <w:ind w:left="1260" w:leftChars="0" w:hanging="1260" w:firstLineChars="0"/>
        <w:rPr>
          <w:rFonts w:hint="eastAsia"/>
          <w:b w:val="0"/>
          <w:bCs/>
          <w:sz w:val="24"/>
          <w:szCs w:val="24"/>
        </w:rPr>
      </w:pPr>
      <w:r>
        <w:rPr>
          <w:rFonts w:hint="eastAsia" w:ascii="宋体" w:hAnsi="宋体" w:eastAsia="宋体" w:cs="宋体"/>
          <w:b w:val="0"/>
          <w:bCs/>
          <w:kern w:val="0"/>
          <w:sz w:val="24"/>
          <w:szCs w:val="24"/>
        </w:rPr>
        <w:t>每顶头盔配有“执行标准GA44-2015”、型号规格、生产厂的名称、生产厂的头盔识别编号、制造年月、检验合格标记等永久性标识。</w:t>
      </w:r>
    </w:p>
    <w:p>
      <w:pPr>
        <w:bidi w:val="0"/>
        <w:rPr>
          <w:rFonts w:hint="eastAsia"/>
          <w:b/>
          <w:bCs w:val="0"/>
        </w:rPr>
      </w:pPr>
    </w:p>
    <w:p>
      <w:pPr>
        <w:numPr>
          <w:ilvl w:val="0"/>
          <w:numId w:val="44"/>
        </w:numPr>
        <w:spacing w:line="360" w:lineRule="auto"/>
        <w:ind w:left="425" w:leftChars="0" w:hanging="425" w:firstLineChars="0"/>
        <w:jc w:val="both"/>
        <w:rPr>
          <w:rFonts w:hint="eastAsia"/>
          <w:b/>
          <w:bCs w:val="0"/>
          <w:color w:val="000000"/>
          <w:sz w:val="24"/>
          <w:szCs w:val="24"/>
          <w:highlight w:val="none"/>
        </w:rPr>
      </w:pPr>
      <w:r>
        <w:rPr>
          <w:rFonts w:hint="eastAsia"/>
          <w:b/>
          <w:bCs w:val="0"/>
          <w:color w:val="000000"/>
          <w:sz w:val="24"/>
          <w:szCs w:val="24"/>
          <w:highlight w:val="none"/>
        </w:rPr>
        <w:t>灭火防护服</w:t>
      </w:r>
    </w:p>
    <w:p>
      <w:pPr>
        <w:keepNext w:val="0"/>
        <w:keepLines w:val="0"/>
        <w:pageBreakBefore w:val="0"/>
        <w:numPr>
          <w:ilvl w:val="0"/>
          <w:numId w:val="50"/>
        </w:numPr>
        <w:tabs>
          <w:tab w:val="left" w:pos="1260"/>
          <w:tab w:val="clear" w:pos="420"/>
        </w:tabs>
        <w:kinsoku/>
        <w:wordWrap/>
        <w:overflowPunct/>
        <w:topLinePunct w:val="0"/>
        <w:bidi w:val="0"/>
        <w:spacing w:line="360" w:lineRule="auto"/>
        <w:ind w:left="1245" w:leftChars="0" w:hanging="1245" w:firstLineChars="0"/>
        <w:jc w:val="left"/>
        <w:rPr>
          <w:rFonts w:hint="eastAsia"/>
          <w:b/>
          <w:bCs/>
          <w:highlight w:val="none"/>
          <w:lang w:val="zh-CN"/>
        </w:rPr>
      </w:pPr>
      <w:r>
        <w:rPr>
          <w:sz w:val="24"/>
        </w:rPr>
        <mc:AlternateContent>
          <mc:Choice Requires="wps">
            <w:drawing>
              <wp:anchor distT="0" distB="0" distL="114300" distR="114300" simplePos="0" relativeHeight="251701248" behindDoc="0" locked="0" layoutInCell="1" allowOverlap="1">
                <wp:simplePos x="0" y="0"/>
                <wp:positionH relativeFrom="column">
                  <wp:posOffset>-342900</wp:posOffset>
                </wp:positionH>
                <wp:positionV relativeFrom="paragraph">
                  <wp:posOffset>31750</wp:posOffset>
                </wp:positionV>
                <wp:extent cx="314325" cy="295275"/>
                <wp:effectExtent l="0" t="0" r="9525" b="9525"/>
                <wp:wrapNone/>
                <wp:docPr id="44" name="文本框 44"/>
                <wp:cNvGraphicFramePr/>
                <a:graphic xmlns:a="http://schemas.openxmlformats.org/drawingml/2006/main">
                  <a:graphicData uri="http://schemas.microsoft.com/office/word/2010/wordprocessingShape">
                    <wps:wsp>
                      <wps:cNvSpPr txBox="1"/>
                      <wps:spPr>
                        <a:xfrm>
                          <a:off x="394335" y="7615555"/>
                          <a:ext cx="314325" cy="2952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2.5pt;height:23.25pt;width:24.75pt;z-index:251701248;mso-width-relative:page;mso-height-relative:page;" fillcolor="#FFFFFF [3201]" filled="t" stroked="f" coordsize="21600,21600" o:gfxdata="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cmMe0wAA&#10;AAcBAAAPAAAAAAAAAAEAIAAAACIAAABkcnMvZG93bnJldi54bWxQSwECFAAUAAAACACHTuJAhyos&#10;61wCAACbBAAADgAAAAAAAAABACAAAAAiAQAAZHJzL2Uyb0RvYy54bWxQSwUGAAAAAAYABgBZAQAA&#10;8AUAAA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b w:val="0"/>
          <w:bCs/>
          <w:kern w:val="0"/>
          <w:sz w:val="24"/>
          <w:szCs w:val="24"/>
        </w:rPr>
        <w:t>整体要求</w:t>
      </w:r>
      <w:r>
        <w:rPr>
          <w:rFonts w:hint="eastAsia" w:ascii="宋体" w:hAnsi="宋体" w:eastAsia="宋体" w:cs="宋体"/>
          <w:kern w:val="0"/>
          <w:sz w:val="24"/>
          <w:szCs w:val="24"/>
          <w:lang w:val="zh-CN"/>
        </w:rPr>
        <w:t>符合XF10-2014《消防员灭火防护服》标准要求，</w:t>
      </w:r>
      <w:r>
        <w:rPr>
          <w:rFonts w:hint="eastAsia" w:ascii="宋体" w:hAnsi="宋体" w:eastAsia="宋体" w:cs="宋体"/>
          <w:b/>
          <w:bCs/>
          <w:kern w:val="0"/>
          <w:sz w:val="24"/>
          <w:szCs w:val="24"/>
          <w:highlight w:val="none"/>
          <w:lang w:val="zh-CN"/>
        </w:rPr>
        <w:t>提供检验报告</w:t>
      </w:r>
      <w:r>
        <w:rPr>
          <w:rFonts w:hint="eastAsia" w:ascii="宋体" w:hAnsi="宋体" w:eastAsia="宋体" w:cs="宋体"/>
          <w:b/>
          <w:bCs/>
          <w:kern w:val="0"/>
          <w:sz w:val="24"/>
          <w:szCs w:val="24"/>
          <w:highlight w:val="none"/>
        </w:rPr>
        <w:t>复印件</w:t>
      </w:r>
      <w:r>
        <w:rPr>
          <w:rFonts w:hint="eastAsia" w:ascii="宋体" w:hAnsi="宋体" w:eastAsia="宋体" w:cs="宋体"/>
          <w:b/>
          <w:bCs/>
          <w:kern w:val="0"/>
          <w:sz w:val="24"/>
          <w:szCs w:val="24"/>
          <w:highlight w:val="none"/>
          <w:lang w:val="en-US" w:eastAsia="zh-CN"/>
        </w:rPr>
        <w:t>并加盖公章</w:t>
      </w:r>
      <w:r>
        <w:rPr>
          <w:rFonts w:hint="eastAsia" w:ascii="宋体" w:hAnsi="宋体" w:eastAsia="宋体" w:cs="宋体"/>
          <w:b/>
          <w:bCs/>
          <w:kern w:val="0"/>
          <w:sz w:val="24"/>
          <w:szCs w:val="24"/>
          <w:highlight w:val="none"/>
          <w:lang w:val="zh-CN"/>
        </w:rPr>
        <w:t>。</w:t>
      </w:r>
    </w:p>
    <w:p>
      <w:pPr>
        <w:keepNext w:val="0"/>
        <w:keepLines w:val="0"/>
        <w:pageBreakBefore w:val="0"/>
        <w:numPr>
          <w:ilvl w:val="0"/>
          <w:numId w:val="50"/>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外观要求</w:t>
      </w:r>
    </w:p>
    <w:p>
      <w:pPr>
        <w:keepNext w:val="0"/>
        <w:keepLines w:val="0"/>
        <w:pageBreakBefore w:val="0"/>
        <w:numPr>
          <w:ilvl w:val="0"/>
          <w:numId w:val="51"/>
        </w:numPr>
        <w:kinsoku/>
        <w:wordWrap/>
        <w:overflowPunct/>
        <w:topLinePunct w:val="0"/>
        <w:autoSpaceDE w:val="0"/>
        <w:autoSpaceDN w:val="0"/>
        <w:bidi w:val="0"/>
        <w:adjustRightInd w:val="0"/>
        <w:spacing w:line="360" w:lineRule="auto"/>
        <w:ind w:left="425" w:leftChars="0" w:hanging="425" w:firstLineChars="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外观</w:t>
      </w:r>
      <w:r>
        <w:rPr>
          <w:rFonts w:hint="eastAsia" w:ascii="宋体" w:hAnsi="宋体" w:eastAsia="宋体" w:cs="宋体"/>
          <w:kern w:val="0"/>
          <w:sz w:val="24"/>
          <w:szCs w:val="24"/>
          <w:highlight w:val="none"/>
          <w:lang w:val="zh-CN"/>
        </w:rPr>
        <w:t>为藏蓝色，</w:t>
      </w:r>
      <w:r>
        <w:rPr>
          <w:rFonts w:hint="eastAsia" w:ascii="宋体" w:hAnsi="宋体" w:eastAsia="宋体" w:cs="宋体"/>
          <w:kern w:val="0"/>
          <w:sz w:val="24"/>
          <w:szCs w:val="24"/>
          <w:highlight w:val="none"/>
        </w:rPr>
        <w:t>色</w:t>
      </w:r>
      <w:r>
        <w:rPr>
          <w:rFonts w:hint="eastAsia" w:ascii="宋体" w:hAnsi="宋体" w:eastAsia="宋体" w:cs="宋体"/>
          <w:kern w:val="0"/>
          <w:sz w:val="24"/>
          <w:szCs w:val="24"/>
        </w:rPr>
        <w:t>差≥3级</w:t>
      </w:r>
      <w:r>
        <w:rPr>
          <w:rFonts w:hint="eastAsia" w:ascii="宋体" w:hAnsi="宋体" w:eastAsia="宋体" w:cs="宋体"/>
          <w:kern w:val="0"/>
          <w:sz w:val="24"/>
          <w:szCs w:val="24"/>
          <w:lang w:val="zh-CN"/>
        </w:rPr>
        <w:t>。</w:t>
      </w:r>
    </w:p>
    <w:p>
      <w:pPr>
        <w:keepNext w:val="0"/>
        <w:keepLines w:val="0"/>
        <w:pageBreakBefore w:val="0"/>
        <w:numPr>
          <w:ilvl w:val="0"/>
          <w:numId w:val="51"/>
        </w:numPr>
        <w:tabs>
          <w:tab w:val="clear" w:pos="420"/>
        </w:tabs>
        <w:kinsoku/>
        <w:wordWrap/>
        <w:overflowPunct/>
        <w:topLinePunct w:val="0"/>
        <w:autoSpaceDE w:val="0"/>
        <w:autoSpaceDN w:val="0"/>
        <w:bidi w:val="0"/>
        <w:adjustRightInd w:val="0"/>
        <w:spacing w:line="360" w:lineRule="auto"/>
        <w:ind w:left="1260" w:leftChars="0" w:hanging="1260" w:firstLineChars="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符合应急管理部消防局20式统型要求，由外层、防水透气层、隔热层、舒适层面料组成，并配有救生拖拉带。</w:t>
      </w:r>
    </w:p>
    <w:p>
      <w:pPr>
        <w:keepNext w:val="0"/>
        <w:keepLines w:val="0"/>
        <w:pageBreakBefore w:val="0"/>
        <w:numPr>
          <w:ilvl w:val="0"/>
          <w:numId w:val="51"/>
        </w:numPr>
        <w:tabs>
          <w:tab w:val="clear" w:pos="420"/>
        </w:tabs>
        <w:kinsoku/>
        <w:wordWrap/>
        <w:overflowPunct/>
        <w:topLinePunct w:val="0"/>
        <w:autoSpaceDE w:val="0"/>
        <w:autoSpaceDN w:val="0"/>
        <w:bidi w:val="0"/>
        <w:adjustRightInd w:val="0"/>
        <w:spacing w:line="360" w:lineRule="auto"/>
        <w:ind w:left="1260" w:leftChars="0" w:hanging="1260" w:firstLineChars="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按采购人要求在服装背面印制单位标识，标识须符合应急管理部消防局20式要求。</w:t>
      </w:r>
    </w:p>
    <w:p>
      <w:pPr>
        <w:bidi w:val="0"/>
        <w:rPr>
          <w:rFonts w:hint="eastAsia"/>
          <w:lang w:val="zh-CN"/>
        </w:rPr>
      </w:pPr>
    </w:p>
    <w:p>
      <w:pPr>
        <w:keepNext w:val="0"/>
        <w:keepLines w:val="0"/>
        <w:pageBreakBefore w:val="0"/>
        <w:numPr>
          <w:ilvl w:val="0"/>
          <w:numId w:val="50"/>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技术要求</w:t>
      </w:r>
    </w:p>
    <w:p>
      <w:pPr>
        <w:keepNext w:val="0"/>
        <w:keepLines w:val="0"/>
        <w:pageBreakBefore w:val="0"/>
        <w:numPr>
          <w:ilvl w:val="0"/>
          <w:numId w:val="52"/>
        </w:numPr>
        <w:kinsoku/>
        <w:wordWrap/>
        <w:overflowPunct/>
        <w:topLinePunct w:val="0"/>
        <w:bidi w:val="0"/>
        <w:spacing w:line="360" w:lineRule="auto"/>
        <w:ind w:left="425" w:leftChars="0" w:hanging="42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外层面料（补强布）：芳纶阻燃面料克重：≤（195±9.75）g/㎡。</w:t>
      </w:r>
    </w:p>
    <w:p>
      <w:pPr>
        <w:keepNext w:val="0"/>
        <w:keepLines w:val="0"/>
        <w:pageBreakBefore w:val="0"/>
        <w:numPr>
          <w:ilvl w:val="0"/>
          <w:numId w:val="52"/>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防水透气层：阻燃PTFE防水透气层、克重：≤（110±5.5）g/㎡。</w:t>
      </w:r>
    </w:p>
    <w:p>
      <w:pPr>
        <w:keepNext w:val="0"/>
        <w:keepLines w:val="0"/>
        <w:pageBreakBefore w:val="0"/>
        <w:numPr>
          <w:ilvl w:val="0"/>
          <w:numId w:val="52"/>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隔热层：芳纶水刺隔热毡克重：≤（70±3.5）g/㎡。</w:t>
      </w:r>
    </w:p>
    <w:p>
      <w:pPr>
        <w:keepNext w:val="0"/>
        <w:keepLines w:val="0"/>
        <w:pageBreakBefore w:val="0"/>
        <w:numPr>
          <w:ilvl w:val="0"/>
          <w:numId w:val="52"/>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舒适层：芳纶粘胶阻燃面料克重：≤（120±6）g/㎡。</w:t>
      </w:r>
    </w:p>
    <w:p>
      <w:pPr>
        <w:keepNext w:val="0"/>
        <w:keepLines w:val="0"/>
        <w:pageBreakBefore w:val="0"/>
        <w:numPr>
          <w:ilvl w:val="0"/>
          <w:numId w:val="52"/>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衣领贴肤面料：芳纶起绒面料克重：≤（210±10.5）g/㎡。</w:t>
      </w:r>
    </w:p>
    <w:p>
      <w:pPr>
        <w:keepNext w:val="0"/>
        <w:keepLines w:val="0"/>
        <w:pageBreakBefore w:val="0"/>
        <w:numPr>
          <w:ilvl w:val="0"/>
          <w:numId w:val="52"/>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反光标志带：9587（打孔）。</w:t>
      </w:r>
    </w:p>
    <w:p>
      <w:pPr>
        <w:keepNext w:val="0"/>
        <w:keepLines w:val="0"/>
        <w:pageBreakBefore w:val="0"/>
        <w:numPr>
          <w:ilvl w:val="0"/>
          <w:numId w:val="52"/>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阻燃性能（损毁长度）：外层经向：≤45mm、纬向：≤40mm； 隔热层经向：≤30mm、纬向：≤25mm；舒适层经向：≤30mm、纬向：≤30mm；反光标志带经向：≤33mm、纬向：≤30mm；外层加强材料经向：≤42mm、纬向：≤40mm；所有试验续燃时间0s，且无熔融滴落现象。</w:t>
      </w:r>
    </w:p>
    <w:p>
      <w:pPr>
        <w:keepNext w:val="0"/>
        <w:keepLines w:val="0"/>
        <w:pageBreakBefore w:val="0"/>
        <w:numPr>
          <w:ilvl w:val="0"/>
          <w:numId w:val="52"/>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热稳定性能（变化率）：外层：≤1.0%；防水透气层：≤1.0%；隔热层：≤1.0%；外层加强材料：≤1.0%；舒适层：≤2.0%；试样表面无明显变化。</w:t>
      </w:r>
    </w:p>
    <w:p>
      <w:pPr>
        <w:keepNext w:val="0"/>
        <w:keepLines w:val="0"/>
        <w:pageBreakBefore w:val="0"/>
        <w:numPr>
          <w:ilvl w:val="0"/>
          <w:numId w:val="52"/>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缩水率：外层经纬向：≤1.0%、1.0%；防水透气层经纬向：≤2.0%、≤2.5%；隔热层经纬向：≤2.0%、≤2.0%；舒适层经纬向：≤2.0%、≤2.0%。</w:t>
      </w:r>
    </w:p>
    <w:p>
      <w:pPr>
        <w:keepNext w:val="0"/>
        <w:keepLines w:val="0"/>
        <w:pageBreakBefore w:val="0"/>
        <w:numPr>
          <w:ilvl w:val="0"/>
          <w:numId w:val="52"/>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表面抗湿性能：≥3级。</w:t>
      </w:r>
    </w:p>
    <w:p>
      <w:pPr>
        <w:keepNext w:val="0"/>
        <w:keepLines w:val="0"/>
        <w:pageBreakBefore w:val="0"/>
        <w:numPr>
          <w:ilvl w:val="0"/>
          <w:numId w:val="52"/>
        </w:numPr>
        <w:tabs>
          <w:tab w:val="clear" w:pos="420"/>
        </w:tabs>
        <w:kinsoku/>
        <w:wordWrap/>
        <w:overflowPunct/>
        <w:topLinePunct w:val="0"/>
        <w:bidi w:val="0"/>
        <w:spacing w:line="360" w:lineRule="auto"/>
        <w:ind w:left="1665" w:leftChars="0" w:hanging="166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断裂强力：外层：经向≥1300N、纬向≥850N；舒适层：经向≥420N、纬向≥390N；</w:t>
      </w:r>
    </w:p>
    <w:p>
      <w:pPr>
        <w:keepNext w:val="0"/>
        <w:keepLines w:val="0"/>
        <w:pageBreakBefore w:val="0"/>
        <w:numPr>
          <w:ilvl w:val="0"/>
          <w:numId w:val="52"/>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救生拖拉带断裂强力≥9500 N。</w:t>
      </w:r>
    </w:p>
    <w:p>
      <w:pPr>
        <w:keepNext w:val="0"/>
        <w:keepLines w:val="0"/>
        <w:pageBreakBefore w:val="0"/>
        <w:numPr>
          <w:ilvl w:val="0"/>
          <w:numId w:val="52"/>
        </w:numPr>
        <w:tabs>
          <w:tab w:val="clear" w:pos="420"/>
        </w:tabs>
        <w:kinsoku/>
        <w:wordWrap/>
        <w:overflowPunct/>
        <w:topLinePunct w:val="0"/>
        <w:bidi w:val="0"/>
        <w:spacing w:line="360" w:lineRule="auto"/>
        <w:ind w:left="1665" w:leftChars="0" w:hanging="166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外层撕破强力：经向≥240N、纬向≥170N；接缝断裂强力：经向≥1100N、纬向≥800N。</w:t>
      </w:r>
    </w:p>
    <w:p>
      <w:pPr>
        <w:keepNext w:val="0"/>
        <w:keepLines w:val="0"/>
        <w:pageBreakBefore w:val="0"/>
        <w:numPr>
          <w:ilvl w:val="0"/>
          <w:numId w:val="52"/>
        </w:numPr>
        <w:tabs>
          <w:tab w:val="clear" w:pos="420"/>
        </w:tabs>
        <w:kinsoku/>
        <w:wordWrap/>
        <w:overflowPunct/>
        <w:topLinePunct w:val="0"/>
        <w:bidi w:val="0"/>
        <w:spacing w:line="360" w:lineRule="auto"/>
        <w:ind w:left="1665" w:leftChars="0" w:hanging="166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色牢度：耐洗沾色4级、耐水摩擦4级、耐光色牢度：符合4级要求。</w:t>
      </w:r>
    </w:p>
    <w:p>
      <w:pPr>
        <w:keepNext w:val="0"/>
        <w:keepLines w:val="0"/>
        <w:pageBreakBefore w:val="0"/>
        <w:numPr>
          <w:ilvl w:val="0"/>
          <w:numId w:val="52"/>
        </w:numPr>
        <w:tabs>
          <w:tab w:val="clear" w:pos="420"/>
        </w:tabs>
        <w:kinsoku/>
        <w:wordWrap/>
        <w:overflowPunct/>
        <w:topLinePunct w:val="0"/>
        <w:bidi w:val="0"/>
        <w:spacing w:line="360" w:lineRule="auto"/>
        <w:ind w:left="1665" w:leftChars="0" w:hanging="166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防水透气层耐静水压＞50kpa、透湿率≥6900（g/(㎡·24h)）、拒油性能3级。</w:t>
      </w:r>
    </w:p>
    <w:p>
      <w:pPr>
        <w:keepNext w:val="0"/>
        <w:keepLines w:val="0"/>
        <w:pageBreakBefore w:val="0"/>
        <w:numPr>
          <w:ilvl w:val="0"/>
          <w:numId w:val="52"/>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针距密度： 明暗线13（针/3cm）。</w:t>
      </w:r>
    </w:p>
    <w:p>
      <w:pPr>
        <w:keepNext w:val="0"/>
        <w:keepLines w:val="0"/>
        <w:pageBreakBefore w:val="0"/>
        <w:numPr>
          <w:ilvl w:val="0"/>
          <w:numId w:val="52"/>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质量：≤ 2.60kg。</w:t>
      </w:r>
    </w:p>
    <w:p>
      <w:pPr>
        <w:keepNext w:val="0"/>
        <w:keepLines w:val="0"/>
        <w:pageBreakBefore w:val="0"/>
        <w:numPr>
          <w:ilvl w:val="0"/>
          <w:numId w:val="52"/>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拖拉带展开时间≤4S。</w:t>
      </w:r>
    </w:p>
    <w:p>
      <w:pPr>
        <w:keepNext w:val="0"/>
        <w:keepLines w:val="0"/>
        <w:pageBreakBefore w:val="0"/>
        <w:numPr>
          <w:ilvl w:val="0"/>
          <w:numId w:val="52"/>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kern w:val="0"/>
          <w:sz w:val="24"/>
          <w:szCs w:val="24"/>
        </w:rPr>
      </w:pPr>
      <w:r>
        <w:rPr>
          <w:sz w:val="24"/>
        </w:rPr>
        <mc:AlternateContent>
          <mc:Choice Requires="wps">
            <w:drawing>
              <wp:anchor distT="0" distB="0" distL="114300" distR="114300" simplePos="0" relativeHeight="251702272" behindDoc="0" locked="0" layoutInCell="1" allowOverlap="1">
                <wp:simplePos x="0" y="0"/>
                <wp:positionH relativeFrom="column">
                  <wp:posOffset>-352425</wp:posOffset>
                </wp:positionH>
                <wp:positionV relativeFrom="paragraph">
                  <wp:posOffset>8890</wp:posOffset>
                </wp:positionV>
                <wp:extent cx="304800" cy="276225"/>
                <wp:effectExtent l="0" t="0" r="0" b="9525"/>
                <wp:wrapNone/>
                <wp:docPr id="45" name="文本框 45"/>
                <wp:cNvGraphicFramePr/>
                <a:graphic xmlns:a="http://schemas.openxmlformats.org/drawingml/2006/main">
                  <a:graphicData uri="http://schemas.microsoft.com/office/word/2010/wordprocessingShape">
                    <wps:wsp>
                      <wps:cNvSpPr txBox="1"/>
                      <wps:spPr>
                        <a:xfrm>
                          <a:off x="318135" y="9008110"/>
                          <a:ext cx="304800"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5pt;margin-top:0.7pt;height:21.75pt;width:24pt;z-index:251702272;mso-width-relative:page;mso-height-relative:page;" fillcolor="#FFFFFF [3201]" filled="t" stroked="f" coordsize="21600,21600" o:gfxdata="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EFax99EAAAAH&#10;AQAADwAAAAAAAAABACAAAAAiAAAAZHJzL2Rvd25yZXYueG1sUEsBAhQAFAAAAAgAh07iQCNv9mBc&#10;AgAAmwQAAA4AAAAAAAAAAQAgAAAAIAEAAGRycy9lMm9Eb2MueG1sUEsFBgAAAAAGAAYAWQEAAO4F&#10;AAAA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kern w:val="0"/>
          <w:sz w:val="24"/>
          <w:szCs w:val="24"/>
        </w:rPr>
        <w:t>整体热防护性能（TPP（cal/c㎡））：≥33.0。</w:t>
      </w:r>
    </w:p>
    <w:p>
      <w:pPr>
        <w:bidi w:val="0"/>
        <w:rPr>
          <w:rFonts w:hint="eastAsia"/>
          <w:b/>
          <w:bCs w:val="0"/>
        </w:rPr>
      </w:pPr>
    </w:p>
    <w:p>
      <w:pPr>
        <w:numPr>
          <w:ilvl w:val="0"/>
          <w:numId w:val="44"/>
        </w:numPr>
        <w:spacing w:line="360" w:lineRule="auto"/>
        <w:ind w:left="425" w:leftChars="0" w:hanging="425" w:firstLineChars="0"/>
        <w:jc w:val="both"/>
        <w:rPr>
          <w:rFonts w:hint="eastAsia"/>
          <w:b/>
          <w:bCs w:val="0"/>
          <w:color w:val="000000"/>
          <w:sz w:val="24"/>
          <w:szCs w:val="24"/>
          <w:highlight w:val="none"/>
        </w:rPr>
      </w:pPr>
      <w:r>
        <w:rPr>
          <w:rFonts w:hint="eastAsia"/>
          <w:b/>
          <w:bCs w:val="0"/>
          <w:color w:val="000000"/>
          <w:sz w:val="24"/>
          <w:szCs w:val="24"/>
          <w:highlight w:val="none"/>
        </w:rPr>
        <w:t>灭火救援手套</w:t>
      </w:r>
    </w:p>
    <w:p>
      <w:pPr>
        <w:keepNext w:val="0"/>
        <w:keepLines w:val="0"/>
        <w:pageBreakBefore w:val="0"/>
        <w:numPr>
          <w:ilvl w:val="0"/>
          <w:numId w:val="53"/>
        </w:numPr>
        <w:kinsoku/>
        <w:wordWrap/>
        <w:overflowPunct/>
        <w:topLinePunct w:val="0"/>
        <w:bidi w:val="0"/>
        <w:adjustRightInd w:val="0"/>
        <w:snapToGrid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整体性能</w:t>
      </w:r>
    </w:p>
    <w:p>
      <w:pPr>
        <w:keepNext w:val="0"/>
        <w:keepLines w:val="0"/>
        <w:pageBreakBefore w:val="0"/>
        <w:numPr>
          <w:ilvl w:val="0"/>
          <w:numId w:val="54"/>
        </w:numPr>
        <w:kinsoku/>
        <w:wordWrap/>
        <w:overflowPunct/>
        <w:topLinePunct w:val="0"/>
        <w:bidi w:val="0"/>
        <w:adjustRightInd w:val="0"/>
        <w:snapToGrid w:val="0"/>
        <w:spacing w:line="360" w:lineRule="auto"/>
        <w:ind w:left="1260" w:leftChars="0" w:hanging="1260" w:firstLineChars="0"/>
        <w:jc w:val="left"/>
        <w:rPr>
          <w:rFonts w:hint="eastAsia" w:ascii="宋体" w:hAnsi="宋体" w:eastAsia="宋体" w:cs="宋体"/>
          <w:b w:val="0"/>
          <w:bCs/>
          <w:kern w:val="0"/>
          <w:sz w:val="24"/>
          <w:szCs w:val="24"/>
        </w:rPr>
      </w:pPr>
      <w:r>
        <w:rPr>
          <w:sz w:val="24"/>
        </w:rPr>
        <mc:AlternateContent>
          <mc:Choice Requires="wps">
            <w:drawing>
              <wp:anchor distT="0" distB="0" distL="114300" distR="114300" simplePos="0" relativeHeight="251703296" behindDoc="0" locked="0" layoutInCell="1" allowOverlap="1">
                <wp:simplePos x="0" y="0"/>
                <wp:positionH relativeFrom="column">
                  <wp:posOffset>-323850</wp:posOffset>
                </wp:positionH>
                <wp:positionV relativeFrom="paragraph">
                  <wp:posOffset>-29210</wp:posOffset>
                </wp:positionV>
                <wp:extent cx="266700" cy="247650"/>
                <wp:effectExtent l="0" t="0" r="0" b="0"/>
                <wp:wrapNone/>
                <wp:docPr id="46" name="文本框 46"/>
                <wp:cNvGraphicFramePr/>
                <a:graphic xmlns:a="http://schemas.openxmlformats.org/drawingml/2006/main">
                  <a:graphicData uri="http://schemas.microsoft.com/office/word/2010/wordprocessingShape">
                    <wps:wsp>
                      <wps:cNvSpPr txBox="1"/>
                      <wps:spPr>
                        <a:xfrm>
                          <a:off x="422910" y="738505"/>
                          <a:ext cx="266700"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pt;margin-top:-2.3pt;height:19.5pt;width:21pt;z-index:251703296;mso-width-relative:page;mso-height-relative:page;" fillcolor="#FFFFFF [3201]" filled="t" stroked="f" coordsize="21600,21600" o:gfxdata="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GE5980wAA&#10;AAgBAAAPAAAAAAAAAAEAIAAAACIAAABkcnMvZG93bnJldi54bWxQSwECFAAUAAAACACHTuJAfLmo&#10;F1wCAACaBAAADgAAAAAAAAABACAAAAAiAQAAZHJzL2Uyb0RvYy54bWxQSwUGAAAAAAYABgBZAQAA&#10;8AUAAA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b w:val="0"/>
          <w:bCs/>
          <w:kern w:val="0"/>
          <w:sz w:val="24"/>
          <w:szCs w:val="24"/>
        </w:rPr>
        <w:t>消防手套用于对消防员手部及腕部的防护，产品符合国家GA7-2004《消防手套》标准要求，</w:t>
      </w:r>
      <w:r>
        <w:rPr>
          <w:rFonts w:hint="eastAsia" w:ascii="宋体" w:hAnsi="宋体" w:eastAsia="宋体" w:cs="宋体"/>
          <w:b/>
          <w:bCs w:val="0"/>
          <w:kern w:val="0"/>
          <w:sz w:val="24"/>
          <w:szCs w:val="24"/>
          <w:highlight w:val="none"/>
          <w:lang w:val="en-US" w:eastAsia="zh-CN"/>
        </w:rPr>
        <w:t>提供</w:t>
      </w:r>
      <w:r>
        <w:rPr>
          <w:rFonts w:hint="eastAsia" w:ascii="宋体" w:hAnsi="宋体" w:eastAsia="宋体" w:cs="宋体"/>
          <w:b/>
          <w:bCs w:val="0"/>
          <w:kern w:val="0"/>
          <w:sz w:val="24"/>
          <w:szCs w:val="24"/>
          <w:highlight w:val="none"/>
        </w:rPr>
        <w:t>检验报告</w:t>
      </w:r>
      <w:r>
        <w:rPr>
          <w:rFonts w:hint="eastAsia" w:ascii="宋体" w:hAnsi="宋体" w:eastAsia="宋体" w:cs="宋体"/>
          <w:b/>
          <w:bCs w:val="0"/>
          <w:kern w:val="0"/>
          <w:sz w:val="24"/>
          <w:szCs w:val="24"/>
          <w:highlight w:val="none"/>
          <w:lang w:val="en-US" w:eastAsia="zh-CN"/>
        </w:rPr>
        <w:t>并加盖公章</w:t>
      </w:r>
      <w:r>
        <w:rPr>
          <w:rFonts w:hint="eastAsia" w:ascii="宋体" w:hAnsi="宋体" w:eastAsia="宋体" w:cs="宋体"/>
          <w:b/>
          <w:bCs w:val="0"/>
          <w:kern w:val="0"/>
          <w:sz w:val="24"/>
          <w:szCs w:val="24"/>
          <w:highlight w:val="none"/>
        </w:rPr>
        <w:t>。</w:t>
      </w:r>
    </w:p>
    <w:p>
      <w:pPr>
        <w:keepNext w:val="0"/>
        <w:keepLines w:val="0"/>
        <w:pageBreakBefore w:val="0"/>
        <w:numPr>
          <w:ilvl w:val="0"/>
          <w:numId w:val="54"/>
        </w:numPr>
        <w:kinsoku/>
        <w:wordWrap/>
        <w:overflowPunct/>
        <w:topLinePunct w:val="0"/>
        <w:bidi w:val="0"/>
        <w:adjustRightInd w:val="0"/>
        <w:snapToGrid w:val="0"/>
        <w:spacing w:line="360" w:lineRule="auto"/>
        <w:ind w:left="1260" w:leftChars="0" w:hanging="1260" w:firstLineChars="0"/>
        <w:jc w:val="left"/>
        <w:rPr>
          <w:rFonts w:hint="eastAsia" w:ascii="宋体" w:hAnsi="宋体" w:eastAsia="宋体" w:cs="宋体"/>
          <w:b w:val="0"/>
          <w:bCs/>
          <w:kern w:val="0"/>
          <w:sz w:val="24"/>
          <w:szCs w:val="24"/>
          <w:lang w:val="zh-CN"/>
        </w:rPr>
      </w:pPr>
      <w:r>
        <w:rPr>
          <w:sz w:val="24"/>
        </w:rPr>
        <mc:AlternateContent>
          <mc:Choice Requires="wps">
            <w:drawing>
              <wp:anchor distT="0" distB="0" distL="114300" distR="114300" simplePos="0" relativeHeight="251704320" behindDoc="0" locked="0" layoutInCell="1" allowOverlap="1">
                <wp:simplePos x="0" y="0"/>
                <wp:positionH relativeFrom="column">
                  <wp:posOffset>-304800</wp:posOffset>
                </wp:positionH>
                <wp:positionV relativeFrom="paragraph">
                  <wp:posOffset>273685</wp:posOffset>
                </wp:positionV>
                <wp:extent cx="295275" cy="266700"/>
                <wp:effectExtent l="0" t="0" r="9525" b="0"/>
                <wp:wrapNone/>
                <wp:docPr id="47" name="文本框 47"/>
                <wp:cNvGraphicFramePr/>
                <a:graphic xmlns:a="http://schemas.openxmlformats.org/drawingml/2006/main">
                  <a:graphicData uri="http://schemas.microsoft.com/office/word/2010/wordprocessingShape">
                    <wps:wsp>
                      <wps:cNvSpPr txBox="1"/>
                      <wps:spPr>
                        <a:xfrm>
                          <a:off x="413385" y="1605280"/>
                          <a:ext cx="295275"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pt;margin-top:21.55pt;height:21pt;width:23.25pt;z-index:251704320;mso-width-relative:page;mso-height-relative:page;" fillcolor="#FFFFFF [3201]" filled="t" stroked="f" coordsize="21600,21600" o:gfxdata="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LL4RnU&#10;AAAACAEAAA8AAAAAAAAAAQAgAAAAIgAAAGRycy9kb3ducmV2LnhtbFBLAQIUABQAAAAIAIdO4kCz&#10;iZL6XQIAAJsEAAAOAAAAAAAAAAEAIAAAACMBAABkcnMvZTJvRG9jLnhtbFBLBQYAAAAABgAGAFkB&#10;AADyBQAAA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b w:val="0"/>
          <w:bCs/>
          <w:kern w:val="0"/>
          <w:sz w:val="24"/>
          <w:szCs w:val="24"/>
          <w:lang w:val="zh-CN"/>
        </w:rPr>
        <w:t>符合17式消防手套款式标识统型要求。</w:t>
      </w:r>
    </w:p>
    <w:p>
      <w:pPr>
        <w:keepNext w:val="0"/>
        <w:keepLines w:val="0"/>
        <w:pageBreakBefore w:val="0"/>
        <w:numPr>
          <w:ilvl w:val="0"/>
          <w:numId w:val="54"/>
        </w:numPr>
        <w:kinsoku/>
        <w:wordWrap/>
        <w:overflowPunct/>
        <w:topLinePunct w:val="0"/>
        <w:bidi w:val="0"/>
        <w:adjustRightInd w:val="0"/>
        <w:snapToGrid w:val="0"/>
        <w:spacing w:line="360" w:lineRule="auto"/>
        <w:ind w:left="1260" w:leftChars="0" w:hanging="1260"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提供</w:t>
      </w:r>
      <w:r>
        <w:rPr>
          <w:rFonts w:hint="eastAsia" w:ascii="宋体" w:hAnsi="宋体" w:eastAsia="宋体" w:cs="宋体"/>
          <w:b/>
          <w:bCs w:val="0"/>
          <w:kern w:val="0"/>
          <w:sz w:val="24"/>
          <w:szCs w:val="24"/>
          <w:lang w:val="zh-CN"/>
        </w:rPr>
        <w:t>抗</w:t>
      </w:r>
      <w:r>
        <w:rPr>
          <w:rFonts w:hint="eastAsia" w:ascii="宋体" w:hAnsi="宋体" w:eastAsia="宋体" w:cs="宋体"/>
          <w:b/>
          <w:bCs w:val="0"/>
          <w:kern w:val="0"/>
          <w:sz w:val="24"/>
          <w:szCs w:val="24"/>
          <w:highlight w:val="none"/>
          <w:lang w:val="zh-CN"/>
        </w:rPr>
        <w:t>菌性检测报告</w:t>
      </w:r>
      <w:r>
        <w:rPr>
          <w:rFonts w:hint="eastAsia" w:ascii="宋体" w:hAnsi="宋体" w:eastAsia="宋体" w:cs="宋体"/>
          <w:b/>
          <w:bCs w:val="0"/>
          <w:kern w:val="0"/>
          <w:sz w:val="24"/>
          <w:szCs w:val="24"/>
          <w:highlight w:val="none"/>
          <w:lang w:val="en-US" w:eastAsia="zh-CN"/>
        </w:rPr>
        <w:t>并加盖公章</w:t>
      </w:r>
      <w:r>
        <w:rPr>
          <w:rFonts w:hint="eastAsia" w:ascii="宋体" w:hAnsi="宋体" w:eastAsia="宋体" w:cs="宋体"/>
          <w:b w:val="0"/>
          <w:bCs/>
          <w:kern w:val="0"/>
          <w:sz w:val="24"/>
          <w:szCs w:val="24"/>
          <w:highlight w:val="none"/>
          <w:lang w:val="zh-CN"/>
        </w:rPr>
        <w:t>。</w:t>
      </w:r>
    </w:p>
    <w:p>
      <w:pPr>
        <w:bidi w:val="0"/>
        <w:rPr>
          <w:rFonts w:hint="eastAsia"/>
        </w:rPr>
      </w:pPr>
    </w:p>
    <w:p>
      <w:pPr>
        <w:keepNext w:val="0"/>
        <w:keepLines w:val="0"/>
        <w:pageBreakBefore w:val="0"/>
        <w:numPr>
          <w:ilvl w:val="0"/>
          <w:numId w:val="53"/>
        </w:numPr>
        <w:kinsoku/>
        <w:wordWrap/>
        <w:overflowPunct/>
        <w:topLinePunct w:val="0"/>
        <w:bidi w:val="0"/>
        <w:adjustRightInd w:val="0"/>
        <w:snapToGrid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颜色及结构</w:t>
      </w:r>
    </w:p>
    <w:p>
      <w:pPr>
        <w:keepNext w:val="0"/>
        <w:keepLines w:val="0"/>
        <w:pageBreakBefore w:val="0"/>
        <w:numPr>
          <w:ilvl w:val="0"/>
          <w:numId w:val="55"/>
        </w:numPr>
        <w:tabs>
          <w:tab w:val="clear" w:pos="420"/>
        </w:tabs>
        <w:kinsoku/>
        <w:wordWrap/>
        <w:overflowPunct/>
        <w:topLinePunct w:val="0"/>
        <w:bidi w:val="0"/>
        <w:adjustRightInd w:val="0"/>
        <w:snapToGrid w:val="0"/>
        <w:spacing w:line="360" w:lineRule="auto"/>
        <w:ind w:left="1260" w:leftChars="0" w:hanging="126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颜色要求：手掌为黑</w:t>
      </w:r>
      <w:r>
        <w:rPr>
          <w:rFonts w:hint="eastAsia" w:ascii="宋体" w:hAnsi="宋体" w:eastAsia="宋体" w:cs="宋体"/>
          <w:b w:val="0"/>
          <w:bCs/>
          <w:kern w:val="0"/>
          <w:sz w:val="24"/>
          <w:szCs w:val="24"/>
          <w:highlight w:val="none"/>
        </w:rPr>
        <w:t>色；手背藏蓝色，色</w:t>
      </w:r>
      <w:r>
        <w:rPr>
          <w:rFonts w:hint="eastAsia" w:ascii="宋体" w:hAnsi="宋体" w:eastAsia="宋体" w:cs="宋体"/>
          <w:b w:val="0"/>
          <w:bCs/>
          <w:kern w:val="0"/>
          <w:sz w:val="24"/>
          <w:szCs w:val="24"/>
        </w:rPr>
        <w:t>差≥3 级（按《纺织品 色牢度试验 评定变色用灰色样卡》GB/T250-2008 标准评判）。</w:t>
      </w:r>
    </w:p>
    <w:p>
      <w:pPr>
        <w:keepNext w:val="0"/>
        <w:keepLines w:val="0"/>
        <w:pageBreakBefore w:val="0"/>
        <w:numPr>
          <w:ilvl w:val="0"/>
          <w:numId w:val="55"/>
        </w:numPr>
        <w:tabs>
          <w:tab w:val="clear" w:pos="420"/>
        </w:tabs>
        <w:kinsoku/>
        <w:wordWrap/>
        <w:overflowPunct/>
        <w:topLinePunct w:val="0"/>
        <w:bidi w:val="0"/>
        <w:adjustRightInd w:val="0"/>
        <w:snapToGrid w:val="0"/>
        <w:spacing w:line="360" w:lineRule="auto"/>
        <w:ind w:left="1260" w:leftChars="0" w:hanging="126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款式要求：采用 3D 立体设计，符合人体手型自然弯曲，手掌指尖一片式翻转手指背。</w:t>
      </w:r>
    </w:p>
    <w:p>
      <w:pPr>
        <w:keepNext w:val="0"/>
        <w:keepLines w:val="0"/>
        <w:pageBreakBefore w:val="0"/>
        <w:numPr>
          <w:ilvl w:val="0"/>
          <w:numId w:val="55"/>
        </w:numPr>
        <w:tabs>
          <w:tab w:val="clear" w:pos="420"/>
        </w:tabs>
        <w:kinsoku/>
        <w:wordWrap/>
        <w:overflowPunct/>
        <w:topLinePunct w:val="0"/>
        <w:bidi w:val="0"/>
        <w:adjustRightInd w:val="0"/>
        <w:snapToGrid w:val="0"/>
        <w:spacing w:line="360" w:lineRule="auto"/>
        <w:ind w:left="1260" w:leftChars="0" w:hanging="126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主体结构。手背结构：由外向里，分为五层。</w:t>
      </w:r>
    </w:p>
    <w:p>
      <w:pPr>
        <w:keepNext w:val="0"/>
        <w:keepLines w:val="0"/>
        <w:pageBreakBefore w:val="0"/>
        <w:numPr>
          <w:ilvl w:val="0"/>
          <w:numId w:val="55"/>
        </w:numPr>
        <w:tabs>
          <w:tab w:val="clear" w:pos="420"/>
        </w:tabs>
        <w:kinsoku/>
        <w:wordWrap/>
        <w:overflowPunct/>
        <w:topLinePunct w:val="0"/>
        <w:bidi w:val="0"/>
        <w:adjustRightInd w:val="0"/>
        <w:snapToGrid w:val="0"/>
        <w:spacing w:line="360" w:lineRule="auto"/>
        <w:ind w:left="1260" w:leftChars="0" w:hanging="126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手掌结构: 由外向里，分为三层。</w:t>
      </w:r>
    </w:p>
    <w:p>
      <w:pPr>
        <w:bidi w:val="0"/>
        <w:rPr>
          <w:rFonts w:hint="eastAsia"/>
        </w:rPr>
      </w:pPr>
    </w:p>
    <w:p>
      <w:pPr>
        <w:keepNext w:val="0"/>
        <w:keepLines w:val="0"/>
        <w:pageBreakBefore w:val="0"/>
        <w:numPr>
          <w:ilvl w:val="0"/>
          <w:numId w:val="53"/>
        </w:numPr>
        <w:kinsoku/>
        <w:wordWrap/>
        <w:overflowPunct/>
        <w:topLinePunct w:val="0"/>
        <w:bidi w:val="0"/>
        <w:adjustRightInd w:val="0"/>
        <w:snapToGrid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技术性能</w:t>
      </w:r>
    </w:p>
    <w:p>
      <w:pPr>
        <w:keepNext w:val="0"/>
        <w:keepLines w:val="0"/>
        <w:pageBreakBefore w:val="0"/>
        <w:numPr>
          <w:ilvl w:val="0"/>
          <w:numId w:val="56"/>
        </w:numPr>
        <w:kinsoku/>
        <w:wordWrap/>
        <w:overflowPunct/>
        <w:topLinePunct w:val="0"/>
        <w:bidi w:val="0"/>
        <w:spacing w:line="360" w:lineRule="auto"/>
        <w:ind w:left="425" w:leftChars="0" w:hanging="42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阻燃性能：</w:t>
      </w:r>
    </w:p>
    <w:p>
      <w:pPr>
        <w:keepNext w:val="0"/>
        <w:keepLines w:val="0"/>
        <w:pageBreakBefore w:val="0"/>
        <w:numPr>
          <w:ilvl w:val="0"/>
          <w:numId w:val="57"/>
        </w:numPr>
        <w:tabs>
          <w:tab w:val="clear" w:pos="420"/>
        </w:tabs>
        <w:kinsoku/>
        <w:wordWrap/>
        <w:overflowPunct/>
        <w:topLinePunct w:val="0"/>
        <w:bidi w:val="0"/>
        <w:spacing w:line="360" w:lineRule="auto"/>
        <w:ind w:left="1665" w:leftChars="0" w:hanging="166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手套掌心面：经向续燃时间0s，阴燃时间0s，损毁长度≤12mm；纬向续燃时间0s，阴燃时间0s，损毁长度≤10mm，无熔融、滴落现象；</w:t>
      </w:r>
    </w:p>
    <w:p>
      <w:pPr>
        <w:keepNext w:val="0"/>
        <w:keepLines w:val="0"/>
        <w:pageBreakBefore w:val="0"/>
        <w:numPr>
          <w:ilvl w:val="0"/>
          <w:numId w:val="57"/>
        </w:numPr>
        <w:tabs>
          <w:tab w:val="clear" w:pos="420"/>
        </w:tabs>
        <w:kinsoku/>
        <w:wordWrap/>
        <w:overflowPunct/>
        <w:topLinePunct w:val="0"/>
        <w:bidi w:val="0"/>
        <w:spacing w:line="360" w:lineRule="auto"/>
        <w:ind w:left="1665" w:leftChars="0" w:hanging="166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手套手背面：经向续燃时间0s，阴燃时间0s，损毁长度≤20mm；纬向续燃时间0s，阴燃时间0s，损毁长度≤25mm，无熔融、滴落现象；衬里无熔融、滴落现象。</w:t>
      </w:r>
    </w:p>
    <w:p>
      <w:pPr>
        <w:keepNext w:val="0"/>
        <w:keepLines w:val="0"/>
        <w:pageBreakBefore w:val="0"/>
        <w:numPr>
          <w:ilvl w:val="0"/>
          <w:numId w:val="57"/>
        </w:numPr>
        <w:tabs>
          <w:tab w:val="clear" w:pos="420"/>
        </w:tabs>
        <w:kinsoku/>
        <w:wordWrap/>
        <w:overflowPunct/>
        <w:topLinePunct w:val="0"/>
        <w:bidi w:val="0"/>
        <w:spacing w:line="360" w:lineRule="auto"/>
        <w:ind w:left="1665" w:leftChars="0" w:hanging="166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手套本体：经向续燃时间0s，阴燃时间0s，损毁长度≤22mm；纬向续燃时间0s，阴燃时间0s，损毁长度≤30mm，无熔融、滴落现象；衬里无熔融、滴落现象。</w:t>
      </w:r>
    </w:p>
    <w:p>
      <w:pPr>
        <w:bidi w:val="0"/>
        <w:rPr>
          <w:rFonts w:hint="eastAsia"/>
        </w:rPr>
      </w:pPr>
    </w:p>
    <w:p>
      <w:pPr>
        <w:keepNext w:val="0"/>
        <w:keepLines w:val="0"/>
        <w:pageBreakBefore w:val="0"/>
        <w:numPr>
          <w:ilvl w:val="0"/>
          <w:numId w:val="56"/>
        </w:numPr>
        <w:kinsoku/>
        <w:wordWrap/>
        <w:overflowPunct/>
        <w:topLinePunct w:val="0"/>
        <w:bidi w:val="0"/>
        <w:spacing w:line="360" w:lineRule="auto"/>
        <w:ind w:left="425" w:leftChars="0" w:hanging="42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整体热防护性能≥29.0cal/cm2；</w:t>
      </w:r>
    </w:p>
    <w:p>
      <w:pPr>
        <w:bidi w:val="0"/>
        <w:rPr>
          <w:rFonts w:hint="eastAsia"/>
        </w:rPr>
      </w:pPr>
    </w:p>
    <w:p>
      <w:pPr>
        <w:keepNext w:val="0"/>
        <w:keepLines w:val="0"/>
        <w:pageBreakBefore w:val="0"/>
        <w:numPr>
          <w:ilvl w:val="0"/>
          <w:numId w:val="56"/>
        </w:numPr>
        <w:tabs>
          <w:tab w:val="left" w:pos="1260"/>
          <w:tab w:val="clear" w:pos="420"/>
        </w:tabs>
        <w:kinsoku/>
        <w:wordWrap/>
        <w:overflowPunct/>
        <w:topLinePunct w:val="0"/>
        <w:bidi w:val="0"/>
        <w:spacing w:line="360" w:lineRule="auto"/>
        <w:ind w:left="1260" w:leftChars="0" w:hanging="126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耐热性能：手套收缩率≤1.0%，衬里收缩率1.0%，表面无明显变化，无熔融、脱离和燃烧现象；</w:t>
      </w:r>
    </w:p>
    <w:p>
      <w:pPr>
        <w:bidi w:val="0"/>
        <w:rPr>
          <w:rFonts w:hint="eastAsia"/>
        </w:rPr>
      </w:pPr>
    </w:p>
    <w:p>
      <w:pPr>
        <w:keepNext w:val="0"/>
        <w:keepLines w:val="0"/>
        <w:pageBreakBefore w:val="0"/>
        <w:numPr>
          <w:ilvl w:val="0"/>
          <w:numId w:val="56"/>
        </w:numPr>
        <w:tabs>
          <w:tab w:val="left" w:pos="1260"/>
          <w:tab w:val="clear" w:pos="420"/>
        </w:tabs>
        <w:kinsoku/>
        <w:wordWrap/>
        <w:overflowPunct/>
        <w:topLinePunct w:val="0"/>
        <w:bidi w:val="0"/>
        <w:spacing w:line="360" w:lineRule="auto"/>
        <w:ind w:left="1260" w:leftChars="0" w:hanging="126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力学性能：耐磨性能：9kPa压力下掌心、背面耐磨＞2000次；割破力：＞15N；掌心撕破强力：≥100N；背面撕破强力：≥190N；掌心穿刺力：≥135N；背面穿刺力：≥65N。</w:t>
      </w:r>
    </w:p>
    <w:p>
      <w:pPr>
        <w:bidi w:val="0"/>
        <w:rPr>
          <w:rFonts w:hint="eastAsia"/>
        </w:rPr>
      </w:pPr>
    </w:p>
    <w:p>
      <w:pPr>
        <w:keepNext w:val="0"/>
        <w:keepLines w:val="0"/>
        <w:pageBreakBefore w:val="0"/>
        <w:numPr>
          <w:ilvl w:val="0"/>
          <w:numId w:val="56"/>
        </w:numPr>
        <w:tabs>
          <w:tab w:val="left" w:pos="1260"/>
          <w:tab w:val="clear" w:pos="420"/>
        </w:tabs>
        <w:kinsoku/>
        <w:wordWrap/>
        <w:overflowPunct/>
        <w:topLinePunct w:val="0"/>
        <w:bidi w:val="0"/>
        <w:spacing w:line="360" w:lineRule="auto"/>
        <w:ind w:left="1260" w:leftChars="0" w:hanging="126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阻隔性能：手套防水层和其线缝在静水压7kPa下试验5min后不出现水滴。在20±2℃的水中保持5min，试验人员伸握动作12次，每次10s，手套无渗漏。</w:t>
      </w:r>
    </w:p>
    <w:p>
      <w:pPr>
        <w:bidi w:val="0"/>
        <w:rPr>
          <w:rFonts w:hint="eastAsia"/>
        </w:rPr>
      </w:pPr>
    </w:p>
    <w:p>
      <w:pPr>
        <w:keepNext w:val="0"/>
        <w:keepLines w:val="0"/>
        <w:pageBreakBefore w:val="0"/>
        <w:numPr>
          <w:ilvl w:val="0"/>
          <w:numId w:val="56"/>
        </w:numPr>
        <w:tabs>
          <w:tab w:val="left" w:pos="1260"/>
          <w:tab w:val="clear" w:pos="420"/>
        </w:tabs>
        <w:kinsoku/>
        <w:wordWrap/>
        <w:overflowPunct/>
        <w:topLinePunct w:val="0"/>
        <w:bidi w:val="0"/>
        <w:spacing w:line="360" w:lineRule="auto"/>
        <w:ind w:left="1260" w:leftChars="0" w:hanging="126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人体工效要求：</w:t>
      </w:r>
    </w:p>
    <w:p>
      <w:pPr>
        <w:keepNext w:val="0"/>
        <w:keepLines w:val="0"/>
        <w:pageBreakBefore w:val="0"/>
        <w:numPr>
          <w:ilvl w:val="0"/>
          <w:numId w:val="58"/>
        </w:numPr>
        <w:kinsoku/>
        <w:wordWrap/>
        <w:overflowPunct/>
        <w:topLinePunct w:val="0"/>
        <w:bidi w:val="0"/>
        <w:adjustRightInd w:val="0"/>
        <w:snapToGrid w:val="0"/>
        <w:spacing w:line="360" w:lineRule="auto"/>
        <w:ind w:left="425" w:leftChars="0" w:hanging="42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灵巧性能30S3次拾取钢棒直径≤6.5 mm。</w:t>
      </w:r>
    </w:p>
    <w:p>
      <w:pPr>
        <w:keepNext w:val="0"/>
        <w:keepLines w:val="0"/>
        <w:pageBreakBefore w:val="0"/>
        <w:numPr>
          <w:ilvl w:val="0"/>
          <w:numId w:val="58"/>
        </w:numPr>
        <w:kinsoku/>
        <w:wordWrap/>
        <w:overflowPunct/>
        <w:topLinePunct w:val="0"/>
        <w:bidi w:val="0"/>
        <w:adjustRightInd w:val="0"/>
        <w:snapToGrid w:val="0"/>
        <w:spacing w:line="360" w:lineRule="auto"/>
        <w:ind w:left="425" w:leftChars="0" w:hanging="42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握紧性能：拉重力比≥95%。</w:t>
      </w:r>
    </w:p>
    <w:p>
      <w:pPr>
        <w:keepNext w:val="0"/>
        <w:keepLines w:val="0"/>
        <w:pageBreakBefore w:val="0"/>
        <w:numPr>
          <w:ilvl w:val="0"/>
          <w:numId w:val="58"/>
        </w:numPr>
        <w:kinsoku/>
        <w:wordWrap/>
        <w:overflowPunct/>
        <w:topLinePunct w:val="0"/>
        <w:bidi w:val="0"/>
        <w:adjustRightInd w:val="0"/>
        <w:snapToGrid w:val="0"/>
        <w:spacing w:line="360" w:lineRule="auto"/>
        <w:ind w:left="425" w:leftChars="0" w:hanging="42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穿戴性能：穿戴时间≤2S。</w:t>
      </w:r>
    </w:p>
    <w:p>
      <w:pPr>
        <w:bidi w:val="0"/>
        <w:rPr>
          <w:rFonts w:hint="eastAsia"/>
          <w:b/>
          <w:bCs w:val="0"/>
        </w:rPr>
      </w:pPr>
    </w:p>
    <w:p>
      <w:pPr>
        <w:numPr>
          <w:ilvl w:val="0"/>
          <w:numId w:val="44"/>
        </w:numPr>
        <w:spacing w:line="360" w:lineRule="auto"/>
        <w:ind w:left="425" w:leftChars="0" w:hanging="425" w:firstLineChars="0"/>
        <w:jc w:val="both"/>
        <w:rPr>
          <w:rFonts w:hint="eastAsia"/>
          <w:b/>
          <w:bCs w:val="0"/>
          <w:color w:val="000000"/>
          <w:sz w:val="24"/>
          <w:szCs w:val="24"/>
          <w:highlight w:val="none"/>
        </w:rPr>
      </w:pPr>
      <w:r>
        <w:rPr>
          <w:rFonts w:hint="eastAsia"/>
          <w:b/>
          <w:bCs w:val="0"/>
          <w:color w:val="000000"/>
          <w:sz w:val="24"/>
          <w:szCs w:val="24"/>
          <w:highlight w:val="none"/>
        </w:rPr>
        <w:t>消防安全腰带</w:t>
      </w:r>
    </w:p>
    <w:p>
      <w:pPr>
        <w:keepNext w:val="0"/>
        <w:keepLines w:val="0"/>
        <w:pageBreakBefore w:val="0"/>
        <w:numPr>
          <w:ilvl w:val="0"/>
          <w:numId w:val="59"/>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整体要求</w:t>
      </w:r>
    </w:p>
    <w:p>
      <w:pPr>
        <w:keepNext w:val="0"/>
        <w:keepLines w:val="0"/>
        <w:pageBreakBefore w:val="0"/>
        <w:numPr>
          <w:ilvl w:val="0"/>
          <w:numId w:val="60"/>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b/>
          <w:bCs w:val="0"/>
          <w:kern w:val="0"/>
          <w:sz w:val="24"/>
          <w:szCs w:val="24"/>
          <w:highlight w:val="none"/>
        </w:rPr>
      </w:pPr>
      <w:r>
        <w:rPr>
          <w:sz w:val="24"/>
        </w:rPr>
        <mc:AlternateContent>
          <mc:Choice Requires="wps">
            <w:drawing>
              <wp:anchor distT="0" distB="0" distL="114300" distR="114300" simplePos="0" relativeHeight="251705344" behindDoc="0" locked="0" layoutInCell="1" allowOverlap="1">
                <wp:simplePos x="0" y="0"/>
                <wp:positionH relativeFrom="column">
                  <wp:posOffset>-342900</wp:posOffset>
                </wp:positionH>
                <wp:positionV relativeFrom="paragraph">
                  <wp:posOffset>22860</wp:posOffset>
                </wp:positionV>
                <wp:extent cx="314325" cy="276225"/>
                <wp:effectExtent l="0" t="0" r="9525" b="9525"/>
                <wp:wrapNone/>
                <wp:docPr id="48" name="文本框 48"/>
                <wp:cNvGraphicFramePr/>
                <a:graphic xmlns:a="http://schemas.openxmlformats.org/drawingml/2006/main">
                  <a:graphicData uri="http://schemas.microsoft.com/office/word/2010/wordprocessingShape">
                    <wps:wsp>
                      <wps:cNvSpPr txBox="1"/>
                      <wps:spPr>
                        <a:xfrm>
                          <a:off x="394335" y="3552190"/>
                          <a:ext cx="314325"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1.8pt;height:21.75pt;width:24.75pt;z-index:251705344;mso-width-relative:page;mso-height-relative:page;" fillcolor="#FFFFFF [3201]" filled="t" stroked="f" coordsize="21600,21600" o:gfxdata="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rOzl6dQAAAAH&#10;AQAADwAAAAAAAAABACAAAAAiAAAAZHJzL2Rvd25yZXYueG1sUEsBAhQAFAAAAAgAh07iQOhPXnJZ&#10;AgAAmwQAAA4AAAAAAAAAAQAgAAAAIwEAAGRycy9lMm9Eb2MueG1sUEsFBgAAAAAGAAYAWQEAAO4F&#10;AAAA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b w:val="0"/>
          <w:bCs/>
          <w:kern w:val="0"/>
          <w:sz w:val="24"/>
          <w:szCs w:val="24"/>
        </w:rPr>
        <w:t>符合国家GA494-2004《消防用防坠落装备》标准要求，</w:t>
      </w:r>
      <w:r>
        <w:rPr>
          <w:rFonts w:hint="eastAsia" w:ascii="宋体" w:hAnsi="宋体" w:eastAsia="宋体" w:cs="宋体"/>
          <w:b/>
          <w:bCs w:val="0"/>
          <w:kern w:val="0"/>
          <w:sz w:val="24"/>
          <w:szCs w:val="24"/>
          <w:highlight w:val="none"/>
          <w:lang w:val="en-US" w:eastAsia="zh-CN"/>
        </w:rPr>
        <w:t>提供</w:t>
      </w:r>
      <w:r>
        <w:rPr>
          <w:rFonts w:hint="eastAsia" w:ascii="宋体" w:hAnsi="宋体" w:eastAsia="宋体" w:cs="宋体"/>
          <w:b/>
          <w:bCs w:val="0"/>
          <w:kern w:val="0"/>
          <w:sz w:val="24"/>
          <w:szCs w:val="24"/>
          <w:highlight w:val="none"/>
        </w:rPr>
        <w:t>检验报告</w:t>
      </w:r>
      <w:r>
        <w:rPr>
          <w:rFonts w:hint="eastAsia" w:ascii="宋体" w:hAnsi="宋体" w:eastAsia="宋体" w:cs="宋体"/>
          <w:b/>
          <w:bCs w:val="0"/>
          <w:kern w:val="0"/>
          <w:sz w:val="24"/>
          <w:szCs w:val="24"/>
          <w:highlight w:val="none"/>
          <w:lang w:val="en-US" w:eastAsia="zh-CN"/>
        </w:rPr>
        <w:t>并加盖公章</w:t>
      </w:r>
      <w:r>
        <w:rPr>
          <w:rFonts w:hint="eastAsia" w:ascii="宋体" w:hAnsi="宋体" w:eastAsia="宋体" w:cs="宋体"/>
          <w:b/>
          <w:bCs w:val="0"/>
          <w:kern w:val="0"/>
          <w:sz w:val="24"/>
          <w:szCs w:val="24"/>
          <w:highlight w:val="none"/>
        </w:rPr>
        <w:t>。</w:t>
      </w:r>
    </w:p>
    <w:p>
      <w:pPr>
        <w:keepNext w:val="0"/>
        <w:keepLines w:val="0"/>
        <w:pageBreakBefore w:val="0"/>
        <w:numPr>
          <w:ilvl w:val="0"/>
          <w:numId w:val="60"/>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本产品由织带、环扣、2个D型环、双排插杆外带扣、带双排插孔的带尾等组成；织带由型号933dtex高强聚酰胺纤维制成，金属拉环材质为铝合金7075，具有强度高、耐冲击、重量轻、耐磨损、阻燃性能好、耐腐蚀等特点，安全带长短可调。</w:t>
      </w:r>
    </w:p>
    <w:p>
      <w:pPr>
        <w:bidi w:val="0"/>
        <w:rPr>
          <w:rFonts w:hint="eastAsia"/>
        </w:rPr>
      </w:pPr>
    </w:p>
    <w:p>
      <w:pPr>
        <w:keepNext w:val="0"/>
        <w:keepLines w:val="0"/>
        <w:pageBreakBefore w:val="0"/>
        <w:numPr>
          <w:ilvl w:val="0"/>
          <w:numId w:val="59"/>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外观</w:t>
      </w:r>
    </w:p>
    <w:p>
      <w:pPr>
        <w:keepNext w:val="0"/>
        <w:keepLines w:val="0"/>
        <w:pageBreakBefore w:val="0"/>
        <w:numPr>
          <w:ilvl w:val="0"/>
          <w:numId w:val="61"/>
        </w:numPr>
        <w:tabs>
          <w:tab w:val="clear" w:pos="420"/>
        </w:tabs>
        <w:kinsoku/>
        <w:wordWrap/>
        <w:overflowPunct/>
        <w:topLinePunct w:val="0"/>
        <w:bidi w:val="0"/>
        <w:spacing w:line="360" w:lineRule="auto"/>
        <w:ind w:left="1245" w:leftChars="0" w:hanging="124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本产品织带为一整根，没有接缝。缝线与织带匹配，用肉眼易于检查。缝合接口及缝合末端回缝不少于13MM，线路、针迹顺直、整齐，无明显弯曲或堆砌，无跳针、开线、断线。</w:t>
      </w:r>
    </w:p>
    <w:p>
      <w:pPr>
        <w:keepNext w:val="0"/>
        <w:keepLines w:val="0"/>
        <w:pageBreakBefore w:val="0"/>
        <w:numPr>
          <w:ilvl w:val="0"/>
          <w:numId w:val="61"/>
        </w:numPr>
        <w:tabs>
          <w:tab w:val="clear" w:pos="420"/>
        </w:tabs>
        <w:kinsoku/>
        <w:wordWrap/>
        <w:overflowPunct/>
        <w:topLinePunct w:val="0"/>
        <w:bidi w:val="0"/>
        <w:spacing w:line="360" w:lineRule="auto"/>
        <w:ind w:left="1245" w:leftChars="0" w:hanging="124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带扣的边角半径大于6mm，拉环无焊接，拉环与带扣无棱角、毛刺。</w:t>
      </w:r>
    </w:p>
    <w:p>
      <w:pPr>
        <w:bidi w:val="0"/>
        <w:rPr>
          <w:rFonts w:hint="eastAsia"/>
        </w:rPr>
      </w:pPr>
    </w:p>
    <w:p>
      <w:pPr>
        <w:keepNext w:val="0"/>
        <w:keepLines w:val="0"/>
        <w:pageBreakBefore w:val="0"/>
        <w:numPr>
          <w:ilvl w:val="0"/>
          <w:numId w:val="59"/>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技术性能</w:t>
      </w:r>
    </w:p>
    <w:p>
      <w:pPr>
        <w:keepNext w:val="0"/>
        <w:keepLines w:val="0"/>
        <w:pageBreakBefore w:val="0"/>
        <w:numPr>
          <w:ilvl w:val="0"/>
          <w:numId w:val="62"/>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带宽70±1mm，织带厚度3±0.3mm，拉环厚度9±0.2mm，正立方向静拉力≥13 KN</w:t>
      </w:r>
      <w:r>
        <w:rPr>
          <w:rFonts w:hint="eastAsia" w:ascii="宋体" w:hAnsi="宋体" w:eastAsia="宋体" w:cs="宋体"/>
          <w:b w:val="0"/>
          <w:bCs/>
          <w:kern w:val="0"/>
          <w:sz w:val="24"/>
          <w:szCs w:val="24"/>
          <w:lang w:eastAsia="zh-CN"/>
        </w:rPr>
        <w:t>。</w:t>
      </w:r>
    </w:p>
    <w:p>
      <w:pPr>
        <w:keepNext w:val="0"/>
        <w:keepLines w:val="0"/>
        <w:pageBreakBefore w:val="0"/>
        <w:numPr>
          <w:ilvl w:val="0"/>
          <w:numId w:val="62"/>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静负荷性能：安全腰带上所有拉环经正立方向静拉力实验和水平方向静拉力实验后，安全腰带未从人体模型上脱落，安全腰带上的带扣和调节装置滑移距离不超过10㎜，且安全腰带未出现影响其安全性能的明显损伤，各项指标符合标准要求；</w:t>
      </w:r>
    </w:p>
    <w:p>
      <w:pPr>
        <w:keepNext w:val="0"/>
        <w:keepLines w:val="0"/>
        <w:pageBreakBefore w:val="0"/>
        <w:numPr>
          <w:ilvl w:val="0"/>
          <w:numId w:val="62"/>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抗冲击性能：冲击强度为一米，安全腰带未从人体模型上脱落，且安全腰带未出现影响其安全性能的明显损伤，各项指标符合标准要求；</w:t>
      </w:r>
    </w:p>
    <w:p>
      <w:pPr>
        <w:keepNext w:val="0"/>
        <w:keepLines w:val="0"/>
        <w:pageBreakBefore w:val="0"/>
        <w:numPr>
          <w:ilvl w:val="0"/>
          <w:numId w:val="62"/>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耐高温性能：经（204±5）℃ 5min耐高温性能试验后，安全腰带的织带和缝线未出现熔融、焦化现象，各项指标符合标准要求；</w:t>
      </w:r>
    </w:p>
    <w:p>
      <w:pPr>
        <w:keepNext w:val="0"/>
        <w:keepLines w:val="0"/>
        <w:pageBreakBefore w:val="0"/>
        <w:numPr>
          <w:ilvl w:val="0"/>
          <w:numId w:val="62"/>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金属零件的耐腐蚀性能：金属配件经48h中性盐雾试验后，外观符合GB/T6461-2002外观等级评定轻微级的要求，并保持原有性能，各项指标符合标准要求。</w:t>
      </w:r>
    </w:p>
    <w:p>
      <w:pPr>
        <w:bidi w:val="0"/>
        <w:rPr>
          <w:rFonts w:hint="eastAsia"/>
          <w:b/>
          <w:bCs w:val="0"/>
        </w:rPr>
      </w:pPr>
    </w:p>
    <w:p>
      <w:pPr>
        <w:numPr>
          <w:ilvl w:val="0"/>
          <w:numId w:val="44"/>
        </w:numPr>
        <w:spacing w:line="360" w:lineRule="auto"/>
        <w:ind w:left="425" w:leftChars="0" w:hanging="425" w:firstLineChars="0"/>
        <w:jc w:val="both"/>
        <w:rPr>
          <w:rFonts w:hint="eastAsia"/>
          <w:b/>
          <w:bCs w:val="0"/>
          <w:color w:val="000000"/>
          <w:sz w:val="24"/>
          <w:szCs w:val="24"/>
          <w:highlight w:val="none"/>
        </w:rPr>
      </w:pPr>
      <w:r>
        <w:rPr>
          <w:rFonts w:hint="eastAsia"/>
          <w:b/>
          <w:bCs w:val="0"/>
          <w:color w:val="000000"/>
          <w:sz w:val="24"/>
          <w:szCs w:val="24"/>
          <w:highlight w:val="none"/>
        </w:rPr>
        <w:t>灭火防护靴</w:t>
      </w:r>
    </w:p>
    <w:p>
      <w:pPr>
        <w:keepNext w:val="0"/>
        <w:keepLines w:val="0"/>
        <w:pageBreakBefore w:val="0"/>
        <w:numPr>
          <w:ilvl w:val="0"/>
          <w:numId w:val="63"/>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整体要求</w:t>
      </w:r>
    </w:p>
    <w:p>
      <w:pPr>
        <w:keepNext w:val="0"/>
        <w:keepLines w:val="0"/>
        <w:pageBreakBefore w:val="0"/>
        <w:numPr>
          <w:ilvl w:val="0"/>
          <w:numId w:val="64"/>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lang w:val="zh-CN"/>
        </w:rPr>
      </w:pPr>
      <w:r>
        <w:rPr>
          <w:sz w:val="24"/>
        </w:rPr>
        <mc:AlternateContent>
          <mc:Choice Requires="wps">
            <w:drawing>
              <wp:anchor distT="0" distB="0" distL="114300" distR="114300" simplePos="0" relativeHeight="251706368" behindDoc="0" locked="0" layoutInCell="1" allowOverlap="1">
                <wp:simplePos x="0" y="0"/>
                <wp:positionH relativeFrom="column">
                  <wp:posOffset>-276225</wp:posOffset>
                </wp:positionH>
                <wp:positionV relativeFrom="paragraph">
                  <wp:posOffset>22225</wp:posOffset>
                </wp:positionV>
                <wp:extent cx="266700" cy="247650"/>
                <wp:effectExtent l="0" t="0" r="0" b="0"/>
                <wp:wrapNone/>
                <wp:docPr id="49" name="文本框 49"/>
                <wp:cNvGraphicFramePr/>
                <a:graphic xmlns:a="http://schemas.openxmlformats.org/drawingml/2006/main">
                  <a:graphicData uri="http://schemas.microsoft.com/office/word/2010/wordprocessingShape">
                    <wps:wsp>
                      <wps:cNvSpPr txBox="1"/>
                      <wps:spPr>
                        <a:xfrm>
                          <a:off x="432435" y="3049270"/>
                          <a:ext cx="266700"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75pt;margin-top:1.75pt;height:19.5pt;width:21pt;z-index:251706368;mso-width-relative:page;mso-height-relative:page;" fillcolor="#FFFFFF [3201]" filled="t" stroked="f" coordsize="21600,21600" o:gfxdata="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Zl2MvSAAAA&#10;BwEAAA8AAAAAAAAAAQAgAAAAIgAAAGRycy9kb3ducmV2LnhtbFBLAQIUABQAAAAIAIdO4kClywry&#10;XAIAAJsEAAAOAAAAAAAAAAEAIAAAACEBAABkcnMvZTJvRG9jLnhtbFBLBQYAAAAABgAGAFkBAADv&#10;BQAAA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b w:val="0"/>
          <w:bCs/>
          <w:kern w:val="0"/>
          <w:sz w:val="24"/>
          <w:szCs w:val="24"/>
          <w:lang w:val="zh-CN"/>
        </w:rPr>
        <w:t>符合国家GA6-2004《消防员灭火防护靴》标准要求</w:t>
      </w:r>
      <w:r>
        <w:rPr>
          <w:rFonts w:hint="eastAsia" w:ascii="宋体" w:hAnsi="宋体" w:eastAsia="宋体" w:cs="宋体"/>
          <w:b w:val="0"/>
          <w:bCs/>
          <w:kern w:val="0"/>
          <w:sz w:val="24"/>
          <w:szCs w:val="24"/>
          <w:highlight w:val="none"/>
          <w:lang w:val="zh-CN"/>
        </w:rPr>
        <w:t>，</w:t>
      </w:r>
      <w:r>
        <w:rPr>
          <w:rFonts w:hint="eastAsia" w:ascii="宋体" w:hAnsi="宋体" w:eastAsia="宋体" w:cs="宋体"/>
          <w:b/>
          <w:bCs w:val="0"/>
          <w:kern w:val="0"/>
          <w:sz w:val="24"/>
          <w:szCs w:val="24"/>
          <w:highlight w:val="none"/>
          <w:lang w:val="en-US" w:eastAsia="zh-CN"/>
        </w:rPr>
        <w:t>提供</w:t>
      </w:r>
      <w:r>
        <w:rPr>
          <w:rFonts w:hint="eastAsia" w:ascii="宋体" w:hAnsi="宋体" w:eastAsia="宋体" w:cs="宋体"/>
          <w:b/>
          <w:bCs w:val="0"/>
          <w:kern w:val="0"/>
          <w:sz w:val="24"/>
          <w:szCs w:val="24"/>
          <w:highlight w:val="none"/>
          <w:lang w:val="zh-CN"/>
        </w:rPr>
        <w:t>检验报告</w:t>
      </w:r>
      <w:r>
        <w:rPr>
          <w:rFonts w:hint="eastAsia" w:ascii="宋体" w:hAnsi="宋体" w:eastAsia="宋体" w:cs="宋体"/>
          <w:b/>
          <w:bCs w:val="0"/>
          <w:kern w:val="0"/>
          <w:sz w:val="24"/>
          <w:szCs w:val="24"/>
          <w:highlight w:val="none"/>
          <w:lang w:val="en-US" w:eastAsia="zh-CN"/>
        </w:rPr>
        <w:t>并加盖公章</w:t>
      </w:r>
      <w:r>
        <w:rPr>
          <w:rFonts w:hint="eastAsia" w:ascii="宋体" w:hAnsi="宋体" w:eastAsia="宋体" w:cs="宋体"/>
          <w:b w:val="0"/>
          <w:bCs/>
          <w:kern w:val="0"/>
          <w:sz w:val="24"/>
          <w:szCs w:val="24"/>
          <w:lang w:val="zh-CN"/>
        </w:rPr>
        <w:t>。</w:t>
      </w:r>
    </w:p>
    <w:p>
      <w:pPr>
        <w:keepNext w:val="0"/>
        <w:keepLines w:val="0"/>
        <w:pageBreakBefore w:val="0"/>
        <w:numPr>
          <w:ilvl w:val="0"/>
          <w:numId w:val="64"/>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符合17式消防员灭火防护靴（橡胶）款式标识统型要求。</w:t>
      </w:r>
    </w:p>
    <w:p>
      <w:pPr>
        <w:keepNext w:val="0"/>
        <w:keepLines w:val="0"/>
        <w:pageBreakBefore w:val="0"/>
        <w:numPr>
          <w:ilvl w:val="0"/>
          <w:numId w:val="64"/>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主要用于消防员在抢险救援中脚部的防护。具有防刺穿、防砸、防滑、防强酸强碱等功能，脚码符合国家标准要求。</w:t>
      </w:r>
    </w:p>
    <w:p>
      <w:pPr>
        <w:bidi w:val="0"/>
        <w:rPr>
          <w:rFonts w:hint="eastAsia"/>
          <w:lang w:val="zh-CN"/>
        </w:rPr>
      </w:pPr>
    </w:p>
    <w:p>
      <w:pPr>
        <w:keepNext w:val="0"/>
        <w:keepLines w:val="0"/>
        <w:pageBreakBefore w:val="0"/>
        <w:numPr>
          <w:ilvl w:val="0"/>
          <w:numId w:val="63"/>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结构</w:t>
      </w:r>
    </w:p>
    <w:p>
      <w:pPr>
        <w:keepNext w:val="0"/>
        <w:keepLines w:val="0"/>
        <w:pageBreakBefore w:val="0"/>
        <w:numPr>
          <w:ilvl w:val="0"/>
          <w:numId w:val="65"/>
        </w:numPr>
        <w:tabs>
          <w:tab w:val="left" w:pos="1260"/>
          <w:tab w:val="clear" w:pos="420"/>
        </w:tabs>
        <w:kinsoku/>
        <w:wordWrap/>
        <w:overflowPunct/>
        <w:topLinePunct w:val="0"/>
        <w:bidi w:val="0"/>
        <w:spacing w:line="360" w:lineRule="auto"/>
        <w:ind w:left="1260" w:leftChars="0" w:hanging="1260"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靴帮由外到里分为帮面、防切割层和隔热舒适层三层结构。靴底由上到下分为隔热舒适层、防穿刺层和靴大底三层结构。靴头部位设有保护包头。</w:t>
      </w:r>
    </w:p>
    <w:p>
      <w:pPr>
        <w:keepNext w:val="0"/>
        <w:keepLines w:val="0"/>
        <w:pageBreakBefore w:val="0"/>
        <w:numPr>
          <w:ilvl w:val="0"/>
          <w:numId w:val="65"/>
        </w:numPr>
        <w:tabs>
          <w:tab w:val="left" w:pos="1260"/>
          <w:tab w:val="clear" w:pos="420"/>
        </w:tabs>
        <w:kinsoku/>
        <w:wordWrap/>
        <w:overflowPunct/>
        <w:topLinePunct w:val="0"/>
        <w:bidi w:val="0"/>
        <w:spacing w:line="360" w:lineRule="auto"/>
        <w:ind w:left="1260" w:leftChars="0" w:hanging="1260"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靴帮和靴底隔热舒适层（俗称靴内衬）采用棉布和氯丁橡胶发泡海绵复合面料。</w:t>
      </w:r>
    </w:p>
    <w:p>
      <w:pPr>
        <w:keepNext w:val="0"/>
        <w:keepLines w:val="0"/>
        <w:pageBreakBefore w:val="0"/>
        <w:numPr>
          <w:ilvl w:val="0"/>
          <w:numId w:val="65"/>
        </w:numPr>
        <w:tabs>
          <w:tab w:val="left" w:pos="1260"/>
          <w:tab w:val="clear" w:pos="420"/>
        </w:tabs>
        <w:kinsoku/>
        <w:wordWrap/>
        <w:overflowPunct/>
        <w:topLinePunct w:val="0"/>
        <w:bidi w:val="0"/>
        <w:spacing w:line="360" w:lineRule="auto"/>
        <w:ind w:left="1260" w:leftChars="0" w:hanging="1260"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靴底防穿刺层采用芳香族聚酰胺纤维复合材料。</w:t>
      </w:r>
    </w:p>
    <w:p>
      <w:pPr>
        <w:keepNext w:val="0"/>
        <w:keepLines w:val="0"/>
        <w:pageBreakBefore w:val="0"/>
        <w:numPr>
          <w:ilvl w:val="0"/>
          <w:numId w:val="65"/>
        </w:numPr>
        <w:tabs>
          <w:tab w:val="left" w:pos="1260"/>
          <w:tab w:val="clear" w:pos="420"/>
        </w:tabs>
        <w:kinsoku/>
        <w:wordWrap/>
        <w:overflowPunct/>
        <w:topLinePunct w:val="0"/>
        <w:bidi w:val="0"/>
        <w:spacing w:line="360" w:lineRule="auto"/>
        <w:ind w:left="1260" w:leftChars="0" w:hanging="1260"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保护包头采用轻质铝合金或非金属复合材料。</w:t>
      </w:r>
    </w:p>
    <w:p>
      <w:pPr>
        <w:keepNext w:val="0"/>
        <w:keepLines w:val="0"/>
        <w:pageBreakBefore w:val="0"/>
        <w:numPr>
          <w:ilvl w:val="0"/>
          <w:numId w:val="65"/>
        </w:numPr>
        <w:tabs>
          <w:tab w:val="left" w:pos="1260"/>
          <w:tab w:val="clear" w:pos="420"/>
        </w:tabs>
        <w:kinsoku/>
        <w:wordWrap/>
        <w:overflowPunct/>
        <w:topLinePunct w:val="0"/>
        <w:bidi w:val="0"/>
        <w:spacing w:line="360" w:lineRule="auto"/>
        <w:ind w:left="1260" w:leftChars="0" w:hanging="1260"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鞋垫采用减震缓冲、排汗、防臭，抗菌鞋垫。</w:t>
      </w:r>
    </w:p>
    <w:p>
      <w:pPr>
        <w:keepNext w:val="0"/>
        <w:keepLines w:val="0"/>
        <w:pageBreakBefore w:val="0"/>
        <w:numPr>
          <w:ilvl w:val="0"/>
          <w:numId w:val="65"/>
        </w:numPr>
        <w:tabs>
          <w:tab w:val="left" w:pos="1260"/>
          <w:tab w:val="clear" w:pos="420"/>
        </w:tabs>
        <w:kinsoku/>
        <w:wordWrap/>
        <w:overflowPunct/>
        <w:topLinePunct w:val="0"/>
        <w:bidi w:val="0"/>
        <w:spacing w:line="360" w:lineRule="auto"/>
        <w:ind w:left="1260" w:leftChars="0" w:hanging="1260"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靴后跟设有在耐高温、阻燃、耐酸碱橡胶块上，复合的银色三角形阻燃反光标志带。</w:t>
      </w:r>
    </w:p>
    <w:p>
      <w:pPr>
        <w:bidi w:val="0"/>
        <w:rPr>
          <w:rFonts w:hint="eastAsia"/>
          <w:lang w:val="zh-CN"/>
        </w:rPr>
      </w:pPr>
    </w:p>
    <w:p>
      <w:pPr>
        <w:keepNext w:val="0"/>
        <w:keepLines w:val="0"/>
        <w:pageBreakBefore w:val="0"/>
        <w:numPr>
          <w:ilvl w:val="0"/>
          <w:numId w:val="63"/>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技术性能</w:t>
      </w:r>
    </w:p>
    <w:p>
      <w:pPr>
        <w:keepNext w:val="0"/>
        <w:keepLines w:val="0"/>
        <w:pageBreakBefore w:val="0"/>
        <w:numPr>
          <w:ilvl w:val="0"/>
          <w:numId w:val="66"/>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胶面耐油性能-2-10%，围条耐油性能-2-10%，外底耐油性能-2-10%。</w:t>
      </w:r>
    </w:p>
    <w:p>
      <w:pPr>
        <w:keepNext w:val="0"/>
        <w:keepLines w:val="0"/>
        <w:pageBreakBefore w:val="0"/>
        <w:numPr>
          <w:ilvl w:val="0"/>
          <w:numId w:val="66"/>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耐砸性能：静压力≥15mm,冲击≥15mm</w:t>
      </w:r>
    </w:p>
    <w:p>
      <w:pPr>
        <w:keepNext w:val="0"/>
        <w:keepLines w:val="0"/>
        <w:pageBreakBefore w:val="0"/>
        <w:numPr>
          <w:ilvl w:val="0"/>
          <w:numId w:val="66"/>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抗刺穿性能：≥1300N</w:t>
      </w:r>
    </w:p>
    <w:p>
      <w:pPr>
        <w:keepNext w:val="0"/>
        <w:keepLines w:val="0"/>
        <w:pageBreakBefore w:val="0"/>
        <w:numPr>
          <w:ilvl w:val="0"/>
          <w:numId w:val="66"/>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电绝缘性能：击穿电压大于5000V，泄漏电流≤1.0mA</w:t>
      </w:r>
    </w:p>
    <w:p>
      <w:pPr>
        <w:keepNext w:val="0"/>
        <w:keepLines w:val="0"/>
        <w:pageBreakBefore w:val="0"/>
        <w:numPr>
          <w:ilvl w:val="0"/>
          <w:numId w:val="66"/>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隔热性能：≤11℃</w:t>
      </w:r>
    </w:p>
    <w:p>
      <w:pPr>
        <w:keepNext w:val="0"/>
        <w:keepLines w:val="0"/>
        <w:pageBreakBefore w:val="0"/>
        <w:numPr>
          <w:ilvl w:val="0"/>
          <w:numId w:val="66"/>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抗辐射热渗透性能：≤7℃</w:t>
      </w:r>
    </w:p>
    <w:p>
      <w:pPr>
        <w:keepNext w:val="0"/>
        <w:keepLines w:val="0"/>
        <w:pageBreakBefore w:val="0"/>
        <w:numPr>
          <w:ilvl w:val="0"/>
          <w:numId w:val="66"/>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防滑性能：≥15°</w:t>
      </w:r>
    </w:p>
    <w:p>
      <w:pPr>
        <w:keepNext w:val="0"/>
        <w:keepLines w:val="0"/>
        <w:pageBreakBefore w:val="0"/>
        <w:numPr>
          <w:ilvl w:val="0"/>
          <w:numId w:val="66"/>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防水性能：不应出现渗水现象。</w:t>
      </w:r>
    </w:p>
    <w:p>
      <w:pPr>
        <w:keepNext w:val="0"/>
        <w:keepLines w:val="0"/>
        <w:pageBreakBefore w:val="0"/>
        <w:numPr>
          <w:ilvl w:val="0"/>
          <w:numId w:val="66"/>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质量：≤2.9kg</w:t>
      </w:r>
    </w:p>
    <w:p>
      <w:pPr>
        <w:bidi w:val="0"/>
        <w:rPr>
          <w:rFonts w:hint="eastAsia"/>
          <w:b/>
          <w:bCs w:val="0"/>
        </w:rPr>
      </w:pPr>
    </w:p>
    <w:p>
      <w:pPr>
        <w:numPr>
          <w:ilvl w:val="0"/>
          <w:numId w:val="44"/>
        </w:numPr>
        <w:spacing w:line="360" w:lineRule="auto"/>
        <w:ind w:left="425" w:leftChars="0" w:hanging="425" w:firstLineChars="0"/>
        <w:jc w:val="both"/>
        <w:rPr>
          <w:rFonts w:hint="eastAsia"/>
          <w:b/>
          <w:bCs w:val="0"/>
          <w:color w:val="000000"/>
          <w:sz w:val="24"/>
          <w:szCs w:val="24"/>
          <w:highlight w:val="none"/>
        </w:rPr>
      </w:pPr>
      <w:r>
        <w:rPr>
          <w:rFonts w:hint="eastAsia"/>
          <w:b/>
          <w:bCs w:val="0"/>
          <w:color w:val="000000"/>
          <w:sz w:val="24"/>
          <w:szCs w:val="24"/>
          <w:highlight w:val="none"/>
        </w:rPr>
        <w:t>正压式消防空气呼吸器</w:t>
      </w:r>
    </w:p>
    <w:p>
      <w:pPr>
        <w:keepNext w:val="0"/>
        <w:keepLines w:val="0"/>
        <w:pageBreakBefore w:val="0"/>
        <w:numPr>
          <w:ilvl w:val="0"/>
          <w:numId w:val="67"/>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符合国家</w:t>
      </w:r>
      <w:r>
        <w:rPr>
          <w:rFonts w:hint="eastAsia" w:ascii="宋体" w:hAnsi="宋体" w:eastAsia="宋体" w:cs="宋体"/>
          <w:kern w:val="0"/>
          <w:sz w:val="24"/>
          <w:szCs w:val="24"/>
          <w:highlight w:val="none"/>
          <w:lang w:val="zh-CN"/>
        </w:rPr>
        <w:t>GA124-2013《正压式消防空气呼吸器》标准。</w:t>
      </w:r>
      <w:r>
        <w:rPr>
          <w:rFonts w:hint="eastAsia" w:ascii="宋体" w:hAnsi="宋体" w:eastAsia="宋体" w:cs="宋体"/>
          <w:kern w:val="0"/>
          <w:sz w:val="24"/>
          <w:szCs w:val="24"/>
          <w:lang w:val="zh-CN"/>
        </w:rPr>
        <w:t>产品需具有耐高温、阻燃、绝缘、防腐、防水、重量轻、气密性好等性能。</w:t>
      </w:r>
    </w:p>
    <w:p>
      <w:pPr>
        <w:bidi w:val="0"/>
        <w:rPr>
          <w:rFonts w:hint="eastAsia"/>
          <w:lang w:val="zh-CN"/>
        </w:rPr>
      </w:pPr>
    </w:p>
    <w:p>
      <w:pPr>
        <w:keepNext w:val="0"/>
        <w:keepLines w:val="0"/>
        <w:pageBreakBefore w:val="0"/>
        <w:numPr>
          <w:ilvl w:val="0"/>
          <w:numId w:val="67"/>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整机重量</w:t>
      </w:r>
      <w:r>
        <w:rPr>
          <w:rFonts w:hint="eastAsia" w:ascii="宋体" w:hAnsi="宋体" w:eastAsia="宋体" w:cs="宋体"/>
          <w:kern w:val="0"/>
          <w:sz w:val="24"/>
          <w:szCs w:val="24"/>
          <w:lang w:val="zh-CN" w:eastAsia="zh-CN"/>
        </w:rPr>
        <w:t>不</w:t>
      </w:r>
      <w:r>
        <w:rPr>
          <w:rFonts w:hint="eastAsia" w:ascii="宋体" w:hAnsi="宋体" w:eastAsia="宋体" w:cs="宋体"/>
          <w:kern w:val="0"/>
          <w:sz w:val="24"/>
          <w:szCs w:val="24"/>
          <w:lang w:val="zh-CN"/>
        </w:rPr>
        <w:t>应＞11Kg；</w:t>
      </w:r>
    </w:p>
    <w:p>
      <w:pPr>
        <w:bidi w:val="0"/>
        <w:rPr>
          <w:rFonts w:hint="eastAsia"/>
          <w:lang w:val="zh-CN"/>
        </w:rPr>
      </w:pPr>
    </w:p>
    <w:p>
      <w:pPr>
        <w:keepNext w:val="0"/>
        <w:keepLines w:val="0"/>
        <w:pageBreakBefore w:val="0"/>
        <w:numPr>
          <w:ilvl w:val="0"/>
          <w:numId w:val="67"/>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呼吸器结构组成：正压式空气呼吸器主要由高压空气瓶与气瓶开关、减压器、快速接头、正压型空气供给阀、正压型全面罩、气源压力表、气瓶余气报警器、中压安全阀、正压呼气阀、背托、肩带、腰带、他救接口等部件组成，压力平视显示装置；正压式消防空气呼吸器（简称空呼器）应具有他救功能，正压式消防空气呼吸器；</w:t>
      </w:r>
    </w:p>
    <w:p>
      <w:pPr>
        <w:bidi w:val="0"/>
        <w:rPr>
          <w:rFonts w:hint="eastAsia"/>
          <w:lang w:val="en-US" w:eastAsia="zh-CN"/>
        </w:rPr>
      </w:pPr>
    </w:p>
    <w:p>
      <w:pPr>
        <w:keepNext w:val="0"/>
        <w:keepLines w:val="0"/>
        <w:pageBreakBefore w:val="0"/>
        <w:numPr>
          <w:ilvl w:val="0"/>
          <w:numId w:val="67"/>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全面罩：面窗为大视野，能自动除雾，任何环境下不产生雾气，与面部采用里外双层橡胶密封，适合亚洲人脸型，配有口鼻罩，降低面罩内呼出的CO2含量，配有5点式头带调节，并配有快松板扣，简便可靠，头网为凯夫拉阻燃材料；</w:t>
      </w:r>
    </w:p>
    <w:p>
      <w:pPr>
        <w:bidi w:val="0"/>
        <w:rPr>
          <w:rFonts w:hint="eastAsia"/>
          <w:lang w:val="en-US" w:eastAsia="zh-CN"/>
        </w:rPr>
      </w:pPr>
    </w:p>
    <w:p>
      <w:pPr>
        <w:keepNext w:val="0"/>
        <w:keepLines w:val="0"/>
        <w:pageBreakBefore w:val="0"/>
        <w:numPr>
          <w:ilvl w:val="0"/>
          <w:numId w:val="67"/>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rPr>
        <w:t>压力平视显示装置</w:t>
      </w:r>
    </w:p>
    <w:p>
      <w:pPr>
        <w:keepNext w:val="0"/>
        <w:keepLines w:val="0"/>
        <w:pageBreakBefore w:val="0"/>
        <w:numPr>
          <w:ilvl w:val="0"/>
          <w:numId w:val="68"/>
        </w:numPr>
        <w:kinsoku/>
        <w:wordWrap/>
        <w:overflowPunct/>
        <w:topLinePunct w:val="0"/>
        <w:bidi w:val="0"/>
        <w:spacing w:line="360" w:lineRule="auto"/>
        <w:ind w:left="425" w:leftChars="0" w:hanging="425"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面罩与压力平视显示器为一体式设计，显示气瓶剩余压力；</w:t>
      </w:r>
    </w:p>
    <w:p>
      <w:pPr>
        <w:keepNext w:val="0"/>
        <w:keepLines w:val="0"/>
        <w:pageBreakBefore w:val="0"/>
        <w:numPr>
          <w:ilvl w:val="0"/>
          <w:numId w:val="68"/>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开关机及低气压报警时具有震动提醒功能，电池待机时间不低于1年；</w:t>
      </w:r>
    </w:p>
    <w:p>
      <w:pPr>
        <w:keepNext w:val="0"/>
        <w:keepLines w:val="0"/>
        <w:pageBreakBefore w:val="0"/>
        <w:numPr>
          <w:ilvl w:val="0"/>
          <w:numId w:val="68"/>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无线信号接收具有唯一性，要不受干扰，电气元件的防爆性能：其防爆等级为：Ex ia IIC T4Ga；防护等级大于IP65；</w:t>
      </w:r>
      <w:r>
        <w:rPr>
          <w:rFonts w:hint="eastAsia" w:ascii="宋体" w:hAnsi="宋体" w:eastAsia="宋体" w:cs="宋体"/>
          <w:kern w:val="0"/>
          <w:sz w:val="24"/>
          <w:szCs w:val="24"/>
          <w:lang w:val="zh-CN"/>
        </w:rPr>
        <w:t>当气瓶压力在30～10MPa时，绿灯常亮；当气瓶压力在10～6MPa时，黄灯常亮；当气瓶压力在6 MPa以下时，红灯一直闪亮；当压力平视显示装置的电源处于低电压时，黄灯一直闪亮，当发射装置与显示装置配对时，蓝灯一直闪亮；当配对成功后，蓝灯应熄灭；</w:t>
      </w:r>
    </w:p>
    <w:p>
      <w:pPr>
        <w:keepNext w:val="0"/>
        <w:keepLines w:val="0"/>
        <w:pageBreakBefore w:val="0"/>
        <w:numPr>
          <w:ilvl w:val="0"/>
          <w:numId w:val="68"/>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kern w:val="0"/>
          <w:sz w:val="24"/>
          <w:szCs w:val="24"/>
          <w:lang w:val="zh-CN"/>
        </w:rPr>
      </w:pPr>
      <w:r>
        <w:rPr>
          <w:sz w:val="24"/>
        </w:rPr>
        <mc:AlternateContent>
          <mc:Choice Requires="wps">
            <w:drawing>
              <wp:anchor distT="0" distB="0" distL="114300" distR="114300" simplePos="0" relativeHeight="251729920" behindDoc="0" locked="0" layoutInCell="1" allowOverlap="1">
                <wp:simplePos x="0" y="0"/>
                <wp:positionH relativeFrom="column">
                  <wp:posOffset>-342900</wp:posOffset>
                </wp:positionH>
                <wp:positionV relativeFrom="paragraph">
                  <wp:posOffset>33655</wp:posOffset>
                </wp:positionV>
                <wp:extent cx="323850" cy="333375"/>
                <wp:effectExtent l="0" t="0" r="0" b="9525"/>
                <wp:wrapNone/>
                <wp:docPr id="75" name="文本框 75"/>
                <wp:cNvGraphicFramePr/>
                <a:graphic xmlns:a="http://schemas.openxmlformats.org/drawingml/2006/main">
                  <a:graphicData uri="http://schemas.microsoft.com/office/word/2010/wordprocessingShape">
                    <wps:wsp>
                      <wps:cNvSpPr txBox="1"/>
                      <wps:spPr>
                        <a:xfrm>
                          <a:off x="356235" y="7937500"/>
                          <a:ext cx="323850" cy="333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2.65pt;height:26.25pt;width:25.5pt;z-index:251729920;mso-width-relative:page;mso-height-relative:page;" fillcolor="#FFFFFF [3201]" filled="t" stroked="f" coordsize="21600,21600" o:gfxdata="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7CfC3SAAAABwEA&#10;AA8AAAAAAAAAAQAgAAAAIgAAAGRycy9kb3ducmV2LnhtbFBLAQIUABQAAAAIAIdO4kBUs41HWQIA&#10;AJsEAAAOAAAAAAAAAAEAIAAAACEBAABkcnMvZTJvRG9jLnhtbFBLBQYAAAAABgAGAFkBAADsBQAA&#10;A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kern w:val="0"/>
          <w:sz w:val="24"/>
          <w:szCs w:val="24"/>
          <w:lang w:val="en-US" w:eastAsia="zh-CN"/>
        </w:rPr>
        <w:t>为保证产品整体性能</w:t>
      </w:r>
      <w:r>
        <w:rPr>
          <w:rFonts w:hint="eastAsia" w:ascii="宋体" w:hAnsi="宋体" w:eastAsia="宋体" w:cs="宋体"/>
          <w:kern w:val="0"/>
          <w:sz w:val="24"/>
          <w:szCs w:val="24"/>
          <w:highlight w:val="none"/>
          <w:lang w:val="zh-CN"/>
        </w:rPr>
        <w:t>呼吸器</w:t>
      </w:r>
      <w:r>
        <w:rPr>
          <w:rFonts w:hint="eastAsia" w:ascii="宋体" w:hAnsi="宋体" w:eastAsia="宋体" w:cs="宋体"/>
          <w:kern w:val="0"/>
          <w:sz w:val="24"/>
          <w:szCs w:val="24"/>
          <w:highlight w:val="none"/>
          <w:lang w:val="en-US" w:eastAsia="zh-CN"/>
        </w:rPr>
        <w:t>与</w:t>
      </w:r>
      <w:r>
        <w:rPr>
          <w:rFonts w:hint="eastAsia" w:ascii="宋体" w:hAnsi="宋体" w:eastAsia="宋体" w:cs="宋体"/>
          <w:kern w:val="0"/>
          <w:sz w:val="24"/>
          <w:szCs w:val="24"/>
          <w:highlight w:val="none"/>
          <w:lang w:val="zh-CN"/>
        </w:rPr>
        <w:t>压力平视发射器</w:t>
      </w:r>
      <w:r>
        <w:rPr>
          <w:rFonts w:hint="eastAsia" w:ascii="宋体" w:hAnsi="宋体" w:eastAsia="宋体" w:cs="宋体"/>
          <w:kern w:val="0"/>
          <w:sz w:val="24"/>
          <w:szCs w:val="24"/>
          <w:highlight w:val="none"/>
          <w:lang w:val="en-US" w:eastAsia="zh-CN"/>
        </w:rPr>
        <w:t>应为同一品牌</w:t>
      </w:r>
      <w:r>
        <w:rPr>
          <w:rFonts w:hint="eastAsia" w:ascii="宋体" w:hAnsi="宋体" w:eastAsia="宋体" w:cs="宋体"/>
          <w:kern w:val="0"/>
          <w:sz w:val="24"/>
          <w:szCs w:val="24"/>
          <w:highlight w:val="none"/>
          <w:lang w:val="zh-CN"/>
        </w:rPr>
        <w:t>；</w:t>
      </w:r>
    </w:p>
    <w:p>
      <w:pPr>
        <w:bidi w:val="0"/>
        <w:rPr>
          <w:rFonts w:hint="eastAsia"/>
          <w:lang w:val="en-US" w:eastAsia="zh-CN"/>
        </w:rPr>
      </w:pPr>
    </w:p>
    <w:p>
      <w:pPr>
        <w:keepNext w:val="0"/>
        <w:keepLines w:val="0"/>
        <w:pageBreakBefore w:val="0"/>
        <w:numPr>
          <w:ilvl w:val="0"/>
          <w:numId w:val="67"/>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电子报警哨：压力表荧光显示表盘在气瓶瓶阀打开后显示气瓶压力，精度不应低于1.6级，最小分格值不应大于1Mpa，在暗淡或黑暗的环境下应能读出压力指示值，其安装位置应方便佩戴者观察压力值，气压在(5～6）Mpa时，能发出声光报警提醒；警报声音超过90分贝，警报频率范围在（2000～4000）Hz之间；具有环境温度信号和气瓶压力信号无线发射功能；环境温度过60摄氏度时，能发出警报功能；具有呼救报警功能；超低能耗设计，电池待机时间超过1年；</w:t>
      </w:r>
    </w:p>
    <w:p>
      <w:pPr>
        <w:bidi w:val="0"/>
        <w:rPr>
          <w:rFonts w:hint="eastAsia"/>
          <w:lang w:val="en-US" w:eastAsia="zh-CN"/>
        </w:rPr>
      </w:pPr>
    </w:p>
    <w:p>
      <w:pPr>
        <w:keepNext w:val="0"/>
        <w:keepLines w:val="0"/>
        <w:pageBreakBefore w:val="0"/>
        <w:numPr>
          <w:ilvl w:val="0"/>
          <w:numId w:val="67"/>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供气阀：设置自动正压机构，能确保工期充足，供气量≥500升/分钟以上，保证面罩内正压，快速插入式设计，使用简便，供气迅速，可360度旋转。体积小，重量轻，保证极佳的下视野；呼吸舒适轻松，整体耐高温，耐阻燃，耐辐射</w:t>
      </w:r>
      <w:bookmarkStart w:id="284" w:name="_GoBack"/>
      <w:bookmarkEnd w:id="284"/>
      <w:r>
        <w:rPr>
          <w:rFonts w:hint="eastAsia" w:ascii="宋体" w:hAnsi="宋体" w:eastAsia="宋体" w:cs="宋体"/>
          <w:kern w:val="0"/>
          <w:sz w:val="24"/>
          <w:szCs w:val="24"/>
          <w:lang w:val="zh-CN"/>
        </w:rPr>
        <w:t>，耐冲击，更安全可靠；</w:t>
      </w:r>
    </w:p>
    <w:p>
      <w:pPr>
        <w:bidi w:val="0"/>
        <w:rPr>
          <w:rFonts w:hint="eastAsia"/>
          <w:lang w:val="en-US" w:eastAsia="zh-CN"/>
        </w:rPr>
      </w:pPr>
    </w:p>
    <w:p>
      <w:pPr>
        <w:keepNext w:val="0"/>
        <w:keepLines w:val="0"/>
        <w:pageBreakBefore w:val="0"/>
        <w:numPr>
          <w:ilvl w:val="0"/>
          <w:numId w:val="67"/>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zh-CN"/>
        </w:rPr>
        <w:t>背架</w:t>
      </w:r>
    </w:p>
    <w:p>
      <w:pPr>
        <w:keepNext w:val="0"/>
        <w:keepLines w:val="0"/>
        <w:pageBreakBefore w:val="0"/>
        <w:numPr>
          <w:ilvl w:val="0"/>
          <w:numId w:val="69"/>
        </w:numPr>
        <w:tabs>
          <w:tab w:val="left" w:pos="1260"/>
          <w:tab w:val="clear" w:pos="420"/>
        </w:tabs>
        <w:kinsoku/>
        <w:wordWrap/>
        <w:overflowPunct/>
        <w:topLinePunct w:val="0"/>
        <w:bidi w:val="0"/>
        <w:spacing w:line="360" w:lineRule="auto"/>
        <w:ind w:left="1260" w:leftChars="0" w:hanging="126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具有强度高，耐冲击性强，不易损坏，弯曲90度不会断裂，重量轻；高、中压管隐藏于气瓶与背板之间，整体按人体工程学设计，佩戴更舒适；胸扣并且能调节长度，扣紧后不会发生滑脱；肩带和腰带采用阻燃防滑，气瓶绑带上搭扣可以通过反扣对气瓶进行双重固定；</w:t>
      </w:r>
    </w:p>
    <w:p>
      <w:pPr>
        <w:keepNext w:val="0"/>
        <w:keepLines w:val="0"/>
        <w:pageBreakBefore w:val="0"/>
        <w:numPr>
          <w:ilvl w:val="0"/>
          <w:numId w:val="69"/>
        </w:numPr>
        <w:tabs>
          <w:tab w:val="left" w:pos="1260"/>
          <w:tab w:val="clear" w:pos="420"/>
        </w:tabs>
        <w:kinsoku/>
        <w:wordWrap/>
        <w:overflowPunct/>
        <w:topLinePunct w:val="0"/>
        <w:bidi w:val="0"/>
        <w:spacing w:line="360" w:lineRule="auto"/>
        <w:ind w:left="1260" w:leftChars="0" w:hanging="1260" w:firstLineChars="0"/>
        <w:jc w:val="left"/>
        <w:rPr>
          <w:rFonts w:hint="eastAsia" w:ascii="宋体" w:hAnsi="宋体" w:eastAsia="宋体" w:cs="宋体"/>
          <w:kern w:val="0"/>
          <w:sz w:val="24"/>
          <w:szCs w:val="24"/>
          <w:lang w:val="zh-CN"/>
        </w:rPr>
      </w:pPr>
      <w:r>
        <w:rPr>
          <w:rFonts w:hint="eastAsia" w:ascii="宋体" w:hAnsi="宋体" w:eastAsia="宋体" w:cs="宋体"/>
          <w:kern w:val="0"/>
          <w:sz w:val="24"/>
          <w:szCs w:val="24"/>
        </w:rPr>
        <w:t>配有腰托双层装置，360度可旋转，在进行腰部活动时左右弯腰，可自由灵活地转动</w:t>
      </w:r>
      <w:r>
        <w:rPr>
          <w:rFonts w:hint="eastAsia" w:ascii="宋体" w:hAnsi="宋体" w:eastAsia="宋体" w:cs="宋体"/>
          <w:kern w:val="0"/>
          <w:sz w:val="24"/>
          <w:szCs w:val="24"/>
          <w:lang w:val="zh-CN"/>
        </w:rPr>
        <w:t>；</w:t>
      </w:r>
    </w:p>
    <w:p>
      <w:pPr>
        <w:bidi w:val="0"/>
        <w:rPr>
          <w:rFonts w:hint="eastAsia"/>
          <w:lang w:val="en-US" w:eastAsia="zh-CN"/>
        </w:rPr>
      </w:pPr>
    </w:p>
    <w:p>
      <w:pPr>
        <w:keepNext w:val="0"/>
        <w:keepLines w:val="0"/>
        <w:pageBreakBefore w:val="0"/>
        <w:numPr>
          <w:ilvl w:val="0"/>
          <w:numId w:val="67"/>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减压器：结构简单可靠，压力补给型，保持中压循环系统中的持续流量≥500升/分钟；配有泄压安全阀，当中压回路中压力大于1.1MPa时自动泄压，保证使用者安全；配有便捷式手轮，用于装卸气瓶；配有他救三通功能，供抢救第二方时呼吸用，另一端不使用情况配橡胶套封住，防止异物进入，他救接口置于胸前，方便对接。</w:t>
      </w:r>
    </w:p>
    <w:p>
      <w:pPr>
        <w:bidi w:val="0"/>
        <w:rPr>
          <w:rFonts w:hint="eastAsia"/>
          <w:b/>
          <w:bCs w:val="0"/>
        </w:rPr>
      </w:pPr>
    </w:p>
    <w:p>
      <w:pPr>
        <w:numPr>
          <w:ilvl w:val="0"/>
          <w:numId w:val="44"/>
        </w:numPr>
        <w:spacing w:line="360" w:lineRule="auto"/>
        <w:ind w:left="425" w:leftChars="0" w:hanging="425" w:firstLineChars="0"/>
        <w:jc w:val="both"/>
        <w:rPr>
          <w:rFonts w:hint="eastAsia"/>
          <w:b/>
          <w:bCs w:val="0"/>
          <w:color w:val="000000"/>
          <w:sz w:val="24"/>
          <w:szCs w:val="24"/>
          <w:highlight w:val="none"/>
        </w:rPr>
      </w:pPr>
      <w:r>
        <w:rPr>
          <w:rFonts w:hint="eastAsia"/>
          <w:b/>
          <w:bCs w:val="0"/>
          <w:color w:val="000000"/>
          <w:sz w:val="24"/>
          <w:szCs w:val="24"/>
          <w:highlight w:val="none"/>
        </w:rPr>
        <w:t>气瓶</w:t>
      </w:r>
    </w:p>
    <w:p>
      <w:pPr>
        <w:keepNext w:val="0"/>
        <w:keepLines w:val="0"/>
        <w:pageBreakBefore w:val="0"/>
        <w:numPr>
          <w:ilvl w:val="0"/>
          <w:numId w:val="70"/>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气瓶符合GB28053-2011《呼吸器用复合气瓶》规定。带有安全自锁装置，有防误关装置，确保在使用时阀门不会被意外关闭，导致缺氧；</w:t>
      </w:r>
    </w:p>
    <w:p>
      <w:pPr>
        <w:keepNext w:val="0"/>
        <w:keepLines w:val="0"/>
        <w:pageBreakBefore w:val="0"/>
        <w:numPr>
          <w:ilvl w:val="0"/>
          <w:numId w:val="70"/>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每个气瓶配有保护套（阻燃材质），碳纤维全缠绕无缝铝内胆复合气瓶，气瓶公称容积为6.8L</w:t>
      </w:r>
      <w:r>
        <w:rPr>
          <w:rFonts w:hint="eastAsia" w:ascii="宋体" w:hAnsi="宋体" w:eastAsia="宋体" w:cs="宋体"/>
          <w:kern w:val="0"/>
          <w:sz w:val="24"/>
          <w:szCs w:val="24"/>
          <w:lang w:val="zh-CN"/>
        </w:rPr>
        <w:t>；</w:t>
      </w:r>
    </w:p>
    <w:p>
      <w:pPr>
        <w:keepNext w:val="0"/>
        <w:keepLines w:val="0"/>
        <w:pageBreakBefore w:val="0"/>
        <w:numPr>
          <w:ilvl w:val="0"/>
          <w:numId w:val="70"/>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工作压力为：30MPa</w:t>
      </w:r>
      <w:r>
        <w:rPr>
          <w:rFonts w:hint="eastAsia" w:ascii="宋体" w:hAnsi="宋体" w:eastAsia="宋体" w:cs="宋体"/>
          <w:kern w:val="0"/>
          <w:sz w:val="24"/>
          <w:szCs w:val="24"/>
          <w:lang w:val="zh-CN"/>
        </w:rPr>
        <w:t>；</w:t>
      </w:r>
    </w:p>
    <w:p>
      <w:pPr>
        <w:keepNext w:val="0"/>
        <w:keepLines w:val="0"/>
        <w:pageBreakBefore w:val="0"/>
        <w:numPr>
          <w:ilvl w:val="0"/>
          <w:numId w:val="70"/>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kern w:val="0"/>
          <w:sz w:val="24"/>
          <w:szCs w:val="24"/>
        </w:rPr>
      </w:pPr>
      <w:r>
        <w:rPr>
          <w:sz w:val="24"/>
        </w:rPr>
        <mc:AlternateContent>
          <mc:Choice Requires="wps">
            <w:drawing>
              <wp:anchor distT="0" distB="0" distL="114300" distR="114300" simplePos="0" relativeHeight="251707392" behindDoc="0" locked="0" layoutInCell="1" allowOverlap="1">
                <wp:simplePos x="0" y="0"/>
                <wp:positionH relativeFrom="column">
                  <wp:posOffset>-314325</wp:posOffset>
                </wp:positionH>
                <wp:positionV relativeFrom="paragraph">
                  <wp:posOffset>22225</wp:posOffset>
                </wp:positionV>
                <wp:extent cx="323850" cy="247650"/>
                <wp:effectExtent l="0" t="0" r="0" b="0"/>
                <wp:wrapNone/>
                <wp:docPr id="50" name="文本框 50"/>
                <wp:cNvGraphicFramePr/>
                <a:graphic xmlns:a="http://schemas.openxmlformats.org/drawingml/2006/main">
                  <a:graphicData uri="http://schemas.microsoft.com/office/word/2010/wordprocessingShape">
                    <wps:wsp>
                      <wps:cNvSpPr txBox="1"/>
                      <wps:spPr>
                        <a:xfrm>
                          <a:off x="356235" y="8436610"/>
                          <a:ext cx="323850"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5pt;margin-top:1.75pt;height:19.5pt;width:25.5pt;z-index:251707392;mso-width-relative:page;mso-height-relative:page;" fillcolor="#FFFFFF [3201]" filled="t" stroked="f" coordsize="21600,21600" o:gfxdata="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W9RnPdEAAAAGAQAA&#10;DwAAAAAAAAABACAAAAAiAAAAZHJzL2Rvd25yZXYueG1sUEsBAhQAFAAAAAgAh07iQMqpUsRZAgAA&#10;mwQAAA4AAAAAAAAAAQAgAAAAIAEAAGRycy9lMm9Eb2MueG1sUEsFBgAAAAAGAAYAWQEAAOsFAAAA&#10;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kern w:val="0"/>
          <w:sz w:val="24"/>
          <w:szCs w:val="24"/>
        </w:rPr>
        <w:t>气瓶瓶阀：气瓶瓶阀上设有安全膜片，其爆破压力应为 37～45 MPa。输出端的尺寸符合 GA 124-2013 的规定。阀门螺纹为国际通用的G8/5；</w:t>
      </w:r>
    </w:p>
    <w:p>
      <w:pPr>
        <w:keepNext w:val="0"/>
        <w:keepLines w:val="0"/>
        <w:pageBreakBefore w:val="0"/>
        <w:numPr>
          <w:ilvl w:val="0"/>
          <w:numId w:val="70"/>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kern w:val="0"/>
          <w:sz w:val="24"/>
          <w:szCs w:val="24"/>
          <w:highlight w:val="none"/>
        </w:rPr>
      </w:pPr>
      <w:r>
        <w:rPr>
          <w:sz w:val="24"/>
          <w:highlight w:val="none"/>
        </w:rPr>
        <mc:AlternateContent>
          <mc:Choice Requires="wps">
            <w:drawing>
              <wp:anchor distT="0" distB="0" distL="114300" distR="114300" simplePos="0" relativeHeight="251730944" behindDoc="0" locked="0" layoutInCell="1" allowOverlap="1">
                <wp:simplePos x="0" y="0"/>
                <wp:positionH relativeFrom="column">
                  <wp:posOffset>-285750</wp:posOffset>
                </wp:positionH>
                <wp:positionV relativeFrom="paragraph">
                  <wp:posOffset>6985</wp:posOffset>
                </wp:positionV>
                <wp:extent cx="285750" cy="276225"/>
                <wp:effectExtent l="0" t="0" r="0" b="9525"/>
                <wp:wrapNone/>
                <wp:docPr id="76" name="文本框 76"/>
                <wp:cNvGraphicFramePr/>
                <a:graphic xmlns:a="http://schemas.openxmlformats.org/drawingml/2006/main">
                  <a:graphicData uri="http://schemas.microsoft.com/office/word/2010/wordprocessingShape">
                    <wps:wsp>
                      <wps:cNvSpPr txBox="1"/>
                      <wps:spPr>
                        <a:xfrm>
                          <a:off x="403860" y="8996680"/>
                          <a:ext cx="285750"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0.55pt;height:21.75pt;width:22.5pt;z-index:251730944;mso-width-relative:page;mso-height-relative:page;" fillcolor="#FFFFFF [3201]" filled="t" stroked="f" coordsize="21600,21600" o:gfxdata="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t05RdAAAAAFAQAA&#10;DwAAAAAAAAABACAAAAAiAAAAZHJzL2Rvd25yZXYueG1sUEsBAhQAFAAAAAgAh07iQOooNQVaAgAA&#10;mwQAAA4AAAAAAAAAAQAgAAAAHwEAAGRycy9lMm9Eb2MueG1sUEsFBgAAAAAGAAYAWQEAAOsFAAAA&#10;AA==&#10;">
                <v:fill on="t" focussize="0,0"/>
                <v:stroke on="f" weight="0.5pt"/>
                <v:imagedata o:title=""/>
                <o:lock v:ext="edit" aspectratio="f"/>
                <v:textbox>
                  <w:txbxContent>
                    <w:p>
                      <w:r>
                        <w:rPr>
                          <w:rFonts w:hint="eastAsia" w:ascii="宋体" w:hAnsi="宋体" w:eastAsia="宋体" w:cs="Times New Roman"/>
                          <w:b/>
                          <w:color w:val="000000"/>
                          <w:highlight w:val="none"/>
                        </w:rPr>
                        <w:t>＊</w:t>
                      </w:r>
                    </w:p>
                    <w:p/>
                  </w:txbxContent>
                </v:textbox>
              </v:shape>
            </w:pict>
          </mc:Fallback>
        </mc:AlternateContent>
      </w:r>
      <w:r>
        <w:rPr>
          <w:rFonts w:hint="eastAsia" w:ascii="宋体" w:hAnsi="宋体" w:eastAsia="宋体" w:cs="宋体"/>
          <w:kern w:val="0"/>
          <w:sz w:val="24"/>
          <w:szCs w:val="24"/>
          <w:highlight w:val="none"/>
          <w:lang w:val="en-US" w:eastAsia="zh-CN"/>
        </w:rPr>
        <w:t>为保证产品配套使用性能</w:t>
      </w:r>
      <w:r>
        <w:rPr>
          <w:rFonts w:hint="eastAsia" w:ascii="宋体" w:hAnsi="宋体" w:eastAsia="宋体" w:cs="宋体"/>
          <w:kern w:val="0"/>
          <w:sz w:val="24"/>
          <w:szCs w:val="24"/>
          <w:highlight w:val="none"/>
        </w:rPr>
        <w:t>呼吸器</w:t>
      </w:r>
      <w:r>
        <w:rPr>
          <w:rFonts w:hint="eastAsia" w:ascii="宋体" w:hAnsi="宋体" w:eastAsia="宋体" w:cs="宋体"/>
          <w:kern w:val="0"/>
          <w:sz w:val="24"/>
          <w:szCs w:val="24"/>
          <w:highlight w:val="none"/>
          <w:lang w:val="en-US" w:eastAsia="zh-CN"/>
        </w:rPr>
        <w:t>与</w:t>
      </w:r>
      <w:r>
        <w:rPr>
          <w:rFonts w:hint="eastAsia" w:ascii="宋体" w:hAnsi="宋体" w:eastAsia="宋体" w:cs="宋体"/>
          <w:kern w:val="0"/>
          <w:sz w:val="24"/>
          <w:szCs w:val="24"/>
          <w:highlight w:val="none"/>
        </w:rPr>
        <w:t>气瓶阀门</w:t>
      </w:r>
      <w:r>
        <w:rPr>
          <w:rFonts w:hint="eastAsia" w:ascii="宋体" w:hAnsi="宋体" w:eastAsia="宋体" w:cs="宋体"/>
          <w:kern w:val="0"/>
          <w:sz w:val="24"/>
          <w:szCs w:val="24"/>
          <w:highlight w:val="none"/>
          <w:lang w:val="en-US" w:eastAsia="zh-CN"/>
        </w:rPr>
        <w:t>应为同一品牌</w:t>
      </w:r>
      <w:r>
        <w:rPr>
          <w:rFonts w:hint="eastAsia" w:ascii="宋体" w:hAnsi="宋体" w:eastAsia="宋体" w:cs="宋体"/>
          <w:kern w:val="0"/>
          <w:sz w:val="24"/>
          <w:szCs w:val="24"/>
          <w:highlight w:val="none"/>
        </w:rPr>
        <w:t>。</w:t>
      </w:r>
    </w:p>
    <w:p>
      <w:pPr>
        <w:bidi w:val="0"/>
        <w:rPr>
          <w:rFonts w:hint="eastAsia"/>
          <w:b/>
          <w:bCs w:val="0"/>
        </w:rPr>
      </w:pPr>
    </w:p>
    <w:p>
      <w:pPr>
        <w:numPr>
          <w:ilvl w:val="0"/>
          <w:numId w:val="44"/>
        </w:numPr>
        <w:spacing w:line="360" w:lineRule="auto"/>
        <w:ind w:left="425" w:leftChars="0" w:hanging="425" w:firstLineChars="0"/>
        <w:jc w:val="both"/>
        <w:rPr>
          <w:rFonts w:hint="eastAsia"/>
          <w:b/>
          <w:bCs w:val="0"/>
          <w:color w:val="000000"/>
          <w:sz w:val="24"/>
          <w:szCs w:val="24"/>
          <w:highlight w:val="none"/>
        </w:rPr>
      </w:pPr>
      <w:r>
        <w:rPr>
          <w:rFonts w:hint="eastAsia"/>
          <w:b/>
          <w:bCs w:val="0"/>
          <w:color w:val="000000"/>
          <w:sz w:val="24"/>
          <w:szCs w:val="24"/>
          <w:highlight w:val="none"/>
        </w:rPr>
        <w:t>消防腰斧</w:t>
      </w:r>
    </w:p>
    <w:p>
      <w:pPr>
        <w:keepNext w:val="0"/>
        <w:keepLines w:val="0"/>
        <w:pageBreakBefore w:val="0"/>
        <w:numPr>
          <w:ilvl w:val="0"/>
          <w:numId w:val="71"/>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整体要求</w:t>
      </w:r>
    </w:p>
    <w:p>
      <w:pPr>
        <w:keepNext w:val="0"/>
        <w:keepLines w:val="0"/>
        <w:pageBreakBefore w:val="0"/>
        <w:numPr>
          <w:ilvl w:val="0"/>
          <w:numId w:val="72"/>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sz w:val="24"/>
        </w:rPr>
        <mc:AlternateContent>
          <mc:Choice Requires="wps">
            <w:drawing>
              <wp:anchor distT="0" distB="0" distL="114300" distR="114300" simplePos="0" relativeHeight="251708416" behindDoc="0" locked="0" layoutInCell="1" allowOverlap="1">
                <wp:simplePos x="0" y="0"/>
                <wp:positionH relativeFrom="column">
                  <wp:posOffset>-304800</wp:posOffset>
                </wp:positionH>
                <wp:positionV relativeFrom="paragraph">
                  <wp:posOffset>20320</wp:posOffset>
                </wp:positionV>
                <wp:extent cx="266700" cy="276225"/>
                <wp:effectExtent l="0" t="0" r="0" b="9525"/>
                <wp:wrapNone/>
                <wp:docPr id="51" name="文本框 51"/>
                <wp:cNvGraphicFramePr/>
                <a:graphic xmlns:a="http://schemas.openxmlformats.org/drawingml/2006/main">
                  <a:graphicData uri="http://schemas.microsoft.com/office/word/2010/wordprocessingShape">
                    <wps:wsp>
                      <wps:cNvSpPr txBox="1"/>
                      <wps:spPr>
                        <a:xfrm>
                          <a:off x="375285" y="1047115"/>
                          <a:ext cx="266700"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pt;margin-top:1.6pt;height:21.75pt;width:21pt;z-index:251708416;mso-width-relative:page;mso-height-relative:page;" fillcolor="#FFFFFF [3201]" filled="t" stroked="f" coordsize="21600,21600" o:gfxdata="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V14LdMA&#10;AAAHAQAADwAAAAAAAAABACAAAAAiAAAAZHJzL2Rvd25yZXYueG1sUEsBAhQAFAAAAAgAh07iQMXZ&#10;YdVdAgAAmwQAAA4AAAAAAAAAAQAgAAAAIgEAAGRycy9lMm9Eb2MueG1sUEsFBgAAAAAGAAYAWQEA&#10;APEFAAAA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b w:val="0"/>
          <w:bCs/>
          <w:kern w:val="0"/>
          <w:sz w:val="24"/>
          <w:szCs w:val="24"/>
        </w:rPr>
        <w:t>符合GA630-2006《消防腰斧》标准要求，</w:t>
      </w:r>
      <w:r>
        <w:rPr>
          <w:rFonts w:hint="eastAsia" w:ascii="宋体" w:hAnsi="宋体" w:eastAsia="宋体" w:cs="宋体"/>
          <w:b/>
          <w:bCs w:val="0"/>
          <w:kern w:val="0"/>
          <w:sz w:val="24"/>
          <w:szCs w:val="24"/>
          <w:highlight w:val="none"/>
          <w:lang w:val="en-US" w:eastAsia="zh-CN"/>
        </w:rPr>
        <w:t>提供</w:t>
      </w:r>
      <w:r>
        <w:rPr>
          <w:rFonts w:hint="eastAsia" w:ascii="宋体" w:hAnsi="宋体" w:eastAsia="宋体" w:cs="宋体"/>
          <w:b/>
          <w:bCs w:val="0"/>
          <w:kern w:val="0"/>
          <w:sz w:val="24"/>
          <w:szCs w:val="24"/>
          <w:highlight w:val="none"/>
        </w:rPr>
        <w:t>检验报告</w:t>
      </w:r>
      <w:r>
        <w:rPr>
          <w:rFonts w:hint="eastAsia" w:ascii="宋体" w:hAnsi="宋体" w:eastAsia="宋体" w:cs="宋体"/>
          <w:b/>
          <w:bCs w:val="0"/>
          <w:kern w:val="0"/>
          <w:sz w:val="24"/>
          <w:szCs w:val="24"/>
          <w:highlight w:val="none"/>
          <w:lang w:val="en-US" w:eastAsia="zh-CN"/>
        </w:rPr>
        <w:t>并加盖公章</w:t>
      </w:r>
      <w:r>
        <w:rPr>
          <w:rFonts w:hint="eastAsia" w:ascii="宋体" w:hAnsi="宋体" w:eastAsia="宋体" w:cs="宋体"/>
          <w:b w:val="0"/>
          <w:bCs/>
          <w:kern w:val="0"/>
          <w:sz w:val="24"/>
          <w:szCs w:val="24"/>
        </w:rPr>
        <w:t>。</w:t>
      </w:r>
    </w:p>
    <w:p>
      <w:pPr>
        <w:keepNext w:val="0"/>
        <w:keepLines w:val="0"/>
        <w:pageBreakBefore w:val="0"/>
        <w:numPr>
          <w:ilvl w:val="0"/>
          <w:numId w:val="72"/>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本产品适用于消防员随身佩戴，在灭火救援时用于手动破拆非带电障碍物。是集砍、斧、锤、撬、锯等功能为一体的便携式手动工具。本产品可在火场、灾场等各种特殊场合进行救援工作，具有携带方便、多功能、绝缘等特点。</w:t>
      </w:r>
    </w:p>
    <w:p>
      <w:pPr>
        <w:keepNext w:val="0"/>
        <w:keepLines w:val="0"/>
        <w:pageBreakBefore w:val="0"/>
        <w:numPr>
          <w:ilvl w:val="0"/>
          <w:numId w:val="72"/>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斧体采用3CR13不锈钢材料，斧柄套为高强度工程橡胶。</w:t>
      </w:r>
    </w:p>
    <w:p>
      <w:pPr>
        <w:keepNext w:val="0"/>
        <w:keepLines w:val="0"/>
        <w:pageBreakBefore w:val="0"/>
        <w:kinsoku/>
        <w:wordWrap/>
        <w:overflowPunct/>
        <w:topLinePunct w:val="0"/>
        <w:bidi w:val="0"/>
        <w:spacing w:line="360" w:lineRule="auto"/>
        <w:jc w:val="left"/>
        <w:rPr>
          <w:rFonts w:hint="eastAsia" w:ascii="宋体" w:hAnsi="宋体" w:eastAsia="宋体" w:cs="宋体"/>
          <w:b w:val="0"/>
          <w:bCs/>
          <w:kern w:val="0"/>
          <w:sz w:val="24"/>
          <w:szCs w:val="24"/>
        </w:rPr>
      </w:pPr>
    </w:p>
    <w:p>
      <w:pPr>
        <w:keepNext w:val="0"/>
        <w:keepLines w:val="0"/>
        <w:pageBreakBefore w:val="0"/>
        <w:numPr>
          <w:ilvl w:val="0"/>
          <w:numId w:val="71"/>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技术性能</w:t>
      </w:r>
    </w:p>
    <w:p>
      <w:pPr>
        <w:keepNext w:val="0"/>
        <w:keepLines w:val="0"/>
        <w:pageBreakBefore w:val="0"/>
        <w:numPr>
          <w:ilvl w:val="0"/>
          <w:numId w:val="73"/>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腰斧全长：285±2.5mm；斧头长：160±2.5mm；斧头厚：10±1mm；平刃宽：56±1.5mm；刃部硬度为48-56HRC</w:t>
      </w:r>
      <w:r>
        <w:rPr>
          <w:rFonts w:hint="eastAsia" w:ascii="宋体" w:hAnsi="宋体" w:eastAsia="宋体" w:cs="宋体"/>
          <w:b w:val="0"/>
          <w:bCs/>
          <w:kern w:val="0"/>
          <w:sz w:val="24"/>
          <w:szCs w:val="24"/>
          <w:lang w:eastAsia="zh-CN"/>
        </w:rPr>
        <w:t>。</w:t>
      </w:r>
    </w:p>
    <w:p>
      <w:pPr>
        <w:keepNext w:val="0"/>
        <w:keepLines w:val="0"/>
        <w:pageBreakBefore w:val="0"/>
        <w:numPr>
          <w:ilvl w:val="0"/>
          <w:numId w:val="73"/>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质量：≤0.</w:t>
      </w:r>
      <w:r>
        <w:rPr>
          <w:rFonts w:hint="eastAsia" w:ascii="宋体" w:hAnsi="宋体" w:eastAsia="宋体" w:cs="宋体"/>
          <w:b w:val="0"/>
          <w:bCs/>
          <w:kern w:val="0"/>
          <w:sz w:val="24"/>
          <w:szCs w:val="24"/>
          <w:lang w:val="en-US" w:eastAsia="zh-CN"/>
        </w:rPr>
        <w:t>9</w:t>
      </w:r>
      <w:r>
        <w:rPr>
          <w:rFonts w:hint="eastAsia" w:ascii="宋体" w:hAnsi="宋体" w:eastAsia="宋体" w:cs="宋体"/>
          <w:b w:val="0"/>
          <w:bCs/>
          <w:kern w:val="0"/>
          <w:sz w:val="24"/>
          <w:szCs w:val="24"/>
        </w:rPr>
        <w:t>Kg。</w:t>
      </w:r>
    </w:p>
    <w:p>
      <w:pPr>
        <w:keepNext w:val="0"/>
        <w:keepLines w:val="0"/>
        <w:pageBreakBefore w:val="0"/>
        <w:numPr>
          <w:ilvl w:val="0"/>
          <w:numId w:val="73"/>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抗冲击性能：各刃部经5Kg的重锤冲击后，无裂纹、变形等损伤。</w:t>
      </w:r>
    </w:p>
    <w:p>
      <w:pPr>
        <w:keepNext w:val="0"/>
        <w:keepLines w:val="0"/>
        <w:pageBreakBefore w:val="0"/>
        <w:numPr>
          <w:ilvl w:val="0"/>
          <w:numId w:val="73"/>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平刃砍断性能：能砍断直径6.5mm的Q235A圆钢，无明显缺刃、卷边和裂缝等损伤。</w:t>
      </w:r>
    </w:p>
    <w:p>
      <w:pPr>
        <w:keepNext w:val="0"/>
        <w:keepLines w:val="0"/>
        <w:pageBreakBefore w:val="0"/>
        <w:numPr>
          <w:ilvl w:val="0"/>
          <w:numId w:val="73"/>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尖刃和柄刃凿击性能：能凿击Q235A钢平板，无明显缺刃、卷边和裂缝等损伤。</w:t>
      </w:r>
    </w:p>
    <w:p>
      <w:pPr>
        <w:keepNext w:val="0"/>
        <w:keepLines w:val="0"/>
        <w:pageBreakBefore w:val="0"/>
        <w:numPr>
          <w:ilvl w:val="0"/>
          <w:numId w:val="73"/>
        </w:numPr>
        <w:tabs>
          <w:tab w:val="left" w:pos="1260"/>
          <w:tab w:val="clear" w:pos="420"/>
        </w:tabs>
        <w:kinsoku/>
        <w:wordWrap/>
        <w:overflowPunct/>
        <w:topLinePunct w:val="0"/>
        <w:bidi w:val="0"/>
        <w:spacing w:line="360" w:lineRule="auto"/>
        <w:ind w:left="1245" w:leftChars="0" w:hanging="124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耐腐蚀性能：经48h中性盐雾实验后，外观符合GB/T6461-2002外观等级评定轻微级的要求。</w:t>
      </w:r>
    </w:p>
    <w:p>
      <w:pPr>
        <w:keepNext w:val="0"/>
        <w:keepLines w:val="0"/>
        <w:pageBreakBefore w:val="0"/>
        <w:kinsoku/>
        <w:wordWrap/>
        <w:overflowPunct/>
        <w:topLinePunct w:val="0"/>
        <w:bidi w:val="0"/>
        <w:spacing w:line="360" w:lineRule="auto"/>
        <w:jc w:val="left"/>
        <w:rPr>
          <w:rFonts w:hint="eastAsia" w:ascii="宋体" w:hAnsi="宋体" w:eastAsia="宋体" w:cs="宋体"/>
          <w:b w:val="0"/>
          <w:bCs/>
          <w:kern w:val="0"/>
          <w:sz w:val="24"/>
          <w:szCs w:val="24"/>
        </w:rPr>
      </w:pPr>
    </w:p>
    <w:p>
      <w:pPr>
        <w:keepNext w:val="0"/>
        <w:keepLines w:val="0"/>
        <w:pageBreakBefore w:val="0"/>
        <w:numPr>
          <w:ilvl w:val="0"/>
          <w:numId w:val="71"/>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其他</w:t>
      </w:r>
    </w:p>
    <w:p>
      <w:pPr>
        <w:keepNext w:val="0"/>
        <w:keepLines w:val="0"/>
        <w:pageBreakBefore w:val="0"/>
        <w:numPr>
          <w:ilvl w:val="0"/>
          <w:numId w:val="74"/>
        </w:numPr>
        <w:tabs>
          <w:tab w:val="left" w:pos="1260"/>
          <w:tab w:val="clear" w:pos="420"/>
        </w:tabs>
        <w:kinsoku/>
        <w:wordWrap/>
        <w:overflowPunct/>
        <w:topLinePunct w:val="0"/>
        <w:bidi w:val="0"/>
        <w:spacing w:line="360" w:lineRule="auto"/>
        <w:ind w:left="1260" w:leftChars="0" w:hanging="126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斧刃上标刻由永久性的标签，标签内容包括：规格型号、执行标准、生产厂家、生产日期等。</w:t>
      </w:r>
    </w:p>
    <w:p>
      <w:pPr>
        <w:keepNext w:val="0"/>
        <w:keepLines w:val="0"/>
        <w:pageBreakBefore w:val="0"/>
        <w:numPr>
          <w:ilvl w:val="0"/>
          <w:numId w:val="74"/>
        </w:numPr>
        <w:tabs>
          <w:tab w:val="left" w:pos="1260"/>
          <w:tab w:val="clear" w:pos="420"/>
        </w:tabs>
        <w:kinsoku/>
        <w:wordWrap/>
        <w:overflowPunct/>
        <w:topLinePunct w:val="0"/>
        <w:bidi w:val="0"/>
        <w:spacing w:line="360" w:lineRule="auto"/>
        <w:ind w:left="1260" w:leftChars="0" w:hanging="126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每把腰斧有配套的腰斧套可以挂载在腰带上，牢固、易取但不易脱落。</w:t>
      </w:r>
    </w:p>
    <w:p>
      <w:pPr>
        <w:bidi w:val="0"/>
        <w:rPr>
          <w:rFonts w:hint="eastAsia"/>
          <w:b/>
          <w:bCs w:val="0"/>
        </w:rPr>
      </w:pPr>
    </w:p>
    <w:p>
      <w:pPr>
        <w:numPr>
          <w:ilvl w:val="0"/>
          <w:numId w:val="44"/>
        </w:numPr>
        <w:tabs>
          <w:tab w:val="left" w:pos="840"/>
          <w:tab w:val="clear" w:pos="420"/>
        </w:tabs>
        <w:spacing w:line="360" w:lineRule="auto"/>
        <w:ind w:left="840" w:leftChars="0" w:hanging="840" w:firstLineChars="0"/>
        <w:jc w:val="both"/>
        <w:rPr>
          <w:rFonts w:hint="eastAsia" w:ascii="宋体" w:hAnsi="宋体" w:eastAsia="宋体" w:cs="宋体"/>
          <w:b w:val="0"/>
          <w:bCs w:val="0"/>
          <w:sz w:val="24"/>
          <w:szCs w:val="24"/>
        </w:rPr>
      </w:pPr>
      <w:r>
        <w:rPr>
          <w:rFonts w:hint="eastAsia"/>
          <w:b/>
          <w:bCs w:val="0"/>
          <w:color w:val="000000"/>
          <w:sz w:val="24"/>
          <w:szCs w:val="24"/>
          <w:highlight w:val="none"/>
        </w:rPr>
        <w:t>佩戴式防爆照明灯</w:t>
      </w:r>
      <w:r>
        <w:rPr>
          <w:rFonts w:hint="eastAsia"/>
          <w:b/>
          <w:bCs w:val="0"/>
          <w:color w:val="000000"/>
          <w:sz w:val="24"/>
          <w:szCs w:val="24"/>
          <w:highlight w:val="none"/>
          <w:lang w:eastAsia="zh-CN"/>
        </w:rPr>
        <w:t>：</w:t>
      </w:r>
      <w:r>
        <w:rPr>
          <w:rFonts w:hint="eastAsia" w:ascii="宋体" w:hAnsi="宋体" w:eastAsia="宋体" w:cs="宋体"/>
          <w:b w:val="0"/>
          <w:bCs w:val="0"/>
          <w:sz w:val="24"/>
          <w:szCs w:val="24"/>
        </w:rPr>
        <w:t>用于消防员单人作业照明</w:t>
      </w:r>
    </w:p>
    <w:p>
      <w:pPr>
        <w:keepNext w:val="0"/>
        <w:keepLines w:val="0"/>
        <w:pageBreakBefore w:val="0"/>
        <w:numPr>
          <w:ilvl w:val="0"/>
          <w:numId w:val="75"/>
        </w:numPr>
        <w:kinsoku/>
        <w:wordWrap/>
        <w:overflowPunct/>
        <w:topLinePunct w:val="0"/>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总体要求</w:t>
      </w:r>
    </w:p>
    <w:p>
      <w:pPr>
        <w:keepNext w:val="0"/>
        <w:keepLines w:val="0"/>
        <w:pageBreakBefore w:val="0"/>
        <w:numPr>
          <w:ilvl w:val="0"/>
          <w:numId w:val="76"/>
        </w:numPr>
        <w:kinsoku/>
        <w:wordWrap/>
        <w:overflowPunct/>
        <w:topLinePunct w:val="0"/>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灯具的供电电源应采用可充电电池。</w:t>
      </w:r>
    </w:p>
    <w:p>
      <w:pPr>
        <w:keepNext w:val="0"/>
        <w:keepLines w:val="0"/>
        <w:pageBreakBefore w:val="0"/>
        <w:numPr>
          <w:ilvl w:val="0"/>
          <w:numId w:val="76"/>
        </w:numPr>
        <w:tabs>
          <w:tab w:val="clear" w:pos="420"/>
        </w:tabs>
        <w:kinsoku/>
        <w:wordWrap/>
        <w:overflowPunct/>
        <w:topLinePunct w:val="0"/>
        <w:bidi w:val="0"/>
        <w:spacing w:line="360" w:lineRule="auto"/>
        <w:ind w:left="1260" w:leftChars="0" w:hanging="1260" w:firstLineChars="0"/>
        <w:rPr>
          <w:rFonts w:hint="eastAsia" w:ascii="宋体" w:hAnsi="宋体" w:eastAsia="宋体" w:cs="宋体"/>
          <w:sz w:val="24"/>
          <w:szCs w:val="24"/>
        </w:rPr>
      </w:pPr>
      <w:r>
        <w:rPr>
          <w:rFonts w:hint="eastAsia" w:ascii="宋体" w:hAnsi="宋体" w:eastAsia="宋体" w:cs="宋体"/>
          <w:sz w:val="24"/>
          <w:szCs w:val="24"/>
        </w:rPr>
        <w:t>灯具的充电器应采用插头与交直流转换器分离式结构，灯具或充电器应设置充、放电保护电路。</w:t>
      </w:r>
    </w:p>
    <w:p>
      <w:pPr>
        <w:keepNext w:val="0"/>
        <w:keepLines w:val="0"/>
        <w:pageBreakBefore w:val="0"/>
        <w:numPr>
          <w:ilvl w:val="0"/>
          <w:numId w:val="76"/>
        </w:numPr>
        <w:tabs>
          <w:tab w:val="clear" w:pos="420"/>
        </w:tabs>
        <w:kinsoku/>
        <w:wordWrap/>
        <w:overflowPunct/>
        <w:topLinePunct w:val="0"/>
        <w:bidi w:val="0"/>
        <w:spacing w:line="360" w:lineRule="auto"/>
        <w:ind w:left="1260" w:leftChars="0" w:hanging="1260" w:firstLineChars="0"/>
        <w:rPr>
          <w:rFonts w:hint="eastAsia" w:ascii="宋体" w:hAnsi="宋体" w:eastAsia="宋体" w:cs="宋体"/>
          <w:sz w:val="24"/>
          <w:szCs w:val="24"/>
        </w:rPr>
      </w:pPr>
      <w:r>
        <w:rPr>
          <w:rFonts w:hint="eastAsia" w:ascii="宋体" w:hAnsi="宋体" w:eastAsia="宋体" w:cs="宋体"/>
          <w:sz w:val="24"/>
          <w:szCs w:val="24"/>
        </w:rPr>
        <w:t>灯具的防爆性能应符合现行《爆炸性环境》GB 3836中Ex i</w:t>
      </w:r>
      <w:r>
        <w:rPr>
          <w:rFonts w:hint="eastAsia" w:ascii="宋体" w:hAnsi="宋体" w:eastAsia="宋体" w:cs="宋体"/>
          <w:sz w:val="24"/>
          <w:szCs w:val="24"/>
          <w:lang w:val="en-US" w:eastAsia="zh-CN"/>
        </w:rPr>
        <w:t>b</w:t>
      </w:r>
      <w:r>
        <w:rPr>
          <w:rFonts w:hint="eastAsia" w:ascii="宋体" w:hAnsi="宋体" w:eastAsia="宋体" w:cs="宋体"/>
          <w:sz w:val="24"/>
          <w:szCs w:val="24"/>
        </w:rPr>
        <w:t xml:space="preserve"> IIC T4的规</w:t>
      </w:r>
      <w:r>
        <w:rPr>
          <w:rFonts w:hint="eastAsia" w:ascii="宋体" w:hAnsi="宋体" w:eastAsia="宋体" w:cs="宋体"/>
          <w:sz w:val="24"/>
          <w:szCs w:val="24"/>
          <w:highlight w:val="none"/>
        </w:rPr>
        <w:t>定。</w:t>
      </w:r>
    </w:p>
    <w:p>
      <w:pPr>
        <w:keepNext w:val="0"/>
        <w:keepLines w:val="0"/>
        <w:pageBreakBefore w:val="0"/>
        <w:numPr>
          <w:ilvl w:val="0"/>
          <w:numId w:val="76"/>
        </w:numPr>
        <w:tabs>
          <w:tab w:val="clear" w:pos="420"/>
        </w:tabs>
        <w:kinsoku/>
        <w:wordWrap/>
        <w:overflowPunct/>
        <w:topLinePunct w:val="0"/>
        <w:bidi w:val="0"/>
        <w:spacing w:line="360" w:lineRule="auto"/>
        <w:ind w:left="1260" w:leftChars="0" w:hanging="1260" w:firstLineChars="0"/>
        <w:rPr>
          <w:rFonts w:hint="eastAsia" w:ascii="宋体" w:hAnsi="宋体" w:eastAsia="宋体" w:cs="宋体"/>
          <w:sz w:val="24"/>
          <w:szCs w:val="24"/>
        </w:rPr>
      </w:pPr>
      <w:r>
        <w:rPr>
          <w:rFonts w:hint="eastAsia" w:ascii="宋体" w:hAnsi="宋体" w:eastAsia="宋体" w:cs="宋体"/>
          <w:sz w:val="24"/>
          <w:szCs w:val="24"/>
        </w:rPr>
        <w:t>采用直筒圆柱形结构，尾部开关红色方位灯一体式设计，具备电量分段指示功能，通用灭火和救援头盔，主体颜色为亚光黑色，主要材质为铝合金。</w:t>
      </w:r>
    </w:p>
    <w:p>
      <w:pPr>
        <w:keepNext w:val="0"/>
        <w:keepLines w:val="0"/>
        <w:pageBreakBefore w:val="0"/>
        <w:numPr>
          <w:ilvl w:val="0"/>
          <w:numId w:val="76"/>
        </w:numPr>
        <w:tabs>
          <w:tab w:val="clear" w:pos="420"/>
        </w:tabs>
        <w:kinsoku/>
        <w:wordWrap/>
        <w:overflowPunct/>
        <w:topLinePunct w:val="0"/>
        <w:bidi w:val="0"/>
        <w:spacing w:line="360" w:lineRule="auto"/>
        <w:ind w:left="1260" w:leftChars="0" w:hanging="1260" w:firstLineChars="0"/>
        <w:rPr>
          <w:rFonts w:hint="eastAsia" w:ascii="宋体" w:hAnsi="宋体" w:eastAsia="宋体" w:cs="宋体"/>
          <w:sz w:val="24"/>
          <w:szCs w:val="24"/>
        </w:rPr>
      </w:pPr>
      <w:r>
        <w:rPr>
          <w:rFonts w:hint="eastAsia" w:ascii="宋体" w:hAnsi="宋体" w:eastAsia="宋体" w:cs="宋体"/>
          <w:sz w:val="24"/>
          <w:szCs w:val="24"/>
        </w:rPr>
        <w:t>灯具外观应清洁、光滑、整齐、无污损、腐蚀、划伤、毛刺、裂痕、变形现象。</w:t>
      </w:r>
    </w:p>
    <w:p>
      <w:pPr>
        <w:keepNext w:val="0"/>
        <w:keepLines w:val="0"/>
        <w:pageBreakBefore w:val="0"/>
        <w:numPr>
          <w:ilvl w:val="0"/>
          <w:numId w:val="76"/>
        </w:numPr>
        <w:tabs>
          <w:tab w:val="clear" w:pos="420"/>
        </w:tabs>
        <w:kinsoku/>
        <w:wordWrap/>
        <w:overflowPunct/>
        <w:topLinePunct w:val="0"/>
        <w:bidi w:val="0"/>
        <w:spacing w:line="360" w:lineRule="auto"/>
        <w:ind w:left="1260" w:leftChars="0" w:hanging="1260" w:firstLineChars="0"/>
        <w:rPr>
          <w:rFonts w:hint="eastAsia" w:ascii="宋体" w:hAnsi="宋体" w:eastAsia="宋体" w:cs="宋体"/>
          <w:sz w:val="24"/>
          <w:szCs w:val="24"/>
        </w:rPr>
      </w:pPr>
      <w:r>
        <w:rPr>
          <w:rFonts w:hint="eastAsia" w:ascii="宋体" w:hAnsi="宋体" w:eastAsia="宋体" w:cs="宋体"/>
          <w:sz w:val="24"/>
          <w:szCs w:val="24"/>
        </w:rPr>
        <w:t>灯具各零部件装配应完整、精确、牢靠、无缺损、错位、松动现象，开关应操作方便、灵活、可靠。</w:t>
      </w:r>
    </w:p>
    <w:p>
      <w:pPr>
        <w:keepNext w:val="0"/>
        <w:keepLines w:val="0"/>
        <w:pageBreakBefore w:val="0"/>
        <w:kinsoku/>
        <w:wordWrap/>
        <w:overflowPunct/>
        <w:topLinePunct w:val="0"/>
        <w:bidi w:val="0"/>
        <w:spacing w:line="360" w:lineRule="auto"/>
        <w:rPr>
          <w:rFonts w:hint="eastAsia" w:ascii="宋体" w:hAnsi="宋体" w:eastAsia="宋体" w:cs="宋体"/>
          <w:sz w:val="24"/>
          <w:szCs w:val="24"/>
        </w:rPr>
      </w:pPr>
    </w:p>
    <w:p>
      <w:pPr>
        <w:keepNext w:val="0"/>
        <w:keepLines w:val="0"/>
        <w:pageBreakBefore w:val="0"/>
        <w:numPr>
          <w:ilvl w:val="0"/>
          <w:numId w:val="75"/>
        </w:numPr>
        <w:kinsoku/>
        <w:wordWrap/>
        <w:overflowPunct/>
        <w:topLinePunct w:val="0"/>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技术要求</w:t>
      </w:r>
    </w:p>
    <w:p>
      <w:pPr>
        <w:keepNext w:val="0"/>
        <w:keepLines w:val="0"/>
        <w:pageBreakBefore w:val="0"/>
        <w:numPr>
          <w:ilvl w:val="0"/>
          <w:numId w:val="77"/>
        </w:numPr>
        <w:kinsoku/>
        <w:wordWrap/>
        <w:overflowPunct/>
        <w:topLinePunct w:val="0"/>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主体结构</w:t>
      </w:r>
    </w:p>
    <w:p>
      <w:pPr>
        <w:keepNext w:val="0"/>
        <w:keepLines w:val="0"/>
        <w:pageBreakBefore w:val="0"/>
        <w:numPr>
          <w:ilvl w:val="0"/>
          <w:numId w:val="78"/>
        </w:numPr>
        <w:kinsoku/>
        <w:wordWrap/>
        <w:overflowPunct/>
        <w:topLinePunct w:val="0"/>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具备强光、弱光、爆闪光可切换功能，爆闪光闪烁频率应为8-10HZ。</w:t>
      </w:r>
    </w:p>
    <w:p>
      <w:pPr>
        <w:keepNext w:val="0"/>
        <w:keepLines w:val="0"/>
        <w:pageBreakBefore w:val="0"/>
        <w:numPr>
          <w:ilvl w:val="0"/>
          <w:numId w:val="78"/>
        </w:numPr>
        <w:tabs>
          <w:tab w:val="clear" w:pos="420"/>
        </w:tabs>
        <w:kinsoku/>
        <w:wordWrap/>
        <w:overflowPunct/>
        <w:topLinePunct w:val="0"/>
        <w:bidi w:val="0"/>
        <w:spacing w:line="360" w:lineRule="auto"/>
        <w:ind w:left="1665" w:leftChars="0" w:hanging="1665" w:firstLineChars="0"/>
        <w:rPr>
          <w:rFonts w:hint="eastAsia" w:ascii="宋体" w:hAnsi="宋体" w:eastAsia="宋体" w:cs="宋体"/>
          <w:sz w:val="24"/>
          <w:szCs w:val="24"/>
        </w:rPr>
      </w:pPr>
      <w:r>
        <w:rPr>
          <w:rFonts w:hint="eastAsia" w:ascii="宋体" w:hAnsi="宋体" w:eastAsia="宋体" w:cs="宋体"/>
          <w:sz w:val="24"/>
          <w:szCs w:val="24"/>
        </w:rPr>
        <w:t>整体由外壳、光学单元、充电口、电量显示单元、电池和开关等组成。</w:t>
      </w:r>
    </w:p>
    <w:p>
      <w:pPr>
        <w:keepNext w:val="0"/>
        <w:keepLines w:val="0"/>
        <w:pageBreakBefore w:val="0"/>
        <w:numPr>
          <w:ilvl w:val="0"/>
          <w:numId w:val="78"/>
        </w:numPr>
        <w:tabs>
          <w:tab w:val="clear" w:pos="420"/>
        </w:tabs>
        <w:kinsoku/>
        <w:wordWrap/>
        <w:overflowPunct/>
        <w:topLinePunct w:val="0"/>
        <w:bidi w:val="0"/>
        <w:spacing w:line="360" w:lineRule="auto"/>
        <w:ind w:left="1665" w:leftChars="0" w:hanging="1665" w:firstLineChars="0"/>
        <w:rPr>
          <w:rFonts w:hint="eastAsia" w:ascii="宋体" w:hAnsi="宋体" w:eastAsia="宋体" w:cs="宋体"/>
          <w:sz w:val="24"/>
          <w:szCs w:val="24"/>
        </w:rPr>
      </w:pPr>
      <w:r>
        <w:rPr>
          <w:rFonts w:hint="eastAsia" w:ascii="宋体" w:hAnsi="宋体" w:eastAsia="宋体" w:cs="宋体"/>
          <w:sz w:val="24"/>
          <w:szCs w:val="24"/>
        </w:rPr>
        <w:t>灯具质量（含电池和附件）≤0.15Kg，夹具重量应不大于40g。</w:t>
      </w:r>
    </w:p>
    <w:p>
      <w:pPr>
        <w:keepNext w:val="0"/>
        <w:keepLines w:val="0"/>
        <w:pageBreakBefore w:val="0"/>
        <w:numPr>
          <w:ilvl w:val="0"/>
          <w:numId w:val="78"/>
        </w:numPr>
        <w:tabs>
          <w:tab w:val="clear" w:pos="420"/>
        </w:tabs>
        <w:kinsoku/>
        <w:wordWrap/>
        <w:overflowPunct/>
        <w:topLinePunct w:val="0"/>
        <w:bidi w:val="0"/>
        <w:spacing w:line="360" w:lineRule="auto"/>
        <w:ind w:left="1665" w:leftChars="0" w:hanging="1665" w:firstLineChars="0"/>
        <w:rPr>
          <w:rFonts w:hint="eastAsia" w:ascii="宋体" w:hAnsi="宋体" w:eastAsia="宋体" w:cs="宋体"/>
          <w:sz w:val="24"/>
          <w:szCs w:val="24"/>
        </w:rPr>
      </w:pPr>
      <w:r>
        <w:rPr>
          <w:rFonts w:hint="eastAsia" w:ascii="宋体" w:hAnsi="宋体" w:eastAsia="宋体" w:cs="宋体"/>
          <w:sz w:val="24"/>
          <w:szCs w:val="24"/>
        </w:rPr>
        <w:t>灯具外壳应采用AL6061-T6铝合金材质，表面采用硬质阳极氧化处理工艺，颜色为亚光黑色。</w:t>
      </w:r>
    </w:p>
    <w:p>
      <w:pPr>
        <w:keepNext w:val="0"/>
        <w:keepLines w:val="0"/>
        <w:pageBreakBefore w:val="0"/>
        <w:numPr>
          <w:ilvl w:val="0"/>
          <w:numId w:val="78"/>
        </w:numPr>
        <w:tabs>
          <w:tab w:val="clear" w:pos="420"/>
        </w:tabs>
        <w:kinsoku/>
        <w:wordWrap/>
        <w:overflowPunct/>
        <w:topLinePunct w:val="0"/>
        <w:bidi w:val="0"/>
        <w:spacing w:line="360" w:lineRule="auto"/>
        <w:ind w:left="1665" w:leftChars="0" w:hanging="1665" w:firstLineChars="0"/>
        <w:rPr>
          <w:rFonts w:hint="eastAsia" w:ascii="宋体" w:hAnsi="宋体" w:eastAsia="宋体" w:cs="宋体"/>
          <w:sz w:val="24"/>
          <w:szCs w:val="24"/>
        </w:rPr>
      </w:pPr>
      <w:r>
        <w:rPr>
          <w:rFonts w:hint="eastAsia" w:ascii="宋体" w:hAnsi="宋体" w:eastAsia="宋体" w:cs="宋体"/>
          <w:sz w:val="24"/>
          <w:szCs w:val="24"/>
        </w:rPr>
        <w:t>灯身筒中部采用滚纹处理工艺。</w:t>
      </w:r>
    </w:p>
    <w:p>
      <w:pPr>
        <w:keepNext w:val="0"/>
        <w:keepLines w:val="0"/>
        <w:pageBreakBefore w:val="0"/>
        <w:numPr>
          <w:ilvl w:val="0"/>
          <w:numId w:val="78"/>
        </w:numPr>
        <w:tabs>
          <w:tab w:val="clear" w:pos="420"/>
        </w:tabs>
        <w:kinsoku/>
        <w:wordWrap/>
        <w:overflowPunct/>
        <w:topLinePunct w:val="0"/>
        <w:bidi w:val="0"/>
        <w:spacing w:line="360" w:lineRule="auto"/>
        <w:ind w:left="1665" w:leftChars="0" w:hanging="1665" w:firstLineChars="0"/>
        <w:rPr>
          <w:rFonts w:hint="eastAsia" w:ascii="宋体" w:hAnsi="宋体" w:eastAsia="宋体" w:cs="宋体"/>
          <w:sz w:val="24"/>
          <w:szCs w:val="24"/>
        </w:rPr>
      </w:pPr>
      <w:r>
        <w:rPr>
          <w:rFonts w:hint="eastAsia" w:ascii="宋体" w:hAnsi="宋体" w:eastAsia="宋体" w:cs="宋体"/>
          <w:sz w:val="24"/>
          <w:szCs w:val="24"/>
        </w:rPr>
        <w:t>灯具外壳防护等级应满足GB 4208-2008规定的IP66/ IP68 的要求，标明灯具的潜水深度和持续时间，灯具从2m高度跌落不影响使用。</w:t>
      </w:r>
    </w:p>
    <w:p>
      <w:pPr>
        <w:keepNext w:val="0"/>
        <w:keepLines w:val="0"/>
        <w:pageBreakBefore w:val="0"/>
        <w:numPr>
          <w:ilvl w:val="0"/>
          <w:numId w:val="78"/>
        </w:numPr>
        <w:tabs>
          <w:tab w:val="clear" w:pos="420"/>
        </w:tabs>
        <w:kinsoku/>
        <w:wordWrap/>
        <w:overflowPunct/>
        <w:topLinePunct w:val="0"/>
        <w:bidi w:val="0"/>
        <w:spacing w:line="360" w:lineRule="auto"/>
        <w:ind w:left="1665" w:leftChars="0" w:hanging="1665" w:firstLineChars="0"/>
        <w:rPr>
          <w:rFonts w:hint="eastAsia" w:ascii="宋体" w:hAnsi="宋体" w:eastAsia="宋体" w:cs="宋体"/>
          <w:sz w:val="24"/>
          <w:szCs w:val="24"/>
        </w:rPr>
      </w:pPr>
      <w:r>
        <w:rPr>
          <w:rFonts w:hint="eastAsia" w:ascii="宋体" w:hAnsi="宋体" w:eastAsia="宋体" w:cs="宋体"/>
          <w:sz w:val="24"/>
          <w:szCs w:val="24"/>
        </w:rPr>
        <w:t>照度：按规定进行测试，强光照度平均值≥5</w:t>
      </w:r>
      <w:r>
        <w:rPr>
          <w:rFonts w:hint="eastAsia" w:ascii="宋体" w:hAnsi="宋体" w:eastAsia="宋体" w:cs="宋体"/>
          <w:sz w:val="24"/>
          <w:szCs w:val="24"/>
          <w:lang w:val="en-US" w:eastAsia="zh-CN"/>
        </w:rPr>
        <w:t>0</w:t>
      </w:r>
      <w:r>
        <w:rPr>
          <w:rFonts w:hint="eastAsia" w:ascii="宋体" w:hAnsi="宋体" w:eastAsia="宋体" w:cs="宋体"/>
          <w:sz w:val="24"/>
          <w:szCs w:val="24"/>
        </w:rPr>
        <w:t>0lx，弱光照度平均值≥300lx。</w:t>
      </w:r>
    </w:p>
    <w:p>
      <w:pPr>
        <w:keepNext w:val="0"/>
        <w:keepLines w:val="0"/>
        <w:pageBreakBefore w:val="0"/>
        <w:numPr>
          <w:ilvl w:val="0"/>
          <w:numId w:val="78"/>
        </w:numPr>
        <w:tabs>
          <w:tab w:val="clear" w:pos="420"/>
        </w:tabs>
        <w:kinsoku/>
        <w:wordWrap/>
        <w:overflowPunct/>
        <w:topLinePunct w:val="0"/>
        <w:bidi w:val="0"/>
        <w:spacing w:line="360" w:lineRule="auto"/>
        <w:ind w:left="1665" w:leftChars="0" w:hanging="1665" w:firstLineChars="0"/>
        <w:rPr>
          <w:rFonts w:hint="eastAsia" w:ascii="宋体" w:hAnsi="宋体" w:eastAsia="宋体" w:cs="宋体"/>
          <w:sz w:val="24"/>
          <w:szCs w:val="24"/>
        </w:rPr>
      </w:pPr>
      <w:r>
        <w:rPr>
          <w:rFonts w:hint="eastAsia" w:ascii="宋体" w:hAnsi="宋体" w:eastAsia="宋体" w:cs="宋体"/>
          <w:sz w:val="24"/>
          <w:szCs w:val="24"/>
        </w:rPr>
        <w:t>连续稳定工作时间：强光≥240min，弱光≥480min。</w:t>
      </w:r>
    </w:p>
    <w:p>
      <w:pPr>
        <w:keepNext w:val="0"/>
        <w:keepLines w:val="0"/>
        <w:pageBreakBefore w:val="0"/>
        <w:numPr>
          <w:ilvl w:val="0"/>
          <w:numId w:val="77"/>
        </w:numPr>
        <w:kinsoku/>
        <w:wordWrap/>
        <w:overflowPunct/>
        <w:topLinePunct w:val="0"/>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附属结构</w:t>
      </w:r>
    </w:p>
    <w:p>
      <w:pPr>
        <w:keepNext w:val="0"/>
        <w:keepLines w:val="0"/>
        <w:pageBreakBefore w:val="0"/>
        <w:numPr>
          <w:ilvl w:val="0"/>
          <w:numId w:val="79"/>
        </w:numPr>
        <w:kinsoku/>
        <w:wordWrap/>
        <w:overflowPunct/>
        <w:topLinePunct w:val="0"/>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充电孔：灯筒上应设计有通用Type-C充电口孔位。</w:t>
      </w:r>
    </w:p>
    <w:p>
      <w:pPr>
        <w:keepNext w:val="0"/>
        <w:keepLines w:val="0"/>
        <w:pageBreakBefore w:val="0"/>
        <w:numPr>
          <w:ilvl w:val="0"/>
          <w:numId w:val="79"/>
        </w:numPr>
        <w:tabs>
          <w:tab w:val="left" w:pos="1680"/>
          <w:tab w:val="clear" w:pos="420"/>
        </w:tabs>
        <w:kinsoku/>
        <w:wordWrap/>
        <w:overflowPunct/>
        <w:topLinePunct w:val="0"/>
        <w:bidi w:val="0"/>
        <w:spacing w:line="360" w:lineRule="auto"/>
        <w:ind w:left="1680" w:leftChars="0" w:hanging="1680" w:firstLineChars="0"/>
        <w:rPr>
          <w:rFonts w:hint="eastAsia" w:ascii="宋体" w:hAnsi="宋体" w:eastAsia="宋体" w:cs="宋体"/>
          <w:sz w:val="24"/>
          <w:szCs w:val="24"/>
        </w:rPr>
      </w:pPr>
      <w:r>
        <w:rPr>
          <w:rFonts w:hint="eastAsia" w:ascii="宋体" w:hAnsi="宋体" w:eastAsia="宋体" w:cs="宋体"/>
          <w:sz w:val="24"/>
          <w:szCs w:val="24"/>
        </w:rPr>
        <w:t>灯具完全放电后充满电时间应小于4h。</w:t>
      </w:r>
    </w:p>
    <w:p>
      <w:pPr>
        <w:keepNext w:val="0"/>
        <w:keepLines w:val="0"/>
        <w:pageBreakBefore w:val="0"/>
        <w:numPr>
          <w:ilvl w:val="0"/>
          <w:numId w:val="79"/>
        </w:numPr>
        <w:tabs>
          <w:tab w:val="left" w:pos="1680"/>
          <w:tab w:val="clear" w:pos="420"/>
        </w:tabs>
        <w:kinsoku/>
        <w:wordWrap/>
        <w:overflowPunct/>
        <w:topLinePunct w:val="0"/>
        <w:bidi w:val="0"/>
        <w:spacing w:line="360" w:lineRule="auto"/>
        <w:ind w:left="1680" w:leftChars="0" w:hanging="1680" w:firstLineChars="0"/>
        <w:rPr>
          <w:rFonts w:hint="eastAsia" w:ascii="宋体" w:hAnsi="宋体" w:eastAsia="宋体" w:cs="宋体"/>
          <w:sz w:val="24"/>
          <w:szCs w:val="24"/>
        </w:rPr>
      </w:pPr>
      <w:r>
        <w:rPr>
          <w:rFonts w:hint="eastAsia" w:ascii="宋体" w:hAnsi="宋体" w:eastAsia="宋体" w:cs="宋体"/>
          <w:sz w:val="24"/>
          <w:szCs w:val="24"/>
        </w:rPr>
        <w:t>电量显示窗：灯筒上应设计有通用电量显示单元窗孔，采用四段式蓝色电量显示设计。当电量剩余不足25%时，最后一段电量显示灯持续闪烁提醒电量不足。</w:t>
      </w:r>
    </w:p>
    <w:p>
      <w:pPr>
        <w:keepNext w:val="0"/>
        <w:keepLines w:val="0"/>
        <w:pageBreakBefore w:val="0"/>
        <w:numPr>
          <w:ilvl w:val="0"/>
          <w:numId w:val="79"/>
        </w:numPr>
        <w:tabs>
          <w:tab w:val="left" w:pos="1680"/>
          <w:tab w:val="clear" w:pos="420"/>
        </w:tabs>
        <w:kinsoku/>
        <w:wordWrap/>
        <w:overflowPunct/>
        <w:topLinePunct w:val="0"/>
        <w:bidi w:val="0"/>
        <w:spacing w:line="360" w:lineRule="auto"/>
        <w:ind w:left="1680" w:leftChars="0" w:hanging="1680" w:firstLineChars="0"/>
        <w:rPr>
          <w:rFonts w:hint="eastAsia" w:ascii="宋体" w:hAnsi="宋体" w:eastAsia="宋体" w:cs="宋体"/>
          <w:sz w:val="24"/>
          <w:szCs w:val="24"/>
        </w:rPr>
      </w:pPr>
      <w:r>
        <w:rPr>
          <w:rFonts w:hint="eastAsia" w:ascii="宋体" w:hAnsi="宋体" w:eastAsia="宋体" w:cs="宋体"/>
          <w:sz w:val="24"/>
          <w:szCs w:val="24"/>
        </w:rPr>
        <w:t>灯筒中部两侧对称设计有安装预留台阶。</w:t>
      </w:r>
    </w:p>
    <w:p>
      <w:pPr>
        <w:keepNext w:val="0"/>
        <w:keepLines w:val="0"/>
        <w:pageBreakBefore w:val="0"/>
        <w:numPr>
          <w:ilvl w:val="0"/>
          <w:numId w:val="79"/>
        </w:numPr>
        <w:tabs>
          <w:tab w:val="left" w:pos="1680"/>
          <w:tab w:val="clear" w:pos="420"/>
        </w:tabs>
        <w:kinsoku/>
        <w:wordWrap/>
        <w:overflowPunct/>
        <w:topLinePunct w:val="0"/>
        <w:bidi w:val="0"/>
        <w:spacing w:line="360" w:lineRule="auto"/>
        <w:ind w:left="1680" w:leftChars="0" w:hanging="1680" w:firstLineChars="0"/>
        <w:rPr>
          <w:rFonts w:hint="eastAsia" w:ascii="宋体" w:hAnsi="宋体" w:eastAsia="宋体" w:cs="宋体"/>
          <w:sz w:val="24"/>
          <w:szCs w:val="24"/>
        </w:rPr>
      </w:pPr>
      <w:r>
        <w:rPr>
          <w:rFonts w:hint="eastAsia" w:ascii="宋体" w:hAnsi="宋体" w:eastAsia="宋体" w:cs="宋体"/>
          <w:sz w:val="24"/>
          <w:szCs w:val="24"/>
        </w:rPr>
        <w:t>灯具尾部应设计有凹槽结构，凹槽结构为双侧对称设计。</w:t>
      </w:r>
    </w:p>
    <w:p>
      <w:pPr>
        <w:keepNext w:val="0"/>
        <w:keepLines w:val="0"/>
        <w:pageBreakBefore w:val="0"/>
        <w:numPr>
          <w:ilvl w:val="0"/>
          <w:numId w:val="79"/>
        </w:numPr>
        <w:tabs>
          <w:tab w:val="left" w:pos="1680"/>
          <w:tab w:val="clear" w:pos="420"/>
        </w:tabs>
        <w:kinsoku/>
        <w:wordWrap/>
        <w:overflowPunct/>
        <w:topLinePunct w:val="0"/>
        <w:bidi w:val="0"/>
        <w:spacing w:line="360" w:lineRule="auto"/>
        <w:ind w:left="1680" w:leftChars="0" w:hanging="1680" w:firstLineChars="0"/>
        <w:rPr>
          <w:rFonts w:hint="eastAsia" w:ascii="宋体" w:hAnsi="宋体" w:eastAsia="宋体" w:cs="宋体"/>
          <w:sz w:val="24"/>
          <w:szCs w:val="24"/>
        </w:rPr>
      </w:pPr>
      <w:r>
        <w:rPr>
          <w:rFonts w:hint="eastAsia" w:ascii="宋体" w:hAnsi="宋体" w:eastAsia="宋体" w:cs="宋体"/>
          <w:sz w:val="24"/>
          <w:szCs w:val="24"/>
        </w:rPr>
        <w:t>灯具外盖应设计有挂绳孔位，位于尾盖非凹槽部分。</w:t>
      </w:r>
    </w:p>
    <w:p>
      <w:pPr>
        <w:keepNext w:val="0"/>
        <w:keepLines w:val="0"/>
        <w:pageBreakBefore w:val="0"/>
        <w:numPr>
          <w:ilvl w:val="0"/>
          <w:numId w:val="79"/>
        </w:numPr>
        <w:tabs>
          <w:tab w:val="left" w:pos="1680"/>
          <w:tab w:val="clear" w:pos="420"/>
        </w:tabs>
        <w:kinsoku/>
        <w:wordWrap/>
        <w:overflowPunct/>
        <w:topLinePunct w:val="0"/>
        <w:bidi w:val="0"/>
        <w:spacing w:line="360" w:lineRule="auto"/>
        <w:ind w:left="1680" w:leftChars="0" w:hanging="1680" w:firstLineChars="0"/>
        <w:rPr>
          <w:rFonts w:hint="eastAsia" w:ascii="宋体" w:hAnsi="宋体" w:eastAsia="宋体" w:cs="宋体"/>
          <w:sz w:val="24"/>
          <w:szCs w:val="24"/>
        </w:rPr>
      </w:pPr>
      <w:r>
        <w:rPr>
          <w:rFonts w:hint="eastAsia" w:ascii="宋体" w:hAnsi="宋体" w:eastAsia="宋体" w:cs="宋体"/>
          <w:sz w:val="24"/>
          <w:szCs w:val="24"/>
        </w:rPr>
        <w:t>灯具外壳尾端中部应设计有开关孔，位于外壳尾端正中位置。</w:t>
      </w:r>
    </w:p>
    <w:p>
      <w:pPr>
        <w:keepNext w:val="0"/>
        <w:keepLines w:val="0"/>
        <w:pageBreakBefore w:val="0"/>
        <w:numPr>
          <w:ilvl w:val="0"/>
          <w:numId w:val="79"/>
        </w:numPr>
        <w:tabs>
          <w:tab w:val="left" w:pos="1680"/>
          <w:tab w:val="clear" w:pos="420"/>
        </w:tabs>
        <w:kinsoku/>
        <w:wordWrap/>
        <w:overflowPunct/>
        <w:topLinePunct w:val="0"/>
        <w:bidi w:val="0"/>
        <w:spacing w:line="360" w:lineRule="auto"/>
        <w:ind w:left="1680" w:leftChars="0" w:hanging="1680" w:firstLineChars="0"/>
        <w:rPr>
          <w:rFonts w:hint="eastAsia" w:ascii="宋体" w:hAnsi="宋体" w:eastAsia="宋体" w:cs="宋体"/>
          <w:sz w:val="24"/>
          <w:szCs w:val="24"/>
        </w:rPr>
      </w:pPr>
      <w:r>
        <w:rPr>
          <w:rFonts w:hint="eastAsia" w:ascii="宋体" w:hAnsi="宋体" w:eastAsia="宋体" w:cs="宋体"/>
          <w:sz w:val="24"/>
          <w:szCs w:val="24"/>
        </w:rPr>
        <w:t>灯具应具备一体式方位灯大开关设计，尾部采用白色透明按钮式大开关设计。</w:t>
      </w:r>
    </w:p>
    <w:p>
      <w:pPr>
        <w:keepNext w:val="0"/>
        <w:keepLines w:val="0"/>
        <w:pageBreakBefore w:val="0"/>
        <w:numPr>
          <w:ilvl w:val="0"/>
          <w:numId w:val="79"/>
        </w:numPr>
        <w:tabs>
          <w:tab w:val="left" w:pos="1680"/>
          <w:tab w:val="clear" w:pos="420"/>
        </w:tabs>
        <w:kinsoku/>
        <w:wordWrap/>
        <w:overflowPunct/>
        <w:topLinePunct w:val="0"/>
        <w:bidi w:val="0"/>
        <w:spacing w:line="360" w:lineRule="auto"/>
        <w:ind w:left="1680" w:leftChars="0" w:hanging="1680" w:firstLineChars="0"/>
        <w:rPr>
          <w:rFonts w:hint="eastAsia" w:ascii="宋体" w:hAnsi="宋体" w:eastAsia="宋体" w:cs="宋体"/>
          <w:sz w:val="24"/>
          <w:szCs w:val="24"/>
        </w:rPr>
      </w:pPr>
      <w:r>
        <w:rPr>
          <w:rFonts w:hint="eastAsia" w:ascii="宋体" w:hAnsi="宋体" w:eastAsia="宋体" w:cs="宋体"/>
          <w:sz w:val="24"/>
          <w:szCs w:val="24"/>
        </w:rPr>
        <w:t>与消防头盔和抢险救援防护头盔滑轨配套的头灯夹具，上下可调节。</w:t>
      </w:r>
    </w:p>
    <w:p>
      <w:pPr>
        <w:keepNext w:val="0"/>
        <w:keepLines w:val="0"/>
        <w:pageBreakBefore w:val="0"/>
        <w:numPr>
          <w:ilvl w:val="0"/>
          <w:numId w:val="77"/>
        </w:numPr>
        <w:kinsoku/>
        <w:wordWrap/>
        <w:overflowPunct/>
        <w:topLinePunct w:val="0"/>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电池</w:t>
      </w:r>
    </w:p>
    <w:p>
      <w:pPr>
        <w:keepNext w:val="0"/>
        <w:keepLines w:val="0"/>
        <w:pageBreakBefore w:val="0"/>
        <w:numPr>
          <w:ilvl w:val="0"/>
          <w:numId w:val="80"/>
        </w:numPr>
        <w:kinsoku/>
        <w:wordWrap/>
        <w:overflowPunct/>
        <w:topLinePunct w:val="0"/>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电池应采用可充电锂电池，额定电压为DC3.7V，额定容量不小于1.9Ah。</w:t>
      </w:r>
    </w:p>
    <w:p>
      <w:pPr>
        <w:keepNext w:val="0"/>
        <w:keepLines w:val="0"/>
        <w:pageBreakBefore w:val="0"/>
        <w:numPr>
          <w:ilvl w:val="0"/>
          <w:numId w:val="80"/>
        </w:numPr>
        <w:tabs>
          <w:tab w:val="left" w:pos="1680"/>
          <w:tab w:val="clear" w:pos="420"/>
        </w:tabs>
        <w:kinsoku/>
        <w:wordWrap/>
        <w:overflowPunct/>
        <w:topLinePunct w:val="0"/>
        <w:bidi w:val="0"/>
        <w:spacing w:line="360" w:lineRule="auto"/>
        <w:ind w:left="1680" w:leftChars="0" w:hanging="1680" w:firstLineChars="0"/>
        <w:rPr>
          <w:rFonts w:hint="eastAsia" w:ascii="宋体" w:hAnsi="宋体" w:eastAsia="宋体" w:cs="宋体"/>
          <w:sz w:val="24"/>
          <w:szCs w:val="24"/>
        </w:rPr>
      </w:pPr>
      <w:r>
        <w:rPr>
          <w:rFonts w:hint="eastAsia" w:ascii="宋体" w:hAnsi="宋体" w:eastAsia="宋体" w:cs="宋体"/>
          <w:sz w:val="24"/>
          <w:szCs w:val="24"/>
        </w:rPr>
        <w:t>灯具电池两端应同时设置正负极，且电池两端正负极性应对称设计，电池装入灯具时应不需区分方向均能使灯具正常工作。</w:t>
      </w:r>
    </w:p>
    <w:p>
      <w:pPr>
        <w:keepNext w:val="0"/>
        <w:keepLines w:val="0"/>
        <w:pageBreakBefore w:val="0"/>
        <w:numPr>
          <w:ilvl w:val="0"/>
          <w:numId w:val="80"/>
        </w:numPr>
        <w:tabs>
          <w:tab w:val="left" w:pos="1680"/>
          <w:tab w:val="clear" w:pos="420"/>
        </w:tabs>
        <w:kinsoku/>
        <w:wordWrap/>
        <w:overflowPunct/>
        <w:topLinePunct w:val="0"/>
        <w:bidi w:val="0"/>
        <w:spacing w:line="360" w:lineRule="auto"/>
        <w:ind w:left="1680" w:leftChars="0" w:hanging="1680" w:firstLineChars="0"/>
        <w:rPr>
          <w:rFonts w:hint="eastAsia" w:ascii="宋体" w:hAnsi="宋体" w:eastAsia="宋体" w:cs="宋体"/>
          <w:sz w:val="24"/>
          <w:szCs w:val="24"/>
        </w:rPr>
      </w:pPr>
      <w:r>
        <w:rPr>
          <w:rFonts w:hint="eastAsia" w:ascii="宋体" w:hAnsi="宋体" w:eastAsia="宋体" w:cs="宋体"/>
          <w:sz w:val="24"/>
          <w:szCs w:val="24"/>
        </w:rPr>
        <w:t>电池在短路试验后，最高表面温度T4≤1</w:t>
      </w:r>
      <w:r>
        <w:rPr>
          <w:rFonts w:hint="eastAsia" w:ascii="宋体" w:hAnsi="宋体" w:eastAsia="宋体" w:cs="宋体"/>
          <w:sz w:val="24"/>
          <w:szCs w:val="24"/>
          <w:lang w:val="en-US" w:eastAsia="zh-CN"/>
        </w:rPr>
        <w:t>2</w:t>
      </w:r>
      <w:r>
        <w:rPr>
          <w:rFonts w:hint="eastAsia" w:ascii="宋体" w:hAnsi="宋体" w:eastAsia="宋体" w:cs="宋体"/>
          <w:sz w:val="24"/>
          <w:szCs w:val="24"/>
        </w:rPr>
        <w:t>0℃,没有电解液的明显痕迹。</w:t>
      </w:r>
    </w:p>
    <w:p>
      <w:pPr>
        <w:keepNext w:val="0"/>
        <w:keepLines w:val="0"/>
        <w:pageBreakBefore w:val="0"/>
        <w:numPr>
          <w:ilvl w:val="0"/>
          <w:numId w:val="80"/>
        </w:numPr>
        <w:tabs>
          <w:tab w:val="left" w:pos="1680"/>
          <w:tab w:val="clear" w:pos="420"/>
        </w:tabs>
        <w:kinsoku/>
        <w:wordWrap/>
        <w:overflowPunct/>
        <w:topLinePunct w:val="0"/>
        <w:bidi w:val="0"/>
        <w:spacing w:line="360" w:lineRule="auto"/>
        <w:ind w:left="1680" w:leftChars="0" w:hanging="1680" w:firstLineChars="0"/>
        <w:rPr>
          <w:rFonts w:hint="eastAsia" w:ascii="宋体" w:hAnsi="宋体" w:eastAsia="宋体" w:cs="宋体"/>
          <w:sz w:val="24"/>
          <w:szCs w:val="24"/>
        </w:rPr>
      </w:pPr>
      <w:r>
        <w:rPr>
          <w:rFonts w:hint="eastAsia" w:ascii="宋体" w:hAnsi="宋体" w:eastAsia="宋体" w:cs="宋体"/>
          <w:sz w:val="24"/>
          <w:szCs w:val="24"/>
        </w:rPr>
        <w:t>配用光源：LED。</w:t>
      </w:r>
    </w:p>
    <w:p>
      <w:pPr>
        <w:keepNext w:val="0"/>
        <w:keepLines w:val="0"/>
        <w:pageBreakBefore w:val="0"/>
        <w:numPr>
          <w:ilvl w:val="0"/>
          <w:numId w:val="80"/>
        </w:numPr>
        <w:tabs>
          <w:tab w:val="left" w:pos="1680"/>
          <w:tab w:val="clear" w:pos="420"/>
        </w:tabs>
        <w:kinsoku/>
        <w:wordWrap/>
        <w:overflowPunct/>
        <w:topLinePunct w:val="0"/>
        <w:bidi w:val="0"/>
        <w:spacing w:line="360" w:lineRule="auto"/>
        <w:ind w:left="1680" w:leftChars="0" w:hanging="1680" w:firstLineChars="0"/>
        <w:rPr>
          <w:rFonts w:hint="eastAsia" w:ascii="宋体" w:hAnsi="宋体" w:eastAsia="宋体" w:cs="宋体"/>
          <w:sz w:val="24"/>
          <w:szCs w:val="24"/>
        </w:rPr>
      </w:pPr>
      <w:r>
        <w:rPr>
          <w:rFonts w:hint="eastAsia" w:ascii="宋体" w:hAnsi="宋体" w:eastAsia="宋体" w:cs="宋体"/>
          <w:sz w:val="24"/>
          <w:szCs w:val="24"/>
        </w:rPr>
        <w:t>低温、高温性能：在-25℃及55℃，持续2h后，灯具应能正常开、关和强、弱光切换。</w:t>
      </w:r>
    </w:p>
    <w:p>
      <w:pPr>
        <w:keepNext w:val="0"/>
        <w:keepLines w:val="0"/>
        <w:pageBreakBefore w:val="0"/>
        <w:kinsoku/>
        <w:wordWrap/>
        <w:overflowPunct/>
        <w:topLinePunct w:val="0"/>
        <w:bidi w:val="0"/>
        <w:spacing w:line="360" w:lineRule="auto"/>
        <w:rPr>
          <w:rFonts w:hint="eastAsia" w:ascii="宋体" w:hAnsi="宋体" w:eastAsia="宋体" w:cs="宋体"/>
          <w:sz w:val="24"/>
          <w:szCs w:val="24"/>
        </w:rPr>
      </w:pPr>
    </w:p>
    <w:p>
      <w:pPr>
        <w:keepNext w:val="0"/>
        <w:keepLines w:val="0"/>
        <w:pageBreakBefore w:val="0"/>
        <w:numPr>
          <w:ilvl w:val="0"/>
          <w:numId w:val="75"/>
        </w:numPr>
        <w:kinsoku/>
        <w:wordWrap/>
        <w:overflowPunct/>
        <w:topLinePunct w:val="0"/>
        <w:bidi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其他要求</w:t>
      </w:r>
    </w:p>
    <w:p>
      <w:pPr>
        <w:keepNext w:val="0"/>
        <w:keepLines w:val="0"/>
        <w:pageBreakBefore w:val="0"/>
        <w:numPr>
          <w:ilvl w:val="0"/>
          <w:numId w:val="81"/>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kern w:val="0"/>
          <w:sz w:val="24"/>
          <w:szCs w:val="24"/>
          <w:highlight w:val="none"/>
          <w:lang w:val="zh-CN"/>
        </w:rPr>
      </w:pPr>
      <w:r>
        <w:rPr>
          <w:sz w:val="24"/>
          <w:highlight w:val="none"/>
        </w:rPr>
        <mc:AlternateContent>
          <mc:Choice Requires="wps">
            <w:drawing>
              <wp:anchor distT="0" distB="0" distL="114300" distR="114300" simplePos="0" relativeHeight="251709440" behindDoc="0" locked="0" layoutInCell="1" allowOverlap="1">
                <wp:simplePos x="0" y="0"/>
                <wp:positionH relativeFrom="column">
                  <wp:posOffset>-266700</wp:posOffset>
                </wp:positionH>
                <wp:positionV relativeFrom="paragraph">
                  <wp:posOffset>16510</wp:posOffset>
                </wp:positionV>
                <wp:extent cx="266700" cy="257175"/>
                <wp:effectExtent l="0" t="0" r="0" b="9525"/>
                <wp:wrapNone/>
                <wp:docPr id="52" name="文本框 52"/>
                <wp:cNvGraphicFramePr/>
                <a:graphic xmlns:a="http://schemas.openxmlformats.org/drawingml/2006/main">
                  <a:graphicData uri="http://schemas.microsoft.com/office/word/2010/wordprocessingShape">
                    <wps:wsp>
                      <wps:cNvSpPr txBox="1"/>
                      <wps:spPr>
                        <a:xfrm>
                          <a:off x="365760" y="3190240"/>
                          <a:ext cx="266700" cy="2571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pt;margin-top:1.3pt;height:20.25pt;width:21pt;z-index:251709440;mso-width-relative:page;mso-height-relative:page;" fillcolor="#FFFFFF [3201]" filled="t" stroked="f" coordsize="21600,21600" o:gfxdata="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Qjt9tEAAAAFAQAA&#10;DwAAAAAAAAABACAAAAAiAAAAZHJzL2Rvd25yZXYueG1sUEsBAhQAFAAAAAgAh07iQE16wKNZAgAA&#10;mwQAAA4AAAAAAAAAAQAgAAAAIAEAAGRycy9lMm9Eb2MueG1sUEsFBgAAAAAGAAYAWQEAAOsFAAAA&#10;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kern w:val="0"/>
          <w:sz w:val="24"/>
          <w:szCs w:val="24"/>
          <w:highlight w:val="none"/>
          <w:lang w:val="en-US" w:eastAsia="zh-CN"/>
        </w:rPr>
        <w:t>提供产品</w:t>
      </w:r>
      <w:r>
        <w:rPr>
          <w:rFonts w:hint="eastAsia" w:ascii="宋体" w:hAnsi="宋体" w:eastAsia="宋体" w:cs="宋体"/>
          <w:b/>
          <w:bCs/>
          <w:kern w:val="0"/>
          <w:sz w:val="24"/>
          <w:szCs w:val="24"/>
          <w:highlight w:val="none"/>
          <w:lang w:val="en-US" w:eastAsia="zh-CN"/>
        </w:rPr>
        <w:t>防爆合格证及</w:t>
      </w:r>
      <w:r>
        <w:rPr>
          <w:rFonts w:hint="eastAsia" w:ascii="宋体" w:hAnsi="宋体" w:eastAsia="宋体" w:cs="宋体"/>
          <w:b/>
          <w:bCs/>
          <w:kern w:val="0"/>
          <w:sz w:val="24"/>
          <w:szCs w:val="24"/>
          <w:highlight w:val="none"/>
          <w:lang w:val="zh-CN"/>
        </w:rPr>
        <w:t>检验报告</w:t>
      </w:r>
      <w:r>
        <w:rPr>
          <w:rFonts w:hint="eastAsia" w:ascii="宋体" w:hAnsi="宋体" w:eastAsia="宋体" w:cs="宋体"/>
          <w:b/>
          <w:bCs/>
          <w:kern w:val="0"/>
          <w:sz w:val="24"/>
          <w:szCs w:val="24"/>
          <w:highlight w:val="none"/>
          <w:lang w:val="en-US" w:eastAsia="zh-CN"/>
        </w:rPr>
        <w:t>并加盖公章</w:t>
      </w:r>
      <w:r>
        <w:rPr>
          <w:rFonts w:hint="eastAsia" w:ascii="宋体" w:hAnsi="宋体" w:eastAsia="宋体" w:cs="宋体"/>
          <w:kern w:val="0"/>
          <w:sz w:val="24"/>
          <w:szCs w:val="24"/>
          <w:highlight w:val="none"/>
          <w:lang w:val="zh-CN"/>
        </w:rPr>
        <w:t>。</w:t>
      </w:r>
    </w:p>
    <w:p>
      <w:pPr>
        <w:keepNext w:val="0"/>
        <w:keepLines w:val="0"/>
        <w:pageBreakBefore w:val="0"/>
        <w:numPr>
          <w:ilvl w:val="0"/>
          <w:numId w:val="81"/>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灯具的明显位置处应有清晰且与灯具为一体的标志，包括产品名称、产品型号、防护等级、防爆标志、生产日期、生产编号、生产厂名称等。</w:t>
      </w:r>
    </w:p>
    <w:p>
      <w:pPr>
        <w:bidi w:val="0"/>
        <w:rPr>
          <w:rFonts w:hint="eastAsia"/>
          <w:b/>
          <w:bCs w:val="0"/>
        </w:rPr>
      </w:pPr>
    </w:p>
    <w:p>
      <w:pPr>
        <w:numPr>
          <w:ilvl w:val="0"/>
          <w:numId w:val="44"/>
        </w:numPr>
        <w:spacing w:line="360" w:lineRule="auto"/>
        <w:ind w:left="425" w:leftChars="0" w:hanging="425" w:firstLineChars="0"/>
        <w:jc w:val="both"/>
        <w:rPr>
          <w:rFonts w:hint="eastAsia"/>
          <w:b/>
          <w:bCs w:val="0"/>
          <w:color w:val="000000"/>
          <w:sz w:val="24"/>
          <w:szCs w:val="24"/>
          <w:highlight w:val="none"/>
        </w:rPr>
      </w:pPr>
      <w:r>
        <w:rPr>
          <w:rFonts w:hint="eastAsia"/>
          <w:b/>
          <w:bCs w:val="0"/>
          <w:color w:val="000000"/>
          <w:sz w:val="24"/>
          <w:szCs w:val="24"/>
          <w:highlight w:val="none"/>
        </w:rPr>
        <w:t>消防员呼救器</w:t>
      </w:r>
    </w:p>
    <w:p>
      <w:pPr>
        <w:keepNext w:val="0"/>
        <w:keepLines w:val="0"/>
        <w:pageBreakBefore w:val="0"/>
        <w:numPr>
          <w:ilvl w:val="0"/>
          <w:numId w:val="82"/>
        </w:numPr>
        <w:kinsoku/>
        <w:wordWrap/>
        <w:overflowPunct/>
        <w:topLinePunct w:val="0"/>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产品部件包括：消防员呼救器、充电器。</w:t>
      </w:r>
    </w:p>
    <w:p>
      <w:pPr>
        <w:keepNext w:val="0"/>
        <w:keepLines w:val="0"/>
        <w:pageBreakBefore w:val="0"/>
        <w:numPr>
          <w:ilvl w:val="0"/>
          <w:numId w:val="82"/>
        </w:numPr>
        <w:tabs>
          <w:tab w:val="clear" w:pos="420"/>
        </w:tabs>
        <w:kinsoku/>
        <w:wordWrap/>
        <w:overflowPunct/>
        <w:topLinePunct w:val="0"/>
        <w:bidi w:val="0"/>
        <w:spacing w:line="360" w:lineRule="auto"/>
        <w:ind w:left="1245" w:leftChars="0" w:hanging="124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产品具备的功能：自动报警，手动强报警，计时报警，欠压报警，温度报警。</w:t>
      </w:r>
    </w:p>
    <w:p>
      <w:pPr>
        <w:keepNext w:val="0"/>
        <w:keepLines w:val="0"/>
        <w:pageBreakBefore w:val="0"/>
        <w:numPr>
          <w:ilvl w:val="0"/>
          <w:numId w:val="82"/>
        </w:numPr>
        <w:tabs>
          <w:tab w:val="clear" w:pos="420"/>
        </w:tabs>
        <w:kinsoku/>
        <w:wordWrap/>
        <w:overflowPunct/>
        <w:topLinePunct w:val="0"/>
        <w:bidi w:val="0"/>
        <w:spacing w:line="360" w:lineRule="auto"/>
        <w:ind w:left="1245" w:leftChars="0" w:hanging="124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产品应用的工艺：呼救器壳体具有阻燃和可靠的防水、防尘，防泄漏功能。呼救器壳体采用高强度PC材料、耐高温160°。内部采用免维护高能防爆充电电池。</w:t>
      </w:r>
    </w:p>
    <w:p>
      <w:pPr>
        <w:keepNext w:val="0"/>
        <w:keepLines w:val="0"/>
        <w:pageBreakBefore w:val="0"/>
        <w:numPr>
          <w:ilvl w:val="0"/>
          <w:numId w:val="82"/>
        </w:numPr>
        <w:tabs>
          <w:tab w:val="clear" w:pos="420"/>
        </w:tabs>
        <w:kinsoku/>
        <w:wordWrap/>
        <w:overflowPunct/>
        <w:topLinePunct w:val="0"/>
        <w:bidi w:val="0"/>
        <w:spacing w:line="360" w:lineRule="auto"/>
        <w:ind w:left="1245" w:leftChars="0" w:hanging="1245" w:firstLineChars="0"/>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710464" behindDoc="0" locked="0" layoutInCell="1" allowOverlap="1">
                <wp:simplePos x="0" y="0"/>
                <wp:positionH relativeFrom="column">
                  <wp:posOffset>-323850</wp:posOffset>
                </wp:positionH>
                <wp:positionV relativeFrom="paragraph">
                  <wp:posOffset>8890</wp:posOffset>
                </wp:positionV>
                <wp:extent cx="295275" cy="257175"/>
                <wp:effectExtent l="0" t="0" r="9525" b="9525"/>
                <wp:wrapNone/>
                <wp:docPr id="53" name="文本框 53"/>
                <wp:cNvGraphicFramePr/>
                <a:graphic xmlns:a="http://schemas.openxmlformats.org/drawingml/2006/main">
                  <a:graphicData uri="http://schemas.microsoft.com/office/word/2010/wordprocessingShape">
                    <wps:wsp>
                      <wps:cNvSpPr txBox="1"/>
                      <wps:spPr>
                        <a:xfrm>
                          <a:off x="375285" y="5998210"/>
                          <a:ext cx="295275" cy="2571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pt;margin-top:0.7pt;height:20.25pt;width:23.25pt;z-index:251710464;mso-width-relative:page;mso-height-relative:page;" fillcolor="#FFFFFF [3201]" filled="t" stroked="f" coordsize="21600,21600" o:gfxdata="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QwZdR0gAAAAcB&#10;AAAPAAAAAAAAAAEAIAAAACIAAABkcnMvZG93bnJldi54bWxQSwECFAAUAAAACACHTuJA3lac2VoC&#10;AACbBAAADgAAAAAAAAABACAAAAAhAQAAZHJzL2Uyb0RvYy54bWxQSwUGAAAAAAYABgBZAQAA7QUA&#10;AA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sz w:val="24"/>
          <w:szCs w:val="24"/>
          <w:lang w:val="en-US" w:eastAsia="zh-CN"/>
        </w:rPr>
        <w:t>产品</w:t>
      </w:r>
      <w:r>
        <w:rPr>
          <w:rFonts w:hint="eastAsia" w:ascii="宋体" w:hAnsi="宋体" w:eastAsia="宋体" w:cs="宋体"/>
          <w:sz w:val="24"/>
          <w:szCs w:val="24"/>
          <w:highlight w:val="none"/>
          <w:lang w:val="en-US" w:eastAsia="zh-CN"/>
        </w:rPr>
        <w:t>经型式检验，</w:t>
      </w:r>
      <w:r>
        <w:rPr>
          <w:rFonts w:hint="eastAsia" w:ascii="宋体" w:hAnsi="宋体" w:eastAsia="宋体" w:cs="宋体"/>
          <w:sz w:val="24"/>
          <w:szCs w:val="24"/>
          <w:lang w:val="en-US" w:eastAsia="zh-CN"/>
        </w:rPr>
        <w:t>符合GB27900-2011国家标准。产品防爆标志：Ex ib II B T4 Gb 。外壳防护等级：IP68</w:t>
      </w:r>
    </w:p>
    <w:p>
      <w:pPr>
        <w:keepNext w:val="0"/>
        <w:keepLines w:val="0"/>
        <w:pageBreakBefore w:val="0"/>
        <w:numPr>
          <w:ilvl w:val="0"/>
          <w:numId w:val="82"/>
        </w:numPr>
        <w:tabs>
          <w:tab w:val="clear" w:pos="420"/>
        </w:tabs>
        <w:kinsoku/>
        <w:wordWrap/>
        <w:overflowPunct/>
        <w:topLinePunct w:val="0"/>
        <w:bidi w:val="0"/>
        <w:spacing w:line="360" w:lineRule="auto"/>
        <w:ind w:left="1245" w:leftChars="0" w:hanging="1245" w:firstLineChars="0"/>
        <w:rPr>
          <w:rFonts w:hint="eastAsia" w:ascii="宋体" w:hAnsi="宋体" w:eastAsia="宋体" w:cs="宋体"/>
          <w:sz w:val="24"/>
          <w:szCs w:val="24"/>
          <w:highlight w:val="none"/>
          <w:lang w:val="en-US" w:eastAsia="zh-CN"/>
        </w:rPr>
      </w:pPr>
      <w:r>
        <w:rPr>
          <w:sz w:val="24"/>
          <w:highlight w:val="none"/>
        </w:rPr>
        <mc:AlternateContent>
          <mc:Choice Requires="wps">
            <w:drawing>
              <wp:anchor distT="0" distB="0" distL="114300" distR="114300" simplePos="0" relativeHeight="251711488" behindDoc="0" locked="0" layoutInCell="1" allowOverlap="1">
                <wp:simplePos x="0" y="0"/>
                <wp:positionH relativeFrom="column">
                  <wp:posOffset>-314325</wp:posOffset>
                </wp:positionH>
                <wp:positionV relativeFrom="paragraph">
                  <wp:posOffset>14605</wp:posOffset>
                </wp:positionV>
                <wp:extent cx="266700" cy="247650"/>
                <wp:effectExtent l="0" t="0" r="0" b="0"/>
                <wp:wrapNone/>
                <wp:docPr id="54" name="文本框 54"/>
                <wp:cNvGraphicFramePr/>
                <a:graphic xmlns:a="http://schemas.openxmlformats.org/drawingml/2006/main">
                  <a:graphicData uri="http://schemas.microsoft.com/office/word/2010/wordprocessingShape">
                    <wps:wsp>
                      <wps:cNvSpPr txBox="1"/>
                      <wps:spPr>
                        <a:xfrm>
                          <a:off x="499110" y="6664960"/>
                          <a:ext cx="266700"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5pt;margin-top:1.15pt;height:19.5pt;width:21pt;z-index:251711488;mso-width-relative:page;mso-height-relative:page;" fillcolor="#FFFFFF [3201]" filled="t" stroked="f" coordsize="21600,21600" o:gfxdata="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6tOdftIAAAAH&#10;AQAADwAAAAAAAAABACAAAAAiAAAAZHJzL2Rvd25yZXYueG1sUEsBAhQAFAAAAAgAh07iQEUZGLtb&#10;AgAAmwQAAA4AAAAAAAAAAQAgAAAAIQEAAGRycy9lMm9Eb2MueG1sUEsFBgAAAAAGAAYAWQEAAO4F&#10;AAAA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sz w:val="24"/>
          <w:szCs w:val="24"/>
          <w:highlight w:val="none"/>
          <w:lang w:val="en-US" w:eastAsia="zh-CN"/>
        </w:rPr>
        <w:t>该呼救器通过消防认证中心认证，提供</w:t>
      </w:r>
      <w:r>
        <w:rPr>
          <w:rFonts w:hint="eastAsia" w:ascii="宋体" w:hAnsi="宋体" w:eastAsia="宋体" w:cs="宋体"/>
          <w:b/>
          <w:bCs/>
          <w:sz w:val="24"/>
          <w:szCs w:val="24"/>
          <w:highlight w:val="none"/>
          <w:lang w:val="en-US" w:eastAsia="zh-CN"/>
        </w:rPr>
        <w:t>检验报告复印件加盖公章</w:t>
      </w:r>
      <w:r>
        <w:rPr>
          <w:rFonts w:hint="eastAsia" w:ascii="宋体" w:hAnsi="宋体" w:eastAsia="宋体" w:cs="宋体"/>
          <w:sz w:val="24"/>
          <w:szCs w:val="24"/>
          <w:highlight w:val="none"/>
          <w:lang w:val="en-US" w:eastAsia="zh-CN"/>
        </w:rPr>
        <w:t>。</w:t>
      </w:r>
    </w:p>
    <w:p>
      <w:pPr>
        <w:keepNext w:val="0"/>
        <w:keepLines w:val="0"/>
        <w:pageBreakBefore w:val="0"/>
        <w:numPr>
          <w:ilvl w:val="0"/>
          <w:numId w:val="82"/>
        </w:numPr>
        <w:tabs>
          <w:tab w:val="clear" w:pos="420"/>
        </w:tabs>
        <w:kinsoku/>
        <w:wordWrap/>
        <w:overflowPunct/>
        <w:topLinePunct w:val="0"/>
        <w:bidi w:val="0"/>
        <w:spacing w:line="360" w:lineRule="auto"/>
        <w:ind w:left="1245" w:leftChars="0" w:hanging="124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塑料壳体。</w:t>
      </w:r>
    </w:p>
    <w:p>
      <w:pPr>
        <w:keepNext w:val="0"/>
        <w:keepLines w:val="0"/>
        <w:pageBreakBefore w:val="0"/>
        <w:numPr>
          <w:ilvl w:val="0"/>
          <w:numId w:val="82"/>
        </w:numPr>
        <w:tabs>
          <w:tab w:val="clear" w:pos="420"/>
        </w:tabs>
        <w:kinsoku/>
        <w:wordWrap/>
        <w:overflowPunct/>
        <w:topLinePunct w:val="0"/>
        <w:bidi w:val="0"/>
        <w:spacing w:line="360" w:lineRule="auto"/>
        <w:ind w:left="1245" w:leftChars="0" w:hanging="124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电子线路板。</w:t>
      </w:r>
    </w:p>
    <w:p>
      <w:pPr>
        <w:keepNext w:val="0"/>
        <w:keepLines w:val="0"/>
        <w:pageBreakBefore w:val="0"/>
        <w:numPr>
          <w:ilvl w:val="0"/>
          <w:numId w:val="82"/>
        </w:numPr>
        <w:tabs>
          <w:tab w:val="clear" w:pos="420"/>
        </w:tabs>
        <w:kinsoku/>
        <w:wordWrap/>
        <w:overflowPunct/>
        <w:topLinePunct w:val="0"/>
        <w:bidi w:val="0"/>
        <w:spacing w:line="360" w:lineRule="auto"/>
        <w:ind w:left="1245" w:leftChars="0" w:hanging="124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性能特点：</w:t>
      </w:r>
    </w:p>
    <w:p>
      <w:pPr>
        <w:keepNext w:val="0"/>
        <w:keepLines w:val="0"/>
        <w:pageBreakBefore w:val="0"/>
        <w:numPr>
          <w:ilvl w:val="0"/>
          <w:numId w:val="83"/>
        </w:numPr>
        <w:kinsoku/>
        <w:wordWrap/>
        <w:overflowPunct/>
        <w:topLinePunct w:val="0"/>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具有倾斜感应报警功能，单片机以每秒60次的速度检测人的运动状态。</w:t>
      </w:r>
    </w:p>
    <w:p>
      <w:pPr>
        <w:keepNext w:val="0"/>
        <w:keepLines w:val="0"/>
        <w:pageBreakBefore w:val="0"/>
        <w:numPr>
          <w:ilvl w:val="0"/>
          <w:numId w:val="83"/>
        </w:numPr>
        <w:tabs>
          <w:tab w:val="clear" w:pos="420"/>
        </w:tabs>
        <w:kinsoku/>
        <w:wordWrap/>
        <w:overflowPunct/>
        <w:topLinePunct w:val="0"/>
        <w:bidi w:val="0"/>
        <w:spacing w:line="360" w:lineRule="auto"/>
        <w:ind w:left="1665" w:leftChars="0" w:hanging="166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采用数码恒流驱动技术，在电池电压下降时，方位灯亮度始终保持不变。</w:t>
      </w:r>
    </w:p>
    <w:p>
      <w:pPr>
        <w:keepNext w:val="0"/>
        <w:keepLines w:val="0"/>
        <w:pageBreakBefore w:val="0"/>
        <w:numPr>
          <w:ilvl w:val="0"/>
          <w:numId w:val="83"/>
        </w:numPr>
        <w:tabs>
          <w:tab w:val="clear" w:pos="420"/>
        </w:tabs>
        <w:kinsoku/>
        <w:wordWrap/>
        <w:overflowPunct/>
        <w:topLinePunct w:val="0"/>
        <w:bidi w:val="0"/>
        <w:spacing w:line="360" w:lineRule="auto"/>
        <w:ind w:left="1665" w:leftChars="0" w:hanging="166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电池电压低于7.2V±0.2V时，自动启动欠压声响报警和LED闪烁报警。</w:t>
      </w:r>
    </w:p>
    <w:p>
      <w:pPr>
        <w:keepNext w:val="0"/>
        <w:keepLines w:val="0"/>
        <w:pageBreakBefore w:val="0"/>
        <w:numPr>
          <w:ilvl w:val="0"/>
          <w:numId w:val="83"/>
        </w:numPr>
        <w:tabs>
          <w:tab w:val="clear" w:pos="420"/>
        </w:tabs>
        <w:kinsoku/>
        <w:wordWrap/>
        <w:overflowPunct/>
        <w:topLinePunct w:val="0"/>
        <w:bidi w:val="0"/>
        <w:spacing w:line="360" w:lineRule="auto"/>
        <w:ind w:left="1665" w:leftChars="0" w:hanging="166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具有连续不间断声响强报警功能，有很强的穿透力，声级强度≥100dB。</w:t>
      </w:r>
    </w:p>
    <w:p>
      <w:pPr>
        <w:keepNext w:val="0"/>
        <w:keepLines w:val="0"/>
        <w:pageBreakBefore w:val="0"/>
        <w:numPr>
          <w:ilvl w:val="0"/>
          <w:numId w:val="83"/>
        </w:numPr>
        <w:tabs>
          <w:tab w:val="clear" w:pos="420"/>
        </w:tabs>
        <w:kinsoku/>
        <w:wordWrap/>
        <w:overflowPunct/>
        <w:topLinePunct w:val="0"/>
        <w:bidi w:val="0"/>
        <w:spacing w:line="360" w:lineRule="auto"/>
        <w:ind w:left="1665" w:leftChars="0" w:hanging="1665"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该产品</w:t>
      </w:r>
      <w:r>
        <w:rPr>
          <w:rFonts w:hint="eastAsia" w:ascii="宋体" w:hAnsi="宋体" w:eastAsia="宋体" w:cs="宋体"/>
          <w:sz w:val="24"/>
          <w:szCs w:val="24"/>
          <w:highlight w:val="none"/>
          <w:lang w:val="en-US" w:eastAsia="zh-CN"/>
        </w:rPr>
        <w:t>的软件可提供与空呼器配套计时的功能，计时时间30min报警。</w:t>
      </w:r>
    </w:p>
    <w:p>
      <w:pPr>
        <w:keepNext w:val="0"/>
        <w:keepLines w:val="0"/>
        <w:pageBreakBefore w:val="0"/>
        <w:numPr>
          <w:ilvl w:val="0"/>
          <w:numId w:val="83"/>
        </w:numPr>
        <w:tabs>
          <w:tab w:val="clear" w:pos="420"/>
        </w:tabs>
        <w:kinsoku/>
        <w:wordWrap/>
        <w:overflowPunct/>
        <w:topLinePunct w:val="0"/>
        <w:bidi w:val="0"/>
        <w:spacing w:line="360" w:lineRule="auto"/>
        <w:ind w:left="1665" w:leftChars="0" w:hanging="1665"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产品符合GB3836.1-2010、GB3836.4-2010标准。</w:t>
      </w:r>
    </w:p>
    <w:p>
      <w:pPr>
        <w:keepNext w:val="0"/>
        <w:keepLines w:val="0"/>
        <w:pageBreakBefore w:val="0"/>
        <w:numPr>
          <w:ilvl w:val="0"/>
          <w:numId w:val="83"/>
        </w:numPr>
        <w:tabs>
          <w:tab w:val="clear" w:pos="420"/>
        </w:tabs>
        <w:kinsoku/>
        <w:wordWrap/>
        <w:overflowPunct/>
        <w:topLinePunct w:val="0"/>
        <w:bidi w:val="0"/>
        <w:spacing w:line="360" w:lineRule="auto"/>
        <w:ind w:left="1665" w:leftChars="0" w:hanging="166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呼救器置于水深1.5m的容器内2h，无水渗入壳体内部，能正常保持在工作。</w:t>
      </w:r>
    </w:p>
    <w:p>
      <w:pPr>
        <w:keepNext w:val="0"/>
        <w:keepLines w:val="0"/>
        <w:pageBreakBefore w:val="0"/>
        <w:numPr>
          <w:ilvl w:val="0"/>
          <w:numId w:val="83"/>
        </w:numPr>
        <w:tabs>
          <w:tab w:val="clear" w:pos="420"/>
        </w:tabs>
        <w:kinsoku/>
        <w:wordWrap/>
        <w:overflowPunct/>
        <w:topLinePunct w:val="0"/>
        <w:bidi w:val="0"/>
        <w:spacing w:line="360" w:lineRule="auto"/>
        <w:ind w:left="1665" w:leftChars="0" w:hanging="166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使用智能组合快速充电器，充电电流500毫安，3小时能快速完成充电。          </w:t>
      </w:r>
    </w:p>
    <w:p>
      <w:pPr>
        <w:keepNext w:val="0"/>
        <w:keepLines w:val="0"/>
        <w:pageBreakBefore w:val="0"/>
        <w:numPr>
          <w:ilvl w:val="0"/>
          <w:numId w:val="82"/>
        </w:numPr>
        <w:tabs>
          <w:tab w:val="clear" w:pos="420"/>
        </w:tabs>
        <w:kinsoku/>
        <w:wordWrap/>
        <w:overflowPunct/>
        <w:topLinePunct w:val="0"/>
        <w:bidi w:val="0"/>
        <w:spacing w:line="360" w:lineRule="auto"/>
        <w:ind w:left="1245" w:leftChars="0" w:hanging="124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主要技术参数：</w:t>
      </w:r>
    </w:p>
    <w:p>
      <w:pPr>
        <w:keepNext w:val="0"/>
        <w:keepLines w:val="0"/>
        <w:pageBreakBefore w:val="0"/>
        <w:numPr>
          <w:ilvl w:val="0"/>
          <w:numId w:val="84"/>
        </w:numPr>
        <w:kinsoku/>
        <w:wordWrap/>
        <w:overflowPunct/>
        <w:topLinePunct w:val="0"/>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相对静止时间：30s±1s；  </w:t>
      </w:r>
    </w:p>
    <w:p>
      <w:pPr>
        <w:keepNext w:val="0"/>
        <w:keepLines w:val="0"/>
        <w:pageBreakBefore w:val="0"/>
        <w:numPr>
          <w:ilvl w:val="0"/>
          <w:numId w:val="84"/>
        </w:numPr>
        <w:kinsoku/>
        <w:wordWrap/>
        <w:overflowPunct/>
        <w:topLinePunct w:val="0"/>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预报警时间：15s±1s； </w:t>
      </w:r>
    </w:p>
    <w:p>
      <w:pPr>
        <w:keepNext w:val="0"/>
        <w:keepLines w:val="0"/>
        <w:pageBreakBefore w:val="0"/>
        <w:numPr>
          <w:ilvl w:val="0"/>
          <w:numId w:val="84"/>
        </w:numPr>
        <w:kinsoku/>
        <w:wordWrap/>
        <w:overflowPunct/>
        <w:topLinePunct w:val="0"/>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预报警声响：＞90dB；</w:t>
      </w:r>
    </w:p>
    <w:p>
      <w:pPr>
        <w:keepNext w:val="0"/>
        <w:keepLines w:val="0"/>
        <w:pageBreakBefore w:val="0"/>
        <w:numPr>
          <w:ilvl w:val="0"/>
          <w:numId w:val="84"/>
        </w:numPr>
        <w:kinsoku/>
        <w:wordWrap/>
        <w:overflowPunct/>
        <w:topLinePunct w:val="0"/>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连续强报警：＞330分钟；</w:t>
      </w:r>
    </w:p>
    <w:p>
      <w:pPr>
        <w:keepNext w:val="0"/>
        <w:keepLines w:val="0"/>
        <w:pageBreakBefore w:val="0"/>
        <w:numPr>
          <w:ilvl w:val="0"/>
          <w:numId w:val="84"/>
        </w:numPr>
        <w:kinsoku/>
        <w:wordWrap/>
        <w:overflowPunct/>
        <w:topLinePunct w:val="0"/>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强报警强度：≥100dB；    </w:t>
      </w:r>
    </w:p>
    <w:p>
      <w:pPr>
        <w:keepNext w:val="0"/>
        <w:keepLines w:val="0"/>
        <w:pageBreakBefore w:val="0"/>
        <w:numPr>
          <w:ilvl w:val="0"/>
          <w:numId w:val="84"/>
        </w:numPr>
        <w:kinsoku/>
        <w:wordWrap/>
        <w:overflowPunct/>
        <w:topLinePunct w:val="0"/>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连续待机：＞24小时；</w:t>
      </w:r>
    </w:p>
    <w:p>
      <w:pPr>
        <w:keepNext w:val="0"/>
        <w:keepLines w:val="0"/>
        <w:pageBreakBefore w:val="0"/>
        <w:numPr>
          <w:ilvl w:val="0"/>
          <w:numId w:val="84"/>
        </w:numPr>
        <w:kinsoku/>
        <w:wordWrap/>
        <w:overflowPunct/>
        <w:topLinePunct w:val="0"/>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温度报警：＞80°；</w:t>
      </w:r>
    </w:p>
    <w:p>
      <w:pPr>
        <w:keepNext w:val="0"/>
        <w:keepLines w:val="0"/>
        <w:pageBreakBefore w:val="0"/>
        <w:numPr>
          <w:ilvl w:val="0"/>
          <w:numId w:val="84"/>
        </w:numPr>
        <w:kinsoku/>
        <w:wordWrap/>
        <w:overflowPunct/>
        <w:topLinePunct w:val="0"/>
        <w:bidi w:val="0"/>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低压报警电压：7.2±0.2V；</w:t>
      </w:r>
    </w:p>
    <w:p>
      <w:pPr>
        <w:bidi w:val="0"/>
        <w:rPr>
          <w:rFonts w:hint="eastAsia"/>
          <w:b/>
          <w:bCs w:val="0"/>
        </w:rPr>
      </w:pPr>
    </w:p>
    <w:p>
      <w:pPr>
        <w:numPr>
          <w:ilvl w:val="0"/>
          <w:numId w:val="44"/>
        </w:numPr>
        <w:spacing w:line="360" w:lineRule="auto"/>
        <w:ind w:left="425" w:leftChars="0" w:hanging="425" w:firstLineChars="0"/>
        <w:jc w:val="both"/>
        <w:rPr>
          <w:rFonts w:hint="eastAsia"/>
          <w:b/>
          <w:bCs w:val="0"/>
          <w:color w:val="000000"/>
          <w:sz w:val="24"/>
          <w:szCs w:val="24"/>
          <w:highlight w:val="none"/>
        </w:rPr>
      </w:pPr>
      <w:r>
        <w:rPr>
          <w:rFonts w:hint="eastAsia"/>
          <w:b/>
          <w:bCs w:val="0"/>
          <w:color w:val="000000"/>
          <w:sz w:val="24"/>
          <w:szCs w:val="24"/>
          <w:highlight w:val="none"/>
        </w:rPr>
        <w:t>防护头套</w:t>
      </w:r>
    </w:p>
    <w:p>
      <w:pPr>
        <w:keepNext w:val="0"/>
        <w:keepLines w:val="0"/>
        <w:pageBreakBefore w:val="0"/>
        <w:numPr>
          <w:ilvl w:val="0"/>
          <w:numId w:val="85"/>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整体要求</w:t>
      </w:r>
    </w:p>
    <w:p>
      <w:pPr>
        <w:keepNext w:val="0"/>
        <w:keepLines w:val="0"/>
        <w:pageBreakBefore w:val="0"/>
        <w:numPr>
          <w:ilvl w:val="0"/>
          <w:numId w:val="86"/>
        </w:numPr>
        <w:tabs>
          <w:tab w:val="clear" w:pos="420"/>
        </w:tabs>
        <w:kinsoku/>
        <w:wordWrap/>
        <w:overflowPunct/>
        <w:topLinePunct w:val="0"/>
        <w:bidi w:val="0"/>
        <w:spacing w:line="360" w:lineRule="auto"/>
        <w:ind w:left="1665" w:leftChars="0" w:hanging="1665" w:firstLineChars="0"/>
        <w:jc w:val="left"/>
        <w:rPr>
          <w:rFonts w:hint="eastAsia" w:ascii="宋体" w:hAnsi="宋体" w:eastAsia="宋体" w:cs="宋体"/>
          <w:b/>
          <w:bCs w:val="0"/>
          <w:kern w:val="0"/>
          <w:sz w:val="24"/>
          <w:szCs w:val="24"/>
          <w:highlight w:val="none"/>
        </w:rPr>
      </w:pPr>
      <w:r>
        <w:rPr>
          <w:sz w:val="24"/>
        </w:rPr>
        <mc:AlternateContent>
          <mc:Choice Requires="wps">
            <w:drawing>
              <wp:anchor distT="0" distB="0" distL="114300" distR="114300" simplePos="0" relativeHeight="251712512" behindDoc="0" locked="0" layoutInCell="1" allowOverlap="1">
                <wp:simplePos x="0" y="0"/>
                <wp:positionH relativeFrom="column">
                  <wp:posOffset>-342900</wp:posOffset>
                </wp:positionH>
                <wp:positionV relativeFrom="paragraph">
                  <wp:posOffset>24130</wp:posOffset>
                </wp:positionV>
                <wp:extent cx="304800" cy="257175"/>
                <wp:effectExtent l="0" t="0" r="0" b="9525"/>
                <wp:wrapNone/>
                <wp:docPr id="56" name="文本框 56"/>
                <wp:cNvGraphicFramePr/>
                <a:graphic xmlns:a="http://schemas.openxmlformats.org/drawingml/2006/main">
                  <a:graphicData uri="http://schemas.microsoft.com/office/word/2010/wordprocessingShape">
                    <wps:wsp>
                      <wps:cNvSpPr txBox="1"/>
                      <wps:spPr>
                        <a:xfrm>
                          <a:off x="451485" y="4853305"/>
                          <a:ext cx="304800" cy="2571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1.9pt;height:20.25pt;width:24pt;z-index:251712512;mso-width-relative:page;mso-height-relative:page;" fillcolor="#FFFFFF [3201]" filled="t" stroked="f" coordsize="21600,21600" o:gfxdata="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3/bMONMA&#10;AAAHAQAADwAAAAAAAAABACAAAAAiAAAAZHJzL2Rvd25yZXYueG1sUEsBAhQAFAAAAAgAh07iQKEg&#10;Mo9dAgAAmwQAAA4AAAAAAAAAAQAgAAAAIgEAAGRycy9lMm9Eb2MueG1sUEsFBgAAAAAGAAYAWQEA&#10;APEFAAAA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b w:val="0"/>
          <w:bCs/>
          <w:kern w:val="0"/>
          <w:sz w:val="24"/>
          <w:szCs w:val="24"/>
        </w:rPr>
        <w:t>符合国家 GA869-2010《消防员灭火防护头套》标准要求，</w:t>
      </w:r>
      <w:r>
        <w:rPr>
          <w:rFonts w:hint="eastAsia" w:ascii="宋体" w:hAnsi="宋体" w:eastAsia="宋体" w:cs="宋体"/>
          <w:b w:val="0"/>
          <w:bCs/>
          <w:kern w:val="0"/>
          <w:sz w:val="24"/>
          <w:szCs w:val="24"/>
          <w:highlight w:val="none"/>
          <w:lang w:val="en-US" w:eastAsia="zh-CN"/>
        </w:rPr>
        <w:t>提供</w:t>
      </w:r>
      <w:r>
        <w:rPr>
          <w:rFonts w:hint="eastAsia" w:ascii="宋体" w:hAnsi="宋体" w:eastAsia="宋体" w:cs="宋体"/>
          <w:b/>
          <w:bCs w:val="0"/>
          <w:kern w:val="0"/>
          <w:sz w:val="24"/>
          <w:szCs w:val="24"/>
          <w:highlight w:val="none"/>
        </w:rPr>
        <w:t>检验报告</w:t>
      </w:r>
      <w:r>
        <w:rPr>
          <w:rFonts w:hint="eastAsia" w:ascii="宋体" w:hAnsi="宋体" w:eastAsia="宋体" w:cs="宋体"/>
          <w:b/>
          <w:bCs w:val="0"/>
          <w:kern w:val="0"/>
          <w:sz w:val="24"/>
          <w:szCs w:val="24"/>
          <w:highlight w:val="none"/>
          <w:lang w:val="en-US" w:eastAsia="zh-CN"/>
        </w:rPr>
        <w:t>并加盖公章</w:t>
      </w:r>
      <w:r>
        <w:rPr>
          <w:rFonts w:hint="eastAsia" w:ascii="宋体" w:hAnsi="宋体" w:eastAsia="宋体" w:cs="宋体"/>
          <w:b/>
          <w:bCs w:val="0"/>
          <w:kern w:val="0"/>
          <w:sz w:val="24"/>
          <w:szCs w:val="24"/>
          <w:highlight w:val="none"/>
        </w:rPr>
        <w:t>。</w:t>
      </w:r>
    </w:p>
    <w:p>
      <w:pPr>
        <w:keepNext w:val="0"/>
        <w:keepLines w:val="0"/>
        <w:pageBreakBefore w:val="0"/>
        <w:numPr>
          <w:ilvl w:val="0"/>
          <w:numId w:val="86"/>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消防员在灭火救援现场套在头部，与消防头盔和消防员呼吸防护装具配合使用，用于保护头部、侧面部以及颈部免受火焰烧伤或高温烫伤的防护装具。</w:t>
      </w:r>
    </w:p>
    <w:p>
      <w:pPr>
        <w:keepNext w:val="0"/>
        <w:keepLines w:val="0"/>
        <w:pageBreakBefore w:val="0"/>
        <w:kinsoku/>
        <w:wordWrap/>
        <w:overflowPunct/>
        <w:topLinePunct w:val="0"/>
        <w:bidi w:val="0"/>
        <w:spacing w:line="360" w:lineRule="auto"/>
        <w:jc w:val="left"/>
        <w:rPr>
          <w:rFonts w:hint="eastAsia" w:ascii="宋体" w:hAnsi="宋体" w:eastAsia="宋体" w:cs="宋体"/>
          <w:b w:val="0"/>
          <w:bCs/>
          <w:kern w:val="0"/>
          <w:sz w:val="24"/>
          <w:szCs w:val="24"/>
        </w:rPr>
      </w:pPr>
    </w:p>
    <w:p>
      <w:pPr>
        <w:keepNext w:val="0"/>
        <w:keepLines w:val="0"/>
        <w:pageBreakBefore w:val="0"/>
        <w:numPr>
          <w:ilvl w:val="0"/>
          <w:numId w:val="85"/>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材料及结构</w:t>
      </w:r>
    </w:p>
    <w:p>
      <w:pPr>
        <w:keepNext w:val="0"/>
        <w:keepLines w:val="0"/>
        <w:pageBreakBefore w:val="0"/>
        <w:numPr>
          <w:ilvl w:val="0"/>
          <w:numId w:val="87"/>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面料为针织面料，</w:t>
      </w:r>
      <w:r>
        <w:rPr>
          <w:rFonts w:hint="eastAsia" w:ascii="宋体" w:hAnsi="宋体" w:eastAsia="宋体" w:cs="宋体"/>
          <w:b w:val="0"/>
          <w:bCs/>
          <w:kern w:val="0"/>
          <w:sz w:val="24"/>
          <w:szCs w:val="24"/>
          <w:highlight w:val="none"/>
        </w:rPr>
        <w:t>采用芳纶纤维与</w:t>
      </w:r>
      <w:r>
        <w:rPr>
          <w:rFonts w:hint="eastAsia" w:ascii="宋体" w:hAnsi="宋体" w:eastAsia="宋体" w:cs="宋体"/>
          <w:b w:val="0"/>
          <w:bCs/>
          <w:kern w:val="0"/>
          <w:sz w:val="24"/>
          <w:szCs w:val="24"/>
        </w:rPr>
        <w:t>抗静电纤维混纺制造，克重（225±18）g/m</w:t>
      </w:r>
      <w:r>
        <w:rPr>
          <w:rFonts w:hint="eastAsia" w:ascii="宋体" w:hAnsi="宋体" w:eastAsia="宋体" w:cs="宋体"/>
          <w:b w:val="0"/>
          <w:bCs/>
          <w:kern w:val="0"/>
          <w:sz w:val="24"/>
          <w:szCs w:val="24"/>
          <w:vertAlign w:val="superscript"/>
        </w:rPr>
        <w:t>2</w:t>
      </w:r>
      <w:r>
        <w:rPr>
          <w:rFonts w:hint="eastAsia" w:ascii="宋体" w:hAnsi="宋体" w:eastAsia="宋体" w:cs="宋体"/>
          <w:b w:val="0"/>
          <w:bCs/>
          <w:kern w:val="0"/>
          <w:sz w:val="24"/>
          <w:szCs w:val="24"/>
        </w:rPr>
        <w:t>。</w:t>
      </w:r>
    </w:p>
    <w:p>
      <w:pPr>
        <w:keepNext w:val="0"/>
        <w:keepLines w:val="0"/>
        <w:pageBreakBefore w:val="0"/>
        <w:numPr>
          <w:ilvl w:val="0"/>
          <w:numId w:val="87"/>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本产品为双层结构，柔软舒适，耐水洗，长时间使用并多次清洗后，阻燃隔热效果不受影响。</w:t>
      </w:r>
    </w:p>
    <w:p>
      <w:pPr>
        <w:keepNext w:val="0"/>
        <w:keepLines w:val="0"/>
        <w:pageBreakBefore w:val="0"/>
        <w:numPr>
          <w:ilvl w:val="0"/>
          <w:numId w:val="87"/>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头套前部、后部与防护服领口内重叠的长度≥200mm，头套侧部与防护服领口内重叠的长度≥130mm，保证在剧烈运动时，头套仍然能够固定并塞在衣服内。</w:t>
      </w:r>
    </w:p>
    <w:p>
      <w:pPr>
        <w:keepNext w:val="0"/>
        <w:keepLines w:val="0"/>
        <w:pageBreakBefore w:val="0"/>
        <w:numPr>
          <w:ilvl w:val="0"/>
          <w:numId w:val="87"/>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颜色为黑色。</w:t>
      </w:r>
    </w:p>
    <w:p>
      <w:pPr>
        <w:keepNext w:val="0"/>
        <w:keepLines w:val="0"/>
        <w:pageBreakBefore w:val="0"/>
        <w:kinsoku/>
        <w:wordWrap/>
        <w:overflowPunct/>
        <w:topLinePunct w:val="0"/>
        <w:bidi w:val="0"/>
        <w:spacing w:line="360" w:lineRule="auto"/>
        <w:jc w:val="left"/>
        <w:rPr>
          <w:rFonts w:hint="eastAsia" w:ascii="宋体" w:hAnsi="宋体" w:eastAsia="宋体" w:cs="宋体"/>
          <w:b w:val="0"/>
          <w:bCs/>
          <w:kern w:val="0"/>
          <w:sz w:val="24"/>
          <w:szCs w:val="24"/>
        </w:rPr>
      </w:pPr>
    </w:p>
    <w:p>
      <w:pPr>
        <w:keepNext w:val="0"/>
        <w:keepLines w:val="0"/>
        <w:pageBreakBefore w:val="0"/>
        <w:numPr>
          <w:ilvl w:val="0"/>
          <w:numId w:val="85"/>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技术性能</w:t>
      </w:r>
    </w:p>
    <w:p>
      <w:pPr>
        <w:keepNext w:val="0"/>
        <w:keepLines w:val="0"/>
        <w:pageBreakBefore w:val="0"/>
        <w:numPr>
          <w:ilvl w:val="0"/>
          <w:numId w:val="88"/>
        </w:numPr>
        <w:tabs>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阻燃性能：经向损毁长度≤20mm、纬向损毁长度≤18mm，续燃时间0s，无熔融、滴落现象；</w:t>
      </w:r>
    </w:p>
    <w:p>
      <w:pPr>
        <w:keepNext w:val="0"/>
        <w:keepLines w:val="0"/>
        <w:pageBreakBefore w:val="0"/>
        <w:numPr>
          <w:ilvl w:val="0"/>
          <w:numId w:val="88"/>
        </w:numPr>
        <w:tabs>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热稳定性能：尺寸变化率≤2.0%，无变色、熔融和滴落现象；</w:t>
      </w:r>
    </w:p>
    <w:p>
      <w:pPr>
        <w:keepNext w:val="0"/>
        <w:keepLines w:val="0"/>
        <w:pageBreakBefore w:val="0"/>
        <w:numPr>
          <w:ilvl w:val="0"/>
          <w:numId w:val="88"/>
        </w:numPr>
        <w:tabs>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水洗尺寸变化率：直向≤1.5%、横向≤1.4%；</w:t>
      </w:r>
    </w:p>
    <w:p>
      <w:pPr>
        <w:keepNext w:val="0"/>
        <w:keepLines w:val="0"/>
        <w:pageBreakBefore w:val="0"/>
        <w:numPr>
          <w:ilvl w:val="0"/>
          <w:numId w:val="88"/>
        </w:numPr>
        <w:tabs>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抗起球性能：4级；</w:t>
      </w:r>
    </w:p>
    <w:p>
      <w:pPr>
        <w:keepNext w:val="0"/>
        <w:keepLines w:val="0"/>
        <w:pageBreakBefore w:val="0"/>
        <w:numPr>
          <w:ilvl w:val="0"/>
          <w:numId w:val="88"/>
        </w:numPr>
        <w:tabs>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甲醛含量：无；</w:t>
      </w:r>
    </w:p>
    <w:p>
      <w:pPr>
        <w:keepNext w:val="0"/>
        <w:keepLines w:val="0"/>
        <w:pageBreakBefore w:val="0"/>
        <w:numPr>
          <w:ilvl w:val="0"/>
          <w:numId w:val="88"/>
        </w:numPr>
        <w:tabs>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PH值：4.0-7.5</w:t>
      </w:r>
    </w:p>
    <w:p>
      <w:pPr>
        <w:keepNext w:val="0"/>
        <w:keepLines w:val="0"/>
        <w:pageBreakBefore w:val="0"/>
        <w:numPr>
          <w:ilvl w:val="0"/>
          <w:numId w:val="88"/>
        </w:numPr>
        <w:tabs>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缝纫线耐高温性能：无熔融、炭化现象；</w:t>
      </w:r>
    </w:p>
    <w:p>
      <w:pPr>
        <w:keepNext w:val="0"/>
        <w:keepLines w:val="0"/>
        <w:pageBreakBefore w:val="0"/>
        <w:numPr>
          <w:ilvl w:val="0"/>
          <w:numId w:val="88"/>
        </w:numPr>
        <w:tabs>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sz w:val="24"/>
        </w:rPr>
        <mc:AlternateContent>
          <mc:Choice Requires="wps">
            <w:drawing>
              <wp:anchor distT="0" distB="0" distL="114300" distR="114300" simplePos="0" relativeHeight="251713536" behindDoc="0" locked="0" layoutInCell="1" allowOverlap="1">
                <wp:simplePos x="0" y="0"/>
                <wp:positionH relativeFrom="column">
                  <wp:posOffset>-276225</wp:posOffset>
                </wp:positionH>
                <wp:positionV relativeFrom="paragraph">
                  <wp:posOffset>18415</wp:posOffset>
                </wp:positionV>
                <wp:extent cx="266700" cy="247650"/>
                <wp:effectExtent l="0" t="0" r="0" b="0"/>
                <wp:wrapNone/>
                <wp:docPr id="57" name="文本框 57"/>
                <wp:cNvGraphicFramePr/>
                <a:graphic xmlns:a="http://schemas.openxmlformats.org/drawingml/2006/main">
                  <a:graphicData uri="http://schemas.microsoft.com/office/word/2010/wordprocessingShape">
                    <wps:wsp>
                      <wps:cNvSpPr txBox="1"/>
                      <wps:spPr>
                        <a:xfrm>
                          <a:off x="384810" y="3192145"/>
                          <a:ext cx="266700"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75pt;margin-top:1.45pt;height:19.5pt;width:21pt;z-index:251713536;mso-width-relative:page;mso-height-relative:page;" fillcolor="#FFFFFF [3201]" filled="t" stroked="f" coordsize="21600,21600" o:gfxdata="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keF1PSAAAA&#10;BwEAAA8AAAAAAAAAAQAgAAAAIgAAAGRycy9kb3ducmV2LnhtbFBLAQIUABQAAAAIAIdO4kAXCQXl&#10;XAIAAJsEAAAOAAAAAAAAAAEAIAAAACEBAABkcnMvZTJvRG9jLnhtbFBLBQYAAAAABgAGAFkBAADv&#10;BQAAA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b w:val="0"/>
          <w:bCs/>
          <w:kern w:val="0"/>
          <w:sz w:val="24"/>
          <w:szCs w:val="24"/>
        </w:rPr>
        <w:t>整体性能：接缝强力:≥610N；面部开口尺寸稳定性≤1.0%；针距密度：缝制明暗线14针/3cm；质量：≤130g.</w:t>
      </w:r>
    </w:p>
    <w:p>
      <w:pPr>
        <w:keepNext w:val="0"/>
        <w:keepLines w:val="0"/>
        <w:pageBreakBefore w:val="0"/>
        <w:kinsoku/>
        <w:wordWrap/>
        <w:overflowPunct/>
        <w:topLinePunct w:val="0"/>
        <w:bidi w:val="0"/>
        <w:spacing w:line="360" w:lineRule="auto"/>
        <w:jc w:val="left"/>
        <w:rPr>
          <w:rFonts w:hint="eastAsia" w:ascii="宋体" w:hAnsi="宋体" w:eastAsia="宋体" w:cs="宋体"/>
          <w:b w:val="0"/>
          <w:bCs/>
          <w:kern w:val="0"/>
          <w:sz w:val="24"/>
          <w:szCs w:val="24"/>
        </w:rPr>
      </w:pPr>
    </w:p>
    <w:p>
      <w:pPr>
        <w:keepNext w:val="0"/>
        <w:keepLines w:val="0"/>
        <w:pageBreakBefore w:val="0"/>
        <w:numPr>
          <w:ilvl w:val="0"/>
          <w:numId w:val="85"/>
        </w:numPr>
        <w:tabs>
          <w:tab w:val="clear" w:pos="420"/>
        </w:tabs>
        <w:kinsoku/>
        <w:wordWrap/>
        <w:overflowPunct/>
        <w:topLinePunct w:val="0"/>
        <w:bidi w:val="0"/>
        <w:spacing w:line="360" w:lineRule="auto"/>
        <w:ind w:left="1260" w:leftChars="0" w:hanging="126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其他</w:t>
      </w:r>
      <w:r>
        <w:rPr>
          <w:rFonts w:hint="eastAsia" w:ascii="宋体" w:hAnsi="宋体" w:eastAsia="宋体" w:cs="宋体"/>
          <w:b w:val="0"/>
          <w:bCs/>
          <w:kern w:val="0"/>
          <w:sz w:val="24"/>
          <w:szCs w:val="24"/>
          <w:lang w:eastAsia="zh-CN"/>
        </w:rPr>
        <w:t>：</w:t>
      </w:r>
      <w:r>
        <w:rPr>
          <w:rFonts w:hint="eastAsia" w:ascii="宋体" w:hAnsi="宋体" w:eastAsia="宋体" w:cs="宋体"/>
          <w:b w:val="0"/>
          <w:bCs/>
          <w:kern w:val="0"/>
          <w:sz w:val="24"/>
          <w:szCs w:val="24"/>
        </w:rPr>
        <w:t>每只头套有永久性的标签，标签内容包括：规格型号、执行标准、产品识别编号、材料、生产厂家、地址、生产日期、洗涤和干燥说明、禁止使用场合。</w:t>
      </w:r>
    </w:p>
    <w:p>
      <w:pPr>
        <w:bidi w:val="0"/>
        <w:rPr>
          <w:rFonts w:hint="eastAsia"/>
          <w:b/>
          <w:bCs w:val="0"/>
        </w:rPr>
      </w:pPr>
    </w:p>
    <w:p>
      <w:pPr>
        <w:numPr>
          <w:ilvl w:val="0"/>
          <w:numId w:val="44"/>
        </w:numPr>
        <w:spacing w:line="360" w:lineRule="auto"/>
        <w:ind w:left="425" w:leftChars="0" w:hanging="425" w:firstLineChars="0"/>
        <w:jc w:val="both"/>
        <w:rPr>
          <w:rFonts w:hint="eastAsia"/>
          <w:b/>
          <w:bCs w:val="0"/>
          <w:color w:val="000000"/>
          <w:sz w:val="24"/>
          <w:szCs w:val="24"/>
          <w:highlight w:val="none"/>
        </w:rPr>
      </w:pPr>
      <w:r>
        <w:rPr>
          <w:rFonts w:hint="eastAsia"/>
          <w:b/>
          <w:bCs w:val="0"/>
          <w:color w:val="000000"/>
          <w:sz w:val="24"/>
          <w:szCs w:val="24"/>
          <w:highlight w:val="none"/>
        </w:rPr>
        <w:t>安全钩</w:t>
      </w:r>
    </w:p>
    <w:p>
      <w:pPr>
        <w:keepNext w:val="0"/>
        <w:keepLines w:val="0"/>
        <w:pageBreakBefore w:val="0"/>
        <w:numPr>
          <w:ilvl w:val="0"/>
          <w:numId w:val="89"/>
        </w:numPr>
        <w:tabs>
          <w:tab w:val="left" w:pos="900"/>
        </w:tabs>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整体要求</w:t>
      </w:r>
    </w:p>
    <w:p>
      <w:pPr>
        <w:keepNext w:val="0"/>
        <w:keepLines w:val="0"/>
        <w:pageBreakBefore w:val="0"/>
        <w:numPr>
          <w:ilvl w:val="0"/>
          <w:numId w:val="90"/>
        </w:numPr>
        <w:tabs>
          <w:tab w:val="left" w:pos="1680"/>
          <w:tab w:val="clear" w:pos="420"/>
        </w:tabs>
        <w:kinsoku/>
        <w:wordWrap/>
        <w:overflowPunct/>
        <w:topLinePunct w:val="0"/>
        <w:bidi w:val="0"/>
        <w:spacing w:line="360" w:lineRule="auto"/>
        <w:ind w:left="1665" w:leftChars="0" w:hanging="1665" w:firstLineChars="0"/>
        <w:jc w:val="left"/>
        <w:rPr>
          <w:rFonts w:hint="eastAsia" w:ascii="宋体" w:hAnsi="宋体" w:eastAsia="宋体" w:cs="宋体"/>
          <w:b/>
          <w:bCs w:val="0"/>
          <w:kern w:val="0"/>
          <w:sz w:val="24"/>
          <w:szCs w:val="24"/>
          <w:highlight w:val="none"/>
        </w:rPr>
      </w:pPr>
      <w:r>
        <w:rPr>
          <w:sz w:val="24"/>
        </w:rPr>
        <mc:AlternateContent>
          <mc:Choice Requires="wps">
            <w:drawing>
              <wp:anchor distT="0" distB="0" distL="114300" distR="114300" simplePos="0" relativeHeight="251714560" behindDoc="0" locked="0" layoutInCell="1" allowOverlap="1">
                <wp:simplePos x="0" y="0"/>
                <wp:positionH relativeFrom="column">
                  <wp:posOffset>-342900</wp:posOffset>
                </wp:positionH>
                <wp:positionV relativeFrom="paragraph">
                  <wp:posOffset>26035</wp:posOffset>
                </wp:positionV>
                <wp:extent cx="295275" cy="257175"/>
                <wp:effectExtent l="0" t="0" r="9525" b="9525"/>
                <wp:wrapNone/>
                <wp:docPr id="58" name="文本框 58"/>
                <wp:cNvGraphicFramePr/>
                <a:graphic xmlns:a="http://schemas.openxmlformats.org/drawingml/2006/main">
                  <a:graphicData uri="http://schemas.microsoft.com/office/word/2010/wordprocessingShape">
                    <wps:wsp>
                      <wps:cNvSpPr txBox="1"/>
                      <wps:spPr>
                        <a:xfrm>
                          <a:off x="346710" y="5727700"/>
                          <a:ext cx="295275" cy="2571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2.05pt;height:20.25pt;width:23.25pt;z-index:251714560;mso-width-relative:page;mso-height-relative:page;" fillcolor="#FFFFFF [3201]" filled="t" stroked="f" coordsize="21600,21600" o:gfxdata="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YY1VR0wAAAAcB&#10;AAAPAAAAAAAAAAEAIAAAACIAAABkcnMvZG93bnJldi54bWxQSwECFAAUAAAACACHTuJAWDEA/1kC&#10;AACbBAAADgAAAAAAAAABACAAAAAiAQAAZHJzL2Uyb0RvYy54bWxQSwUGAAAAAAYABgBZAQAA7QUA&#10;AA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b w:val="0"/>
          <w:bCs/>
          <w:kern w:val="0"/>
          <w:sz w:val="24"/>
          <w:szCs w:val="24"/>
        </w:rPr>
        <w:t>符合GA494-2004《消防用防坠落装备》标准要求。</w:t>
      </w:r>
      <w:r>
        <w:rPr>
          <w:rFonts w:hint="eastAsia" w:ascii="宋体" w:hAnsi="宋体" w:eastAsia="宋体" w:cs="宋体"/>
          <w:b w:val="0"/>
          <w:bCs/>
          <w:kern w:val="0"/>
          <w:sz w:val="24"/>
          <w:szCs w:val="24"/>
          <w:highlight w:val="none"/>
        </w:rPr>
        <w:t>提供</w:t>
      </w:r>
      <w:r>
        <w:rPr>
          <w:rFonts w:hint="eastAsia" w:ascii="宋体" w:hAnsi="宋体" w:eastAsia="宋体" w:cs="宋体"/>
          <w:b/>
          <w:bCs w:val="0"/>
          <w:kern w:val="0"/>
          <w:sz w:val="24"/>
          <w:szCs w:val="24"/>
          <w:highlight w:val="none"/>
        </w:rPr>
        <w:t>检测报告</w:t>
      </w:r>
      <w:r>
        <w:rPr>
          <w:rFonts w:hint="eastAsia" w:ascii="宋体" w:hAnsi="宋体" w:eastAsia="宋体" w:cs="宋体"/>
          <w:b/>
          <w:bCs w:val="0"/>
          <w:kern w:val="0"/>
          <w:sz w:val="24"/>
          <w:szCs w:val="24"/>
          <w:highlight w:val="none"/>
          <w:lang w:val="en-US" w:eastAsia="zh-CN"/>
        </w:rPr>
        <w:t>并加盖公章</w:t>
      </w:r>
      <w:r>
        <w:rPr>
          <w:rFonts w:hint="eastAsia" w:ascii="宋体" w:hAnsi="宋体" w:eastAsia="宋体" w:cs="宋体"/>
          <w:b/>
          <w:bCs w:val="0"/>
          <w:kern w:val="0"/>
          <w:sz w:val="24"/>
          <w:szCs w:val="24"/>
          <w:highlight w:val="none"/>
        </w:rPr>
        <w:t>。</w:t>
      </w:r>
    </w:p>
    <w:p>
      <w:pPr>
        <w:keepNext w:val="0"/>
        <w:keepLines w:val="0"/>
        <w:pageBreakBefore w:val="0"/>
        <w:numPr>
          <w:ilvl w:val="0"/>
          <w:numId w:val="90"/>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材料为铝合金7075，形状为D型。</w:t>
      </w:r>
    </w:p>
    <w:p>
      <w:pPr>
        <w:keepNext w:val="0"/>
        <w:keepLines w:val="0"/>
        <w:pageBreakBefore w:val="0"/>
        <w:kinsoku/>
        <w:wordWrap/>
        <w:overflowPunct/>
        <w:topLinePunct w:val="0"/>
        <w:bidi w:val="0"/>
        <w:spacing w:line="360" w:lineRule="auto"/>
        <w:jc w:val="left"/>
        <w:rPr>
          <w:rFonts w:hint="eastAsia" w:ascii="宋体" w:hAnsi="宋体" w:eastAsia="宋体" w:cs="宋体"/>
          <w:b w:val="0"/>
          <w:bCs/>
          <w:kern w:val="0"/>
          <w:sz w:val="24"/>
          <w:szCs w:val="24"/>
        </w:rPr>
      </w:pPr>
    </w:p>
    <w:p>
      <w:pPr>
        <w:keepNext w:val="0"/>
        <w:keepLines w:val="0"/>
        <w:pageBreakBefore w:val="0"/>
        <w:numPr>
          <w:ilvl w:val="0"/>
          <w:numId w:val="89"/>
        </w:numPr>
        <w:tabs>
          <w:tab w:val="left" w:pos="900"/>
        </w:tabs>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技术参数</w:t>
      </w:r>
    </w:p>
    <w:p>
      <w:pPr>
        <w:keepNext w:val="0"/>
        <w:keepLines w:val="0"/>
        <w:pageBreakBefore w:val="0"/>
        <w:numPr>
          <w:ilvl w:val="0"/>
          <w:numId w:val="91"/>
        </w:numPr>
        <w:kinsoku/>
        <w:wordWrap/>
        <w:overflowPunct/>
        <w:topLinePunct w:val="0"/>
        <w:bidi w:val="0"/>
        <w:spacing w:line="360" w:lineRule="auto"/>
        <w:ind w:left="425" w:leftChars="0" w:hanging="425" w:firstLineChars="0"/>
        <w:jc w:val="left"/>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有自</w:t>
      </w:r>
      <w:r>
        <w:rPr>
          <w:rFonts w:hint="eastAsia" w:ascii="宋体" w:hAnsi="宋体" w:eastAsia="宋体" w:cs="宋体"/>
          <w:b w:val="0"/>
          <w:bCs/>
          <w:kern w:val="0"/>
          <w:sz w:val="24"/>
          <w:szCs w:val="24"/>
          <w:lang w:val="zh-CN"/>
        </w:rPr>
        <w:t>自动保护三锁装置（即提起、转动和开锁）</w:t>
      </w:r>
      <w:r>
        <w:rPr>
          <w:rFonts w:hint="eastAsia" w:ascii="宋体" w:hAnsi="宋体" w:eastAsia="宋体" w:cs="宋体"/>
          <w:b w:val="0"/>
          <w:bCs/>
          <w:color w:val="000000"/>
          <w:kern w:val="0"/>
          <w:sz w:val="24"/>
          <w:szCs w:val="24"/>
        </w:rPr>
        <w:t>。</w:t>
      </w:r>
    </w:p>
    <w:p>
      <w:pPr>
        <w:keepNext w:val="0"/>
        <w:keepLines w:val="0"/>
        <w:pageBreakBefore w:val="0"/>
        <w:numPr>
          <w:ilvl w:val="0"/>
          <w:numId w:val="91"/>
        </w:numPr>
        <w:tabs>
          <w:tab w:val="clear" w:pos="420"/>
        </w:tabs>
        <w:kinsoku/>
        <w:wordWrap/>
        <w:overflowPunct/>
        <w:topLinePunct w:val="0"/>
        <w:bidi w:val="0"/>
        <w:spacing w:line="360" w:lineRule="auto"/>
        <w:ind w:left="1665" w:leftChars="0" w:hanging="1665" w:firstLineChars="0"/>
        <w:jc w:val="left"/>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2.2外观无棱角、毛刺、裂纹，无明显压痕和划伤等缺陷，边缘呈弧形。</w:t>
      </w:r>
    </w:p>
    <w:p>
      <w:pPr>
        <w:keepNext w:val="0"/>
        <w:keepLines w:val="0"/>
        <w:pageBreakBefore w:val="0"/>
        <w:numPr>
          <w:ilvl w:val="0"/>
          <w:numId w:val="91"/>
        </w:numPr>
        <w:tabs>
          <w:tab w:val="clear" w:pos="420"/>
        </w:tabs>
        <w:kinsoku/>
        <w:wordWrap/>
        <w:overflowPunct/>
        <w:topLinePunct w:val="0"/>
        <w:bidi w:val="0"/>
        <w:spacing w:line="360" w:lineRule="auto"/>
        <w:ind w:left="1665" w:leftChars="0" w:hanging="1665" w:firstLineChars="0"/>
        <w:jc w:val="left"/>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2.3在开口闭合状态时，安全钩长轴破裂强度≥27KN。</w:t>
      </w:r>
    </w:p>
    <w:p>
      <w:pPr>
        <w:keepNext w:val="0"/>
        <w:keepLines w:val="0"/>
        <w:pageBreakBefore w:val="0"/>
        <w:numPr>
          <w:ilvl w:val="0"/>
          <w:numId w:val="91"/>
        </w:numPr>
        <w:tabs>
          <w:tab w:val="clear" w:pos="420"/>
        </w:tabs>
        <w:kinsoku/>
        <w:wordWrap/>
        <w:overflowPunct/>
        <w:topLinePunct w:val="0"/>
        <w:bidi w:val="0"/>
        <w:spacing w:line="360" w:lineRule="auto"/>
        <w:ind w:left="1665" w:leftChars="0" w:hanging="1665" w:firstLineChars="0"/>
        <w:jc w:val="left"/>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2.4在开口打开状态时，安全钩长轴破裂强度≥7KN。</w:t>
      </w:r>
    </w:p>
    <w:p>
      <w:pPr>
        <w:keepNext w:val="0"/>
        <w:keepLines w:val="0"/>
        <w:pageBreakBefore w:val="0"/>
        <w:numPr>
          <w:ilvl w:val="0"/>
          <w:numId w:val="91"/>
        </w:numPr>
        <w:tabs>
          <w:tab w:val="clear" w:pos="420"/>
        </w:tabs>
        <w:kinsoku/>
        <w:wordWrap/>
        <w:overflowPunct/>
        <w:topLinePunct w:val="0"/>
        <w:bidi w:val="0"/>
        <w:spacing w:line="360" w:lineRule="auto"/>
        <w:ind w:left="1665" w:leftChars="0" w:hanging="1665" w:firstLineChars="0"/>
        <w:jc w:val="left"/>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2.5安全钩短轴破裂强度≥7KN。</w:t>
      </w:r>
    </w:p>
    <w:p>
      <w:pPr>
        <w:keepNext w:val="0"/>
        <w:keepLines w:val="0"/>
        <w:pageBreakBefore w:val="0"/>
        <w:numPr>
          <w:ilvl w:val="0"/>
          <w:numId w:val="91"/>
        </w:numPr>
        <w:tabs>
          <w:tab w:val="clear" w:pos="420"/>
        </w:tabs>
        <w:kinsoku/>
        <w:wordWrap/>
        <w:overflowPunct/>
        <w:topLinePunct w:val="0"/>
        <w:bidi w:val="0"/>
        <w:spacing w:line="360" w:lineRule="auto"/>
        <w:ind w:left="1665" w:leftChars="0" w:hanging="1665" w:firstLineChars="0"/>
        <w:jc w:val="left"/>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2.6安全钩经GB/T10125-1997规定的48小时中性盐雾试验后，外观符合GB6461-2002外观等级评定轻微级的要求，并保持原有性能。</w:t>
      </w:r>
    </w:p>
    <w:p>
      <w:pPr>
        <w:keepNext w:val="0"/>
        <w:keepLines w:val="0"/>
        <w:pageBreakBefore w:val="0"/>
        <w:numPr>
          <w:ilvl w:val="0"/>
          <w:numId w:val="91"/>
        </w:numPr>
        <w:tabs>
          <w:tab w:val="clear" w:pos="420"/>
        </w:tabs>
        <w:kinsoku/>
        <w:wordWrap/>
        <w:overflowPunct/>
        <w:topLinePunct w:val="0"/>
        <w:bidi w:val="0"/>
        <w:spacing w:line="360" w:lineRule="auto"/>
        <w:ind w:left="1665" w:leftChars="0" w:hanging="1665" w:firstLineChars="0"/>
        <w:jc w:val="left"/>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2.7开口距离：20±1 mm</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b w:val="0"/>
          <w:bCs/>
          <w:kern w:val="0"/>
          <w:sz w:val="24"/>
          <w:szCs w:val="24"/>
        </w:rPr>
      </w:pPr>
    </w:p>
    <w:p>
      <w:pPr>
        <w:keepNext w:val="0"/>
        <w:keepLines w:val="0"/>
        <w:pageBreakBefore w:val="0"/>
        <w:numPr>
          <w:ilvl w:val="0"/>
          <w:numId w:val="89"/>
        </w:numPr>
        <w:tabs>
          <w:tab w:val="left" w:pos="900"/>
        </w:tabs>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外观</w:t>
      </w:r>
    </w:p>
    <w:p>
      <w:pPr>
        <w:keepNext w:val="0"/>
        <w:keepLines w:val="0"/>
        <w:pageBreakBefore w:val="0"/>
        <w:numPr>
          <w:ilvl w:val="0"/>
          <w:numId w:val="92"/>
        </w:numPr>
        <w:kinsoku/>
        <w:wordWrap/>
        <w:overflowPunct/>
        <w:topLinePunct w:val="0"/>
        <w:bidi w:val="0"/>
        <w:spacing w:line="360" w:lineRule="auto"/>
        <w:ind w:left="425" w:leftChars="0" w:hanging="425" w:firstLineChars="0"/>
        <w:jc w:val="left"/>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产品具有生产厂家、出厂日期、型号等永久性标识。</w:t>
      </w:r>
    </w:p>
    <w:p>
      <w:pPr>
        <w:keepNext w:val="0"/>
        <w:keepLines w:val="0"/>
        <w:pageBreakBefore w:val="0"/>
        <w:numPr>
          <w:ilvl w:val="0"/>
          <w:numId w:val="92"/>
        </w:numPr>
        <w:kinsoku/>
        <w:wordWrap/>
        <w:overflowPunct/>
        <w:topLinePunct w:val="0"/>
        <w:bidi w:val="0"/>
        <w:spacing w:line="360" w:lineRule="auto"/>
        <w:ind w:left="425" w:leftChars="0" w:hanging="425" w:firstLineChars="0"/>
        <w:jc w:val="left"/>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规格：</w:t>
      </w:r>
      <w:r>
        <w:rPr>
          <w:rFonts w:hint="eastAsia" w:ascii="宋体" w:hAnsi="宋体" w:eastAsia="宋体" w:cs="宋体"/>
          <w:b w:val="0"/>
          <w:bCs/>
          <w:color w:val="000000"/>
          <w:kern w:val="0"/>
          <w:sz w:val="24"/>
          <w:szCs w:val="24"/>
          <w:lang w:val="zh-CN"/>
        </w:rPr>
        <w:t>尺寸145mm×67（±2）mm</w:t>
      </w:r>
      <w:r>
        <w:rPr>
          <w:rFonts w:hint="eastAsia" w:ascii="宋体" w:hAnsi="宋体" w:eastAsia="宋体" w:cs="宋体"/>
          <w:b w:val="0"/>
          <w:bCs/>
          <w:color w:val="000000"/>
          <w:kern w:val="0"/>
          <w:sz w:val="24"/>
          <w:szCs w:val="24"/>
        </w:rPr>
        <w:t>，重量≤110g。</w:t>
      </w:r>
    </w:p>
    <w:p>
      <w:pPr>
        <w:bidi w:val="0"/>
        <w:rPr>
          <w:rFonts w:hint="eastAsia"/>
          <w:b/>
          <w:bCs w:val="0"/>
        </w:rPr>
      </w:pPr>
    </w:p>
    <w:p>
      <w:pPr>
        <w:numPr>
          <w:ilvl w:val="0"/>
          <w:numId w:val="44"/>
        </w:numPr>
        <w:spacing w:line="360" w:lineRule="auto"/>
        <w:ind w:left="425" w:leftChars="0" w:hanging="425" w:firstLineChars="0"/>
        <w:jc w:val="both"/>
        <w:rPr>
          <w:rFonts w:hint="default"/>
          <w:b/>
          <w:bCs w:val="0"/>
          <w:color w:val="000000"/>
          <w:sz w:val="24"/>
          <w:szCs w:val="24"/>
          <w:highlight w:val="none"/>
          <w:lang w:val="en-US" w:eastAsia="zh-CN"/>
        </w:rPr>
      </w:pPr>
      <w:r>
        <w:rPr>
          <w:rFonts w:hint="eastAsia"/>
          <w:b/>
          <w:bCs w:val="0"/>
          <w:color w:val="000000"/>
          <w:sz w:val="24"/>
          <w:szCs w:val="24"/>
          <w:highlight w:val="none"/>
          <w:lang w:val="en-US" w:eastAsia="zh-CN"/>
        </w:rPr>
        <w:t>抢险救援头盔</w:t>
      </w:r>
    </w:p>
    <w:p>
      <w:pPr>
        <w:keepNext w:val="0"/>
        <w:keepLines w:val="0"/>
        <w:pageBreakBefore w:val="0"/>
        <w:numPr>
          <w:ilvl w:val="0"/>
          <w:numId w:val="93"/>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整体要求</w:t>
      </w:r>
    </w:p>
    <w:p>
      <w:pPr>
        <w:keepNext w:val="0"/>
        <w:keepLines w:val="0"/>
        <w:pageBreakBefore w:val="0"/>
        <w:numPr>
          <w:ilvl w:val="0"/>
          <w:numId w:val="94"/>
        </w:numPr>
        <w:tabs>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bCs w:val="0"/>
          <w:kern w:val="0"/>
          <w:sz w:val="24"/>
          <w:szCs w:val="24"/>
          <w:highlight w:val="none"/>
        </w:rPr>
      </w:pPr>
      <w:r>
        <w:rPr>
          <w:sz w:val="24"/>
        </w:rPr>
        <mc:AlternateContent>
          <mc:Choice Requires="wps">
            <w:drawing>
              <wp:anchor distT="0" distB="0" distL="114300" distR="114300" simplePos="0" relativeHeight="251715584" behindDoc="0" locked="0" layoutInCell="1" allowOverlap="1">
                <wp:simplePos x="0" y="0"/>
                <wp:positionH relativeFrom="column">
                  <wp:posOffset>-323850</wp:posOffset>
                </wp:positionH>
                <wp:positionV relativeFrom="paragraph">
                  <wp:posOffset>24130</wp:posOffset>
                </wp:positionV>
                <wp:extent cx="304800" cy="256540"/>
                <wp:effectExtent l="0" t="0" r="0" b="10160"/>
                <wp:wrapNone/>
                <wp:docPr id="59" name="文本框 59"/>
                <wp:cNvGraphicFramePr/>
                <a:graphic xmlns:a="http://schemas.openxmlformats.org/drawingml/2006/main">
                  <a:graphicData uri="http://schemas.microsoft.com/office/word/2010/wordprocessingShape">
                    <wps:wsp>
                      <wps:cNvSpPr txBox="1"/>
                      <wps:spPr>
                        <a:xfrm>
                          <a:off x="375285" y="2485390"/>
                          <a:ext cx="304800" cy="256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pt;margin-top:1.9pt;height:20.2pt;width:24pt;z-index:251715584;mso-width-relative:page;mso-height-relative:page;" fillcolor="#FFFFFF [3201]" filled="t" stroked="f" coordsize="21600,21600" o:gfxdata="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uFRhaNMA&#10;AAAHAQAADwAAAAAAAAABACAAAAAiAAAAZHJzL2Rvd25yZXYueG1sUEsBAhQAFAAAAAgAh07iQFgo&#10;5F5dAgAAmwQAAA4AAAAAAAAAAQAgAAAAIgEAAGRycy9lMm9Eb2MueG1sUEsFBgAAAAAGAAYAWQEA&#10;APEFAAAA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b w:val="0"/>
          <w:bCs/>
          <w:kern w:val="0"/>
          <w:sz w:val="24"/>
          <w:szCs w:val="24"/>
          <w:highlight w:val="none"/>
        </w:rPr>
        <w:t>符合GA633-2006《消防员抢险救援防护服装》标准要求，</w:t>
      </w:r>
      <w:r>
        <w:rPr>
          <w:rFonts w:hint="eastAsia" w:ascii="宋体" w:hAnsi="宋体" w:eastAsia="宋体" w:cs="宋体"/>
          <w:b/>
          <w:bCs w:val="0"/>
          <w:kern w:val="0"/>
          <w:sz w:val="24"/>
          <w:szCs w:val="24"/>
          <w:highlight w:val="none"/>
        </w:rPr>
        <w:t>提供检验报告复印件</w:t>
      </w:r>
      <w:r>
        <w:rPr>
          <w:rFonts w:hint="eastAsia" w:ascii="宋体" w:hAnsi="宋体" w:eastAsia="宋体" w:cs="宋体"/>
          <w:b/>
          <w:bCs w:val="0"/>
          <w:kern w:val="0"/>
          <w:sz w:val="24"/>
          <w:szCs w:val="24"/>
          <w:highlight w:val="none"/>
          <w:lang w:val="en-US" w:eastAsia="zh-CN"/>
        </w:rPr>
        <w:t>并加盖公章</w:t>
      </w:r>
      <w:r>
        <w:rPr>
          <w:rFonts w:hint="eastAsia" w:ascii="宋体" w:hAnsi="宋体" w:eastAsia="宋体" w:cs="宋体"/>
          <w:b/>
          <w:bCs w:val="0"/>
          <w:kern w:val="0"/>
          <w:sz w:val="24"/>
          <w:szCs w:val="24"/>
          <w:highlight w:val="none"/>
        </w:rPr>
        <w:t>。</w:t>
      </w:r>
    </w:p>
    <w:p>
      <w:pPr>
        <w:keepNext w:val="0"/>
        <w:keepLines w:val="0"/>
        <w:pageBreakBefore w:val="0"/>
        <w:numPr>
          <w:ilvl w:val="0"/>
          <w:numId w:val="94"/>
        </w:numPr>
        <w:tabs>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在抢险救援时用于对头部提供保护的专用防护头盔，具有抗冲击、耐穿透、防腐蚀、绝缘、透气等性能。</w:t>
      </w:r>
    </w:p>
    <w:p>
      <w:pPr>
        <w:keepNext w:val="0"/>
        <w:keepLines w:val="0"/>
        <w:pageBreakBefore w:val="0"/>
        <w:numPr>
          <w:ilvl w:val="0"/>
          <w:numId w:val="94"/>
        </w:numPr>
        <w:tabs>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符合17式消防员抢险救援头盔款式标识统型要求。</w:t>
      </w:r>
    </w:p>
    <w:p>
      <w:pPr>
        <w:keepNext w:val="0"/>
        <w:keepLines w:val="0"/>
        <w:pageBreakBefore w:val="0"/>
        <w:kinsoku/>
        <w:wordWrap/>
        <w:overflowPunct/>
        <w:topLinePunct w:val="0"/>
        <w:bidi w:val="0"/>
        <w:spacing w:line="360" w:lineRule="auto"/>
        <w:jc w:val="left"/>
        <w:rPr>
          <w:rFonts w:hint="eastAsia" w:ascii="宋体" w:hAnsi="宋体" w:eastAsia="宋体" w:cs="宋体"/>
          <w:b w:val="0"/>
          <w:bCs/>
          <w:kern w:val="0"/>
          <w:sz w:val="24"/>
          <w:szCs w:val="24"/>
        </w:rPr>
      </w:pPr>
    </w:p>
    <w:p>
      <w:pPr>
        <w:keepNext w:val="0"/>
        <w:keepLines w:val="0"/>
        <w:pageBreakBefore w:val="0"/>
        <w:numPr>
          <w:ilvl w:val="0"/>
          <w:numId w:val="93"/>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结构</w:t>
      </w:r>
    </w:p>
    <w:p>
      <w:pPr>
        <w:keepNext w:val="0"/>
        <w:keepLines w:val="0"/>
        <w:pageBreakBefore w:val="0"/>
        <w:numPr>
          <w:ilvl w:val="0"/>
          <w:numId w:val="95"/>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半盔式头盔，颜色：桔红色和红色。</w:t>
      </w:r>
    </w:p>
    <w:p>
      <w:pPr>
        <w:keepNext w:val="0"/>
        <w:keepLines w:val="0"/>
        <w:pageBreakBefore w:val="0"/>
        <w:numPr>
          <w:ilvl w:val="0"/>
          <w:numId w:val="95"/>
        </w:numPr>
        <w:tabs>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盔壳采用高强度塑料材料制成，顶部有加强筋，高抗冲击，具有优异的防紫外线功能。</w:t>
      </w:r>
    </w:p>
    <w:p>
      <w:pPr>
        <w:keepNext w:val="0"/>
        <w:keepLines w:val="0"/>
        <w:pageBreakBefore w:val="0"/>
        <w:numPr>
          <w:ilvl w:val="0"/>
          <w:numId w:val="95"/>
        </w:numPr>
        <w:tabs>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头盔粘贴有反光标志，头盔指定位置可粘贴支队标识。</w:t>
      </w:r>
    </w:p>
    <w:p>
      <w:pPr>
        <w:keepNext w:val="0"/>
        <w:keepLines w:val="0"/>
        <w:pageBreakBefore w:val="0"/>
        <w:numPr>
          <w:ilvl w:val="0"/>
          <w:numId w:val="95"/>
        </w:numPr>
        <w:tabs>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佩戴装置整体为黑色，帽箍有透气孔，能灵活方便地调节大小。帽托和缓冲层形状适体，且不移位，佩戴舒适。顶部为芳纶网状衬垫，四周为革质舒适层。下颏带能灵活方便地调节长短，保证佩戴头盔稳定舒适，解脱方便。</w:t>
      </w:r>
    </w:p>
    <w:p>
      <w:pPr>
        <w:keepNext w:val="0"/>
        <w:keepLines w:val="0"/>
        <w:pageBreakBefore w:val="0"/>
        <w:numPr>
          <w:ilvl w:val="0"/>
          <w:numId w:val="95"/>
        </w:numPr>
        <w:tabs>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帽壳两侧设有安装通讯、照明等配件的结构，多功能模块化滑轨设计，可自由调整位置，为阻燃尼龙材质。</w:t>
      </w:r>
    </w:p>
    <w:p>
      <w:pPr>
        <w:keepNext w:val="0"/>
        <w:keepLines w:val="0"/>
        <w:pageBreakBefore w:val="0"/>
        <w:numPr>
          <w:ilvl w:val="0"/>
          <w:numId w:val="95"/>
        </w:numPr>
        <w:tabs>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帽箍调节器为旋钮式。</w:t>
      </w:r>
    </w:p>
    <w:p>
      <w:pPr>
        <w:keepNext w:val="0"/>
        <w:keepLines w:val="0"/>
        <w:pageBreakBefore w:val="0"/>
        <w:numPr>
          <w:ilvl w:val="0"/>
          <w:numId w:val="95"/>
        </w:numPr>
        <w:tabs>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下颏带插扣为快脱插扣。</w:t>
      </w:r>
    </w:p>
    <w:p>
      <w:pPr>
        <w:keepNext w:val="0"/>
        <w:keepLines w:val="0"/>
        <w:pageBreakBefore w:val="0"/>
        <w:numPr>
          <w:ilvl w:val="0"/>
          <w:numId w:val="95"/>
        </w:numPr>
        <w:tabs>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配备红色防雾护目镜。</w:t>
      </w:r>
    </w:p>
    <w:p>
      <w:pPr>
        <w:keepNext w:val="0"/>
        <w:keepLines w:val="0"/>
        <w:pageBreakBefore w:val="0"/>
        <w:kinsoku/>
        <w:wordWrap/>
        <w:overflowPunct/>
        <w:topLinePunct w:val="0"/>
        <w:bidi w:val="0"/>
        <w:spacing w:line="360" w:lineRule="auto"/>
        <w:jc w:val="left"/>
        <w:rPr>
          <w:rFonts w:hint="eastAsia" w:ascii="宋体" w:hAnsi="宋体" w:eastAsia="宋体" w:cs="宋体"/>
          <w:b w:val="0"/>
          <w:bCs/>
          <w:kern w:val="0"/>
          <w:sz w:val="24"/>
          <w:szCs w:val="24"/>
        </w:rPr>
      </w:pPr>
    </w:p>
    <w:p>
      <w:pPr>
        <w:keepNext w:val="0"/>
        <w:keepLines w:val="0"/>
        <w:pageBreakBefore w:val="0"/>
        <w:numPr>
          <w:ilvl w:val="0"/>
          <w:numId w:val="93"/>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技术性能</w:t>
      </w:r>
    </w:p>
    <w:p>
      <w:pPr>
        <w:keepNext w:val="0"/>
        <w:keepLines w:val="0"/>
        <w:pageBreakBefore w:val="0"/>
        <w:numPr>
          <w:ilvl w:val="0"/>
          <w:numId w:val="96"/>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外观质量：帽壳表面应色泽鲜明、光洁，不能有污渍、气泡、缺损及其他外观缺陷。头盔各部件的安装应到位、牢固、端正、无松脱、滑落现象。</w:t>
      </w:r>
    </w:p>
    <w:p>
      <w:pPr>
        <w:keepNext w:val="0"/>
        <w:keepLines w:val="0"/>
        <w:pageBreakBefore w:val="0"/>
        <w:numPr>
          <w:ilvl w:val="0"/>
          <w:numId w:val="96"/>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阻燃性能：火源离开帽壳后，帽壳火焰应在5S内自熄。</w:t>
      </w:r>
    </w:p>
    <w:p>
      <w:pPr>
        <w:keepNext w:val="0"/>
        <w:keepLines w:val="0"/>
        <w:pageBreakBefore w:val="0"/>
        <w:numPr>
          <w:ilvl w:val="0"/>
          <w:numId w:val="96"/>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热稳定性能：在温度180±5℃条件下，经5分钟后，头盔边沿应无明显变形，硬质附件须保持功能完好，反光材料表面无炭化、脱落现象。</w:t>
      </w:r>
    </w:p>
    <w:p>
      <w:pPr>
        <w:keepNext w:val="0"/>
        <w:keepLines w:val="0"/>
        <w:pageBreakBefore w:val="0"/>
        <w:numPr>
          <w:ilvl w:val="0"/>
          <w:numId w:val="96"/>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sz w:val="24"/>
        </w:rPr>
        <mc:AlternateContent>
          <mc:Choice Requires="wps">
            <w:drawing>
              <wp:anchor distT="0" distB="0" distL="114300" distR="114300" simplePos="0" relativeHeight="251716608" behindDoc="0" locked="0" layoutInCell="1" allowOverlap="1">
                <wp:simplePos x="0" y="0"/>
                <wp:positionH relativeFrom="column">
                  <wp:posOffset>-342900</wp:posOffset>
                </wp:positionH>
                <wp:positionV relativeFrom="paragraph">
                  <wp:posOffset>8890</wp:posOffset>
                </wp:positionV>
                <wp:extent cx="314325" cy="247650"/>
                <wp:effectExtent l="0" t="0" r="9525" b="0"/>
                <wp:wrapNone/>
                <wp:docPr id="60" name="文本框 60"/>
                <wp:cNvGraphicFramePr/>
                <a:graphic xmlns:a="http://schemas.openxmlformats.org/drawingml/2006/main">
                  <a:graphicData uri="http://schemas.microsoft.com/office/word/2010/wordprocessingShape">
                    <wps:wsp>
                      <wps:cNvSpPr txBox="1"/>
                      <wps:spPr>
                        <a:xfrm>
                          <a:off x="375285" y="1361440"/>
                          <a:ext cx="314325"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0.7pt;height:19.5pt;width:24.75pt;z-index:251716608;mso-width-relative:page;mso-height-relative:page;" fillcolor="#FFFFFF [3201]" filled="t" stroked="f" coordsize="21600,21600" o:gfxdata="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QfaD0gAAAAcBAAAP&#10;AAAAAAAAAAEAIAAAACIAAABkcnMvZG93bnJldi54bWxQSwECFAAUAAAACACHTuJAOfSQCFcCAACb&#10;BAAADgAAAAAAAAABACAAAAAhAQAAZHJzL2Uyb0RvYy54bWxQSwUGAAAAAAYABgBZAQAA6gUAAA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b w:val="0"/>
          <w:bCs/>
          <w:kern w:val="0"/>
          <w:sz w:val="24"/>
          <w:szCs w:val="24"/>
        </w:rPr>
        <w:t>侧向刚性：帽壳的最大变形≤10mm，卸载后变形≤5mm。</w:t>
      </w:r>
    </w:p>
    <w:p>
      <w:pPr>
        <w:keepNext w:val="0"/>
        <w:keepLines w:val="0"/>
        <w:pageBreakBefore w:val="0"/>
        <w:kinsoku/>
        <w:wordWrap/>
        <w:overflowPunct/>
        <w:topLinePunct w:val="0"/>
        <w:bidi w:val="0"/>
        <w:spacing w:line="360" w:lineRule="auto"/>
        <w:jc w:val="left"/>
        <w:rPr>
          <w:rFonts w:hint="eastAsia" w:ascii="宋体" w:hAnsi="宋体" w:eastAsia="宋体" w:cs="宋体"/>
          <w:b w:val="0"/>
          <w:bCs/>
          <w:kern w:val="0"/>
          <w:sz w:val="24"/>
          <w:szCs w:val="24"/>
        </w:rPr>
      </w:pPr>
    </w:p>
    <w:p>
      <w:pPr>
        <w:keepNext w:val="0"/>
        <w:keepLines w:val="0"/>
        <w:pageBreakBefore w:val="0"/>
        <w:numPr>
          <w:ilvl w:val="0"/>
          <w:numId w:val="93"/>
        </w:numPr>
        <w:tabs>
          <w:tab w:val="clear" w:pos="420"/>
        </w:tabs>
        <w:kinsoku/>
        <w:wordWrap/>
        <w:overflowPunct/>
        <w:topLinePunct w:val="0"/>
        <w:bidi w:val="0"/>
        <w:spacing w:line="360" w:lineRule="auto"/>
        <w:ind w:left="1245" w:leftChars="0" w:hanging="124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其他</w:t>
      </w:r>
      <w:r>
        <w:rPr>
          <w:rFonts w:hint="eastAsia" w:ascii="宋体" w:hAnsi="宋体" w:eastAsia="宋体" w:cs="宋体"/>
          <w:b w:val="0"/>
          <w:bCs/>
          <w:kern w:val="0"/>
          <w:sz w:val="24"/>
          <w:szCs w:val="24"/>
          <w:lang w:eastAsia="zh-CN"/>
        </w:rPr>
        <w:t>：</w:t>
      </w:r>
      <w:r>
        <w:rPr>
          <w:rFonts w:hint="eastAsia" w:ascii="宋体" w:hAnsi="宋体" w:eastAsia="宋体" w:cs="宋体"/>
          <w:b w:val="0"/>
          <w:bCs/>
          <w:kern w:val="0"/>
          <w:sz w:val="24"/>
          <w:szCs w:val="24"/>
        </w:rPr>
        <w:t>抢险救援头盔有下列内容清晰的永久性标签，并装于不易脱落、不易摩擦的位置，标签内容如下：执行标准、制造厂名称、地址、生产日期和售后服务联络方式等。</w:t>
      </w:r>
    </w:p>
    <w:p>
      <w:pPr>
        <w:bidi w:val="0"/>
        <w:rPr>
          <w:rFonts w:hint="eastAsia"/>
          <w:b/>
          <w:bCs w:val="0"/>
        </w:rPr>
      </w:pPr>
    </w:p>
    <w:p>
      <w:pPr>
        <w:numPr>
          <w:ilvl w:val="0"/>
          <w:numId w:val="44"/>
        </w:numPr>
        <w:spacing w:line="360" w:lineRule="auto"/>
        <w:ind w:left="425" w:leftChars="0" w:hanging="425" w:firstLineChars="0"/>
        <w:jc w:val="both"/>
        <w:rPr>
          <w:rFonts w:hint="eastAsia"/>
          <w:b/>
          <w:bCs w:val="0"/>
          <w:color w:val="000000"/>
          <w:sz w:val="24"/>
          <w:szCs w:val="24"/>
          <w:highlight w:val="none"/>
        </w:rPr>
      </w:pPr>
      <w:r>
        <w:rPr>
          <w:rFonts w:hint="eastAsia"/>
          <w:b/>
          <w:bCs w:val="0"/>
          <w:color w:val="000000"/>
          <w:sz w:val="24"/>
          <w:szCs w:val="24"/>
          <w:highlight w:val="none"/>
        </w:rPr>
        <w:t>抢险救援手套</w:t>
      </w:r>
    </w:p>
    <w:p>
      <w:pPr>
        <w:keepNext w:val="0"/>
        <w:keepLines w:val="0"/>
        <w:pageBreakBefore w:val="0"/>
        <w:numPr>
          <w:ilvl w:val="0"/>
          <w:numId w:val="97"/>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sz w:val="24"/>
        </w:rPr>
        <mc:AlternateContent>
          <mc:Choice Requires="wps">
            <w:drawing>
              <wp:anchor distT="0" distB="0" distL="114300" distR="114300" simplePos="0" relativeHeight="251717632" behindDoc="0" locked="0" layoutInCell="1" allowOverlap="1">
                <wp:simplePos x="0" y="0"/>
                <wp:positionH relativeFrom="column">
                  <wp:posOffset>-361950</wp:posOffset>
                </wp:positionH>
                <wp:positionV relativeFrom="paragraph">
                  <wp:posOffset>271780</wp:posOffset>
                </wp:positionV>
                <wp:extent cx="304800" cy="257175"/>
                <wp:effectExtent l="0" t="0" r="0" b="9525"/>
                <wp:wrapNone/>
                <wp:docPr id="61" name="文本框 61"/>
                <wp:cNvGraphicFramePr/>
                <a:graphic xmlns:a="http://schemas.openxmlformats.org/drawingml/2006/main">
                  <a:graphicData uri="http://schemas.microsoft.com/office/word/2010/wordprocessingShape">
                    <wps:wsp>
                      <wps:cNvSpPr txBox="1"/>
                      <wps:spPr>
                        <a:xfrm>
                          <a:off x="337185" y="3624580"/>
                          <a:ext cx="304800" cy="2571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21.4pt;height:20.25pt;width:24pt;z-index:251717632;mso-width-relative:page;mso-height-relative:page;" fillcolor="#FFFFFF [3201]" filled="t" stroked="f" coordsize="21600,21600" o:gfxdata="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R7sGE1AAAAAgB&#10;AAAPAAAAAAAAAAEAIAAAACIAAABkcnMvZG93bnJldi54bWxQSwECFAAUAAAACACHTuJA5uByDFgC&#10;AACbBAAADgAAAAAAAAABACAAAAAjAQAAZHJzL2Uyb0RvYy54bWxQSwUGAAAAAAYABgBZAQAA7QUA&#10;AA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b w:val="0"/>
          <w:bCs/>
          <w:kern w:val="0"/>
          <w:sz w:val="24"/>
          <w:szCs w:val="24"/>
        </w:rPr>
        <w:t>整体性能</w:t>
      </w:r>
    </w:p>
    <w:p>
      <w:pPr>
        <w:keepNext w:val="0"/>
        <w:keepLines w:val="0"/>
        <w:pageBreakBefore w:val="0"/>
        <w:numPr>
          <w:ilvl w:val="0"/>
          <w:numId w:val="98"/>
        </w:numPr>
        <w:tabs>
          <w:tab w:val="clear" w:pos="420"/>
        </w:tabs>
        <w:kinsoku/>
        <w:wordWrap/>
        <w:overflowPunct/>
        <w:topLinePunct w:val="0"/>
        <w:bidi w:val="0"/>
        <w:snapToGrid w:val="0"/>
        <w:spacing w:line="360" w:lineRule="auto"/>
        <w:ind w:left="1680" w:leftChars="0" w:hanging="1680" w:firstLineChars="0"/>
        <w:jc w:val="left"/>
        <w:rPr>
          <w:rFonts w:hint="eastAsia" w:ascii="宋体" w:hAnsi="宋体" w:eastAsia="宋体" w:cs="宋体"/>
          <w:b/>
          <w:bCs w:val="0"/>
          <w:kern w:val="0"/>
          <w:sz w:val="24"/>
          <w:szCs w:val="24"/>
          <w:highlight w:val="none"/>
          <w:lang w:val="zh-CN"/>
        </w:rPr>
      </w:pPr>
      <w:r>
        <w:rPr>
          <w:rFonts w:hint="eastAsia" w:ascii="宋体" w:hAnsi="宋体" w:eastAsia="宋体" w:cs="宋体"/>
          <w:b w:val="0"/>
          <w:bCs/>
          <w:kern w:val="0"/>
          <w:sz w:val="24"/>
          <w:szCs w:val="24"/>
          <w:highlight w:val="none"/>
        </w:rPr>
        <w:t>本产品符合GA633-2006《消防员抢险救援防护服装》标准要求</w:t>
      </w:r>
      <w:r>
        <w:rPr>
          <w:rFonts w:hint="eastAsia" w:ascii="宋体" w:hAnsi="宋体" w:eastAsia="宋体" w:cs="宋体"/>
          <w:b w:val="0"/>
          <w:bCs/>
          <w:kern w:val="0"/>
          <w:sz w:val="24"/>
          <w:szCs w:val="24"/>
          <w:highlight w:val="none"/>
          <w:lang w:eastAsia="zh-CN"/>
        </w:rPr>
        <w:t>，</w:t>
      </w:r>
      <w:r>
        <w:rPr>
          <w:rFonts w:hint="eastAsia" w:ascii="宋体" w:hAnsi="宋体" w:eastAsia="宋体" w:cs="宋体"/>
          <w:b/>
          <w:bCs w:val="0"/>
          <w:kern w:val="0"/>
          <w:sz w:val="24"/>
          <w:szCs w:val="24"/>
          <w:highlight w:val="none"/>
        </w:rPr>
        <w:t>提供检验报告</w:t>
      </w:r>
      <w:r>
        <w:rPr>
          <w:rFonts w:hint="eastAsia" w:ascii="宋体" w:hAnsi="宋体" w:eastAsia="宋体" w:cs="宋体"/>
          <w:b/>
          <w:bCs w:val="0"/>
          <w:kern w:val="0"/>
          <w:sz w:val="24"/>
          <w:szCs w:val="24"/>
          <w:highlight w:val="none"/>
          <w:lang w:val="en-US" w:eastAsia="zh-CN"/>
        </w:rPr>
        <w:t>复印件加盖公章</w:t>
      </w:r>
      <w:r>
        <w:rPr>
          <w:rFonts w:hint="eastAsia" w:ascii="宋体" w:hAnsi="宋体" w:eastAsia="宋体" w:cs="宋体"/>
          <w:b/>
          <w:bCs w:val="0"/>
          <w:kern w:val="0"/>
          <w:sz w:val="24"/>
          <w:szCs w:val="24"/>
          <w:highlight w:val="none"/>
        </w:rPr>
        <w:t>。</w:t>
      </w:r>
    </w:p>
    <w:p>
      <w:pPr>
        <w:keepNext w:val="0"/>
        <w:keepLines w:val="0"/>
        <w:pageBreakBefore w:val="0"/>
        <w:numPr>
          <w:ilvl w:val="0"/>
          <w:numId w:val="98"/>
        </w:numPr>
        <w:tabs>
          <w:tab w:val="clear" w:pos="420"/>
        </w:tabs>
        <w:kinsoku/>
        <w:wordWrap/>
        <w:overflowPunct/>
        <w:topLinePunct w:val="0"/>
        <w:bidi w:val="0"/>
        <w:snapToGrid w:val="0"/>
        <w:spacing w:line="360" w:lineRule="auto"/>
        <w:ind w:left="1680" w:leftChars="0" w:hanging="1680"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采用3D立体设计，符合人体手型自然弯曲，手掌指尖一片式翻转手指背，主体颜色为橘红色和黄色,主要材质为牛皮和芳纶双面针织布。</w:t>
      </w:r>
    </w:p>
    <w:p>
      <w:pPr>
        <w:keepNext w:val="0"/>
        <w:keepLines w:val="0"/>
        <w:pageBreakBefore w:val="0"/>
        <w:numPr>
          <w:ilvl w:val="0"/>
          <w:numId w:val="98"/>
        </w:numPr>
        <w:tabs>
          <w:tab w:val="clear" w:pos="420"/>
        </w:tabs>
        <w:kinsoku/>
        <w:wordWrap/>
        <w:overflowPunct/>
        <w:topLinePunct w:val="0"/>
        <w:bidi w:val="0"/>
        <w:snapToGrid w:val="0"/>
        <w:spacing w:line="360" w:lineRule="auto"/>
        <w:ind w:left="1680" w:leftChars="0" w:hanging="1680"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颜色要求</w:t>
      </w:r>
      <w:r>
        <w:rPr>
          <w:rFonts w:hint="eastAsia" w:ascii="宋体" w:hAnsi="宋体" w:eastAsia="宋体" w:cs="宋体"/>
          <w:b w:val="0"/>
          <w:bCs/>
          <w:kern w:val="0"/>
          <w:sz w:val="24"/>
          <w:szCs w:val="24"/>
          <w:highlight w:val="none"/>
          <w:lang w:val="zh-CN"/>
        </w:rPr>
        <w:t>：手掌牛皮为黄色,</w:t>
      </w:r>
      <w:r>
        <w:rPr>
          <w:rFonts w:hint="eastAsia" w:ascii="宋体" w:hAnsi="宋体" w:eastAsia="宋体" w:cs="宋体"/>
          <w:b w:val="0"/>
          <w:bCs/>
          <w:kern w:val="0"/>
          <w:sz w:val="24"/>
          <w:szCs w:val="24"/>
          <w:lang w:val="zh-CN"/>
        </w:rPr>
        <w:t>色差≥3级；手背橘红色，色差≥3级（按《纺织品色牢度试验 评定变色用灰色样卡》GB/T250-2008 标准评判）。</w:t>
      </w:r>
    </w:p>
    <w:p>
      <w:pPr>
        <w:bidi w:val="0"/>
        <w:rPr>
          <w:rFonts w:hint="eastAsia"/>
        </w:rPr>
      </w:pPr>
    </w:p>
    <w:p>
      <w:pPr>
        <w:keepNext w:val="0"/>
        <w:keepLines w:val="0"/>
        <w:pageBreakBefore w:val="0"/>
        <w:numPr>
          <w:ilvl w:val="0"/>
          <w:numId w:val="97"/>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主体结构要求</w:t>
      </w:r>
    </w:p>
    <w:p>
      <w:pPr>
        <w:keepNext w:val="0"/>
        <w:keepLines w:val="0"/>
        <w:pageBreakBefore w:val="0"/>
        <w:numPr>
          <w:ilvl w:val="0"/>
          <w:numId w:val="99"/>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手掌结构：手掌牛皮颜色为黄色，复合凯夫拉布，增强耐磨·防切割，防撕裂。</w:t>
      </w:r>
    </w:p>
    <w:p>
      <w:pPr>
        <w:keepNext w:val="0"/>
        <w:keepLines w:val="0"/>
        <w:pageBreakBefore w:val="0"/>
        <w:numPr>
          <w:ilvl w:val="0"/>
          <w:numId w:val="99"/>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手背结构：50%对位芳纶和50%间对位芳纶双面针织布，克重为380克±20克。朝外的一面为间位芳纶，颜色为橘红色，对位芳纶为黄色。手背最外层有反光标志。</w:t>
      </w:r>
    </w:p>
    <w:p>
      <w:pPr>
        <w:keepNext w:val="0"/>
        <w:keepLines w:val="0"/>
        <w:pageBreakBefore w:val="0"/>
        <w:numPr>
          <w:ilvl w:val="0"/>
          <w:numId w:val="99"/>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sz w:val="24"/>
        </w:rPr>
        <mc:AlternateContent>
          <mc:Choice Requires="wps">
            <w:drawing>
              <wp:anchor distT="0" distB="0" distL="114300" distR="114300" simplePos="0" relativeHeight="251718656" behindDoc="0" locked="0" layoutInCell="1" allowOverlap="1">
                <wp:simplePos x="0" y="0"/>
                <wp:positionH relativeFrom="column">
                  <wp:posOffset>-333375</wp:posOffset>
                </wp:positionH>
                <wp:positionV relativeFrom="paragraph">
                  <wp:posOffset>11430</wp:posOffset>
                </wp:positionV>
                <wp:extent cx="285750" cy="238125"/>
                <wp:effectExtent l="0" t="0" r="0" b="9525"/>
                <wp:wrapNone/>
                <wp:docPr id="62" name="文本框 62"/>
                <wp:cNvGraphicFramePr/>
                <a:graphic xmlns:a="http://schemas.openxmlformats.org/drawingml/2006/main">
                  <a:graphicData uri="http://schemas.microsoft.com/office/word/2010/wordprocessingShape">
                    <wps:wsp>
                      <wps:cNvSpPr txBox="1"/>
                      <wps:spPr>
                        <a:xfrm>
                          <a:off x="403860" y="7402195"/>
                          <a:ext cx="285750" cy="2381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5pt;margin-top:0.9pt;height:18.75pt;width:22.5pt;z-index:251718656;mso-width-relative:page;mso-height-relative:page;" fillcolor="#FFFFFF [3201]" filled="t" stroked="f" coordsize="21600,21600" o:gfxdata="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b5xxnSAAAA&#10;BwEAAA8AAAAAAAAAAQAgAAAAIgAAAGRycy9kb3ducmV2LnhtbFBLAQIUABQAAAAIAIdO4kAhM3+S&#10;XAIAAJsEAAAOAAAAAAAAAAEAIAAAACEBAABkcnMvZTJvRG9jLnhtbFBLBQYAAAAABgAGAFkBAADv&#10;BQAAA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b w:val="0"/>
          <w:bCs/>
          <w:kern w:val="0"/>
          <w:sz w:val="24"/>
          <w:szCs w:val="24"/>
        </w:rPr>
        <w:t>手指结构：手指关节处有三角断开设计，有利于手指的弯曲，以增加灵活性。食指关节处设计有触屏功能。</w:t>
      </w:r>
    </w:p>
    <w:p>
      <w:pPr>
        <w:keepNext w:val="0"/>
        <w:keepLines w:val="0"/>
        <w:pageBreakBefore w:val="0"/>
        <w:numPr>
          <w:ilvl w:val="0"/>
          <w:numId w:val="99"/>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手套口有限制杂物进入设计，与救援服的袖口配套，手套为五指分离式。</w:t>
      </w:r>
    </w:p>
    <w:p>
      <w:pPr>
        <w:keepNext w:val="0"/>
        <w:keepLines w:val="0"/>
        <w:pageBreakBefore w:val="0"/>
        <w:numPr>
          <w:ilvl w:val="0"/>
          <w:numId w:val="99"/>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缝线：100%对位芳纶线，规格为30支3股，颜色为黄色，具有阻燃防火性能</w:t>
      </w:r>
      <w:r>
        <w:rPr>
          <w:rFonts w:hint="eastAsia" w:ascii="宋体" w:hAnsi="宋体" w:eastAsia="宋体" w:cs="宋体"/>
          <w:b w:val="0"/>
          <w:bCs/>
          <w:kern w:val="0"/>
          <w:sz w:val="24"/>
          <w:szCs w:val="24"/>
          <w:lang w:eastAsia="zh-CN"/>
        </w:rPr>
        <w:t>。</w:t>
      </w:r>
    </w:p>
    <w:p>
      <w:pPr>
        <w:keepNext w:val="0"/>
        <w:keepLines w:val="0"/>
        <w:pageBreakBefore w:val="0"/>
        <w:kinsoku/>
        <w:wordWrap/>
        <w:overflowPunct/>
        <w:topLinePunct w:val="0"/>
        <w:bidi w:val="0"/>
        <w:spacing w:line="360" w:lineRule="auto"/>
        <w:jc w:val="left"/>
        <w:rPr>
          <w:rFonts w:hint="eastAsia" w:ascii="宋体" w:hAnsi="宋体" w:eastAsia="宋体" w:cs="宋体"/>
          <w:b w:val="0"/>
          <w:bCs/>
          <w:kern w:val="0"/>
          <w:sz w:val="24"/>
          <w:szCs w:val="24"/>
        </w:rPr>
      </w:pPr>
    </w:p>
    <w:p>
      <w:pPr>
        <w:keepNext w:val="0"/>
        <w:keepLines w:val="0"/>
        <w:pageBreakBefore w:val="0"/>
        <w:numPr>
          <w:ilvl w:val="0"/>
          <w:numId w:val="97"/>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技术性能</w:t>
      </w:r>
    </w:p>
    <w:p>
      <w:pPr>
        <w:keepNext w:val="0"/>
        <w:keepLines w:val="0"/>
        <w:pageBreakBefore w:val="0"/>
        <w:numPr>
          <w:ilvl w:val="0"/>
          <w:numId w:val="100"/>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sz w:val="24"/>
        </w:rPr>
        <mc:AlternateContent>
          <mc:Choice Requires="wps">
            <w:drawing>
              <wp:anchor distT="0" distB="0" distL="114300" distR="114300" simplePos="0" relativeHeight="251719680" behindDoc="0" locked="0" layoutInCell="1" allowOverlap="1">
                <wp:simplePos x="0" y="0"/>
                <wp:positionH relativeFrom="column">
                  <wp:posOffset>-333375</wp:posOffset>
                </wp:positionH>
                <wp:positionV relativeFrom="paragraph">
                  <wp:posOffset>41910</wp:posOffset>
                </wp:positionV>
                <wp:extent cx="276225" cy="228600"/>
                <wp:effectExtent l="0" t="0" r="9525" b="0"/>
                <wp:wrapNone/>
                <wp:docPr id="63" name="文本框 63"/>
                <wp:cNvGraphicFramePr/>
                <a:graphic xmlns:a="http://schemas.openxmlformats.org/drawingml/2006/main">
                  <a:graphicData uri="http://schemas.microsoft.com/office/word/2010/wordprocessingShape">
                    <wps:wsp>
                      <wps:cNvSpPr txBox="1"/>
                      <wps:spPr>
                        <a:xfrm>
                          <a:off x="422910" y="9512935"/>
                          <a:ext cx="276225" cy="2286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5pt;margin-top:3.3pt;height:18pt;width:21.75pt;z-index:251719680;mso-width-relative:page;mso-height-relative:page;" fillcolor="#FFFFFF [3201]" filled="t" stroked="f" coordsize="21600,21600" o:gfxdata="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QckIdMA&#10;AAAHAQAADwAAAAAAAAABACAAAAAiAAAAZHJzL2Rvd25yZXYueG1sUEsBAhQAFAAAAAgAh07iQDDc&#10;ubddAgAAmwQAAA4AAAAAAAAAAQAgAAAAIgEAAGRycy9lMm9Eb2MueG1sUEsFBgAAAAAGAAYAWQEA&#10;APEFAAAA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b w:val="0"/>
          <w:bCs/>
          <w:kern w:val="0"/>
          <w:sz w:val="24"/>
          <w:szCs w:val="24"/>
        </w:rPr>
        <w:t>阻燃性能：经向损毁长度≤30mm，续燃时间≤0s，纬向损毁长度≤25mm，续燃时间≤0s无熔融、滴落现象。</w:t>
      </w:r>
    </w:p>
    <w:p>
      <w:pPr>
        <w:keepNext w:val="0"/>
        <w:keepLines w:val="0"/>
        <w:pageBreakBefore w:val="0"/>
        <w:numPr>
          <w:ilvl w:val="0"/>
          <w:numId w:val="100"/>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lang w:val="zh-CN"/>
        </w:rPr>
      </w:pPr>
      <w:r>
        <w:rPr>
          <w:sz w:val="24"/>
        </w:rPr>
        <mc:AlternateContent>
          <mc:Choice Requires="wps">
            <w:drawing>
              <wp:anchor distT="0" distB="0" distL="114300" distR="114300" simplePos="0" relativeHeight="251720704" behindDoc="0" locked="0" layoutInCell="1" allowOverlap="1">
                <wp:simplePos x="0" y="0"/>
                <wp:positionH relativeFrom="column">
                  <wp:posOffset>-314325</wp:posOffset>
                </wp:positionH>
                <wp:positionV relativeFrom="paragraph">
                  <wp:posOffset>24130</wp:posOffset>
                </wp:positionV>
                <wp:extent cx="266700" cy="238125"/>
                <wp:effectExtent l="0" t="0" r="0" b="9525"/>
                <wp:wrapNone/>
                <wp:docPr id="64" name="文本框 64"/>
                <wp:cNvGraphicFramePr/>
                <a:graphic xmlns:a="http://schemas.openxmlformats.org/drawingml/2006/main">
                  <a:graphicData uri="http://schemas.microsoft.com/office/word/2010/wordprocessingShape">
                    <wps:wsp>
                      <wps:cNvSpPr txBox="1"/>
                      <wps:spPr>
                        <a:xfrm>
                          <a:off x="451485" y="1098550"/>
                          <a:ext cx="266700" cy="2381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5pt;margin-top:1.9pt;height:18.75pt;width:21pt;z-index:251720704;mso-width-relative:page;mso-height-relative:page;" fillcolor="#FFFFFF [3201]" filled="t" stroked="f" coordsize="21600,21600" o:gfxdata="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Y5h7qtMAAAAH&#10;AQAADwAAAAAAAAABACAAAAAiAAAAZHJzL2Rvd25yZXYueG1sUEsBAhQAFAAAAAgAh07iQNGD/Pha&#10;AgAAmwQAAA4AAAAAAAAAAQAgAAAAIgEAAGRycy9lMm9Eb2MueG1sUEsFBgAAAAAGAAYAWQEAAO4F&#10;AAAA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b w:val="0"/>
          <w:bCs/>
          <w:kern w:val="0"/>
          <w:sz w:val="24"/>
          <w:szCs w:val="24"/>
          <w:lang w:val="zh-CN"/>
        </w:rPr>
        <w:t>耐撕破性能:本体掌心面撕破强力经向≥150N，纬向≥180N；背面外层材料的经向≥200N，纬向≥300N。</w:t>
      </w:r>
    </w:p>
    <w:p>
      <w:pPr>
        <w:keepNext w:val="0"/>
        <w:keepLines w:val="0"/>
        <w:pageBreakBefore w:val="0"/>
        <w:numPr>
          <w:ilvl w:val="0"/>
          <w:numId w:val="100"/>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穿戴性能：穿戴时间≤1S。</w:t>
      </w:r>
    </w:p>
    <w:p>
      <w:pPr>
        <w:bidi w:val="0"/>
        <w:rPr>
          <w:rFonts w:hint="eastAsia"/>
          <w:b/>
          <w:bCs w:val="0"/>
        </w:rPr>
      </w:pPr>
    </w:p>
    <w:p>
      <w:pPr>
        <w:numPr>
          <w:ilvl w:val="0"/>
          <w:numId w:val="44"/>
        </w:numPr>
        <w:spacing w:line="360" w:lineRule="auto"/>
        <w:ind w:left="425" w:leftChars="0" w:hanging="425" w:firstLineChars="0"/>
        <w:jc w:val="both"/>
        <w:rPr>
          <w:rFonts w:hint="eastAsia"/>
          <w:b/>
          <w:bCs w:val="0"/>
          <w:color w:val="000000"/>
          <w:sz w:val="24"/>
          <w:szCs w:val="24"/>
          <w:highlight w:val="none"/>
        </w:rPr>
      </w:pPr>
      <w:r>
        <w:rPr>
          <w:rFonts w:hint="eastAsia"/>
          <w:b/>
          <w:bCs w:val="0"/>
          <w:color w:val="000000"/>
          <w:sz w:val="24"/>
          <w:szCs w:val="24"/>
          <w:highlight w:val="none"/>
        </w:rPr>
        <w:t>抢险救援服</w:t>
      </w:r>
    </w:p>
    <w:p>
      <w:pPr>
        <w:keepNext w:val="0"/>
        <w:keepLines w:val="0"/>
        <w:pageBreakBefore w:val="0"/>
        <w:numPr>
          <w:ilvl w:val="0"/>
          <w:numId w:val="101"/>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整体要求</w:t>
      </w:r>
    </w:p>
    <w:p>
      <w:pPr>
        <w:keepNext w:val="0"/>
        <w:keepLines w:val="0"/>
        <w:pageBreakBefore w:val="0"/>
        <w:numPr>
          <w:ilvl w:val="0"/>
          <w:numId w:val="102"/>
        </w:numPr>
        <w:tabs>
          <w:tab w:val="clear" w:pos="420"/>
        </w:tabs>
        <w:kinsoku/>
        <w:wordWrap/>
        <w:overflowPunct/>
        <w:topLinePunct w:val="0"/>
        <w:bidi w:val="0"/>
        <w:spacing w:line="360" w:lineRule="auto"/>
        <w:ind w:left="1665" w:leftChars="0" w:hanging="1665" w:firstLineChars="0"/>
        <w:jc w:val="left"/>
        <w:rPr>
          <w:rFonts w:hint="eastAsia" w:ascii="宋体" w:hAnsi="宋体" w:eastAsia="宋体" w:cs="宋体"/>
          <w:b/>
          <w:bCs w:val="0"/>
          <w:kern w:val="0"/>
          <w:sz w:val="24"/>
          <w:szCs w:val="24"/>
          <w:highlight w:val="none"/>
        </w:rPr>
      </w:pPr>
      <w:r>
        <w:rPr>
          <w:sz w:val="24"/>
        </w:rPr>
        <mc:AlternateContent>
          <mc:Choice Requires="wps">
            <w:drawing>
              <wp:anchor distT="0" distB="0" distL="114300" distR="114300" simplePos="0" relativeHeight="251721728" behindDoc="0" locked="0" layoutInCell="1" allowOverlap="1">
                <wp:simplePos x="0" y="0"/>
                <wp:positionH relativeFrom="column">
                  <wp:posOffset>-342900</wp:posOffset>
                </wp:positionH>
                <wp:positionV relativeFrom="paragraph">
                  <wp:posOffset>8890</wp:posOffset>
                </wp:positionV>
                <wp:extent cx="304800" cy="285750"/>
                <wp:effectExtent l="0" t="0" r="0" b="0"/>
                <wp:wrapNone/>
                <wp:docPr id="65" name="文本框 65"/>
                <wp:cNvGraphicFramePr/>
                <a:graphic xmlns:a="http://schemas.openxmlformats.org/drawingml/2006/main">
                  <a:graphicData uri="http://schemas.microsoft.com/office/word/2010/wordprocessingShape">
                    <wps:wsp>
                      <wps:cNvSpPr txBox="1"/>
                      <wps:spPr>
                        <a:xfrm>
                          <a:off x="394335" y="2767330"/>
                          <a:ext cx="304800"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0.7pt;height:22.5pt;width:24pt;z-index:251721728;mso-width-relative:page;mso-height-relative:page;" fillcolor="#FFFFFF [3201]" filled="t" stroked="f" coordsize="21600,21600" o:gfxdata="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RWcwvSAAAABwEA&#10;AA8AAAAAAAAAAQAgAAAAIgAAAGRycy9kb3ducmV2LnhtbFBLAQIUABQAAAAIAIdO4kC0xrIgWQIA&#10;AJsEAAAOAAAAAAAAAAEAIAAAACEBAABkcnMvZTJvRG9jLnhtbFBLBQYAAAAABgAGAFkBAADsBQAA&#10;A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b w:val="0"/>
          <w:bCs/>
          <w:kern w:val="0"/>
          <w:sz w:val="24"/>
          <w:szCs w:val="24"/>
          <w:highlight w:val="none"/>
        </w:rPr>
        <w:t>符合GA633-2006《消防员抢险救援防护服装》标准要求，</w:t>
      </w:r>
      <w:r>
        <w:rPr>
          <w:rFonts w:hint="eastAsia" w:ascii="宋体" w:hAnsi="宋体" w:eastAsia="宋体" w:cs="宋体"/>
          <w:b/>
          <w:bCs w:val="0"/>
          <w:kern w:val="0"/>
          <w:sz w:val="24"/>
          <w:szCs w:val="24"/>
          <w:highlight w:val="none"/>
        </w:rPr>
        <w:t>提供</w:t>
      </w:r>
      <w:r>
        <w:rPr>
          <w:rFonts w:hint="eastAsia" w:ascii="宋体" w:hAnsi="宋体" w:eastAsia="宋体" w:cs="宋体"/>
          <w:b/>
          <w:bCs w:val="0"/>
          <w:kern w:val="0"/>
          <w:sz w:val="24"/>
          <w:szCs w:val="24"/>
          <w:highlight w:val="none"/>
          <w:lang w:val="en-US" w:eastAsia="zh-CN"/>
        </w:rPr>
        <w:t>检验报告复印件并加盖公章</w:t>
      </w:r>
      <w:r>
        <w:rPr>
          <w:rFonts w:hint="eastAsia" w:ascii="宋体" w:hAnsi="宋体" w:eastAsia="宋体" w:cs="宋体"/>
          <w:b/>
          <w:bCs w:val="0"/>
          <w:kern w:val="0"/>
          <w:sz w:val="24"/>
          <w:szCs w:val="24"/>
          <w:highlight w:val="none"/>
        </w:rPr>
        <w:t>。</w:t>
      </w:r>
    </w:p>
    <w:p>
      <w:pPr>
        <w:keepNext w:val="0"/>
        <w:keepLines w:val="0"/>
        <w:pageBreakBefore w:val="0"/>
        <w:numPr>
          <w:ilvl w:val="0"/>
          <w:numId w:val="102"/>
        </w:numPr>
        <w:tabs>
          <w:tab w:val="clear" w:pos="420"/>
        </w:tabs>
        <w:kinsoku/>
        <w:wordWrap/>
        <w:overflowPunct/>
        <w:topLinePunct w:val="0"/>
        <w:bidi w:val="0"/>
        <w:spacing w:line="360" w:lineRule="auto"/>
        <w:ind w:left="1665" w:leftChars="0" w:hanging="1665"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消防员在进行抢险救援作业时穿着的专用防护服，用来对其躯干、颈部、手臂、手腕和腿部提供保护。</w:t>
      </w:r>
    </w:p>
    <w:p>
      <w:pPr>
        <w:keepNext w:val="0"/>
        <w:keepLines w:val="0"/>
        <w:pageBreakBefore w:val="0"/>
        <w:kinsoku/>
        <w:wordWrap/>
        <w:overflowPunct/>
        <w:topLinePunct w:val="0"/>
        <w:bidi w:val="0"/>
        <w:spacing w:line="360" w:lineRule="auto"/>
        <w:jc w:val="left"/>
        <w:rPr>
          <w:rFonts w:hint="eastAsia" w:ascii="宋体" w:hAnsi="宋体" w:eastAsia="宋体" w:cs="宋体"/>
          <w:b w:val="0"/>
          <w:bCs/>
          <w:kern w:val="0"/>
          <w:sz w:val="24"/>
          <w:szCs w:val="24"/>
        </w:rPr>
      </w:pPr>
    </w:p>
    <w:p>
      <w:pPr>
        <w:keepNext w:val="0"/>
        <w:keepLines w:val="0"/>
        <w:pageBreakBefore w:val="0"/>
        <w:numPr>
          <w:ilvl w:val="0"/>
          <w:numId w:val="101"/>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款式</w:t>
      </w:r>
    </w:p>
    <w:p>
      <w:pPr>
        <w:keepNext w:val="0"/>
        <w:keepLines w:val="0"/>
        <w:pageBreakBefore w:val="0"/>
        <w:numPr>
          <w:ilvl w:val="0"/>
          <w:numId w:val="103"/>
        </w:numPr>
        <w:tabs>
          <w:tab w:val="clear" w:pos="420"/>
        </w:tabs>
        <w:kinsoku/>
        <w:wordWrap/>
        <w:overflowPunct/>
        <w:topLinePunct w:val="0"/>
        <w:bidi w:val="0"/>
        <w:spacing w:line="360" w:lineRule="auto"/>
        <w:ind w:left="1665" w:leftChars="0" w:hanging="1665" w:firstLineChars="0"/>
        <w:jc w:val="left"/>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rPr>
        <w:t>服装款式符合应急管理部消防局20式消防员抢险救援防护服款式标识统型要求</w:t>
      </w:r>
      <w:r>
        <w:rPr>
          <w:rFonts w:hint="eastAsia" w:ascii="宋体" w:hAnsi="宋体" w:eastAsia="宋体" w:cs="宋体"/>
          <w:b w:val="0"/>
          <w:bCs/>
          <w:kern w:val="0"/>
          <w:sz w:val="24"/>
          <w:szCs w:val="24"/>
          <w:highlight w:val="none"/>
        </w:rPr>
        <w:t>。</w:t>
      </w:r>
    </w:p>
    <w:p>
      <w:pPr>
        <w:keepNext w:val="0"/>
        <w:keepLines w:val="0"/>
        <w:pageBreakBefore w:val="0"/>
        <w:numPr>
          <w:ilvl w:val="0"/>
          <w:numId w:val="103"/>
        </w:numPr>
        <w:tabs>
          <w:tab w:val="clear" w:pos="420"/>
        </w:tabs>
        <w:kinsoku/>
        <w:wordWrap/>
        <w:overflowPunct/>
        <w:topLinePunct w:val="0"/>
        <w:bidi w:val="0"/>
        <w:spacing w:line="360" w:lineRule="auto"/>
        <w:ind w:left="1665" w:leftChars="0" w:hanging="166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highlight w:val="none"/>
        </w:rPr>
        <w:t>颜色：橘红色，色差</w:t>
      </w:r>
      <w:r>
        <w:rPr>
          <w:rFonts w:hint="eastAsia" w:ascii="宋体" w:hAnsi="宋体" w:eastAsia="宋体" w:cs="宋体"/>
          <w:b w:val="0"/>
          <w:bCs/>
          <w:kern w:val="0"/>
          <w:sz w:val="24"/>
          <w:szCs w:val="24"/>
        </w:rPr>
        <w:t>≥3级（按《纺织品色牢度试验 评定变色用灰色样卡》GB/T250-2008 标准评判）。</w:t>
      </w:r>
    </w:p>
    <w:p>
      <w:pPr>
        <w:keepNext w:val="0"/>
        <w:keepLines w:val="0"/>
        <w:pageBreakBefore w:val="0"/>
        <w:numPr>
          <w:ilvl w:val="0"/>
          <w:numId w:val="103"/>
        </w:numPr>
        <w:tabs>
          <w:tab w:val="clear" w:pos="420"/>
        </w:tabs>
        <w:kinsoku/>
        <w:wordWrap/>
        <w:overflowPunct/>
        <w:topLinePunct w:val="0"/>
        <w:bidi w:val="0"/>
        <w:spacing w:line="360" w:lineRule="auto"/>
        <w:ind w:left="1665" w:leftChars="0" w:hanging="166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夹克式上衣配长裤设计，上衣和下裤经拉链连接可实现一体功能。</w:t>
      </w:r>
    </w:p>
    <w:p>
      <w:pPr>
        <w:keepNext w:val="0"/>
        <w:keepLines w:val="0"/>
        <w:pageBreakBefore w:val="0"/>
        <w:numPr>
          <w:ilvl w:val="0"/>
          <w:numId w:val="103"/>
        </w:numPr>
        <w:tabs>
          <w:tab w:val="clear" w:pos="420"/>
        </w:tabs>
        <w:kinsoku/>
        <w:wordWrap/>
        <w:overflowPunct/>
        <w:topLinePunct w:val="0"/>
        <w:bidi w:val="0"/>
        <w:spacing w:line="360" w:lineRule="auto"/>
        <w:ind w:left="1665" w:leftChars="0" w:hanging="1665"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反光标志带：采用宽度为50.8mm的“黄银黄”组合色打孔反光标志带。</w:t>
      </w:r>
    </w:p>
    <w:p>
      <w:pPr>
        <w:keepNext w:val="0"/>
        <w:keepLines w:val="0"/>
        <w:pageBreakBefore w:val="0"/>
        <w:numPr>
          <w:ilvl w:val="0"/>
          <w:numId w:val="103"/>
        </w:numPr>
        <w:tabs>
          <w:tab w:val="clear" w:pos="420"/>
        </w:tabs>
        <w:kinsoku/>
        <w:wordWrap/>
        <w:overflowPunct/>
        <w:topLinePunct w:val="0"/>
        <w:bidi w:val="0"/>
        <w:spacing w:line="360" w:lineRule="auto"/>
        <w:ind w:left="1665" w:leftChars="0" w:hanging="166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行军帽为棒球帽款式，正前方绣19式消防徽，后部采用卡扣调节袢，头部围度520-640 mm，消防徽尺寸：长度×高度为53.5×55mm。</w:t>
      </w:r>
    </w:p>
    <w:p>
      <w:pPr>
        <w:keepNext w:val="0"/>
        <w:keepLines w:val="0"/>
        <w:pageBreakBefore w:val="0"/>
        <w:numPr>
          <w:ilvl w:val="0"/>
          <w:numId w:val="103"/>
        </w:numPr>
        <w:tabs>
          <w:tab w:val="clear" w:pos="420"/>
        </w:tabs>
        <w:kinsoku/>
        <w:wordWrap/>
        <w:overflowPunct/>
        <w:topLinePunct w:val="0"/>
        <w:bidi w:val="0"/>
        <w:spacing w:line="360" w:lineRule="auto"/>
        <w:ind w:left="1665" w:leftChars="0" w:hanging="166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腰带为插扣式腰带，规格长度*宽度*厚度为1300*50*2.8 mm。</w:t>
      </w:r>
    </w:p>
    <w:p>
      <w:pPr>
        <w:keepNext w:val="0"/>
        <w:keepLines w:val="0"/>
        <w:pageBreakBefore w:val="0"/>
        <w:kinsoku/>
        <w:wordWrap/>
        <w:overflowPunct/>
        <w:topLinePunct w:val="0"/>
        <w:bidi w:val="0"/>
        <w:spacing w:line="360" w:lineRule="auto"/>
        <w:jc w:val="left"/>
        <w:rPr>
          <w:rFonts w:hint="eastAsia" w:ascii="宋体" w:hAnsi="宋体" w:eastAsia="宋体" w:cs="宋体"/>
          <w:b w:val="0"/>
          <w:bCs/>
          <w:kern w:val="0"/>
          <w:sz w:val="24"/>
          <w:szCs w:val="24"/>
        </w:rPr>
      </w:pPr>
    </w:p>
    <w:p>
      <w:pPr>
        <w:keepNext w:val="0"/>
        <w:keepLines w:val="0"/>
        <w:pageBreakBefore w:val="0"/>
        <w:numPr>
          <w:ilvl w:val="0"/>
          <w:numId w:val="101"/>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结构</w:t>
      </w:r>
    </w:p>
    <w:p>
      <w:pPr>
        <w:keepNext w:val="0"/>
        <w:keepLines w:val="0"/>
        <w:pageBreakBefore w:val="0"/>
        <w:numPr>
          <w:ilvl w:val="0"/>
          <w:numId w:val="104"/>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采用三层结构，含外层、防水透气层和舒适层。</w:t>
      </w:r>
    </w:p>
    <w:p>
      <w:pPr>
        <w:keepNext w:val="0"/>
        <w:keepLines w:val="0"/>
        <w:pageBreakBefore w:val="0"/>
        <w:numPr>
          <w:ilvl w:val="0"/>
          <w:numId w:val="104"/>
        </w:numPr>
        <w:tabs>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外层为芳纶阻燃面料，克重（200±10）g/m2（93%间位芳纶、5%对位芳纶和2%导电丝）。</w:t>
      </w:r>
    </w:p>
    <w:p>
      <w:pPr>
        <w:keepNext w:val="0"/>
        <w:keepLines w:val="0"/>
        <w:pageBreakBefore w:val="0"/>
        <w:numPr>
          <w:ilvl w:val="0"/>
          <w:numId w:val="104"/>
        </w:numPr>
        <w:tabs>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防水层为阻燃PTFE防水透湿层，克重（130±5.5）g/㎡。</w:t>
      </w:r>
    </w:p>
    <w:p>
      <w:pPr>
        <w:keepNext w:val="0"/>
        <w:keepLines w:val="0"/>
        <w:pageBreakBefore w:val="0"/>
        <w:numPr>
          <w:ilvl w:val="0"/>
          <w:numId w:val="104"/>
        </w:numPr>
        <w:tabs>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舒适层为芳纶粘胶阻燃面料，克重（120±6）g/m2（50%间位芳纶和50%阻燃粘胶）。</w:t>
      </w:r>
    </w:p>
    <w:p>
      <w:pPr>
        <w:keepNext w:val="0"/>
        <w:keepLines w:val="0"/>
        <w:pageBreakBefore w:val="0"/>
        <w:kinsoku/>
        <w:wordWrap/>
        <w:overflowPunct/>
        <w:topLinePunct w:val="0"/>
        <w:bidi w:val="0"/>
        <w:spacing w:line="360" w:lineRule="auto"/>
        <w:jc w:val="left"/>
        <w:rPr>
          <w:rFonts w:hint="eastAsia" w:ascii="宋体" w:hAnsi="宋体" w:eastAsia="宋体" w:cs="宋体"/>
          <w:b w:val="0"/>
          <w:bCs/>
          <w:kern w:val="0"/>
          <w:sz w:val="24"/>
          <w:szCs w:val="24"/>
        </w:rPr>
      </w:pPr>
    </w:p>
    <w:p>
      <w:pPr>
        <w:keepNext w:val="0"/>
        <w:keepLines w:val="0"/>
        <w:pageBreakBefore w:val="0"/>
        <w:numPr>
          <w:ilvl w:val="0"/>
          <w:numId w:val="101"/>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技术性能</w:t>
      </w:r>
    </w:p>
    <w:p>
      <w:pPr>
        <w:keepNext w:val="0"/>
        <w:keepLines w:val="0"/>
        <w:pageBreakBefore w:val="0"/>
        <w:numPr>
          <w:ilvl w:val="0"/>
          <w:numId w:val="105"/>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sz w:val="24"/>
        </w:rPr>
        <mc:AlternateContent>
          <mc:Choice Requires="wps">
            <w:drawing>
              <wp:anchor distT="0" distB="0" distL="114300" distR="114300" simplePos="0" relativeHeight="251722752" behindDoc="0" locked="0" layoutInCell="1" allowOverlap="1">
                <wp:simplePos x="0" y="0"/>
                <wp:positionH relativeFrom="column">
                  <wp:posOffset>-304800</wp:posOffset>
                </wp:positionH>
                <wp:positionV relativeFrom="paragraph">
                  <wp:posOffset>16510</wp:posOffset>
                </wp:positionV>
                <wp:extent cx="266700" cy="238125"/>
                <wp:effectExtent l="0" t="0" r="0" b="9525"/>
                <wp:wrapNone/>
                <wp:docPr id="66" name="文本框 66"/>
                <wp:cNvGraphicFramePr/>
                <a:graphic xmlns:a="http://schemas.openxmlformats.org/drawingml/2006/main">
                  <a:graphicData uri="http://schemas.microsoft.com/office/word/2010/wordprocessingShape">
                    <wps:wsp>
                      <wps:cNvSpPr txBox="1"/>
                      <wps:spPr>
                        <a:xfrm>
                          <a:off x="422910" y="1090930"/>
                          <a:ext cx="266700" cy="2381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pt;margin-top:1.3pt;height:18.75pt;width:21pt;z-index:251722752;mso-width-relative:page;mso-height-relative:page;" fillcolor="#FFFFFF [3201]" filled="t" stroked="f" coordsize="21600,21600" o:gfxdata="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BMbSnSAAAABwEA&#10;AA8AAAAAAAAAAQAgAAAAIgAAAGRycy9kb3ducmV2LnhtbFBLAQIUABQAAAAIAIdO4kC4lwLPWQIA&#10;AJsEAAAOAAAAAAAAAAEAIAAAACEBAABkcnMvZTJvRG9jLnhtbFBLBQYAAAAABgAGAFkBAADsBQAA&#10;A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b w:val="0"/>
          <w:bCs/>
          <w:kern w:val="0"/>
          <w:sz w:val="24"/>
          <w:szCs w:val="24"/>
        </w:rPr>
        <w:t>阻燃性能：经向损毁长度≤25mm，纬向损毁长度≤22mm，续燃时间0s，且不应有熔融、滴落现象。</w:t>
      </w:r>
    </w:p>
    <w:p>
      <w:pPr>
        <w:keepNext w:val="0"/>
        <w:keepLines w:val="0"/>
        <w:pageBreakBefore w:val="0"/>
        <w:numPr>
          <w:ilvl w:val="0"/>
          <w:numId w:val="105"/>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表面抗湿性能：≥ 3级。</w:t>
      </w:r>
    </w:p>
    <w:p>
      <w:pPr>
        <w:keepNext w:val="0"/>
        <w:keepLines w:val="0"/>
        <w:pageBreakBefore w:val="0"/>
        <w:numPr>
          <w:ilvl w:val="0"/>
          <w:numId w:val="105"/>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断裂强力：经向断裂强度≥1300N、纬向断裂强度≥1200N。</w:t>
      </w:r>
    </w:p>
    <w:p>
      <w:pPr>
        <w:keepNext w:val="0"/>
        <w:keepLines w:val="0"/>
        <w:pageBreakBefore w:val="0"/>
        <w:numPr>
          <w:ilvl w:val="0"/>
          <w:numId w:val="105"/>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lang w:val="zh-CN"/>
        </w:rPr>
      </w:pPr>
      <w:r>
        <w:rPr>
          <w:sz w:val="24"/>
        </w:rPr>
        <mc:AlternateContent>
          <mc:Choice Requires="wps">
            <w:drawing>
              <wp:anchor distT="0" distB="0" distL="114300" distR="114300" simplePos="0" relativeHeight="251723776" behindDoc="0" locked="0" layoutInCell="1" allowOverlap="1">
                <wp:simplePos x="0" y="0"/>
                <wp:positionH relativeFrom="column">
                  <wp:posOffset>-333375</wp:posOffset>
                </wp:positionH>
                <wp:positionV relativeFrom="paragraph">
                  <wp:posOffset>29845</wp:posOffset>
                </wp:positionV>
                <wp:extent cx="304165" cy="266065"/>
                <wp:effectExtent l="0" t="0" r="635" b="635"/>
                <wp:wrapNone/>
                <wp:docPr id="67" name="文本框 67"/>
                <wp:cNvGraphicFramePr/>
                <a:graphic xmlns:a="http://schemas.openxmlformats.org/drawingml/2006/main">
                  <a:graphicData uri="http://schemas.microsoft.com/office/word/2010/wordprocessingShape">
                    <wps:wsp>
                      <wps:cNvSpPr txBox="1"/>
                      <wps:spPr>
                        <a:xfrm>
                          <a:off x="375285" y="2273935"/>
                          <a:ext cx="304165" cy="2660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5pt;margin-top:2.35pt;height:20.95pt;width:23.95pt;z-index:251723776;mso-width-relative:page;mso-height-relative:page;" fillcolor="#FFFFFF [3201]" filled="t" stroked="f" coordsize="21600,21600" o:gfxdata="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3oU+fSAAAABwEA&#10;AA8AAAAAAAAAAQAgAAAAIgAAAGRycy9kb3ducmV2LnhtbFBLAQIUABQAAAAIAIdO4kBpDO1uWQIA&#10;AJsEAAAOAAAAAAAAAAEAIAAAACEBAABkcnMvZTJvRG9jLnhtbFBLBQYAAAAABgAGAFkBAADsBQAA&#10;AAA=&#10;">
                <v:fill on="t" focussize="0,0"/>
                <v:stroke on="f" weight="0.5pt"/>
                <v:imagedata o:title=""/>
                <o:lock v:ext="edit" aspectratio="f"/>
                <v:textbox>
                  <w:txbxContent>
                    <w:p>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b w:val="0"/>
          <w:bCs/>
          <w:kern w:val="0"/>
          <w:sz w:val="24"/>
          <w:szCs w:val="24"/>
          <w:lang w:val="zh-CN"/>
        </w:rPr>
        <w:t>撕破强力：经向撕破强力≥190N，纬向撕破强力≥160N。</w:t>
      </w:r>
    </w:p>
    <w:p>
      <w:pPr>
        <w:keepNext w:val="0"/>
        <w:keepLines w:val="0"/>
        <w:pageBreakBefore w:val="0"/>
        <w:numPr>
          <w:ilvl w:val="0"/>
          <w:numId w:val="105"/>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色牢度：面料的耐水摩擦色牢度、耐洗沾色牢度、耐光色牢度均≥4级。</w:t>
      </w:r>
    </w:p>
    <w:p>
      <w:pPr>
        <w:keepNext w:val="0"/>
        <w:keepLines w:val="0"/>
        <w:pageBreakBefore w:val="0"/>
        <w:numPr>
          <w:ilvl w:val="0"/>
          <w:numId w:val="105"/>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热稳定性能：经纬向变化率≤1.5％。</w:t>
      </w:r>
    </w:p>
    <w:p>
      <w:pPr>
        <w:keepNext w:val="0"/>
        <w:keepLines w:val="0"/>
        <w:pageBreakBefore w:val="0"/>
        <w:numPr>
          <w:ilvl w:val="0"/>
          <w:numId w:val="105"/>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质量≤1.5 kg。</w:t>
      </w:r>
    </w:p>
    <w:p>
      <w:pPr>
        <w:keepNext w:val="0"/>
        <w:keepLines w:val="0"/>
        <w:pageBreakBefore w:val="0"/>
        <w:numPr>
          <w:ilvl w:val="0"/>
          <w:numId w:val="105"/>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接缝强力≥1000N。</w:t>
      </w:r>
    </w:p>
    <w:p>
      <w:pPr>
        <w:keepNext w:val="0"/>
        <w:keepLines w:val="0"/>
        <w:pageBreakBefore w:val="0"/>
        <w:numPr>
          <w:ilvl w:val="0"/>
          <w:numId w:val="105"/>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针距密度：明暗线≥12针/3cm，包缝线≥10针/3cm。</w:t>
      </w:r>
    </w:p>
    <w:p>
      <w:pPr>
        <w:keepNext w:val="0"/>
        <w:keepLines w:val="0"/>
        <w:pageBreakBefore w:val="0"/>
        <w:numPr>
          <w:ilvl w:val="0"/>
          <w:numId w:val="105"/>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耐静水压≥17KPa。</w:t>
      </w:r>
    </w:p>
    <w:p>
      <w:pPr>
        <w:keepNext w:val="0"/>
        <w:keepLines w:val="0"/>
        <w:pageBreakBefore w:val="0"/>
        <w:kinsoku/>
        <w:wordWrap/>
        <w:overflowPunct/>
        <w:topLinePunct w:val="0"/>
        <w:bidi w:val="0"/>
        <w:spacing w:line="360" w:lineRule="auto"/>
        <w:jc w:val="left"/>
        <w:rPr>
          <w:rFonts w:hint="eastAsia" w:ascii="宋体" w:hAnsi="宋体" w:eastAsia="宋体" w:cs="宋体"/>
          <w:b w:val="0"/>
          <w:bCs/>
          <w:kern w:val="0"/>
          <w:sz w:val="24"/>
          <w:szCs w:val="24"/>
        </w:rPr>
      </w:pPr>
    </w:p>
    <w:p>
      <w:pPr>
        <w:keepNext w:val="0"/>
        <w:keepLines w:val="0"/>
        <w:pageBreakBefore w:val="0"/>
        <w:numPr>
          <w:ilvl w:val="0"/>
          <w:numId w:val="101"/>
        </w:numPr>
        <w:kinsoku/>
        <w:wordWrap/>
        <w:overflowPunct/>
        <w:topLinePunct w:val="0"/>
        <w:bidi w:val="0"/>
        <w:spacing w:line="360" w:lineRule="auto"/>
        <w:ind w:left="425" w:leftChars="0" w:hanging="425"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其他</w:t>
      </w:r>
    </w:p>
    <w:p>
      <w:pPr>
        <w:keepNext w:val="0"/>
        <w:keepLines w:val="0"/>
        <w:pageBreakBefore w:val="0"/>
        <w:numPr>
          <w:ilvl w:val="0"/>
          <w:numId w:val="106"/>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拉链：上衣前门襟所选用的拉链不小于8号，颜色与外层面料相匹配；拉链使用芳纶基布的阻燃拉链；</w:t>
      </w:r>
    </w:p>
    <w:p>
      <w:pPr>
        <w:keepNext w:val="0"/>
        <w:keepLines w:val="0"/>
        <w:pageBreakBefore w:val="0"/>
        <w:numPr>
          <w:ilvl w:val="0"/>
          <w:numId w:val="106"/>
        </w:numPr>
        <w:tabs>
          <w:tab w:val="left" w:pos="1680"/>
          <w:tab w:val="clear" w:pos="420"/>
        </w:tabs>
        <w:kinsoku/>
        <w:wordWrap/>
        <w:overflowPunct/>
        <w:topLinePunct w:val="0"/>
        <w:bidi w:val="0"/>
        <w:spacing w:line="360" w:lineRule="auto"/>
        <w:ind w:left="1680" w:leftChars="0" w:hanging="168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魔术贴：外观平整，钩面排列整齐，钩形完好，毛面均匀，厚薄一致，无明显凹凸不平，无明显污渍，色泽统一均匀，无明显色差、色花。</w:t>
      </w:r>
    </w:p>
    <w:p>
      <w:pPr>
        <w:bidi w:val="0"/>
        <w:rPr>
          <w:rFonts w:hint="eastAsia"/>
          <w:b/>
          <w:bCs w:val="0"/>
        </w:rPr>
      </w:pPr>
    </w:p>
    <w:p>
      <w:pPr>
        <w:numPr>
          <w:ilvl w:val="0"/>
          <w:numId w:val="44"/>
        </w:numPr>
        <w:spacing w:line="360" w:lineRule="auto"/>
        <w:ind w:left="425" w:leftChars="0" w:hanging="425" w:firstLineChars="0"/>
        <w:jc w:val="both"/>
        <w:rPr>
          <w:rFonts w:hint="eastAsia"/>
          <w:b/>
          <w:bCs w:val="0"/>
          <w:color w:val="000000"/>
          <w:sz w:val="24"/>
          <w:szCs w:val="24"/>
          <w:highlight w:val="none"/>
        </w:rPr>
      </w:pPr>
      <w:r>
        <w:rPr>
          <w:rFonts w:hint="eastAsia"/>
          <w:b/>
          <w:bCs w:val="0"/>
          <w:color w:val="000000"/>
          <w:sz w:val="24"/>
          <w:szCs w:val="24"/>
          <w:highlight w:val="none"/>
        </w:rPr>
        <w:t>抢险救援靴</w:t>
      </w:r>
    </w:p>
    <w:p>
      <w:pPr>
        <w:keepNext w:val="0"/>
        <w:keepLines w:val="0"/>
        <w:pageBreakBefore w:val="0"/>
        <w:widowControl/>
        <w:numPr>
          <w:ilvl w:val="0"/>
          <w:numId w:val="107"/>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b w:val="0"/>
          <w:bCs w:val="0"/>
          <w:color w:val="000000"/>
          <w:kern w:val="0"/>
          <w:sz w:val="24"/>
          <w:szCs w:val="24"/>
        </w:rPr>
      </w:pPr>
      <w:r>
        <w:rPr>
          <w:sz w:val="24"/>
        </w:rPr>
        <mc:AlternateContent>
          <mc:Choice Requires="wps">
            <w:drawing>
              <wp:anchor distT="0" distB="0" distL="114300" distR="114300" simplePos="0" relativeHeight="251724800" behindDoc="0" locked="0" layoutInCell="1" allowOverlap="1">
                <wp:simplePos x="0" y="0"/>
                <wp:positionH relativeFrom="column">
                  <wp:posOffset>-314325</wp:posOffset>
                </wp:positionH>
                <wp:positionV relativeFrom="paragraph">
                  <wp:posOffset>262255</wp:posOffset>
                </wp:positionV>
                <wp:extent cx="257175" cy="266700"/>
                <wp:effectExtent l="0" t="0" r="9525" b="0"/>
                <wp:wrapNone/>
                <wp:docPr id="68" name="文本框 68"/>
                <wp:cNvGraphicFramePr/>
                <a:graphic xmlns:a="http://schemas.openxmlformats.org/drawingml/2006/main">
                  <a:graphicData uri="http://schemas.microsoft.com/office/word/2010/wordprocessingShape">
                    <wps:wsp>
                      <wps:cNvSpPr txBox="1"/>
                      <wps:spPr>
                        <a:xfrm>
                          <a:off x="403860" y="6884035"/>
                          <a:ext cx="257175"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5pt;margin-top:20.65pt;height:21pt;width:20.25pt;z-index:251724800;mso-width-relative:page;mso-height-relative:page;" fillcolor="#FFFFFF [3201]" filled="t" stroked="f" coordsize="21600,21600" o:gfxdata="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9F3M9NQA&#10;AAAIAQAADwAAAAAAAAABACAAAAAiAAAAZHJzL2Rvd25yZXYueG1sUEsBAhQAFAAAAAgAh07iQLir&#10;N7dcAgAAmwQAAA4AAAAAAAAAAQAgAAAAIwEAAGRycy9lMm9Eb2MueG1sUEsFBgAAAAAGAAYAWQEA&#10;APEFAAAAAA==&#10;">
                <v:fill on="t" focussize="0,0"/>
                <v:stroke on="f" weight="0.5pt"/>
                <v:imagedata o:title=""/>
                <o:lock v:ext="edit" aspectratio="f"/>
                <v:textbox>
                  <w:txbxContent>
                    <w:p>
                      <w:r>
                        <w:rPr>
                          <w:rFonts w:hint="eastAsia" w:ascii="宋体" w:hAnsi="宋体" w:eastAsia="宋体" w:cs="Times New Roman"/>
                          <w:b/>
                          <w:color w:val="000000"/>
                          <w:highlight w:val="none"/>
                        </w:rPr>
                        <w:t>＊</w:t>
                      </w:r>
                    </w:p>
                    <w:p/>
                  </w:txbxContent>
                </v:textbox>
              </v:shape>
            </w:pict>
          </mc:Fallback>
        </mc:AlternateContent>
      </w:r>
      <w:r>
        <w:rPr>
          <w:rFonts w:hint="eastAsia" w:ascii="宋体" w:hAnsi="宋体" w:eastAsia="宋体" w:cs="宋体"/>
          <w:b w:val="0"/>
          <w:bCs w:val="0"/>
          <w:color w:val="000000"/>
          <w:kern w:val="0"/>
          <w:sz w:val="24"/>
          <w:szCs w:val="24"/>
        </w:rPr>
        <w:t>整体要求</w:t>
      </w:r>
    </w:p>
    <w:p>
      <w:pPr>
        <w:keepNext w:val="0"/>
        <w:keepLines w:val="0"/>
        <w:pageBreakBefore w:val="0"/>
        <w:numPr>
          <w:ilvl w:val="0"/>
          <w:numId w:val="108"/>
        </w:numPr>
        <w:tabs>
          <w:tab w:val="clear" w:pos="420"/>
        </w:tabs>
        <w:kinsoku/>
        <w:wordWrap/>
        <w:overflowPunct/>
        <w:topLinePunct w:val="0"/>
        <w:bidi w:val="0"/>
        <w:snapToGrid w:val="0"/>
        <w:spacing w:line="360" w:lineRule="auto"/>
        <w:ind w:left="1665" w:leftChars="0" w:hanging="1665" w:firstLineChars="0"/>
        <w:jc w:val="left"/>
        <w:rPr>
          <w:rFonts w:hint="eastAsia" w:ascii="宋体" w:hAnsi="宋体" w:eastAsia="宋体" w:cs="宋体"/>
          <w:b/>
          <w:bCs/>
          <w:kern w:val="0"/>
          <w:sz w:val="24"/>
          <w:szCs w:val="24"/>
          <w:highlight w:val="none"/>
          <w:lang w:val="zh-CN"/>
        </w:rPr>
      </w:pPr>
      <w:r>
        <w:rPr>
          <w:rFonts w:hint="eastAsia" w:ascii="宋体" w:hAnsi="宋体" w:eastAsia="宋体" w:cs="宋体"/>
          <w:b w:val="0"/>
          <w:bCs w:val="0"/>
          <w:color w:val="000000"/>
          <w:kern w:val="0"/>
          <w:sz w:val="24"/>
          <w:szCs w:val="24"/>
        </w:rPr>
        <w:t>符合国家GA633－2006</w:t>
      </w:r>
      <w:r>
        <w:rPr>
          <w:rFonts w:hint="eastAsia" w:ascii="宋体" w:hAnsi="宋体" w:eastAsia="宋体" w:cs="宋体"/>
          <w:b w:val="0"/>
          <w:bCs w:val="0"/>
          <w:kern w:val="0"/>
          <w:sz w:val="24"/>
          <w:szCs w:val="24"/>
        </w:rPr>
        <w:t>《消防员抢险救援防护服装》</w:t>
      </w:r>
      <w:r>
        <w:rPr>
          <w:rFonts w:hint="eastAsia" w:ascii="宋体" w:hAnsi="宋体" w:eastAsia="宋体" w:cs="宋体"/>
          <w:b w:val="0"/>
          <w:bCs w:val="0"/>
          <w:color w:val="000000"/>
          <w:kern w:val="0"/>
          <w:sz w:val="24"/>
          <w:szCs w:val="24"/>
        </w:rPr>
        <w:t>的标准，</w:t>
      </w:r>
      <w:r>
        <w:rPr>
          <w:rFonts w:hint="eastAsia" w:ascii="宋体" w:hAnsi="宋体" w:eastAsia="宋体" w:cs="宋体"/>
          <w:b w:val="0"/>
          <w:bCs w:val="0"/>
          <w:color w:val="000000"/>
          <w:kern w:val="0"/>
          <w:sz w:val="24"/>
          <w:szCs w:val="24"/>
          <w:highlight w:val="none"/>
          <w:lang w:val="en-US" w:eastAsia="zh-CN"/>
        </w:rPr>
        <w:t>提供</w:t>
      </w:r>
      <w:r>
        <w:rPr>
          <w:rFonts w:hint="eastAsia" w:ascii="宋体" w:hAnsi="宋体" w:eastAsia="宋体" w:cs="宋体"/>
          <w:b/>
          <w:bCs/>
          <w:kern w:val="0"/>
          <w:sz w:val="24"/>
          <w:szCs w:val="24"/>
          <w:highlight w:val="none"/>
        </w:rPr>
        <w:t>检验报告复印件</w:t>
      </w:r>
      <w:r>
        <w:rPr>
          <w:rFonts w:hint="eastAsia" w:ascii="宋体" w:hAnsi="宋体" w:eastAsia="宋体" w:cs="宋体"/>
          <w:b/>
          <w:bCs/>
          <w:kern w:val="0"/>
          <w:sz w:val="24"/>
          <w:szCs w:val="24"/>
          <w:highlight w:val="none"/>
          <w:lang w:val="en-US" w:eastAsia="zh-CN"/>
        </w:rPr>
        <w:t>并加盖公章</w:t>
      </w:r>
      <w:r>
        <w:rPr>
          <w:rFonts w:hint="eastAsia" w:ascii="宋体" w:hAnsi="宋体" w:eastAsia="宋体" w:cs="宋体"/>
          <w:b/>
          <w:bCs/>
          <w:kern w:val="0"/>
          <w:sz w:val="24"/>
          <w:szCs w:val="24"/>
          <w:highlight w:val="none"/>
        </w:rPr>
        <w:t>。</w:t>
      </w:r>
    </w:p>
    <w:p>
      <w:pPr>
        <w:keepNext w:val="0"/>
        <w:keepLines w:val="0"/>
        <w:pageBreakBefore w:val="0"/>
        <w:numPr>
          <w:ilvl w:val="0"/>
          <w:numId w:val="108"/>
        </w:numPr>
        <w:tabs>
          <w:tab w:val="clear" w:pos="420"/>
        </w:tabs>
        <w:kinsoku/>
        <w:wordWrap/>
        <w:overflowPunct/>
        <w:topLinePunct w:val="0"/>
        <w:bidi w:val="0"/>
        <w:snapToGrid w:val="0"/>
        <w:spacing w:line="360" w:lineRule="auto"/>
        <w:ind w:left="1665" w:leftChars="0" w:hanging="1665" w:firstLineChars="0"/>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符合17式消防员抢险救援靴款式标识统型要求。</w:t>
      </w:r>
    </w:p>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b w:val="0"/>
          <w:bCs w:val="0"/>
          <w:color w:val="000000"/>
          <w:kern w:val="0"/>
          <w:sz w:val="24"/>
          <w:szCs w:val="24"/>
        </w:rPr>
      </w:pPr>
    </w:p>
    <w:p>
      <w:pPr>
        <w:keepNext w:val="0"/>
        <w:keepLines w:val="0"/>
        <w:pageBreakBefore w:val="0"/>
        <w:widowControl/>
        <w:numPr>
          <w:ilvl w:val="0"/>
          <w:numId w:val="107"/>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结构及颜色</w:t>
      </w:r>
    </w:p>
    <w:p>
      <w:pPr>
        <w:keepNext w:val="0"/>
        <w:keepLines w:val="0"/>
        <w:pageBreakBefore w:val="0"/>
        <w:widowControl/>
        <w:numPr>
          <w:ilvl w:val="0"/>
          <w:numId w:val="109"/>
        </w:numPr>
        <w:tabs>
          <w:tab w:val="left" w:pos="1680"/>
          <w:tab w:val="clear" w:pos="420"/>
        </w:tabs>
        <w:kinsoku/>
        <w:wordWrap/>
        <w:overflowPunct/>
        <w:topLinePunct w:val="0"/>
        <w:bidi w:val="0"/>
        <w:spacing w:line="360" w:lineRule="auto"/>
        <w:ind w:left="1665" w:leftChars="0" w:hanging="1665"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由靴外底、靴跟、带舒适层的靴帮、带防穿刺层的靴内底、鞋垫和靴头等组成。</w:t>
      </w:r>
    </w:p>
    <w:p>
      <w:pPr>
        <w:keepNext w:val="0"/>
        <w:keepLines w:val="0"/>
        <w:pageBreakBefore w:val="0"/>
        <w:widowControl/>
        <w:numPr>
          <w:ilvl w:val="0"/>
          <w:numId w:val="109"/>
        </w:numPr>
        <w:tabs>
          <w:tab w:val="left" w:pos="1680"/>
          <w:tab w:val="clear" w:pos="420"/>
        </w:tabs>
        <w:kinsoku/>
        <w:wordWrap/>
        <w:overflowPunct/>
        <w:topLinePunct w:val="0"/>
        <w:bidi w:val="0"/>
        <w:spacing w:line="360" w:lineRule="auto"/>
        <w:ind w:left="1665" w:leftChars="0" w:hanging="1665"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主体为黑色；反光标志为荧光黄色；鞋带和“消防救援”标志为橘红色。</w:t>
      </w:r>
    </w:p>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b w:val="0"/>
          <w:bCs w:val="0"/>
          <w:color w:val="000000"/>
          <w:kern w:val="0"/>
          <w:sz w:val="24"/>
          <w:szCs w:val="24"/>
        </w:rPr>
      </w:pPr>
    </w:p>
    <w:p>
      <w:pPr>
        <w:keepNext w:val="0"/>
        <w:keepLines w:val="0"/>
        <w:pageBreakBefore w:val="0"/>
        <w:widowControl/>
        <w:numPr>
          <w:ilvl w:val="0"/>
          <w:numId w:val="107"/>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技术性能</w:t>
      </w:r>
    </w:p>
    <w:p>
      <w:pPr>
        <w:keepNext w:val="0"/>
        <w:keepLines w:val="0"/>
        <w:pageBreakBefore w:val="0"/>
        <w:widowControl/>
        <w:numPr>
          <w:ilvl w:val="0"/>
          <w:numId w:val="110"/>
        </w:numPr>
        <w:tabs>
          <w:tab w:val="clear" w:pos="420"/>
        </w:tabs>
        <w:kinsoku/>
        <w:wordWrap/>
        <w:overflowPunct/>
        <w:topLinePunct w:val="0"/>
        <w:bidi w:val="0"/>
        <w:spacing w:line="360" w:lineRule="auto"/>
        <w:ind w:left="1680" w:leftChars="0" w:hanging="1680"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内怀设有快速穿脱功能拉链，靴面主体材料为黑色防水阻燃头层黄牛鞋面革和防水阻燃帆布，靴底为双密度氯丁合成橡胶，一体成型。</w:t>
      </w:r>
    </w:p>
    <w:p>
      <w:pPr>
        <w:keepNext w:val="0"/>
        <w:keepLines w:val="0"/>
        <w:pageBreakBefore w:val="0"/>
        <w:widowControl/>
        <w:numPr>
          <w:ilvl w:val="0"/>
          <w:numId w:val="110"/>
        </w:numPr>
        <w:tabs>
          <w:tab w:val="clear" w:pos="420"/>
        </w:tabs>
        <w:kinsoku/>
        <w:wordWrap/>
        <w:overflowPunct/>
        <w:topLinePunct w:val="0"/>
        <w:bidi w:val="0"/>
        <w:spacing w:line="360" w:lineRule="auto"/>
        <w:ind w:left="1680" w:leftChars="0" w:hanging="1680"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由外底、带舒适层的靴帮、带防刺穿层的内底和保护靴头等部分组成的系带式中筒靴。</w:t>
      </w:r>
    </w:p>
    <w:p>
      <w:pPr>
        <w:keepNext w:val="0"/>
        <w:keepLines w:val="0"/>
        <w:pageBreakBefore w:val="0"/>
        <w:widowControl/>
        <w:numPr>
          <w:ilvl w:val="0"/>
          <w:numId w:val="110"/>
        </w:numPr>
        <w:tabs>
          <w:tab w:val="clear" w:pos="420"/>
        </w:tabs>
        <w:kinsoku/>
        <w:wordWrap/>
        <w:overflowPunct/>
        <w:topLinePunct w:val="0"/>
        <w:bidi w:val="0"/>
        <w:spacing w:line="360" w:lineRule="auto"/>
        <w:ind w:left="1680" w:leftChars="0" w:hanging="1680"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从靴内后跟中央起至靴口最低处的高度≥200mm。</w:t>
      </w:r>
    </w:p>
    <w:p>
      <w:pPr>
        <w:keepNext w:val="0"/>
        <w:keepLines w:val="0"/>
        <w:pageBreakBefore w:val="0"/>
        <w:widowControl/>
        <w:numPr>
          <w:ilvl w:val="0"/>
          <w:numId w:val="110"/>
        </w:numPr>
        <w:tabs>
          <w:tab w:val="clear" w:pos="420"/>
        </w:tabs>
        <w:kinsoku/>
        <w:wordWrap/>
        <w:overflowPunct/>
        <w:topLinePunct w:val="0"/>
        <w:bidi w:val="0"/>
        <w:spacing w:line="360" w:lineRule="auto"/>
        <w:ind w:left="1680" w:leftChars="0" w:hanging="1680"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靴内底防刺穿层应覆盖整个靴内底，不应位于保护包头卷边上方，不应与之接触，在不损坏整靴的情况下应不能被移动。</w:t>
      </w:r>
    </w:p>
    <w:p>
      <w:pPr>
        <w:keepNext w:val="0"/>
        <w:keepLines w:val="0"/>
        <w:pageBreakBefore w:val="0"/>
        <w:widowControl/>
        <w:numPr>
          <w:ilvl w:val="0"/>
          <w:numId w:val="110"/>
        </w:numPr>
        <w:tabs>
          <w:tab w:val="clear" w:pos="420"/>
        </w:tabs>
        <w:kinsoku/>
        <w:wordWrap/>
        <w:overflowPunct/>
        <w:topLinePunct w:val="0"/>
        <w:bidi w:val="0"/>
        <w:spacing w:line="360" w:lineRule="auto"/>
        <w:ind w:left="1680" w:leftChars="0" w:hanging="1680"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靴头保护包头深度从靴尖量起≥50mm。</w:t>
      </w:r>
    </w:p>
    <w:p>
      <w:pPr>
        <w:keepNext w:val="0"/>
        <w:keepLines w:val="0"/>
        <w:pageBreakBefore w:val="0"/>
        <w:widowControl/>
        <w:numPr>
          <w:ilvl w:val="0"/>
          <w:numId w:val="110"/>
        </w:numPr>
        <w:tabs>
          <w:tab w:val="clear" w:pos="420"/>
        </w:tabs>
        <w:kinsoku/>
        <w:wordWrap/>
        <w:overflowPunct/>
        <w:topLinePunct w:val="0"/>
        <w:bidi w:val="0"/>
        <w:spacing w:line="360" w:lineRule="auto"/>
        <w:ind w:left="1680" w:leftChars="0" w:hanging="1680"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靴鼻处应能限制杂物进入靴内。</w:t>
      </w:r>
    </w:p>
    <w:p>
      <w:pPr>
        <w:keepNext w:val="0"/>
        <w:keepLines w:val="0"/>
        <w:pageBreakBefore w:val="0"/>
        <w:widowControl/>
        <w:numPr>
          <w:ilvl w:val="0"/>
          <w:numId w:val="110"/>
        </w:numPr>
        <w:tabs>
          <w:tab w:val="clear" w:pos="420"/>
        </w:tabs>
        <w:kinsoku/>
        <w:wordWrap/>
        <w:overflowPunct/>
        <w:topLinePunct w:val="0"/>
        <w:bidi w:val="0"/>
        <w:spacing w:line="360" w:lineRule="auto"/>
        <w:ind w:left="1680" w:leftChars="0" w:hanging="1680"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靴帮抗穿刺性能：≥120N，内脚踝处设有护踝片。</w:t>
      </w:r>
    </w:p>
    <w:p>
      <w:pPr>
        <w:keepNext w:val="0"/>
        <w:keepLines w:val="0"/>
        <w:pageBreakBefore w:val="0"/>
        <w:widowControl/>
        <w:numPr>
          <w:ilvl w:val="0"/>
          <w:numId w:val="110"/>
        </w:numPr>
        <w:tabs>
          <w:tab w:val="clear" w:pos="420"/>
        </w:tabs>
        <w:kinsoku/>
        <w:wordWrap/>
        <w:overflowPunct/>
        <w:topLinePunct w:val="0"/>
        <w:bidi w:val="0"/>
        <w:spacing w:line="360" w:lineRule="auto"/>
        <w:ind w:left="1680" w:leftChars="0" w:hanging="1680"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后靴筒荧光黄色反光标志。</w:t>
      </w:r>
    </w:p>
    <w:p>
      <w:pPr>
        <w:keepNext w:val="0"/>
        <w:keepLines w:val="0"/>
        <w:pageBreakBefore w:val="0"/>
        <w:widowControl/>
        <w:numPr>
          <w:ilvl w:val="0"/>
          <w:numId w:val="110"/>
        </w:numPr>
        <w:tabs>
          <w:tab w:val="clear" w:pos="420"/>
        </w:tabs>
        <w:kinsoku/>
        <w:wordWrap/>
        <w:overflowPunct/>
        <w:topLinePunct w:val="0"/>
        <w:bidi w:val="0"/>
        <w:spacing w:line="360" w:lineRule="auto"/>
        <w:ind w:left="1680" w:leftChars="0" w:hanging="1680"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具备防刺、防滑、耐热、防砸等性能，穿着应舒适，不磨脚。</w:t>
      </w:r>
    </w:p>
    <w:p>
      <w:pPr>
        <w:keepNext w:val="0"/>
        <w:keepLines w:val="0"/>
        <w:pageBreakBefore w:val="0"/>
        <w:widowControl/>
        <w:numPr>
          <w:ilvl w:val="0"/>
          <w:numId w:val="110"/>
        </w:numPr>
        <w:tabs>
          <w:tab w:val="clear" w:pos="420"/>
        </w:tabs>
        <w:kinsoku/>
        <w:wordWrap/>
        <w:overflowPunct/>
        <w:topLinePunct w:val="0"/>
        <w:bidi w:val="0"/>
        <w:spacing w:line="360" w:lineRule="auto"/>
        <w:ind w:left="1680" w:leftChars="0" w:hanging="1680"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靴帮拉链具有自动锁止功能，周边为皮质材料，鞋帮两侧印制“消防救援”标识。</w:t>
      </w:r>
    </w:p>
    <w:p>
      <w:pPr>
        <w:keepNext w:val="0"/>
        <w:keepLines w:val="0"/>
        <w:pageBreakBefore w:val="0"/>
        <w:widowControl/>
        <w:numPr>
          <w:ilvl w:val="0"/>
          <w:numId w:val="110"/>
        </w:numPr>
        <w:tabs>
          <w:tab w:val="clear" w:pos="420"/>
        </w:tabs>
        <w:kinsoku/>
        <w:wordWrap/>
        <w:overflowPunct/>
        <w:topLinePunct w:val="0"/>
        <w:bidi w:val="0"/>
        <w:spacing w:line="360" w:lineRule="auto"/>
        <w:ind w:left="1680" w:leftChars="0" w:hanging="1680" w:firstLineChars="0"/>
        <w:jc w:val="left"/>
        <w:textAlignment w:val="center"/>
        <w:rPr>
          <w:rFonts w:hint="eastAsia" w:ascii="宋体" w:hAnsi="宋体" w:eastAsia="宋体" w:cs="宋体"/>
          <w:b w:val="0"/>
          <w:bCs w:val="0"/>
          <w:color w:val="000000"/>
          <w:kern w:val="0"/>
          <w:sz w:val="24"/>
          <w:szCs w:val="24"/>
        </w:rPr>
      </w:pPr>
      <w:r>
        <w:rPr>
          <w:sz w:val="24"/>
        </w:rPr>
        <mc:AlternateContent>
          <mc:Choice Requires="wps">
            <w:drawing>
              <wp:anchor distT="0" distB="0" distL="114300" distR="114300" simplePos="0" relativeHeight="251725824" behindDoc="0" locked="0" layoutInCell="1" allowOverlap="1">
                <wp:simplePos x="0" y="0"/>
                <wp:positionH relativeFrom="column">
                  <wp:posOffset>-361950</wp:posOffset>
                </wp:positionH>
                <wp:positionV relativeFrom="paragraph">
                  <wp:posOffset>33655</wp:posOffset>
                </wp:positionV>
                <wp:extent cx="295275" cy="228600"/>
                <wp:effectExtent l="0" t="0" r="9525" b="0"/>
                <wp:wrapNone/>
                <wp:docPr id="71" name="文本框 71"/>
                <wp:cNvGraphicFramePr/>
                <a:graphic xmlns:a="http://schemas.openxmlformats.org/drawingml/2006/main">
                  <a:graphicData uri="http://schemas.microsoft.com/office/word/2010/wordprocessingShape">
                    <wps:wsp>
                      <wps:cNvSpPr txBox="1"/>
                      <wps:spPr>
                        <a:xfrm>
                          <a:off x="375285" y="4952365"/>
                          <a:ext cx="295275" cy="2286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2.65pt;height:18pt;width:23.25pt;z-index:251725824;mso-width-relative:page;mso-height-relative:page;" fillcolor="#FFFFFF [3201]" filled="t" stroked="f" coordsize="21600,21600" o:gfxdata="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Msee/U&#10;AAAACAEAAA8AAAAAAAAAAQAgAAAAIgAAAGRycy9kb3ducmV2LnhtbFBLAQIUABQAAAAIAIdO4kA3&#10;CXVQXQIAAJsEAAAOAAAAAAAAAAEAIAAAACMBAABkcnMvZTJvRG9jLnhtbFBLBQYAAAAABgAGAFkB&#10;AADyBQAAAAA=&#10;">
                <v:fill on="t" focussize="0,0"/>
                <v:stroke on="f" weight="0.5pt"/>
                <v:imagedata o:title=""/>
                <o:lock v:ext="edit" aspectratio="f"/>
                <v:textbox>
                  <w:txbxContent>
                    <w:p>
                      <w:r>
                        <w:rPr>
                          <w:rFonts w:hint="eastAsia" w:ascii="宋体" w:hAnsi="宋体" w:eastAsia="宋体" w:cs="Times New Roman"/>
                          <w:b/>
                          <w:color w:val="000000"/>
                          <w:highlight w:val="none"/>
                        </w:rPr>
                        <w:t>＊</w:t>
                      </w:r>
                    </w:p>
                    <w:p/>
                  </w:txbxContent>
                </v:textbox>
              </v:shape>
            </w:pict>
          </mc:Fallback>
        </mc:AlternateContent>
      </w:r>
      <w:r>
        <w:rPr>
          <w:rFonts w:hint="eastAsia" w:ascii="宋体" w:hAnsi="宋体" w:eastAsia="宋体" w:cs="宋体"/>
          <w:b w:val="0"/>
          <w:bCs w:val="0"/>
          <w:color w:val="000000"/>
          <w:kern w:val="0"/>
          <w:sz w:val="24"/>
          <w:szCs w:val="24"/>
        </w:rPr>
        <w:t>靴底抗穿刺性能：掌心≥1700N，前掌≥1700N，后跟≥1900N。</w:t>
      </w:r>
    </w:p>
    <w:p>
      <w:pPr>
        <w:keepNext w:val="0"/>
        <w:keepLines w:val="0"/>
        <w:pageBreakBefore w:val="0"/>
        <w:widowControl/>
        <w:numPr>
          <w:ilvl w:val="0"/>
          <w:numId w:val="110"/>
        </w:numPr>
        <w:tabs>
          <w:tab w:val="clear" w:pos="420"/>
        </w:tabs>
        <w:kinsoku/>
        <w:wordWrap/>
        <w:overflowPunct/>
        <w:topLinePunct w:val="0"/>
        <w:bidi w:val="0"/>
        <w:spacing w:line="360" w:lineRule="auto"/>
        <w:ind w:left="1680" w:leftChars="0" w:hanging="1680"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重量≤1.8kg。</w:t>
      </w:r>
    </w:p>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b w:val="0"/>
          <w:bCs w:val="0"/>
          <w:color w:val="000000"/>
          <w:kern w:val="0"/>
          <w:sz w:val="24"/>
          <w:szCs w:val="24"/>
        </w:rPr>
      </w:pPr>
    </w:p>
    <w:p>
      <w:pPr>
        <w:keepNext w:val="0"/>
        <w:keepLines w:val="0"/>
        <w:pageBreakBefore w:val="0"/>
        <w:widowControl/>
        <w:numPr>
          <w:ilvl w:val="0"/>
          <w:numId w:val="107"/>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其他</w:t>
      </w:r>
    </w:p>
    <w:p>
      <w:pPr>
        <w:keepNext w:val="0"/>
        <w:keepLines w:val="0"/>
        <w:pageBreakBefore w:val="0"/>
        <w:widowControl/>
        <w:numPr>
          <w:ilvl w:val="0"/>
          <w:numId w:val="111"/>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靴身配有的橘红色鞋带，鞋带长 1800 mm。</w:t>
      </w:r>
    </w:p>
    <w:p>
      <w:pPr>
        <w:keepNext w:val="0"/>
        <w:keepLines w:val="0"/>
        <w:pageBreakBefore w:val="0"/>
        <w:widowControl/>
        <w:numPr>
          <w:ilvl w:val="0"/>
          <w:numId w:val="111"/>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靴身内怀配有两颗单向防水透气眼。</w:t>
      </w:r>
    </w:p>
    <w:p>
      <w:pPr>
        <w:keepNext w:val="0"/>
        <w:keepLines w:val="0"/>
        <w:pageBreakBefore w:val="0"/>
        <w:widowControl/>
        <w:numPr>
          <w:ilvl w:val="0"/>
          <w:numId w:val="111"/>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靴舌上端配有用于隐藏多余鞋带的饰片袋。</w:t>
      </w:r>
    </w:p>
    <w:p>
      <w:pPr>
        <w:keepNext w:val="0"/>
        <w:keepLines w:val="0"/>
        <w:pageBreakBefore w:val="0"/>
        <w:widowControl/>
        <w:numPr>
          <w:ilvl w:val="0"/>
          <w:numId w:val="111"/>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靴筒后部设带反光标志带的提手。</w:t>
      </w:r>
    </w:p>
    <w:p>
      <w:pPr>
        <w:bidi w:val="0"/>
        <w:rPr>
          <w:rFonts w:hint="eastAsia"/>
          <w:b/>
          <w:bCs w:val="0"/>
        </w:rPr>
      </w:pPr>
    </w:p>
    <w:p>
      <w:pPr>
        <w:numPr>
          <w:ilvl w:val="0"/>
          <w:numId w:val="44"/>
        </w:numPr>
        <w:spacing w:line="360" w:lineRule="auto"/>
        <w:ind w:left="425" w:leftChars="0" w:hanging="425" w:firstLineChars="0"/>
        <w:jc w:val="both"/>
        <w:rPr>
          <w:rFonts w:hint="eastAsia"/>
          <w:b/>
          <w:bCs w:val="0"/>
          <w:color w:val="000000"/>
          <w:sz w:val="24"/>
          <w:szCs w:val="24"/>
          <w:highlight w:val="none"/>
        </w:rPr>
      </w:pPr>
      <w:r>
        <w:rPr>
          <w:rFonts w:hint="eastAsia"/>
          <w:b/>
          <w:bCs w:val="0"/>
          <w:color w:val="000000"/>
          <w:sz w:val="24"/>
          <w:szCs w:val="24"/>
          <w:highlight w:val="none"/>
        </w:rPr>
        <w:t>手提灯</w:t>
      </w:r>
    </w:p>
    <w:p>
      <w:pPr>
        <w:keepNext w:val="0"/>
        <w:keepLines w:val="0"/>
        <w:pageBreakBefore w:val="0"/>
        <w:widowControl/>
        <w:numPr>
          <w:ilvl w:val="0"/>
          <w:numId w:val="112"/>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隔爆型最高防爆等级，可在各种易燃易爆场所安全工作。</w:t>
      </w:r>
    </w:p>
    <w:p>
      <w:pPr>
        <w:keepNext w:val="0"/>
        <w:keepLines w:val="0"/>
        <w:pageBreakBefore w:val="0"/>
        <w:widowControl/>
        <w:numPr>
          <w:ilvl w:val="0"/>
          <w:numId w:val="112"/>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采用固态免维护LED光源，光效高，聚光好，射程可达500米以上；平均使用寿命长达10万小时；</w:t>
      </w:r>
    </w:p>
    <w:p>
      <w:pPr>
        <w:keepNext w:val="0"/>
        <w:keepLines w:val="0"/>
        <w:pageBreakBefore w:val="0"/>
        <w:widowControl/>
        <w:numPr>
          <w:ilvl w:val="0"/>
          <w:numId w:val="112"/>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具有工作光、强光、频闪三种光设计，按动按钮可进行自由转换；提手处具有电量显示功能</w:t>
      </w:r>
      <w:r>
        <w:rPr>
          <w:rFonts w:hint="eastAsia" w:ascii="宋体" w:hAnsi="宋体" w:eastAsia="宋体" w:cs="宋体"/>
          <w:b w:val="0"/>
          <w:bCs w:val="0"/>
          <w:color w:val="000000"/>
          <w:kern w:val="0"/>
          <w:sz w:val="24"/>
          <w:szCs w:val="24"/>
          <w:lang w:eastAsia="zh-CN"/>
        </w:rPr>
        <w:t>，可随时了解电池电量使用情况</w:t>
      </w:r>
      <w:r>
        <w:rPr>
          <w:rFonts w:hint="eastAsia" w:ascii="宋体" w:hAnsi="宋体" w:eastAsia="宋体" w:cs="宋体"/>
          <w:b w:val="0"/>
          <w:bCs w:val="0"/>
          <w:color w:val="000000"/>
          <w:kern w:val="0"/>
          <w:sz w:val="24"/>
          <w:szCs w:val="24"/>
        </w:rPr>
        <w:t>。</w:t>
      </w:r>
    </w:p>
    <w:p>
      <w:pPr>
        <w:keepNext w:val="0"/>
        <w:keepLines w:val="0"/>
        <w:pageBreakBefore w:val="0"/>
        <w:widowControl/>
        <w:numPr>
          <w:ilvl w:val="0"/>
          <w:numId w:val="112"/>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b w:val="0"/>
          <w:bCs w:val="0"/>
          <w:color w:val="000000"/>
          <w:kern w:val="0"/>
          <w:sz w:val="24"/>
          <w:szCs w:val="24"/>
        </w:rPr>
      </w:pPr>
      <w:r>
        <w:rPr>
          <w:sz w:val="24"/>
        </w:rPr>
        <mc:AlternateContent>
          <mc:Choice Requires="wps">
            <w:drawing>
              <wp:anchor distT="0" distB="0" distL="114300" distR="114300" simplePos="0" relativeHeight="251726848" behindDoc="0" locked="0" layoutInCell="1" allowOverlap="1">
                <wp:simplePos x="0" y="0"/>
                <wp:positionH relativeFrom="column">
                  <wp:posOffset>-342900</wp:posOffset>
                </wp:positionH>
                <wp:positionV relativeFrom="paragraph">
                  <wp:posOffset>31750</wp:posOffset>
                </wp:positionV>
                <wp:extent cx="323850" cy="304800"/>
                <wp:effectExtent l="0" t="0" r="0" b="0"/>
                <wp:wrapNone/>
                <wp:docPr id="72" name="文本框 72"/>
                <wp:cNvGraphicFramePr/>
                <a:graphic xmlns:a="http://schemas.openxmlformats.org/drawingml/2006/main">
                  <a:graphicData uri="http://schemas.microsoft.com/office/word/2010/wordprocessingShape">
                    <wps:wsp>
                      <wps:cNvSpPr txBox="1"/>
                      <wps:spPr>
                        <a:xfrm>
                          <a:off x="403860" y="808990"/>
                          <a:ext cx="323850"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2.5pt;height:24pt;width:25.5pt;z-index:251726848;mso-width-relative:page;mso-height-relative:page;" fillcolor="#FFFFFF [3201]" filled="t" stroked="f" coordsize="21600,21600" o:gfxdata="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rCuPh0QAAAAcB&#10;AAAPAAAAAAAAAAEAIAAAACIAAABkcnMvZG93bnJldi54bWxQSwECFAAUAAAACACHTuJA1genfFsC&#10;AACaBAAADgAAAAAAAAABACAAAAAgAQAAZHJzL2Uyb0RvYy54bWxQSwUGAAAAAAYABgBZAQAA7QUA&#10;AAAA&#10;">
                <v:fill on="t" focussize="0,0"/>
                <v:stroke on="f" weight="0.5pt"/>
                <v:imagedata o:title=""/>
                <o:lock v:ext="edit" aspectratio="f"/>
                <v:textbox>
                  <w:txbxContent>
                    <w:p>
                      <w:r>
                        <w:rPr>
                          <w:rFonts w:hint="eastAsia" w:ascii="宋体" w:hAnsi="宋体" w:eastAsia="宋体" w:cs="Times New Roman"/>
                          <w:b/>
                          <w:color w:val="000000"/>
                          <w:highlight w:val="none"/>
                        </w:rPr>
                        <w:t>＊</w:t>
                      </w:r>
                    </w:p>
                    <w:p/>
                  </w:txbxContent>
                </v:textbox>
              </v:shape>
            </w:pict>
          </mc:Fallback>
        </mc:AlternateContent>
      </w:r>
      <w:r>
        <w:rPr>
          <w:rFonts w:hint="eastAsia" w:ascii="宋体" w:hAnsi="宋体" w:eastAsia="宋体" w:cs="宋体"/>
          <w:b w:val="0"/>
          <w:bCs w:val="0"/>
          <w:color w:val="000000"/>
          <w:kern w:val="0"/>
          <w:sz w:val="24"/>
          <w:szCs w:val="24"/>
        </w:rPr>
        <w:t>人性化的电量指示和低电压警示功能设计，可随时查询电池电量；当电量不足时，灯具会自动提示进行充电。type-c</w:t>
      </w:r>
      <w:r>
        <w:rPr>
          <w:rFonts w:hint="eastAsia" w:ascii="宋体" w:hAnsi="宋体" w:eastAsia="宋体" w:cs="宋体"/>
          <w:b w:val="0"/>
          <w:bCs w:val="0"/>
          <w:color w:val="000000"/>
          <w:kern w:val="0"/>
          <w:sz w:val="24"/>
          <w:szCs w:val="24"/>
          <w:lang w:eastAsia="zh-CN"/>
        </w:rPr>
        <w:t>充电接口</w:t>
      </w:r>
      <w:r>
        <w:rPr>
          <w:rFonts w:hint="eastAsia" w:ascii="宋体" w:hAnsi="宋体" w:eastAsia="宋体" w:cs="宋体"/>
          <w:b w:val="0"/>
          <w:bCs w:val="0"/>
          <w:color w:val="000000"/>
          <w:kern w:val="0"/>
          <w:sz w:val="24"/>
          <w:szCs w:val="24"/>
          <w:lang w:val="en-US" w:eastAsia="zh-CN"/>
        </w:rPr>
        <w:t>,符合国家相关统型要求</w:t>
      </w: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eastAsia="zh-CN"/>
        </w:rPr>
        <w:t>增设</w:t>
      </w:r>
      <w:r>
        <w:rPr>
          <w:rFonts w:hint="eastAsia" w:ascii="宋体" w:hAnsi="宋体" w:eastAsia="宋体" w:cs="宋体"/>
          <w:b w:val="0"/>
          <w:bCs w:val="0"/>
          <w:color w:val="000000"/>
          <w:kern w:val="0"/>
          <w:sz w:val="24"/>
          <w:szCs w:val="24"/>
          <w:lang w:val="en-US" w:eastAsia="zh-CN"/>
        </w:rPr>
        <w:t>USB对外输出功能，可以对手机</w:t>
      </w: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eastAsia="zh-CN"/>
        </w:rPr>
        <w:t>小</w:t>
      </w:r>
      <w:r>
        <w:rPr>
          <w:rFonts w:hint="eastAsia" w:ascii="宋体" w:hAnsi="宋体" w:eastAsia="宋体" w:cs="宋体"/>
          <w:b w:val="0"/>
          <w:bCs w:val="0"/>
          <w:color w:val="000000"/>
          <w:kern w:val="0"/>
          <w:sz w:val="24"/>
          <w:szCs w:val="24"/>
          <w:lang w:val="en-US" w:eastAsia="zh-CN"/>
        </w:rPr>
        <w:t>数码产品进行充电</w:t>
      </w:r>
      <w:r>
        <w:rPr>
          <w:rFonts w:hint="eastAsia" w:ascii="宋体" w:hAnsi="宋体" w:eastAsia="宋体" w:cs="宋体"/>
          <w:b w:val="0"/>
          <w:bCs w:val="0"/>
          <w:color w:val="000000"/>
          <w:kern w:val="0"/>
          <w:sz w:val="24"/>
          <w:szCs w:val="24"/>
          <w:lang w:eastAsia="zh-CN"/>
        </w:rPr>
        <w:t>。</w:t>
      </w:r>
    </w:p>
    <w:p>
      <w:pPr>
        <w:keepNext w:val="0"/>
        <w:keepLines w:val="0"/>
        <w:pageBreakBefore w:val="0"/>
        <w:widowControl/>
        <w:numPr>
          <w:ilvl w:val="0"/>
          <w:numId w:val="112"/>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高能无记忆锂电池，容量大，无污染，充放电性能优异，自放电率低。</w:t>
      </w:r>
    </w:p>
    <w:p>
      <w:pPr>
        <w:keepNext w:val="0"/>
        <w:keepLines w:val="0"/>
        <w:pageBreakBefore w:val="0"/>
        <w:widowControl/>
        <w:numPr>
          <w:ilvl w:val="0"/>
          <w:numId w:val="112"/>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外壳采用进口高硬度合金材料，具有极高的抗强力碰撞和冲击能力；密封性好，可在</w:t>
      </w:r>
      <w:r>
        <w:rPr>
          <w:rFonts w:hint="eastAsia" w:ascii="宋体" w:hAnsi="宋体" w:eastAsia="宋体" w:cs="宋体"/>
          <w:b w:val="0"/>
          <w:bCs w:val="0"/>
          <w:color w:val="000000"/>
          <w:kern w:val="0"/>
          <w:sz w:val="24"/>
          <w:szCs w:val="24"/>
          <w:lang w:eastAsia="zh-CN"/>
        </w:rPr>
        <w:t>雨天及水下</w:t>
      </w:r>
      <w:r>
        <w:rPr>
          <w:rFonts w:hint="eastAsia" w:ascii="宋体" w:hAnsi="宋体" w:eastAsia="宋体" w:cs="宋体"/>
          <w:b w:val="0"/>
          <w:bCs w:val="0"/>
          <w:color w:val="000000"/>
          <w:kern w:val="0"/>
          <w:sz w:val="24"/>
          <w:szCs w:val="24"/>
        </w:rPr>
        <w:t>正常工作。</w:t>
      </w:r>
    </w:p>
    <w:p>
      <w:pPr>
        <w:keepNext w:val="0"/>
        <w:keepLines w:val="0"/>
        <w:pageBreakBefore w:val="0"/>
        <w:widowControl/>
        <w:numPr>
          <w:ilvl w:val="0"/>
          <w:numId w:val="112"/>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外形美观，体积小，重量轻，可采用手提、肩挎等携带方式，携带方便。</w:t>
      </w:r>
    </w:p>
    <w:p>
      <w:pPr>
        <w:keepNext w:val="0"/>
        <w:keepLines w:val="0"/>
        <w:pageBreakBefore w:val="0"/>
        <w:widowControl/>
        <w:numPr>
          <w:ilvl w:val="0"/>
          <w:numId w:val="112"/>
        </w:numPr>
        <w:tabs>
          <w:tab w:val="left" w:pos="1260"/>
          <w:tab w:val="left" w:pos="9030"/>
          <w:tab w:val="left" w:pos="94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b w:val="0"/>
          <w:bCs w:val="0"/>
          <w:color w:val="000000"/>
          <w:kern w:val="0"/>
          <w:sz w:val="24"/>
          <w:szCs w:val="24"/>
          <w:lang w:eastAsia="zh-CN"/>
        </w:rPr>
      </w:pPr>
      <w:r>
        <w:rPr>
          <w:sz w:val="24"/>
        </w:rPr>
        <mc:AlternateContent>
          <mc:Choice Requires="wps">
            <w:drawing>
              <wp:anchor distT="0" distB="0" distL="114300" distR="114300" simplePos="0" relativeHeight="251727872" behindDoc="0" locked="0" layoutInCell="1" allowOverlap="1">
                <wp:simplePos x="0" y="0"/>
                <wp:positionH relativeFrom="column">
                  <wp:posOffset>-333375</wp:posOffset>
                </wp:positionH>
                <wp:positionV relativeFrom="paragraph">
                  <wp:posOffset>22225</wp:posOffset>
                </wp:positionV>
                <wp:extent cx="285750" cy="238125"/>
                <wp:effectExtent l="0" t="0" r="0" b="9525"/>
                <wp:wrapNone/>
                <wp:docPr id="73" name="文本框 73"/>
                <wp:cNvGraphicFramePr/>
                <a:graphic xmlns:a="http://schemas.openxmlformats.org/drawingml/2006/main">
                  <a:graphicData uri="http://schemas.microsoft.com/office/word/2010/wordprocessingShape">
                    <wps:wsp>
                      <wps:cNvSpPr txBox="1"/>
                      <wps:spPr>
                        <a:xfrm>
                          <a:off x="413385" y="2879725"/>
                          <a:ext cx="285750" cy="2381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5pt;margin-top:1.75pt;height:18.75pt;width:22.5pt;z-index:251727872;mso-width-relative:page;mso-height-relative:page;" fillcolor="#FFFFFF [3201]" filled="t" stroked="f" coordsize="21600,21600" o:gfxdata="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FlfDLSAAAA&#10;BwEAAA8AAAAAAAAAAQAgAAAAIgAAAGRycy9kb3ducmV2LnhtbFBLAQIUABQAAAAIAIdO4kBv6cRX&#10;XAIAAJsEAAAOAAAAAAAAAAEAIAAAACEBAABkcnMvZTJvRG9jLnhtbFBLBQYAAAAABgAGAFkBAADv&#10;BQAAAAA=&#10;">
                <v:fill on="t" focussize="0,0"/>
                <v:stroke on="f" weight="0.5pt"/>
                <v:imagedata o:title=""/>
                <o:lock v:ext="edit" aspectratio="f"/>
                <v:textbox>
                  <w:txbxContent>
                    <w:p>
                      <w:r>
                        <w:rPr>
                          <w:rFonts w:hint="eastAsia" w:ascii="宋体" w:hAnsi="宋体" w:eastAsia="宋体" w:cs="Times New Roman"/>
                          <w:b/>
                          <w:color w:val="000000"/>
                          <w:highlight w:val="none"/>
                        </w:rPr>
                        <w:t>＊</w:t>
                      </w:r>
                    </w:p>
                    <w:p/>
                  </w:txbxContent>
                </v:textbox>
              </v:shape>
            </w:pict>
          </mc:Fallback>
        </mc:AlternateContent>
      </w:r>
      <w:r>
        <w:rPr>
          <w:rFonts w:hint="eastAsia" w:ascii="宋体" w:hAnsi="宋体" w:eastAsia="宋体" w:cs="宋体"/>
          <w:b w:val="0"/>
          <w:bCs w:val="0"/>
          <w:color w:val="000000"/>
          <w:kern w:val="0"/>
          <w:sz w:val="24"/>
          <w:szCs w:val="24"/>
          <w:lang w:val="en-US" w:eastAsia="zh-CN"/>
        </w:rPr>
        <w:t>提</w:t>
      </w:r>
      <w:r>
        <w:rPr>
          <w:rFonts w:hint="eastAsia" w:ascii="宋体" w:hAnsi="宋体" w:eastAsia="宋体" w:cs="宋体"/>
          <w:b w:val="0"/>
          <w:bCs w:val="0"/>
          <w:color w:val="000000"/>
          <w:kern w:val="0"/>
          <w:sz w:val="24"/>
          <w:szCs w:val="24"/>
          <w:highlight w:val="none"/>
          <w:lang w:val="en-US" w:eastAsia="zh-CN"/>
        </w:rPr>
        <w:t>供</w:t>
      </w:r>
      <w:r>
        <w:rPr>
          <w:rFonts w:hint="eastAsia" w:ascii="宋体" w:hAnsi="宋体" w:eastAsia="宋体" w:cs="宋体"/>
          <w:b/>
          <w:bCs/>
          <w:color w:val="000000"/>
          <w:kern w:val="0"/>
          <w:sz w:val="24"/>
          <w:szCs w:val="24"/>
          <w:highlight w:val="none"/>
        </w:rPr>
        <w:t>检验报告</w:t>
      </w:r>
      <w:r>
        <w:rPr>
          <w:rFonts w:hint="eastAsia" w:ascii="宋体" w:hAnsi="宋体" w:eastAsia="宋体" w:cs="宋体"/>
          <w:b/>
          <w:bCs/>
          <w:color w:val="000000"/>
          <w:kern w:val="0"/>
          <w:sz w:val="24"/>
          <w:szCs w:val="24"/>
          <w:highlight w:val="none"/>
          <w:lang w:val="en-US" w:eastAsia="zh-CN"/>
        </w:rPr>
        <w:t>复印件并加盖公章</w:t>
      </w:r>
      <w:r>
        <w:rPr>
          <w:rFonts w:hint="eastAsia" w:ascii="宋体" w:hAnsi="宋体" w:eastAsia="宋体" w:cs="宋体"/>
          <w:b w:val="0"/>
          <w:bCs w:val="0"/>
          <w:color w:val="000000"/>
          <w:kern w:val="0"/>
          <w:sz w:val="24"/>
          <w:szCs w:val="24"/>
          <w:highlight w:val="none"/>
        </w:rPr>
        <w:t>。</w:t>
      </w:r>
    </w:p>
    <w:p>
      <w:pPr>
        <w:keepNext w:val="0"/>
        <w:keepLines w:val="0"/>
        <w:pageBreakBefore w:val="0"/>
        <w:widowControl/>
        <w:numPr>
          <w:ilvl w:val="0"/>
          <w:numId w:val="112"/>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rPr>
        <w:t>额定电压</w:t>
      </w:r>
      <w:r>
        <w:rPr>
          <w:rFonts w:hint="eastAsia" w:ascii="宋体" w:hAnsi="宋体" w:eastAsia="宋体" w:cs="宋体"/>
          <w:b w:val="0"/>
          <w:bCs w:val="0"/>
          <w:color w:val="000000"/>
          <w:kern w:val="0"/>
          <w:sz w:val="24"/>
          <w:szCs w:val="24"/>
          <w:lang w:eastAsia="zh-CN"/>
        </w:rPr>
        <w:t>：DC</w:t>
      </w:r>
      <w:r>
        <w:rPr>
          <w:rFonts w:hint="eastAsia" w:ascii="宋体" w:hAnsi="宋体" w:eastAsia="宋体" w:cs="宋体"/>
          <w:b w:val="0"/>
          <w:bCs w:val="0"/>
          <w:color w:val="000000"/>
          <w:kern w:val="0"/>
          <w:sz w:val="24"/>
          <w:szCs w:val="24"/>
          <w:lang w:val="en-US" w:eastAsia="zh-CN"/>
        </w:rPr>
        <w:t>11</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1</w:t>
      </w:r>
      <w:r>
        <w:rPr>
          <w:rFonts w:hint="eastAsia" w:ascii="宋体" w:hAnsi="宋体" w:eastAsia="宋体" w:cs="宋体"/>
          <w:b w:val="0"/>
          <w:bCs w:val="0"/>
          <w:color w:val="000000"/>
          <w:kern w:val="0"/>
          <w:sz w:val="24"/>
          <w:szCs w:val="24"/>
          <w:lang w:eastAsia="zh-CN"/>
        </w:rPr>
        <w:t>V</w:t>
      </w:r>
    </w:p>
    <w:p>
      <w:pPr>
        <w:keepNext w:val="0"/>
        <w:keepLines w:val="0"/>
        <w:pageBreakBefore w:val="0"/>
        <w:widowControl/>
        <w:numPr>
          <w:ilvl w:val="0"/>
          <w:numId w:val="112"/>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额定容量：4.4ah</w:t>
      </w:r>
    </w:p>
    <w:p>
      <w:pPr>
        <w:keepNext w:val="0"/>
        <w:keepLines w:val="0"/>
        <w:pageBreakBefore w:val="0"/>
        <w:widowControl/>
        <w:numPr>
          <w:ilvl w:val="0"/>
          <w:numId w:val="112"/>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额定功率（LED）：3*3W</w:t>
      </w:r>
    </w:p>
    <w:p>
      <w:pPr>
        <w:keepNext w:val="0"/>
        <w:keepLines w:val="0"/>
        <w:pageBreakBefore w:val="0"/>
        <w:widowControl/>
        <w:numPr>
          <w:ilvl w:val="0"/>
          <w:numId w:val="112"/>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光源（LED）平均使用寿命：≥100000h</w:t>
      </w:r>
    </w:p>
    <w:p>
      <w:pPr>
        <w:keepNext w:val="0"/>
        <w:keepLines w:val="0"/>
        <w:pageBreakBefore w:val="0"/>
        <w:widowControl/>
        <w:numPr>
          <w:ilvl w:val="0"/>
          <w:numId w:val="112"/>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连续放电时间：6h（强光）/12h（工作光）/32h（频闪）</w:t>
      </w:r>
    </w:p>
    <w:p>
      <w:pPr>
        <w:keepNext w:val="0"/>
        <w:keepLines w:val="0"/>
        <w:pageBreakBefore w:val="0"/>
        <w:widowControl/>
        <w:numPr>
          <w:ilvl w:val="0"/>
          <w:numId w:val="112"/>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电池使用寿命：≥1000（循环）</w:t>
      </w:r>
    </w:p>
    <w:p>
      <w:pPr>
        <w:keepNext w:val="0"/>
        <w:keepLines w:val="0"/>
        <w:pageBreakBefore w:val="0"/>
        <w:widowControl/>
        <w:numPr>
          <w:ilvl w:val="0"/>
          <w:numId w:val="112"/>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外形尺寸：56×155mm（直径×长）</w:t>
      </w:r>
    </w:p>
    <w:p>
      <w:pPr>
        <w:keepNext w:val="0"/>
        <w:keepLines w:val="0"/>
        <w:pageBreakBefore w:val="0"/>
        <w:widowControl/>
        <w:numPr>
          <w:ilvl w:val="0"/>
          <w:numId w:val="112"/>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重量：0.6kg</w:t>
      </w:r>
    </w:p>
    <w:p>
      <w:pPr>
        <w:keepNext w:val="0"/>
        <w:keepLines w:val="0"/>
        <w:pageBreakBefore w:val="0"/>
        <w:widowControl/>
        <w:numPr>
          <w:ilvl w:val="0"/>
          <w:numId w:val="112"/>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防护等级：IP66</w:t>
      </w:r>
    </w:p>
    <w:p>
      <w:pPr>
        <w:bidi w:val="0"/>
        <w:rPr>
          <w:rFonts w:hint="eastAsia"/>
          <w:b/>
          <w:bCs w:val="0"/>
        </w:rPr>
      </w:pPr>
    </w:p>
    <w:p>
      <w:pPr>
        <w:numPr>
          <w:ilvl w:val="0"/>
          <w:numId w:val="44"/>
        </w:numPr>
        <w:spacing w:line="360" w:lineRule="auto"/>
        <w:ind w:left="425" w:leftChars="0" w:hanging="425" w:firstLineChars="0"/>
        <w:jc w:val="both"/>
        <w:rPr>
          <w:rFonts w:hint="eastAsia"/>
          <w:b/>
          <w:bCs w:val="0"/>
          <w:color w:val="000000"/>
          <w:sz w:val="24"/>
          <w:szCs w:val="24"/>
          <w:highlight w:val="none"/>
        </w:rPr>
      </w:pPr>
      <w:r>
        <w:rPr>
          <w:rFonts w:hint="eastAsia"/>
          <w:b/>
          <w:bCs w:val="0"/>
          <w:color w:val="000000"/>
          <w:sz w:val="24"/>
          <w:szCs w:val="24"/>
          <w:highlight w:val="none"/>
        </w:rPr>
        <w:t>水域救援服</w:t>
      </w:r>
    </w:p>
    <w:p>
      <w:pPr>
        <w:keepNext w:val="0"/>
        <w:keepLines w:val="0"/>
        <w:pageBreakBefore w:val="0"/>
        <w:widowControl/>
        <w:numPr>
          <w:ilvl w:val="0"/>
          <w:numId w:val="113"/>
        </w:numPr>
        <w:tabs>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采用进口320D加粗3层防水透气复合尼龙布，层压复合面料技术，面料具有超轻、耐磨、抗切割、防水、透气等功能，可安全可靠的应用于寒冷水域救援工作。</w:t>
      </w:r>
    </w:p>
    <w:p>
      <w:pPr>
        <w:keepNext w:val="0"/>
        <w:keepLines w:val="0"/>
        <w:pageBreakBefore w:val="0"/>
        <w:widowControl/>
        <w:numPr>
          <w:ilvl w:val="0"/>
          <w:numId w:val="113"/>
        </w:numPr>
        <w:tabs>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完全符合人体工学，穿着行动自由，不影响穿脱；</w:t>
      </w:r>
    </w:p>
    <w:p>
      <w:pPr>
        <w:keepNext w:val="0"/>
        <w:keepLines w:val="0"/>
        <w:pageBreakBefore w:val="0"/>
        <w:widowControl/>
        <w:numPr>
          <w:ilvl w:val="0"/>
          <w:numId w:val="113"/>
        </w:numPr>
        <w:tabs>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红色为整体主色配置黑色补强，颜色显目，更利于救援；有门襟设计，防水拉链闭合，外设挡水护盖，如厕时不用脱下整件衣服。集成式腰部束紧设计，左右两侧可调节舒适度；增加可拆卸可调节Y型背带。采用一体式袜套，防水，保暖。</w:t>
      </w:r>
    </w:p>
    <w:p>
      <w:pPr>
        <w:keepNext w:val="0"/>
        <w:keepLines w:val="0"/>
        <w:pageBreakBefore w:val="0"/>
        <w:widowControl/>
        <w:numPr>
          <w:ilvl w:val="0"/>
          <w:numId w:val="113"/>
        </w:numPr>
        <w:tabs>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大腿部两侧增加有排水孔工具袋，便于携带随行物品。</w:t>
      </w:r>
    </w:p>
    <w:p>
      <w:pPr>
        <w:keepNext w:val="0"/>
        <w:keepLines w:val="0"/>
        <w:pageBreakBefore w:val="0"/>
        <w:widowControl/>
        <w:numPr>
          <w:ilvl w:val="0"/>
          <w:numId w:val="113"/>
        </w:numPr>
        <w:tabs>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高亮反光带，两手臂都有反光条，提高昏暗和有雾环境可见性；膝盖和臀部位置耐磨采用杜邦考杜拉的加厚层。</w:t>
      </w:r>
    </w:p>
    <w:p>
      <w:pPr>
        <w:keepNext w:val="0"/>
        <w:keepLines w:val="0"/>
        <w:pageBreakBefore w:val="0"/>
        <w:widowControl/>
        <w:numPr>
          <w:ilvl w:val="0"/>
          <w:numId w:val="113"/>
        </w:numPr>
        <w:tabs>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前斜拉链为气密防水拉链，方便快速穿脱，保证完美的气密性.</w:t>
      </w:r>
    </w:p>
    <w:p>
      <w:pPr>
        <w:keepNext w:val="0"/>
        <w:keepLines w:val="0"/>
        <w:pageBreakBefore w:val="0"/>
        <w:widowControl/>
        <w:numPr>
          <w:ilvl w:val="0"/>
          <w:numId w:val="113"/>
        </w:numPr>
        <w:tabs>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领口、袖口使用乳胶材质，保证气密性和增强舒适度。 橡胶颈部和腕关节弹性伸缩袖口、领口。这些密封件不仅可以自主调节大小，也易于更换。</w:t>
      </w:r>
    </w:p>
    <w:p>
      <w:pPr>
        <w:keepNext w:val="0"/>
        <w:keepLines w:val="0"/>
        <w:pageBreakBefore w:val="0"/>
        <w:widowControl/>
        <w:numPr>
          <w:ilvl w:val="0"/>
          <w:numId w:val="113"/>
        </w:numPr>
        <w:tabs>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配可调节式魔术贴松紧领口及袖口，衣服穿着贴身，袖口领口方便穿着贴身，并有保护作用。</w:t>
      </w:r>
    </w:p>
    <w:p>
      <w:pPr>
        <w:keepNext w:val="0"/>
        <w:keepLines w:val="0"/>
        <w:pageBreakBefore w:val="0"/>
        <w:widowControl/>
        <w:numPr>
          <w:ilvl w:val="0"/>
          <w:numId w:val="113"/>
        </w:numPr>
        <w:tabs>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保温性能：经保温性能试验后，受试者的体表（手、脚和腰部皮肤表面）温度均未将至10℃以下，体温下降了1.0℃，且受试者能捡起一只直径8mm的铅笔并书写。</w:t>
      </w:r>
    </w:p>
    <w:p>
      <w:pPr>
        <w:keepNext w:val="0"/>
        <w:keepLines w:val="0"/>
        <w:pageBreakBefore w:val="0"/>
        <w:widowControl/>
        <w:numPr>
          <w:ilvl w:val="0"/>
          <w:numId w:val="113"/>
        </w:numPr>
        <w:tabs>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防渗漏性能：水中浸泡1小时后服装进水量&lt;200g；温度适用性能：10个高低温循环后，产品无皱缩、破裂、胀大、分解等现象或机械性能的改变。</w:t>
      </w:r>
    </w:p>
    <w:p>
      <w:pPr>
        <w:keepNext w:val="0"/>
        <w:keepLines w:val="0"/>
        <w:pageBreakBefore w:val="0"/>
        <w:widowControl/>
        <w:numPr>
          <w:ilvl w:val="0"/>
          <w:numId w:val="113"/>
        </w:numPr>
        <w:tabs>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增加便携式手拧收纳袋，便于随行收纳。</w:t>
      </w:r>
    </w:p>
    <w:p>
      <w:pPr>
        <w:keepNext w:val="0"/>
        <w:keepLines w:val="0"/>
        <w:pageBreakBefore w:val="0"/>
        <w:widowControl/>
        <w:numPr>
          <w:ilvl w:val="0"/>
          <w:numId w:val="113"/>
        </w:numPr>
        <w:tabs>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highlight w:val="none"/>
          <w:lang w:val="en-US" w:eastAsia="zh-CN"/>
        </w:rPr>
      </w:pPr>
      <w:r>
        <w:rPr>
          <w:sz w:val="24"/>
        </w:rPr>
        <mc:AlternateContent>
          <mc:Choice Requires="wps">
            <w:drawing>
              <wp:anchor distT="0" distB="0" distL="114300" distR="114300" simplePos="0" relativeHeight="251728896" behindDoc="0" locked="0" layoutInCell="1" allowOverlap="1">
                <wp:simplePos x="0" y="0"/>
                <wp:positionH relativeFrom="column">
                  <wp:posOffset>-304800</wp:posOffset>
                </wp:positionH>
                <wp:positionV relativeFrom="paragraph">
                  <wp:posOffset>33655</wp:posOffset>
                </wp:positionV>
                <wp:extent cx="314325" cy="266700"/>
                <wp:effectExtent l="0" t="0" r="9525" b="0"/>
                <wp:wrapNone/>
                <wp:docPr id="74" name="文本框 74"/>
                <wp:cNvGraphicFramePr/>
                <a:graphic xmlns:a="http://schemas.openxmlformats.org/drawingml/2006/main">
                  <a:graphicData uri="http://schemas.microsoft.com/office/word/2010/wordprocessingShape">
                    <wps:wsp>
                      <wps:cNvSpPr txBox="1"/>
                      <wps:spPr>
                        <a:xfrm>
                          <a:off x="299085" y="3696970"/>
                          <a:ext cx="314325"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pt;margin-top:2.65pt;height:21pt;width:24.75pt;z-index:251728896;mso-width-relative:page;mso-height-relative:page;" fillcolor="#FFFFFF [3201]" filled="t" stroked="f" coordsize="21600,21600" o:gfxdata="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nJecPT&#10;AAAABgEAAA8AAAAAAAAAAQAgAAAAIgAAAGRycy9kb3ducmV2LnhtbFBLAQIUABQAAAAIAIdO4kA+&#10;QUTMXgIAAJsEAAAOAAAAAAAAAAEAIAAAACIBAABkcnMvZTJvRG9jLnhtbFBLBQYAAAAABgAGAFkB&#10;AADyBQAAAAA=&#10;">
                <v:fill on="t" focussize="0,0"/>
                <v:stroke on="f" weight="0.5pt"/>
                <v:imagedata o:title=""/>
                <o:lock v:ext="edit" aspectratio="f"/>
                <v:textbox>
                  <w:txbxContent>
                    <w:p>
                      <w:r>
                        <w:rPr>
                          <w:rFonts w:hint="eastAsia" w:ascii="宋体" w:hAnsi="宋体" w:eastAsia="宋体" w:cs="Times New Roman"/>
                          <w:b/>
                          <w:color w:val="000000"/>
                          <w:highlight w:val="none"/>
                        </w:rPr>
                        <w:t>＊</w:t>
                      </w:r>
                    </w:p>
                    <w:p/>
                  </w:txbxContent>
                </v:textbox>
              </v:shape>
            </w:pict>
          </mc:Fallback>
        </mc:AlternateContent>
      </w:r>
      <w:r>
        <w:rPr>
          <w:rFonts w:hint="eastAsia" w:ascii="宋体" w:hAnsi="宋体" w:eastAsia="宋体" w:cs="宋体"/>
          <w:color w:val="000000"/>
          <w:kern w:val="0"/>
          <w:sz w:val="24"/>
          <w:szCs w:val="24"/>
          <w:highlight w:val="none"/>
          <w:lang w:val="en-US" w:eastAsia="zh-CN"/>
        </w:rPr>
        <w:t>提供</w:t>
      </w:r>
      <w:r>
        <w:rPr>
          <w:rFonts w:hint="eastAsia" w:ascii="宋体" w:hAnsi="宋体" w:eastAsia="宋体" w:cs="宋体"/>
          <w:b/>
          <w:bCs/>
          <w:color w:val="000000"/>
          <w:kern w:val="0"/>
          <w:sz w:val="24"/>
          <w:szCs w:val="24"/>
          <w:highlight w:val="none"/>
        </w:rPr>
        <w:t>检验报告</w:t>
      </w:r>
      <w:r>
        <w:rPr>
          <w:rFonts w:hint="eastAsia" w:ascii="宋体" w:hAnsi="宋体" w:eastAsia="宋体" w:cs="宋体"/>
          <w:b/>
          <w:bCs/>
          <w:color w:val="000000"/>
          <w:kern w:val="0"/>
          <w:sz w:val="24"/>
          <w:szCs w:val="24"/>
          <w:highlight w:val="none"/>
          <w:lang w:val="en-US" w:eastAsia="zh-CN"/>
        </w:rPr>
        <w:t>复印件并加盖公章</w:t>
      </w:r>
      <w:r>
        <w:rPr>
          <w:rFonts w:hint="eastAsia" w:ascii="宋体" w:hAnsi="宋体" w:eastAsia="宋体" w:cs="宋体"/>
          <w:b w:val="0"/>
          <w:bCs w:val="0"/>
          <w:color w:val="000000"/>
          <w:kern w:val="0"/>
          <w:sz w:val="24"/>
          <w:szCs w:val="24"/>
          <w:highlight w:val="none"/>
        </w:rPr>
        <w:t>。</w:t>
      </w:r>
    </w:p>
    <w:p>
      <w:pPr>
        <w:bidi w:val="0"/>
        <w:rPr>
          <w:rFonts w:hint="eastAsia"/>
          <w:b/>
          <w:bCs w:val="0"/>
        </w:rPr>
      </w:pPr>
    </w:p>
    <w:p>
      <w:pPr>
        <w:numPr>
          <w:ilvl w:val="0"/>
          <w:numId w:val="44"/>
        </w:numPr>
        <w:spacing w:line="360" w:lineRule="auto"/>
        <w:ind w:left="425" w:leftChars="0" w:hanging="425" w:firstLineChars="0"/>
        <w:jc w:val="both"/>
        <w:rPr>
          <w:rFonts w:hint="eastAsia"/>
          <w:b/>
          <w:bCs w:val="0"/>
          <w:color w:val="000000"/>
          <w:sz w:val="24"/>
          <w:szCs w:val="24"/>
          <w:highlight w:val="none"/>
        </w:rPr>
      </w:pPr>
      <w:r>
        <w:rPr>
          <w:rFonts w:hint="eastAsia"/>
          <w:b/>
          <w:bCs w:val="0"/>
          <w:color w:val="000000"/>
          <w:sz w:val="24"/>
          <w:szCs w:val="24"/>
          <w:highlight w:val="none"/>
        </w:rPr>
        <w:t>水域救援头盔</w:t>
      </w:r>
    </w:p>
    <w:p>
      <w:pPr>
        <w:keepNext w:val="0"/>
        <w:keepLines w:val="0"/>
        <w:pageBreakBefore w:val="0"/>
        <w:widowControl/>
        <w:numPr>
          <w:ilvl w:val="0"/>
          <w:numId w:val="114"/>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低重心无帽沿设计，贴合头部。</w:t>
      </w:r>
    </w:p>
    <w:p>
      <w:pPr>
        <w:keepNext w:val="0"/>
        <w:keepLines w:val="0"/>
        <w:pageBreakBefore w:val="0"/>
        <w:widowControl/>
        <w:numPr>
          <w:ilvl w:val="0"/>
          <w:numId w:val="114"/>
        </w:numPr>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顶端&gt;6个透气孔，头盔内腔气流通畅，大温差环境中，具有高舒适度。</w:t>
      </w:r>
    </w:p>
    <w:p>
      <w:pPr>
        <w:keepNext w:val="0"/>
        <w:keepLines w:val="0"/>
        <w:pageBreakBefore w:val="0"/>
        <w:widowControl/>
        <w:numPr>
          <w:ilvl w:val="0"/>
          <w:numId w:val="114"/>
        </w:numPr>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头盔两侧一体式护耳部件，两侧≥2个通气孔，保护耳部的同时不影响听力。</w:t>
      </w:r>
    </w:p>
    <w:p>
      <w:pPr>
        <w:keepNext w:val="0"/>
        <w:keepLines w:val="0"/>
        <w:pageBreakBefore w:val="0"/>
        <w:widowControl/>
        <w:numPr>
          <w:ilvl w:val="0"/>
          <w:numId w:val="114"/>
        </w:numPr>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ABS工程塑料注塑成型盔壳，高冲击强度，良好的机械性能。</w:t>
      </w:r>
    </w:p>
    <w:p>
      <w:pPr>
        <w:keepNext w:val="0"/>
        <w:keepLines w:val="0"/>
        <w:pageBreakBefore w:val="0"/>
        <w:widowControl/>
        <w:numPr>
          <w:ilvl w:val="0"/>
          <w:numId w:val="114"/>
        </w:numPr>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高密度EVA缓冲垫，密闭泡孔结构，不吸水，回弹性和抗张力高，良好的耐水性能和低速冲击能量吸收能力。</w:t>
      </w:r>
    </w:p>
    <w:p>
      <w:pPr>
        <w:keepNext w:val="0"/>
        <w:keepLines w:val="0"/>
        <w:pageBreakBefore w:val="0"/>
        <w:widowControl/>
        <w:numPr>
          <w:ilvl w:val="0"/>
          <w:numId w:val="114"/>
        </w:numPr>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头箍设有EVA衬垫，魔术贴固位，易于拆卸清洁和更换。</w:t>
      </w:r>
    </w:p>
    <w:p>
      <w:pPr>
        <w:keepNext w:val="0"/>
        <w:keepLines w:val="0"/>
        <w:pageBreakBefore w:val="0"/>
        <w:widowControl/>
        <w:numPr>
          <w:ilvl w:val="0"/>
          <w:numId w:val="114"/>
        </w:numPr>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快调式帽衬，可单手操作，全方位满足个性化尺寸调节需求。</w:t>
      </w:r>
    </w:p>
    <w:p>
      <w:pPr>
        <w:keepNext w:val="0"/>
        <w:keepLines w:val="0"/>
        <w:pageBreakBefore w:val="0"/>
        <w:widowControl/>
        <w:numPr>
          <w:ilvl w:val="0"/>
          <w:numId w:val="114"/>
        </w:numPr>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带Go Pro NVG墨鱼干支架底座，侧面双导轨，可配救援头灯和水下照相机。</w:t>
      </w:r>
    </w:p>
    <w:p>
      <w:pPr>
        <w:keepNext w:val="0"/>
        <w:keepLines w:val="0"/>
        <w:pageBreakBefore w:val="0"/>
        <w:widowControl/>
        <w:numPr>
          <w:ilvl w:val="0"/>
          <w:numId w:val="114"/>
        </w:numPr>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冲击吸收性能：耐受冲击力的最大值≥3500N</w:t>
      </w:r>
    </w:p>
    <w:p>
      <w:pPr>
        <w:keepNext w:val="0"/>
        <w:keepLines w:val="0"/>
        <w:pageBreakBefore w:val="0"/>
        <w:widowControl/>
        <w:numPr>
          <w:ilvl w:val="0"/>
          <w:numId w:val="114"/>
        </w:numPr>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顶部抗冲击加速度性能：最大加速度：148.39g。</w:t>
      </w:r>
    </w:p>
    <w:p>
      <w:pPr>
        <w:keepNext w:val="0"/>
        <w:keepLines w:val="0"/>
        <w:pageBreakBefore w:val="0"/>
        <w:widowControl/>
        <w:numPr>
          <w:ilvl w:val="0"/>
          <w:numId w:val="114"/>
        </w:numPr>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耐穿透性能：3kg钢锥自1m高度自由下落冲击头盔，钢锥未穿透头盔与头模产生接触。</w:t>
      </w:r>
    </w:p>
    <w:p>
      <w:pPr>
        <w:keepNext w:val="0"/>
        <w:keepLines w:val="0"/>
        <w:pageBreakBefore w:val="0"/>
        <w:widowControl/>
        <w:numPr>
          <w:ilvl w:val="0"/>
          <w:numId w:val="114"/>
        </w:numPr>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漂浮性能：经24小时的漂浮性能试验，头盔始终漂浮在水面上，不沉入水中。</w:t>
      </w:r>
    </w:p>
    <w:p>
      <w:pPr>
        <w:keepNext w:val="0"/>
        <w:keepLines w:val="0"/>
        <w:pageBreakBefore w:val="0"/>
        <w:widowControl/>
        <w:numPr>
          <w:ilvl w:val="0"/>
          <w:numId w:val="114"/>
        </w:numPr>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护耳部件：有，一体式</w:t>
      </w:r>
    </w:p>
    <w:p>
      <w:pPr>
        <w:keepNext w:val="0"/>
        <w:keepLines w:val="0"/>
        <w:pageBreakBefore w:val="0"/>
        <w:widowControl/>
        <w:numPr>
          <w:ilvl w:val="0"/>
          <w:numId w:val="114"/>
        </w:numPr>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颜色：红色为主要色调</w:t>
      </w:r>
    </w:p>
    <w:p>
      <w:pPr>
        <w:keepNext w:val="0"/>
        <w:keepLines w:val="0"/>
        <w:pageBreakBefore w:val="0"/>
        <w:widowControl/>
        <w:numPr>
          <w:ilvl w:val="0"/>
          <w:numId w:val="114"/>
        </w:numPr>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重量≤550g</w:t>
      </w:r>
    </w:p>
    <w:p>
      <w:pPr>
        <w:keepNext w:val="0"/>
        <w:keepLines w:val="0"/>
        <w:pageBreakBefore w:val="0"/>
        <w:widowControl/>
        <w:numPr>
          <w:ilvl w:val="0"/>
          <w:numId w:val="114"/>
        </w:numPr>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sz w:val="24"/>
        </w:rPr>
        <mc:AlternateContent>
          <mc:Choice Requires="wps">
            <w:drawing>
              <wp:anchor distT="0" distB="0" distL="114300" distR="114300" simplePos="0" relativeHeight="251698176" behindDoc="0" locked="0" layoutInCell="1" allowOverlap="1">
                <wp:simplePos x="0" y="0"/>
                <wp:positionH relativeFrom="column">
                  <wp:posOffset>-352425</wp:posOffset>
                </wp:positionH>
                <wp:positionV relativeFrom="paragraph">
                  <wp:posOffset>45085</wp:posOffset>
                </wp:positionV>
                <wp:extent cx="295275" cy="266700"/>
                <wp:effectExtent l="0" t="0" r="9525" b="0"/>
                <wp:wrapNone/>
                <wp:docPr id="42" name="文本框 42"/>
                <wp:cNvGraphicFramePr/>
                <a:graphic xmlns:a="http://schemas.openxmlformats.org/drawingml/2006/main">
                  <a:graphicData uri="http://schemas.microsoft.com/office/word/2010/wordprocessingShape">
                    <wps:wsp>
                      <wps:cNvSpPr txBox="1"/>
                      <wps:spPr>
                        <a:xfrm>
                          <a:off x="403860" y="9581515"/>
                          <a:ext cx="295275"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5pt;margin-top:3.55pt;height:21pt;width:23.25pt;z-index:251698176;mso-width-relative:page;mso-height-relative:page;" fillcolor="#FFFFFF [3201]" filled="t" stroked="f" coordsize="21600,21600" o:gfxdata="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MaFvB&#10;0wAAAAcBAAAPAAAAAAAAAAEAIAAAACIAAABkcnMvZG93bnJldi54bWxQSwECFAAUAAAACACHTuJA&#10;6D2fmF8CAACbBAAADgAAAAAAAAABACAAAAAiAQAAZHJzL2Uyb0RvYy54bWxQSwUGAAAAAAYABgBZ&#10;AQAA8wU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color w:val="000000"/>
          <w:kern w:val="0"/>
          <w:sz w:val="24"/>
          <w:szCs w:val="24"/>
          <w:highlight w:val="none"/>
          <w:lang w:val="en-US" w:eastAsia="zh-CN"/>
        </w:rPr>
        <w:t>提供</w:t>
      </w:r>
      <w:r>
        <w:rPr>
          <w:rFonts w:hint="eastAsia" w:ascii="宋体" w:hAnsi="宋体" w:eastAsia="宋体" w:cs="宋体"/>
          <w:b/>
          <w:bCs/>
          <w:color w:val="000000"/>
          <w:kern w:val="0"/>
          <w:sz w:val="24"/>
          <w:szCs w:val="24"/>
          <w:highlight w:val="none"/>
        </w:rPr>
        <w:t>检验报告</w:t>
      </w:r>
      <w:r>
        <w:rPr>
          <w:rFonts w:hint="eastAsia" w:ascii="宋体" w:hAnsi="宋体" w:eastAsia="宋体" w:cs="宋体"/>
          <w:b/>
          <w:bCs/>
          <w:color w:val="000000"/>
          <w:kern w:val="0"/>
          <w:sz w:val="24"/>
          <w:szCs w:val="24"/>
          <w:highlight w:val="none"/>
          <w:lang w:val="en-US" w:eastAsia="zh-CN"/>
        </w:rPr>
        <w:t>复印件并加盖公章</w:t>
      </w:r>
      <w:r>
        <w:rPr>
          <w:rFonts w:hint="eastAsia" w:ascii="宋体" w:hAnsi="宋体" w:eastAsia="宋体" w:cs="宋体"/>
          <w:color w:val="000000"/>
          <w:kern w:val="0"/>
          <w:sz w:val="24"/>
          <w:szCs w:val="24"/>
          <w:highlight w:val="none"/>
          <w:lang w:val="en-US" w:eastAsia="zh-CN"/>
        </w:rPr>
        <w:t>。</w:t>
      </w:r>
    </w:p>
    <w:p>
      <w:pPr>
        <w:bidi w:val="0"/>
        <w:rPr>
          <w:rFonts w:hint="eastAsia"/>
          <w:b/>
          <w:bCs w:val="0"/>
        </w:rPr>
      </w:pPr>
    </w:p>
    <w:p>
      <w:pPr>
        <w:numPr>
          <w:ilvl w:val="0"/>
          <w:numId w:val="44"/>
        </w:numPr>
        <w:spacing w:line="360" w:lineRule="auto"/>
        <w:ind w:left="425" w:leftChars="0" w:hanging="425" w:firstLineChars="0"/>
        <w:jc w:val="both"/>
        <w:rPr>
          <w:rFonts w:hint="eastAsia"/>
          <w:b/>
          <w:bCs w:val="0"/>
          <w:color w:val="000000"/>
          <w:sz w:val="24"/>
          <w:szCs w:val="24"/>
          <w:highlight w:val="none"/>
        </w:rPr>
      </w:pPr>
      <w:r>
        <w:rPr>
          <w:rFonts w:hint="eastAsia"/>
          <w:b/>
          <w:bCs w:val="0"/>
          <w:color w:val="000000"/>
          <w:sz w:val="24"/>
          <w:szCs w:val="24"/>
          <w:highlight w:val="none"/>
        </w:rPr>
        <w:t>通用安全绳</w:t>
      </w:r>
    </w:p>
    <w:p>
      <w:pPr>
        <w:numPr>
          <w:ilvl w:val="0"/>
          <w:numId w:val="115"/>
        </w:numPr>
        <w:tabs>
          <w:tab w:val="left" w:pos="1260"/>
          <w:tab w:val="clear" w:pos="420"/>
        </w:tabs>
        <w:bidi w:val="0"/>
        <w:spacing w:line="360" w:lineRule="auto"/>
        <w:ind w:left="1245" w:leftChars="0" w:hanging="1245" w:firstLineChars="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材质：锦纶，由连续纤维制成，采用夹心绳结构，整条绳子粗细均匀，结构一致，破断强度40KN；直径：13mm，线轴数：32股，每米克重112g，外皮滑动率：0％，常用于下降，但下降速度不能超过每秒3米，在204摄氏度高温下，绳子不会出现融化的现象。</w:t>
      </w:r>
    </w:p>
    <w:p>
      <w:pPr>
        <w:numPr>
          <w:ilvl w:val="0"/>
          <w:numId w:val="115"/>
        </w:numPr>
        <w:tabs>
          <w:tab w:val="left" w:pos="1260"/>
          <w:tab w:val="clear" w:pos="420"/>
        </w:tabs>
        <w:bidi w:val="0"/>
        <w:spacing w:line="360" w:lineRule="auto"/>
        <w:ind w:left="1245" w:leftChars="0" w:hanging="1245" w:firstLineChars="0"/>
        <w:rPr>
          <w:rFonts w:hint="eastAsia" w:ascii="宋体" w:hAnsi="宋体" w:eastAsia="宋体" w:cs="宋体"/>
          <w:color w:val="000000"/>
          <w:kern w:val="0"/>
          <w:sz w:val="24"/>
          <w:szCs w:val="24"/>
          <w:highlight w:val="none"/>
          <w:lang w:val="en-US" w:eastAsia="zh-CN"/>
        </w:rPr>
      </w:pPr>
      <w:r>
        <w:rPr>
          <w:sz w:val="24"/>
        </w:rPr>
        <mc:AlternateContent>
          <mc:Choice Requires="wps">
            <w:drawing>
              <wp:anchor distT="0" distB="0" distL="114300" distR="114300" simplePos="0" relativeHeight="251697152" behindDoc="0" locked="0" layoutInCell="1" allowOverlap="1">
                <wp:simplePos x="0" y="0"/>
                <wp:positionH relativeFrom="column">
                  <wp:posOffset>-314325</wp:posOffset>
                </wp:positionH>
                <wp:positionV relativeFrom="paragraph">
                  <wp:posOffset>10795</wp:posOffset>
                </wp:positionV>
                <wp:extent cx="285750" cy="266700"/>
                <wp:effectExtent l="0" t="0" r="0" b="0"/>
                <wp:wrapNone/>
                <wp:docPr id="41" name="文本框 41"/>
                <wp:cNvGraphicFramePr/>
                <a:graphic xmlns:a="http://schemas.openxmlformats.org/drawingml/2006/main">
                  <a:graphicData uri="http://schemas.microsoft.com/office/word/2010/wordprocessingShape">
                    <wps:wsp>
                      <wps:cNvSpPr txBox="1"/>
                      <wps:spPr>
                        <a:xfrm>
                          <a:off x="375285" y="2453005"/>
                          <a:ext cx="285750"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5pt;margin-top:0.85pt;height:21pt;width:22.5pt;z-index:251697152;mso-width-relative:page;mso-height-relative:page;" fillcolor="#FFFFFF [3201]" filled="t" stroked="f" coordsize="21600,21600" o:gfxdata="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h5+z0gAAAAcB&#10;AAAPAAAAAAAAAAEAIAAAACIAAABkcnMvZG93bnJldi54bWxQSwECFAAUAAAACACHTuJAOEPrEFoC&#10;AACbBAAADgAAAAAAAAABACAAAAAhAQAAZHJzL2Uyb0RvYy54bWxQSwUGAAAAAAYABgBZAQAA7QUA&#10;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color w:val="000000"/>
          <w:kern w:val="0"/>
          <w:sz w:val="24"/>
          <w:szCs w:val="24"/>
          <w:highlight w:val="none"/>
          <w:lang w:val="en-US" w:eastAsia="zh-CN"/>
        </w:rPr>
        <w:t>提供</w:t>
      </w:r>
      <w:r>
        <w:rPr>
          <w:rFonts w:hint="eastAsia" w:ascii="宋体" w:hAnsi="宋体" w:eastAsia="宋体" w:cs="宋体"/>
          <w:b/>
          <w:bCs/>
          <w:color w:val="000000"/>
          <w:kern w:val="0"/>
          <w:sz w:val="24"/>
          <w:szCs w:val="24"/>
          <w:highlight w:val="none"/>
          <w:lang w:val="en-US" w:eastAsia="zh-CN"/>
        </w:rPr>
        <w:t>检验报告复印件并加盖公章</w:t>
      </w:r>
      <w:r>
        <w:rPr>
          <w:rFonts w:hint="eastAsia" w:ascii="宋体" w:hAnsi="宋体" w:eastAsia="宋体" w:cs="宋体"/>
          <w:color w:val="000000"/>
          <w:kern w:val="0"/>
          <w:sz w:val="24"/>
          <w:szCs w:val="24"/>
          <w:highlight w:val="none"/>
          <w:lang w:val="en-US" w:eastAsia="zh-CN"/>
        </w:rPr>
        <w:t>。</w:t>
      </w:r>
    </w:p>
    <w:p>
      <w:pPr>
        <w:bidi w:val="0"/>
        <w:rPr>
          <w:rFonts w:hint="eastAsia"/>
          <w:b/>
          <w:bCs w:val="0"/>
        </w:rPr>
      </w:pPr>
    </w:p>
    <w:p>
      <w:pPr>
        <w:numPr>
          <w:ilvl w:val="0"/>
          <w:numId w:val="43"/>
        </w:numPr>
        <w:spacing w:line="360" w:lineRule="auto"/>
        <w:ind w:left="425" w:leftChars="0" w:hanging="425" w:firstLineChars="0"/>
        <w:jc w:val="both"/>
        <w:rPr>
          <w:rFonts w:hint="eastAsia"/>
          <w:b/>
          <w:bCs w:val="0"/>
          <w:color w:val="000000"/>
          <w:sz w:val="24"/>
          <w:szCs w:val="24"/>
          <w:highlight w:val="none"/>
        </w:rPr>
      </w:pPr>
      <w:r>
        <w:rPr>
          <w:rFonts w:hint="eastAsia"/>
          <w:b/>
          <w:bCs w:val="0"/>
          <w:color w:val="000000"/>
          <w:sz w:val="24"/>
          <w:szCs w:val="24"/>
          <w:highlight w:val="none"/>
        </w:rPr>
        <w:t>灭火救援器材</w:t>
      </w: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绝缘杆</w:t>
      </w:r>
    </w:p>
    <w:p>
      <w:pPr>
        <w:keepNext w:val="0"/>
        <w:keepLines w:val="0"/>
        <w:pageBreakBefore w:val="0"/>
        <w:widowControl/>
        <w:numPr>
          <w:ilvl w:val="0"/>
          <w:numId w:val="117"/>
        </w:numPr>
        <w:tabs>
          <w:tab w:val="left" w:pos="1260"/>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绝缘拉杆是一种专为用于电力救援的绝缘工具，可用于带电救援、带电合闸、带电维护作业器具等。</w:t>
      </w:r>
    </w:p>
    <w:p>
      <w:pPr>
        <w:keepNext w:val="0"/>
        <w:keepLines w:val="0"/>
        <w:pageBreakBefore w:val="0"/>
        <w:widowControl/>
        <w:numPr>
          <w:ilvl w:val="0"/>
          <w:numId w:val="117"/>
        </w:numPr>
        <w:tabs>
          <w:tab w:val="left" w:pos="1260"/>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采用伸缩式设计，共计有3节。完全伸展长度3米，收缩长度1.5米。</w:t>
      </w:r>
    </w:p>
    <w:p>
      <w:pPr>
        <w:keepNext w:val="0"/>
        <w:keepLines w:val="0"/>
        <w:pageBreakBefore w:val="0"/>
        <w:widowControl/>
        <w:numPr>
          <w:ilvl w:val="0"/>
          <w:numId w:val="117"/>
        </w:numPr>
        <w:tabs>
          <w:tab w:val="left" w:pos="1260"/>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银色的拉闸钩，可随意调节角度，方便快捷，通过左右旋转杆身，可以调节长度。</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绝缘手套</w:t>
      </w:r>
    </w:p>
    <w:p>
      <w:pPr>
        <w:numPr>
          <w:ilvl w:val="0"/>
          <w:numId w:val="118"/>
        </w:numPr>
        <w:tabs>
          <w:tab w:val="left" w:pos="840"/>
          <w:tab w:val="clear" w:pos="420"/>
        </w:tabs>
        <w:bidi w:val="0"/>
        <w:spacing w:line="360" w:lineRule="auto"/>
        <w:ind w:left="825" w:leftChars="0" w:hanging="825" w:firstLineChars="0"/>
        <w:rPr>
          <w:rFonts w:hint="eastAsia"/>
          <w:b/>
          <w:bCs w:val="0"/>
          <w:sz w:val="24"/>
          <w:szCs w:val="24"/>
        </w:rPr>
      </w:pPr>
      <w:r>
        <w:rPr>
          <w:rFonts w:hint="eastAsia" w:ascii="宋体" w:hAnsi="宋体" w:eastAsia="宋体" w:cs="宋体"/>
          <w:color w:val="000000"/>
          <w:kern w:val="0"/>
          <w:sz w:val="24"/>
          <w:szCs w:val="24"/>
          <w:lang w:val="en-US" w:eastAsia="zh-CN"/>
        </w:rPr>
        <w:t>材质：高强度绝缘橡胶，使用于380V工厂救援及抢修作业，220V家庭用电，一万伏内配电房检查。</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低压水带（80）</w:t>
      </w:r>
    </w:p>
    <w:p>
      <w:pPr>
        <w:keepNext w:val="0"/>
        <w:keepLines w:val="0"/>
        <w:pageBreakBefore w:val="0"/>
        <w:widowControl/>
        <w:numPr>
          <w:ilvl w:val="0"/>
          <w:numId w:val="119"/>
        </w:numPr>
        <w:tabs>
          <w:tab w:val="clear" w:pos="420"/>
        </w:tabs>
        <w:kinsoku/>
        <w:wordWrap/>
        <w:overflowPunct/>
        <w:topLinePunct w:val="0"/>
        <w:bidi w:val="0"/>
        <w:spacing w:line="360" w:lineRule="auto"/>
        <w:ind w:left="1245" w:leftChars="0" w:hanging="1245" w:firstLineChars="0"/>
        <w:jc w:val="left"/>
        <w:textAlignment w:val="center"/>
        <w:rPr>
          <w:rFonts w:hint="default" w:ascii="宋体" w:hAnsi="宋体" w:eastAsia="宋体" w:cs="宋体"/>
          <w:b/>
          <w:bCs/>
          <w:color w:val="000000"/>
          <w:kern w:val="0"/>
          <w:sz w:val="24"/>
          <w:szCs w:val="24"/>
          <w:highlight w:val="none"/>
          <w:lang w:val="en-US" w:eastAsia="zh-CN"/>
        </w:rPr>
      </w:pPr>
      <w:r>
        <w:rPr>
          <w:sz w:val="24"/>
        </w:rPr>
        <mc:AlternateContent>
          <mc:Choice Requires="wps">
            <w:drawing>
              <wp:anchor distT="0" distB="0" distL="114300" distR="114300" simplePos="0" relativeHeight="251696128" behindDoc="0" locked="0" layoutInCell="1" allowOverlap="1">
                <wp:simplePos x="0" y="0"/>
                <wp:positionH relativeFrom="column">
                  <wp:posOffset>-381000</wp:posOffset>
                </wp:positionH>
                <wp:positionV relativeFrom="paragraph">
                  <wp:posOffset>12700</wp:posOffset>
                </wp:positionV>
                <wp:extent cx="323850" cy="266700"/>
                <wp:effectExtent l="0" t="0" r="0" b="0"/>
                <wp:wrapNone/>
                <wp:docPr id="40" name="文本框 40"/>
                <wp:cNvGraphicFramePr/>
                <a:graphic xmlns:a="http://schemas.openxmlformats.org/drawingml/2006/main">
                  <a:graphicData uri="http://schemas.microsoft.com/office/word/2010/wordprocessingShape">
                    <wps:wsp>
                      <wps:cNvSpPr txBox="1"/>
                      <wps:spPr>
                        <a:xfrm>
                          <a:off x="365760" y="6615430"/>
                          <a:ext cx="323850"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pt;margin-top:1pt;height:21pt;width:25.5pt;z-index:251696128;mso-width-relative:page;mso-height-relative:page;" fillcolor="#FFFFFF [3201]" filled="t" stroked="f" coordsize="21600,21600" o:gfxdata="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aLT3TSAAAABwEA&#10;AA8AAAAAAAAAAQAgAAAAIgAAAGRycy9kb3ducmV2LnhtbFBLAQIUABQAAAAIAIdO4kDdQHcsWQIA&#10;AJsEAAAOAAAAAAAAAAEAIAAAACEBAABkcnMvZTJvRG9jLnhtbFBLBQYAAAAABgAGAFkBAADsBQAA&#10;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color w:val="000000"/>
          <w:kern w:val="0"/>
          <w:sz w:val="24"/>
          <w:szCs w:val="24"/>
          <w:highlight w:val="none"/>
          <w:lang w:val="en-US" w:eastAsia="zh-CN"/>
        </w:rPr>
        <w:t>整体要求：符合GB6246-2011《消防水带》标准，提供</w:t>
      </w:r>
      <w:r>
        <w:rPr>
          <w:rFonts w:hint="eastAsia" w:ascii="宋体" w:hAnsi="宋体" w:eastAsia="宋体" w:cs="宋体"/>
          <w:b/>
          <w:bCs/>
          <w:color w:val="000000"/>
          <w:kern w:val="0"/>
          <w:sz w:val="24"/>
          <w:szCs w:val="24"/>
          <w:highlight w:val="none"/>
          <w:lang w:val="en-US" w:eastAsia="zh-CN"/>
        </w:rPr>
        <w:t>检测报告复印件加盖公章。</w:t>
      </w:r>
    </w:p>
    <w:p>
      <w:pPr>
        <w:keepNext w:val="0"/>
        <w:keepLines w:val="0"/>
        <w:pageBreakBefore w:val="0"/>
        <w:widowControl/>
        <w:numPr>
          <w:ilvl w:val="0"/>
          <w:numId w:val="119"/>
        </w:numPr>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直径80mm，水带内径：76＋2mm，爆破压力：≥5.41MPa。</w:t>
      </w:r>
    </w:p>
    <w:p>
      <w:pPr>
        <w:keepNext w:val="0"/>
        <w:keepLines w:val="0"/>
        <w:pageBreakBefore w:val="0"/>
        <w:widowControl/>
        <w:numPr>
          <w:ilvl w:val="0"/>
          <w:numId w:val="119"/>
        </w:numPr>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聚氨酯衬里消防水带，外编织层经线纬线均采用高强度涤纶长丝斜纹紧密编织。</w:t>
      </w:r>
    </w:p>
    <w:p>
      <w:pPr>
        <w:keepNext w:val="0"/>
        <w:keepLines w:val="0"/>
        <w:pageBreakBefore w:val="0"/>
        <w:widowControl/>
        <w:numPr>
          <w:ilvl w:val="0"/>
          <w:numId w:val="119"/>
        </w:numPr>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水带编织层与衬里之间的附着强度≥43.2N/25mm，轴向延伸率≤3.8%，直径膨胀率≤4.3%，扯断伸长率≥447.9%，扯断强度≥51.9MPa。</w:t>
      </w:r>
    </w:p>
    <w:p>
      <w:pPr>
        <w:keepNext w:val="0"/>
        <w:keepLines w:val="0"/>
        <w:pageBreakBefore w:val="0"/>
        <w:widowControl/>
        <w:numPr>
          <w:ilvl w:val="0"/>
          <w:numId w:val="119"/>
        </w:numPr>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每盘长度20m，含快速接口。</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低压水带（65）</w:t>
      </w:r>
    </w:p>
    <w:p>
      <w:pPr>
        <w:keepNext w:val="0"/>
        <w:keepLines w:val="0"/>
        <w:pageBreakBefore w:val="0"/>
        <w:widowControl/>
        <w:numPr>
          <w:ilvl w:val="0"/>
          <w:numId w:val="120"/>
        </w:numPr>
        <w:kinsoku/>
        <w:wordWrap/>
        <w:overflowPunct/>
        <w:topLinePunct w:val="0"/>
        <w:bidi w:val="0"/>
        <w:spacing w:line="360" w:lineRule="auto"/>
        <w:ind w:left="425" w:leftChars="0" w:hanging="425" w:firstLineChars="0"/>
        <w:jc w:val="left"/>
        <w:textAlignment w:val="center"/>
        <w:rPr>
          <w:rFonts w:hint="default" w:ascii="宋体" w:hAnsi="宋体" w:eastAsia="宋体" w:cs="宋体"/>
          <w:color w:val="000000"/>
          <w:kern w:val="0"/>
          <w:sz w:val="24"/>
          <w:szCs w:val="24"/>
          <w:highlight w:val="none"/>
          <w:lang w:val="en-US" w:eastAsia="zh-CN"/>
        </w:rPr>
      </w:pPr>
      <w:r>
        <w:rPr>
          <w:sz w:val="24"/>
        </w:rPr>
        <mc:AlternateContent>
          <mc:Choice Requires="wps">
            <w:drawing>
              <wp:anchor distT="0" distB="0" distL="114300" distR="114300" simplePos="0" relativeHeight="251695104" behindDoc="0" locked="0" layoutInCell="1" allowOverlap="1">
                <wp:simplePos x="0" y="0"/>
                <wp:positionH relativeFrom="column">
                  <wp:posOffset>-333375</wp:posOffset>
                </wp:positionH>
                <wp:positionV relativeFrom="paragraph">
                  <wp:posOffset>26035</wp:posOffset>
                </wp:positionV>
                <wp:extent cx="266700" cy="256540"/>
                <wp:effectExtent l="0" t="0" r="0" b="10160"/>
                <wp:wrapNone/>
                <wp:docPr id="39" name="文本框 39"/>
                <wp:cNvGraphicFramePr/>
                <a:graphic xmlns:a="http://schemas.openxmlformats.org/drawingml/2006/main">
                  <a:graphicData uri="http://schemas.microsoft.com/office/word/2010/wordprocessingShape">
                    <wps:wsp>
                      <wps:cNvSpPr txBox="1"/>
                      <wps:spPr>
                        <a:xfrm>
                          <a:off x="356235" y="9185275"/>
                          <a:ext cx="266700" cy="256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5pt;margin-top:2.05pt;height:20.2pt;width:21pt;z-index:251695104;mso-width-relative:page;mso-height-relative:page;" fillcolor="#FFFFFF [3201]" filled="t" stroked="f" coordsize="21600,21600" o:gfxdata="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Hveoq&#10;0wAAAAgBAAAPAAAAAAAAAAEAIAAAACIAAABkcnMvZG93bnJldi54bWxQSwECFAAUAAAACACHTuJA&#10;Cw3FZl8CAACbBAAADgAAAAAAAAABACAAAAAiAQAAZHJzL2Uyb0RvYy54bWxQSwUGAAAAAAYABgBZ&#10;AQAA8wU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color w:val="000000"/>
          <w:kern w:val="0"/>
          <w:sz w:val="24"/>
          <w:szCs w:val="24"/>
          <w:highlight w:val="none"/>
          <w:lang w:val="en-US" w:eastAsia="zh-CN"/>
        </w:rPr>
        <w:t>整体要求：符合GB6246-2011《消防水带》标准，</w:t>
      </w:r>
      <w:r>
        <w:rPr>
          <w:rFonts w:hint="eastAsia" w:ascii="宋体" w:hAnsi="宋体" w:eastAsia="宋体" w:cs="宋体"/>
          <w:b/>
          <w:bCs/>
          <w:color w:val="000000"/>
          <w:kern w:val="0"/>
          <w:sz w:val="24"/>
          <w:szCs w:val="24"/>
          <w:highlight w:val="none"/>
          <w:lang w:val="en-US" w:eastAsia="zh-CN"/>
        </w:rPr>
        <w:t>检测报告复印件加盖公章</w:t>
      </w:r>
      <w:r>
        <w:rPr>
          <w:rFonts w:hint="eastAsia" w:ascii="宋体" w:hAnsi="宋体" w:eastAsia="宋体" w:cs="宋体"/>
          <w:color w:val="000000"/>
          <w:kern w:val="0"/>
          <w:sz w:val="24"/>
          <w:szCs w:val="24"/>
          <w:highlight w:val="none"/>
          <w:lang w:val="en-US" w:eastAsia="zh-CN"/>
        </w:rPr>
        <w:t>。</w:t>
      </w:r>
    </w:p>
    <w:p>
      <w:pPr>
        <w:keepNext w:val="0"/>
        <w:keepLines w:val="0"/>
        <w:pageBreakBefore w:val="0"/>
        <w:widowControl/>
        <w:numPr>
          <w:ilvl w:val="0"/>
          <w:numId w:val="120"/>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直径65mm，水带内径：63.5＋2mm，爆破压力：≥5.87MPa。</w:t>
      </w:r>
    </w:p>
    <w:p>
      <w:pPr>
        <w:keepNext w:val="0"/>
        <w:keepLines w:val="0"/>
        <w:pageBreakBefore w:val="0"/>
        <w:widowControl/>
        <w:numPr>
          <w:ilvl w:val="0"/>
          <w:numId w:val="120"/>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聚氨酯衬里消防水带，外编织层经线纬线均采用高强度涤纶长丝斜纹紧密编织。</w:t>
      </w:r>
    </w:p>
    <w:p>
      <w:pPr>
        <w:keepNext w:val="0"/>
        <w:keepLines w:val="0"/>
        <w:pageBreakBefore w:val="0"/>
        <w:widowControl/>
        <w:numPr>
          <w:ilvl w:val="0"/>
          <w:numId w:val="120"/>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水带编织层与衬里之间的附着强度≥34.9N/25mm，轴向延伸率≤3.2%，直径膨胀率≤4.2%，扯断伸长率≥383%，扯断强度≥59.9MPa。</w:t>
      </w:r>
    </w:p>
    <w:p>
      <w:pPr>
        <w:keepNext w:val="0"/>
        <w:keepLines w:val="0"/>
        <w:pageBreakBefore w:val="0"/>
        <w:widowControl/>
        <w:numPr>
          <w:ilvl w:val="0"/>
          <w:numId w:val="120"/>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每盘长度20m，含快速接口。</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多功能水枪</w:t>
      </w:r>
    </w:p>
    <w:p>
      <w:pPr>
        <w:keepNext w:val="0"/>
        <w:keepLines w:val="0"/>
        <w:pageBreakBefore w:val="0"/>
        <w:widowControl/>
        <w:numPr>
          <w:ilvl w:val="0"/>
          <w:numId w:val="121"/>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直流喷雾水枪（又称无后坐力多功能水枪）是在直流水枪型式基础上增添了改变水流形式装置，具有制造工艺先进、外观美、质量轻、备有多种功能、操作简便。其特点：在设计工作压力下给水时能消除喷射反作用力，减轻使用者的劳动强度，保证了水枪喷射灭火的准确有效。根据险情，可以调节水的流量，同时可以调节喷射形式：直流、喷雾、开花三种。同时也可以消除水带收、放时产生的捻度（扭曲、打折）。</w:t>
      </w:r>
    </w:p>
    <w:p>
      <w:pPr>
        <w:keepNext w:val="0"/>
        <w:keepLines w:val="0"/>
        <w:pageBreakBefore w:val="0"/>
        <w:widowControl/>
        <w:numPr>
          <w:ilvl w:val="0"/>
          <w:numId w:val="121"/>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额定直流流量：8L/S；</w:t>
      </w:r>
    </w:p>
    <w:p>
      <w:pPr>
        <w:keepNext w:val="0"/>
        <w:keepLines w:val="0"/>
        <w:pageBreakBefore w:val="0"/>
        <w:widowControl/>
        <w:numPr>
          <w:ilvl w:val="0"/>
          <w:numId w:val="121"/>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额定喷射压力：0.6MPa；</w:t>
      </w:r>
    </w:p>
    <w:p>
      <w:pPr>
        <w:keepNext w:val="0"/>
        <w:keepLines w:val="0"/>
        <w:pageBreakBefore w:val="0"/>
        <w:widowControl/>
        <w:numPr>
          <w:ilvl w:val="0"/>
          <w:numId w:val="121"/>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工作压力范围;0.2~1.6（Mpa）；</w:t>
      </w:r>
    </w:p>
    <w:p>
      <w:pPr>
        <w:keepNext w:val="0"/>
        <w:keepLines w:val="0"/>
        <w:pageBreakBefore w:val="0"/>
        <w:widowControl/>
        <w:numPr>
          <w:ilvl w:val="0"/>
          <w:numId w:val="121"/>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最大射程;≥35（m)；</w:t>
      </w:r>
    </w:p>
    <w:p>
      <w:pPr>
        <w:keepNext w:val="0"/>
        <w:keepLines w:val="0"/>
        <w:pageBreakBefore w:val="0"/>
        <w:widowControl/>
        <w:numPr>
          <w:ilvl w:val="0"/>
          <w:numId w:val="121"/>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喷雾角:0～120(°)；</w:t>
      </w:r>
    </w:p>
    <w:p>
      <w:pPr>
        <w:keepNext w:val="0"/>
        <w:keepLines w:val="0"/>
        <w:pageBreakBefore w:val="0"/>
        <w:widowControl/>
        <w:numPr>
          <w:ilvl w:val="0"/>
          <w:numId w:val="121"/>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流量:≥4种流量；</w:t>
      </w:r>
    </w:p>
    <w:p>
      <w:pPr>
        <w:keepNext w:val="0"/>
        <w:keepLines w:val="0"/>
        <w:pageBreakBefore w:val="0"/>
        <w:widowControl/>
        <w:numPr>
          <w:ilvl w:val="0"/>
          <w:numId w:val="121"/>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接口公称通径额定值:DN65；</w:t>
      </w:r>
    </w:p>
    <w:p>
      <w:pPr>
        <w:keepNext w:val="0"/>
        <w:keepLines w:val="0"/>
        <w:pageBreakBefore w:val="0"/>
        <w:widowControl/>
        <w:numPr>
          <w:ilvl w:val="0"/>
          <w:numId w:val="121"/>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技术性能符合GB 8181-2005 《消防水枪》CNCA-C18-03: 2014 《强制性产品认证实施规则灭火设备产品》CCF-MHSB-08 《强制性产品认证实施细则灭火设备产品消防给水设备产品(一)》。</w:t>
      </w:r>
    </w:p>
    <w:p>
      <w:pPr>
        <w:keepNext w:val="0"/>
        <w:keepLines w:val="0"/>
        <w:pageBreakBefore w:val="0"/>
        <w:widowControl/>
        <w:numPr>
          <w:ilvl w:val="0"/>
          <w:numId w:val="121"/>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highlight w:val="none"/>
          <w:lang w:val="en-US" w:eastAsia="zh-CN"/>
        </w:rPr>
      </w:pPr>
      <w:r>
        <w:rPr>
          <w:sz w:val="24"/>
        </w:rPr>
        <mc:AlternateContent>
          <mc:Choice Requires="wps">
            <w:drawing>
              <wp:anchor distT="0" distB="0" distL="114300" distR="114300" simplePos="0" relativeHeight="251694080" behindDoc="0" locked="0" layoutInCell="1" allowOverlap="1">
                <wp:simplePos x="0" y="0"/>
                <wp:positionH relativeFrom="column">
                  <wp:posOffset>-295275</wp:posOffset>
                </wp:positionH>
                <wp:positionV relativeFrom="paragraph">
                  <wp:posOffset>26035</wp:posOffset>
                </wp:positionV>
                <wp:extent cx="276225" cy="257175"/>
                <wp:effectExtent l="0" t="0" r="9525" b="9525"/>
                <wp:wrapNone/>
                <wp:docPr id="38" name="文本框 38"/>
                <wp:cNvGraphicFramePr/>
                <a:graphic xmlns:a="http://schemas.openxmlformats.org/drawingml/2006/main">
                  <a:graphicData uri="http://schemas.microsoft.com/office/word/2010/wordprocessingShape">
                    <wps:wsp>
                      <wps:cNvSpPr txBox="1"/>
                      <wps:spPr>
                        <a:xfrm>
                          <a:off x="403860" y="7185025"/>
                          <a:ext cx="276225" cy="2571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5pt;margin-top:2.05pt;height:20.25pt;width:21.75pt;z-index:251694080;mso-width-relative:page;mso-height-relative:page;" fillcolor="#FFFFFF [3201]" filled="t" stroked="f" coordsize="21600,21600" o:gfxdata="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prwy00gAA&#10;AAcBAAAPAAAAAAAAAAEAIAAAACIAAABkcnMvZG93bnJldi54bWxQSwECFAAUAAAACACHTuJAQd5J&#10;D10CAACbBAAADgAAAAAAAAABACAAAAAhAQAAZHJzL2Uyb0RvYy54bWxQSwUGAAAAAAYABgBZAQAA&#10;8AU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color w:val="000000"/>
          <w:kern w:val="0"/>
          <w:sz w:val="24"/>
          <w:szCs w:val="24"/>
          <w:highlight w:val="none"/>
          <w:lang w:val="en-US" w:eastAsia="zh-CN"/>
        </w:rPr>
        <w:t>提供</w:t>
      </w:r>
      <w:r>
        <w:rPr>
          <w:rFonts w:hint="eastAsia" w:ascii="宋体" w:hAnsi="宋体" w:eastAsia="宋体" w:cs="宋体"/>
          <w:b/>
          <w:bCs/>
          <w:color w:val="000000"/>
          <w:kern w:val="0"/>
          <w:sz w:val="24"/>
          <w:szCs w:val="24"/>
          <w:highlight w:val="none"/>
          <w:lang w:val="en-US" w:eastAsia="zh-CN"/>
        </w:rPr>
        <w:t>检测报告并加盖公章</w:t>
      </w:r>
      <w:r>
        <w:rPr>
          <w:rFonts w:hint="eastAsia" w:ascii="宋体" w:hAnsi="宋体" w:eastAsia="宋体" w:cs="宋体"/>
          <w:color w:val="000000"/>
          <w:kern w:val="0"/>
          <w:sz w:val="24"/>
          <w:szCs w:val="24"/>
          <w:highlight w:val="none"/>
          <w:lang w:val="en-US" w:eastAsia="zh-CN"/>
        </w:rPr>
        <w:t>。</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直流水枪</w:t>
      </w:r>
    </w:p>
    <w:p>
      <w:pPr>
        <w:keepNext w:val="0"/>
        <w:keepLines w:val="0"/>
        <w:pageBreakBefore w:val="0"/>
        <w:widowControl/>
        <w:numPr>
          <w:ilvl w:val="0"/>
          <w:numId w:val="122"/>
        </w:numPr>
        <w:tabs>
          <w:tab w:val="left" w:pos="1260"/>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直流开关水枪是在直流水枪型式基础上增添了球阀装置，在使过程中可以适量调节，同时可以‘开、关’；操作筒便；</w:t>
      </w:r>
    </w:p>
    <w:p>
      <w:pPr>
        <w:keepNext w:val="0"/>
        <w:keepLines w:val="0"/>
        <w:pageBreakBefore w:val="0"/>
        <w:widowControl/>
        <w:numPr>
          <w:ilvl w:val="0"/>
          <w:numId w:val="122"/>
        </w:numPr>
        <w:tabs>
          <w:tab w:val="left" w:pos="1260"/>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额定流量 7.5L/s;</w:t>
      </w:r>
    </w:p>
    <w:p>
      <w:pPr>
        <w:keepNext w:val="0"/>
        <w:keepLines w:val="0"/>
        <w:pageBreakBefore w:val="0"/>
        <w:widowControl/>
        <w:numPr>
          <w:ilvl w:val="0"/>
          <w:numId w:val="122"/>
        </w:numPr>
        <w:tabs>
          <w:tab w:val="left" w:pos="1260"/>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额定喷射压力0.35MPa；</w:t>
      </w:r>
    </w:p>
    <w:p>
      <w:pPr>
        <w:keepNext w:val="0"/>
        <w:keepLines w:val="0"/>
        <w:pageBreakBefore w:val="0"/>
        <w:widowControl/>
        <w:numPr>
          <w:ilvl w:val="0"/>
          <w:numId w:val="122"/>
        </w:numPr>
        <w:tabs>
          <w:tab w:val="left" w:pos="1260"/>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直流射程≥28m。</w:t>
      </w:r>
    </w:p>
    <w:p>
      <w:pPr>
        <w:keepNext w:val="0"/>
        <w:keepLines w:val="0"/>
        <w:pageBreakBefore w:val="0"/>
        <w:widowControl/>
        <w:numPr>
          <w:ilvl w:val="0"/>
          <w:numId w:val="122"/>
        </w:numPr>
        <w:tabs>
          <w:tab w:val="left" w:pos="1260"/>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额定流量7.5L/s、允许误差±8％（即±0.6L/s）；</w:t>
      </w:r>
    </w:p>
    <w:p>
      <w:pPr>
        <w:keepNext w:val="0"/>
        <w:keepLines w:val="0"/>
        <w:pageBreakBefore w:val="0"/>
        <w:widowControl/>
        <w:numPr>
          <w:ilvl w:val="0"/>
          <w:numId w:val="122"/>
        </w:numPr>
        <w:tabs>
          <w:tab w:val="left" w:pos="1260"/>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highlight w:val="none"/>
          <w:lang w:val="en-US" w:eastAsia="zh-CN"/>
        </w:rPr>
      </w:pPr>
      <w:r>
        <w:rPr>
          <w:sz w:val="24"/>
        </w:rPr>
        <mc:AlternateContent>
          <mc:Choice Requires="wps">
            <w:drawing>
              <wp:anchor distT="0" distB="0" distL="114300" distR="114300" simplePos="0" relativeHeight="251693056" behindDoc="0" locked="0" layoutInCell="1" allowOverlap="1">
                <wp:simplePos x="0" y="0"/>
                <wp:positionH relativeFrom="column">
                  <wp:posOffset>-342900</wp:posOffset>
                </wp:positionH>
                <wp:positionV relativeFrom="paragraph">
                  <wp:posOffset>12700</wp:posOffset>
                </wp:positionV>
                <wp:extent cx="295275" cy="275590"/>
                <wp:effectExtent l="0" t="0" r="9525" b="10160"/>
                <wp:wrapNone/>
                <wp:docPr id="37" name="文本框 37"/>
                <wp:cNvGraphicFramePr/>
                <a:graphic xmlns:a="http://schemas.openxmlformats.org/drawingml/2006/main">
                  <a:graphicData uri="http://schemas.microsoft.com/office/word/2010/wordprocessingShape">
                    <wps:wsp>
                      <wps:cNvSpPr txBox="1"/>
                      <wps:spPr>
                        <a:xfrm>
                          <a:off x="394335" y="761365"/>
                          <a:ext cx="295275" cy="2755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1pt;height:21.7pt;width:23.25pt;z-index:251693056;mso-width-relative:page;mso-height-relative:page;" fillcolor="#FFFFFF [3201]" filled="t" stroked="f" coordsize="21600,21600" o:gfxdata="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bvthG1AAA&#10;AAcBAAAPAAAAAAAAAAEAIAAAACIAAABkcnMvZG93bnJldi54bWxQSwECFAAUAAAACACHTuJAN6w7&#10;hVsCAACaBAAADgAAAAAAAAABACAAAAAjAQAAZHJzL2Uyb0RvYy54bWxQSwUGAAAAAAYABgBZAQAA&#10;8AU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color w:val="000000"/>
          <w:kern w:val="0"/>
          <w:sz w:val="24"/>
          <w:szCs w:val="24"/>
          <w:highlight w:val="none"/>
          <w:lang w:val="en-US" w:eastAsia="zh-CN"/>
        </w:rPr>
        <w:t>提供</w:t>
      </w:r>
      <w:r>
        <w:rPr>
          <w:rFonts w:hint="eastAsia" w:ascii="宋体" w:hAnsi="宋体" w:eastAsia="宋体" w:cs="宋体"/>
          <w:b/>
          <w:bCs/>
          <w:color w:val="000000"/>
          <w:kern w:val="0"/>
          <w:sz w:val="24"/>
          <w:szCs w:val="24"/>
          <w:highlight w:val="none"/>
          <w:lang w:val="en-US" w:eastAsia="zh-CN"/>
        </w:rPr>
        <w:t>检测报告并加盖公章</w:t>
      </w:r>
      <w:r>
        <w:rPr>
          <w:rFonts w:hint="eastAsia" w:ascii="宋体" w:hAnsi="宋体" w:eastAsia="宋体" w:cs="宋体"/>
          <w:color w:val="000000"/>
          <w:kern w:val="0"/>
          <w:sz w:val="24"/>
          <w:szCs w:val="24"/>
          <w:highlight w:val="none"/>
          <w:lang w:val="en-US" w:eastAsia="zh-CN"/>
        </w:rPr>
        <w:t>。</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两用分水器</w:t>
      </w:r>
    </w:p>
    <w:p>
      <w:pPr>
        <w:keepNext w:val="0"/>
        <w:keepLines w:val="0"/>
        <w:pageBreakBefore w:val="0"/>
        <w:widowControl/>
        <w:numPr>
          <w:ilvl w:val="0"/>
          <w:numId w:val="123"/>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分水器是从水带主干线分出水带分线的器材。采用铝合金经精加工而成，由主体、阀体、接口组成，每一个分水器有一个进水口和几个出水口，出水口上均有球阀装置，可以同时使用，也可以分别使用，便于控制水流水压，增加和调换支线水带。</w:t>
      </w:r>
    </w:p>
    <w:p>
      <w:pPr>
        <w:keepNext w:val="0"/>
        <w:keepLines w:val="0"/>
        <w:pageBreakBefore w:val="0"/>
        <w:widowControl/>
        <w:numPr>
          <w:ilvl w:val="0"/>
          <w:numId w:val="123"/>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公称通径：65/65mm；</w:t>
      </w:r>
    </w:p>
    <w:p>
      <w:pPr>
        <w:keepNext w:val="0"/>
        <w:keepLines w:val="0"/>
        <w:pageBreakBefore w:val="0"/>
        <w:widowControl/>
        <w:numPr>
          <w:ilvl w:val="0"/>
          <w:numId w:val="123"/>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出口通径数量：DN65×2；</w:t>
      </w:r>
    </w:p>
    <w:p>
      <w:pPr>
        <w:keepNext w:val="0"/>
        <w:keepLines w:val="0"/>
        <w:pageBreakBefore w:val="0"/>
        <w:widowControl/>
        <w:numPr>
          <w:ilvl w:val="0"/>
          <w:numId w:val="123"/>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公称压力：2.5MPa。</w:t>
      </w:r>
    </w:p>
    <w:p>
      <w:pPr>
        <w:keepNext w:val="0"/>
        <w:keepLines w:val="0"/>
        <w:pageBreakBefore w:val="0"/>
        <w:widowControl/>
        <w:numPr>
          <w:ilvl w:val="0"/>
          <w:numId w:val="123"/>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highlight w:val="none"/>
          <w:lang w:val="en-US" w:eastAsia="zh-CN"/>
        </w:rPr>
      </w:pPr>
      <w:r>
        <w:rPr>
          <w:sz w:val="24"/>
        </w:rPr>
        <mc:AlternateContent>
          <mc:Choice Requires="wps">
            <w:drawing>
              <wp:anchor distT="0" distB="0" distL="114300" distR="114300" simplePos="0" relativeHeight="251692032" behindDoc="0" locked="0" layoutInCell="1" allowOverlap="1">
                <wp:simplePos x="0" y="0"/>
                <wp:positionH relativeFrom="column">
                  <wp:posOffset>-361950</wp:posOffset>
                </wp:positionH>
                <wp:positionV relativeFrom="paragraph">
                  <wp:posOffset>35560</wp:posOffset>
                </wp:positionV>
                <wp:extent cx="295275" cy="247650"/>
                <wp:effectExtent l="0" t="0" r="9525" b="0"/>
                <wp:wrapNone/>
                <wp:docPr id="36" name="文本框 36"/>
                <wp:cNvGraphicFramePr/>
                <a:graphic xmlns:a="http://schemas.openxmlformats.org/drawingml/2006/main">
                  <a:graphicData uri="http://schemas.microsoft.com/office/word/2010/wordprocessingShape">
                    <wps:wsp>
                      <wps:cNvSpPr txBox="1"/>
                      <wps:spPr>
                        <a:xfrm>
                          <a:off x="365760" y="3666490"/>
                          <a:ext cx="295275"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2.8pt;height:19.5pt;width:23.25pt;z-index:251692032;mso-width-relative:page;mso-height-relative:page;" fillcolor="#FFFFFF [3201]" filled="t" stroked="f" coordsize="21600,21600" o:gfxdata="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T9WVfUAAAA&#10;CAEAAA8AAAAAAAAAAQAgAAAAIgAAAGRycy9kb3ducmV2LnhtbFBLAQIUABQAAAAIAIdO4kDT5Tvq&#10;WgIAAJsEAAAOAAAAAAAAAAEAIAAAACMBAABkcnMvZTJvRG9jLnhtbFBLBQYAAAAABgAGAFkBAADv&#10;BQ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color w:val="000000"/>
          <w:kern w:val="0"/>
          <w:sz w:val="24"/>
          <w:szCs w:val="24"/>
          <w:highlight w:val="none"/>
          <w:lang w:val="en-US" w:eastAsia="zh-CN"/>
        </w:rPr>
        <w:t>提供</w:t>
      </w:r>
      <w:r>
        <w:rPr>
          <w:rFonts w:hint="eastAsia" w:ascii="宋体" w:hAnsi="宋体" w:eastAsia="宋体" w:cs="宋体"/>
          <w:b/>
          <w:bCs/>
          <w:color w:val="000000"/>
          <w:kern w:val="0"/>
          <w:sz w:val="24"/>
          <w:szCs w:val="24"/>
          <w:highlight w:val="none"/>
          <w:lang w:val="en-US" w:eastAsia="zh-CN"/>
        </w:rPr>
        <w:t>检测报告并加盖公章</w:t>
      </w:r>
      <w:r>
        <w:rPr>
          <w:rFonts w:hint="eastAsia" w:ascii="宋体" w:hAnsi="宋体" w:eastAsia="宋体" w:cs="宋体"/>
          <w:color w:val="000000"/>
          <w:kern w:val="0"/>
          <w:sz w:val="24"/>
          <w:szCs w:val="24"/>
          <w:highlight w:val="none"/>
          <w:lang w:val="en-US" w:eastAsia="zh-CN"/>
        </w:rPr>
        <w:t>。</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三用分水器</w:t>
      </w:r>
    </w:p>
    <w:p>
      <w:pPr>
        <w:keepNext w:val="0"/>
        <w:keepLines w:val="0"/>
        <w:pageBreakBefore w:val="0"/>
        <w:widowControl/>
        <w:numPr>
          <w:ilvl w:val="0"/>
          <w:numId w:val="124"/>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分水器是从水带主干线分出水带分线的器材。采用铝合金经精加工而成，由主体、阀体、接口组成，每一个分水器有一个进水口和几个出水口，出水口上均有球阀装置，可以同时使用，也可以分别使用，便于控制水流水压，增加和调换支线水带。</w:t>
      </w:r>
    </w:p>
    <w:p>
      <w:pPr>
        <w:keepNext w:val="0"/>
        <w:keepLines w:val="0"/>
        <w:pageBreakBefore w:val="0"/>
        <w:widowControl/>
        <w:numPr>
          <w:ilvl w:val="0"/>
          <w:numId w:val="124"/>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公称通径：80/65mm；</w:t>
      </w:r>
    </w:p>
    <w:p>
      <w:pPr>
        <w:keepNext w:val="0"/>
        <w:keepLines w:val="0"/>
        <w:pageBreakBefore w:val="0"/>
        <w:widowControl/>
        <w:numPr>
          <w:ilvl w:val="0"/>
          <w:numId w:val="124"/>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出口通径数量：DN65×3；</w:t>
      </w:r>
    </w:p>
    <w:p>
      <w:pPr>
        <w:keepNext w:val="0"/>
        <w:keepLines w:val="0"/>
        <w:pageBreakBefore w:val="0"/>
        <w:widowControl/>
        <w:numPr>
          <w:ilvl w:val="0"/>
          <w:numId w:val="124"/>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公称压力：2.5MPa。</w:t>
      </w:r>
    </w:p>
    <w:p>
      <w:pPr>
        <w:keepNext w:val="0"/>
        <w:keepLines w:val="0"/>
        <w:pageBreakBefore w:val="0"/>
        <w:widowControl/>
        <w:numPr>
          <w:ilvl w:val="0"/>
          <w:numId w:val="124"/>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highlight w:val="none"/>
          <w:lang w:val="en-US" w:eastAsia="zh-CN"/>
        </w:rPr>
      </w:pPr>
      <w:r>
        <w:rPr>
          <w:sz w:val="24"/>
        </w:rPr>
        <mc:AlternateContent>
          <mc:Choice Requires="wps">
            <w:drawing>
              <wp:anchor distT="0" distB="0" distL="114300" distR="114300" simplePos="0" relativeHeight="251691008" behindDoc="0" locked="0" layoutInCell="1" allowOverlap="1">
                <wp:simplePos x="0" y="0"/>
                <wp:positionH relativeFrom="column">
                  <wp:posOffset>-352425</wp:posOffset>
                </wp:positionH>
                <wp:positionV relativeFrom="paragraph">
                  <wp:posOffset>35560</wp:posOffset>
                </wp:positionV>
                <wp:extent cx="295275" cy="285750"/>
                <wp:effectExtent l="0" t="0" r="9525" b="0"/>
                <wp:wrapNone/>
                <wp:docPr id="35" name="文本框 35"/>
                <wp:cNvGraphicFramePr/>
                <a:graphic xmlns:a="http://schemas.openxmlformats.org/drawingml/2006/main">
                  <a:graphicData uri="http://schemas.microsoft.com/office/word/2010/wordprocessingShape">
                    <wps:wsp>
                      <wps:cNvSpPr txBox="1"/>
                      <wps:spPr>
                        <a:xfrm>
                          <a:off x="375285" y="6548755"/>
                          <a:ext cx="29527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5pt;margin-top:2.8pt;height:22.5pt;width:23.25pt;z-index:251691008;mso-width-relative:page;mso-height-relative:page;" fillcolor="#FFFFFF [3201]" filled="t" stroked="f" coordsize="21600,21600" o:gfxdata="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U/aHtIAAAAH&#10;AQAADwAAAAAAAAABACAAAAAiAAAAZHJzL2Rvd25yZXYueG1sUEsBAhQAFAAAAAgAh07iQBzvl6hb&#10;AgAAmwQAAA4AAAAAAAAAAQAgAAAAIQEAAGRycy9lMm9Eb2MueG1sUEsFBgAAAAAGAAYAWQEAAO4F&#10;A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color w:val="000000"/>
          <w:kern w:val="0"/>
          <w:sz w:val="24"/>
          <w:szCs w:val="24"/>
          <w:highlight w:val="none"/>
          <w:lang w:val="en-US" w:eastAsia="zh-CN"/>
        </w:rPr>
        <w:t>提供</w:t>
      </w:r>
      <w:r>
        <w:rPr>
          <w:rFonts w:hint="eastAsia" w:ascii="宋体" w:hAnsi="宋体" w:eastAsia="宋体" w:cs="宋体"/>
          <w:b/>
          <w:bCs/>
          <w:color w:val="000000"/>
          <w:kern w:val="0"/>
          <w:sz w:val="24"/>
          <w:szCs w:val="24"/>
          <w:highlight w:val="none"/>
          <w:lang w:val="en-US" w:eastAsia="zh-CN"/>
        </w:rPr>
        <w:t>检测报告并加盖公章</w:t>
      </w:r>
      <w:r>
        <w:rPr>
          <w:rFonts w:hint="eastAsia" w:ascii="宋体" w:hAnsi="宋体" w:eastAsia="宋体" w:cs="宋体"/>
          <w:color w:val="000000"/>
          <w:kern w:val="0"/>
          <w:sz w:val="24"/>
          <w:szCs w:val="24"/>
          <w:highlight w:val="none"/>
          <w:lang w:val="en-US" w:eastAsia="zh-CN"/>
        </w:rPr>
        <w:t>。</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摇摆炮</w:t>
      </w:r>
    </w:p>
    <w:p>
      <w:pPr>
        <w:keepNext w:val="0"/>
        <w:keepLines w:val="0"/>
        <w:pageBreakBefore w:val="0"/>
        <w:widowControl/>
        <w:numPr>
          <w:ilvl w:val="0"/>
          <w:numId w:val="125"/>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符合GB19156-2019《消防炮》及CCCF-CPRZ-26:2019《消防类产品认证实施规则灭火设备产品消防给水设备产品》标准要求。</w:t>
      </w:r>
    </w:p>
    <w:p>
      <w:pPr>
        <w:keepNext w:val="0"/>
        <w:keepLines w:val="0"/>
        <w:pageBreakBefore w:val="0"/>
        <w:widowControl/>
        <w:numPr>
          <w:ilvl w:val="0"/>
          <w:numId w:val="125"/>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该消防炮具有设计合理、结构紧凑、重心低、工作平稳等优点。水平回转、炮头俯仰螺杆传动原理，自锁性能好。既有流量可调、又有喷雾、直流功能。其操作简单、灵活可靠、可折叠、便于携带与存放，在工作时，各部位都具有定位销紧功能，以便消防人员定点喷射，撤离火场，是理想的移动式消防装备器材。</w:t>
      </w:r>
    </w:p>
    <w:p>
      <w:pPr>
        <w:keepNext w:val="0"/>
        <w:keepLines w:val="0"/>
        <w:pageBreakBefore w:val="0"/>
        <w:widowControl/>
        <w:numPr>
          <w:ilvl w:val="0"/>
          <w:numId w:val="125"/>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额定工作压力Mpa：0.8；</w:t>
      </w:r>
    </w:p>
    <w:p>
      <w:pPr>
        <w:keepNext w:val="0"/>
        <w:keepLines w:val="0"/>
        <w:pageBreakBefore w:val="0"/>
        <w:widowControl/>
        <w:numPr>
          <w:ilvl w:val="0"/>
          <w:numId w:val="125"/>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流量：40L/S；</w:t>
      </w:r>
    </w:p>
    <w:p>
      <w:pPr>
        <w:keepNext w:val="0"/>
        <w:keepLines w:val="0"/>
        <w:pageBreakBefore w:val="0"/>
        <w:widowControl/>
        <w:numPr>
          <w:ilvl w:val="0"/>
          <w:numId w:val="125"/>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射程≥65m；</w:t>
      </w:r>
    </w:p>
    <w:p>
      <w:pPr>
        <w:keepNext w:val="0"/>
        <w:keepLines w:val="0"/>
        <w:pageBreakBefore w:val="0"/>
        <w:widowControl/>
        <w:numPr>
          <w:ilvl w:val="0"/>
          <w:numId w:val="125"/>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俯仰角°＋30~＋70；</w:t>
      </w:r>
    </w:p>
    <w:p>
      <w:pPr>
        <w:keepNext w:val="0"/>
        <w:keepLines w:val="0"/>
        <w:pageBreakBefore w:val="0"/>
        <w:widowControl/>
        <w:numPr>
          <w:ilvl w:val="0"/>
          <w:numId w:val="125"/>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水平回转角°：90；</w:t>
      </w:r>
    </w:p>
    <w:p>
      <w:pPr>
        <w:keepNext w:val="0"/>
        <w:keepLines w:val="0"/>
        <w:pageBreakBefore w:val="0"/>
        <w:widowControl/>
        <w:numPr>
          <w:ilvl w:val="0"/>
          <w:numId w:val="125"/>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进水水管接口：80/65；</w:t>
      </w:r>
    </w:p>
    <w:p>
      <w:pPr>
        <w:keepNext w:val="0"/>
        <w:keepLines w:val="0"/>
        <w:pageBreakBefore w:val="0"/>
        <w:widowControl/>
        <w:numPr>
          <w:ilvl w:val="0"/>
          <w:numId w:val="125"/>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喷射角度＋30-＋70：可连接2条80或65水带接口，重量≤25KG。水炮解除限位可以360°旋转。</w:t>
      </w:r>
    </w:p>
    <w:p>
      <w:pPr>
        <w:keepNext w:val="0"/>
        <w:keepLines w:val="0"/>
        <w:pageBreakBefore w:val="0"/>
        <w:widowControl/>
        <w:numPr>
          <w:ilvl w:val="0"/>
          <w:numId w:val="125"/>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auto"/>
          <w:kern w:val="0"/>
          <w:sz w:val="24"/>
          <w:szCs w:val="24"/>
          <w:highlight w:val="none"/>
          <w:lang w:val="en-US" w:eastAsia="zh-CN"/>
        </w:rPr>
      </w:pPr>
      <w:r>
        <w:rPr>
          <w:sz w:val="24"/>
        </w:rPr>
        <mc:AlternateContent>
          <mc:Choice Requires="wps">
            <w:drawing>
              <wp:anchor distT="0" distB="0" distL="114300" distR="114300" simplePos="0" relativeHeight="251689984" behindDoc="0" locked="0" layoutInCell="1" allowOverlap="1">
                <wp:simplePos x="0" y="0"/>
                <wp:positionH relativeFrom="column">
                  <wp:posOffset>-314325</wp:posOffset>
                </wp:positionH>
                <wp:positionV relativeFrom="paragraph">
                  <wp:posOffset>26035</wp:posOffset>
                </wp:positionV>
                <wp:extent cx="266065" cy="285750"/>
                <wp:effectExtent l="0" t="0" r="0" b="0"/>
                <wp:wrapNone/>
                <wp:docPr id="34" name="文本框 34"/>
                <wp:cNvGraphicFramePr/>
                <a:graphic xmlns:a="http://schemas.openxmlformats.org/drawingml/2006/main">
                  <a:graphicData uri="http://schemas.microsoft.com/office/word/2010/wordprocessingShape">
                    <wps:wsp>
                      <wps:cNvSpPr txBox="1"/>
                      <wps:spPr>
                        <a:xfrm>
                          <a:off x="422910" y="1675765"/>
                          <a:ext cx="26606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5pt;margin-top:2.05pt;height:22.5pt;width:20.95pt;z-index:251689984;mso-width-relative:page;mso-height-relative:page;" filled="f" stroked="f" coordsize="21600,21600" o:gfxdata="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Ojt6dgAAAAHAQAADwAAAAAAAAABACAA&#10;AAAiAAAAZHJzL2Rvd25yZXYueG1sUEsBAhQAFAAAAAgAh07iQC5k9dlGAgAAcgQAAA4AAAAAAAAA&#10;AQAgAAAAJwEAAGRycy9lMm9Eb2MueG1sUEsFBgAAAAAGAAYAWQEAAN8FAAAAAA==&#10;">
                <v:fill on="f"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color w:val="auto"/>
          <w:kern w:val="0"/>
          <w:sz w:val="24"/>
          <w:szCs w:val="24"/>
          <w:highlight w:val="none"/>
          <w:lang w:val="en-US" w:eastAsia="zh-CN"/>
        </w:rPr>
        <w:t>提供</w:t>
      </w:r>
      <w:r>
        <w:rPr>
          <w:rFonts w:hint="eastAsia" w:ascii="宋体" w:hAnsi="宋体" w:eastAsia="宋体" w:cs="宋体"/>
          <w:b/>
          <w:bCs/>
          <w:color w:val="auto"/>
          <w:kern w:val="0"/>
          <w:sz w:val="24"/>
          <w:szCs w:val="24"/>
          <w:highlight w:val="none"/>
          <w:lang w:val="en-US" w:eastAsia="zh-CN"/>
        </w:rPr>
        <w:t>检测报告复印件并加盖公章</w:t>
      </w:r>
      <w:r>
        <w:rPr>
          <w:rFonts w:hint="eastAsia" w:ascii="宋体" w:hAnsi="宋体" w:eastAsia="宋体" w:cs="宋体"/>
          <w:color w:val="auto"/>
          <w:kern w:val="0"/>
          <w:sz w:val="24"/>
          <w:szCs w:val="24"/>
          <w:highlight w:val="none"/>
          <w:lang w:val="en-US" w:eastAsia="zh-CN"/>
        </w:rPr>
        <w:t>。</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有毒气体检测仪</w:t>
      </w:r>
    </w:p>
    <w:p>
      <w:pPr>
        <w:keepNext w:val="0"/>
        <w:keepLines w:val="0"/>
        <w:pageBreakBefore w:val="0"/>
        <w:widowControl/>
        <w:numPr>
          <w:ilvl w:val="0"/>
          <w:numId w:val="126"/>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有毒气体检测仪是一种可以灵活配置的单种气体或多种气体检测仪，它可以配备氧气传感器、可燃气传感器和任选两种有毒气体传感器或任选四种有毒气体传感器或任选单种气体传感器。具有非常清晰的大液晶显示屏，声光报警提示，保证在非常不利的工作环境下也可以检测危险气体并及时提示操作人员预防。</w:t>
      </w:r>
    </w:p>
    <w:p>
      <w:pPr>
        <w:keepNext w:val="0"/>
        <w:keepLines w:val="0"/>
        <w:pageBreakBefore w:val="0"/>
        <w:widowControl/>
        <w:numPr>
          <w:ilvl w:val="0"/>
          <w:numId w:val="126"/>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采用嵌入式32位微处理器，确保产品运行稳定可靠。</w:t>
      </w:r>
    </w:p>
    <w:p>
      <w:pPr>
        <w:keepNext w:val="0"/>
        <w:keepLines w:val="0"/>
        <w:pageBreakBefore w:val="0"/>
        <w:widowControl/>
        <w:numPr>
          <w:ilvl w:val="0"/>
          <w:numId w:val="126"/>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声、光、振动三重报警，警示使用者。</w:t>
      </w:r>
    </w:p>
    <w:p>
      <w:pPr>
        <w:keepNext w:val="0"/>
        <w:keepLines w:val="0"/>
        <w:pageBreakBefore w:val="0"/>
        <w:widowControl/>
        <w:numPr>
          <w:ilvl w:val="0"/>
          <w:numId w:val="126"/>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中文或英文操作菜单可以选择，方便不同客户。</w:t>
      </w:r>
    </w:p>
    <w:p>
      <w:pPr>
        <w:keepNext w:val="0"/>
        <w:keepLines w:val="0"/>
        <w:pageBreakBefore w:val="0"/>
        <w:widowControl/>
        <w:numPr>
          <w:ilvl w:val="0"/>
          <w:numId w:val="126"/>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采用UCGUI图形化引擎，优化人机界面。</w:t>
      </w:r>
    </w:p>
    <w:p>
      <w:pPr>
        <w:keepNext w:val="0"/>
        <w:keepLines w:val="0"/>
        <w:pageBreakBefore w:val="0"/>
        <w:widowControl/>
        <w:numPr>
          <w:ilvl w:val="0"/>
          <w:numId w:val="126"/>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大屏幕数字、字符显示显示。</w:t>
      </w:r>
    </w:p>
    <w:p>
      <w:pPr>
        <w:keepNext w:val="0"/>
        <w:keepLines w:val="0"/>
        <w:pageBreakBefore w:val="0"/>
        <w:widowControl/>
        <w:numPr>
          <w:ilvl w:val="0"/>
          <w:numId w:val="126"/>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开机时对显示、电池、传感器、声光报警功能自检。</w:t>
      </w:r>
    </w:p>
    <w:p>
      <w:pPr>
        <w:keepNext w:val="0"/>
        <w:keepLines w:val="0"/>
        <w:pageBreakBefore w:val="0"/>
        <w:widowControl/>
        <w:numPr>
          <w:ilvl w:val="0"/>
          <w:numId w:val="126"/>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最多可同时检测4种气体。</w:t>
      </w:r>
    </w:p>
    <w:p>
      <w:pPr>
        <w:keepNext w:val="0"/>
        <w:keepLines w:val="0"/>
        <w:pageBreakBefore w:val="0"/>
        <w:widowControl/>
        <w:numPr>
          <w:ilvl w:val="0"/>
          <w:numId w:val="126"/>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校    准：一键式自动校准和自动归零，配合计算机系统可进行多点校准。</w:t>
      </w:r>
    </w:p>
    <w:p>
      <w:pPr>
        <w:keepNext w:val="0"/>
        <w:keepLines w:val="0"/>
        <w:pageBreakBefore w:val="0"/>
        <w:widowControl/>
        <w:numPr>
          <w:ilvl w:val="0"/>
          <w:numId w:val="126"/>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传 感 器：催化燃烧式、电化学式传感器（带温度补偿）、红外传感器、PID传感器；</w:t>
      </w:r>
    </w:p>
    <w:p>
      <w:pPr>
        <w:keepNext w:val="0"/>
        <w:keepLines w:val="0"/>
        <w:pageBreakBefore w:val="0"/>
        <w:widowControl/>
        <w:numPr>
          <w:ilvl w:val="0"/>
          <w:numId w:val="126"/>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响应时间：T90 &lt; 30s；</w:t>
      </w:r>
    </w:p>
    <w:p>
      <w:pPr>
        <w:keepNext w:val="0"/>
        <w:keepLines w:val="0"/>
        <w:pageBreakBefore w:val="0"/>
        <w:widowControl/>
        <w:numPr>
          <w:ilvl w:val="0"/>
          <w:numId w:val="126"/>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报警方式：闪烁、广角LED警灯及LCD读数、90dB声脉冲输出、振动；</w:t>
      </w:r>
    </w:p>
    <w:p>
      <w:pPr>
        <w:keepNext w:val="0"/>
        <w:keepLines w:val="0"/>
        <w:pageBreakBefore w:val="0"/>
        <w:widowControl/>
        <w:numPr>
          <w:ilvl w:val="0"/>
          <w:numId w:val="126"/>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显　  示：液晶数字显示气体浓度值和状态说明；</w:t>
      </w:r>
    </w:p>
    <w:p>
      <w:pPr>
        <w:keepNext w:val="0"/>
        <w:keepLines w:val="0"/>
        <w:pageBreakBefore w:val="0"/>
        <w:widowControl/>
        <w:numPr>
          <w:ilvl w:val="0"/>
          <w:numId w:val="126"/>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环境条件：（-20~50）℃、（0~90）%RH（非凝结）；</w:t>
      </w:r>
    </w:p>
    <w:p>
      <w:pPr>
        <w:keepNext w:val="0"/>
        <w:keepLines w:val="0"/>
        <w:pageBreakBefore w:val="0"/>
        <w:widowControl/>
        <w:numPr>
          <w:ilvl w:val="0"/>
          <w:numId w:val="126"/>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电　  源：3.6V锂离子可充电电池；</w:t>
      </w:r>
    </w:p>
    <w:p>
      <w:pPr>
        <w:keepNext w:val="0"/>
        <w:keepLines w:val="0"/>
        <w:pageBreakBefore w:val="0"/>
        <w:widowControl/>
        <w:numPr>
          <w:ilvl w:val="0"/>
          <w:numId w:val="126"/>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外  　壳：坚固、耐用、防震；</w:t>
      </w:r>
    </w:p>
    <w:p>
      <w:pPr>
        <w:keepNext w:val="0"/>
        <w:keepLines w:val="0"/>
        <w:pageBreakBefore w:val="0"/>
        <w:widowControl/>
        <w:numPr>
          <w:ilvl w:val="0"/>
          <w:numId w:val="126"/>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尺寸重量：l x b x h : 125×67×32（mm）、220g。</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手持扩音器</w:t>
      </w:r>
    </w:p>
    <w:p>
      <w:pPr>
        <w:numPr>
          <w:ilvl w:val="0"/>
          <w:numId w:val="127"/>
        </w:numPr>
        <w:tabs>
          <w:tab w:val="left" w:pos="1260"/>
          <w:tab w:val="clear" w:pos="420"/>
        </w:tabs>
        <w:bidi w:val="0"/>
        <w:spacing w:line="360" w:lineRule="auto"/>
        <w:ind w:left="1260" w:leftChars="0" w:hanging="1260" w:firstLineChars="0"/>
        <w:rPr>
          <w:rFonts w:hint="eastAsia"/>
          <w:b/>
          <w:bCs w:val="0"/>
          <w:sz w:val="24"/>
          <w:szCs w:val="24"/>
        </w:rPr>
      </w:pPr>
      <w:r>
        <w:rPr>
          <w:rFonts w:hint="eastAsia" w:ascii="宋体" w:hAnsi="宋体" w:eastAsia="宋体" w:cs="宋体"/>
          <w:kern w:val="0"/>
          <w:sz w:val="24"/>
          <w:szCs w:val="24"/>
          <w:lang w:val="en-US" w:eastAsia="zh-CN"/>
        </w:rPr>
        <w:t>主要功能 ：录音300秒、喊话、循环播放、警报、音量调节、带U盘、sd卡、电量剩余显示、支持蓝牙功能；功率：35W；传声：800米；失真度：≤1%；录音 ：300秒；待机时长：24小时；连续工作：5-7小时。</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排烟机</w:t>
      </w:r>
    </w:p>
    <w:p>
      <w:pPr>
        <w:keepNext w:val="0"/>
        <w:keepLines w:val="0"/>
        <w:pageBreakBefore w:val="0"/>
        <w:numPr>
          <w:ilvl w:val="0"/>
          <w:numId w:val="128"/>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整套装备由电机、变频器，叶轮、安全护网、机架组成，用于灾害现场输送新鲜空气，稀释或抽除有毒有害气体。</w:t>
      </w:r>
    </w:p>
    <w:p>
      <w:pPr>
        <w:keepNext w:val="0"/>
        <w:keepLines w:val="0"/>
        <w:pageBreakBefore w:val="0"/>
        <w:numPr>
          <w:ilvl w:val="0"/>
          <w:numId w:val="128"/>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安装变频器，风量可随意调节，最大风量≥30000m³/h</w:t>
      </w:r>
    </w:p>
    <w:p>
      <w:pPr>
        <w:keepNext w:val="0"/>
        <w:keepLines w:val="0"/>
        <w:pageBreakBefore w:val="0"/>
        <w:numPr>
          <w:ilvl w:val="0"/>
          <w:numId w:val="128"/>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电压：220V，功率：2.2Kw</w:t>
      </w:r>
    </w:p>
    <w:p>
      <w:pPr>
        <w:keepNext w:val="0"/>
        <w:keepLines w:val="0"/>
        <w:pageBreakBefore w:val="0"/>
        <w:numPr>
          <w:ilvl w:val="0"/>
          <w:numId w:val="128"/>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风扇直径42CM，加固型合成树脂叶片，</w:t>
      </w:r>
    </w:p>
    <w:p>
      <w:pPr>
        <w:keepNext w:val="0"/>
        <w:keepLines w:val="0"/>
        <w:pageBreakBefore w:val="0"/>
        <w:numPr>
          <w:ilvl w:val="0"/>
          <w:numId w:val="128"/>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产品重量≤46kg，体积：570H×505W×586d mm</w:t>
      </w:r>
    </w:p>
    <w:p>
      <w:pPr>
        <w:keepNext w:val="0"/>
        <w:keepLines w:val="0"/>
        <w:pageBreakBefore w:val="0"/>
        <w:numPr>
          <w:ilvl w:val="0"/>
          <w:numId w:val="128"/>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出风口设置安全护网，安全网眼间隙:≤8mm</w:t>
      </w:r>
    </w:p>
    <w:p>
      <w:pPr>
        <w:keepNext w:val="0"/>
        <w:keepLines w:val="0"/>
        <w:pageBreakBefore w:val="0"/>
        <w:numPr>
          <w:ilvl w:val="0"/>
          <w:numId w:val="128"/>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运行噪声：≤110dB</w:t>
      </w:r>
    </w:p>
    <w:p>
      <w:pPr>
        <w:keepNext w:val="0"/>
        <w:keepLines w:val="0"/>
        <w:pageBreakBefore w:val="0"/>
        <w:numPr>
          <w:ilvl w:val="0"/>
          <w:numId w:val="128"/>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配有脚轮，可方便移动；</w:t>
      </w:r>
    </w:p>
    <w:p>
      <w:pPr>
        <w:keepNext w:val="0"/>
        <w:keepLines w:val="0"/>
        <w:pageBreakBefore w:val="0"/>
        <w:numPr>
          <w:ilvl w:val="0"/>
          <w:numId w:val="128"/>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金属防护架环绕整个机器，即坚固耐用、又可对排烟机任何方向的倒落起到完全防护；</w:t>
      </w:r>
    </w:p>
    <w:p>
      <w:pPr>
        <w:keepNext w:val="0"/>
        <w:keepLines w:val="0"/>
        <w:pageBreakBefore w:val="0"/>
        <w:numPr>
          <w:ilvl w:val="0"/>
          <w:numId w:val="128"/>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拉起扶手后，可自动调节排烟机的倾斜度以达到最理想角度；</w:t>
      </w:r>
    </w:p>
    <w:p>
      <w:pPr>
        <w:keepNext w:val="0"/>
        <w:keepLines w:val="0"/>
        <w:pageBreakBefore w:val="0"/>
        <w:numPr>
          <w:ilvl w:val="0"/>
          <w:numId w:val="128"/>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搭配防水工业插头；</w:t>
      </w:r>
    </w:p>
    <w:p>
      <w:pPr>
        <w:keepNext w:val="0"/>
        <w:keepLines w:val="0"/>
        <w:pageBreakBefore w:val="0"/>
        <w:numPr>
          <w:ilvl w:val="0"/>
          <w:numId w:val="128"/>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运行平稳性：最小仰角连续运转20min，自行移动距离≤200mm</w:t>
      </w:r>
    </w:p>
    <w:p>
      <w:pPr>
        <w:keepNext w:val="0"/>
        <w:keepLines w:val="0"/>
        <w:pageBreakBefore w:val="0"/>
        <w:numPr>
          <w:ilvl w:val="0"/>
          <w:numId w:val="128"/>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配备纸质版和电子版中文使用维护保养说明书。</w:t>
      </w:r>
    </w:p>
    <w:p>
      <w:pPr>
        <w:keepNext w:val="0"/>
        <w:keepLines w:val="0"/>
        <w:pageBreakBefore w:val="0"/>
        <w:numPr>
          <w:ilvl w:val="0"/>
          <w:numId w:val="128"/>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永久性标签要求：标签包括如下内容:制造厂名称、地址和注册商标；产品名称及型号；生产日期和批号；</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机动链锯</w:t>
      </w:r>
    </w:p>
    <w:p>
      <w:pPr>
        <w:keepNext w:val="0"/>
        <w:keepLines w:val="0"/>
        <w:pageBreakBefore w:val="0"/>
        <w:numPr>
          <w:ilvl w:val="0"/>
          <w:numId w:val="129"/>
        </w:numPr>
        <w:kinsoku/>
        <w:wordWrap/>
        <w:overflowPunct/>
        <w:topLinePunct w:val="0"/>
        <w:bidi w:val="0"/>
        <w:spacing w:line="360" w:lineRule="auto"/>
        <w:ind w:left="425" w:leftChars="0" w:hanging="425"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气缸排量：50.2 cm3；</w:t>
      </w:r>
    </w:p>
    <w:p>
      <w:pPr>
        <w:keepNext w:val="0"/>
        <w:keepLines w:val="0"/>
        <w:pageBreakBefore w:val="0"/>
        <w:numPr>
          <w:ilvl w:val="0"/>
          <w:numId w:val="129"/>
        </w:numPr>
        <w:kinsoku/>
        <w:wordWrap/>
        <w:overflowPunct/>
        <w:topLinePunct w:val="0"/>
        <w:bidi w:val="0"/>
        <w:spacing w:line="360" w:lineRule="auto"/>
        <w:ind w:left="425" w:leftChars="0" w:hanging="425"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功率:2.4 kW；</w:t>
      </w:r>
    </w:p>
    <w:p>
      <w:pPr>
        <w:keepNext w:val="0"/>
        <w:keepLines w:val="0"/>
        <w:pageBreakBefore w:val="0"/>
        <w:numPr>
          <w:ilvl w:val="0"/>
          <w:numId w:val="129"/>
        </w:numPr>
        <w:kinsoku/>
        <w:wordWrap/>
        <w:overflowPunct/>
        <w:topLinePunct w:val="0"/>
        <w:bidi w:val="0"/>
        <w:spacing w:line="360" w:lineRule="auto"/>
        <w:ind w:left="425" w:leftChars="0" w:hanging="425"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功率转速:9000 rpm；</w:t>
      </w:r>
    </w:p>
    <w:p>
      <w:pPr>
        <w:keepNext w:val="0"/>
        <w:keepLines w:val="0"/>
        <w:pageBreakBefore w:val="0"/>
        <w:numPr>
          <w:ilvl w:val="0"/>
          <w:numId w:val="129"/>
        </w:numPr>
        <w:kinsoku/>
        <w:wordWrap/>
        <w:overflowPunct/>
        <w:topLinePunct w:val="0"/>
        <w:bidi w:val="0"/>
        <w:spacing w:line="360" w:lineRule="auto"/>
        <w:ind w:left="425" w:leftChars="0" w:hanging="425"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气缸缸径: 44 mm；</w:t>
      </w:r>
    </w:p>
    <w:p>
      <w:pPr>
        <w:keepNext w:val="0"/>
        <w:keepLines w:val="0"/>
        <w:pageBreakBefore w:val="0"/>
        <w:numPr>
          <w:ilvl w:val="0"/>
          <w:numId w:val="129"/>
        </w:numPr>
        <w:kinsoku/>
        <w:wordWrap/>
        <w:overflowPunct/>
        <w:topLinePunct w:val="0"/>
        <w:bidi w:val="0"/>
        <w:spacing w:line="360" w:lineRule="auto"/>
        <w:ind w:left="425" w:leftChars="0" w:hanging="425"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活塞行程: 33 mm；</w:t>
      </w:r>
    </w:p>
    <w:p>
      <w:pPr>
        <w:keepNext w:val="0"/>
        <w:keepLines w:val="0"/>
        <w:pageBreakBefore w:val="0"/>
        <w:numPr>
          <w:ilvl w:val="0"/>
          <w:numId w:val="129"/>
        </w:numPr>
        <w:kinsoku/>
        <w:wordWrap/>
        <w:overflowPunct/>
        <w:topLinePunct w:val="0"/>
        <w:bidi w:val="0"/>
        <w:spacing w:line="360" w:lineRule="auto"/>
        <w:ind w:left="425" w:leftChars="0" w:hanging="425"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燃油箱容量 : 0.45 升；</w:t>
      </w:r>
    </w:p>
    <w:p>
      <w:pPr>
        <w:keepNext w:val="0"/>
        <w:keepLines w:val="0"/>
        <w:pageBreakBefore w:val="0"/>
        <w:numPr>
          <w:ilvl w:val="0"/>
          <w:numId w:val="129"/>
        </w:numPr>
        <w:kinsoku/>
        <w:wordWrap/>
        <w:overflowPunct/>
        <w:topLinePunct w:val="0"/>
        <w:bidi w:val="0"/>
        <w:spacing w:line="360" w:lineRule="auto"/>
        <w:ind w:left="425" w:leftChars="0" w:hanging="425"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推荐使用导板长度:33-50 cm；</w:t>
      </w:r>
    </w:p>
    <w:p>
      <w:pPr>
        <w:keepNext w:val="0"/>
        <w:keepLines w:val="0"/>
        <w:pageBreakBefore w:val="0"/>
        <w:numPr>
          <w:ilvl w:val="0"/>
          <w:numId w:val="129"/>
        </w:numPr>
        <w:kinsoku/>
        <w:wordWrap/>
        <w:overflowPunct/>
        <w:topLinePunct w:val="0"/>
        <w:bidi w:val="0"/>
        <w:spacing w:line="360" w:lineRule="auto"/>
        <w:ind w:left="425" w:leftChars="0" w:hanging="425"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功率时的链条速度  :17.34 m/s；</w:t>
      </w:r>
    </w:p>
    <w:p>
      <w:pPr>
        <w:keepNext w:val="0"/>
        <w:keepLines w:val="0"/>
        <w:pageBreakBefore w:val="0"/>
        <w:numPr>
          <w:ilvl w:val="0"/>
          <w:numId w:val="129"/>
        </w:numPr>
        <w:kinsoku/>
        <w:wordWrap/>
        <w:overflowPunct/>
        <w:topLinePunct w:val="0"/>
        <w:bidi w:val="0"/>
        <w:spacing w:line="360" w:lineRule="auto"/>
        <w:ind w:left="425" w:leftChars="0" w:hanging="425"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重量（不包括切割设备）：5.1 kg；</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无齿锯</w:t>
      </w:r>
    </w:p>
    <w:p>
      <w:pPr>
        <w:keepNext w:val="0"/>
        <w:keepLines w:val="0"/>
        <w:pageBreakBefore w:val="0"/>
        <w:numPr>
          <w:ilvl w:val="0"/>
          <w:numId w:val="130"/>
        </w:numPr>
        <w:kinsoku/>
        <w:wordWrap/>
        <w:overflowPunct/>
        <w:topLinePunct w:val="0"/>
        <w:bidi w:val="0"/>
        <w:spacing w:line="360" w:lineRule="auto"/>
        <w:ind w:left="425" w:leftChars="0" w:hanging="425"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发动机：二冲程风冷发动机；</w:t>
      </w:r>
    </w:p>
    <w:p>
      <w:pPr>
        <w:keepNext w:val="0"/>
        <w:keepLines w:val="0"/>
        <w:pageBreakBefore w:val="0"/>
        <w:numPr>
          <w:ilvl w:val="0"/>
          <w:numId w:val="130"/>
        </w:numPr>
        <w:kinsoku/>
        <w:wordWrap/>
        <w:overflowPunct/>
        <w:topLinePunct w:val="0"/>
        <w:bidi w:val="0"/>
        <w:spacing w:line="360" w:lineRule="auto"/>
        <w:ind w:left="425" w:leftChars="0" w:hanging="425"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排量:118.8cc；</w:t>
      </w:r>
    </w:p>
    <w:p>
      <w:pPr>
        <w:keepNext w:val="0"/>
        <w:keepLines w:val="0"/>
        <w:pageBreakBefore w:val="0"/>
        <w:numPr>
          <w:ilvl w:val="0"/>
          <w:numId w:val="130"/>
        </w:numPr>
        <w:kinsoku/>
        <w:wordWrap/>
        <w:overflowPunct/>
        <w:topLinePunct w:val="0"/>
        <w:bidi w:val="0"/>
        <w:spacing w:line="360" w:lineRule="auto"/>
        <w:ind w:left="425" w:leftChars="0" w:hanging="425"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功率：5.8KW；</w:t>
      </w:r>
    </w:p>
    <w:p>
      <w:pPr>
        <w:keepNext w:val="0"/>
        <w:keepLines w:val="0"/>
        <w:pageBreakBefore w:val="0"/>
        <w:numPr>
          <w:ilvl w:val="0"/>
          <w:numId w:val="130"/>
        </w:numPr>
        <w:kinsoku/>
        <w:wordWrap/>
        <w:overflowPunct/>
        <w:topLinePunct w:val="0"/>
        <w:bidi w:val="0"/>
        <w:spacing w:line="360" w:lineRule="auto"/>
        <w:ind w:left="425" w:leftChars="0" w:hanging="425"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锯片尺寸：350或400mm；</w:t>
      </w:r>
    </w:p>
    <w:p>
      <w:pPr>
        <w:keepNext w:val="0"/>
        <w:keepLines w:val="0"/>
        <w:pageBreakBefore w:val="0"/>
        <w:numPr>
          <w:ilvl w:val="0"/>
          <w:numId w:val="130"/>
        </w:numPr>
        <w:kinsoku/>
        <w:wordWrap/>
        <w:overflowPunct/>
        <w:topLinePunct w:val="0"/>
        <w:bidi w:val="0"/>
        <w:spacing w:line="360" w:lineRule="auto"/>
        <w:ind w:left="425" w:leftChars="0" w:hanging="425"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切割深度：125或145mm；</w:t>
      </w:r>
    </w:p>
    <w:p>
      <w:pPr>
        <w:keepNext w:val="0"/>
        <w:keepLines w:val="0"/>
        <w:pageBreakBefore w:val="0"/>
        <w:numPr>
          <w:ilvl w:val="0"/>
          <w:numId w:val="130"/>
        </w:numPr>
        <w:kinsoku/>
        <w:wordWrap/>
        <w:overflowPunct/>
        <w:topLinePunct w:val="0"/>
        <w:bidi w:val="0"/>
        <w:spacing w:line="360" w:lineRule="auto"/>
        <w:ind w:left="425" w:leftChars="0" w:hanging="425"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重量：15KG；</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液压破拆器材</w:t>
      </w:r>
    </w:p>
    <w:p>
      <w:pPr>
        <w:widowControl/>
        <w:numPr>
          <w:ilvl w:val="0"/>
          <w:numId w:val="131"/>
        </w:numPr>
        <w:tabs>
          <w:tab w:val="left" w:pos="1260"/>
          <w:tab w:val="clear" w:pos="420"/>
        </w:tabs>
        <w:spacing w:line="360" w:lineRule="auto"/>
        <w:ind w:left="1260" w:leftChars="0" w:hanging="1260" w:firstLineChars="0"/>
        <w:jc w:val="left"/>
        <w:textAlignment w:val="center"/>
        <w:rPr>
          <w:rFonts w:ascii="宋体" w:hAnsi="宋体" w:eastAsia="宋体" w:cs="宋体"/>
          <w:kern w:val="0"/>
          <w:sz w:val="24"/>
          <w:szCs w:val="24"/>
        </w:rPr>
      </w:pPr>
      <w:r>
        <w:rPr>
          <w:rFonts w:hint="eastAsia" w:ascii="宋体" w:hAnsi="宋体" w:eastAsia="宋体" w:cs="宋体"/>
          <w:kern w:val="0"/>
          <w:sz w:val="24"/>
          <w:szCs w:val="24"/>
        </w:rPr>
        <w:t>整套液压破拆工具组由液压机动泵、液压手动泵、液压扩张器、液压剪切器、液压剪扩器、液压双级撑顶器组成；</w:t>
      </w:r>
    </w:p>
    <w:p>
      <w:pPr>
        <w:widowControl/>
        <w:spacing w:line="360" w:lineRule="auto"/>
        <w:jc w:val="left"/>
        <w:textAlignment w:val="center"/>
        <w:rPr>
          <w:rFonts w:ascii="宋体" w:hAnsi="宋体" w:eastAsia="宋体" w:cs="宋体"/>
          <w:b/>
          <w:bCs/>
          <w:kern w:val="0"/>
          <w:sz w:val="24"/>
          <w:szCs w:val="24"/>
        </w:rPr>
      </w:pPr>
    </w:p>
    <w:p>
      <w:pPr>
        <w:widowControl/>
        <w:numPr>
          <w:ilvl w:val="0"/>
          <w:numId w:val="131"/>
        </w:numPr>
        <w:tabs>
          <w:tab w:val="left" w:pos="1260"/>
          <w:tab w:val="clear" w:pos="420"/>
        </w:tabs>
        <w:spacing w:line="360" w:lineRule="auto"/>
        <w:ind w:left="1260" w:leftChars="0" w:hanging="126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液压机动泵</w:t>
      </w:r>
    </w:p>
    <w:p>
      <w:pPr>
        <w:widowControl/>
        <w:numPr>
          <w:ilvl w:val="0"/>
          <w:numId w:val="132"/>
        </w:numPr>
        <w:spacing w:line="360" w:lineRule="auto"/>
        <w:ind w:left="425" w:leftChars="0" w:hanging="425" w:firstLineChars="0"/>
        <w:jc w:val="left"/>
        <w:textAlignment w:val="center"/>
        <w:rPr>
          <w:rFonts w:ascii="宋体" w:hAnsi="宋体" w:eastAsia="宋体" w:cs="宋体"/>
          <w:kern w:val="0"/>
          <w:sz w:val="24"/>
          <w:szCs w:val="24"/>
        </w:rPr>
      </w:pPr>
      <w:r>
        <w:rPr>
          <w:rFonts w:hint="eastAsia" w:ascii="宋体" w:hAnsi="宋体" w:eastAsia="宋体" w:cs="宋体"/>
          <w:kern w:val="0"/>
          <w:sz w:val="24"/>
          <w:szCs w:val="24"/>
        </w:rPr>
        <w:t xml:space="preserve">四冲程汽油机可同时连接两件工具使用； </w:t>
      </w:r>
    </w:p>
    <w:p>
      <w:pPr>
        <w:widowControl/>
        <w:numPr>
          <w:ilvl w:val="0"/>
          <w:numId w:val="132"/>
        </w:numPr>
        <w:tabs>
          <w:tab w:val="clear" w:pos="420"/>
        </w:tabs>
        <w:spacing w:line="360" w:lineRule="auto"/>
        <w:ind w:left="1680" w:leftChars="0" w:hanging="168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功率≥2KW；</w:t>
      </w:r>
    </w:p>
    <w:p>
      <w:pPr>
        <w:widowControl/>
        <w:numPr>
          <w:ilvl w:val="0"/>
          <w:numId w:val="132"/>
        </w:numPr>
        <w:tabs>
          <w:tab w:val="clear" w:pos="420"/>
        </w:tabs>
        <w:spacing w:line="360" w:lineRule="auto"/>
        <w:ind w:left="1680" w:leftChars="0" w:hanging="168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额定工作压力≥70MPa，低压工作压力≥10MPa；</w:t>
      </w:r>
    </w:p>
    <w:p>
      <w:pPr>
        <w:widowControl/>
        <w:numPr>
          <w:ilvl w:val="0"/>
          <w:numId w:val="132"/>
        </w:numPr>
        <w:tabs>
          <w:tab w:val="clear" w:pos="420"/>
        </w:tabs>
        <w:spacing w:line="360" w:lineRule="auto"/>
        <w:ind w:left="1680" w:leftChars="0" w:hanging="168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低压输出流量≥2L/min；高压输出流量≥0.5L/min；</w:t>
      </w:r>
    </w:p>
    <w:p>
      <w:pPr>
        <w:widowControl/>
        <w:numPr>
          <w:ilvl w:val="0"/>
          <w:numId w:val="132"/>
        </w:numPr>
        <w:tabs>
          <w:tab w:val="clear" w:pos="420"/>
        </w:tabs>
        <w:spacing w:line="360" w:lineRule="auto"/>
        <w:ind w:left="1680" w:leftChars="0" w:hanging="168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液压油油箱容积≥2.8L；</w:t>
      </w:r>
    </w:p>
    <w:p>
      <w:pPr>
        <w:widowControl/>
        <w:numPr>
          <w:ilvl w:val="0"/>
          <w:numId w:val="132"/>
        </w:numPr>
        <w:tabs>
          <w:tab w:val="clear" w:pos="420"/>
        </w:tabs>
        <w:spacing w:line="360" w:lineRule="auto"/>
        <w:ind w:left="1680" w:leftChars="0" w:hanging="168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重量≤26kg；</w:t>
      </w:r>
    </w:p>
    <w:p>
      <w:pPr>
        <w:widowControl/>
        <w:numPr>
          <w:ilvl w:val="0"/>
          <w:numId w:val="132"/>
        </w:numPr>
        <w:tabs>
          <w:tab w:val="clear" w:pos="420"/>
        </w:tabs>
        <w:spacing w:line="360" w:lineRule="auto"/>
        <w:ind w:left="1680" w:leftChars="0" w:hanging="1680" w:firstLineChars="0"/>
        <w:jc w:val="left"/>
        <w:textAlignment w:val="center"/>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符合国家《GB/T17906-1999液压破拆工具通用技术条件》标准，提供</w:t>
      </w:r>
      <w:r>
        <w:rPr>
          <w:rFonts w:hint="eastAsia" w:ascii="宋体" w:hAnsi="宋体" w:eastAsia="宋体" w:cs="宋体"/>
          <w:b/>
          <w:bCs/>
          <w:kern w:val="0"/>
          <w:sz w:val="24"/>
          <w:szCs w:val="24"/>
          <w:highlight w:val="none"/>
        </w:rPr>
        <w:t>检验报告复印件</w:t>
      </w:r>
      <w:r>
        <w:rPr>
          <w:rFonts w:hint="eastAsia" w:ascii="宋体" w:hAnsi="宋体" w:eastAsia="宋体" w:cs="宋体"/>
          <w:b/>
          <w:bCs/>
          <w:kern w:val="0"/>
          <w:sz w:val="24"/>
          <w:szCs w:val="24"/>
          <w:highlight w:val="none"/>
          <w:lang w:val="en-US" w:eastAsia="zh-CN"/>
        </w:rPr>
        <w:t>并加盖公章</w:t>
      </w:r>
      <w:r>
        <w:rPr>
          <w:rFonts w:hint="eastAsia" w:ascii="宋体" w:hAnsi="宋体" w:eastAsia="宋体" w:cs="宋体"/>
          <w:b/>
          <w:bCs/>
          <w:kern w:val="0"/>
          <w:sz w:val="24"/>
          <w:szCs w:val="24"/>
          <w:highlight w:val="none"/>
        </w:rPr>
        <w:t>；</w:t>
      </w:r>
    </w:p>
    <w:p>
      <w:pPr>
        <w:widowControl/>
        <w:numPr>
          <w:ilvl w:val="0"/>
          <w:numId w:val="132"/>
        </w:numPr>
        <w:tabs>
          <w:tab w:val="clear" w:pos="420"/>
        </w:tabs>
        <w:spacing w:line="360" w:lineRule="auto"/>
        <w:ind w:left="1680" w:leftChars="0" w:hanging="168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配备2条10米液压油管，采用双油管单接口连接，机械螺纹螺旋式连接方式；</w:t>
      </w:r>
    </w:p>
    <w:p>
      <w:pPr>
        <w:widowControl/>
        <w:spacing w:line="360" w:lineRule="auto"/>
        <w:jc w:val="left"/>
        <w:textAlignment w:val="center"/>
        <w:rPr>
          <w:rFonts w:ascii="宋体" w:hAnsi="宋体" w:eastAsia="宋体" w:cs="宋体"/>
          <w:b/>
          <w:bCs/>
          <w:kern w:val="0"/>
          <w:sz w:val="24"/>
          <w:szCs w:val="24"/>
        </w:rPr>
      </w:pPr>
    </w:p>
    <w:p>
      <w:pPr>
        <w:widowControl/>
        <w:numPr>
          <w:ilvl w:val="0"/>
          <w:numId w:val="131"/>
        </w:numPr>
        <w:tabs>
          <w:tab w:val="left" w:pos="1260"/>
          <w:tab w:val="clear" w:pos="420"/>
        </w:tabs>
        <w:spacing w:line="360" w:lineRule="auto"/>
        <w:ind w:left="1260" w:leftChars="0" w:hanging="126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液压手动泵</w:t>
      </w:r>
    </w:p>
    <w:p>
      <w:pPr>
        <w:widowControl/>
        <w:numPr>
          <w:ilvl w:val="0"/>
          <w:numId w:val="133"/>
        </w:numPr>
        <w:spacing w:line="360" w:lineRule="auto"/>
        <w:ind w:left="425" w:leftChars="0" w:hanging="425" w:firstLineChars="0"/>
        <w:jc w:val="left"/>
        <w:textAlignment w:val="center"/>
        <w:rPr>
          <w:rFonts w:ascii="宋体" w:hAnsi="宋体" w:eastAsia="宋体" w:cs="宋体"/>
          <w:kern w:val="0"/>
          <w:sz w:val="24"/>
          <w:szCs w:val="24"/>
        </w:rPr>
      </w:pPr>
      <w:r>
        <w:rPr>
          <w:rFonts w:hint="eastAsia" w:ascii="宋体" w:hAnsi="宋体" w:eastAsia="宋体" w:cs="宋体"/>
          <w:kern w:val="0"/>
          <w:sz w:val="24"/>
          <w:szCs w:val="24"/>
        </w:rPr>
        <w:t>可在易燃易爆场所使用，操作不产生火花；</w:t>
      </w:r>
    </w:p>
    <w:p>
      <w:pPr>
        <w:widowControl/>
        <w:numPr>
          <w:ilvl w:val="0"/>
          <w:numId w:val="133"/>
        </w:numPr>
        <w:tabs>
          <w:tab w:val="clear" w:pos="420"/>
        </w:tabs>
        <w:spacing w:line="360" w:lineRule="auto"/>
        <w:ind w:left="1680" w:leftChars="0" w:hanging="168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无噪音，环保无废气排放，单接口，可带压插拔；</w:t>
      </w:r>
    </w:p>
    <w:p>
      <w:pPr>
        <w:widowControl/>
        <w:numPr>
          <w:ilvl w:val="0"/>
          <w:numId w:val="133"/>
        </w:numPr>
        <w:tabs>
          <w:tab w:val="clear" w:pos="420"/>
        </w:tabs>
        <w:spacing w:line="360" w:lineRule="auto"/>
        <w:ind w:left="1680" w:leftChars="0" w:hanging="168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额定工作压力≥70MPa；</w:t>
      </w:r>
    </w:p>
    <w:p>
      <w:pPr>
        <w:widowControl/>
        <w:numPr>
          <w:ilvl w:val="0"/>
          <w:numId w:val="133"/>
        </w:numPr>
        <w:tabs>
          <w:tab w:val="clear" w:pos="420"/>
        </w:tabs>
        <w:spacing w:line="360" w:lineRule="auto"/>
        <w:ind w:left="1680" w:leftChars="0" w:hanging="168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低压输出流量≥10ml/次；</w:t>
      </w:r>
    </w:p>
    <w:p>
      <w:pPr>
        <w:widowControl/>
        <w:numPr>
          <w:ilvl w:val="0"/>
          <w:numId w:val="133"/>
        </w:numPr>
        <w:tabs>
          <w:tab w:val="clear" w:pos="420"/>
        </w:tabs>
        <w:spacing w:line="360" w:lineRule="auto"/>
        <w:ind w:left="1680" w:leftChars="0" w:hanging="168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高压输出流量≥1.5ml/次；</w:t>
      </w:r>
    </w:p>
    <w:p>
      <w:pPr>
        <w:widowControl/>
        <w:numPr>
          <w:ilvl w:val="0"/>
          <w:numId w:val="133"/>
        </w:numPr>
        <w:tabs>
          <w:tab w:val="clear" w:pos="420"/>
        </w:tabs>
        <w:spacing w:line="360" w:lineRule="auto"/>
        <w:ind w:left="1680" w:leftChars="0" w:hanging="168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液压油油箱容量≥1.8L；</w:t>
      </w:r>
    </w:p>
    <w:p>
      <w:pPr>
        <w:widowControl/>
        <w:numPr>
          <w:ilvl w:val="0"/>
          <w:numId w:val="133"/>
        </w:numPr>
        <w:tabs>
          <w:tab w:val="clear" w:pos="420"/>
        </w:tabs>
        <w:spacing w:line="360" w:lineRule="auto"/>
        <w:ind w:left="1680" w:leftChars="0" w:hanging="168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重量≤12kg；</w:t>
      </w:r>
    </w:p>
    <w:p>
      <w:pPr>
        <w:widowControl/>
        <w:numPr>
          <w:ilvl w:val="0"/>
          <w:numId w:val="133"/>
        </w:numPr>
        <w:tabs>
          <w:tab w:val="clear" w:pos="420"/>
        </w:tabs>
        <w:spacing w:line="360" w:lineRule="auto"/>
        <w:ind w:left="1680" w:leftChars="0" w:hanging="1680" w:firstLineChars="0"/>
        <w:jc w:val="left"/>
        <w:textAlignment w:val="center"/>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符合国家《GB/T17906-1999液压破拆工具通用技术条件》标准，提供</w:t>
      </w:r>
      <w:r>
        <w:rPr>
          <w:rFonts w:hint="eastAsia" w:ascii="宋体" w:hAnsi="宋体" w:eastAsia="宋体" w:cs="宋体"/>
          <w:b/>
          <w:bCs/>
          <w:kern w:val="0"/>
          <w:sz w:val="24"/>
          <w:szCs w:val="24"/>
          <w:highlight w:val="none"/>
        </w:rPr>
        <w:t>检验报告复印件；</w:t>
      </w:r>
    </w:p>
    <w:p>
      <w:pPr>
        <w:widowControl/>
        <w:spacing w:line="360" w:lineRule="auto"/>
        <w:jc w:val="left"/>
        <w:textAlignment w:val="center"/>
        <w:rPr>
          <w:rFonts w:ascii="宋体" w:hAnsi="宋体" w:eastAsia="宋体" w:cs="宋体"/>
          <w:b/>
          <w:bCs/>
          <w:kern w:val="0"/>
          <w:sz w:val="24"/>
          <w:szCs w:val="24"/>
        </w:rPr>
      </w:pPr>
    </w:p>
    <w:p>
      <w:pPr>
        <w:widowControl/>
        <w:numPr>
          <w:ilvl w:val="0"/>
          <w:numId w:val="131"/>
        </w:numPr>
        <w:tabs>
          <w:tab w:val="left" w:pos="1260"/>
          <w:tab w:val="clear" w:pos="420"/>
        </w:tabs>
        <w:spacing w:line="360" w:lineRule="auto"/>
        <w:ind w:left="1260" w:leftChars="0" w:hanging="126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液压剪切器</w:t>
      </w:r>
    </w:p>
    <w:p>
      <w:pPr>
        <w:widowControl/>
        <w:numPr>
          <w:ilvl w:val="0"/>
          <w:numId w:val="134"/>
        </w:numPr>
        <w:spacing w:line="360" w:lineRule="auto"/>
        <w:ind w:left="425" w:leftChars="0" w:hanging="425" w:firstLineChars="0"/>
        <w:jc w:val="left"/>
        <w:textAlignment w:val="center"/>
        <w:rPr>
          <w:rFonts w:ascii="宋体" w:hAnsi="宋体" w:eastAsia="宋体" w:cs="宋体"/>
          <w:kern w:val="0"/>
          <w:sz w:val="24"/>
          <w:szCs w:val="24"/>
        </w:rPr>
      </w:pPr>
      <w:r>
        <w:rPr>
          <w:rFonts w:hint="eastAsia" w:ascii="宋体" w:hAnsi="宋体" w:eastAsia="宋体" w:cs="宋体"/>
          <w:kern w:val="0"/>
          <w:sz w:val="24"/>
          <w:szCs w:val="24"/>
        </w:rPr>
        <w:t>额定工作压力≥70MPa；</w:t>
      </w:r>
    </w:p>
    <w:p>
      <w:pPr>
        <w:widowControl/>
        <w:numPr>
          <w:ilvl w:val="0"/>
          <w:numId w:val="134"/>
        </w:numPr>
        <w:tabs>
          <w:tab w:val="clear" w:pos="420"/>
        </w:tabs>
        <w:spacing w:line="360" w:lineRule="auto"/>
        <w:ind w:left="1680" w:leftChars="0" w:hanging="168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 xml:space="preserve">开口距离≥140mm； </w:t>
      </w:r>
    </w:p>
    <w:p>
      <w:pPr>
        <w:widowControl/>
        <w:numPr>
          <w:ilvl w:val="0"/>
          <w:numId w:val="134"/>
        </w:numPr>
        <w:tabs>
          <w:tab w:val="clear" w:pos="420"/>
        </w:tabs>
        <w:spacing w:line="360" w:lineRule="auto"/>
        <w:ind w:left="1680" w:leftChars="0" w:hanging="168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剪切力≥600KN；</w:t>
      </w:r>
    </w:p>
    <w:p>
      <w:pPr>
        <w:widowControl/>
        <w:numPr>
          <w:ilvl w:val="0"/>
          <w:numId w:val="134"/>
        </w:numPr>
        <w:tabs>
          <w:tab w:val="clear" w:pos="420"/>
        </w:tabs>
        <w:spacing w:line="360" w:lineRule="auto"/>
        <w:ind w:left="1680" w:leftChars="0" w:hanging="168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剪断圆钢直径≥33mm；</w:t>
      </w:r>
    </w:p>
    <w:p>
      <w:pPr>
        <w:widowControl/>
        <w:numPr>
          <w:ilvl w:val="0"/>
          <w:numId w:val="134"/>
        </w:numPr>
        <w:tabs>
          <w:tab w:val="clear" w:pos="420"/>
        </w:tabs>
        <w:spacing w:line="360" w:lineRule="auto"/>
        <w:ind w:left="1680" w:leftChars="0" w:hanging="168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剪切钢板厚度≥10mm；</w:t>
      </w:r>
    </w:p>
    <w:p>
      <w:pPr>
        <w:widowControl/>
        <w:numPr>
          <w:ilvl w:val="0"/>
          <w:numId w:val="134"/>
        </w:numPr>
        <w:tabs>
          <w:tab w:val="clear" w:pos="420"/>
        </w:tabs>
        <w:spacing w:line="360" w:lineRule="auto"/>
        <w:ind w:left="1680" w:leftChars="0" w:hanging="168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重量≤15KG；</w:t>
      </w:r>
    </w:p>
    <w:p>
      <w:pPr>
        <w:widowControl/>
        <w:numPr>
          <w:ilvl w:val="0"/>
          <w:numId w:val="134"/>
        </w:numPr>
        <w:tabs>
          <w:tab w:val="clear" w:pos="420"/>
        </w:tabs>
        <w:spacing w:line="360" w:lineRule="auto"/>
        <w:ind w:left="1680" w:leftChars="0" w:hanging="1680" w:firstLineChars="0"/>
        <w:jc w:val="left"/>
        <w:textAlignment w:val="center"/>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符合国家《GB/T17906-1999液压破拆工具通用技术条件》标准，</w:t>
      </w:r>
      <w:r>
        <w:rPr>
          <w:rFonts w:hint="eastAsia" w:ascii="宋体" w:hAnsi="宋体" w:eastAsia="宋体" w:cs="宋体"/>
          <w:b/>
          <w:bCs/>
          <w:kern w:val="0"/>
          <w:sz w:val="24"/>
          <w:szCs w:val="24"/>
          <w:highlight w:val="none"/>
        </w:rPr>
        <w:t>提供检验报告复印件</w:t>
      </w:r>
      <w:r>
        <w:rPr>
          <w:rFonts w:hint="eastAsia" w:ascii="宋体" w:hAnsi="宋体" w:eastAsia="宋体" w:cs="宋体"/>
          <w:b/>
          <w:bCs/>
          <w:kern w:val="0"/>
          <w:sz w:val="24"/>
          <w:szCs w:val="24"/>
          <w:highlight w:val="none"/>
          <w:lang w:val="en-US" w:eastAsia="zh-CN"/>
        </w:rPr>
        <w:t>并加盖公章</w:t>
      </w:r>
      <w:r>
        <w:rPr>
          <w:rFonts w:hint="eastAsia" w:ascii="宋体" w:hAnsi="宋体" w:eastAsia="宋体" w:cs="宋体"/>
          <w:b/>
          <w:bCs/>
          <w:kern w:val="0"/>
          <w:sz w:val="24"/>
          <w:szCs w:val="24"/>
          <w:highlight w:val="none"/>
        </w:rPr>
        <w:t>；</w:t>
      </w:r>
    </w:p>
    <w:p>
      <w:pPr>
        <w:widowControl/>
        <w:spacing w:line="360" w:lineRule="auto"/>
        <w:jc w:val="left"/>
        <w:textAlignment w:val="center"/>
        <w:rPr>
          <w:rFonts w:ascii="宋体" w:hAnsi="宋体" w:eastAsia="宋体" w:cs="宋体"/>
          <w:b/>
          <w:bCs/>
          <w:kern w:val="0"/>
          <w:sz w:val="24"/>
          <w:szCs w:val="24"/>
        </w:rPr>
      </w:pPr>
    </w:p>
    <w:p>
      <w:pPr>
        <w:widowControl/>
        <w:numPr>
          <w:ilvl w:val="0"/>
          <w:numId w:val="131"/>
        </w:numPr>
        <w:tabs>
          <w:tab w:val="left" w:pos="1260"/>
          <w:tab w:val="clear" w:pos="420"/>
        </w:tabs>
        <w:spacing w:line="360" w:lineRule="auto"/>
        <w:ind w:left="1260" w:leftChars="0" w:hanging="126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液压扩张器</w:t>
      </w:r>
    </w:p>
    <w:p>
      <w:pPr>
        <w:widowControl/>
        <w:numPr>
          <w:ilvl w:val="0"/>
          <w:numId w:val="135"/>
        </w:numPr>
        <w:spacing w:line="360" w:lineRule="auto"/>
        <w:ind w:left="425" w:leftChars="0" w:hanging="425" w:firstLineChars="0"/>
        <w:jc w:val="left"/>
        <w:textAlignment w:val="center"/>
        <w:rPr>
          <w:rFonts w:ascii="宋体" w:hAnsi="宋体" w:eastAsia="宋体" w:cs="宋体"/>
          <w:kern w:val="0"/>
          <w:sz w:val="24"/>
          <w:szCs w:val="24"/>
        </w:rPr>
      </w:pPr>
      <w:r>
        <w:rPr>
          <w:rFonts w:hint="eastAsia" w:ascii="宋体" w:hAnsi="宋体" w:eastAsia="宋体" w:cs="宋体"/>
          <w:kern w:val="0"/>
          <w:sz w:val="24"/>
          <w:szCs w:val="24"/>
        </w:rPr>
        <w:t>额定工作压力≥70MPa；</w:t>
      </w:r>
    </w:p>
    <w:p>
      <w:pPr>
        <w:widowControl/>
        <w:numPr>
          <w:ilvl w:val="0"/>
          <w:numId w:val="135"/>
        </w:numPr>
        <w:tabs>
          <w:tab w:val="clear" w:pos="420"/>
        </w:tabs>
        <w:spacing w:line="360" w:lineRule="auto"/>
        <w:ind w:left="1665" w:leftChars="0" w:hanging="1665"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最大扩张力≥140KN；</w:t>
      </w:r>
    </w:p>
    <w:p>
      <w:pPr>
        <w:widowControl/>
        <w:numPr>
          <w:ilvl w:val="0"/>
          <w:numId w:val="135"/>
        </w:numPr>
        <w:tabs>
          <w:tab w:val="clear" w:pos="420"/>
        </w:tabs>
        <w:spacing w:line="360" w:lineRule="auto"/>
        <w:ind w:left="1665" w:leftChars="0" w:hanging="1665"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扩张距离≥640mm；</w:t>
      </w:r>
    </w:p>
    <w:p>
      <w:pPr>
        <w:widowControl/>
        <w:numPr>
          <w:ilvl w:val="0"/>
          <w:numId w:val="135"/>
        </w:numPr>
        <w:tabs>
          <w:tab w:val="clear" w:pos="420"/>
        </w:tabs>
        <w:spacing w:line="360" w:lineRule="auto"/>
        <w:ind w:left="1665" w:leftChars="0" w:hanging="1665"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最大牵引力≥30KN；</w:t>
      </w:r>
    </w:p>
    <w:p>
      <w:pPr>
        <w:widowControl/>
        <w:numPr>
          <w:ilvl w:val="0"/>
          <w:numId w:val="135"/>
        </w:numPr>
        <w:tabs>
          <w:tab w:val="clear" w:pos="420"/>
        </w:tabs>
        <w:spacing w:line="360" w:lineRule="auto"/>
        <w:ind w:left="1665" w:leftChars="0" w:hanging="1665"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最大牵引距离≥490mm；</w:t>
      </w:r>
    </w:p>
    <w:p>
      <w:pPr>
        <w:widowControl/>
        <w:numPr>
          <w:ilvl w:val="0"/>
          <w:numId w:val="135"/>
        </w:numPr>
        <w:tabs>
          <w:tab w:val="clear" w:pos="420"/>
        </w:tabs>
        <w:spacing w:line="360" w:lineRule="auto"/>
        <w:ind w:left="1665" w:leftChars="0" w:hanging="1665" w:firstLineChars="0"/>
        <w:jc w:val="left"/>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质量≤18kg； </w:t>
      </w:r>
    </w:p>
    <w:p>
      <w:pPr>
        <w:widowControl/>
        <w:numPr>
          <w:ilvl w:val="0"/>
          <w:numId w:val="135"/>
        </w:numPr>
        <w:tabs>
          <w:tab w:val="clear" w:pos="420"/>
        </w:tabs>
        <w:spacing w:line="360" w:lineRule="auto"/>
        <w:ind w:left="1665" w:leftChars="0" w:hanging="1665" w:firstLineChars="0"/>
        <w:jc w:val="left"/>
        <w:textAlignment w:val="center"/>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符合国家《GB/T17906-1999液压破拆工具通用技术条件》标准，</w:t>
      </w:r>
      <w:r>
        <w:rPr>
          <w:rFonts w:hint="eastAsia" w:ascii="宋体" w:hAnsi="宋体" w:eastAsia="宋体" w:cs="宋体"/>
          <w:b/>
          <w:bCs/>
          <w:kern w:val="0"/>
          <w:sz w:val="24"/>
          <w:szCs w:val="24"/>
          <w:highlight w:val="none"/>
        </w:rPr>
        <w:t>提供检验报告复印件</w:t>
      </w:r>
      <w:r>
        <w:rPr>
          <w:rFonts w:hint="eastAsia" w:ascii="宋体" w:hAnsi="宋体" w:eastAsia="宋体" w:cs="宋体"/>
          <w:b/>
          <w:bCs/>
          <w:kern w:val="0"/>
          <w:sz w:val="24"/>
          <w:szCs w:val="24"/>
          <w:highlight w:val="none"/>
          <w:lang w:val="en-US" w:eastAsia="zh-CN"/>
        </w:rPr>
        <w:t>并加盖公章</w:t>
      </w:r>
      <w:r>
        <w:rPr>
          <w:rFonts w:hint="eastAsia" w:ascii="宋体" w:hAnsi="宋体" w:eastAsia="宋体" w:cs="宋体"/>
          <w:b/>
          <w:bCs/>
          <w:kern w:val="0"/>
          <w:sz w:val="24"/>
          <w:szCs w:val="24"/>
          <w:highlight w:val="none"/>
        </w:rPr>
        <w:t>；</w:t>
      </w:r>
    </w:p>
    <w:p>
      <w:pPr>
        <w:widowControl/>
        <w:spacing w:line="360" w:lineRule="auto"/>
        <w:jc w:val="left"/>
        <w:textAlignment w:val="center"/>
        <w:rPr>
          <w:rFonts w:ascii="宋体" w:hAnsi="宋体" w:eastAsia="宋体" w:cs="宋体"/>
          <w:b/>
          <w:bCs/>
          <w:kern w:val="0"/>
          <w:sz w:val="24"/>
          <w:szCs w:val="24"/>
        </w:rPr>
      </w:pPr>
    </w:p>
    <w:p>
      <w:pPr>
        <w:widowControl/>
        <w:numPr>
          <w:ilvl w:val="0"/>
          <w:numId w:val="131"/>
        </w:numPr>
        <w:tabs>
          <w:tab w:val="left" w:pos="1260"/>
          <w:tab w:val="clear" w:pos="420"/>
        </w:tabs>
        <w:spacing w:line="360" w:lineRule="auto"/>
        <w:ind w:left="1260" w:leftChars="0" w:hanging="126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 xml:space="preserve">液压剪扩器 </w:t>
      </w:r>
    </w:p>
    <w:p>
      <w:pPr>
        <w:widowControl/>
        <w:numPr>
          <w:ilvl w:val="0"/>
          <w:numId w:val="136"/>
        </w:numPr>
        <w:spacing w:line="360" w:lineRule="auto"/>
        <w:ind w:left="425" w:leftChars="0" w:hanging="425" w:firstLineChars="0"/>
        <w:jc w:val="left"/>
        <w:textAlignment w:val="center"/>
        <w:rPr>
          <w:rFonts w:ascii="宋体" w:hAnsi="宋体" w:eastAsia="宋体" w:cs="宋体"/>
          <w:kern w:val="0"/>
          <w:sz w:val="24"/>
          <w:szCs w:val="24"/>
        </w:rPr>
      </w:pPr>
      <w:r>
        <w:rPr>
          <w:rFonts w:hint="eastAsia" w:ascii="宋体" w:hAnsi="宋体" w:eastAsia="宋体" w:cs="宋体"/>
          <w:kern w:val="0"/>
          <w:sz w:val="24"/>
          <w:szCs w:val="24"/>
        </w:rPr>
        <w:t>额定工作压力≥70MPa；</w:t>
      </w:r>
    </w:p>
    <w:p>
      <w:pPr>
        <w:widowControl/>
        <w:numPr>
          <w:ilvl w:val="0"/>
          <w:numId w:val="136"/>
        </w:numPr>
        <w:spacing w:line="360" w:lineRule="auto"/>
        <w:ind w:left="425" w:leftChars="0" w:hanging="425"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剪切力≥380KN；</w:t>
      </w:r>
    </w:p>
    <w:p>
      <w:pPr>
        <w:widowControl/>
        <w:numPr>
          <w:ilvl w:val="0"/>
          <w:numId w:val="136"/>
        </w:numPr>
        <w:spacing w:line="360" w:lineRule="auto"/>
        <w:ind w:left="425" w:leftChars="0" w:hanging="425"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剪切圆钢直径≥30mm； 剪切钢板厚度≥10mm；</w:t>
      </w:r>
    </w:p>
    <w:p>
      <w:pPr>
        <w:widowControl/>
        <w:numPr>
          <w:ilvl w:val="0"/>
          <w:numId w:val="136"/>
        </w:numPr>
        <w:spacing w:line="360" w:lineRule="auto"/>
        <w:ind w:left="425" w:leftChars="0" w:hanging="425"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最大扩张力≥40KN；</w:t>
      </w:r>
    </w:p>
    <w:p>
      <w:pPr>
        <w:widowControl/>
        <w:numPr>
          <w:ilvl w:val="0"/>
          <w:numId w:val="136"/>
        </w:numPr>
        <w:spacing w:line="360" w:lineRule="auto"/>
        <w:ind w:left="425" w:leftChars="0" w:hanging="425"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 xml:space="preserve">开口距离≥360mm； </w:t>
      </w:r>
    </w:p>
    <w:p>
      <w:pPr>
        <w:widowControl/>
        <w:numPr>
          <w:ilvl w:val="0"/>
          <w:numId w:val="136"/>
        </w:numPr>
        <w:spacing w:line="360" w:lineRule="auto"/>
        <w:ind w:left="425" w:leftChars="0" w:hanging="425"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最大牵引力≥50KN；牵拉距离≥360mm；</w:t>
      </w:r>
    </w:p>
    <w:p>
      <w:pPr>
        <w:widowControl/>
        <w:numPr>
          <w:ilvl w:val="0"/>
          <w:numId w:val="136"/>
        </w:numPr>
        <w:spacing w:line="360" w:lineRule="auto"/>
        <w:ind w:left="425" w:leftChars="0" w:hanging="425"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质量≤15kg；</w:t>
      </w:r>
    </w:p>
    <w:p>
      <w:pPr>
        <w:widowControl/>
        <w:numPr>
          <w:ilvl w:val="0"/>
          <w:numId w:val="136"/>
        </w:numPr>
        <w:tabs>
          <w:tab w:val="left" w:pos="1680"/>
          <w:tab w:val="clear" w:pos="420"/>
        </w:tabs>
        <w:spacing w:line="360" w:lineRule="auto"/>
        <w:ind w:left="1665" w:leftChars="0" w:hanging="1665" w:firstLineChars="0"/>
        <w:jc w:val="left"/>
        <w:textAlignment w:val="center"/>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符合国家《GB/T17906-1999液压破拆工具通用技术条件》标准，</w:t>
      </w:r>
      <w:r>
        <w:rPr>
          <w:rFonts w:hint="eastAsia" w:ascii="宋体" w:hAnsi="宋体" w:eastAsia="宋体" w:cs="宋体"/>
          <w:b/>
          <w:bCs/>
          <w:kern w:val="0"/>
          <w:sz w:val="24"/>
          <w:szCs w:val="24"/>
          <w:highlight w:val="none"/>
        </w:rPr>
        <w:t>提检验报告复印件</w:t>
      </w:r>
      <w:r>
        <w:rPr>
          <w:rFonts w:hint="eastAsia" w:ascii="宋体" w:hAnsi="宋体" w:eastAsia="宋体" w:cs="宋体"/>
          <w:b/>
          <w:bCs/>
          <w:kern w:val="0"/>
          <w:sz w:val="24"/>
          <w:szCs w:val="24"/>
          <w:highlight w:val="none"/>
          <w:lang w:val="en-US" w:eastAsia="zh-CN"/>
        </w:rPr>
        <w:t>并加盖公章</w:t>
      </w:r>
      <w:r>
        <w:rPr>
          <w:rFonts w:hint="eastAsia" w:ascii="宋体" w:hAnsi="宋体" w:eastAsia="宋体" w:cs="宋体"/>
          <w:b/>
          <w:bCs/>
          <w:kern w:val="0"/>
          <w:sz w:val="24"/>
          <w:szCs w:val="24"/>
          <w:highlight w:val="none"/>
        </w:rPr>
        <w:t>；</w:t>
      </w:r>
    </w:p>
    <w:p>
      <w:pPr>
        <w:widowControl/>
        <w:spacing w:line="360" w:lineRule="auto"/>
        <w:jc w:val="left"/>
        <w:textAlignment w:val="center"/>
        <w:rPr>
          <w:rFonts w:ascii="宋体" w:hAnsi="宋体" w:eastAsia="宋体" w:cs="宋体"/>
          <w:b/>
          <w:bCs/>
          <w:kern w:val="0"/>
          <w:sz w:val="24"/>
          <w:szCs w:val="24"/>
        </w:rPr>
      </w:pPr>
    </w:p>
    <w:p>
      <w:pPr>
        <w:widowControl/>
        <w:numPr>
          <w:ilvl w:val="0"/>
          <w:numId w:val="131"/>
        </w:numPr>
        <w:tabs>
          <w:tab w:val="left" w:pos="1260"/>
          <w:tab w:val="clear" w:pos="420"/>
        </w:tabs>
        <w:spacing w:line="360" w:lineRule="auto"/>
        <w:ind w:left="1260" w:leftChars="0" w:hanging="126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液压双级撑顶器</w:t>
      </w:r>
    </w:p>
    <w:p>
      <w:pPr>
        <w:widowControl/>
        <w:numPr>
          <w:ilvl w:val="0"/>
          <w:numId w:val="137"/>
        </w:numPr>
        <w:spacing w:line="360" w:lineRule="auto"/>
        <w:ind w:left="425" w:leftChars="0" w:hanging="425" w:firstLineChars="0"/>
        <w:jc w:val="left"/>
        <w:textAlignment w:val="center"/>
        <w:rPr>
          <w:rFonts w:ascii="宋体" w:hAnsi="宋体" w:eastAsia="宋体" w:cs="宋体"/>
          <w:kern w:val="0"/>
          <w:sz w:val="24"/>
          <w:szCs w:val="24"/>
        </w:rPr>
      </w:pPr>
      <w:r>
        <w:rPr>
          <w:rFonts w:hint="eastAsia" w:ascii="宋体" w:hAnsi="宋体" w:eastAsia="宋体" w:cs="宋体"/>
          <w:kern w:val="0"/>
          <w:sz w:val="24"/>
          <w:szCs w:val="24"/>
        </w:rPr>
        <w:t>额定工作压力≥70Mpa；</w:t>
      </w:r>
    </w:p>
    <w:p>
      <w:pPr>
        <w:widowControl/>
        <w:numPr>
          <w:ilvl w:val="0"/>
          <w:numId w:val="137"/>
        </w:numPr>
        <w:tabs>
          <w:tab w:val="left" w:pos="1680"/>
          <w:tab w:val="clear" w:pos="420"/>
        </w:tabs>
        <w:spacing w:line="360" w:lineRule="auto"/>
        <w:ind w:left="1680" w:leftChars="0" w:hanging="168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一级撑顶力≥130kN，二级撑顶力≥260kN；</w:t>
      </w:r>
    </w:p>
    <w:p>
      <w:pPr>
        <w:widowControl/>
        <w:numPr>
          <w:ilvl w:val="0"/>
          <w:numId w:val="137"/>
        </w:numPr>
        <w:tabs>
          <w:tab w:val="left" w:pos="1680"/>
          <w:tab w:val="clear" w:pos="420"/>
        </w:tabs>
        <w:spacing w:line="360" w:lineRule="auto"/>
        <w:ind w:left="1680" w:leftChars="0" w:hanging="168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撑顶行程≥570mm；</w:t>
      </w:r>
    </w:p>
    <w:p>
      <w:pPr>
        <w:widowControl/>
        <w:numPr>
          <w:ilvl w:val="0"/>
          <w:numId w:val="137"/>
        </w:numPr>
        <w:tabs>
          <w:tab w:val="left" w:pos="1680"/>
          <w:tab w:val="clear" w:pos="420"/>
        </w:tabs>
        <w:spacing w:line="360" w:lineRule="auto"/>
        <w:ind w:left="1680" w:leftChars="0" w:hanging="168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伸出长度≥1000mm；</w:t>
      </w:r>
    </w:p>
    <w:p>
      <w:pPr>
        <w:widowControl/>
        <w:numPr>
          <w:ilvl w:val="0"/>
          <w:numId w:val="137"/>
        </w:numPr>
        <w:tabs>
          <w:tab w:val="left" w:pos="1680"/>
          <w:tab w:val="clear" w:pos="420"/>
        </w:tabs>
        <w:spacing w:line="360" w:lineRule="auto"/>
        <w:ind w:left="1680" w:leftChars="0" w:hanging="168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回缩长度≤500mm；</w:t>
      </w:r>
    </w:p>
    <w:p>
      <w:pPr>
        <w:widowControl/>
        <w:numPr>
          <w:ilvl w:val="0"/>
          <w:numId w:val="137"/>
        </w:numPr>
        <w:tabs>
          <w:tab w:val="left" w:pos="1680"/>
          <w:tab w:val="clear" w:pos="420"/>
        </w:tabs>
        <w:spacing w:line="360" w:lineRule="auto"/>
        <w:ind w:left="1680" w:leftChars="0" w:hanging="1680" w:firstLine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重量≤19kg。</w:t>
      </w:r>
    </w:p>
    <w:p>
      <w:pPr>
        <w:widowControl/>
        <w:numPr>
          <w:ilvl w:val="0"/>
          <w:numId w:val="137"/>
        </w:numPr>
        <w:tabs>
          <w:tab w:val="left" w:pos="1680"/>
          <w:tab w:val="clear" w:pos="420"/>
        </w:tabs>
        <w:spacing w:line="360" w:lineRule="auto"/>
        <w:ind w:left="1680" w:leftChars="0" w:hanging="1680" w:firstLineChars="0"/>
        <w:jc w:val="left"/>
        <w:textAlignment w:val="center"/>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符合国家《GB/T17906-1999液压破拆工具通用技术条件》标准，</w:t>
      </w:r>
      <w:r>
        <w:rPr>
          <w:rFonts w:hint="eastAsia" w:ascii="宋体" w:hAnsi="宋体" w:eastAsia="宋体" w:cs="宋体"/>
          <w:b/>
          <w:bCs/>
          <w:kern w:val="0"/>
          <w:sz w:val="24"/>
          <w:szCs w:val="24"/>
          <w:highlight w:val="none"/>
        </w:rPr>
        <w:t>提供检验报告复印件</w:t>
      </w:r>
      <w:r>
        <w:rPr>
          <w:rFonts w:hint="eastAsia" w:ascii="宋体" w:hAnsi="宋体" w:eastAsia="宋体" w:cs="宋体"/>
          <w:b/>
          <w:bCs/>
          <w:kern w:val="0"/>
          <w:sz w:val="24"/>
          <w:szCs w:val="24"/>
          <w:highlight w:val="none"/>
          <w:lang w:val="en-US" w:eastAsia="zh-CN"/>
        </w:rPr>
        <w:t>并加盖公章</w:t>
      </w:r>
      <w:r>
        <w:rPr>
          <w:rFonts w:hint="eastAsia" w:ascii="宋体" w:hAnsi="宋体" w:eastAsia="宋体" w:cs="宋体"/>
          <w:b/>
          <w:bCs/>
          <w:kern w:val="0"/>
          <w:sz w:val="24"/>
          <w:szCs w:val="24"/>
          <w:highlight w:val="none"/>
        </w:rPr>
        <w:t>；</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手动破拆器材</w:t>
      </w:r>
    </w:p>
    <w:p>
      <w:pPr>
        <w:keepNext w:val="0"/>
        <w:keepLines w:val="0"/>
        <w:pageBreakBefore w:val="0"/>
        <w:numPr>
          <w:ilvl w:val="0"/>
          <w:numId w:val="138"/>
        </w:numPr>
        <w:tabs>
          <w:tab w:val="clear" w:pos="420"/>
        </w:tabs>
        <w:kinsoku/>
        <w:wordWrap/>
        <w:overflowPunct/>
        <w:topLinePunct w:val="0"/>
        <w:bidi w:val="0"/>
        <w:spacing w:line="360" w:lineRule="auto"/>
        <w:ind w:left="1260" w:leftChars="0" w:hanging="126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手动破拆器材整套工具包括：撬斧两把，冲击器体一把，撬锁拔钉器一个，切割器一个，窄凿一个，短窄凿一个，宽凿一个，尖凿一个，短尖凿一个等不少于10件套。</w:t>
      </w:r>
    </w:p>
    <w:p>
      <w:pPr>
        <w:keepNext w:val="0"/>
        <w:keepLines w:val="0"/>
        <w:pageBreakBefore w:val="0"/>
        <w:numPr>
          <w:ilvl w:val="0"/>
          <w:numId w:val="138"/>
        </w:numPr>
        <w:tabs>
          <w:tab w:val="clear" w:pos="420"/>
        </w:tabs>
        <w:kinsoku/>
        <w:wordWrap/>
        <w:overflowPunct/>
        <w:topLinePunct w:val="0"/>
        <w:bidi w:val="0"/>
        <w:spacing w:line="360" w:lineRule="auto"/>
        <w:ind w:left="1260" w:leftChars="0" w:hanging="126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冲击器体：与其它组合，作为杠杆、手柄、冲击、拷打之用拉出长度1222cm，收缩长度780cm，伸缩冲击行程442mm。</w:t>
      </w:r>
    </w:p>
    <w:p>
      <w:pPr>
        <w:keepNext w:val="0"/>
        <w:keepLines w:val="0"/>
        <w:pageBreakBefore w:val="0"/>
        <w:numPr>
          <w:ilvl w:val="0"/>
          <w:numId w:val="138"/>
        </w:numPr>
        <w:tabs>
          <w:tab w:val="clear" w:pos="420"/>
        </w:tabs>
        <w:kinsoku/>
        <w:wordWrap/>
        <w:overflowPunct/>
        <w:topLinePunct w:val="0"/>
        <w:bidi w:val="0"/>
        <w:spacing w:line="360" w:lineRule="auto"/>
        <w:ind w:left="1260" w:leftChars="0" w:hanging="126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拔钉器：撬掉挂锁，拔起钢钉等用 长450mm</w:t>
      </w:r>
    </w:p>
    <w:p>
      <w:pPr>
        <w:keepNext w:val="0"/>
        <w:keepLines w:val="0"/>
        <w:pageBreakBefore w:val="0"/>
        <w:numPr>
          <w:ilvl w:val="0"/>
          <w:numId w:val="138"/>
        </w:numPr>
        <w:tabs>
          <w:tab w:val="clear" w:pos="420"/>
        </w:tabs>
        <w:kinsoku/>
        <w:wordWrap/>
        <w:overflowPunct/>
        <w:topLinePunct w:val="0"/>
        <w:bidi w:val="0"/>
        <w:spacing w:line="360" w:lineRule="auto"/>
        <w:ind w:left="1260" w:leftChars="0" w:hanging="126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切割器：撕开铁皮（汽车、飞机） 长466mm</w:t>
      </w:r>
    </w:p>
    <w:p>
      <w:pPr>
        <w:keepNext w:val="0"/>
        <w:keepLines w:val="0"/>
        <w:pageBreakBefore w:val="0"/>
        <w:numPr>
          <w:ilvl w:val="0"/>
          <w:numId w:val="138"/>
        </w:numPr>
        <w:tabs>
          <w:tab w:val="clear" w:pos="420"/>
        </w:tabs>
        <w:kinsoku/>
        <w:wordWrap/>
        <w:overflowPunct/>
        <w:topLinePunct w:val="0"/>
        <w:bidi w:val="0"/>
        <w:spacing w:line="360" w:lineRule="auto"/>
        <w:ind w:left="1260" w:leftChars="0" w:hanging="126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窄凿：冲击凿开任何局限范围内的坚硬物体 长460mm。</w:t>
      </w:r>
    </w:p>
    <w:p>
      <w:pPr>
        <w:keepNext w:val="0"/>
        <w:keepLines w:val="0"/>
        <w:pageBreakBefore w:val="0"/>
        <w:numPr>
          <w:ilvl w:val="0"/>
          <w:numId w:val="138"/>
        </w:numPr>
        <w:tabs>
          <w:tab w:val="clear" w:pos="420"/>
        </w:tabs>
        <w:kinsoku/>
        <w:wordWrap/>
        <w:overflowPunct/>
        <w:topLinePunct w:val="0"/>
        <w:bidi w:val="0"/>
        <w:spacing w:line="360" w:lineRule="auto"/>
        <w:ind w:left="1260" w:leftChars="0" w:hanging="126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短窄凿：适合在狭小的空间内冲击凿开任何坚硬物体225mm。</w:t>
      </w:r>
    </w:p>
    <w:p>
      <w:pPr>
        <w:keepNext w:val="0"/>
        <w:keepLines w:val="0"/>
        <w:pageBreakBefore w:val="0"/>
        <w:numPr>
          <w:ilvl w:val="0"/>
          <w:numId w:val="138"/>
        </w:numPr>
        <w:tabs>
          <w:tab w:val="clear" w:pos="420"/>
        </w:tabs>
        <w:kinsoku/>
        <w:wordWrap/>
        <w:overflowPunct/>
        <w:topLinePunct w:val="0"/>
        <w:bidi w:val="0"/>
        <w:spacing w:line="360" w:lineRule="auto"/>
        <w:ind w:left="1260" w:leftChars="0" w:hanging="126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宽 凿：冲击凿开任何坚硬物体 长456mm。</w:t>
      </w:r>
    </w:p>
    <w:p>
      <w:pPr>
        <w:keepNext w:val="0"/>
        <w:keepLines w:val="0"/>
        <w:pageBreakBefore w:val="0"/>
        <w:numPr>
          <w:ilvl w:val="0"/>
          <w:numId w:val="138"/>
        </w:numPr>
        <w:tabs>
          <w:tab w:val="clear" w:pos="420"/>
        </w:tabs>
        <w:kinsoku/>
        <w:wordWrap/>
        <w:overflowPunct/>
        <w:topLinePunct w:val="0"/>
        <w:bidi w:val="0"/>
        <w:spacing w:line="360" w:lineRule="auto"/>
        <w:ind w:left="1260" w:leftChars="0" w:hanging="126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尖 凿：冲击凿开混凝土及砖石墙体 长452mm</w:t>
      </w:r>
    </w:p>
    <w:p>
      <w:pPr>
        <w:keepNext w:val="0"/>
        <w:keepLines w:val="0"/>
        <w:pageBreakBefore w:val="0"/>
        <w:numPr>
          <w:ilvl w:val="0"/>
          <w:numId w:val="138"/>
        </w:numPr>
        <w:tabs>
          <w:tab w:val="clear" w:pos="420"/>
        </w:tabs>
        <w:kinsoku/>
        <w:wordWrap/>
        <w:overflowPunct/>
        <w:topLinePunct w:val="0"/>
        <w:bidi w:val="0"/>
        <w:spacing w:line="360" w:lineRule="auto"/>
        <w:ind w:left="1260" w:leftChars="0" w:hanging="126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短尖凿：在狭小空间冲击凿开混凝土及砖石墙体 长230mm。</w:t>
      </w:r>
    </w:p>
    <w:p>
      <w:pPr>
        <w:keepNext w:val="0"/>
        <w:keepLines w:val="0"/>
        <w:pageBreakBefore w:val="0"/>
        <w:numPr>
          <w:ilvl w:val="0"/>
          <w:numId w:val="138"/>
        </w:numPr>
        <w:tabs>
          <w:tab w:val="clear" w:pos="420"/>
        </w:tabs>
        <w:kinsoku/>
        <w:wordWrap/>
        <w:overflowPunct/>
        <w:topLinePunct w:val="0"/>
        <w:bidi w:val="0"/>
        <w:spacing w:line="360" w:lineRule="auto"/>
        <w:ind w:left="1260" w:leftChars="0" w:hanging="126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撬斧主要参数：</w:t>
      </w:r>
    </w:p>
    <w:p>
      <w:pPr>
        <w:keepNext w:val="0"/>
        <w:keepLines w:val="0"/>
        <w:pageBreakBefore w:val="0"/>
        <w:numPr>
          <w:ilvl w:val="0"/>
          <w:numId w:val="0"/>
        </w:numPr>
        <w:kinsoku/>
        <w:wordWrap/>
        <w:overflowPunct/>
        <w:topLinePunct w:val="0"/>
        <w:bidi w:val="0"/>
        <w:spacing w:line="360" w:lineRule="auto"/>
        <w:ind w:left="2738" w:leftChars="1304" w:firstLine="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撬门力 ≥4000N ；</w:t>
      </w:r>
    </w:p>
    <w:p>
      <w:pPr>
        <w:keepNext w:val="0"/>
        <w:keepLines w:val="0"/>
        <w:pageBreakBefore w:val="0"/>
        <w:numPr>
          <w:ilvl w:val="0"/>
          <w:numId w:val="0"/>
        </w:numPr>
        <w:kinsoku/>
        <w:wordWrap/>
        <w:overflowPunct/>
        <w:topLinePunct w:val="0"/>
        <w:bidi w:val="0"/>
        <w:spacing w:line="360" w:lineRule="auto"/>
        <w:ind w:left="2738" w:leftChars="1304" w:firstLine="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撬锁力 ≥10000N ；</w:t>
      </w:r>
    </w:p>
    <w:p>
      <w:pPr>
        <w:keepNext w:val="0"/>
        <w:keepLines w:val="0"/>
        <w:pageBreakBefore w:val="0"/>
        <w:numPr>
          <w:ilvl w:val="0"/>
          <w:numId w:val="0"/>
        </w:numPr>
        <w:kinsoku/>
        <w:wordWrap/>
        <w:overflowPunct/>
        <w:topLinePunct w:val="0"/>
        <w:bidi w:val="0"/>
        <w:spacing w:line="360" w:lineRule="auto"/>
        <w:ind w:left="2738" w:leftChars="1304" w:firstLine="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拔钉力 ≥10000N ；</w:t>
      </w:r>
    </w:p>
    <w:p>
      <w:pPr>
        <w:keepNext w:val="0"/>
        <w:keepLines w:val="0"/>
        <w:pageBreakBefore w:val="0"/>
        <w:numPr>
          <w:ilvl w:val="0"/>
          <w:numId w:val="0"/>
        </w:numPr>
        <w:kinsoku/>
        <w:wordWrap/>
        <w:overflowPunct/>
        <w:topLinePunct w:val="0"/>
        <w:bidi w:val="0"/>
        <w:spacing w:line="360" w:lineRule="auto"/>
        <w:ind w:left="2738" w:leftChars="1304" w:firstLine="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切割板厚度（Q235材料） ≤1.5mm ；</w:t>
      </w:r>
    </w:p>
    <w:p>
      <w:pPr>
        <w:keepNext w:val="0"/>
        <w:keepLines w:val="0"/>
        <w:pageBreakBefore w:val="0"/>
        <w:numPr>
          <w:ilvl w:val="0"/>
          <w:numId w:val="0"/>
        </w:numPr>
        <w:kinsoku/>
        <w:wordWrap/>
        <w:overflowPunct/>
        <w:topLinePunct w:val="0"/>
        <w:bidi w:val="0"/>
        <w:spacing w:line="360" w:lineRule="auto"/>
        <w:ind w:left="2738" w:leftChars="1304" w:firstLine="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凿孔板厚度（Q235材料） ≤1.5mm ；</w:t>
      </w:r>
    </w:p>
    <w:p>
      <w:pPr>
        <w:keepNext w:val="0"/>
        <w:keepLines w:val="0"/>
        <w:pageBreakBefore w:val="0"/>
        <w:numPr>
          <w:ilvl w:val="0"/>
          <w:numId w:val="0"/>
        </w:numPr>
        <w:kinsoku/>
        <w:wordWrap/>
        <w:overflowPunct/>
        <w:topLinePunct w:val="0"/>
        <w:bidi w:val="0"/>
        <w:spacing w:line="360" w:lineRule="auto"/>
        <w:ind w:left="2738" w:leftChars="1304" w:firstLine="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质量 ≤5.5kg*2 ；</w:t>
      </w:r>
    </w:p>
    <w:p>
      <w:pPr>
        <w:keepNext w:val="0"/>
        <w:keepLines w:val="0"/>
        <w:pageBreakBefore w:val="0"/>
        <w:numPr>
          <w:ilvl w:val="0"/>
          <w:numId w:val="138"/>
        </w:numPr>
        <w:tabs>
          <w:tab w:val="clear" w:pos="420"/>
        </w:tabs>
        <w:kinsoku/>
        <w:wordWrap/>
        <w:overflowPunct/>
        <w:topLinePunct w:val="0"/>
        <w:bidi w:val="0"/>
        <w:spacing w:line="360" w:lineRule="auto"/>
        <w:ind w:left="1260" w:leftChars="0" w:hanging="126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提供</w:t>
      </w:r>
      <w:r>
        <w:rPr>
          <w:rFonts w:hint="eastAsia" w:ascii="宋体" w:hAnsi="宋体" w:eastAsia="宋体" w:cs="宋体"/>
          <w:b/>
          <w:bCs/>
          <w:color w:val="auto"/>
          <w:kern w:val="0"/>
          <w:sz w:val="24"/>
          <w:szCs w:val="24"/>
          <w:highlight w:val="none"/>
          <w:lang w:val="en-US" w:eastAsia="zh-CN"/>
        </w:rPr>
        <w:t>检验报告复印件并加盖公章。</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铁铤</w:t>
      </w:r>
    </w:p>
    <w:p>
      <w:pPr>
        <w:numPr>
          <w:ilvl w:val="0"/>
          <w:numId w:val="139"/>
        </w:numPr>
        <w:tabs>
          <w:tab w:val="clear" w:pos="420"/>
        </w:tabs>
        <w:bidi w:val="0"/>
        <w:spacing w:line="360" w:lineRule="auto"/>
        <w:ind w:left="1260" w:leftChars="0" w:hanging="126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消防撬棍由高碳钢锻打而成，长90CM经热处理淬火工艺，保证强度，适用于城市救援及地震救援。</w:t>
      </w:r>
    </w:p>
    <w:p>
      <w:pPr>
        <w:numPr>
          <w:ilvl w:val="0"/>
          <w:numId w:val="139"/>
        </w:numPr>
        <w:tabs>
          <w:tab w:val="clear" w:pos="420"/>
        </w:tabs>
        <w:bidi w:val="0"/>
        <w:spacing w:line="360" w:lineRule="auto"/>
        <w:ind w:left="1260" w:leftChars="0" w:hanging="1260" w:firstLineChars="0"/>
        <w:rPr>
          <w:rFonts w:hint="eastAsia" w:ascii="宋体" w:hAnsi="宋体" w:eastAsia="宋体" w:cs="宋体"/>
          <w:kern w:val="0"/>
          <w:sz w:val="24"/>
          <w:szCs w:val="24"/>
          <w:highlight w:val="none"/>
          <w:lang w:val="en-US" w:eastAsia="zh-CN"/>
        </w:rPr>
      </w:pPr>
      <w:r>
        <w:rPr>
          <w:sz w:val="24"/>
          <w:highlight w:val="none"/>
        </w:rPr>
        <mc:AlternateContent>
          <mc:Choice Requires="wps">
            <w:drawing>
              <wp:anchor distT="0" distB="0" distL="114300" distR="114300" simplePos="0" relativeHeight="251688960" behindDoc="0" locked="0" layoutInCell="1" allowOverlap="1">
                <wp:simplePos x="0" y="0"/>
                <wp:positionH relativeFrom="column">
                  <wp:posOffset>-342900</wp:posOffset>
                </wp:positionH>
                <wp:positionV relativeFrom="paragraph">
                  <wp:posOffset>16510</wp:posOffset>
                </wp:positionV>
                <wp:extent cx="266700" cy="285750"/>
                <wp:effectExtent l="0" t="0" r="0" b="0"/>
                <wp:wrapNone/>
                <wp:docPr id="32" name="文本框 32"/>
                <wp:cNvGraphicFramePr/>
                <a:graphic xmlns:a="http://schemas.openxmlformats.org/drawingml/2006/main">
                  <a:graphicData uri="http://schemas.microsoft.com/office/word/2010/wordprocessingShape">
                    <wps:wsp>
                      <wps:cNvSpPr txBox="1"/>
                      <wps:spPr>
                        <a:xfrm>
                          <a:off x="413385" y="3053080"/>
                          <a:ext cx="266700"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1.3pt;height:22.5pt;width:21pt;z-index:251688960;mso-width-relative:page;mso-height-relative:page;" fillcolor="#FFFFFF [3201]" filled="t" stroked="f" coordsize="21600,21600" o:gfxdata="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pGxy+1AAA&#10;AAgBAAAPAAAAAAAAAAEAIAAAACIAAABkcnMvZG93bnJldi54bWxQSwECFAAUAAAACACHTuJAjKYQ&#10;x1sCAACbBAAADgAAAAAAAAABACAAAAAjAQAAZHJzL2Uyb0RvYy54bWxQSwUGAAAAAAYABgBZAQAA&#10;8AU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kern w:val="0"/>
          <w:sz w:val="24"/>
          <w:szCs w:val="24"/>
          <w:highlight w:val="none"/>
          <w:lang w:val="en-US" w:eastAsia="zh-CN"/>
        </w:rPr>
        <w:t>提供</w:t>
      </w:r>
      <w:r>
        <w:rPr>
          <w:rFonts w:hint="eastAsia" w:ascii="宋体" w:hAnsi="宋体" w:eastAsia="宋体" w:cs="宋体"/>
          <w:b/>
          <w:bCs/>
          <w:kern w:val="0"/>
          <w:sz w:val="24"/>
          <w:szCs w:val="24"/>
          <w:highlight w:val="none"/>
          <w:lang w:val="en-US" w:eastAsia="zh-CN"/>
        </w:rPr>
        <w:t>检验报告复印件并加盖公章。</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消防斧</w:t>
      </w:r>
    </w:p>
    <w:p>
      <w:pPr>
        <w:keepNext w:val="0"/>
        <w:keepLines w:val="0"/>
        <w:pageBreakBefore w:val="0"/>
        <w:numPr>
          <w:ilvl w:val="0"/>
          <w:numId w:val="140"/>
        </w:numPr>
        <w:kinsoku/>
        <w:wordWrap/>
        <w:overflowPunct/>
        <w:topLinePunct w:val="0"/>
        <w:bidi w:val="0"/>
        <w:spacing w:line="360" w:lineRule="auto"/>
        <w:ind w:left="425" w:leftChars="0" w:hanging="425"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木柄款总长≤810cm，重量≤3.1kg，头部重3.5lb；</w:t>
      </w:r>
    </w:p>
    <w:p>
      <w:pPr>
        <w:keepNext w:val="0"/>
        <w:keepLines w:val="0"/>
        <w:pageBreakBefore w:val="0"/>
        <w:numPr>
          <w:ilvl w:val="0"/>
          <w:numId w:val="140"/>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斧头材质高碳钢，经淬火硬度HRC48-55之间，可一次性砍断12mmQ235A热轧圆钢；</w:t>
      </w:r>
    </w:p>
    <w:p>
      <w:pPr>
        <w:keepNext w:val="0"/>
        <w:keepLines w:val="0"/>
        <w:pageBreakBefore w:val="0"/>
        <w:numPr>
          <w:ilvl w:val="0"/>
          <w:numId w:val="140"/>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具备砍、剁等功能，是消防破拆不可少的工具之一；</w:t>
      </w:r>
    </w:p>
    <w:p>
      <w:pPr>
        <w:keepNext w:val="0"/>
        <w:keepLines w:val="0"/>
        <w:pageBreakBefore w:val="0"/>
        <w:numPr>
          <w:ilvl w:val="0"/>
          <w:numId w:val="140"/>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产品经测试可承受29400N（3000kg）斧头与斧柄不拉脱，对于消防员救援过程中更安全可靠；</w:t>
      </w:r>
    </w:p>
    <w:p>
      <w:pPr>
        <w:keepNext w:val="0"/>
        <w:keepLines w:val="0"/>
        <w:pageBreakBefore w:val="0"/>
        <w:numPr>
          <w:ilvl w:val="0"/>
          <w:numId w:val="140"/>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kern w:val="0"/>
          <w:sz w:val="24"/>
          <w:szCs w:val="24"/>
          <w:highlight w:val="none"/>
          <w:lang w:val="en-US" w:eastAsia="zh-CN"/>
        </w:rPr>
      </w:pPr>
      <w:r>
        <w:rPr>
          <w:sz w:val="24"/>
        </w:rPr>
        <mc:AlternateContent>
          <mc:Choice Requires="wps">
            <w:drawing>
              <wp:anchor distT="0" distB="0" distL="114300" distR="114300" simplePos="0" relativeHeight="251687936" behindDoc="0" locked="0" layoutInCell="1" allowOverlap="1">
                <wp:simplePos x="0" y="0"/>
                <wp:positionH relativeFrom="column">
                  <wp:posOffset>-323850</wp:posOffset>
                </wp:positionH>
                <wp:positionV relativeFrom="paragraph">
                  <wp:posOffset>20320</wp:posOffset>
                </wp:positionV>
                <wp:extent cx="266700" cy="247650"/>
                <wp:effectExtent l="0" t="0" r="0" b="0"/>
                <wp:wrapNone/>
                <wp:docPr id="31" name="文本框 31"/>
                <wp:cNvGraphicFramePr/>
                <a:graphic xmlns:a="http://schemas.openxmlformats.org/drawingml/2006/main">
                  <a:graphicData uri="http://schemas.microsoft.com/office/word/2010/wordprocessingShape">
                    <wps:wsp>
                      <wps:cNvSpPr txBox="1"/>
                      <wps:spPr>
                        <a:xfrm>
                          <a:off x="422910" y="5622925"/>
                          <a:ext cx="266700"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pt;margin-top:1.6pt;height:19.5pt;width:21pt;z-index:251687936;mso-width-relative:page;mso-height-relative:page;" fillcolor="#FFFFFF [3201]" filled="t" stroked="f" coordsize="21600,21600" o:gfxdata="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rU45s0gAAAAcB&#10;AAAPAAAAAAAAAAEAIAAAACIAAABkcnMvZG93bnJldi54bWxQSwECFAAUAAAACACHTuJAfoc1RloC&#10;AACbBAAADgAAAAAAAAABACAAAAAhAQAAZHJzL2Uyb0RvYy54bWxQSwUGAAAAAAYABgBZAQAA7QUA&#10;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kern w:val="0"/>
          <w:sz w:val="24"/>
          <w:szCs w:val="24"/>
          <w:highlight w:val="none"/>
          <w:lang w:val="en-US" w:eastAsia="zh-CN"/>
        </w:rPr>
        <w:t>提供</w:t>
      </w:r>
      <w:r>
        <w:rPr>
          <w:rFonts w:hint="eastAsia" w:ascii="宋体" w:hAnsi="宋体" w:eastAsia="宋体" w:cs="宋体"/>
          <w:b/>
          <w:bCs/>
          <w:kern w:val="0"/>
          <w:sz w:val="24"/>
          <w:szCs w:val="24"/>
          <w:highlight w:val="none"/>
          <w:lang w:val="en-US" w:eastAsia="zh-CN"/>
        </w:rPr>
        <w:t>检验报告复印件并加盖公章</w:t>
      </w:r>
      <w:r>
        <w:rPr>
          <w:rFonts w:hint="eastAsia" w:ascii="宋体" w:hAnsi="宋体" w:eastAsia="宋体" w:cs="宋体"/>
          <w:kern w:val="0"/>
          <w:sz w:val="24"/>
          <w:szCs w:val="24"/>
          <w:highlight w:val="none"/>
          <w:lang w:val="en-US" w:eastAsia="zh-CN"/>
        </w:rPr>
        <w:t>。</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15米金属拉梯</w:t>
      </w:r>
    </w:p>
    <w:p>
      <w:pPr>
        <w:keepNext w:val="0"/>
        <w:keepLines w:val="0"/>
        <w:pageBreakBefore w:val="0"/>
        <w:numPr>
          <w:ilvl w:val="0"/>
          <w:numId w:val="141"/>
        </w:numPr>
        <w:tabs>
          <w:tab w:val="left" w:pos="1260"/>
          <w:tab w:val="clear" w:pos="420"/>
        </w:tabs>
        <w:kinsoku/>
        <w:wordWrap/>
        <w:overflowPunct/>
        <w:topLinePunct w:val="0"/>
        <w:autoSpaceDE w:val="0"/>
        <w:autoSpaceDN w:val="0"/>
        <w:bidi w:val="0"/>
        <w:adjustRightInd w:val="0"/>
        <w:spacing w:line="360" w:lineRule="auto"/>
        <w:ind w:left="1245" w:leftChars="0" w:hanging="1245" w:firstLineChars="0"/>
        <w:rPr>
          <w:rFonts w:hint="eastAsia" w:ascii="宋体" w:hAnsi="宋体" w:eastAsia="宋体" w:cs="宋体"/>
          <w:b w:val="0"/>
          <w:bCs/>
          <w:kern w:val="0"/>
          <w:sz w:val="24"/>
          <w:szCs w:val="24"/>
          <w:lang w:val="en-US" w:eastAsia="zh-CN"/>
        </w:rPr>
      </w:pPr>
      <w:r>
        <w:rPr>
          <w:sz w:val="24"/>
        </w:rPr>
        <mc:AlternateContent>
          <mc:Choice Requires="wps">
            <w:drawing>
              <wp:anchor distT="0" distB="0" distL="114300" distR="114300" simplePos="0" relativeHeight="251686912" behindDoc="0" locked="0" layoutInCell="1" allowOverlap="1">
                <wp:simplePos x="0" y="0"/>
                <wp:positionH relativeFrom="column">
                  <wp:posOffset>-333375</wp:posOffset>
                </wp:positionH>
                <wp:positionV relativeFrom="paragraph">
                  <wp:posOffset>35560</wp:posOffset>
                </wp:positionV>
                <wp:extent cx="295275" cy="228600"/>
                <wp:effectExtent l="0" t="0" r="9525" b="0"/>
                <wp:wrapNone/>
                <wp:docPr id="30" name="文本框 30"/>
                <wp:cNvGraphicFramePr/>
                <a:graphic xmlns:a="http://schemas.openxmlformats.org/drawingml/2006/main">
                  <a:graphicData uri="http://schemas.microsoft.com/office/word/2010/wordprocessingShape">
                    <wps:wsp>
                      <wps:cNvSpPr txBox="1"/>
                      <wps:spPr>
                        <a:xfrm>
                          <a:off x="375285" y="6449695"/>
                          <a:ext cx="295275" cy="2286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5pt;margin-top:2.8pt;height:18pt;width:23.25pt;z-index:251686912;mso-width-relative:page;mso-height-relative:page;" fillcolor="#FFFFFF [3201]" filled="t" stroked="f" coordsize="21600,21600" o:gfxdata="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4qy+PT&#10;AAAABwEAAA8AAAAAAAAAAQAgAAAAIgAAAGRycy9kb3ducmV2LnhtbFBLAQIUABQAAAAIAIdO4kAN&#10;Dvm/XgIAAJsEAAAOAAAAAAAAAAEAIAAAACIBAABkcnMvZTJvRG9jLnhtbFBLBQYAAAAABgAGAFkB&#10;AADyBQ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b w:val="0"/>
          <w:bCs/>
          <w:kern w:val="0"/>
          <w:sz w:val="24"/>
          <w:szCs w:val="24"/>
        </w:rPr>
        <w:t>符合GA137-2007《消防梯》标准要求</w:t>
      </w:r>
      <w:r>
        <w:rPr>
          <w:rFonts w:hint="eastAsia" w:ascii="宋体" w:hAnsi="宋体" w:eastAsia="宋体" w:cs="宋体"/>
          <w:b w:val="0"/>
          <w:bCs/>
          <w:kern w:val="0"/>
          <w:sz w:val="24"/>
          <w:szCs w:val="24"/>
          <w:lang w:eastAsia="zh-CN"/>
        </w:rPr>
        <w:t>；</w:t>
      </w:r>
      <w:r>
        <w:rPr>
          <w:rFonts w:hint="eastAsia" w:ascii="宋体" w:hAnsi="宋体" w:eastAsia="宋体" w:cs="宋体"/>
          <w:b w:val="0"/>
          <w:bCs/>
          <w:kern w:val="0"/>
          <w:sz w:val="24"/>
          <w:szCs w:val="24"/>
          <w:highlight w:val="none"/>
        </w:rPr>
        <w:t>提供</w:t>
      </w:r>
      <w:r>
        <w:rPr>
          <w:rFonts w:hint="eastAsia" w:ascii="宋体" w:hAnsi="宋体" w:eastAsia="宋体" w:cs="宋体"/>
          <w:b/>
          <w:bCs w:val="0"/>
          <w:kern w:val="0"/>
          <w:sz w:val="24"/>
          <w:szCs w:val="24"/>
          <w:highlight w:val="none"/>
        </w:rPr>
        <w:t>检测报告</w:t>
      </w:r>
      <w:r>
        <w:rPr>
          <w:rFonts w:hint="eastAsia" w:ascii="宋体" w:hAnsi="宋体" w:eastAsia="宋体" w:cs="宋体"/>
          <w:b/>
          <w:bCs w:val="0"/>
          <w:kern w:val="0"/>
          <w:sz w:val="24"/>
          <w:szCs w:val="24"/>
          <w:highlight w:val="none"/>
          <w:lang w:val="en-US" w:eastAsia="zh-CN"/>
        </w:rPr>
        <w:t>复印件并加盖公章</w:t>
      </w:r>
      <w:r>
        <w:rPr>
          <w:rFonts w:hint="eastAsia" w:ascii="宋体" w:hAnsi="宋体" w:eastAsia="宋体" w:cs="宋体"/>
          <w:b w:val="0"/>
          <w:bCs/>
          <w:kern w:val="0"/>
          <w:sz w:val="24"/>
          <w:szCs w:val="24"/>
          <w:highlight w:val="none"/>
          <w:lang w:val="en-US" w:eastAsia="zh-CN"/>
        </w:rPr>
        <w:t>；</w:t>
      </w:r>
    </w:p>
    <w:p>
      <w:pPr>
        <w:keepNext w:val="0"/>
        <w:keepLines w:val="0"/>
        <w:pageBreakBefore w:val="0"/>
        <w:numPr>
          <w:ilvl w:val="0"/>
          <w:numId w:val="141"/>
        </w:numPr>
        <w:tabs>
          <w:tab w:val="left" w:pos="1260"/>
          <w:tab w:val="clear" w:pos="420"/>
        </w:tabs>
        <w:kinsoku/>
        <w:wordWrap/>
        <w:overflowPunct/>
        <w:topLinePunct w:val="0"/>
        <w:autoSpaceDE w:val="0"/>
        <w:autoSpaceDN w:val="0"/>
        <w:bidi w:val="0"/>
        <w:adjustRightInd w:val="0"/>
        <w:spacing w:line="360" w:lineRule="auto"/>
        <w:ind w:left="1245" w:leftChars="0" w:hanging="1245" w:firstLineChars="0"/>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工作长度15±0.3m，合并高度6±0.2m。</w:t>
      </w:r>
    </w:p>
    <w:p>
      <w:pPr>
        <w:keepNext w:val="0"/>
        <w:keepLines w:val="0"/>
        <w:pageBreakBefore w:val="0"/>
        <w:numPr>
          <w:ilvl w:val="0"/>
          <w:numId w:val="141"/>
        </w:numPr>
        <w:tabs>
          <w:tab w:val="left" w:pos="1260"/>
          <w:tab w:val="clear" w:pos="420"/>
        </w:tabs>
        <w:kinsoku/>
        <w:wordWrap/>
        <w:overflowPunct/>
        <w:topLinePunct w:val="0"/>
        <w:autoSpaceDE w:val="0"/>
        <w:autoSpaceDN w:val="0"/>
        <w:bidi w:val="0"/>
        <w:adjustRightInd w:val="0"/>
        <w:spacing w:line="360" w:lineRule="auto"/>
        <w:ind w:left="1245" w:leftChars="0" w:hanging="1245" w:firstLineChars="0"/>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最小梯宽350±4mm。</w:t>
      </w:r>
    </w:p>
    <w:p>
      <w:pPr>
        <w:keepNext w:val="0"/>
        <w:keepLines w:val="0"/>
        <w:pageBreakBefore w:val="0"/>
        <w:numPr>
          <w:ilvl w:val="0"/>
          <w:numId w:val="141"/>
        </w:numPr>
        <w:tabs>
          <w:tab w:val="left" w:pos="1260"/>
          <w:tab w:val="clear" w:pos="420"/>
        </w:tabs>
        <w:kinsoku/>
        <w:wordWrap/>
        <w:overflowPunct/>
        <w:topLinePunct w:val="0"/>
        <w:autoSpaceDE w:val="0"/>
        <w:autoSpaceDN w:val="0"/>
        <w:bidi w:val="0"/>
        <w:adjustRightInd w:val="0"/>
        <w:spacing w:line="360" w:lineRule="auto"/>
        <w:ind w:left="1245" w:leftChars="0" w:hanging="1245" w:firstLineChars="0"/>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梯蹬间距340±2mm。</w:t>
      </w:r>
    </w:p>
    <w:p>
      <w:pPr>
        <w:keepNext w:val="0"/>
        <w:keepLines w:val="0"/>
        <w:pageBreakBefore w:val="0"/>
        <w:numPr>
          <w:ilvl w:val="0"/>
          <w:numId w:val="141"/>
        </w:numPr>
        <w:tabs>
          <w:tab w:val="left" w:pos="1260"/>
          <w:tab w:val="clear" w:pos="420"/>
        </w:tabs>
        <w:kinsoku/>
        <w:wordWrap/>
        <w:overflowPunct/>
        <w:topLinePunct w:val="0"/>
        <w:autoSpaceDE w:val="0"/>
        <w:autoSpaceDN w:val="0"/>
        <w:bidi w:val="0"/>
        <w:adjustRightInd w:val="0"/>
        <w:spacing w:line="360" w:lineRule="auto"/>
        <w:ind w:left="1245" w:leftChars="0" w:hanging="1245" w:firstLineChars="0"/>
        <w:rPr>
          <w:rFonts w:hint="eastAsia" w:ascii="宋体" w:hAnsi="宋体" w:eastAsia="宋体" w:cs="宋体"/>
          <w:b w:val="0"/>
          <w:bCs/>
          <w:kern w:val="0"/>
          <w:sz w:val="24"/>
          <w:szCs w:val="24"/>
          <w:lang w:val="zh-CN"/>
        </w:rPr>
      </w:pPr>
      <w:r>
        <w:rPr>
          <w:sz w:val="24"/>
        </w:rPr>
        <mc:AlternateContent>
          <mc:Choice Requires="wps">
            <w:drawing>
              <wp:anchor distT="0" distB="0" distL="114300" distR="114300" simplePos="0" relativeHeight="251685888" behindDoc="0" locked="0" layoutInCell="1" allowOverlap="1">
                <wp:simplePos x="0" y="0"/>
                <wp:positionH relativeFrom="column">
                  <wp:posOffset>-342900</wp:posOffset>
                </wp:positionH>
                <wp:positionV relativeFrom="paragraph">
                  <wp:posOffset>18415</wp:posOffset>
                </wp:positionV>
                <wp:extent cx="295275" cy="266700"/>
                <wp:effectExtent l="0" t="0" r="9525" b="0"/>
                <wp:wrapNone/>
                <wp:docPr id="29" name="文本框 29"/>
                <wp:cNvGraphicFramePr/>
                <a:graphic xmlns:a="http://schemas.openxmlformats.org/drawingml/2006/main">
                  <a:graphicData uri="http://schemas.microsoft.com/office/word/2010/wordprocessingShape">
                    <wps:wsp>
                      <wps:cNvSpPr txBox="1"/>
                      <wps:spPr>
                        <a:xfrm>
                          <a:off x="356235" y="7630795"/>
                          <a:ext cx="295275"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1.45pt;height:21pt;width:23.25pt;z-index:251685888;mso-width-relative:page;mso-height-relative:page;" fillcolor="#FFFFFF [3201]" filled="t" stroked="f" coordsize="21600,21600" o:gfxdata="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jTxHT&#10;AAAABwEAAA8AAAAAAAAAAQAgAAAAIgAAAGRycy9kb3ducmV2LnhtbFBLAQIUABQAAAAIAIdO4kA5&#10;ozYcXgIAAJsEAAAOAAAAAAAAAAEAIAAAACIBAABkcnMvZTJvRG9jLnhtbFBLBQYAAAAABgAGAFkB&#10;AADyBQ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b w:val="0"/>
          <w:bCs/>
          <w:kern w:val="0"/>
          <w:sz w:val="24"/>
          <w:szCs w:val="24"/>
          <w:lang w:val="zh-CN"/>
        </w:rPr>
        <w:t xml:space="preserve">整梯质量≤57kg。 </w:t>
      </w:r>
    </w:p>
    <w:p>
      <w:pPr>
        <w:keepNext w:val="0"/>
        <w:keepLines w:val="0"/>
        <w:pageBreakBefore w:val="0"/>
        <w:numPr>
          <w:ilvl w:val="0"/>
          <w:numId w:val="141"/>
        </w:numPr>
        <w:tabs>
          <w:tab w:val="left" w:pos="1260"/>
          <w:tab w:val="clear" w:pos="420"/>
        </w:tabs>
        <w:kinsoku/>
        <w:wordWrap/>
        <w:overflowPunct/>
        <w:topLinePunct w:val="0"/>
        <w:autoSpaceDE w:val="0"/>
        <w:autoSpaceDN w:val="0"/>
        <w:bidi w:val="0"/>
        <w:adjustRightInd w:val="0"/>
        <w:spacing w:line="360" w:lineRule="auto"/>
        <w:ind w:left="1245" w:leftChars="0" w:hanging="1245" w:firstLineChars="0"/>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水平弯曲残余变形比值≤0.2%。</w:t>
      </w:r>
    </w:p>
    <w:p>
      <w:pPr>
        <w:keepNext w:val="0"/>
        <w:keepLines w:val="0"/>
        <w:pageBreakBefore w:val="0"/>
        <w:numPr>
          <w:ilvl w:val="0"/>
          <w:numId w:val="141"/>
        </w:numPr>
        <w:tabs>
          <w:tab w:val="left" w:pos="1260"/>
          <w:tab w:val="clear" w:pos="420"/>
        </w:tabs>
        <w:kinsoku/>
        <w:wordWrap/>
        <w:overflowPunct/>
        <w:topLinePunct w:val="0"/>
        <w:autoSpaceDE w:val="0"/>
        <w:autoSpaceDN w:val="0"/>
        <w:bidi w:val="0"/>
        <w:adjustRightInd w:val="0"/>
        <w:spacing w:line="360" w:lineRule="auto"/>
        <w:ind w:left="1245" w:leftChars="0" w:hanging="1245" w:firstLineChars="0"/>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梯蹬弯曲残余变形比值≤0.15%。</w:t>
      </w:r>
    </w:p>
    <w:p>
      <w:pPr>
        <w:keepNext w:val="0"/>
        <w:keepLines w:val="0"/>
        <w:pageBreakBefore w:val="0"/>
        <w:numPr>
          <w:ilvl w:val="0"/>
          <w:numId w:val="141"/>
        </w:numPr>
        <w:tabs>
          <w:tab w:val="left" w:pos="1260"/>
          <w:tab w:val="clear" w:pos="420"/>
        </w:tabs>
        <w:kinsoku/>
        <w:wordWrap/>
        <w:overflowPunct/>
        <w:topLinePunct w:val="0"/>
        <w:autoSpaceDE w:val="0"/>
        <w:autoSpaceDN w:val="0"/>
        <w:bidi w:val="0"/>
        <w:adjustRightInd w:val="0"/>
        <w:spacing w:line="360" w:lineRule="auto"/>
        <w:ind w:left="1245" w:leftChars="0" w:hanging="1245" w:firstLineChars="0"/>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梯蹬剪切强度：梯蹬与侧板的连接处和梯蹬本身无任何断裂迹象。</w:t>
      </w:r>
    </w:p>
    <w:p>
      <w:pPr>
        <w:keepNext w:val="0"/>
        <w:keepLines w:val="0"/>
        <w:pageBreakBefore w:val="0"/>
        <w:numPr>
          <w:ilvl w:val="0"/>
          <w:numId w:val="141"/>
        </w:numPr>
        <w:tabs>
          <w:tab w:val="left" w:pos="1260"/>
          <w:tab w:val="clear" w:pos="420"/>
        </w:tabs>
        <w:kinsoku/>
        <w:wordWrap/>
        <w:overflowPunct/>
        <w:topLinePunct w:val="0"/>
        <w:autoSpaceDE w:val="0"/>
        <w:autoSpaceDN w:val="0"/>
        <w:bidi w:val="0"/>
        <w:adjustRightInd w:val="0"/>
        <w:spacing w:line="360" w:lineRule="auto"/>
        <w:ind w:left="1245" w:leftChars="0" w:hanging="1245" w:firstLineChars="0"/>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翘曲试验时，任一梯脚均不离地。</w:t>
      </w:r>
    </w:p>
    <w:p>
      <w:pPr>
        <w:keepNext w:val="0"/>
        <w:keepLines w:val="0"/>
        <w:pageBreakBefore w:val="0"/>
        <w:numPr>
          <w:ilvl w:val="0"/>
          <w:numId w:val="141"/>
        </w:numPr>
        <w:tabs>
          <w:tab w:val="left" w:pos="1260"/>
          <w:tab w:val="clear" w:pos="420"/>
        </w:tabs>
        <w:kinsoku/>
        <w:wordWrap/>
        <w:overflowPunct/>
        <w:topLinePunct w:val="0"/>
        <w:autoSpaceDE w:val="0"/>
        <w:autoSpaceDN w:val="0"/>
        <w:bidi w:val="0"/>
        <w:adjustRightInd w:val="0"/>
        <w:spacing w:line="360" w:lineRule="auto"/>
        <w:ind w:left="1245" w:leftChars="0" w:hanging="1245" w:firstLineChars="0"/>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梯节扭转角为：α顺：≤10°、α逆：≤10°。</w:t>
      </w:r>
    </w:p>
    <w:p>
      <w:pPr>
        <w:keepNext w:val="0"/>
        <w:keepLines w:val="0"/>
        <w:pageBreakBefore w:val="0"/>
        <w:numPr>
          <w:ilvl w:val="0"/>
          <w:numId w:val="141"/>
        </w:numPr>
        <w:tabs>
          <w:tab w:val="left" w:pos="1260"/>
          <w:tab w:val="clear" w:pos="420"/>
        </w:tabs>
        <w:kinsoku/>
        <w:wordWrap/>
        <w:overflowPunct/>
        <w:topLinePunct w:val="0"/>
        <w:autoSpaceDE w:val="0"/>
        <w:autoSpaceDN w:val="0"/>
        <w:bidi w:val="0"/>
        <w:adjustRightInd w:val="0"/>
        <w:spacing w:line="360" w:lineRule="auto"/>
        <w:ind w:left="1245" w:leftChars="0" w:hanging="1245" w:firstLineChars="0"/>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滑移试验进，各梯脚在整个试验表面无位移现象。</w:t>
      </w:r>
    </w:p>
    <w:p>
      <w:pPr>
        <w:keepNext w:val="0"/>
        <w:keepLines w:val="0"/>
        <w:pageBreakBefore w:val="0"/>
        <w:numPr>
          <w:ilvl w:val="0"/>
          <w:numId w:val="141"/>
        </w:numPr>
        <w:tabs>
          <w:tab w:val="left" w:pos="1260"/>
          <w:tab w:val="clear" w:pos="420"/>
        </w:tabs>
        <w:kinsoku/>
        <w:wordWrap/>
        <w:overflowPunct/>
        <w:topLinePunct w:val="0"/>
        <w:autoSpaceDE w:val="0"/>
        <w:autoSpaceDN w:val="0"/>
        <w:bidi w:val="0"/>
        <w:adjustRightInd w:val="0"/>
        <w:spacing w:line="360" w:lineRule="auto"/>
        <w:ind w:left="1245" w:leftChars="0" w:hanging="1245" w:firstLineChars="0"/>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单撑脚载荷试验后，撑脚及联接件不出现松动、损伤及变形。</w:t>
      </w:r>
    </w:p>
    <w:p>
      <w:pPr>
        <w:keepNext w:val="0"/>
        <w:keepLines w:val="0"/>
        <w:pageBreakBefore w:val="0"/>
        <w:numPr>
          <w:ilvl w:val="0"/>
          <w:numId w:val="141"/>
        </w:numPr>
        <w:tabs>
          <w:tab w:val="left" w:pos="1260"/>
          <w:tab w:val="clear" w:pos="420"/>
        </w:tabs>
        <w:kinsoku/>
        <w:wordWrap/>
        <w:overflowPunct/>
        <w:topLinePunct w:val="0"/>
        <w:autoSpaceDE w:val="0"/>
        <w:autoSpaceDN w:val="0"/>
        <w:bidi w:val="0"/>
        <w:adjustRightInd w:val="0"/>
        <w:spacing w:line="360" w:lineRule="auto"/>
        <w:ind w:left="1245" w:leftChars="0" w:hanging="1245" w:firstLineChars="0"/>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侧板悬臂弯曲最大变形值：内弯曲≤0.5mm、外弯曲≤0.5mm。</w:t>
      </w:r>
    </w:p>
    <w:p>
      <w:pPr>
        <w:keepNext w:val="0"/>
        <w:keepLines w:val="0"/>
        <w:pageBreakBefore w:val="0"/>
        <w:numPr>
          <w:ilvl w:val="0"/>
          <w:numId w:val="141"/>
        </w:numPr>
        <w:tabs>
          <w:tab w:val="left" w:pos="1260"/>
          <w:tab w:val="clear" w:pos="420"/>
        </w:tabs>
        <w:kinsoku/>
        <w:wordWrap/>
        <w:overflowPunct/>
        <w:topLinePunct w:val="0"/>
        <w:autoSpaceDE w:val="0"/>
        <w:autoSpaceDN w:val="0"/>
        <w:bidi w:val="0"/>
        <w:adjustRightInd w:val="0"/>
        <w:spacing w:line="360" w:lineRule="auto"/>
        <w:ind w:left="1245" w:leftChars="0" w:hanging="1245" w:firstLineChars="0"/>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侧摇摆试验残余变形比值≤0.05%</w:t>
      </w:r>
    </w:p>
    <w:p>
      <w:pPr>
        <w:keepNext w:val="0"/>
        <w:keepLines w:val="0"/>
        <w:pageBreakBefore w:val="0"/>
        <w:numPr>
          <w:ilvl w:val="0"/>
          <w:numId w:val="141"/>
        </w:numPr>
        <w:tabs>
          <w:tab w:val="left" w:pos="1260"/>
          <w:tab w:val="clear" w:pos="420"/>
        </w:tabs>
        <w:kinsoku/>
        <w:wordWrap/>
        <w:overflowPunct/>
        <w:topLinePunct w:val="0"/>
        <w:autoSpaceDE w:val="0"/>
        <w:autoSpaceDN w:val="0"/>
        <w:bidi w:val="0"/>
        <w:adjustRightInd w:val="0"/>
        <w:spacing w:line="360" w:lineRule="auto"/>
        <w:ind w:left="1245" w:leftChars="0" w:hanging="1245" w:firstLineChars="0"/>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三节拉梯的两侧撑脚能同时可靠地将第二、第三梯节支撑在工作高度及以下的任何一级梯蹬上。在撑脚安全性试验时，不出现向梯蹬外侧面移动的现象。</w:t>
      </w:r>
    </w:p>
    <w:p>
      <w:pPr>
        <w:keepNext w:val="0"/>
        <w:keepLines w:val="0"/>
        <w:pageBreakBefore w:val="0"/>
        <w:numPr>
          <w:ilvl w:val="0"/>
          <w:numId w:val="141"/>
        </w:numPr>
        <w:tabs>
          <w:tab w:val="left" w:pos="1260"/>
          <w:tab w:val="clear" w:pos="420"/>
        </w:tabs>
        <w:kinsoku/>
        <w:wordWrap/>
        <w:overflowPunct/>
        <w:topLinePunct w:val="0"/>
        <w:autoSpaceDE w:val="0"/>
        <w:autoSpaceDN w:val="0"/>
        <w:bidi w:val="0"/>
        <w:adjustRightInd w:val="0"/>
        <w:spacing w:line="360" w:lineRule="auto"/>
        <w:ind w:left="1245" w:leftChars="0" w:hanging="1245" w:firstLineChars="0"/>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抗冲击性能试验时撑脚支撑功能始终正常，试验后撑脚及梯蹬无明显变形或损坏。</w:t>
      </w:r>
    </w:p>
    <w:p>
      <w:pPr>
        <w:keepNext w:val="0"/>
        <w:keepLines w:val="0"/>
        <w:pageBreakBefore w:val="0"/>
        <w:numPr>
          <w:ilvl w:val="0"/>
          <w:numId w:val="141"/>
        </w:numPr>
        <w:tabs>
          <w:tab w:val="left" w:pos="1260"/>
          <w:tab w:val="clear" w:pos="420"/>
        </w:tabs>
        <w:kinsoku/>
        <w:wordWrap/>
        <w:overflowPunct/>
        <w:topLinePunct w:val="0"/>
        <w:autoSpaceDE w:val="0"/>
        <w:autoSpaceDN w:val="0"/>
        <w:bidi w:val="0"/>
        <w:adjustRightInd w:val="0"/>
        <w:spacing w:line="360" w:lineRule="auto"/>
        <w:ind w:left="1245" w:leftChars="0" w:hanging="1245" w:firstLineChars="0"/>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消防梯右侧板上铭牌标有“执行标准、名称、规格型号、梯蹬间距、整梯质量；商标、厂名、厂址、生产日期或批号、使用须知”等规定。</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6米拉梯</w:t>
      </w:r>
    </w:p>
    <w:p>
      <w:pPr>
        <w:keepNext w:val="0"/>
        <w:keepLines w:val="0"/>
        <w:pageBreakBefore w:val="0"/>
        <w:numPr>
          <w:ilvl w:val="0"/>
          <w:numId w:val="142"/>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kern w:val="0"/>
          <w:sz w:val="24"/>
          <w:szCs w:val="24"/>
        </w:rPr>
      </w:pPr>
      <w:r>
        <w:rPr>
          <w:sz w:val="24"/>
        </w:rPr>
        <mc:AlternateContent>
          <mc:Choice Requires="wps">
            <w:drawing>
              <wp:anchor distT="0" distB="0" distL="114300" distR="114300" simplePos="0" relativeHeight="251684864" behindDoc="0" locked="0" layoutInCell="1" allowOverlap="1">
                <wp:simplePos x="0" y="0"/>
                <wp:positionH relativeFrom="column">
                  <wp:posOffset>-342900</wp:posOffset>
                </wp:positionH>
                <wp:positionV relativeFrom="paragraph">
                  <wp:posOffset>18415</wp:posOffset>
                </wp:positionV>
                <wp:extent cx="295275" cy="257175"/>
                <wp:effectExtent l="0" t="0" r="9525" b="9525"/>
                <wp:wrapNone/>
                <wp:docPr id="28" name="文本框 28"/>
                <wp:cNvGraphicFramePr/>
                <a:graphic xmlns:a="http://schemas.openxmlformats.org/drawingml/2006/main">
                  <a:graphicData uri="http://schemas.microsoft.com/office/word/2010/wordprocessingShape">
                    <wps:wsp>
                      <wps:cNvSpPr txBox="1"/>
                      <wps:spPr>
                        <a:xfrm>
                          <a:off x="384810" y="3677920"/>
                          <a:ext cx="295275" cy="2571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1.45pt;height:20.25pt;width:23.25pt;z-index:251684864;mso-width-relative:page;mso-height-relative:page;" fillcolor="#FFFFFF [3201]" filled="t" stroked="f" coordsize="21600,21600" o:gfxdata="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Q5Ugx9MAAAAH&#10;AQAADwAAAAAAAAABACAAAAAiAAAAZHJzL2Rvd25yZXYueG1sUEsBAhQAFAAAAAgAh07iQCO5Z89a&#10;AgAAmwQAAA4AAAAAAAAAAQAgAAAAIgEAAGRycy9lMm9Eb2MueG1sUEsFBgAAAAAGAAYAWQEAAO4F&#10;A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kern w:val="0"/>
          <w:sz w:val="24"/>
          <w:szCs w:val="24"/>
        </w:rPr>
        <w:t>符合GA137-2007《消防梯》标准要求。</w:t>
      </w:r>
      <w:r>
        <w:rPr>
          <w:rFonts w:hint="eastAsia" w:ascii="宋体" w:hAnsi="宋体" w:eastAsia="宋体" w:cs="宋体"/>
          <w:kern w:val="0"/>
          <w:sz w:val="24"/>
          <w:szCs w:val="24"/>
          <w:highlight w:val="none"/>
        </w:rPr>
        <w:t>提供</w:t>
      </w:r>
      <w:r>
        <w:rPr>
          <w:rFonts w:hint="eastAsia" w:ascii="宋体" w:hAnsi="宋体" w:eastAsia="宋体" w:cs="宋体"/>
          <w:b/>
          <w:bCs/>
          <w:kern w:val="0"/>
          <w:sz w:val="24"/>
          <w:szCs w:val="24"/>
          <w:highlight w:val="none"/>
        </w:rPr>
        <w:t>检测报告</w:t>
      </w:r>
      <w:r>
        <w:rPr>
          <w:rFonts w:hint="eastAsia" w:ascii="宋体" w:hAnsi="宋体" w:eastAsia="宋体" w:cs="宋体"/>
          <w:b/>
          <w:bCs/>
          <w:kern w:val="0"/>
          <w:sz w:val="24"/>
          <w:szCs w:val="24"/>
          <w:highlight w:val="none"/>
          <w:lang w:val="en-US" w:eastAsia="zh-CN"/>
        </w:rPr>
        <w:t>复印件并加盖公章</w:t>
      </w:r>
      <w:r>
        <w:rPr>
          <w:rFonts w:hint="eastAsia" w:ascii="宋体" w:hAnsi="宋体" w:eastAsia="宋体" w:cs="宋体"/>
          <w:kern w:val="0"/>
          <w:sz w:val="24"/>
          <w:szCs w:val="24"/>
          <w:highlight w:val="none"/>
        </w:rPr>
        <w:t>。</w:t>
      </w:r>
    </w:p>
    <w:p>
      <w:pPr>
        <w:keepNext w:val="0"/>
        <w:keepLines w:val="0"/>
        <w:pageBreakBefore w:val="0"/>
        <w:numPr>
          <w:ilvl w:val="0"/>
          <w:numId w:val="142"/>
        </w:numPr>
        <w:tabs>
          <w:tab w:val="left" w:pos="1260"/>
          <w:tab w:val="clear" w:pos="420"/>
        </w:tabs>
        <w:kinsoku/>
        <w:wordWrap/>
        <w:overflowPunct/>
        <w:topLinePunct w:val="0"/>
        <w:autoSpaceDE w:val="0"/>
        <w:autoSpaceDN w:val="0"/>
        <w:bidi w:val="0"/>
        <w:adjustRightInd w:val="0"/>
        <w:spacing w:line="360" w:lineRule="auto"/>
        <w:ind w:left="1260" w:leftChars="0" w:hanging="1260" w:firstLineChars="0"/>
        <w:rPr>
          <w:rFonts w:hint="eastAsia" w:ascii="宋体" w:hAnsi="宋体" w:eastAsia="宋体" w:cs="宋体"/>
          <w:kern w:val="0"/>
          <w:sz w:val="24"/>
          <w:szCs w:val="24"/>
        </w:rPr>
      </w:pPr>
      <w:r>
        <w:rPr>
          <w:rFonts w:hint="eastAsia" w:ascii="宋体" w:hAnsi="宋体" w:eastAsia="宋体" w:cs="宋体"/>
          <w:kern w:val="0"/>
          <w:sz w:val="24"/>
          <w:szCs w:val="24"/>
        </w:rPr>
        <w:t>侧板、梯蹬材质为生长期五年以上的竹料并经防腐、防蛀、干燥处理。</w:t>
      </w:r>
    </w:p>
    <w:p>
      <w:pPr>
        <w:keepNext w:val="0"/>
        <w:keepLines w:val="0"/>
        <w:pageBreakBefore w:val="0"/>
        <w:numPr>
          <w:ilvl w:val="0"/>
          <w:numId w:val="142"/>
        </w:numPr>
        <w:tabs>
          <w:tab w:val="left" w:pos="1260"/>
          <w:tab w:val="clear" w:pos="420"/>
        </w:tabs>
        <w:kinsoku/>
        <w:wordWrap/>
        <w:overflowPunct/>
        <w:topLinePunct w:val="0"/>
        <w:autoSpaceDE w:val="0"/>
        <w:autoSpaceDN w:val="0"/>
        <w:bidi w:val="0"/>
        <w:adjustRightInd w:val="0"/>
        <w:spacing w:line="360" w:lineRule="auto"/>
        <w:ind w:left="1260" w:leftChars="0" w:hanging="1260" w:firstLineChars="0"/>
        <w:rPr>
          <w:rFonts w:hint="eastAsia" w:ascii="宋体" w:hAnsi="宋体" w:eastAsia="宋体" w:cs="宋体"/>
          <w:kern w:val="0"/>
          <w:sz w:val="24"/>
          <w:szCs w:val="24"/>
        </w:rPr>
      </w:pPr>
      <w:r>
        <w:rPr>
          <w:rFonts w:hint="eastAsia" w:ascii="宋体" w:hAnsi="宋体" w:eastAsia="宋体" w:cs="宋体"/>
          <w:kern w:val="0"/>
          <w:sz w:val="24"/>
          <w:szCs w:val="24"/>
        </w:rPr>
        <w:t>工作长度6±0.2m，合并高度3.75±0.2m。</w:t>
      </w:r>
    </w:p>
    <w:p>
      <w:pPr>
        <w:keepNext w:val="0"/>
        <w:keepLines w:val="0"/>
        <w:pageBreakBefore w:val="0"/>
        <w:numPr>
          <w:ilvl w:val="0"/>
          <w:numId w:val="142"/>
        </w:numPr>
        <w:tabs>
          <w:tab w:val="left" w:pos="1260"/>
          <w:tab w:val="clear" w:pos="420"/>
        </w:tabs>
        <w:kinsoku/>
        <w:wordWrap/>
        <w:overflowPunct/>
        <w:topLinePunct w:val="0"/>
        <w:autoSpaceDE w:val="0"/>
        <w:autoSpaceDN w:val="0"/>
        <w:bidi w:val="0"/>
        <w:adjustRightInd w:val="0"/>
        <w:spacing w:line="360" w:lineRule="auto"/>
        <w:ind w:left="1260" w:leftChars="0" w:hanging="1260" w:firstLineChars="0"/>
        <w:rPr>
          <w:rFonts w:hint="eastAsia" w:ascii="宋体" w:hAnsi="宋体" w:eastAsia="宋体" w:cs="宋体"/>
          <w:kern w:val="0"/>
          <w:sz w:val="24"/>
          <w:szCs w:val="24"/>
        </w:rPr>
      </w:pPr>
      <w:r>
        <w:rPr>
          <w:rFonts w:hint="eastAsia" w:ascii="宋体" w:hAnsi="宋体" w:eastAsia="宋体" w:cs="宋体"/>
          <w:kern w:val="0"/>
          <w:sz w:val="24"/>
          <w:szCs w:val="24"/>
        </w:rPr>
        <w:t>最小梯宽300±3mm。</w:t>
      </w:r>
    </w:p>
    <w:p>
      <w:pPr>
        <w:keepNext w:val="0"/>
        <w:keepLines w:val="0"/>
        <w:pageBreakBefore w:val="0"/>
        <w:numPr>
          <w:ilvl w:val="0"/>
          <w:numId w:val="142"/>
        </w:numPr>
        <w:tabs>
          <w:tab w:val="left" w:pos="1260"/>
          <w:tab w:val="clear" w:pos="420"/>
        </w:tabs>
        <w:kinsoku/>
        <w:wordWrap/>
        <w:overflowPunct/>
        <w:topLinePunct w:val="0"/>
        <w:autoSpaceDE w:val="0"/>
        <w:autoSpaceDN w:val="0"/>
        <w:bidi w:val="0"/>
        <w:adjustRightInd w:val="0"/>
        <w:spacing w:line="360" w:lineRule="auto"/>
        <w:ind w:left="1260" w:leftChars="0" w:hanging="1260" w:firstLineChars="0"/>
        <w:rPr>
          <w:rFonts w:hint="eastAsia" w:ascii="宋体" w:hAnsi="宋体" w:eastAsia="宋体" w:cs="宋体"/>
          <w:kern w:val="0"/>
          <w:sz w:val="24"/>
          <w:szCs w:val="24"/>
        </w:rPr>
      </w:pPr>
      <w:r>
        <w:rPr>
          <w:rFonts w:hint="eastAsia" w:ascii="宋体" w:hAnsi="宋体" w:eastAsia="宋体" w:cs="宋体"/>
          <w:kern w:val="0"/>
          <w:sz w:val="24"/>
          <w:szCs w:val="24"/>
        </w:rPr>
        <w:t>梯蹬间距280±2mm。</w:t>
      </w:r>
    </w:p>
    <w:p>
      <w:pPr>
        <w:keepNext w:val="0"/>
        <w:keepLines w:val="0"/>
        <w:pageBreakBefore w:val="0"/>
        <w:numPr>
          <w:ilvl w:val="0"/>
          <w:numId w:val="142"/>
        </w:numPr>
        <w:tabs>
          <w:tab w:val="left" w:pos="1260"/>
          <w:tab w:val="clear" w:pos="420"/>
        </w:tabs>
        <w:kinsoku/>
        <w:wordWrap/>
        <w:overflowPunct/>
        <w:topLinePunct w:val="0"/>
        <w:autoSpaceDE w:val="0"/>
        <w:autoSpaceDN w:val="0"/>
        <w:bidi w:val="0"/>
        <w:adjustRightInd w:val="0"/>
        <w:spacing w:line="360" w:lineRule="auto"/>
        <w:ind w:left="1260" w:leftChars="0" w:hanging="1260" w:firstLineChars="0"/>
        <w:rPr>
          <w:rFonts w:hint="eastAsia" w:ascii="宋体" w:hAnsi="宋体" w:eastAsia="宋体" w:cs="宋体"/>
          <w:kern w:val="0"/>
          <w:sz w:val="24"/>
          <w:szCs w:val="24"/>
        </w:rPr>
      </w:pPr>
      <w:r>
        <w:rPr>
          <w:sz w:val="24"/>
        </w:rPr>
        <mc:AlternateContent>
          <mc:Choice Requires="wps">
            <w:drawing>
              <wp:anchor distT="0" distB="0" distL="114300" distR="114300" simplePos="0" relativeHeight="251683840" behindDoc="0" locked="0" layoutInCell="1" allowOverlap="1">
                <wp:simplePos x="0" y="0"/>
                <wp:positionH relativeFrom="column">
                  <wp:posOffset>-342900</wp:posOffset>
                </wp:positionH>
                <wp:positionV relativeFrom="paragraph">
                  <wp:posOffset>27940</wp:posOffset>
                </wp:positionV>
                <wp:extent cx="313690" cy="285750"/>
                <wp:effectExtent l="0" t="0" r="10160" b="0"/>
                <wp:wrapNone/>
                <wp:docPr id="26" name="文本框 26"/>
                <wp:cNvGraphicFramePr/>
                <a:graphic xmlns:a="http://schemas.openxmlformats.org/drawingml/2006/main">
                  <a:graphicData uri="http://schemas.microsoft.com/office/word/2010/wordprocessingShape">
                    <wps:wsp>
                      <wps:cNvSpPr txBox="1"/>
                      <wps:spPr>
                        <a:xfrm>
                          <a:off x="365760" y="5173345"/>
                          <a:ext cx="313690"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2.2pt;height:22.5pt;width:24.7pt;z-index:251683840;mso-width-relative:page;mso-height-relative:page;" fillcolor="#FFFFFF [3201]" filled="t" stroked="f" coordsize="21600,21600" o:gfxdata="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g3+ZdIAAAAH&#10;AQAADwAAAAAAAAABACAAAAAiAAAAZHJzL2Rvd25yZXYueG1sUEsBAhQAFAAAAAgAh07iQHrYdoJb&#10;AgAAmwQAAA4AAAAAAAAAAQAgAAAAIQEAAGRycy9lMm9Eb2MueG1sUEsFBgAAAAAGAAYAWQEAAO4F&#10;A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kern w:val="0"/>
          <w:sz w:val="24"/>
          <w:szCs w:val="24"/>
        </w:rPr>
        <w:t>整梯质量≤29kg。</w:t>
      </w:r>
    </w:p>
    <w:p>
      <w:pPr>
        <w:keepNext w:val="0"/>
        <w:keepLines w:val="0"/>
        <w:pageBreakBefore w:val="0"/>
        <w:numPr>
          <w:ilvl w:val="0"/>
          <w:numId w:val="142"/>
        </w:numPr>
        <w:tabs>
          <w:tab w:val="left" w:pos="1260"/>
          <w:tab w:val="clear" w:pos="420"/>
        </w:tabs>
        <w:kinsoku/>
        <w:wordWrap/>
        <w:overflowPunct/>
        <w:topLinePunct w:val="0"/>
        <w:autoSpaceDE w:val="0"/>
        <w:autoSpaceDN w:val="0"/>
        <w:bidi w:val="0"/>
        <w:adjustRightInd w:val="0"/>
        <w:spacing w:line="360" w:lineRule="auto"/>
        <w:ind w:left="1260" w:leftChars="0" w:hanging="1260" w:firstLineChars="0"/>
        <w:rPr>
          <w:rFonts w:hint="eastAsia" w:ascii="宋体" w:hAnsi="宋体" w:eastAsia="宋体" w:cs="宋体"/>
          <w:kern w:val="0"/>
          <w:sz w:val="24"/>
          <w:szCs w:val="24"/>
        </w:rPr>
      </w:pPr>
      <w:r>
        <w:rPr>
          <w:rFonts w:hint="eastAsia" w:ascii="宋体" w:hAnsi="宋体" w:eastAsia="宋体" w:cs="宋体"/>
          <w:kern w:val="0"/>
          <w:sz w:val="24"/>
          <w:szCs w:val="24"/>
        </w:rPr>
        <w:t>水平弯曲残余变形比值≤0.05%。</w:t>
      </w:r>
    </w:p>
    <w:p>
      <w:pPr>
        <w:keepNext w:val="0"/>
        <w:keepLines w:val="0"/>
        <w:pageBreakBefore w:val="0"/>
        <w:numPr>
          <w:ilvl w:val="0"/>
          <w:numId w:val="142"/>
        </w:numPr>
        <w:tabs>
          <w:tab w:val="left" w:pos="1260"/>
          <w:tab w:val="clear" w:pos="420"/>
        </w:tabs>
        <w:kinsoku/>
        <w:wordWrap/>
        <w:overflowPunct/>
        <w:topLinePunct w:val="0"/>
        <w:autoSpaceDE w:val="0"/>
        <w:autoSpaceDN w:val="0"/>
        <w:bidi w:val="0"/>
        <w:adjustRightInd w:val="0"/>
        <w:spacing w:line="360" w:lineRule="auto"/>
        <w:ind w:left="1260" w:leftChars="0" w:hanging="1260" w:firstLineChars="0"/>
        <w:rPr>
          <w:rFonts w:hint="eastAsia" w:ascii="宋体" w:hAnsi="宋体" w:eastAsia="宋体" w:cs="宋体"/>
          <w:kern w:val="0"/>
          <w:sz w:val="24"/>
          <w:szCs w:val="24"/>
        </w:rPr>
      </w:pPr>
      <w:r>
        <w:rPr>
          <w:rFonts w:hint="eastAsia" w:ascii="宋体" w:hAnsi="宋体" w:eastAsia="宋体" w:cs="宋体"/>
          <w:kern w:val="0"/>
          <w:sz w:val="24"/>
          <w:szCs w:val="24"/>
        </w:rPr>
        <w:t>拉梯进行单撑脚载荷试验后，撑脚及联接件不出现松动、损伤及变形。</w:t>
      </w:r>
    </w:p>
    <w:p>
      <w:pPr>
        <w:keepNext w:val="0"/>
        <w:keepLines w:val="0"/>
        <w:pageBreakBefore w:val="0"/>
        <w:numPr>
          <w:ilvl w:val="0"/>
          <w:numId w:val="142"/>
        </w:numPr>
        <w:tabs>
          <w:tab w:val="left" w:pos="1260"/>
          <w:tab w:val="clear" w:pos="420"/>
        </w:tabs>
        <w:kinsoku/>
        <w:wordWrap/>
        <w:overflowPunct/>
        <w:topLinePunct w:val="0"/>
        <w:autoSpaceDE w:val="0"/>
        <w:autoSpaceDN w:val="0"/>
        <w:bidi w:val="0"/>
        <w:adjustRightInd w:val="0"/>
        <w:spacing w:line="360" w:lineRule="auto"/>
        <w:ind w:left="1260" w:leftChars="0" w:hanging="1260" w:firstLineChars="0"/>
        <w:rPr>
          <w:rFonts w:hint="eastAsia" w:ascii="宋体" w:hAnsi="宋体" w:eastAsia="宋体" w:cs="宋体"/>
          <w:kern w:val="0"/>
          <w:sz w:val="24"/>
          <w:szCs w:val="24"/>
        </w:rPr>
      </w:pPr>
      <w:r>
        <w:rPr>
          <w:rFonts w:hint="eastAsia" w:ascii="宋体" w:hAnsi="宋体" w:eastAsia="宋体" w:cs="宋体"/>
          <w:kern w:val="0"/>
          <w:sz w:val="24"/>
          <w:szCs w:val="24"/>
        </w:rPr>
        <w:t>抗冲击性能试验时，撑脚支撑功能始终正常，撑脚及梯蹬无明显变形和损坏。</w:t>
      </w:r>
    </w:p>
    <w:p>
      <w:pPr>
        <w:keepNext w:val="0"/>
        <w:keepLines w:val="0"/>
        <w:pageBreakBefore w:val="0"/>
        <w:numPr>
          <w:ilvl w:val="0"/>
          <w:numId w:val="142"/>
        </w:numPr>
        <w:tabs>
          <w:tab w:val="left" w:pos="1260"/>
          <w:tab w:val="clear" w:pos="420"/>
        </w:tabs>
        <w:kinsoku/>
        <w:wordWrap/>
        <w:overflowPunct/>
        <w:topLinePunct w:val="0"/>
        <w:autoSpaceDE w:val="0"/>
        <w:autoSpaceDN w:val="0"/>
        <w:bidi w:val="0"/>
        <w:adjustRightInd w:val="0"/>
        <w:spacing w:line="360" w:lineRule="auto"/>
        <w:ind w:left="1260" w:leftChars="0" w:hanging="1260" w:firstLineChars="0"/>
        <w:rPr>
          <w:rFonts w:hint="eastAsia" w:ascii="宋体" w:hAnsi="宋体" w:eastAsia="宋体" w:cs="宋体"/>
          <w:kern w:val="0"/>
          <w:sz w:val="24"/>
          <w:szCs w:val="24"/>
        </w:rPr>
      </w:pPr>
      <w:r>
        <w:rPr>
          <w:rFonts w:hint="eastAsia" w:ascii="宋体" w:hAnsi="宋体" w:eastAsia="宋体" w:cs="宋体"/>
          <w:kern w:val="0"/>
          <w:sz w:val="24"/>
          <w:szCs w:val="24"/>
        </w:rPr>
        <w:t>消防梯右侧板上铭牌标有“执行标准、名称、规格型号、梯蹬间距、整梯质量；商标、厂名、厂址、生产日期或批号、使用须知”等规定。</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挂钩梯</w:t>
      </w:r>
    </w:p>
    <w:p>
      <w:pPr>
        <w:keepNext w:val="0"/>
        <w:keepLines w:val="0"/>
        <w:pageBreakBefore w:val="0"/>
        <w:numPr>
          <w:ilvl w:val="0"/>
          <w:numId w:val="14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kern w:val="0"/>
          <w:sz w:val="24"/>
          <w:szCs w:val="24"/>
        </w:rPr>
      </w:pPr>
      <w:r>
        <w:rPr>
          <w:sz w:val="24"/>
        </w:rPr>
        <mc:AlternateContent>
          <mc:Choice Requires="wps">
            <w:drawing>
              <wp:anchor distT="0" distB="0" distL="114300" distR="114300" simplePos="0" relativeHeight="251682816" behindDoc="0" locked="0" layoutInCell="1" allowOverlap="1">
                <wp:simplePos x="0" y="0"/>
                <wp:positionH relativeFrom="column">
                  <wp:posOffset>-333375</wp:posOffset>
                </wp:positionH>
                <wp:positionV relativeFrom="paragraph">
                  <wp:posOffset>12700</wp:posOffset>
                </wp:positionV>
                <wp:extent cx="257175" cy="247015"/>
                <wp:effectExtent l="0" t="0" r="9525" b="635"/>
                <wp:wrapNone/>
                <wp:docPr id="25" name="文本框 25"/>
                <wp:cNvGraphicFramePr/>
                <a:graphic xmlns:a="http://schemas.openxmlformats.org/drawingml/2006/main">
                  <a:graphicData uri="http://schemas.microsoft.com/office/word/2010/wordprocessingShape">
                    <wps:wsp>
                      <wps:cNvSpPr txBox="1"/>
                      <wps:spPr>
                        <a:xfrm>
                          <a:off x="422910" y="7446010"/>
                          <a:ext cx="257175" cy="2470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5pt;margin-top:1pt;height:19.45pt;width:20.25pt;z-index:251682816;mso-width-relative:page;mso-height-relative:page;" fillcolor="#FFFFFF [3201]" filled="t" stroked="f" coordsize="21600,21600" o:gfxdata="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0mbaqdQA&#10;AAAIAQAADwAAAAAAAAABACAAAAAiAAAAZHJzL2Rvd25yZXYueG1sUEsBAhQAFAAAAAgAh07iQIxv&#10;g6hcAgAAmwQAAA4AAAAAAAAAAQAgAAAAIwEAAGRycy9lMm9Eb2MueG1sUEsFBgAAAAAGAAYAWQEA&#10;APEFA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kern w:val="0"/>
          <w:sz w:val="24"/>
          <w:szCs w:val="24"/>
        </w:rPr>
        <w:t>符合GA137-2007《消防梯》标准要求。</w:t>
      </w:r>
      <w:r>
        <w:rPr>
          <w:rFonts w:hint="eastAsia" w:ascii="宋体" w:hAnsi="宋体" w:eastAsia="宋体" w:cs="宋体"/>
          <w:b/>
          <w:bCs/>
          <w:kern w:val="0"/>
          <w:sz w:val="24"/>
          <w:szCs w:val="24"/>
          <w:highlight w:val="none"/>
        </w:rPr>
        <w:t>提供检测报告</w:t>
      </w:r>
      <w:r>
        <w:rPr>
          <w:rFonts w:hint="eastAsia" w:ascii="宋体" w:hAnsi="宋体" w:eastAsia="宋体" w:cs="宋体"/>
          <w:b/>
          <w:bCs/>
          <w:kern w:val="0"/>
          <w:sz w:val="24"/>
          <w:szCs w:val="24"/>
          <w:highlight w:val="none"/>
          <w:lang w:val="en-US" w:eastAsia="zh-CN"/>
        </w:rPr>
        <w:t>复印件并加盖公章</w:t>
      </w:r>
      <w:r>
        <w:rPr>
          <w:rFonts w:hint="eastAsia" w:ascii="宋体" w:hAnsi="宋体" w:eastAsia="宋体" w:cs="宋体"/>
          <w:b/>
          <w:bCs/>
          <w:kern w:val="0"/>
          <w:sz w:val="24"/>
          <w:szCs w:val="24"/>
          <w:highlight w:val="none"/>
        </w:rPr>
        <w:t>。</w:t>
      </w:r>
    </w:p>
    <w:p>
      <w:pPr>
        <w:keepNext w:val="0"/>
        <w:keepLines w:val="0"/>
        <w:pageBreakBefore w:val="0"/>
        <w:numPr>
          <w:ilvl w:val="0"/>
          <w:numId w:val="14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kern w:val="0"/>
          <w:sz w:val="24"/>
          <w:szCs w:val="24"/>
        </w:rPr>
      </w:pPr>
      <w:r>
        <w:rPr>
          <w:rFonts w:hint="eastAsia" w:ascii="宋体" w:hAnsi="宋体" w:eastAsia="宋体" w:cs="宋体"/>
          <w:kern w:val="0"/>
          <w:sz w:val="24"/>
          <w:szCs w:val="24"/>
        </w:rPr>
        <w:t>侧板、梯蹬材质为生长期五年以上的竹料并经防腐、防蛀、干燥处理。</w:t>
      </w:r>
    </w:p>
    <w:p>
      <w:pPr>
        <w:keepNext w:val="0"/>
        <w:keepLines w:val="0"/>
        <w:pageBreakBefore w:val="0"/>
        <w:numPr>
          <w:ilvl w:val="0"/>
          <w:numId w:val="14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kern w:val="0"/>
          <w:sz w:val="24"/>
          <w:szCs w:val="24"/>
        </w:rPr>
      </w:pPr>
      <w:r>
        <w:rPr>
          <w:rFonts w:hint="eastAsia" w:ascii="宋体" w:hAnsi="宋体" w:eastAsia="宋体" w:cs="宋体"/>
          <w:kern w:val="0"/>
          <w:sz w:val="24"/>
          <w:szCs w:val="24"/>
        </w:rPr>
        <w:t>工作长度4±0.1m。</w:t>
      </w:r>
    </w:p>
    <w:p>
      <w:pPr>
        <w:keepNext w:val="0"/>
        <w:keepLines w:val="0"/>
        <w:pageBreakBefore w:val="0"/>
        <w:numPr>
          <w:ilvl w:val="0"/>
          <w:numId w:val="14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kern w:val="0"/>
          <w:sz w:val="24"/>
          <w:szCs w:val="24"/>
        </w:rPr>
      </w:pPr>
      <w:r>
        <w:rPr>
          <w:rFonts w:hint="eastAsia" w:ascii="宋体" w:hAnsi="宋体" w:eastAsia="宋体" w:cs="宋体"/>
          <w:kern w:val="0"/>
          <w:sz w:val="24"/>
          <w:szCs w:val="24"/>
        </w:rPr>
        <w:t>最小梯宽250±2mm。</w:t>
      </w:r>
    </w:p>
    <w:p>
      <w:pPr>
        <w:keepNext w:val="0"/>
        <w:keepLines w:val="0"/>
        <w:pageBreakBefore w:val="0"/>
        <w:numPr>
          <w:ilvl w:val="0"/>
          <w:numId w:val="14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kern w:val="0"/>
          <w:sz w:val="24"/>
          <w:szCs w:val="24"/>
        </w:rPr>
      </w:pPr>
      <w:r>
        <w:rPr>
          <w:rFonts w:hint="eastAsia" w:ascii="宋体" w:hAnsi="宋体" w:eastAsia="宋体" w:cs="宋体"/>
          <w:kern w:val="0"/>
          <w:sz w:val="24"/>
          <w:szCs w:val="24"/>
        </w:rPr>
        <w:t>梯蹬间距340±2mm。</w:t>
      </w:r>
    </w:p>
    <w:p>
      <w:pPr>
        <w:keepNext w:val="0"/>
        <w:keepLines w:val="0"/>
        <w:pageBreakBefore w:val="0"/>
        <w:numPr>
          <w:ilvl w:val="0"/>
          <w:numId w:val="14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kern w:val="0"/>
          <w:sz w:val="24"/>
          <w:szCs w:val="24"/>
        </w:rPr>
      </w:pPr>
      <w:r>
        <w:rPr>
          <w:sz w:val="24"/>
        </w:rPr>
        <mc:AlternateContent>
          <mc:Choice Requires="wps">
            <w:drawing>
              <wp:anchor distT="0" distB="0" distL="114300" distR="114300" simplePos="0" relativeHeight="251681792" behindDoc="0" locked="0" layoutInCell="1" allowOverlap="1">
                <wp:simplePos x="0" y="0"/>
                <wp:positionH relativeFrom="column">
                  <wp:posOffset>-323850</wp:posOffset>
                </wp:positionH>
                <wp:positionV relativeFrom="paragraph">
                  <wp:posOffset>31750</wp:posOffset>
                </wp:positionV>
                <wp:extent cx="266700" cy="247650"/>
                <wp:effectExtent l="0" t="0" r="0" b="0"/>
                <wp:wrapNone/>
                <wp:docPr id="24" name="文本框 24"/>
                <wp:cNvGraphicFramePr/>
                <a:graphic xmlns:a="http://schemas.openxmlformats.org/drawingml/2006/main">
                  <a:graphicData uri="http://schemas.microsoft.com/office/word/2010/wordprocessingShape">
                    <wps:wsp>
                      <wps:cNvSpPr txBox="1"/>
                      <wps:spPr>
                        <a:xfrm>
                          <a:off x="394335" y="8931910"/>
                          <a:ext cx="266700"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pt;margin-top:2.5pt;height:19.5pt;width:21pt;z-index:251681792;mso-width-relative:page;mso-height-relative:page;" fillcolor="#FFFFFF [3201]" filled="t" stroked="f" coordsize="21600,21600" o:gfxdata="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iFpQR0gAA&#10;AAcBAAAPAAAAAAAAAAEAIAAAACIAAABkcnMvZG93bnJldi54bWxQSwECFAAUAAAACACHTuJA5QEC&#10;NV0CAACbBAAADgAAAAAAAAABACAAAAAhAQAAZHJzL2Uyb0RvYy54bWxQSwUGAAAAAAYABgBZAQAA&#10;8AU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kern w:val="0"/>
          <w:sz w:val="24"/>
          <w:szCs w:val="24"/>
        </w:rPr>
        <w:t>整梯质量≤10.5kg。</w:t>
      </w:r>
    </w:p>
    <w:p>
      <w:pPr>
        <w:keepNext w:val="0"/>
        <w:keepLines w:val="0"/>
        <w:pageBreakBefore w:val="0"/>
        <w:numPr>
          <w:ilvl w:val="0"/>
          <w:numId w:val="14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kern w:val="0"/>
          <w:sz w:val="24"/>
          <w:szCs w:val="24"/>
        </w:rPr>
      </w:pPr>
      <w:r>
        <w:rPr>
          <w:rFonts w:hint="eastAsia" w:ascii="宋体" w:hAnsi="宋体" w:eastAsia="宋体" w:cs="宋体"/>
          <w:kern w:val="0"/>
          <w:sz w:val="24"/>
          <w:szCs w:val="24"/>
        </w:rPr>
        <w:t>水平弯曲残余变形比值≤0.05%。</w:t>
      </w:r>
    </w:p>
    <w:p>
      <w:pPr>
        <w:keepNext w:val="0"/>
        <w:keepLines w:val="0"/>
        <w:pageBreakBefore w:val="0"/>
        <w:numPr>
          <w:ilvl w:val="0"/>
          <w:numId w:val="14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kern w:val="0"/>
          <w:sz w:val="24"/>
          <w:szCs w:val="24"/>
        </w:rPr>
      </w:pPr>
      <w:r>
        <w:rPr>
          <w:rFonts w:hint="eastAsia" w:ascii="宋体" w:hAnsi="宋体" w:eastAsia="宋体" w:cs="宋体"/>
          <w:kern w:val="0"/>
          <w:sz w:val="24"/>
          <w:szCs w:val="24"/>
        </w:rPr>
        <w:t>梯蹬弯曲残余变形比值≤0.20%。</w:t>
      </w:r>
    </w:p>
    <w:p>
      <w:pPr>
        <w:keepNext w:val="0"/>
        <w:keepLines w:val="0"/>
        <w:pageBreakBefore w:val="0"/>
        <w:numPr>
          <w:ilvl w:val="0"/>
          <w:numId w:val="14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kern w:val="0"/>
          <w:sz w:val="24"/>
          <w:szCs w:val="24"/>
        </w:rPr>
      </w:pPr>
      <w:r>
        <w:rPr>
          <w:rFonts w:hint="eastAsia" w:ascii="宋体" w:hAnsi="宋体" w:eastAsia="宋体" w:cs="宋体"/>
          <w:kern w:val="0"/>
          <w:sz w:val="24"/>
          <w:szCs w:val="24"/>
        </w:rPr>
        <w:t>梯蹬剪切强度：梯蹬与侧板的连接处和梯蹬本身无任何断裂迹象。</w:t>
      </w:r>
    </w:p>
    <w:p>
      <w:pPr>
        <w:keepNext w:val="0"/>
        <w:keepLines w:val="0"/>
        <w:pageBreakBefore w:val="0"/>
        <w:numPr>
          <w:ilvl w:val="0"/>
          <w:numId w:val="14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kern w:val="0"/>
          <w:sz w:val="24"/>
          <w:szCs w:val="24"/>
        </w:rPr>
      </w:pPr>
      <w:r>
        <w:rPr>
          <w:rFonts w:hint="eastAsia" w:ascii="宋体" w:hAnsi="宋体" w:eastAsia="宋体" w:cs="宋体"/>
          <w:kern w:val="0"/>
          <w:sz w:val="24"/>
          <w:szCs w:val="24"/>
        </w:rPr>
        <w:t>挂钩强度试验后，不出现任何损伤、变形和裂纹。</w:t>
      </w:r>
    </w:p>
    <w:p>
      <w:pPr>
        <w:keepNext w:val="0"/>
        <w:keepLines w:val="0"/>
        <w:pageBreakBefore w:val="0"/>
        <w:numPr>
          <w:ilvl w:val="0"/>
          <w:numId w:val="14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kern w:val="0"/>
          <w:sz w:val="24"/>
          <w:szCs w:val="24"/>
        </w:rPr>
      </w:pPr>
      <w:r>
        <w:rPr>
          <w:rFonts w:hint="eastAsia" w:ascii="宋体" w:hAnsi="宋体" w:eastAsia="宋体" w:cs="宋体"/>
          <w:kern w:val="0"/>
          <w:sz w:val="24"/>
          <w:szCs w:val="24"/>
        </w:rPr>
        <w:t>梯节扭转角为：α顺：≤13°、α逆：≤13°。</w:t>
      </w:r>
    </w:p>
    <w:p>
      <w:pPr>
        <w:keepNext w:val="0"/>
        <w:keepLines w:val="0"/>
        <w:pageBreakBefore w:val="0"/>
        <w:numPr>
          <w:ilvl w:val="0"/>
          <w:numId w:val="14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kern w:val="0"/>
          <w:sz w:val="24"/>
          <w:szCs w:val="24"/>
        </w:rPr>
      </w:pPr>
      <w:r>
        <w:rPr>
          <w:rFonts w:hint="eastAsia" w:ascii="宋体" w:hAnsi="宋体" w:eastAsia="宋体" w:cs="宋体"/>
          <w:kern w:val="0"/>
          <w:sz w:val="24"/>
          <w:szCs w:val="24"/>
        </w:rPr>
        <w:t>侧摇摆试验残余变形比值≤0.10%。</w:t>
      </w:r>
    </w:p>
    <w:p>
      <w:pPr>
        <w:keepNext w:val="0"/>
        <w:keepLines w:val="0"/>
        <w:pageBreakBefore w:val="0"/>
        <w:numPr>
          <w:ilvl w:val="0"/>
          <w:numId w:val="14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kern w:val="0"/>
          <w:sz w:val="24"/>
          <w:szCs w:val="24"/>
        </w:rPr>
      </w:pPr>
      <w:r>
        <w:rPr>
          <w:rFonts w:hint="eastAsia" w:ascii="宋体" w:hAnsi="宋体" w:eastAsia="宋体" w:cs="宋体"/>
          <w:kern w:val="0"/>
          <w:sz w:val="24"/>
          <w:szCs w:val="24"/>
        </w:rPr>
        <w:t>粘牢合度试验时，通过浸泡、恒温、低温试验后无脱胶现象。</w:t>
      </w:r>
    </w:p>
    <w:p>
      <w:pPr>
        <w:keepNext w:val="0"/>
        <w:keepLines w:val="0"/>
        <w:pageBreakBefore w:val="0"/>
        <w:numPr>
          <w:ilvl w:val="0"/>
          <w:numId w:val="143"/>
        </w:numPr>
        <w:tabs>
          <w:tab w:val="clear" w:pos="420"/>
        </w:tabs>
        <w:kinsoku/>
        <w:wordWrap/>
        <w:overflowPunct/>
        <w:topLinePunct w:val="0"/>
        <w:autoSpaceDE w:val="0"/>
        <w:autoSpaceDN w:val="0"/>
        <w:bidi w:val="0"/>
        <w:adjustRightInd w:val="0"/>
        <w:spacing w:line="360" w:lineRule="auto"/>
        <w:ind w:left="1245" w:leftChars="0" w:hanging="1245" w:firstLineChars="0"/>
        <w:rPr>
          <w:rFonts w:hint="eastAsia" w:ascii="宋体" w:hAnsi="宋体" w:eastAsia="宋体" w:cs="宋体"/>
          <w:kern w:val="0"/>
          <w:sz w:val="24"/>
          <w:szCs w:val="24"/>
        </w:rPr>
      </w:pPr>
      <w:r>
        <w:rPr>
          <w:rFonts w:hint="eastAsia" w:ascii="宋体" w:hAnsi="宋体" w:eastAsia="宋体" w:cs="宋体"/>
          <w:kern w:val="0"/>
          <w:sz w:val="24"/>
          <w:szCs w:val="24"/>
        </w:rPr>
        <w:t>消防梯右侧板上铭牌标有“执行标准、名称、规格型号、梯蹬间距、整梯质量；商标、厂名、厂址、生产日期或批号、使用须知”等规定。</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伸缩梯</w:t>
      </w:r>
    </w:p>
    <w:p>
      <w:pPr>
        <w:keepNext w:val="0"/>
        <w:keepLines w:val="0"/>
        <w:pageBreakBefore w:val="0"/>
        <w:widowControl/>
        <w:numPr>
          <w:ilvl w:val="0"/>
          <w:numId w:val="144"/>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铝合金材质；</w:t>
      </w:r>
    </w:p>
    <w:p>
      <w:pPr>
        <w:keepNext w:val="0"/>
        <w:keepLines w:val="0"/>
        <w:pageBreakBefore w:val="0"/>
        <w:widowControl/>
        <w:numPr>
          <w:ilvl w:val="0"/>
          <w:numId w:val="144"/>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伸缩高度≥6米；</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绝缘剪断钳</w:t>
      </w:r>
    </w:p>
    <w:p>
      <w:pPr>
        <w:numPr>
          <w:ilvl w:val="0"/>
          <w:numId w:val="145"/>
        </w:numPr>
        <w:tabs>
          <w:tab w:val="clear" w:pos="420"/>
        </w:tabs>
        <w:bidi w:val="0"/>
        <w:spacing w:line="360" w:lineRule="auto"/>
        <w:ind w:left="1245" w:leftChars="0" w:hanging="1245" w:firstLineChars="0"/>
        <w:rPr>
          <w:rFonts w:hint="eastAsia"/>
          <w:b/>
          <w:bCs w:val="0"/>
          <w:sz w:val="24"/>
          <w:szCs w:val="24"/>
        </w:rPr>
      </w:pPr>
      <w:r>
        <w:rPr>
          <w:rFonts w:hint="eastAsia" w:ascii="宋体" w:hAnsi="宋体" w:eastAsia="宋体" w:cs="宋体"/>
          <w:color w:val="000000"/>
          <w:kern w:val="0"/>
          <w:sz w:val="24"/>
          <w:szCs w:val="24"/>
          <w:lang w:val="en-US" w:eastAsia="zh-CN"/>
        </w:rPr>
        <w:t>符合QB/T2206-2011标准，剪刃口硬度HRC55-60，绝缘380V，剪柄（橡胶）耐电压3000V，规格600mm。</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救生担架</w:t>
      </w:r>
    </w:p>
    <w:p>
      <w:pPr>
        <w:keepNext w:val="0"/>
        <w:keepLines w:val="0"/>
        <w:pageBreakBefore w:val="0"/>
        <w:widowControl/>
        <w:numPr>
          <w:ilvl w:val="0"/>
          <w:numId w:val="146"/>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该产品框架采用优质铝合金材料制成，担架面是600D、PVC涂层牛津布。</w:t>
      </w:r>
    </w:p>
    <w:p>
      <w:pPr>
        <w:keepNext w:val="0"/>
        <w:keepLines w:val="0"/>
        <w:pageBreakBefore w:val="0"/>
        <w:widowControl/>
        <w:numPr>
          <w:ilvl w:val="0"/>
          <w:numId w:val="146"/>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配有2个支腿和2个脚轮。</w:t>
      </w:r>
    </w:p>
    <w:p>
      <w:pPr>
        <w:keepNext w:val="0"/>
        <w:keepLines w:val="0"/>
        <w:pageBreakBefore w:val="0"/>
        <w:widowControl/>
        <w:numPr>
          <w:ilvl w:val="0"/>
          <w:numId w:val="146"/>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便于携带和储存，使用灵活，安全可靠。</w:t>
      </w:r>
    </w:p>
    <w:p>
      <w:pPr>
        <w:keepNext w:val="0"/>
        <w:keepLines w:val="0"/>
        <w:pageBreakBefore w:val="0"/>
        <w:widowControl/>
        <w:numPr>
          <w:ilvl w:val="0"/>
          <w:numId w:val="146"/>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易清洗消毒。</w:t>
      </w:r>
    </w:p>
    <w:p>
      <w:pPr>
        <w:keepNext w:val="0"/>
        <w:keepLines w:val="0"/>
        <w:pageBreakBefore w:val="0"/>
        <w:widowControl/>
        <w:numPr>
          <w:ilvl w:val="0"/>
          <w:numId w:val="146"/>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展开尺寸(长*宽*高)：185*50*20CM；</w:t>
      </w:r>
    </w:p>
    <w:p>
      <w:pPr>
        <w:keepNext w:val="0"/>
        <w:keepLines w:val="0"/>
        <w:pageBreakBefore w:val="0"/>
        <w:widowControl/>
        <w:numPr>
          <w:ilvl w:val="0"/>
          <w:numId w:val="146"/>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折叠尺寸(长*宽*高)：92*50*9CM；</w:t>
      </w:r>
    </w:p>
    <w:p>
      <w:pPr>
        <w:keepNext w:val="0"/>
        <w:keepLines w:val="0"/>
        <w:pageBreakBefore w:val="0"/>
        <w:widowControl/>
        <w:numPr>
          <w:ilvl w:val="0"/>
          <w:numId w:val="146"/>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自重：7kg；</w:t>
      </w:r>
    </w:p>
    <w:p>
      <w:pPr>
        <w:keepNext w:val="0"/>
        <w:keepLines w:val="0"/>
        <w:pageBreakBefore w:val="0"/>
        <w:widowControl/>
        <w:numPr>
          <w:ilvl w:val="0"/>
          <w:numId w:val="146"/>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承重：160kg；</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防蜂服</w:t>
      </w:r>
    </w:p>
    <w:p>
      <w:pPr>
        <w:keepNext w:val="0"/>
        <w:keepLines w:val="0"/>
        <w:pageBreakBefore w:val="0"/>
        <w:widowControl/>
        <w:numPr>
          <w:ilvl w:val="0"/>
          <w:numId w:val="147"/>
        </w:numPr>
        <w:suppressLineNumbers w:val="0"/>
        <w:kinsoku/>
        <w:wordWrap/>
        <w:overflowPunct/>
        <w:topLinePunct w:val="0"/>
        <w:bidi w:val="0"/>
        <w:spacing w:line="360" w:lineRule="auto"/>
        <w:ind w:left="425" w:leftChars="0" w:hanging="425"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该服装由多层高压耐刺穿面料组成，具有密封、耐磨、轻便、高强力等特性。</w:t>
      </w:r>
    </w:p>
    <w:p>
      <w:pPr>
        <w:keepNext w:val="0"/>
        <w:keepLines w:val="0"/>
        <w:pageBreakBefore w:val="0"/>
        <w:widowControl/>
        <w:numPr>
          <w:ilvl w:val="0"/>
          <w:numId w:val="147"/>
        </w:numPr>
        <w:suppressLineNumbers w:val="0"/>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衣服整体为白色，可有效形成保护色，不易引起蜂群攻击。由网状外凸头罩，衣、裤、手套、靴等组成。</w:t>
      </w:r>
    </w:p>
    <w:p>
      <w:pPr>
        <w:keepNext w:val="0"/>
        <w:keepLines w:val="0"/>
        <w:pageBreakBefore w:val="0"/>
        <w:widowControl/>
        <w:numPr>
          <w:ilvl w:val="0"/>
          <w:numId w:val="147"/>
        </w:numPr>
        <w:suppressLineNumbers w:val="0"/>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面罩由加密不锈钢网制作，具有透气性好，视野清晰、耐折、耐压、回弹性好等特点。</w:t>
      </w:r>
    </w:p>
    <w:p>
      <w:pPr>
        <w:keepNext w:val="0"/>
        <w:keepLines w:val="0"/>
        <w:pageBreakBefore w:val="0"/>
        <w:widowControl/>
        <w:numPr>
          <w:ilvl w:val="0"/>
          <w:numId w:val="147"/>
        </w:numPr>
        <w:suppressLineNumbers w:val="0"/>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手套灵巧，防蛰刺效果好。运动式防蜂靴，轻便合脚舒适。</w:t>
      </w:r>
    </w:p>
    <w:p>
      <w:pPr>
        <w:keepNext w:val="0"/>
        <w:keepLines w:val="0"/>
        <w:pageBreakBefore w:val="0"/>
        <w:widowControl/>
        <w:numPr>
          <w:ilvl w:val="0"/>
          <w:numId w:val="147"/>
        </w:numPr>
        <w:suppressLineNumbers w:val="0"/>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整体抗刺穿性能≥1.5N；</w:t>
      </w:r>
    </w:p>
    <w:p>
      <w:pPr>
        <w:keepNext w:val="0"/>
        <w:keepLines w:val="0"/>
        <w:pageBreakBefore w:val="0"/>
        <w:widowControl/>
        <w:numPr>
          <w:ilvl w:val="0"/>
          <w:numId w:val="147"/>
        </w:numPr>
        <w:suppressLineNumbers w:val="0"/>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i w:val="0"/>
          <w:iCs w:val="0"/>
          <w:color w:val="000000"/>
          <w:kern w:val="0"/>
          <w:sz w:val="24"/>
          <w:szCs w:val="24"/>
          <w:u w:val="none"/>
          <w:lang w:val="en-US" w:eastAsia="zh-CN" w:bidi="ar"/>
        </w:rPr>
      </w:pPr>
      <w:r>
        <w:rPr>
          <w:sz w:val="24"/>
        </w:rPr>
        <mc:AlternateContent>
          <mc:Choice Requires="wps">
            <w:drawing>
              <wp:anchor distT="0" distB="0" distL="114300" distR="114300" simplePos="0" relativeHeight="251680768" behindDoc="0" locked="0" layoutInCell="1" allowOverlap="1">
                <wp:simplePos x="0" y="0"/>
                <wp:positionH relativeFrom="column">
                  <wp:posOffset>-352425</wp:posOffset>
                </wp:positionH>
                <wp:positionV relativeFrom="paragraph">
                  <wp:posOffset>33655</wp:posOffset>
                </wp:positionV>
                <wp:extent cx="257175" cy="238125"/>
                <wp:effectExtent l="0" t="0" r="9525" b="9525"/>
                <wp:wrapNone/>
                <wp:docPr id="20" name="文本框 20"/>
                <wp:cNvGraphicFramePr/>
                <a:graphic xmlns:a="http://schemas.openxmlformats.org/drawingml/2006/main">
                  <a:graphicData uri="http://schemas.microsoft.com/office/word/2010/wordprocessingShape">
                    <wps:wsp>
                      <wps:cNvSpPr txBox="1"/>
                      <wps:spPr>
                        <a:xfrm>
                          <a:off x="422910" y="1386205"/>
                          <a:ext cx="257175" cy="2381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5pt;margin-top:2.65pt;height:18.75pt;width:20.25pt;z-index:251680768;mso-width-relative:page;mso-height-relative:page;" fillcolor="#FFFFFF [3201]" filled="t" stroked="f" coordsize="21600,21600" o:gfxdata="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rY9TbU&#10;AAAACAEAAA8AAAAAAAAAAQAgAAAAIgAAAGRycy9kb3ducmV2LnhtbFBLAQIUABQAAAAIAIdO4kCP&#10;V47lXQIAAJsEAAAOAAAAAAAAAAEAIAAAACMBAABkcnMvZTJvRG9jLnhtbFBLBQYAAAAABgAGAFkB&#10;AADyBQ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i w:val="0"/>
          <w:iCs w:val="0"/>
          <w:color w:val="000000"/>
          <w:kern w:val="0"/>
          <w:sz w:val="24"/>
          <w:szCs w:val="24"/>
          <w:u w:val="none"/>
          <w:lang w:val="en-US" w:eastAsia="zh-CN" w:bidi="ar"/>
        </w:rPr>
        <w:t>外层面料撕破强力≥60N；外层面料断裂强力≥650N。</w:t>
      </w:r>
    </w:p>
    <w:p>
      <w:pPr>
        <w:keepNext w:val="0"/>
        <w:keepLines w:val="0"/>
        <w:pageBreakBefore w:val="0"/>
        <w:widowControl/>
        <w:numPr>
          <w:ilvl w:val="0"/>
          <w:numId w:val="147"/>
        </w:numPr>
        <w:suppressLineNumbers w:val="0"/>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手套耐切割性能≥2N；靴子防滑性能：始滑角≥15°。</w:t>
      </w:r>
    </w:p>
    <w:p>
      <w:pPr>
        <w:keepNext w:val="0"/>
        <w:keepLines w:val="0"/>
        <w:pageBreakBefore w:val="0"/>
        <w:widowControl/>
        <w:numPr>
          <w:ilvl w:val="0"/>
          <w:numId w:val="147"/>
        </w:numPr>
        <w:suppressLineNumbers w:val="0"/>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i w:val="0"/>
          <w:iCs w:val="0"/>
          <w:color w:val="000000"/>
          <w:kern w:val="0"/>
          <w:sz w:val="24"/>
          <w:szCs w:val="24"/>
          <w:u w:val="none"/>
          <w:lang w:val="en-US" w:eastAsia="zh-CN" w:bidi="ar"/>
        </w:rPr>
      </w:pPr>
      <w:r>
        <w:rPr>
          <w:sz w:val="24"/>
        </w:rPr>
        <mc:AlternateContent>
          <mc:Choice Requires="wps">
            <w:drawing>
              <wp:anchor distT="0" distB="0" distL="114300" distR="114300" simplePos="0" relativeHeight="251679744" behindDoc="0" locked="0" layoutInCell="1" allowOverlap="1">
                <wp:simplePos x="0" y="0"/>
                <wp:positionH relativeFrom="column">
                  <wp:posOffset>-323850</wp:posOffset>
                </wp:positionH>
                <wp:positionV relativeFrom="paragraph">
                  <wp:posOffset>296545</wp:posOffset>
                </wp:positionV>
                <wp:extent cx="314325" cy="275590"/>
                <wp:effectExtent l="0" t="0" r="9525" b="10160"/>
                <wp:wrapNone/>
                <wp:docPr id="19" name="文本框 19"/>
                <wp:cNvGraphicFramePr/>
                <a:graphic xmlns:a="http://schemas.openxmlformats.org/drawingml/2006/main">
                  <a:graphicData uri="http://schemas.microsoft.com/office/word/2010/wordprocessingShape">
                    <wps:wsp>
                      <wps:cNvSpPr txBox="1"/>
                      <wps:spPr>
                        <a:xfrm>
                          <a:off x="394335" y="2281555"/>
                          <a:ext cx="314325" cy="2755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pt;margin-top:23.35pt;height:21.7pt;width:24.75pt;z-index:251679744;mso-width-relative:page;mso-height-relative:page;" fillcolor="#FFFFFF [3201]" filled="t" stroked="f" coordsize="21600,21600" o:gfxdata="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PbvIz9QA&#10;AAAIAQAADwAAAAAAAAABACAAAAAiAAAAZHJzL2Rvd25yZXYueG1sUEsBAhQAFAAAAAgAh07iQPmX&#10;Hs5cAgAAmwQAAA4AAAAAAAAAAQAgAAAAIwEAAGRycy9lMm9Eb2MueG1sUEsFBgAAAAAGAAYAWQEA&#10;APEFA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i w:val="0"/>
          <w:iCs w:val="0"/>
          <w:color w:val="000000"/>
          <w:kern w:val="0"/>
          <w:sz w:val="24"/>
          <w:szCs w:val="24"/>
          <w:u w:val="none"/>
          <w:lang w:val="en-US" w:eastAsia="zh-CN" w:bidi="ar"/>
        </w:rPr>
        <w:t>整套防蜂服重量≤5kg。</w:t>
      </w:r>
    </w:p>
    <w:p>
      <w:pPr>
        <w:keepNext w:val="0"/>
        <w:keepLines w:val="0"/>
        <w:pageBreakBefore w:val="0"/>
        <w:widowControl/>
        <w:numPr>
          <w:ilvl w:val="0"/>
          <w:numId w:val="147"/>
        </w:numPr>
        <w:suppressLineNumbers w:val="0"/>
        <w:tabs>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提供相应</w:t>
      </w:r>
      <w:r>
        <w:rPr>
          <w:rFonts w:hint="eastAsia" w:ascii="宋体" w:hAnsi="宋体" w:eastAsia="宋体" w:cs="宋体"/>
          <w:b/>
          <w:bCs/>
          <w:i w:val="0"/>
          <w:iCs w:val="0"/>
          <w:color w:val="000000"/>
          <w:kern w:val="0"/>
          <w:sz w:val="24"/>
          <w:szCs w:val="24"/>
          <w:u w:val="none"/>
          <w:lang w:val="en-US" w:eastAsia="zh-CN" w:bidi="ar"/>
        </w:rPr>
        <w:t>检测报告并加盖公章</w:t>
      </w:r>
      <w:r>
        <w:rPr>
          <w:rFonts w:hint="eastAsia" w:ascii="宋体" w:hAnsi="宋体" w:eastAsia="宋体" w:cs="宋体"/>
          <w:i w:val="0"/>
          <w:iCs w:val="0"/>
          <w:color w:val="000000"/>
          <w:kern w:val="0"/>
          <w:sz w:val="24"/>
          <w:szCs w:val="24"/>
          <w:u w:val="none"/>
          <w:lang w:val="en-US" w:eastAsia="zh-CN" w:bidi="ar"/>
        </w:rPr>
        <w:t>。</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救生衣</w:t>
      </w:r>
    </w:p>
    <w:p>
      <w:pPr>
        <w:keepNext w:val="0"/>
        <w:keepLines w:val="0"/>
        <w:pageBreakBefore w:val="0"/>
        <w:widowControl/>
        <w:numPr>
          <w:ilvl w:val="0"/>
          <w:numId w:val="148"/>
        </w:numPr>
        <w:tabs>
          <w:tab w:val="left" w:pos="1260"/>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符合《消防专用救生衣试验大纲》，技术性能符合公安行业标准《消防用救生衣》的规定，符合消防队伍服装统型要求。</w:t>
      </w:r>
      <w:r>
        <w:rPr>
          <w:rFonts w:hint="eastAsia" w:ascii="宋体" w:hAnsi="宋体" w:eastAsia="宋体" w:cs="宋体"/>
          <w:color w:val="000000"/>
          <w:kern w:val="0"/>
          <w:sz w:val="24"/>
          <w:szCs w:val="24"/>
          <w:highlight w:val="none"/>
          <w:lang w:val="en-US" w:eastAsia="zh-CN"/>
        </w:rPr>
        <w:t>提供</w:t>
      </w:r>
      <w:r>
        <w:rPr>
          <w:rFonts w:hint="eastAsia" w:ascii="宋体" w:hAnsi="宋体" w:eastAsia="宋体" w:cs="宋体"/>
          <w:b/>
          <w:bCs/>
          <w:color w:val="000000"/>
          <w:kern w:val="0"/>
          <w:sz w:val="24"/>
          <w:szCs w:val="24"/>
          <w:highlight w:val="none"/>
          <w:lang w:val="en-US" w:eastAsia="zh-CN"/>
        </w:rPr>
        <w:t>检测报告复印件并加盖公章</w:t>
      </w:r>
      <w:r>
        <w:rPr>
          <w:rFonts w:hint="eastAsia" w:ascii="宋体" w:hAnsi="宋体" w:eastAsia="宋体" w:cs="宋体"/>
          <w:color w:val="000000"/>
          <w:kern w:val="0"/>
          <w:sz w:val="24"/>
          <w:szCs w:val="24"/>
          <w:highlight w:val="none"/>
          <w:lang w:val="en-US" w:eastAsia="zh-CN"/>
        </w:rPr>
        <w:t>。</w:t>
      </w:r>
    </w:p>
    <w:p>
      <w:pPr>
        <w:keepNext w:val="0"/>
        <w:keepLines w:val="0"/>
        <w:pageBreakBefore w:val="0"/>
        <w:widowControl/>
        <w:numPr>
          <w:ilvl w:val="0"/>
          <w:numId w:val="148"/>
        </w:numPr>
        <w:tabs>
          <w:tab w:val="left" w:pos="1260"/>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适合消防部队抗洪抢险和处置水域事故时使用。采用固体浮力材料与充气浮力相结合的方式提供浮力，能在水中灵活运动。</w:t>
      </w:r>
    </w:p>
    <w:p>
      <w:pPr>
        <w:keepNext w:val="0"/>
        <w:keepLines w:val="0"/>
        <w:pageBreakBefore w:val="0"/>
        <w:widowControl/>
        <w:numPr>
          <w:ilvl w:val="0"/>
          <w:numId w:val="148"/>
        </w:numPr>
        <w:tabs>
          <w:tab w:val="left" w:pos="1260"/>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救生衣采用固有浮力材料、充气气囊两种浮力方式制成。在水中支持直立和后仰两种浮态。</w:t>
      </w:r>
    </w:p>
    <w:p>
      <w:pPr>
        <w:keepNext w:val="0"/>
        <w:keepLines w:val="0"/>
        <w:pageBreakBefore w:val="0"/>
        <w:widowControl/>
        <w:numPr>
          <w:ilvl w:val="0"/>
          <w:numId w:val="148"/>
        </w:numPr>
        <w:tabs>
          <w:tab w:val="left" w:pos="1260"/>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救生衣的颜色为国际认可的救援色。救生衣的系固采用扣件或拉链式。救生衣的属具及配件没有尖角、毛刺等导致穿着者和被救者受伤的缺陷。救生衣适用的胸围不小于70mm且不大于1350mm。救生衣上逆向反光带的总面积不小于300cm²、且穿着人员在水中时，水面以上的救生衣外表面所贴逆向反光带的总面积不少于150cm²。</w:t>
      </w:r>
    </w:p>
    <w:p>
      <w:pPr>
        <w:keepNext w:val="0"/>
        <w:keepLines w:val="0"/>
        <w:pageBreakBefore w:val="0"/>
        <w:widowControl/>
        <w:numPr>
          <w:ilvl w:val="0"/>
          <w:numId w:val="148"/>
        </w:numPr>
        <w:tabs>
          <w:tab w:val="left" w:pos="1260"/>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面料须具备防太阳光辐射和紫外线功能。</w:t>
      </w:r>
    </w:p>
    <w:p>
      <w:pPr>
        <w:keepNext w:val="0"/>
        <w:keepLines w:val="0"/>
        <w:pageBreakBefore w:val="0"/>
        <w:widowControl/>
        <w:numPr>
          <w:ilvl w:val="0"/>
          <w:numId w:val="148"/>
        </w:numPr>
        <w:tabs>
          <w:tab w:val="left" w:pos="1260"/>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总浮力不小于150N。包含有救生气囊，设有充气口。</w:t>
      </w:r>
    </w:p>
    <w:p>
      <w:pPr>
        <w:keepNext w:val="0"/>
        <w:keepLines w:val="0"/>
        <w:pageBreakBefore w:val="0"/>
        <w:widowControl/>
        <w:numPr>
          <w:ilvl w:val="0"/>
          <w:numId w:val="148"/>
        </w:numPr>
        <w:tabs>
          <w:tab w:val="left" w:pos="1260"/>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救生衣气囊手动充气时间不大于5秒。在安全气囊未充气状态和充气后的状态下，救生衣在淡水中浸泡24h后，其浮力损失均应小于5％。救生衣安全气囊与救生衣连接可靠，且当安全气囊受损或失效后可方便更换而不对救生衣体产生任何破坏。</w:t>
      </w:r>
    </w:p>
    <w:p>
      <w:pPr>
        <w:keepNext w:val="0"/>
        <w:keepLines w:val="0"/>
        <w:pageBreakBefore w:val="0"/>
        <w:widowControl/>
        <w:numPr>
          <w:ilvl w:val="0"/>
          <w:numId w:val="148"/>
        </w:numPr>
        <w:tabs>
          <w:tab w:val="left" w:pos="1260"/>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具有防止在水中窜动的裆带。救生衣衣身能承受1200N的作用力30min而不损坏。救生衣肩部能承受900N的作用力30min而不损坏。裆带与救生衣体之间能承受900N的作用力而不发生脱离或损坏。安全气囊与救生衣体之间能承受900N的作用力而不发生脱离或损坏。</w:t>
      </w:r>
    </w:p>
    <w:p>
      <w:pPr>
        <w:keepNext w:val="0"/>
        <w:keepLines w:val="0"/>
        <w:pageBreakBefore w:val="0"/>
        <w:widowControl/>
        <w:numPr>
          <w:ilvl w:val="0"/>
          <w:numId w:val="148"/>
        </w:numPr>
        <w:tabs>
          <w:tab w:val="left" w:pos="1260"/>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在安全气囊未充气情况下，穿着人员穿着救生衣以任意方式下水，救生衣能在5秒内使人体处于直立姿态，且人嘴高出水面120mm以上。在安全气囊充气的情况下，救生衣不大于5秒使人体处于后仰姿态，人体躯干与铅垂直线的角度不小于30°，人嘴高出水面120mm以上。</w:t>
      </w:r>
    </w:p>
    <w:p>
      <w:pPr>
        <w:keepNext w:val="0"/>
        <w:keepLines w:val="0"/>
        <w:pageBreakBefore w:val="0"/>
        <w:widowControl/>
        <w:numPr>
          <w:ilvl w:val="0"/>
          <w:numId w:val="148"/>
        </w:numPr>
        <w:tabs>
          <w:tab w:val="left" w:pos="1260"/>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穿着人员落水及跳水后，救生衣不发生明显位移或对穿着人员造成伤害，不影响其水中姿态及浮力的破损，不对其属具及附件造成破坏。</w:t>
      </w:r>
    </w:p>
    <w:p>
      <w:pPr>
        <w:keepNext w:val="0"/>
        <w:keepLines w:val="0"/>
        <w:pageBreakBefore w:val="0"/>
        <w:widowControl/>
        <w:numPr>
          <w:ilvl w:val="0"/>
          <w:numId w:val="148"/>
        </w:numPr>
        <w:tabs>
          <w:tab w:val="left" w:pos="1260"/>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每件救生衣配备细索系牢的哨笛一只。连接哨笛的线绳长度足够使用，将它固定连接在救生衣或辅助装置的口袋里，使用时，穿着者任何一只手都能将哨笛移出或放入。</w:t>
      </w:r>
    </w:p>
    <w:p>
      <w:pPr>
        <w:keepNext w:val="0"/>
        <w:keepLines w:val="0"/>
        <w:pageBreakBefore w:val="0"/>
        <w:widowControl/>
        <w:numPr>
          <w:ilvl w:val="0"/>
          <w:numId w:val="148"/>
        </w:numPr>
        <w:tabs>
          <w:tab w:val="left" w:pos="1260"/>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每件救生衣配备细索系牢的示位灯一只，且在正常使用时高出水面。示位灯对其附着的救生衣性能及穿着者不得有负面影响，遇水有自动发光功能，能够在漆黑的水上环境迅速定位到被施救人。</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橡皮艇</w:t>
      </w:r>
    </w:p>
    <w:p>
      <w:pPr>
        <w:keepNext w:val="0"/>
        <w:keepLines w:val="0"/>
        <w:pageBreakBefore w:val="0"/>
        <w:widowControl/>
        <w:numPr>
          <w:ilvl w:val="0"/>
          <w:numId w:val="149"/>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艇总长：3.8m；</w:t>
      </w:r>
    </w:p>
    <w:p>
      <w:pPr>
        <w:keepNext w:val="0"/>
        <w:keepLines w:val="0"/>
        <w:pageBreakBefore w:val="0"/>
        <w:widowControl/>
        <w:numPr>
          <w:ilvl w:val="0"/>
          <w:numId w:val="149"/>
        </w:numPr>
        <w:tabs>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艇总宽：1.7m；</w:t>
      </w:r>
    </w:p>
    <w:p>
      <w:pPr>
        <w:keepNext w:val="0"/>
        <w:keepLines w:val="0"/>
        <w:pageBreakBefore w:val="0"/>
        <w:widowControl/>
        <w:numPr>
          <w:ilvl w:val="0"/>
          <w:numId w:val="149"/>
        </w:numPr>
        <w:tabs>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艇直径：0.45m；</w:t>
      </w:r>
    </w:p>
    <w:p>
      <w:pPr>
        <w:keepNext w:val="0"/>
        <w:keepLines w:val="0"/>
        <w:pageBreakBefore w:val="0"/>
        <w:widowControl/>
        <w:numPr>
          <w:ilvl w:val="0"/>
          <w:numId w:val="149"/>
        </w:numPr>
        <w:tabs>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气囊数：3+1个；</w:t>
      </w:r>
    </w:p>
    <w:p>
      <w:pPr>
        <w:keepNext w:val="0"/>
        <w:keepLines w:val="0"/>
        <w:pageBreakBefore w:val="0"/>
        <w:widowControl/>
        <w:numPr>
          <w:ilvl w:val="0"/>
          <w:numId w:val="149"/>
        </w:numPr>
        <w:tabs>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充气龙骨：1只；</w:t>
      </w:r>
    </w:p>
    <w:p>
      <w:pPr>
        <w:keepNext w:val="0"/>
        <w:keepLines w:val="0"/>
        <w:pageBreakBefore w:val="0"/>
        <w:widowControl/>
        <w:numPr>
          <w:ilvl w:val="0"/>
          <w:numId w:val="149"/>
        </w:numPr>
        <w:tabs>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结构：深V型底、铝制地板；</w:t>
      </w:r>
    </w:p>
    <w:p>
      <w:pPr>
        <w:keepNext w:val="0"/>
        <w:keepLines w:val="0"/>
        <w:pageBreakBefore w:val="0"/>
        <w:widowControl/>
        <w:numPr>
          <w:ilvl w:val="0"/>
          <w:numId w:val="149"/>
        </w:numPr>
        <w:tabs>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承载人数：6人；</w:t>
      </w:r>
    </w:p>
    <w:p>
      <w:pPr>
        <w:keepNext w:val="0"/>
        <w:keepLines w:val="0"/>
        <w:pageBreakBefore w:val="0"/>
        <w:widowControl/>
        <w:numPr>
          <w:ilvl w:val="0"/>
          <w:numId w:val="149"/>
        </w:numPr>
        <w:tabs>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净重：110KG（加装甲）；</w:t>
      </w:r>
    </w:p>
    <w:p>
      <w:pPr>
        <w:keepNext w:val="0"/>
        <w:keepLines w:val="0"/>
        <w:pageBreakBefore w:val="0"/>
        <w:widowControl/>
        <w:numPr>
          <w:ilvl w:val="0"/>
          <w:numId w:val="149"/>
        </w:numPr>
        <w:tabs>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承载重量：727KG；</w:t>
      </w:r>
    </w:p>
    <w:p>
      <w:pPr>
        <w:keepNext w:val="0"/>
        <w:keepLines w:val="0"/>
        <w:pageBreakBefore w:val="0"/>
        <w:widowControl/>
        <w:numPr>
          <w:ilvl w:val="0"/>
          <w:numId w:val="149"/>
        </w:numPr>
        <w:tabs>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颜色分类：红+黑；</w:t>
      </w:r>
    </w:p>
    <w:p>
      <w:pPr>
        <w:keepNext w:val="0"/>
        <w:keepLines w:val="0"/>
        <w:pageBreakBefore w:val="0"/>
        <w:widowControl/>
        <w:numPr>
          <w:ilvl w:val="0"/>
          <w:numId w:val="149"/>
        </w:numPr>
        <w:tabs>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配件：优质铝合金底板一套、铝合金船桨二支、铝合金坐板二块、帆布便携包一个、脚踏式充气泵一个、维修工具一套（修补筒一个、修补片二片，胶水一支，气阀扳手一支）；</w:t>
      </w:r>
    </w:p>
    <w:p>
      <w:pPr>
        <w:keepNext w:val="0"/>
        <w:keepLines w:val="0"/>
        <w:pageBreakBefore w:val="0"/>
        <w:widowControl/>
        <w:numPr>
          <w:ilvl w:val="0"/>
          <w:numId w:val="149"/>
        </w:numPr>
        <w:tabs>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动力</w:t>
      </w:r>
    </w:p>
    <w:p>
      <w:pPr>
        <w:pStyle w:val="2"/>
        <w:numPr>
          <w:ilvl w:val="0"/>
          <w:numId w:val="150"/>
        </w:numPr>
        <w:ind w:left="425" w:leftChars="0" w:hanging="425" w:firstLineChars="0"/>
        <w:rPr>
          <w:rFonts w:hint="eastAsia"/>
          <w:sz w:val="24"/>
          <w:szCs w:val="24"/>
          <w:lang w:val="en-US" w:eastAsia="zh-CN"/>
        </w:rPr>
      </w:pPr>
      <w:r>
        <w:rPr>
          <w:rFonts w:hint="eastAsia"/>
          <w:sz w:val="24"/>
          <w:szCs w:val="24"/>
          <w:lang w:val="en-US" w:eastAsia="zh-CN"/>
        </w:rPr>
        <w:t>发动机类型：二冲程；</w:t>
      </w:r>
    </w:p>
    <w:p>
      <w:pPr>
        <w:pStyle w:val="2"/>
        <w:numPr>
          <w:ilvl w:val="0"/>
          <w:numId w:val="150"/>
        </w:numPr>
        <w:ind w:left="425" w:leftChars="0" w:hanging="425" w:firstLineChars="0"/>
        <w:rPr>
          <w:rFonts w:hint="eastAsia"/>
          <w:sz w:val="24"/>
          <w:szCs w:val="24"/>
          <w:lang w:val="en-US" w:eastAsia="zh-CN"/>
        </w:rPr>
      </w:pPr>
      <w:r>
        <w:rPr>
          <w:rFonts w:hint="eastAsia"/>
          <w:sz w:val="24"/>
          <w:szCs w:val="24"/>
          <w:lang w:val="en-US" w:eastAsia="zh-CN"/>
        </w:rPr>
        <w:t>排气量：496CC；</w:t>
      </w:r>
    </w:p>
    <w:p>
      <w:pPr>
        <w:pStyle w:val="2"/>
        <w:numPr>
          <w:ilvl w:val="0"/>
          <w:numId w:val="150"/>
        </w:numPr>
        <w:ind w:left="425" w:leftChars="0" w:hanging="425" w:firstLineChars="0"/>
        <w:rPr>
          <w:rFonts w:hint="eastAsia"/>
          <w:sz w:val="24"/>
          <w:szCs w:val="24"/>
          <w:lang w:val="en-US" w:eastAsia="zh-CN"/>
        </w:rPr>
      </w:pPr>
      <w:r>
        <w:rPr>
          <w:rFonts w:hint="eastAsia"/>
          <w:sz w:val="24"/>
          <w:szCs w:val="24"/>
          <w:lang w:val="en-US" w:eastAsia="zh-CN"/>
        </w:rPr>
        <w:t> 最大输出：22.1KW(30ps)/5000；</w:t>
      </w:r>
    </w:p>
    <w:p>
      <w:pPr>
        <w:pStyle w:val="2"/>
        <w:numPr>
          <w:ilvl w:val="0"/>
          <w:numId w:val="150"/>
        </w:numPr>
        <w:ind w:left="425" w:leftChars="0" w:hanging="425" w:firstLineChars="0"/>
        <w:rPr>
          <w:rFonts w:hint="eastAsia"/>
          <w:sz w:val="24"/>
          <w:szCs w:val="24"/>
          <w:lang w:val="en-US" w:eastAsia="zh-CN"/>
        </w:rPr>
      </w:pPr>
      <w:r>
        <w:rPr>
          <w:rFonts w:hint="eastAsia"/>
          <w:sz w:val="24"/>
          <w:szCs w:val="24"/>
          <w:lang w:val="en-US" w:eastAsia="zh-CN"/>
        </w:rPr>
        <w:t>尾板高度：423mm；</w:t>
      </w:r>
    </w:p>
    <w:p>
      <w:pPr>
        <w:pStyle w:val="2"/>
        <w:numPr>
          <w:ilvl w:val="0"/>
          <w:numId w:val="150"/>
        </w:numPr>
        <w:ind w:left="425" w:leftChars="0" w:hanging="425" w:firstLineChars="0"/>
        <w:rPr>
          <w:rFonts w:hint="eastAsia"/>
          <w:sz w:val="24"/>
          <w:szCs w:val="24"/>
          <w:lang w:val="en-US" w:eastAsia="zh-CN"/>
        </w:rPr>
      </w:pPr>
      <w:r>
        <w:rPr>
          <w:rFonts w:hint="eastAsia"/>
          <w:sz w:val="24"/>
          <w:szCs w:val="24"/>
          <w:lang w:val="en-US" w:eastAsia="zh-CN"/>
        </w:rPr>
        <w:t> 最大耗油：12L/h；</w:t>
      </w:r>
    </w:p>
    <w:p>
      <w:pPr>
        <w:pStyle w:val="2"/>
        <w:numPr>
          <w:ilvl w:val="0"/>
          <w:numId w:val="150"/>
        </w:numPr>
        <w:ind w:left="425" w:leftChars="0" w:hanging="425" w:firstLineChars="0"/>
        <w:rPr>
          <w:rFonts w:hint="eastAsia"/>
          <w:sz w:val="24"/>
          <w:szCs w:val="24"/>
          <w:lang w:val="en-US" w:eastAsia="zh-CN"/>
        </w:rPr>
      </w:pPr>
      <w:r>
        <w:rPr>
          <w:rFonts w:hint="eastAsia"/>
          <w:sz w:val="24"/>
          <w:szCs w:val="24"/>
          <w:lang w:val="en-US" w:eastAsia="zh-CN"/>
        </w:rPr>
        <w:t>缸数：2缸；</w:t>
      </w:r>
    </w:p>
    <w:p>
      <w:pPr>
        <w:pStyle w:val="2"/>
        <w:numPr>
          <w:ilvl w:val="0"/>
          <w:numId w:val="150"/>
        </w:numPr>
        <w:ind w:left="425" w:leftChars="0" w:hanging="425" w:firstLineChars="0"/>
        <w:rPr>
          <w:rFonts w:hint="eastAsia"/>
          <w:sz w:val="24"/>
          <w:szCs w:val="24"/>
          <w:lang w:val="en-US" w:eastAsia="zh-CN"/>
        </w:rPr>
      </w:pPr>
      <w:r>
        <w:rPr>
          <w:rFonts w:hint="eastAsia"/>
          <w:sz w:val="24"/>
          <w:szCs w:val="24"/>
          <w:lang w:val="en-US" w:eastAsia="zh-CN"/>
        </w:rPr>
        <w:t>缸径×行程（mm)：72.0X61.0；</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手抬机动泵</w:t>
      </w:r>
    </w:p>
    <w:p>
      <w:pPr>
        <w:keepNext w:val="0"/>
        <w:keepLines w:val="0"/>
        <w:pageBreakBefore w:val="0"/>
        <w:widowControl/>
        <w:numPr>
          <w:ilvl w:val="0"/>
          <w:numId w:val="151"/>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水泵类型：单吸双级离心泵；</w:t>
      </w:r>
    </w:p>
    <w:p>
      <w:pPr>
        <w:keepNext w:val="0"/>
        <w:keepLines w:val="0"/>
        <w:pageBreakBefore w:val="0"/>
        <w:widowControl/>
        <w:numPr>
          <w:ilvl w:val="0"/>
          <w:numId w:val="151"/>
        </w:numPr>
        <w:tabs>
          <w:tab w:val="left" w:pos="1260"/>
        </w:tabs>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引水方式：无油式真空泵旋片式引水；</w:t>
      </w:r>
    </w:p>
    <w:p>
      <w:pPr>
        <w:keepNext w:val="0"/>
        <w:keepLines w:val="0"/>
        <w:pageBreakBefore w:val="0"/>
        <w:widowControl/>
        <w:numPr>
          <w:ilvl w:val="0"/>
          <w:numId w:val="151"/>
        </w:numPr>
        <w:tabs>
          <w:tab w:val="left" w:pos="1260"/>
        </w:tabs>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78720" behindDoc="0" locked="0" layoutInCell="1" allowOverlap="1">
                <wp:simplePos x="0" y="0"/>
                <wp:positionH relativeFrom="column">
                  <wp:posOffset>-361950</wp:posOffset>
                </wp:positionH>
                <wp:positionV relativeFrom="paragraph">
                  <wp:posOffset>31750</wp:posOffset>
                </wp:positionV>
                <wp:extent cx="295275" cy="266065"/>
                <wp:effectExtent l="0" t="0" r="9525" b="635"/>
                <wp:wrapNone/>
                <wp:docPr id="18" name="文本框 18"/>
                <wp:cNvGraphicFramePr/>
                <a:graphic xmlns:a="http://schemas.openxmlformats.org/drawingml/2006/main">
                  <a:graphicData uri="http://schemas.microsoft.com/office/word/2010/wordprocessingShape">
                    <wps:wsp>
                      <wps:cNvSpPr txBox="1"/>
                      <wps:spPr>
                        <a:xfrm>
                          <a:off x="394335" y="9219565"/>
                          <a:ext cx="295275" cy="2660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2.5pt;height:20.95pt;width:23.25pt;z-index:251678720;mso-width-relative:page;mso-height-relative:page;" fillcolor="#FFFFFF [3201]" filled="t" stroked="f" coordsize="21600,21600" o:gfxdata="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rqyBfV&#10;AAAACAEAAA8AAAAAAAAAAQAgAAAAIgAAAGRycy9kb3ducmV2LnhtbFBLAQIUABQAAAAIAIdO4kD6&#10;7fImXAIAAJsEAAAOAAAAAAAAAAEAIAAAACQBAABkcnMvZTJvRG9jLnhtbFBLBQYAAAAABgAGAFkB&#10;AADyBQ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sz w:val="24"/>
          <w:szCs w:val="24"/>
          <w:lang w:val="en-US" w:eastAsia="zh-CN"/>
        </w:rPr>
        <w:t>最大吸深：8米；</w:t>
      </w:r>
    </w:p>
    <w:p>
      <w:pPr>
        <w:keepNext w:val="0"/>
        <w:keepLines w:val="0"/>
        <w:pageBreakBefore w:val="0"/>
        <w:widowControl/>
        <w:numPr>
          <w:ilvl w:val="0"/>
          <w:numId w:val="151"/>
        </w:numPr>
        <w:tabs>
          <w:tab w:val="left" w:pos="1260"/>
        </w:tabs>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引水时间：≤20s；</w:t>
      </w:r>
    </w:p>
    <w:p>
      <w:pPr>
        <w:keepNext w:val="0"/>
        <w:keepLines w:val="0"/>
        <w:pageBreakBefore w:val="0"/>
        <w:widowControl/>
        <w:numPr>
          <w:ilvl w:val="0"/>
          <w:numId w:val="151"/>
        </w:numPr>
        <w:tabs>
          <w:tab w:val="left" w:pos="1260"/>
        </w:tabs>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进水口口径：65mm、出水口口径：65mm；</w:t>
      </w:r>
    </w:p>
    <w:p>
      <w:pPr>
        <w:keepNext w:val="0"/>
        <w:keepLines w:val="0"/>
        <w:pageBreakBefore w:val="0"/>
        <w:widowControl/>
        <w:numPr>
          <w:ilvl w:val="0"/>
          <w:numId w:val="151"/>
        </w:numPr>
        <w:tabs>
          <w:tab w:val="left" w:pos="1260"/>
        </w:tabs>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额定压力：0.6Mpa；</w:t>
      </w:r>
    </w:p>
    <w:p>
      <w:pPr>
        <w:keepNext w:val="0"/>
        <w:keepLines w:val="0"/>
        <w:pageBreakBefore w:val="0"/>
        <w:widowControl/>
        <w:numPr>
          <w:ilvl w:val="0"/>
          <w:numId w:val="151"/>
        </w:numPr>
        <w:tabs>
          <w:tab w:val="left" w:pos="1260"/>
          <w:tab w:val="clear" w:pos="420"/>
        </w:tabs>
        <w:kinsoku/>
        <w:wordWrap/>
        <w:overflowPunct/>
        <w:topLinePunct w:val="0"/>
        <w:bidi w:val="0"/>
        <w:spacing w:line="360" w:lineRule="auto"/>
        <w:ind w:left="1245" w:leftChars="0" w:hanging="124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额定流量：工况一：270L/min@0.8mpa；工况二：510L/min@0.6mpa；工况三：720L/min@0.4mpa；</w:t>
      </w:r>
    </w:p>
    <w:p>
      <w:pPr>
        <w:keepNext w:val="0"/>
        <w:keepLines w:val="0"/>
        <w:pageBreakBefore w:val="0"/>
        <w:widowControl/>
        <w:numPr>
          <w:ilvl w:val="0"/>
          <w:numId w:val="151"/>
        </w:numPr>
        <w:tabs>
          <w:tab w:val="left" w:pos="1260"/>
        </w:tabs>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最大流量:43.2T/H；</w:t>
      </w:r>
    </w:p>
    <w:p>
      <w:pPr>
        <w:keepNext w:val="0"/>
        <w:keepLines w:val="0"/>
        <w:pageBreakBefore w:val="0"/>
        <w:widowControl/>
        <w:numPr>
          <w:ilvl w:val="0"/>
          <w:numId w:val="151"/>
        </w:numPr>
        <w:tabs>
          <w:tab w:val="left" w:pos="1260"/>
        </w:tabs>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扬程：90米；</w:t>
      </w:r>
    </w:p>
    <w:p>
      <w:pPr>
        <w:keepNext w:val="0"/>
        <w:keepLines w:val="0"/>
        <w:pageBreakBefore w:val="0"/>
        <w:widowControl/>
        <w:numPr>
          <w:ilvl w:val="0"/>
          <w:numId w:val="151"/>
        </w:numPr>
        <w:tabs>
          <w:tab w:val="left" w:pos="1260"/>
        </w:tabs>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发动机类型：单缸 四冲程 卧式 风冷 汽油；</w:t>
      </w:r>
    </w:p>
    <w:p>
      <w:pPr>
        <w:keepNext w:val="0"/>
        <w:keepLines w:val="0"/>
        <w:pageBreakBefore w:val="0"/>
        <w:widowControl/>
        <w:numPr>
          <w:ilvl w:val="0"/>
          <w:numId w:val="151"/>
        </w:numPr>
        <w:tabs>
          <w:tab w:val="left" w:pos="1260"/>
        </w:tabs>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最大输出功率：13ps（9.6kw）；</w:t>
      </w:r>
    </w:p>
    <w:p>
      <w:pPr>
        <w:keepNext w:val="0"/>
        <w:keepLines w:val="0"/>
        <w:pageBreakBefore w:val="0"/>
        <w:widowControl/>
        <w:numPr>
          <w:ilvl w:val="0"/>
          <w:numId w:val="151"/>
        </w:numPr>
        <w:tabs>
          <w:tab w:val="left" w:pos="1260"/>
        </w:tabs>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点火方式：晶体管电子点火；</w:t>
      </w:r>
    </w:p>
    <w:p>
      <w:pPr>
        <w:keepNext w:val="0"/>
        <w:keepLines w:val="0"/>
        <w:pageBreakBefore w:val="0"/>
        <w:widowControl/>
        <w:numPr>
          <w:ilvl w:val="0"/>
          <w:numId w:val="151"/>
        </w:numPr>
        <w:tabs>
          <w:tab w:val="left" w:pos="1260"/>
        </w:tabs>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重量：54kg；</w:t>
      </w:r>
    </w:p>
    <w:p>
      <w:pPr>
        <w:keepNext w:val="0"/>
        <w:keepLines w:val="0"/>
        <w:pageBreakBefore w:val="0"/>
        <w:widowControl/>
        <w:numPr>
          <w:ilvl w:val="0"/>
          <w:numId w:val="151"/>
        </w:numPr>
        <w:tabs>
          <w:tab w:val="left" w:pos="1260"/>
        </w:tabs>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尺寸：575*560*515mm；</w:t>
      </w:r>
    </w:p>
    <w:p>
      <w:pPr>
        <w:keepNext w:val="0"/>
        <w:keepLines w:val="0"/>
        <w:pageBreakBefore w:val="0"/>
        <w:widowControl/>
        <w:numPr>
          <w:ilvl w:val="0"/>
          <w:numId w:val="151"/>
        </w:numPr>
        <w:tabs>
          <w:tab w:val="left" w:pos="1260"/>
        </w:tabs>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77696" behindDoc="0" locked="0" layoutInCell="1" allowOverlap="1">
                <wp:simplePos x="0" y="0"/>
                <wp:positionH relativeFrom="column">
                  <wp:posOffset>-285750</wp:posOffset>
                </wp:positionH>
                <wp:positionV relativeFrom="paragraph">
                  <wp:posOffset>31750</wp:posOffset>
                </wp:positionV>
                <wp:extent cx="247650" cy="228600"/>
                <wp:effectExtent l="0" t="0" r="0" b="0"/>
                <wp:wrapNone/>
                <wp:docPr id="17" name="文本框 17"/>
                <wp:cNvGraphicFramePr/>
                <a:graphic xmlns:a="http://schemas.openxmlformats.org/drawingml/2006/main">
                  <a:graphicData uri="http://schemas.microsoft.com/office/word/2010/wordprocessingShape">
                    <wps:wsp>
                      <wps:cNvSpPr txBox="1"/>
                      <wps:spPr>
                        <a:xfrm>
                          <a:off x="451485" y="4077970"/>
                          <a:ext cx="247650" cy="2286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2.5pt;height:18pt;width:19.5pt;z-index:251677696;mso-width-relative:page;mso-height-relative:page;" fillcolor="#FFFFFF [3201]" filled="t" stroked="f" coordsize="21600,21600" o:gfxdata="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JOK7e0gAAAAcB&#10;AAAPAAAAAAAAAAEAIAAAACIAAABkcnMvZG93bnJldi54bWxQSwECFAAUAAAACACHTuJADgV+g1oC&#10;AACbBAAADgAAAAAAAAABACAAAAAhAQAAZHJzL2Uyb0RvYy54bWxQSwUGAAAAAAYABgBZAQAA7QUA&#10;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sz w:val="24"/>
          <w:szCs w:val="24"/>
          <w:lang w:val="en-US" w:eastAsia="zh-CN"/>
        </w:rPr>
        <w:t>出水阀：推拉式快速出水阀；</w:t>
      </w:r>
    </w:p>
    <w:p>
      <w:pPr>
        <w:keepNext w:val="0"/>
        <w:keepLines w:val="0"/>
        <w:pageBreakBefore w:val="0"/>
        <w:widowControl/>
        <w:numPr>
          <w:ilvl w:val="0"/>
          <w:numId w:val="151"/>
        </w:numPr>
        <w:tabs>
          <w:tab w:val="left" w:pos="1260"/>
        </w:tabs>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启动方式：手拉绳启动、一键式按钮启动；</w:t>
      </w:r>
    </w:p>
    <w:p>
      <w:pPr>
        <w:keepNext w:val="0"/>
        <w:keepLines w:val="0"/>
        <w:pageBreakBefore w:val="0"/>
        <w:widowControl/>
        <w:numPr>
          <w:ilvl w:val="0"/>
          <w:numId w:val="151"/>
        </w:numPr>
        <w:tabs>
          <w:tab w:val="left" w:pos="1260"/>
        </w:tabs>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76672" behindDoc="0" locked="0" layoutInCell="1" allowOverlap="1">
                <wp:simplePos x="0" y="0"/>
                <wp:positionH relativeFrom="column">
                  <wp:posOffset>-314325</wp:posOffset>
                </wp:positionH>
                <wp:positionV relativeFrom="paragraph">
                  <wp:posOffset>27940</wp:posOffset>
                </wp:positionV>
                <wp:extent cx="247015" cy="228600"/>
                <wp:effectExtent l="0" t="0" r="635" b="0"/>
                <wp:wrapNone/>
                <wp:docPr id="16" name="文本框 16"/>
                <wp:cNvGraphicFramePr/>
                <a:graphic xmlns:a="http://schemas.openxmlformats.org/drawingml/2006/main">
                  <a:graphicData uri="http://schemas.microsoft.com/office/word/2010/wordprocessingShape">
                    <wps:wsp>
                      <wps:cNvSpPr txBox="1"/>
                      <wps:spPr>
                        <a:xfrm>
                          <a:off x="480060" y="4658995"/>
                          <a:ext cx="247015" cy="2286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5pt;margin-top:2.2pt;height:18pt;width:19.45pt;z-index:251676672;mso-width-relative:page;mso-height-relative:page;" fillcolor="#FFFFFF [3201]" filled="t" stroked="f" coordsize="21600,21600" o:gfxdata="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80o/60wAA&#10;AAgBAAAPAAAAAAAAAAEAIAAAACIAAABkcnMvZG93bnJldi54bWxQSwECFAAUAAAACACHTuJAdM8S&#10;PVwCAACbBAAADgAAAAAAAAABACAAAAAiAQAAZHJzL2Uyb0RvYy54bWxQSwUGAAAAAAYABgBZAQAA&#10;8AU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sz w:val="24"/>
          <w:szCs w:val="24"/>
          <w:lang w:val="en-US" w:eastAsia="zh-CN"/>
        </w:rPr>
        <w:t>全包复式外罩，全自动一体化操作面板并且有步骤提示；</w:t>
      </w:r>
    </w:p>
    <w:p>
      <w:pPr>
        <w:keepNext w:val="0"/>
        <w:keepLines w:val="0"/>
        <w:pageBreakBefore w:val="0"/>
        <w:widowControl/>
        <w:numPr>
          <w:ilvl w:val="0"/>
          <w:numId w:val="151"/>
        </w:numPr>
        <w:tabs>
          <w:tab w:val="left" w:pos="1260"/>
        </w:tabs>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75648" behindDoc="0" locked="0" layoutInCell="1" allowOverlap="1">
                <wp:simplePos x="0" y="0"/>
                <wp:positionH relativeFrom="column">
                  <wp:posOffset>-304800</wp:posOffset>
                </wp:positionH>
                <wp:positionV relativeFrom="paragraph">
                  <wp:posOffset>35560</wp:posOffset>
                </wp:positionV>
                <wp:extent cx="275590" cy="247650"/>
                <wp:effectExtent l="0" t="0" r="10160" b="0"/>
                <wp:wrapNone/>
                <wp:docPr id="15" name="文本框 15"/>
                <wp:cNvGraphicFramePr/>
                <a:graphic xmlns:a="http://schemas.openxmlformats.org/drawingml/2006/main">
                  <a:graphicData uri="http://schemas.microsoft.com/office/word/2010/wordprocessingShape">
                    <wps:wsp>
                      <wps:cNvSpPr txBox="1"/>
                      <wps:spPr>
                        <a:xfrm>
                          <a:off x="375285" y="4963795"/>
                          <a:ext cx="275590"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pt;margin-top:2.8pt;height:19.5pt;width:21.7pt;z-index:251675648;mso-width-relative:page;mso-height-relative:page;" fillcolor="#FFFFFF [3201]" filled="t" stroked="f" coordsize="21600,21600" o:gfxdata="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aoPM7SAAAA&#10;BwEAAA8AAAAAAAAAAQAgAAAAIgAAAGRycy9kb3ducmV2LnhtbFBLAQIUABQAAAAIAIdO4kD9puZM&#10;XAIAAJsEAAAOAAAAAAAAAAEAIAAAACEBAABkcnMvZTJvRG9jLnhtbFBLBQYAAAAABgAGAFkBAADv&#10;BQ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sz w:val="24"/>
          <w:szCs w:val="24"/>
          <w:lang w:val="en-US" w:eastAsia="zh-CN"/>
        </w:rPr>
        <w:t>提供</w:t>
      </w:r>
      <w:r>
        <w:rPr>
          <w:rFonts w:hint="eastAsia" w:ascii="宋体" w:hAnsi="宋体" w:eastAsia="宋体" w:cs="宋体"/>
          <w:b/>
          <w:bCs/>
          <w:sz w:val="24"/>
          <w:szCs w:val="24"/>
          <w:lang w:val="en-US" w:eastAsia="zh-CN"/>
        </w:rPr>
        <w:t>检测报告复印件并加盖公章</w:t>
      </w:r>
      <w:r>
        <w:rPr>
          <w:rFonts w:hint="eastAsia" w:ascii="宋体" w:hAnsi="宋体" w:eastAsia="宋体" w:cs="宋体"/>
          <w:sz w:val="24"/>
          <w:szCs w:val="24"/>
          <w:lang w:val="en-US" w:eastAsia="zh-CN"/>
        </w:rPr>
        <w:t>。</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移动照明灯组</w:t>
      </w:r>
    </w:p>
    <w:p>
      <w:pPr>
        <w:keepNext w:val="0"/>
        <w:keepLines w:val="0"/>
        <w:pageBreakBefore w:val="0"/>
        <w:widowControl/>
        <w:numPr>
          <w:ilvl w:val="0"/>
          <w:numId w:val="152"/>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额定电压：220V；</w:t>
      </w:r>
    </w:p>
    <w:p>
      <w:pPr>
        <w:keepNext w:val="0"/>
        <w:keepLines w:val="0"/>
        <w:pageBreakBefore w:val="0"/>
        <w:widowControl/>
        <w:numPr>
          <w:ilvl w:val="0"/>
          <w:numId w:val="152"/>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发电机功率：≥2kw；</w:t>
      </w:r>
    </w:p>
    <w:p>
      <w:pPr>
        <w:keepNext w:val="0"/>
        <w:keepLines w:val="0"/>
        <w:pageBreakBefore w:val="0"/>
        <w:widowControl/>
        <w:numPr>
          <w:ilvl w:val="0"/>
          <w:numId w:val="152"/>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灯头功率：≥4x100W；</w:t>
      </w:r>
    </w:p>
    <w:p>
      <w:pPr>
        <w:keepNext w:val="0"/>
        <w:keepLines w:val="0"/>
        <w:pageBreakBefore w:val="0"/>
        <w:widowControl/>
        <w:numPr>
          <w:ilvl w:val="0"/>
          <w:numId w:val="152"/>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整灯设备净重（包含发电机组）：≤80kg；</w:t>
      </w:r>
    </w:p>
    <w:p>
      <w:pPr>
        <w:keepNext w:val="0"/>
        <w:keepLines w:val="0"/>
        <w:pageBreakBefore w:val="0"/>
        <w:widowControl/>
        <w:numPr>
          <w:ilvl w:val="0"/>
          <w:numId w:val="152"/>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照明装置具有4个LED灯头；</w:t>
      </w:r>
    </w:p>
    <w:p>
      <w:pPr>
        <w:keepNext w:val="0"/>
        <w:keepLines w:val="0"/>
        <w:pageBreakBefore w:val="0"/>
        <w:widowControl/>
        <w:numPr>
          <w:ilvl w:val="0"/>
          <w:numId w:val="152"/>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74624" behindDoc="0" locked="0" layoutInCell="1" allowOverlap="1">
                <wp:simplePos x="0" y="0"/>
                <wp:positionH relativeFrom="column">
                  <wp:posOffset>-323850</wp:posOffset>
                </wp:positionH>
                <wp:positionV relativeFrom="paragraph">
                  <wp:posOffset>29845</wp:posOffset>
                </wp:positionV>
                <wp:extent cx="295275" cy="275590"/>
                <wp:effectExtent l="0" t="0" r="9525" b="10160"/>
                <wp:wrapNone/>
                <wp:docPr id="14" name="文本框 14"/>
                <wp:cNvGraphicFramePr/>
                <a:graphic xmlns:a="http://schemas.openxmlformats.org/drawingml/2006/main">
                  <a:graphicData uri="http://schemas.microsoft.com/office/word/2010/wordprocessingShape">
                    <wps:wsp>
                      <wps:cNvSpPr txBox="1"/>
                      <wps:spPr>
                        <a:xfrm>
                          <a:off x="365760" y="7255510"/>
                          <a:ext cx="295275" cy="2755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pt;margin-top:2.35pt;height:21.7pt;width:23.25pt;z-index:251674624;mso-width-relative:page;mso-height-relative:page;" fillcolor="#FFFFFF [3201]" filled="t" stroked="f" coordsize="21600,21600" o:gfxdata="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qDeYbTAAAA&#10;BwEAAA8AAAAAAAAAAQAgAAAAIgAAAGRycy9kb3ducmV2LnhtbFBLAQIUABQAAAAIAIdO4kBpLhtX&#10;WwIAAJsEAAAOAAAAAAAAAAEAIAAAACIBAABkcnMvZTJvRG9jLnhtbFBLBQYAAAAABgAGAFkBAADv&#10;BQ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sz w:val="24"/>
          <w:szCs w:val="24"/>
          <w:lang w:val="en-US" w:eastAsia="zh-CN"/>
        </w:rPr>
        <w:t>检测依据设备应符合GB26755-2011、GB16796-2009、GB/T15211-2013要求；</w:t>
      </w:r>
    </w:p>
    <w:p>
      <w:pPr>
        <w:keepNext w:val="0"/>
        <w:keepLines w:val="0"/>
        <w:pageBreakBefore w:val="0"/>
        <w:widowControl/>
        <w:numPr>
          <w:ilvl w:val="0"/>
          <w:numId w:val="152"/>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照明装置外部带电端子与机壳之间以及电源接线端子与地之间的绝缘电阻≥490MΩ；</w:t>
      </w:r>
    </w:p>
    <w:p>
      <w:pPr>
        <w:keepNext w:val="0"/>
        <w:keepLines w:val="0"/>
        <w:pageBreakBefore w:val="0"/>
        <w:widowControl/>
        <w:numPr>
          <w:ilvl w:val="0"/>
          <w:numId w:val="152"/>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工作稳定性：照明装置支撑架应能承受≥95N的水平推力，照明装置不应出现倾倒；</w:t>
      </w:r>
    </w:p>
    <w:p>
      <w:pPr>
        <w:keepNext w:val="0"/>
        <w:keepLines w:val="0"/>
        <w:pageBreakBefore w:val="0"/>
        <w:widowControl/>
        <w:numPr>
          <w:ilvl w:val="0"/>
          <w:numId w:val="152"/>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73600" behindDoc="0" locked="0" layoutInCell="1" allowOverlap="1">
                <wp:simplePos x="0" y="0"/>
                <wp:positionH relativeFrom="column">
                  <wp:posOffset>-352425</wp:posOffset>
                </wp:positionH>
                <wp:positionV relativeFrom="paragraph">
                  <wp:posOffset>29845</wp:posOffset>
                </wp:positionV>
                <wp:extent cx="257175" cy="304800"/>
                <wp:effectExtent l="0" t="0" r="9525" b="0"/>
                <wp:wrapNone/>
                <wp:docPr id="13" name="文本框 13"/>
                <wp:cNvGraphicFramePr/>
                <a:graphic xmlns:a="http://schemas.openxmlformats.org/drawingml/2006/main">
                  <a:graphicData uri="http://schemas.microsoft.com/office/word/2010/wordprocessingShape">
                    <wps:wsp>
                      <wps:cNvSpPr txBox="1"/>
                      <wps:spPr>
                        <a:xfrm>
                          <a:off x="375285" y="8741410"/>
                          <a:ext cx="257175"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5pt;margin-top:2.35pt;height:24pt;width:20.25pt;z-index:251673600;mso-width-relative:page;mso-height-relative:page;" fillcolor="#FFFFFF [3201]" filled="t" stroked="f" coordsize="21600,21600" o:gfxdata="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KCEFLU&#10;AAAACAEAAA8AAAAAAAAAAQAgAAAAIgAAAGRycy9kb3ducmV2LnhtbFBLAQIUABQAAAAIAIdO4kAe&#10;ZdayXQIAAJsEAAAOAAAAAAAAAAEAIAAAACMBAABkcnMvZTJvRG9jLnhtbFBLBQYAAAAABgAGAFkB&#10;AADyBQ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sz w:val="24"/>
          <w:szCs w:val="24"/>
          <w:lang w:val="en-US" w:eastAsia="zh-CN"/>
        </w:rPr>
        <w:t>照明装置外部带电端子与机壳之间应能经受交流1.5kV、历时1min 的耐压强度试验。试验时应无击穿、闪络现象；</w:t>
      </w:r>
    </w:p>
    <w:p>
      <w:pPr>
        <w:keepNext w:val="0"/>
        <w:keepLines w:val="0"/>
        <w:pageBreakBefore w:val="0"/>
        <w:widowControl/>
        <w:numPr>
          <w:ilvl w:val="0"/>
          <w:numId w:val="152"/>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俯仰角：具有俯仰功能的照明装置，俯仰角应≥90°；</w:t>
      </w:r>
    </w:p>
    <w:p>
      <w:pPr>
        <w:keepNext w:val="0"/>
        <w:keepLines w:val="0"/>
        <w:pageBreakBefore w:val="0"/>
        <w:widowControl/>
        <w:numPr>
          <w:ilvl w:val="0"/>
          <w:numId w:val="152"/>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发电机供电的照明装置，发电机应能在≤6s顺利启动；</w:t>
      </w:r>
    </w:p>
    <w:p>
      <w:pPr>
        <w:keepNext w:val="0"/>
        <w:keepLines w:val="0"/>
        <w:pageBreakBefore w:val="0"/>
        <w:widowControl/>
        <w:numPr>
          <w:ilvl w:val="0"/>
          <w:numId w:val="152"/>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72576" behindDoc="0" locked="0" layoutInCell="1" allowOverlap="1">
                <wp:simplePos x="0" y="0"/>
                <wp:positionH relativeFrom="column">
                  <wp:posOffset>-323850</wp:posOffset>
                </wp:positionH>
                <wp:positionV relativeFrom="paragraph">
                  <wp:posOffset>8890</wp:posOffset>
                </wp:positionV>
                <wp:extent cx="266700" cy="257175"/>
                <wp:effectExtent l="0" t="0" r="0" b="9525"/>
                <wp:wrapNone/>
                <wp:docPr id="12" name="文本框 12"/>
                <wp:cNvGraphicFramePr/>
                <a:graphic xmlns:a="http://schemas.openxmlformats.org/drawingml/2006/main">
                  <a:graphicData uri="http://schemas.microsoft.com/office/word/2010/wordprocessingShape">
                    <wps:wsp>
                      <wps:cNvSpPr txBox="1"/>
                      <wps:spPr>
                        <a:xfrm>
                          <a:off x="470535" y="795655"/>
                          <a:ext cx="266700" cy="2571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pt;margin-top:0.7pt;height:20.25pt;width:21pt;z-index:251672576;mso-width-relative:page;mso-height-relative:page;" fillcolor="#FFFFFF [3201]" filled="t" stroked="f" coordsize="21600,21600" o:gfxdata="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VQl1TSAAAA&#10;BwEAAA8AAAAAAAAAAQAgAAAAIgAAAGRycy9kb3ducmV2LnhtbFBLAQIUABQAAAAIAIdO4kALN5Lx&#10;XAIAAJoEAAAOAAAAAAAAAAEAIAAAACEBAABkcnMvZTJvRG9jLnhtbFBLBQYAAAAABgAGAFkBAADv&#10;BQ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sz w:val="24"/>
          <w:szCs w:val="24"/>
          <w:lang w:val="en-US" w:eastAsia="zh-CN"/>
        </w:rPr>
        <w:t>照明装置在5m处的照度应≥550LX；</w:t>
      </w:r>
    </w:p>
    <w:p>
      <w:pPr>
        <w:keepNext w:val="0"/>
        <w:keepLines w:val="0"/>
        <w:pageBreakBefore w:val="0"/>
        <w:widowControl/>
        <w:numPr>
          <w:ilvl w:val="0"/>
          <w:numId w:val="152"/>
        </w:numPr>
        <w:tabs>
          <w:tab w:val="left" w:pos="1260"/>
          <w:tab w:val="clear" w:pos="420"/>
        </w:tabs>
        <w:kinsoku/>
        <w:wordWrap/>
        <w:overflowPunct/>
        <w:topLinePunct w:val="0"/>
        <w:bidi w:val="0"/>
        <w:spacing w:line="360" w:lineRule="auto"/>
        <w:ind w:left="1260" w:leftChars="0" w:hanging="1260" w:firstLineChars="0"/>
        <w:jc w:val="left"/>
        <w:textAlignment w:val="center"/>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71552" behindDoc="0" locked="0" layoutInCell="1" allowOverlap="1">
                <wp:simplePos x="0" y="0"/>
                <wp:positionH relativeFrom="column">
                  <wp:posOffset>-342900</wp:posOffset>
                </wp:positionH>
                <wp:positionV relativeFrom="paragraph">
                  <wp:posOffset>26035</wp:posOffset>
                </wp:positionV>
                <wp:extent cx="304800" cy="266065"/>
                <wp:effectExtent l="0" t="0" r="0" b="635"/>
                <wp:wrapNone/>
                <wp:docPr id="11" name="文本框 11"/>
                <wp:cNvGraphicFramePr/>
                <a:graphic xmlns:a="http://schemas.openxmlformats.org/drawingml/2006/main">
                  <a:graphicData uri="http://schemas.microsoft.com/office/word/2010/wordprocessingShape">
                    <wps:wsp>
                      <wps:cNvSpPr txBox="1"/>
                      <wps:spPr>
                        <a:xfrm>
                          <a:off x="403860" y="1090930"/>
                          <a:ext cx="304800" cy="2660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2.05pt;height:20.95pt;width:24pt;z-index:251671552;mso-width-relative:page;mso-height-relative:page;" fillcolor="#FFFFFF [3201]" filled="t" stroked="f" coordsize="21600,21600" o:gfxdata="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pM/CNIAAAAHAQAA&#10;DwAAAAAAAAABACAAAAAiAAAAZHJzL2Rvd25yZXYueG1sUEsBAhQAFAAAAAgAh07iQKMrPxlYAgAA&#10;mwQAAA4AAAAAAAAAAQAgAAAAIQEAAGRycy9lMm9Eb2MueG1sUEsFBgAAAAAGAAYAWQEAAOsFAAAA&#10;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sz w:val="24"/>
          <w:szCs w:val="24"/>
          <w:lang w:val="en-US" w:eastAsia="zh-CN"/>
        </w:rPr>
        <w:t>照明装置应能通过遥控器或控制面板手动控制升降杆的升降及灯头的开关。遥控器的遥控距离≥65m；</w:t>
      </w:r>
    </w:p>
    <w:p>
      <w:pPr>
        <w:keepNext w:val="0"/>
        <w:keepLines w:val="0"/>
        <w:pageBreakBefore w:val="0"/>
        <w:widowControl/>
        <w:numPr>
          <w:ilvl w:val="0"/>
          <w:numId w:val="152"/>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灯头环境温度﹣25℃至55℃、持续工作时间≥2h；</w:t>
      </w:r>
    </w:p>
    <w:p>
      <w:pPr>
        <w:keepNext w:val="0"/>
        <w:keepLines w:val="0"/>
        <w:pageBreakBefore w:val="0"/>
        <w:widowControl/>
        <w:numPr>
          <w:ilvl w:val="0"/>
          <w:numId w:val="152"/>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在RH93%、温度40℃、持续工作时间≥48h；</w:t>
      </w:r>
    </w:p>
    <w:p>
      <w:pPr>
        <w:keepNext w:val="0"/>
        <w:keepLines w:val="0"/>
        <w:pageBreakBefore w:val="0"/>
        <w:widowControl/>
        <w:numPr>
          <w:ilvl w:val="0"/>
          <w:numId w:val="152"/>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灯头防护等级符合GB/T4208-2017中≥IP65的要求；</w:t>
      </w:r>
    </w:p>
    <w:p>
      <w:pPr>
        <w:keepNext w:val="0"/>
        <w:keepLines w:val="0"/>
        <w:pageBreakBefore w:val="0"/>
        <w:widowControl/>
        <w:numPr>
          <w:ilvl w:val="0"/>
          <w:numId w:val="152"/>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发电机连续照明时间≥7小时；</w:t>
      </w:r>
    </w:p>
    <w:p>
      <w:pPr>
        <w:keepNext w:val="0"/>
        <w:keepLines w:val="0"/>
        <w:pageBreakBefore w:val="0"/>
        <w:widowControl/>
        <w:numPr>
          <w:ilvl w:val="0"/>
          <w:numId w:val="152"/>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70528" behindDoc="0" locked="0" layoutInCell="1" allowOverlap="1">
                <wp:simplePos x="0" y="0"/>
                <wp:positionH relativeFrom="column">
                  <wp:posOffset>-333375</wp:posOffset>
                </wp:positionH>
                <wp:positionV relativeFrom="paragraph">
                  <wp:posOffset>10795</wp:posOffset>
                </wp:positionV>
                <wp:extent cx="276225" cy="257175"/>
                <wp:effectExtent l="0" t="0" r="9525" b="9525"/>
                <wp:wrapNone/>
                <wp:docPr id="10" name="文本框 10"/>
                <wp:cNvGraphicFramePr/>
                <a:graphic xmlns:a="http://schemas.openxmlformats.org/drawingml/2006/main">
                  <a:graphicData uri="http://schemas.microsoft.com/office/word/2010/wordprocessingShape">
                    <wps:wsp>
                      <wps:cNvSpPr txBox="1"/>
                      <wps:spPr>
                        <a:xfrm>
                          <a:off x="413385" y="2858770"/>
                          <a:ext cx="276225" cy="2571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5pt;margin-top:0.85pt;height:20.25pt;width:21.75pt;z-index:251670528;mso-width-relative:page;mso-height-relative:page;" fillcolor="#FFFFFF [3201]" filled="t" stroked="f" coordsize="21600,21600" o:gfxdata="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yPmJb0wAAAAcB&#10;AAAPAAAAAAAAAAEAIAAAACIAAABkcnMvZG93bnJldi54bWxQSwECFAAUAAAACACHTuJAU9fLcFkC&#10;AACbBAAADgAAAAAAAAABACAAAAAiAQAAZHJzL2Uyb0RvYy54bWxQSwUGAAAAAAYABgBZAQAA7QUA&#10;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sz w:val="24"/>
          <w:szCs w:val="24"/>
          <w:lang w:val="en-US" w:eastAsia="zh-CN"/>
        </w:rPr>
        <w:t>升降系统应有良好的限位性，升降杆达到最大高度后，1h内升降杆下滑应≤2cm。</w:t>
      </w:r>
    </w:p>
    <w:p>
      <w:pPr>
        <w:keepNext w:val="0"/>
        <w:keepLines w:val="0"/>
        <w:pageBreakBefore w:val="0"/>
        <w:widowControl/>
        <w:numPr>
          <w:ilvl w:val="0"/>
          <w:numId w:val="152"/>
        </w:numPr>
        <w:kinsoku/>
        <w:wordWrap/>
        <w:overflowPunct/>
        <w:topLinePunct w:val="0"/>
        <w:bidi w:val="0"/>
        <w:spacing w:line="360" w:lineRule="auto"/>
        <w:ind w:left="425" w:leftChars="0" w:hanging="425" w:firstLineChars="0"/>
        <w:jc w:val="left"/>
        <w:textAlignment w:val="center"/>
        <w:rPr>
          <w:rFonts w:hint="eastAsia" w:ascii="宋体" w:hAnsi="宋体" w:eastAsia="宋体" w:cs="宋体"/>
          <w:sz w:val="24"/>
          <w:szCs w:val="24"/>
          <w:highlight w:val="none"/>
          <w:lang w:val="en-US" w:eastAsia="zh-CN"/>
        </w:rPr>
      </w:pPr>
      <w:r>
        <w:rPr>
          <w:sz w:val="24"/>
          <w:highlight w:val="none"/>
        </w:rPr>
        <mc:AlternateContent>
          <mc:Choice Requires="wps">
            <w:drawing>
              <wp:anchor distT="0" distB="0" distL="114300" distR="114300" simplePos="0" relativeHeight="251669504" behindDoc="0" locked="0" layoutInCell="1" allowOverlap="1">
                <wp:simplePos x="0" y="0"/>
                <wp:positionH relativeFrom="column">
                  <wp:posOffset>-323850</wp:posOffset>
                </wp:positionH>
                <wp:positionV relativeFrom="paragraph">
                  <wp:posOffset>26035</wp:posOffset>
                </wp:positionV>
                <wp:extent cx="266700" cy="276225"/>
                <wp:effectExtent l="0" t="0" r="0" b="9525"/>
                <wp:wrapNone/>
                <wp:docPr id="9" name="文本框 9"/>
                <wp:cNvGraphicFramePr/>
                <a:graphic xmlns:a="http://schemas.openxmlformats.org/drawingml/2006/main">
                  <a:graphicData uri="http://schemas.microsoft.com/office/word/2010/wordprocessingShape">
                    <wps:wsp>
                      <wps:cNvSpPr txBox="1"/>
                      <wps:spPr>
                        <a:xfrm>
                          <a:off x="356235" y="3468370"/>
                          <a:ext cx="266700"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pt;margin-top:2.05pt;height:21.75pt;width:21pt;z-index:251669504;mso-width-relative:page;mso-height-relative:page;" fillcolor="#FFFFFF [3201]" filled="t" stroked="f" coordsize="21600,21600" o:gfxdata="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5pMPedEAAAAHAQAA&#10;DwAAAAAAAAABACAAAAAiAAAAZHJzL2Rvd25yZXYueG1sUEsBAhQAFAAAAAgAh07iQAB70zZZAgAA&#10;mQQAAA4AAAAAAAAAAQAgAAAAIAEAAGRycy9lMm9Eb2MueG1sUEsFBgAAAAAGAAYAWQEAAOsFAAAA&#10;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sz w:val="24"/>
          <w:szCs w:val="24"/>
          <w:highlight w:val="none"/>
          <w:lang w:val="en-US" w:eastAsia="zh-CN"/>
        </w:rPr>
        <w:t>提供</w:t>
      </w:r>
      <w:r>
        <w:rPr>
          <w:rFonts w:hint="eastAsia" w:ascii="宋体" w:hAnsi="宋体" w:eastAsia="宋体" w:cs="宋体"/>
          <w:b/>
          <w:bCs/>
          <w:sz w:val="24"/>
          <w:szCs w:val="24"/>
          <w:highlight w:val="none"/>
          <w:lang w:val="en-US" w:eastAsia="zh-CN"/>
        </w:rPr>
        <w:t>检测报告复印件并加盖公章</w:t>
      </w:r>
      <w:r>
        <w:rPr>
          <w:rFonts w:hint="eastAsia" w:ascii="宋体" w:hAnsi="宋体" w:eastAsia="宋体" w:cs="宋体"/>
          <w:sz w:val="24"/>
          <w:szCs w:val="24"/>
          <w:highlight w:val="none"/>
          <w:lang w:val="en-US" w:eastAsia="zh-CN"/>
        </w:rPr>
        <w:t>。</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防化服半封闭</w:t>
      </w:r>
    </w:p>
    <w:p>
      <w:pPr>
        <w:keepNext w:val="0"/>
        <w:keepLines w:val="0"/>
        <w:pageBreakBefore w:val="0"/>
        <w:numPr>
          <w:ilvl w:val="0"/>
          <w:numId w:val="153"/>
        </w:numPr>
        <w:tabs>
          <w:tab w:val="left" w:pos="1260"/>
          <w:tab w:val="clear" w:pos="420"/>
        </w:tabs>
        <w:kinsoku/>
        <w:wordWrap/>
        <w:overflowPunct/>
        <w:topLinePunct w:val="0"/>
        <w:autoSpaceDE w:val="0"/>
        <w:autoSpaceDN w:val="0"/>
        <w:bidi w:val="0"/>
        <w:adjustRightInd w:val="0"/>
        <w:spacing w:line="360" w:lineRule="auto"/>
        <w:ind w:left="1260" w:leftChars="0" w:hanging="1260" w:firstLineChars="0"/>
        <w:rPr>
          <w:rFonts w:hint="eastAsia" w:ascii="宋体" w:hAnsi="宋体" w:eastAsia="宋体" w:cs="宋体"/>
          <w:b w:val="0"/>
          <w:bCs w:val="0"/>
          <w:kern w:val="0"/>
          <w:sz w:val="24"/>
          <w:szCs w:val="24"/>
        </w:rPr>
      </w:pPr>
      <w:r>
        <w:rPr>
          <w:sz w:val="24"/>
        </w:rPr>
        <mc:AlternateContent>
          <mc:Choice Requires="wps">
            <w:drawing>
              <wp:anchor distT="0" distB="0" distL="114300" distR="114300" simplePos="0" relativeHeight="251668480" behindDoc="0" locked="0" layoutInCell="1" allowOverlap="1">
                <wp:simplePos x="0" y="0"/>
                <wp:positionH relativeFrom="column">
                  <wp:posOffset>-333375</wp:posOffset>
                </wp:positionH>
                <wp:positionV relativeFrom="paragraph">
                  <wp:posOffset>18415</wp:posOffset>
                </wp:positionV>
                <wp:extent cx="285750" cy="247650"/>
                <wp:effectExtent l="0" t="0" r="0" b="0"/>
                <wp:wrapNone/>
                <wp:docPr id="8" name="文本框 8"/>
                <wp:cNvGraphicFramePr/>
                <a:graphic xmlns:a="http://schemas.openxmlformats.org/drawingml/2006/main">
                  <a:graphicData uri="http://schemas.microsoft.com/office/word/2010/wordprocessingShape">
                    <wps:wsp>
                      <wps:cNvSpPr txBox="1"/>
                      <wps:spPr>
                        <a:xfrm>
                          <a:off x="422910" y="4253230"/>
                          <a:ext cx="285750"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5pt;margin-top:1.45pt;height:19.5pt;width:22.5pt;z-index:251668480;mso-width-relative:page;mso-height-relative:page;" fillcolor="#FFFFFF [3201]" filled="t" stroked="f" coordsize="21600,21600" o:gfxdata="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7ekDvSAAAABwEAAA8A&#10;AAAAAAAAAQAgAAAAIgAAAGRycy9kb3ducmV2LnhtbFBLAQIUABQAAAAIAIdO4kAggYcpVgIAAJkE&#10;AAAOAAAAAAAAAAEAIAAAACEBAABkcnMvZTJvRG9jLnhtbFBLBQYAAAAABgAGAFkBAADpBQ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b w:val="0"/>
          <w:bCs w:val="0"/>
          <w:kern w:val="0"/>
          <w:sz w:val="24"/>
          <w:szCs w:val="24"/>
        </w:rPr>
        <w:t>符合XF770-2008标准要求</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rPr>
        <w:t>提供相应</w:t>
      </w:r>
      <w:r>
        <w:rPr>
          <w:rFonts w:hint="eastAsia" w:ascii="宋体" w:hAnsi="宋体" w:eastAsia="宋体" w:cs="宋体"/>
          <w:b/>
          <w:bCs/>
          <w:kern w:val="0"/>
          <w:sz w:val="24"/>
          <w:szCs w:val="24"/>
        </w:rPr>
        <w:t>检测报告</w:t>
      </w:r>
      <w:r>
        <w:rPr>
          <w:rFonts w:hint="eastAsia" w:ascii="宋体" w:hAnsi="宋体" w:eastAsia="宋体" w:cs="宋体"/>
          <w:b/>
          <w:bCs/>
          <w:kern w:val="0"/>
          <w:sz w:val="24"/>
          <w:szCs w:val="24"/>
          <w:lang w:val="en-US" w:eastAsia="zh-CN"/>
        </w:rPr>
        <w:t>并加盖公章</w:t>
      </w:r>
      <w:r>
        <w:rPr>
          <w:rFonts w:hint="eastAsia" w:ascii="宋体" w:hAnsi="宋体" w:eastAsia="宋体" w:cs="宋体"/>
          <w:b w:val="0"/>
          <w:bCs w:val="0"/>
          <w:kern w:val="0"/>
          <w:sz w:val="24"/>
          <w:szCs w:val="24"/>
        </w:rPr>
        <w:t>。</w:t>
      </w:r>
    </w:p>
    <w:p>
      <w:pPr>
        <w:keepNext w:val="0"/>
        <w:keepLines w:val="0"/>
        <w:pageBreakBefore w:val="0"/>
        <w:numPr>
          <w:ilvl w:val="0"/>
          <w:numId w:val="153"/>
        </w:numPr>
        <w:tabs>
          <w:tab w:val="left" w:pos="1260"/>
          <w:tab w:val="clear" w:pos="420"/>
        </w:tabs>
        <w:kinsoku/>
        <w:wordWrap/>
        <w:overflowPunct/>
        <w:topLinePunct w:val="0"/>
        <w:autoSpaceDE w:val="0"/>
        <w:autoSpaceDN w:val="0"/>
        <w:bidi w:val="0"/>
        <w:adjustRightInd w:val="0"/>
        <w:spacing w:line="360" w:lineRule="auto"/>
        <w:ind w:left="1245" w:leftChars="0" w:hanging="1245" w:firstLineChars="0"/>
        <w:rPr>
          <w:rFonts w:hint="eastAsia" w:ascii="宋体" w:hAnsi="宋体" w:eastAsia="宋体" w:cs="宋体"/>
          <w:b w:val="0"/>
          <w:bCs w:val="0"/>
          <w:kern w:val="0"/>
          <w:sz w:val="24"/>
          <w:szCs w:val="24"/>
          <w:lang w:val="zh-CN"/>
        </w:rPr>
      </w:pPr>
      <w:r>
        <w:rPr>
          <w:rFonts w:hint="eastAsia" w:ascii="宋体" w:hAnsi="宋体" w:eastAsia="宋体" w:cs="宋体"/>
          <w:b w:val="0"/>
          <w:bCs w:val="0"/>
          <w:kern w:val="0"/>
          <w:sz w:val="24"/>
          <w:szCs w:val="24"/>
          <w:lang w:val="zh-CN"/>
        </w:rPr>
        <w:t>为半封闭式消防防化服，是消防员进入化学危险品或腐蚀性物品火灾或事故现场，进行灭火及抢险救援时穿着的防护服装。</w:t>
      </w:r>
    </w:p>
    <w:p>
      <w:pPr>
        <w:keepNext w:val="0"/>
        <w:keepLines w:val="0"/>
        <w:pageBreakBefore w:val="0"/>
        <w:numPr>
          <w:ilvl w:val="0"/>
          <w:numId w:val="153"/>
        </w:numPr>
        <w:tabs>
          <w:tab w:val="left" w:pos="1260"/>
          <w:tab w:val="clear" w:pos="420"/>
        </w:tabs>
        <w:kinsoku/>
        <w:wordWrap/>
        <w:overflowPunct/>
        <w:topLinePunct w:val="0"/>
        <w:autoSpaceDE w:val="0"/>
        <w:autoSpaceDN w:val="0"/>
        <w:bidi w:val="0"/>
        <w:adjustRightInd w:val="0"/>
        <w:spacing w:line="360" w:lineRule="auto"/>
        <w:ind w:left="1245" w:leftChars="0" w:hanging="1245" w:firstLineChars="0"/>
        <w:rPr>
          <w:rFonts w:hint="eastAsia" w:ascii="宋体" w:hAnsi="宋体" w:eastAsia="宋体" w:cs="宋体"/>
          <w:b w:val="0"/>
          <w:bCs w:val="0"/>
          <w:kern w:val="0"/>
          <w:sz w:val="24"/>
          <w:szCs w:val="24"/>
          <w:lang w:val="zh-CN"/>
        </w:rPr>
      </w:pPr>
      <w:r>
        <w:rPr>
          <w:rFonts w:hint="eastAsia" w:ascii="宋体" w:hAnsi="宋体" w:eastAsia="宋体" w:cs="宋体"/>
          <w:b w:val="0"/>
          <w:bCs w:val="0"/>
          <w:kern w:val="0"/>
          <w:sz w:val="24"/>
          <w:szCs w:val="24"/>
          <w:lang w:val="zh-CN"/>
        </w:rPr>
        <w:t>采用PVC双面涂覆织物面料制作，不但具有防酸、碱性能，而且具备了较好的阻燃性能及强力性能。可在汽油、丙酮、醋酸乙酯等有机介质以及硫酸、盐酸、硝酸、磷酸、氢氧化钠等腐蚀性液体场合进行抢险救援作业。</w:t>
      </w:r>
    </w:p>
    <w:p>
      <w:pPr>
        <w:keepNext w:val="0"/>
        <w:keepLines w:val="0"/>
        <w:pageBreakBefore w:val="0"/>
        <w:numPr>
          <w:ilvl w:val="0"/>
          <w:numId w:val="15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b w:val="0"/>
          <w:bCs w:val="0"/>
          <w:kern w:val="0"/>
          <w:sz w:val="24"/>
          <w:szCs w:val="24"/>
          <w:lang w:val="zh-CN"/>
        </w:rPr>
      </w:pPr>
      <w:r>
        <w:rPr>
          <w:rFonts w:hint="eastAsia" w:ascii="宋体" w:hAnsi="宋体" w:eastAsia="宋体" w:cs="宋体"/>
          <w:b w:val="0"/>
          <w:bCs w:val="0"/>
          <w:kern w:val="0"/>
          <w:sz w:val="24"/>
          <w:szCs w:val="24"/>
          <w:lang w:val="zh-CN"/>
        </w:rPr>
        <w:t>连体式半封闭结构，除面部裸露，其余部位采用密封形式。</w:t>
      </w:r>
    </w:p>
    <w:p>
      <w:pPr>
        <w:keepNext w:val="0"/>
        <w:keepLines w:val="0"/>
        <w:pageBreakBefore w:val="0"/>
        <w:numPr>
          <w:ilvl w:val="0"/>
          <w:numId w:val="15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b w:val="0"/>
          <w:bCs w:val="0"/>
          <w:kern w:val="0"/>
          <w:sz w:val="24"/>
          <w:szCs w:val="24"/>
          <w:lang w:val="zh-CN"/>
        </w:rPr>
      </w:pPr>
      <w:r>
        <w:rPr>
          <w:rFonts w:hint="eastAsia" w:ascii="宋体" w:hAnsi="宋体" w:eastAsia="宋体" w:cs="宋体"/>
          <w:b w:val="0"/>
          <w:bCs w:val="0"/>
          <w:kern w:val="0"/>
          <w:sz w:val="24"/>
          <w:szCs w:val="24"/>
          <w:lang w:val="zh-CN"/>
        </w:rPr>
        <w:t>缝纫接缝全部采用内外密封条密封，确保服装的密封性能。</w:t>
      </w:r>
    </w:p>
    <w:p>
      <w:pPr>
        <w:keepNext w:val="0"/>
        <w:keepLines w:val="0"/>
        <w:pageBreakBefore w:val="0"/>
        <w:numPr>
          <w:ilvl w:val="0"/>
          <w:numId w:val="15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b w:val="0"/>
          <w:bCs w:val="0"/>
          <w:kern w:val="0"/>
          <w:sz w:val="24"/>
          <w:szCs w:val="24"/>
          <w:lang w:val="zh-CN"/>
        </w:rPr>
      </w:pPr>
      <w:r>
        <w:rPr>
          <w:rFonts w:hint="eastAsia" w:ascii="宋体" w:hAnsi="宋体" w:eastAsia="宋体" w:cs="宋体"/>
          <w:b w:val="0"/>
          <w:bCs w:val="0"/>
          <w:kern w:val="0"/>
          <w:sz w:val="24"/>
          <w:szCs w:val="24"/>
          <w:lang w:val="zh-CN"/>
        </w:rPr>
        <w:t>整套防化服是由衣服、防化手套、防化胶靴组成。</w:t>
      </w:r>
    </w:p>
    <w:p>
      <w:pPr>
        <w:keepNext w:val="0"/>
        <w:keepLines w:val="0"/>
        <w:pageBreakBefore w:val="0"/>
        <w:numPr>
          <w:ilvl w:val="0"/>
          <w:numId w:val="15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b w:val="0"/>
          <w:bCs w:val="0"/>
          <w:kern w:val="0"/>
          <w:sz w:val="24"/>
          <w:szCs w:val="24"/>
          <w:lang w:val="zh-CN"/>
        </w:rPr>
      </w:pPr>
      <w:r>
        <w:rPr>
          <w:rFonts w:hint="eastAsia" w:ascii="宋体" w:hAnsi="宋体" w:eastAsia="宋体" w:cs="宋体"/>
          <w:b w:val="0"/>
          <w:bCs w:val="0"/>
          <w:kern w:val="0"/>
          <w:sz w:val="24"/>
          <w:szCs w:val="24"/>
          <w:lang w:val="zh-CN"/>
        </w:rPr>
        <w:t>整体抗水渗透性能：20min后，无渗透现象。</w:t>
      </w:r>
    </w:p>
    <w:p>
      <w:pPr>
        <w:keepNext w:val="0"/>
        <w:keepLines w:val="0"/>
        <w:pageBreakBefore w:val="0"/>
        <w:numPr>
          <w:ilvl w:val="0"/>
          <w:numId w:val="15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b w:val="0"/>
          <w:bCs w:val="0"/>
          <w:kern w:val="0"/>
          <w:sz w:val="24"/>
          <w:szCs w:val="24"/>
          <w:lang w:val="zh-CN"/>
        </w:rPr>
      </w:pPr>
      <w:r>
        <w:rPr>
          <w:rFonts w:hint="eastAsia" w:ascii="宋体" w:hAnsi="宋体" w:eastAsia="宋体" w:cs="宋体"/>
          <w:b w:val="0"/>
          <w:bCs w:val="0"/>
          <w:kern w:val="0"/>
          <w:sz w:val="24"/>
          <w:szCs w:val="24"/>
          <w:lang w:val="zh-CN"/>
        </w:rPr>
        <w:t>拉伸强度≥18KN/m。</w:t>
      </w:r>
    </w:p>
    <w:p>
      <w:pPr>
        <w:keepNext w:val="0"/>
        <w:keepLines w:val="0"/>
        <w:pageBreakBefore w:val="0"/>
        <w:numPr>
          <w:ilvl w:val="0"/>
          <w:numId w:val="15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b w:val="0"/>
          <w:bCs w:val="0"/>
          <w:kern w:val="0"/>
          <w:sz w:val="24"/>
          <w:szCs w:val="24"/>
          <w:lang w:val="zh-CN"/>
        </w:rPr>
      </w:pPr>
      <w:r>
        <w:rPr>
          <w:rFonts w:hint="eastAsia" w:ascii="宋体" w:hAnsi="宋体" w:eastAsia="宋体" w:cs="宋体"/>
          <w:b w:val="0"/>
          <w:bCs w:val="0"/>
          <w:kern w:val="0"/>
          <w:sz w:val="24"/>
          <w:szCs w:val="24"/>
          <w:lang w:val="zh-CN"/>
        </w:rPr>
        <w:t>阻燃性能：损毁长度≤100mm，有焰燃烧时间≤10s，无焰燃烧时间≤2s。</w:t>
      </w:r>
    </w:p>
    <w:p>
      <w:pPr>
        <w:keepNext w:val="0"/>
        <w:keepLines w:val="0"/>
        <w:pageBreakBefore w:val="0"/>
        <w:numPr>
          <w:ilvl w:val="0"/>
          <w:numId w:val="15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b w:val="0"/>
          <w:bCs w:val="0"/>
          <w:kern w:val="0"/>
          <w:sz w:val="24"/>
          <w:szCs w:val="24"/>
          <w:lang w:val="zh-CN"/>
        </w:rPr>
      </w:pPr>
      <w:r>
        <w:rPr>
          <w:rFonts w:hint="eastAsia" w:ascii="宋体" w:hAnsi="宋体" w:eastAsia="宋体" w:cs="宋体"/>
          <w:b w:val="0"/>
          <w:bCs w:val="0"/>
          <w:kern w:val="0"/>
          <w:sz w:val="24"/>
          <w:szCs w:val="24"/>
          <w:lang w:val="zh-CN"/>
        </w:rPr>
        <w:t>耐热老化性能：125℃×2h不粘、不脆。</w:t>
      </w:r>
    </w:p>
    <w:p>
      <w:pPr>
        <w:keepNext w:val="0"/>
        <w:keepLines w:val="0"/>
        <w:pageBreakBefore w:val="0"/>
        <w:numPr>
          <w:ilvl w:val="0"/>
          <w:numId w:val="15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b w:val="0"/>
          <w:bCs w:val="0"/>
          <w:kern w:val="0"/>
          <w:sz w:val="24"/>
          <w:szCs w:val="24"/>
          <w:lang w:val="zh-CN"/>
        </w:rPr>
      </w:pPr>
      <w:r>
        <w:rPr>
          <w:rFonts w:hint="eastAsia" w:ascii="宋体" w:hAnsi="宋体" w:eastAsia="宋体" w:cs="宋体"/>
          <w:b w:val="0"/>
          <w:bCs w:val="0"/>
          <w:kern w:val="0"/>
          <w:sz w:val="24"/>
          <w:szCs w:val="24"/>
          <w:lang w:val="zh-CN"/>
        </w:rPr>
        <w:t>耐寒性能：-25℃×5min，无裂纹。</w:t>
      </w:r>
    </w:p>
    <w:p>
      <w:pPr>
        <w:keepNext w:val="0"/>
        <w:keepLines w:val="0"/>
        <w:pageBreakBefore w:val="0"/>
        <w:numPr>
          <w:ilvl w:val="0"/>
          <w:numId w:val="15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b w:val="0"/>
          <w:bCs w:val="0"/>
          <w:kern w:val="0"/>
          <w:sz w:val="24"/>
          <w:szCs w:val="24"/>
          <w:lang w:val="zh-CN"/>
        </w:rPr>
      </w:pPr>
      <w:r>
        <w:rPr>
          <w:rFonts w:hint="eastAsia" w:ascii="宋体" w:hAnsi="宋体" w:eastAsia="宋体" w:cs="宋体"/>
          <w:b w:val="0"/>
          <w:bCs w:val="0"/>
          <w:kern w:val="0"/>
          <w:sz w:val="24"/>
          <w:szCs w:val="24"/>
          <w:lang w:val="zh-CN"/>
        </w:rPr>
        <w:t>撕裂强力≥60N。</w:t>
      </w:r>
    </w:p>
    <w:p>
      <w:pPr>
        <w:keepNext w:val="0"/>
        <w:keepLines w:val="0"/>
        <w:pageBreakBefore w:val="0"/>
        <w:numPr>
          <w:ilvl w:val="0"/>
          <w:numId w:val="15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b w:val="0"/>
          <w:bCs w:val="0"/>
          <w:kern w:val="0"/>
          <w:sz w:val="24"/>
          <w:szCs w:val="24"/>
          <w:lang w:val="zh-CN"/>
        </w:rPr>
      </w:pPr>
      <w:r>
        <w:rPr>
          <w:rFonts w:hint="eastAsia" w:ascii="宋体" w:hAnsi="宋体" w:eastAsia="宋体" w:cs="宋体"/>
          <w:b w:val="0"/>
          <w:bCs w:val="0"/>
          <w:kern w:val="0"/>
          <w:sz w:val="24"/>
          <w:szCs w:val="24"/>
          <w:lang w:val="zh-CN"/>
        </w:rPr>
        <w:t>接缝强力≥800N。</w:t>
      </w:r>
    </w:p>
    <w:p>
      <w:pPr>
        <w:keepNext w:val="0"/>
        <w:keepLines w:val="0"/>
        <w:pageBreakBefore w:val="0"/>
        <w:numPr>
          <w:ilvl w:val="0"/>
          <w:numId w:val="15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b w:val="0"/>
          <w:bCs w:val="0"/>
          <w:kern w:val="0"/>
          <w:sz w:val="24"/>
          <w:szCs w:val="24"/>
          <w:lang w:val="zh-CN"/>
        </w:rPr>
      </w:pPr>
      <w:r>
        <w:rPr>
          <w:rFonts w:hint="eastAsia" w:ascii="宋体" w:hAnsi="宋体" w:eastAsia="宋体" w:cs="宋体"/>
          <w:b w:val="0"/>
          <w:bCs w:val="0"/>
          <w:kern w:val="0"/>
          <w:sz w:val="24"/>
          <w:szCs w:val="24"/>
          <w:lang w:val="zh-CN"/>
        </w:rPr>
        <w:t>耐刺穿力≥22N。</w:t>
      </w:r>
    </w:p>
    <w:p>
      <w:pPr>
        <w:keepNext w:val="0"/>
        <w:keepLines w:val="0"/>
        <w:pageBreakBefore w:val="0"/>
        <w:numPr>
          <w:ilvl w:val="0"/>
          <w:numId w:val="153"/>
        </w:numPr>
        <w:kinsoku/>
        <w:wordWrap/>
        <w:overflowPunct/>
        <w:topLinePunct w:val="0"/>
        <w:autoSpaceDE w:val="0"/>
        <w:autoSpaceDN w:val="0"/>
        <w:bidi w:val="0"/>
        <w:adjustRightInd w:val="0"/>
        <w:spacing w:line="360" w:lineRule="auto"/>
        <w:ind w:left="425" w:leftChars="0" w:hanging="425" w:firstLineChars="0"/>
        <w:rPr>
          <w:rFonts w:hint="eastAsia" w:ascii="宋体" w:hAnsi="宋体" w:eastAsia="宋体" w:cs="宋体"/>
          <w:b w:val="0"/>
          <w:bCs w:val="0"/>
          <w:kern w:val="0"/>
          <w:sz w:val="24"/>
          <w:szCs w:val="24"/>
          <w:lang w:val="zh-CN"/>
        </w:rPr>
      </w:pPr>
      <w:r>
        <w:rPr>
          <w:rFonts w:hint="eastAsia" w:ascii="宋体" w:hAnsi="宋体" w:eastAsia="宋体" w:cs="宋体"/>
          <w:b w:val="0"/>
          <w:bCs w:val="0"/>
          <w:kern w:val="0"/>
          <w:sz w:val="24"/>
          <w:szCs w:val="24"/>
          <w:lang w:val="zh-CN"/>
        </w:rPr>
        <w:t>质量≤4kg。</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防化服全封闭</w:t>
      </w:r>
    </w:p>
    <w:p>
      <w:pPr>
        <w:keepNext w:val="0"/>
        <w:keepLines w:val="0"/>
        <w:pageBreakBefore w:val="0"/>
        <w:numPr>
          <w:ilvl w:val="0"/>
          <w:numId w:val="154"/>
        </w:numPr>
        <w:kinsoku/>
        <w:wordWrap/>
        <w:overflowPunct/>
        <w:topLinePunct w:val="0"/>
        <w:bidi w:val="0"/>
        <w:spacing w:line="360" w:lineRule="auto"/>
        <w:ind w:left="425" w:leftChars="0" w:hanging="425" w:firstLineChars="0"/>
        <w:rPr>
          <w:rFonts w:hint="eastAsia" w:ascii="宋体" w:hAnsi="宋体" w:eastAsia="宋体" w:cs="宋体"/>
          <w:kern w:val="0"/>
          <w:sz w:val="24"/>
          <w:szCs w:val="24"/>
        </w:rPr>
      </w:pPr>
      <w:r>
        <w:rPr>
          <w:sz w:val="24"/>
        </w:rPr>
        <mc:AlternateContent>
          <mc:Choice Requires="wps">
            <w:drawing>
              <wp:anchor distT="0" distB="0" distL="114300" distR="114300" simplePos="0" relativeHeight="251667456" behindDoc="0" locked="0" layoutInCell="1" allowOverlap="1">
                <wp:simplePos x="0" y="0"/>
                <wp:positionH relativeFrom="column">
                  <wp:posOffset>-304800</wp:posOffset>
                </wp:positionH>
                <wp:positionV relativeFrom="paragraph">
                  <wp:posOffset>12700</wp:posOffset>
                </wp:positionV>
                <wp:extent cx="276225" cy="275590"/>
                <wp:effectExtent l="0" t="0" r="9525" b="10160"/>
                <wp:wrapNone/>
                <wp:docPr id="6" name="文本框 6"/>
                <wp:cNvGraphicFramePr/>
                <a:graphic xmlns:a="http://schemas.openxmlformats.org/drawingml/2006/main">
                  <a:graphicData uri="http://schemas.microsoft.com/office/word/2010/wordprocessingShape">
                    <wps:wsp>
                      <wps:cNvSpPr txBox="1"/>
                      <wps:spPr>
                        <a:xfrm>
                          <a:off x="384810" y="1115695"/>
                          <a:ext cx="276225" cy="2755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pt;margin-top:1pt;height:21.7pt;width:21.75pt;z-index:251667456;mso-width-relative:page;mso-height-relative:page;" fillcolor="#FFFFFF [3201]" filled="t" stroked="f" coordsize="21600,21600" o:gfxdata="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OEc/NQA&#10;AAAHAQAADwAAAAAAAAABACAAAAAiAAAAZHJzL2Rvd25yZXYueG1sUEsBAhQAFAAAAAgAh07iQAMI&#10;4IdcAgAAmQQAAA4AAAAAAAAAAQAgAAAAIwEAAGRycy9lMm9Eb2MueG1sUEsFBgAAAAAGAAYAWQEA&#10;APEFA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kern w:val="0"/>
          <w:sz w:val="24"/>
          <w:szCs w:val="24"/>
        </w:rPr>
        <w:t>符合XF770-2008标准要求</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提供相应</w:t>
      </w:r>
      <w:r>
        <w:rPr>
          <w:rFonts w:hint="eastAsia" w:ascii="宋体" w:hAnsi="宋体" w:eastAsia="宋体" w:cs="宋体"/>
          <w:b/>
          <w:bCs/>
          <w:kern w:val="0"/>
          <w:sz w:val="24"/>
          <w:szCs w:val="24"/>
        </w:rPr>
        <w:t>检测报告</w:t>
      </w:r>
      <w:r>
        <w:rPr>
          <w:rFonts w:hint="eastAsia" w:ascii="宋体" w:hAnsi="宋体" w:eastAsia="宋体" w:cs="宋体"/>
          <w:b/>
          <w:bCs/>
          <w:kern w:val="0"/>
          <w:sz w:val="24"/>
          <w:szCs w:val="24"/>
          <w:lang w:val="en-US" w:eastAsia="zh-CN"/>
        </w:rPr>
        <w:t>并加盖公章</w:t>
      </w:r>
      <w:r>
        <w:rPr>
          <w:rFonts w:hint="eastAsia" w:ascii="宋体" w:hAnsi="宋体" w:eastAsia="宋体" w:cs="宋体"/>
          <w:kern w:val="0"/>
          <w:sz w:val="24"/>
          <w:szCs w:val="24"/>
        </w:rPr>
        <w:t>。</w:t>
      </w:r>
    </w:p>
    <w:p>
      <w:pPr>
        <w:keepNext w:val="0"/>
        <w:keepLines w:val="0"/>
        <w:pageBreakBefore w:val="0"/>
        <w:numPr>
          <w:ilvl w:val="0"/>
          <w:numId w:val="154"/>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全封闭式消防防化服，主要用于消防员在化学危险品、酸碱性物质的事故现场抢险救援时穿戴。</w:t>
      </w:r>
    </w:p>
    <w:p>
      <w:pPr>
        <w:keepNext w:val="0"/>
        <w:keepLines w:val="0"/>
        <w:pageBreakBefore w:val="0"/>
        <w:numPr>
          <w:ilvl w:val="0"/>
          <w:numId w:val="154"/>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采用PVC双面涂覆织物面料上下衣整体制作，由大视野连体头罩、呼吸器背囊、防化手套、防化胶靴、密封拉链、超压排气系统等组成，与头盔、空气呼吸器配套使用。</w:t>
      </w:r>
    </w:p>
    <w:p>
      <w:pPr>
        <w:keepNext w:val="0"/>
        <w:keepLines w:val="0"/>
        <w:pageBreakBefore w:val="0"/>
        <w:numPr>
          <w:ilvl w:val="0"/>
          <w:numId w:val="154"/>
        </w:numPr>
        <w:tabs>
          <w:tab w:val="left" w:pos="1260"/>
        </w:tabs>
        <w:kinsoku/>
        <w:wordWrap/>
        <w:overflowPunct/>
        <w:topLinePunct w:val="0"/>
        <w:bidi w:val="0"/>
        <w:spacing w:line="360" w:lineRule="auto"/>
        <w:ind w:left="425" w:leftChars="0" w:hanging="425" w:firstLineChars="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整体气密性能：≤300pa。</w:t>
      </w:r>
    </w:p>
    <w:p>
      <w:pPr>
        <w:keepNext w:val="0"/>
        <w:keepLines w:val="0"/>
        <w:pageBreakBefore w:val="0"/>
        <w:numPr>
          <w:ilvl w:val="0"/>
          <w:numId w:val="154"/>
        </w:numPr>
        <w:tabs>
          <w:tab w:val="left" w:pos="1260"/>
        </w:tabs>
        <w:kinsoku/>
        <w:wordWrap/>
        <w:overflowPunct/>
        <w:topLinePunct w:val="0"/>
        <w:bidi w:val="0"/>
        <w:spacing w:line="360" w:lineRule="auto"/>
        <w:ind w:left="425" w:leftChars="0" w:hanging="425" w:firstLineChars="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拉伸强度≥18KN/m。</w:t>
      </w:r>
    </w:p>
    <w:p>
      <w:pPr>
        <w:keepNext w:val="0"/>
        <w:keepLines w:val="0"/>
        <w:pageBreakBefore w:val="0"/>
        <w:numPr>
          <w:ilvl w:val="0"/>
          <w:numId w:val="154"/>
        </w:numPr>
        <w:tabs>
          <w:tab w:val="left" w:pos="1260"/>
        </w:tabs>
        <w:kinsoku/>
        <w:wordWrap/>
        <w:overflowPunct/>
        <w:topLinePunct w:val="0"/>
        <w:bidi w:val="0"/>
        <w:spacing w:line="360" w:lineRule="auto"/>
        <w:ind w:left="425" w:leftChars="0" w:hanging="425" w:firstLineChars="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阻燃性能：损毁长度≤100mm，有焰燃烧时间≤10s，无焰燃烧时间≤2s。</w:t>
      </w:r>
    </w:p>
    <w:p>
      <w:pPr>
        <w:keepNext w:val="0"/>
        <w:keepLines w:val="0"/>
        <w:pageBreakBefore w:val="0"/>
        <w:numPr>
          <w:ilvl w:val="0"/>
          <w:numId w:val="154"/>
        </w:numPr>
        <w:tabs>
          <w:tab w:val="left" w:pos="1260"/>
        </w:tabs>
        <w:kinsoku/>
        <w:wordWrap/>
        <w:overflowPunct/>
        <w:topLinePunct w:val="0"/>
        <w:bidi w:val="0"/>
        <w:spacing w:line="360" w:lineRule="auto"/>
        <w:ind w:left="425" w:leftChars="0" w:hanging="425" w:firstLineChars="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耐热老化性能：125℃×24h不粘、不脆。</w:t>
      </w:r>
    </w:p>
    <w:p>
      <w:pPr>
        <w:keepNext w:val="0"/>
        <w:keepLines w:val="0"/>
        <w:pageBreakBefore w:val="0"/>
        <w:numPr>
          <w:ilvl w:val="0"/>
          <w:numId w:val="154"/>
        </w:numPr>
        <w:tabs>
          <w:tab w:val="left" w:pos="1260"/>
        </w:tabs>
        <w:kinsoku/>
        <w:wordWrap/>
        <w:overflowPunct/>
        <w:topLinePunct w:val="0"/>
        <w:bidi w:val="0"/>
        <w:spacing w:line="360" w:lineRule="auto"/>
        <w:ind w:left="425" w:leftChars="0" w:hanging="425" w:firstLineChars="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耐寒性能：-25℃×5min，无裂纹。</w:t>
      </w:r>
    </w:p>
    <w:p>
      <w:pPr>
        <w:keepNext w:val="0"/>
        <w:keepLines w:val="0"/>
        <w:pageBreakBefore w:val="0"/>
        <w:numPr>
          <w:ilvl w:val="0"/>
          <w:numId w:val="154"/>
        </w:numPr>
        <w:tabs>
          <w:tab w:val="left" w:pos="1260"/>
        </w:tabs>
        <w:kinsoku/>
        <w:wordWrap/>
        <w:overflowPunct/>
        <w:topLinePunct w:val="0"/>
        <w:bidi w:val="0"/>
        <w:spacing w:line="360" w:lineRule="auto"/>
        <w:ind w:left="425" w:leftChars="0" w:hanging="425" w:firstLineChars="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撕裂强力≥50N。</w:t>
      </w:r>
    </w:p>
    <w:p>
      <w:pPr>
        <w:keepNext w:val="0"/>
        <w:keepLines w:val="0"/>
        <w:pageBreakBefore w:val="0"/>
        <w:numPr>
          <w:ilvl w:val="0"/>
          <w:numId w:val="154"/>
        </w:numPr>
        <w:tabs>
          <w:tab w:val="left" w:pos="1260"/>
        </w:tabs>
        <w:kinsoku/>
        <w:wordWrap/>
        <w:overflowPunct/>
        <w:topLinePunct w:val="0"/>
        <w:bidi w:val="0"/>
        <w:spacing w:line="360" w:lineRule="auto"/>
        <w:ind w:left="425" w:leftChars="0" w:hanging="425" w:firstLineChars="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接缝强力≥500N。</w:t>
      </w:r>
    </w:p>
    <w:p>
      <w:pPr>
        <w:keepNext w:val="0"/>
        <w:keepLines w:val="0"/>
        <w:pageBreakBefore w:val="0"/>
        <w:numPr>
          <w:ilvl w:val="0"/>
          <w:numId w:val="154"/>
        </w:numPr>
        <w:tabs>
          <w:tab w:val="left" w:pos="1260"/>
        </w:tabs>
        <w:kinsoku/>
        <w:wordWrap/>
        <w:overflowPunct/>
        <w:topLinePunct w:val="0"/>
        <w:bidi w:val="0"/>
        <w:spacing w:line="360" w:lineRule="auto"/>
        <w:ind w:left="425" w:leftChars="0" w:hanging="425" w:firstLineChars="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耐刺穿力≥22N。</w:t>
      </w:r>
    </w:p>
    <w:p>
      <w:pPr>
        <w:keepNext w:val="0"/>
        <w:keepLines w:val="0"/>
        <w:pageBreakBefore w:val="0"/>
        <w:numPr>
          <w:ilvl w:val="0"/>
          <w:numId w:val="154"/>
        </w:numPr>
        <w:tabs>
          <w:tab w:val="left" w:pos="1260"/>
        </w:tabs>
        <w:kinsoku/>
        <w:wordWrap/>
        <w:overflowPunct/>
        <w:topLinePunct w:val="0"/>
        <w:bidi w:val="0"/>
        <w:spacing w:line="360" w:lineRule="auto"/>
        <w:ind w:left="425" w:leftChars="0" w:hanging="425" w:firstLineChars="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质量≤7kg。</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救生抛投器</w:t>
      </w:r>
    </w:p>
    <w:p>
      <w:pPr>
        <w:keepNext w:val="0"/>
        <w:keepLines w:val="0"/>
        <w:pageBreakBefore w:val="0"/>
        <w:numPr>
          <w:ilvl w:val="0"/>
          <w:numId w:val="155"/>
        </w:numPr>
        <w:tabs>
          <w:tab w:val="left" w:pos="1260"/>
          <w:tab w:val="clear" w:pos="420"/>
        </w:tabs>
        <w:kinsoku/>
        <w:wordWrap/>
        <w:overflowPunct/>
        <w:topLinePunct w:val="0"/>
        <w:bidi w:val="0"/>
        <w:spacing w:line="360" w:lineRule="auto"/>
        <w:ind w:left="1245" w:leftChars="0" w:hanging="1245" w:firstLineChars="0"/>
        <w:rPr>
          <w:rFonts w:hint="eastAsia" w:ascii="宋体" w:hAnsi="宋体" w:eastAsia="宋体" w:cs="宋体"/>
          <w:kern w:val="0"/>
          <w:sz w:val="24"/>
          <w:szCs w:val="24"/>
          <w:highlight w:val="none"/>
        </w:rPr>
      </w:pPr>
      <w:r>
        <w:rPr>
          <w:sz w:val="24"/>
        </w:rPr>
        <mc:AlternateContent>
          <mc:Choice Requires="wps">
            <w:drawing>
              <wp:anchor distT="0" distB="0" distL="114300" distR="114300" simplePos="0" relativeHeight="251666432" behindDoc="0" locked="0" layoutInCell="1" allowOverlap="1">
                <wp:simplePos x="0" y="0"/>
                <wp:positionH relativeFrom="column">
                  <wp:posOffset>-342900</wp:posOffset>
                </wp:positionH>
                <wp:positionV relativeFrom="paragraph">
                  <wp:posOffset>3175</wp:posOffset>
                </wp:positionV>
                <wp:extent cx="304800" cy="285750"/>
                <wp:effectExtent l="0" t="0" r="0" b="0"/>
                <wp:wrapNone/>
                <wp:docPr id="5" name="文本框 5"/>
                <wp:cNvGraphicFramePr/>
                <a:graphic xmlns:a="http://schemas.openxmlformats.org/drawingml/2006/main">
                  <a:graphicData uri="http://schemas.microsoft.com/office/word/2010/wordprocessingShape">
                    <wps:wsp>
                      <wps:cNvSpPr txBox="1"/>
                      <wps:spPr>
                        <a:xfrm>
                          <a:off x="337185" y="6049645"/>
                          <a:ext cx="304800"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0.25pt;height:22.5pt;width:24pt;z-index:251666432;mso-width-relative:page;mso-height-relative:page;" fillcolor="#FFFFFF [3201]" filled="t" stroked="f" coordsize="21600,21600" o:gfxdata="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VP7o9dIAAAAG&#10;AQAADwAAAAAAAAABACAAAAAiAAAAZHJzL2Rvd25yZXYueG1sUEsBAhQAFAAAAAgAh07iQMZCgzpb&#10;AgAAmQQAAA4AAAAAAAAAAQAgAAAAIQEAAGRycy9lMm9Eb2MueG1sUEsFBgAAAAAGAAYAWQEAAO4F&#10;A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宋体" w:hAnsi="宋体" w:eastAsia="宋体" w:cs="宋体"/>
          <w:kern w:val="0"/>
          <w:sz w:val="24"/>
          <w:szCs w:val="24"/>
          <w:highlight w:val="none"/>
        </w:rPr>
        <w:t>产品符合GB/T27906-2011《救生抛投器》标准</w:t>
      </w:r>
      <w:r>
        <w:rPr>
          <w:rFonts w:hint="eastAsia" w:ascii="宋体" w:hAnsi="宋体" w:eastAsia="宋体" w:cs="宋体"/>
          <w:b/>
          <w:bCs/>
          <w:kern w:val="0"/>
          <w:sz w:val="24"/>
          <w:szCs w:val="24"/>
          <w:highlight w:val="none"/>
        </w:rPr>
        <w:t>，提供检测报告</w:t>
      </w:r>
      <w:r>
        <w:rPr>
          <w:rFonts w:hint="eastAsia" w:ascii="宋体" w:hAnsi="宋体" w:eastAsia="宋体" w:cs="宋体"/>
          <w:b/>
          <w:bCs/>
          <w:kern w:val="0"/>
          <w:sz w:val="24"/>
          <w:szCs w:val="24"/>
          <w:highlight w:val="none"/>
          <w:lang w:val="en-US" w:eastAsia="zh-CN"/>
        </w:rPr>
        <w:t>复印并加盖公章</w:t>
      </w:r>
      <w:r>
        <w:rPr>
          <w:rFonts w:hint="eastAsia" w:ascii="宋体" w:hAnsi="宋体" w:eastAsia="宋体" w:cs="宋体"/>
          <w:kern w:val="0"/>
          <w:sz w:val="24"/>
          <w:szCs w:val="24"/>
          <w:highlight w:val="none"/>
        </w:rPr>
        <w:t>。</w:t>
      </w:r>
    </w:p>
    <w:p>
      <w:pPr>
        <w:keepNext w:val="0"/>
        <w:keepLines w:val="0"/>
        <w:pageBreakBefore w:val="0"/>
        <w:numPr>
          <w:ilvl w:val="0"/>
          <w:numId w:val="155"/>
        </w:numPr>
        <w:tabs>
          <w:tab w:val="left" w:pos="1260"/>
          <w:tab w:val="clear" w:pos="420"/>
        </w:tabs>
        <w:kinsoku/>
        <w:wordWrap/>
        <w:overflowPunct/>
        <w:topLinePunct w:val="0"/>
        <w:bidi w:val="0"/>
        <w:spacing w:line="360" w:lineRule="auto"/>
        <w:ind w:left="1245" w:leftChars="0" w:hanging="1245" w:firstLineChars="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使用压缩空气，工作压力≥8.5MP，重量7.5KG（净重不含底座），抛射质量1.8KG。充气一次可使用4-6次。</w:t>
      </w:r>
    </w:p>
    <w:p>
      <w:pPr>
        <w:keepNext w:val="0"/>
        <w:keepLines w:val="0"/>
        <w:pageBreakBefore w:val="0"/>
        <w:numPr>
          <w:ilvl w:val="0"/>
          <w:numId w:val="155"/>
        </w:numPr>
        <w:tabs>
          <w:tab w:val="left" w:pos="1260"/>
          <w:tab w:val="clear" w:pos="420"/>
        </w:tabs>
        <w:kinsoku/>
        <w:wordWrap/>
        <w:overflowPunct/>
        <w:topLinePunct w:val="0"/>
        <w:bidi w:val="0"/>
        <w:spacing w:line="360" w:lineRule="auto"/>
        <w:ind w:left="1245" w:leftChars="0" w:hanging="1245" w:firstLineChars="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抛射距离：水用时抛射自动充气救生圈距离≥210米，陆用时抛射距离≥240米。</w:t>
      </w:r>
    </w:p>
    <w:p>
      <w:pPr>
        <w:keepNext w:val="0"/>
        <w:keepLines w:val="0"/>
        <w:pageBreakBefore w:val="0"/>
        <w:numPr>
          <w:ilvl w:val="0"/>
          <w:numId w:val="155"/>
        </w:numPr>
        <w:tabs>
          <w:tab w:val="left" w:pos="1260"/>
          <w:tab w:val="clear" w:pos="420"/>
        </w:tabs>
        <w:kinsoku/>
        <w:wordWrap/>
        <w:overflowPunct/>
        <w:topLinePunct w:val="0"/>
        <w:bidi w:val="0"/>
        <w:spacing w:line="360" w:lineRule="auto"/>
        <w:ind w:left="1245" w:leftChars="0" w:hanging="1245" w:firstLineChars="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抛绳规格：￠3mm×250/210 M,三种抛绳拉力不小于2000N，救援弹、救援绳及水用保护套 可反复使用。</w:t>
      </w:r>
    </w:p>
    <w:p>
      <w:pPr>
        <w:keepNext w:val="0"/>
        <w:keepLines w:val="0"/>
        <w:pageBreakBefore w:val="0"/>
        <w:numPr>
          <w:ilvl w:val="0"/>
          <w:numId w:val="155"/>
        </w:numPr>
        <w:tabs>
          <w:tab w:val="left" w:pos="1260"/>
          <w:tab w:val="clear" w:pos="420"/>
        </w:tabs>
        <w:kinsoku/>
        <w:wordWrap/>
        <w:overflowPunct/>
        <w:topLinePunct w:val="0"/>
        <w:bidi w:val="0"/>
        <w:spacing w:line="360" w:lineRule="auto"/>
        <w:ind w:left="1245" w:leftChars="0" w:hanging="1245" w:firstLineChars="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空中飞行时间：3-5秒钟，发射初速:60m/s，水用救援弹里的水用浮具入水5秒内自动充气成为救生圈，产生8公斤以上浮力。</w:t>
      </w:r>
    </w:p>
    <w:p>
      <w:pPr>
        <w:keepNext w:val="0"/>
        <w:keepLines w:val="0"/>
        <w:pageBreakBefore w:val="0"/>
        <w:numPr>
          <w:ilvl w:val="0"/>
          <w:numId w:val="155"/>
        </w:numPr>
        <w:tabs>
          <w:tab w:val="left" w:pos="1260"/>
          <w:tab w:val="clear" w:pos="420"/>
        </w:tabs>
        <w:kinsoku/>
        <w:wordWrap/>
        <w:overflowPunct/>
        <w:topLinePunct w:val="0"/>
        <w:bidi w:val="0"/>
        <w:spacing w:line="360" w:lineRule="auto"/>
        <w:ind w:left="1245" w:leftChars="0" w:hanging="1245" w:firstLineChars="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抛投器配有缓冲底座，底座上有调校发射角度的角度仪，底座上有调校发射角度的角度仪，有35，45，55，65，75度5个调整角度可选。</w:t>
      </w:r>
    </w:p>
    <w:p>
      <w:pPr>
        <w:keepNext w:val="0"/>
        <w:keepLines w:val="0"/>
        <w:pageBreakBefore w:val="0"/>
        <w:numPr>
          <w:ilvl w:val="0"/>
          <w:numId w:val="155"/>
        </w:numPr>
        <w:tabs>
          <w:tab w:val="left" w:pos="1260"/>
          <w:tab w:val="clear" w:pos="420"/>
        </w:tabs>
        <w:kinsoku/>
        <w:wordWrap/>
        <w:overflowPunct/>
        <w:topLinePunct w:val="0"/>
        <w:bidi w:val="0"/>
        <w:spacing w:line="360" w:lineRule="auto"/>
        <w:ind w:left="1245" w:leftChars="0" w:hanging="1245" w:firstLineChars="0"/>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rPr>
        <w:t>抛投器配有泄气阀门，可用泄气阀将抛投器内部剩余气体彻底排放干净，同时也可以通过泄气阀来调节抛投器内部气压值</w:t>
      </w:r>
      <w:r>
        <w:rPr>
          <w:rFonts w:hint="eastAsia" w:ascii="宋体" w:hAnsi="宋体" w:eastAsia="宋体" w:cs="宋体"/>
          <w:kern w:val="0"/>
          <w:sz w:val="24"/>
          <w:szCs w:val="24"/>
          <w:lang w:val="zh-CN" w:eastAsia="zh-CN"/>
        </w:rPr>
        <w:t>。</w:t>
      </w:r>
    </w:p>
    <w:p>
      <w:pPr>
        <w:keepNext w:val="0"/>
        <w:keepLines w:val="0"/>
        <w:pageBreakBefore w:val="0"/>
        <w:numPr>
          <w:ilvl w:val="0"/>
          <w:numId w:val="155"/>
        </w:numPr>
        <w:tabs>
          <w:tab w:val="left" w:pos="1260"/>
          <w:tab w:val="clear" w:pos="420"/>
        </w:tabs>
        <w:kinsoku/>
        <w:wordWrap/>
        <w:overflowPunct/>
        <w:topLinePunct w:val="0"/>
        <w:bidi w:val="0"/>
        <w:spacing w:line="360" w:lineRule="auto"/>
        <w:ind w:left="1245" w:leftChars="0" w:hanging="1245" w:firstLineChars="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抛投器缸体上面配有气压表，可以清晰的看到使用时抛投器内部的充气气压值</w:t>
      </w:r>
      <w:r>
        <w:rPr>
          <w:rFonts w:hint="eastAsia" w:ascii="宋体" w:hAnsi="宋体" w:eastAsia="宋体" w:cs="宋体"/>
          <w:kern w:val="0"/>
          <w:sz w:val="24"/>
          <w:szCs w:val="24"/>
          <w:lang w:val="zh-CN" w:eastAsia="zh-CN"/>
        </w:rPr>
        <w:t>。</w:t>
      </w:r>
    </w:p>
    <w:p>
      <w:pPr>
        <w:keepNext w:val="0"/>
        <w:keepLines w:val="0"/>
        <w:pageBreakBefore w:val="0"/>
        <w:numPr>
          <w:ilvl w:val="0"/>
          <w:numId w:val="155"/>
        </w:numPr>
        <w:tabs>
          <w:tab w:val="left" w:pos="1260"/>
          <w:tab w:val="clear" w:pos="420"/>
        </w:tabs>
        <w:kinsoku/>
        <w:wordWrap/>
        <w:overflowPunct/>
        <w:topLinePunct w:val="0"/>
        <w:bidi w:val="0"/>
        <w:spacing w:line="360" w:lineRule="auto"/>
        <w:ind w:left="1245" w:leftChars="0" w:hanging="1245" w:firstLineChars="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抛投器包装为高尔夫球包式外包装，可拎提、可背负。携带方便，利于救援人员迅速投入救援工作。</w:t>
      </w:r>
    </w:p>
    <w:p>
      <w:pPr>
        <w:keepNext w:val="0"/>
        <w:keepLines w:val="0"/>
        <w:pageBreakBefore w:val="0"/>
        <w:numPr>
          <w:ilvl w:val="0"/>
          <w:numId w:val="155"/>
        </w:numPr>
        <w:tabs>
          <w:tab w:val="left" w:pos="1260"/>
          <w:tab w:val="clear" w:pos="420"/>
        </w:tabs>
        <w:kinsoku/>
        <w:wordWrap/>
        <w:overflowPunct/>
        <w:topLinePunct w:val="0"/>
        <w:bidi w:val="0"/>
        <w:spacing w:line="360" w:lineRule="auto"/>
        <w:ind w:left="1245" w:leftChars="0" w:hanging="1245" w:firstLineChars="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远距离抛投器标准配置为：基本发射组件一套、1.5L气瓶一个、底座一个、陆用弹体2个（内含250米救援绳索）、水用弹体2个（内含210米救援绳索）、训练弹一个、</w:t>
      </w:r>
      <w:r>
        <w:rPr>
          <w:rFonts w:hint="eastAsia" w:ascii="宋体" w:hAnsi="宋体" w:eastAsia="宋体" w:cs="宋体"/>
          <w:kern w:val="0"/>
          <w:sz w:val="24"/>
          <w:szCs w:val="24"/>
          <w:lang w:val="en-US" w:eastAsia="zh-CN"/>
        </w:rPr>
        <w:t>装</w:t>
      </w:r>
      <w:r>
        <w:rPr>
          <w:rFonts w:hint="eastAsia" w:ascii="宋体" w:hAnsi="宋体" w:eastAsia="宋体" w:cs="宋体"/>
          <w:kern w:val="0"/>
          <w:sz w:val="24"/>
          <w:szCs w:val="24"/>
          <w:lang w:val="zh-CN"/>
        </w:rPr>
        <w:t>绳器一个、救援弹发射导管一根、训练弹发射导管一根、绳包1个（含150m绳索）、16克CO2气瓶4个、触发剂4个、外接导气管1条；高尔夫球包式包装2个。</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救生气垫</w:t>
      </w:r>
    </w:p>
    <w:p>
      <w:pPr>
        <w:keepNext w:val="0"/>
        <w:keepLines w:val="0"/>
        <w:pageBreakBefore w:val="0"/>
        <w:numPr>
          <w:ilvl w:val="0"/>
          <w:numId w:val="156"/>
        </w:numPr>
        <w:tabs>
          <w:tab w:val="left" w:pos="1260"/>
          <w:tab w:val="clear" w:pos="420"/>
        </w:tabs>
        <w:kinsoku/>
        <w:wordWrap/>
        <w:overflowPunct/>
        <w:topLinePunct w:val="0"/>
        <w:bidi w:val="0"/>
        <w:spacing w:line="360" w:lineRule="auto"/>
        <w:ind w:left="1260" w:leftChars="0" w:hanging="126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救生充气垫是一种接救从高处下跳人员的充气软垫 ，它可减少下跳人员在着地时所受到的冲击，起到缓冲和保护作用。</w:t>
      </w:r>
    </w:p>
    <w:p>
      <w:pPr>
        <w:keepNext w:val="0"/>
        <w:keepLines w:val="0"/>
        <w:pageBreakBefore w:val="0"/>
        <w:numPr>
          <w:ilvl w:val="0"/>
          <w:numId w:val="156"/>
        </w:numPr>
        <w:tabs>
          <w:tab w:val="left" w:pos="1260"/>
          <w:tab w:val="clear" w:pos="420"/>
        </w:tabs>
        <w:kinsoku/>
        <w:wordWrap/>
        <w:overflowPunct/>
        <w:topLinePunct w:val="0"/>
        <w:bidi w:val="0"/>
        <w:spacing w:line="360" w:lineRule="auto"/>
        <w:ind w:left="1260" w:leftChars="0" w:hanging="126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救生充气垫面料选用的防火布，由坚韧的乙烯基纤维做内层，外涂进口防火阻燃剂打磨组合制成。抗拉撕裂强度高，具有阻燃防火、防水、防腐蚀、耐酸碱、耐磨损、耐老化、耐油、耐寒、耐热等性能，可任意折叠。</w:t>
      </w:r>
    </w:p>
    <w:p>
      <w:pPr>
        <w:keepNext w:val="0"/>
        <w:keepLines w:val="0"/>
        <w:pageBreakBefore w:val="0"/>
        <w:numPr>
          <w:ilvl w:val="0"/>
          <w:numId w:val="156"/>
        </w:numPr>
        <w:tabs>
          <w:tab w:val="left" w:pos="1260"/>
          <w:tab w:val="clear" w:pos="420"/>
        </w:tabs>
        <w:kinsoku/>
        <w:wordWrap/>
        <w:overflowPunct/>
        <w:topLinePunct w:val="0"/>
        <w:bidi w:val="0"/>
        <w:spacing w:line="360" w:lineRule="auto"/>
        <w:ind w:left="1260" w:leftChars="0" w:hanging="126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产品结构主要分为三个部分：低压上层承接面气垫，紧急高压下层保护面气垫，独立高速风机连接气垫进风管。操作过程是采用风机向整个气垫内充气约1分钟，使整个气垫内充满空气，以达到承接自由落下人员。</w:t>
      </w:r>
    </w:p>
    <w:p>
      <w:pPr>
        <w:keepNext w:val="0"/>
        <w:keepLines w:val="0"/>
        <w:pageBreakBefore w:val="0"/>
        <w:numPr>
          <w:ilvl w:val="0"/>
          <w:numId w:val="156"/>
        </w:numPr>
        <w:tabs>
          <w:tab w:val="left" w:pos="1260"/>
          <w:tab w:val="clear" w:pos="420"/>
        </w:tabs>
        <w:kinsoku/>
        <w:wordWrap/>
        <w:overflowPunct/>
        <w:topLinePunct w:val="0"/>
        <w:bidi w:val="0"/>
        <w:spacing w:line="360" w:lineRule="auto"/>
        <w:ind w:left="1260" w:leftChars="0" w:hanging="126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产品表面平整无折痕,各接缝处采用先进封烫技术,加强筋全部密封,结构规格精确合理，技术领先世界水平。</w:t>
      </w:r>
    </w:p>
    <w:p>
      <w:pPr>
        <w:keepNext w:val="0"/>
        <w:keepLines w:val="0"/>
        <w:pageBreakBefore w:val="0"/>
        <w:numPr>
          <w:ilvl w:val="0"/>
          <w:numId w:val="156"/>
        </w:numPr>
        <w:tabs>
          <w:tab w:val="left" w:pos="1260"/>
        </w:tabs>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自由跳下人员落在气垫承接面上不反弹、不触地</w:t>
      </w:r>
      <w:r>
        <w:rPr>
          <w:rFonts w:hint="eastAsia" w:asciiTheme="minorEastAsia" w:hAnsiTheme="minorEastAsia" w:cstheme="minorEastAsia"/>
          <w:kern w:val="0"/>
          <w:sz w:val="24"/>
          <w:szCs w:val="24"/>
          <w:lang w:eastAsia="zh-CN"/>
        </w:rPr>
        <w:t>。</w:t>
      </w:r>
    </w:p>
    <w:p>
      <w:pPr>
        <w:keepNext w:val="0"/>
        <w:keepLines w:val="0"/>
        <w:pageBreakBefore w:val="0"/>
        <w:numPr>
          <w:ilvl w:val="0"/>
          <w:numId w:val="156"/>
        </w:numPr>
        <w:tabs>
          <w:tab w:val="left" w:pos="1260"/>
        </w:tabs>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人员跳落在气垫上面时，气垫不倾倒、不侧翻</w:t>
      </w:r>
      <w:r>
        <w:rPr>
          <w:rFonts w:hint="eastAsia" w:asciiTheme="minorEastAsia" w:hAnsiTheme="minorEastAsia" w:cstheme="minorEastAsia"/>
          <w:kern w:val="0"/>
          <w:sz w:val="24"/>
          <w:szCs w:val="24"/>
          <w:lang w:eastAsia="zh-CN"/>
        </w:rPr>
        <w:t>。</w:t>
      </w:r>
    </w:p>
    <w:p>
      <w:pPr>
        <w:keepNext w:val="0"/>
        <w:keepLines w:val="0"/>
        <w:pageBreakBefore w:val="0"/>
        <w:numPr>
          <w:ilvl w:val="0"/>
          <w:numId w:val="156"/>
        </w:numPr>
        <w:tabs>
          <w:tab w:val="left" w:pos="1260"/>
        </w:tabs>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外形尺寸：8*6*2.2M</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56"/>
        </w:numPr>
        <w:tabs>
          <w:tab w:val="left" w:pos="1260"/>
        </w:tabs>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重量：≤100kg</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56"/>
        </w:numPr>
        <w:tabs>
          <w:tab w:val="left" w:pos="1260"/>
        </w:tabs>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充气时间：≤56s</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56"/>
        </w:numPr>
        <w:tabs>
          <w:tab w:val="left" w:pos="1260"/>
        </w:tabs>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补气时间：≤25s</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56"/>
        </w:numPr>
        <w:tabs>
          <w:tab w:val="left" w:pos="1260"/>
        </w:tabs>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承接高度：≥16m</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56"/>
        </w:numPr>
        <w:tabs>
          <w:tab w:val="left" w:pos="1260"/>
        </w:tabs>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承接重量不小于110KG</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56"/>
        </w:numPr>
        <w:tabs>
          <w:tab w:val="left" w:pos="1260"/>
        </w:tabs>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承接面的中央点应用反差色明确标出，安全工作范围应用反光标志带明显圈定。</w:t>
      </w:r>
    </w:p>
    <w:p>
      <w:pPr>
        <w:keepNext w:val="0"/>
        <w:keepLines w:val="0"/>
        <w:pageBreakBefore w:val="0"/>
        <w:numPr>
          <w:ilvl w:val="0"/>
          <w:numId w:val="156"/>
        </w:numPr>
        <w:tabs>
          <w:tab w:val="left" w:pos="1260"/>
        </w:tabs>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阻燃氧指数不小于26</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56"/>
        </w:numPr>
        <w:tabs>
          <w:tab w:val="left" w:pos="1260"/>
        </w:tabs>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面料经、纬向拉伸强度不小于42KN/M</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56"/>
        </w:numPr>
        <w:tabs>
          <w:tab w:val="left" w:pos="1260"/>
        </w:tabs>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减速值：头部≤21g，胸部≤21g，尾部≤20g</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56"/>
        </w:numPr>
        <w:tabs>
          <w:tab w:val="left" w:pos="1260"/>
        </w:tabs>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配1台汽油动力风机</w:t>
      </w:r>
    </w:p>
    <w:p>
      <w:pPr>
        <w:keepNext w:val="0"/>
        <w:keepLines w:val="0"/>
        <w:pageBreakBefore w:val="0"/>
        <w:numPr>
          <w:ilvl w:val="0"/>
          <w:numId w:val="156"/>
        </w:numPr>
        <w:tabs>
          <w:tab w:val="left" w:pos="1260"/>
        </w:tabs>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highlight w:val="none"/>
          <w:lang w:val="en-US" w:eastAsia="zh-CN"/>
        </w:rPr>
      </w:pPr>
      <w:r>
        <w:rPr>
          <w:sz w:val="24"/>
        </w:rPr>
        <mc:AlternateContent>
          <mc:Choice Requires="wps">
            <w:drawing>
              <wp:anchor distT="0" distB="0" distL="114300" distR="114300" simplePos="0" relativeHeight="251665408" behindDoc="0" locked="0" layoutInCell="1" allowOverlap="1">
                <wp:simplePos x="0" y="0"/>
                <wp:positionH relativeFrom="column">
                  <wp:posOffset>-304800</wp:posOffset>
                </wp:positionH>
                <wp:positionV relativeFrom="paragraph">
                  <wp:posOffset>35560</wp:posOffset>
                </wp:positionV>
                <wp:extent cx="276225" cy="285750"/>
                <wp:effectExtent l="0" t="0" r="9525" b="0"/>
                <wp:wrapNone/>
                <wp:docPr id="4" name="文本框 4"/>
                <wp:cNvGraphicFramePr/>
                <a:graphic xmlns:a="http://schemas.openxmlformats.org/drawingml/2006/main">
                  <a:graphicData uri="http://schemas.microsoft.com/office/word/2010/wordprocessingShape">
                    <wps:wsp>
                      <wps:cNvSpPr txBox="1"/>
                      <wps:spPr>
                        <a:xfrm>
                          <a:off x="413385" y="1397635"/>
                          <a:ext cx="27622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pt;margin-top:2.8pt;height:22.5pt;width:21.75pt;z-index:251665408;mso-width-relative:page;mso-height-relative:page;" fillcolor="#FFFFFF [3201]" filled="t" stroked="f" coordsize="21600,21600" o:gfxdata="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C7Z+s0wAA&#10;AAcBAAAPAAAAAAAAAAEAIAAAACIAAABkcnMvZG93bnJldi54bWxQSwECFAAUAAAACACHTuJAOmoq&#10;kFwCAACZBAAADgAAAAAAAAABACAAAAAiAQAAZHJzL2Uyb0RvYy54bWxQSwUGAAAAAAYABgBZAQAA&#10;8AU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Theme="minorEastAsia" w:hAnsiTheme="minorEastAsia" w:eastAsiaTheme="minorEastAsia" w:cstheme="minorEastAsia"/>
          <w:kern w:val="0"/>
          <w:sz w:val="24"/>
          <w:szCs w:val="24"/>
          <w:highlight w:val="none"/>
        </w:rPr>
        <w:t>提供</w:t>
      </w:r>
      <w:r>
        <w:rPr>
          <w:rFonts w:hint="eastAsia" w:asciiTheme="minorEastAsia" w:hAnsiTheme="minorEastAsia" w:eastAsiaTheme="minorEastAsia" w:cstheme="minorEastAsia"/>
          <w:b/>
          <w:bCs/>
          <w:kern w:val="0"/>
          <w:sz w:val="24"/>
          <w:szCs w:val="24"/>
          <w:highlight w:val="none"/>
        </w:rPr>
        <w:t>检测报告</w:t>
      </w:r>
      <w:r>
        <w:rPr>
          <w:rFonts w:hint="eastAsia" w:asciiTheme="minorEastAsia" w:hAnsiTheme="minorEastAsia" w:eastAsiaTheme="minorEastAsia" w:cstheme="minorEastAsia"/>
          <w:b/>
          <w:bCs/>
          <w:kern w:val="0"/>
          <w:sz w:val="24"/>
          <w:szCs w:val="24"/>
          <w:highlight w:val="none"/>
          <w:lang w:val="en-US" w:eastAsia="zh-CN"/>
        </w:rPr>
        <w:t>复印件并加盖公章</w:t>
      </w:r>
      <w:r>
        <w:rPr>
          <w:rFonts w:hint="eastAsia" w:asciiTheme="minorEastAsia" w:hAnsiTheme="minorEastAsia" w:eastAsiaTheme="minorEastAsia" w:cstheme="minorEastAsia"/>
          <w:b/>
          <w:bCs/>
          <w:kern w:val="0"/>
          <w:sz w:val="24"/>
          <w:szCs w:val="24"/>
          <w:highlight w:val="none"/>
        </w:rPr>
        <w:t>。</w:t>
      </w:r>
    </w:p>
    <w:p>
      <w:pPr>
        <w:keepNext w:val="0"/>
        <w:keepLines w:val="0"/>
        <w:pageBreakBefore w:val="0"/>
        <w:numPr>
          <w:ilvl w:val="0"/>
          <w:numId w:val="156"/>
        </w:numPr>
        <w:tabs>
          <w:tab w:val="left" w:pos="1260"/>
        </w:tabs>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汽油鼓风机技术指标</w:t>
      </w:r>
    </w:p>
    <w:p>
      <w:pPr>
        <w:keepNext w:val="0"/>
        <w:keepLines w:val="0"/>
        <w:pageBreakBefore w:val="0"/>
        <w:numPr>
          <w:ilvl w:val="0"/>
          <w:numId w:val="157"/>
        </w:numPr>
        <w:kinsoku/>
        <w:wordWrap/>
        <w:overflowPunct/>
        <w:topLinePunct w:val="0"/>
        <w:bidi w:val="0"/>
        <w:spacing w:line="360" w:lineRule="auto"/>
        <w:ind w:left="425" w:leftChars="0" w:hanging="425"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汽油动力：</w:t>
      </w:r>
      <w:r>
        <w:rPr>
          <w:rFonts w:hint="eastAsia" w:asciiTheme="minorEastAsia" w:hAnsiTheme="minorEastAsia" w:eastAsiaTheme="minorEastAsia" w:cstheme="minorEastAsia"/>
          <w:kern w:val="0"/>
          <w:sz w:val="24"/>
          <w:szCs w:val="24"/>
          <w:lang w:val="en-US" w:eastAsia="zh-CN"/>
        </w:rPr>
        <w:t>GX160</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57"/>
        </w:numPr>
        <w:kinsoku/>
        <w:wordWrap/>
        <w:overflowPunct/>
        <w:topLinePunct w:val="0"/>
        <w:bidi w:val="0"/>
        <w:spacing w:line="360" w:lineRule="auto"/>
        <w:ind w:left="425" w:leftChars="0" w:hanging="425"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风扇直径（cm）：54×8片</w:t>
      </w:r>
      <w:r>
        <w:rPr>
          <w:rFonts w:hint="eastAsia" w:asciiTheme="minorEastAsia" w:hAnsiTheme="minorEastAsia" w:eastAsiaTheme="minorEastAsia" w:cstheme="minorEastAsia"/>
          <w:kern w:val="0"/>
          <w:sz w:val="24"/>
          <w:szCs w:val="24"/>
          <w:lang w:eastAsia="zh-CN"/>
        </w:rPr>
        <w:t>；</w:t>
      </w:r>
    </w:p>
    <w:p>
      <w:pPr>
        <w:keepNext w:val="0"/>
        <w:keepLines w:val="0"/>
        <w:pageBreakBefore w:val="0"/>
        <w:numPr>
          <w:ilvl w:val="0"/>
          <w:numId w:val="157"/>
        </w:numPr>
        <w:kinsoku/>
        <w:wordWrap/>
        <w:overflowPunct/>
        <w:topLinePunct w:val="0"/>
        <w:bidi w:val="0"/>
        <w:spacing w:line="360" w:lineRule="auto"/>
        <w:ind w:left="425" w:leftChars="0" w:hanging="425"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频率（HZ）：50</w:t>
      </w:r>
      <w:r>
        <w:rPr>
          <w:rFonts w:hint="eastAsia" w:asciiTheme="minorEastAsia" w:hAnsiTheme="minorEastAsia" w:eastAsiaTheme="minorEastAsia" w:cstheme="minorEastAsia"/>
          <w:kern w:val="0"/>
          <w:sz w:val="24"/>
          <w:szCs w:val="24"/>
          <w:lang w:eastAsia="zh-CN"/>
        </w:rPr>
        <w:t>；</w:t>
      </w:r>
    </w:p>
    <w:p>
      <w:pPr>
        <w:keepNext w:val="0"/>
        <w:keepLines w:val="0"/>
        <w:pageBreakBefore w:val="0"/>
        <w:numPr>
          <w:ilvl w:val="0"/>
          <w:numId w:val="157"/>
        </w:numPr>
        <w:kinsoku/>
        <w:wordWrap/>
        <w:overflowPunct/>
        <w:topLinePunct w:val="0"/>
        <w:bidi w:val="0"/>
        <w:spacing w:line="360" w:lineRule="auto"/>
        <w:ind w:left="425" w:leftChars="0" w:hanging="425"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功率（kw）：3.0</w:t>
      </w:r>
      <w:r>
        <w:rPr>
          <w:rFonts w:hint="eastAsia" w:asciiTheme="minorEastAsia" w:hAnsiTheme="minorEastAsia" w:eastAsiaTheme="minorEastAsia" w:cstheme="minorEastAsia"/>
          <w:kern w:val="0"/>
          <w:sz w:val="24"/>
          <w:szCs w:val="24"/>
          <w:lang w:eastAsia="zh-CN"/>
        </w:rPr>
        <w:t>；</w:t>
      </w:r>
    </w:p>
    <w:p>
      <w:pPr>
        <w:keepNext w:val="0"/>
        <w:keepLines w:val="0"/>
        <w:pageBreakBefore w:val="0"/>
        <w:numPr>
          <w:ilvl w:val="0"/>
          <w:numId w:val="157"/>
        </w:numPr>
        <w:kinsoku/>
        <w:wordWrap/>
        <w:overflowPunct/>
        <w:topLinePunct w:val="0"/>
        <w:bidi w:val="0"/>
        <w:spacing w:line="360" w:lineRule="auto"/>
        <w:ind w:left="425" w:leftChars="0" w:hanging="425"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流量（m³/h）：15000</w:t>
      </w:r>
      <w:r>
        <w:rPr>
          <w:rFonts w:hint="eastAsia" w:asciiTheme="minorEastAsia" w:hAnsiTheme="minorEastAsia" w:eastAsiaTheme="minorEastAsia" w:cstheme="minorEastAsia"/>
          <w:kern w:val="0"/>
          <w:sz w:val="24"/>
          <w:szCs w:val="24"/>
          <w:lang w:eastAsia="zh-CN"/>
        </w:rPr>
        <w:t>；</w:t>
      </w:r>
    </w:p>
    <w:p>
      <w:pPr>
        <w:keepNext w:val="0"/>
        <w:keepLines w:val="0"/>
        <w:pageBreakBefore w:val="0"/>
        <w:numPr>
          <w:ilvl w:val="0"/>
          <w:numId w:val="157"/>
        </w:numPr>
        <w:kinsoku/>
        <w:wordWrap/>
        <w:overflowPunct/>
        <w:topLinePunct w:val="0"/>
        <w:bidi w:val="0"/>
        <w:spacing w:line="360" w:lineRule="auto"/>
        <w:ind w:left="425" w:leftChars="0" w:hanging="425"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转速r/min：2500</w:t>
      </w:r>
      <w:r>
        <w:rPr>
          <w:rFonts w:hint="eastAsia" w:asciiTheme="minorEastAsia" w:hAnsiTheme="minorEastAsia" w:eastAsiaTheme="minorEastAsia" w:cstheme="minorEastAsia"/>
          <w:kern w:val="0"/>
          <w:sz w:val="24"/>
          <w:szCs w:val="24"/>
          <w:lang w:eastAsia="zh-CN"/>
        </w:rPr>
        <w:t>；</w:t>
      </w:r>
    </w:p>
    <w:p>
      <w:pPr>
        <w:keepNext w:val="0"/>
        <w:keepLines w:val="0"/>
        <w:pageBreakBefore w:val="0"/>
        <w:numPr>
          <w:ilvl w:val="0"/>
          <w:numId w:val="157"/>
        </w:numPr>
        <w:kinsoku/>
        <w:wordWrap/>
        <w:overflowPunct/>
        <w:topLinePunct w:val="0"/>
        <w:bidi w:val="0"/>
        <w:spacing w:line="360" w:lineRule="auto"/>
        <w:ind w:left="425" w:leftChars="0" w:hanging="425" w:firstLineChars="0"/>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重量（kg）：40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9；</w:t>
      </w:r>
    </w:p>
    <w:p>
      <w:pPr>
        <w:pStyle w:val="2"/>
        <w:rPr>
          <w:rFonts w:hint="eastAsia"/>
        </w:rPr>
      </w:pPr>
    </w:p>
    <w:p>
      <w:pPr>
        <w:keepNext w:val="0"/>
        <w:keepLines w:val="0"/>
        <w:pageBreakBefore w:val="0"/>
        <w:numPr>
          <w:ilvl w:val="0"/>
          <w:numId w:val="156"/>
        </w:numPr>
        <w:tabs>
          <w:tab w:val="left" w:pos="1260"/>
        </w:tabs>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防火布技术参数</w:t>
      </w:r>
    </w:p>
    <w:p>
      <w:pPr>
        <w:keepNext w:val="0"/>
        <w:keepLines w:val="0"/>
        <w:pageBreakBefore w:val="0"/>
        <w:numPr>
          <w:ilvl w:val="0"/>
          <w:numId w:val="158"/>
        </w:numPr>
        <w:kinsoku/>
        <w:wordWrap/>
        <w:overflowPunct/>
        <w:topLinePunct w:val="0"/>
        <w:bidi w:val="0"/>
        <w:spacing w:line="360" w:lineRule="auto"/>
        <w:ind w:left="425" w:leftChars="0" w:hanging="425"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重量g/㎡：520</w:t>
      </w:r>
      <w:r>
        <w:rPr>
          <w:rFonts w:hint="eastAsia" w:asciiTheme="minorEastAsia" w:hAnsiTheme="minorEastAsia" w:cstheme="minorEastAsia"/>
          <w:kern w:val="0"/>
          <w:sz w:val="24"/>
          <w:szCs w:val="24"/>
          <w:lang w:eastAsia="zh-CN"/>
        </w:rPr>
        <w:t>；</w:t>
      </w:r>
    </w:p>
    <w:p>
      <w:pPr>
        <w:keepNext w:val="0"/>
        <w:keepLines w:val="0"/>
        <w:pageBreakBefore w:val="0"/>
        <w:numPr>
          <w:ilvl w:val="0"/>
          <w:numId w:val="158"/>
        </w:numPr>
        <w:kinsoku/>
        <w:wordWrap/>
        <w:overflowPunct/>
        <w:topLinePunct w:val="0"/>
        <w:bidi w:val="0"/>
        <w:spacing w:line="360" w:lineRule="auto"/>
        <w:ind w:left="425" w:leftChars="0" w:hanging="425"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抗拉强度(N/5cm)：经向：2400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纬向：2100</w:t>
      </w:r>
      <w:r>
        <w:rPr>
          <w:rFonts w:hint="eastAsia" w:asciiTheme="minorEastAsia" w:hAnsiTheme="minorEastAsia" w:eastAsiaTheme="minorEastAsia" w:cstheme="minorEastAsia"/>
          <w:kern w:val="0"/>
          <w:sz w:val="24"/>
          <w:szCs w:val="24"/>
          <w:lang w:eastAsia="zh-CN"/>
        </w:rPr>
        <w:t>；</w:t>
      </w:r>
    </w:p>
    <w:p>
      <w:pPr>
        <w:keepNext w:val="0"/>
        <w:keepLines w:val="0"/>
        <w:pageBreakBefore w:val="0"/>
        <w:numPr>
          <w:ilvl w:val="0"/>
          <w:numId w:val="158"/>
        </w:numPr>
        <w:kinsoku/>
        <w:wordWrap/>
        <w:overflowPunct/>
        <w:topLinePunct w:val="0"/>
        <w:bidi w:val="0"/>
        <w:spacing w:line="360" w:lineRule="auto"/>
        <w:ind w:left="425" w:leftChars="0" w:hanging="425"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撕裂强度(N/5cm)：经向：300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纬向：300</w:t>
      </w:r>
      <w:r>
        <w:rPr>
          <w:rFonts w:hint="eastAsia" w:asciiTheme="minorEastAsia" w:hAnsiTheme="minorEastAsia" w:eastAsiaTheme="minorEastAsia" w:cstheme="minorEastAsia"/>
          <w:kern w:val="0"/>
          <w:sz w:val="24"/>
          <w:szCs w:val="24"/>
          <w:lang w:eastAsia="zh-CN"/>
        </w:rPr>
        <w:t>；</w:t>
      </w:r>
    </w:p>
    <w:p>
      <w:pPr>
        <w:keepNext w:val="0"/>
        <w:keepLines w:val="0"/>
        <w:pageBreakBefore w:val="0"/>
        <w:numPr>
          <w:ilvl w:val="0"/>
          <w:numId w:val="158"/>
        </w:numPr>
        <w:kinsoku/>
        <w:wordWrap/>
        <w:overflowPunct/>
        <w:topLinePunct w:val="0"/>
        <w:bidi w:val="0"/>
        <w:spacing w:line="360" w:lineRule="auto"/>
        <w:ind w:left="425" w:leftChars="0" w:hanging="425"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粘合牢度(N/5cm)：60</w:t>
      </w:r>
      <w:r>
        <w:rPr>
          <w:rFonts w:hint="eastAsia" w:asciiTheme="minorEastAsia" w:hAnsiTheme="minorEastAsia" w:eastAsiaTheme="minorEastAsia" w:cstheme="minorEastAsia"/>
          <w:kern w:val="0"/>
          <w:sz w:val="24"/>
          <w:szCs w:val="24"/>
          <w:lang w:eastAsia="zh-CN"/>
        </w:rPr>
        <w:t>；</w:t>
      </w:r>
    </w:p>
    <w:p>
      <w:pPr>
        <w:keepNext w:val="0"/>
        <w:keepLines w:val="0"/>
        <w:pageBreakBefore w:val="0"/>
        <w:numPr>
          <w:ilvl w:val="0"/>
          <w:numId w:val="158"/>
        </w:numPr>
        <w:kinsoku/>
        <w:wordWrap/>
        <w:overflowPunct/>
        <w:topLinePunct w:val="0"/>
        <w:bidi w:val="0"/>
        <w:spacing w:line="360" w:lineRule="auto"/>
        <w:ind w:left="425" w:leftChars="0" w:hanging="425"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阻燃氧指数：28.2</w:t>
      </w:r>
      <w:r>
        <w:rPr>
          <w:rFonts w:hint="eastAsia" w:asciiTheme="minorEastAsia" w:hAnsiTheme="minorEastAsia" w:eastAsiaTheme="minorEastAsia" w:cstheme="minorEastAsia"/>
          <w:kern w:val="0"/>
          <w:sz w:val="24"/>
          <w:szCs w:val="24"/>
          <w:lang w:eastAsia="zh-CN"/>
        </w:rPr>
        <w:t>；</w:t>
      </w:r>
    </w:p>
    <w:p>
      <w:pPr>
        <w:keepNext w:val="0"/>
        <w:keepLines w:val="0"/>
        <w:pageBreakBefore w:val="0"/>
        <w:numPr>
          <w:ilvl w:val="0"/>
          <w:numId w:val="158"/>
        </w:numPr>
        <w:kinsoku/>
        <w:wordWrap/>
        <w:overflowPunct/>
        <w:topLinePunct w:val="0"/>
        <w:bidi w:val="0"/>
        <w:spacing w:line="360" w:lineRule="auto"/>
        <w:ind w:left="425" w:leftChars="0" w:hanging="425"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耐寒(℃)：-30</w:t>
      </w:r>
      <w:r>
        <w:rPr>
          <w:rFonts w:hint="eastAsia" w:asciiTheme="minorEastAsia" w:hAnsiTheme="minorEastAsia" w:eastAsiaTheme="minorEastAsia" w:cstheme="minorEastAsia"/>
          <w:kern w:val="0"/>
          <w:sz w:val="24"/>
          <w:szCs w:val="24"/>
          <w:lang w:eastAsia="zh-CN"/>
        </w:rPr>
        <w:t>；</w:t>
      </w:r>
    </w:p>
    <w:p>
      <w:pPr>
        <w:keepNext w:val="0"/>
        <w:keepLines w:val="0"/>
        <w:pageBreakBefore w:val="0"/>
        <w:numPr>
          <w:ilvl w:val="0"/>
          <w:numId w:val="158"/>
        </w:numPr>
        <w:kinsoku/>
        <w:wordWrap/>
        <w:overflowPunct/>
        <w:topLinePunct w:val="0"/>
        <w:bidi w:val="0"/>
        <w:spacing w:line="360" w:lineRule="auto"/>
        <w:ind w:left="425" w:leftChars="0" w:hanging="425" w:firstLineChars="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耐热(℃)：+70</w:t>
      </w:r>
      <w:r>
        <w:rPr>
          <w:rFonts w:hint="eastAsia" w:asciiTheme="minorEastAsia" w:hAnsiTheme="minorEastAsia" w:eastAsiaTheme="minorEastAsia" w:cstheme="minorEastAsia"/>
          <w:kern w:val="0"/>
          <w:sz w:val="24"/>
          <w:szCs w:val="24"/>
          <w:lang w:eastAsia="zh-CN"/>
        </w:rPr>
        <w:t>；</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车载台</w:t>
      </w:r>
    </w:p>
    <w:p>
      <w:pPr>
        <w:keepNext w:val="0"/>
        <w:keepLines w:val="0"/>
        <w:pageBreakBefore w:val="0"/>
        <w:numPr>
          <w:ilvl w:val="0"/>
          <w:numId w:val="159"/>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b w:val="0"/>
          <w:bCs w:val="0"/>
          <w:kern w:val="0"/>
          <w:sz w:val="24"/>
          <w:szCs w:val="24"/>
          <w:lang w:val="en-US" w:eastAsia="zh-CN"/>
        </w:rPr>
      </w:pPr>
      <w:bookmarkStart w:id="48" w:name="_Toc19336"/>
      <w:r>
        <w:rPr>
          <w:rFonts w:hint="eastAsia" w:asciiTheme="minorEastAsia" w:hAnsiTheme="minorEastAsia" w:eastAsiaTheme="minorEastAsia" w:cstheme="minorEastAsia"/>
          <w:b w:val="0"/>
          <w:bCs w:val="0"/>
          <w:kern w:val="0"/>
          <w:sz w:val="24"/>
          <w:szCs w:val="24"/>
          <w:lang w:val="en-US" w:eastAsia="zh-CN"/>
        </w:rPr>
        <w:t>技术需求</w:t>
      </w:r>
      <w:bookmarkEnd w:id="48"/>
    </w:p>
    <w:p>
      <w:pPr>
        <w:keepNext w:val="0"/>
        <w:keepLines w:val="0"/>
        <w:pageBreakBefore w:val="0"/>
        <w:numPr>
          <w:ilvl w:val="0"/>
          <w:numId w:val="160"/>
        </w:numPr>
        <w:tabs>
          <w:tab w:val="left" w:pos="1680"/>
          <w:tab w:val="clear" w:pos="420"/>
        </w:tabs>
        <w:kinsoku/>
        <w:wordWrap/>
        <w:overflowPunct/>
        <w:topLinePunct w:val="0"/>
        <w:bidi w:val="0"/>
        <w:spacing w:line="360" w:lineRule="auto"/>
        <w:ind w:left="1680" w:leftChars="0" w:hanging="1680" w:firstLineChars="0"/>
        <w:rPr>
          <w:rFonts w:hint="eastAsia" w:asciiTheme="minorEastAsia" w:hAnsiTheme="minorEastAsia" w:eastAsiaTheme="minorEastAsia" w:cstheme="minorEastAsia"/>
          <w:b/>
          <w:bCs/>
          <w:kern w:val="0"/>
          <w:sz w:val="24"/>
          <w:szCs w:val="24"/>
          <w:highlight w:val="none"/>
          <w:lang w:val="en-US" w:eastAsia="zh-CN"/>
        </w:rPr>
      </w:pPr>
      <w:r>
        <w:rPr>
          <w:sz w:val="24"/>
        </w:rPr>
        <mc:AlternateContent>
          <mc:Choice Requires="wps">
            <w:drawing>
              <wp:anchor distT="0" distB="0" distL="114300" distR="114300" simplePos="0" relativeHeight="251664384" behindDoc="0" locked="0" layoutInCell="1" allowOverlap="1">
                <wp:simplePos x="0" y="0"/>
                <wp:positionH relativeFrom="column">
                  <wp:posOffset>-314325</wp:posOffset>
                </wp:positionH>
                <wp:positionV relativeFrom="paragraph">
                  <wp:posOffset>22860</wp:posOffset>
                </wp:positionV>
                <wp:extent cx="304800" cy="257175"/>
                <wp:effectExtent l="0" t="0" r="0" b="9525"/>
                <wp:wrapNone/>
                <wp:docPr id="3" name="文本框 3"/>
                <wp:cNvGraphicFramePr/>
                <a:graphic xmlns:a="http://schemas.openxmlformats.org/drawingml/2006/main">
                  <a:graphicData uri="http://schemas.microsoft.com/office/word/2010/wordprocessingShape">
                    <wps:wsp>
                      <wps:cNvSpPr txBox="1"/>
                      <wps:spPr>
                        <a:xfrm>
                          <a:off x="365760" y="5672455"/>
                          <a:ext cx="304800" cy="2571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5pt;margin-top:1.8pt;height:20.25pt;width:24pt;z-index:251664384;mso-width-relative:page;mso-height-relative:page;" fillcolor="#FFFFFF [3201]" filled="t" stroked="f" coordsize="21600,21600" o:gfxdata="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1m2v20QAAAAcB&#10;AAAPAAAAAAAAAAEAIAAAACIAAABkcnMvZG93bnJldi54bWxQSwECFAAUAAAACACHTuJAWWs8ylsC&#10;AACZBAAADgAAAAAAAAABACAAAAAgAQAAZHJzL2Uyb0RvYy54bWxQSwUGAAAAAAYABgBZAQAA7QUA&#10;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Theme="minorEastAsia" w:hAnsiTheme="minorEastAsia" w:eastAsiaTheme="minorEastAsia" w:cstheme="minorEastAsia"/>
          <w:kern w:val="0"/>
          <w:sz w:val="24"/>
          <w:szCs w:val="24"/>
          <w:lang w:val="en-US" w:eastAsia="zh-CN"/>
        </w:rPr>
        <w:t>车载台应具有中华人民共和国工业和信息化部颁发的《无线电发射设备型号核准证》（型号核准证证书必须在有效期内），</w:t>
      </w:r>
      <w:r>
        <w:rPr>
          <w:rFonts w:hint="eastAsia" w:asciiTheme="minorEastAsia" w:hAnsiTheme="minorEastAsia" w:eastAsiaTheme="minorEastAsia" w:cstheme="minorEastAsia"/>
          <w:b/>
          <w:bCs/>
          <w:kern w:val="0"/>
          <w:sz w:val="24"/>
          <w:szCs w:val="24"/>
          <w:highlight w:val="none"/>
          <w:lang w:val="en-US" w:eastAsia="zh-CN"/>
        </w:rPr>
        <w:t>提供证书复印件</w:t>
      </w:r>
      <w:r>
        <w:rPr>
          <w:rFonts w:hint="eastAsia" w:asciiTheme="minorEastAsia" w:hAnsiTheme="minorEastAsia" w:cstheme="minorEastAsia"/>
          <w:b/>
          <w:bCs/>
          <w:kern w:val="0"/>
          <w:sz w:val="24"/>
          <w:szCs w:val="24"/>
          <w:highlight w:val="none"/>
          <w:lang w:val="en-US" w:eastAsia="zh-CN"/>
        </w:rPr>
        <w:t>并</w:t>
      </w:r>
      <w:r>
        <w:rPr>
          <w:rFonts w:hint="eastAsia" w:asciiTheme="minorEastAsia" w:hAnsiTheme="minorEastAsia" w:eastAsiaTheme="minorEastAsia" w:cstheme="minorEastAsia"/>
          <w:b/>
          <w:bCs/>
          <w:kern w:val="0"/>
          <w:sz w:val="24"/>
          <w:szCs w:val="24"/>
          <w:highlight w:val="none"/>
          <w:lang w:val="en-US" w:eastAsia="zh-CN"/>
        </w:rPr>
        <w:t>加盖公章；</w:t>
      </w:r>
    </w:p>
    <w:p>
      <w:pPr>
        <w:keepNext w:val="0"/>
        <w:keepLines w:val="0"/>
        <w:pageBreakBefore w:val="0"/>
        <w:numPr>
          <w:ilvl w:val="0"/>
          <w:numId w:val="160"/>
        </w:numPr>
        <w:tabs>
          <w:tab w:val="left" w:pos="1680"/>
          <w:tab w:val="clear" w:pos="420"/>
        </w:tabs>
        <w:kinsoku/>
        <w:wordWrap/>
        <w:overflowPunct/>
        <w:topLinePunct w:val="0"/>
        <w:bidi w:val="0"/>
        <w:spacing w:line="360" w:lineRule="auto"/>
        <w:ind w:left="1680" w:leftChars="0" w:hanging="1680" w:firstLineChars="0"/>
        <w:rPr>
          <w:rFonts w:hint="eastAsia" w:asciiTheme="minorEastAsia" w:hAnsiTheme="minorEastAsia" w:eastAsiaTheme="minorEastAsia" w:cstheme="minorEastAsia"/>
          <w:kern w:val="0"/>
          <w:sz w:val="24"/>
          <w:szCs w:val="24"/>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-361950</wp:posOffset>
                </wp:positionH>
                <wp:positionV relativeFrom="paragraph">
                  <wp:posOffset>36195</wp:posOffset>
                </wp:positionV>
                <wp:extent cx="304800" cy="304800"/>
                <wp:effectExtent l="0" t="0" r="0" b="0"/>
                <wp:wrapNone/>
                <wp:docPr id="2" name="文本框 2"/>
                <wp:cNvGraphicFramePr/>
                <a:graphic xmlns:a="http://schemas.openxmlformats.org/drawingml/2006/main">
                  <a:graphicData uri="http://schemas.microsoft.com/office/word/2010/wordprocessingShape">
                    <wps:wsp>
                      <wps:cNvSpPr txBox="1"/>
                      <wps:spPr>
                        <a:xfrm>
                          <a:off x="384810" y="6539230"/>
                          <a:ext cx="304800" cy="304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2.85pt;height:24pt;width:24pt;z-index:251663360;mso-width-relative:page;mso-height-relative:page;" filled="f" stroked="f" coordsize="21600,21600" o:gfxdata="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v9Yi/YAAAABwEAAA8AAAAAAAAAAQAgAAAAIgAA&#10;AGRycy9kb3ducmV2LnhtbFBLAQIUABQAAAAIAIdO4kCFt959QQIAAHAEAAAOAAAAAAAAAAEAIAAA&#10;ACcBAABkcnMvZTJvRG9jLnhtbFBLBQYAAAAABgAGAFkBAADaBQAAAAA=&#10;">
                <v:fill on="f"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Theme="minorEastAsia" w:hAnsiTheme="minorEastAsia" w:eastAsiaTheme="minorEastAsia" w:cstheme="minorEastAsia"/>
          <w:kern w:val="0"/>
          <w:sz w:val="24"/>
          <w:szCs w:val="24"/>
          <w:lang w:val="en-US" w:eastAsia="zh-CN"/>
        </w:rPr>
        <w:t>车载台应具有良好的可靠性及耐用性，能够在各种恶劣的工作环境中发挥优异性能，</w:t>
      </w:r>
      <w:r>
        <w:rPr>
          <w:rFonts w:hint="eastAsia" w:asciiTheme="minorEastAsia" w:hAnsiTheme="minorEastAsia" w:eastAsiaTheme="minorEastAsia" w:cstheme="minorEastAsia"/>
          <w:b/>
          <w:bCs/>
          <w:kern w:val="0"/>
          <w:sz w:val="24"/>
          <w:szCs w:val="24"/>
          <w:lang w:val="en-US" w:eastAsia="zh-CN"/>
        </w:rPr>
        <w:t>并提供相关证明材料</w:t>
      </w:r>
      <w:r>
        <w:rPr>
          <w:rFonts w:hint="eastAsia" w:asciiTheme="minorEastAsia" w:hAnsiTheme="minorEastAsia" w:eastAsiaTheme="minorEastAsia" w:cstheme="minorEastAsia"/>
          <w:kern w:val="0"/>
          <w:sz w:val="24"/>
          <w:szCs w:val="24"/>
          <w:lang w:val="en-US" w:eastAsia="zh-CN"/>
        </w:rPr>
        <w:t>；</w:t>
      </w:r>
    </w:p>
    <w:p>
      <w:pPr>
        <w:keepNext w:val="0"/>
        <w:keepLines w:val="0"/>
        <w:pageBreakBefore w:val="0"/>
        <w:numPr>
          <w:ilvl w:val="0"/>
          <w:numId w:val="160"/>
        </w:numPr>
        <w:tabs>
          <w:tab w:val="left" w:pos="1680"/>
          <w:tab w:val="clear" w:pos="420"/>
        </w:tabs>
        <w:kinsoku/>
        <w:wordWrap/>
        <w:overflowPunct/>
        <w:topLinePunct w:val="0"/>
        <w:bidi w:val="0"/>
        <w:spacing w:line="360" w:lineRule="auto"/>
        <w:ind w:left="1680" w:leftChars="0" w:hanging="1680" w:firstLineChars="0"/>
        <w:rPr>
          <w:rFonts w:hint="eastAsia" w:asciiTheme="minorEastAsia" w:hAnsiTheme="minorEastAsia" w:eastAsiaTheme="minorEastAsia" w:cstheme="minorEastAsia"/>
          <w:b/>
          <w:bCs/>
          <w:kern w:val="0"/>
          <w:sz w:val="24"/>
          <w:szCs w:val="24"/>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-352425</wp:posOffset>
                </wp:positionH>
                <wp:positionV relativeFrom="paragraph">
                  <wp:posOffset>3810</wp:posOffset>
                </wp:positionV>
                <wp:extent cx="333375" cy="266700"/>
                <wp:effectExtent l="0" t="0" r="9525" b="0"/>
                <wp:wrapNone/>
                <wp:docPr id="1" name="文本框 1"/>
                <wp:cNvGraphicFramePr/>
                <a:graphic xmlns:a="http://schemas.openxmlformats.org/drawingml/2006/main">
                  <a:graphicData uri="http://schemas.microsoft.com/office/word/2010/wordprocessingShape">
                    <wps:wsp>
                      <wps:cNvSpPr txBox="1"/>
                      <wps:spPr>
                        <a:xfrm>
                          <a:off x="356235" y="7139305"/>
                          <a:ext cx="333375"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5pt;margin-top:0.3pt;height:21pt;width:26.25pt;z-index:251662336;mso-width-relative:page;mso-height-relative:page;" fillcolor="#FFFFFF [3201]" filled="t" stroked="f" coordsize="21600,21600" o:gfxdata="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Xs9lk0gAAAAYB&#10;AAAPAAAAAAAAAAEAIAAAACIAAABkcnMvZG93bnJldi54bWxQSwECFAAUAAAACACHTuJAVcv8a1oC&#10;AACZBAAADgAAAAAAAAABACAAAAAhAQAAZHJzL2Uyb0RvYy54bWxQSwUGAAAAAAYABgBZAQAA7QUA&#10;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Theme="minorEastAsia" w:hAnsiTheme="minorEastAsia" w:eastAsiaTheme="minorEastAsia" w:cstheme="minorEastAsia"/>
          <w:kern w:val="0"/>
          <w:sz w:val="24"/>
          <w:szCs w:val="24"/>
          <w:lang w:val="en-US" w:eastAsia="zh-CN"/>
        </w:rPr>
        <w:t>车载台须具备良好的防水防尘功能，防尘防水等级≥IP54，</w:t>
      </w:r>
      <w:r>
        <w:rPr>
          <w:rFonts w:hint="eastAsia" w:asciiTheme="minorEastAsia" w:hAnsiTheme="minorEastAsia" w:eastAsiaTheme="minorEastAsia" w:cstheme="minorEastAsia"/>
          <w:b/>
          <w:bCs/>
          <w:kern w:val="0"/>
          <w:sz w:val="24"/>
          <w:szCs w:val="24"/>
          <w:lang w:val="en-US" w:eastAsia="zh-CN"/>
        </w:rPr>
        <w:t>并提供相关证明材料；</w:t>
      </w:r>
    </w:p>
    <w:p>
      <w:pPr>
        <w:keepNext w:val="0"/>
        <w:keepLines w:val="0"/>
        <w:pageBreakBefore w:val="0"/>
        <w:numPr>
          <w:ilvl w:val="0"/>
          <w:numId w:val="160"/>
        </w:numPr>
        <w:tabs>
          <w:tab w:val="left" w:pos="1680"/>
          <w:tab w:val="clear" w:pos="420"/>
        </w:tabs>
        <w:kinsoku/>
        <w:wordWrap/>
        <w:overflowPunct/>
        <w:topLinePunct w:val="0"/>
        <w:bidi w:val="0"/>
        <w:spacing w:line="360" w:lineRule="auto"/>
        <w:ind w:left="1680" w:leftChars="0" w:hanging="168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车载台须支持多种工作模式，能够在不同的网络制式下正常使用，适应不同的应用场景，至少具备模拟常规、模拟集群、数字常规和数字集群4种工作模式；</w:t>
      </w:r>
    </w:p>
    <w:p>
      <w:pPr>
        <w:keepNext w:val="0"/>
        <w:keepLines w:val="0"/>
        <w:pageBreakBefore w:val="0"/>
        <w:numPr>
          <w:ilvl w:val="0"/>
          <w:numId w:val="160"/>
        </w:numPr>
        <w:tabs>
          <w:tab w:val="left" w:pos="1680"/>
          <w:tab w:val="clear" w:pos="420"/>
        </w:tabs>
        <w:kinsoku/>
        <w:wordWrap/>
        <w:overflowPunct/>
        <w:topLinePunct w:val="0"/>
        <w:bidi w:val="0"/>
        <w:spacing w:line="360" w:lineRule="auto"/>
        <w:ind w:left="1680" w:leftChars="0" w:hanging="168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车载台须内置蓝牙模块，能够支持蓝牙耳机、手咪等多种配件，蓝牙协议版本不低于Bluetooth V5.0； </w:t>
      </w:r>
    </w:p>
    <w:p>
      <w:pPr>
        <w:keepNext w:val="0"/>
        <w:keepLines w:val="0"/>
        <w:pageBreakBefore w:val="0"/>
        <w:numPr>
          <w:ilvl w:val="0"/>
          <w:numId w:val="160"/>
        </w:numPr>
        <w:tabs>
          <w:tab w:val="left" w:pos="1680"/>
          <w:tab w:val="clear" w:pos="420"/>
        </w:tabs>
        <w:kinsoku/>
        <w:wordWrap/>
        <w:overflowPunct/>
        <w:topLinePunct w:val="0"/>
        <w:bidi w:val="0"/>
        <w:spacing w:line="360" w:lineRule="auto"/>
        <w:ind w:left="1680" w:leftChars="0" w:hanging="168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车载台须支持通知提醒功能，当车载台存在未接业务时，可在车载台待机界面会生成相关业务的通知提醒，用于提示用户，通知提醒的内容包含发生时间、发起方别名/ID、短信内容等，未接业务包含紧急呼叫、呼叫、短消息等； </w:t>
      </w:r>
    </w:p>
    <w:p>
      <w:pPr>
        <w:keepNext w:val="0"/>
        <w:keepLines w:val="0"/>
        <w:pageBreakBefore w:val="0"/>
        <w:numPr>
          <w:ilvl w:val="0"/>
          <w:numId w:val="160"/>
        </w:numPr>
        <w:tabs>
          <w:tab w:val="left" w:pos="1680"/>
          <w:tab w:val="clear" w:pos="420"/>
        </w:tabs>
        <w:kinsoku/>
        <w:wordWrap/>
        <w:overflowPunct/>
        <w:topLinePunct w:val="0"/>
        <w:bidi w:val="0"/>
        <w:spacing w:line="360" w:lineRule="auto"/>
        <w:ind w:left="1680" w:leftChars="0" w:hanging="168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车载台须设有智能按键，可一键在待机界面和多个自定义界面之间循环切换，便于用户快速查看或进行功能设置，确保紧急状况下能够更快速响应。自定义界面不能少于3个； </w:t>
      </w:r>
    </w:p>
    <w:p>
      <w:pPr>
        <w:keepNext w:val="0"/>
        <w:keepLines w:val="0"/>
        <w:pageBreakBefore w:val="0"/>
        <w:numPr>
          <w:ilvl w:val="0"/>
          <w:numId w:val="160"/>
        </w:numPr>
        <w:tabs>
          <w:tab w:val="left" w:pos="1680"/>
          <w:tab w:val="clear" w:pos="420"/>
        </w:tabs>
        <w:kinsoku/>
        <w:wordWrap/>
        <w:overflowPunct/>
        <w:topLinePunct w:val="0"/>
        <w:bidi w:val="0"/>
        <w:spacing w:line="360" w:lineRule="auto"/>
        <w:ind w:left="1680" w:leftChars="0" w:hanging="168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车载台个呼联系人须支持添加多个ID号码和多个自定义字段的功能，满足用户个性化业务的需求，同时方便用户进行人员管理。ID号码和自定义字段均不能少于3个；</w:t>
      </w:r>
    </w:p>
    <w:p>
      <w:pPr>
        <w:keepNext w:val="0"/>
        <w:keepLines w:val="0"/>
        <w:pageBreakBefore w:val="0"/>
        <w:numPr>
          <w:ilvl w:val="0"/>
          <w:numId w:val="160"/>
        </w:numPr>
        <w:tabs>
          <w:tab w:val="left" w:pos="1680"/>
          <w:tab w:val="clear" w:pos="420"/>
        </w:tabs>
        <w:kinsoku/>
        <w:wordWrap/>
        <w:overflowPunct/>
        <w:topLinePunct w:val="0"/>
        <w:bidi w:val="0"/>
        <w:spacing w:line="360" w:lineRule="auto"/>
        <w:ind w:left="1680" w:leftChars="0" w:hanging="168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车载台可根据个呼联系人配置的多个呼叫ID，快速的进行拨号，拨号操作简单便捷； </w:t>
      </w:r>
    </w:p>
    <w:p>
      <w:pPr>
        <w:keepNext w:val="0"/>
        <w:keepLines w:val="0"/>
        <w:pageBreakBefore w:val="0"/>
        <w:numPr>
          <w:ilvl w:val="0"/>
          <w:numId w:val="160"/>
        </w:numPr>
        <w:tabs>
          <w:tab w:val="left" w:pos="1680"/>
          <w:tab w:val="clear" w:pos="420"/>
        </w:tabs>
        <w:kinsoku/>
        <w:wordWrap/>
        <w:overflowPunct/>
        <w:topLinePunct w:val="0"/>
        <w:bidi w:val="0"/>
        <w:spacing w:line="360" w:lineRule="auto"/>
        <w:ind w:left="1680" w:leftChars="0" w:hanging="168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车载台须内置情景模式功能，对讲机可根据不同情景模式进行应答，满足不同场景的通信要求，情景模式不能少于4种模式； </w:t>
      </w:r>
    </w:p>
    <w:p>
      <w:pPr>
        <w:keepNext w:val="0"/>
        <w:keepLines w:val="0"/>
        <w:pageBreakBefore w:val="0"/>
        <w:numPr>
          <w:ilvl w:val="0"/>
          <w:numId w:val="160"/>
        </w:numPr>
        <w:tabs>
          <w:tab w:val="left" w:pos="1680"/>
          <w:tab w:val="clear" w:pos="420"/>
        </w:tabs>
        <w:kinsoku/>
        <w:wordWrap/>
        <w:overflowPunct/>
        <w:topLinePunct w:val="0"/>
        <w:bidi w:val="0"/>
        <w:spacing w:line="360" w:lineRule="auto"/>
        <w:ind w:left="1680" w:leftChars="0" w:hanging="168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车载台须支持智能降噪功能，不限于噪音源的方向，能保证对讲机在嘈杂环境下能提供清晰的语音，噪声抑制能力不小于25dB； </w:t>
      </w:r>
    </w:p>
    <w:p>
      <w:pPr>
        <w:keepNext w:val="0"/>
        <w:keepLines w:val="0"/>
        <w:pageBreakBefore w:val="0"/>
        <w:numPr>
          <w:ilvl w:val="0"/>
          <w:numId w:val="160"/>
        </w:numPr>
        <w:tabs>
          <w:tab w:val="left" w:pos="1680"/>
          <w:tab w:val="clear" w:pos="420"/>
        </w:tabs>
        <w:kinsoku/>
        <w:wordWrap/>
        <w:overflowPunct/>
        <w:topLinePunct w:val="0"/>
        <w:bidi w:val="0"/>
        <w:spacing w:line="360" w:lineRule="auto"/>
        <w:ind w:left="1680" w:leftChars="0" w:hanging="168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车载台通过信道切换旋钮/音量调节旋钮即可实现工作模式的切换； </w:t>
      </w:r>
    </w:p>
    <w:p>
      <w:pPr>
        <w:keepNext w:val="0"/>
        <w:keepLines w:val="0"/>
        <w:pageBreakBefore w:val="0"/>
        <w:numPr>
          <w:ilvl w:val="0"/>
          <w:numId w:val="160"/>
        </w:numPr>
        <w:tabs>
          <w:tab w:val="left" w:pos="1680"/>
          <w:tab w:val="clear" w:pos="420"/>
        </w:tabs>
        <w:kinsoku/>
        <w:wordWrap/>
        <w:overflowPunct/>
        <w:topLinePunct w:val="0"/>
        <w:bidi w:val="0"/>
        <w:spacing w:line="360" w:lineRule="auto"/>
        <w:ind w:left="1680" w:leftChars="0" w:hanging="168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对讲机须内置定位模块，支持北斗或GPS或北斗+GPS定位功能，支持多种位置信息上传能力，包含但不限于位置信息主动上传功能、业务信道发送对讲机位置信息功能、当前位置信息查询等功能；</w:t>
      </w:r>
    </w:p>
    <w:p>
      <w:pPr>
        <w:keepNext w:val="0"/>
        <w:keepLines w:val="0"/>
        <w:pageBreakBefore w:val="0"/>
        <w:numPr>
          <w:ilvl w:val="0"/>
          <w:numId w:val="160"/>
        </w:numPr>
        <w:tabs>
          <w:tab w:val="left" w:pos="1680"/>
          <w:tab w:val="clear" w:pos="420"/>
        </w:tabs>
        <w:kinsoku/>
        <w:wordWrap/>
        <w:overflowPunct/>
        <w:topLinePunct w:val="0"/>
        <w:bidi w:val="0"/>
        <w:spacing w:line="360" w:lineRule="auto"/>
        <w:ind w:left="1680" w:leftChars="0" w:hanging="168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车载台须支持中文短信收发功能，短信收发界面呈现方式为连续对话形式，接收、发送的短信能在同一界面连续性的显示；短信息文本内容最多支持500个汉字； </w:t>
      </w:r>
    </w:p>
    <w:p>
      <w:pPr>
        <w:keepNext w:val="0"/>
        <w:keepLines w:val="0"/>
        <w:pageBreakBefore w:val="0"/>
        <w:numPr>
          <w:ilvl w:val="0"/>
          <w:numId w:val="160"/>
        </w:numPr>
        <w:tabs>
          <w:tab w:val="left" w:pos="1680"/>
          <w:tab w:val="clear" w:pos="420"/>
        </w:tabs>
        <w:kinsoku/>
        <w:wordWrap/>
        <w:overflowPunct/>
        <w:topLinePunct w:val="0"/>
        <w:bidi w:val="0"/>
        <w:spacing w:line="360" w:lineRule="auto"/>
        <w:ind w:left="1680" w:leftChars="0" w:hanging="168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车载台支持二维码功能，二维码以图片的形式内嵌在对讲机中，通过菜单打开。通过扫描二维码得到的字符数不少于50个字符；</w:t>
      </w:r>
    </w:p>
    <w:p>
      <w:pPr>
        <w:keepNext w:val="0"/>
        <w:keepLines w:val="0"/>
        <w:pageBreakBefore w:val="0"/>
        <w:numPr>
          <w:ilvl w:val="0"/>
          <w:numId w:val="160"/>
        </w:numPr>
        <w:tabs>
          <w:tab w:val="left" w:pos="1680"/>
          <w:tab w:val="clear" w:pos="420"/>
        </w:tabs>
        <w:kinsoku/>
        <w:wordWrap/>
        <w:overflowPunct/>
        <w:topLinePunct w:val="0"/>
        <w:bidi w:val="0"/>
        <w:spacing w:line="360" w:lineRule="auto"/>
        <w:ind w:left="1680" w:leftChars="0" w:hanging="168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车载台须具有大屏显示，屏幕尺寸≥2.4英寸，分辨率320*240，26万色，显示屏文字显示≥10行（不含状态栏）； </w:t>
      </w:r>
    </w:p>
    <w:p>
      <w:pPr>
        <w:keepNext w:val="0"/>
        <w:keepLines w:val="0"/>
        <w:pageBreakBefore w:val="0"/>
        <w:numPr>
          <w:ilvl w:val="0"/>
          <w:numId w:val="160"/>
        </w:numPr>
        <w:tabs>
          <w:tab w:val="left" w:pos="1680"/>
          <w:tab w:val="clear" w:pos="420"/>
        </w:tabs>
        <w:kinsoku/>
        <w:wordWrap/>
        <w:overflowPunct/>
        <w:topLinePunct w:val="0"/>
        <w:bidi w:val="0"/>
        <w:spacing w:line="360" w:lineRule="auto"/>
        <w:ind w:left="1680" w:leftChars="0" w:hanging="168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车载台须内置网口，可基于IP网络进行数据传输和远程通信；</w:t>
      </w:r>
    </w:p>
    <w:p>
      <w:pPr>
        <w:keepNext w:val="0"/>
        <w:keepLines w:val="0"/>
        <w:pageBreakBefore w:val="0"/>
        <w:kinsoku/>
        <w:wordWrap/>
        <w:overflowPunct/>
        <w:topLinePunct w:val="0"/>
        <w:bidi w:val="0"/>
        <w:spacing w:line="360" w:lineRule="auto"/>
        <w:rPr>
          <w:rFonts w:hint="eastAsia" w:asciiTheme="minorEastAsia" w:hAnsiTheme="minorEastAsia" w:eastAsiaTheme="minorEastAsia" w:cstheme="minorEastAsia"/>
          <w:kern w:val="0"/>
          <w:sz w:val="24"/>
          <w:szCs w:val="24"/>
          <w:lang w:val="en-US" w:eastAsia="zh-CN"/>
        </w:rPr>
      </w:pPr>
    </w:p>
    <w:p>
      <w:pPr>
        <w:keepNext w:val="0"/>
        <w:keepLines w:val="0"/>
        <w:pageBreakBefore w:val="0"/>
        <w:numPr>
          <w:ilvl w:val="0"/>
          <w:numId w:val="159"/>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b w:val="0"/>
          <w:bCs w:val="0"/>
          <w:kern w:val="0"/>
          <w:sz w:val="24"/>
          <w:szCs w:val="24"/>
          <w:lang w:val="en-US" w:eastAsia="zh-CN"/>
        </w:rPr>
      </w:pPr>
      <w:bookmarkStart w:id="49" w:name="_Toc18141"/>
      <w:r>
        <w:rPr>
          <w:rFonts w:hint="eastAsia" w:asciiTheme="minorEastAsia" w:hAnsiTheme="minorEastAsia" w:eastAsiaTheme="minorEastAsia" w:cstheme="minorEastAsia"/>
          <w:b w:val="0"/>
          <w:bCs w:val="0"/>
          <w:kern w:val="0"/>
          <w:sz w:val="24"/>
          <w:szCs w:val="24"/>
          <w:lang w:val="en-US" w:eastAsia="zh-CN"/>
        </w:rPr>
        <w:t>规格参数</w:t>
      </w:r>
      <w:bookmarkEnd w:id="49"/>
    </w:p>
    <w:p>
      <w:pPr>
        <w:keepNext w:val="0"/>
        <w:keepLines w:val="0"/>
        <w:pageBreakBefore w:val="0"/>
        <w:numPr>
          <w:ilvl w:val="0"/>
          <w:numId w:val="161"/>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一般规格</w:t>
      </w:r>
    </w:p>
    <w:p>
      <w:pPr>
        <w:keepNext w:val="0"/>
        <w:keepLines w:val="0"/>
        <w:pageBreakBefore w:val="0"/>
        <w:numPr>
          <w:ilvl w:val="0"/>
          <w:numId w:val="162"/>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频率范围：136-147 MHZ  </w:t>
      </w:r>
      <w:r>
        <w:rPr>
          <w:rFonts w:hint="eastAsia" w:asciiTheme="minorEastAsia" w:hAnsiTheme="minorEastAsia" w:cstheme="minorEastAsia"/>
          <w:kern w:val="0"/>
          <w:sz w:val="24"/>
          <w:szCs w:val="24"/>
          <w:lang w:val="en-US" w:eastAsia="zh-CN"/>
        </w:rPr>
        <w:t>；</w:t>
      </w:r>
      <w:r>
        <w:rPr>
          <w:rFonts w:hint="eastAsia" w:asciiTheme="minorEastAsia" w:hAnsiTheme="minorEastAsia" w:eastAsiaTheme="minorEastAsia" w:cstheme="minorEastAsia"/>
          <w:kern w:val="0"/>
          <w:sz w:val="24"/>
          <w:szCs w:val="24"/>
          <w:lang w:val="en-US" w:eastAsia="zh-CN"/>
        </w:rPr>
        <w:t xml:space="preserve">       </w:t>
      </w:r>
    </w:p>
    <w:p>
      <w:pPr>
        <w:keepNext w:val="0"/>
        <w:keepLines w:val="0"/>
        <w:pageBreakBefore w:val="0"/>
        <w:kinsoku/>
        <w:wordWrap/>
        <w:overflowPunct/>
        <w:topLinePunct w:val="0"/>
        <w:bidi w:val="0"/>
        <w:spacing w:line="360" w:lineRule="auto"/>
        <w:ind w:firstLine="2880" w:firstLineChars="1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400-470MHz</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2"/>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信道容量：≥1024</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2"/>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组群：≥64（每组群≥128个组）</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2"/>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信道间隔：12.5KHz/20KHz/25KHz</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2"/>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工作电压：13.6V±15%</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2"/>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频率稳定度：≤±0.5ppm</w:t>
      </w:r>
      <w:r>
        <w:rPr>
          <w:rFonts w:hint="eastAsia" w:asciiTheme="minorEastAsia" w:hAnsiTheme="minorEastAsia" w:cstheme="minorEastAsia"/>
          <w:kern w:val="0"/>
          <w:sz w:val="24"/>
          <w:szCs w:val="24"/>
          <w:lang w:val="en-US" w:eastAsia="zh-CN"/>
        </w:rPr>
        <w:t>；</w:t>
      </w:r>
    </w:p>
    <w:p>
      <w:pPr>
        <w:bidi w:val="0"/>
        <w:rPr>
          <w:rFonts w:hint="eastAsia"/>
          <w:lang w:val="en-US" w:eastAsia="zh-CN"/>
        </w:rPr>
      </w:pPr>
    </w:p>
    <w:p>
      <w:pPr>
        <w:keepNext w:val="0"/>
        <w:keepLines w:val="0"/>
        <w:pageBreakBefore w:val="0"/>
        <w:numPr>
          <w:ilvl w:val="0"/>
          <w:numId w:val="161"/>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发射指标</w:t>
      </w:r>
    </w:p>
    <w:p>
      <w:pPr>
        <w:keepNext w:val="0"/>
        <w:keepLines w:val="0"/>
        <w:pageBreakBefore w:val="0"/>
        <w:numPr>
          <w:ilvl w:val="0"/>
          <w:numId w:val="163"/>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输出功率：1-25/45W（U1）；5-25/50W(VHF1)</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3"/>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FM调制方式：11K0F3E@12.5kHz</w:t>
      </w:r>
      <w:r>
        <w:rPr>
          <w:rFonts w:hint="eastAsia" w:asciiTheme="minorEastAsia" w:hAnsiTheme="minorEastAsia" w:cstheme="minorEastAsia"/>
          <w:kern w:val="0"/>
          <w:sz w:val="24"/>
          <w:szCs w:val="24"/>
          <w:lang w:val="en-US" w:eastAsia="zh-CN"/>
        </w:rPr>
        <w:t>；</w:t>
      </w:r>
    </w:p>
    <w:p>
      <w:pPr>
        <w:keepNext w:val="0"/>
        <w:keepLines w:val="0"/>
        <w:pageBreakBefore w:val="0"/>
        <w:kinsoku/>
        <w:wordWrap/>
        <w:overflowPunct/>
        <w:topLinePunct w:val="0"/>
        <w:bidi w:val="0"/>
        <w:spacing w:line="360" w:lineRule="auto"/>
        <w:ind w:firstLine="3120" w:firstLineChars="13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14K0F3E@20kHz</w:t>
      </w:r>
      <w:r>
        <w:rPr>
          <w:rFonts w:hint="eastAsia" w:asciiTheme="minorEastAsia" w:hAnsiTheme="minorEastAsia" w:cstheme="minorEastAsia"/>
          <w:kern w:val="0"/>
          <w:sz w:val="24"/>
          <w:szCs w:val="24"/>
          <w:lang w:val="en-US" w:eastAsia="zh-CN"/>
        </w:rPr>
        <w:t>；</w:t>
      </w:r>
    </w:p>
    <w:p>
      <w:pPr>
        <w:keepNext w:val="0"/>
        <w:keepLines w:val="0"/>
        <w:pageBreakBefore w:val="0"/>
        <w:kinsoku/>
        <w:wordWrap/>
        <w:overflowPunct/>
        <w:topLinePunct w:val="0"/>
        <w:bidi w:val="0"/>
        <w:spacing w:line="360" w:lineRule="auto"/>
        <w:ind w:firstLine="3120" w:firstLineChars="13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16K0F3E@25kHz</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3"/>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4FSK数字调制方式：12.5kHz仅数据：7K60FXD</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3"/>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12.5kHz数据和语音：7K60FXW</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3"/>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传导/辐射发射：-36dBm＜1GHz；-30dBm＞1GHz</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3"/>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调制限制：±2.5kHz@12.5kHz</w:t>
      </w:r>
      <w:r>
        <w:rPr>
          <w:rFonts w:hint="eastAsia" w:asciiTheme="minorEastAsia" w:hAnsiTheme="minorEastAsia" w:cstheme="minorEastAsia"/>
          <w:kern w:val="0"/>
          <w:sz w:val="24"/>
          <w:szCs w:val="24"/>
          <w:lang w:val="en-US" w:eastAsia="zh-CN"/>
        </w:rPr>
        <w:t>；</w:t>
      </w:r>
    </w:p>
    <w:p>
      <w:pPr>
        <w:keepNext w:val="0"/>
        <w:keepLines w:val="0"/>
        <w:pageBreakBefore w:val="0"/>
        <w:kinsoku/>
        <w:wordWrap/>
        <w:overflowPunct/>
        <w:topLinePunct w:val="0"/>
        <w:bidi w:val="0"/>
        <w:spacing w:line="360" w:lineRule="auto"/>
        <w:ind w:firstLine="2880" w:firstLineChars="1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±4.0kHz@20kHz</w:t>
      </w:r>
      <w:r>
        <w:rPr>
          <w:rFonts w:hint="eastAsia" w:asciiTheme="minorEastAsia" w:hAnsiTheme="minorEastAsia" w:cstheme="minorEastAsia"/>
          <w:kern w:val="0"/>
          <w:sz w:val="24"/>
          <w:szCs w:val="24"/>
          <w:lang w:val="en-US" w:eastAsia="zh-CN"/>
        </w:rPr>
        <w:t>；</w:t>
      </w:r>
    </w:p>
    <w:p>
      <w:pPr>
        <w:keepNext w:val="0"/>
        <w:keepLines w:val="0"/>
        <w:pageBreakBefore w:val="0"/>
        <w:kinsoku/>
        <w:wordWrap/>
        <w:overflowPunct/>
        <w:topLinePunct w:val="0"/>
        <w:bidi w:val="0"/>
        <w:spacing w:line="360" w:lineRule="auto"/>
        <w:ind w:firstLine="2880" w:firstLineChars="1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±5.0kHz@25kHz</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3"/>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FM交流声与噪声：≥40dB@12.5kHz</w:t>
      </w:r>
      <w:r>
        <w:rPr>
          <w:rFonts w:hint="eastAsia" w:asciiTheme="minorEastAsia" w:hAnsiTheme="minorEastAsia" w:cstheme="minorEastAsia"/>
          <w:kern w:val="0"/>
          <w:sz w:val="24"/>
          <w:szCs w:val="24"/>
          <w:lang w:val="en-US" w:eastAsia="zh-CN"/>
        </w:rPr>
        <w:t>；</w:t>
      </w:r>
    </w:p>
    <w:p>
      <w:pPr>
        <w:keepNext w:val="0"/>
        <w:keepLines w:val="0"/>
        <w:pageBreakBefore w:val="0"/>
        <w:kinsoku/>
        <w:wordWrap/>
        <w:overflowPunct/>
        <w:topLinePunct w:val="0"/>
        <w:bidi w:val="0"/>
        <w:spacing w:line="360" w:lineRule="auto"/>
        <w:ind w:firstLine="3600" w:firstLineChars="15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≥43dB@20KHz</w:t>
      </w:r>
      <w:r>
        <w:rPr>
          <w:rFonts w:hint="eastAsia" w:asciiTheme="minorEastAsia" w:hAnsiTheme="minorEastAsia" w:cstheme="minorEastAsia"/>
          <w:kern w:val="0"/>
          <w:sz w:val="24"/>
          <w:szCs w:val="24"/>
          <w:lang w:val="en-US" w:eastAsia="zh-CN"/>
        </w:rPr>
        <w:t>；</w:t>
      </w:r>
    </w:p>
    <w:p>
      <w:pPr>
        <w:keepNext w:val="0"/>
        <w:keepLines w:val="0"/>
        <w:pageBreakBefore w:val="0"/>
        <w:kinsoku/>
        <w:wordWrap/>
        <w:overflowPunct/>
        <w:topLinePunct w:val="0"/>
        <w:bidi w:val="0"/>
        <w:spacing w:line="360" w:lineRule="auto"/>
        <w:ind w:firstLine="3600" w:firstLineChars="15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≥45dB@25kHz</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3"/>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邻道功率：≥60dB@12.5kHz</w:t>
      </w:r>
      <w:r>
        <w:rPr>
          <w:rFonts w:hint="eastAsia" w:asciiTheme="minorEastAsia" w:hAnsiTheme="minorEastAsia" w:cstheme="minorEastAsia"/>
          <w:kern w:val="0"/>
          <w:sz w:val="24"/>
          <w:szCs w:val="24"/>
          <w:lang w:val="en-US" w:eastAsia="zh-CN"/>
        </w:rPr>
        <w:t>；</w:t>
      </w:r>
    </w:p>
    <w:p>
      <w:pPr>
        <w:keepNext w:val="0"/>
        <w:keepLines w:val="0"/>
        <w:pageBreakBefore w:val="0"/>
        <w:kinsoku/>
        <w:wordWrap/>
        <w:overflowPunct/>
        <w:topLinePunct w:val="0"/>
        <w:bidi w:val="0"/>
        <w:spacing w:line="360" w:lineRule="auto"/>
        <w:ind w:firstLine="2880" w:firstLineChars="1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≥70dB@20/25kHz</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3"/>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音频响应：+1～-3dB</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3"/>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音频失真：≤3%</w:t>
      </w:r>
      <w:r>
        <w:rPr>
          <w:rFonts w:hint="eastAsia" w:asciiTheme="minorEastAsia" w:hAnsiTheme="minorEastAsia" w:cstheme="minorEastAsia"/>
          <w:kern w:val="0"/>
          <w:sz w:val="24"/>
          <w:szCs w:val="24"/>
          <w:lang w:val="en-US" w:eastAsia="zh-CN"/>
        </w:rPr>
        <w:t>；</w:t>
      </w:r>
    </w:p>
    <w:p>
      <w:pPr>
        <w:bidi w:val="0"/>
        <w:rPr>
          <w:rFonts w:hint="eastAsia"/>
          <w:lang w:val="en-US" w:eastAsia="zh-CN"/>
        </w:rPr>
      </w:pPr>
    </w:p>
    <w:p>
      <w:pPr>
        <w:keepNext w:val="0"/>
        <w:keepLines w:val="0"/>
        <w:pageBreakBefore w:val="0"/>
        <w:numPr>
          <w:ilvl w:val="0"/>
          <w:numId w:val="161"/>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接收指标</w:t>
      </w:r>
    </w:p>
    <w:p>
      <w:pPr>
        <w:keepNext w:val="0"/>
        <w:keepLines w:val="0"/>
        <w:pageBreakBefore w:val="0"/>
        <w:numPr>
          <w:ilvl w:val="0"/>
          <w:numId w:val="164"/>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数字接收灵敏度：≤0.22μV/BER5%</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4"/>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邻道选择性：≥60dB@12.5kHz</w:t>
      </w:r>
      <w:r>
        <w:rPr>
          <w:rFonts w:hint="eastAsia" w:asciiTheme="minorEastAsia" w:hAnsiTheme="minorEastAsia" w:cstheme="minorEastAsia"/>
          <w:kern w:val="0"/>
          <w:sz w:val="24"/>
          <w:szCs w:val="24"/>
          <w:lang w:val="en-US" w:eastAsia="zh-CN"/>
        </w:rPr>
        <w:t>；</w:t>
      </w:r>
    </w:p>
    <w:p>
      <w:pPr>
        <w:keepNext w:val="0"/>
        <w:keepLines w:val="0"/>
        <w:pageBreakBefore w:val="0"/>
        <w:kinsoku/>
        <w:wordWrap/>
        <w:overflowPunct/>
        <w:topLinePunct w:val="0"/>
        <w:bidi w:val="0"/>
        <w:spacing w:line="360" w:lineRule="auto"/>
        <w:ind w:firstLine="3120" w:firstLineChars="13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≥70dB@20/25kHz</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4"/>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互调：≥70dB@12.5/20/25kHz</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4"/>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杂散响应抑制：≥70dB@12.5/20/25kHz</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4"/>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阻塞：≥84dB</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4"/>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交流声与噪声：≥40dB@12.5kHz</w:t>
      </w:r>
      <w:r>
        <w:rPr>
          <w:rFonts w:hint="eastAsia" w:asciiTheme="minorEastAsia" w:hAnsiTheme="minorEastAsia" w:cstheme="minorEastAsia"/>
          <w:kern w:val="0"/>
          <w:sz w:val="24"/>
          <w:szCs w:val="24"/>
          <w:lang w:val="en-US" w:eastAsia="zh-CN"/>
        </w:rPr>
        <w:t>；</w:t>
      </w:r>
    </w:p>
    <w:p>
      <w:pPr>
        <w:keepNext w:val="0"/>
        <w:keepLines w:val="0"/>
        <w:pageBreakBefore w:val="0"/>
        <w:kinsoku/>
        <w:wordWrap/>
        <w:overflowPunct/>
        <w:topLinePunct w:val="0"/>
        <w:bidi w:val="0"/>
        <w:spacing w:line="360" w:lineRule="auto"/>
        <w:ind w:firstLine="3360" w:firstLineChars="14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≥43dB@20KHz</w:t>
      </w:r>
      <w:r>
        <w:rPr>
          <w:rFonts w:hint="eastAsia" w:asciiTheme="minorEastAsia" w:hAnsiTheme="minorEastAsia" w:cstheme="minorEastAsia"/>
          <w:kern w:val="0"/>
          <w:sz w:val="24"/>
          <w:szCs w:val="24"/>
          <w:lang w:val="en-US" w:eastAsia="zh-CN"/>
        </w:rPr>
        <w:t>；</w:t>
      </w:r>
    </w:p>
    <w:p>
      <w:pPr>
        <w:keepNext w:val="0"/>
        <w:keepLines w:val="0"/>
        <w:pageBreakBefore w:val="0"/>
        <w:kinsoku/>
        <w:wordWrap/>
        <w:overflowPunct/>
        <w:topLinePunct w:val="0"/>
        <w:bidi w:val="0"/>
        <w:spacing w:line="360" w:lineRule="auto"/>
        <w:ind w:firstLine="3360" w:firstLineChars="14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≥45dB@25kHz</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4"/>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额定音频输出功率：≥3W</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4"/>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额定音频失真：≤3%</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4"/>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音频响应：+1～-3dB</w:t>
      </w:r>
      <w:r>
        <w:rPr>
          <w:rFonts w:hint="eastAsia" w:asciiTheme="minorEastAsia" w:hAnsiTheme="minorEastAsia" w:cstheme="minorEastAsia"/>
          <w:kern w:val="0"/>
          <w:sz w:val="24"/>
          <w:szCs w:val="24"/>
          <w:lang w:val="en-US" w:eastAsia="zh-CN"/>
        </w:rPr>
        <w:t>；</w:t>
      </w:r>
    </w:p>
    <w:p>
      <w:pPr>
        <w:bidi w:val="0"/>
        <w:rPr>
          <w:rFonts w:hint="eastAsia"/>
          <w:lang w:val="en-US" w:eastAsia="zh-CN"/>
        </w:rPr>
      </w:pPr>
    </w:p>
    <w:p>
      <w:pPr>
        <w:keepNext w:val="0"/>
        <w:keepLines w:val="0"/>
        <w:pageBreakBefore w:val="0"/>
        <w:numPr>
          <w:ilvl w:val="0"/>
          <w:numId w:val="161"/>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环境指标</w:t>
      </w:r>
    </w:p>
    <w:p>
      <w:pPr>
        <w:keepNext w:val="0"/>
        <w:keepLines w:val="0"/>
        <w:pageBreakBefore w:val="0"/>
        <w:numPr>
          <w:ilvl w:val="0"/>
          <w:numId w:val="165"/>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工作温度范围：≥-30℃～+60℃</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5"/>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储存温度范围：≥-40℃～+85℃</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5"/>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ESD（静电防护等级）：≥IEC 61000-4-2（level4）</w:t>
      </w:r>
      <w:r>
        <w:rPr>
          <w:rFonts w:hint="eastAsia" w:asciiTheme="minorEastAsia" w:hAnsiTheme="minorEastAsia" w:cstheme="minorEastAsia"/>
          <w:kern w:val="0"/>
          <w:sz w:val="24"/>
          <w:szCs w:val="24"/>
          <w:lang w:val="en-US" w:eastAsia="zh-CN"/>
        </w:rPr>
        <w:t>；</w:t>
      </w:r>
    </w:p>
    <w:p>
      <w:pPr>
        <w:keepNext w:val="0"/>
        <w:keepLines w:val="0"/>
        <w:pageBreakBefore w:val="0"/>
        <w:numPr>
          <w:ilvl w:val="0"/>
          <w:numId w:val="165"/>
        </w:numPr>
        <w:kinsoku/>
        <w:wordWrap/>
        <w:overflowPunct/>
        <w:topLinePunct w:val="0"/>
        <w:bidi w:val="0"/>
        <w:spacing w:line="360" w:lineRule="auto"/>
        <w:ind w:left="425" w:leftChars="0" w:hanging="425"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防尘防水：≥IP54</w:t>
      </w:r>
      <w:r>
        <w:rPr>
          <w:rFonts w:hint="eastAsia" w:asciiTheme="minorEastAsia" w:hAnsiTheme="minorEastAsia" w:cstheme="minorEastAsia"/>
          <w:kern w:val="0"/>
          <w:sz w:val="24"/>
          <w:szCs w:val="24"/>
          <w:lang w:val="en-US" w:eastAsia="zh-CN"/>
        </w:rPr>
        <w:t>；</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空气压缩机</w:t>
      </w:r>
    </w:p>
    <w:p>
      <w:pPr>
        <w:keepNext w:val="0"/>
        <w:keepLines w:val="0"/>
        <w:pageBreakBefore w:val="0"/>
        <w:numPr>
          <w:ilvl w:val="0"/>
          <w:numId w:val="166"/>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充气速度≥100L/min，工作压力≥33MPa；</w:t>
      </w:r>
    </w:p>
    <w:p>
      <w:pPr>
        <w:keepNext w:val="0"/>
        <w:keepLines w:val="0"/>
        <w:pageBreakBefore w:val="0"/>
        <w:numPr>
          <w:ilvl w:val="0"/>
          <w:numId w:val="166"/>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压缩机级数：3缸3级压缩；</w:t>
      </w:r>
    </w:p>
    <w:p>
      <w:pPr>
        <w:keepNext w:val="0"/>
        <w:keepLines w:val="0"/>
        <w:pageBreakBefore w:val="0"/>
        <w:numPr>
          <w:ilvl w:val="0"/>
          <w:numId w:val="166"/>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电机功率：≥3KW；</w:t>
      </w:r>
    </w:p>
    <w:p>
      <w:pPr>
        <w:keepNext w:val="0"/>
        <w:keepLines w:val="0"/>
        <w:pageBreakBefore w:val="0"/>
        <w:numPr>
          <w:ilvl w:val="0"/>
          <w:numId w:val="166"/>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充气接口:1条1.2米凯夫拉材质软性树脂纤维橡胶充气软管，软管带有充气阀、充气阀集开关、放空，压力表于一体；</w:t>
      </w:r>
    </w:p>
    <w:p>
      <w:pPr>
        <w:keepNext w:val="0"/>
        <w:keepLines w:val="0"/>
        <w:pageBreakBefore w:val="0"/>
        <w:numPr>
          <w:ilvl w:val="0"/>
          <w:numId w:val="166"/>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充气泵采用原装进口，具有重量轻,体积小,移动轻便的特点。整机满足连续24小时运转，采用380V三相电源驱动；</w:t>
      </w:r>
    </w:p>
    <w:p>
      <w:pPr>
        <w:keepNext w:val="0"/>
        <w:keepLines w:val="0"/>
        <w:pageBreakBefore w:val="0"/>
        <w:numPr>
          <w:ilvl w:val="0"/>
          <w:numId w:val="166"/>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产出的呼吸空气纯净无异味。</w:t>
      </w:r>
    </w:p>
    <w:p>
      <w:pPr>
        <w:keepNext w:val="0"/>
        <w:keepLines w:val="0"/>
        <w:pageBreakBefore w:val="0"/>
        <w:numPr>
          <w:ilvl w:val="0"/>
          <w:numId w:val="166"/>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油水分离器：级间和末级涡流油水分离器；</w:t>
      </w:r>
    </w:p>
    <w:p>
      <w:pPr>
        <w:keepNext w:val="0"/>
        <w:keepLines w:val="0"/>
        <w:pageBreakBefore w:val="0"/>
        <w:numPr>
          <w:ilvl w:val="0"/>
          <w:numId w:val="166"/>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21过滤器：活性炭分子筛过滤器可重复使用；</w:t>
      </w:r>
    </w:p>
    <w:p>
      <w:pPr>
        <w:keepNext w:val="0"/>
        <w:keepLines w:val="0"/>
        <w:pageBreakBefore w:val="0"/>
        <w:numPr>
          <w:ilvl w:val="0"/>
          <w:numId w:val="166"/>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安全阀：一级、二级和末级安全阀；</w:t>
      </w:r>
    </w:p>
    <w:p>
      <w:pPr>
        <w:keepNext w:val="0"/>
        <w:keepLines w:val="0"/>
        <w:pageBreakBefore w:val="0"/>
        <w:numPr>
          <w:ilvl w:val="0"/>
          <w:numId w:val="166"/>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空气过滤器：10微米纸过滤器；</w:t>
      </w:r>
    </w:p>
    <w:p>
      <w:pPr>
        <w:keepNext w:val="0"/>
        <w:keepLines w:val="0"/>
        <w:pageBreakBefore w:val="0"/>
        <w:numPr>
          <w:ilvl w:val="0"/>
          <w:numId w:val="166"/>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冷却方式：风冷不锈钢级间及末级冷却器；</w:t>
      </w:r>
    </w:p>
    <w:p>
      <w:pPr>
        <w:keepNext w:val="0"/>
        <w:keepLines w:val="0"/>
        <w:pageBreakBefore w:val="0"/>
        <w:numPr>
          <w:ilvl w:val="0"/>
          <w:numId w:val="166"/>
        </w:numPr>
        <w:tabs>
          <w:tab w:val="left" w:pos="1260"/>
          <w:tab w:val="clear" w:pos="420"/>
        </w:tabs>
        <w:kinsoku/>
        <w:wordWrap/>
        <w:overflowPunct/>
        <w:topLinePunct w:val="0"/>
        <w:bidi w:val="0"/>
        <w:spacing w:line="360" w:lineRule="auto"/>
        <w:ind w:left="1260" w:leftChars="0" w:hanging="1260" w:firstLineChars="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出口配备压力维持阀和防止气体回流单向阀；</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警戒器材</w:t>
      </w:r>
    </w:p>
    <w:p>
      <w:pPr>
        <w:keepNext w:val="0"/>
        <w:keepLines w:val="0"/>
        <w:pageBreakBefore w:val="0"/>
        <w:numPr>
          <w:ilvl w:val="0"/>
          <w:numId w:val="167"/>
        </w:numPr>
        <w:kinsoku/>
        <w:wordWrap/>
        <w:overflowPunct/>
        <w:topLinePunct w:val="0"/>
        <w:bidi w:val="0"/>
        <w:spacing w:line="360" w:lineRule="auto"/>
        <w:ind w:left="425" w:leftChars="0" w:hanging="425" w:firstLineChars="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主要用于事故现场警戒时用，使用时固定在警戒杆或其它固定物上。</w:t>
      </w:r>
    </w:p>
    <w:p>
      <w:pPr>
        <w:keepNext w:val="0"/>
        <w:keepLines w:val="0"/>
        <w:pageBreakBefore w:val="0"/>
        <w:numPr>
          <w:ilvl w:val="0"/>
          <w:numId w:val="167"/>
        </w:numPr>
        <w:kinsoku/>
        <w:wordWrap/>
        <w:overflowPunct/>
        <w:topLinePunct w:val="0"/>
        <w:bidi w:val="0"/>
        <w:spacing w:line="360" w:lineRule="auto"/>
        <w:ind w:left="425" w:leftChars="0" w:hanging="425" w:firstLineChars="0"/>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警戒带上面显示“警戒线</w:t>
      </w:r>
      <w:r>
        <w:rPr>
          <w:rFonts w:hint="default" w:ascii="宋体" w:hAnsi="宋体" w:eastAsia="宋体" w:cs="宋体"/>
          <w:b w:val="0"/>
          <w:bCs w:val="0"/>
          <w:kern w:val="0"/>
          <w:sz w:val="24"/>
          <w:szCs w:val="24"/>
          <w:lang w:val="en-US" w:eastAsia="zh-CN"/>
        </w:rPr>
        <w:t>”</w:t>
      </w:r>
      <w:r>
        <w:rPr>
          <w:rFonts w:hint="eastAsia" w:ascii="宋体" w:hAnsi="宋体" w:eastAsia="宋体" w:cs="宋体"/>
          <w:b w:val="0"/>
          <w:bCs w:val="0"/>
          <w:kern w:val="0"/>
          <w:sz w:val="24"/>
          <w:szCs w:val="24"/>
          <w:lang w:val="en-US" w:eastAsia="zh-CN"/>
        </w:rPr>
        <w:t>字。</w:t>
      </w:r>
    </w:p>
    <w:p>
      <w:pPr>
        <w:keepNext w:val="0"/>
        <w:keepLines w:val="0"/>
        <w:pageBreakBefore w:val="0"/>
        <w:numPr>
          <w:ilvl w:val="0"/>
          <w:numId w:val="167"/>
        </w:numPr>
        <w:kinsoku/>
        <w:wordWrap/>
        <w:overflowPunct/>
        <w:topLinePunct w:val="0"/>
        <w:bidi w:val="0"/>
        <w:spacing w:line="360" w:lineRule="auto"/>
        <w:ind w:left="425" w:leftChars="0" w:hanging="425" w:firstLineChars="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50米一卷。</w:t>
      </w:r>
    </w:p>
    <w:p>
      <w:pPr>
        <w:bidi w:val="0"/>
        <w:rPr>
          <w:rFonts w:hint="eastAsia"/>
          <w:b/>
          <w:bCs w:val="0"/>
        </w:rPr>
      </w:pPr>
    </w:p>
    <w:p>
      <w:pPr>
        <w:numPr>
          <w:ilvl w:val="0"/>
          <w:numId w:val="116"/>
        </w:numPr>
        <w:spacing w:line="360" w:lineRule="auto"/>
        <w:ind w:left="425" w:leftChars="0" w:hanging="425" w:firstLineChars="0"/>
        <w:jc w:val="both"/>
        <w:rPr>
          <w:rFonts w:hint="eastAsia" w:asciiTheme="minorEastAsia" w:hAnsiTheme="minorEastAsia" w:eastAsiaTheme="minorEastAsia" w:cstheme="minorEastAsia"/>
          <w:b/>
          <w:bCs w:val="0"/>
          <w:color w:val="000000"/>
          <w:sz w:val="24"/>
          <w:szCs w:val="24"/>
          <w:highlight w:val="none"/>
        </w:rPr>
      </w:pPr>
      <w:r>
        <w:rPr>
          <w:rFonts w:hint="eastAsia" w:asciiTheme="minorEastAsia" w:hAnsiTheme="minorEastAsia" w:eastAsiaTheme="minorEastAsia" w:cstheme="minorEastAsia"/>
          <w:b/>
          <w:bCs w:val="0"/>
          <w:color w:val="000000"/>
          <w:sz w:val="24"/>
          <w:szCs w:val="24"/>
          <w:highlight w:val="none"/>
        </w:rPr>
        <w:t>异型接口</w:t>
      </w:r>
      <w:r>
        <w:rPr>
          <w:rFonts w:hint="eastAsia" w:asciiTheme="minorEastAsia" w:hAnsiTheme="minorEastAsia" w:eastAsiaTheme="minorEastAsia" w:cstheme="minorEastAsia"/>
          <w:b/>
          <w:bCs w:val="0"/>
          <w:color w:val="000000"/>
          <w:sz w:val="24"/>
          <w:szCs w:val="24"/>
          <w:highlight w:val="none"/>
          <w:lang w:eastAsia="zh-CN"/>
        </w:rPr>
        <w:t>：</w:t>
      </w:r>
      <w:r>
        <w:rPr>
          <w:rFonts w:hint="eastAsia" w:ascii="宋体" w:hAnsi="宋体" w:eastAsia="宋体" w:cs="宋体"/>
          <w:i w:val="0"/>
          <w:iCs w:val="0"/>
          <w:color w:val="000000"/>
          <w:kern w:val="0"/>
          <w:sz w:val="24"/>
          <w:szCs w:val="24"/>
          <w:u w:val="none"/>
          <w:lang w:val="en-US" w:eastAsia="zh-CN" w:bidi="ar"/>
        </w:rPr>
        <w:t>65转80、卡口转快速各2</w:t>
      </w:r>
    </w:p>
    <w:p>
      <w:pPr>
        <w:bidi w:val="0"/>
        <w:rPr>
          <w:rFonts w:hint="eastAsia"/>
        </w:rPr>
      </w:pPr>
    </w:p>
    <w:p>
      <w:pPr>
        <w:bidi w:val="0"/>
        <w:rPr>
          <w:rFonts w:hint="eastAsia"/>
        </w:rPr>
      </w:pPr>
    </w:p>
    <w:p>
      <w:pPr>
        <w:jc w:val="center"/>
        <w:rPr>
          <w:rFonts w:cs="Times New Roman" w:asciiTheme="majorEastAsia" w:hAnsiTheme="majorEastAsia"/>
          <w:bCs w:val="0"/>
          <w:sz w:val="30"/>
          <w:szCs w:val="30"/>
          <w:lang w:val="zh-CN"/>
        </w:rPr>
      </w:pPr>
      <w:r>
        <w:rPr>
          <w:rFonts w:hint="eastAsia" w:ascii="Calibri" w:hAnsi="Calibri" w:eastAsia="宋体" w:cs="Times New Roman"/>
          <w:b/>
          <w:color w:val="000000"/>
          <w:highlight w:val="yellow"/>
        </w:rPr>
        <w:t>以上技术要求中加注</w:t>
      </w:r>
      <w:r>
        <w:rPr>
          <w:rFonts w:hint="eastAsia" w:ascii="宋体" w:hAnsi="宋体" w:eastAsia="宋体" w:cs="Times New Roman"/>
          <w:b/>
          <w:color w:val="000000"/>
          <w:highlight w:val="yellow"/>
        </w:rPr>
        <w:t>“＊</w:t>
      </w:r>
      <w:r>
        <w:rPr>
          <w:rFonts w:hint="eastAsia" w:ascii="Calibri" w:hAnsi="Calibri" w:eastAsia="宋体" w:cs="Times New Roman"/>
          <w:b/>
          <w:color w:val="000000"/>
          <w:highlight w:val="yellow"/>
        </w:rPr>
        <w:t>”号标识的为重要技术参数，负偏离时作为评分因素考量。</w:t>
      </w:r>
      <w:bookmarkStart w:id="50" w:name="_Toc495861537"/>
      <w:bookmarkStart w:id="51" w:name="_Toc494561956"/>
    </w:p>
    <w:p>
      <w:pPr>
        <w:rPr>
          <w:rFonts w:cs="Times New Roman" w:asciiTheme="majorEastAsia" w:hAnsiTheme="majorEastAsia"/>
          <w:bCs w:val="0"/>
          <w:sz w:val="30"/>
          <w:szCs w:val="30"/>
          <w:lang w:val="zh-CN"/>
        </w:rPr>
      </w:pPr>
      <w:r>
        <w:rPr>
          <w:rFonts w:hint="eastAsia" w:cs="Times New Roman" w:asciiTheme="majorEastAsia" w:hAnsiTheme="majorEastAsia"/>
          <w:bCs w:val="0"/>
          <w:sz w:val="30"/>
          <w:szCs w:val="30"/>
          <w:lang w:val="zh-CN"/>
        </w:rPr>
        <w:br w:type="page"/>
      </w:r>
    </w:p>
    <w:p>
      <w:pPr>
        <w:pStyle w:val="4"/>
        <w:numPr>
          <w:ilvl w:val="0"/>
          <w:numId w:val="42"/>
        </w:numPr>
        <w:spacing w:before="0" w:after="0" w:line="360" w:lineRule="auto"/>
        <w:ind w:left="616" w:hanging="616"/>
        <w:jc w:val="left"/>
        <w:rPr>
          <w:rFonts w:cs="Times New Roman" w:asciiTheme="majorEastAsia" w:hAnsiTheme="majorEastAsia"/>
          <w:bCs w:val="0"/>
          <w:sz w:val="30"/>
          <w:szCs w:val="30"/>
          <w:lang w:val="zh-CN"/>
        </w:rPr>
      </w:pPr>
      <w:r>
        <w:rPr>
          <w:rFonts w:hint="eastAsia" w:cs="Times New Roman" w:asciiTheme="majorEastAsia" w:hAnsiTheme="majorEastAsia"/>
          <w:bCs w:val="0"/>
          <w:sz w:val="30"/>
          <w:szCs w:val="30"/>
          <w:lang w:val="zh-CN"/>
        </w:rPr>
        <w:t>商务要求</w:t>
      </w:r>
      <w:bookmarkEnd w:id="50"/>
      <w:bookmarkEnd w:id="51"/>
    </w:p>
    <w:p>
      <w:pPr>
        <w:pStyle w:val="45"/>
        <w:numPr>
          <w:ilvl w:val="0"/>
          <w:numId w:val="168"/>
        </w:numPr>
        <w:spacing w:line="360" w:lineRule="auto"/>
        <w:ind w:firstLineChars="0"/>
        <w:rPr>
          <w:sz w:val="24"/>
          <w:highlight w:val="none"/>
        </w:rPr>
      </w:pPr>
      <w:r>
        <w:rPr>
          <w:rFonts w:hint="eastAsia" w:cs="宋体" w:asciiTheme="minorEastAsia" w:hAnsiTheme="minorEastAsia"/>
          <w:b/>
          <w:color w:val="000000"/>
          <w:sz w:val="24"/>
          <w:szCs w:val="24"/>
          <w:highlight w:val="none"/>
        </w:rPr>
        <w:t>交货验收与工期：</w:t>
      </w:r>
      <w:r>
        <w:rPr>
          <w:rFonts w:ascii="宋体" w:hAnsi="宋体" w:eastAsia="宋体" w:cs="Times New Roman"/>
          <w:sz w:val="24"/>
          <w:highlight w:val="none"/>
        </w:rPr>
        <w:t>签定合同后按合同和招标、投标文件约定的要求和标准进行交货验收，交货期为</w:t>
      </w:r>
      <w:r>
        <w:rPr>
          <w:rFonts w:hint="eastAsia" w:ascii="宋体" w:hAnsi="宋体" w:eastAsia="宋体" w:cs="Times New Roman"/>
          <w:sz w:val="24"/>
          <w:highlight w:val="none"/>
          <w:lang w:val="en-US" w:eastAsia="zh-CN"/>
        </w:rPr>
        <w:t>合同签订后接到采购人通知之日起30日内</w:t>
      </w:r>
      <w:r>
        <w:rPr>
          <w:rFonts w:ascii="宋体" w:hAnsi="宋体" w:eastAsia="宋体" w:cs="Times New Roman"/>
          <w:color w:val="000000"/>
          <w:sz w:val="24"/>
          <w:highlight w:val="none"/>
        </w:rPr>
        <w:t>。“交货</w:t>
      </w:r>
      <w:r>
        <w:rPr>
          <w:rFonts w:ascii="宋体" w:hAnsi="宋体" w:eastAsia="宋体" w:cs="Times New Roman"/>
          <w:sz w:val="24"/>
          <w:highlight w:val="none"/>
        </w:rPr>
        <w:t>期”指所有货物运抵现场安装调试完毕后交付用户验收的日期。</w:t>
      </w:r>
    </w:p>
    <w:p>
      <w:pPr>
        <w:pStyle w:val="45"/>
        <w:numPr>
          <w:ilvl w:val="0"/>
          <w:numId w:val="168"/>
        </w:numPr>
        <w:spacing w:line="360" w:lineRule="auto"/>
        <w:ind w:firstLineChars="0"/>
        <w:rPr>
          <w:rFonts w:cs="宋体" w:asciiTheme="minorEastAsia" w:hAnsiTheme="minorEastAsia"/>
          <w:b/>
          <w:color w:val="000000"/>
          <w:sz w:val="24"/>
          <w:szCs w:val="24"/>
          <w:highlight w:val="none"/>
        </w:rPr>
      </w:pPr>
      <w:r>
        <w:rPr>
          <w:rFonts w:hint="eastAsia" w:cs="宋体" w:asciiTheme="minorEastAsia" w:hAnsiTheme="minorEastAsia"/>
          <w:b/>
          <w:color w:val="000000"/>
          <w:sz w:val="24"/>
          <w:szCs w:val="24"/>
          <w:highlight w:val="none"/>
        </w:rPr>
        <w:t>交货地点：</w:t>
      </w:r>
      <w:r>
        <w:rPr>
          <w:rFonts w:hint="eastAsia" w:ascii="宋体" w:hAnsi="宋体" w:eastAsia="宋体" w:cs="Times New Roman"/>
          <w:sz w:val="24"/>
          <w:highlight w:val="none"/>
          <w:lang w:val="en-US" w:eastAsia="zh-CN"/>
        </w:rPr>
        <w:t>黄石新港（物流）工业园区消防大队</w:t>
      </w:r>
      <w:r>
        <w:rPr>
          <w:rFonts w:hint="eastAsia" w:ascii="宋体" w:hAnsi="宋体" w:eastAsia="宋体" w:cs="Times New Roman"/>
          <w:sz w:val="24"/>
          <w:highlight w:val="none"/>
        </w:rPr>
        <w:t>。</w:t>
      </w:r>
    </w:p>
    <w:p>
      <w:pPr>
        <w:pStyle w:val="45"/>
        <w:numPr>
          <w:ilvl w:val="0"/>
          <w:numId w:val="168"/>
        </w:numPr>
        <w:spacing w:line="360" w:lineRule="auto"/>
        <w:ind w:firstLineChars="0"/>
        <w:rPr>
          <w:rFonts w:hint="default" w:cs="宋体" w:asciiTheme="minorEastAsia" w:hAnsiTheme="minorEastAsia"/>
          <w:b w:val="0"/>
          <w:bCs/>
          <w:color w:val="000000"/>
          <w:sz w:val="24"/>
          <w:szCs w:val="24"/>
          <w:highlight w:val="none"/>
          <w:lang w:val="en-US" w:eastAsia="zh-CN"/>
        </w:rPr>
      </w:pPr>
      <w:r>
        <w:rPr>
          <w:rFonts w:hint="eastAsia" w:cs="宋体" w:asciiTheme="minorEastAsia" w:hAnsiTheme="minorEastAsia"/>
          <w:b/>
          <w:color w:val="000000"/>
          <w:sz w:val="24"/>
          <w:szCs w:val="24"/>
          <w:highlight w:val="none"/>
        </w:rPr>
        <w:t>售后服务</w:t>
      </w:r>
      <w:r>
        <w:rPr>
          <w:rFonts w:hint="eastAsia" w:cs="宋体" w:asciiTheme="minorEastAsia" w:hAnsiTheme="minorEastAsia"/>
          <w:b/>
          <w:color w:val="000000"/>
          <w:sz w:val="24"/>
          <w:szCs w:val="24"/>
          <w:highlight w:val="none"/>
          <w:lang w:eastAsia="zh-CN"/>
        </w:rPr>
        <w:t>：</w:t>
      </w:r>
      <w:r>
        <w:rPr>
          <w:rFonts w:hint="eastAsia" w:cs="宋体" w:asciiTheme="minorEastAsia" w:hAnsiTheme="minorEastAsia"/>
          <w:b w:val="0"/>
          <w:bCs/>
          <w:color w:val="000000"/>
          <w:sz w:val="24"/>
          <w:szCs w:val="24"/>
          <w:highlight w:val="none"/>
          <w:lang w:val="en-US" w:eastAsia="zh-CN"/>
        </w:rPr>
        <w:t>在不另行收费的前提下，交货验收后（非使用问题），质保服务3年。</w:t>
      </w:r>
    </w:p>
    <w:p>
      <w:pPr>
        <w:pStyle w:val="45"/>
        <w:numPr>
          <w:ilvl w:val="0"/>
          <w:numId w:val="168"/>
        </w:numPr>
        <w:spacing w:line="360" w:lineRule="auto"/>
        <w:ind w:firstLineChars="0"/>
        <w:rPr>
          <w:rFonts w:cs="宋体" w:asciiTheme="minorEastAsia" w:hAnsiTheme="minorEastAsia"/>
          <w:b w:val="0"/>
          <w:bCs/>
          <w:color w:val="000000"/>
          <w:sz w:val="24"/>
          <w:szCs w:val="24"/>
          <w:highlight w:val="none"/>
        </w:rPr>
      </w:pPr>
      <w:r>
        <w:rPr>
          <w:rFonts w:hint="eastAsia" w:cs="宋体" w:asciiTheme="minorEastAsia" w:hAnsiTheme="minorEastAsia"/>
          <w:b/>
          <w:color w:val="000000"/>
          <w:sz w:val="24"/>
          <w:szCs w:val="24"/>
          <w:highlight w:val="none"/>
        </w:rPr>
        <w:t>付款方式：</w:t>
      </w:r>
      <w:r>
        <w:rPr>
          <w:rFonts w:hint="eastAsia" w:cs="宋体" w:asciiTheme="minorEastAsia" w:hAnsiTheme="minorEastAsia"/>
          <w:b w:val="0"/>
          <w:bCs/>
          <w:color w:val="000000"/>
          <w:sz w:val="24"/>
          <w:szCs w:val="24"/>
          <w:highlight w:val="none"/>
        </w:rPr>
        <w:t>安装调试</w:t>
      </w:r>
      <w:r>
        <w:rPr>
          <w:rFonts w:hint="eastAsia" w:cs="宋体" w:asciiTheme="minorEastAsia" w:hAnsiTheme="minorEastAsia"/>
          <w:b w:val="0"/>
          <w:bCs/>
          <w:color w:val="000000"/>
          <w:sz w:val="24"/>
          <w:szCs w:val="24"/>
          <w:highlight w:val="none"/>
          <w:lang w:val="en-US" w:eastAsia="zh-CN"/>
        </w:rPr>
        <w:t>验收</w:t>
      </w:r>
      <w:r>
        <w:rPr>
          <w:rFonts w:hint="eastAsia" w:cs="宋体" w:asciiTheme="minorEastAsia" w:hAnsiTheme="minorEastAsia"/>
          <w:b w:val="0"/>
          <w:bCs/>
          <w:color w:val="000000"/>
          <w:sz w:val="24"/>
          <w:szCs w:val="24"/>
          <w:highlight w:val="none"/>
        </w:rPr>
        <w:t>合格后</w:t>
      </w:r>
      <w:r>
        <w:rPr>
          <w:rFonts w:hint="eastAsia" w:cs="宋体" w:asciiTheme="minorEastAsia" w:hAnsiTheme="minorEastAsia"/>
          <w:b w:val="0"/>
          <w:bCs/>
          <w:color w:val="000000"/>
          <w:sz w:val="24"/>
          <w:szCs w:val="24"/>
          <w:highlight w:val="none"/>
          <w:lang w:val="en-US" w:eastAsia="zh-CN"/>
        </w:rPr>
        <w:t>付95%，</w:t>
      </w:r>
      <w:r>
        <w:rPr>
          <w:rFonts w:hint="eastAsia" w:cs="宋体" w:asciiTheme="minorEastAsia" w:hAnsiTheme="minorEastAsia"/>
          <w:b w:val="0"/>
          <w:bCs/>
          <w:color w:val="000000"/>
          <w:sz w:val="24"/>
          <w:szCs w:val="24"/>
          <w:highlight w:val="none"/>
        </w:rPr>
        <w:t>质保期满后付</w:t>
      </w:r>
      <w:r>
        <w:rPr>
          <w:rFonts w:hint="eastAsia" w:cs="宋体" w:asciiTheme="minorEastAsia" w:hAnsiTheme="minorEastAsia"/>
          <w:b w:val="0"/>
          <w:bCs/>
          <w:color w:val="000000"/>
          <w:sz w:val="24"/>
          <w:szCs w:val="24"/>
          <w:highlight w:val="none"/>
          <w:lang w:val="en-US" w:eastAsia="zh-CN"/>
        </w:rPr>
        <w:t>5%</w:t>
      </w:r>
      <w:r>
        <w:rPr>
          <w:rFonts w:hint="eastAsia" w:ascii="宋体" w:hAnsi="宋体" w:eastAsia="宋体" w:cs="Times New Roman"/>
          <w:b w:val="0"/>
          <w:bCs/>
          <w:sz w:val="24"/>
          <w:highlight w:val="none"/>
          <w:lang w:eastAsia="zh-CN"/>
        </w:rPr>
        <w:t>。</w:t>
      </w:r>
    </w:p>
    <w:p>
      <w:pPr>
        <w:pStyle w:val="45"/>
        <w:numPr>
          <w:ilvl w:val="0"/>
          <w:numId w:val="168"/>
        </w:numPr>
        <w:spacing w:line="360" w:lineRule="auto"/>
        <w:ind w:firstLineChars="0"/>
        <w:rPr>
          <w:rFonts w:cs="宋体" w:asciiTheme="minorEastAsia" w:hAnsiTheme="minorEastAsia"/>
          <w:b/>
          <w:color w:val="000000"/>
          <w:sz w:val="24"/>
          <w:szCs w:val="24"/>
          <w:highlight w:val="none"/>
        </w:rPr>
      </w:pPr>
      <w:r>
        <w:rPr>
          <w:rFonts w:hint="eastAsia" w:cs="宋体" w:asciiTheme="minorEastAsia" w:hAnsiTheme="minorEastAsia"/>
          <w:b/>
          <w:color w:val="000000"/>
          <w:sz w:val="24"/>
          <w:szCs w:val="24"/>
          <w:highlight w:val="none"/>
        </w:rPr>
        <w:t>其他要求：</w:t>
      </w:r>
    </w:p>
    <w:p>
      <w:pPr>
        <w:widowControl/>
        <w:numPr>
          <w:ilvl w:val="0"/>
          <w:numId w:val="169"/>
        </w:numPr>
        <w:spacing w:line="360" w:lineRule="auto"/>
        <w:ind w:left="425" w:leftChars="0" w:hanging="425"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本项目采购预算控制金额为</w:t>
      </w:r>
      <w:r>
        <w:rPr>
          <w:rFonts w:hint="eastAsia" w:asciiTheme="minorEastAsia" w:hAnsiTheme="minorEastAsia" w:cstheme="minorEastAsia"/>
          <w:color w:val="333333"/>
          <w:sz w:val="24"/>
          <w:szCs w:val="24"/>
          <w:shd w:val="clear" w:fill="FFFFFF"/>
          <w:lang w:val="en-US" w:eastAsia="zh-CN"/>
        </w:rPr>
        <w:t>111.7072</w:t>
      </w:r>
      <w:r>
        <w:rPr>
          <w:rFonts w:hint="eastAsia" w:asciiTheme="minorEastAsia" w:hAnsiTheme="minorEastAsia" w:eastAsiaTheme="minorEastAsia" w:cstheme="minorEastAsia"/>
          <w:sz w:val="24"/>
          <w:szCs w:val="24"/>
        </w:rPr>
        <w:t>万元，超出预算控制金额将导致其投标无效</w:t>
      </w:r>
      <w:r>
        <w:rPr>
          <w:rFonts w:hint="eastAsia" w:asciiTheme="minorEastAsia" w:hAnsiTheme="minorEastAsia" w:cstheme="minorEastAsia"/>
          <w:sz w:val="24"/>
          <w:szCs w:val="24"/>
          <w:lang w:eastAsia="zh-CN"/>
        </w:rPr>
        <w:t>。</w:t>
      </w:r>
    </w:p>
    <w:p>
      <w:pPr>
        <w:widowControl/>
        <w:numPr>
          <w:ilvl w:val="0"/>
          <w:numId w:val="169"/>
        </w:numPr>
        <w:tabs>
          <w:tab w:val="clear" w:pos="420"/>
        </w:tabs>
        <w:spacing w:line="360" w:lineRule="auto"/>
        <w:ind w:left="840" w:leftChars="0" w:hanging="84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投标人</w:t>
      </w:r>
      <w:r>
        <w:rPr>
          <w:rFonts w:hint="eastAsia" w:asciiTheme="minorEastAsia" w:hAnsiTheme="minorEastAsia" w:eastAsiaTheme="minorEastAsia" w:cstheme="minorEastAsia"/>
          <w:sz w:val="24"/>
          <w:szCs w:val="24"/>
          <w:lang w:val="en-US" w:eastAsia="zh-CN"/>
        </w:rPr>
        <w:t>须提供供货能力保障承诺书，承诺所投产品货源渠道正规，并保证按照合同和</w:t>
      </w:r>
      <w:r>
        <w:rPr>
          <w:rFonts w:hint="eastAsia" w:asciiTheme="minorEastAsia" w:hAnsiTheme="minorEastAsia" w:cstheme="minorEastAsia"/>
          <w:sz w:val="24"/>
          <w:szCs w:val="24"/>
          <w:lang w:val="en-US" w:eastAsia="zh-CN"/>
        </w:rPr>
        <w:t>招标文件</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投标</w:t>
      </w:r>
      <w:r>
        <w:rPr>
          <w:rFonts w:hint="eastAsia" w:asciiTheme="minorEastAsia" w:hAnsiTheme="minorEastAsia" w:eastAsiaTheme="minorEastAsia" w:cstheme="minorEastAsia"/>
          <w:sz w:val="24"/>
          <w:szCs w:val="24"/>
          <w:lang w:val="en-US" w:eastAsia="zh-CN"/>
        </w:rPr>
        <w:t>文件约定的要求和标准按时交货，否则自愿放弃中标资格并赔偿因此给采购人造成的损失（未提供承诺书将导致其投标无效）。</w:t>
      </w:r>
    </w:p>
    <w:p>
      <w:pPr>
        <w:widowControl/>
        <w:numPr>
          <w:ilvl w:val="0"/>
          <w:numId w:val="169"/>
        </w:numPr>
        <w:tabs>
          <w:tab w:val="clear" w:pos="420"/>
        </w:tabs>
        <w:spacing w:line="360" w:lineRule="auto"/>
        <w:ind w:left="840" w:leftChars="0" w:hanging="84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本项目开评标时需提供样品（标明</w:t>
      </w:r>
      <w:r>
        <w:rPr>
          <w:rFonts w:hint="eastAsia" w:asciiTheme="minorEastAsia" w:hAnsiTheme="minorEastAsia" w:cstheme="minorEastAsia"/>
          <w:sz w:val="24"/>
          <w:szCs w:val="24"/>
          <w:highlight w:val="none"/>
          <w:lang w:val="en-US" w:eastAsia="zh-CN"/>
        </w:rPr>
        <w:t>投标人</w:t>
      </w:r>
      <w:r>
        <w:rPr>
          <w:rFonts w:hint="eastAsia" w:asciiTheme="minorEastAsia" w:hAnsiTheme="minorEastAsia" w:eastAsiaTheme="minorEastAsia" w:cstheme="minorEastAsia"/>
          <w:sz w:val="24"/>
          <w:szCs w:val="24"/>
          <w:highlight w:val="none"/>
          <w:lang w:val="en-US" w:eastAsia="zh-CN"/>
        </w:rPr>
        <w:t>名称、样品名称）至开标现场，用于评标和验收。专家评完后所有样品由</w:t>
      </w:r>
      <w:r>
        <w:rPr>
          <w:rFonts w:hint="eastAsia" w:asciiTheme="minorEastAsia" w:hAnsiTheme="minorEastAsia" w:cstheme="minorEastAsia"/>
          <w:sz w:val="24"/>
          <w:szCs w:val="24"/>
          <w:highlight w:val="none"/>
          <w:lang w:val="en-US" w:eastAsia="zh-CN"/>
        </w:rPr>
        <w:t>投标人</w:t>
      </w:r>
      <w:r>
        <w:rPr>
          <w:rFonts w:hint="eastAsia" w:asciiTheme="minorEastAsia" w:hAnsiTheme="minorEastAsia" w:eastAsiaTheme="minorEastAsia" w:cstheme="minorEastAsia"/>
          <w:sz w:val="24"/>
          <w:szCs w:val="24"/>
          <w:highlight w:val="none"/>
          <w:lang w:val="en-US" w:eastAsia="zh-CN"/>
        </w:rPr>
        <w:t>送至采购人指定位置封存，</w:t>
      </w:r>
      <w:r>
        <w:rPr>
          <w:rFonts w:hint="eastAsia" w:asciiTheme="minorEastAsia" w:hAnsiTheme="minorEastAsia" w:cstheme="minorEastAsia"/>
          <w:sz w:val="24"/>
          <w:szCs w:val="24"/>
          <w:highlight w:val="none"/>
          <w:lang w:val="en-US" w:eastAsia="zh-CN"/>
        </w:rPr>
        <w:t>中标</w:t>
      </w:r>
      <w:r>
        <w:rPr>
          <w:rFonts w:hint="eastAsia" w:asciiTheme="minorEastAsia" w:hAnsiTheme="minorEastAsia" w:eastAsiaTheme="minorEastAsia" w:cstheme="minorEastAsia"/>
          <w:sz w:val="24"/>
          <w:szCs w:val="24"/>
          <w:highlight w:val="none"/>
          <w:lang w:val="en-US" w:eastAsia="zh-CN"/>
        </w:rPr>
        <w:t>结果公示结束后，</w:t>
      </w:r>
      <w:r>
        <w:rPr>
          <w:rFonts w:hint="eastAsia" w:asciiTheme="minorEastAsia" w:hAnsiTheme="minorEastAsia" w:cstheme="minorEastAsia"/>
          <w:sz w:val="24"/>
          <w:szCs w:val="24"/>
          <w:highlight w:val="none"/>
          <w:lang w:val="en-US" w:eastAsia="zh-CN"/>
        </w:rPr>
        <w:t>中标</w:t>
      </w:r>
      <w:r>
        <w:rPr>
          <w:rFonts w:hint="eastAsia" w:asciiTheme="minorEastAsia" w:hAnsiTheme="minorEastAsia" w:eastAsiaTheme="minorEastAsia" w:cstheme="minorEastAsia"/>
          <w:sz w:val="24"/>
          <w:szCs w:val="24"/>
          <w:highlight w:val="none"/>
          <w:lang w:val="en-US" w:eastAsia="zh-CN"/>
        </w:rPr>
        <w:t>人样品留在采购人处封存，其他样品退还</w:t>
      </w:r>
      <w:r>
        <w:rPr>
          <w:rFonts w:hint="eastAsia" w:asciiTheme="minorEastAsia" w:hAnsiTheme="minorEastAsia" w:cstheme="minorEastAsia"/>
          <w:sz w:val="24"/>
          <w:szCs w:val="24"/>
          <w:highlight w:val="none"/>
          <w:lang w:val="en-US" w:eastAsia="zh-CN"/>
        </w:rPr>
        <w:t>投标人</w:t>
      </w:r>
      <w:r>
        <w:rPr>
          <w:rFonts w:hint="eastAsia" w:asciiTheme="minorEastAsia" w:hAnsiTheme="minorEastAsia" w:eastAsiaTheme="minorEastAsia" w:cstheme="minorEastAsia"/>
          <w:sz w:val="24"/>
          <w:szCs w:val="24"/>
          <w:highlight w:val="none"/>
          <w:lang w:val="en-US" w:eastAsia="zh-CN"/>
        </w:rPr>
        <w:t>（由</w:t>
      </w:r>
      <w:r>
        <w:rPr>
          <w:rFonts w:hint="eastAsia" w:asciiTheme="minorEastAsia" w:hAnsiTheme="minorEastAsia" w:cstheme="minorEastAsia"/>
          <w:sz w:val="24"/>
          <w:szCs w:val="24"/>
          <w:highlight w:val="none"/>
          <w:lang w:val="en-US" w:eastAsia="zh-CN"/>
        </w:rPr>
        <w:t>投标人</w:t>
      </w:r>
      <w:r>
        <w:rPr>
          <w:rFonts w:hint="eastAsia" w:asciiTheme="minorEastAsia" w:hAnsiTheme="minorEastAsia" w:eastAsiaTheme="minorEastAsia" w:cstheme="minorEastAsia"/>
          <w:sz w:val="24"/>
          <w:szCs w:val="24"/>
          <w:highlight w:val="none"/>
          <w:lang w:val="en-US" w:eastAsia="zh-CN"/>
        </w:rPr>
        <w:t>自行取走）（未提供样品将导致其投标无效）。</w:t>
      </w:r>
    </w:p>
    <w:p>
      <w:pPr>
        <w:widowControl/>
        <w:numPr>
          <w:ilvl w:val="0"/>
          <w:numId w:val="169"/>
        </w:numPr>
        <w:tabs>
          <w:tab w:val="clear" w:pos="420"/>
        </w:tabs>
        <w:spacing w:line="360" w:lineRule="auto"/>
        <w:ind w:left="840" w:leftChars="0" w:hanging="84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本文件未列明，而投标人认为必需的费用也需列入投标总报价。在合同实施时，采购人将不予支付中标人没有列入的项目费用，并认为此项目的费用已包含在投标总报价中。</w:t>
      </w:r>
    </w:p>
    <w:p>
      <w:pPr>
        <w:widowControl/>
        <w:numPr>
          <w:ilvl w:val="0"/>
          <w:numId w:val="169"/>
        </w:numPr>
        <w:tabs>
          <w:tab w:val="clear" w:pos="420"/>
        </w:tabs>
        <w:spacing w:line="360" w:lineRule="auto"/>
        <w:ind w:left="840" w:leftChars="0" w:hanging="84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若非采购人原因，中标人逾期提供货物的，中标人向采购人支付逾期违约金，逾期违约金为每延误一天的赔偿费按逾期货物金额的百分之0.1计收（从货款中扣除），直至提供货物为止。误期赔偿费的最高限额为合同价格的百分之3。一旦达到误期赔偿最高限额且仍无法按期提供货物的，采购人有权终止合同。中标人遇不可抗力或国家政策调整等因素导致逾期，可提前与采购人协商解决。</w:t>
      </w:r>
    </w:p>
    <w:p>
      <w:pPr>
        <w:rPr>
          <w:rFonts w:ascii="黑体" w:hAnsi="黑体" w:eastAsia="黑体"/>
        </w:rPr>
      </w:pPr>
      <w:bookmarkStart w:id="52" w:name="_Toc495861538"/>
    </w:p>
    <w:p>
      <w:pPr>
        <w:rPr>
          <w:rFonts w:ascii="黑体" w:hAnsi="黑体" w:eastAsia="黑体"/>
        </w:rPr>
      </w:pPr>
      <w:r>
        <w:rPr>
          <w:rFonts w:hint="eastAsia" w:ascii="黑体" w:hAnsi="黑体" w:eastAsia="黑体"/>
        </w:rPr>
        <w:br w:type="page"/>
      </w:r>
    </w:p>
    <w:p>
      <w:pPr>
        <w:pStyle w:val="3"/>
        <w:numPr>
          <w:ilvl w:val="0"/>
          <w:numId w:val="2"/>
        </w:numPr>
        <w:jc w:val="center"/>
        <w:rPr>
          <w:rFonts w:ascii="黑体" w:hAnsi="黑体" w:eastAsia="黑体"/>
        </w:rPr>
      </w:pPr>
      <w:r>
        <w:rPr>
          <w:rFonts w:hint="eastAsia" w:ascii="黑体" w:hAnsi="黑体" w:eastAsia="黑体"/>
        </w:rPr>
        <w:t>资格审查方法及标准</w:t>
      </w:r>
      <w:bookmarkEnd w:id="52"/>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根据《政府采购法》、《政府采购法实施条例》、《政府采购货物和服务招标投标管理办法》等相关法律法规确定以下资格审查方法及标准。</w:t>
      </w:r>
    </w:p>
    <w:p>
      <w:pPr>
        <w:pStyle w:val="4"/>
        <w:numPr>
          <w:ilvl w:val="0"/>
          <w:numId w:val="170"/>
        </w:numPr>
        <w:spacing w:before="0" w:after="0" w:line="360" w:lineRule="auto"/>
        <w:ind w:left="616" w:hanging="616"/>
        <w:jc w:val="left"/>
        <w:rPr>
          <w:rFonts w:cs="Times New Roman" w:asciiTheme="majorEastAsia" w:hAnsiTheme="majorEastAsia"/>
          <w:bCs w:val="0"/>
          <w:sz w:val="30"/>
          <w:szCs w:val="30"/>
          <w:lang w:val="zh-CN"/>
        </w:rPr>
      </w:pPr>
      <w:bookmarkStart w:id="53" w:name="_Toc494561958"/>
      <w:bookmarkStart w:id="54" w:name="_Toc495861539"/>
      <w:r>
        <w:rPr>
          <w:rFonts w:hint="eastAsia" w:cs="Times New Roman" w:asciiTheme="majorEastAsia" w:hAnsiTheme="majorEastAsia"/>
          <w:bCs w:val="0"/>
          <w:sz w:val="30"/>
          <w:szCs w:val="30"/>
          <w:lang w:val="zh-CN"/>
        </w:rPr>
        <w:t>资格审查方法</w:t>
      </w:r>
      <w:bookmarkEnd w:id="53"/>
      <w:bookmarkEnd w:id="54"/>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公开招标采购项目开标结束后，</w:t>
      </w:r>
      <w:r>
        <w:rPr>
          <w:rFonts w:hint="eastAsia" w:ascii="宋体" w:hAnsi="宋体" w:eastAsia="宋体" w:cs="Times New Roman"/>
          <w:bCs/>
          <w:color w:val="FF0000"/>
          <w:sz w:val="24"/>
          <w:szCs w:val="20"/>
          <w:lang w:val="zh-CN"/>
        </w:rPr>
        <w:t>采购人、采购代理机构</w:t>
      </w:r>
      <w:r>
        <w:rPr>
          <w:rFonts w:hint="eastAsia" w:ascii="宋体" w:hAnsi="宋体" w:eastAsia="宋体" w:cs="Times New Roman"/>
          <w:bCs/>
          <w:color w:val="0D0D0D"/>
          <w:sz w:val="24"/>
          <w:szCs w:val="20"/>
          <w:lang w:val="zh-CN"/>
        </w:rPr>
        <w:t>成立资格审查小组，依据法律、法规及招标文件的规定，对投标人的资格进行审查，以确定投标人资格是否合格。</w:t>
      </w:r>
    </w:p>
    <w:p>
      <w:pPr>
        <w:pStyle w:val="4"/>
        <w:numPr>
          <w:ilvl w:val="0"/>
          <w:numId w:val="170"/>
        </w:numPr>
        <w:spacing w:before="0" w:after="0" w:line="360" w:lineRule="auto"/>
        <w:ind w:left="616" w:hanging="616"/>
        <w:jc w:val="left"/>
        <w:rPr>
          <w:rFonts w:cs="Times New Roman" w:asciiTheme="majorEastAsia" w:hAnsiTheme="majorEastAsia"/>
          <w:bCs w:val="0"/>
          <w:sz w:val="30"/>
          <w:szCs w:val="30"/>
          <w:lang w:val="zh-CN"/>
        </w:rPr>
      </w:pPr>
      <w:bookmarkStart w:id="55" w:name="_Toc495861540"/>
      <w:bookmarkStart w:id="56" w:name="_Toc494561959"/>
      <w:r>
        <w:rPr>
          <w:rFonts w:hint="eastAsia" w:cs="Times New Roman" w:asciiTheme="majorEastAsia" w:hAnsiTheme="majorEastAsia"/>
          <w:bCs w:val="0"/>
          <w:sz w:val="30"/>
          <w:szCs w:val="30"/>
          <w:lang w:val="zh-CN"/>
        </w:rPr>
        <w:t>资格审查标准</w:t>
      </w:r>
      <w:bookmarkEnd w:id="55"/>
      <w:bookmarkEnd w:id="56"/>
    </w:p>
    <w:p>
      <w:pPr>
        <w:numPr>
          <w:ilvl w:val="0"/>
          <w:numId w:val="171"/>
        </w:numPr>
        <w:tabs>
          <w:tab w:val="left" w:pos="616"/>
        </w:tabs>
        <w:spacing w:line="360" w:lineRule="auto"/>
        <w:ind w:left="14" w:firstLine="238"/>
        <w:rPr>
          <w:rFonts w:ascii="宋体" w:hAnsi="宋体" w:eastAsia="宋体" w:cs="Times New Roman"/>
          <w:b/>
          <w:color w:val="0D0D0D"/>
          <w:sz w:val="24"/>
          <w:szCs w:val="24"/>
          <w:lang w:val="zh-CN"/>
        </w:rPr>
      </w:pPr>
      <w:r>
        <w:rPr>
          <w:rFonts w:hint="eastAsia" w:ascii="宋体" w:hAnsi="宋体" w:eastAsia="宋体" w:cs="Times New Roman"/>
          <w:b/>
          <w:color w:val="0D0D0D"/>
          <w:sz w:val="24"/>
          <w:szCs w:val="24"/>
          <w:lang w:val="zh-CN"/>
        </w:rPr>
        <w:t>资格证明文件审查</w:t>
      </w:r>
    </w:p>
    <w:p>
      <w:pPr>
        <w:tabs>
          <w:tab w:val="left" w:pos="616"/>
        </w:tabs>
        <w:spacing w:line="360" w:lineRule="auto"/>
        <w:ind w:firstLine="420"/>
        <w:rPr>
          <w:rFonts w:ascii="Helvetica" w:hAnsi="Helvetica" w:eastAsia="宋体" w:cs="Helvetica"/>
          <w:b/>
          <w:color w:val="0D0D0D"/>
          <w:kern w:val="0"/>
          <w:sz w:val="24"/>
          <w:szCs w:val="24"/>
          <w:lang w:val="zh-CN"/>
        </w:rPr>
      </w:pPr>
      <w:r>
        <w:rPr>
          <w:rFonts w:hint="eastAsia" w:ascii="Helvetica" w:hAnsi="Helvetica" w:eastAsia="宋体" w:cs="Helvetica"/>
          <w:color w:val="0D0D0D"/>
          <w:kern w:val="0"/>
          <w:sz w:val="24"/>
          <w:szCs w:val="24"/>
          <w:lang w:val="zh-CN"/>
        </w:rPr>
        <w:t>所递交的资格证明文件出现不符合下列情形之一或不足以证明其符合下列情形之一的，应视为资格审查不合格，并按照</w:t>
      </w:r>
      <w:r>
        <w:rPr>
          <w:rFonts w:hint="eastAsia" w:ascii="Helvetica" w:hAnsi="Helvetica" w:eastAsia="宋体" w:cs="Helvetica"/>
          <w:b/>
          <w:color w:val="0D0D0D"/>
          <w:kern w:val="0"/>
          <w:sz w:val="24"/>
          <w:szCs w:val="24"/>
          <w:lang w:val="zh-CN"/>
        </w:rPr>
        <w:t>无效投标处理：</w:t>
      </w:r>
    </w:p>
    <w:p>
      <w:pPr>
        <w:pStyle w:val="34"/>
        <w:numPr>
          <w:ilvl w:val="0"/>
          <w:numId w:val="172"/>
        </w:numPr>
        <w:tabs>
          <w:tab w:val="left" w:pos="840"/>
        </w:tabs>
        <w:spacing w:line="360" w:lineRule="auto"/>
        <w:ind w:hanging="602"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应具备《政府采购法》第二十二条第一款规定的条件，</w:t>
      </w:r>
      <w:r>
        <w:rPr>
          <w:rFonts w:hint="eastAsia" w:hAnsi="宋体"/>
          <w:sz w:val="24"/>
          <w:szCs w:val="24"/>
          <w:highlight w:val="none"/>
        </w:rPr>
        <w:t>提供下列材料</w:t>
      </w:r>
      <w:r>
        <w:rPr>
          <w:rFonts w:hint="eastAsia" w:ascii="宋体" w:hAnsi="宋体" w:eastAsia="宋体" w:cs="Times New Roman"/>
          <w:sz w:val="24"/>
          <w:szCs w:val="24"/>
          <w:highlight w:val="none"/>
          <w:lang w:val="zh-CN"/>
        </w:rPr>
        <w:t>：</w:t>
      </w:r>
    </w:p>
    <w:p>
      <w:pPr>
        <w:pStyle w:val="34"/>
        <w:numPr>
          <w:ilvl w:val="0"/>
          <w:numId w:val="173"/>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法人或者其他组织的营业执照等证明文件，自然人的身份证明；</w:t>
      </w:r>
    </w:p>
    <w:p>
      <w:pPr>
        <w:pStyle w:val="34"/>
        <w:numPr>
          <w:ilvl w:val="0"/>
          <w:numId w:val="173"/>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Theme="minorEastAsia" w:hAnsiTheme="minorEastAsia" w:cstheme="minorEastAsia"/>
          <w:sz w:val="24"/>
          <w:szCs w:val="24"/>
          <w:highlight w:val="none"/>
        </w:rPr>
        <w:t>20</w:t>
      </w:r>
      <w:r>
        <w:rPr>
          <w:rFonts w:hint="eastAsia" w:asciiTheme="minorEastAsia" w:hAnsiTheme="minorEastAsia" w:cstheme="minorEastAsia"/>
          <w:sz w:val="24"/>
          <w:szCs w:val="24"/>
          <w:highlight w:val="none"/>
          <w:lang w:val="en-US" w:eastAsia="zh-CN"/>
        </w:rPr>
        <w:t>20</w:t>
      </w:r>
      <w:r>
        <w:rPr>
          <w:rFonts w:hint="eastAsia" w:asciiTheme="minorEastAsia" w:hAnsiTheme="minorEastAsia" w:cstheme="minorEastAsia"/>
          <w:sz w:val="24"/>
          <w:szCs w:val="24"/>
          <w:highlight w:val="none"/>
        </w:rPr>
        <w:t>年度经审计的财务报告</w:t>
      </w:r>
      <w:r>
        <w:rPr>
          <w:rFonts w:hint="eastAsia" w:ascii="宋体" w:hAnsi="宋体"/>
          <w:color w:val="000000"/>
          <w:sz w:val="24"/>
          <w:szCs w:val="24"/>
          <w:highlight w:val="none"/>
          <w:lang w:val="zh-CN"/>
        </w:rPr>
        <w:t>，</w:t>
      </w:r>
      <w:r>
        <w:rPr>
          <w:rFonts w:hint="eastAsia" w:ascii="宋体" w:hAnsi="宋体" w:eastAsia="宋体" w:cs="Times New Roman"/>
          <w:sz w:val="24"/>
          <w:szCs w:val="24"/>
          <w:highlight w:val="none"/>
          <w:lang w:val="zh-CN"/>
        </w:rPr>
        <w:t>近六个月（20</w:t>
      </w:r>
      <w:r>
        <w:rPr>
          <w:rFonts w:hint="eastAsia" w:ascii="宋体" w:hAnsi="宋体" w:eastAsia="宋体" w:cs="Times New Roman"/>
          <w:sz w:val="24"/>
          <w:szCs w:val="24"/>
          <w:highlight w:val="none"/>
          <w:lang w:val="en-US" w:eastAsia="zh-CN"/>
        </w:rPr>
        <w:t>21</w:t>
      </w:r>
      <w:r>
        <w:rPr>
          <w:rFonts w:hint="eastAsia" w:ascii="宋体" w:hAnsi="宋体" w:eastAsia="宋体" w:cs="Times New Roman"/>
          <w:sz w:val="24"/>
          <w:szCs w:val="24"/>
          <w:highlight w:val="none"/>
          <w:lang w:val="zh-CN"/>
        </w:rPr>
        <w:t>年</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val="zh-CN"/>
        </w:rPr>
        <w:t>月~</w:t>
      </w:r>
      <w:r>
        <w:rPr>
          <w:rFonts w:hint="eastAsia" w:ascii="宋体" w:hAnsi="宋体" w:eastAsia="宋体" w:cs="Times New Roman"/>
          <w:sz w:val="24"/>
          <w:szCs w:val="24"/>
          <w:highlight w:val="none"/>
          <w:lang w:val="en-US" w:eastAsia="zh-CN"/>
        </w:rPr>
        <w:t>11</w:t>
      </w:r>
      <w:r>
        <w:rPr>
          <w:rFonts w:hint="eastAsia" w:ascii="宋体" w:hAnsi="宋体" w:eastAsia="宋体" w:cs="Times New Roman"/>
          <w:sz w:val="24"/>
          <w:szCs w:val="24"/>
          <w:highlight w:val="none"/>
          <w:lang w:val="zh-CN"/>
        </w:rPr>
        <w:t>月）中任意一个月</w:t>
      </w:r>
      <w:r>
        <w:rPr>
          <w:rFonts w:hint="eastAsia" w:ascii="宋体" w:hAnsi="宋体"/>
          <w:color w:val="000000"/>
          <w:sz w:val="24"/>
          <w:szCs w:val="24"/>
          <w:highlight w:val="none"/>
          <w:lang w:val="zh-CN"/>
        </w:rPr>
        <w:t>依法缴纳税收和社会保障资金的相关材料；</w:t>
      </w:r>
    </w:p>
    <w:p>
      <w:pPr>
        <w:pStyle w:val="34"/>
        <w:numPr>
          <w:ilvl w:val="0"/>
          <w:numId w:val="173"/>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具备履行合同所必需的设备和专业技术能力的证明材料；</w:t>
      </w:r>
    </w:p>
    <w:p>
      <w:pPr>
        <w:pStyle w:val="34"/>
        <w:numPr>
          <w:ilvl w:val="0"/>
          <w:numId w:val="173"/>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参加政府采购活动前3年内在经营活动中没有重大违法记录的书面声明；</w:t>
      </w:r>
    </w:p>
    <w:p>
      <w:pPr>
        <w:pStyle w:val="34"/>
        <w:numPr>
          <w:ilvl w:val="0"/>
          <w:numId w:val="173"/>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具备法律、行政法规规定的其他条件的证明材料。</w:t>
      </w:r>
    </w:p>
    <w:p>
      <w:pPr>
        <w:pStyle w:val="34"/>
        <w:numPr>
          <w:ilvl w:val="0"/>
          <w:numId w:val="172"/>
        </w:numPr>
        <w:tabs>
          <w:tab w:val="left" w:pos="840"/>
        </w:tabs>
        <w:spacing w:line="360" w:lineRule="auto"/>
        <w:ind w:hanging="602"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rPr>
        <w:t>未被列入“信用中国”网站(www.creditchina.gov.cn)失信被执行人、重大税收违法案件当事人和“中国政府采购”网站（www.ccgp.gov.cn）政府采购严重违法失信行为记录名单的网页</w:t>
      </w:r>
      <w:r>
        <w:rPr>
          <w:rFonts w:hint="eastAsia" w:ascii="宋体" w:hAnsi="宋体" w:eastAsia="宋体" w:cs="Times New Roman"/>
          <w:sz w:val="24"/>
          <w:szCs w:val="24"/>
          <w:highlight w:val="none"/>
          <w:lang w:val="en-US" w:eastAsia="zh-CN"/>
        </w:rPr>
        <w:t>查询</w:t>
      </w:r>
      <w:r>
        <w:rPr>
          <w:rFonts w:hint="eastAsia" w:ascii="宋体" w:hAnsi="宋体" w:eastAsia="宋体" w:cs="Times New Roman"/>
          <w:sz w:val="24"/>
          <w:szCs w:val="24"/>
          <w:highlight w:val="none"/>
        </w:rPr>
        <w:t>截图。</w:t>
      </w:r>
    </w:p>
    <w:p>
      <w:pPr>
        <w:pStyle w:val="34"/>
        <w:numPr>
          <w:ilvl w:val="0"/>
          <w:numId w:val="172"/>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招标文件第一章“投标人资格要求”中有特殊要求的，投标人应提供其符合特殊要求的证明材料或者情况说明；</w:t>
      </w:r>
    </w:p>
    <w:p>
      <w:pPr>
        <w:pStyle w:val="34"/>
        <w:numPr>
          <w:ilvl w:val="0"/>
          <w:numId w:val="172"/>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不符合联合体投标相关规定和要求的；</w:t>
      </w:r>
    </w:p>
    <w:p>
      <w:pPr>
        <w:pStyle w:val="34"/>
        <w:numPr>
          <w:ilvl w:val="0"/>
          <w:numId w:val="172"/>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投标人认为需提供的其它相关资格证明材料；</w:t>
      </w:r>
    </w:p>
    <w:p>
      <w:pPr>
        <w:pStyle w:val="34"/>
        <w:numPr>
          <w:ilvl w:val="0"/>
          <w:numId w:val="172"/>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资格证明文件正本应为清晰彩色影印件且加盖单位公章。</w:t>
      </w:r>
    </w:p>
    <w:p>
      <w:pPr>
        <w:numPr>
          <w:ilvl w:val="0"/>
          <w:numId w:val="171"/>
        </w:numPr>
        <w:tabs>
          <w:tab w:val="left" w:pos="616"/>
        </w:tabs>
        <w:spacing w:line="360" w:lineRule="auto"/>
        <w:ind w:left="14" w:firstLine="238"/>
        <w:rPr>
          <w:rFonts w:ascii="宋体" w:hAnsi="宋体" w:eastAsia="宋体" w:cs="Times New Roman"/>
          <w:b/>
          <w:sz w:val="24"/>
          <w:szCs w:val="24"/>
          <w:lang w:val="zh-CN"/>
        </w:rPr>
      </w:pPr>
      <w:r>
        <w:rPr>
          <w:rFonts w:hint="eastAsia" w:ascii="宋体" w:hAnsi="宋体" w:eastAsia="宋体" w:cs="Times New Roman"/>
          <w:b/>
          <w:sz w:val="24"/>
          <w:szCs w:val="24"/>
          <w:lang w:val="zh-CN"/>
        </w:rPr>
        <w:t>确定资格审查合格投标人</w:t>
      </w:r>
    </w:p>
    <w:p>
      <w:pPr>
        <w:pStyle w:val="34"/>
        <w:numPr>
          <w:ilvl w:val="0"/>
          <w:numId w:val="17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sz w:val="24"/>
          <w:szCs w:val="24"/>
          <w:lang w:val="zh-CN"/>
        </w:rPr>
        <w:t>形成书面的资格审查报告。</w:t>
      </w:r>
    </w:p>
    <w:p>
      <w:pPr>
        <w:pStyle w:val="34"/>
        <w:numPr>
          <w:ilvl w:val="0"/>
          <w:numId w:val="17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资格审查合格投标人不足3家的，不进行评标。</w:t>
      </w:r>
    </w:p>
    <w:p>
      <w:pPr>
        <w:pStyle w:val="34"/>
        <w:numPr>
          <w:ilvl w:val="0"/>
          <w:numId w:val="17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资格审查未通过的投标人可在结果公告质疑有效期内按公告中的联系方式获知</w:t>
      </w:r>
      <w:r>
        <w:rPr>
          <w:rFonts w:ascii="宋体" w:hAnsi="宋体" w:eastAsia="宋体" w:cs="Times New Roman"/>
          <w:sz w:val="24"/>
          <w:szCs w:val="24"/>
          <w:lang w:val="zh-CN"/>
        </w:rPr>
        <w:t>本</w:t>
      </w:r>
      <w:r>
        <w:rPr>
          <w:rFonts w:hint="eastAsia" w:ascii="宋体" w:hAnsi="宋体" w:eastAsia="宋体" w:cs="Times New Roman"/>
          <w:sz w:val="24"/>
          <w:szCs w:val="24"/>
          <w:lang w:val="zh-CN"/>
        </w:rPr>
        <w:t>单位</w:t>
      </w:r>
      <w:r>
        <w:rPr>
          <w:rFonts w:ascii="宋体" w:hAnsi="宋体" w:eastAsia="宋体" w:cs="Times New Roman"/>
          <w:sz w:val="24"/>
          <w:szCs w:val="24"/>
          <w:lang w:val="zh-CN"/>
        </w:rPr>
        <w:t>的</w:t>
      </w:r>
      <w:r>
        <w:rPr>
          <w:rFonts w:hint="eastAsia" w:ascii="宋体" w:hAnsi="宋体" w:eastAsia="宋体" w:cs="Times New Roman"/>
          <w:sz w:val="24"/>
          <w:szCs w:val="24"/>
          <w:lang w:val="zh-CN"/>
        </w:rPr>
        <w:t>资格审查情况。</w:t>
      </w:r>
    </w:p>
    <w:p>
      <w:pPr>
        <w:pStyle w:val="34"/>
        <w:numPr>
          <w:ilvl w:val="0"/>
          <w:numId w:val="17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采购人已进行资格预审的，不再进行资格审查。未通过资格预审的投标人，采购人、采购代理机构</w:t>
      </w:r>
      <w:r>
        <w:rPr>
          <w:rFonts w:hint="eastAsia" w:ascii="宋体" w:hAnsi="宋体" w:eastAsia="宋体" w:cs="Times New Roman"/>
          <w:b/>
          <w:sz w:val="24"/>
          <w:szCs w:val="24"/>
          <w:lang w:val="zh-CN"/>
        </w:rPr>
        <w:t>拒绝</w:t>
      </w:r>
      <w:r>
        <w:rPr>
          <w:rFonts w:hint="eastAsia" w:ascii="宋体" w:hAnsi="宋体" w:eastAsia="宋体" w:cs="Times New Roman"/>
          <w:sz w:val="24"/>
          <w:szCs w:val="24"/>
          <w:lang w:val="zh-CN"/>
        </w:rPr>
        <w:t>其投标。</w:t>
      </w:r>
    </w:p>
    <w:p>
      <w:r>
        <w:br w:type="page"/>
      </w:r>
    </w:p>
    <w:p>
      <w:pPr>
        <w:pStyle w:val="3"/>
        <w:numPr>
          <w:ilvl w:val="0"/>
          <w:numId w:val="2"/>
        </w:numPr>
        <w:jc w:val="center"/>
        <w:rPr>
          <w:rFonts w:ascii="黑体" w:hAnsi="黑体" w:eastAsia="黑体"/>
        </w:rPr>
      </w:pPr>
      <w:bookmarkStart w:id="57" w:name="_Toc495861541"/>
      <w:r>
        <w:rPr>
          <w:rFonts w:hint="eastAsia" w:ascii="黑体" w:hAnsi="黑体" w:eastAsia="黑体"/>
        </w:rPr>
        <w:t>评标方法、程序及标准</w:t>
      </w:r>
      <w:bookmarkEnd w:id="57"/>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根据《政府采购法》、《政府采购法实施条例》、《政府采购货物和服务招标投标管理办法》等相关法律法规确定以下评标办法、程序及标准。</w:t>
      </w:r>
    </w:p>
    <w:p>
      <w:pPr>
        <w:pStyle w:val="4"/>
        <w:numPr>
          <w:ilvl w:val="0"/>
          <w:numId w:val="175"/>
        </w:numPr>
        <w:spacing w:before="0" w:after="0" w:line="360" w:lineRule="auto"/>
        <w:ind w:left="616" w:hanging="616"/>
        <w:jc w:val="left"/>
        <w:rPr>
          <w:rFonts w:cs="Times New Roman" w:asciiTheme="majorEastAsia" w:hAnsiTheme="majorEastAsia"/>
          <w:bCs w:val="0"/>
          <w:sz w:val="30"/>
          <w:szCs w:val="30"/>
          <w:lang w:val="zh-CN"/>
        </w:rPr>
      </w:pPr>
      <w:bookmarkStart w:id="58" w:name="_Toc272247708"/>
      <w:bookmarkStart w:id="59" w:name="_Toc278891605"/>
      <w:bookmarkStart w:id="60" w:name="_Toc495861542"/>
      <w:bookmarkStart w:id="61" w:name="_Toc494561961"/>
      <w:r>
        <w:rPr>
          <w:rFonts w:hint="eastAsia" w:cs="Times New Roman" w:asciiTheme="majorEastAsia" w:hAnsiTheme="majorEastAsia"/>
          <w:bCs w:val="0"/>
          <w:sz w:val="30"/>
          <w:szCs w:val="30"/>
          <w:lang w:val="zh-CN"/>
        </w:rPr>
        <w:t>评标</w:t>
      </w:r>
      <w:bookmarkEnd w:id="58"/>
      <w:bookmarkEnd w:id="59"/>
      <w:r>
        <w:rPr>
          <w:rFonts w:hint="eastAsia" w:cs="Times New Roman" w:asciiTheme="majorEastAsia" w:hAnsiTheme="majorEastAsia"/>
          <w:bCs w:val="0"/>
          <w:sz w:val="30"/>
          <w:szCs w:val="30"/>
          <w:lang w:val="zh-CN"/>
        </w:rPr>
        <w:t>方法</w:t>
      </w:r>
      <w:bookmarkEnd w:id="60"/>
      <w:bookmarkEnd w:id="61"/>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本项目评标采用综合评分法，</w:t>
      </w:r>
      <w:r>
        <w:rPr>
          <w:rFonts w:ascii="宋体" w:hAnsi="宋体" w:eastAsia="宋体" w:cs="Times New Roman"/>
          <w:bCs/>
          <w:sz w:val="24"/>
          <w:szCs w:val="20"/>
          <w:lang w:val="zh-CN"/>
        </w:rPr>
        <w:t>是指投标文件满足招标文件全部实质性要求，且按照评审因素的量化指标评审得分最高的投标人为中标候选人的评标方法。</w:t>
      </w:r>
    </w:p>
    <w:p>
      <w:pPr>
        <w:pStyle w:val="4"/>
        <w:numPr>
          <w:ilvl w:val="0"/>
          <w:numId w:val="175"/>
        </w:numPr>
        <w:spacing w:before="0" w:after="0" w:line="360" w:lineRule="auto"/>
        <w:ind w:left="616" w:hanging="616"/>
        <w:jc w:val="left"/>
        <w:rPr>
          <w:rFonts w:cs="Times New Roman" w:asciiTheme="majorEastAsia" w:hAnsiTheme="majorEastAsia"/>
          <w:bCs w:val="0"/>
          <w:sz w:val="30"/>
          <w:szCs w:val="30"/>
          <w:lang w:val="zh-CN"/>
        </w:rPr>
      </w:pPr>
      <w:bookmarkStart w:id="62" w:name="_Toc278891606"/>
      <w:bookmarkStart w:id="63" w:name="_Toc272247709"/>
      <w:bookmarkStart w:id="64" w:name="_Toc495861543"/>
      <w:bookmarkStart w:id="65" w:name="_Toc494561962"/>
      <w:r>
        <w:rPr>
          <w:rFonts w:hint="eastAsia" w:cs="Times New Roman" w:asciiTheme="majorEastAsia" w:hAnsiTheme="majorEastAsia"/>
          <w:bCs w:val="0"/>
          <w:sz w:val="30"/>
          <w:szCs w:val="30"/>
          <w:lang w:val="zh-CN"/>
        </w:rPr>
        <w:t>评标程序</w:t>
      </w:r>
      <w:bookmarkEnd w:id="62"/>
      <w:bookmarkEnd w:id="63"/>
      <w:r>
        <w:rPr>
          <w:rFonts w:hint="eastAsia" w:cs="Times New Roman" w:asciiTheme="majorEastAsia" w:hAnsiTheme="majorEastAsia"/>
          <w:bCs w:val="0"/>
          <w:sz w:val="30"/>
          <w:szCs w:val="30"/>
          <w:lang w:val="zh-CN"/>
        </w:rPr>
        <w:t>及标准</w:t>
      </w:r>
      <w:bookmarkEnd w:id="64"/>
      <w:bookmarkEnd w:id="65"/>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评标委员会按以下工作程序进行评标：</w:t>
      </w:r>
      <w:r>
        <w:rPr>
          <w:rFonts w:hint="eastAsia" w:ascii="宋体" w:hAnsi="宋体" w:eastAsia="宋体" w:cs="Times New Roman"/>
          <w:sz w:val="24"/>
          <w:szCs w:val="20"/>
          <w:lang w:val="zh-CN"/>
        </w:rPr>
        <w:t>符合性审查、澄清有关问题、综合比较和评价、确定中标候选人名单。</w:t>
      </w:r>
    </w:p>
    <w:p>
      <w:pPr>
        <w:numPr>
          <w:ilvl w:val="0"/>
          <w:numId w:val="176"/>
        </w:numPr>
        <w:ind w:left="1311" w:leftChars="154" w:hanging="988"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spacing w:line="360" w:lineRule="auto"/>
        <w:ind w:firstLine="470" w:firstLineChars="196"/>
        <w:rPr>
          <w:rFonts w:ascii="宋体" w:hAnsi="宋体" w:eastAsia="宋体" w:cs="Times New Roman"/>
          <w:bCs/>
          <w:sz w:val="24"/>
          <w:szCs w:val="20"/>
          <w:lang w:val="zh-CN"/>
        </w:rPr>
      </w:pPr>
      <w:r>
        <w:rPr>
          <w:rFonts w:ascii="Helvetica" w:hAnsi="Helvetica" w:eastAsia="宋体" w:cs="Helvetica"/>
          <w:kern w:val="0"/>
          <w:sz w:val="24"/>
          <w:szCs w:val="24"/>
          <w:lang w:val="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rPr>
        <w:t>符合性审查出现下列情形之一的投标按照</w:t>
      </w:r>
      <w:r>
        <w:rPr>
          <w:rFonts w:hint="eastAsia" w:ascii="宋体" w:hAnsi="宋体" w:eastAsia="宋体" w:cs="Times New Roman"/>
          <w:b/>
          <w:bCs/>
          <w:sz w:val="24"/>
          <w:szCs w:val="20"/>
          <w:lang w:val="zh-CN"/>
        </w:rPr>
        <w:t>无效投标处理</w:t>
      </w:r>
      <w:r>
        <w:rPr>
          <w:rFonts w:hint="eastAsia" w:ascii="宋体" w:hAnsi="宋体" w:eastAsia="宋体" w:cs="Times New Roman"/>
          <w:bCs/>
          <w:sz w:val="24"/>
          <w:szCs w:val="20"/>
          <w:lang w:val="zh-CN"/>
        </w:rPr>
        <w:t>：</w:t>
      </w:r>
    </w:p>
    <w:p>
      <w:pPr>
        <w:numPr>
          <w:ilvl w:val="0"/>
          <w:numId w:val="17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17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《投标书》、《法定代表人授权书》、《开标一览表》、《投标报价明细表》未提供或不符合招标文件要求的；</w:t>
      </w:r>
    </w:p>
    <w:p>
      <w:pPr>
        <w:numPr>
          <w:ilvl w:val="0"/>
          <w:numId w:val="17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17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投标保证金的交纳不符合招标文件要求的；</w:t>
      </w:r>
    </w:p>
    <w:p>
      <w:pPr>
        <w:numPr>
          <w:ilvl w:val="0"/>
          <w:numId w:val="17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17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17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17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17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w:t>
      </w:r>
    </w:p>
    <w:p>
      <w:pPr>
        <w:numPr>
          <w:ilvl w:val="0"/>
          <w:numId w:val="177"/>
        </w:numPr>
        <w:tabs>
          <w:tab w:val="left" w:pos="75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177"/>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符合招标文件第二章“投标人须知”中40条中规定情形，以分公司形式参与投标的，法定代表人授权书未由总公司法定代表人签字（盖章）并加盖公章的；</w:t>
      </w:r>
    </w:p>
    <w:p>
      <w:pPr>
        <w:numPr>
          <w:ilvl w:val="0"/>
          <w:numId w:val="177"/>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未按要求提供招标文件第二章“十一 其他注意事项”中规定的书面声明的；</w:t>
      </w:r>
    </w:p>
    <w:p>
      <w:pPr>
        <w:numPr>
          <w:ilvl w:val="0"/>
          <w:numId w:val="177"/>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177"/>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所投货物是通过中国海关报关验放进入中国境内且产自关境外的（招标文件中注明已办理进口产品核准的除外）；</w:t>
      </w:r>
    </w:p>
    <w:p>
      <w:pPr>
        <w:numPr>
          <w:ilvl w:val="0"/>
          <w:numId w:val="177"/>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未提供所投货物（工程或服务）的具体参数值或功能表述，或原文复制招标文件的技术规格相关部分内容作为其投标文件的一部分的；</w:t>
      </w:r>
    </w:p>
    <w:p>
      <w:pPr>
        <w:numPr>
          <w:ilvl w:val="0"/>
          <w:numId w:val="177"/>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不满足招标文件第三章“项目技术、服务和商务要求”中“★”号条款要求的；</w:t>
      </w:r>
    </w:p>
    <w:p>
      <w:pPr>
        <w:numPr>
          <w:ilvl w:val="0"/>
          <w:numId w:val="177"/>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含有采购人不能接受的附加条件的</w:t>
      </w:r>
      <w:r>
        <w:rPr>
          <w:rFonts w:hint="eastAsia" w:ascii="Times New Roman" w:hAnsi="宋体" w:eastAsia="宋体" w:cs="Times New Roman"/>
          <w:sz w:val="24"/>
          <w:szCs w:val="24"/>
          <w:lang w:val="zh-CN"/>
        </w:rPr>
        <w:t>；</w:t>
      </w:r>
    </w:p>
    <w:p>
      <w:pPr>
        <w:numPr>
          <w:ilvl w:val="0"/>
          <w:numId w:val="177"/>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177"/>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numPr>
          <w:ilvl w:val="0"/>
          <w:numId w:val="176"/>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numPr>
          <w:ilvl w:val="0"/>
          <w:numId w:val="178"/>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评标期间，</w:t>
      </w:r>
      <w:r>
        <w:rPr>
          <w:rFonts w:ascii="Helvetica" w:hAnsi="Helvetica" w:eastAsia="宋体"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178"/>
        </w:numPr>
        <w:tabs>
          <w:tab w:val="left" w:pos="616"/>
        </w:tabs>
        <w:spacing w:line="360" w:lineRule="auto"/>
        <w:ind w:left="10" w:leftChars="5" w:firstLine="237" w:firstLineChars="99"/>
        <w:rPr>
          <w:rFonts w:ascii="宋体" w:hAnsi="宋体" w:eastAsia="宋体" w:cs="Times New Roman"/>
          <w:bCs/>
          <w:strike/>
          <w:sz w:val="24"/>
          <w:szCs w:val="20"/>
          <w:lang w:val="zh-CN"/>
        </w:rPr>
      </w:pPr>
      <w:r>
        <w:rPr>
          <w:rFonts w:hint="eastAsia" w:ascii="宋体" w:hAnsi="宋体" w:eastAsia="宋体" w:cs="Times New Roman"/>
          <w:bCs/>
          <w:sz w:val="24"/>
          <w:szCs w:val="20"/>
          <w:lang w:val="zh-CN"/>
        </w:rPr>
        <w:t>投标人应按照评标委员会要求的澄清内容在规定时间内做出澄清。</w:t>
      </w:r>
      <w:r>
        <w:rPr>
          <w:rFonts w:ascii="宋体" w:hAnsi="宋体" w:eastAsia="宋体" w:cs="Times New Roman"/>
          <w:sz w:val="24"/>
          <w:szCs w:val="20"/>
          <w:lang w:val="zh-CN"/>
        </w:rPr>
        <w:t>投标文件报价出现前后不一致的</w:t>
      </w:r>
      <w:r>
        <w:rPr>
          <w:rFonts w:hint="eastAsia" w:ascii="宋体" w:hAnsi="宋体" w:eastAsia="宋体" w:cs="Times New Roman"/>
          <w:sz w:val="24"/>
          <w:szCs w:val="20"/>
          <w:lang w:val="zh-CN"/>
        </w:rPr>
        <w:t>，按照本节第3</w:t>
      </w:r>
      <w:r>
        <w:rPr>
          <w:rFonts w:hint="eastAsia" w:ascii="宋体" w:hAnsi="宋体" w:eastAsia="宋体" w:cs="Times New Roman"/>
          <w:bCs/>
          <w:sz w:val="24"/>
          <w:szCs w:val="20"/>
          <w:lang w:val="zh-CN"/>
        </w:rPr>
        <w:t>条规定进行修正，</w:t>
      </w:r>
      <w:r>
        <w:rPr>
          <w:rFonts w:ascii="Helvetica" w:hAnsi="Helvetica" w:eastAsia="宋体" w:cs="Helvetica"/>
          <w:kern w:val="0"/>
          <w:sz w:val="24"/>
          <w:szCs w:val="24"/>
          <w:lang w:val="zh-CN"/>
        </w:rPr>
        <w:t>投标人的澄清、说明或者补正不得超出投标文件的范围或者改变投标文件的实质性内容。</w:t>
      </w:r>
    </w:p>
    <w:p>
      <w:pPr>
        <w:numPr>
          <w:ilvl w:val="0"/>
          <w:numId w:val="178"/>
        </w:numPr>
        <w:tabs>
          <w:tab w:val="left" w:pos="616"/>
        </w:tabs>
        <w:spacing w:line="360" w:lineRule="auto"/>
        <w:ind w:left="10" w:leftChars="5" w:firstLine="237" w:firstLineChars="99"/>
        <w:rPr>
          <w:rFonts w:ascii="宋体" w:hAnsi="宋体" w:eastAsia="宋体" w:cs="Times New Roman"/>
          <w:bCs/>
          <w:sz w:val="24"/>
          <w:szCs w:val="20"/>
          <w:lang w:val="zh-CN"/>
        </w:rPr>
      </w:pPr>
      <w:r>
        <w:rPr>
          <w:rFonts w:ascii="宋体" w:hAnsi="宋体" w:eastAsia="宋体" w:cs="Times New Roman"/>
          <w:bCs/>
          <w:sz w:val="24"/>
          <w:szCs w:val="20"/>
          <w:lang w:val="zh-CN"/>
        </w:rPr>
        <w:t>投标文件报价出现前后不一致的，按照下列规定修正：</w:t>
      </w:r>
    </w:p>
    <w:p>
      <w:pPr>
        <w:numPr>
          <w:ilvl w:val="0"/>
          <w:numId w:val="179"/>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投标文件中开标一览表内容与投标文件中相应内容不一致的，以开标一览表为准</w:t>
      </w:r>
      <w:r>
        <w:rPr>
          <w:rFonts w:hint="eastAsia" w:ascii="宋体" w:hAnsi="宋体" w:eastAsia="宋体" w:cs="Times New Roman"/>
          <w:color w:val="0D0D0D"/>
          <w:sz w:val="24"/>
          <w:szCs w:val="24"/>
          <w:lang w:val="zh-CN"/>
        </w:rPr>
        <w:t>。</w:t>
      </w:r>
    </w:p>
    <w:p>
      <w:pPr>
        <w:numPr>
          <w:ilvl w:val="0"/>
          <w:numId w:val="179"/>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大写金额和小写金额不一致的，以大写金额为准</w:t>
      </w:r>
      <w:r>
        <w:rPr>
          <w:rFonts w:hint="eastAsia" w:ascii="宋体" w:hAnsi="宋体" w:eastAsia="宋体" w:cs="Times New Roman"/>
          <w:color w:val="0D0D0D"/>
          <w:sz w:val="24"/>
          <w:szCs w:val="24"/>
          <w:lang w:val="zh-CN"/>
        </w:rPr>
        <w:t>。</w:t>
      </w:r>
    </w:p>
    <w:p>
      <w:pPr>
        <w:numPr>
          <w:ilvl w:val="0"/>
          <w:numId w:val="179"/>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单价金额小数点或者百分比有明显错位的，以开标一览表的总价为准，并修改单价</w:t>
      </w:r>
      <w:r>
        <w:rPr>
          <w:rFonts w:hint="eastAsia" w:ascii="宋体" w:hAnsi="宋体" w:eastAsia="宋体" w:cs="Times New Roman"/>
          <w:color w:val="0D0D0D"/>
          <w:sz w:val="24"/>
          <w:szCs w:val="24"/>
          <w:lang w:val="zh-CN"/>
        </w:rPr>
        <w:t>。</w:t>
      </w:r>
    </w:p>
    <w:p>
      <w:pPr>
        <w:numPr>
          <w:ilvl w:val="0"/>
          <w:numId w:val="179"/>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总价金额与按单价汇总金额不一致的，以单价金额计算结果为准</w:t>
      </w:r>
      <w:r>
        <w:rPr>
          <w:rFonts w:hint="eastAsia" w:ascii="宋体" w:hAnsi="宋体" w:eastAsia="宋体" w:cs="Times New Roman"/>
          <w:color w:val="0D0D0D"/>
          <w:sz w:val="24"/>
          <w:szCs w:val="24"/>
          <w:lang w:val="zh-CN"/>
        </w:rPr>
        <w:t>。</w:t>
      </w:r>
    </w:p>
    <w:p>
      <w:pPr>
        <w:numPr>
          <w:ilvl w:val="0"/>
          <w:numId w:val="179"/>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同时出现两种以上不一致的，按照前款规定的顺序修正</w:t>
      </w:r>
      <w:r>
        <w:rPr>
          <w:rFonts w:hint="eastAsia" w:ascii="宋体" w:hAnsi="宋体" w:eastAsia="宋体" w:cs="Times New Roman"/>
          <w:color w:val="0D0D0D"/>
          <w:sz w:val="24"/>
          <w:szCs w:val="24"/>
          <w:lang w:val="zh-CN"/>
        </w:rPr>
        <w:t>。</w:t>
      </w:r>
    </w:p>
    <w:p>
      <w:pPr>
        <w:numPr>
          <w:ilvl w:val="0"/>
          <w:numId w:val="179"/>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修正后的报价按照</w:t>
      </w:r>
      <w:r>
        <w:rPr>
          <w:rFonts w:hint="eastAsia" w:ascii="宋体" w:hAnsi="宋体" w:eastAsia="宋体" w:cs="Times New Roman"/>
          <w:color w:val="0D0D0D"/>
          <w:sz w:val="24"/>
          <w:szCs w:val="24"/>
          <w:lang w:val="zh-CN"/>
        </w:rPr>
        <w:t>本节第4条规定</w:t>
      </w:r>
      <w:r>
        <w:rPr>
          <w:rFonts w:ascii="宋体" w:hAnsi="宋体" w:eastAsia="宋体" w:cs="Times New Roman"/>
          <w:color w:val="0D0D0D"/>
          <w:sz w:val="24"/>
          <w:szCs w:val="24"/>
          <w:lang w:val="zh-CN"/>
        </w:rPr>
        <w:t>经投标人确认后产生约束力，投标人不确认的，</w:t>
      </w:r>
      <w:r>
        <w:rPr>
          <w:rFonts w:hint="eastAsia" w:ascii="宋体" w:hAnsi="宋体" w:eastAsia="宋体" w:cs="Times New Roman"/>
          <w:color w:val="0D0D0D"/>
          <w:sz w:val="24"/>
          <w:szCs w:val="24"/>
          <w:lang w:val="zh-CN"/>
        </w:rPr>
        <w:t>按照</w:t>
      </w:r>
      <w:r>
        <w:rPr>
          <w:rFonts w:ascii="宋体" w:hAnsi="宋体" w:eastAsia="宋体" w:cs="Times New Roman"/>
          <w:b/>
          <w:color w:val="0D0D0D"/>
          <w:sz w:val="24"/>
          <w:szCs w:val="24"/>
          <w:lang w:val="zh-CN"/>
        </w:rPr>
        <w:t>无效</w:t>
      </w:r>
      <w:r>
        <w:rPr>
          <w:rFonts w:hint="eastAsia" w:ascii="宋体" w:hAnsi="宋体" w:eastAsia="宋体" w:cs="Times New Roman"/>
          <w:b/>
          <w:color w:val="0D0D0D"/>
          <w:sz w:val="24"/>
          <w:szCs w:val="24"/>
          <w:lang w:val="zh-CN"/>
        </w:rPr>
        <w:t>投标处理</w:t>
      </w:r>
      <w:r>
        <w:rPr>
          <w:rFonts w:ascii="宋体" w:hAnsi="宋体" w:eastAsia="宋体" w:cs="Times New Roman"/>
          <w:color w:val="0D0D0D"/>
          <w:sz w:val="24"/>
          <w:szCs w:val="24"/>
          <w:lang w:val="zh-CN"/>
        </w:rPr>
        <w:t>。</w:t>
      </w:r>
    </w:p>
    <w:p>
      <w:pPr>
        <w:numPr>
          <w:ilvl w:val="0"/>
          <w:numId w:val="178"/>
        </w:numPr>
        <w:tabs>
          <w:tab w:val="left" w:pos="616"/>
        </w:tabs>
        <w:spacing w:line="360" w:lineRule="auto"/>
        <w:ind w:left="10" w:leftChars="5" w:firstLine="237" w:firstLineChars="99"/>
        <w:rPr>
          <w:rFonts w:ascii="宋体" w:hAnsi="宋体" w:eastAsia="宋体" w:cs="Times New Roman"/>
          <w:sz w:val="24"/>
          <w:szCs w:val="20"/>
          <w:lang w:val="zh-CN"/>
        </w:rPr>
      </w:pPr>
      <w:r>
        <w:rPr>
          <w:rFonts w:hint="eastAsia" w:ascii="宋体" w:hAnsi="宋体" w:eastAsia="宋体" w:cs="Times New Roman"/>
          <w:sz w:val="24"/>
          <w:szCs w:val="20"/>
          <w:lang w:val="zh-CN"/>
        </w:rPr>
        <w:t>投标人的</w:t>
      </w:r>
      <w:r>
        <w:rPr>
          <w:rFonts w:ascii="Helvetica" w:hAnsi="Helvetica" w:eastAsia="宋体" w:cs="Helvetica"/>
          <w:kern w:val="0"/>
          <w:sz w:val="24"/>
          <w:szCs w:val="24"/>
          <w:lang w:val="zh-CN"/>
        </w:rPr>
        <w:t>澄清、说明或者补正</w:t>
      </w:r>
      <w:r>
        <w:rPr>
          <w:rFonts w:hint="eastAsia" w:ascii="宋体" w:hAnsi="宋体" w:eastAsia="宋体" w:cs="Times New Roman"/>
          <w:sz w:val="24"/>
          <w:szCs w:val="20"/>
          <w:lang w:val="zh-CN"/>
        </w:rPr>
        <w:t>是其投标文件的有效组成部分。</w:t>
      </w:r>
      <w:r>
        <w:rPr>
          <w:rFonts w:ascii="Helvetica" w:hAnsi="Helvetica" w:eastAsia="宋体" w:cs="Helvetica"/>
          <w:kern w:val="0"/>
          <w:sz w:val="24"/>
          <w:szCs w:val="24"/>
          <w:lang w:val="zh-CN"/>
        </w:rPr>
        <w:t>投标人的澄清、说明或者补正应当采用书面形式，并加盖公章，或者由法定代表人或其授权的代表签字。</w:t>
      </w:r>
    </w:p>
    <w:p>
      <w:pPr>
        <w:numPr>
          <w:ilvl w:val="0"/>
          <w:numId w:val="176"/>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spacing w:line="360" w:lineRule="auto"/>
        <w:ind w:firstLine="480"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rPr>
        <w:t>，对符合性审查合格的投标文件进行商务和技术</w:t>
      </w:r>
      <w:r>
        <w:rPr>
          <w:rFonts w:hint="eastAsia" w:ascii="宋体" w:hAnsi="宋体" w:eastAsia="宋体" w:cs="Times New Roman"/>
          <w:bCs/>
          <w:sz w:val="24"/>
          <w:szCs w:val="20"/>
          <w:lang w:val="zh-CN"/>
        </w:rPr>
        <w:t>、服务</w:t>
      </w:r>
      <w:r>
        <w:rPr>
          <w:rFonts w:ascii="宋体" w:hAnsi="宋体" w:eastAsia="宋体" w:cs="Times New Roman"/>
          <w:bCs/>
          <w:sz w:val="24"/>
          <w:szCs w:val="20"/>
          <w:lang w:val="zh-CN"/>
        </w:rPr>
        <w:t>评估，综合比较与评价。</w:t>
      </w:r>
    </w:p>
    <w:p>
      <w:pPr>
        <w:numPr>
          <w:ilvl w:val="0"/>
          <w:numId w:val="180"/>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商务评议</w:t>
      </w:r>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评标委员会对符合性审查合格的投标文件进行评议，并依据本章“评审因素及评分标准”中的商务评议进行综合比较和评分。</w:t>
      </w:r>
    </w:p>
    <w:p>
      <w:pPr>
        <w:numPr>
          <w:ilvl w:val="0"/>
          <w:numId w:val="180"/>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技术、服务评议</w:t>
      </w:r>
    </w:p>
    <w:p>
      <w:pPr>
        <w:spacing w:line="360" w:lineRule="auto"/>
        <w:ind w:firstLine="480" w:firstLineChars="200"/>
        <w:rPr>
          <w:rFonts w:ascii="宋体" w:hAnsi="宋体" w:eastAsia="宋体" w:cs="Times New Roman"/>
          <w:kern w:val="0"/>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评标委员会对符合性审查合格的投标文件进行评议，并依据本章“评审因素及评分标准”中的技术、服务评议进行综合比较和评分。</w:t>
      </w:r>
    </w:p>
    <w:p>
      <w:pPr>
        <w:numPr>
          <w:ilvl w:val="0"/>
          <w:numId w:val="180"/>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价格评议</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评标委员会对符合性审查合格的投标文件进行价格评议（</w:t>
      </w:r>
      <w:r>
        <w:rPr>
          <w:rFonts w:hint="eastAsia" w:ascii="宋体" w:hAnsi="宋体" w:eastAsia="宋体" w:cs="Times New Roman"/>
          <w:bCs/>
          <w:sz w:val="24"/>
          <w:szCs w:val="21"/>
          <w:lang w:val="zh-CN"/>
        </w:rPr>
        <w:t>执行国家统一定价标准和采用固定价格采购的项目，其价格不列为评审因素</w:t>
      </w:r>
      <w:r>
        <w:rPr>
          <w:rFonts w:hint="eastAsia" w:ascii="宋体" w:hAnsi="宋体" w:eastAsia="宋体" w:cs="Times New Roman"/>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181"/>
        </w:numPr>
        <w:adjustRightInd w:val="0"/>
        <w:spacing w:line="360" w:lineRule="auto"/>
        <w:ind w:left="742" w:hanging="493"/>
        <w:rPr>
          <w:rFonts w:ascii="宋体" w:hAnsi="宋体" w:eastAsia="宋体" w:cs="Times New Roman"/>
          <w:bCs/>
          <w:sz w:val="24"/>
          <w:szCs w:val="21"/>
          <w:lang w:val="zh-CN"/>
        </w:rPr>
      </w:pPr>
      <w:r>
        <w:rPr>
          <w:rFonts w:hint="eastAsia" w:ascii="宋体" w:hAnsi="宋体" w:eastAsia="宋体" w:cs="Times New Roman"/>
          <w:b/>
          <w:sz w:val="24"/>
          <w:szCs w:val="24"/>
          <w:lang w:val="zh-CN"/>
        </w:rPr>
        <w:t>报价合理性说明：</w:t>
      </w:r>
      <w:r>
        <w:rPr>
          <w:rFonts w:ascii="宋体" w:hAnsi="宋体" w:eastAsia="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kern w:val="0"/>
          <w:sz w:val="24"/>
          <w:szCs w:val="24"/>
          <w:lang w:val="zh-CN"/>
        </w:rPr>
        <w:t>应当将其作为</w:t>
      </w:r>
      <w:r>
        <w:rPr>
          <w:rFonts w:ascii="宋体" w:hAnsi="宋体" w:eastAsia="宋体" w:cs="Helvetica"/>
          <w:b/>
          <w:kern w:val="0"/>
          <w:sz w:val="24"/>
          <w:szCs w:val="24"/>
          <w:lang w:val="zh-CN"/>
        </w:rPr>
        <w:t>无效投标处理</w:t>
      </w:r>
      <w:r>
        <w:rPr>
          <w:rFonts w:ascii="宋体" w:hAnsi="宋体" w:eastAsia="宋体" w:cs="Helvetica"/>
          <w:kern w:val="0"/>
          <w:sz w:val="24"/>
          <w:szCs w:val="24"/>
          <w:lang w:val="zh-CN"/>
        </w:rPr>
        <w:t>。</w:t>
      </w:r>
    </w:p>
    <w:p>
      <w:pPr>
        <w:numPr>
          <w:ilvl w:val="0"/>
          <w:numId w:val="181"/>
        </w:numPr>
        <w:adjustRightInd w:val="0"/>
        <w:spacing w:line="360" w:lineRule="auto"/>
        <w:ind w:left="742" w:hanging="493"/>
        <w:rPr>
          <w:rFonts w:ascii="宋体" w:hAnsi="宋体" w:eastAsia="宋体" w:cs="Times New Roman"/>
          <w:b/>
          <w:sz w:val="24"/>
          <w:szCs w:val="24"/>
          <w:lang w:val="zh-CN"/>
        </w:rPr>
      </w:pPr>
      <w:r>
        <w:rPr>
          <w:rFonts w:hint="eastAsia" w:ascii="宋体" w:hAnsi="宋体" w:eastAsia="宋体" w:cs="Times New Roman"/>
          <w:b/>
          <w:sz w:val="24"/>
          <w:szCs w:val="24"/>
          <w:lang w:val="zh-CN"/>
        </w:rPr>
        <w:t>小型和微型企业、监狱企业、残疾人福利性单位价格扣除：</w:t>
      </w:r>
    </w:p>
    <w:p>
      <w:pPr>
        <w:numPr>
          <w:ilvl w:val="0"/>
          <w:numId w:val="182"/>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非专门面向中小企业的货物类采购项目，按招标文件中采购清单确定的货物，对小型和微型企业制造的货物价格给予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182"/>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非专门面向中小企业的工程、服务类采购项目，投标人是小型和微型企业的价格给予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182"/>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鼓励大中型企业和其他自然人</w:t>
      </w:r>
      <w:r>
        <w:rPr>
          <w:rFonts w:ascii="宋体" w:hAnsi="宋体" w:eastAsia="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sz w:val="24"/>
          <w:szCs w:val="20"/>
        </w:rPr>
        <w:t>30%</w:t>
      </w:r>
      <w:r>
        <w:rPr>
          <w:rFonts w:ascii="宋体" w:hAnsi="宋体" w:eastAsia="宋体" w:cs="Times New Roman"/>
          <w:bCs/>
          <w:sz w:val="24"/>
          <w:szCs w:val="20"/>
        </w:rPr>
        <w:t>以上的，可给予联合体</w:t>
      </w:r>
      <w:r>
        <w:rPr>
          <w:rFonts w:ascii="宋体" w:hAnsi="宋体" w:eastAsia="宋体" w:cs="Times New Roman"/>
          <w:b/>
          <w:bCs/>
          <w:sz w:val="24"/>
          <w:szCs w:val="20"/>
          <w:lang w:val="zh-CN"/>
        </w:rPr>
        <w:t>3%</w:t>
      </w:r>
      <w:r>
        <w:rPr>
          <w:rFonts w:ascii="宋体" w:hAnsi="宋体" w:eastAsia="宋体" w:cs="Times New Roman"/>
          <w:bCs/>
          <w:sz w:val="24"/>
          <w:szCs w:val="20"/>
        </w:rPr>
        <w:t>的价格扣除</w:t>
      </w:r>
      <w:r>
        <w:rPr>
          <w:rFonts w:hint="eastAsia" w:ascii="宋体" w:hAnsi="宋体" w:eastAsia="宋体" w:cs="Times New Roman"/>
          <w:bCs/>
          <w:sz w:val="24"/>
          <w:szCs w:val="20"/>
        </w:rPr>
        <w:t>，</w:t>
      </w:r>
      <w:r>
        <w:rPr>
          <w:rFonts w:hint="eastAsia" w:ascii="宋体" w:hAnsi="宋体" w:eastAsia="宋体" w:cs="Times New Roman"/>
          <w:bCs/>
          <w:sz w:val="24"/>
          <w:szCs w:val="20"/>
          <w:lang w:val="zh-CN"/>
        </w:rPr>
        <w:t>不重复享受政策。</w:t>
      </w:r>
    </w:p>
    <w:p>
      <w:pPr>
        <w:numPr>
          <w:ilvl w:val="0"/>
          <w:numId w:val="182"/>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监狱企业</w:t>
      </w:r>
      <w:r>
        <w:rPr>
          <w:rFonts w:hint="eastAsia" w:ascii="宋体" w:hAnsi="宋体" w:eastAsia="宋体" w:cs="Times New Roman"/>
          <w:bCs/>
          <w:sz w:val="24"/>
          <w:szCs w:val="20"/>
          <w:lang w:val="zh-CN"/>
        </w:rPr>
        <w:t>、残疾人福利性单位</w:t>
      </w:r>
      <w:r>
        <w:rPr>
          <w:rFonts w:ascii="宋体" w:hAnsi="宋体" w:eastAsia="宋体" w:cs="Times New Roman"/>
          <w:bCs/>
          <w:sz w:val="24"/>
          <w:szCs w:val="20"/>
          <w:lang w:val="zh-CN"/>
        </w:rPr>
        <w:t>视同小型、微型企业，享受预留份额、评审中价格扣除等政府采购促进中小企业发展的政府采购政策</w:t>
      </w:r>
      <w:r>
        <w:rPr>
          <w:rFonts w:hint="eastAsia" w:ascii="宋体" w:hAnsi="宋体" w:eastAsia="宋体" w:cs="Times New Roman"/>
          <w:bCs/>
          <w:sz w:val="24"/>
          <w:szCs w:val="20"/>
          <w:lang w:val="zh-CN"/>
        </w:rPr>
        <w:t>，残疾人福利性单位属于小型、微型企业的，不重复享受政策。</w:t>
      </w:r>
    </w:p>
    <w:p>
      <w:pPr>
        <w:numPr>
          <w:ilvl w:val="0"/>
          <w:numId w:val="182"/>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180"/>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相同品牌处理原则</w:t>
      </w:r>
    </w:p>
    <w:p>
      <w:pPr>
        <w:numPr>
          <w:ilvl w:val="0"/>
          <w:numId w:val="183"/>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0D0D0D"/>
          <w:kern w:val="0"/>
          <w:sz w:val="24"/>
          <w:szCs w:val="24"/>
          <w:lang w:val="zh-CN"/>
        </w:rPr>
        <w:t>确定</w:t>
      </w:r>
      <w:r>
        <w:rPr>
          <w:rFonts w:ascii="Helvetica" w:hAnsi="Helvetica" w:eastAsia="宋体" w:cs="Helvetica"/>
          <w:color w:val="0D0D0D"/>
          <w:kern w:val="0"/>
          <w:sz w:val="24"/>
          <w:szCs w:val="24"/>
          <w:lang w:val="zh-CN"/>
        </w:rPr>
        <w:t>或者采购人委托评标委员会</w:t>
      </w:r>
      <w:r>
        <w:rPr>
          <w:rFonts w:hint="eastAsia" w:ascii="Helvetica" w:hAnsi="Helvetica" w:eastAsia="宋体" w:cs="Helvetica"/>
          <w:color w:val="0D0D0D"/>
          <w:kern w:val="0"/>
          <w:sz w:val="24"/>
          <w:szCs w:val="24"/>
          <w:lang w:val="zh-CN"/>
        </w:rPr>
        <w:t>以投票方式</w:t>
      </w:r>
      <w:r>
        <w:rPr>
          <w:rFonts w:ascii="Helvetica" w:hAnsi="Helvetica" w:eastAsia="宋体" w:cs="Helvetica"/>
          <w:color w:val="0D0D0D"/>
          <w:kern w:val="0"/>
          <w:sz w:val="24"/>
          <w:szCs w:val="24"/>
          <w:lang w:val="zh-CN"/>
        </w:rPr>
        <w:t>确定一个投标人获得中标人推荐资格，其他同品牌投标人不作为中标候选人。</w:t>
      </w:r>
    </w:p>
    <w:p>
      <w:pPr>
        <w:numPr>
          <w:ilvl w:val="0"/>
          <w:numId w:val="183"/>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非单一产品采购项目，采购人</w:t>
      </w:r>
      <w:r>
        <w:rPr>
          <w:rFonts w:ascii="Helvetica" w:hAnsi="Helvetica" w:eastAsia="宋体" w:cs="Helvetica"/>
          <w:kern w:val="0"/>
          <w:sz w:val="24"/>
          <w:szCs w:val="24"/>
          <w:lang w:val="zh-CN"/>
        </w:rPr>
        <w:t>应当根据采购项目技术构成、产品价格比重等合理确定</w:t>
      </w:r>
      <w:r>
        <w:rPr>
          <w:rFonts w:hint="eastAsia" w:ascii="Helvetica" w:hAnsi="Helvetica" w:eastAsia="宋体" w:cs="Helvetica"/>
          <w:b/>
          <w:kern w:val="0"/>
          <w:sz w:val="24"/>
          <w:szCs w:val="24"/>
          <w:lang w:val="zh-CN"/>
        </w:rPr>
        <w:t>一个</w:t>
      </w:r>
      <w:r>
        <w:rPr>
          <w:rFonts w:ascii="Helvetica" w:hAnsi="Helvetica" w:eastAsia="宋体" w:cs="Helvetica"/>
          <w:b/>
          <w:kern w:val="0"/>
          <w:sz w:val="24"/>
          <w:szCs w:val="24"/>
          <w:lang w:val="zh-CN"/>
        </w:rPr>
        <w:t>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采购清单中作“相同〈或同一〉品牌”实质性要求的产品，视为一个核心产品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w:t>
      </w:r>
      <w:r>
        <w:rPr>
          <w:rFonts w:ascii="Helvetica" w:hAnsi="Helvetica" w:eastAsia="宋体" w:cs="Helvetica"/>
          <w:kern w:val="0"/>
          <w:sz w:val="24"/>
          <w:szCs w:val="24"/>
          <w:lang w:val="zh-CN"/>
        </w:rPr>
        <w:t>并</w:t>
      </w:r>
      <w:r>
        <w:rPr>
          <w:rFonts w:hint="eastAsia" w:ascii="Helvetica" w:hAnsi="Helvetica" w:eastAsia="宋体" w:cs="Helvetica"/>
          <w:kern w:val="0"/>
          <w:sz w:val="24"/>
          <w:szCs w:val="24"/>
          <w:lang w:val="zh-CN"/>
        </w:rPr>
        <w:t>以</w:t>
      </w:r>
      <w:r>
        <w:rPr>
          <w:rFonts w:hint="eastAsia" w:ascii="Helvetica" w:hAnsi="Helvetica" w:eastAsia="宋体" w:cs="Helvetica"/>
          <w:b/>
          <w:kern w:val="0"/>
          <w:sz w:val="24"/>
          <w:szCs w:val="24"/>
          <w:lang w:val="zh-CN"/>
        </w:rPr>
        <w:t>“</w:t>
      </w:r>
      <w:r>
        <w:rPr>
          <w:rFonts w:hint="eastAsia" w:ascii="MS Gothic" w:hAnsi="MS Gothic" w:eastAsia="宋体" w:cs="MS Gothic"/>
          <w:b/>
          <w:kern w:val="0"/>
          <w:sz w:val="24"/>
          <w:szCs w:val="24"/>
          <w:lang w:val="zh-CN"/>
        </w:rPr>
        <w:t>核心产品</w:t>
      </w:r>
      <w:r>
        <w:rPr>
          <w:rFonts w:hint="eastAsia" w:ascii="Helvetica" w:hAnsi="Helvetica" w:eastAsia="宋体" w:cs="Helvetica"/>
          <w:b/>
          <w:kern w:val="0"/>
          <w:sz w:val="24"/>
          <w:szCs w:val="24"/>
          <w:lang w:val="zh-CN"/>
        </w:rPr>
        <w:t>”</w:t>
      </w:r>
      <w:r>
        <w:rPr>
          <w:rFonts w:ascii="Helvetica" w:hAnsi="Helvetica" w:eastAsia="宋体" w:cs="Helvetica"/>
          <w:kern w:val="0"/>
          <w:sz w:val="24"/>
          <w:szCs w:val="24"/>
          <w:lang w:val="zh-CN"/>
        </w:rPr>
        <w:t>在</w:t>
      </w:r>
      <w:r>
        <w:rPr>
          <w:rFonts w:ascii="Helvetica" w:hAnsi="Helvetica" w:eastAsia="宋体" w:cs="Helvetica"/>
          <w:color w:val="0D0D0D"/>
          <w:kern w:val="0"/>
          <w:sz w:val="24"/>
          <w:szCs w:val="24"/>
          <w:lang w:val="zh-CN"/>
        </w:rPr>
        <w:t>招标文件中</w:t>
      </w:r>
      <w:r>
        <w:rPr>
          <w:rFonts w:hint="eastAsia" w:ascii="Helvetica" w:hAnsi="Helvetica" w:eastAsia="宋体" w:cs="Helvetica"/>
          <w:color w:val="0D0D0D"/>
          <w:kern w:val="0"/>
          <w:sz w:val="24"/>
          <w:szCs w:val="24"/>
          <w:lang w:val="zh-CN"/>
        </w:rPr>
        <w:t>标注</w:t>
      </w:r>
      <w:r>
        <w:rPr>
          <w:rFonts w:ascii="Helvetica" w:hAnsi="Helvetica" w:eastAsia="宋体" w:cs="Helvetica"/>
          <w:color w:val="0D0D0D"/>
          <w:kern w:val="0"/>
          <w:sz w:val="24"/>
          <w:szCs w:val="24"/>
          <w:lang w:val="zh-CN"/>
        </w:rPr>
        <w:t>。</w:t>
      </w:r>
    </w:p>
    <w:p>
      <w:pPr>
        <w:numPr>
          <w:ilvl w:val="0"/>
          <w:numId w:val="180"/>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计分办法</w:t>
      </w:r>
    </w:p>
    <w:p>
      <w:pPr>
        <w:numPr>
          <w:ilvl w:val="0"/>
          <w:numId w:val="184"/>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采购代理机构对各评委的总分进行复核。各项统计结果均精确到小数点后两位。</w:t>
      </w:r>
    </w:p>
    <w:p>
      <w:pPr>
        <w:numPr>
          <w:ilvl w:val="0"/>
          <w:numId w:val="184"/>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各投标人的最终得分为评委所评定分数的算术平均值。</w:t>
      </w:r>
    </w:p>
    <w:p>
      <w:pPr>
        <w:numPr>
          <w:ilvl w:val="0"/>
          <w:numId w:val="176"/>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185"/>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评标委员会按照招标文件确定的评标方法、程序及标准，对投标文件进行评审。</w:t>
      </w:r>
      <w:r>
        <w:rPr>
          <w:rFonts w:ascii="Helvetica" w:hAnsi="Helvetica" w:eastAsia="宋体"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185"/>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185"/>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中标候选人并列的，</w:t>
      </w:r>
      <w:r>
        <w:rPr>
          <w:rFonts w:ascii="Helvetica" w:hAnsi="Helvetica" w:eastAsia="宋体" w:cs="Helvetica"/>
          <w:kern w:val="0"/>
          <w:sz w:val="24"/>
          <w:szCs w:val="24"/>
          <w:lang w:val="zh-CN"/>
        </w:rPr>
        <w:t>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确定中标人。</w:t>
      </w:r>
    </w:p>
    <w:p>
      <w:pPr>
        <w:numPr>
          <w:ilvl w:val="0"/>
          <w:numId w:val="185"/>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185"/>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中标人的数量有其他规定的，应在此处明确方法、中标比例等。</w:t>
      </w:r>
    </w:p>
    <w:p>
      <w:pPr>
        <w:rPr>
          <w:lang w:val="zh-CN"/>
        </w:rPr>
      </w:pPr>
      <w:bookmarkStart w:id="66" w:name="_Toc494561963"/>
      <w:bookmarkStart w:id="67" w:name="_Toc495861544"/>
    </w:p>
    <w:p>
      <w:pPr>
        <w:pStyle w:val="4"/>
        <w:numPr>
          <w:ilvl w:val="0"/>
          <w:numId w:val="175"/>
        </w:numPr>
        <w:spacing w:before="0" w:after="0" w:line="360" w:lineRule="auto"/>
        <w:ind w:left="616" w:hanging="616"/>
        <w:jc w:val="left"/>
        <w:rPr>
          <w:rFonts w:cs="Times New Roman" w:asciiTheme="majorEastAsia" w:hAnsiTheme="majorEastAsia"/>
          <w:bCs w:val="0"/>
          <w:sz w:val="30"/>
          <w:szCs w:val="30"/>
          <w:lang w:val="zh-CN"/>
        </w:rPr>
      </w:pPr>
      <w:r>
        <w:rPr>
          <w:rFonts w:hint="eastAsia" w:cs="Times New Roman" w:asciiTheme="majorEastAsia" w:hAnsiTheme="majorEastAsia"/>
          <w:bCs w:val="0"/>
          <w:sz w:val="30"/>
          <w:szCs w:val="30"/>
          <w:lang w:val="zh-CN"/>
        </w:rPr>
        <w:t>评审因素及评分标准</w:t>
      </w:r>
      <w:bookmarkEnd w:id="66"/>
      <w:bookmarkEnd w:id="67"/>
    </w:p>
    <w:p>
      <w:pPr>
        <w:rPr>
          <w:rFonts w:hint="eastAsia" w:cs="Times New Roman" w:asciiTheme="majorEastAsia" w:hAnsiTheme="majorEastAsia"/>
          <w:bCs w:val="0"/>
          <w:sz w:val="30"/>
          <w:szCs w:val="30"/>
          <w:lang w:val="zh-CN"/>
        </w:rPr>
      </w:pPr>
    </w:p>
    <w:p>
      <w:pPr>
        <w:pStyle w:val="2"/>
        <w:rPr>
          <w:rFonts w:hint="eastAsia" w:cs="Times New Roman" w:asciiTheme="majorEastAsia" w:hAnsiTheme="majorEastAsia"/>
          <w:bCs w:val="0"/>
          <w:sz w:val="30"/>
          <w:szCs w:val="30"/>
          <w:lang w:val="zh-CN"/>
        </w:rPr>
      </w:pPr>
    </w:p>
    <w:p>
      <w:pPr>
        <w:rPr>
          <w:lang w:val="zh-CN"/>
        </w:rPr>
      </w:pPr>
    </w:p>
    <w:p>
      <w:pPr>
        <w:rPr>
          <w:lang w:val="zh-CN"/>
        </w:rPr>
      </w:pPr>
    </w:p>
    <w:tbl>
      <w:tblPr>
        <w:tblStyle w:val="19"/>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334"/>
        <w:gridCol w:w="531"/>
        <w:gridCol w:w="6332"/>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restart"/>
            <w:shd w:val="pct10" w:color="auto" w:fill="auto"/>
            <w:vAlign w:val="center"/>
          </w:tcPr>
          <w:p>
            <w:pPr>
              <w:ind w:left="-77" w:leftChars="-37" w:right="-86" w:rightChars="-41"/>
              <w:jc w:val="center"/>
              <w:rPr>
                <w:rFonts w:hint="eastAsia" w:ascii="宋体" w:hAnsi="宋体" w:eastAsia="宋体" w:cs="Times New Roman"/>
                <w:b/>
                <w:bCs/>
                <w:color w:val="000000" w:themeColor="text1"/>
                <w:sz w:val="28"/>
                <w:szCs w:val="28"/>
                <w:highlight w:val="none"/>
                <w14:textFill>
                  <w14:solidFill>
                    <w14:schemeClr w14:val="tx1"/>
                  </w14:solidFill>
                </w14:textFill>
              </w:rPr>
            </w:pPr>
          </w:p>
          <w:p>
            <w:pPr>
              <w:ind w:left="-77" w:leftChars="-37" w:right="-86" w:rightChars="-41"/>
              <w:jc w:val="center"/>
              <w:rPr>
                <w:rFonts w:hint="eastAsia" w:ascii="宋体" w:hAnsi="宋体" w:eastAsia="宋体" w:cs="Times New Roman"/>
                <w:b/>
                <w:bCs/>
                <w:color w:val="000000" w:themeColor="text1"/>
                <w:sz w:val="28"/>
                <w:szCs w:val="28"/>
                <w:highlight w:val="none"/>
                <w14:textFill>
                  <w14:solidFill>
                    <w14:schemeClr w14:val="tx1"/>
                  </w14:solidFill>
                </w14:textFill>
              </w:rPr>
            </w:pPr>
          </w:p>
          <w:p>
            <w:pPr>
              <w:ind w:left="-77" w:leftChars="-37" w:right="-86" w:rightChars="-41"/>
              <w:jc w:val="center"/>
              <w:rPr>
                <w:rFonts w:hint="eastAsia" w:ascii="宋体" w:hAnsi="宋体" w:eastAsia="宋体" w:cs="Times New Roman"/>
                <w:b/>
                <w:bCs/>
                <w:color w:val="000000" w:themeColor="text1"/>
                <w:sz w:val="28"/>
                <w:szCs w:val="28"/>
                <w:highlight w:val="none"/>
                <w14:textFill>
                  <w14:solidFill>
                    <w14:schemeClr w14:val="tx1"/>
                  </w14:solidFill>
                </w14:textFill>
              </w:rPr>
            </w:pPr>
          </w:p>
          <w:p>
            <w:pPr>
              <w:ind w:left="-77" w:leftChars="-37" w:right="-86" w:rightChars="-41"/>
              <w:jc w:val="center"/>
              <w:rPr>
                <w:rFonts w:hint="eastAsia" w:ascii="宋体" w:hAnsi="宋体" w:eastAsia="宋体" w:cs="Times New Roman"/>
                <w:b/>
                <w:bCs/>
                <w:color w:val="000000" w:themeColor="text1"/>
                <w:sz w:val="28"/>
                <w:szCs w:val="28"/>
                <w:highlight w:val="none"/>
                <w14:textFill>
                  <w14:solidFill>
                    <w14:schemeClr w14:val="tx1"/>
                  </w14:solidFill>
                </w14:textFill>
              </w:rPr>
            </w:pPr>
          </w:p>
          <w:p>
            <w:pPr>
              <w:ind w:left="-77" w:leftChars="-37" w:right="-86" w:rightChars="-41"/>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8"/>
                <w:szCs w:val="28"/>
                <w:highlight w:val="none"/>
                <w14:textFill>
                  <w14:solidFill>
                    <w14:schemeClr w14:val="tx1"/>
                  </w14:solidFill>
                </w14:textFill>
              </w:rPr>
              <w:t>商务评议</w:t>
            </w:r>
          </w:p>
        </w:tc>
        <w:tc>
          <w:tcPr>
            <w:tcW w:w="1334" w:type="dxa"/>
            <w:shd w:val="pct10" w:color="auto" w:fill="auto"/>
            <w:vAlign w:val="center"/>
          </w:tcPr>
          <w:p>
            <w:pPr>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531" w:type="dxa"/>
            <w:shd w:val="pct10" w:color="auto" w:fill="auto"/>
            <w:vAlign w:val="center"/>
          </w:tcPr>
          <w:p>
            <w:pPr>
              <w:ind w:left="-73" w:leftChars="-35" w:right="-79" w:rightChars="-38"/>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分值</w:t>
            </w:r>
          </w:p>
        </w:tc>
        <w:tc>
          <w:tcPr>
            <w:tcW w:w="6332" w:type="dxa"/>
            <w:shd w:val="pct10" w:color="auto" w:fill="auto"/>
            <w:vAlign w:val="center"/>
          </w:tcPr>
          <w:p>
            <w:pPr>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评分标准</w:t>
            </w:r>
          </w:p>
        </w:tc>
        <w:tc>
          <w:tcPr>
            <w:tcW w:w="932" w:type="dxa"/>
            <w:shd w:val="pct10" w:color="auto" w:fill="auto"/>
            <w:vAlign w:val="center"/>
          </w:tcPr>
          <w:p>
            <w:pPr>
              <w:spacing w:line="280" w:lineRule="exact"/>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因素</w:t>
            </w:r>
          </w:p>
          <w:p>
            <w:pPr>
              <w:spacing w:line="280" w:lineRule="exact"/>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firstLine="0"/>
              <w:jc w:val="right"/>
              <w:rPr>
                <w:rFonts w:ascii="宋体" w:hAnsi="宋体" w:eastAsia="宋体" w:cs="Times New Roman"/>
                <w:b/>
                <w:color w:val="000000" w:themeColor="text1"/>
                <w:sz w:val="24"/>
                <w:highlight w:val="none"/>
                <w14:textFill>
                  <w14:solidFill>
                    <w14:schemeClr w14:val="tx1"/>
                  </w14:solidFill>
                </w14:textFill>
              </w:rPr>
            </w:pPr>
          </w:p>
        </w:tc>
        <w:tc>
          <w:tcPr>
            <w:tcW w:w="1334"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投标文件的完整性</w:t>
            </w:r>
          </w:p>
        </w:tc>
        <w:tc>
          <w:tcPr>
            <w:tcW w:w="531" w:type="dxa"/>
            <w:vAlign w:val="center"/>
          </w:tcPr>
          <w:p>
            <w:pPr>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cstheme="minorEastAsia"/>
                <w:sz w:val="21"/>
                <w:szCs w:val="21"/>
                <w:highlight w:val="none"/>
                <w:lang w:val="en-US" w:eastAsia="zh-CN"/>
              </w:rPr>
              <w:t>2</w:t>
            </w:r>
          </w:p>
        </w:tc>
        <w:tc>
          <w:tcPr>
            <w:tcW w:w="6332" w:type="dxa"/>
            <w:vAlign w:val="center"/>
          </w:tcPr>
          <w:p>
            <w:pPr>
              <w:spacing w:before="100" w:beforeAutospacing="1" w:after="100" w:afterAutospacing="1"/>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投标文件全面响应招标文件要求，编制完整、非活页装订，且有详细目录、连续页码、目录与有关材料装订顺序对应清晰、查阅方便得</w:t>
            </w:r>
            <w:r>
              <w:rPr>
                <w:rFonts w:hint="eastAsia" w:asciiTheme="minorEastAsia" w:hAnsiTheme="minorEastAsia" w:cstheme="minorEastAsia"/>
                <w:kern w:val="0"/>
                <w:sz w:val="21"/>
                <w:szCs w:val="21"/>
                <w:highlight w:val="none"/>
                <w:lang w:val="en-US" w:eastAsia="zh-CN"/>
              </w:rPr>
              <w:t>2</w:t>
            </w:r>
            <w:r>
              <w:rPr>
                <w:rFonts w:hint="eastAsia" w:asciiTheme="minorEastAsia" w:hAnsiTheme="minorEastAsia" w:eastAsiaTheme="minorEastAsia" w:cstheme="minorEastAsia"/>
                <w:kern w:val="0"/>
                <w:sz w:val="21"/>
                <w:szCs w:val="21"/>
                <w:highlight w:val="none"/>
              </w:rPr>
              <w:t>分。编排杂乱无章、叙述答非所问、资料残缺不全、资料模糊不清、前后不一致等，每处扣</w:t>
            </w:r>
            <w:r>
              <w:rPr>
                <w:rFonts w:hint="eastAsia" w:asciiTheme="minorEastAsia" w:hAnsiTheme="minorEastAsia" w:cstheme="minorEastAsia"/>
                <w:kern w:val="0"/>
                <w:sz w:val="21"/>
                <w:szCs w:val="21"/>
                <w:highlight w:val="none"/>
                <w:lang w:val="en-US" w:eastAsia="zh-CN"/>
              </w:rPr>
              <w:t>0.5</w:t>
            </w:r>
            <w:r>
              <w:rPr>
                <w:rFonts w:hint="eastAsia" w:asciiTheme="minorEastAsia" w:hAnsiTheme="minorEastAsia" w:eastAsiaTheme="minorEastAsia" w:cstheme="minorEastAsia"/>
                <w:kern w:val="0"/>
                <w:sz w:val="21"/>
                <w:szCs w:val="21"/>
                <w:highlight w:val="none"/>
              </w:rPr>
              <w:t>分，扣完为止，活页装订不得分。</w:t>
            </w:r>
          </w:p>
        </w:tc>
        <w:tc>
          <w:tcPr>
            <w:tcW w:w="932" w:type="dxa"/>
            <w:vAlign w:val="center"/>
          </w:tcPr>
          <w:p>
            <w:pPr>
              <w:spacing w:line="320" w:lineRule="exact"/>
              <w:ind w:left="-65" w:leftChars="-31" w:right="-35"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firstLine="0"/>
              <w:jc w:val="right"/>
              <w:rPr>
                <w:rFonts w:ascii="宋体" w:hAnsi="宋体" w:eastAsia="宋体" w:cs="Times New Roman"/>
                <w:b/>
                <w:color w:val="000000" w:themeColor="text1"/>
                <w:sz w:val="24"/>
                <w:highlight w:val="none"/>
                <w14:textFill>
                  <w14:solidFill>
                    <w14:schemeClr w14:val="tx1"/>
                  </w14:solidFill>
                </w14:textFill>
              </w:rPr>
            </w:pPr>
          </w:p>
        </w:tc>
        <w:tc>
          <w:tcPr>
            <w:tcW w:w="1334" w:type="dxa"/>
            <w:vAlign w:val="center"/>
          </w:tcPr>
          <w:p>
            <w:pPr>
              <w:ind w:left="-21" w:leftChars="-10" w:right="-21" w:rightChars="-1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szCs w:val="21"/>
                <w:highlight w:val="none"/>
              </w:rPr>
              <w:t>用户评价</w:t>
            </w:r>
          </w:p>
        </w:tc>
        <w:tc>
          <w:tcPr>
            <w:tcW w:w="531" w:type="dxa"/>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w:t>
            </w:r>
          </w:p>
        </w:tc>
        <w:tc>
          <w:tcPr>
            <w:tcW w:w="6332" w:type="dxa"/>
            <w:vAlign w:val="center"/>
          </w:tcPr>
          <w:p>
            <w:pPr>
              <w:keepNext w:val="0"/>
              <w:keepLines w:val="0"/>
              <w:pageBreakBefore w:val="0"/>
              <w:kinsoku/>
              <w:wordWrap/>
              <w:overflowPunct/>
              <w:topLinePunct w:val="0"/>
              <w:autoSpaceDE/>
              <w:autoSpaceDN/>
              <w:bidi w:val="0"/>
              <w:adjustRightInd/>
              <w:snapToGrid/>
              <w:spacing w:line="240" w:lineRule="auto"/>
              <w:ind w:right="-105" w:rightChars="-5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kern w:val="0"/>
                <w:sz w:val="21"/>
                <w:szCs w:val="21"/>
                <w:highlight w:val="none"/>
                <w:lang w:val="en-US" w:eastAsia="zh-CN"/>
              </w:rPr>
              <w:t>根据投标人提供近三年（2018年至今）的用户评价进行评分：具有3份良好评价得1分，之后每增加1份良好评价得1分，</w:t>
            </w:r>
            <w:r>
              <w:rPr>
                <w:rFonts w:hint="eastAsia" w:asciiTheme="minorEastAsia" w:hAnsiTheme="minorEastAsia" w:cstheme="minorEastAsia"/>
                <w:kern w:val="0"/>
                <w:sz w:val="21"/>
                <w:szCs w:val="21"/>
                <w:highlight w:val="none"/>
                <w:lang w:val="en-US" w:eastAsia="zh-CN"/>
              </w:rPr>
              <w:t>本项</w:t>
            </w:r>
            <w:r>
              <w:rPr>
                <w:rFonts w:hint="eastAsia" w:asciiTheme="minorEastAsia" w:hAnsiTheme="minorEastAsia" w:eastAsiaTheme="minorEastAsia" w:cstheme="minorEastAsia"/>
                <w:kern w:val="0"/>
                <w:sz w:val="21"/>
                <w:szCs w:val="21"/>
                <w:highlight w:val="none"/>
                <w:lang w:val="en-US" w:eastAsia="zh-CN"/>
              </w:rPr>
              <w:t>最高得5分。</w:t>
            </w:r>
            <w:r>
              <w:rPr>
                <w:rFonts w:hint="eastAsia" w:asciiTheme="minorEastAsia" w:hAnsiTheme="minorEastAsia" w:eastAsiaTheme="minorEastAsia" w:cstheme="minorEastAsia"/>
                <w:kern w:val="0"/>
                <w:sz w:val="21"/>
                <w:szCs w:val="21"/>
                <w:highlight w:val="none"/>
              </w:rPr>
              <w:t>（提供用户单位反馈意见复印件</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对应项目的中标通知书及采购合同关键页</w:t>
            </w:r>
            <w:r>
              <w:rPr>
                <w:rFonts w:hint="eastAsia" w:asciiTheme="minorEastAsia" w:hAnsiTheme="minorEastAsia" w:eastAsiaTheme="minorEastAsia" w:cstheme="minorEastAsia"/>
                <w:kern w:val="0"/>
                <w:sz w:val="21"/>
                <w:szCs w:val="21"/>
                <w:highlight w:val="none"/>
              </w:rPr>
              <w:t>。复印件无用户单位和投标人公章的视为评价无效；同一用户单位出具的多份反馈意见视作1份）</w:t>
            </w:r>
          </w:p>
        </w:tc>
        <w:tc>
          <w:tcPr>
            <w:tcW w:w="932" w:type="dxa"/>
            <w:vAlign w:val="center"/>
          </w:tcPr>
          <w:p>
            <w:pPr>
              <w:spacing w:line="320" w:lineRule="exact"/>
              <w:ind w:left="-65" w:leftChars="-31" w:right="-35"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firstLine="0"/>
              <w:jc w:val="right"/>
              <w:rPr>
                <w:rFonts w:ascii="宋体" w:hAnsi="宋体" w:eastAsia="宋体" w:cs="Times New Roman"/>
                <w:b/>
                <w:color w:val="000000" w:themeColor="text1"/>
                <w:sz w:val="24"/>
                <w:highlight w:val="none"/>
                <w14:textFill>
                  <w14:solidFill>
                    <w14:schemeClr w14:val="tx1"/>
                  </w14:solidFill>
                </w14:textFill>
              </w:rPr>
            </w:pPr>
          </w:p>
        </w:tc>
        <w:tc>
          <w:tcPr>
            <w:tcW w:w="1334" w:type="dxa"/>
            <w:vAlign w:val="center"/>
          </w:tcPr>
          <w:p>
            <w:pPr>
              <w:ind w:left="-21" w:leftChars="-10" w:right="-21" w:rightChars="-1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投标人综合实力</w:t>
            </w:r>
          </w:p>
        </w:tc>
        <w:tc>
          <w:tcPr>
            <w:tcW w:w="531" w:type="dxa"/>
            <w:vAlign w:val="center"/>
          </w:tcPr>
          <w:p>
            <w:pPr>
              <w:spacing w:line="320" w:lineRule="exact"/>
              <w:ind w:left="-48" w:leftChars="-23" w:right="-35" w:rightChars="-17"/>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w:t>
            </w:r>
          </w:p>
        </w:tc>
        <w:tc>
          <w:tcPr>
            <w:tcW w:w="6332" w:type="dxa"/>
            <w:vAlign w:val="center"/>
          </w:tcPr>
          <w:p>
            <w:pPr>
              <w:spacing w:line="320" w:lineRule="exact"/>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1.</w:t>
            </w:r>
            <w:r>
              <w:rPr>
                <w:rFonts w:hint="default" w:ascii="宋体" w:hAnsi="宋体" w:eastAsia="宋体" w:cs="Times New Roman"/>
                <w:color w:val="000000" w:themeColor="text1"/>
                <w:szCs w:val="21"/>
                <w:highlight w:val="none"/>
                <w:lang w:val="en-US" w:eastAsia="zh-CN"/>
                <w14:textFill>
                  <w14:solidFill>
                    <w14:schemeClr w14:val="tx1"/>
                  </w14:solidFill>
                </w14:textFill>
              </w:rPr>
              <w:t>投标人获得 ISO9001 质量管理体系认证</w:t>
            </w:r>
            <w:r>
              <w:rPr>
                <w:rFonts w:hint="eastAsia" w:ascii="宋体" w:hAnsi="宋体" w:eastAsia="宋体" w:cs="Times New Roman"/>
                <w:color w:val="000000" w:themeColor="text1"/>
                <w:szCs w:val="21"/>
                <w:highlight w:val="none"/>
                <w:lang w:val="en-US" w:eastAsia="zh-CN"/>
                <w14:textFill>
                  <w14:solidFill>
                    <w14:schemeClr w14:val="tx1"/>
                  </w14:solidFill>
                </w14:textFill>
              </w:rPr>
              <w:t>（认证范围需与消防相关）</w:t>
            </w:r>
            <w:r>
              <w:rPr>
                <w:rFonts w:hint="default" w:ascii="宋体" w:hAnsi="宋体" w:eastAsia="宋体" w:cs="Times New Roman"/>
                <w:color w:val="000000" w:themeColor="text1"/>
                <w:szCs w:val="21"/>
                <w:highlight w:val="none"/>
                <w:lang w:val="en-US" w:eastAsia="zh-CN"/>
                <w14:textFill>
                  <w14:solidFill>
                    <w14:schemeClr w14:val="tx1"/>
                  </w14:solidFill>
                </w14:textFill>
              </w:rPr>
              <w:t>且证书在有效期内得1分；</w:t>
            </w:r>
          </w:p>
          <w:p>
            <w:pPr>
              <w:spacing w:line="320" w:lineRule="exact"/>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2.</w:t>
            </w:r>
            <w:r>
              <w:rPr>
                <w:rFonts w:hint="default" w:ascii="宋体" w:hAnsi="宋体" w:eastAsia="宋体" w:cs="Times New Roman"/>
                <w:color w:val="000000" w:themeColor="text1"/>
                <w:szCs w:val="21"/>
                <w:highlight w:val="none"/>
                <w:lang w:val="en-US" w:eastAsia="zh-CN"/>
                <w14:textFill>
                  <w14:solidFill>
                    <w14:schemeClr w14:val="tx1"/>
                  </w14:solidFill>
                </w14:textFill>
              </w:rPr>
              <w:t>投标人获得ISO14001 环境管理体系认证</w:t>
            </w:r>
            <w:r>
              <w:rPr>
                <w:rFonts w:hint="eastAsia" w:ascii="宋体" w:hAnsi="宋体" w:eastAsia="宋体" w:cs="Times New Roman"/>
                <w:color w:val="000000" w:themeColor="text1"/>
                <w:szCs w:val="21"/>
                <w:highlight w:val="none"/>
                <w:lang w:val="en-US" w:eastAsia="zh-CN"/>
                <w14:textFill>
                  <w14:solidFill>
                    <w14:schemeClr w14:val="tx1"/>
                  </w14:solidFill>
                </w14:textFill>
              </w:rPr>
              <w:t>（认证范围需与消防相关）</w:t>
            </w:r>
            <w:r>
              <w:rPr>
                <w:rFonts w:hint="default" w:ascii="宋体" w:hAnsi="宋体" w:eastAsia="宋体" w:cs="Times New Roman"/>
                <w:color w:val="000000" w:themeColor="text1"/>
                <w:szCs w:val="21"/>
                <w:highlight w:val="none"/>
                <w:lang w:val="en-US" w:eastAsia="zh-CN"/>
                <w14:textFill>
                  <w14:solidFill>
                    <w14:schemeClr w14:val="tx1"/>
                  </w14:solidFill>
                </w14:textFill>
              </w:rPr>
              <w:t>且证书在有效期内得1分；</w:t>
            </w:r>
          </w:p>
          <w:p>
            <w:pPr>
              <w:spacing w:line="320" w:lineRule="exact"/>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3.</w:t>
            </w:r>
            <w:r>
              <w:rPr>
                <w:rFonts w:hint="default" w:ascii="宋体" w:hAnsi="宋体" w:eastAsia="宋体" w:cs="Times New Roman"/>
                <w:color w:val="000000" w:themeColor="text1"/>
                <w:szCs w:val="21"/>
                <w:highlight w:val="none"/>
                <w:lang w:val="en-US" w:eastAsia="zh-CN"/>
                <w14:textFill>
                  <w14:solidFill>
                    <w14:schemeClr w14:val="tx1"/>
                  </w14:solidFill>
                </w14:textFill>
              </w:rPr>
              <w:t>投标人获得ISO45001 职业健康安全认证</w:t>
            </w:r>
            <w:r>
              <w:rPr>
                <w:rFonts w:hint="eastAsia" w:ascii="宋体" w:hAnsi="宋体" w:eastAsia="宋体" w:cs="Times New Roman"/>
                <w:color w:val="000000" w:themeColor="text1"/>
                <w:szCs w:val="21"/>
                <w:highlight w:val="none"/>
                <w:lang w:val="en-US" w:eastAsia="zh-CN"/>
                <w14:textFill>
                  <w14:solidFill>
                    <w14:schemeClr w14:val="tx1"/>
                  </w14:solidFill>
                </w14:textFill>
              </w:rPr>
              <w:t>（认证范围需与消防相关）</w:t>
            </w:r>
            <w:r>
              <w:rPr>
                <w:rFonts w:hint="default" w:ascii="宋体" w:hAnsi="宋体" w:eastAsia="宋体" w:cs="Times New Roman"/>
                <w:color w:val="000000" w:themeColor="text1"/>
                <w:szCs w:val="21"/>
                <w:highlight w:val="none"/>
                <w:lang w:val="en-US" w:eastAsia="zh-CN"/>
                <w14:textFill>
                  <w14:solidFill>
                    <w14:schemeClr w14:val="tx1"/>
                  </w14:solidFill>
                </w14:textFill>
              </w:rPr>
              <w:t>且证书在有效期得1分；</w:t>
            </w:r>
          </w:p>
          <w:p>
            <w:pPr>
              <w:spacing w:line="320" w:lineRule="exact"/>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default" w:ascii="宋体" w:hAnsi="宋体" w:eastAsia="宋体" w:cs="Times New Roman"/>
                <w:color w:val="000000" w:themeColor="text1"/>
                <w:szCs w:val="21"/>
                <w:highlight w:val="none"/>
                <w:lang w:val="en-US" w:eastAsia="zh-CN"/>
                <w14:textFill>
                  <w14:solidFill>
                    <w14:schemeClr w14:val="tx1"/>
                  </w14:solidFill>
                </w14:textFill>
              </w:rPr>
              <w:t>投标人获得高新技术企业证书得1分；</w:t>
            </w:r>
          </w:p>
          <w:p>
            <w:pPr>
              <w:spacing w:line="320" w:lineRule="exact"/>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default" w:ascii="宋体" w:hAnsi="宋体" w:eastAsia="宋体" w:cs="Times New Roman"/>
                <w:color w:val="000000" w:themeColor="text1"/>
                <w:szCs w:val="21"/>
                <w:highlight w:val="none"/>
                <w:lang w:val="en-US" w:eastAsia="zh-CN"/>
                <w14:textFill>
                  <w14:solidFill>
                    <w14:schemeClr w14:val="tx1"/>
                  </w14:solidFill>
                </w14:textFill>
              </w:rPr>
              <w:t>投标人获得五星级售后服务认证证书且在有效期内得1分；</w:t>
            </w:r>
          </w:p>
          <w:p>
            <w:pPr>
              <w:spacing w:line="320" w:lineRule="exact"/>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（提供复印件加盖公章，</w:t>
            </w:r>
            <w:r>
              <w:rPr>
                <w:rFonts w:hint="default" w:ascii="宋体" w:hAnsi="宋体" w:eastAsia="宋体" w:cs="Times New Roman"/>
                <w:color w:val="000000" w:themeColor="text1"/>
                <w:szCs w:val="21"/>
                <w:highlight w:val="none"/>
                <w:lang w:val="en-US" w:eastAsia="zh-CN"/>
                <w14:textFill>
                  <w14:solidFill>
                    <w14:schemeClr w14:val="tx1"/>
                  </w14:solidFill>
                </w14:textFill>
              </w:rPr>
              <w:t>本项累计最高得</w:t>
            </w: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default" w:ascii="宋体" w:hAnsi="宋体" w:eastAsia="宋体" w:cs="Times New Roman"/>
                <w:color w:val="000000" w:themeColor="text1"/>
                <w:szCs w:val="21"/>
                <w:highlight w:val="none"/>
                <w:lang w:val="en-US" w:eastAsia="zh-CN"/>
                <w14:textFill>
                  <w14:solidFill>
                    <w14:schemeClr w14:val="tx1"/>
                  </w14:solidFill>
                </w14:textFill>
              </w:rPr>
              <w:t>分</w:t>
            </w:r>
            <w:r>
              <w:rPr>
                <w:rFonts w:hint="eastAsia" w:ascii="宋体" w:hAnsi="宋体" w:eastAsia="宋体" w:cs="Times New Roman"/>
                <w:color w:val="000000" w:themeColor="text1"/>
                <w:szCs w:val="21"/>
                <w:highlight w:val="none"/>
                <w:lang w:val="en-US" w:eastAsia="zh-CN"/>
                <w14:textFill>
                  <w14:solidFill>
                    <w14:schemeClr w14:val="tx1"/>
                  </w14:solidFill>
                </w14:textFill>
              </w:rPr>
              <w:t>）</w:t>
            </w:r>
          </w:p>
        </w:tc>
        <w:tc>
          <w:tcPr>
            <w:tcW w:w="932" w:type="dxa"/>
            <w:vAlign w:val="center"/>
          </w:tcPr>
          <w:p>
            <w:pPr>
              <w:spacing w:line="320" w:lineRule="exact"/>
              <w:ind w:left="-65" w:leftChars="-31" w:right="-35"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11" w:type="dxa"/>
            <w:vMerge w:val="continue"/>
            <w:vAlign w:val="center"/>
          </w:tcPr>
          <w:p>
            <w:pPr>
              <w:tabs>
                <w:tab w:val="left" w:pos="322"/>
              </w:tabs>
              <w:spacing w:line="320" w:lineRule="exact"/>
              <w:ind w:left="-42" w:right="-42" w:rightChars="-20" w:firstLine="0"/>
              <w:jc w:val="right"/>
              <w:rPr>
                <w:rFonts w:ascii="宋体" w:hAnsi="宋体" w:eastAsia="宋体" w:cs="Times New Roman"/>
                <w:b/>
                <w:color w:val="000000" w:themeColor="text1"/>
                <w:sz w:val="24"/>
                <w:highlight w:val="none"/>
                <w14:textFill>
                  <w14:solidFill>
                    <w14:schemeClr w14:val="tx1"/>
                  </w14:solidFill>
                </w14:textFill>
              </w:rPr>
            </w:pPr>
          </w:p>
        </w:tc>
        <w:tc>
          <w:tcPr>
            <w:tcW w:w="1334" w:type="dxa"/>
            <w:vAlign w:val="center"/>
          </w:tcPr>
          <w:p>
            <w:pPr>
              <w:ind w:left="-21" w:leftChars="-10" w:right="-21" w:rightChars="-10"/>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供货方案</w:t>
            </w:r>
          </w:p>
        </w:tc>
        <w:tc>
          <w:tcPr>
            <w:tcW w:w="531" w:type="dxa"/>
            <w:vAlign w:val="center"/>
          </w:tcPr>
          <w:p>
            <w:pPr>
              <w:spacing w:line="320" w:lineRule="exact"/>
              <w:ind w:left="-48" w:leftChars="-23" w:right="-35" w:rightChars="-17"/>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p>
        </w:tc>
        <w:tc>
          <w:tcPr>
            <w:tcW w:w="6332" w:type="dxa"/>
            <w:vAlign w:val="center"/>
          </w:tcPr>
          <w:p>
            <w:pPr>
              <w:pStyle w:val="2"/>
              <w:numPr>
                <w:ilvl w:val="0"/>
                <w:numId w:val="0"/>
              </w:numPr>
              <w:jc w:val="both"/>
              <w:rPr>
                <w:rFonts w:hint="default"/>
                <w:highlight w:val="none"/>
                <w:lang w:val="en-US" w:eastAsia="zh-CN"/>
              </w:rPr>
            </w:pPr>
            <w:r>
              <w:rPr>
                <w:rFonts w:hint="eastAsia"/>
                <w:highlight w:val="none"/>
                <w:lang w:val="en-US" w:eastAsia="zh-CN"/>
              </w:rPr>
              <w:t>投标人提供的供货方案，安排合理</w:t>
            </w:r>
            <w:r>
              <w:rPr>
                <w:rFonts w:hint="default" w:eastAsia="宋体" w:asciiTheme="minorEastAsia" w:hAnsiTheme="minorEastAsia" w:cstheme="minorEastAsia"/>
                <w:color w:val="000000" w:themeColor="text1"/>
                <w:sz w:val="21"/>
                <w:szCs w:val="21"/>
                <w:highlight w:val="none"/>
                <w:lang w:val="en-US" w:eastAsia="zh-CN"/>
                <w14:textFill>
                  <w14:solidFill>
                    <w14:schemeClr w14:val="tx1"/>
                  </w14:solidFill>
                </w14:textFill>
              </w:rPr>
              <w:t>，针对性强得</w:t>
            </w:r>
            <w:r>
              <w:rPr>
                <w:rFonts w:hint="eastAsia" w:eastAsia="宋体" w:asciiTheme="minorEastAsia" w:hAnsiTheme="minorEastAsia" w:cstheme="minorEastAsia"/>
                <w:color w:val="000000" w:themeColor="text1"/>
                <w:sz w:val="21"/>
                <w:szCs w:val="21"/>
                <w:highlight w:val="none"/>
                <w:lang w:val="en-US" w:eastAsia="zh-CN"/>
                <w14:textFill>
                  <w14:solidFill>
                    <w14:schemeClr w14:val="tx1"/>
                  </w14:solidFill>
                </w14:textFill>
              </w:rPr>
              <w:t>3-4</w:t>
            </w:r>
            <w:r>
              <w:rPr>
                <w:rFonts w:hint="default" w:eastAsia="宋体" w:asciiTheme="minorEastAsia" w:hAnsiTheme="minorEastAsia" w:cstheme="minorEastAsia"/>
                <w:color w:val="000000" w:themeColor="text1"/>
                <w:sz w:val="21"/>
                <w:szCs w:val="21"/>
                <w:highlight w:val="none"/>
                <w:lang w:val="en-US" w:eastAsia="zh-CN"/>
                <w14:textFill>
                  <w14:solidFill>
                    <w14:schemeClr w14:val="tx1"/>
                  </w14:solidFill>
                </w14:textFill>
              </w:rPr>
              <w:t>分；方案基本合理，有一定针对性得</w:t>
            </w:r>
            <w:r>
              <w:rPr>
                <w:rFonts w:hint="eastAsia" w:eastAsia="宋体" w:asciiTheme="minorEastAsia" w:hAnsiTheme="minorEastAsia" w:cstheme="minorEastAsia"/>
                <w:color w:val="000000" w:themeColor="text1"/>
                <w:sz w:val="21"/>
                <w:szCs w:val="21"/>
                <w:highlight w:val="none"/>
                <w:lang w:val="en-US" w:eastAsia="zh-CN"/>
                <w14:textFill>
                  <w14:solidFill>
                    <w14:schemeClr w14:val="tx1"/>
                  </w14:solidFill>
                </w14:textFill>
              </w:rPr>
              <w:t>1-2</w:t>
            </w:r>
            <w:r>
              <w:rPr>
                <w:rFonts w:hint="default" w:eastAsia="宋体" w:asciiTheme="minorEastAsia" w:hAnsiTheme="minorEastAsia" w:cstheme="minorEastAsia"/>
                <w:color w:val="000000" w:themeColor="text1"/>
                <w:sz w:val="21"/>
                <w:szCs w:val="21"/>
                <w:highlight w:val="none"/>
                <w:lang w:val="en-US" w:eastAsia="zh-CN"/>
                <w14:textFill>
                  <w14:solidFill>
                    <w14:schemeClr w14:val="tx1"/>
                  </w14:solidFill>
                </w14:textFill>
              </w:rPr>
              <w:t>分；方案简单得</w:t>
            </w:r>
            <w:r>
              <w:rPr>
                <w:rFonts w:hint="eastAsia" w:eastAsia="宋体" w:asciiTheme="minorEastAsia" w:hAnsiTheme="minorEastAsia" w:cstheme="minorEastAsia"/>
                <w:color w:val="000000" w:themeColor="text1"/>
                <w:sz w:val="21"/>
                <w:szCs w:val="21"/>
                <w:highlight w:val="none"/>
                <w:lang w:val="en-US" w:eastAsia="zh-CN"/>
                <w14:textFill>
                  <w14:solidFill>
                    <w14:schemeClr w14:val="tx1"/>
                  </w14:solidFill>
                </w14:textFill>
              </w:rPr>
              <w:t>0-0.5</w:t>
            </w:r>
            <w:r>
              <w:rPr>
                <w:rFonts w:hint="default" w:eastAsia="宋体" w:asciiTheme="minorEastAsia" w:hAnsiTheme="minorEastAsia" w:cstheme="minorEastAsia"/>
                <w:color w:val="000000" w:themeColor="text1"/>
                <w:sz w:val="21"/>
                <w:szCs w:val="21"/>
                <w:highlight w:val="none"/>
                <w:lang w:val="en-US" w:eastAsia="zh-CN"/>
                <w14:textFill>
                  <w14:solidFill>
                    <w14:schemeClr w14:val="tx1"/>
                  </w14:solidFill>
                </w14:textFill>
              </w:rPr>
              <w:t>分。</w:t>
            </w:r>
          </w:p>
        </w:tc>
        <w:tc>
          <w:tcPr>
            <w:tcW w:w="932" w:type="dxa"/>
            <w:vAlign w:val="center"/>
          </w:tcPr>
          <w:p>
            <w:pPr>
              <w:spacing w:line="320" w:lineRule="exact"/>
              <w:ind w:left="-65" w:leftChars="-31" w:right="-35"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611" w:type="dxa"/>
            <w:vMerge w:val="continue"/>
            <w:vAlign w:val="center"/>
          </w:tcPr>
          <w:p>
            <w:pPr>
              <w:tabs>
                <w:tab w:val="left" w:pos="322"/>
              </w:tabs>
              <w:spacing w:line="320" w:lineRule="exact"/>
              <w:ind w:left="-42" w:right="-42" w:rightChars="-20" w:firstLine="0"/>
              <w:jc w:val="right"/>
              <w:rPr>
                <w:rFonts w:ascii="宋体" w:hAnsi="宋体" w:eastAsia="宋体" w:cs="Times New Roman"/>
                <w:b/>
                <w:color w:val="000000" w:themeColor="text1"/>
                <w:sz w:val="24"/>
                <w:highlight w:val="none"/>
                <w14:textFill>
                  <w14:solidFill>
                    <w14:schemeClr w14:val="tx1"/>
                  </w14:solidFill>
                </w14:textFill>
              </w:rPr>
            </w:pPr>
          </w:p>
        </w:tc>
        <w:tc>
          <w:tcPr>
            <w:tcW w:w="1334" w:type="dxa"/>
            <w:vAlign w:val="center"/>
          </w:tcPr>
          <w:p>
            <w:pPr>
              <w:ind w:left="-21" w:leftChars="-10" w:right="-21" w:rightChars="-1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售后服务</w:t>
            </w:r>
          </w:p>
        </w:tc>
        <w:tc>
          <w:tcPr>
            <w:tcW w:w="531" w:type="dxa"/>
            <w:vAlign w:val="center"/>
          </w:tcPr>
          <w:p>
            <w:pPr>
              <w:spacing w:line="320" w:lineRule="exact"/>
              <w:ind w:left="-48" w:leftChars="-23" w:right="-35" w:rightChars="-17"/>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9</w:t>
            </w:r>
          </w:p>
        </w:tc>
        <w:tc>
          <w:tcPr>
            <w:tcW w:w="6332" w:type="dxa"/>
            <w:vAlign w:val="center"/>
          </w:tcPr>
          <w:p>
            <w:pPr>
              <w:spacing w:line="320" w:lineRule="exact"/>
              <w:rPr>
                <w:rFonts w:hint="default" w:eastAsia="宋体"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default" w:eastAsia="宋体" w:asciiTheme="minorEastAsia" w:hAnsiTheme="minorEastAsia" w:cstheme="minorEastAsia"/>
                <w:color w:val="000000" w:themeColor="text1"/>
                <w:sz w:val="21"/>
                <w:szCs w:val="21"/>
                <w:highlight w:val="none"/>
                <w:lang w:val="en-US" w:eastAsia="zh-CN"/>
                <w14:textFill>
                  <w14:solidFill>
                    <w14:schemeClr w14:val="tx1"/>
                  </w14:solidFill>
                </w14:textFill>
              </w:rPr>
              <w:t>1.投标人在湖北地区设立售后服务</w:t>
            </w:r>
            <w:r>
              <w:rPr>
                <w:rFonts w:hint="eastAsia" w:eastAsia="宋体" w:asciiTheme="minorEastAsia" w:hAnsiTheme="minorEastAsia" w:cstheme="minorEastAsia"/>
                <w:color w:val="000000" w:themeColor="text1"/>
                <w:sz w:val="21"/>
                <w:szCs w:val="21"/>
                <w:highlight w:val="none"/>
                <w:lang w:val="en-US" w:eastAsia="zh-CN"/>
                <w14:textFill>
                  <w14:solidFill>
                    <w14:schemeClr w14:val="tx1"/>
                  </w14:solidFill>
                </w14:textFill>
              </w:rPr>
              <w:t>网点</w:t>
            </w:r>
            <w:r>
              <w:rPr>
                <w:rFonts w:hint="default" w:eastAsia="宋体" w:asciiTheme="minorEastAsia" w:hAnsiTheme="minorEastAsia" w:cstheme="minorEastAsia"/>
                <w:color w:val="000000" w:themeColor="text1"/>
                <w:sz w:val="21"/>
                <w:szCs w:val="21"/>
                <w:highlight w:val="none"/>
                <w:lang w:val="en-US" w:eastAsia="zh-CN"/>
                <w14:textFill>
                  <w14:solidFill>
                    <w14:schemeClr w14:val="tx1"/>
                  </w14:solidFill>
                </w14:textFill>
              </w:rPr>
              <w:t>得2分，没有不得分。</w:t>
            </w:r>
            <w:r>
              <w:rPr>
                <w:rFonts w:hint="eastAsia" w:eastAsia="宋体" w:asciiTheme="minorEastAsia" w:hAnsiTheme="minorEastAsia" w:cstheme="minorEastAsia"/>
                <w:color w:val="000000" w:themeColor="text1"/>
                <w:sz w:val="21"/>
                <w:szCs w:val="21"/>
                <w:highlight w:val="none"/>
                <w:lang w:val="en-US" w:eastAsia="zh-CN"/>
                <w14:textFill>
                  <w14:solidFill>
                    <w14:schemeClr w14:val="tx1"/>
                  </w14:solidFill>
                </w14:textFill>
              </w:rPr>
              <w:t>（提供证明材料并加盖公章）</w:t>
            </w:r>
          </w:p>
          <w:p>
            <w:pPr>
              <w:spacing w:line="320" w:lineRule="exact"/>
              <w:rPr>
                <w:rFonts w:hint="default" w:eastAsia="宋体"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default" w:eastAsia="宋体" w:asciiTheme="minorEastAsia" w:hAnsiTheme="minorEastAsia" w:cstheme="minorEastAsia"/>
                <w:color w:val="000000" w:themeColor="text1"/>
                <w:sz w:val="21"/>
                <w:szCs w:val="21"/>
                <w:highlight w:val="none"/>
                <w:lang w:val="en-US" w:eastAsia="zh-CN"/>
                <w14:textFill>
                  <w14:solidFill>
                    <w14:schemeClr w14:val="tx1"/>
                  </w14:solidFill>
                </w14:textFill>
              </w:rPr>
              <w:t>2</w:t>
            </w:r>
            <w:r>
              <w:rPr>
                <w:rFonts w:hint="eastAsia" w:eastAsia="宋体" w:asciiTheme="minorEastAsia" w:hAnsiTheme="minorEastAsia" w:cstheme="minorEastAsia"/>
                <w:color w:val="000000" w:themeColor="text1"/>
                <w:sz w:val="21"/>
                <w:szCs w:val="21"/>
                <w:highlight w:val="none"/>
                <w:lang w:val="en-US" w:eastAsia="zh-CN"/>
                <w14:textFill>
                  <w14:solidFill>
                    <w14:schemeClr w14:val="tx1"/>
                  </w14:solidFill>
                </w14:textFill>
              </w:rPr>
              <w:t>.投标人为本项目</w:t>
            </w:r>
            <w:r>
              <w:rPr>
                <w:rFonts w:hint="default" w:eastAsia="宋体" w:asciiTheme="minorEastAsia" w:hAnsiTheme="minorEastAsia" w:cstheme="minorEastAsia"/>
                <w:color w:val="000000" w:themeColor="text1"/>
                <w:sz w:val="21"/>
                <w:szCs w:val="21"/>
                <w:highlight w:val="none"/>
                <w:lang w:val="en-US" w:eastAsia="zh-CN"/>
                <w14:textFill>
                  <w14:solidFill>
                    <w14:schemeClr w14:val="tx1"/>
                  </w14:solidFill>
                </w14:textFill>
              </w:rPr>
              <w:t>配备售后服务人员1人的得1分，</w:t>
            </w:r>
            <w:r>
              <w:rPr>
                <w:rFonts w:hint="eastAsia" w:eastAsia="宋体" w:asciiTheme="minorEastAsia" w:hAnsiTheme="minorEastAsia" w:cstheme="minorEastAsia"/>
                <w:color w:val="000000" w:themeColor="text1"/>
                <w:sz w:val="21"/>
                <w:szCs w:val="21"/>
                <w:highlight w:val="none"/>
                <w:lang w:val="en-US" w:eastAsia="zh-CN"/>
                <w14:textFill>
                  <w14:solidFill>
                    <w14:schemeClr w14:val="tx1"/>
                  </w14:solidFill>
                </w14:textFill>
              </w:rPr>
              <w:t>之后</w:t>
            </w:r>
            <w:r>
              <w:rPr>
                <w:rFonts w:hint="default" w:eastAsia="宋体" w:asciiTheme="minorEastAsia" w:hAnsiTheme="minorEastAsia" w:cstheme="minorEastAsia"/>
                <w:color w:val="000000" w:themeColor="text1"/>
                <w:sz w:val="21"/>
                <w:szCs w:val="21"/>
                <w:highlight w:val="none"/>
                <w:lang w:val="en-US" w:eastAsia="zh-CN"/>
                <w14:textFill>
                  <w14:solidFill>
                    <w14:schemeClr w14:val="tx1"/>
                  </w14:solidFill>
                </w14:textFill>
              </w:rPr>
              <w:t>每增加2人</w:t>
            </w:r>
            <w:r>
              <w:rPr>
                <w:rFonts w:hint="eastAsia" w:eastAsia="宋体" w:asciiTheme="minorEastAsia" w:hAnsiTheme="minorEastAsia" w:cstheme="minorEastAsia"/>
                <w:color w:val="000000" w:themeColor="text1"/>
                <w:sz w:val="21"/>
                <w:szCs w:val="21"/>
                <w:highlight w:val="none"/>
                <w:lang w:val="en-US" w:eastAsia="zh-CN"/>
                <w14:textFill>
                  <w14:solidFill>
                    <w14:schemeClr w14:val="tx1"/>
                  </w14:solidFill>
                </w14:textFill>
              </w:rPr>
              <w:t>得</w:t>
            </w:r>
            <w:r>
              <w:rPr>
                <w:rFonts w:hint="default" w:eastAsia="宋体" w:asciiTheme="minorEastAsia" w:hAnsiTheme="minorEastAsia" w:cstheme="minorEastAsia"/>
                <w:color w:val="000000" w:themeColor="text1"/>
                <w:sz w:val="21"/>
                <w:szCs w:val="21"/>
                <w:highlight w:val="none"/>
                <w:lang w:val="en-US" w:eastAsia="zh-CN"/>
                <w14:textFill>
                  <w14:solidFill>
                    <w14:schemeClr w14:val="tx1"/>
                  </w14:solidFill>
                </w14:textFill>
              </w:rPr>
              <w:t>0.5分，</w:t>
            </w:r>
            <w:r>
              <w:rPr>
                <w:rFonts w:hint="eastAsia" w:eastAsia="宋体" w:asciiTheme="minorEastAsia" w:hAnsiTheme="minorEastAsia" w:cstheme="minorEastAsia"/>
                <w:color w:val="000000" w:themeColor="text1"/>
                <w:sz w:val="21"/>
                <w:szCs w:val="21"/>
                <w:highlight w:val="none"/>
                <w:lang w:val="en-US" w:eastAsia="zh-CN"/>
                <w14:textFill>
                  <w14:solidFill>
                    <w14:schemeClr w14:val="tx1"/>
                  </w14:solidFill>
                </w14:textFill>
              </w:rPr>
              <w:t>最</w:t>
            </w:r>
            <w:r>
              <w:rPr>
                <w:rFonts w:hint="default" w:eastAsia="宋体" w:asciiTheme="minorEastAsia" w:hAnsiTheme="minorEastAsia" w:cstheme="minorEastAsia"/>
                <w:color w:val="000000" w:themeColor="text1"/>
                <w:sz w:val="21"/>
                <w:szCs w:val="21"/>
                <w:highlight w:val="none"/>
                <w:lang w:val="en-US" w:eastAsia="zh-CN"/>
                <w14:textFill>
                  <w14:solidFill>
                    <w14:schemeClr w14:val="tx1"/>
                  </w14:solidFill>
                </w14:textFill>
              </w:rPr>
              <w:t>多得4分。（提供配备人员身份信息、联系方式、劳务合同、社保证明复印件并加盖投标人公章）</w:t>
            </w:r>
          </w:p>
          <w:p>
            <w:pPr>
              <w:spacing w:line="320" w:lineRule="exact"/>
              <w:rPr>
                <w:rFonts w:hint="default" w:eastAsia="宋体"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eastAsia="宋体"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default" w:eastAsia="宋体"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投标人提供</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的</w:t>
            </w:r>
            <w:r>
              <w:rPr>
                <w:rFonts w:hint="default" w:eastAsia="宋体" w:asciiTheme="minorEastAsia" w:hAnsiTheme="minorEastAsia" w:cstheme="minorEastAsia"/>
                <w:color w:val="000000" w:themeColor="text1"/>
                <w:sz w:val="21"/>
                <w:szCs w:val="21"/>
                <w:highlight w:val="none"/>
                <w:lang w:val="en-US" w:eastAsia="zh-CN"/>
                <w14:textFill>
                  <w14:solidFill>
                    <w14:schemeClr w14:val="tx1"/>
                  </w14:solidFill>
                </w14:textFill>
              </w:rPr>
              <w:t>售后服务措施及质量保障方案，</w:t>
            </w:r>
            <w:r>
              <w:rPr>
                <w:rFonts w:hint="eastAsia" w:eastAsia="宋体" w:asciiTheme="minorEastAsia" w:hAnsiTheme="minorEastAsia" w:cstheme="minorEastAsia"/>
                <w:color w:val="000000" w:themeColor="text1"/>
                <w:sz w:val="21"/>
                <w:szCs w:val="21"/>
                <w:highlight w:val="none"/>
                <w:lang w:val="en-US" w:eastAsia="zh-CN"/>
                <w14:textFill>
                  <w14:solidFill>
                    <w14:schemeClr w14:val="tx1"/>
                  </w14:solidFill>
                </w14:textFill>
              </w:rPr>
              <w:t>完善</w:t>
            </w:r>
            <w:r>
              <w:rPr>
                <w:rFonts w:hint="default" w:eastAsia="宋体" w:asciiTheme="minorEastAsia" w:hAnsiTheme="minorEastAsia" w:cstheme="minorEastAsia"/>
                <w:color w:val="000000" w:themeColor="text1"/>
                <w:sz w:val="21"/>
                <w:szCs w:val="21"/>
                <w:highlight w:val="none"/>
                <w:lang w:val="en-US" w:eastAsia="zh-CN"/>
                <w14:textFill>
                  <w14:solidFill>
                    <w14:schemeClr w14:val="tx1"/>
                  </w14:solidFill>
                </w14:textFill>
              </w:rPr>
              <w:t>合理，针对性强得3分；方案基本合理，有一定针对性得2分；方案简单得</w:t>
            </w:r>
            <w:r>
              <w:rPr>
                <w:rFonts w:hint="eastAsia" w:eastAsia="宋体"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default" w:eastAsia="宋体" w:asciiTheme="minorEastAsia" w:hAnsiTheme="minorEastAsia" w:cstheme="minorEastAsia"/>
                <w:color w:val="000000" w:themeColor="text1"/>
                <w:sz w:val="21"/>
                <w:szCs w:val="21"/>
                <w:highlight w:val="none"/>
                <w:lang w:val="en-US" w:eastAsia="zh-CN"/>
                <w14:textFill>
                  <w14:solidFill>
                    <w14:schemeClr w14:val="tx1"/>
                  </w14:solidFill>
                </w14:textFill>
              </w:rPr>
              <w:t>分。</w:t>
            </w:r>
          </w:p>
        </w:tc>
        <w:tc>
          <w:tcPr>
            <w:tcW w:w="932" w:type="dxa"/>
            <w:vAlign w:val="center"/>
          </w:tcPr>
          <w:p>
            <w:pPr>
              <w:spacing w:line="320" w:lineRule="exact"/>
              <w:ind w:left="-65" w:leftChars="-31" w:right="-35"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76" w:type="dxa"/>
            <w:gridSpan w:val="3"/>
            <w:vAlign w:val="center"/>
          </w:tcPr>
          <w:p>
            <w:pPr>
              <w:spacing w:line="320" w:lineRule="exact"/>
              <w:ind w:left="-48" w:leftChars="-23" w:right="-35" w:rightChars="-17"/>
              <w:jc w:val="center"/>
              <w:rPr>
                <w:rFonts w:ascii="宋体" w:hAnsi="宋体" w:eastAsia="宋体" w:cs="Times New Roman"/>
                <w:b/>
                <w:color w:val="FF0000"/>
                <w:sz w:val="24"/>
                <w:highlight w:val="none"/>
              </w:rPr>
            </w:pPr>
            <w:r>
              <w:rPr>
                <w:rFonts w:hint="eastAsia" w:ascii="宋体" w:hAnsi="宋体" w:eastAsia="宋体" w:cs="Times New Roman"/>
                <w:b/>
                <w:color w:val="FF0000"/>
                <w:sz w:val="24"/>
                <w:highlight w:val="none"/>
              </w:rPr>
              <w:t>商务分合计</w:t>
            </w:r>
          </w:p>
        </w:tc>
        <w:tc>
          <w:tcPr>
            <w:tcW w:w="7264" w:type="dxa"/>
            <w:gridSpan w:val="2"/>
            <w:vAlign w:val="center"/>
          </w:tcPr>
          <w:p>
            <w:pPr>
              <w:spacing w:line="320" w:lineRule="exact"/>
              <w:ind w:left="-65" w:leftChars="-31" w:right="-35" w:rightChars="-17"/>
              <w:jc w:val="center"/>
              <w:rPr>
                <w:rFonts w:hint="default" w:ascii="宋体" w:hAnsi="宋体" w:eastAsia="宋体" w:cs="Times New Roman"/>
                <w:b/>
                <w:color w:val="000000" w:themeColor="text1"/>
                <w:szCs w:val="21"/>
                <w:highlight w:val="none"/>
                <w:lang w:val="en-US" w:eastAsia="zh-CN"/>
                <w14:textFill>
                  <w14:solidFill>
                    <w14:schemeClr w14:val="tx1"/>
                  </w14:solidFill>
                </w14:textFill>
              </w:rPr>
            </w:pPr>
            <w:r>
              <w:rPr>
                <w:rFonts w:hint="eastAsia" w:ascii="宋体" w:hAnsi="宋体" w:eastAsia="宋体" w:cs="Times New Roman"/>
                <w:b/>
                <w:color w:val="000000" w:themeColor="text1"/>
                <w:szCs w:val="21"/>
                <w:highlight w:val="none"/>
                <w:lang w:val="en-US" w:eastAsia="zh-CN"/>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Merge w:val="restart"/>
            <w:shd w:val="pct10" w:color="auto" w:fill="auto"/>
            <w:vAlign w:val="center"/>
          </w:tcPr>
          <w:p>
            <w:pPr>
              <w:tabs>
                <w:tab w:val="left" w:pos="322"/>
              </w:tabs>
              <w:spacing w:line="320" w:lineRule="exact"/>
              <w:ind w:left="-42" w:right="-42" w:rightChars="-20"/>
              <w:jc w:val="right"/>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8"/>
                <w:szCs w:val="28"/>
                <w:highlight w:val="none"/>
                <w14:textFill>
                  <w14:solidFill>
                    <w14:schemeClr w14:val="tx1"/>
                  </w14:solidFill>
                </w14:textFill>
              </w:rPr>
              <w:t>技术服务评议</w:t>
            </w:r>
          </w:p>
        </w:tc>
        <w:tc>
          <w:tcPr>
            <w:tcW w:w="1334" w:type="dxa"/>
            <w:shd w:val="pct10" w:color="auto" w:fill="auto"/>
            <w:vAlign w:val="center"/>
          </w:tcPr>
          <w:p>
            <w:pPr>
              <w:ind w:left="-77" w:leftChars="-37" w:right="-86" w:rightChars="-41"/>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531" w:type="dxa"/>
            <w:shd w:val="pct10" w:color="auto" w:fill="auto"/>
            <w:vAlign w:val="center"/>
          </w:tcPr>
          <w:p>
            <w:pPr>
              <w:ind w:left="-73" w:leftChars="-35" w:right="-79" w:rightChars="-38"/>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分值</w:t>
            </w:r>
          </w:p>
        </w:tc>
        <w:tc>
          <w:tcPr>
            <w:tcW w:w="6332" w:type="dxa"/>
            <w:shd w:val="pct10" w:color="auto" w:fill="auto"/>
            <w:vAlign w:val="center"/>
          </w:tcPr>
          <w:p>
            <w:pPr>
              <w:ind w:left="-77" w:leftChars="-37" w:right="-86" w:rightChars="-41"/>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评分标准</w:t>
            </w:r>
          </w:p>
        </w:tc>
        <w:tc>
          <w:tcPr>
            <w:tcW w:w="932" w:type="dxa"/>
            <w:shd w:val="pct10" w:color="auto" w:fill="auto"/>
            <w:vAlign w:val="center"/>
          </w:tcPr>
          <w:p>
            <w:pPr>
              <w:spacing w:line="280" w:lineRule="exact"/>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因素</w:t>
            </w:r>
          </w:p>
          <w:p>
            <w:pPr>
              <w:spacing w:line="280" w:lineRule="exact"/>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tabs>
                <w:tab w:val="left" w:pos="322"/>
              </w:tabs>
              <w:spacing w:line="320" w:lineRule="exact"/>
              <w:ind w:left="-42" w:right="-42" w:rightChars="-20"/>
              <w:jc w:val="right"/>
              <w:rPr>
                <w:rFonts w:ascii="宋体" w:hAnsi="宋体" w:eastAsia="宋体" w:cs="Times New Roman"/>
                <w:b/>
                <w:color w:val="000000" w:themeColor="text1"/>
                <w:sz w:val="24"/>
                <w:highlight w:val="none"/>
                <w14:textFill>
                  <w14:solidFill>
                    <w14:schemeClr w14:val="tx1"/>
                  </w14:solidFill>
                </w14:textFill>
              </w:rPr>
            </w:pPr>
          </w:p>
        </w:tc>
        <w:tc>
          <w:tcPr>
            <w:tcW w:w="1334" w:type="dxa"/>
            <w:shd w:val="clear" w:color="auto" w:fill="auto"/>
            <w:vAlign w:val="center"/>
          </w:tcPr>
          <w:p>
            <w:pPr>
              <w:ind w:left="-21" w:leftChars="-10" w:right="-21" w:rightChars="-1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sz w:val="21"/>
                <w:szCs w:val="21"/>
                <w:highlight w:val="none"/>
              </w:rPr>
              <w:t>技术响应</w:t>
            </w:r>
          </w:p>
        </w:tc>
        <w:tc>
          <w:tcPr>
            <w:tcW w:w="531" w:type="dxa"/>
            <w:shd w:val="clear" w:color="auto" w:fill="auto"/>
            <w:vAlign w:val="center"/>
          </w:tcPr>
          <w:p>
            <w:pPr>
              <w:spacing w:line="320" w:lineRule="exact"/>
              <w:ind w:left="-48" w:leftChars="-23" w:right="-35" w:rightChars="-17"/>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35</w:t>
            </w:r>
          </w:p>
        </w:tc>
        <w:tc>
          <w:tcPr>
            <w:tcW w:w="6332" w:type="dxa"/>
            <w:shd w:val="clear" w:color="auto" w:fill="auto"/>
            <w:vAlign w:val="center"/>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kern w:val="0"/>
                <w:sz w:val="21"/>
                <w:szCs w:val="21"/>
                <w:highlight w:val="none"/>
              </w:rPr>
              <w:t>完全满足用户的要求，或有优于用户的技术参数（投标人需提供所投产品的彩页样本或检验报告，如投标人技术响应内容与产品彩页样本或检验报告不一致的本项得0分），且能详细描述，综合评价最优的得</w:t>
            </w:r>
            <w:r>
              <w:rPr>
                <w:rFonts w:hint="eastAsia" w:asciiTheme="minorEastAsia" w:hAnsiTheme="minorEastAsia" w:cstheme="minorEastAsia"/>
                <w:kern w:val="0"/>
                <w:sz w:val="21"/>
                <w:szCs w:val="21"/>
                <w:highlight w:val="none"/>
                <w:lang w:val="en-US" w:eastAsia="zh-CN"/>
              </w:rPr>
              <w:t>35</w:t>
            </w:r>
            <w:r>
              <w:rPr>
                <w:rFonts w:hint="eastAsia" w:asciiTheme="minorEastAsia" w:hAnsiTheme="minorEastAsia" w:eastAsiaTheme="minorEastAsia" w:cstheme="minorEastAsia"/>
                <w:kern w:val="0"/>
                <w:sz w:val="21"/>
                <w:szCs w:val="21"/>
                <w:highlight w:val="none"/>
              </w:rPr>
              <w:t>分。</w:t>
            </w:r>
          </w:p>
          <w:p>
            <w:pPr>
              <w:spacing w:line="32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b/>
                <w:color w:val="000000"/>
                <w:sz w:val="21"/>
                <w:szCs w:val="21"/>
                <w:highlight w:val="none"/>
              </w:rPr>
              <w:t>＊</w:t>
            </w:r>
            <w:r>
              <w:rPr>
                <w:rFonts w:hint="eastAsia" w:asciiTheme="minorEastAsia" w:hAnsiTheme="minorEastAsia" w:eastAsiaTheme="minorEastAsia" w:cstheme="minorEastAsia"/>
                <w:sz w:val="21"/>
                <w:szCs w:val="21"/>
                <w:highlight w:val="none"/>
              </w:rPr>
              <w:t>”号标识的条款，为重要技术参数，每一项负偏离，扣</w:t>
            </w: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分；其他参数，每一项负偏离，扣</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分，扣完</w:t>
            </w:r>
            <w:r>
              <w:rPr>
                <w:rFonts w:hint="eastAsia" w:asciiTheme="minorEastAsia" w:hAnsiTheme="minorEastAsia" w:cstheme="minorEastAsia"/>
                <w:sz w:val="21"/>
                <w:szCs w:val="21"/>
                <w:highlight w:val="none"/>
                <w:lang w:val="en-US" w:eastAsia="zh-CN"/>
              </w:rPr>
              <w:t>35</w:t>
            </w:r>
            <w:r>
              <w:rPr>
                <w:rFonts w:hint="eastAsia" w:asciiTheme="minorEastAsia" w:hAnsiTheme="minorEastAsia" w:eastAsiaTheme="minorEastAsia" w:cstheme="minorEastAsia"/>
                <w:sz w:val="21"/>
                <w:szCs w:val="21"/>
                <w:highlight w:val="none"/>
              </w:rPr>
              <w:t>分为止。</w:t>
            </w:r>
          </w:p>
        </w:tc>
        <w:tc>
          <w:tcPr>
            <w:tcW w:w="932" w:type="dxa"/>
            <w:vAlign w:val="center"/>
          </w:tcPr>
          <w:p>
            <w:pPr>
              <w:spacing w:line="320" w:lineRule="exact"/>
              <w:ind w:left="-65" w:leftChars="-31" w:right="-35"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jc w:val="center"/>
        </w:trPr>
        <w:tc>
          <w:tcPr>
            <w:tcW w:w="611" w:type="dxa"/>
            <w:vMerge w:val="continue"/>
            <w:vAlign w:val="center"/>
          </w:tcPr>
          <w:p>
            <w:pPr>
              <w:tabs>
                <w:tab w:val="left" w:pos="322"/>
              </w:tabs>
              <w:spacing w:line="320" w:lineRule="exact"/>
              <w:ind w:left="-42" w:right="-42" w:rightChars="-20"/>
              <w:jc w:val="right"/>
              <w:rPr>
                <w:rFonts w:ascii="宋体" w:hAnsi="宋体" w:eastAsia="宋体" w:cs="Times New Roman"/>
                <w:b/>
                <w:color w:val="000000" w:themeColor="text1"/>
                <w:sz w:val="24"/>
                <w:highlight w:val="none"/>
                <w14:textFill>
                  <w14:solidFill>
                    <w14:schemeClr w14:val="tx1"/>
                  </w14:solidFill>
                </w14:textFill>
              </w:rPr>
            </w:pPr>
          </w:p>
        </w:tc>
        <w:tc>
          <w:tcPr>
            <w:tcW w:w="1334" w:type="dxa"/>
            <w:shd w:val="clear" w:color="auto" w:fill="auto"/>
            <w:vAlign w:val="center"/>
          </w:tcPr>
          <w:p>
            <w:pPr>
              <w:ind w:left="-21" w:leftChars="-10" w:right="-21" w:rightChars="-10"/>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样品</w:t>
            </w:r>
          </w:p>
        </w:tc>
        <w:tc>
          <w:tcPr>
            <w:tcW w:w="531" w:type="dxa"/>
            <w:shd w:val="clear" w:color="auto" w:fill="auto"/>
            <w:vAlign w:val="center"/>
          </w:tcPr>
          <w:p>
            <w:pPr>
              <w:spacing w:line="320" w:lineRule="exact"/>
              <w:ind w:left="-48" w:leftChars="-23" w:right="-35" w:rightChars="-17"/>
              <w:jc w:val="center"/>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w:t>
            </w:r>
          </w:p>
        </w:tc>
        <w:tc>
          <w:tcPr>
            <w:tcW w:w="6332" w:type="dxa"/>
            <w:shd w:val="clear" w:color="auto" w:fill="auto"/>
            <w:vAlign w:val="center"/>
          </w:tcPr>
          <w:p>
            <w:pPr>
              <w:spacing w:line="320" w:lineRule="exact"/>
              <w:rPr>
                <w:rFonts w:hint="eastAsia"/>
                <w:highlight w:val="none"/>
              </w:rPr>
            </w:pPr>
            <w:r>
              <w:rPr>
                <w:rFonts w:hint="eastAsia"/>
                <w:highlight w:val="none"/>
              </w:rPr>
              <w:t>通过感官、触摸、测试、试用等方式，考评</w:t>
            </w:r>
            <w:r>
              <w:rPr>
                <w:rFonts w:hint="eastAsia"/>
                <w:highlight w:val="none"/>
                <w:lang w:val="en-US" w:eastAsia="zh-CN"/>
              </w:rPr>
              <w:t>每个样</w:t>
            </w:r>
            <w:r>
              <w:rPr>
                <w:rFonts w:hint="eastAsia"/>
                <w:highlight w:val="none"/>
              </w:rPr>
              <w:t>品的①材质；②制作工艺水平；③外观；④产品标志、标示信息完整牢固性等。样品各项性能完备的得10分，每有一项或一处存在瑕疵或不符合使用需求的，扣2分，扣完为止。本项最</w:t>
            </w:r>
            <w:r>
              <w:rPr>
                <w:rFonts w:hint="eastAsia"/>
                <w:highlight w:val="none"/>
                <w:lang w:val="en-US" w:eastAsia="zh-CN"/>
              </w:rPr>
              <w:t>高</w:t>
            </w:r>
            <w:r>
              <w:rPr>
                <w:rFonts w:hint="eastAsia"/>
                <w:highlight w:val="none"/>
              </w:rPr>
              <w:t>得10分。</w:t>
            </w:r>
          </w:p>
          <w:p>
            <w:pPr>
              <w:pStyle w:val="2"/>
              <w:rPr>
                <w:rFonts w:hint="eastAsia"/>
                <w:highlight w:val="none"/>
              </w:rPr>
            </w:pPr>
            <w:r>
              <w:rPr>
                <w:rFonts w:hint="eastAsia"/>
                <w:highlight w:val="none"/>
              </w:rPr>
              <w:t>注：投标人须完全按照招标文件要求送样，凡出现下列任一情况的本项得分均为0分：①少送样品的；②错送样品的；③样品</w:t>
            </w:r>
            <w:r>
              <w:rPr>
                <w:rFonts w:hint="eastAsia"/>
                <w:highlight w:val="none"/>
                <w:lang w:val="en-US" w:eastAsia="zh-CN"/>
              </w:rPr>
              <w:t>与所投产品不一致</w:t>
            </w:r>
            <w:r>
              <w:rPr>
                <w:rFonts w:hint="eastAsia"/>
                <w:highlight w:val="none"/>
              </w:rPr>
              <w:t>的；</w:t>
            </w:r>
          </w:p>
        </w:tc>
        <w:tc>
          <w:tcPr>
            <w:tcW w:w="932" w:type="dxa"/>
            <w:vAlign w:val="center"/>
          </w:tcPr>
          <w:p>
            <w:pPr>
              <w:spacing w:line="320" w:lineRule="exact"/>
              <w:ind w:left="-65" w:leftChars="-31" w:right="-35"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76" w:type="dxa"/>
            <w:gridSpan w:val="3"/>
            <w:vAlign w:val="center"/>
          </w:tcPr>
          <w:p>
            <w:pPr>
              <w:spacing w:line="320" w:lineRule="exact"/>
              <w:ind w:left="-48" w:leftChars="-23" w:right="-35" w:rightChars="-17"/>
              <w:jc w:val="center"/>
              <w:rPr>
                <w:rFonts w:ascii="宋体" w:hAnsi="宋体" w:eastAsia="宋体" w:cs="Times New Roman"/>
                <w:b/>
                <w:color w:val="FF0000"/>
                <w:sz w:val="24"/>
                <w:highlight w:val="none"/>
              </w:rPr>
            </w:pPr>
            <w:r>
              <w:rPr>
                <w:rFonts w:hint="eastAsia" w:ascii="宋体" w:hAnsi="宋体" w:eastAsia="宋体" w:cs="Times New Roman"/>
                <w:b/>
                <w:color w:val="FF0000"/>
                <w:sz w:val="24"/>
                <w:highlight w:val="none"/>
              </w:rPr>
              <w:t>技术分合计</w:t>
            </w:r>
          </w:p>
        </w:tc>
        <w:tc>
          <w:tcPr>
            <w:tcW w:w="7264" w:type="dxa"/>
            <w:gridSpan w:val="2"/>
            <w:vAlign w:val="center"/>
          </w:tcPr>
          <w:p>
            <w:pPr>
              <w:spacing w:line="320" w:lineRule="exact"/>
              <w:ind w:left="-65" w:leftChars="-31" w:right="-35" w:rightChars="-17"/>
              <w:jc w:val="center"/>
              <w:rPr>
                <w:rFonts w:hint="default" w:ascii="宋体" w:hAnsi="宋体" w:eastAsia="宋体" w:cs="Times New Roman"/>
                <w:b/>
                <w:color w:val="000000" w:themeColor="text1"/>
                <w:szCs w:val="21"/>
                <w:highlight w:val="none"/>
                <w:lang w:val="en-US" w:eastAsia="zh-CN"/>
                <w14:textFill>
                  <w14:solidFill>
                    <w14:schemeClr w14:val="tx1"/>
                  </w14:solidFill>
                </w14:textFill>
              </w:rPr>
            </w:pPr>
            <w:r>
              <w:rPr>
                <w:rFonts w:hint="eastAsia" w:ascii="宋体" w:hAnsi="宋体" w:eastAsia="宋体" w:cs="Times New Roman"/>
                <w:b/>
                <w:color w:val="000000" w:themeColor="text1"/>
                <w:szCs w:val="21"/>
                <w:highlight w:val="none"/>
                <w:lang w:val="en-US" w:eastAsia="zh-CN"/>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5" w:type="dxa"/>
            <w:gridSpan w:val="2"/>
            <w:shd w:val="clear" w:color="auto" w:fill="auto"/>
            <w:vAlign w:val="center"/>
          </w:tcPr>
          <w:p>
            <w:pPr>
              <w:ind w:left="-77" w:leftChars="-37" w:right="-86" w:rightChars="-41"/>
              <w:jc w:val="center"/>
              <w:rPr>
                <w:rFonts w:ascii="宋体" w:hAnsi="宋体" w:eastAsia="宋体" w:cs="Times New Roman"/>
                <w:b/>
                <w:bCs/>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4"/>
                <w:szCs w:val="24"/>
                <w:highlight w:val="none"/>
                <w14:textFill>
                  <w14:solidFill>
                    <w14:schemeClr w14:val="tx1"/>
                  </w14:solidFill>
                </w14:textFill>
              </w:rPr>
              <w:t>价格评议</w:t>
            </w:r>
          </w:p>
        </w:tc>
        <w:tc>
          <w:tcPr>
            <w:tcW w:w="531" w:type="dxa"/>
            <w:shd w:val="clear" w:color="auto" w:fill="auto"/>
            <w:vAlign w:val="center"/>
          </w:tcPr>
          <w:p>
            <w:pPr>
              <w:spacing w:line="32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30</w:t>
            </w:r>
          </w:p>
        </w:tc>
        <w:tc>
          <w:tcPr>
            <w:tcW w:w="7264" w:type="dxa"/>
            <w:gridSpan w:val="2"/>
            <w:shd w:val="clear" w:color="auto" w:fill="auto"/>
            <w:vAlign w:val="center"/>
          </w:tcPr>
          <w:p>
            <w:pPr>
              <w:adjustRightInd w:val="0"/>
              <w:snapToGrid w:val="0"/>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30分。计算时保留两位小数。</w:t>
            </w:r>
            <w:r>
              <w:rPr>
                <w:rFonts w:hint="eastAsia" w:ascii="宋体" w:hAnsi="宋体"/>
                <w:b/>
                <w:color w:val="000000"/>
                <w:sz w:val="24"/>
                <w:szCs w:val="24"/>
                <w:highlight w:val="none"/>
              </w:rPr>
              <w:t>为保证产品质量，评标委员会将对其报价进行成本分析，评标委员会认为报价低于成本价时，应当要求其在评分现场合理的时间内提供书面说明，必要时提交相关证明材料，投标人不能证明其报价合理性的，评分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gridSpan w:val="3"/>
            <w:vAlign w:val="center"/>
          </w:tcPr>
          <w:p>
            <w:pPr>
              <w:spacing w:line="320" w:lineRule="exact"/>
              <w:jc w:val="center"/>
              <w:rPr>
                <w:rFonts w:ascii="宋体" w:hAnsi="宋体" w:eastAsia="宋体" w:cs="Times New Roman"/>
                <w:b/>
                <w:color w:val="FF0000"/>
                <w:kern w:val="0"/>
                <w:sz w:val="24"/>
                <w:szCs w:val="24"/>
                <w:highlight w:val="none"/>
              </w:rPr>
            </w:pPr>
            <w:r>
              <w:rPr>
                <w:rFonts w:hint="eastAsia" w:ascii="宋体" w:hAnsi="宋体" w:eastAsia="宋体" w:cs="Times New Roman"/>
                <w:b/>
                <w:color w:val="FF0000"/>
                <w:kern w:val="0"/>
                <w:sz w:val="24"/>
                <w:szCs w:val="24"/>
                <w:highlight w:val="none"/>
              </w:rPr>
              <w:t>报价分合计</w:t>
            </w:r>
          </w:p>
        </w:tc>
        <w:tc>
          <w:tcPr>
            <w:tcW w:w="7264" w:type="dxa"/>
            <w:gridSpan w:val="2"/>
            <w:vAlign w:val="center"/>
          </w:tcPr>
          <w:p>
            <w:pPr>
              <w:adjustRightInd w:val="0"/>
              <w:snapToGrid w:val="0"/>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gridSpan w:val="3"/>
            <w:vAlign w:val="center"/>
          </w:tcPr>
          <w:p>
            <w:pPr>
              <w:spacing w:line="320" w:lineRule="exact"/>
              <w:jc w:val="center"/>
              <w:rPr>
                <w:rFonts w:ascii="宋体" w:hAnsi="宋体" w:eastAsia="宋体" w:cs="Times New Roman"/>
                <w:b/>
                <w:color w:val="FF0000"/>
                <w:kern w:val="0"/>
                <w:sz w:val="24"/>
                <w:szCs w:val="24"/>
                <w:highlight w:val="none"/>
              </w:rPr>
            </w:pPr>
            <w:r>
              <w:rPr>
                <w:rFonts w:hint="eastAsia" w:ascii="宋体" w:hAnsi="宋体" w:eastAsia="宋体" w:cs="Times New Roman"/>
                <w:b/>
                <w:color w:val="FF0000"/>
                <w:kern w:val="0"/>
                <w:sz w:val="24"/>
                <w:szCs w:val="24"/>
                <w:highlight w:val="none"/>
              </w:rPr>
              <w:t>得分总计</w:t>
            </w:r>
          </w:p>
        </w:tc>
        <w:tc>
          <w:tcPr>
            <w:tcW w:w="7264" w:type="dxa"/>
            <w:gridSpan w:val="2"/>
            <w:vAlign w:val="center"/>
          </w:tcPr>
          <w:p>
            <w:pPr>
              <w:adjustRightInd w:val="0"/>
              <w:snapToGrid w:val="0"/>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100</w:t>
            </w:r>
          </w:p>
        </w:tc>
      </w:tr>
    </w:tbl>
    <w:p/>
    <w:p>
      <w:pPr>
        <w:rPr>
          <w:rFonts w:ascii="黑体" w:hAnsi="黑体" w:eastAsia="黑体"/>
        </w:rPr>
      </w:pPr>
      <w:bookmarkStart w:id="68" w:name="_Toc494721093"/>
      <w:bookmarkStart w:id="69" w:name="_Toc494665546"/>
      <w:bookmarkStart w:id="70" w:name="_Toc494702263"/>
      <w:bookmarkStart w:id="71" w:name="_Toc495861545"/>
      <w:bookmarkStart w:id="72" w:name="_Toc494664993"/>
      <w:bookmarkStart w:id="73" w:name="_Toc494745310"/>
      <w:bookmarkStart w:id="74" w:name="_Toc494665943"/>
      <w:r>
        <w:rPr>
          <w:rFonts w:hint="eastAsia" w:ascii="黑体" w:hAnsi="黑体" w:eastAsia="黑体"/>
        </w:rPr>
        <w:br w:type="page"/>
      </w:r>
    </w:p>
    <w:p>
      <w:pPr>
        <w:pStyle w:val="3"/>
        <w:numPr>
          <w:ilvl w:val="0"/>
          <w:numId w:val="2"/>
        </w:numPr>
        <w:jc w:val="center"/>
        <w:rPr>
          <w:rFonts w:ascii="黑体" w:hAnsi="黑体" w:eastAsia="黑体"/>
        </w:rPr>
      </w:pPr>
      <w:r>
        <w:rPr>
          <w:rFonts w:hint="eastAsia" w:ascii="黑体" w:hAnsi="黑体" w:eastAsia="黑体"/>
        </w:rPr>
        <w:t>合同书格式（参考）</w:t>
      </w:r>
      <w:bookmarkEnd w:id="68"/>
      <w:bookmarkEnd w:id="69"/>
      <w:bookmarkEnd w:id="70"/>
      <w:bookmarkEnd w:id="71"/>
      <w:bookmarkEnd w:id="72"/>
      <w:bookmarkEnd w:id="73"/>
      <w:bookmarkEnd w:id="74"/>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kern w:val="0"/>
          <w:sz w:val="36"/>
          <w:szCs w:val="36"/>
        </w:rPr>
      </w:pPr>
      <w:r>
        <w:rPr>
          <w:rFonts w:hint="eastAsia" w:ascii="宋体" w:hAnsi="宋体" w:eastAsia="宋体" w:cs="Times New Roman"/>
          <w:b/>
          <w:kern w:val="0"/>
          <w:sz w:val="36"/>
          <w:szCs w:val="36"/>
        </w:rPr>
        <w:t>合   同   书</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项目名称：</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合同编号：</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签订日期：</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签订合同地点：</w:t>
      </w:r>
    </w:p>
    <w:p>
      <w:pPr>
        <w:spacing w:beforeLines="25" w:line="360" w:lineRule="auto"/>
        <w:ind w:firstLine="480" w:firstLineChars="2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本合同由</w:t>
      </w:r>
      <w:r>
        <w:rPr>
          <w:rFonts w:hint="eastAsia" w:ascii="Helvetica" w:hAnsi="Helvetica" w:eastAsia="宋体" w:cs="Helvetica"/>
          <w:kern w:val="0"/>
          <w:sz w:val="24"/>
          <w:szCs w:val="24"/>
          <w:u w:val="single"/>
          <w:lang w:val="zh-CN"/>
        </w:rPr>
        <w:t>（采购人）</w:t>
      </w:r>
      <w:r>
        <w:rPr>
          <w:rFonts w:hint="eastAsia" w:ascii="Helvetica" w:hAnsi="Helvetica" w:eastAsia="宋体" w:cs="Helvetica"/>
          <w:kern w:val="0"/>
          <w:sz w:val="24"/>
          <w:szCs w:val="24"/>
          <w:lang w:val="zh-CN"/>
        </w:rPr>
        <w:t>（以下简称“甲方”）与</w:t>
      </w:r>
      <w:r>
        <w:rPr>
          <w:rFonts w:hint="eastAsia" w:ascii="Helvetica" w:hAnsi="Helvetica" w:eastAsia="宋体" w:cs="Helvetica"/>
          <w:kern w:val="0"/>
          <w:sz w:val="24"/>
          <w:szCs w:val="24"/>
          <w:u w:val="single"/>
          <w:lang w:val="zh-CN"/>
        </w:rPr>
        <w:t>（中标人）</w:t>
      </w:r>
      <w:r>
        <w:rPr>
          <w:rFonts w:hint="eastAsia" w:ascii="Helvetica" w:hAnsi="Helvetica" w:eastAsia="宋体" w:cs="Helvetica"/>
          <w:kern w:val="0"/>
          <w:sz w:val="24"/>
          <w:szCs w:val="24"/>
          <w:lang w:val="zh-CN"/>
        </w:rPr>
        <w:t>（以下简称“乙方”）签订。乙方以总金额万元人民币（用大写数字书写）向甲方提供如下货物（工程或服务）：</w:t>
      </w:r>
    </w:p>
    <w:p>
      <w:pPr>
        <w:spacing w:beforeLines="25" w:line="360" w:lineRule="auto"/>
        <w:ind w:firstLine="489" w:firstLineChars="204"/>
        <w:contextualSpacing/>
        <w:rPr>
          <w:rFonts w:ascii="宋体" w:hAnsi="宋体" w:eastAsia="宋体" w:cs="Times New Roman"/>
          <w:b/>
          <w:kern w:val="0"/>
          <w:sz w:val="24"/>
          <w:szCs w:val="20"/>
        </w:rPr>
      </w:pPr>
      <w:r>
        <w:rPr>
          <w:rFonts w:hint="eastAsia" w:ascii="Helvetica" w:hAnsi="Helvetica" w:eastAsia="宋体" w:cs="Helvetica"/>
          <w:b/>
          <w:kern w:val="0"/>
          <w:sz w:val="24"/>
          <w:szCs w:val="24"/>
          <w:lang w:val="zh-CN"/>
        </w:rPr>
        <w:t>经双方协商，同意按下列条文执行：</w:t>
      </w:r>
    </w:p>
    <w:p>
      <w:pPr>
        <w:numPr>
          <w:ilvl w:val="3"/>
          <w:numId w:val="18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本合同甲、乙双方应遵守国家颁布的《中华人民共和国合同法》、《中华人民共和国政府采购法》，并各自履行应负的全部责任和义务。</w:t>
      </w:r>
    </w:p>
    <w:p>
      <w:pPr>
        <w:numPr>
          <w:ilvl w:val="3"/>
          <w:numId w:val="18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甲方保证按合同条款规定的时间和方式付给乙方到期应付的合同款，并承担应负的责任和义务。</w:t>
      </w:r>
    </w:p>
    <w:p>
      <w:pPr>
        <w:numPr>
          <w:ilvl w:val="3"/>
          <w:numId w:val="18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乙方保证按合同条款规定的内容和工期（服务期限）向甲方提供合格的货物（工程或服务），并承担应负的责任和义务。</w:t>
      </w:r>
    </w:p>
    <w:p>
      <w:pPr>
        <w:numPr>
          <w:ilvl w:val="3"/>
          <w:numId w:val="18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合同文件。下列文件为本合同不可分割的部分：</w:t>
      </w:r>
    </w:p>
    <w:p>
      <w:pPr>
        <w:numPr>
          <w:ilvl w:val="0"/>
          <w:numId w:val="187"/>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招标文件（项目编号：</w:t>
      </w:r>
      <w:r>
        <w:rPr>
          <w:rFonts w:hint="eastAsia" w:ascii="宋体" w:hAnsi="宋体" w:eastAsia="宋体" w:cs="Times New Roman"/>
          <w:kern w:val="0"/>
          <w:sz w:val="24"/>
          <w:szCs w:val="20"/>
          <w:u w:val="single"/>
          <w:lang w:val="zh-CN"/>
        </w:rPr>
        <w:t>　　            　</w:t>
      </w:r>
      <w:r>
        <w:rPr>
          <w:rFonts w:hint="eastAsia" w:ascii="宋体" w:hAnsi="宋体" w:eastAsia="宋体" w:cs="Times New Roman"/>
          <w:kern w:val="0"/>
          <w:sz w:val="24"/>
          <w:szCs w:val="20"/>
          <w:lang w:val="zh-CN"/>
        </w:rPr>
        <w:t>）；</w:t>
      </w:r>
    </w:p>
    <w:p>
      <w:pPr>
        <w:numPr>
          <w:ilvl w:val="0"/>
          <w:numId w:val="187"/>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中标的投标文件；</w:t>
      </w:r>
    </w:p>
    <w:p>
      <w:pPr>
        <w:numPr>
          <w:ilvl w:val="0"/>
          <w:numId w:val="187"/>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合同书；</w:t>
      </w:r>
    </w:p>
    <w:p>
      <w:pPr>
        <w:numPr>
          <w:ilvl w:val="0"/>
          <w:numId w:val="187"/>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合同条款；</w:t>
      </w:r>
    </w:p>
    <w:p>
      <w:pPr>
        <w:numPr>
          <w:ilvl w:val="0"/>
          <w:numId w:val="187"/>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采购代理机构发出的中标通知书；</w:t>
      </w:r>
    </w:p>
    <w:p>
      <w:pPr>
        <w:numPr>
          <w:ilvl w:val="0"/>
          <w:numId w:val="187"/>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附件；</w:t>
      </w:r>
    </w:p>
    <w:p>
      <w:pPr>
        <w:numPr>
          <w:ilvl w:val="0"/>
          <w:numId w:val="188"/>
        </w:numPr>
        <w:spacing w:beforeLines="25" w:line="360" w:lineRule="auto"/>
        <w:ind w:left="1358" w:hanging="724"/>
        <w:rPr>
          <w:rFonts w:ascii="宋体" w:hAnsi="宋体" w:eastAsia="宋体" w:cs="Times New Roman"/>
          <w:sz w:val="24"/>
          <w:szCs w:val="20"/>
          <w:lang w:val="zh-CN"/>
        </w:rPr>
      </w:pPr>
      <w:r>
        <w:rPr>
          <w:rFonts w:hint="eastAsia" w:ascii="宋体" w:hAnsi="宋体" w:eastAsia="宋体" w:cs="Times New Roman"/>
          <w:kern w:val="0"/>
          <w:sz w:val="24"/>
          <w:szCs w:val="20"/>
          <w:lang w:val="zh-CN"/>
        </w:rPr>
        <w:t>甲方</w:t>
      </w:r>
      <w:r>
        <w:rPr>
          <w:rFonts w:hint="eastAsia" w:ascii="宋体" w:hAnsi="宋体" w:eastAsia="宋体" w:cs="Times New Roman"/>
          <w:sz w:val="24"/>
          <w:szCs w:val="20"/>
          <w:lang w:val="zh-CN"/>
        </w:rPr>
        <w:t>在招标期间发布的所有补充通知；</w:t>
      </w:r>
    </w:p>
    <w:p>
      <w:pPr>
        <w:numPr>
          <w:ilvl w:val="0"/>
          <w:numId w:val="188"/>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乙方在投标期内补充的所有书面文件；</w:t>
      </w:r>
    </w:p>
    <w:p>
      <w:pPr>
        <w:numPr>
          <w:ilvl w:val="0"/>
          <w:numId w:val="188"/>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乙方在投标时随同投标文件一起递送的资料及附图；</w:t>
      </w:r>
    </w:p>
    <w:p>
      <w:pPr>
        <w:numPr>
          <w:ilvl w:val="0"/>
          <w:numId w:val="188"/>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在商洽本合同时，双方澄清、确认并共同签字的补充文件、技术协议。</w:t>
      </w:r>
    </w:p>
    <w:p>
      <w:pPr>
        <w:numPr>
          <w:ilvl w:val="3"/>
          <w:numId w:val="18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合同范围和条件。本合同的范围和条件应与上述规定的合同文件内容相一致。</w:t>
      </w:r>
    </w:p>
    <w:p>
      <w:pPr>
        <w:numPr>
          <w:ilvl w:val="3"/>
          <w:numId w:val="18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货物（工程或服务）及数量。本合同所提供的货物（工程或服务）及数量详见招标文件的要求及乙方投标文件中的承诺。</w:t>
      </w:r>
    </w:p>
    <w:p>
      <w:pPr>
        <w:numPr>
          <w:ilvl w:val="3"/>
          <w:numId w:val="18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付款条件。本合同的付款条件按招标文件规定执行。</w:t>
      </w:r>
    </w:p>
    <w:p>
      <w:pPr>
        <w:numPr>
          <w:ilvl w:val="3"/>
          <w:numId w:val="18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合同金额。合同总金额见合同书，分项价格在乙方的投标报价表中有明确规定。</w:t>
      </w:r>
    </w:p>
    <w:p>
      <w:pPr>
        <w:numPr>
          <w:ilvl w:val="3"/>
          <w:numId w:val="18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工期和交货（服务）地点。本合同中货物（工程或服务）的工期、交货（服务）地点在招标文件中有明确规定。</w:t>
      </w:r>
    </w:p>
    <w:p>
      <w:pPr>
        <w:numPr>
          <w:ilvl w:val="3"/>
          <w:numId w:val="186"/>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合同生效。本合同经甲、乙双方授权代表签字和加盖公章（或合同专用章）后生效。如招标申请公证的，合同需经公证机构公证后生效。</w:t>
      </w:r>
    </w:p>
    <w:p>
      <w:pPr>
        <w:numPr>
          <w:ilvl w:val="3"/>
          <w:numId w:val="186"/>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合同的份数。本合同正本一式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份；副本一式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w:t>
      </w:r>
    </w:p>
    <w:p>
      <w:pPr>
        <w:numPr>
          <w:ilvl w:val="3"/>
          <w:numId w:val="186"/>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合同的失效。本合同在合同价款全部结清后失效。</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甲　　方：</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乙　　方：</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单位名称（盖章）：</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单位名称（盖章）：</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单位地址：</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单位地址：</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法人代表授权人(签字)：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法人代表授权人(签字)：</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联 系 人：</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联 系 人：</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电　　话：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电　　话：</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传　　真：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传　　真：</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邮政编码：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邮政编码：</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开户银行：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开户银行：</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帐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帐　　号：</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税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税　　号：</w:t>
      </w:r>
    </w:p>
    <w:p>
      <w:r>
        <w:br w:type="page"/>
      </w:r>
    </w:p>
    <w:p>
      <w:pPr>
        <w:pStyle w:val="3"/>
        <w:numPr>
          <w:ilvl w:val="0"/>
          <w:numId w:val="2"/>
        </w:numPr>
        <w:jc w:val="center"/>
        <w:rPr>
          <w:rFonts w:ascii="黑体" w:hAnsi="黑体" w:eastAsia="黑体"/>
        </w:rPr>
      </w:pPr>
      <w:bookmarkStart w:id="75" w:name="_Toc494665944"/>
      <w:bookmarkStart w:id="76" w:name="_Toc494664994"/>
      <w:bookmarkStart w:id="77" w:name="_Toc495861546"/>
      <w:bookmarkStart w:id="78" w:name="_Toc494721094"/>
      <w:bookmarkStart w:id="79" w:name="_Toc494702264"/>
      <w:bookmarkStart w:id="80" w:name="_Toc494665547"/>
      <w:bookmarkStart w:id="81" w:name="_Toc494745311"/>
      <w:r>
        <w:rPr>
          <w:rFonts w:hint="eastAsia" w:ascii="黑体" w:hAnsi="黑体" w:eastAsia="黑体"/>
        </w:rPr>
        <w:t>投标文件格式（参考）</w:t>
      </w:r>
      <w:bookmarkEnd w:id="75"/>
      <w:bookmarkEnd w:id="76"/>
      <w:bookmarkEnd w:id="77"/>
      <w:bookmarkEnd w:id="78"/>
      <w:bookmarkEnd w:id="79"/>
      <w:bookmarkEnd w:id="80"/>
      <w:bookmarkEnd w:id="81"/>
    </w:p>
    <w:p>
      <w:pPr>
        <w:spacing w:afterLines="250"/>
        <w:jc w:val="center"/>
        <w:rPr>
          <w:rFonts w:ascii="黑体" w:hAnsi="黑体" w:eastAsia="黑体"/>
          <w:b/>
          <w:sz w:val="56"/>
          <w:szCs w:val="56"/>
        </w:rPr>
      </w:pPr>
      <w:r>
        <w:rPr>
          <w:rFonts w:hint="eastAsia" w:ascii="黑体" w:hAnsi="黑体" w:eastAsia="黑体"/>
          <w:b/>
          <w:sz w:val="56"/>
          <w:szCs w:val="56"/>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spacing w:afterLines="200"/>
        <w:jc w:val="center"/>
        <w:rPr>
          <w:rFonts w:ascii="黑体" w:hAnsi="黑体" w:eastAsia="黑体"/>
          <w:b/>
          <w:sz w:val="144"/>
          <w:szCs w:val="144"/>
        </w:rPr>
      </w:pPr>
    </w:p>
    <w:p>
      <w:pPr>
        <w:pStyle w:val="4"/>
        <w:spacing w:before="340" w:after="480" w:line="360" w:lineRule="auto"/>
        <w:jc w:val="center"/>
        <w:rPr>
          <w:rFonts w:cs="Times New Roman" w:asciiTheme="majorEastAsia" w:hAnsiTheme="majorEastAsia"/>
          <w:bCs w:val="0"/>
          <w:sz w:val="44"/>
          <w:szCs w:val="44"/>
          <w:lang w:val="zh-CN"/>
        </w:rPr>
      </w:pPr>
      <w:bookmarkStart w:id="82" w:name="_Toc494664995"/>
      <w:bookmarkStart w:id="83" w:name="_Toc494665945"/>
      <w:bookmarkStart w:id="84" w:name="_Toc494665548"/>
      <w:bookmarkStart w:id="85" w:name="_Toc494745312"/>
      <w:bookmarkStart w:id="86" w:name="_Toc494721095"/>
      <w:bookmarkStart w:id="87" w:name="_Toc494702265"/>
      <w:bookmarkStart w:id="88" w:name="_Toc495861547"/>
      <w:r>
        <w:rPr>
          <w:rFonts w:hint="eastAsia" w:cs="Times New Roman" w:asciiTheme="majorEastAsia" w:hAnsiTheme="majorEastAsia"/>
          <w:bCs w:val="0"/>
          <w:sz w:val="44"/>
          <w:szCs w:val="44"/>
          <w:lang w:val="zh-CN"/>
        </w:rPr>
        <w:t>第一部分 资格证明文件</w:t>
      </w:r>
      <w:bookmarkEnd w:id="82"/>
      <w:bookmarkEnd w:id="83"/>
      <w:bookmarkEnd w:id="84"/>
      <w:bookmarkEnd w:id="85"/>
      <w:bookmarkEnd w:id="86"/>
      <w:bookmarkEnd w:id="87"/>
      <w:bookmarkEnd w:id="88"/>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right="1287" w:rightChars="613"/>
        <w:jc w:val="center"/>
        <w:rPr>
          <w:rFonts w:cs="Times New Roman" w:asciiTheme="minorEastAsia" w:hAnsiTheme="minorEastAsia"/>
          <w:b/>
          <w:bCs/>
          <w:sz w:val="96"/>
          <w:szCs w:val="96"/>
        </w:rPr>
      </w:pPr>
      <w:r>
        <w:rPr>
          <w:rFonts w:hint="eastAsia" w:cs="Times New Roman" w:asciiTheme="minorEastAsia" w:hAnsiTheme="minorEastAsia"/>
          <w:b/>
          <w:bCs/>
          <w:sz w:val="96"/>
          <w:szCs w:val="96"/>
        </w:rPr>
        <w:t xml:space="preserve">   投标人（盖章）</w:t>
      </w:r>
    </w:p>
    <w:p>
      <w:pPr>
        <w:spacing w:line="360" w:lineRule="auto"/>
        <w:ind w:left="1971" w:leftChars="939" w:right="1287" w:rightChars="613" w:firstLine="1104" w:firstLineChars="345"/>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w:t>
      </w:r>
      <w:r>
        <w:rPr>
          <w:rFonts w:hint="eastAsia" w:ascii="宋体" w:hAnsi="宋体" w:eastAsia="宋体" w:cs="Times New Roman"/>
          <w:b/>
          <w:bCs/>
          <w:sz w:val="36"/>
          <w:szCs w:val="36"/>
          <w:lang w:val="en-US" w:eastAsia="zh-CN"/>
        </w:rPr>
        <w:t>二</w:t>
      </w:r>
      <w:r>
        <w:rPr>
          <w:rFonts w:hint="eastAsia" w:ascii="宋体" w:hAnsi="宋体"/>
          <w:b/>
          <w:sz w:val="36"/>
          <w:szCs w:val="36"/>
        </w:rPr>
        <w:t xml:space="preserve">  年 月</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89" w:name="_Toc494665549"/>
      <w:bookmarkStart w:id="90" w:name="_Toc494702266"/>
      <w:bookmarkStart w:id="91" w:name="_Toc494745313"/>
      <w:bookmarkStart w:id="92" w:name="_Toc494665946"/>
      <w:bookmarkStart w:id="93" w:name="_Toc494664996"/>
      <w:bookmarkStart w:id="94" w:name="_Toc494721096"/>
      <w:r>
        <w:rPr>
          <w:rFonts w:hint="eastAsia" w:ascii="黑体" w:hAnsi="黑体" w:eastAsia="黑体" w:cs="Times New Roman"/>
          <w:b/>
          <w:sz w:val="36"/>
          <w:szCs w:val="36"/>
        </w:rPr>
        <w:t>资格证明文件组成</w:t>
      </w:r>
      <w:bookmarkEnd w:id="89"/>
      <w:bookmarkEnd w:id="90"/>
      <w:bookmarkEnd w:id="91"/>
      <w:bookmarkEnd w:id="92"/>
      <w:bookmarkEnd w:id="93"/>
      <w:bookmarkEnd w:id="94"/>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由各投标人根据参考格式要求自行编写。目录清晰、内容详尽、易于理解和审查。具体内容应包括但不限于以下内容：</w:t>
      </w:r>
    </w:p>
    <w:p>
      <w:pPr>
        <w:numPr>
          <w:ilvl w:val="0"/>
          <w:numId w:val="189"/>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资格证明文件目录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189"/>
        </w:numPr>
        <w:autoSpaceDE w:val="0"/>
        <w:autoSpaceDN w:val="0"/>
        <w:adjustRightInd w:val="0"/>
        <w:spacing w:line="360" w:lineRule="auto"/>
        <w:ind w:left="490" w:hanging="370"/>
        <w:rPr>
          <w:rFonts w:ascii="宋体" w:hAnsi="宋体" w:eastAsia="宋体" w:cs="Times New Roman"/>
          <w:b/>
          <w:color w:val="0D0D0D" w:themeColor="text1" w:themeTint="F2"/>
          <w:kern w:val="0"/>
          <w:sz w:val="24"/>
          <w:szCs w:val="32"/>
          <w14:textFill>
            <w14:solidFill>
              <w14:schemeClr w14:val="tx1">
                <w14:lumMod w14:val="95000"/>
                <w14:lumOff w14:val="5000"/>
              </w14:schemeClr>
            </w14:solidFill>
          </w14:textFill>
        </w:rPr>
      </w:pPr>
      <w:r>
        <w:rPr>
          <w:rFonts w:hint="eastAsia" w:ascii="宋体" w:hAnsi="宋体"/>
          <w:color w:val="0D0D0D" w:themeColor="text1" w:themeTint="F2"/>
          <w:kern w:val="0"/>
          <w:sz w:val="24"/>
          <w:szCs w:val="32"/>
          <w14:textFill>
            <w14:solidFill>
              <w14:schemeClr w14:val="tx1">
                <w14:lumMod w14:val="95000"/>
                <w14:lumOff w14:val="5000"/>
              </w14:schemeClr>
            </w14:solidFill>
          </w14:textFill>
        </w:rPr>
        <w:t>应具备《政府采购法》第二十二条第一款规定的条件，提供下列材料：</w:t>
      </w:r>
    </w:p>
    <w:p>
      <w:pPr>
        <w:pStyle w:val="34"/>
        <w:numPr>
          <w:ilvl w:val="0"/>
          <w:numId w:val="190"/>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法人或者其他组织的营业执照等证明文件，自然人的身份证明；</w:t>
      </w:r>
    </w:p>
    <w:p>
      <w:pPr>
        <w:pStyle w:val="34"/>
        <w:numPr>
          <w:ilvl w:val="0"/>
          <w:numId w:val="190"/>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Theme="minorEastAsia" w:hAnsiTheme="minorEastAsia" w:cstheme="minorEastAsia"/>
          <w:sz w:val="24"/>
          <w:szCs w:val="24"/>
          <w:highlight w:val="none"/>
        </w:rPr>
        <w:t>20</w:t>
      </w:r>
      <w:r>
        <w:rPr>
          <w:rFonts w:hint="eastAsia" w:asciiTheme="minorEastAsia" w:hAnsiTheme="minorEastAsia" w:cstheme="minorEastAsia"/>
          <w:sz w:val="24"/>
          <w:szCs w:val="24"/>
          <w:highlight w:val="none"/>
          <w:lang w:val="en-US" w:eastAsia="zh-CN"/>
        </w:rPr>
        <w:t>20</w:t>
      </w:r>
      <w:r>
        <w:rPr>
          <w:rFonts w:hint="eastAsia" w:asciiTheme="minorEastAsia" w:hAnsiTheme="minorEastAsia" w:cstheme="minorEastAsia"/>
          <w:sz w:val="24"/>
          <w:szCs w:val="24"/>
          <w:highlight w:val="none"/>
        </w:rPr>
        <w:t>年度经审计的财务报告</w:t>
      </w:r>
      <w:r>
        <w:rPr>
          <w:rFonts w:hint="eastAsia" w:ascii="宋体" w:hAnsi="宋体"/>
          <w:color w:val="000000"/>
          <w:sz w:val="24"/>
          <w:szCs w:val="24"/>
          <w:highlight w:val="none"/>
          <w:lang w:val="zh-CN"/>
        </w:rPr>
        <w:t>，</w:t>
      </w:r>
      <w:r>
        <w:rPr>
          <w:rFonts w:hint="eastAsia" w:ascii="宋体" w:hAnsi="宋体" w:eastAsia="宋体" w:cs="Times New Roman"/>
          <w:sz w:val="24"/>
          <w:szCs w:val="24"/>
          <w:highlight w:val="none"/>
          <w:lang w:val="zh-CN"/>
        </w:rPr>
        <w:t>近六个月（20</w:t>
      </w:r>
      <w:r>
        <w:rPr>
          <w:rFonts w:hint="eastAsia" w:ascii="宋体" w:hAnsi="宋体" w:eastAsia="宋体" w:cs="Times New Roman"/>
          <w:sz w:val="24"/>
          <w:szCs w:val="24"/>
          <w:highlight w:val="none"/>
          <w:lang w:val="en-US" w:eastAsia="zh-CN"/>
        </w:rPr>
        <w:t>21</w:t>
      </w:r>
      <w:r>
        <w:rPr>
          <w:rFonts w:hint="eastAsia" w:ascii="宋体" w:hAnsi="宋体" w:eastAsia="宋体" w:cs="Times New Roman"/>
          <w:sz w:val="24"/>
          <w:szCs w:val="24"/>
          <w:highlight w:val="none"/>
          <w:lang w:val="zh-CN"/>
        </w:rPr>
        <w:t>年</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val="zh-CN"/>
        </w:rPr>
        <w:t>月~</w:t>
      </w:r>
      <w:r>
        <w:rPr>
          <w:rFonts w:hint="eastAsia" w:ascii="宋体" w:hAnsi="宋体" w:eastAsia="宋体" w:cs="Times New Roman"/>
          <w:sz w:val="24"/>
          <w:szCs w:val="24"/>
          <w:highlight w:val="none"/>
          <w:lang w:val="en-US" w:eastAsia="zh-CN"/>
        </w:rPr>
        <w:t>11</w:t>
      </w:r>
      <w:r>
        <w:rPr>
          <w:rFonts w:hint="eastAsia" w:ascii="宋体" w:hAnsi="宋体" w:eastAsia="宋体" w:cs="Times New Roman"/>
          <w:sz w:val="24"/>
          <w:szCs w:val="24"/>
          <w:highlight w:val="none"/>
          <w:lang w:val="zh-CN"/>
        </w:rPr>
        <w:t>月）中任意一个月</w:t>
      </w:r>
      <w:r>
        <w:rPr>
          <w:rFonts w:hint="eastAsia" w:ascii="宋体" w:hAnsi="宋体"/>
          <w:color w:val="000000"/>
          <w:sz w:val="24"/>
          <w:szCs w:val="24"/>
          <w:lang w:val="zh-CN"/>
        </w:rPr>
        <w:t>依法缴纳税收和社会保障资金的相关材料；</w:t>
      </w:r>
    </w:p>
    <w:p>
      <w:pPr>
        <w:pStyle w:val="34"/>
        <w:numPr>
          <w:ilvl w:val="0"/>
          <w:numId w:val="190"/>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具备履行合同所必需的设备和专业技术能力的证明材料；</w:t>
      </w:r>
    </w:p>
    <w:p>
      <w:pPr>
        <w:pStyle w:val="34"/>
        <w:numPr>
          <w:ilvl w:val="0"/>
          <w:numId w:val="190"/>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参加政府采购活动前3年内在经营活动中没有重大违法记录的书面声明；</w:t>
      </w:r>
    </w:p>
    <w:p>
      <w:pPr>
        <w:pStyle w:val="34"/>
        <w:numPr>
          <w:ilvl w:val="0"/>
          <w:numId w:val="190"/>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具备法律、行政法规规定的其他条件的证明材料；</w:t>
      </w:r>
    </w:p>
    <w:p>
      <w:pPr>
        <w:numPr>
          <w:ilvl w:val="0"/>
          <w:numId w:val="189"/>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未</w:t>
      </w:r>
      <w:r>
        <w:rPr>
          <w:rFonts w:hint="eastAsia" w:ascii="宋体" w:hAnsi="宋体" w:eastAsia="宋体" w:cs="Courier New"/>
          <w:color w:val="0D0D0D"/>
          <w:sz w:val="24"/>
          <w:szCs w:val="24"/>
          <w:highlight w:val="none"/>
        </w:rPr>
        <w:t>被“信用中国”网站(www.creditchina.gov.cn)列入失信被执行人、重大税收违法案件当事人名单</w:t>
      </w:r>
      <w:r>
        <w:rPr>
          <w:rFonts w:hint="eastAsia" w:ascii="宋体" w:hAnsi="宋体" w:eastAsia="宋体" w:cs="Times New Roman"/>
          <w:sz w:val="24"/>
          <w:szCs w:val="24"/>
          <w:highlight w:val="none"/>
        </w:rPr>
        <w:t>和“中国政府采购”网站（www.ccgp.gov.cn）政府采购严重违法失信行为记录名单的网页截图</w:t>
      </w:r>
      <w:r>
        <w:rPr>
          <w:rFonts w:hint="eastAsia" w:ascii="宋体" w:hAnsi="宋体" w:eastAsia="宋体" w:cs="Courier New"/>
          <w:color w:val="0D0D0D"/>
          <w:sz w:val="24"/>
          <w:szCs w:val="24"/>
          <w:highlight w:val="none"/>
        </w:rPr>
        <w:t>；</w:t>
      </w:r>
    </w:p>
    <w:p>
      <w:pPr>
        <w:numPr>
          <w:ilvl w:val="0"/>
          <w:numId w:val="189"/>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招标文件第一章“投标人资格要求”中有特殊要求的，投标人应提供其符合特殊要求的证明材料或者情况说明；</w:t>
      </w:r>
    </w:p>
    <w:p>
      <w:pPr>
        <w:numPr>
          <w:ilvl w:val="0"/>
          <w:numId w:val="189"/>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不符合联合体投标相关规定和要</w:t>
      </w:r>
      <w:r>
        <w:rPr>
          <w:rFonts w:hint="eastAsia" w:ascii="宋体" w:hAnsi="宋体" w:eastAsia="宋体" w:cs="Courier New"/>
          <w:color w:val="0D0D0D"/>
          <w:sz w:val="24"/>
          <w:szCs w:val="24"/>
        </w:rPr>
        <w:t>求的（适用于接受联合体投标的项目）；</w:t>
      </w:r>
    </w:p>
    <w:p>
      <w:pPr>
        <w:numPr>
          <w:ilvl w:val="0"/>
          <w:numId w:val="189"/>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color w:val="0D0D0D"/>
          <w:sz w:val="24"/>
          <w:szCs w:val="24"/>
        </w:rPr>
      </w:pPr>
    </w:p>
    <w:p>
      <w:pPr>
        <w:autoSpaceDE w:val="0"/>
        <w:autoSpaceDN w:val="0"/>
        <w:adjustRightInd w:val="0"/>
        <w:spacing w:line="400" w:lineRule="exact"/>
        <w:ind w:left="490"/>
        <w:rPr>
          <w:rFonts w:ascii="Calibri" w:hAnsi="宋体" w:eastAsia="宋体" w:cs="Times New Roman"/>
          <w:color w:val="0D0D0D"/>
          <w:sz w:val="24"/>
          <w:szCs w:val="24"/>
        </w:rPr>
      </w:pPr>
    </w:p>
    <w:p>
      <w:r>
        <w:rPr>
          <w:rFonts w:hint="eastAsia" w:ascii="宋体" w:hAnsi="宋体" w:eastAsia="宋体" w:cs="Times New Roman"/>
          <w:sz w:val="24"/>
          <w:szCs w:val="24"/>
        </w:rPr>
        <w:t>说明：资格证明文件正本应为清晰彩色影印件且加盖单位公章，否则</w:t>
      </w:r>
      <w:r>
        <w:rPr>
          <w:rFonts w:hint="eastAsia" w:ascii="Helvetica" w:hAnsi="Helvetica" w:eastAsia="宋体" w:cs="Helvetica"/>
          <w:kern w:val="0"/>
          <w:sz w:val="24"/>
          <w:szCs w:val="24"/>
        </w:rPr>
        <w:t>按照</w:t>
      </w:r>
      <w:r>
        <w:rPr>
          <w:rFonts w:hint="eastAsia" w:ascii="Helvetica" w:hAnsi="Helvetica" w:eastAsia="宋体" w:cs="Helvetica"/>
          <w:b/>
          <w:kern w:val="0"/>
          <w:sz w:val="24"/>
          <w:szCs w:val="24"/>
        </w:rPr>
        <w:t>无效投标处理</w:t>
      </w:r>
      <w:r>
        <w:rPr>
          <w:rFonts w:hint="eastAsia" w:ascii="宋体" w:hAnsi="宋体" w:eastAsia="宋体" w:cs="Times New Roman"/>
          <w:b/>
          <w:sz w:val="24"/>
          <w:szCs w:val="24"/>
        </w:rPr>
        <w:t>。</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4"/>
        <w:spacing w:before="340" w:after="480" w:line="360" w:lineRule="auto"/>
        <w:jc w:val="center"/>
        <w:rPr>
          <w:rFonts w:cs="Times New Roman" w:asciiTheme="majorEastAsia" w:hAnsiTheme="majorEastAsia"/>
          <w:bCs w:val="0"/>
          <w:sz w:val="44"/>
          <w:szCs w:val="44"/>
          <w:lang w:val="zh-CN"/>
        </w:rPr>
      </w:pPr>
      <w:bookmarkStart w:id="95" w:name="_Toc494665947"/>
      <w:bookmarkStart w:id="96" w:name="_Toc495861548"/>
      <w:bookmarkStart w:id="97" w:name="_Toc494665550"/>
      <w:bookmarkStart w:id="98" w:name="_Toc494745314"/>
      <w:bookmarkStart w:id="99" w:name="_Toc494702267"/>
      <w:bookmarkStart w:id="100" w:name="_Toc494721097"/>
      <w:bookmarkStart w:id="101" w:name="_Toc494664997"/>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r>
        <w:rPr>
          <w:rFonts w:hint="eastAsia" w:cs="Times New Roman" w:asciiTheme="majorEastAsia" w:hAnsiTheme="majorEastAsia"/>
          <w:bCs w:val="0"/>
          <w:sz w:val="44"/>
          <w:szCs w:val="44"/>
          <w:lang w:val="zh-CN"/>
        </w:rPr>
        <w:t>第二部分 商务文件</w:t>
      </w:r>
      <w:bookmarkEnd w:id="95"/>
      <w:bookmarkEnd w:id="96"/>
      <w:bookmarkEnd w:id="97"/>
      <w:bookmarkEnd w:id="98"/>
      <w:bookmarkEnd w:id="99"/>
      <w:bookmarkEnd w:id="100"/>
      <w:bookmarkEnd w:id="101"/>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w:t>
      </w:r>
      <w:r>
        <w:rPr>
          <w:rFonts w:hint="eastAsia" w:ascii="宋体" w:hAnsi="宋体" w:eastAsia="宋体" w:cs="Times New Roman"/>
          <w:b/>
          <w:bCs/>
          <w:sz w:val="36"/>
          <w:szCs w:val="36"/>
          <w:lang w:val="en-US" w:eastAsia="zh-CN"/>
        </w:rPr>
        <w:t>二</w:t>
      </w:r>
      <w:r>
        <w:rPr>
          <w:rFonts w:hint="eastAsia" w:ascii="宋体" w:hAnsi="宋体"/>
          <w:b/>
          <w:sz w:val="36"/>
          <w:szCs w:val="36"/>
        </w:rPr>
        <w:t xml:space="preserve">  年 月</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02" w:name="_Toc494665551"/>
      <w:bookmarkStart w:id="103" w:name="_Toc494721098"/>
      <w:bookmarkStart w:id="104" w:name="_Toc494745315"/>
      <w:bookmarkStart w:id="105" w:name="_Toc494665948"/>
      <w:bookmarkStart w:id="106" w:name="_Toc494702268"/>
      <w:bookmarkStart w:id="107" w:name="_Toc494664998"/>
      <w:r>
        <w:rPr>
          <w:rFonts w:hint="eastAsia" w:ascii="黑体" w:hAnsi="黑体" w:eastAsia="黑体" w:cs="Times New Roman"/>
          <w:b/>
          <w:sz w:val="36"/>
          <w:szCs w:val="36"/>
        </w:rPr>
        <w:t>商务文件组成</w:t>
      </w:r>
      <w:bookmarkEnd w:id="102"/>
      <w:bookmarkEnd w:id="103"/>
      <w:bookmarkEnd w:id="104"/>
      <w:bookmarkEnd w:id="105"/>
      <w:bookmarkEnd w:id="106"/>
      <w:bookmarkEnd w:id="107"/>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19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商务文件目录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19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投标书（附件一）；</w:t>
      </w:r>
    </w:p>
    <w:p>
      <w:pPr>
        <w:numPr>
          <w:ilvl w:val="0"/>
          <w:numId w:val="191"/>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中小企业声明函（附件二）；</w:t>
      </w:r>
    </w:p>
    <w:p>
      <w:pPr>
        <w:numPr>
          <w:ilvl w:val="0"/>
          <w:numId w:val="191"/>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kern w:val="0"/>
          <w:sz w:val="24"/>
          <w:szCs w:val="32"/>
        </w:rPr>
        <w:t>中小企业声</w:t>
      </w:r>
      <w:r>
        <w:rPr>
          <w:rFonts w:hint="eastAsia" w:ascii="宋体" w:hAnsi="宋体" w:eastAsia="宋体" w:cs="Times New Roman"/>
          <w:color w:val="0D0D0D"/>
          <w:kern w:val="0"/>
          <w:sz w:val="24"/>
          <w:szCs w:val="32"/>
        </w:rPr>
        <w:t>明函（附件三）；</w:t>
      </w:r>
    </w:p>
    <w:p>
      <w:pPr>
        <w:numPr>
          <w:ilvl w:val="0"/>
          <w:numId w:val="191"/>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残疾人福利性单位声明函（附件四）</w:t>
      </w:r>
    </w:p>
    <w:p>
      <w:pPr>
        <w:numPr>
          <w:ilvl w:val="0"/>
          <w:numId w:val="191"/>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开标一览表（附件五）；</w:t>
      </w:r>
    </w:p>
    <w:p>
      <w:pPr>
        <w:numPr>
          <w:ilvl w:val="0"/>
          <w:numId w:val="191"/>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投标报价明细表（附件六）；</w:t>
      </w:r>
    </w:p>
    <w:p>
      <w:pPr>
        <w:numPr>
          <w:ilvl w:val="0"/>
          <w:numId w:val="191"/>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小型和微型企业、监狱企业、残疾人福利性单位货物汇总表（附件七）；</w:t>
      </w:r>
    </w:p>
    <w:p>
      <w:pPr>
        <w:numPr>
          <w:ilvl w:val="0"/>
          <w:numId w:val="191"/>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投标货物、服务清单（附件八）；</w:t>
      </w:r>
    </w:p>
    <w:p>
      <w:pPr>
        <w:numPr>
          <w:ilvl w:val="0"/>
          <w:numId w:val="19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交纳投标保证金的银行凭证（附件九，适用招标文件有交纳要求的应当提供）；</w:t>
      </w:r>
    </w:p>
    <w:p>
      <w:pPr>
        <w:numPr>
          <w:ilvl w:val="0"/>
          <w:numId w:val="19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法定代表人授权书（附件十）；</w:t>
      </w:r>
    </w:p>
    <w:p>
      <w:pPr>
        <w:numPr>
          <w:ilvl w:val="0"/>
          <w:numId w:val="19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关于不存在招标文件第二章“十一 其他注意事项”中规定禁止情形的书面声明；</w:t>
      </w:r>
    </w:p>
    <w:p>
      <w:pPr>
        <w:numPr>
          <w:ilvl w:val="0"/>
          <w:numId w:val="19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投标人的资格声明（附件十一）；</w:t>
      </w:r>
    </w:p>
    <w:p>
      <w:pPr>
        <w:numPr>
          <w:ilvl w:val="0"/>
          <w:numId w:val="19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项目负责人、技术负责人简历表（附件十二）；</w:t>
      </w:r>
    </w:p>
    <w:p>
      <w:pPr>
        <w:numPr>
          <w:ilvl w:val="0"/>
          <w:numId w:val="19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项目班子成员情况表（附件十三）；</w:t>
      </w:r>
    </w:p>
    <w:p>
      <w:pPr>
        <w:numPr>
          <w:ilvl w:val="0"/>
          <w:numId w:val="19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投标人类似项目业绩表（附件十四）；</w:t>
      </w:r>
    </w:p>
    <w:p>
      <w:pPr>
        <w:numPr>
          <w:ilvl w:val="0"/>
          <w:numId w:val="19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招标文件要求提供或投标人认为需提供的其它资料；</w:t>
      </w:r>
    </w:p>
    <w:p>
      <w:pPr>
        <w:numPr>
          <w:ilvl w:val="0"/>
          <w:numId w:val="19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符合性审查对照表（附件十五）；</w:t>
      </w:r>
    </w:p>
    <w:p>
      <w:pPr>
        <w:numPr>
          <w:ilvl w:val="0"/>
          <w:numId w:val="19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商务要求响应、偏离说明表（附件十六）；</w:t>
      </w:r>
    </w:p>
    <w:p>
      <w:pPr>
        <w:numPr>
          <w:ilvl w:val="0"/>
          <w:numId w:val="19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商务要求“★”号条款响应、偏离说明表（附件十七）</w:t>
      </w:r>
    </w:p>
    <w:p>
      <w:pPr>
        <w:numPr>
          <w:ilvl w:val="0"/>
          <w:numId w:val="19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商务评议对照表（附件十八）。</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4"/>
        <w:spacing w:before="340" w:after="480" w:line="360" w:lineRule="auto"/>
        <w:jc w:val="center"/>
        <w:rPr>
          <w:rFonts w:cs="Times New Roman" w:asciiTheme="majorEastAsia" w:hAnsiTheme="majorEastAsia"/>
          <w:bCs w:val="0"/>
          <w:sz w:val="44"/>
          <w:szCs w:val="44"/>
          <w:lang w:val="zh-CN"/>
        </w:rPr>
      </w:pPr>
      <w:bookmarkStart w:id="108" w:name="_Toc494664999"/>
      <w:bookmarkStart w:id="109" w:name="_Toc494665552"/>
      <w:bookmarkStart w:id="110" w:name="_Toc494721099"/>
      <w:bookmarkStart w:id="111" w:name="_Toc494702269"/>
      <w:bookmarkStart w:id="112" w:name="_Toc495861549"/>
      <w:bookmarkStart w:id="113" w:name="_Toc494745316"/>
      <w:bookmarkStart w:id="114" w:name="_Toc494665949"/>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r>
        <w:rPr>
          <w:rFonts w:hint="eastAsia" w:cs="Times New Roman" w:asciiTheme="majorEastAsia" w:hAnsiTheme="majorEastAsia"/>
          <w:bCs w:val="0"/>
          <w:sz w:val="44"/>
          <w:szCs w:val="44"/>
          <w:lang w:val="zh-CN"/>
        </w:rPr>
        <w:t>第三部分 技术、服务文件</w:t>
      </w:r>
      <w:bookmarkEnd w:id="108"/>
      <w:bookmarkEnd w:id="109"/>
      <w:bookmarkEnd w:id="110"/>
      <w:bookmarkEnd w:id="111"/>
      <w:bookmarkEnd w:id="112"/>
      <w:bookmarkEnd w:id="113"/>
      <w:bookmarkEnd w:id="114"/>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w:t>
      </w:r>
      <w:r>
        <w:rPr>
          <w:rFonts w:hint="eastAsia" w:ascii="宋体" w:hAnsi="宋体" w:eastAsia="宋体" w:cs="Times New Roman"/>
          <w:b/>
          <w:bCs/>
          <w:sz w:val="36"/>
          <w:szCs w:val="36"/>
          <w:lang w:val="en-US" w:eastAsia="zh-CN"/>
        </w:rPr>
        <w:t>二</w:t>
      </w:r>
      <w:r>
        <w:rPr>
          <w:rFonts w:hint="eastAsia" w:ascii="宋体" w:hAnsi="宋体"/>
          <w:b/>
          <w:sz w:val="36"/>
          <w:szCs w:val="36"/>
        </w:rPr>
        <w:t xml:space="preserve">  年 月</w:t>
      </w:r>
    </w:p>
    <w:p>
      <w:r>
        <w:br w:type="page"/>
      </w:r>
    </w:p>
    <w:p>
      <w:pPr>
        <w:spacing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15" w:name="_Toc494702270"/>
      <w:bookmarkStart w:id="116" w:name="_Toc494665553"/>
      <w:bookmarkStart w:id="117" w:name="_Toc494665950"/>
      <w:bookmarkStart w:id="118" w:name="_Toc494721100"/>
      <w:bookmarkStart w:id="119" w:name="_Toc494745317"/>
      <w:bookmarkStart w:id="120" w:name="_Toc494665000"/>
      <w:r>
        <w:rPr>
          <w:rFonts w:hint="eastAsia" w:ascii="黑体" w:hAnsi="黑体" w:eastAsia="黑体" w:cs="Times New Roman"/>
          <w:b/>
          <w:bCs/>
          <w:sz w:val="36"/>
          <w:szCs w:val="36"/>
          <w:lang w:val="zh-CN"/>
        </w:rPr>
        <w:t>技术</w:t>
      </w:r>
      <w:r>
        <w:rPr>
          <w:rFonts w:hint="eastAsia" w:ascii="黑体" w:hAnsi="黑体" w:eastAsia="黑体" w:cs="Times New Roman"/>
          <w:b/>
          <w:sz w:val="36"/>
          <w:szCs w:val="36"/>
        </w:rPr>
        <w:t>、服务文件组成</w:t>
      </w:r>
      <w:bookmarkEnd w:id="115"/>
      <w:bookmarkEnd w:id="116"/>
      <w:bookmarkEnd w:id="117"/>
      <w:bookmarkEnd w:id="118"/>
      <w:bookmarkEnd w:id="119"/>
      <w:bookmarkEnd w:id="120"/>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19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技术、服务文件目录（目录应涵盖下述所有资料，页码清晰以便查阅）；</w:t>
      </w:r>
    </w:p>
    <w:p>
      <w:pPr>
        <w:numPr>
          <w:ilvl w:val="0"/>
          <w:numId w:val="192"/>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投标货物（工程或服务）介绍，项目建设（服务）方案；</w:t>
      </w:r>
    </w:p>
    <w:p>
      <w:pPr>
        <w:numPr>
          <w:ilvl w:val="0"/>
          <w:numId w:val="19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技术、服务要求响应、偏离说明表（附件十九）；</w:t>
      </w:r>
    </w:p>
    <w:p>
      <w:pPr>
        <w:numPr>
          <w:ilvl w:val="0"/>
          <w:numId w:val="19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技术、服务要求“★”号条款响应、偏离说明表（附件二十）；</w:t>
      </w:r>
    </w:p>
    <w:p>
      <w:pPr>
        <w:numPr>
          <w:ilvl w:val="0"/>
          <w:numId w:val="19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技术、服务评议对照表（附件二十一）；</w:t>
      </w:r>
    </w:p>
    <w:p>
      <w:pPr>
        <w:numPr>
          <w:ilvl w:val="0"/>
          <w:numId w:val="19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4"/>
        <w:numPr>
          <w:ilvl w:val="0"/>
          <w:numId w:val="193"/>
        </w:numPr>
        <w:spacing w:before="100" w:beforeAutospacing="1" w:afterLines="50" w:line="360" w:lineRule="auto"/>
        <w:ind w:left="1288" w:hanging="1288"/>
        <w:rPr>
          <w:rFonts w:ascii="宋体" w:hAnsi="宋体" w:eastAsia="宋体"/>
        </w:rPr>
      </w:pPr>
      <w:bookmarkStart w:id="121" w:name="_Toc494745318"/>
      <w:bookmarkStart w:id="122" w:name="_Toc494721101"/>
      <w:bookmarkStart w:id="123" w:name="_Toc238276242"/>
      <w:bookmarkStart w:id="124" w:name="_Toc495861550"/>
      <w:bookmarkStart w:id="125" w:name="_Toc236473298"/>
      <w:bookmarkStart w:id="126" w:name="_Toc494665554"/>
      <w:bookmarkStart w:id="127" w:name="_Toc494665951"/>
      <w:bookmarkStart w:id="128" w:name="_Toc494702271"/>
      <w:bookmarkStart w:id="129" w:name="_Toc494665001"/>
      <w:r>
        <w:rPr>
          <w:rFonts w:hint="eastAsia" w:ascii="宋体" w:hAnsi="宋体" w:eastAsia="宋体"/>
        </w:rPr>
        <w:t>投标书</w:t>
      </w:r>
      <w:bookmarkEnd w:id="121"/>
      <w:bookmarkEnd w:id="122"/>
      <w:bookmarkEnd w:id="123"/>
      <w:bookmarkEnd w:id="124"/>
      <w:bookmarkEnd w:id="125"/>
      <w:bookmarkEnd w:id="126"/>
      <w:bookmarkEnd w:id="127"/>
      <w:bookmarkEnd w:id="128"/>
      <w:bookmarkEnd w:id="129"/>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依据贵方___</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 xml:space="preserve">  _</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项目（项目编号：_____）招标的投标邀请，我方代表</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（姓名、职务）</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经正式授权并代表投标人</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（投标人全称 ）</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提交</w:t>
      </w:r>
      <w:r>
        <w:rPr>
          <w:rFonts w:hint="eastAsia" w:ascii="宋体" w:hAnsi="宋体"/>
          <w:color w:val="0D0D0D" w:themeColor="text1" w:themeTint="F2"/>
          <w:kern w:val="0"/>
          <w:sz w:val="24"/>
          <w14:textFill>
            <w14:solidFill>
              <w14:schemeClr w14:val="tx1">
                <w14:lumMod w14:val="95000"/>
                <w14:lumOff w14:val="5000"/>
              </w14:schemeClr>
            </w14:solidFill>
          </w14:textFill>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kern w:val="0"/>
          <w:sz w:val="24"/>
          <w:szCs w:val="24"/>
          <w14:textFill>
            <w14:solidFill>
              <w14:schemeClr w14:val="tx1">
                <w14:lumMod w14:val="95000"/>
                <w14:lumOff w14:val="5000"/>
              </w14:schemeClr>
            </w14:solidFill>
          </w14:textFill>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（注明币种，并用大写和小写表述投标总价）</w:t>
      </w:r>
      <w:r>
        <w:rPr>
          <w:rFonts w:hint="eastAsia" w:asciiTheme="minorEastAsia" w:hAnsiTheme="minorEastAsia"/>
          <w:sz w:val="24"/>
          <w:szCs w:val="24"/>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w:t>
      </w:r>
      <w:r>
        <w:rPr>
          <w:rFonts w:hint="eastAsia" w:ascii="宋体" w:hAnsi="宋体"/>
          <w:color w:val="0D0D0D" w:themeColor="text1" w:themeTint="F2"/>
          <w:kern w:val="0"/>
          <w:sz w:val="24"/>
          <w14:textFill>
            <w14:solidFill>
              <w14:schemeClr w14:val="tx1">
                <w14:lumMod w14:val="95000"/>
                <w14:lumOff w14:val="5000"/>
              </w14:schemeClr>
            </w14:solidFill>
          </w14:textFill>
        </w:rPr>
        <w:t>递交投标文件截止之日</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起</w:t>
      </w:r>
      <w:r>
        <w:rPr>
          <w:rFonts w:hint="eastAsia" w:asciiTheme="minorEastAsia" w:hAnsiTheme="minorEastAsia"/>
          <w:sz w:val="24"/>
          <w:szCs w:val="24"/>
        </w:rPr>
        <w:t>，共个日历日；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5．接受招标文件关于不予退还投标保证金的约定；</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kern w:val="0"/>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4"/>
        <w:numPr>
          <w:ilvl w:val="0"/>
          <w:numId w:val="193"/>
        </w:numPr>
        <w:spacing w:before="100" w:beforeAutospacing="1" w:afterLines="50" w:line="360" w:lineRule="auto"/>
        <w:ind w:left="1288" w:hanging="1288"/>
        <w:rPr>
          <w:rFonts w:ascii="宋体" w:hAnsi="宋体" w:eastAsia="宋体"/>
        </w:rPr>
      </w:pPr>
      <w:bookmarkStart w:id="130" w:name="_Toc495861551"/>
      <w:bookmarkStart w:id="131" w:name="_Toc494702272"/>
      <w:bookmarkStart w:id="132" w:name="_Toc494665952"/>
      <w:bookmarkStart w:id="133" w:name="_Toc494665555"/>
      <w:bookmarkStart w:id="134" w:name="_Toc494665002"/>
      <w:bookmarkStart w:id="135" w:name="_Toc494745319"/>
      <w:bookmarkStart w:id="136" w:name="_Toc494721102"/>
      <w:r>
        <w:rPr>
          <w:rFonts w:hint="eastAsia" w:ascii="宋体" w:hAnsi="宋体" w:eastAsia="宋体"/>
        </w:rPr>
        <w:t>中小企业声明函</w:t>
      </w:r>
      <w:bookmarkEnd w:id="130"/>
      <w:bookmarkEnd w:id="131"/>
      <w:bookmarkEnd w:id="132"/>
      <w:bookmarkEnd w:id="133"/>
      <w:bookmarkEnd w:id="134"/>
      <w:bookmarkEnd w:id="135"/>
      <w:bookmarkEnd w:id="136"/>
    </w:p>
    <w:p>
      <w:pPr>
        <w:adjustRightInd w:val="0"/>
        <w:snapToGrid w:val="0"/>
        <w:jc w:val="center"/>
        <w:rPr>
          <w:rFonts w:hint="eastAsia" w:ascii="宋体" w:hAnsi="宋体" w:eastAsia="宋体" w:cs="Times New Roman"/>
          <w:b/>
          <w:sz w:val="30"/>
          <w:szCs w:val="30"/>
          <w:lang w:val="zh-CN"/>
        </w:rPr>
      </w:pPr>
      <w:r>
        <w:rPr>
          <w:rFonts w:hint="eastAsia" w:ascii="宋体" w:hAnsi="宋体" w:eastAsia="宋体" w:cs="Times New Roman"/>
          <w:b/>
          <w:sz w:val="30"/>
          <w:szCs w:val="30"/>
          <w:lang w:val="en-US" w:eastAsia="zh-CN"/>
        </w:rPr>
        <w:t xml:space="preserve">中小企业声明函（货物） </w:t>
      </w:r>
    </w:p>
    <w:p>
      <w:pPr>
        <w:spacing w:line="360" w:lineRule="auto"/>
        <w:rPr>
          <w:rFonts w:hint="eastAsia"/>
          <w:b/>
          <w:sz w:val="28"/>
          <w:szCs w:val="28"/>
        </w:rPr>
      </w:pPr>
    </w:p>
    <w:p>
      <w:pPr>
        <w:spacing w:line="360" w:lineRule="auto"/>
        <w:rPr>
          <w:rFonts w:hint="eastAsia" w:ascii="宋体" w:hAnsi="宋体" w:eastAsia="宋体" w:cs="Times New Roman"/>
          <w:color w:val="0D0D0D"/>
          <w:sz w:val="24"/>
          <w:szCs w:val="21"/>
          <w:lang w:val="en-US" w:eastAsia="zh-CN"/>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75" w:firstLineChars="198"/>
        <w:jc w:val="both"/>
        <w:rPr>
          <w:rFonts w:hint="eastAsia" w:ascii="宋体" w:hAnsi="宋体" w:eastAsia="宋体" w:cs="Times New Roman"/>
          <w:color w:val="0D0D0D"/>
          <w:sz w:val="24"/>
          <w:szCs w:val="21"/>
          <w:lang w:val="zh-CN"/>
        </w:rPr>
      </w:pPr>
      <w:r>
        <w:rPr>
          <w:rFonts w:hint="eastAsia" w:ascii="宋体" w:hAnsi="宋体" w:eastAsia="宋体" w:cs="Times New Roman"/>
          <w:color w:val="0D0D0D"/>
          <w:sz w:val="24"/>
          <w:szCs w:val="21"/>
          <w:lang w:val="en-US" w:eastAsia="zh-CN"/>
        </w:rPr>
        <w:t>本公司（联合体）郑重声明，根据《政府采购促进中小企业发展管理办法》（财库﹝2020﹞46 号）的规定，本公司</w:t>
      </w:r>
      <w:r>
        <w:rPr>
          <w:rFonts w:hint="eastAsia" w:ascii="宋体" w:hAnsi="宋体" w:eastAsia="宋体" w:cs="Times New Roman"/>
          <w:color w:val="0D0D0D"/>
          <w:sz w:val="24"/>
          <w:szCs w:val="21"/>
          <w:u w:val="single"/>
          <w:lang w:val="en-US" w:eastAsia="zh-CN"/>
        </w:rPr>
        <w:t>（联合体）</w:t>
      </w:r>
      <w:r>
        <w:rPr>
          <w:rFonts w:hint="eastAsia" w:ascii="宋体" w:hAnsi="宋体" w:eastAsia="宋体" w:cs="Times New Roman"/>
          <w:color w:val="0D0D0D"/>
          <w:sz w:val="24"/>
          <w:szCs w:val="21"/>
          <w:lang w:val="en-US" w:eastAsia="zh-CN"/>
        </w:rPr>
        <w:t>参加</w:t>
      </w:r>
      <w:r>
        <w:rPr>
          <w:rFonts w:hint="eastAsia" w:ascii="宋体" w:hAnsi="宋体" w:eastAsia="宋体" w:cs="Times New Roman"/>
          <w:color w:val="0D0D0D"/>
          <w:sz w:val="24"/>
          <w:szCs w:val="21"/>
          <w:u w:val="single"/>
          <w:lang w:val="en-US" w:eastAsia="zh-CN"/>
        </w:rPr>
        <w:t>（单位名称）</w:t>
      </w:r>
      <w:r>
        <w:rPr>
          <w:rFonts w:hint="eastAsia" w:ascii="宋体" w:hAnsi="宋体" w:eastAsia="宋体" w:cs="Times New Roman"/>
          <w:color w:val="0D0D0D"/>
          <w:sz w:val="24"/>
          <w:szCs w:val="21"/>
          <w:lang w:val="en-US" w:eastAsia="zh-CN"/>
        </w:rPr>
        <w:t>的</w:t>
      </w:r>
      <w:r>
        <w:rPr>
          <w:rFonts w:hint="eastAsia" w:ascii="宋体" w:hAnsi="宋体" w:eastAsia="宋体" w:cs="Times New Roman"/>
          <w:color w:val="0D0D0D"/>
          <w:sz w:val="24"/>
          <w:szCs w:val="21"/>
          <w:u w:val="single"/>
          <w:lang w:val="en-US" w:eastAsia="zh-CN"/>
        </w:rPr>
        <w:t>（项目名称）</w:t>
      </w:r>
      <w:r>
        <w:rPr>
          <w:rFonts w:hint="eastAsia" w:ascii="宋体" w:hAnsi="宋体" w:eastAsia="宋体" w:cs="Times New Roman"/>
          <w:color w:val="0D0D0D"/>
          <w:sz w:val="24"/>
          <w:szCs w:val="21"/>
          <w:lang w:val="en-US" w:eastAsia="zh-CN"/>
        </w:rPr>
        <w:t xml:space="preserve">采购活动，提供的货物全部由符合政策要求的中小企业制造。相关企业 （含联合体中的中小企业、签订分包意向协议的中小企业）的具体情况如下： </w:t>
      </w:r>
    </w:p>
    <w:p>
      <w:pPr>
        <w:spacing w:line="360" w:lineRule="auto"/>
        <w:ind w:firstLine="475" w:firstLineChars="198"/>
        <w:jc w:val="both"/>
        <w:rPr>
          <w:rFonts w:hint="eastAsia" w:ascii="宋体" w:hAnsi="宋体" w:eastAsia="宋体" w:cs="Times New Roman"/>
          <w:color w:val="0D0D0D"/>
          <w:sz w:val="24"/>
          <w:szCs w:val="21"/>
          <w:lang w:val="zh-CN"/>
        </w:rPr>
      </w:pPr>
      <w:r>
        <w:rPr>
          <w:rFonts w:hint="eastAsia" w:ascii="宋体" w:hAnsi="宋体" w:eastAsia="宋体" w:cs="Times New Roman"/>
          <w:color w:val="0D0D0D"/>
          <w:sz w:val="24"/>
          <w:szCs w:val="21"/>
          <w:lang w:val="en-US" w:eastAsia="zh-CN"/>
        </w:rPr>
        <w:t xml:space="preserve">1. </w:t>
      </w:r>
      <w:r>
        <w:rPr>
          <w:rFonts w:hint="eastAsia" w:ascii="宋体" w:hAnsi="宋体" w:eastAsia="宋体" w:cs="Times New Roman"/>
          <w:color w:val="0D0D0D"/>
          <w:sz w:val="24"/>
          <w:szCs w:val="21"/>
          <w:u w:val="single"/>
          <w:lang w:val="en-US" w:eastAsia="zh-CN"/>
        </w:rPr>
        <w:t>（标的名称）</w:t>
      </w:r>
      <w:r>
        <w:rPr>
          <w:rFonts w:hint="eastAsia" w:ascii="宋体" w:hAnsi="宋体" w:eastAsia="宋体" w:cs="Times New Roman"/>
          <w:color w:val="0D0D0D"/>
          <w:sz w:val="24"/>
          <w:szCs w:val="21"/>
          <w:lang w:val="en-US" w:eastAsia="zh-CN"/>
        </w:rPr>
        <w:t xml:space="preserve"> ，属于</w:t>
      </w:r>
      <w:r>
        <w:rPr>
          <w:rFonts w:hint="eastAsia" w:ascii="宋体" w:hAnsi="宋体" w:eastAsia="宋体" w:cs="Times New Roman"/>
          <w:color w:val="0D0D0D"/>
          <w:sz w:val="24"/>
          <w:szCs w:val="21"/>
          <w:u w:val="single"/>
          <w:lang w:val="en-US" w:eastAsia="zh-CN"/>
        </w:rPr>
        <w:t>（采购文件中明确的所属行业）</w:t>
      </w:r>
      <w:r>
        <w:rPr>
          <w:rFonts w:hint="eastAsia" w:ascii="宋体" w:hAnsi="宋体" w:eastAsia="宋体" w:cs="Times New Roman"/>
          <w:color w:val="0D0D0D"/>
          <w:sz w:val="24"/>
          <w:szCs w:val="21"/>
          <w:lang w:val="en-US" w:eastAsia="zh-CN"/>
        </w:rPr>
        <w:t xml:space="preserve"> 行业；制造商为</w:t>
      </w:r>
      <w:r>
        <w:rPr>
          <w:rFonts w:hint="eastAsia" w:ascii="宋体" w:hAnsi="宋体" w:eastAsia="宋体" w:cs="Times New Roman"/>
          <w:color w:val="0D0D0D"/>
          <w:sz w:val="24"/>
          <w:szCs w:val="21"/>
          <w:u w:val="single"/>
          <w:lang w:val="en-US" w:eastAsia="zh-CN"/>
        </w:rPr>
        <w:t>（企业名称）</w:t>
      </w:r>
      <w:r>
        <w:rPr>
          <w:rFonts w:hint="eastAsia" w:ascii="宋体" w:hAnsi="宋体" w:eastAsia="宋体" w:cs="Times New Roman"/>
          <w:color w:val="0D0D0D"/>
          <w:sz w:val="24"/>
          <w:szCs w:val="21"/>
          <w:lang w:val="en-US" w:eastAsia="zh-CN"/>
        </w:rPr>
        <w:t>，从业人员</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人，营业收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入为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万元，资产总额为</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万元，属于（中型企业、小 型企业、微型企业）； </w:t>
      </w:r>
    </w:p>
    <w:p>
      <w:pPr>
        <w:spacing w:line="360" w:lineRule="auto"/>
        <w:ind w:firstLine="475" w:firstLineChars="198"/>
        <w:jc w:val="both"/>
        <w:rPr>
          <w:rFonts w:hint="eastAsia" w:ascii="宋体" w:hAnsi="宋体" w:eastAsia="宋体" w:cs="Times New Roman"/>
          <w:color w:val="0D0D0D"/>
          <w:sz w:val="24"/>
          <w:szCs w:val="21"/>
          <w:lang w:val="zh-CN"/>
        </w:rPr>
      </w:pPr>
      <w:r>
        <w:rPr>
          <w:rFonts w:hint="eastAsia" w:ascii="宋体" w:hAnsi="宋体" w:eastAsia="宋体" w:cs="Times New Roman"/>
          <w:color w:val="0D0D0D"/>
          <w:sz w:val="24"/>
          <w:szCs w:val="21"/>
          <w:lang w:val="en-US" w:eastAsia="zh-CN"/>
        </w:rPr>
        <w:t xml:space="preserve">2. </w:t>
      </w:r>
      <w:r>
        <w:rPr>
          <w:rFonts w:hint="eastAsia" w:ascii="宋体" w:hAnsi="宋体" w:eastAsia="宋体" w:cs="Times New Roman"/>
          <w:color w:val="0D0D0D"/>
          <w:sz w:val="24"/>
          <w:szCs w:val="21"/>
          <w:u w:val="single"/>
          <w:lang w:val="en-US" w:eastAsia="zh-CN"/>
        </w:rPr>
        <w:t>（标的名称）</w:t>
      </w:r>
      <w:r>
        <w:rPr>
          <w:rFonts w:hint="eastAsia" w:ascii="宋体" w:hAnsi="宋体" w:eastAsia="宋体" w:cs="Times New Roman"/>
          <w:color w:val="0D0D0D"/>
          <w:sz w:val="24"/>
          <w:szCs w:val="21"/>
          <w:lang w:val="en-US" w:eastAsia="zh-CN"/>
        </w:rPr>
        <w:t xml:space="preserve"> ，属于</w:t>
      </w:r>
      <w:r>
        <w:rPr>
          <w:rFonts w:hint="eastAsia" w:ascii="宋体" w:hAnsi="宋体" w:eastAsia="宋体" w:cs="Times New Roman"/>
          <w:color w:val="0D0D0D"/>
          <w:sz w:val="24"/>
          <w:szCs w:val="21"/>
          <w:u w:val="single"/>
          <w:lang w:val="en-US" w:eastAsia="zh-CN"/>
        </w:rPr>
        <w:t>（采购文件中明确的所属行业）</w:t>
      </w:r>
      <w:r>
        <w:rPr>
          <w:rFonts w:hint="eastAsia" w:ascii="宋体" w:hAnsi="宋体" w:eastAsia="宋体" w:cs="Times New Roman"/>
          <w:color w:val="0D0D0D"/>
          <w:sz w:val="24"/>
          <w:szCs w:val="21"/>
          <w:lang w:val="en-US" w:eastAsia="zh-CN"/>
        </w:rPr>
        <w:t xml:space="preserve"> 行业；制造商为</w:t>
      </w:r>
      <w:r>
        <w:rPr>
          <w:rFonts w:hint="eastAsia" w:ascii="宋体" w:hAnsi="宋体" w:eastAsia="宋体" w:cs="Times New Roman"/>
          <w:color w:val="0D0D0D"/>
          <w:sz w:val="24"/>
          <w:szCs w:val="21"/>
          <w:u w:val="single"/>
          <w:lang w:val="en-US" w:eastAsia="zh-CN"/>
        </w:rPr>
        <w:t>（企业名称）</w:t>
      </w:r>
      <w:r>
        <w:rPr>
          <w:rFonts w:hint="eastAsia" w:ascii="宋体" w:hAnsi="宋体" w:eastAsia="宋体" w:cs="Times New Roman"/>
          <w:color w:val="0D0D0D"/>
          <w:sz w:val="24"/>
          <w:szCs w:val="21"/>
          <w:lang w:val="en-US" w:eastAsia="zh-CN"/>
        </w:rPr>
        <w:t xml:space="preserve">，从业人员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人，营业收入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为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万元，资产总额为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万元，属于（中型企业、小型 企业、微型企业）； </w:t>
      </w:r>
    </w:p>
    <w:p>
      <w:pPr>
        <w:spacing w:line="360" w:lineRule="auto"/>
        <w:ind w:firstLine="475" w:firstLineChars="198"/>
        <w:jc w:val="both"/>
        <w:rPr>
          <w:rFonts w:hint="eastAsia" w:ascii="宋体" w:hAnsi="宋体" w:eastAsia="宋体" w:cs="Times New Roman"/>
          <w:color w:val="0D0D0D"/>
          <w:sz w:val="24"/>
          <w:szCs w:val="21"/>
          <w:lang w:val="zh-CN"/>
        </w:rPr>
      </w:pPr>
      <w:r>
        <w:rPr>
          <w:rFonts w:hint="eastAsia" w:ascii="宋体" w:hAnsi="宋体" w:eastAsia="宋体" w:cs="Times New Roman"/>
          <w:color w:val="0D0D0D"/>
          <w:sz w:val="24"/>
          <w:szCs w:val="21"/>
          <w:lang w:val="en-US" w:eastAsia="zh-CN"/>
        </w:rPr>
        <w:t>……</w:t>
      </w:r>
    </w:p>
    <w:p>
      <w:pPr>
        <w:spacing w:line="360" w:lineRule="auto"/>
        <w:ind w:firstLine="475" w:firstLineChars="198"/>
        <w:jc w:val="both"/>
        <w:rPr>
          <w:rFonts w:hint="eastAsia" w:ascii="宋体" w:hAnsi="宋体" w:eastAsia="宋体" w:cs="Times New Roman"/>
          <w:color w:val="0D0D0D"/>
          <w:sz w:val="24"/>
          <w:szCs w:val="21"/>
          <w:lang w:val="zh-CN"/>
        </w:rPr>
      </w:pPr>
      <w:r>
        <w:rPr>
          <w:rFonts w:hint="eastAsia" w:ascii="宋体" w:hAnsi="宋体" w:eastAsia="宋体" w:cs="Times New Roman"/>
          <w:color w:val="0D0D0D"/>
          <w:sz w:val="24"/>
          <w:szCs w:val="21"/>
          <w:lang w:val="en-US" w:eastAsia="zh-CN"/>
        </w:rPr>
        <w:t>以上企业，不属于大企业的分支机构，不存在控股股东 为大企业的情形，也不存在与大企业的负责人为同一人的情 形。</w:t>
      </w:r>
    </w:p>
    <w:p>
      <w:pPr>
        <w:spacing w:line="360" w:lineRule="auto"/>
        <w:ind w:firstLine="475" w:firstLineChars="198"/>
        <w:jc w:val="both"/>
        <w:rPr>
          <w:rFonts w:hint="eastAsia" w:ascii="宋体" w:hAnsi="宋体" w:eastAsia="宋体" w:cs="Times New Roman"/>
          <w:color w:val="0D0D0D"/>
          <w:sz w:val="24"/>
          <w:szCs w:val="21"/>
          <w:lang w:val="zh-CN"/>
        </w:rPr>
      </w:pPr>
      <w:r>
        <w:rPr>
          <w:rFonts w:hint="eastAsia" w:ascii="宋体" w:hAnsi="宋体" w:eastAsia="宋体" w:cs="Times New Roman"/>
          <w:color w:val="0D0D0D"/>
          <w:sz w:val="24"/>
          <w:szCs w:val="21"/>
          <w:lang w:val="en-US" w:eastAsia="zh-CN"/>
        </w:rPr>
        <w:t xml:space="preserve">本企业对上述声明内容的真实性负责。如有虚假，将依 法承担相应责任。 </w:t>
      </w:r>
    </w:p>
    <w:p>
      <w:pPr>
        <w:spacing w:line="360" w:lineRule="auto"/>
        <w:ind w:firstLine="475" w:firstLineChars="198"/>
        <w:jc w:val="center"/>
        <w:rPr>
          <w:rFonts w:hint="eastAsia" w:ascii="宋体" w:hAnsi="宋体" w:eastAsia="宋体" w:cs="Times New Roman"/>
          <w:color w:val="0D0D0D"/>
          <w:sz w:val="24"/>
          <w:szCs w:val="21"/>
          <w:lang w:val="en-US" w:eastAsia="zh-CN"/>
        </w:rPr>
      </w:pPr>
      <w:r>
        <w:rPr>
          <w:rFonts w:hint="eastAsia" w:ascii="宋体" w:hAnsi="宋体" w:eastAsia="宋体" w:cs="Times New Roman"/>
          <w:color w:val="0D0D0D"/>
          <w:sz w:val="24"/>
          <w:szCs w:val="21"/>
          <w:lang w:val="en-US" w:eastAsia="zh-CN"/>
        </w:rPr>
        <w:t xml:space="preserve">  </w:t>
      </w:r>
    </w:p>
    <w:p>
      <w:pPr>
        <w:spacing w:line="360" w:lineRule="auto"/>
        <w:ind w:firstLine="475" w:firstLineChars="198"/>
        <w:jc w:val="center"/>
        <w:rPr>
          <w:rFonts w:hint="eastAsia" w:ascii="宋体" w:hAnsi="宋体" w:eastAsia="宋体" w:cs="Times New Roman"/>
          <w:color w:val="0D0D0D"/>
          <w:sz w:val="24"/>
          <w:szCs w:val="21"/>
          <w:lang w:val="zh-CN"/>
        </w:rPr>
      </w:pPr>
      <w:r>
        <w:rPr>
          <w:rFonts w:hint="eastAsia" w:ascii="宋体" w:hAnsi="宋体" w:eastAsia="宋体" w:cs="Times New Roman"/>
          <w:color w:val="0D0D0D"/>
          <w:sz w:val="24"/>
          <w:szCs w:val="21"/>
          <w:lang w:val="en-US" w:eastAsia="zh-CN"/>
        </w:rPr>
        <w:t xml:space="preserve">企业名称（盖章）： </w:t>
      </w:r>
    </w:p>
    <w:p>
      <w:pPr>
        <w:spacing w:line="360" w:lineRule="auto"/>
        <w:ind w:firstLine="475" w:firstLineChars="198"/>
        <w:jc w:val="center"/>
        <w:rPr>
          <w:rFonts w:hint="eastAsia" w:ascii="宋体" w:hAnsi="宋体" w:eastAsia="宋体" w:cs="Times New Roman"/>
          <w:color w:val="0D0D0D"/>
          <w:sz w:val="24"/>
          <w:szCs w:val="21"/>
          <w:lang w:val="zh-CN"/>
        </w:rPr>
      </w:pPr>
      <w:r>
        <w:rPr>
          <w:rFonts w:hint="eastAsia" w:ascii="宋体" w:hAnsi="宋体" w:eastAsia="宋体" w:cs="Times New Roman"/>
          <w:color w:val="0D0D0D"/>
          <w:sz w:val="24"/>
          <w:szCs w:val="21"/>
          <w:lang w:val="en-US" w:eastAsia="zh-CN"/>
        </w:rPr>
        <w:t xml:space="preserve">           日 期： </w:t>
      </w:r>
    </w:p>
    <w:p>
      <w:r>
        <w:br w:type="page"/>
      </w:r>
    </w:p>
    <w:p>
      <w:pPr>
        <w:pStyle w:val="4"/>
        <w:numPr>
          <w:ilvl w:val="0"/>
          <w:numId w:val="193"/>
        </w:numPr>
        <w:spacing w:before="100" w:beforeAutospacing="1" w:afterLines="50" w:line="360" w:lineRule="auto"/>
        <w:ind w:left="1288" w:hanging="1288"/>
        <w:rPr>
          <w:rFonts w:ascii="宋体" w:hAnsi="宋体" w:eastAsia="宋体"/>
        </w:rPr>
      </w:pPr>
      <w:bookmarkStart w:id="137" w:name="_Toc494745320"/>
      <w:bookmarkStart w:id="138" w:name="_Toc495861552"/>
      <w:bookmarkStart w:id="139" w:name="_Toc456264006"/>
      <w:bookmarkStart w:id="140" w:name="_Toc494702273"/>
      <w:bookmarkStart w:id="141" w:name="_Toc494665556"/>
      <w:bookmarkStart w:id="142" w:name="_Toc494721103"/>
      <w:bookmarkStart w:id="143" w:name="_Toc494665953"/>
      <w:bookmarkStart w:id="144" w:name="_Toc494665003"/>
      <w:r>
        <w:rPr>
          <w:rFonts w:hint="eastAsia" w:ascii="宋体" w:hAnsi="宋体" w:eastAsia="宋体"/>
        </w:rPr>
        <w:t>中小企业声明函</w:t>
      </w:r>
      <w:bookmarkEnd w:id="137"/>
      <w:bookmarkEnd w:id="138"/>
      <w:bookmarkEnd w:id="139"/>
      <w:bookmarkEnd w:id="140"/>
      <w:bookmarkEnd w:id="141"/>
      <w:bookmarkEnd w:id="142"/>
      <w:bookmarkEnd w:id="143"/>
      <w:bookmarkEnd w:id="144"/>
    </w:p>
    <w:p>
      <w:pPr>
        <w:adjustRightInd w:val="0"/>
        <w:snapToGrid w:val="0"/>
        <w:jc w:val="center"/>
        <w:rPr>
          <w:rFonts w:hint="eastAsia" w:ascii="宋体" w:hAnsi="宋体" w:eastAsia="宋体" w:cs="Times New Roman"/>
          <w:b/>
          <w:sz w:val="30"/>
          <w:szCs w:val="30"/>
          <w:lang w:val="en-US" w:eastAsia="zh-CN"/>
        </w:rPr>
      </w:pPr>
      <w:r>
        <w:rPr>
          <w:rFonts w:hint="eastAsia" w:ascii="宋体" w:hAnsi="宋体" w:eastAsia="宋体" w:cs="Times New Roman"/>
          <w:b/>
          <w:sz w:val="30"/>
          <w:szCs w:val="30"/>
          <w:lang w:val="en-US" w:eastAsia="zh-CN"/>
        </w:rPr>
        <w:t xml:space="preserve">中小企业声明函（工程、服务） </w:t>
      </w:r>
    </w:p>
    <w:p>
      <w:pPr>
        <w:spacing w:line="360" w:lineRule="auto"/>
        <w:ind w:firstLine="475" w:firstLineChars="198"/>
        <w:jc w:val="both"/>
        <w:rPr>
          <w:rFonts w:hint="eastAsia" w:ascii="宋体" w:hAnsi="宋体" w:eastAsia="宋体" w:cs="Times New Roman"/>
          <w:color w:val="0D0D0D"/>
          <w:sz w:val="24"/>
          <w:szCs w:val="21"/>
          <w:lang w:val="en-US" w:eastAsia="zh-CN"/>
        </w:rPr>
      </w:pPr>
    </w:p>
    <w:p>
      <w:pPr>
        <w:spacing w:line="360" w:lineRule="auto"/>
        <w:rPr>
          <w:rFonts w:hint="eastAsia" w:ascii="宋体" w:hAnsi="宋体" w:eastAsia="宋体" w:cs="Times New Roman"/>
          <w:color w:val="0D0D0D"/>
          <w:sz w:val="24"/>
          <w:szCs w:val="21"/>
          <w:lang w:val="en-US" w:eastAsia="zh-CN"/>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75" w:firstLineChars="198"/>
        <w:jc w:val="both"/>
        <w:rPr>
          <w:rFonts w:hint="eastAsia" w:ascii="宋体" w:hAnsi="宋体" w:eastAsia="宋体" w:cs="Times New Roman"/>
          <w:color w:val="0D0D0D"/>
          <w:sz w:val="24"/>
          <w:szCs w:val="21"/>
          <w:lang w:val="en-US" w:eastAsia="zh-CN"/>
        </w:rPr>
      </w:pPr>
      <w:r>
        <w:rPr>
          <w:rFonts w:hint="eastAsia" w:ascii="宋体" w:hAnsi="宋体" w:eastAsia="宋体" w:cs="Times New Roman"/>
          <w:color w:val="0D0D0D"/>
          <w:sz w:val="24"/>
          <w:szCs w:val="21"/>
          <w:lang w:val="en-US" w:eastAsia="zh-CN"/>
        </w:rPr>
        <w:t>本公司</w:t>
      </w:r>
      <w:r>
        <w:rPr>
          <w:rFonts w:hint="eastAsia" w:ascii="宋体" w:hAnsi="宋体" w:eastAsia="宋体" w:cs="Times New Roman"/>
          <w:color w:val="0D0D0D"/>
          <w:sz w:val="24"/>
          <w:szCs w:val="21"/>
          <w:u w:val="single"/>
          <w:lang w:val="en-US" w:eastAsia="zh-CN"/>
        </w:rPr>
        <w:t>（联合体）</w:t>
      </w:r>
      <w:r>
        <w:rPr>
          <w:rFonts w:hint="eastAsia" w:ascii="宋体" w:hAnsi="宋体" w:eastAsia="宋体" w:cs="Times New Roman"/>
          <w:color w:val="0D0D0D"/>
          <w:sz w:val="24"/>
          <w:szCs w:val="21"/>
          <w:lang w:val="en-US" w:eastAsia="zh-CN"/>
        </w:rPr>
        <w:t>郑重声明，根据《政府采购促进中小 企业发展管理办法》（财库﹝2020﹞46 号）的规定，本公司</w:t>
      </w:r>
      <w:r>
        <w:rPr>
          <w:rFonts w:hint="eastAsia" w:ascii="宋体" w:hAnsi="宋体" w:eastAsia="宋体" w:cs="Times New Roman"/>
          <w:color w:val="0D0D0D"/>
          <w:sz w:val="24"/>
          <w:szCs w:val="21"/>
          <w:u w:val="single"/>
          <w:lang w:val="en-US" w:eastAsia="zh-CN"/>
        </w:rPr>
        <w:t xml:space="preserve"> （联合体）</w:t>
      </w:r>
      <w:r>
        <w:rPr>
          <w:rFonts w:hint="eastAsia" w:ascii="宋体" w:hAnsi="宋体" w:eastAsia="宋体" w:cs="Times New Roman"/>
          <w:color w:val="0D0D0D"/>
          <w:sz w:val="24"/>
          <w:szCs w:val="21"/>
          <w:lang w:val="en-US" w:eastAsia="zh-CN"/>
        </w:rPr>
        <w:t>参加</w:t>
      </w:r>
      <w:r>
        <w:rPr>
          <w:rFonts w:hint="eastAsia" w:ascii="宋体" w:hAnsi="宋体" w:eastAsia="宋体" w:cs="Times New Roman"/>
          <w:color w:val="0D0D0D"/>
          <w:sz w:val="24"/>
          <w:szCs w:val="21"/>
          <w:u w:val="single"/>
          <w:lang w:val="en-US" w:eastAsia="zh-CN"/>
        </w:rPr>
        <w:t>（单位名称）</w:t>
      </w:r>
      <w:r>
        <w:rPr>
          <w:rFonts w:hint="eastAsia" w:ascii="宋体" w:hAnsi="宋体" w:eastAsia="宋体" w:cs="Times New Roman"/>
          <w:color w:val="0D0D0D"/>
          <w:sz w:val="24"/>
          <w:szCs w:val="21"/>
          <w:lang w:val="en-US" w:eastAsia="zh-CN"/>
        </w:rPr>
        <w:t>的</w:t>
      </w:r>
      <w:r>
        <w:rPr>
          <w:rFonts w:hint="eastAsia" w:ascii="宋体" w:hAnsi="宋体" w:eastAsia="宋体" w:cs="Times New Roman"/>
          <w:color w:val="0D0D0D"/>
          <w:sz w:val="24"/>
          <w:szCs w:val="21"/>
          <w:u w:val="single"/>
          <w:lang w:val="en-US" w:eastAsia="zh-CN"/>
        </w:rPr>
        <w:t>（项目名称）</w:t>
      </w:r>
      <w:r>
        <w:rPr>
          <w:rFonts w:hint="eastAsia" w:ascii="宋体" w:hAnsi="宋体" w:eastAsia="宋体" w:cs="Times New Roman"/>
          <w:color w:val="0D0D0D"/>
          <w:sz w:val="24"/>
          <w:szCs w:val="21"/>
          <w:lang w:val="en-US" w:eastAsia="zh-CN"/>
        </w:rPr>
        <w:t>采购活动，工 程的施工单位全部为符合政策要求的中小企业（或者：服务 全部由符合政策要求的中小企业承接）。相关企业（含联合体中的中小企业、签订分包意向协议的中小企业）的具体情 况如下：</w:t>
      </w:r>
    </w:p>
    <w:p>
      <w:pPr>
        <w:spacing w:line="360" w:lineRule="auto"/>
        <w:ind w:firstLine="475" w:firstLineChars="198"/>
        <w:jc w:val="both"/>
        <w:rPr>
          <w:rFonts w:hint="eastAsia" w:ascii="宋体" w:hAnsi="宋体" w:eastAsia="宋体" w:cs="Times New Roman"/>
          <w:color w:val="0D0D0D"/>
          <w:sz w:val="24"/>
          <w:szCs w:val="21"/>
          <w:lang w:val="en-US" w:eastAsia="zh-CN"/>
        </w:rPr>
      </w:pPr>
      <w:r>
        <w:rPr>
          <w:rFonts w:hint="eastAsia" w:ascii="宋体" w:hAnsi="宋体" w:eastAsia="宋体" w:cs="Times New Roman"/>
          <w:color w:val="0D0D0D"/>
          <w:sz w:val="24"/>
          <w:szCs w:val="21"/>
          <w:lang w:val="en-US" w:eastAsia="zh-CN"/>
        </w:rPr>
        <w:t xml:space="preserve">1. （标的名称） ，属于（采购文件中明确的所属行业）； 承建（承接）企业为（企业名称），从业人员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人，营业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收入为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万元，资产总额为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万元，属于（中型企业、 小型企业、微型企业）； </w:t>
      </w:r>
    </w:p>
    <w:p>
      <w:pPr>
        <w:spacing w:line="360" w:lineRule="auto"/>
        <w:ind w:firstLine="475" w:firstLineChars="198"/>
        <w:jc w:val="both"/>
        <w:rPr>
          <w:rFonts w:hint="eastAsia" w:ascii="宋体" w:hAnsi="宋体" w:eastAsia="宋体" w:cs="Times New Roman"/>
          <w:color w:val="0D0D0D"/>
          <w:sz w:val="24"/>
          <w:szCs w:val="21"/>
          <w:lang w:val="en-US" w:eastAsia="zh-CN"/>
        </w:rPr>
      </w:pPr>
      <w:r>
        <w:rPr>
          <w:rFonts w:hint="eastAsia" w:ascii="宋体" w:hAnsi="宋体" w:eastAsia="宋体" w:cs="Times New Roman"/>
          <w:color w:val="0D0D0D"/>
          <w:sz w:val="24"/>
          <w:szCs w:val="21"/>
          <w:lang w:val="en-US" w:eastAsia="zh-CN"/>
        </w:rPr>
        <w:t xml:space="preserve">2. （标的名称） ，属于（采购文件中明确的所属行业）； 承建（承接）企业为（企业名称），从业人员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人，营业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收入为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万元，资产总额为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万元，属于（中型企业、 小型企业、微型企业）； </w:t>
      </w:r>
    </w:p>
    <w:p>
      <w:pPr>
        <w:spacing w:line="360" w:lineRule="auto"/>
        <w:ind w:firstLine="475" w:firstLineChars="198"/>
        <w:jc w:val="both"/>
        <w:rPr>
          <w:rFonts w:hint="eastAsia" w:ascii="宋体" w:hAnsi="宋体" w:eastAsia="宋体" w:cs="Times New Roman"/>
          <w:color w:val="0D0D0D"/>
          <w:sz w:val="24"/>
          <w:szCs w:val="21"/>
          <w:lang w:val="en-US" w:eastAsia="zh-CN"/>
        </w:rPr>
      </w:pPr>
      <w:r>
        <w:rPr>
          <w:rFonts w:hint="eastAsia" w:ascii="宋体" w:hAnsi="宋体" w:eastAsia="宋体" w:cs="Times New Roman"/>
          <w:color w:val="0D0D0D"/>
          <w:sz w:val="24"/>
          <w:szCs w:val="21"/>
          <w:lang w:val="en-US" w:eastAsia="zh-CN"/>
        </w:rPr>
        <w:t>……</w:t>
      </w:r>
    </w:p>
    <w:p>
      <w:pPr>
        <w:spacing w:line="360" w:lineRule="auto"/>
        <w:ind w:firstLine="475" w:firstLineChars="198"/>
        <w:jc w:val="both"/>
        <w:rPr>
          <w:rFonts w:hint="eastAsia" w:ascii="宋体" w:hAnsi="宋体" w:eastAsia="宋体" w:cs="Times New Roman"/>
          <w:color w:val="0D0D0D"/>
          <w:sz w:val="24"/>
          <w:szCs w:val="21"/>
          <w:lang w:val="en-US" w:eastAsia="zh-CN"/>
        </w:rPr>
      </w:pPr>
      <w:r>
        <w:rPr>
          <w:rFonts w:hint="eastAsia" w:ascii="宋体" w:hAnsi="宋体" w:eastAsia="宋体" w:cs="Times New Roman"/>
          <w:color w:val="0D0D0D"/>
          <w:sz w:val="24"/>
          <w:szCs w:val="21"/>
          <w:lang w:val="en-US" w:eastAsia="zh-CN"/>
        </w:rPr>
        <w:t xml:space="preserve">以上企业，不属于大企业的分支机构，不存在控股股东 为大企业的情形，也不存在与大企业的负责人为同一人的情形。本企业对上述声明内容的真实性负责。如有虚假，将依 </w:t>
      </w:r>
    </w:p>
    <w:p>
      <w:pPr>
        <w:spacing w:line="360" w:lineRule="auto"/>
        <w:ind w:firstLine="475" w:firstLineChars="198"/>
        <w:jc w:val="both"/>
        <w:rPr>
          <w:rFonts w:hint="eastAsia" w:ascii="宋体" w:hAnsi="宋体" w:eastAsia="宋体" w:cs="Times New Roman"/>
          <w:color w:val="0D0D0D"/>
          <w:sz w:val="24"/>
          <w:szCs w:val="21"/>
          <w:lang w:val="en-US" w:eastAsia="zh-CN"/>
        </w:rPr>
      </w:pPr>
      <w:r>
        <w:rPr>
          <w:rFonts w:hint="eastAsia" w:ascii="宋体" w:hAnsi="宋体" w:eastAsia="宋体" w:cs="Times New Roman"/>
          <w:color w:val="0D0D0D"/>
          <w:sz w:val="24"/>
          <w:szCs w:val="21"/>
          <w:lang w:val="en-US" w:eastAsia="zh-CN"/>
        </w:rPr>
        <w:t xml:space="preserve">法承担相应责任。 </w:t>
      </w:r>
    </w:p>
    <w:p>
      <w:pPr>
        <w:spacing w:line="360" w:lineRule="auto"/>
        <w:ind w:firstLine="475" w:firstLineChars="198"/>
        <w:jc w:val="both"/>
        <w:rPr>
          <w:rFonts w:hint="eastAsia" w:ascii="宋体" w:hAnsi="宋体" w:eastAsia="宋体" w:cs="Times New Roman"/>
          <w:color w:val="0D0D0D"/>
          <w:sz w:val="24"/>
          <w:szCs w:val="21"/>
          <w:lang w:val="en-US" w:eastAsia="zh-CN"/>
        </w:rPr>
      </w:pPr>
    </w:p>
    <w:p>
      <w:pPr>
        <w:spacing w:line="360" w:lineRule="auto"/>
        <w:ind w:firstLine="475" w:firstLineChars="198"/>
        <w:jc w:val="center"/>
        <w:rPr>
          <w:rFonts w:hint="eastAsia" w:ascii="宋体" w:hAnsi="宋体" w:eastAsia="宋体" w:cs="Times New Roman"/>
          <w:color w:val="0D0D0D"/>
          <w:sz w:val="24"/>
          <w:szCs w:val="21"/>
          <w:lang w:val="en-US" w:eastAsia="zh-CN"/>
        </w:rPr>
      </w:pPr>
      <w:r>
        <w:rPr>
          <w:rFonts w:hint="eastAsia" w:ascii="宋体" w:hAnsi="宋体" w:eastAsia="宋体" w:cs="Times New Roman"/>
          <w:color w:val="0D0D0D"/>
          <w:sz w:val="24"/>
          <w:szCs w:val="21"/>
          <w:lang w:val="en-US" w:eastAsia="zh-CN"/>
        </w:rPr>
        <w:t xml:space="preserve">企业名称（盖章）： </w:t>
      </w:r>
    </w:p>
    <w:p>
      <w:pPr>
        <w:spacing w:line="360" w:lineRule="auto"/>
        <w:ind w:firstLine="475" w:firstLineChars="198"/>
        <w:jc w:val="center"/>
        <w:rPr>
          <w:rFonts w:hint="eastAsia" w:ascii="宋体" w:hAnsi="宋体" w:eastAsia="宋体" w:cs="Times New Roman"/>
          <w:color w:val="0D0D0D"/>
          <w:sz w:val="24"/>
          <w:szCs w:val="21"/>
          <w:lang w:val="en-US" w:eastAsia="zh-CN"/>
        </w:rPr>
      </w:pPr>
      <w:r>
        <w:rPr>
          <w:rFonts w:hint="eastAsia" w:ascii="宋体" w:hAnsi="宋体" w:eastAsia="宋体" w:cs="Times New Roman"/>
          <w:color w:val="0D0D0D"/>
          <w:sz w:val="24"/>
          <w:szCs w:val="21"/>
          <w:lang w:val="en-US" w:eastAsia="zh-CN"/>
        </w:rPr>
        <w:t xml:space="preserve">           日 期： </w:t>
      </w:r>
    </w:p>
    <w:p>
      <w:pPr>
        <w:sectPr>
          <w:headerReference r:id="rId7" w:type="default"/>
          <w:footerReference r:id="rId8" w:type="default"/>
          <w:pgSz w:w="11906" w:h="16838"/>
          <w:pgMar w:top="1134" w:right="1191" w:bottom="1134" w:left="1191" w:header="851" w:footer="624" w:gutter="0"/>
          <w:cols w:space="425" w:num="1"/>
          <w:docGrid w:type="linesAndChars" w:linePitch="312" w:charSpace="0"/>
        </w:sectPr>
      </w:pPr>
      <w:r>
        <w:br w:type="page"/>
      </w:r>
    </w:p>
    <w:p>
      <w:pPr>
        <w:spacing w:line="240" w:lineRule="atLeast"/>
        <w:ind w:right="-65" w:rightChars="-31"/>
        <w:jc w:val="center"/>
        <w:rPr>
          <w:rFonts w:ascii="宋体" w:hAnsi="宋体" w:eastAsia="宋体" w:cs="Times New Roman"/>
          <w:b/>
          <w:sz w:val="30"/>
          <w:szCs w:val="30"/>
          <w:lang w:val="zh-CN"/>
        </w:rPr>
      </w:pPr>
      <w:bookmarkStart w:id="145" w:name="_Toc476153619"/>
      <w:r>
        <w:rPr>
          <w:rFonts w:hint="eastAsia" w:ascii="宋体" w:hAnsi="宋体" w:eastAsia="宋体" w:cs="Times New Roman"/>
          <w:b/>
          <w:sz w:val="30"/>
          <w:szCs w:val="30"/>
          <w:lang w:val="zh-CN"/>
        </w:rPr>
        <w:t>中小企业划型标准</w:t>
      </w:r>
      <w:bookmarkEnd w:id="145"/>
    </w:p>
    <w:tbl>
      <w:tblPr>
        <w:tblStyle w:val="19"/>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pPr>
        <w:sectPr>
          <w:pgSz w:w="16838" w:h="11906" w:orient="landscape"/>
          <w:pgMar w:top="1191" w:right="1134" w:bottom="1191" w:left="1134" w:header="851" w:footer="851" w:gutter="0"/>
          <w:cols w:space="425" w:num="1"/>
          <w:docGrid w:type="lines" w:linePitch="312" w:charSpace="0"/>
        </w:sectPr>
      </w:pPr>
      <w:r>
        <w:br w:type="page"/>
      </w:r>
    </w:p>
    <w:p>
      <w:pPr>
        <w:pStyle w:val="4"/>
        <w:numPr>
          <w:ilvl w:val="0"/>
          <w:numId w:val="193"/>
        </w:numPr>
        <w:spacing w:before="100" w:beforeAutospacing="1" w:afterLines="50" w:line="360" w:lineRule="auto"/>
        <w:ind w:left="1288" w:hanging="1288"/>
        <w:rPr>
          <w:rFonts w:ascii="宋体" w:hAnsi="宋体" w:eastAsia="宋体"/>
        </w:rPr>
      </w:pPr>
      <w:bookmarkStart w:id="146" w:name="_Toc495861553"/>
      <w:bookmarkStart w:id="147" w:name="_Toc494721104"/>
      <w:bookmarkStart w:id="148" w:name="_Toc494702274"/>
      <w:bookmarkStart w:id="149" w:name="_Toc494665557"/>
      <w:bookmarkStart w:id="150" w:name="_Toc494665004"/>
      <w:bookmarkStart w:id="151" w:name="_Toc494745321"/>
      <w:bookmarkStart w:id="152" w:name="_Toc494665954"/>
      <w:r>
        <w:rPr>
          <w:rFonts w:hint="eastAsia" w:ascii="宋体" w:hAnsi="宋体" w:eastAsia="宋体"/>
        </w:rPr>
        <w:t>残疾人福利性单位声明函</w:t>
      </w:r>
      <w:bookmarkEnd w:id="146"/>
      <w:bookmarkEnd w:id="147"/>
      <w:bookmarkEnd w:id="148"/>
      <w:bookmarkEnd w:id="149"/>
      <w:bookmarkEnd w:id="150"/>
      <w:bookmarkEnd w:id="151"/>
      <w:bookmarkEnd w:id="152"/>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pStyle w:val="9"/>
        <w:spacing w:line="360" w:lineRule="auto"/>
        <w:ind w:firstLine="475" w:firstLineChars="198"/>
        <w:jc w:val="left"/>
        <w:rPr>
          <w:rFonts w:hAnsi="宋体"/>
          <w:sz w:val="24"/>
        </w:rPr>
      </w:pPr>
      <w:r>
        <w:rPr>
          <w:rFonts w:hint="eastAsia" w:hAnsi="宋体"/>
          <w:sz w:val="24"/>
        </w:rPr>
        <w:t>本单位郑重声明，根据《财政部 民政部 中国残疾人联合会关于促进残疾人就业政府采购政策的通知》（财库〔2017〕141号）的规定，本</w:t>
      </w:r>
      <w:r>
        <w:rPr>
          <w:rFonts w:hint="eastAsia" w:hAnsi="宋体"/>
          <w:color w:val="0D0D0D" w:themeColor="text1" w:themeTint="F2"/>
          <w:sz w:val="24"/>
          <w14:textFill>
            <w14:solidFill>
              <w14:schemeClr w14:val="tx1">
                <w14:lumMod w14:val="95000"/>
                <w14:lumOff w14:val="5000"/>
              </w14:schemeClr>
            </w14:solidFill>
          </w14:textFill>
        </w:rPr>
        <w:t>单位为符合条件的残疾人福利性单位（详见“残疾人福利性单位应当满足的条件”）。</w:t>
      </w:r>
    </w:p>
    <w:p>
      <w:pPr>
        <w:pStyle w:val="9"/>
        <w:spacing w:line="360" w:lineRule="auto"/>
        <w:ind w:firstLine="475" w:firstLineChars="198"/>
        <w:jc w:val="left"/>
        <w:rPr>
          <w:rFonts w:hAnsi="宋体"/>
          <w:sz w:val="24"/>
        </w:rPr>
      </w:pPr>
      <w:r>
        <w:rPr>
          <w:rFonts w:hint="eastAsia" w:hAnsi="宋体"/>
          <w:sz w:val="24"/>
        </w:rPr>
        <w:t>1.本单位授权</w:t>
      </w:r>
      <w:r>
        <w:rPr>
          <w:rFonts w:hint="eastAsia" w:hAnsi="宋体"/>
          <w:sz w:val="24"/>
          <w:u w:val="single"/>
        </w:rPr>
        <w:t xml:space="preserve"> （投标人） </w:t>
      </w:r>
      <w:r>
        <w:rPr>
          <w:rFonts w:hint="eastAsia" w:hAnsi="宋体"/>
          <w:sz w:val="24"/>
        </w:rPr>
        <w:t>参加_</w:t>
      </w:r>
      <w:r>
        <w:rPr>
          <w:rFonts w:hint="eastAsia" w:hAnsi="宋体"/>
          <w:sz w:val="24"/>
          <w:u w:val="single"/>
        </w:rPr>
        <w:t>（采购人）</w:t>
      </w:r>
      <w:r>
        <w:rPr>
          <w:rFonts w:hint="eastAsia" w:hAnsi="宋体"/>
          <w:sz w:val="24"/>
        </w:rPr>
        <w:t>的__</w:t>
      </w:r>
      <w:r>
        <w:rPr>
          <w:rFonts w:hint="eastAsia" w:hAnsi="宋体"/>
          <w:sz w:val="24"/>
          <w:u w:val="single"/>
        </w:rPr>
        <w:t>_ _</w:t>
      </w:r>
      <w:r>
        <w:rPr>
          <w:rFonts w:hint="eastAsia" w:hAnsi="宋体"/>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color w:val="0D0D0D"/>
          <w:sz w:val="24"/>
        </w:rPr>
      </w:pPr>
      <w:r>
        <w:rPr>
          <w:rFonts w:hint="eastAsia" w:ascii="宋体" w:hAnsi="宋体"/>
          <w:bCs/>
          <w:sz w:val="24"/>
          <w:lang w:val="zh-CN"/>
        </w:rPr>
        <w:t>2</w:t>
      </w:r>
      <w:r>
        <w:rPr>
          <w:rFonts w:hint="eastAsia" w:ascii="宋体" w:hAnsi="宋体"/>
          <w:bCs/>
          <w:sz w:val="24"/>
        </w:rPr>
        <w:t>.由本单位制造的</w:t>
      </w:r>
      <w:r>
        <w:rPr>
          <w:rFonts w:hint="eastAsia" w:ascii="宋体" w:hAnsi="宋体"/>
          <w:bCs/>
          <w:color w:val="0D0D0D"/>
          <w:sz w:val="24"/>
        </w:rPr>
        <w:t>货物清单见下表：</w:t>
      </w:r>
    </w:p>
    <w:tbl>
      <w:tblPr>
        <w:tblStyle w:val="19"/>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194"/>
              </w:numPr>
              <w:tabs>
                <w:tab w:val="left" w:pos="82"/>
              </w:tabs>
              <w:adjustRightInd w:val="0"/>
              <w:snapToGrid w:val="0"/>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194"/>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bCs/>
          <w:color w:val="0D0D0D" w:themeColor="text1" w:themeTint="F2"/>
          <w:sz w:val="24"/>
          <w:szCs w:val="24"/>
          <w14:textFill>
            <w14:solidFill>
              <w14:schemeClr w14:val="tx1">
                <w14:lumMod w14:val="95000"/>
                <w14:lumOff w14:val="5000"/>
              </w14:schemeClr>
            </w14:solidFill>
          </w14:textFill>
        </w:rPr>
      </w:pPr>
    </w:p>
    <w:p>
      <w:pPr>
        <w:pStyle w:val="9"/>
        <w:spacing w:line="360" w:lineRule="auto"/>
        <w:jc w:val="left"/>
        <w:rPr>
          <w:rFonts w:hAnsi="宋体" w:cs="Corbel"/>
          <w:color w:val="0D0D0D" w:themeColor="text1" w:themeTint="F2"/>
          <w:sz w:val="24"/>
          <w14:textFill>
            <w14:solidFill>
              <w14:schemeClr w14:val="tx1">
                <w14:lumMod w14:val="95000"/>
                <w14:lumOff w14:val="5000"/>
              </w14:schemeClr>
            </w14:solidFill>
          </w14:textFill>
        </w:rPr>
      </w:pPr>
      <w:r>
        <w:rPr>
          <w:rFonts w:hint="eastAsia" w:hAnsi="宋体" w:eastAsia="宋体" w:cs="Times New Roman"/>
          <w:bCs/>
          <w:color w:val="0D0D0D" w:themeColor="text1" w:themeTint="F2"/>
          <w:sz w:val="24"/>
          <w:szCs w:val="24"/>
          <w14:textFill>
            <w14:solidFill>
              <w14:schemeClr w14:val="tx1">
                <w14:lumMod w14:val="95000"/>
                <w14:lumOff w14:val="5000"/>
              </w14:schemeClr>
            </w14:solidFill>
          </w14:textFill>
        </w:rPr>
        <w:t>说明：</w:t>
      </w:r>
      <w:r>
        <w:rPr>
          <w:rFonts w:hint="eastAsia" w:hAnsi="宋体" w:cs="Corbel"/>
          <w:color w:val="0D0D0D" w:themeColor="text1" w:themeTint="F2"/>
          <w:sz w:val="24"/>
          <w14:textFill>
            <w14:solidFill>
              <w14:schemeClr w14:val="tx1">
                <w14:lumMod w14:val="95000"/>
                <w14:lumOff w14:val="5000"/>
              </w14:schemeClr>
            </w14:solidFill>
          </w14:textFill>
        </w:rPr>
        <w:t>1、投标人所投货物为自己制造的，也应按本声明函格式填写。</w:t>
      </w:r>
    </w:p>
    <w:p>
      <w:pPr>
        <w:pStyle w:val="9"/>
        <w:spacing w:line="360" w:lineRule="auto"/>
        <w:ind w:left="1078" w:leftChars="342" w:hanging="360" w:hangingChars="150"/>
        <w:jc w:val="left"/>
        <w:rPr>
          <w:rFonts w:hAnsi="宋体"/>
          <w:color w:val="0D0D0D" w:themeColor="text1" w:themeTint="F2"/>
          <w:sz w:val="24"/>
          <w14:textFill>
            <w14:solidFill>
              <w14:schemeClr w14:val="tx1">
                <w14:lumMod w14:val="95000"/>
                <w14:lumOff w14:val="5000"/>
              </w14:schemeClr>
            </w14:solidFill>
          </w14:textFill>
        </w:rPr>
      </w:pPr>
      <w:r>
        <w:rPr>
          <w:rFonts w:hint="eastAsia" w:hAnsi="宋体"/>
          <w:color w:val="0D0D0D" w:themeColor="text1" w:themeTint="F2"/>
          <w:sz w:val="24"/>
          <w14:textFill>
            <w14:solidFill>
              <w14:schemeClr w14:val="tx1">
                <w14:lumMod w14:val="95000"/>
                <w14:lumOff w14:val="5000"/>
              </w14:schemeClr>
            </w14:solidFill>
          </w14:textFill>
        </w:rPr>
        <w:t>2、组成联合体的大中型企业和其他自然人、法人或者其他组织，与残疾人福利性单位之间不得存在投资关系。</w:t>
      </w:r>
    </w:p>
    <w:p>
      <w:pPr>
        <w:pStyle w:val="9"/>
        <w:spacing w:line="360" w:lineRule="auto"/>
        <w:ind w:left="1078" w:leftChars="342" w:hanging="360" w:hangingChars="150"/>
        <w:jc w:val="left"/>
        <w:rPr>
          <w:rFonts w:hAnsi="宋体"/>
          <w:color w:val="0D0D0D" w:themeColor="text1" w:themeTint="F2"/>
          <w:sz w:val="24"/>
          <w14:textFill>
            <w14:solidFill>
              <w14:schemeClr w14:val="tx1">
                <w14:lumMod w14:val="95000"/>
                <w14:lumOff w14:val="5000"/>
              </w14:schemeClr>
            </w14:solidFill>
          </w14:textFill>
        </w:rPr>
      </w:pPr>
      <w:r>
        <w:rPr>
          <w:rFonts w:hint="eastAsia" w:hAnsi="宋体"/>
          <w:color w:val="0D0D0D" w:themeColor="text1" w:themeTint="F2"/>
          <w:sz w:val="24"/>
          <w14:textFill>
            <w14:solidFill>
              <w14:schemeClr w14:val="tx1">
                <w14:lumMod w14:val="95000"/>
                <w14:lumOff w14:val="5000"/>
              </w14:schemeClr>
            </w14:solidFill>
          </w14:textFill>
        </w:rPr>
        <w:t>3、以联合体方式参与本项目投标的投标人，应由联合体双方签字盖章。</w:t>
      </w:r>
    </w:p>
    <w:p>
      <w:pPr>
        <w:spacing w:line="360" w:lineRule="auto"/>
        <w:rPr>
          <w:rFonts w:ascii="宋体" w:hAnsi="宋体"/>
          <w:sz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adjustRightInd w:val="0"/>
        <w:snapToGrid w:val="0"/>
        <w:jc w:val="center"/>
        <w:rPr>
          <w:rFonts w:ascii="宋体" w:hAnsi="宋体" w:eastAsia="宋体" w:cs="Times New Roman"/>
          <w:b/>
          <w:sz w:val="30"/>
          <w:szCs w:val="30"/>
          <w:lang w:val="zh-CN"/>
        </w:rPr>
      </w:pPr>
    </w:p>
    <w:p>
      <w:pPr>
        <w:adjustRightInd w:val="0"/>
        <w:snapToGrid w:val="0"/>
        <w:spacing w:beforeLines="10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本单位郑重声明，根据《财政</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部 民政部 中国残疾人联合会关于促进残疾人就业政府采购政策的通知》（财库〔2017〕141号）的规定，本单位为符合条件的残疾人福利性单位</w:t>
      </w:r>
      <w:r>
        <w:rPr>
          <w:rFonts w:hint="eastAsia" w:hAnsi="宋体"/>
          <w:color w:val="0D0D0D" w:themeColor="text1" w:themeTint="F2"/>
          <w:sz w:val="24"/>
          <w14:textFill>
            <w14:solidFill>
              <w14:schemeClr w14:val="tx1">
                <w14:lumMod w14:val="95000"/>
                <w14:lumOff w14:val="5000"/>
              </w14:schemeClr>
            </w14:solidFill>
          </w14:textFill>
        </w:rPr>
        <w:t>（详见“残疾人福利性单位应当满足的条件”）</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w:t>
      </w:r>
      <w:r>
        <w:rPr>
          <w:rFonts w:hint="eastAsia" w:ascii="宋体" w:hAnsi="宋体" w:eastAsia="宋体" w:cs="Times New Roman"/>
          <w:sz w:val="24"/>
          <w:szCs w:val="24"/>
        </w:rPr>
        <w:t>且本单位参加</w:t>
      </w:r>
      <w:r>
        <w:rPr>
          <w:rFonts w:hint="eastAsia" w:ascii="宋体" w:hAnsi="宋体" w:eastAsia="宋体" w:cs="Times New Roman"/>
          <w:sz w:val="24"/>
          <w:szCs w:val="24"/>
          <w:u w:val="single"/>
        </w:rPr>
        <w:t xml:space="preserve">  （</w:t>
      </w:r>
      <w:r>
        <w:rPr>
          <w:rFonts w:hint="eastAsia" w:ascii="Times New Roman" w:hAnsi="宋体" w:eastAsia="宋体" w:cs="Times New Roman"/>
          <w:sz w:val="24"/>
          <w:szCs w:val="24"/>
          <w:u w:val="single"/>
        </w:rPr>
        <w:t>采购</w:t>
      </w:r>
      <w:r>
        <w:rPr>
          <w:rFonts w:hint="eastAsia" w:ascii="宋体" w:hAnsi="宋体" w:eastAsia="宋体" w:cs="Times New Roman"/>
          <w:sz w:val="24"/>
          <w:szCs w:val="24"/>
          <w:u w:val="single"/>
        </w:rPr>
        <w:t>人）</w:t>
      </w:r>
      <w:r>
        <w:rPr>
          <w:rFonts w:hint="eastAsia" w:ascii="Times New Roman" w:hAnsi="宋体" w:eastAsia="宋体" w:cs="Times New Roman"/>
          <w:sz w:val="24"/>
          <w:szCs w:val="24"/>
        </w:rPr>
        <w:t>的</w:t>
      </w:r>
      <w:r>
        <w:rPr>
          <w:rFonts w:hint="eastAsia" w:cs="Times New Roman" w:asciiTheme="minorEastAsia" w:hAnsiTheme="minorEastAsia"/>
          <w:sz w:val="24"/>
          <w:szCs w:val="24"/>
          <w:u w:val="single"/>
        </w:rPr>
        <w:t>__   _</w:t>
      </w:r>
      <w:r>
        <w:rPr>
          <w:rFonts w:hint="eastAsia" w:ascii="Times New Roman" w:hAnsi="宋体" w:eastAsia="宋体" w:cs="Times New Roman"/>
          <w:sz w:val="24"/>
          <w:szCs w:val="24"/>
        </w:rPr>
        <w:t>项目（项目编号：______）</w:t>
      </w:r>
      <w:r>
        <w:rPr>
          <w:rFonts w:hint="eastAsia" w:ascii="宋体" w:hAnsi="宋体" w:eastAsia="宋体" w:cs="Times New Roman"/>
          <w:sz w:val="24"/>
          <w:szCs w:val="24"/>
        </w:rPr>
        <w:t>采购活动由本单位承担工程（或提供服务）。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080" w:hanging="1080" w:hangingChars="450"/>
        <w:jc w:val="left"/>
        <w:rPr>
          <w:rFonts w:ascii="宋体" w:hAnsi="宋体" w:cs="Courier New"/>
          <w:color w:val="0D0D0D" w:themeColor="text1" w:themeTint="F2"/>
          <w:sz w:val="24"/>
          <w:szCs w:val="21"/>
          <w14:textFill>
            <w14:solidFill>
              <w14:schemeClr w14:val="tx1">
                <w14:lumMod w14:val="95000"/>
                <w14:lumOff w14:val="5000"/>
              </w14:schemeClr>
            </w14:solidFill>
          </w14:textFill>
        </w:rPr>
      </w:pPr>
      <w:r>
        <w:rPr>
          <w:rFonts w:hint="eastAsia" w:ascii="宋体" w:hAnsi="宋体" w:cs="Courier New"/>
          <w:color w:val="0D0D0D" w:themeColor="text1" w:themeTint="F2"/>
          <w:sz w:val="24"/>
          <w:szCs w:val="21"/>
          <w14:textFill>
            <w14:solidFill>
              <w14:schemeClr w14:val="tx1">
                <w14:lumMod w14:val="95000"/>
                <w14:lumOff w14:val="5000"/>
              </w14:schemeClr>
            </w14:solidFill>
          </w14:textFill>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cs="Courier New"/>
          <w:color w:val="0D0D0D" w:themeColor="text1" w:themeTint="F2"/>
          <w:sz w:val="24"/>
          <w:szCs w:val="21"/>
          <w14:textFill>
            <w14:solidFill>
              <w14:schemeClr w14:val="tx1">
                <w14:lumMod w14:val="95000"/>
                <w14:lumOff w14:val="5000"/>
              </w14:schemeClr>
            </w14:solidFill>
          </w14:textFill>
        </w:rPr>
        <w:t>2、以联合体方式参与本项目投标的投标人，应由联合体双方签字盖章。</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sz w:val="24"/>
          <w:szCs w:val="24"/>
          <w:u w:val="single"/>
        </w:rPr>
      </w:pPr>
      <w:r>
        <w:rPr>
          <w:rFonts w:hint="eastAsia" w:ascii="Times New Roman" w:hAnsi="宋体" w:eastAsia="宋体" w:cs="Times New Roman"/>
          <w:b/>
          <w:sz w:val="24"/>
          <w:szCs w:val="24"/>
        </w:rPr>
        <w:t>日   期：</w:t>
      </w:r>
    </w:p>
    <w:p>
      <w:r>
        <w:br w:type="page"/>
      </w:r>
    </w:p>
    <w:p>
      <w:pPr>
        <w:spacing w:line="60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4"/>
        <w:numPr>
          <w:ilvl w:val="0"/>
          <w:numId w:val="193"/>
        </w:numPr>
        <w:spacing w:before="100" w:beforeAutospacing="1" w:afterLines="50" w:line="360" w:lineRule="auto"/>
        <w:ind w:left="1288" w:hanging="1288"/>
        <w:rPr>
          <w:rFonts w:ascii="宋体" w:hAnsi="宋体" w:eastAsia="宋体"/>
        </w:rPr>
      </w:pPr>
      <w:bookmarkStart w:id="153" w:name="_Toc494665955"/>
      <w:bookmarkStart w:id="154" w:name="_Toc494745322"/>
      <w:bookmarkStart w:id="155" w:name="_Toc494665005"/>
      <w:bookmarkStart w:id="156" w:name="_Toc494665558"/>
      <w:bookmarkStart w:id="157" w:name="_Toc494702275"/>
      <w:bookmarkStart w:id="158" w:name="_Toc494721105"/>
      <w:bookmarkStart w:id="159" w:name="_Toc495861554"/>
      <w:bookmarkStart w:id="160" w:name="_Toc494577410"/>
      <w:r>
        <w:rPr>
          <w:rFonts w:hint="eastAsia" w:ascii="宋体" w:hAnsi="宋体" w:eastAsia="宋体"/>
        </w:rPr>
        <w:t>开标一览表</w:t>
      </w:r>
      <w:bookmarkEnd w:id="153"/>
      <w:bookmarkEnd w:id="154"/>
      <w:bookmarkEnd w:id="155"/>
      <w:bookmarkEnd w:id="156"/>
      <w:bookmarkEnd w:id="157"/>
      <w:bookmarkEnd w:id="158"/>
      <w:bookmarkEnd w:id="159"/>
      <w:bookmarkEnd w:id="160"/>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小写：万元整（¥）</w:t>
            </w:r>
          </w:p>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大写：万仟佰十元整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项目工期</w:t>
            </w:r>
          </w:p>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color w:val="FF0000"/>
                <w:sz w:val="24"/>
              </w:rPr>
            </w:pPr>
            <w:r>
              <w:rPr>
                <w:rFonts w:hint="eastAsia" w:ascii="Times New Roman" w:hAnsi="宋体" w:eastAsia="宋体" w:cs="Times New Roman"/>
                <w:color w:val="FF0000"/>
                <w:sz w:val="24"/>
                <w:szCs w:val="24"/>
              </w:rPr>
              <w:t>小型和微型企业、监狱企业、残疾人福利性单位价格扣除</w:t>
            </w:r>
            <w:r>
              <w:rPr>
                <w:rFonts w:hint="eastAsia" w:ascii="宋体" w:hAnsi="宋体" w:eastAsia="宋体" w:cs="Times New Roman"/>
                <w:color w:val="FF0000"/>
                <w:sz w:val="24"/>
              </w:rPr>
              <w:t>合计（</w:t>
            </w:r>
            <w:r>
              <w:rPr>
                <w:rFonts w:hint="eastAsia" w:ascii="宋体" w:hAnsi="宋体" w:eastAsia="宋体" w:cs="宋体"/>
                <w:color w:val="FF0000"/>
                <w:kern w:val="0"/>
                <w:sz w:val="24"/>
                <w:szCs w:val="24"/>
              </w:rPr>
              <w:t>大写</w:t>
            </w:r>
            <w:r>
              <w:rPr>
                <w:rFonts w:hint="eastAsia" w:ascii="宋体" w:hAnsi="宋体" w:eastAsia="宋体" w:cs="Times New Roman"/>
                <w:color w:val="FF0000"/>
                <w:sz w:val="24"/>
              </w:rPr>
              <w:t>）：</w:t>
            </w:r>
          </w:p>
          <w:p>
            <w:pPr>
              <w:spacing w:line="276" w:lineRule="auto"/>
              <w:ind w:left="-48" w:leftChars="-23" w:right="-65" w:rightChars="-31"/>
              <w:jc w:val="left"/>
              <w:rPr>
                <w:rFonts w:ascii="宋体" w:hAnsi="宋体" w:eastAsia="宋体" w:cs="宋体"/>
                <w:kern w:val="0"/>
                <w:sz w:val="24"/>
                <w:szCs w:val="24"/>
                <w:lang w:val="zh-CN"/>
              </w:rPr>
            </w:pPr>
            <w:r>
              <w:rPr>
                <w:rFonts w:hint="eastAsia" w:ascii="宋体" w:hAnsi="宋体" w:eastAsia="宋体" w:cs="宋体"/>
                <w:color w:val="FF0000"/>
                <w:kern w:val="0"/>
                <w:sz w:val="24"/>
                <w:szCs w:val="24"/>
              </w:rPr>
              <w:t>万仟佰拾元整</w:t>
            </w:r>
            <w:r>
              <w:rPr>
                <w:rFonts w:hint="eastAsia" w:ascii="宋体" w:hAnsi="宋体" w:cs="宋体"/>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hint="eastAsia" w:ascii="宋体" w:hAnsi="宋体"/>
                <w:bCs/>
                <w:color w:val="FF0000"/>
                <w:sz w:val="24"/>
              </w:rPr>
              <w:t>%）</w:t>
            </w: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说明：1．所有价格均用人民币表示，单位为万元。</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3．为方便开标时唱标，投标人应另附《开标一览表》及《交纳投标保证金的银行凭证》（如有交纳保证金要求的）各一份一并</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的采购代理机构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本表应按要求由投标人法人授权代表签字，并加盖投标单位公章，否则将被视为非响应性投标，将按照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r>
        <w:br w:type="page"/>
      </w:r>
    </w:p>
    <w:p>
      <w:pPr>
        <w:pStyle w:val="4"/>
        <w:numPr>
          <w:ilvl w:val="0"/>
          <w:numId w:val="193"/>
        </w:numPr>
        <w:spacing w:before="100" w:beforeAutospacing="1" w:afterLines="50" w:line="360" w:lineRule="auto"/>
        <w:ind w:left="1288" w:hanging="1288"/>
        <w:rPr>
          <w:rFonts w:ascii="宋体" w:hAnsi="宋体" w:eastAsia="宋体"/>
        </w:rPr>
      </w:pPr>
      <w:bookmarkStart w:id="161" w:name="_Toc494665956"/>
      <w:bookmarkStart w:id="162" w:name="_Toc494721106"/>
      <w:bookmarkStart w:id="163" w:name="_Toc494745323"/>
      <w:bookmarkStart w:id="164" w:name="_Toc495861555"/>
      <w:bookmarkStart w:id="165" w:name="_Toc494577411"/>
      <w:bookmarkStart w:id="166" w:name="_Toc494665559"/>
      <w:bookmarkStart w:id="167" w:name="_Toc494702276"/>
      <w:bookmarkStart w:id="168" w:name="_Toc494665006"/>
      <w:r>
        <w:rPr>
          <w:rFonts w:hint="eastAsia" w:ascii="宋体" w:hAnsi="宋体" w:eastAsia="宋体"/>
        </w:rPr>
        <w:t>投标报价明细表</w:t>
      </w:r>
      <w:bookmarkEnd w:id="161"/>
      <w:bookmarkEnd w:id="162"/>
      <w:bookmarkEnd w:id="163"/>
      <w:bookmarkEnd w:id="164"/>
      <w:bookmarkEnd w:id="165"/>
      <w:bookmarkEnd w:id="166"/>
      <w:bookmarkEnd w:id="167"/>
      <w:bookmarkEnd w:id="168"/>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color w:val="0D0D0D"/>
                <w:kern w:val="0"/>
                <w:sz w:val="24"/>
              </w:rPr>
            </w:pPr>
            <w:r>
              <w:rPr>
                <w:rFonts w:hint="eastAsia" w:ascii="宋体" w:hAnsi="宋体"/>
                <w:color w:val="0D0D0D" w:themeColor="text1" w:themeTint="F2"/>
                <w:sz w:val="24"/>
                <w14:textFill>
                  <w14:solidFill>
                    <w14:schemeClr w14:val="tx1">
                      <w14:lumMod w14:val="95000"/>
                      <w14:lumOff w14:val="5000"/>
                    </w14:schemeClr>
                  </w14:solidFill>
                </w14:textFill>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19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sz w:val="24"/>
              </w:rPr>
            </w:pPr>
            <w:r>
              <w:rPr>
                <w:rFonts w:hint="eastAsia" w:ascii="宋体" w:hAnsi="宋体"/>
                <w:sz w:val="24"/>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19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19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19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19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19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19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说明：1．所有价格均用人民币表示，单位为元。</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2．报价明细表合计应与《开标一览表》中的投标总报价一致。</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3．未提供详细的货物（工程或服务）报价明细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193"/>
        </w:numPr>
        <w:spacing w:before="100" w:beforeAutospacing="1" w:afterLines="50" w:line="360" w:lineRule="auto"/>
        <w:ind w:left="1288" w:hanging="1288"/>
        <w:rPr>
          <w:rFonts w:ascii="宋体" w:hAnsi="宋体" w:eastAsia="宋体"/>
          <w:sz w:val="31"/>
          <w:szCs w:val="31"/>
        </w:rPr>
      </w:pPr>
      <w:bookmarkStart w:id="169" w:name="_Toc495861556"/>
      <w:bookmarkStart w:id="170" w:name="_Toc494665560"/>
      <w:bookmarkStart w:id="171" w:name="_Toc494721107"/>
      <w:bookmarkStart w:id="172" w:name="_Toc494665007"/>
      <w:bookmarkStart w:id="173" w:name="_Toc494702277"/>
      <w:bookmarkStart w:id="174" w:name="_Toc494577412"/>
      <w:bookmarkStart w:id="175" w:name="_Toc494665957"/>
      <w:bookmarkStart w:id="176" w:name="_Toc494745324"/>
      <w:r>
        <w:rPr>
          <w:rFonts w:hint="eastAsia" w:ascii="宋体" w:hAnsi="宋体" w:eastAsia="宋体"/>
          <w:sz w:val="31"/>
          <w:szCs w:val="31"/>
        </w:rPr>
        <w:t>小型和微型企业、监狱企业、残疾人福利性单位货物汇总表</w:t>
      </w:r>
      <w:bookmarkEnd w:id="169"/>
      <w:bookmarkEnd w:id="170"/>
      <w:bookmarkEnd w:id="171"/>
      <w:bookmarkEnd w:id="172"/>
      <w:bookmarkEnd w:id="173"/>
      <w:bookmarkEnd w:id="174"/>
      <w:bookmarkEnd w:id="175"/>
      <w:bookmarkEnd w:id="17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分项</w:t>
            </w:r>
          </w:p>
          <w:p>
            <w:pPr>
              <w:adjustRightInd w:val="0"/>
              <w:snapToGrid w:val="0"/>
              <w:ind w:left="-88" w:leftChars="-42"/>
              <w:jc w:val="center"/>
              <w:rPr>
                <w:rFonts w:ascii="宋体" w:hAnsi="宋体"/>
                <w:sz w:val="24"/>
              </w:rPr>
            </w:pPr>
            <w:r>
              <w:rPr>
                <w:rFonts w:hint="eastAsia" w:ascii="宋体" w:hAnsi="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1</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2</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3</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4</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5</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6</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7</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sz w:val="24"/>
              </w:rPr>
            </w:pPr>
            <w:r>
              <w:rPr>
                <w:rFonts w:hint="eastAsia" w:ascii="宋体" w:hAnsi="宋体"/>
                <w:bCs/>
                <w:sz w:val="24"/>
              </w:rPr>
              <w:t>合计</w:t>
            </w:r>
          </w:p>
        </w:tc>
        <w:tc>
          <w:tcPr>
            <w:tcW w:w="2602" w:type="dxa"/>
            <w:gridSpan w:val="2"/>
            <w:shd w:val="clear" w:color="auto" w:fill="auto"/>
            <w:vAlign w:val="center"/>
          </w:tcPr>
          <w:p>
            <w:pPr>
              <w:spacing w:line="360" w:lineRule="auto"/>
              <w:jc w:val="left"/>
              <w:rPr>
                <w:rFonts w:ascii="宋体" w:hAnsi="宋体"/>
                <w:bCs/>
                <w:sz w:val="24"/>
              </w:rPr>
            </w:pPr>
          </w:p>
        </w:tc>
      </w:tr>
    </w:tbl>
    <w:p>
      <w:pPr>
        <w:spacing w:line="360" w:lineRule="auto"/>
        <w:ind w:left="1049" w:hanging="1048" w:hangingChars="437"/>
        <w:jc w:val="left"/>
        <w:rPr>
          <w:rFonts w:ascii="宋体" w:hAnsi="宋体"/>
          <w:sz w:val="24"/>
        </w:rPr>
      </w:pPr>
      <w:r>
        <w:rPr>
          <w:rFonts w:hint="eastAsia" w:ascii="宋体" w:hAnsi="宋体"/>
          <w:sz w:val="24"/>
        </w:rPr>
        <w:t>说明：1</w:t>
      </w:r>
      <w:r>
        <w:rPr>
          <w:rFonts w:hint="eastAsia" w:ascii="宋体" w:hAnsi="宋体" w:eastAsia="宋体" w:cs="Times New Roman"/>
          <w:sz w:val="24"/>
          <w:szCs w:val="24"/>
        </w:rPr>
        <w:t>．</w:t>
      </w:r>
      <w:r>
        <w:rPr>
          <w:rFonts w:hint="eastAsia" w:ascii="宋体" w:hAnsi="宋体"/>
          <w:sz w:val="24"/>
        </w:rPr>
        <w:t>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w:t>
      </w:r>
      <w:r>
        <w:rPr>
          <w:rFonts w:hint="eastAsia" w:ascii="宋体" w:hAnsi="宋体" w:eastAsia="宋体" w:cs="Times New Roman"/>
          <w:sz w:val="24"/>
          <w:szCs w:val="24"/>
        </w:rPr>
        <w:t>．</w:t>
      </w:r>
      <w:r>
        <w:rPr>
          <w:rFonts w:hint="eastAsia" w:ascii="宋体" w:hAnsi="宋体"/>
          <w:color w:val="0D0D0D"/>
          <w:sz w:val="24"/>
        </w:rPr>
        <w:t>投标人</w:t>
      </w:r>
      <w:r>
        <w:rPr>
          <w:rFonts w:hint="eastAsia" w:ascii="宋体" w:hAnsi="宋体"/>
          <w:sz w:val="24"/>
        </w:rPr>
        <w:t>提供的相关证明文件对应页码填写到上表“投标文件对应的页码”中。</w:t>
      </w:r>
      <w:r>
        <w:rPr>
          <w:rFonts w:hint="eastAsia" w:ascii="宋体" w:hAnsi="宋体" w:cs="Corbel"/>
          <w:sz w:val="24"/>
        </w:rPr>
        <w:t>如未提供页码或内容页码完全不一致的，</w:t>
      </w:r>
      <w:r>
        <w:rPr>
          <w:rFonts w:hint="eastAsia" w:ascii="宋体" w:hAnsi="宋体"/>
          <w:sz w:val="24"/>
        </w:rPr>
        <w:t>导致的后果由投标人自行承担。</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193"/>
        </w:numPr>
        <w:spacing w:before="100" w:beforeAutospacing="1" w:afterLines="50" w:line="360" w:lineRule="auto"/>
        <w:ind w:left="1288" w:hanging="1288"/>
        <w:rPr>
          <w:rFonts w:ascii="宋体" w:hAnsi="宋体" w:eastAsia="宋体"/>
        </w:rPr>
      </w:pPr>
      <w:bookmarkStart w:id="177" w:name="_Toc494665008"/>
      <w:bookmarkStart w:id="178" w:name="_Toc494745325"/>
      <w:bookmarkStart w:id="179" w:name="_Toc494702278"/>
      <w:bookmarkStart w:id="180" w:name="_Toc494665958"/>
      <w:bookmarkStart w:id="181" w:name="_Toc494721108"/>
      <w:bookmarkStart w:id="182" w:name="_Toc495861557"/>
      <w:bookmarkStart w:id="183" w:name="_Toc494665561"/>
      <w:r>
        <w:rPr>
          <w:rFonts w:hint="eastAsia" w:ascii="宋体" w:hAnsi="宋体" w:eastAsia="宋体"/>
        </w:rPr>
        <w:t>投标货物（工程或服务）清单</w:t>
      </w:r>
      <w:bookmarkEnd w:id="177"/>
      <w:bookmarkEnd w:id="178"/>
      <w:bookmarkEnd w:id="179"/>
      <w:bookmarkEnd w:id="180"/>
      <w:bookmarkEnd w:id="181"/>
      <w:bookmarkEnd w:id="182"/>
      <w:bookmarkEnd w:id="183"/>
    </w:p>
    <w:p>
      <w:pPr>
        <w:adjustRightInd w:val="0"/>
        <w:snapToGrid w:val="0"/>
        <w:spacing w:line="360" w:lineRule="auto"/>
        <w:rPr>
          <w:rFonts w:ascii="宋体" w:hAnsi="宋体"/>
          <w:b/>
          <w:sz w:val="24"/>
        </w:rPr>
      </w:pPr>
      <w:r>
        <w:rPr>
          <w:rFonts w:hint="eastAsia" w:ascii="宋体" w:hAnsi="宋体"/>
          <w:b/>
          <w:sz w:val="24"/>
        </w:rPr>
        <w:t>投 标 人：</w:t>
      </w:r>
    </w:p>
    <w:p>
      <w:pPr>
        <w:adjustRightInd w:val="0"/>
        <w:snapToGrid w:val="0"/>
        <w:spacing w:line="360" w:lineRule="auto"/>
        <w:rPr>
          <w:rFonts w:ascii="宋体" w:hAnsi="宋体"/>
          <w:b/>
          <w:color w:val="FF0000"/>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color w:val="0D0D0D"/>
                <w:kern w:val="0"/>
                <w:sz w:val="24"/>
              </w:rPr>
            </w:pPr>
            <w:r>
              <w:rPr>
                <w:rFonts w:hint="eastAsia" w:ascii="宋体" w:hAnsi="宋体" w:cs="宋体"/>
                <w:color w:val="0D0D0D"/>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7</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78" w:hanging="1077"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193"/>
        </w:numPr>
        <w:spacing w:before="100" w:beforeAutospacing="1" w:afterLines="50" w:line="360" w:lineRule="auto"/>
        <w:ind w:left="1288" w:hanging="1288"/>
        <w:rPr>
          <w:rFonts w:ascii="宋体" w:hAnsi="宋体" w:eastAsia="宋体"/>
        </w:rPr>
      </w:pPr>
      <w:bookmarkStart w:id="184" w:name="_Toc494665009"/>
      <w:bookmarkStart w:id="185" w:name="_Toc495861558"/>
      <w:bookmarkStart w:id="186" w:name="_Toc494745326"/>
      <w:bookmarkStart w:id="187" w:name="_Toc494721109"/>
      <w:bookmarkStart w:id="188" w:name="_Toc494665562"/>
      <w:bookmarkStart w:id="189" w:name="_Toc494665959"/>
      <w:bookmarkStart w:id="190" w:name="_Toc494702279"/>
      <w:r>
        <w:rPr>
          <w:rFonts w:hint="eastAsia" w:ascii="宋体" w:hAnsi="宋体" w:eastAsia="宋体"/>
        </w:rPr>
        <w:t>交纳投标保证金的银行凭证</w:t>
      </w:r>
      <w:bookmarkEnd w:id="184"/>
      <w:bookmarkEnd w:id="185"/>
      <w:bookmarkEnd w:id="186"/>
      <w:bookmarkEnd w:id="187"/>
      <w:bookmarkEnd w:id="188"/>
      <w:bookmarkEnd w:id="189"/>
      <w:bookmarkEnd w:id="190"/>
    </w:p>
    <w:p>
      <w:pPr>
        <w:spacing w:line="480" w:lineRule="auto"/>
        <w:rPr>
          <w:rFonts w:ascii="宋体" w:hAnsi="宋体" w:cs="Courier New"/>
          <w:b/>
          <w:sz w:val="28"/>
          <w:szCs w:val="28"/>
        </w:rPr>
      </w:pPr>
      <w:r>
        <w:rPr>
          <w:rFonts w:hint="eastAsia"/>
          <w:b/>
          <w:sz w:val="28"/>
          <w:szCs w:val="28"/>
        </w:rPr>
        <w:t>采购人</w:t>
      </w:r>
      <w:r>
        <w:rPr>
          <w:rFonts w:hint="eastAsia"/>
          <w:b/>
          <w:color w:val="FF0000"/>
          <w:sz w:val="28"/>
          <w:szCs w:val="28"/>
        </w:rPr>
        <w:t>（或代理公司）</w:t>
      </w:r>
      <w:r>
        <w:rPr>
          <w:rFonts w:hint="eastAsia" w:ascii="宋体" w:hAnsi="宋体" w:cs="Courier New"/>
          <w:b/>
          <w:sz w:val="28"/>
          <w:szCs w:val="28"/>
        </w:rPr>
        <w:t>：</w:t>
      </w:r>
    </w:p>
    <w:p>
      <w:pPr>
        <w:spacing w:line="360" w:lineRule="auto"/>
        <w:ind w:firstLine="489" w:firstLineChars="204"/>
        <w:jc w:val="left"/>
        <w:rPr>
          <w:rFonts w:ascii="宋体" w:hAnsi="宋体" w:eastAsia="宋体" w:cs="Times New Roman"/>
          <w:sz w:val="24"/>
          <w:szCs w:val="21"/>
          <w:lang w:val="zh-CN"/>
        </w:rPr>
      </w:pPr>
      <w:r>
        <w:rPr>
          <w:rFonts w:hint="eastAsia" w:ascii="宋体" w:hAnsi="宋体" w:eastAsia="宋体" w:cs="Times New Roman"/>
          <w:sz w:val="24"/>
          <w:szCs w:val="21"/>
          <w:u w:val="single"/>
          <w:lang w:val="zh-CN"/>
        </w:rPr>
        <w:t xml:space="preserve">  （投标人全称）  </w:t>
      </w:r>
      <w:r>
        <w:rPr>
          <w:rFonts w:hint="eastAsia" w:ascii="宋体" w:hAnsi="宋体" w:eastAsia="宋体" w:cs="Times New Roman"/>
          <w:sz w:val="24"/>
          <w:szCs w:val="21"/>
          <w:lang w:val="zh-CN"/>
        </w:rPr>
        <w:t>参加贵方组织的</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_）的政府采购活动。按招标文件的规定，已递交人民币（大写）</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sz w:val="24"/>
          <w:szCs w:val="21"/>
          <w:lang w:val="zh-CN"/>
        </w:rPr>
        <w:t>万元的投标保证金。</w:t>
      </w:r>
    </w:p>
    <w:tbl>
      <w:tblPr>
        <w:tblStyle w:val="19"/>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投标人</w:t>
            </w: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全  称</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地  址</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邮  编</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 系 人</w:t>
            </w:r>
          </w:p>
        </w:tc>
        <w:tc>
          <w:tcPr>
            <w:tcW w:w="2160" w:type="dxa"/>
            <w:vAlign w:val="center"/>
          </w:tcPr>
          <w:p>
            <w:pPr>
              <w:widowControl/>
              <w:spacing w:line="360" w:lineRule="auto"/>
              <w:jc w:val="left"/>
              <w:rPr>
                <w:rFonts w:ascii="宋体" w:hAnsi="宋体" w:eastAsia="宋体" w:cs="宋体"/>
                <w:kern w:val="0"/>
                <w:sz w:val="24"/>
                <w:szCs w:val="21"/>
              </w:rPr>
            </w:pPr>
          </w:p>
        </w:tc>
        <w:tc>
          <w:tcPr>
            <w:tcW w:w="1440"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联系电话</w:t>
            </w:r>
          </w:p>
        </w:tc>
        <w:tc>
          <w:tcPr>
            <w:tcW w:w="3523" w:type="dxa"/>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开 户 银 行</w:t>
            </w:r>
          </w:p>
        </w:tc>
        <w:tc>
          <w:tcPr>
            <w:tcW w:w="7123" w:type="dxa"/>
            <w:gridSpan w:val="3"/>
            <w:vAlign w:val="center"/>
          </w:tcPr>
          <w:p>
            <w:pPr>
              <w:widowControl/>
              <w:spacing w:line="360" w:lineRule="auto"/>
              <w:jc w:val="left"/>
              <w:rPr>
                <w:rFonts w:ascii="宋体" w:hAnsi="宋体" w:eastAsia="宋体" w:cs="Arial"/>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帐  号</w:t>
            </w:r>
          </w:p>
        </w:tc>
        <w:tc>
          <w:tcPr>
            <w:tcW w:w="7123" w:type="dxa"/>
            <w:gridSpan w:val="3"/>
            <w:vAlign w:val="center"/>
          </w:tcPr>
          <w:p>
            <w:pPr>
              <w:widowControl/>
              <w:spacing w:line="360" w:lineRule="auto"/>
              <w:jc w:val="left"/>
              <w:rPr>
                <w:rFonts w:ascii="宋体" w:hAnsi="宋体" w:eastAsia="宋体" w:cs="Arial"/>
                <w:kern w:val="0"/>
                <w:sz w:val="24"/>
                <w:szCs w:val="21"/>
              </w:rPr>
            </w:pPr>
          </w:p>
        </w:tc>
      </w:tr>
    </w:tbl>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tbl>
      <w:tblPr>
        <w:tblStyle w:val="19"/>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9547" w:type="dxa"/>
          </w:tcPr>
          <w:p>
            <w:pPr>
              <w:spacing w:line="360" w:lineRule="auto"/>
              <w:rPr>
                <w:rFonts w:ascii="宋体" w:hAnsi="宋体" w:eastAsia="宋体" w:cs="Times New Roman"/>
                <w:sz w:val="24"/>
                <w:szCs w:val="24"/>
              </w:rPr>
            </w:pPr>
            <w:r>
              <w:rPr>
                <w:rFonts w:hint="eastAsia" w:ascii="宋体" w:hAnsi="宋体" w:eastAsia="宋体" w:cs="Times New Roman"/>
                <w:sz w:val="24"/>
                <w:szCs w:val="24"/>
              </w:rPr>
              <w:t>粘贴转帐、电汇或网上银行凭证（清晰影印件）</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10" w:leftChars="38" w:hanging="31" w:hangingChars="13"/>
              <w:rPr>
                <w:rFonts w:ascii="宋体" w:hAnsi="宋体" w:eastAsia="宋体" w:cs="Times New Roman"/>
                <w:b/>
                <w:sz w:val="24"/>
                <w:szCs w:val="20"/>
                <w:lang w:val="zh-CN"/>
              </w:rPr>
            </w:pPr>
            <w:r>
              <w:rPr>
                <w:rFonts w:hint="eastAsia" w:ascii="宋体" w:hAnsi="宋体" w:eastAsia="宋体" w:cs="Times New Roman"/>
                <w:sz w:val="24"/>
                <w:szCs w:val="20"/>
                <w:lang w:val="zh-CN"/>
              </w:rPr>
              <w:t>注：在交款凭证备注中说明项目编号及开标时间</w:t>
            </w:r>
          </w:p>
        </w:tc>
      </w:tr>
    </w:tbl>
    <w:p>
      <w:pPr>
        <w:spacing w:line="360" w:lineRule="auto"/>
        <w:ind w:left="720" w:hanging="720" w:hangingChars="300"/>
        <w:jc w:val="left"/>
        <w:rPr>
          <w:rFonts w:ascii="宋体" w:hAnsi="宋体" w:eastAsia="宋体" w:cs="Times New Roman"/>
          <w:sz w:val="24"/>
          <w:szCs w:val="24"/>
        </w:rPr>
      </w:pPr>
      <w:r>
        <w:rPr>
          <w:rFonts w:hint="eastAsia" w:ascii="宋体" w:hAnsi="宋体" w:eastAsia="宋体" w:cs="Times New Roman"/>
          <w:sz w:val="24"/>
          <w:szCs w:val="24"/>
        </w:rPr>
        <w:t>说明：投标人应认真填写银行信息，与转帐或电汇银行凭证的相关信息一致，集中采购机构将依据此凭证信息查退投标保证金。</w:t>
      </w:r>
    </w:p>
    <w:p>
      <w:r>
        <w:br w:type="page"/>
      </w:r>
    </w:p>
    <w:p>
      <w:pPr>
        <w:pStyle w:val="4"/>
        <w:numPr>
          <w:ilvl w:val="0"/>
          <w:numId w:val="193"/>
        </w:numPr>
        <w:spacing w:before="100" w:beforeAutospacing="1" w:afterLines="50" w:line="360" w:lineRule="auto"/>
        <w:ind w:left="1288" w:hanging="1288"/>
        <w:rPr>
          <w:rFonts w:ascii="宋体" w:hAnsi="宋体" w:eastAsia="宋体"/>
        </w:rPr>
      </w:pPr>
      <w:bookmarkStart w:id="191" w:name="_Toc238276247"/>
      <w:bookmarkStart w:id="192" w:name="_Toc494745327"/>
      <w:bookmarkStart w:id="193" w:name="_Toc494665563"/>
      <w:bookmarkStart w:id="194" w:name="_Toc495861559"/>
      <w:bookmarkStart w:id="195" w:name="_Toc236473303"/>
      <w:bookmarkStart w:id="196" w:name="_Toc494721110"/>
      <w:bookmarkStart w:id="197" w:name="_Toc494665960"/>
      <w:bookmarkStart w:id="198" w:name="_Toc494702280"/>
      <w:bookmarkStart w:id="199" w:name="_Toc494665010"/>
      <w:r>
        <w:rPr>
          <w:rFonts w:hint="eastAsia" w:ascii="宋体" w:hAnsi="宋体" w:eastAsia="宋体"/>
        </w:rPr>
        <w:t>法定代表人授权书</w:t>
      </w:r>
      <w:bookmarkEnd w:id="191"/>
      <w:bookmarkEnd w:id="192"/>
      <w:bookmarkEnd w:id="193"/>
      <w:bookmarkEnd w:id="194"/>
      <w:bookmarkEnd w:id="195"/>
      <w:bookmarkEnd w:id="196"/>
      <w:bookmarkEnd w:id="197"/>
      <w:bookmarkEnd w:id="198"/>
      <w:bookmarkEnd w:id="199"/>
    </w:p>
    <w:p>
      <w:pPr>
        <w:spacing w:line="480" w:lineRule="auto"/>
        <w:rPr>
          <w:rFonts w:ascii="宋体" w:hAnsi="宋体" w:eastAsia="宋体" w:cs="Times New Roman"/>
          <w:b/>
          <w:sz w:val="24"/>
          <w:szCs w:val="24"/>
        </w:rPr>
      </w:pPr>
      <w:r>
        <w:rPr>
          <w:rFonts w:hint="eastAsia"/>
          <w:b/>
          <w:sz w:val="28"/>
          <w:szCs w:val="28"/>
        </w:rPr>
        <w:t>采购人</w:t>
      </w:r>
      <w:r>
        <w:rPr>
          <w:rFonts w:hint="eastAsia"/>
          <w:b/>
          <w:color w:val="FF0000"/>
          <w:sz w:val="28"/>
          <w:szCs w:val="28"/>
        </w:rPr>
        <w:t>（或代理公司）</w:t>
      </w:r>
      <w:r>
        <w:rPr>
          <w:rFonts w:hint="eastAsia" w:ascii="宋体" w:hAnsi="宋体" w:cs="Courier New"/>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兹授权</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同志为我单位参加贵方组织的</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Times New Roman" w:hAnsi="宋体" w:eastAsia="宋体" w:cs="Times New Roman"/>
          <w:color w:val="0D0D0D"/>
          <w:sz w:val="24"/>
          <w:szCs w:val="24"/>
        </w:rPr>
        <w:t>项目（项目编号：_____</w:t>
      </w:r>
      <w:r>
        <w:rPr>
          <w:rFonts w:hint="eastAsia" w:ascii="Times New Roman" w:hAnsi="宋体" w:eastAsia="宋体" w:cs="Times New Roman"/>
          <w:sz w:val="24"/>
          <w:szCs w:val="24"/>
        </w:rPr>
        <w:t>_）</w:t>
      </w:r>
      <w:r>
        <w:rPr>
          <w:rFonts w:hint="eastAsia" w:ascii="宋体" w:hAnsi="宋体" w:eastAsia="宋体" w:cs="Times New Roman"/>
          <w:sz w:val="24"/>
          <w:szCs w:val="24"/>
        </w:rPr>
        <w:t>采购活动的投标人授权代表，全权代表我公司处理在</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项目采购活动中的一切事宜。代理期限从</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w:t>
      </w:r>
      <w:r>
        <w:rPr>
          <w:rFonts w:hint="eastAsia" w:ascii="宋体" w:hAnsi="宋体" w:eastAsia="宋体" w:cs="Times New Roman"/>
          <w:sz w:val="24"/>
          <w:szCs w:val="24"/>
        </w:rPr>
        <w:t>日起至</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 xml:space="preserve">日止。 </w:t>
      </w:r>
    </w:p>
    <w:p>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0" w:firstLineChars="225"/>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sz w:val="24"/>
          <w:szCs w:val="21"/>
          <w:lang w:val="zh-CN"/>
        </w:rPr>
        <w:t>签发日期：</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19"/>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粘贴被授权人身份证（清晰影印件）</w:t>
            </w:r>
          </w:p>
        </w:tc>
      </w:tr>
    </w:tbl>
    <w:p>
      <w:r>
        <w:br w:type="page"/>
      </w:r>
    </w:p>
    <w:p>
      <w:pPr>
        <w:pStyle w:val="4"/>
        <w:numPr>
          <w:ilvl w:val="0"/>
          <w:numId w:val="193"/>
        </w:numPr>
        <w:spacing w:before="100" w:beforeAutospacing="1" w:afterLines="50" w:line="360" w:lineRule="auto"/>
        <w:ind w:left="1610" w:hanging="1610"/>
        <w:rPr>
          <w:rFonts w:ascii="宋体" w:hAnsi="宋体" w:eastAsia="宋体"/>
        </w:rPr>
      </w:pPr>
      <w:bookmarkStart w:id="200" w:name="_Toc494702281"/>
      <w:bookmarkStart w:id="201" w:name="_Toc495861560"/>
      <w:bookmarkStart w:id="202" w:name="_Toc494665564"/>
      <w:bookmarkStart w:id="203" w:name="_Toc494745328"/>
      <w:bookmarkStart w:id="204" w:name="_Toc494721111"/>
      <w:bookmarkStart w:id="205" w:name="_Toc494665011"/>
      <w:bookmarkStart w:id="206" w:name="_Toc238276248"/>
      <w:bookmarkStart w:id="207" w:name="_Toc236473304"/>
      <w:bookmarkStart w:id="208" w:name="_Toc494665961"/>
      <w:r>
        <w:rPr>
          <w:rFonts w:hint="eastAsia" w:ascii="宋体" w:hAnsi="宋体" w:eastAsia="宋体"/>
        </w:rPr>
        <w:t>投标人的资格声明</w:t>
      </w:r>
      <w:bookmarkEnd w:id="200"/>
      <w:bookmarkEnd w:id="201"/>
      <w:bookmarkEnd w:id="202"/>
      <w:bookmarkEnd w:id="203"/>
      <w:bookmarkEnd w:id="204"/>
      <w:bookmarkEnd w:id="205"/>
      <w:bookmarkEnd w:id="206"/>
      <w:bookmarkEnd w:id="207"/>
      <w:bookmarkEnd w:id="208"/>
    </w:p>
    <w:p>
      <w:pPr>
        <w:spacing w:line="360" w:lineRule="auto"/>
        <w:ind w:left="1078" w:hanging="1077" w:hangingChars="449"/>
        <w:jc w:val="left"/>
        <w:rPr>
          <w:rFonts w:ascii="宋体" w:hAnsi="宋体" w:eastAsia="宋体" w:cs="Times New Roman"/>
          <w:sz w:val="24"/>
          <w:szCs w:val="24"/>
        </w:rPr>
      </w:pPr>
      <w:r>
        <w:rPr>
          <w:rFonts w:hint="eastAsia" w:ascii="宋体" w:hAnsi="宋体" w:eastAsia="宋体" w:cs="Times New Roman"/>
          <w:sz w:val="24"/>
          <w:szCs w:val="24"/>
        </w:rPr>
        <w:t>1．名称及基本情况：</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（1）投标人：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（2）地址：     邮编：</w:t>
      </w:r>
    </w:p>
    <w:p>
      <w:pPr>
        <w:spacing w:line="360" w:lineRule="exact"/>
        <w:ind w:firstLine="840" w:firstLineChars="350"/>
        <w:rPr>
          <w:rFonts w:ascii="宋体" w:hAnsi="宋体" w:eastAsia="宋体" w:cs="Times New Roman"/>
          <w:sz w:val="24"/>
          <w:szCs w:val="24"/>
          <w:u w:val="single"/>
        </w:rPr>
      </w:pPr>
      <w:r>
        <w:rPr>
          <w:rFonts w:hint="eastAsia" w:ascii="宋体" w:hAnsi="宋体" w:eastAsia="宋体" w:cs="Times New Roman"/>
          <w:sz w:val="24"/>
          <w:szCs w:val="24"/>
        </w:rPr>
        <w:t>电话：     传真：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（3）成立或注册日期：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（4）单位性质：</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（5）法定代表人或主要负责人：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（6）员工人数：</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（7）注册资本：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（8）实收资本：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（9）上年末资产负债表：</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1）固定资产</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 xml:space="preserve">原   值：    净   值： </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2）流动资金：</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3）长期负债：</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4）短期负债：</w:t>
      </w:r>
    </w:p>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2．与投标货物的生产、销售和服务有关的情况： </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（1）关于制造投标货物的设施及其它情况：</w:t>
      </w:r>
    </w:p>
    <w:tbl>
      <w:tblPr>
        <w:tblStyle w:val="19"/>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（2）投标人生产此投标货物的经验（包括年限、项目业主、额定能力、商业运营的起始日期等）：</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（3）销售、服务网点分布（可另行附表）：</w:t>
      </w:r>
    </w:p>
    <w:tbl>
      <w:tblPr>
        <w:tblStyle w:val="19"/>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3．投标人认为需要声明的其它情况：                         </w:t>
      </w:r>
    </w:p>
    <w:p>
      <w:pPr>
        <w:spacing w:line="360" w:lineRule="exact"/>
        <w:ind w:firstLine="475" w:firstLineChars="198"/>
        <w:rPr>
          <w:rFonts w:ascii="宋体" w:hAnsi="宋体" w:eastAsia="宋体" w:cs="Times New Roman"/>
          <w:sz w:val="24"/>
          <w:szCs w:val="24"/>
        </w:rPr>
      </w:pPr>
      <w:r>
        <w:rPr>
          <w:rFonts w:hint="eastAsia" w:ascii="宋体" w:hAnsi="宋体" w:eastAsia="宋体" w:cs="Times New Roman"/>
          <w:sz w:val="24"/>
          <w:szCs w:val="24"/>
        </w:rPr>
        <w:t xml:space="preserve">兹证明上述声明是真实的、正确，并提供了全部能提供的资料和数据，同意按照采购代理机构要求出示有关证明文件。                      </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投标人</w:t>
      </w:r>
      <w:r>
        <w:rPr>
          <w:rFonts w:hint="eastAsia" w:ascii="Times New Roman" w:hAnsi="宋体" w:eastAsia="宋体" w:cs="Times New Roman"/>
          <w:b/>
          <w:sz w:val="24"/>
          <w:szCs w:val="24"/>
        </w:rPr>
        <w:t>（公章）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Times New Roman" w:hAnsi="宋体" w:eastAsia="宋体" w:cs="Times New Roman"/>
          <w:b/>
          <w:sz w:val="24"/>
          <w:szCs w:val="24"/>
        </w:rPr>
        <w:t>法定代表人（签字或盖章）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电    话：</w:t>
      </w:r>
    </w:p>
    <w:p>
      <w:pPr>
        <w:spacing w:line="360" w:lineRule="auto"/>
        <w:ind w:left="504" w:leftChars="240"/>
        <w:rPr>
          <w:rFonts w:ascii="宋体" w:hAnsi="宋体" w:eastAsia="宋体" w:cs="Times New Roman"/>
          <w:b/>
          <w:sz w:val="24"/>
          <w:szCs w:val="24"/>
          <w:u w:val="single"/>
        </w:rPr>
      </w:pPr>
      <w:r>
        <w:rPr>
          <w:rFonts w:hint="eastAsia" w:ascii="宋体" w:hAnsi="宋体" w:eastAsia="宋体" w:cs="Times New Roman"/>
          <w:b/>
          <w:sz w:val="24"/>
          <w:szCs w:val="24"/>
        </w:rPr>
        <w:t>传    真：</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日    期：年月 日</w:t>
      </w:r>
    </w:p>
    <w:p>
      <w:pPr>
        <w:pStyle w:val="4"/>
        <w:numPr>
          <w:ilvl w:val="0"/>
          <w:numId w:val="193"/>
        </w:numPr>
        <w:spacing w:before="100" w:beforeAutospacing="1" w:afterLines="50" w:line="360" w:lineRule="auto"/>
        <w:ind w:left="1610" w:hanging="1610"/>
        <w:rPr>
          <w:rFonts w:ascii="宋体" w:hAnsi="宋体" w:eastAsia="宋体"/>
        </w:rPr>
      </w:pPr>
      <w:bookmarkStart w:id="209" w:name="_Toc494665962"/>
      <w:bookmarkStart w:id="210" w:name="_Toc494721112"/>
      <w:bookmarkStart w:id="211" w:name="_Toc494702282"/>
      <w:bookmarkStart w:id="212" w:name="_Toc495861561"/>
      <w:bookmarkStart w:id="213" w:name="_Toc494745329"/>
      <w:bookmarkStart w:id="214" w:name="_Toc494665565"/>
      <w:bookmarkStart w:id="215" w:name="_Toc494665012"/>
      <w:r>
        <w:rPr>
          <w:rFonts w:hint="eastAsia" w:ascii="宋体" w:hAnsi="宋体" w:eastAsia="宋体"/>
        </w:rPr>
        <w:t>项目负责人、技术负责人简历表</w:t>
      </w:r>
      <w:bookmarkEnd w:id="209"/>
      <w:bookmarkEnd w:id="210"/>
      <w:bookmarkEnd w:id="211"/>
      <w:bookmarkEnd w:id="212"/>
      <w:bookmarkEnd w:id="213"/>
      <w:bookmarkEnd w:id="214"/>
      <w:bookmarkEnd w:id="21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193"/>
        </w:numPr>
        <w:spacing w:before="100" w:beforeAutospacing="1" w:afterLines="50" w:line="360" w:lineRule="auto"/>
        <w:ind w:left="1610" w:hanging="1610"/>
        <w:rPr>
          <w:rFonts w:ascii="宋体" w:hAnsi="宋体" w:eastAsia="宋体"/>
        </w:rPr>
      </w:pPr>
      <w:bookmarkStart w:id="216" w:name="_Toc494721113"/>
      <w:bookmarkStart w:id="217" w:name="_Toc494745330"/>
      <w:bookmarkStart w:id="218" w:name="_Toc494665013"/>
      <w:bookmarkStart w:id="219" w:name="_Toc236473307"/>
      <w:bookmarkStart w:id="220" w:name="_Toc494665963"/>
      <w:bookmarkStart w:id="221" w:name="_Toc495861562"/>
      <w:bookmarkStart w:id="222" w:name="_Toc494702283"/>
      <w:bookmarkStart w:id="223" w:name="_Toc238276251"/>
      <w:bookmarkStart w:id="224" w:name="_Toc494665566"/>
      <w:r>
        <w:rPr>
          <w:rFonts w:hint="eastAsia" w:ascii="宋体" w:hAnsi="宋体" w:eastAsia="宋体"/>
        </w:rPr>
        <w:t>项目班子成员情况表</w:t>
      </w:r>
      <w:bookmarkEnd w:id="216"/>
      <w:bookmarkEnd w:id="217"/>
      <w:bookmarkEnd w:id="218"/>
      <w:bookmarkEnd w:id="219"/>
      <w:bookmarkEnd w:id="220"/>
      <w:bookmarkEnd w:id="221"/>
      <w:bookmarkEnd w:id="222"/>
      <w:bookmarkEnd w:id="223"/>
      <w:bookmarkEnd w:id="22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193"/>
        </w:numPr>
        <w:spacing w:before="100" w:beforeAutospacing="1" w:afterLines="50" w:line="360" w:lineRule="auto"/>
        <w:ind w:left="1610" w:hanging="1610"/>
        <w:rPr>
          <w:rFonts w:ascii="宋体" w:hAnsi="宋体" w:eastAsia="宋体"/>
        </w:rPr>
      </w:pPr>
      <w:bookmarkStart w:id="225" w:name="_Toc494721114"/>
      <w:bookmarkStart w:id="226" w:name="_Toc494665964"/>
      <w:bookmarkStart w:id="227" w:name="_Toc495861563"/>
      <w:bookmarkStart w:id="228" w:name="_Toc494702284"/>
      <w:bookmarkStart w:id="229" w:name="_Toc236473312"/>
      <w:bookmarkStart w:id="230" w:name="_Toc494665567"/>
      <w:bookmarkStart w:id="231" w:name="_Toc494665014"/>
      <w:bookmarkStart w:id="232" w:name="_Toc494745331"/>
      <w:bookmarkStart w:id="233" w:name="_Toc238276256"/>
      <w:r>
        <w:rPr>
          <w:rFonts w:hint="eastAsia" w:ascii="宋体" w:hAnsi="宋体" w:eastAsia="宋体"/>
        </w:rPr>
        <w:t>投标人类似项目业绩表</w:t>
      </w:r>
      <w:bookmarkEnd w:id="225"/>
      <w:bookmarkEnd w:id="226"/>
      <w:bookmarkEnd w:id="227"/>
      <w:bookmarkEnd w:id="228"/>
      <w:bookmarkEnd w:id="229"/>
      <w:bookmarkEnd w:id="230"/>
      <w:bookmarkEnd w:id="231"/>
      <w:bookmarkEnd w:id="232"/>
      <w:bookmarkEnd w:id="23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200" w:type="dxa"/>
            <w:shd w:val="clear" w:color="auto" w:fill="auto"/>
          </w:tcPr>
          <w:p>
            <w:pPr>
              <w:rPr>
                <w:rFonts w:ascii="宋体" w:hAnsi="宋体" w:eastAsia="宋体" w:cs="Courier New"/>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说明：1．每个合同应单独附表，并附上相关证明材料，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2．项目内容请详细说明所承担的具体工作内容等。</w:t>
      </w:r>
    </w:p>
    <w:p>
      <w:pPr>
        <w:spacing w:line="360" w:lineRule="auto"/>
        <w:ind w:firstLine="720" w:firstLineChars="300"/>
        <w:rPr>
          <w:rFonts w:ascii="宋体" w:hAnsi="宋体" w:eastAsia="宋体" w:cs="Times New Roman"/>
          <w:sz w:val="24"/>
          <w:szCs w:val="24"/>
        </w:rPr>
      </w:pPr>
    </w:p>
    <w:p>
      <w:pPr>
        <w:spacing w:line="360" w:lineRule="auto"/>
        <w:ind w:firstLine="720" w:firstLineChars="300"/>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193"/>
        </w:numPr>
        <w:spacing w:before="100" w:beforeAutospacing="1" w:afterLines="50" w:line="360" w:lineRule="auto"/>
        <w:ind w:left="1610" w:hanging="1610"/>
        <w:rPr>
          <w:rFonts w:ascii="宋体" w:hAnsi="宋体" w:eastAsia="宋体"/>
        </w:rPr>
      </w:pPr>
      <w:bookmarkStart w:id="234" w:name="_Toc494665965"/>
      <w:bookmarkStart w:id="235" w:name="_Toc495861564"/>
      <w:bookmarkStart w:id="236" w:name="_Toc494665568"/>
      <w:bookmarkStart w:id="237" w:name="_Toc494721115"/>
      <w:bookmarkStart w:id="238" w:name="_Toc494702285"/>
      <w:bookmarkStart w:id="239" w:name="_Toc494745332"/>
      <w:bookmarkStart w:id="240" w:name="_Toc494665015"/>
      <w:r>
        <w:rPr>
          <w:rFonts w:hint="eastAsia" w:ascii="宋体" w:hAnsi="宋体" w:eastAsia="宋体"/>
        </w:rPr>
        <w:t>符合性审查对照表</w:t>
      </w:r>
      <w:bookmarkEnd w:id="234"/>
      <w:bookmarkEnd w:id="235"/>
      <w:bookmarkEnd w:id="236"/>
      <w:bookmarkEnd w:id="237"/>
      <w:bookmarkEnd w:id="238"/>
      <w:bookmarkEnd w:id="239"/>
      <w:bookmarkEnd w:id="240"/>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符合性审查条款</w:t>
            </w:r>
          </w:p>
        </w:tc>
        <w:tc>
          <w:tcPr>
            <w:tcW w:w="275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02"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193"/>
        </w:numPr>
        <w:spacing w:before="100" w:beforeAutospacing="1" w:afterLines="50" w:line="360" w:lineRule="auto"/>
        <w:ind w:left="1610" w:hanging="1610"/>
        <w:rPr>
          <w:rFonts w:ascii="宋体" w:hAnsi="宋体" w:eastAsia="宋体"/>
        </w:rPr>
      </w:pPr>
      <w:bookmarkStart w:id="241" w:name="_Toc494665569"/>
      <w:bookmarkStart w:id="242" w:name="_Toc494665966"/>
      <w:bookmarkStart w:id="243" w:name="_Toc494721116"/>
      <w:bookmarkStart w:id="244" w:name="_Toc495861565"/>
      <w:bookmarkStart w:id="245" w:name="_Toc494665016"/>
      <w:bookmarkStart w:id="246" w:name="_Toc494745333"/>
      <w:bookmarkStart w:id="247" w:name="_Toc494702286"/>
      <w:r>
        <w:rPr>
          <w:rFonts w:hint="eastAsia" w:ascii="宋体" w:hAnsi="宋体" w:eastAsia="宋体"/>
        </w:rPr>
        <w:t>商务要求响应、偏离说明表</w:t>
      </w:r>
      <w:bookmarkEnd w:id="241"/>
      <w:bookmarkEnd w:id="242"/>
      <w:bookmarkEnd w:id="243"/>
      <w:bookmarkEnd w:id="244"/>
      <w:bookmarkEnd w:id="245"/>
      <w:bookmarkEnd w:id="246"/>
      <w:bookmarkEnd w:id="247"/>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Corbel"/>
          <w:sz w:val="24"/>
          <w:szCs w:val="24"/>
        </w:rPr>
        <w:t>2．投标人</w:t>
      </w:r>
      <w:r>
        <w:rPr>
          <w:rFonts w:hint="eastAsia" w:ascii="宋体" w:hAnsi="宋体" w:eastAsia="宋体" w:cs="Times New Roman"/>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60" w:lineRule="auto"/>
        <w:ind w:left="781" w:leftChars="258" w:hanging="240" w:hangingChars="1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193"/>
        </w:numPr>
        <w:spacing w:before="100" w:beforeAutospacing="1" w:afterLines="50" w:line="360" w:lineRule="auto"/>
        <w:ind w:left="1610" w:hanging="1610"/>
        <w:rPr>
          <w:rFonts w:ascii="宋体" w:hAnsi="宋体" w:eastAsia="宋体"/>
        </w:rPr>
      </w:pPr>
      <w:bookmarkStart w:id="248" w:name="_Toc494745334"/>
      <w:bookmarkStart w:id="249" w:name="_Toc495861566"/>
      <w:bookmarkStart w:id="250" w:name="_Toc494665570"/>
      <w:bookmarkStart w:id="251" w:name="_Toc494665967"/>
      <w:bookmarkStart w:id="252" w:name="_Toc494665017"/>
      <w:bookmarkStart w:id="253" w:name="_Toc494702287"/>
      <w:bookmarkStart w:id="254" w:name="_Toc494721117"/>
      <w:r>
        <w:rPr>
          <w:rFonts w:hint="eastAsia" w:ascii="宋体" w:hAnsi="宋体" w:eastAsia="宋体"/>
        </w:rPr>
        <w:t>商务要求“★”号条款响应、偏离说明表</w:t>
      </w:r>
      <w:bookmarkEnd w:id="248"/>
      <w:bookmarkEnd w:id="249"/>
      <w:bookmarkEnd w:id="250"/>
      <w:bookmarkEnd w:id="251"/>
      <w:bookmarkEnd w:id="252"/>
      <w:bookmarkEnd w:id="253"/>
      <w:bookmarkEnd w:id="25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商务要求“★”号条款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193"/>
        </w:numPr>
        <w:spacing w:before="100" w:beforeAutospacing="1" w:afterLines="50" w:line="360" w:lineRule="auto"/>
        <w:ind w:left="1610" w:hanging="1610"/>
        <w:rPr>
          <w:rFonts w:ascii="宋体" w:hAnsi="宋体" w:eastAsia="宋体"/>
        </w:rPr>
      </w:pPr>
      <w:bookmarkStart w:id="255" w:name="_Toc495861567"/>
      <w:bookmarkStart w:id="256" w:name="_Toc494665018"/>
      <w:bookmarkStart w:id="257" w:name="_Toc494702288"/>
      <w:bookmarkStart w:id="258" w:name="_Toc494745335"/>
      <w:bookmarkStart w:id="259" w:name="_Toc494665968"/>
      <w:bookmarkStart w:id="260" w:name="_Toc494665571"/>
      <w:bookmarkStart w:id="261" w:name="_Toc494721118"/>
      <w:r>
        <w:rPr>
          <w:rFonts w:hint="eastAsia" w:ascii="宋体" w:hAnsi="宋体" w:eastAsia="宋体"/>
        </w:rPr>
        <w:t>商务评议对照表</w:t>
      </w:r>
      <w:bookmarkEnd w:id="255"/>
      <w:bookmarkEnd w:id="256"/>
      <w:bookmarkEnd w:id="257"/>
      <w:bookmarkEnd w:id="258"/>
      <w:bookmarkEnd w:id="259"/>
      <w:bookmarkEnd w:id="260"/>
      <w:bookmarkEnd w:id="261"/>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848"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招标文件商务评分标准</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19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19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19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19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19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19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193"/>
        </w:numPr>
        <w:spacing w:before="100" w:beforeAutospacing="1" w:afterLines="50" w:line="360" w:lineRule="auto"/>
        <w:ind w:left="1610" w:hanging="1610"/>
        <w:rPr>
          <w:rFonts w:ascii="宋体" w:hAnsi="宋体" w:eastAsia="宋体"/>
        </w:rPr>
      </w:pPr>
      <w:bookmarkStart w:id="262" w:name="_Toc494745336"/>
      <w:bookmarkStart w:id="263" w:name="_Toc495861568"/>
      <w:bookmarkStart w:id="264" w:name="_Toc494665019"/>
      <w:bookmarkStart w:id="265" w:name="_Toc494665572"/>
      <w:bookmarkStart w:id="266" w:name="_Toc494665969"/>
      <w:bookmarkStart w:id="267" w:name="_Toc494721119"/>
      <w:bookmarkStart w:id="268" w:name="_Toc494702289"/>
      <w:r>
        <w:rPr>
          <w:rFonts w:hint="eastAsia" w:ascii="宋体" w:hAnsi="宋体" w:eastAsia="宋体"/>
        </w:rPr>
        <w:t>技术、服务要求响应、偏离说明表</w:t>
      </w:r>
      <w:bookmarkEnd w:id="262"/>
      <w:bookmarkEnd w:id="263"/>
      <w:bookmarkEnd w:id="264"/>
      <w:bookmarkEnd w:id="265"/>
      <w:bookmarkEnd w:id="266"/>
      <w:bookmarkEnd w:id="267"/>
      <w:bookmarkEnd w:id="268"/>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1"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193"/>
        </w:numPr>
        <w:spacing w:before="100" w:beforeAutospacing="1" w:afterLines="50" w:line="360" w:lineRule="auto"/>
        <w:ind w:left="1610" w:hanging="1610"/>
        <w:rPr>
          <w:rFonts w:ascii="宋体" w:hAnsi="宋体" w:eastAsia="宋体"/>
        </w:rPr>
      </w:pPr>
      <w:bookmarkStart w:id="269" w:name="_Toc494665020"/>
      <w:bookmarkStart w:id="270" w:name="_Toc494665573"/>
      <w:bookmarkStart w:id="271" w:name="_Toc495861569"/>
      <w:bookmarkStart w:id="272" w:name="_Toc494702290"/>
      <w:bookmarkStart w:id="273" w:name="_Toc494745337"/>
      <w:bookmarkStart w:id="274" w:name="_Toc494721120"/>
      <w:bookmarkStart w:id="275" w:name="_Toc494665970"/>
      <w:bookmarkStart w:id="276" w:name="_Toc329859066"/>
      <w:r>
        <w:rPr>
          <w:rFonts w:hint="eastAsia" w:ascii="宋体" w:hAnsi="宋体" w:eastAsia="宋体"/>
        </w:rPr>
        <w:t>技术、服务要求“★”号条款响应、偏离说明表</w:t>
      </w:r>
      <w:bookmarkEnd w:id="269"/>
      <w:bookmarkEnd w:id="270"/>
      <w:bookmarkEnd w:id="271"/>
      <w:bookmarkEnd w:id="272"/>
      <w:bookmarkEnd w:id="273"/>
      <w:bookmarkEnd w:id="274"/>
      <w:bookmarkEnd w:id="27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技术、服务要求“★”号条款</w:t>
            </w:r>
          </w:p>
        </w:tc>
        <w:tc>
          <w:tcPr>
            <w:tcW w:w="287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50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936" w:hanging="936" w:hangingChars="390"/>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说明：1．投标人应按招标文件第三章“项目技术、服务及商务要求”中技术、服务要求</w:t>
      </w:r>
      <w:r>
        <w:rPr>
          <w:rFonts w:hint="eastAsia" w:ascii="Times New Roman" w:hAnsi="宋体" w:eastAsia="宋体" w:cs="Times New Roman"/>
          <w:sz w:val="24"/>
          <w:szCs w:val="24"/>
        </w:rPr>
        <w:t>“★”号</w:t>
      </w:r>
      <w:r>
        <w:rPr>
          <w:rFonts w:hint="eastAsia" w:ascii="宋体" w:hAnsi="宋体" w:eastAsia="宋体" w:cs="Corbel"/>
          <w:sz w:val="24"/>
          <w:szCs w:val="24"/>
        </w:rPr>
        <w:t>条款进行逐项说明是否满足要求，如有偏离,投标人应详细说明。未按照要求填写此表或仅注明“符合”、“满足”的，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bookmarkEnd w:id="276"/>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193"/>
        </w:numPr>
        <w:spacing w:before="100" w:beforeAutospacing="1" w:afterLines="50" w:line="360" w:lineRule="auto"/>
        <w:ind w:left="1610" w:hanging="1610"/>
        <w:rPr>
          <w:rFonts w:ascii="宋体" w:hAnsi="宋体" w:eastAsia="宋体"/>
        </w:rPr>
      </w:pPr>
      <w:bookmarkStart w:id="277" w:name="_Toc494665021"/>
      <w:bookmarkStart w:id="278" w:name="_Toc494745338"/>
      <w:bookmarkStart w:id="279" w:name="_Toc494665574"/>
      <w:bookmarkStart w:id="280" w:name="_Toc494702291"/>
      <w:bookmarkStart w:id="281" w:name="_Toc494665971"/>
      <w:bookmarkStart w:id="282" w:name="_Toc495861570"/>
      <w:bookmarkStart w:id="283" w:name="_Toc494721121"/>
      <w:r>
        <w:rPr>
          <w:rFonts w:hint="eastAsia" w:ascii="宋体" w:hAnsi="宋体" w:eastAsia="宋体"/>
        </w:rPr>
        <w:t>技术、服务评议对照表</w:t>
      </w:r>
      <w:bookmarkEnd w:id="277"/>
      <w:bookmarkEnd w:id="278"/>
      <w:bookmarkEnd w:id="279"/>
      <w:bookmarkEnd w:id="280"/>
      <w:bookmarkEnd w:id="281"/>
      <w:bookmarkEnd w:id="282"/>
      <w:bookmarkEnd w:id="28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38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招标文件技术、服务评分标准</w:t>
            </w:r>
          </w:p>
        </w:tc>
        <w:tc>
          <w:tcPr>
            <w:tcW w:w="322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25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983"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19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19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19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19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19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19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00" w:lineRule="auto"/>
        <w:ind w:left="720" w:hanging="720" w:hangingChars="3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heme="minorEastAsia" w:hAnsiTheme="minorEastAsia"/>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12"/>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000000" w:themeColor="text1" w:sz="4" w:space="1"/>
      </w:pBdr>
      <w:tabs>
        <w:tab w:val="clear" w:pos="4153"/>
        <w:tab w:val="clear" w:pos="8306"/>
      </w:tabs>
      <w:ind w:right="-9" w:firstLine="360" w:firstLineChars="200"/>
      <w:jc w:val="both"/>
    </w:pPr>
    <w:r>
      <w:rPr>
        <w:rFonts w:hint="eastAsia" w:asciiTheme="minorEastAsia" w:hAnsiTheme="minorEastAsia"/>
      </w:rPr>
      <w:t xml:space="preserve">                                                                    </w:t>
    </w:r>
    <w:r>
      <w:rPr>
        <w:rFonts w:hint="eastAsia" w:asciiTheme="minorEastAsia" w:hAnsiTheme="minorEastAsia"/>
        <w:u w:val="single"/>
      </w:rPr>
      <w:t>武汉富纳工程咨询有限公司</w:t>
    </w:r>
    <w:r>
      <w:rPr>
        <w:rFonts w:hint="eastAsia" w:asciiTheme="minorEastAsia" w:hAnsiTheme="minorEastAsia"/>
      </w:rPr>
      <w:t>制</w:t>
    </w:r>
  </w:p>
  <w:p>
    <w:pPr>
      <w:pStyle w:val="12"/>
      <w:pBdr>
        <w:top w:val="single" w:color="000000" w:themeColor="text1" w:sz="4" w:space="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33</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000000" w:themeColor="text1" w:sz="0" w:space="1"/>
      </w:pBdr>
      <w:tabs>
        <w:tab w:val="clear" w:pos="4153"/>
      </w:tabs>
      <w:jc w:val="left"/>
      <w:rPr>
        <w:rFonts w:hint="eastAsia" w:eastAsiaTheme="minorEastAsia"/>
        <w:b/>
        <w:u w:val="single"/>
        <w:lang w:eastAsia="zh-CN"/>
      </w:rPr>
    </w:pPr>
    <w:r>
      <w:rPr>
        <w:rFonts w:hint="eastAsia"/>
        <w:b/>
        <w:u w:val="single"/>
      </w:rPr>
      <w:t>项目名称</w:t>
    </w:r>
    <w:r>
      <w:rPr>
        <w:rFonts w:hint="eastAsia" w:asciiTheme="minorEastAsia" w:hAnsiTheme="minorEastAsia"/>
        <w:b/>
        <w:u w:val="single"/>
      </w:rPr>
      <w:t>：</w:t>
    </w:r>
    <w:r>
      <w:rPr>
        <w:rFonts w:hint="eastAsia"/>
        <w:b/>
        <w:u w:val="single"/>
        <w:lang w:eastAsia="zh-CN"/>
      </w:rPr>
      <w:t>黄石新港(物流)工业园区消防设备采购项目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6D7CC"/>
    <w:multiLevelType w:val="singleLevel"/>
    <w:tmpl w:val="8466D7CC"/>
    <w:lvl w:ilvl="0" w:tentative="0">
      <w:start w:val="1"/>
      <w:numFmt w:val="decimal"/>
      <w:lvlText w:val="4.2.15.3.%1."/>
      <w:lvlJc w:val="left"/>
      <w:pPr>
        <w:tabs>
          <w:tab w:val="left" w:pos="420"/>
        </w:tabs>
        <w:ind w:left="425" w:leftChars="0" w:hanging="425" w:firstLineChars="0"/>
      </w:pPr>
      <w:rPr>
        <w:rFonts w:hint="default"/>
      </w:rPr>
    </w:lvl>
  </w:abstractNum>
  <w:abstractNum w:abstractNumId="1">
    <w:nsid w:val="852D0109"/>
    <w:multiLevelType w:val="singleLevel"/>
    <w:tmpl w:val="852D0109"/>
    <w:lvl w:ilvl="0" w:tentative="0">
      <w:start w:val="1"/>
      <w:numFmt w:val="decimal"/>
      <w:lvlText w:val="4.1.3.%1."/>
      <w:lvlJc w:val="left"/>
      <w:pPr>
        <w:tabs>
          <w:tab w:val="left" w:pos="420"/>
        </w:tabs>
        <w:ind w:left="425" w:leftChars="0" w:hanging="425" w:firstLineChars="0"/>
      </w:pPr>
      <w:rPr>
        <w:rFonts w:hint="default"/>
      </w:rPr>
    </w:lvl>
  </w:abstractNum>
  <w:abstractNum w:abstractNumId="2">
    <w:nsid w:val="8675C5EC"/>
    <w:multiLevelType w:val="singleLevel"/>
    <w:tmpl w:val="8675C5EC"/>
    <w:lvl w:ilvl="0" w:tentative="0">
      <w:start w:val="1"/>
      <w:numFmt w:val="decimal"/>
      <w:lvlText w:val="4.1.14.3.%1."/>
      <w:lvlJc w:val="left"/>
      <w:pPr>
        <w:tabs>
          <w:tab w:val="left" w:pos="420"/>
        </w:tabs>
        <w:ind w:left="425" w:leftChars="0" w:hanging="425" w:firstLineChars="0"/>
      </w:pPr>
      <w:rPr>
        <w:rFonts w:hint="default"/>
      </w:rPr>
    </w:lvl>
  </w:abstractNum>
  <w:abstractNum w:abstractNumId="3">
    <w:nsid w:val="867E4B27"/>
    <w:multiLevelType w:val="singleLevel"/>
    <w:tmpl w:val="867E4B27"/>
    <w:lvl w:ilvl="0" w:tentative="0">
      <w:start w:val="1"/>
      <w:numFmt w:val="decimal"/>
      <w:lvlText w:val="4.1.1.%1."/>
      <w:lvlJc w:val="left"/>
      <w:pPr>
        <w:tabs>
          <w:tab w:val="left" w:pos="420"/>
        </w:tabs>
        <w:ind w:left="425" w:leftChars="0" w:hanging="425" w:firstLineChars="0"/>
      </w:pPr>
      <w:rPr>
        <w:rFonts w:hint="default"/>
      </w:rPr>
    </w:lvl>
  </w:abstractNum>
  <w:abstractNum w:abstractNumId="4">
    <w:nsid w:val="88054C2F"/>
    <w:multiLevelType w:val="singleLevel"/>
    <w:tmpl w:val="88054C2F"/>
    <w:lvl w:ilvl="0" w:tentative="0">
      <w:start w:val="1"/>
      <w:numFmt w:val="decimal"/>
      <w:lvlText w:val="4.1.11.3.%1."/>
      <w:lvlJc w:val="left"/>
      <w:pPr>
        <w:tabs>
          <w:tab w:val="left" w:pos="420"/>
        </w:tabs>
        <w:ind w:left="425" w:leftChars="0" w:hanging="425" w:firstLineChars="0"/>
      </w:pPr>
      <w:rPr>
        <w:rFonts w:hint="default"/>
      </w:rPr>
    </w:lvl>
  </w:abstractNum>
  <w:abstractNum w:abstractNumId="5">
    <w:nsid w:val="8830A990"/>
    <w:multiLevelType w:val="singleLevel"/>
    <w:tmpl w:val="8830A990"/>
    <w:lvl w:ilvl="0" w:tentative="0">
      <w:start w:val="1"/>
      <w:numFmt w:val="decimal"/>
      <w:lvlText w:val="4.1.10.%1."/>
      <w:lvlJc w:val="left"/>
      <w:pPr>
        <w:tabs>
          <w:tab w:val="left" w:pos="420"/>
        </w:tabs>
        <w:ind w:left="425" w:leftChars="0" w:hanging="425" w:firstLineChars="0"/>
      </w:pPr>
      <w:rPr>
        <w:rFonts w:hint="default"/>
      </w:rPr>
    </w:lvl>
  </w:abstractNum>
  <w:abstractNum w:abstractNumId="6">
    <w:nsid w:val="8892D6F1"/>
    <w:multiLevelType w:val="singleLevel"/>
    <w:tmpl w:val="8892D6F1"/>
    <w:lvl w:ilvl="0" w:tentative="0">
      <w:start w:val="1"/>
      <w:numFmt w:val="decimal"/>
      <w:lvlText w:val="4.1.11.1.%1."/>
      <w:lvlJc w:val="left"/>
      <w:pPr>
        <w:tabs>
          <w:tab w:val="left" w:pos="420"/>
        </w:tabs>
        <w:ind w:left="425" w:leftChars="0" w:hanging="425" w:firstLineChars="0"/>
      </w:pPr>
      <w:rPr>
        <w:rFonts w:hint="default"/>
      </w:rPr>
    </w:lvl>
  </w:abstractNum>
  <w:abstractNum w:abstractNumId="7">
    <w:nsid w:val="8C93FCFD"/>
    <w:multiLevelType w:val="singleLevel"/>
    <w:tmpl w:val="8C93FCFD"/>
    <w:lvl w:ilvl="0" w:tentative="0">
      <w:start w:val="1"/>
      <w:numFmt w:val="decimal"/>
      <w:lvlText w:val="4.1.12.%1."/>
      <w:lvlJc w:val="left"/>
      <w:pPr>
        <w:tabs>
          <w:tab w:val="left" w:pos="420"/>
        </w:tabs>
        <w:ind w:left="425" w:leftChars="0" w:hanging="425" w:firstLineChars="0"/>
      </w:pPr>
      <w:rPr>
        <w:rFonts w:hint="default"/>
      </w:rPr>
    </w:lvl>
  </w:abstractNum>
  <w:abstractNum w:abstractNumId="8">
    <w:nsid w:val="8DABCD5E"/>
    <w:multiLevelType w:val="singleLevel"/>
    <w:tmpl w:val="8DABCD5E"/>
    <w:lvl w:ilvl="0" w:tentative="0">
      <w:start w:val="1"/>
      <w:numFmt w:val="decimal"/>
      <w:lvlText w:val="4.2.13.%1."/>
      <w:lvlJc w:val="left"/>
      <w:pPr>
        <w:tabs>
          <w:tab w:val="left" w:pos="420"/>
        </w:tabs>
        <w:ind w:left="425" w:leftChars="0" w:hanging="425" w:firstLineChars="0"/>
      </w:pPr>
      <w:rPr>
        <w:rFonts w:hint="default"/>
      </w:rPr>
    </w:lvl>
  </w:abstractNum>
  <w:abstractNum w:abstractNumId="9">
    <w:nsid w:val="90C4EFEE"/>
    <w:multiLevelType w:val="singleLevel"/>
    <w:tmpl w:val="90C4EFEE"/>
    <w:lvl w:ilvl="0" w:tentative="0">
      <w:start w:val="1"/>
      <w:numFmt w:val="decimal"/>
      <w:lvlText w:val="4.2.34.2.1.%1."/>
      <w:lvlJc w:val="left"/>
      <w:pPr>
        <w:tabs>
          <w:tab w:val="left" w:pos="420"/>
        </w:tabs>
        <w:ind w:left="425" w:leftChars="0" w:hanging="425" w:firstLineChars="0"/>
      </w:pPr>
      <w:rPr>
        <w:rFonts w:hint="default" w:ascii="宋体" w:hAnsi="宋体" w:eastAsia="宋体" w:cs="宋体"/>
      </w:rPr>
    </w:lvl>
  </w:abstractNum>
  <w:abstractNum w:abstractNumId="10">
    <w:nsid w:val="927F528A"/>
    <w:multiLevelType w:val="singleLevel"/>
    <w:tmpl w:val="927F528A"/>
    <w:lvl w:ilvl="0" w:tentative="0">
      <w:start w:val="1"/>
      <w:numFmt w:val="decimal"/>
      <w:lvlText w:val="4.2.14.%1."/>
      <w:lvlJc w:val="left"/>
      <w:pPr>
        <w:tabs>
          <w:tab w:val="left" w:pos="420"/>
        </w:tabs>
        <w:ind w:left="425" w:leftChars="0" w:hanging="425" w:firstLineChars="0"/>
      </w:pPr>
      <w:rPr>
        <w:rFonts w:hint="default"/>
      </w:rPr>
    </w:lvl>
  </w:abstractNum>
  <w:abstractNum w:abstractNumId="11">
    <w:nsid w:val="953A45B7"/>
    <w:multiLevelType w:val="singleLevel"/>
    <w:tmpl w:val="953A45B7"/>
    <w:lvl w:ilvl="0" w:tentative="0">
      <w:start w:val="1"/>
      <w:numFmt w:val="decimal"/>
      <w:lvlText w:val="4.1.3.3.6.%1."/>
      <w:lvlJc w:val="left"/>
      <w:pPr>
        <w:tabs>
          <w:tab w:val="left" w:pos="420"/>
        </w:tabs>
        <w:ind w:left="425" w:leftChars="0" w:hanging="425" w:firstLineChars="0"/>
      </w:pPr>
      <w:rPr>
        <w:rFonts w:hint="default"/>
      </w:rPr>
    </w:lvl>
  </w:abstractNum>
  <w:abstractNum w:abstractNumId="12">
    <w:nsid w:val="96B078D1"/>
    <w:multiLevelType w:val="singleLevel"/>
    <w:tmpl w:val="96B078D1"/>
    <w:lvl w:ilvl="0" w:tentative="0">
      <w:start w:val="1"/>
      <w:numFmt w:val="decimal"/>
      <w:lvlText w:val="4.1.13.2.%1."/>
      <w:lvlJc w:val="left"/>
      <w:pPr>
        <w:tabs>
          <w:tab w:val="left" w:pos="420"/>
        </w:tabs>
        <w:ind w:left="425" w:leftChars="0" w:hanging="425" w:firstLineChars="0"/>
      </w:pPr>
      <w:rPr>
        <w:rFonts w:hint="default"/>
      </w:rPr>
    </w:lvl>
  </w:abstractNum>
  <w:abstractNum w:abstractNumId="13">
    <w:nsid w:val="975B0BF8"/>
    <w:multiLevelType w:val="singleLevel"/>
    <w:tmpl w:val="975B0BF8"/>
    <w:lvl w:ilvl="0" w:tentative="0">
      <w:start w:val="1"/>
      <w:numFmt w:val="decimal"/>
      <w:lvlText w:val="4.2.5.%1."/>
      <w:lvlJc w:val="left"/>
      <w:pPr>
        <w:tabs>
          <w:tab w:val="left" w:pos="420"/>
        </w:tabs>
        <w:ind w:left="425" w:leftChars="0" w:hanging="425" w:firstLineChars="0"/>
      </w:pPr>
      <w:rPr>
        <w:rFonts w:hint="default"/>
      </w:rPr>
    </w:lvl>
  </w:abstractNum>
  <w:abstractNum w:abstractNumId="14">
    <w:nsid w:val="980C811C"/>
    <w:multiLevelType w:val="singleLevel"/>
    <w:tmpl w:val="980C811C"/>
    <w:lvl w:ilvl="0" w:tentative="0">
      <w:start w:val="1"/>
      <w:numFmt w:val="decimal"/>
      <w:lvlText w:val="4.2.33.19.%1."/>
      <w:lvlJc w:val="left"/>
      <w:pPr>
        <w:tabs>
          <w:tab w:val="left" w:pos="420"/>
        </w:tabs>
        <w:ind w:left="425" w:leftChars="0" w:hanging="425" w:firstLineChars="0"/>
      </w:pPr>
      <w:rPr>
        <w:rFonts w:hint="default"/>
      </w:rPr>
    </w:lvl>
  </w:abstractNum>
  <w:abstractNum w:abstractNumId="15">
    <w:nsid w:val="9C547533"/>
    <w:multiLevelType w:val="singleLevel"/>
    <w:tmpl w:val="9C547533"/>
    <w:lvl w:ilvl="0" w:tentative="0">
      <w:start w:val="1"/>
      <w:numFmt w:val="decimal"/>
      <w:lvlText w:val="4.1.16.4.%1."/>
      <w:lvlJc w:val="left"/>
      <w:pPr>
        <w:tabs>
          <w:tab w:val="left" w:pos="420"/>
        </w:tabs>
        <w:ind w:left="425" w:leftChars="0" w:hanging="425" w:firstLineChars="0"/>
      </w:pPr>
      <w:rPr>
        <w:rFonts w:hint="default"/>
      </w:rPr>
    </w:lvl>
  </w:abstractNum>
  <w:abstractNum w:abstractNumId="16">
    <w:nsid w:val="9C6EC9AD"/>
    <w:multiLevelType w:val="singleLevel"/>
    <w:tmpl w:val="9C6EC9AD"/>
    <w:lvl w:ilvl="0" w:tentative="0">
      <w:start w:val="1"/>
      <w:numFmt w:val="decimal"/>
      <w:lvlText w:val="4.2.27.%1."/>
      <w:lvlJc w:val="left"/>
      <w:pPr>
        <w:tabs>
          <w:tab w:val="left" w:pos="420"/>
        </w:tabs>
        <w:ind w:left="425" w:leftChars="0" w:hanging="425" w:firstLineChars="0"/>
      </w:pPr>
      <w:rPr>
        <w:rFonts w:hint="default"/>
      </w:rPr>
    </w:lvl>
  </w:abstractNum>
  <w:abstractNum w:abstractNumId="17">
    <w:nsid w:val="9C97B562"/>
    <w:multiLevelType w:val="singleLevel"/>
    <w:tmpl w:val="9C97B562"/>
    <w:lvl w:ilvl="0" w:tentative="0">
      <w:start w:val="1"/>
      <w:numFmt w:val="decimal"/>
      <w:lvlText w:val="4.1.%1."/>
      <w:lvlJc w:val="left"/>
      <w:pPr>
        <w:tabs>
          <w:tab w:val="left" w:pos="420"/>
        </w:tabs>
        <w:ind w:left="425" w:leftChars="0" w:hanging="425" w:firstLineChars="0"/>
      </w:pPr>
      <w:rPr>
        <w:rFonts w:hint="default"/>
      </w:rPr>
    </w:lvl>
  </w:abstractNum>
  <w:abstractNum w:abstractNumId="18">
    <w:nsid w:val="9F99F998"/>
    <w:multiLevelType w:val="singleLevel"/>
    <w:tmpl w:val="9F99F998"/>
    <w:lvl w:ilvl="0" w:tentative="0">
      <w:start w:val="1"/>
      <w:numFmt w:val="decimal"/>
      <w:lvlText w:val="4.2.34.1.%1."/>
      <w:lvlJc w:val="left"/>
      <w:pPr>
        <w:tabs>
          <w:tab w:val="left" w:pos="420"/>
        </w:tabs>
        <w:ind w:left="425" w:leftChars="0" w:hanging="425" w:firstLineChars="0"/>
      </w:pPr>
      <w:rPr>
        <w:rFonts w:hint="default" w:ascii="宋体" w:hAnsi="宋体" w:eastAsia="宋体" w:cs="宋体"/>
      </w:rPr>
    </w:lvl>
  </w:abstractNum>
  <w:abstractNum w:abstractNumId="19">
    <w:nsid w:val="A1D5E60A"/>
    <w:multiLevelType w:val="singleLevel"/>
    <w:tmpl w:val="A1D5E60A"/>
    <w:lvl w:ilvl="0" w:tentative="0">
      <w:start w:val="1"/>
      <w:numFmt w:val="decimal"/>
      <w:lvlText w:val="4.1.2.3.%1."/>
      <w:lvlJc w:val="left"/>
      <w:pPr>
        <w:tabs>
          <w:tab w:val="left" w:pos="420"/>
        </w:tabs>
        <w:ind w:left="425" w:leftChars="0" w:hanging="425" w:firstLineChars="0"/>
      </w:pPr>
      <w:rPr>
        <w:rFonts w:hint="default"/>
      </w:rPr>
    </w:lvl>
  </w:abstractNum>
  <w:abstractNum w:abstractNumId="20">
    <w:nsid w:val="A32146FB"/>
    <w:multiLevelType w:val="singleLevel"/>
    <w:tmpl w:val="A32146FB"/>
    <w:lvl w:ilvl="0" w:tentative="0">
      <w:start w:val="1"/>
      <w:numFmt w:val="decimal"/>
      <w:lvlText w:val="4.2.17.%1."/>
      <w:lvlJc w:val="left"/>
      <w:pPr>
        <w:tabs>
          <w:tab w:val="left" w:pos="420"/>
        </w:tabs>
        <w:ind w:left="425" w:leftChars="0" w:hanging="425" w:firstLineChars="0"/>
      </w:pPr>
      <w:rPr>
        <w:rFonts w:hint="default"/>
      </w:rPr>
    </w:lvl>
  </w:abstractNum>
  <w:abstractNum w:abstractNumId="21">
    <w:nsid w:val="A4B6A3D7"/>
    <w:multiLevelType w:val="singleLevel"/>
    <w:tmpl w:val="A4B6A3D7"/>
    <w:lvl w:ilvl="0" w:tentative="0">
      <w:start w:val="1"/>
      <w:numFmt w:val="decimal"/>
      <w:lvlText w:val="4.2.34.2.3.%1."/>
      <w:lvlJc w:val="left"/>
      <w:pPr>
        <w:tabs>
          <w:tab w:val="left" w:pos="420"/>
        </w:tabs>
        <w:ind w:left="425" w:leftChars="0" w:hanging="425" w:firstLineChars="0"/>
      </w:pPr>
      <w:rPr>
        <w:rFonts w:hint="default" w:ascii="宋体" w:hAnsi="宋体" w:eastAsia="宋体" w:cs="宋体"/>
      </w:rPr>
    </w:lvl>
  </w:abstractNum>
  <w:abstractNum w:abstractNumId="22">
    <w:nsid w:val="A569482B"/>
    <w:multiLevelType w:val="singleLevel"/>
    <w:tmpl w:val="A569482B"/>
    <w:lvl w:ilvl="0" w:tentative="0">
      <w:start w:val="1"/>
      <w:numFmt w:val="decimal"/>
      <w:lvlText w:val="4.2.25.%1."/>
      <w:lvlJc w:val="left"/>
      <w:pPr>
        <w:tabs>
          <w:tab w:val="left" w:pos="420"/>
        </w:tabs>
        <w:ind w:left="425" w:leftChars="0" w:hanging="425" w:firstLineChars="0"/>
      </w:pPr>
      <w:rPr>
        <w:rFonts w:hint="default"/>
      </w:rPr>
    </w:lvl>
  </w:abstractNum>
  <w:abstractNum w:abstractNumId="23">
    <w:nsid w:val="A9049600"/>
    <w:multiLevelType w:val="singleLevel"/>
    <w:tmpl w:val="A9049600"/>
    <w:lvl w:ilvl="0" w:tentative="0">
      <w:start w:val="1"/>
      <w:numFmt w:val="decimal"/>
      <w:lvlText w:val="4.2.15.7.%1."/>
      <w:lvlJc w:val="left"/>
      <w:pPr>
        <w:tabs>
          <w:tab w:val="left" w:pos="420"/>
        </w:tabs>
        <w:ind w:left="425" w:leftChars="0" w:hanging="425" w:firstLineChars="0"/>
      </w:pPr>
      <w:rPr>
        <w:rFonts w:hint="default"/>
      </w:rPr>
    </w:lvl>
  </w:abstractNum>
  <w:abstractNum w:abstractNumId="24">
    <w:nsid w:val="AA122388"/>
    <w:multiLevelType w:val="singleLevel"/>
    <w:tmpl w:val="AA122388"/>
    <w:lvl w:ilvl="0" w:tentative="0">
      <w:start w:val="1"/>
      <w:numFmt w:val="decimal"/>
      <w:lvlText w:val="4.1.3.2.%1."/>
      <w:lvlJc w:val="left"/>
      <w:pPr>
        <w:tabs>
          <w:tab w:val="left" w:pos="420"/>
        </w:tabs>
        <w:ind w:left="425" w:leftChars="0" w:hanging="425" w:firstLineChars="0"/>
      </w:pPr>
      <w:rPr>
        <w:rFonts w:hint="default"/>
      </w:rPr>
    </w:lvl>
  </w:abstractNum>
  <w:abstractNum w:abstractNumId="25">
    <w:nsid w:val="ABD5C0D0"/>
    <w:multiLevelType w:val="singleLevel"/>
    <w:tmpl w:val="ABD5C0D0"/>
    <w:lvl w:ilvl="0" w:tentative="0">
      <w:start w:val="1"/>
      <w:numFmt w:val="decimal"/>
      <w:lvlText w:val="4.1.2.%1."/>
      <w:lvlJc w:val="left"/>
      <w:pPr>
        <w:tabs>
          <w:tab w:val="left" w:pos="420"/>
        </w:tabs>
        <w:ind w:left="425" w:leftChars="0" w:hanging="425" w:firstLineChars="0"/>
      </w:pPr>
      <w:rPr>
        <w:rFonts w:hint="default"/>
      </w:rPr>
    </w:lvl>
  </w:abstractNum>
  <w:abstractNum w:abstractNumId="26">
    <w:nsid w:val="AC638600"/>
    <w:multiLevelType w:val="singleLevel"/>
    <w:tmpl w:val="AC638600"/>
    <w:lvl w:ilvl="0" w:tentative="0">
      <w:start w:val="1"/>
      <w:numFmt w:val="decimal"/>
      <w:lvlText w:val="4.1.1.2.%1."/>
      <w:lvlJc w:val="left"/>
      <w:pPr>
        <w:tabs>
          <w:tab w:val="left" w:pos="420"/>
        </w:tabs>
        <w:ind w:left="425" w:leftChars="0" w:hanging="425" w:firstLineChars="0"/>
      </w:pPr>
      <w:rPr>
        <w:rFonts w:hint="default"/>
      </w:rPr>
    </w:lvl>
  </w:abstractNum>
  <w:abstractNum w:abstractNumId="27">
    <w:nsid w:val="ADE19872"/>
    <w:multiLevelType w:val="singleLevel"/>
    <w:tmpl w:val="ADE19872"/>
    <w:lvl w:ilvl="0" w:tentative="0">
      <w:start w:val="1"/>
      <w:numFmt w:val="decimal"/>
      <w:lvlText w:val="4.1.14.2.%1."/>
      <w:lvlJc w:val="left"/>
      <w:pPr>
        <w:tabs>
          <w:tab w:val="left" w:pos="420"/>
        </w:tabs>
        <w:ind w:left="425" w:leftChars="0" w:hanging="425" w:firstLineChars="0"/>
      </w:pPr>
      <w:rPr>
        <w:rFonts w:hint="default"/>
      </w:rPr>
    </w:lvl>
  </w:abstractNum>
  <w:abstractNum w:abstractNumId="28">
    <w:nsid w:val="B0397E35"/>
    <w:multiLevelType w:val="singleLevel"/>
    <w:tmpl w:val="B0397E35"/>
    <w:lvl w:ilvl="0" w:tentative="0">
      <w:start w:val="1"/>
      <w:numFmt w:val="decimal"/>
      <w:lvlText w:val="4.1.15.3.%1."/>
      <w:lvlJc w:val="left"/>
      <w:pPr>
        <w:tabs>
          <w:tab w:val="left" w:pos="420"/>
        </w:tabs>
        <w:ind w:left="425" w:leftChars="0" w:hanging="425" w:firstLineChars="0"/>
      </w:pPr>
      <w:rPr>
        <w:rFonts w:hint="default"/>
      </w:rPr>
    </w:lvl>
  </w:abstractNum>
  <w:abstractNum w:abstractNumId="29">
    <w:nsid w:val="B12073AF"/>
    <w:multiLevelType w:val="singleLevel"/>
    <w:tmpl w:val="B12073AF"/>
    <w:lvl w:ilvl="0" w:tentative="0">
      <w:start w:val="1"/>
      <w:numFmt w:val="decimal"/>
      <w:lvlText w:val="4.1.9.3.%1."/>
      <w:lvlJc w:val="left"/>
      <w:pPr>
        <w:tabs>
          <w:tab w:val="left" w:pos="420"/>
        </w:tabs>
        <w:ind w:left="425" w:leftChars="0" w:hanging="425" w:firstLineChars="0"/>
      </w:pPr>
      <w:rPr>
        <w:rFonts w:hint="default"/>
      </w:rPr>
    </w:lvl>
  </w:abstractNum>
  <w:abstractNum w:abstractNumId="30">
    <w:nsid w:val="B1AEFF73"/>
    <w:multiLevelType w:val="singleLevel"/>
    <w:tmpl w:val="B1AEFF73"/>
    <w:lvl w:ilvl="0" w:tentative="0">
      <w:start w:val="1"/>
      <w:numFmt w:val="decimal"/>
      <w:lvlText w:val="4.2.31.%1."/>
      <w:lvlJc w:val="left"/>
      <w:pPr>
        <w:tabs>
          <w:tab w:val="left" w:pos="420"/>
        </w:tabs>
        <w:ind w:left="425" w:leftChars="0" w:hanging="425" w:firstLineChars="0"/>
      </w:pPr>
      <w:rPr>
        <w:rFonts w:hint="default" w:ascii="宋体" w:hAnsi="宋体" w:eastAsia="宋体" w:cs="宋体"/>
      </w:rPr>
    </w:lvl>
  </w:abstractNum>
  <w:abstractNum w:abstractNumId="31">
    <w:nsid w:val="B486FE52"/>
    <w:multiLevelType w:val="singleLevel"/>
    <w:tmpl w:val="B486FE52"/>
    <w:lvl w:ilvl="0" w:tentative="0">
      <w:start w:val="1"/>
      <w:numFmt w:val="decimal"/>
      <w:lvlText w:val="4.1.8.2.%1."/>
      <w:lvlJc w:val="left"/>
      <w:pPr>
        <w:tabs>
          <w:tab w:val="left" w:pos="420"/>
        </w:tabs>
        <w:ind w:left="425" w:leftChars="0" w:hanging="425" w:firstLineChars="0"/>
      </w:pPr>
      <w:rPr>
        <w:rFonts w:hint="default"/>
      </w:rPr>
    </w:lvl>
  </w:abstractNum>
  <w:abstractNum w:abstractNumId="32">
    <w:nsid w:val="B507165F"/>
    <w:multiLevelType w:val="singleLevel"/>
    <w:tmpl w:val="B507165F"/>
    <w:lvl w:ilvl="0" w:tentative="0">
      <w:start w:val="1"/>
      <w:numFmt w:val="decimal"/>
      <w:lvlText w:val="4.1.6.%1."/>
      <w:lvlJc w:val="left"/>
      <w:pPr>
        <w:tabs>
          <w:tab w:val="left" w:pos="420"/>
        </w:tabs>
        <w:ind w:left="425" w:leftChars="0" w:hanging="425" w:firstLineChars="0"/>
      </w:pPr>
      <w:rPr>
        <w:rFonts w:hint="default"/>
      </w:rPr>
    </w:lvl>
  </w:abstractNum>
  <w:abstractNum w:abstractNumId="33">
    <w:nsid w:val="B6BFEFC1"/>
    <w:multiLevelType w:val="singleLevel"/>
    <w:tmpl w:val="B6BFEFC1"/>
    <w:lvl w:ilvl="0" w:tentative="0">
      <w:start w:val="1"/>
      <w:numFmt w:val="decimal"/>
      <w:lvlText w:val="4.1.18.%1."/>
      <w:lvlJc w:val="left"/>
      <w:pPr>
        <w:tabs>
          <w:tab w:val="left" w:pos="420"/>
        </w:tabs>
        <w:ind w:left="425" w:leftChars="0" w:hanging="425" w:firstLineChars="0"/>
      </w:pPr>
      <w:rPr>
        <w:rFonts w:hint="default"/>
      </w:rPr>
    </w:lvl>
  </w:abstractNum>
  <w:abstractNum w:abstractNumId="34">
    <w:nsid w:val="B716CAAB"/>
    <w:multiLevelType w:val="singleLevel"/>
    <w:tmpl w:val="B716CAAB"/>
    <w:lvl w:ilvl="0" w:tentative="0">
      <w:start w:val="1"/>
      <w:numFmt w:val="decimal"/>
      <w:lvlText w:val="4.2.6.%1."/>
      <w:lvlJc w:val="left"/>
      <w:pPr>
        <w:tabs>
          <w:tab w:val="left" w:pos="420"/>
        </w:tabs>
        <w:ind w:left="425" w:leftChars="0" w:hanging="425" w:firstLineChars="0"/>
      </w:pPr>
      <w:rPr>
        <w:rFonts w:hint="default"/>
      </w:rPr>
    </w:lvl>
  </w:abstractNum>
  <w:abstractNum w:abstractNumId="35">
    <w:nsid w:val="B9903F8F"/>
    <w:multiLevelType w:val="singleLevel"/>
    <w:tmpl w:val="B9903F8F"/>
    <w:lvl w:ilvl="0" w:tentative="0">
      <w:start w:val="1"/>
      <w:numFmt w:val="decimal"/>
      <w:lvlText w:val="4.2.16.%1."/>
      <w:lvlJc w:val="left"/>
      <w:pPr>
        <w:tabs>
          <w:tab w:val="left" w:pos="420"/>
        </w:tabs>
        <w:ind w:left="425" w:leftChars="0" w:hanging="425" w:firstLineChars="0"/>
      </w:pPr>
      <w:rPr>
        <w:rFonts w:hint="default"/>
      </w:rPr>
    </w:lvl>
  </w:abstractNum>
  <w:abstractNum w:abstractNumId="36">
    <w:nsid w:val="BE01B860"/>
    <w:multiLevelType w:val="singleLevel"/>
    <w:tmpl w:val="BE01B860"/>
    <w:lvl w:ilvl="0" w:tentative="0">
      <w:start w:val="1"/>
      <w:numFmt w:val="decimal"/>
      <w:lvlText w:val="4.1.5.%1."/>
      <w:lvlJc w:val="left"/>
      <w:pPr>
        <w:tabs>
          <w:tab w:val="left" w:pos="420"/>
        </w:tabs>
        <w:ind w:left="425" w:leftChars="0" w:hanging="425" w:firstLineChars="0"/>
      </w:pPr>
      <w:rPr>
        <w:rFonts w:hint="default"/>
      </w:rPr>
    </w:lvl>
  </w:abstractNum>
  <w:abstractNum w:abstractNumId="37">
    <w:nsid w:val="BF0B3A6B"/>
    <w:multiLevelType w:val="singleLevel"/>
    <w:tmpl w:val="BF0B3A6B"/>
    <w:lvl w:ilvl="0" w:tentative="0">
      <w:start w:val="1"/>
      <w:numFmt w:val="decimal"/>
      <w:lvlText w:val="4.1.12.3.%1."/>
      <w:lvlJc w:val="left"/>
      <w:pPr>
        <w:tabs>
          <w:tab w:val="left" w:pos="420"/>
        </w:tabs>
        <w:ind w:left="425" w:leftChars="0" w:hanging="425" w:firstLineChars="0"/>
      </w:pPr>
      <w:rPr>
        <w:rFonts w:hint="default"/>
      </w:rPr>
    </w:lvl>
  </w:abstractNum>
  <w:abstractNum w:abstractNumId="38">
    <w:nsid w:val="C03EDBDE"/>
    <w:multiLevelType w:val="singleLevel"/>
    <w:tmpl w:val="C03EDBDE"/>
    <w:lvl w:ilvl="0" w:tentative="0">
      <w:start w:val="1"/>
      <w:numFmt w:val="decimal"/>
      <w:lvlText w:val="4.1.5.1.%1."/>
      <w:lvlJc w:val="left"/>
      <w:pPr>
        <w:tabs>
          <w:tab w:val="left" w:pos="420"/>
        </w:tabs>
        <w:ind w:left="425" w:leftChars="0" w:hanging="425" w:firstLineChars="0"/>
      </w:pPr>
      <w:rPr>
        <w:rFonts w:hint="default"/>
      </w:rPr>
    </w:lvl>
  </w:abstractNum>
  <w:abstractNum w:abstractNumId="39">
    <w:nsid w:val="C320BCEC"/>
    <w:multiLevelType w:val="singleLevel"/>
    <w:tmpl w:val="C320BCEC"/>
    <w:lvl w:ilvl="0" w:tentative="0">
      <w:start w:val="1"/>
      <w:numFmt w:val="decimal"/>
      <w:lvlText w:val="4.1.6.8.%1."/>
      <w:lvlJc w:val="left"/>
      <w:pPr>
        <w:tabs>
          <w:tab w:val="left" w:pos="420"/>
        </w:tabs>
        <w:ind w:left="425" w:leftChars="0" w:hanging="425" w:firstLineChars="0"/>
      </w:pPr>
      <w:rPr>
        <w:rFonts w:hint="default"/>
      </w:rPr>
    </w:lvl>
  </w:abstractNum>
  <w:abstractNum w:abstractNumId="40">
    <w:nsid w:val="C331E577"/>
    <w:multiLevelType w:val="singleLevel"/>
    <w:tmpl w:val="C331E577"/>
    <w:lvl w:ilvl="0" w:tentative="0">
      <w:start w:val="1"/>
      <w:numFmt w:val="decimal"/>
      <w:lvlText w:val="4.1.1.4.%1."/>
      <w:lvlJc w:val="left"/>
      <w:pPr>
        <w:tabs>
          <w:tab w:val="left" w:pos="420"/>
        </w:tabs>
        <w:ind w:left="425" w:leftChars="0" w:hanging="425" w:firstLineChars="0"/>
      </w:pPr>
      <w:rPr>
        <w:rFonts w:hint="default"/>
      </w:rPr>
    </w:lvl>
  </w:abstractNum>
  <w:abstractNum w:abstractNumId="41">
    <w:nsid w:val="C36A8DF9"/>
    <w:multiLevelType w:val="singleLevel"/>
    <w:tmpl w:val="C36A8DF9"/>
    <w:lvl w:ilvl="0" w:tentative="0">
      <w:start w:val="1"/>
      <w:numFmt w:val="decimal"/>
      <w:lvlText w:val="4.1.9.2.%1."/>
      <w:lvlJc w:val="left"/>
      <w:pPr>
        <w:tabs>
          <w:tab w:val="left" w:pos="420"/>
        </w:tabs>
        <w:ind w:left="425" w:leftChars="0" w:hanging="425" w:firstLineChars="0"/>
      </w:pPr>
      <w:rPr>
        <w:rFonts w:hint="default"/>
      </w:rPr>
    </w:lvl>
  </w:abstractNum>
  <w:abstractNum w:abstractNumId="42">
    <w:nsid w:val="C5035BE6"/>
    <w:multiLevelType w:val="singleLevel"/>
    <w:tmpl w:val="C5035BE6"/>
    <w:lvl w:ilvl="0" w:tentative="0">
      <w:start w:val="1"/>
      <w:numFmt w:val="decimal"/>
      <w:lvlText w:val="4.2.30.%1."/>
      <w:lvlJc w:val="left"/>
      <w:pPr>
        <w:tabs>
          <w:tab w:val="left" w:pos="420"/>
        </w:tabs>
        <w:ind w:left="425" w:leftChars="0" w:hanging="425" w:firstLineChars="0"/>
      </w:pPr>
      <w:rPr>
        <w:rFonts w:hint="default" w:ascii="宋体" w:hAnsi="宋体" w:eastAsia="宋体" w:cs="宋体"/>
      </w:rPr>
    </w:lvl>
  </w:abstractNum>
  <w:abstractNum w:abstractNumId="43">
    <w:nsid w:val="D0F83CF4"/>
    <w:multiLevelType w:val="singleLevel"/>
    <w:tmpl w:val="D0F83CF4"/>
    <w:lvl w:ilvl="0" w:tentative="0">
      <w:start w:val="1"/>
      <w:numFmt w:val="decimal"/>
      <w:lvlText w:val="4.2.24.%1."/>
      <w:lvlJc w:val="left"/>
      <w:pPr>
        <w:tabs>
          <w:tab w:val="left" w:pos="420"/>
        </w:tabs>
        <w:ind w:left="425" w:leftChars="0" w:hanging="425" w:firstLineChars="0"/>
      </w:pPr>
      <w:rPr>
        <w:rFonts w:hint="default"/>
      </w:rPr>
    </w:lvl>
  </w:abstractNum>
  <w:abstractNum w:abstractNumId="44">
    <w:nsid w:val="D3297E0D"/>
    <w:multiLevelType w:val="singleLevel"/>
    <w:tmpl w:val="D3297E0D"/>
    <w:lvl w:ilvl="0" w:tentative="0">
      <w:start w:val="1"/>
      <w:numFmt w:val="decimal"/>
      <w:lvlText w:val="4.2.2.%1."/>
      <w:lvlJc w:val="left"/>
      <w:pPr>
        <w:tabs>
          <w:tab w:val="left" w:pos="420"/>
        </w:tabs>
        <w:ind w:left="425" w:leftChars="0" w:hanging="425" w:firstLineChars="0"/>
      </w:pPr>
      <w:rPr>
        <w:rFonts w:hint="default"/>
      </w:rPr>
    </w:lvl>
  </w:abstractNum>
  <w:abstractNum w:abstractNumId="45">
    <w:nsid w:val="D4987457"/>
    <w:multiLevelType w:val="singleLevel"/>
    <w:tmpl w:val="D4987457"/>
    <w:lvl w:ilvl="0" w:tentative="0">
      <w:start w:val="1"/>
      <w:numFmt w:val="decimal"/>
      <w:lvlText w:val="4.2.35.%1."/>
      <w:lvlJc w:val="left"/>
      <w:pPr>
        <w:tabs>
          <w:tab w:val="left" w:pos="420"/>
        </w:tabs>
        <w:ind w:left="425" w:leftChars="0" w:hanging="425" w:firstLineChars="0"/>
      </w:pPr>
      <w:rPr>
        <w:rFonts w:hint="default" w:ascii="宋体" w:hAnsi="宋体" w:eastAsia="宋体" w:cs="宋体"/>
      </w:rPr>
    </w:lvl>
  </w:abstractNum>
  <w:abstractNum w:abstractNumId="46">
    <w:nsid w:val="D52CB9F1"/>
    <w:multiLevelType w:val="singleLevel"/>
    <w:tmpl w:val="D52CB9F1"/>
    <w:lvl w:ilvl="0" w:tentative="0">
      <w:start w:val="1"/>
      <w:numFmt w:val="decimal"/>
      <w:lvlText w:val="4.1.4.1.%1."/>
      <w:lvlJc w:val="left"/>
      <w:pPr>
        <w:tabs>
          <w:tab w:val="left" w:pos="420"/>
        </w:tabs>
        <w:ind w:left="425" w:leftChars="0" w:hanging="425" w:firstLineChars="0"/>
      </w:pPr>
      <w:rPr>
        <w:rFonts w:hint="default"/>
      </w:rPr>
    </w:lvl>
  </w:abstractNum>
  <w:abstractNum w:abstractNumId="47">
    <w:nsid w:val="D77586B7"/>
    <w:multiLevelType w:val="singleLevel"/>
    <w:tmpl w:val="D77586B7"/>
    <w:lvl w:ilvl="0" w:tentative="0">
      <w:start w:val="1"/>
      <w:numFmt w:val="decimal"/>
      <w:lvlText w:val="4.2.15.%1."/>
      <w:lvlJc w:val="left"/>
      <w:pPr>
        <w:tabs>
          <w:tab w:val="left" w:pos="420"/>
        </w:tabs>
        <w:ind w:left="425" w:leftChars="0" w:hanging="425" w:firstLineChars="0"/>
      </w:pPr>
      <w:rPr>
        <w:rFonts w:hint="default"/>
      </w:rPr>
    </w:lvl>
  </w:abstractNum>
  <w:abstractNum w:abstractNumId="48">
    <w:nsid w:val="D92E2FBA"/>
    <w:multiLevelType w:val="singleLevel"/>
    <w:tmpl w:val="D92E2FBA"/>
    <w:lvl w:ilvl="0" w:tentative="0">
      <w:start w:val="1"/>
      <w:numFmt w:val="decimal"/>
      <w:lvlText w:val="4.1.8.1.%1."/>
      <w:lvlJc w:val="left"/>
      <w:pPr>
        <w:tabs>
          <w:tab w:val="left" w:pos="420"/>
        </w:tabs>
        <w:ind w:left="425" w:leftChars="0" w:hanging="425" w:firstLineChars="0"/>
      </w:pPr>
      <w:rPr>
        <w:rFonts w:hint="default"/>
      </w:rPr>
    </w:lvl>
  </w:abstractNum>
  <w:abstractNum w:abstractNumId="49">
    <w:nsid w:val="DA9D1485"/>
    <w:multiLevelType w:val="singleLevel"/>
    <w:tmpl w:val="DA9D1485"/>
    <w:lvl w:ilvl="0" w:tentative="0">
      <w:start w:val="1"/>
      <w:numFmt w:val="decimal"/>
      <w:lvlText w:val="4.1.8.%1."/>
      <w:lvlJc w:val="left"/>
      <w:pPr>
        <w:tabs>
          <w:tab w:val="left" w:pos="420"/>
        </w:tabs>
        <w:ind w:left="425" w:leftChars="0" w:hanging="425" w:firstLineChars="0"/>
      </w:pPr>
      <w:rPr>
        <w:rFonts w:hint="default" w:ascii="宋体" w:hAnsi="宋体" w:eastAsia="宋体" w:cs="宋体"/>
      </w:rPr>
    </w:lvl>
  </w:abstractNum>
  <w:abstractNum w:abstractNumId="50">
    <w:nsid w:val="DCD75789"/>
    <w:multiLevelType w:val="singleLevel"/>
    <w:tmpl w:val="DCD75789"/>
    <w:lvl w:ilvl="0" w:tentative="0">
      <w:start w:val="1"/>
      <w:numFmt w:val="decimal"/>
      <w:lvlText w:val="4.1.12.2.%1."/>
      <w:lvlJc w:val="left"/>
      <w:pPr>
        <w:tabs>
          <w:tab w:val="left" w:pos="420"/>
        </w:tabs>
        <w:ind w:left="425" w:leftChars="0" w:hanging="425" w:firstLineChars="0"/>
      </w:pPr>
      <w:rPr>
        <w:rFonts w:hint="default"/>
      </w:rPr>
    </w:lvl>
  </w:abstractNum>
  <w:abstractNum w:abstractNumId="51">
    <w:nsid w:val="DD3B0FFF"/>
    <w:multiLevelType w:val="singleLevel"/>
    <w:tmpl w:val="DD3B0FFF"/>
    <w:lvl w:ilvl="0" w:tentative="0">
      <w:start w:val="1"/>
      <w:numFmt w:val="decimal"/>
      <w:lvlText w:val="4.1.11.2.%1."/>
      <w:lvlJc w:val="left"/>
      <w:pPr>
        <w:tabs>
          <w:tab w:val="left" w:pos="420"/>
        </w:tabs>
        <w:ind w:left="425" w:leftChars="0" w:hanging="425" w:firstLineChars="0"/>
      </w:pPr>
      <w:rPr>
        <w:rFonts w:hint="default"/>
      </w:rPr>
    </w:lvl>
  </w:abstractNum>
  <w:abstractNum w:abstractNumId="52">
    <w:nsid w:val="E371159D"/>
    <w:multiLevelType w:val="singleLevel"/>
    <w:tmpl w:val="E371159D"/>
    <w:lvl w:ilvl="0" w:tentative="0">
      <w:start w:val="1"/>
      <w:numFmt w:val="decimal"/>
      <w:lvlText w:val="4.1.8.3.%1."/>
      <w:lvlJc w:val="left"/>
      <w:pPr>
        <w:tabs>
          <w:tab w:val="left" w:pos="420"/>
        </w:tabs>
        <w:ind w:left="425" w:leftChars="0" w:hanging="425" w:firstLineChars="0"/>
      </w:pPr>
      <w:rPr>
        <w:rFonts w:hint="default"/>
      </w:rPr>
    </w:lvl>
  </w:abstractNum>
  <w:abstractNum w:abstractNumId="53">
    <w:nsid w:val="E55B7816"/>
    <w:multiLevelType w:val="singleLevel"/>
    <w:tmpl w:val="E55B7816"/>
    <w:lvl w:ilvl="0" w:tentative="0">
      <w:start w:val="1"/>
      <w:numFmt w:val="decimal"/>
      <w:lvlText w:val="4.2.23.%1."/>
      <w:lvlJc w:val="left"/>
      <w:pPr>
        <w:tabs>
          <w:tab w:val="left" w:pos="420"/>
        </w:tabs>
        <w:ind w:left="425" w:leftChars="0" w:hanging="425" w:firstLineChars="0"/>
      </w:pPr>
      <w:rPr>
        <w:rFonts w:hint="default"/>
      </w:rPr>
    </w:lvl>
  </w:abstractNum>
  <w:abstractNum w:abstractNumId="54">
    <w:nsid w:val="EBB02BDE"/>
    <w:multiLevelType w:val="singleLevel"/>
    <w:tmpl w:val="EBB02BDE"/>
    <w:lvl w:ilvl="0" w:tentative="0">
      <w:start w:val="1"/>
      <w:numFmt w:val="decimal"/>
      <w:lvlText w:val="4.1.13.1.%1."/>
      <w:lvlJc w:val="left"/>
      <w:pPr>
        <w:tabs>
          <w:tab w:val="left" w:pos="420"/>
        </w:tabs>
        <w:ind w:left="425" w:leftChars="0" w:hanging="425" w:firstLineChars="0"/>
      </w:pPr>
      <w:rPr>
        <w:rFonts w:hint="default"/>
      </w:rPr>
    </w:lvl>
  </w:abstractNum>
  <w:abstractNum w:abstractNumId="55">
    <w:nsid w:val="F115B331"/>
    <w:multiLevelType w:val="singleLevel"/>
    <w:tmpl w:val="F115B331"/>
    <w:lvl w:ilvl="0" w:tentative="0">
      <w:start w:val="1"/>
      <w:numFmt w:val="decimal"/>
      <w:lvlText w:val="4.1.9.2.3.%1."/>
      <w:lvlJc w:val="left"/>
      <w:pPr>
        <w:tabs>
          <w:tab w:val="left" w:pos="420"/>
        </w:tabs>
        <w:ind w:left="425" w:leftChars="0" w:hanging="425" w:firstLineChars="0"/>
      </w:pPr>
      <w:rPr>
        <w:rFonts w:hint="default"/>
      </w:rPr>
    </w:lvl>
  </w:abstractNum>
  <w:abstractNum w:abstractNumId="56">
    <w:nsid w:val="FA614610"/>
    <w:multiLevelType w:val="singleLevel"/>
    <w:tmpl w:val="FA614610"/>
    <w:lvl w:ilvl="0" w:tentative="0">
      <w:start w:val="1"/>
      <w:numFmt w:val="decimal"/>
      <w:lvlText w:val="5.%1."/>
      <w:lvlJc w:val="left"/>
      <w:pPr>
        <w:tabs>
          <w:tab w:val="left" w:pos="420"/>
        </w:tabs>
        <w:ind w:left="425" w:leftChars="0" w:hanging="425" w:firstLineChars="0"/>
      </w:pPr>
      <w:rPr>
        <w:rFonts w:hint="default"/>
      </w:rPr>
    </w:lvl>
  </w:abstractNum>
  <w:abstractNum w:abstractNumId="57">
    <w:nsid w:val="FEA400A8"/>
    <w:multiLevelType w:val="singleLevel"/>
    <w:tmpl w:val="FEA400A8"/>
    <w:lvl w:ilvl="0" w:tentative="0">
      <w:start w:val="1"/>
      <w:numFmt w:val="decimal"/>
      <w:lvlText w:val="4.2.28.%1."/>
      <w:lvlJc w:val="left"/>
      <w:pPr>
        <w:tabs>
          <w:tab w:val="left" w:pos="420"/>
        </w:tabs>
        <w:ind w:left="425" w:leftChars="0" w:hanging="425" w:firstLineChars="0"/>
      </w:pPr>
      <w:rPr>
        <w:rFonts w:hint="default" w:ascii="宋体" w:hAnsi="宋体" w:eastAsia="宋体" w:cs="宋体"/>
      </w:rPr>
    </w:lvl>
  </w:abstractNum>
  <w:abstractNum w:abstractNumId="58">
    <w:nsid w:val="00234E9B"/>
    <w:multiLevelType w:val="singleLevel"/>
    <w:tmpl w:val="00234E9B"/>
    <w:lvl w:ilvl="0" w:tentative="0">
      <w:start w:val="1"/>
      <w:numFmt w:val="decimal"/>
      <w:lvlText w:val="4.2.32.%1."/>
      <w:lvlJc w:val="left"/>
      <w:pPr>
        <w:tabs>
          <w:tab w:val="left" w:pos="420"/>
        </w:tabs>
        <w:ind w:left="425" w:leftChars="0" w:hanging="425" w:firstLineChars="0"/>
      </w:pPr>
      <w:rPr>
        <w:rFonts w:hint="default" w:ascii="宋体" w:hAnsi="宋体" w:eastAsia="宋体" w:cs="宋体"/>
      </w:rPr>
    </w:lvl>
  </w:abstractNum>
  <w:abstractNum w:abstractNumId="59">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60">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04CC2663"/>
    <w:multiLevelType w:val="multilevel"/>
    <w:tmpl w:val="04CC2663"/>
    <w:lvl w:ilvl="0" w:tentative="0">
      <w:start w:val="1"/>
      <w:numFmt w:val="decimal"/>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051CDC5D"/>
    <w:multiLevelType w:val="singleLevel"/>
    <w:tmpl w:val="051CDC5D"/>
    <w:lvl w:ilvl="0" w:tentative="0">
      <w:start w:val="1"/>
      <w:numFmt w:val="decimal"/>
      <w:lvlText w:val="4.1.10.8.%1."/>
      <w:lvlJc w:val="left"/>
      <w:pPr>
        <w:tabs>
          <w:tab w:val="left" w:pos="420"/>
        </w:tabs>
        <w:ind w:left="425" w:leftChars="0" w:hanging="425" w:firstLineChars="0"/>
      </w:pPr>
      <w:rPr>
        <w:rFonts w:hint="default"/>
      </w:rPr>
    </w:lvl>
  </w:abstractNum>
  <w:abstractNum w:abstractNumId="65">
    <w:nsid w:val="05A4972A"/>
    <w:multiLevelType w:val="singleLevel"/>
    <w:tmpl w:val="05A4972A"/>
    <w:lvl w:ilvl="0" w:tentative="0">
      <w:start w:val="1"/>
      <w:numFmt w:val="decimal"/>
      <w:lvlText w:val="4.1.14.%1."/>
      <w:lvlJc w:val="left"/>
      <w:pPr>
        <w:tabs>
          <w:tab w:val="left" w:pos="420"/>
        </w:tabs>
        <w:ind w:left="425" w:leftChars="0" w:hanging="425" w:firstLineChars="0"/>
      </w:pPr>
      <w:rPr>
        <w:rFonts w:hint="default"/>
      </w:rPr>
    </w:lvl>
  </w:abstractNum>
  <w:abstractNum w:abstractNumId="66">
    <w:nsid w:val="05C6F230"/>
    <w:multiLevelType w:val="singleLevel"/>
    <w:tmpl w:val="05C6F230"/>
    <w:lvl w:ilvl="0" w:tentative="0">
      <w:start w:val="1"/>
      <w:numFmt w:val="decimal"/>
      <w:lvlText w:val="4.2.27.12.%1."/>
      <w:lvlJc w:val="left"/>
      <w:pPr>
        <w:tabs>
          <w:tab w:val="left" w:pos="420"/>
        </w:tabs>
        <w:ind w:left="425" w:leftChars="0" w:hanging="425" w:firstLineChars="0"/>
      </w:pPr>
      <w:rPr>
        <w:rFonts w:hint="default"/>
      </w:rPr>
    </w:lvl>
  </w:abstractNum>
  <w:abstractNum w:abstractNumId="67">
    <w:nsid w:val="066FBA08"/>
    <w:multiLevelType w:val="singleLevel"/>
    <w:tmpl w:val="066FBA08"/>
    <w:lvl w:ilvl="0" w:tentative="0">
      <w:start w:val="1"/>
      <w:numFmt w:val="decimal"/>
      <w:lvlText w:val="4.1.11.%1."/>
      <w:lvlJc w:val="left"/>
      <w:pPr>
        <w:tabs>
          <w:tab w:val="left" w:pos="420"/>
        </w:tabs>
        <w:ind w:left="425" w:leftChars="0" w:hanging="425" w:firstLineChars="0"/>
      </w:pPr>
      <w:rPr>
        <w:rFonts w:hint="default"/>
      </w:rPr>
    </w:lvl>
  </w:abstractNum>
  <w:abstractNum w:abstractNumId="68">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69">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0A81B174"/>
    <w:multiLevelType w:val="singleLevel"/>
    <w:tmpl w:val="0A81B174"/>
    <w:lvl w:ilvl="0" w:tentative="0">
      <w:start w:val="1"/>
      <w:numFmt w:val="decimal"/>
      <w:lvlText w:val="4.1.14.1.%1."/>
      <w:lvlJc w:val="left"/>
      <w:pPr>
        <w:tabs>
          <w:tab w:val="left" w:pos="420"/>
        </w:tabs>
        <w:ind w:left="425" w:leftChars="0" w:hanging="425" w:firstLineChars="0"/>
      </w:pPr>
      <w:rPr>
        <w:rFonts w:hint="default"/>
      </w:rPr>
    </w:lvl>
  </w:abstractNum>
  <w:abstractNum w:abstractNumId="71">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74">
    <w:nsid w:val="11351364"/>
    <w:multiLevelType w:val="singleLevel"/>
    <w:tmpl w:val="11351364"/>
    <w:lvl w:ilvl="0" w:tentative="0">
      <w:start w:val="1"/>
      <w:numFmt w:val="decimal"/>
      <w:lvlText w:val="4.2.15.5.%1."/>
      <w:lvlJc w:val="left"/>
      <w:pPr>
        <w:tabs>
          <w:tab w:val="left" w:pos="420"/>
        </w:tabs>
        <w:ind w:left="425" w:leftChars="0" w:hanging="425" w:firstLineChars="0"/>
      </w:pPr>
      <w:rPr>
        <w:rFonts w:hint="default"/>
      </w:rPr>
    </w:lvl>
  </w:abstractNum>
  <w:abstractNum w:abstractNumId="75">
    <w:nsid w:val="1189CD9F"/>
    <w:multiLevelType w:val="singleLevel"/>
    <w:tmpl w:val="1189CD9F"/>
    <w:lvl w:ilvl="0" w:tentative="0">
      <w:start w:val="1"/>
      <w:numFmt w:val="decimal"/>
      <w:lvlText w:val="4.2.33.20.%1."/>
      <w:lvlJc w:val="left"/>
      <w:pPr>
        <w:tabs>
          <w:tab w:val="left" w:pos="420"/>
        </w:tabs>
        <w:ind w:left="425" w:leftChars="0" w:hanging="425" w:firstLineChars="0"/>
      </w:pPr>
      <w:rPr>
        <w:rFonts w:hint="default"/>
      </w:rPr>
    </w:lvl>
  </w:abstractNum>
  <w:abstractNum w:abstractNumId="76">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1330DE41"/>
    <w:multiLevelType w:val="singleLevel"/>
    <w:tmpl w:val="1330DE41"/>
    <w:lvl w:ilvl="0" w:tentative="0">
      <w:start w:val="1"/>
      <w:numFmt w:val="decimal"/>
      <w:lvlText w:val="4.2.34.%1."/>
      <w:lvlJc w:val="left"/>
      <w:pPr>
        <w:tabs>
          <w:tab w:val="left" w:pos="420"/>
        </w:tabs>
        <w:ind w:left="425" w:leftChars="0" w:hanging="425" w:firstLineChars="0"/>
      </w:pPr>
      <w:rPr>
        <w:rFonts w:hint="default" w:ascii="宋体" w:hAnsi="宋体" w:eastAsia="宋体" w:cs="宋体"/>
      </w:rPr>
    </w:lvl>
  </w:abstractNum>
  <w:abstractNum w:abstractNumId="78">
    <w:nsid w:val="1383955E"/>
    <w:multiLevelType w:val="singleLevel"/>
    <w:tmpl w:val="1383955E"/>
    <w:lvl w:ilvl="0" w:tentative="0">
      <w:start w:val="1"/>
      <w:numFmt w:val="decimal"/>
      <w:lvlText w:val="4.1.20.%1."/>
      <w:lvlJc w:val="left"/>
      <w:pPr>
        <w:tabs>
          <w:tab w:val="left" w:pos="420"/>
        </w:tabs>
        <w:ind w:left="425" w:leftChars="0" w:hanging="425" w:firstLineChars="0"/>
      </w:pPr>
      <w:rPr>
        <w:rFonts w:hint="default"/>
      </w:rPr>
    </w:lvl>
  </w:abstractNum>
  <w:abstractNum w:abstractNumId="79">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81">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82">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3">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4">
    <w:nsid w:val="18EF3B60"/>
    <w:multiLevelType w:val="singleLevel"/>
    <w:tmpl w:val="18EF3B60"/>
    <w:lvl w:ilvl="0" w:tentative="0">
      <w:start w:val="1"/>
      <w:numFmt w:val="decimal"/>
      <w:lvlText w:val="4.1.15.2.%1."/>
      <w:lvlJc w:val="left"/>
      <w:pPr>
        <w:tabs>
          <w:tab w:val="left" w:pos="420"/>
        </w:tabs>
        <w:ind w:left="425" w:leftChars="0" w:hanging="425" w:firstLineChars="0"/>
      </w:pPr>
      <w:rPr>
        <w:rFonts w:hint="default"/>
      </w:rPr>
    </w:lvl>
  </w:abstractNum>
  <w:abstractNum w:abstractNumId="85">
    <w:nsid w:val="1BF21A9B"/>
    <w:multiLevelType w:val="singleLevel"/>
    <w:tmpl w:val="1BF21A9B"/>
    <w:lvl w:ilvl="0" w:tentative="0">
      <w:start w:val="1"/>
      <w:numFmt w:val="decimal"/>
      <w:lvlText w:val="4.2.26.%1."/>
      <w:lvlJc w:val="left"/>
      <w:pPr>
        <w:tabs>
          <w:tab w:val="left" w:pos="420"/>
        </w:tabs>
        <w:ind w:left="425" w:leftChars="0" w:hanging="425" w:firstLineChars="0"/>
      </w:pPr>
      <w:rPr>
        <w:rFonts w:hint="default"/>
      </w:rPr>
    </w:lvl>
  </w:abstractNum>
  <w:abstractNum w:abstractNumId="86">
    <w:nsid w:val="1F555C1D"/>
    <w:multiLevelType w:val="singleLevel"/>
    <w:tmpl w:val="1F555C1D"/>
    <w:lvl w:ilvl="0" w:tentative="0">
      <w:start w:val="1"/>
      <w:numFmt w:val="decimal"/>
      <w:lvlText w:val="4.1.17.%1."/>
      <w:lvlJc w:val="left"/>
      <w:pPr>
        <w:tabs>
          <w:tab w:val="left" w:pos="420"/>
        </w:tabs>
        <w:ind w:left="425" w:leftChars="0" w:hanging="425" w:firstLineChars="0"/>
      </w:pPr>
      <w:rPr>
        <w:rFonts w:hint="default"/>
      </w:rPr>
    </w:lvl>
  </w:abstractNum>
  <w:abstractNum w:abstractNumId="87">
    <w:nsid w:val="1F6C0664"/>
    <w:multiLevelType w:val="singleLevel"/>
    <w:tmpl w:val="1F6C0664"/>
    <w:lvl w:ilvl="0" w:tentative="0">
      <w:start w:val="1"/>
      <w:numFmt w:val="decimal"/>
      <w:lvlText w:val="4.1.9.%1."/>
      <w:lvlJc w:val="left"/>
      <w:pPr>
        <w:tabs>
          <w:tab w:val="left" w:pos="420"/>
        </w:tabs>
        <w:ind w:left="425" w:leftChars="0" w:hanging="425" w:firstLineChars="0"/>
      </w:pPr>
      <w:rPr>
        <w:rFonts w:hint="default"/>
      </w:rPr>
    </w:lvl>
  </w:abstractNum>
  <w:abstractNum w:abstractNumId="88">
    <w:nsid w:val="22067FA2"/>
    <w:multiLevelType w:val="multilevel"/>
    <w:tmpl w:val="22067FA2"/>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default" w:ascii="Arial" w:hAnsi="Arial" w:cs="Arial"/>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9">
    <w:nsid w:val="22A88D4C"/>
    <w:multiLevelType w:val="singleLevel"/>
    <w:tmpl w:val="22A88D4C"/>
    <w:lvl w:ilvl="0" w:tentative="0">
      <w:start w:val="1"/>
      <w:numFmt w:val="decimal"/>
      <w:lvlText w:val="4.2.22.%1."/>
      <w:lvlJc w:val="left"/>
      <w:pPr>
        <w:tabs>
          <w:tab w:val="left" w:pos="420"/>
        </w:tabs>
        <w:ind w:left="425" w:leftChars="0" w:hanging="425" w:firstLineChars="0"/>
      </w:pPr>
      <w:rPr>
        <w:rFonts w:hint="default"/>
      </w:rPr>
    </w:lvl>
  </w:abstractNum>
  <w:abstractNum w:abstractNumId="90">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91">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2">
    <w:nsid w:val="2553B81D"/>
    <w:multiLevelType w:val="singleLevel"/>
    <w:tmpl w:val="2553B81D"/>
    <w:lvl w:ilvl="0" w:tentative="0">
      <w:start w:val="1"/>
      <w:numFmt w:val="decimal"/>
      <w:lvlText w:val="4.2.36.%1."/>
      <w:lvlJc w:val="left"/>
      <w:pPr>
        <w:tabs>
          <w:tab w:val="left" w:pos="420"/>
        </w:tabs>
        <w:ind w:left="425" w:leftChars="0" w:hanging="425" w:firstLineChars="0"/>
      </w:pPr>
      <w:rPr>
        <w:rFonts w:hint="default" w:ascii="宋体" w:hAnsi="宋体" w:eastAsia="宋体" w:cs="宋体"/>
      </w:rPr>
    </w:lvl>
  </w:abstractNum>
  <w:abstractNum w:abstractNumId="93">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94">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95">
    <w:nsid w:val="2802263A"/>
    <w:multiLevelType w:val="singleLevel"/>
    <w:tmpl w:val="2802263A"/>
    <w:lvl w:ilvl="0" w:tentative="0">
      <w:start w:val="1"/>
      <w:numFmt w:val="decimal"/>
      <w:lvlText w:val="4.2.34.2.2.%1."/>
      <w:lvlJc w:val="left"/>
      <w:pPr>
        <w:tabs>
          <w:tab w:val="left" w:pos="420"/>
        </w:tabs>
        <w:ind w:left="425" w:leftChars="0" w:hanging="425" w:firstLineChars="0"/>
      </w:pPr>
      <w:rPr>
        <w:rFonts w:hint="default" w:ascii="宋体" w:hAnsi="宋体" w:eastAsia="宋体" w:cs="宋体"/>
      </w:rPr>
    </w:lvl>
  </w:abstractNum>
  <w:abstractNum w:abstractNumId="96">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7">
    <w:nsid w:val="2854C008"/>
    <w:multiLevelType w:val="singleLevel"/>
    <w:tmpl w:val="2854C008"/>
    <w:lvl w:ilvl="0" w:tentative="0">
      <w:start w:val="1"/>
      <w:numFmt w:val="decimal"/>
      <w:lvlText w:val="4.1.3.3.1.%1."/>
      <w:lvlJc w:val="left"/>
      <w:pPr>
        <w:tabs>
          <w:tab w:val="left" w:pos="420"/>
        </w:tabs>
        <w:ind w:left="425" w:leftChars="0" w:hanging="425" w:firstLineChars="0"/>
      </w:pPr>
      <w:rPr>
        <w:rFonts w:hint="default"/>
      </w:rPr>
    </w:lvl>
  </w:abstractNum>
  <w:abstractNum w:abstractNumId="98">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99">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0">
    <w:nsid w:val="2991C16A"/>
    <w:multiLevelType w:val="singleLevel"/>
    <w:tmpl w:val="2991C16A"/>
    <w:lvl w:ilvl="0" w:tentative="0">
      <w:start w:val="1"/>
      <w:numFmt w:val="decimal"/>
      <w:lvlText w:val="4.1.9.2.1.%1."/>
      <w:lvlJc w:val="left"/>
      <w:pPr>
        <w:tabs>
          <w:tab w:val="left" w:pos="420"/>
        </w:tabs>
        <w:ind w:left="425" w:leftChars="0" w:hanging="425" w:firstLineChars="0"/>
      </w:pPr>
      <w:rPr>
        <w:rFonts w:hint="default"/>
      </w:rPr>
    </w:lvl>
  </w:abstractNum>
  <w:abstractNum w:abstractNumId="101">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2">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3">
    <w:nsid w:val="2D20BD7B"/>
    <w:multiLevelType w:val="singleLevel"/>
    <w:tmpl w:val="2D20BD7B"/>
    <w:lvl w:ilvl="0" w:tentative="0">
      <w:start w:val="1"/>
      <w:numFmt w:val="decimal"/>
      <w:lvlText w:val="4.2.11.%1."/>
      <w:lvlJc w:val="left"/>
      <w:pPr>
        <w:tabs>
          <w:tab w:val="left" w:pos="420"/>
        </w:tabs>
        <w:ind w:left="425" w:leftChars="0" w:hanging="425" w:firstLineChars="0"/>
      </w:pPr>
      <w:rPr>
        <w:rFonts w:hint="default"/>
      </w:rPr>
    </w:lvl>
  </w:abstractNum>
  <w:abstractNum w:abstractNumId="104">
    <w:nsid w:val="2D4CE642"/>
    <w:multiLevelType w:val="singleLevel"/>
    <w:tmpl w:val="2D4CE642"/>
    <w:lvl w:ilvl="0" w:tentative="0">
      <w:start w:val="1"/>
      <w:numFmt w:val="decimal"/>
      <w:lvlText w:val="4.1.13.%1."/>
      <w:lvlJc w:val="left"/>
      <w:pPr>
        <w:tabs>
          <w:tab w:val="left" w:pos="420"/>
        </w:tabs>
        <w:ind w:left="425" w:leftChars="0" w:hanging="425" w:firstLineChars="0"/>
      </w:pPr>
      <w:rPr>
        <w:rFonts w:hint="default"/>
      </w:rPr>
    </w:lvl>
  </w:abstractNum>
  <w:abstractNum w:abstractNumId="105">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06">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7">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8">
    <w:nsid w:val="2F43A24A"/>
    <w:multiLevelType w:val="singleLevel"/>
    <w:tmpl w:val="2F43A24A"/>
    <w:lvl w:ilvl="0" w:tentative="0">
      <w:start w:val="1"/>
      <w:numFmt w:val="decimal"/>
      <w:lvlText w:val="4.2.8.%1."/>
      <w:lvlJc w:val="left"/>
      <w:pPr>
        <w:tabs>
          <w:tab w:val="left" w:pos="420"/>
        </w:tabs>
        <w:ind w:left="425" w:leftChars="0" w:hanging="425" w:firstLineChars="0"/>
      </w:pPr>
      <w:rPr>
        <w:rFonts w:hint="default"/>
      </w:rPr>
    </w:lvl>
  </w:abstractNum>
  <w:abstractNum w:abstractNumId="109">
    <w:nsid w:val="2FA31752"/>
    <w:multiLevelType w:val="singleLevel"/>
    <w:tmpl w:val="2FA31752"/>
    <w:lvl w:ilvl="0" w:tentative="0">
      <w:start w:val="1"/>
      <w:numFmt w:val="decimal"/>
      <w:lvlText w:val="4.2.21.%1."/>
      <w:lvlJc w:val="left"/>
      <w:pPr>
        <w:tabs>
          <w:tab w:val="left" w:pos="420"/>
        </w:tabs>
        <w:ind w:left="425" w:leftChars="0" w:hanging="425" w:firstLineChars="0"/>
      </w:pPr>
      <w:rPr>
        <w:rFonts w:hint="default"/>
      </w:rPr>
    </w:lvl>
  </w:abstractNum>
  <w:abstractNum w:abstractNumId="110">
    <w:nsid w:val="30B2DB5C"/>
    <w:multiLevelType w:val="singleLevel"/>
    <w:tmpl w:val="30B2DB5C"/>
    <w:lvl w:ilvl="0" w:tentative="0">
      <w:start w:val="1"/>
      <w:numFmt w:val="decimal"/>
      <w:lvlText w:val="4.1.3.1.%1."/>
      <w:lvlJc w:val="left"/>
      <w:pPr>
        <w:tabs>
          <w:tab w:val="left" w:pos="420"/>
        </w:tabs>
        <w:ind w:left="425" w:leftChars="0" w:hanging="425" w:firstLineChars="0"/>
      </w:pPr>
      <w:rPr>
        <w:rFonts w:hint="default"/>
      </w:rPr>
    </w:lvl>
  </w:abstractNum>
  <w:abstractNum w:abstractNumId="111">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2">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13">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4">
    <w:nsid w:val="336853BA"/>
    <w:multiLevelType w:val="multilevel"/>
    <w:tmpl w:val="336853BA"/>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5">
    <w:nsid w:val="33ECFECE"/>
    <w:multiLevelType w:val="singleLevel"/>
    <w:tmpl w:val="33ECFECE"/>
    <w:lvl w:ilvl="0" w:tentative="0">
      <w:start w:val="1"/>
      <w:numFmt w:val="decimal"/>
      <w:lvlText w:val="4.1.16.%1."/>
      <w:lvlJc w:val="left"/>
      <w:pPr>
        <w:tabs>
          <w:tab w:val="left" w:pos="420"/>
        </w:tabs>
        <w:ind w:left="425" w:leftChars="0" w:hanging="425" w:firstLineChars="0"/>
      </w:pPr>
      <w:rPr>
        <w:rFonts w:hint="default"/>
      </w:rPr>
    </w:lvl>
  </w:abstractNum>
  <w:abstractNum w:abstractNumId="116">
    <w:nsid w:val="34B6C426"/>
    <w:multiLevelType w:val="singleLevel"/>
    <w:tmpl w:val="34B6C426"/>
    <w:lvl w:ilvl="0" w:tentative="0">
      <w:start w:val="1"/>
      <w:numFmt w:val="decimal"/>
      <w:lvlText w:val="4.1.4.2.%1."/>
      <w:lvlJc w:val="left"/>
      <w:pPr>
        <w:tabs>
          <w:tab w:val="left" w:pos="420"/>
        </w:tabs>
        <w:ind w:left="425" w:leftChars="0" w:hanging="425" w:firstLineChars="0"/>
      </w:pPr>
      <w:rPr>
        <w:rFonts w:hint="default"/>
      </w:rPr>
    </w:lvl>
  </w:abstractNum>
  <w:abstractNum w:abstractNumId="117">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8">
    <w:nsid w:val="355922BB"/>
    <w:multiLevelType w:val="singleLevel"/>
    <w:tmpl w:val="355922BB"/>
    <w:lvl w:ilvl="0" w:tentative="0">
      <w:start w:val="1"/>
      <w:numFmt w:val="decimal"/>
      <w:lvlText w:val="4.1.15.%1."/>
      <w:lvlJc w:val="left"/>
      <w:pPr>
        <w:tabs>
          <w:tab w:val="left" w:pos="420"/>
        </w:tabs>
        <w:ind w:left="425" w:leftChars="0" w:hanging="425" w:firstLineChars="0"/>
      </w:pPr>
      <w:rPr>
        <w:rFonts w:hint="default"/>
      </w:rPr>
    </w:lvl>
  </w:abstractNum>
  <w:abstractNum w:abstractNumId="119">
    <w:nsid w:val="3598FE54"/>
    <w:multiLevelType w:val="singleLevel"/>
    <w:tmpl w:val="3598FE54"/>
    <w:lvl w:ilvl="0" w:tentative="0">
      <w:start w:val="1"/>
      <w:numFmt w:val="decimal"/>
      <w:lvlText w:val="4.1.13.3.%1."/>
      <w:lvlJc w:val="left"/>
      <w:pPr>
        <w:tabs>
          <w:tab w:val="left" w:pos="420"/>
        </w:tabs>
        <w:ind w:left="425" w:leftChars="0" w:hanging="425" w:firstLineChars="0"/>
      </w:pPr>
      <w:rPr>
        <w:rFonts w:hint="default"/>
      </w:rPr>
    </w:lvl>
  </w:abstractNum>
  <w:abstractNum w:abstractNumId="120">
    <w:nsid w:val="36C1E99E"/>
    <w:multiLevelType w:val="singleLevel"/>
    <w:tmpl w:val="36C1E99E"/>
    <w:lvl w:ilvl="0" w:tentative="0">
      <w:start w:val="1"/>
      <w:numFmt w:val="decimal"/>
      <w:lvlText w:val="4.1.2.2.%1."/>
      <w:lvlJc w:val="left"/>
      <w:pPr>
        <w:tabs>
          <w:tab w:val="left" w:pos="420"/>
        </w:tabs>
        <w:ind w:left="425" w:leftChars="0" w:hanging="425" w:firstLineChars="0"/>
      </w:pPr>
      <w:rPr>
        <w:rFonts w:hint="default"/>
      </w:rPr>
    </w:lvl>
  </w:abstractNum>
  <w:abstractNum w:abstractNumId="121">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2">
    <w:nsid w:val="38148D9D"/>
    <w:multiLevelType w:val="singleLevel"/>
    <w:tmpl w:val="38148D9D"/>
    <w:lvl w:ilvl="0" w:tentative="0">
      <w:start w:val="1"/>
      <w:numFmt w:val="decimal"/>
      <w:lvlText w:val="4.1.5.3.%1."/>
      <w:lvlJc w:val="left"/>
      <w:pPr>
        <w:tabs>
          <w:tab w:val="left" w:pos="420"/>
        </w:tabs>
        <w:ind w:left="425" w:leftChars="0" w:hanging="425" w:firstLineChars="0"/>
      </w:pPr>
      <w:rPr>
        <w:rFonts w:hint="default"/>
      </w:rPr>
    </w:lvl>
  </w:abstractNum>
  <w:abstractNum w:abstractNumId="123">
    <w:nsid w:val="38CCD061"/>
    <w:multiLevelType w:val="singleLevel"/>
    <w:tmpl w:val="38CCD061"/>
    <w:lvl w:ilvl="0" w:tentative="0">
      <w:start w:val="1"/>
      <w:numFmt w:val="decimal"/>
      <w:lvlText w:val="4.2.34.2.%1."/>
      <w:lvlJc w:val="left"/>
      <w:pPr>
        <w:tabs>
          <w:tab w:val="left" w:pos="420"/>
        </w:tabs>
        <w:ind w:left="425" w:leftChars="0" w:hanging="425" w:firstLineChars="0"/>
      </w:pPr>
      <w:rPr>
        <w:rFonts w:hint="default" w:ascii="宋体" w:hAnsi="宋体" w:eastAsia="宋体" w:cs="宋体"/>
      </w:rPr>
    </w:lvl>
  </w:abstractNum>
  <w:abstractNum w:abstractNumId="124">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5">
    <w:nsid w:val="3A2D3188"/>
    <w:multiLevelType w:val="singleLevel"/>
    <w:tmpl w:val="3A2D3188"/>
    <w:lvl w:ilvl="0" w:tentative="0">
      <w:start w:val="1"/>
      <w:numFmt w:val="decimal"/>
      <w:lvlText w:val="4.1.16.3.%1."/>
      <w:lvlJc w:val="left"/>
      <w:pPr>
        <w:tabs>
          <w:tab w:val="left" w:pos="420"/>
        </w:tabs>
        <w:ind w:left="425" w:leftChars="0" w:hanging="425" w:firstLineChars="0"/>
      </w:pPr>
      <w:rPr>
        <w:rFonts w:hint="default"/>
      </w:rPr>
    </w:lvl>
  </w:abstractNum>
  <w:abstractNum w:abstractNumId="126">
    <w:nsid w:val="3C221C2E"/>
    <w:multiLevelType w:val="singleLevel"/>
    <w:tmpl w:val="3C221C2E"/>
    <w:lvl w:ilvl="0" w:tentative="0">
      <w:start w:val="1"/>
      <w:numFmt w:val="decimal"/>
      <w:lvlText w:val="4.1.19.%1."/>
      <w:lvlJc w:val="left"/>
      <w:pPr>
        <w:tabs>
          <w:tab w:val="left" w:pos="420"/>
        </w:tabs>
        <w:ind w:left="425" w:leftChars="0" w:hanging="425" w:firstLineChars="0"/>
      </w:pPr>
      <w:rPr>
        <w:rFonts w:hint="default"/>
      </w:rPr>
    </w:lvl>
  </w:abstractNum>
  <w:abstractNum w:abstractNumId="127">
    <w:nsid w:val="3D31AFBC"/>
    <w:multiLevelType w:val="singleLevel"/>
    <w:tmpl w:val="3D31AFBC"/>
    <w:lvl w:ilvl="0" w:tentative="0">
      <w:start w:val="1"/>
      <w:numFmt w:val="decimal"/>
      <w:lvlText w:val="4.2.29.%1."/>
      <w:lvlJc w:val="left"/>
      <w:pPr>
        <w:tabs>
          <w:tab w:val="left" w:pos="420"/>
        </w:tabs>
        <w:ind w:left="425" w:leftChars="0" w:hanging="425" w:firstLineChars="0"/>
      </w:pPr>
      <w:rPr>
        <w:rFonts w:hint="default" w:ascii="宋体" w:hAnsi="宋体" w:eastAsia="宋体" w:cs="宋体"/>
      </w:rPr>
    </w:lvl>
  </w:abstractNum>
  <w:abstractNum w:abstractNumId="128">
    <w:nsid w:val="3DCA4B47"/>
    <w:multiLevelType w:val="singleLevel"/>
    <w:tmpl w:val="3DCA4B47"/>
    <w:lvl w:ilvl="0" w:tentative="0">
      <w:start w:val="1"/>
      <w:numFmt w:val="decimal"/>
      <w:lvlText w:val="4.1.15.4.%1."/>
      <w:lvlJc w:val="left"/>
      <w:pPr>
        <w:tabs>
          <w:tab w:val="left" w:pos="420"/>
        </w:tabs>
        <w:ind w:left="425" w:leftChars="0" w:hanging="425" w:firstLineChars="0"/>
      </w:pPr>
      <w:rPr>
        <w:rFonts w:hint="default"/>
      </w:rPr>
    </w:lvl>
  </w:abstractNum>
  <w:abstractNum w:abstractNumId="129">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0">
    <w:nsid w:val="3E645068"/>
    <w:multiLevelType w:val="singleLevel"/>
    <w:tmpl w:val="3E645068"/>
    <w:lvl w:ilvl="0" w:tentative="0">
      <w:start w:val="1"/>
      <w:numFmt w:val="decimal"/>
      <w:lvlText w:val="4.2.10.%1."/>
      <w:lvlJc w:val="left"/>
      <w:pPr>
        <w:tabs>
          <w:tab w:val="left" w:pos="420"/>
        </w:tabs>
        <w:ind w:left="425" w:leftChars="0" w:hanging="425" w:firstLineChars="0"/>
      </w:pPr>
      <w:rPr>
        <w:rFonts w:hint="default"/>
      </w:rPr>
    </w:lvl>
  </w:abstractNum>
  <w:abstractNum w:abstractNumId="131">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132">
    <w:nsid w:val="402E84B5"/>
    <w:multiLevelType w:val="singleLevel"/>
    <w:tmpl w:val="402E84B5"/>
    <w:lvl w:ilvl="0" w:tentative="0">
      <w:start w:val="1"/>
      <w:numFmt w:val="decimal"/>
      <w:lvlText w:val="4.2.20.%1."/>
      <w:lvlJc w:val="left"/>
      <w:pPr>
        <w:tabs>
          <w:tab w:val="left" w:pos="420"/>
        </w:tabs>
        <w:ind w:left="425" w:leftChars="0" w:hanging="425" w:firstLineChars="0"/>
      </w:pPr>
      <w:rPr>
        <w:rFonts w:hint="default"/>
      </w:rPr>
    </w:lvl>
  </w:abstractNum>
  <w:abstractNum w:abstractNumId="133">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34">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35">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6">
    <w:nsid w:val="4451887B"/>
    <w:multiLevelType w:val="singleLevel"/>
    <w:tmpl w:val="4451887B"/>
    <w:lvl w:ilvl="0" w:tentative="0">
      <w:start w:val="1"/>
      <w:numFmt w:val="decimal"/>
      <w:lvlText w:val="4.1.7.%1."/>
      <w:lvlJc w:val="left"/>
      <w:pPr>
        <w:tabs>
          <w:tab w:val="left" w:pos="420"/>
        </w:tabs>
        <w:ind w:left="425" w:leftChars="0" w:hanging="425" w:firstLineChars="0"/>
      </w:pPr>
      <w:rPr>
        <w:rFonts w:hint="default"/>
      </w:rPr>
    </w:lvl>
  </w:abstractNum>
  <w:abstractNum w:abstractNumId="137">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8">
    <w:nsid w:val="44C6C7BF"/>
    <w:multiLevelType w:val="singleLevel"/>
    <w:tmpl w:val="44C6C7BF"/>
    <w:lvl w:ilvl="0" w:tentative="0">
      <w:start w:val="1"/>
      <w:numFmt w:val="decimal"/>
      <w:lvlText w:val="4.1.4.%1."/>
      <w:lvlJc w:val="left"/>
      <w:pPr>
        <w:tabs>
          <w:tab w:val="left" w:pos="420"/>
        </w:tabs>
        <w:ind w:left="425" w:leftChars="0" w:hanging="425" w:firstLineChars="0"/>
      </w:pPr>
      <w:rPr>
        <w:rFonts w:hint="default"/>
      </w:rPr>
    </w:lvl>
  </w:abstractNum>
  <w:abstractNum w:abstractNumId="139">
    <w:nsid w:val="4567563F"/>
    <w:multiLevelType w:val="multilevel"/>
    <w:tmpl w:val="4567563F"/>
    <w:lvl w:ilvl="0" w:tentative="0">
      <w:start w:val="1"/>
      <w:numFmt w:val="decimal"/>
      <w:lvlText w:val="17.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40">
    <w:nsid w:val="473256FB"/>
    <w:multiLevelType w:val="singleLevel"/>
    <w:tmpl w:val="473256FB"/>
    <w:lvl w:ilvl="0" w:tentative="0">
      <w:start w:val="1"/>
      <w:numFmt w:val="decimal"/>
      <w:lvlText w:val="4.1.16.2.%1."/>
      <w:lvlJc w:val="left"/>
      <w:pPr>
        <w:tabs>
          <w:tab w:val="left" w:pos="420"/>
        </w:tabs>
        <w:ind w:left="425" w:leftChars="0" w:hanging="425" w:firstLineChars="0"/>
      </w:pPr>
      <w:rPr>
        <w:rFonts w:hint="default"/>
      </w:rPr>
    </w:lvl>
  </w:abstractNum>
  <w:abstractNum w:abstractNumId="141">
    <w:nsid w:val="474FBF92"/>
    <w:multiLevelType w:val="singleLevel"/>
    <w:tmpl w:val="474FBF92"/>
    <w:lvl w:ilvl="0" w:tentative="0">
      <w:start w:val="1"/>
      <w:numFmt w:val="decimal"/>
      <w:lvlText w:val="4.1.9.1.%1."/>
      <w:lvlJc w:val="left"/>
      <w:pPr>
        <w:tabs>
          <w:tab w:val="left" w:pos="420"/>
        </w:tabs>
        <w:ind w:left="425" w:leftChars="0" w:hanging="425" w:firstLineChars="0"/>
      </w:pPr>
      <w:rPr>
        <w:rFonts w:hint="default"/>
      </w:rPr>
    </w:lvl>
  </w:abstractNum>
  <w:abstractNum w:abstractNumId="142">
    <w:nsid w:val="475A1545"/>
    <w:multiLevelType w:val="multilevel"/>
    <w:tmpl w:val="475A1545"/>
    <w:lvl w:ilvl="0" w:tentative="0">
      <w:start w:val="1"/>
      <w:numFmt w:val="decimal"/>
      <w:lvlText w:val="17.8.%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43">
    <w:nsid w:val="487B4930"/>
    <w:multiLevelType w:val="multilevel"/>
    <w:tmpl w:val="487B4930"/>
    <w:lvl w:ilvl="0" w:tentative="0">
      <w:start w:val="1"/>
      <w:numFmt w:val="decimal"/>
      <w:lvlText w:val="4.2.%1."/>
      <w:lvlJc w:val="left"/>
      <w:pPr>
        <w:ind w:left="567" w:hanging="420"/>
      </w:pPr>
      <w:rPr>
        <w:rFonts w:hint="default" w:eastAsia="仿宋_GB2312" w:asciiTheme="majorHAnsi" w:hAnsiTheme="maj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4">
    <w:nsid w:val="48F784CB"/>
    <w:multiLevelType w:val="singleLevel"/>
    <w:tmpl w:val="48F784CB"/>
    <w:lvl w:ilvl="0" w:tentative="0">
      <w:start w:val="1"/>
      <w:numFmt w:val="decimal"/>
      <w:lvlText w:val="4.1.1.1.%1."/>
      <w:lvlJc w:val="left"/>
      <w:pPr>
        <w:tabs>
          <w:tab w:val="left" w:pos="420"/>
        </w:tabs>
        <w:ind w:left="425" w:leftChars="0" w:hanging="425" w:firstLineChars="0"/>
      </w:pPr>
      <w:rPr>
        <w:rFonts w:hint="default"/>
      </w:rPr>
    </w:lvl>
  </w:abstractNum>
  <w:abstractNum w:abstractNumId="145">
    <w:nsid w:val="49C131F2"/>
    <w:multiLevelType w:val="multilevel"/>
    <w:tmpl w:val="49C131F2"/>
    <w:lvl w:ilvl="0" w:tentative="0">
      <w:start w:val="1"/>
      <w:numFmt w:val="decimal"/>
      <w:lvlText w:val="1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6">
    <w:nsid w:val="4C57A079"/>
    <w:multiLevelType w:val="singleLevel"/>
    <w:tmpl w:val="4C57A079"/>
    <w:lvl w:ilvl="0" w:tentative="0">
      <w:start w:val="1"/>
      <w:numFmt w:val="decimal"/>
      <w:lvlText w:val="4.2.33.%1."/>
      <w:lvlJc w:val="left"/>
      <w:pPr>
        <w:tabs>
          <w:tab w:val="left" w:pos="420"/>
        </w:tabs>
        <w:ind w:left="425" w:leftChars="0" w:hanging="425" w:firstLineChars="0"/>
      </w:pPr>
      <w:rPr>
        <w:rFonts w:hint="default" w:ascii="宋体" w:hAnsi="宋体" w:eastAsia="宋体" w:cs="宋体"/>
      </w:rPr>
    </w:lvl>
  </w:abstractNum>
  <w:abstractNum w:abstractNumId="147">
    <w:nsid w:val="4D2AEBB9"/>
    <w:multiLevelType w:val="singleLevel"/>
    <w:tmpl w:val="4D2AEBB9"/>
    <w:lvl w:ilvl="0" w:tentative="0">
      <w:start w:val="1"/>
      <w:numFmt w:val="decimal"/>
      <w:lvlText w:val="4.2.15.6.%1."/>
      <w:lvlJc w:val="left"/>
      <w:pPr>
        <w:tabs>
          <w:tab w:val="left" w:pos="420"/>
        </w:tabs>
        <w:ind w:left="425" w:leftChars="0" w:hanging="425" w:firstLineChars="0"/>
      </w:pPr>
      <w:rPr>
        <w:rFonts w:hint="default"/>
      </w:rPr>
    </w:lvl>
  </w:abstractNum>
  <w:abstractNum w:abstractNumId="148">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49">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0">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1">
    <w:nsid w:val="50730E22"/>
    <w:multiLevelType w:val="singleLevel"/>
    <w:tmpl w:val="50730E22"/>
    <w:lvl w:ilvl="0" w:tentative="0">
      <w:start w:val="1"/>
      <w:numFmt w:val="decimal"/>
      <w:lvlText w:val="4.2.18.%1."/>
      <w:lvlJc w:val="left"/>
      <w:pPr>
        <w:tabs>
          <w:tab w:val="left" w:pos="420"/>
        </w:tabs>
        <w:ind w:left="425" w:leftChars="0" w:hanging="425" w:firstLineChars="0"/>
      </w:pPr>
      <w:rPr>
        <w:rFonts w:hint="default"/>
      </w:rPr>
    </w:lvl>
  </w:abstractNum>
  <w:abstractNum w:abstractNumId="152">
    <w:nsid w:val="50D632E0"/>
    <w:multiLevelType w:val="singleLevel"/>
    <w:tmpl w:val="50D632E0"/>
    <w:lvl w:ilvl="0" w:tentative="0">
      <w:start w:val="1"/>
      <w:numFmt w:val="decimal"/>
      <w:lvlText w:val="4.2.34.2.4.%1."/>
      <w:lvlJc w:val="left"/>
      <w:pPr>
        <w:tabs>
          <w:tab w:val="left" w:pos="420"/>
        </w:tabs>
        <w:ind w:left="425" w:leftChars="0" w:hanging="425" w:firstLineChars="0"/>
      </w:pPr>
      <w:rPr>
        <w:rFonts w:hint="default" w:ascii="宋体" w:hAnsi="宋体" w:eastAsia="宋体" w:cs="宋体"/>
      </w:rPr>
    </w:lvl>
  </w:abstractNum>
  <w:abstractNum w:abstractNumId="153">
    <w:nsid w:val="52C391EE"/>
    <w:multiLevelType w:val="singleLevel"/>
    <w:tmpl w:val="52C391EE"/>
    <w:lvl w:ilvl="0" w:tentative="0">
      <w:start w:val="1"/>
      <w:numFmt w:val="decimal"/>
      <w:lvlText w:val="4.1.5.2.%1."/>
      <w:lvlJc w:val="left"/>
      <w:pPr>
        <w:tabs>
          <w:tab w:val="left" w:pos="420"/>
        </w:tabs>
        <w:ind w:left="425" w:leftChars="0" w:hanging="425" w:firstLineChars="0"/>
      </w:pPr>
      <w:rPr>
        <w:rFonts w:hint="default"/>
      </w:rPr>
    </w:lvl>
  </w:abstractNum>
  <w:abstractNum w:abstractNumId="154">
    <w:nsid w:val="539235E8"/>
    <w:multiLevelType w:val="singleLevel"/>
    <w:tmpl w:val="539235E8"/>
    <w:lvl w:ilvl="0" w:tentative="0">
      <w:start w:val="1"/>
      <w:numFmt w:val="decimal"/>
      <w:lvlText w:val="4.2.%1."/>
      <w:lvlJc w:val="left"/>
      <w:pPr>
        <w:tabs>
          <w:tab w:val="left" w:pos="420"/>
        </w:tabs>
        <w:ind w:left="425" w:leftChars="0" w:hanging="425" w:firstLineChars="0"/>
      </w:pPr>
      <w:rPr>
        <w:rFonts w:hint="default"/>
      </w:rPr>
    </w:lvl>
  </w:abstractNum>
  <w:abstractNum w:abstractNumId="155">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6">
    <w:nsid w:val="54E1C7AA"/>
    <w:multiLevelType w:val="singleLevel"/>
    <w:tmpl w:val="54E1C7AA"/>
    <w:lvl w:ilvl="0" w:tentative="0">
      <w:start w:val="1"/>
      <w:numFmt w:val="decimal"/>
      <w:lvlText w:val="4.2.1.%1."/>
      <w:lvlJc w:val="left"/>
      <w:pPr>
        <w:tabs>
          <w:tab w:val="left" w:pos="420"/>
        </w:tabs>
        <w:ind w:left="425" w:leftChars="0" w:hanging="425" w:firstLineChars="0"/>
      </w:pPr>
      <w:rPr>
        <w:rFonts w:hint="default"/>
      </w:rPr>
    </w:lvl>
  </w:abstractNum>
  <w:abstractNum w:abstractNumId="157">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8">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9">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0">
    <w:nsid w:val="596EC633"/>
    <w:multiLevelType w:val="singleLevel"/>
    <w:tmpl w:val="596EC633"/>
    <w:lvl w:ilvl="0" w:tentative="0">
      <w:start w:val="1"/>
      <w:numFmt w:val="decimal"/>
      <w:lvlText w:val="4.1.6.5.%1."/>
      <w:lvlJc w:val="left"/>
      <w:pPr>
        <w:tabs>
          <w:tab w:val="left" w:pos="420"/>
        </w:tabs>
        <w:ind w:left="425" w:leftChars="0" w:hanging="425" w:firstLineChars="0"/>
      </w:pPr>
      <w:rPr>
        <w:rFonts w:hint="default"/>
      </w:rPr>
    </w:lvl>
  </w:abstractNum>
  <w:abstractNum w:abstractNumId="161">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62">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63">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64">
    <w:nsid w:val="5C815913"/>
    <w:multiLevelType w:val="singleLevel"/>
    <w:tmpl w:val="5C815913"/>
    <w:lvl w:ilvl="0" w:tentative="0">
      <w:start w:val="1"/>
      <w:numFmt w:val="decimal"/>
      <w:lvlText w:val="4.2.19.%1."/>
      <w:lvlJc w:val="left"/>
      <w:pPr>
        <w:tabs>
          <w:tab w:val="left" w:pos="420"/>
        </w:tabs>
        <w:ind w:left="425" w:leftChars="0" w:hanging="425" w:firstLineChars="0"/>
      </w:pPr>
      <w:rPr>
        <w:rFonts w:hint="default"/>
      </w:rPr>
    </w:lvl>
  </w:abstractNum>
  <w:abstractNum w:abstractNumId="165">
    <w:nsid w:val="5F504802"/>
    <w:multiLevelType w:val="multilevel"/>
    <w:tmpl w:val="5F504802"/>
    <w:lvl w:ilvl="0" w:tentative="0">
      <w:start w:val="1"/>
      <w:numFmt w:val="decimal"/>
      <w:lvlText w:val="20.1.%1 "/>
      <w:lvlJc w:val="left"/>
      <w:pPr>
        <w:ind w:left="562" w:hanging="420"/>
      </w:pPr>
      <w:rPr>
        <w:rFonts w:hint="eastAsia" w:ascii="楷体" w:hAnsi="楷体" w:eastAsia="楷体"/>
        <w:b w:val="0"/>
        <w:strike w:val="0"/>
        <w:dstrike w:val="0"/>
        <w:color w:val="auto"/>
        <w:u w:val="none"/>
      </w:rPr>
    </w:lvl>
    <w:lvl w:ilvl="1" w:tentative="0">
      <w:start w:val="1"/>
      <w:numFmt w:val="lowerLetter"/>
      <w:lvlText w:val="%2)"/>
      <w:lvlJc w:val="left"/>
      <w:pPr>
        <w:ind w:left="779" w:hanging="420"/>
      </w:pPr>
    </w:lvl>
    <w:lvl w:ilvl="2" w:tentative="0">
      <w:start w:val="1"/>
      <w:numFmt w:val="lowerRoman"/>
      <w:lvlText w:val="%3."/>
      <w:lvlJc w:val="right"/>
      <w:pPr>
        <w:ind w:left="1199" w:hanging="420"/>
      </w:pPr>
    </w:lvl>
    <w:lvl w:ilvl="3" w:tentative="0">
      <w:start w:val="1"/>
      <w:numFmt w:val="decimal"/>
      <w:lvlText w:val="%4."/>
      <w:lvlJc w:val="left"/>
      <w:pPr>
        <w:ind w:left="1619" w:hanging="420"/>
      </w:pPr>
    </w:lvl>
    <w:lvl w:ilvl="4" w:tentative="0">
      <w:start w:val="1"/>
      <w:numFmt w:val="lowerLetter"/>
      <w:lvlText w:val="%5)"/>
      <w:lvlJc w:val="left"/>
      <w:pPr>
        <w:ind w:left="2039" w:hanging="420"/>
      </w:pPr>
    </w:lvl>
    <w:lvl w:ilvl="5" w:tentative="0">
      <w:start w:val="1"/>
      <w:numFmt w:val="lowerRoman"/>
      <w:lvlText w:val="%6."/>
      <w:lvlJc w:val="right"/>
      <w:pPr>
        <w:ind w:left="2459" w:hanging="420"/>
      </w:pPr>
    </w:lvl>
    <w:lvl w:ilvl="6" w:tentative="0">
      <w:start w:val="1"/>
      <w:numFmt w:val="decimal"/>
      <w:lvlText w:val="%7."/>
      <w:lvlJc w:val="left"/>
      <w:pPr>
        <w:ind w:left="2879" w:hanging="420"/>
      </w:pPr>
    </w:lvl>
    <w:lvl w:ilvl="7" w:tentative="0">
      <w:start w:val="1"/>
      <w:numFmt w:val="lowerLetter"/>
      <w:lvlText w:val="%8)"/>
      <w:lvlJc w:val="left"/>
      <w:pPr>
        <w:ind w:left="3299" w:hanging="420"/>
      </w:pPr>
    </w:lvl>
    <w:lvl w:ilvl="8" w:tentative="0">
      <w:start w:val="1"/>
      <w:numFmt w:val="lowerRoman"/>
      <w:lvlText w:val="%9."/>
      <w:lvlJc w:val="right"/>
      <w:pPr>
        <w:ind w:left="3719" w:hanging="420"/>
      </w:pPr>
    </w:lvl>
  </w:abstractNum>
  <w:abstractNum w:abstractNumId="166">
    <w:nsid w:val="6084159F"/>
    <w:multiLevelType w:val="singleLevel"/>
    <w:tmpl w:val="6084159F"/>
    <w:lvl w:ilvl="0" w:tentative="0">
      <w:start w:val="1"/>
      <w:numFmt w:val="decimal"/>
      <w:lvlText w:val="4.2.7.%1."/>
      <w:lvlJc w:val="left"/>
      <w:pPr>
        <w:tabs>
          <w:tab w:val="left" w:pos="420"/>
        </w:tabs>
        <w:ind w:left="425" w:leftChars="0" w:hanging="425" w:firstLineChars="0"/>
      </w:pPr>
      <w:rPr>
        <w:rFonts w:hint="default"/>
      </w:rPr>
    </w:lvl>
  </w:abstractNum>
  <w:abstractNum w:abstractNumId="167">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8">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69">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0">
    <w:nsid w:val="65994DFC"/>
    <w:multiLevelType w:val="singleLevel"/>
    <w:tmpl w:val="65994DFC"/>
    <w:lvl w:ilvl="0" w:tentative="0">
      <w:start w:val="1"/>
      <w:numFmt w:val="decimal"/>
      <w:lvlText w:val="4.2.15.4.%1."/>
      <w:lvlJc w:val="left"/>
      <w:pPr>
        <w:tabs>
          <w:tab w:val="left" w:pos="420"/>
        </w:tabs>
        <w:ind w:left="425" w:leftChars="0" w:hanging="425" w:firstLineChars="0"/>
      </w:pPr>
      <w:rPr>
        <w:rFonts w:hint="default"/>
      </w:rPr>
    </w:lvl>
  </w:abstractNum>
  <w:abstractNum w:abstractNumId="171">
    <w:nsid w:val="66DCB262"/>
    <w:multiLevelType w:val="singleLevel"/>
    <w:tmpl w:val="66DCB262"/>
    <w:lvl w:ilvl="0" w:tentative="0">
      <w:start w:val="1"/>
      <w:numFmt w:val="decimal"/>
      <w:lvlText w:val="4.%1."/>
      <w:lvlJc w:val="left"/>
      <w:pPr>
        <w:tabs>
          <w:tab w:val="left" w:pos="420"/>
        </w:tabs>
        <w:ind w:left="425" w:leftChars="0" w:hanging="425" w:firstLineChars="0"/>
      </w:pPr>
      <w:rPr>
        <w:rFonts w:hint="default"/>
      </w:rPr>
    </w:lvl>
  </w:abstractNum>
  <w:abstractNum w:abstractNumId="172">
    <w:nsid w:val="68BAC875"/>
    <w:multiLevelType w:val="singleLevel"/>
    <w:tmpl w:val="68BAC875"/>
    <w:lvl w:ilvl="0" w:tentative="0">
      <w:start w:val="1"/>
      <w:numFmt w:val="decimal"/>
      <w:lvlText w:val="4.2.3.%1."/>
      <w:lvlJc w:val="left"/>
      <w:pPr>
        <w:tabs>
          <w:tab w:val="left" w:pos="420"/>
        </w:tabs>
        <w:ind w:left="425" w:leftChars="0" w:hanging="425" w:firstLineChars="0"/>
      </w:pPr>
      <w:rPr>
        <w:rFonts w:hint="default"/>
      </w:rPr>
    </w:lvl>
  </w:abstractNum>
  <w:abstractNum w:abstractNumId="173">
    <w:nsid w:val="69164004"/>
    <w:multiLevelType w:val="singleLevel"/>
    <w:tmpl w:val="69164004"/>
    <w:lvl w:ilvl="0" w:tentative="0">
      <w:start w:val="1"/>
      <w:numFmt w:val="decimal"/>
      <w:lvlText w:val="4.2.12.%1."/>
      <w:lvlJc w:val="left"/>
      <w:pPr>
        <w:tabs>
          <w:tab w:val="left" w:pos="420"/>
        </w:tabs>
        <w:ind w:left="425" w:leftChars="0" w:hanging="425" w:firstLineChars="0"/>
      </w:pPr>
      <w:rPr>
        <w:rFonts w:hint="default"/>
      </w:rPr>
    </w:lvl>
  </w:abstractNum>
  <w:abstractNum w:abstractNumId="174">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5">
    <w:nsid w:val="6B819F32"/>
    <w:multiLevelType w:val="singleLevel"/>
    <w:tmpl w:val="6B819F32"/>
    <w:lvl w:ilvl="0" w:tentative="0">
      <w:start w:val="1"/>
      <w:numFmt w:val="decimal"/>
      <w:lvlText w:val="4.2.15.2.%1."/>
      <w:lvlJc w:val="left"/>
      <w:pPr>
        <w:tabs>
          <w:tab w:val="left" w:pos="420"/>
        </w:tabs>
        <w:ind w:left="425" w:leftChars="0" w:hanging="425" w:firstLineChars="0"/>
      </w:pPr>
      <w:rPr>
        <w:rFonts w:hint="default"/>
      </w:rPr>
    </w:lvl>
  </w:abstractNum>
  <w:abstractNum w:abstractNumId="176">
    <w:nsid w:val="6BAC0A09"/>
    <w:multiLevelType w:val="singleLevel"/>
    <w:tmpl w:val="6BAC0A09"/>
    <w:lvl w:ilvl="0" w:tentative="0">
      <w:start w:val="1"/>
      <w:numFmt w:val="decimal"/>
      <w:lvlText w:val="4.2.9.%1."/>
      <w:lvlJc w:val="left"/>
      <w:pPr>
        <w:tabs>
          <w:tab w:val="left" w:pos="420"/>
        </w:tabs>
        <w:ind w:left="425" w:leftChars="0" w:hanging="425" w:firstLineChars="0"/>
      </w:pPr>
      <w:rPr>
        <w:rFonts w:hint="default"/>
      </w:rPr>
    </w:lvl>
  </w:abstractNum>
  <w:abstractNum w:abstractNumId="177">
    <w:nsid w:val="6FD67A97"/>
    <w:multiLevelType w:val="singleLevel"/>
    <w:tmpl w:val="6FD67A97"/>
    <w:lvl w:ilvl="0" w:tentative="0">
      <w:start w:val="1"/>
      <w:numFmt w:val="decimal"/>
      <w:lvlText w:val="4.1.16.1.%1."/>
      <w:lvlJc w:val="left"/>
      <w:pPr>
        <w:tabs>
          <w:tab w:val="left" w:pos="420"/>
        </w:tabs>
        <w:ind w:left="425" w:leftChars="0" w:hanging="425" w:firstLineChars="0"/>
      </w:pPr>
      <w:rPr>
        <w:rFonts w:hint="default"/>
      </w:rPr>
    </w:lvl>
  </w:abstractNum>
  <w:abstractNum w:abstractNumId="178">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179">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0">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1">
    <w:nsid w:val="7174FB08"/>
    <w:multiLevelType w:val="singleLevel"/>
    <w:tmpl w:val="7174FB08"/>
    <w:lvl w:ilvl="0" w:tentative="0">
      <w:start w:val="1"/>
      <w:numFmt w:val="decimal"/>
      <w:lvlText w:val="4.1.15.1.%1."/>
      <w:lvlJc w:val="left"/>
      <w:pPr>
        <w:tabs>
          <w:tab w:val="left" w:pos="420"/>
        </w:tabs>
        <w:ind w:left="425" w:leftChars="0" w:hanging="425" w:firstLineChars="0"/>
      </w:pPr>
      <w:rPr>
        <w:rFonts w:hint="default"/>
      </w:rPr>
    </w:lvl>
  </w:abstractNum>
  <w:abstractNum w:abstractNumId="182">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183">
    <w:nsid w:val="73337FDA"/>
    <w:multiLevelType w:val="singleLevel"/>
    <w:tmpl w:val="73337FDA"/>
    <w:lvl w:ilvl="0" w:tentative="0">
      <w:start w:val="1"/>
      <w:numFmt w:val="decimal"/>
      <w:lvlText w:val="4.1.3.3.%1."/>
      <w:lvlJc w:val="left"/>
      <w:pPr>
        <w:tabs>
          <w:tab w:val="left" w:pos="420"/>
        </w:tabs>
        <w:ind w:left="425" w:leftChars="0" w:hanging="425" w:firstLineChars="0"/>
      </w:pPr>
      <w:rPr>
        <w:rFonts w:hint="default"/>
      </w:rPr>
    </w:lvl>
  </w:abstractNum>
  <w:abstractNum w:abstractNumId="184">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185">
    <w:nsid w:val="7735E311"/>
    <w:multiLevelType w:val="singleLevel"/>
    <w:tmpl w:val="7735E311"/>
    <w:lvl w:ilvl="0" w:tentative="0">
      <w:start w:val="1"/>
      <w:numFmt w:val="decimal"/>
      <w:lvlText w:val="4.1.15.5.%1."/>
      <w:lvlJc w:val="left"/>
      <w:pPr>
        <w:tabs>
          <w:tab w:val="left" w:pos="420"/>
        </w:tabs>
        <w:ind w:left="425" w:leftChars="0" w:hanging="425" w:firstLineChars="0"/>
      </w:pPr>
      <w:rPr>
        <w:rFonts w:hint="default"/>
      </w:rPr>
    </w:lvl>
  </w:abstractNum>
  <w:abstractNum w:abstractNumId="186">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7">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8">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89">
    <w:nsid w:val="79F43499"/>
    <w:multiLevelType w:val="singleLevel"/>
    <w:tmpl w:val="79F43499"/>
    <w:lvl w:ilvl="0" w:tentative="0">
      <w:start w:val="1"/>
      <w:numFmt w:val="decimal"/>
      <w:lvlText w:val="4.2.4.%1."/>
      <w:lvlJc w:val="left"/>
      <w:pPr>
        <w:tabs>
          <w:tab w:val="left" w:pos="420"/>
        </w:tabs>
        <w:ind w:left="425" w:leftChars="0" w:hanging="425" w:firstLineChars="0"/>
      </w:pPr>
      <w:rPr>
        <w:rFonts w:hint="default"/>
      </w:rPr>
    </w:lvl>
  </w:abstractNum>
  <w:abstractNum w:abstractNumId="190">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1">
    <w:nsid w:val="7B537C77"/>
    <w:multiLevelType w:val="singleLevel"/>
    <w:tmpl w:val="7B537C77"/>
    <w:lvl w:ilvl="0" w:tentative="0">
      <w:start w:val="1"/>
      <w:numFmt w:val="decimal"/>
      <w:lvlText w:val="4.1.9.2.2.%1."/>
      <w:lvlJc w:val="left"/>
      <w:pPr>
        <w:tabs>
          <w:tab w:val="left" w:pos="420"/>
        </w:tabs>
        <w:ind w:left="425" w:leftChars="0" w:hanging="425" w:firstLineChars="0"/>
      </w:pPr>
      <w:rPr>
        <w:rFonts w:hint="default"/>
      </w:rPr>
    </w:lvl>
  </w:abstractNum>
  <w:abstractNum w:abstractNumId="192">
    <w:nsid w:val="7BC65827"/>
    <w:multiLevelType w:val="singleLevel"/>
    <w:tmpl w:val="7BC65827"/>
    <w:lvl w:ilvl="0" w:tentative="0">
      <w:start w:val="1"/>
      <w:numFmt w:val="decimal"/>
      <w:lvlText w:val="4.1.4.3.%1."/>
      <w:lvlJc w:val="left"/>
      <w:pPr>
        <w:tabs>
          <w:tab w:val="left" w:pos="420"/>
        </w:tabs>
        <w:ind w:left="425" w:leftChars="0" w:hanging="425" w:firstLineChars="0"/>
      </w:pPr>
      <w:rPr>
        <w:rFonts w:hint="default"/>
      </w:rPr>
    </w:lvl>
  </w:abstractNum>
  <w:abstractNum w:abstractNumId="193">
    <w:nsid w:val="7C37E5AF"/>
    <w:multiLevelType w:val="singleLevel"/>
    <w:tmpl w:val="7C37E5AF"/>
    <w:lvl w:ilvl="0" w:tentative="0">
      <w:start w:val="1"/>
      <w:numFmt w:val="decimal"/>
      <w:lvlText w:val="4.1.12.1.%1."/>
      <w:lvlJc w:val="left"/>
      <w:pPr>
        <w:tabs>
          <w:tab w:val="left" w:pos="420"/>
        </w:tabs>
        <w:ind w:left="425" w:leftChars="0" w:hanging="425" w:firstLineChars="0"/>
      </w:pPr>
      <w:rPr>
        <w:rFonts w:hint="default"/>
      </w:rPr>
    </w:lvl>
  </w:abstractNum>
  <w:abstractNum w:abstractNumId="194">
    <w:nsid w:val="7C4A3EA9"/>
    <w:multiLevelType w:val="singleLevel"/>
    <w:tmpl w:val="7C4A3EA9"/>
    <w:lvl w:ilvl="0" w:tentative="0">
      <w:start w:val="1"/>
      <w:numFmt w:val="decimal"/>
      <w:lvlText w:val="4.1.10.9.%1."/>
      <w:lvlJc w:val="left"/>
      <w:pPr>
        <w:tabs>
          <w:tab w:val="left" w:pos="420"/>
        </w:tabs>
        <w:ind w:left="425" w:leftChars="0" w:hanging="425" w:firstLineChars="0"/>
      </w:pPr>
      <w:rPr>
        <w:rFonts w:hint="default"/>
      </w:rPr>
    </w:lvl>
  </w:abstractNum>
  <w:abstractNum w:abstractNumId="195">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96">
    <w:nsid w:val="7F16DB07"/>
    <w:multiLevelType w:val="singleLevel"/>
    <w:tmpl w:val="7F16DB07"/>
    <w:lvl w:ilvl="0" w:tentative="0">
      <w:start w:val="1"/>
      <w:numFmt w:val="decimal"/>
      <w:lvlText w:val="4.1.1.3.%1."/>
      <w:lvlJc w:val="left"/>
      <w:pPr>
        <w:tabs>
          <w:tab w:val="left" w:pos="420"/>
        </w:tabs>
        <w:ind w:left="425" w:leftChars="0" w:hanging="425" w:firstLineChars="0"/>
      </w:pPr>
      <w:rPr>
        <w:rFonts w:hint="default"/>
      </w:rPr>
    </w:lvl>
  </w:abstractNum>
  <w:num w:numId="1">
    <w:abstractNumId w:val="88"/>
  </w:num>
  <w:num w:numId="2">
    <w:abstractNumId w:val="149"/>
  </w:num>
  <w:num w:numId="3">
    <w:abstractNumId w:val="113"/>
  </w:num>
  <w:num w:numId="4">
    <w:abstractNumId w:val="157"/>
  </w:num>
  <w:num w:numId="5">
    <w:abstractNumId w:val="61"/>
  </w:num>
  <w:num w:numId="6">
    <w:abstractNumId w:val="135"/>
  </w:num>
  <w:num w:numId="7">
    <w:abstractNumId w:val="83"/>
  </w:num>
  <w:num w:numId="8">
    <w:abstractNumId w:val="69"/>
  </w:num>
  <w:num w:numId="9">
    <w:abstractNumId w:val="168"/>
  </w:num>
  <w:num w:numId="10">
    <w:abstractNumId w:val="121"/>
  </w:num>
  <w:num w:numId="11">
    <w:abstractNumId w:val="143"/>
  </w:num>
  <w:num w:numId="12">
    <w:abstractNumId w:val="161"/>
  </w:num>
  <w:num w:numId="13">
    <w:abstractNumId w:val="112"/>
  </w:num>
  <w:num w:numId="14">
    <w:abstractNumId w:val="68"/>
  </w:num>
  <w:num w:numId="15">
    <w:abstractNumId w:val="99"/>
  </w:num>
  <w:num w:numId="16">
    <w:abstractNumId w:val="101"/>
  </w:num>
  <w:num w:numId="17">
    <w:abstractNumId w:val="73"/>
  </w:num>
  <w:num w:numId="18">
    <w:abstractNumId w:val="72"/>
  </w:num>
  <w:num w:numId="19">
    <w:abstractNumId w:val="186"/>
  </w:num>
  <w:num w:numId="20">
    <w:abstractNumId w:val="145"/>
  </w:num>
  <w:num w:numId="21">
    <w:abstractNumId w:val="139"/>
  </w:num>
  <w:num w:numId="22">
    <w:abstractNumId w:val="142"/>
  </w:num>
  <w:num w:numId="23">
    <w:abstractNumId w:val="76"/>
  </w:num>
  <w:num w:numId="24">
    <w:abstractNumId w:val="111"/>
  </w:num>
  <w:num w:numId="2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4"/>
  </w:num>
  <w:num w:numId="28">
    <w:abstractNumId w:val="190"/>
  </w:num>
  <w:num w:numId="29">
    <w:abstractNumId w:val="158"/>
  </w:num>
  <w:num w:numId="30">
    <w:abstractNumId w:val="179"/>
  </w:num>
  <w:num w:numId="31">
    <w:abstractNumId w:val="187"/>
  </w:num>
  <w:num w:numId="32">
    <w:abstractNumId w:val="155"/>
  </w:num>
  <w:num w:numId="33">
    <w:abstractNumId w:val="71"/>
  </w:num>
  <w:num w:numId="34">
    <w:abstractNumId w:val="94"/>
  </w:num>
  <w:num w:numId="35">
    <w:abstractNumId w:val="180"/>
  </w:num>
  <w:num w:numId="36">
    <w:abstractNumId w:val="169"/>
  </w:num>
  <w:num w:numId="37">
    <w:abstractNumId w:val="133"/>
  </w:num>
  <w:num w:numId="38">
    <w:abstractNumId w:val="167"/>
  </w:num>
  <w:num w:numId="39">
    <w:abstractNumId w:val="102"/>
  </w:num>
  <w:num w:numId="40">
    <w:abstractNumId w:val="174"/>
  </w:num>
  <w:num w:numId="41">
    <w:abstractNumId w:val="60"/>
  </w:num>
  <w:num w:numId="42">
    <w:abstractNumId w:val="114"/>
  </w:num>
  <w:num w:numId="43">
    <w:abstractNumId w:val="171"/>
  </w:num>
  <w:num w:numId="44">
    <w:abstractNumId w:val="17"/>
  </w:num>
  <w:num w:numId="45">
    <w:abstractNumId w:val="3"/>
  </w:num>
  <w:num w:numId="46">
    <w:abstractNumId w:val="144"/>
  </w:num>
  <w:num w:numId="47">
    <w:abstractNumId w:val="26"/>
  </w:num>
  <w:num w:numId="48">
    <w:abstractNumId w:val="196"/>
  </w:num>
  <w:num w:numId="49">
    <w:abstractNumId w:val="40"/>
  </w:num>
  <w:num w:numId="50">
    <w:abstractNumId w:val="25"/>
  </w:num>
  <w:num w:numId="51">
    <w:abstractNumId w:val="120"/>
  </w:num>
  <w:num w:numId="52">
    <w:abstractNumId w:val="19"/>
  </w:num>
  <w:num w:numId="53">
    <w:abstractNumId w:val="1"/>
  </w:num>
  <w:num w:numId="54">
    <w:abstractNumId w:val="110"/>
  </w:num>
  <w:num w:numId="55">
    <w:abstractNumId w:val="24"/>
  </w:num>
  <w:num w:numId="56">
    <w:abstractNumId w:val="183"/>
  </w:num>
  <w:num w:numId="57">
    <w:abstractNumId w:val="97"/>
  </w:num>
  <w:num w:numId="58">
    <w:abstractNumId w:val="11"/>
  </w:num>
  <w:num w:numId="59">
    <w:abstractNumId w:val="138"/>
  </w:num>
  <w:num w:numId="60">
    <w:abstractNumId w:val="46"/>
  </w:num>
  <w:num w:numId="61">
    <w:abstractNumId w:val="116"/>
  </w:num>
  <w:num w:numId="62">
    <w:abstractNumId w:val="192"/>
  </w:num>
  <w:num w:numId="63">
    <w:abstractNumId w:val="36"/>
  </w:num>
  <w:num w:numId="64">
    <w:abstractNumId w:val="38"/>
  </w:num>
  <w:num w:numId="65">
    <w:abstractNumId w:val="153"/>
  </w:num>
  <w:num w:numId="66">
    <w:abstractNumId w:val="122"/>
  </w:num>
  <w:num w:numId="67">
    <w:abstractNumId w:val="32"/>
  </w:num>
  <w:num w:numId="68">
    <w:abstractNumId w:val="160"/>
  </w:num>
  <w:num w:numId="69">
    <w:abstractNumId w:val="39"/>
  </w:num>
  <w:num w:numId="70">
    <w:abstractNumId w:val="136"/>
  </w:num>
  <w:num w:numId="71">
    <w:abstractNumId w:val="49"/>
  </w:num>
  <w:num w:numId="72">
    <w:abstractNumId w:val="48"/>
  </w:num>
  <w:num w:numId="73">
    <w:abstractNumId w:val="31"/>
  </w:num>
  <w:num w:numId="74">
    <w:abstractNumId w:val="52"/>
  </w:num>
  <w:num w:numId="75">
    <w:abstractNumId w:val="87"/>
  </w:num>
  <w:num w:numId="76">
    <w:abstractNumId w:val="141"/>
  </w:num>
  <w:num w:numId="77">
    <w:abstractNumId w:val="41"/>
  </w:num>
  <w:num w:numId="78">
    <w:abstractNumId w:val="100"/>
  </w:num>
  <w:num w:numId="79">
    <w:abstractNumId w:val="191"/>
  </w:num>
  <w:num w:numId="80">
    <w:abstractNumId w:val="55"/>
  </w:num>
  <w:num w:numId="81">
    <w:abstractNumId w:val="29"/>
  </w:num>
  <w:num w:numId="82">
    <w:abstractNumId w:val="5"/>
  </w:num>
  <w:num w:numId="83">
    <w:abstractNumId w:val="64"/>
  </w:num>
  <w:num w:numId="84">
    <w:abstractNumId w:val="194"/>
  </w:num>
  <w:num w:numId="85">
    <w:abstractNumId w:val="67"/>
  </w:num>
  <w:num w:numId="86">
    <w:abstractNumId w:val="6"/>
  </w:num>
  <w:num w:numId="87">
    <w:abstractNumId w:val="51"/>
  </w:num>
  <w:num w:numId="88">
    <w:abstractNumId w:val="4"/>
  </w:num>
  <w:num w:numId="89">
    <w:abstractNumId w:val="7"/>
  </w:num>
  <w:num w:numId="90">
    <w:abstractNumId w:val="193"/>
  </w:num>
  <w:num w:numId="91">
    <w:abstractNumId w:val="50"/>
  </w:num>
  <w:num w:numId="92">
    <w:abstractNumId w:val="37"/>
  </w:num>
  <w:num w:numId="93">
    <w:abstractNumId w:val="104"/>
  </w:num>
  <w:num w:numId="94">
    <w:abstractNumId w:val="54"/>
  </w:num>
  <w:num w:numId="95">
    <w:abstractNumId w:val="12"/>
  </w:num>
  <w:num w:numId="96">
    <w:abstractNumId w:val="119"/>
  </w:num>
  <w:num w:numId="97">
    <w:abstractNumId w:val="65"/>
  </w:num>
  <w:num w:numId="98">
    <w:abstractNumId w:val="70"/>
  </w:num>
  <w:num w:numId="99">
    <w:abstractNumId w:val="27"/>
  </w:num>
  <w:num w:numId="100">
    <w:abstractNumId w:val="2"/>
  </w:num>
  <w:num w:numId="101">
    <w:abstractNumId w:val="118"/>
  </w:num>
  <w:num w:numId="102">
    <w:abstractNumId w:val="181"/>
  </w:num>
  <w:num w:numId="103">
    <w:abstractNumId w:val="84"/>
  </w:num>
  <w:num w:numId="104">
    <w:abstractNumId w:val="28"/>
  </w:num>
  <w:num w:numId="105">
    <w:abstractNumId w:val="128"/>
  </w:num>
  <w:num w:numId="106">
    <w:abstractNumId w:val="185"/>
  </w:num>
  <w:num w:numId="107">
    <w:abstractNumId w:val="115"/>
  </w:num>
  <w:num w:numId="108">
    <w:abstractNumId w:val="177"/>
  </w:num>
  <w:num w:numId="109">
    <w:abstractNumId w:val="140"/>
  </w:num>
  <w:num w:numId="110">
    <w:abstractNumId w:val="125"/>
  </w:num>
  <w:num w:numId="111">
    <w:abstractNumId w:val="15"/>
  </w:num>
  <w:num w:numId="112">
    <w:abstractNumId w:val="86"/>
  </w:num>
  <w:num w:numId="113">
    <w:abstractNumId w:val="33"/>
  </w:num>
  <w:num w:numId="114">
    <w:abstractNumId w:val="126"/>
  </w:num>
  <w:num w:numId="115">
    <w:abstractNumId w:val="78"/>
  </w:num>
  <w:num w:numId="116">
    <w:abstractNumId w:val="154"/>
  </w:num>
  <w:num w:numId="117">
    <w:abstractNumId w:val="156"/>
  </w:num>
  <w:num w:numId="118">
    <w:abstractNumId w:val="44"/>
  </w:num>
  <w:num w:numId="119">
    <w:abstractNumId w:val="172"/>
  </w:num>
  <w:num w:numId="120">
    <w:abstractNumId w:val="189"/>
  </w:num>
  <w:num w:numId="121">
    <w:abstractNumId w:val="13"/>
  </w:num>
  <w:num w:numId="122">
    <w:abstractNumId w:val="34"/>
  </w:num>
  <w:num w:numId="123">
    <w:abstractNumId w:val="166"/>
  </w:num>
  <w:num w:numId="124">
    <w:abstractNumId w:val="108"/>
  </w:num>
  <w:num w:numId="125">
    <w:abstractNumId w:val="176"/>
  </w:num>
  <w:num w:numId="126">
    <w:abstractNumId w:val="130"/>
  </w:num>
  <w:num w:numId="127">
    <w:abstractNumId w:val="103"/>
  </w:num>
  <w:num w:numId="128">
    <w:abstractNumId w:val="173"/>
  </w:num>
  <w:num w:numId="129">
    <w:abstractNumId w:val="8"/>
  </w:num>
  <w:num w:numId="130">
    <w:abstractNumId w:val="10"/>
  </w:num>
  <w:num w:numId="131">
    <w:abstractNumId w:val="47"/>
  </w:num>
  <w:num w:numId="132">
    <w:abstractNumId w:val="175"/>
  </w:num>
  <w:num w:numId="133">
    <w:abstractNumId w:val="0"/>
  </w:num>
  <w:num w:numId="134">
    <w:abstractNumId w:val="170"/>
  </w:num>
  <w:num w:numId="135">
    <w:abstractNumId w:val="74"/>
  </w:num>
  <w:num w:numId="136">
    <w:abstractNumId w:val="147"/>
  </w:num>
  <w:num w:numId="137">
    <w:abstractNumId w:val="23"/>
  </w:num>
  <w:num w:numId="138">
    <w:abstractNumId w:val="35"/>
  </w:num>
  <w:num w:numId="139">
    <w:abstractNumId w:val="20"/>
  </w:num>
  <w:num w:numId="140">
    <w:abstractNumId w:val="151"/>
  </w:num>
  <w:num w:numId="141">
    <w:abstractNumId w:val="164"/>
  </w:num>
  <w:num w:numId="142">
    <w:abstractNumId w:val="132"/>
  </w:num>
  <w:num w:numId="143">
    <w:abstractNumId w:val="109"/>
  </w:num>
  <w:num w:numId="144">
    <w:abstractNumId w:val="89"/>
  </w:num>
  <w:num w:numId="145">
    <w:abstractNumId w:val="53"/>
  </w:num>
  <w:num w:numId="146">
    <w:abstractNumId w:val="43"/>
  </w:num>
  <w:num w:numId="147">
    <w:abstractNumId w:val="22"/>
  </w:num>
  <w:num w:numId="148">
    <w:abstractNumId w:val="85"/>
  </w:num>
  <w:num w:numId="149">
    <w:abstractNumId w:val="16"/>
  </w:num>
  <w:num w:numId="150">
    <w:abstractNumId w:val="66"/>
  </w:num>
  <w:num w:numId="151">
    <w:abstractNumId w:val="57"/>
  </w:num>
  <w:num w:numId="152">
    <w:abstractNumId w:val="127"/>
  </w:num>
  <w:num w:numId="153">
    <w:abstractNumId w:val="42"/>
  </w:num>
  <w:num w:numId="154">
    <w:abstractNumId w:val="30"/>
  </w:num>
  <w:num w:numId="155">
    <w:abstractNumId w:val="58"/>
  </w:num>
  <w:num w:numId="156">
    <w:abstractNumId w:val="146"/>
  </w:num>
  <w:num w:numId="157">
    <w:abstractNumId w:val="14"/>
  </w:num>
  <w:num w:numId="158">
    <w:abstractNumId w:val="75"/>
  </w:num>
  <w:num w:numId="159">
    <w:abstractNumId w:val="77"/>
  </w:num>
  <w:num w:numId="160">
    <w:abstractNumId w:val="18"/>
  </w:num>
  <w:num w:numId="161">
    <w:abstractNumId w:val="123"/>
  </w:num>
  <w:num w:numId="162">
    <w:abstractNumId w:val="9"/>
  </w:num>
  <w:num w:numId="163">
    <w:abstractNumId w:val="95"/>
  </w:num>
  <w:num w:numId="164">
    <w:abstractNumId w:val="21"/>
  </w:num>
  <w:num w:numId="165">
    <w:abstractNumId w:val="152"/>
  </w:num>
  <w:num w:numId="166">
    <w:abstractNumId w:val="45"/>
  </w:num>
  <w:num w:numId="167">
    <w:abstractNumId w:val="92"/>
  </w:num>
  <w:num w:numId="168">
    <w:abstractNumId w:val="63"/>
  </w:num>
  <w:num w:numId="169">
    <w:abstractNumId w:val="56"/>
  </w:num>
  <w:num w:numId="170">
    <w:abstractNumId w:val="159"/>
  </w:num>
  <w:num w:numId="171">
    <w:abstractNumId w:val="106"/>
  </w:num>
  <w:num w:numId="172">
    <w:abstractNumId w:val="150"/>
  </w:num>
  <w:num w:numId="173">
    <w:abstractNumId w:val="117"/>
  </w:num>
  <w:num w:numId="174">
    <w:abstractNumId w:val="137"/>
  </w:num>
  <w:num w:numId="175">
    <w:abstractNumId w:val="124"/>
  </w:num>
  <w:num w:numId="176">
    <w:abstractNumId w:val="91"/>
  </w:num>
  <w:num w:numId="177">
    <w:abstractNumId w:val="163"/>
  </w:num>
  <w:num w:numId="178">
    <w:abstractNumId w:val="195"/>
  </w:num>
  <w:num w:numId="179">
    <w:abstractNumId w:val="93"/>
  </w:num>
  <w:num w:numId="180">
    <w:abstractNumId w:val="90"/>
  </w:num>
  <w:num w:numId="181">
    <w:abstractNumId w:val="59"/>
  </w:num>
  <w:num w:numId="182">
    <w:abstractNumId w:val="162"/>
    <w:lvlOverride w:ilvl="0">
      <w:startOverride w:val="1"/>
    </w:lvlOverride>
  </w:num>
  <w:num w:numId="183">
    <w:abstractNumId w:val="81"/>
  </w:num>
  <w:num w:numId="184">
    <w:abstractNumId w:val="105"/>
  </w:num>
  <w:num w:numId="185">
    <w:abstractNumId w:val="188"/>
  </w:num>
  <w:num w:numId="186">
    <w:abstractNumId w:val="178"/>
  </w:num>
  <w:num w:numId="187">
    <w:abstractNumId w:val="148"/>
  </w:num>
  <w:num w:numId="188">
    <w:abstractNumId w:val="80"/>
  </w:num>
  <w:num w:numId="189">
    <w:abstractNumId w:val="98"/>
  </w:num>
  <w:num w:numId="190">
    <w:abstractNumId w:val="182"/>
  </w:num>
  <w:num w:numId="191">
    <w:abstractNumId w:val="131"/>
  </w:num>
  <w:num w:numId="192">
    <w:abstractNumId w:val="184"/>
  </w:num>
  <w:num w:numId="193">
    <w:abstractNumId w:val="79"/>
  </w:num>
  <w:num w:numId="194">
    <w:abstractNumId w:val="96"/>
  </w:num>
  <w:num w:numId="195">
    <w:abstractNumId w:val="62"/>
  </w:num>
  <w:num w:numId="196">
    <w:abstractNumId w:val="82"/>
  </w:num>
  <w:num w:numId="197">
    <w:abstractNumId w:val="1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MzNmMWM2MzI4MjcxOGMyYjQyNGM2ZDJmM2M5NzIifQ=="/>
  </w:docVars>
  <w:rsids>
    <w:rsidRoot w:val="00095415"/>
    <w:rsid w:val="00002D40"/>
    <w:rsid w:val="00016562"/>
    <w:rsid w:val="00017BE8"/>
    <w:rsid w:val="00020344"/>
    <w:rsid w:val="00033032"/>
    <w:rsid w:val="00036A8C"/>
    <w:rsid w:val="00040B72"/>
    <w:rsid w:val="00042640"/>
    <w:rsid w:val="00046CAA"/>
    <w:rsid w:val="000658A4"/>
    <w:rsid w:val="00075213"/>
    <w:rsid w:val="0007595C"/>
    <w:rsid w:val="00077E85"/>
    <w:rsid w:val="000812D6"/>
    <w:rsid w:val="00081EFC"/>
    <w:rsid w:val="000855FE"/>
    <w:rsid w:val="0008587E"/>
    <w:rsid w:val="00092450"/>
    <w:rsid w:val="00095415"/>
    <w:rsid w:val="000B1EA5"/>
    <w:rsid w:val="000B3053"/>
    <w:rsid w:val="000B42CE"/>
    <w:rsid w:val="000C1DBB"/>
    <w:rsid w:val="000C2224"/>
    <w:rsid w:val="000C46E9"/>
    <w:rsid w:val="000D274B"/>
    <w:rsid w:val="000E0271"/>
    <w:rsid w:val="000E36E2"/>
    <w:rsid w:val="000E4686"/>
    <w:rsid w:val="000F64E0"/>
    <w:rsid w:val="00100585"/>
    <w:rsid w:val="00102CDB"/>
    <w:rsid w:val="00105BC5"/>
    <w:rsid w:val="00107608"/>
    <w:rsid w:val="00122C84"/>
    <w:rsid w:val="00131900"/>
    <w:rsid w:val="00133220"/>
    <w:rsid w:val="001338E8"/>
    <w:rsid w:val="001641C9"/>
    <w:rsid w:val="00173975"/>
    <w:rsid w:val="00177C62"/>
    <w:rsid w:val="00185E9A"/>
    <w:rsid w:val="001A0AB1"/>
    <w:rsid w:val="001A1335"/>
    <w:rsid w:val="001A2B2A"/>
    <w:rsid w:val="001A54E8"/>
    <w:rsid w:val="001B03BB"/>
    <w:rsid w:val="001B38CD"/>
    <w:rsid w:val="001B6C3D"/>
    <w:rsid w:val="001C1A58"/>
    <w:rsid w:val="001C7B23"/>
    <w:rsid w:val="001D2460"/>
    <w:rsid w:val="001D3EE7"/>
    <w:rsid w:val="001D4BF5"/>
    <w:rsid w:val="001D6085"/>
    <w:rsid w:val="001D7598"/>
    <w:rsid w:val="001E157C"/>
    <w:rsid w:val="001E5D69"/>
    <w:rsid w:val="001E7CEA"/>
    <w:rsid w:val="001F002C"/>
    <w:rsid w:val="002002B5"/>
    <w:rsid w:val="00211625"/>
    <w:rsid w:val="00220470"/>
    <w:rsid w:val="00222B0D"/>
    <w:rsid w:val="00223408"/>
    <w:rsid w:val="002234E8"/>
    <w:rsid w:val="002334D5"/>
    <w:rsid w:val="00236772"/>
    <w:rsid w:val="002426EA"/>
    <w:rsid w:val="002446C6"/>
    <w:rsid w:val="0026342E"/>
    <w:rsid w:val="00265D6A"/>
    <w:rsid w:val="00273CC3"/>
    <w:rsid w:val="00276CFD"/>
    <w:rsid w:val="002774C0"/>
    <w:rsid w:val="00277541"/>
    <w:rsid w:val="00282BB3"/>
    <w:rsid w:val="00293211"/>
    <w:rsid w:val="002949F9"/>
    <w:rsid w:val="00295F64"/>
    <w:rsid w:val="002B3F35"/>
    <w:rsid w:val="002B5D25"/>
    <w:rsid w:val="002B7581"/>
    <w:rsid w:val="002C38E4"/>
    <w:rsid w:val="002C7FA6"/>
    <w:rsid w:val="002D07BB"/>
    <w:rsid w:val="002D3BCA"/>
    <w:rsid w:val="002D412B"/>
    <w:rsid w:val="002E09C6"/>
    <w:rsid w:val="002E2DBD"/>
    <w:rsid w:val="002E46D6"/>
    <w:rsid w:val="002F7703"/>
    <w:rsid w:val="003108ED"/>
    <w:rsid w:val="00310B7E"/>
    <w:rsid w:val="00310F98"/>
    <w:rsid w:val="00314B08"/>
    <w:rsid w:val="00315B2B"/>
    <w:rsid w:val="00316026"/>
    <w:rsid w:val="00320ACF"/>
    <w:rsid w:val="00323F1C"/>
    <w:rsid w:val="00333225"/>
    <w:rsid w:val="0033323B"/>
    <w:rsid w:val="00344E95"/>
    <w:rsid w:val="00352AE1"/>
    <w:rsid w:val="00353542"/>
    <w:rsid w:val="003540BC"/>
    <w:rsid w:val="00360712"/>
    <w:rsid w:val="0036309F"/>
    <w:rsid w:val="0036474B"/>
    <w:rsid w:val="003661C8"/>
    <w:rsid w:val="00366E30"/>
    <w:rsid w:val="00377B5F"/>
    <w:rsid w:val="003821F4"/>
    <w:rsid w:val="00383221"/>
    <w:rsid w:val="00386E0E"/>
    <w:rsid w:val="00393E94"/>
    <w:rsid w:val="003A1DED"/>
    <w:rsid w:val="003B0D5A"/>
    <w:rsid w:val="003B4F8E"/>
    <w:rsid w:val="003B718F"/>
    <w:rsid w:val="003B7A0D"/>
    <w:rsid w:val="003C2008"/>
    <w:rsid w:val="003C2241"/>
    <w:rsid w:val="003C6083"/>
    <w:rsid w:val="003D1759"/>
    <w:rsid w:val="003D5E80"/>
    <w:rsid w:val="003E0B35"/>
    <w:rsid w:val="003E5643"/>
    <w:rsid w:val="003F076C"/>
    <w:rsid w:val="003F2B92"/>
    <w:rsid w:val="003F3007"/>
    <w:rsid w:val="0040329E"/>
    <w:rsid w:val="0040679C"/>
    <w:rsid w:val="00406BC4"/>
    <w:rsid w:val="004110F8"/>
    <w:rsid w:val="00413D71"/>
    <w:rsid w:val="00414A80"/>
    <w:rsid w:val="004161BA"/>
    <w:rsid w:val="0042169F"/>
    <w:rsid w:val="004349F3"/>
    <w:rsid w:val="0043503C"/>
    <w:rsid w:val="00436CC2"/>
    <w:rsid w:val="004475F1"/>
    <w:rsid w:val="00451751"/>
    <w:rsid w:val="00456E3D"/>
    <w:rsid w:val="00457308"/>
    <w:rsid w:val="004605F3"/>
    <w:rsid w:val="00461DFE"/>
    <w:rsid w:val="00476E59"/>
    <w:rsid w:val="00484C57"/>
    <w:rsid w:val="004871A8"/>
    <w:rsid w:val="004912A5"/>
    <w:rsid w:val="004A4F81"/>
    <w:rsid w:val="004B0CC2"/>
    <w:rsid w:val="004B118F"/>
    <w:rsid w:val="004B4BED"/>
    <w:rsid w:val="004C1027"/>
    <w:rsid w:val="004C214B"/>
    <w:rsid w:val="004C62F7"/>
    <w:rsid w:val="004C750B"/>
    <w:rsid w:val="004D548F"/>
    <w:rsid w:val="004E00F2"/>
    <w:rsid w:val="004E3B18"/>
    <w:rsid w:val="004E40B4"/>
    <w:rsid w:val="004E48AF"/>
    <w:rsid w:val="004E5A44"/>
    <w:rsid w:val="004F21F4"/>
    <w:rsid w:val="004F3B73"/>
    <w:rsid w:val="004F43AD"/>
    <w:rsid w:val="005025B6"/>
    <w:rsid w:val="00511E96"/>
    <w:rsid w:val="0051229B"/>
    <w:rsid w:val="005130B9"/>
    <w:rsid w:val="0051781B"/>
    <w:rsid w:val="00522A02"/>
    <w:rsid w:val="00522D80"/>
    <w:rsid w:val="00525A93"/>
    <w:rsid w:val="005343DA"/>
    <w:rsid w:val="005437D7"/>
    <w:rsid w:val="005445A9"/>
    <w:rsid w:val="00545B0F"/>
    <w:rsid w:val="00545EDA"/>
    <w:rsid w:val="00552BFE"/>
    <w:rsid w:val="00556850"/>
    <w:rsid w:val="00557511"/>
    <w:rsid w:val="00560FA5"/>
    <w:rsid w:val="00566563"/>
    <w:rsid w:val="00573437"/>
    <w:rsid w:val="0057573F"/>
    <w:rsid w:val="00580FFF"/>
    <w:rsid w:val="005813AA"/>
    <w:rsid w:val="0058585A"/>
    <w:rsid w:val="005865A5"/>
    <w:rsid w:val="005967BA"/>
    <w:rsid w:val="005A58A0"/>
    <w:rsid w:val="005A7923"/>
    <w:rsid w:val="005A7CA7"/>
    <w:rsid w:val="005B12FC"/>
    <w:rsid w:val="005B3EB5"/>
    <w:rsid w:val="005B6D3E"/>
    <w:rsid w:val="005B713A"/>
    <w:rsid w:val="005C31D8"/>
    <w:rsid w:val="005D6632"/>
    <w:rsid w:val="005D6D24"/>
    <w:rsid w:val="005E2664"/>
    <w:rsid w:val="005E3CD4"/>
    <w:rsid w:val="005F1528"/>
    <w:rsid w:val="005F1588"/>
    <w:rsid w:val="005F2449"/>
    <w:rsid w:val="00601112"/>
    <w:rsid w:val="00601990"/>
    <w:rsid w:val="00605C0D"/>
    <w:rsid w:val="00614821"/>
    <w:rsid w:val="00617E7B"/>
    <w:rsid w:val="00623CBB"/>
    <w:rsid w:val="006302AC"/>
    <w:rsid w:val="0063362D"/>
    <w:rsid w:val="00640D44"/>
    <w:rsid w:val="006440C5"/>
    <w:rsid w:val="0064700C"/>
    <w:rsid w:val="00651541"/>
    <w:rsid w:val="00663B35"/>
    <w:rsid w:val="00666B23"/>
    <w:rsid w:val="0067786F"/>
    <w:rsid w:val="00680A96"/>
    <w:rsid w:val="006854AE"/>
    <w:rsid w:val="00690659"/>
    <w:rsid w:val="006A2B14"/>
    <w:rsid w:val="006A6A07"/>
    <w:rsid w:val="006A6C1D"/>
    <w:rsid w:val="006A6C51"/>
    <w:rsid w:val="006A7A3D"/>
    <w:rsid w:val="006C00CA"/>
    <w:rsid w:val="006C0B5F"/>
    <w:rsid w:val="006C0B7B"/>
    <w:rsid w:val="006C1AF1"/>
    <w:rsid w:val="006C6FDC"/>
    <w:rsid w:val="006D1D6E"/>
    <w:rsid w:val="006F0D07"/>
    <w:rsid w:val="00702F6F"/>
    <w:rsid w:val="007135DD"/>
    <w:rsid w:val="007158A1"/>
    <w:rsid w:val="00715E44"/>
    <w:rsid w:val="00722075"/>
    <w:rsid w:val="00723103"/>
    <w:rsid w:val="00725899"/>
    <w:rsid w:val="00725F67"/>
    <w:rsid w:val="007308BA"/>
    <w:rsid w:val="007318D6"/>
    <w:rsid w:val="00731B1A"/>
    <w:rsid w:val="00732E91"/>
    <w:rsid w:val="00737211"/>
    <w:rsid w:val="00742DD3"/>
    <w:rsid w:val="007575FF"/>
    <w:rsid w:val="0077270B"/>
    <w:rsid w:val="00773A2C"/>
    <w:rsid w:val="00774EB7"/>
    <w:rsid w:val="00775A96"/>
    <w:rsid w:val="00780DBA"/>
    <w:rsid w:val="00782541"/>
    <w:rsid w:val="00784AEB"/>
    <w:rsid w:val="00784ED7"/>
    <w:rsid w:val="00786E84"/>
    <w:rsid w:val="00787DAB"/>
    <w:rsid w:val="007A27DA"/>
    <w:rsid w:val="007A2D91"/>
    <w:rsid w:val="007A427D"/>
    <w:rsid w:val="007A4F23"/>
    <w:rsid w:val="007A6B84"/>
    <w:rsid w:val="007A6F5F"/>
    <w:rsid w:val="007C0DA7"/>
    <w:rsid w:val="007C132C"/>
    <w:rsid w:val="007C1D03"/>
    <w:rsid w:val="007D053D"/>
    <w:rsid w:val="007D72CF"/>
    <w:rsid w:val="007E3D3C"/>
    <w:rsid w:val="007F504A"/>
    <w:rsid w:val="007F6863"/>
    <w:rsid w:val="007F6F97"/>
    <w:rsid w:val="00802536"/>
    <w:rsid w:val="00804419"/>
    <w:rsid w:val="0081114F"/>
    <w:rsid w:val="008166C4"/>
    <w:rsid w:val="00816910"/>
    <w:rsid w:val="00820E08"/>
    <w:rsid w:val="00821E3D"/>
    <w:rsid w:val="0082486D"/>
    <w:rsid w:val="00835FDE"/>
    <w:rsid w:val="008456E3"/>
    <w:rsid w:val="00845DF8"/>
    <w:rsid w:val="00852604"/>
    <w:rsid w:val="00863EDD"/>
    <w:rsid w:val="00866FCC"/>
    <w:rsid w:val="00876E59"/>
    <w:rsid w:val="00877211"/>
    <w:rsid w:val="0088586B"/>
    <w:rsid w:val="008879F9"/>
    <w:rsid w:val="008906B3"/>
    <w:rsid w:val="008966BE"/>
    <w:rsid w:val="008A30BA"/>
    <w:rsid w:val="008B4F32"/>
    <w:rsid w:val="008B5601"/>
    <w:rsid w:val="008B6529"/>
    <w:rsid w:val="008C23E3"/>
    <w:rsid w:val="008D35F1"/>
    <w:rsid w:val="008D3612"/>
    <w:rsid w:val="008D5777"/>
    <w:rsid w:val="008D7D59"/>
    <w:rsid w:val="008E2203"/>
    <w:rsid w:val="008F1B81"/>
    <w:rsid w:val="008F3383"/>
    <w:rsid w:val="009020C7"/>
    <w:rsid w:val="0090240A"/>
    <w:rsid w:val="00903A2D"/>
    <w:rsid w:val="00907388"/>
    <w:rsid w:val="00914F14"/>
    <w:rsid w:val="009166FD"/>
    <w:rsid w:val="00930734"/>
    <w:rsid w:val="009334F9"/>
    <w:rsid w:val="00933750"/>
    <w:rsid w:val="00935E05"/>
    <w:rsid w:val="0093723A"/>
    <w:rsid w:val="009402E6"/>
    <w:rsid w:val="00943F98"/>
    <w:rsid w:val="00947542"/>
    <w:rsid w:val="00954A2F"/>
    <w:rsid w:val="00955AC9"/>
    <w:rsid w:val="00956AAC"/>
    <w:rsid w:val="00967D22"/>
    <w:rsid w:val="0097080D"/>
    <w:rsid w:val="009714FE"/>
    <w:rsid w:val="00973398"/>
    <w:rsid w:val="00982AD3"/>
    <w:rsid w:val="009849C0"/>
    <w:rsid w:val="00985CFC"/>
    <w:rsid w:val="0098774A"/>
    <w:rsid w:val="00990D0C"/>
    <w:rsid w:val="009944A9"/>
    <w:rsid w:val="00996DEE"/>
    <w:rsid w:val="009A0C8D"/>
    <w:rsid w:val="009B11C0"/>
    <w:rsid w:val="009B3048"/>
    <w:rsid w:val="009B3424"/>
    <w:rsid w:val="009D33F8"/>
    <w:rsid w:val="009D36C0"/>
    <w:rsid w:val="009E04AF"/>
    <w:rsid w:val="009E2B86"/>
    <w:rsid w:val="009E6D3C"/>
    <w:rsid w:val="009F522E"/>
    <w:rsid w:val="009F5327"/>
    <w:rsid w:val="00A013C3"/>
    <w:rsid w:val="00A0172F"/>
    <w:rsid w:val="00A0485B"/>
    <w:rsid w:val="00A05AF5"/>
    <w:rsid w:val="00A0777C"/>
    <w:rsid w:val="00A116CE"/>
    <w:rsid w:val="00A1585C"/>
    <w:rsid w:val="00A16E33"/>
    <w:rsid w:val="00A27BC0"/>
    <w:rsid w:val="00A30AE5"/>
    <w:rsid w:val="00A30DFD"/>
    <w:rsid w:val="00A33A80"/>
    <w:rsid w:val="00A3568F"/>
    <w:rsid w:val="00A36FFA"/>
    <w:rsid w:val="00A40BC9"/>
    <w:rsid w:val="00A46DEF"/>
    <w:rsid w:val="00A5026C"/>
    <w:rsid w:val="00A51D8F"/>
    <w:rsid w:val="00A52A2B"/>
    <w:rsid w:val="00A62860"/>
    <w:rsid w:val="00A678FB"/>
    <w:rsid w:val="00A813D2"/>
    <w:rsid w:val="00A837A7"/>
    <w:rsid w:val="00A879DB"/>
    <w:rsid w:val="00A92A55"/>
    <w:rsid w:val="00AB2B17"/>
    <w:rsid w:val="00AB3343"/>
    <w:rsid w:val="00AC1ADB"/>
    <w:rsid w:val="00AC399F"/>
    <w:rsid w:val="00AC584B"/>
    <w:rsid w:val="00AD18FC"/>
    <w:rsid w:val="00AD52A3"/>
    <w:rsid w:val="00AD634F"/>
    <w:rsid w:val="00AE02A5"/>
    <w:rsid w:val="00AF18BF"/>
    <w:rsid w:val="00B002B6"/>
    <w:rsid w:val="00B0070A"/>
    <w:rsid w:val="00B161F2"/>
    <w:rsid w:val="00B20FD9"/>
    <w:rsid w:val="00B36D9B"/>
    <w:rsid w:val="00B37F1F"/>
    <w:rsid w:val="00B4413E"/>
    <w:rsid w:val="00B52520"/>
    <w:rsid w:val="00B67CCB"/>
    <w:rsid w:val="00B73233"/>
    <w:rsid w:val="00B73CD6"/>
    <w:rsid w:val="00B80369"/>
    <w:rsid w:val="00B84A3B"/>
    <w:rsid w:val="00B93416"/>
    <w:rsid w:val="00B956F2"/>
    <w:rsid w:val="00B96DE4"/>
    <w:rsid w:val="00BA438A"/>
    <w:rsid w:val="00BA4681"/>
    <w:rsid w:val="00BB5021"/>
    <w:rsid w:val="00BB78CC"/>
    <w:rsid w:val="00BC2268"/>
    <w:rsid w:val="00BC386C"/>
    <w:rsid w:val="00BC3AA1"/>
    <w:rsid w:val="00BC3C81"/>
    <w:rsid w:val="00BC6967"/>
    <w:rsid w:val="00BD0C54"/>
    <w:rsid w:val="00BD2144"/>
    <w:rsid w:val="00BD62C1"/>
    <w:rsid w:val="00BD681B"/>
    <w:rsid w:val="00BE3563"/>
    <w:rsid w:val="00BF5732"/>
    <w:rsid w:val="00C0257A"/>
    <w:rsid w:val="00C040D1"/>
    <w:rsid w:val="00C05B9A"/>
    <w:rsid w:val="00C139A6"/>
    <w:rsid w:val="00C1592E"/>
    <w:rsid w:val="00C37FEA"/>
    <w:rsid w:val="00C4038F"/>
    <w:rsid w:val="00C404FE"/>
    <w:rsid w:val="00C43620"/>
    <w:rsid w:val="00C469B0"/>
    <w:rsid w:val="00C52140"/>
    <w:rsid w:val="00C64D3E"/>
    <w:rsid w:val="00C6612A"/>
    <w:rsid w:val="00C6643D"/>
    <w:rsid w:val="00C6680F"/>
    <w:rsid w:val="00C66ACC"/>
    <w:rsid w:val="00C72415"/>
    <w:rsid w:val="00C77E82"/>
    <w:rsid w:val="00C8468C"/>
    <w:rsid w:val="00C90E37"/>
    <w:rsid w:val="00C9289E"/>
    <w:rsid w:val="00C92F51"/>
    <w:rsid w:val="00CA0EE5"/>
    <w:rsid w:val="00CA0F95"/>
    <w:rsid w:val="00CB10F9"/>
    <w:rsid w:val="00CB3DF8"/>
    <w:rsid w:val="00CB413B"/>
    <w:rsid w:val="00CE2A32"/>
    <w:rsid w:val="00CF76A5"/>
    <w:rsid w:val="00D04EB4"/>
    <w:rsid w:val="00D123DC"/>
    <w:rsid w:val="00D13A17"/>
    <w:rsid w:val="00D14987"/>
    <w:rsid w:val="00D14E3A"/>
    <w:rsid w:val="00D204F5"/>
    <w:rsid w:val="00D32F66"/>
    <w:rsid w:val="00D47930"/>
    <w:rsid w:val="00D5042D"/>
    <w:rsid w:val="00D64AB9"/>
    <w:rsid w:val="00D65037"/>
    <w:rsid w:val="00D7177A"/>
    <w:rsid w:val="00D90694"/>
    <w:rsid w:val="00D9318A"/>
    <w:rsid w:val="00D94CD4"/>
    <w:rsid w:val="00DA4143"/>
    <w:rsid w:val="00DB00B6"/>
    <w:rsid w:val="00DB3C8A"/>
    <w:rsid w:val="00DB45E8"/>
    <w:rsid w:val="00DB6984"/>
    <w:rsid w:val="00DC0D68"/>
    <w:rsid w:val="00DC4938"/>
    <w:rsid w:val="00DD25CD"/>
    <w:rsid w:val="00DD6657"/>
    <w:rsid w:val="00DD69C1"/>
    <w:rsid w:val="00DE4A9E"/>
    <w:rsid w:val="00DF77F1"/>
    <w:rsid w:val="00E02B75"/>
    <w:rsid w:val="00E05B42"/>
    <w:rsid w:val="00E14D3C"/>
    <w:rsid w:val="00E15A50"/>
    <w:rsid w:val="00E22388"/>
    <w:rsid w:val="00E23510"/>
    <w:rsid w:val="00E2369D"/>
    <w:rsid w:val="00E32C21"/>
    <w:rsid w:val="00E34D2C"/>
    <w:rsid w:val="00E3763E"/>
    <w:rsid w:val="00E41743"/>
    <w:rsid w:val="00E45675"/>
    <w:rsid w:val="00E46441"/>
    <w:rsid w:val="00E516C0"/>
    <w:rsid w:val="00E54453"/>
    <w:rsid w:val="00E54FFA"/>
    <w:rsid w:val="00E71EB0"/>
    <w:rsid w:val="00E76F1B"/>
    <w:rsid w:val="00E85CC4"/>
    <w:rsid w:val="00E951DF"/>
    <w:rsid w:val="00E971BC"/>
    <w:rsid w:val="00EA0C6D"/>
    <w:rsid w:val="00EB1E3A"/>
    <w:rsid w:val="00EB4033"/>
    <w:rsid w:val="00EB482A"/>
    <w:rsid w:val="00ED0545"/>
    <w:rsid w:val="00ED53B7"/>
    <w:rsid w:val="00EE3C83"/>
    <w:rsid w:val="00EE715C"/>
    <w:rsid w:val="00EF7BF0"/>
    <w:rsid w:val="00F04B4C"/>
    <w:rsid w:val="00F05FC4"/>
    <w:rsid w:val="00F152FA"/>
    <w:rsid w:val="00F17360"/>
    <w:rsid w:val="00F22E40"/>
    <w:rsid w:val="00F242DA"/>
    <w:rsid w:val="00F24BF3"/>
    <w:rsid w:val="00F25A4D"/>
    <w:rsid w:val="00F30B5D"/>
    <w:rsid w:val="00F36746"/>
    <w:rsid w:val="00F403DB"/>
    <w:rsid w:val="00F42684"/>
    <w:rsid w:val="00F47226"/>
    <w:rsid w:val="00F54AE6"/>
    <w:rsid w:val="00F5567D"/>
    <w:rsid w:val="00F56CC3"/>
    <w:rsid w:val="00F63420"/>
    <w:rsid w:val="00F71D83"/>
    <w:rsid w:val="00F7567B"/>
    <w:rsid w:val="00F95486"/>
    <w:rsid w:val="00FB2B31"/>
    <w:rsid w:val="00FC2E73"/>
    <w:rsid w:val="00FC492E"/>
    <w:rsid w:val="00FD11DF"/>
    <w:rsid w:val="00FD30DA"/>
    <w:rsid w:val="00FD44A8"/>
    <w:rsid w:val="00FE2024"/>
    <w:rsid w:val="00FE51C1"/>
    <w:rsid w:val="00FE74BE"/>
    <w:rsid w:val="00FF0213"/>
    <w:rsid w:val="00FF328A"/>
    <w:rsid w:val="00FF37FD"/>
    <w:rsid w:val="00FF3C6D"/>
    <w:rsid w:val="00FF4FBA"/>
    <w:rsid w:val="00FF6E00"/>
    <w:rsid w:val="02386C68"/>
    <w:rsid w:val="0399395C"/>
    <w:rsid w:val="03A73CF4"/>
    <w:rsid w:val="04753635"/>
    <w:rsid w:val="05617C3F"/>
    <w:rsid w:val="056B6BBD"/>
    <w:rsid w:val="0637573E"/>
    <w:rsid w:val="064B3FF4"/>
    <w:rsid w:val="0685234A"/>
    <w:rsid w:val="06EF02AB"/>
    <w:rsid w:val="07D17AC2"/>
    <w:rsid w:val="08A63B08"/>
    <w:rsid w:val="0A6722A5"/>
    <w:rsid w:val="0BE118F7"/>
    <w:rsid w:val="0BEF6D05"/>
    <w:rsid w:val="0CE925E3"/>
    <w:rsid w:val="0D3C4865"/>
    <w:rsid w:val="0D6F5C11"/>
    <w:rsid w:val="0DDF3CC0"/>
    <w:rsid w:val="0E4B45F6"/>
    <w:rsid w:val="0E7C372D"/>
    <w:rsid w:val="0EF80799"/>
    <w:rsid w:val="0F1858A5"/>
    <w:rsid w:val="0FB622FC"/>
    <w:rsid w:val="10E27459"/>
    <w:rsid w:val="10E55AF8"/>
    <w:rsid w:val="11494709"/>
    <w:rsid w:val="11923040"/>
    <w:rsid w:val="11957B06"/>
    <w:rsid w:val="11963D46"/>
    <w:rsid w:val="11DA09C6"/>
    <w:rsid w:val="12BB3092"/>
    <w:rsid w:val="14487853"/>
    <w:rsid w:val="144D4CE1"/>
    <w:rsid w:val="14A94CF4"/>
    <w:rsid w:val="159A33B0"/>
    <w:rsid w:val="167F0D15"/>
    <w:rsid w:val="16B808DF"/>
    <w:rsid w:val="17464C36"/>
    <w:rsid w:val="174907B9"/>
    <w:rsid w:val="17F07B8C"/>
    <w:rsid w:val="17F07BDF"/>
    <w:rsid w:val="18B801C6"/>
    <w:rsid w:val="1D48491D"/>
    <w:rsid w:val="1E087BDC"/>
    <w:rsid w:val="1EDA22E1"/>
    <w:rsid w:val="1F003CF9"/>
    <w:rsid w:val="21A60D15"/>
    <w:rsid w:val="21ED221D"/>
    <w:rsid w:val="222D021F"/>
    <w:rsid w:val="22523370"/>
    <w:rsid w:val="225D43D3"/>
    <w:rsid w:val="22AD30BD"/>
    <w:rsid w:val="22E72707"/>
    <w:rsid w:val="23365840"/>
    <w:rsid w:val="26A1284F"/>
    <w:rsid w:val="26F855C1"/>
    <w:rsid w:val="27484343"/>
    <w:rsid w:val="288276C8"/>
    <w:rsid w:val="28AB7ECE"/>
    <w:rsid w:val="28EC18A1"/>
    <w:rsid w:val="295E2013"/>
    <w:rsid w:val="2965017D"/>
    <w:rsid w:val="2A3A3087"/>
    <w:rsid w:val="2A441368"/>
    <w:rsid w:val="2B1B6222"/>
    <w:rsid w:val="2B78383B"/>
    <w:rsid w:val="2C312DD5"/>
    <w:rsid w:val="2E335071"/>
    <w:rsid w:val="304A6516"/>
    <w:rsid w:val="30BF45CB"/>
    <w:rsid w:val="31614F93"/>
    <w:rsid w:val="31DA52ED"/>
    <w:rsid w:val="31FC5DB5"/>
    <w:rsid w:val="33A136FC"/>
    <w:rsid w:val="34AB1E11"/>
    <w:rsid w:val="350B2553"/>
    <w:rsid w:val="35104FE9"/>
    <w:rsid w:val="35697647"/>
    <w:rsid w:val="358304F4"/>
    <w:rsid w:val="35A76668"/>
    <w:rsid w:val="365A1F4A"/>
    <w:rsid w:val="36CE0577"/>
    <w:rsid w:val="3A1760DE"/>
    <w:rsid w:val="3AA57CA6"/>
    <w:rsid w:val="3B1E3FE3"/>
    <w:rsid w:val="3C1143F6"/>
    <w:rsid w:val="3D117D08"/>
    <w:rsid w:val="3DCE53D2"/>
    <w:rsid w:val="3DF464F4"/>
    <w:rsid w:val="3E6D0A25"/>
    <w:rsid w:val="3E8864AC"/>
    <w:rsid w:val="3EC9521E"/>
    <w:rsid w:val="40426D89"/>
    <w:rsid w:val="404F533F"/>
    <w:rsid w:val="41C32F69"/>
    <w:rsid w:val="41F60D6E"/>
    <w:rsid w:val="422315DA"/>
    <w:rsid w:val="42807573"/>
    <w:rsid w:val="42D51279"/>
    <w:rsid w:val="42E04525"/>
    <w:rsid w:val="44281236"/>
    <w:rsid w:val="44950120"/>
    <w:rsid w:val="493A18C5"/>
    <w:rsid w:val="4C2D33F0"/>
    <w:rsid w:val="4E4C4449"/>
    <w:rsid w:val="4E4F5A62"/>
    <w:rsid w:val="4EEC161E"/>
    <w:rsid w:val="4F10670E"/>
    <w:rsid w:val="4FC3264A"/>
    <w:rsid w:val="4FD16B78"/>
    <w:rsid w:val="504D2A80"/>
    <w:rsid w:val="506F23C9"/>
    <w:rsid w:val="50DB7DFD"/>
    <w:rsid w:val="517A21E4"/>
    <w:rsid w:val="524C69F9"/>
    <w:rsid w:val="5321196E"/>
    <w:rsid w:val="54BB661D"/>
    <w:rsid w:val="56365081"/>
    <w:rsid w:val="56453485"/>
    <w:rsid w:val="575F5C8E"/>
    <w:rsid w:val="57A37C68"/>
    <w:rsid w:val="58506880"/>
    <w:rsid w:val="59691D81"/>
    <w:rsid w:val="5A91300C"/>
    <w:rsid w:val="5B0A37AE"/>
    <w:rsid w:val="5CD904D4"/>
    <w:rsid w:val="5CF33CDA"/>
    <w:rsid w:val="5F01496B"/>
    <w:rsid w:val="5FB052D5"/>
    <w:rsid w:val="60784056"/>
    <w:rsid w:val="616F7F98"/>
    <w:rsid w:val="61AF1AC1"/>
    <w:rsid w:val="61FC1355"/>
    <w:rsid w:val="625D4F5F"/>
    <w:rsid w:val="628C48D0"/>
    <w:rsid w:val="635630B9"/>
    <w:rsid w:val="63BF1EF6"/>
    <w:rsid w:val="65670E6D"/>
    <w:rsid w:val="664C2B78"/>
    <w:rsid w:val="668C644E"/>
    <w:rsid w:val="66E45D27"/>
    <w:rsid w:val="6700083E"/>
    <w:rsid w:val="67844FE8"/>
    <w:rsid w:val="6790326A"/>
    <w:rsid w:val="683A2FA9"/>
    <w:rsid w:val="68713C99"/>
    <w:rsid w:val="690246C1"/>
    <w:rsid w:val="691F4B23"/>
    <w:rsid w:val="69222A26"/>
    <w:rsid w:val="69BB6A03"/>
    <w:rsid w:val="6B2B6C8D"/>
    <w:rsid w:val="6BC72164"/>
    <w:rsid w:val="6C227025"/>
    <w:rsid w:val="6C831484"/>
    <w:rsid w:val="6CA24A19"/>
    <w:rsid w:val="6CA361AB"/>
    <w:rsid w:val="6CB94BA3"/>
    <w:rsid w:val="6D001766"/>
    <w:rsid w:val="6D117AAC"/>
    <w:rsid w:val="6D1E19C3"/>
    <w:rsid w:val="6DEA08AB"/>
    <w:rsid w:val="70366FAA"/>
    <w:rsid w:val="723D47CD"/>
    <w:rsid w:val="72A01205"/>
    <w:rsid w:val="72A93761"/>
    <w:rsid w:val="73350AA4"/>
    <w:rsid w:val="75724E92"/>
    <w:rsid w:val="75B03E88"/>
    <w:rsid w:val="76720462"/>
    <w:rsid w:val="785A23B6"/>
    <w:rsid w:val="78BF3BC4"/>
    <w:rsid w:val="7B4839E7"/>
    <w:rsid w:val="7BC0350F"/>
    <w:rsid w:val="7BCE350F"/>
    <w:rsid w:val="7CEC6C2A"/>
    <w:rsid w:val="7D36274E"/>
    <w:rsid w:val="7D883202"/>
    <w:rsid w:val="7DBF7F75"/>
    <w:rsid w:val="7E4C13EE"/>
    <w:rsid w:val="7E5363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qFormat/>
    <w:uiPriority w:val="0"/>
    <w:pPr>
      <w:keepNext/>
      <w:keepLines/>
      <w:numPr>
        <w:ilvl w:val="3"/>
        <w:numId w:val="1"/>
      </w:numPr>
      <w:spacing w:before="280" w:after="290" w:line="377" w:lineRule="auto"/>
      <w:outlineLvl w:val="3"/>
    </w:pPr>
    <w:rPr>
      <w:rFonts w:ascii="Arial" w:hAnsi="Arial"/>
      <w:sz w:val="24"/>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6">
    <w:name w:val="Normal Indent"/>
    <w:basedOn w:val="1"/>
    <w:link w:val="43"/>
    <w:qFormat/>
    <w:uiPriority w:val="0"/>
    <w:pPr>
      <w:ind w:firstLine="420"/>
    </w:pPr>
  </w:style>
  <w:style w:type="paragraph" w:styleId="7">
    <w:name w:val="annotation text"/>
    <w:basedOn w:val="1"/>
    <w:link w:val="37"/>
    <w:unhideWhenUsed/>
    <w:qFormat/>
    <w:uiPriority w:val="99"/>
    <w:pPr>
      <w:jc w:val="left"/>
    </w:pPr>
  </w:style>
  <w:style w:type="paragraph" w:styleId="8">
    <w:name w:val="toc 3"/>
    <w:basedOn w:val="1"/>
    <w:next w:val="1"/>
    <w:unhideWhenUsed/>
    <w:qFormat/>
    <w:uiPriority w:val="39"/>
    <w:pPr>
      <w:widowControl/>
      <w:spacing w:after="100" w:line="276" w:lineRule="auto"/>
      <w:ind w:left="440"/>
      <w:jc w:val="left"/>
    </w:pPr>
    <w:rPr>
      <w:kern w:val="0"/>
      <w:sz w:val="22"/>
    </w:rPr>
  </w:style>
  <w:style w:type="paragraph" w:styleId="9">
    <w:name w:val="Plain Text"/>
    <w:basedOn w:val="1"/>
    <w:link w:val="40"/>
    <w:qFormat/>
    <w:uiPriority w:val="0"/>
    <w:rPr>
      <w:rFonts w:ascii="宋体" w:hAnsi="Courier New" w:cs="Courier New"/>
      <w:szCs w:val="21"/>
    </w:rPr>
  </w:style>
  <w:style w:type="paragraph" w:styleId="10">
    <w:name w:val="endnote text"/>
    <w:basedOn w:val="1"/>
    <w:link w:val="39"/>
    <w:unhideWhenUsed/>
    <w:qFormat/>
    <w:uiPriority w:val="99"/>
    <w:pPr>
      <w:snapToGrid w:val="0"/>
      <w:jc w:val="left"/>
    </w:pPr>
  </w:style>
  <w:style w:type="paragraph" w:styleId="11">
    <w:name w:val="Balloon Text"/>
    <w:basedOn w:val="1"/>
    <w:link w:val="33"/>
    <w:unhideWhenUsed/>
    <w:qFormat/>
    <w:uiPriority w:val="99"/>
    <w:rPr>
      <w:sz w:val="18"/>
      <w:szCs w:val="18"/>
    </w:rPr>
  </w:style>
  <w:style w:type="paragraph" w:styleId="12">
    <w:name w:val="footer"/>
    <w:basedOn w:val="1"/>
    <w:link w:val="32"/>
    <w:unhideWhenUsed/>
    <w:qFormat/>
    <w:uiPriority w:val="99"/>
    <w:pPr>
      <w:tabs>
        <w:tab w:val="center" w:pos="4153"/>
        <w:tab w:val="right" w:pos="8306"/>
      </w:tabs>
      <w:snapToGrid w:val="0"/>
      <w:jc w:val="left"/>
    </w:pPr>
    <w:rPr>
      <w:sz w:val="18"/>
      <w:szCs w:val="18"/>
    </w:rPr>
  </w:style>
  <w:style w:type="paragraph" w:styleId="13">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line="440" w:lineRule="exact"/>
      <w:jc w:val="left"/>
    </w:pPr>
    <w:rPr>
      <w:rFonts w:eastAsia="黑体"/>
      <w:b/>
      <w:kern w:val="0"/>
      <w:sz w:val="28"/>
    </w:rPr>
  </w:style>
  <w:style w:type="paragraph" w:styleId="15">
    <w:name w:val="toc 2"/>
    <w:basedOn w:val="16"/>
    <w:next w:val="4"/>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customStyle="1" w:styleId="16">
    <w:name w:val="引用1"/>
    <w:basedOn w:val="1"/>
    <w:next w:val="1"/>
    <w:link w:val="42"/>
    <w:qFormat/>
    <w:uiPriority w:val="29"/>
    <w:rPr>
      <w:i/>
      <w:iCs/>
      <w:color w:val="000000" w:themeColor="text1"/>
      <w14:textFill>
        <w14:solidFill>
          <w14:schemeClr w14:val="tx1"/>
        </w14:solidFill>
      </w14:textFill>
    </w:rPr>
  </w:style>
  <w:style w:type="paragraph" w:styleId="17">
    <w:name w:val="Normal (Web)"/>
    <w:basedOn w:val="1"/>
    <w:semiHidden/>
    <w:unhideWhenUsed/>
    <w:qFormat/>
    <w:uiPriority w:val="99"/>
    <w:pPr>
      <w:spacing w:before="0" w:beforeAutospacing="0" w:after="150" w:afterAutospacing="0"/>
      <w:ind w:left="0" w:right="0"/>
      <w:jc w:val="left"/>
    </w:pPr>
    <w:rPr>
      <w:kern w:val="0"/>
      <w:sz w:val="24"/>
      <w:lang w:val="en-US" w:eastAsia="zh-CN" w:bidi="ar"/>
    </w:rPr>
  </w:style>
  <w:style w:type="paragraph" w:styleId="18">
    <w:name w:val="annotation subject"/>
    <w:basedOn w:val="7"/>
    <w:next w:val="7"/>
    <w:link w:val="44"/>
    <w:unhideWhenUsed/>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rPr>
  </w:style>
  <w:style w:type="character" w:styleId="23">
    <w:name w:val="endnote reference"/>
    <w:basedOn w:val="21"/>
    <w:unhideWhenUsed/>
    <w:qFormat/>
    <w:uiPriority w:val="99"/>
    <w:rPr>
      <w:vertAlign w:val="superscript"/>
    </w:rPr>
  </w:style>
  <w:style w:type="character" w:styleId="24">
    <w:name w:val="FollowedHyperlink"/>
    <w:basedOn w:val="21"/>
    <w:semiHidden/>
    <w:unhideWhenUsed/>
    <w:qFormat/>
    <w:uiPriority w:val="99"/>
    <w:rPr>
      <w:color w:val="333333"/>
      <w:u w:val="none"/>
    </w:rPr>
  </w:style>
  <w:style w:type="character" w:styleId="25">
    <w:name w:val="HTML Definition"/>
    <w:basedOn w:val="21"/>
    <w:semiHidden/>
    <w:unhideWhenUsed/>
    <w:qFormat/>
    <w:uiPriority w:val="99"/>
    <w:rPr>
      <w:i/>
    </w:rPr>
  </w:style>
  <w:style w:type="character" w:styleId="26">
    <w:name w:val="Hyperlink"/>
    <w:basedOn w:val="21"/>
    <w:unhideWhenUsed/>
    <w:qFormat/>
    <w:uiPriority w:val="99"/>
    <w:rPr>
      <w:color w:val="0000FF" w:themeColor="hyperlink"/>
      <w:u w:val="single"/>
      <w14:textFill>
        <w14:solidFill>
          <w14:schemeClr w14:val="hlink"/>
        </w14:solidFill>
      </w14:textFill>
    </w:rPr>
  </w:style>
  <w:style w:type="character" w:styleId="27">
    <w:name w:val="HTML Code"/>
    <w:basedOn w:val="21"/>
    <w:semiHidden/>
    <w:unhideWhenUsed/>
    <w:qFormat/>
    <w:uiPriority w:val="99"/>
    <w:rPr>
      <w:rFonts w:hint="default" w:ascii="Consolas" w:hAnsi="Consolas" w:eastAsia="Consolas" w:cs="Consolas"/>
      <w:color w:val="C7254E"/>
      <w:sz w:val="21"/>
      <w:szCs w:val="21"/>
      <w:shd w:val="clear" w:fill="F9F2F4"/>
    </w:rPr>
  </w:style>
  <w:style w:type="character" w:styleId="28">
    <w:name w:val="annotation reference"/>
    <w:qFormat/>
    <w:uiPriority w:val="99"/>
    <w:rPr>
      <w:sz w:val="21"/>
    </w:rPr>
  </w:style>
  <w:style w:type="character" w:styleId="29">
    <w:name w:val="HTML Keyboard"/>
    <w:basedOn w:val="21"/>
    <w:semiHidden/>
    <w:unhideWhenUsed/>
    <w:qFormat/>
    <w:uiPriority w:val="99"/>
    <w:rPr>
      <w:rFonts w:ascii="Consolas" w:hAnsi="Consolas" w:eastAsia="Consolas" w:cs="Consolas"/>
      <w:color w:val="FFFFFF"/>
      <w:sz w:val="21"/>
      <w:szCs w:val="21"/>
      <w:shd w:val="clear" w:fill="333333"/>
    </w:rPr>
  </w:style>
  <w:style w:type="character" w:styleId="30">
    <w:name w:val="HTML Sample"/>
    <w:basedOn w:val="21"/>
    <w:semiHidden/>
    <w:unhideWhenUsed/>
    <w:qFormat/>
    <w:uiPriority w:val="99"/>
    <w:rPr>
      <w:rFonts w:hint="default" w:ascii="Consolas" w:hAnsi="Consolas" w:eastAsia="Consolas" w:cs="Consolas"/>
      <w:sz w:val="21"/>
      <w:szCs w:val="21"/>
    </w:rPr>
  </w:style>
  <w:style w:type="character" w:customStyle="1" w:styleId="31">
    <w:name w:val="页眉 Char"/>
    <w:basedOn w:val="21"/>
    <w:link w:val="13"/>
    <w:qFormat/>
    <w:uiPriority w:val="99"/>
    <w:rPr>
      <w:sz w:val="18"/>
      <w:szCs w:val="18"/>
    </w:rPr>
  </w:style>
  <w:style w:type="character" w:customStyle="1" w:styleId="32">
    <w:name w:val="页脚 Char"/>
    <w:basedOn w:val="21"/>
    <w:link w:val="12"/>
    <w:qFormat/>
    <w:uiPriority w:val="99"/>
    <w:rPr>
      <w:sz w:val="18"/>
      <w:szCs w:val="18"/>
    </w:rPr>
  </w:style>
  <w:style w:type="character" w:customStyle="1" w:styleId="33">
    <w:name w:val="批注框文本 Char"/>
    <w:basedOn w:val="21"/>
    <w:link w:val="11"/>
    <w:semiHidden/>
    <w:qFormat/>
    <w:uiPriority w:val="99"/>
    <w:rPr>
      <w:sz w:val="18"/>
      <w:szCs w:val="18"/>
    </w:rPr>
  </w:style>
  <w:style w:type="paragraph" w:customStyle="1" w:styleId="34">
    <w:name w:val="列出段落1"/>
    <w:basedOn w:val="1"/>
    <w:qFormat/>
    <w:uiPriority w:val="34"/>
    <w:pPr>
      <w:ind w:firstLine="420" w:firstLineChars="200"/>
    </w:pPr>
  </w:style>
  <w:style w:type="character" w:customStyle="1" w:styleId="35">
    <w:name w:val="标题 1 Char"/>
    <w:basedOn w:val="21"/>
    <w:link w:val="3"/>
    <w:qFormat/>
    <w:uiPriority w:val="9"/>
    <w:rPr>
      <w:b/>
      <w:bCs/>
      <w:kern w:val="44"/>
      <w:sz w:val="44"/>
      <w:szCs w:val="44"/>
    </w:rPr>
  </w:style>
  <w:style w:type="paragraph" w:customStyle="1" w:styleId="3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文字 Char"/>
    <w:basedOn w:val="21"/>
    <w:link w:val="7"/>
    <w:qFormat/>
    <w:uiPriority w:val="99"/>
  </w:style>
  <w:style w:type="character" w:customStyle="1" w:styleId="38">
    <w:name w:val="标题 2 Char"/>
    <w:basedOn w:val="21"/>
    <w:link w:val="4"/>
    <w:qFormat/>
    <w:uiPriority w:val="9"/>
    <w:rPr>
      <w:rFonts w:asciiTheme="majorHAnsi" w:hAnsiTheme="majorHAnsi" w:eastAsiaTheme="majorEastAsia" w:cstheme="majorBidi"/>
      <w:b/>
      <w:bCs/>
      <w:sz w:val="32"/>
      <w:szCs w:val="32"/>
    </w:rPr>
  </w:style>
  <w:style w:type="character" w:customStyle="1" w:styleId="39">
    <w:name w:val="尾注文本 Char"/>
    <w:basedOn w:val="21"/>
    <w:link w:val="10"/>
    <w:semiHidden/>
    <w:qFormat/>
    <w:uiPriority w:val="99"/>
  </w:style>
  <w:style w:type="character" w:customStyle="1" w:styleId="40">
    <w:name w:val="纯文本 Char"/>
    <w:link w:val="9"/>
    <w:qFormat/>
    <w:uiPriority w:val="0"/>
    <w:rPr>
      <w:rFonts w:ascii="宋体" w:hAnsi="Courier New" w:cs="Courier New"/>
      <w:szCs w:val="21"/>
    </w:rPr>
  </w:style>
  <w:style w:type="character" w:customStyle="1" w:styleId="41">
    <w:name w:val="纯文本 Char1"/>
    <w:basedOn w:val="21"/>
    <w:semiHidden/>
    <w:qFormat/>
    <w:uiPriority w:val="99"/>
    <w:rPr>
      <w:rFonts w:ascii="宋体" w:hAnsi="Courier New" w:eastAsia="宋体" w:cs="Courier New"/>
      <w:szCs w:val="21"/>
    </w:rPr>
  </w:style>
  <w:style w:type="character" w:customStyle="1" w:styleId="42">
    <w:name w:val="引用 Char"/>
    <w:basedOn w:val="21"/>
    <w:link w:val="16"/>
    <w:qFormat/>
    <w:uiPriority w:val="29"/>
    <w:rPr>
      <w:i/>
      <w:iCs/>
      <w:color w:val="000000" w:themeColor="text1"/>
      <w14:textFill>
        <w14:solidFill>
          <w14:schemeClr w14:val="tx1"/>
        </w14:solidFill>
      </w14:textFill>
    </w:rPr>
  </w:style>
  <w:style w:type="character" w:customStyle="1" w:styleId="43">
    <w:name w:val="正文缩进 Char"/>
    <w:link w:val="6"/>
    <w:qFormat/>
    <w:uiPriority w:val="0"/>
  </w:style>
  <w:style w:type="character" w:customStyle="1" w:styleId="44">
    <w:name w:val="批注主题 Char"/>
    <w:basedOn w:val="37"/>
    <w:link w:val="18"/>
    <w:semiHidden/>
    <w:qFormat/>
    <w:uiPriority w:val="99"/>
    <w:rPr>
      <w:b/>
      <w:bCs/>
    </w:rPr>
  </w:style>
  <w:style w:type="paragraph" w:styleId="45">
    <w:name w:val="List Paragraph"/>
    <w:basedOn w:val="1"/>
    <w:unhideWhenUsed/>
    <w:qFormat/>
    <w:uiPriority w:val="99"/>
    <w:pPr>
      <w:ind w:firstLine="420" w:firstLineChars="200"/>
    </w:pPr>
  </w:style>
  <w:style w:type="character" w:customStyle="1" w:styleId="46">
    <w:name w:val="time4"/>
    <w:basedOn w:val="21"/>
    <w:qFormat/>
    <w:uiPriority w:val="0"/>
    <w:rPr>
      <w:color w:val="484848"/>
    </w:rPr>
  </w:style>
  <w:style w:type="character" w:customStyle="1" w:styleId="47">
    <w:name w:val="time"/>
    <w:basedOn w:val="21"/>
    <w:qFormat/>
    <w:uiPriority w:val="0"/>
    <w:rPr>
      <w:color w:val="484848"/>
    </w:rPr>
  </w:style>
  <w:style w:type="paragraph" w:customStyle="1" w:styleId="48">
    <w:name w:val="正文格式"/>
    <w:basedOn w:val="8"/>
    <w:qFormat/>
    <w:uiPriority w:val="0"/>
    <w:pPr>
      <w:widowControl w:val="0"/>
      <w:tabs>
        <w:tab w:val="right" w:leader="dot" w:pos="8296"/>
      </w:tabs>
      <w:spacing w:after="0" w:line="360" w:lineRule="auto"/>
      <w:ind w:left="0" w:firstLine="200" w:firstLineChars="200"/>
      <w:jc w:val="both"/>
    </w:pPr>
    <w:rPr>
      <w:rFonts w:ascii="微软雅黑" w:hAnsi="微软雅黑" w:eastAsia="微软雅黑" w:cs="Times New Roman"/>
      <w:kern w:val="2"/>
      <w:sz w:val="21"/>
    </w:rPr>
  </w:style>
  <w:style w:type="paragraph" w:customStyle="1" w:styleId="49">
    <w:name w:val="正文，段落，小四，22磅行距"/>
    <w:basedOn w:val="1"/>
    <w:qFormat/>
    <w:uiPriority w:val="0"/>
    <w:pPr>
      <w:spacing w:line="440" w:lineRule="exact"/>
      <w:ind w:firstLine="420"/>
    </w:pPr>
    <w:rPr>
      <w:rFonts w:ascii="Calibri" w:hAnsi="Calibri" w:eastAsia="宋体" w:cs="Times New Roman"/>
      <w:kern w:val="0"/>
      <w:sz w:val="24"/>
      <w:szCs w:val="24"/>
    </w:rPr>
  </w:style>
  <w:style w:type="paragraph" w:customStyle="1" w:styleId="50">
    <w:name w:val="p16"/>
    <w:basedOn w:val="1"/>
    <w:qFormat/>
    <w:uiPriority w:val="0"/>
    <w:pPr>
      <w:widowControl/>
      <w:spacing w:after="120"/>
      <w:ind w:left="420"/>
    </w:pPr>
    <w:rPr>
      <w:rFonts w:ascii="仿宋_GB2312" w:hAnsi="宋体" w:eastAsia="仿宋_GB2312" w:cs="仿宋_GB2312"/>
      <w:kern w:val="0"/>
      <w:sz w:val="16"/>
      <w:szCs w:val="1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E78A5-AC87-4CD3-97F1-243E8649722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106</Pages>
  <Words>49577</Words>
  <Characters>53804</Characters>
  <Lines>318</Lines>
  <Paragraphs>89</Paragraphs>
  <TotalTime>26</TotalTime>
  <ScaleCrop>false</ScaleCrop>
  <LinksUpToDate>false</LinksUpToDate>
  <CharactersWithSpaces>55364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2020-08-05T08:29:00Z</dcterms:created>
  <dc:creator>502-2</dc:creator>
  <cp:lastModifiedBy>阿伍珂</cp:lastModifiedBy>
  <cp:lastPrinted>2021-12-15T13:59:00Z</cp:lastPrinted>
  <dcterms:modified xsi:type="dcterms:W3CDTF">2023-04-25T02:23:19Z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E911103D11144D99A394538132676E5A</vt:lpwstr>
  </property>
</Properties>
</file>