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936" w:afterLines="300"/>
        <w:jc w:val="center"/>
        <w:rPr>
          <w:rFonts w:ascii="黑体" w:hAnsi="黑体" w:eastAsia="黑体"/>
          <w:b/>
          <w:sz w:val="52"/>
          <w:szCs w:val="52"/>
        </w:rPr>
      </w:pPr>
      <w:bookmarkStart w:id="275" w:name="_GoBack"/>
      <w:bookmarkEnd w:id="275"/>
      <w:r>
        <w:rPr>
          <w:rFonts w:hint="eastAsia" w:ascii="黑体" w:hAnsi="黑体" w:eastAsia="黑体"/>
          <w:b/>
          <w:sz w:val="52"/>
          <w:szCs w:val="52"/>
        </w:rPr>
        <w:t>阳新县县级政府采购</w:t>
      </w:r>
    </w:p>
    <w:p>
      <w:pPr>
        <w:spacing w:after="936" w:afterLines="300"/>
        <w:jc w:val="center"/>
        <w:rPr>
          <w:rFonts w:ascii="黑体" w:hAnsi="黑体" w:eastAsia="黑体"/>
          <w:b/>
          <w:sz w:val="144"/>
          <w:szCs w:val="144"/>
        </w:rPr>
      </w:pPr>
      <w:r>
        <w:rPr>
          <w:rFonts w:hint="eastAsia" w:ascii="黑体" w:hAnsi="黑体" w:eastAsia="黑体"/>
          <w:b/>
          <w:sz w:val="144"/>
          <w:szCs w:val="144"/>
        </w:rPr>
        <w:t>招 标 文 件</w:t>
      </w:r>
    </w:p>
    <w:p>
      <w:pPr>
        <w:spacing w:line="360" w:lineRule="auto"/>
        <w:ind w:right="1306" w:rightChars="622"/>
        <w:rPr>
          <w:rFonts w:ascii="黑体" w:hAnsi="黑体" w:eastAsia="黑体" w:cs="Times New Roman"/>
          <w:b/>
          <w:bCs/>
          <w:sz w:val="36"/>
          <w:szCs w:val="24"/>
        </w:rPr>
      </w:pPr>
    </w:p>
    <w:p>
      <w:pPr>
        <w:spacing w:line="360" w:lineRule="auto"/>
        <w:ind w:left="2055" w:leftChars="619" w:right="1306" w:rightChars="622" w:hanging="755" w:hangingChars="209"/>
        <w:rPr>
          <w:rFonts w:ascii="黑体" w:hAnsi="黑体" w:eastAsia="黑体" w:cs="Times New Roman"/>
          <w:b/>
          <w:bCs/>
          <w:sz w:val="36"/>
          <w:szCs w:val="24"/>
        </w:rPr>
      </w:pPr>
    </w:p>
    <w:p>
      <w:pPr>
        <w:spacing w:line="360" w:lineRule="auto"/>
        <w:ind w:right="63" w:rightChars="30" w:firstLine="723" w:firstLineChars="200"/>
        <w:rPr>
          <w:rFonts w:ascii="宋体" w:hAnsi="宋体" w:eastAsia="黑体" w:cs="Times New Roman"/>
          <w:color w:val="FF0000"/>
          <w:sz w:val="36"/>
          <w:szCs w:val="36"/>
        </w:rPr>
      </w:pPr>
      <w:r>
        <w:rPr>
          <w:rFonts w:hint="eastAsia" w:ascii="黑体" w:hAnsi="黑体" w:eastAsia="黑体" w:cs="Times New Roman"/>
          <w:b/>
          <w:bCs/>
          <w:sz w:val="36"/>
          <w:szCs w:val="24"/>
        </w:rPr>
        <w:t>项目编号：</w:t>
      </w:r>
      <w:r>
        <w:rPr>
          <w:rFonts w:hint="eastAsia" w:ascii="黑体" w:hAnsi="黑体" w:eastAsia="黑体" w:cs="Times New Roman"/>
          <w:bCs/>
          <w:sz w:val="36"/>
          <w:szCs w:val="24"/>
          <w:u w:val="single"/>
        </w:rPr>
        <w:t>131-2022CG-</w:t>
      </w:r>
      <w:r>
        <w:rPr>
          <w:rFonts w:hint="eastAsia" w:ascii="黑体" w:hAnsi="黑体" w:eastAsia="黑体" w:cs="Times New Roman"/>
          <w:bCs/>
          <w:sz w:val="36"/>
          <w:szCs w:val="24"/>
          <w:u w:val="single"/>
          <w:lang w:val="en-US" w:eastAsia="zh-CN"/>
        </w:rPr>
        <w:t>017</w:t>
      </w:r>
      <w:r>
        <w:rPr>
          <w:rFonts w:hint="eastAsia" w:ascii="黑体" w:hAnsi="黑体" w:eastAsia="黑体" w:cs="Times New Roman"/>
          <w:b/>
          <w:bCs/>
          <w:sz w:val="36"/>
          <w:szCs w:val="24"/>
          <w:u w:val="single"/>
        </w:rPr>
        <w:t xml:space="preserve">                    </w:t>
      </w:r>
    </w:p>
    <w:p>
      <w:pPr>
        <w:spacing w:line="360" w:lineRule="auto"/>
        <w:ind w:right="283" w:rightChars="135" w:firstLine="723" w:firstLineChars="200"/>
        <w:rPr>
          <w:rFonts w:ascii="宋体" w:hAnsi="宋体" w:eastAsia="宋体" w:cs="Times New Roman"/>
          <w:bCs/>
          <w:sz w:val="36"/>
          <w:szCs w:val="24"/>
        </w:rPr>
      </w:pPr>
      <w:r>
        <w:rPr>
          <w:rFonts w:hint="eastAsia" w:ascii="黑体" w:hAnsi="黑体" w:eastAsia="黑体" w:cs="Times New Roman"/>
          <w:b/>
          <w:bCs/>
          <w:sz w:val="36"/>
          <w:szCs w:val="24"/>
        </w:rPr>
        <w:t>采购人：</w:t>
      </w:r>
      <w:r>
        <w:rPr>
          <w:rFonts w:hint="eastAsia" w:ascii="宋体" w:hAnsi="宋体" w:eastAsia="宋体" w:cs="宋体"/>
          <w:sz w:val="36"/>
          <w:szCs w:val="24"/>
          <w:u w:val="single"/>
        </w:rPr>
        <w:t xml:space="preserve">阳新县住房和城乡建设局             </w:t>
      </w:r>
      <w:r>
        <w:rPr>
          <w:rFonts w:hint="eastAsia" w:ascii="黑体" w:hAnsi="黑体" w:eastAsia="黑体" w:cs="Times New Roman"/>
          <w:b/>
          <w:bCs/>
          <w:sz w:val="36"/>
          <w:szCs w:val="24"/>
          <w:u w:val="single"/>
        </w:rPr>
        <w:t xml:space="preserve"> </w:t>
      </w:r>
    </w:p>
    <w:p>
      <w:pPr>
        <w:spacing w:line="360" w:lineRule="auto"/>
        <w:ind w:right="63" w:rightChars="30" w:firstLine="723" w:firstLineChars="200"/>
        <w:jc w:val="left"/>
        <w:rPr>
          <w:rFonts w:ascii="宋体" w:hAnsi="宋体" w:eastAsia="宋体" w:cs="Times New Roman"/>
          <w:bCs/>
          <w:sz w:val="36"/>
          <w:szCs w:val="24"/>
        </w:rPr>
      </w:pPr>
      <w:r>
        <w:rPr>
          <w:rFonts w:hint="eastAsia" w:ascii="黑体" w:hAnsi="黑体" w:eastAsia="黑体" w:cs="Times New Roman"/>
          <w:b/>
          <w:bCs/>
          <w:sz w:val="36"/>
          <w:szCs w:val="24"/>
        </w:rPr>
        <w:t>项目名称：</w:t>
      </w:r>
      <w:r>
        <w:rPr>
          <w:rFonts w:hint="eastAsia" w:ascii="宋体" w:hAnsi="宋体" w:eastAsia="宋体" w:cs="宋体"/>
          <w:sz w:val="36"/>
          <w:szCs w:val="24"/>
          <w:u w:val="single"/>
          <w:lang w:val="hr-HR"/>
        </w:rPr>
        <w:t>阳新县水环境综合治理规划</w:t>
      </w:r>
      <w:r>
        <w:rPr>
          <w:rFonts w:hint="eastAsia" w:ascii="宋体" w:hAnsi="宋体" w:eastAsia="宋体" w:cs="宋体"/>
          <w:sz w:val="36"/>
          <w:szCs w:val="24"/>
          <w:u w:val="single"/>
        </w:rPr>
        <w:t xml:space="preserve">项目      </w:t>
      </w:r>
    </w:p>
    <w:p>
      <w:pPr>
        <w:spacing w:line="360" w:lineRule="auto"/>
        <w:ind w:right="-134" w:rightChars="-64" w:firstLine="723" w:firstLineChars="200"/>
        <w:rPr>
          <w:rFonts w:ascii="宋体" w:hAnsi="宋体" w:eastAsia="黑体" w:cs="Times New Roman"/>
          <w:sz w:val="36"/>
          <w:szCs w:val="36"/>
        </w:rPr>
      </w:pPr>
      <w:r>
        <w:rPr>
          <w:rFonts w:hint="eastAsia" w:ascii="黑体" w:hAnsi="黑体" w:eastAsia="黑体" w:cs="Times New Roman"/>
          <w:b/>
          <w:bCs/>
          <w:sz w:val="36"/>
          <w:szCs w:val="24"/>
        </w:rPr>
        <w:t>采购内容：</w:t>
      </w:r>
      <w:r>
        <w:rPr>
          <w:rFonts w:hint="eastAsia" w:ascii="宋体" w:hAnsi="宋体" w:eastAsia="宋体" w:cs="宋体"/>
          <w:sz w:val="36"/>
          <w:szCs w:val="24"/>
          <w:u w:val="single"/>
          <w:lang w:val="hr-HR"/>
        </w:rPr>
        <w:t>规划</w:t>
      </w:r>
      <w:r>
        <w:rPr>
          <w:rFonts w:hint="eastAsia" w:ascii="宋体" w:hAnsi="宋体" w:eastAsia="宋体" w:cs="宋体"/>
          <w:sz w:val="36"/>
          <w:szCs w:val="24"/>
          <w:u w:val="single"/>
        </w:rPr>
        <w:t>编制</w:t>
      </w:r>
      <w:r>
        <w:rPr>
          <w:rFonts w:hint="eastAsia" w:ascii="宋体" w:hAnsi="宋体" w:eastAsia="宋体" w:cs="宋体"/>
          <w:sz w:val="36"/>
          <w:szCs w:val="24"/>
          <w:u w:val="single"/>
          <w:lang w:val="hr-HR"/>
        </w:rPr>
        <w:t xml:space="preserve">                     </w:t>
      </w:r>
      <w:r>
        <w:rPr>
          <w:rFonts w:hint="eastAsia" w:ascii="宋体" w:hAnsi="宋体" w:eastAsia="宋体" w:cs="宋体"/>
          <w:sz w:val="36"/>
          <w:szCs w:val="24"/>
          <w:u w:val="single"/>
        </w:rPr>
        <w:t xml:space="preserve">    </w:t>
      </w:r>
      <w:r>
        <w:rPr>
          <w:rFonts w:hint="eastAsia" w:ascii="宋体" w:hAnsi="宋体" w:eastAsia="宋体" w:cs="宋体"/>
          <w:sz w:val="36"/>
          <w:szCs w:val="24"/>
          <w:u w:val="single"/>
          <w:lang w:val="hr-HR"/>
        </w:rPr>
        <w:t xml:space="preserve"> </w:t>
      </w:r>
    </w:p>
    <w:p>
      <w:pPr>
        <w:spacing w:line="360" w:lineRule="auto"/>
        <w:ind w:left="2052" w:leftChars="619" w:right="1306" w:rightChars="622" w:hanging="752" w:hangingChars="209"/>
        <w:rPr>
          <w:rFonts w:ascii="宋体" w:hAnsi="宋体" w:eastAsia="宋体" w:cs="Times New Roman"/>
          <w:sz w:val="36"/>
          <w:szCs w:val="36"/>
        </w:rPr>
      </w:pPr>
    </w:p>
    <w:p>
      <w:pPr>
        <w:tabs>
          <w:tab w:val="left" w:pos="7939"/>
        </w:tabs>
        <w:spacing w:line="360" w:lineRule="auto"/>
        <w:jc w:val="center"/>
        <w:rPr>
          <w:rFonts w:ascii="黑体" w:hAnsi="黑体" w:eastAsia="黑体"/>
          <w:b/>
          <w:sz w:val="96"/>
          <w:szCs w:val="96"/>
        </w:rPr>
      </w:pPr>
      <w:r>
        <w:rPr>
          <w:rFonts w:hint="eastAsia" w:ascii="黑体" w:hAnsi="黑体" w:eastAsia="黑体"/>
          <w:b/>
          <w:color w:val="000000" w:themeColor="text1"/>
          <w:sz w:val="56"/>
          <w:szCs w:val="56"/>
          <w14:textFill>
            <w14:solidFill>
              <w14:schemeClr w14:val="tx1"/>
            </w14:solidFill>
          </w14:textFill>
        </w:rPr>
        <w:t>湖北顺成建设工程招标代理有限公司</w:t>
      </w:r>
    </w:p>
    <w:p>
      <w:pPr>
        <w:jc w:val="center"/>
        <w:rPr>
          <w:rFonts w:ascii="黑体" w:hAnsi="黑体" w:eastAsia="黑体"/>
          <w:b/>
          <w:color w:val="FF0000"/>
          <w:sz w:val="44"/>
        </w:rPr>
      </w:pPr>
      <w:r>
        <w:rPr>
          <w:rFonts w:hint="eastAsia" w:ascii="黑体" w:hAnsi="黑体" w:eastAsia="黑体" w:cs="Times New Roman"/>
          <w:b/>
          <w:bCs/>
          <w:sz w:val="44"/>
          <w:szCs w:val="44"/>
          <w:u w:val="single"/>
        </w:rPr>
        <w:t>2022</w:t>
      </w:r>
      <w:r>
        <w:rPr>
          <w:rFonts w:hint="eastAsia" w:ascii="黑体" w:hAnsi="黑体" w:eastAsia="黑体"/>
          <w:b/>
          <w:sz w:val="44"/>
          <w:szCs w:val="44"/>
        </w:rPr>
        <w:t>年</w:t>
      </w:r>
      <w:r>
        <w:rPr>
          <w:rFonts w:hint="eastAsia" w:ascii="黑体" w:hAnsi="黑体" w:eastAsia="黑体" w:cs="Times New Roman"/>
          <w:b/>
          <w:bCs/>
          <w:sz w:val="44"/>
          <w:szCs w:val="44"/>
          <w:u w:val="single"/>
        </w:rPr>
        <w:t>2</w:t>
      </w:r>
      <w:r>
        <w:rPr>
          <w:rFonts w:hint="eastAsia" w:ascii="黑体" w:hAnsi="黑体" w:eastAsia="黑体"/>
          <w:b/>
          <w:sz w:val="44"/>
          <w:szCs w:val="44"/>
        </w:rPr>
        <w:t>月</w:t>
      </w:r>
    </w:p>
    <w:p>
      <w:r>
        <w:br w:type="page"/>
      </w:r>
    </w:p>
    <w:tbl>
      <w:tblPr>
        <w:tblStyle w:val="24"/>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4" w:hRule="atLeast"/>
        </w:trPr>
        <w:tc>
          <w:tcPr>
            <w:tcW w:w="9360" w:type="dxa"/>
          </w:tcPr>
          <w:p>
            <w:pPr>
              <w:rPr>
                <w:rFonts w:ascii="黑体" w:hAnsi="黑体" w:eastAsia="黑体" w:cs="Times New Roman"/>
                <w:b/>
                <w:bCs/>
                <w:sz w:val="36"/>
                <w:szCs w:val="24"/>
              </w:rPr>
            </w:pPr>
          </w:p>
          <w:p>
            <w:pPr>
              <w:rPr>
                <w:rFonts w:ascii="黑体" w:hAnsi="黑体" w:eastAsia="黑体" w:cs="Times New Roman"/>
                <w:b/>
                <w:bCs/>
                <w:sz w:val="36"/>
                <w:szCs w:val="24"/>
              </w:rPr>
            </w:pPr>
          </w:p>
          <w:p>
            <w:pPr>
              <w:rPr>
                <w:rFonts w:ascii="黑体" w:hAnsi="黑体" w:eastAsia="宋体" w:cs="Times New Roman"/>
                <w:b/>
                <w:bCs/>
                <w:sz w:val="36"/>
                <w:szCs w:val="24"/>
                <w:u w:val="single"/>
              </w:rPr>
            </w:pPr>
            <w:r>
              <w:rPr>
                <w:rFonts w:hint="eastAsia" w:ascii="黑体" w:hAnsi="黑体" w:eastAsia="黑体" w:cs="Times New Roman"/>
                <w:b/>
                <w:bCs/>
                <w:sz w:val="36"/>
                <w:szCs w:val="24"/>
              </w:rPr>
              <w:t>项目名称：</w:t>
            </w:r>
            <w:r>
              <w:rPr>
                <w:rFonts w:hint="eastAsia" w:ascii="宋体" w:hAnsi="宋体" w:eastAsia="宋体" w:cs="宋体"/>
                <w:sz w:val="36"/>
                <w:szCs w:val="24"/>
                <w:u w:val="single"/>
                <w:lang w:val="hr-HR"/>
              </w:rPr>
              <w:t>阳新县水环境综合治理规划</w:t>
            </w:r>
            <w:r>
              <w:rPr>
                <w:rFonts w:hint="eastAsia" w:ascii="宋体" w:hAnsi="宋体" w:eastAsia="宋体" w:cs="宋体"/>
                <w:sz w:val="36"/>
                <w:szCs w:val="24"/>
                <w:u w:val="single"/>
              </w:rPr>
              <w:t>项目</w:t>
            </w:r>
          </w:p>
          <w:p>
            <w:pPr>
              <w:rPr>
                <w:rFonts w:ascii="黑体" w:hAnsi="黑体" w:eastAsia="黑体" w:cs="Times New Roman"/>
                <w:b/>
                <w:bCs/>
                <w:sz w:val="36"/>
                <w:szCs w:val="24"/>
                <w:u w:val="single"/>
              </w:rPr>
            </w:pPr>
          </w:p>
          <w:p>
            <w:pPr>
              <w:rPr>
                <w:rFonts w:ascii="黑体" w:hAnsi="黑体" w:eastAsia="黑体" w:cs="Times New Roman"/>
                <w:b/>
                <w:bCs/>
                <w:sz w:val="36"/>
                <w:szCs w:val="24"/>
                <w:u w:val="single"/>
              </w:rPr>
            </w:pPr>
          </w:p>
          <w:p>
            <w:pPr>
              <w:rPr>
                <w:rFonts w:ascii="黑体" w:hAnsi="黑体" w:eastAsia="黑体" w:cs="Times New Roman"/>
                <w:b/>
                <w:bCs/>
                <w:sz w:val="36"/>
                <w:szCs w:val="24"/>
                <w:u w:val="single"/>
              </w:rPr>
            </w:pPr>
          </w:p>
          <w:p>
            <w:pPr>
              <w:rPr>
                <w:rFonts w:ascii="黑体" w:hAnsi="黑体" w:eastAsia="黑体" w:cs="Times New Roman"/>
                <w:b/>
                <w:bCs/>
                <w:sz w:val="36"/>
                <w:szCs w:val="24"/>
                <w:u w:val="single"/>
              </w:rPr>
            </w:pPr>
          </w:p>
          <w:p>
            <w:pPr>
              <w:rPr>
                <w:rFonts w:ascii="黑体" w:hAnsi="黑体" w:eastAsia="黑体" w:cs="Times New Roman"/>
                <w:b/>
                <w:bCs/>
                <w:sz w:val="36"/>
                <w:szCs w:val="24"/>
              </w:rPr>
            </w:pPr>
            <w:r>
              <w:rPr>
                <w:rFonts w:hint="eastAsia" w:ascii="黑体" w:hAnsi="黑体" w:eastAsia="黑体" w:cs="Times New Roman"/>
                <w:b/>
                <w:bCs/>
                <w:sz w:val="36"/>
                <w:szCs w:val="24"/>
              </w:rPr>
              <w:t>采购人意见：</w:t>
            </w:r>
          </w:p>
          <w:p>
            <w:pPr>
              <w:rPr>
                <w:rFonts w:ascii="黑体" w:hAnsi="黑体" w:eastAsia="黑体" w:cs="Times New Roman"/>
                <w:b/>
                <w:bCs/>
                <w:sz w:val="36"/>
                <w:szCs w:val="24"/>
              </w:rPr>
            </w:pPr>
          </w:p>
          <w:p>
            <w:pPr>
              <w:rPr>
                <w:rFonts w:ascii="黑体" w:hAnsi="黑体" w:eastAsia="黑体" w:cs="Times New Roman"/>
                <w:b/>
                <w:bCs/>
                <w:sz w:val="36"/>
                <w:szCs w:val="24"/>
              </w:rPr>
            </w:pPr>
          </w:p>
          <w:p>
            <w:pPr>
              <w:rPr>
                <w:rFonts w:ascii="黑体" w:hAnsi="黑体" w:eastAsia="黑体" w:cs="Times New Roman"/>
                <w:b/>
                <w:bCs/>
                <w:sz w:val="36"/>
                <w:szCs w:val="24"/>
              </w:rPr>
            </w:pPr>
          </w:p>
          <w:p>
            <w:pPr>
              <w:rPr>
                <w:rFonts w:ascii="黑体" w:hAnsi="黑体" w:eastAsia="黑体" w:cs="Times New Roman"/>
                <w:b/>
                <w:bCs/>
                <w:sz w:val="36"/>
                <w:szCs w:val="24"/>
              </w:rPr>
            </w:pPr>
          </w:p>
          <w:p>
            <w:pPr>
              <w:jc w:val="right"/>
              <w:rPr>
                <w:rFonts w:ascii="黑体" w:hAnsi="黑体" w:eastAsia="黑体" w:cs="Times New Roman"/>
                <w:b/>
                <w:bCs/>
                <w:sz w:val="36"/>
                <w:szCs w:val="24"/>
              </w:rPr>
            </w:pPr>
            <w:r>
              <w:rPr>
                <w:rFonts w:hint="eastAsia" w:ascii="黑体" w:hAnsi="黑体" w:eastAsia="黑体" w:cs="Times New Roman"/>
                <w:b/>
                <w:bCs/>
                <w:sz w:val="36"/>
                <w:szCs w:val="24"/>
              </w:rPr>
              <w:t>年   月  日</w:t>
            </w:r>
          </w:p>
        </w:tc>
      </w:tr>
    </w:tbl>
    <w:p>
      <w:pPr>
        <w:sectPr>
          <w:headerReference r:id="rId3" w:type="default"/>
          <w:footerReference r:id="rId5" w:type="default"/>
          <w:headerReference r:id="rId4" w:type="even"/>
          <w:footerReference r:id="rId6" w:type="even"/>
          <w:pgSz w:w="11906" w:h="16838"/>
          <w:pgMar w:top="3402" w:right="1191" w:bottom="1134" w:left="1191" w:header="680" w:footer="680" w:gutter="0"/>
          <w:cols w:space="425" w:num="1"/>
          <w:docGrid w:type="lines" w:linePitch="312" w:charSpace="0"/>
        </w:sectPr>
      </w:pPr>
    </w:p>
    <w:p>
      <w:pPr>
        <w:spacing w:before="312" w:beforeLines="100"/>
        <w:jc w:val="center"/>
        <w:rPr>
          <w:rFonts w:ascii="黑体" w:hAnsi="黑体" w:eastAsia="黑体"/>
          <w:sz w:val="44"/>
          <w:szCs w:val="44"/>
        </w:rPr>
      </w:pPr>
      <w:r>
        <w:rPr>
          <w:rFonts w:hint="eastAsia" w:ascii="黑体" w:hAnsi="黑体" w:eastAsia="黑体"/>
          <w:sz w:val="44"/>
          <w:szCs w:val="44"/>
        </w:rPr>
        <w:t>目   录</w:t>
      </w:r>
    </w:p>
    <w:sdt>
      <w:sdtPr>
        <w:rPr>
          <w:lang w:val="zh-CN"/>
        </w:rPr>
        <w:id w:val="1482579200"/>
      </w:sdtPr>
      <w:sdtEndPr>
        <w:rPr>
          <w:b w:val="0"/>
          <w:bCs/>
          <w:lang w:val="zh-CN"/>
        </w:rPr>
      </w:sdtEndPr>
      <w:sdtContent>
        <w:p>
          <w:pPr>
            <w:pStyle w:val="16"/>
            <w:tabs>
              <w:tab w:val="left" w:pos="1260"/>
              <w:tab w:val="right" w:leader="dot" w:pos="9514"/>
            </w:tabs>
            <w:rPr>
              <w:rFonts w:eastAsiaTheme="minorEastAsia"/>
              <w:b w:val="0"/>
              <w:kern w:val="2"/>
              <w:sz w:val="21"/>
            </w:rPr>
          </w:pPr>
          <w:r>
            <w:fldChar w:fldCharType="begin"/>
          </w:r>
          <w:r>
            <w:instrText xml:space="preserve"> TOC \o "1-2" \h \z \u </w:instrText>
          </w:r>
          <w:r>
            <w:fldChar w:fldCharType="separate"/>
          </w:r>
          <w:r>
            <w:fldChar w:fldCharType="begin"/>
          </w:r>
          <w:r>
            <w:instrText xml:space="preserve"> HYPERLINK \l "_Toc495861517" </w:instrText>
          </w:r>
          <w:r>
            <w:fldChar w:fldCharType="separate"/>
          </w:r>
          <w:r>
            <w:rPr>
              <w:rStyle w:val="28"/>
              <w:rFonts w:hint="eastAsia" w:ascii="黑体" w:hAnsi="黑体"/>
            </w:rPr>
            <w:t>第一章</w:t>
          </w:r>
          <w:r>
            <w:rPr>
              <w:rFonts w:eastAsiaTheme="minorEastAsia"/>
              <w:b w:val="0"/>
              <w:kern w:val="2"/>
              <w:sz w:val="21"/>
            </w:rPr>
            <w:tab/>
          </w:r>
          <w:r>
            <w:rPr>
              <w:rStyle w:val="28"/>
              <w:rFonts w:hint="eastAsia" w:ascii="黑体" w:hAnsi="黑体"/>
            </w:rPr>
            <w:t>投标邀请书</w:t>
          </w:r>
          <w:r>
            <w:tab/>
          </w:r>
          <w:r>
            <w:fldChar w:fldCharType="begin"/>
          </w:r>
          <w:r>
            <w:instrText xml:space="preserve"> PAGEREF _Toc495861517 \h </w:instrText>
          </w:r>
          <w:r>
            <w:fldChar w:fldCharType="separate"/>
          </w:r>
          <w:r>
            <w:t>5</w:t>
          </w:r>
          <w:r>
            <w:fldChar w:fldCharType="end"/>
          </w:r>
          <w:r>
            <w:fldChar w:fldCharType="end"/>
          </w:r>
        </w:p>
        <w:p>
          <w:pPr>
            <w:pStyle w:val="16"/>
            <w:tabs>
              <w:tab w:val="left" w:pos="1260"/>
              <w:tab w:val="right" w:leader="dot" w:pos="9514"/>
            </w:tabs>
            <w:rPr>
              <w:rFonts w:eastAsiaTheme="minorEastAsia"/>
              <w:b w:val="0"/>
              <w:kern w:val="2"/>
              <w:sz w:val="21"/>
            </w:rPr>
          </w:pPr>
          <w:r>
            <w:fldChar w:fldCharType="begin"/>
          </w:r>
          <w:r>
            <w:instrText xml:space="preserve"> HYPERLINK \l "_Toc495861518" </w:instrText>
          </w:r>
          <w:r>
            <w:fldChar w:fldCharType="separate"/>
          </w:r>
          <w:r>
            <w:rPr>
              <w:rStyle w:val="28"/>
              <w:rFonts w:hint="eastAsia" w:ascii="黑体" w:hAnsi="黑体"/>
            </w:rPr>
            <w:t>第二章</w:t>
          </w:r>
          <w:r>
            <w:rPr>
              <w:rFonts w:eastAsiaTheme="minorEastAsia"/>
              <w:b w:val="0"/>
              <w:kern w:val="2"/>
              <w:sz w:val="21"/>
            </w:rPr>
            <w:tab/>
          </w:r>
          <w:r>
            <w:rPr>
              <w:rStyle w:val="28"/>
              <w:rFonts w:hint="eastAsia" w:ascii="黑体" w:hAnsi="黑体"/>
            </w:rPr>
            <w:t>投标人须知</w:t>
          </w:r>
          <w:r>
            <w:tab/>
          </w:r>
          <w:r>
            <w:fldChar w:fldCharType="begin"/>
          </w:r>
          <w:r>
            <w:instrText xml:space="preserve"> PAGEREF _Toc495861518 \h </w:instrText>
          </w:r>
          <w:r>
            <w:fldChar w:fldCharType="separate"/>
          </w:r>
          <w:r>
            <w:t>9</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"_Toc495861519" </w:instrText>
          </w:r>
          <w:r>
            <w:fldChar w:fldCharType="separate"/>
          </w:r>
          <w:r>
            <w:rPr>
              <w:rStyle w:val="28"/>
              <w:rFonts w:hint="eastAsia" w:cs="Times New Roman" w:asciiTheme="majorEastAsia" w:hAnsiTheme="majorEastAsia" w:eastAsiaTheme="majorEastAsia"/>
              <w:b/>
              <w:bCs/>
              <w:lang w:val="zh-CN"/>
            </w:rPr>
            <w:t>投标须知前附表</w:t>
          </w:r>
          <w:r>
            <w:tab/>
          </w:r>
          <w:r>
            <w:fldChar w:fldCharType="begin"/>
          </w:r>
          <w:r>
            <w:instrText xml:space="preserve"> PAGEREF _Toc495861519 \h </w:instrText>
          </w:r>
          <w:r>
            <w:fldChar w:fldCharType="separate"/>
          </w:r>
          <w:r>
            <w:t>9</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"_Toc495861520" </w:instrText>
          </w:r>
          <w:r>
            <w:fldChar w:fldCharType="separate"/>
          </w:r>
          <w:r>
            <w:rPr>
              <w:rStyle w:val="28"/>
              <w:rFonts w:hint="eastAsia" w:cs="Times New Roman" w:asciiTheme="majorEastAsia" w:hAnsiTheme="majorEastAsia"/>
              <w:lang w:val="zh-CN"/>
            </w:rPr>
            <w:t>一、</w:t>
          </w:r>
          <w:r>
            <w:rPr>
              <w:rFonts w:asciiTheme="minorHAnsi" w:hAnsiTheme="minorHAnsi"/>
              <w:iCs w:val="0"/>
              <w:color w:val="auto"/>
              <w:kern w:val="2"/>
              <w:sz w:val="21"/>
            </w:rPr>
            <w:tab/>
          </w:r>
          <w:r>
            <w:rPr>
              <w:rStyle w:val="28"/>
              <w:rFonts w:hint="eastAsia" w:cs="Times New Roman" w:asciiTheme="majorEastAsia" w:hAnsiTheme="majorEastAsia"/>
              <w:lang w:val="zh-CN"/>
            </w:rPr>
            <w:t>说明</w:t>
          </w:r>
          <w:r>
            <w:tab/>
          </w:r>
          <w:r>
            <w:fldChar w:fldCharType="begin"/>
          </w:r>
          <w:r>
            <w:instrText xml:space="preserve"> PAGEREF _Toc495861520 \h </w:instrText>
          </w:r>
          <w:r>
            <w:fldChar w:fldCharType="separate"/>
          </w:r>
          <w:r>
            <w:t>10</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"_Toc495861521" </w:instrText>
          </w:r>
          <w:r>
            <w:fldChar w:fldCharType="separate"/>
          </w:r>
          <w:r>
            <w:rPr>
              <w:rStyle w:val="28"/>
              <w:rFonts w:hint="eastAsia" w:cs="Times New Roman" w:asciiTheme="majorEastAsia" w:hAnsiTheme="majorEastAsia"/>
              <w:lang w:val="zh-CN"/>
            </w:rPr>
            <w:t>二、</w:t>
          </w:r>
          <w:r>
            <w:rPr>
              <w:rFonts w:asciiTheme="minorHAnsi" w:hAnsiTheme="minorHAnsi"/>
              <w:iCs w:val="0"/>
              <w:color w:val="auto"/>
              <w:kern w:val="2"/>
              <w:sz w:val="21"/>
            </w:rPr>
            <w:tab/>
          </w:r>
          <w:r>
            <w:rPr>
              <w:rStyle w:val="28"/>
              <w:rFonts w:hint="eastAsia" w:cs="Times New Roman" w:asciiTheme="majorEastAsia" w:hAnsiTheme="majorEastAsia"/>
              <w:lang w:val="zh-CN"/>
            </w:rPr>
            <w:t>招标文件</w:t>
          </w:r>
          <w:r>
            <w:tab/>
          </w:r>
          <w:r>
            <w:fldChar w:fldCharType="begin"/>
          </w:r>
          <w:r>
            <w:instrText xml:space="preserve"> PAGEREF _Toc495861521 \h </w:instrText>
          </w:r>
          <w:r>
            <w:fldChar w:fldCharType="separate"/>
          </w:r>
          <w:r>
            <w:t>11</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"_Toc495861522" </w:instrText>
          </w:r>
          <w:r>
            <w:fldChar w:fldCharType="separate"/>
          </w:r>
          <w:r>
            <w:rPr>
              <w:rStyle w:val="28"/>
              <w:rFonts w:hint="eastAsia" w:cs="Times New Roman" w:asciiTheme="majorEastAsia" w:hAnsiTheme="majorEastAsia"/>
              <w:lang w:val="zh-CN"/>
            </w:rPr>
            <w:t>三、</w:t>
          </w:r>
          <w:r>
            <w:rPr>
              <w:rFonts w:asciiTheme="minorHAnsi" w:hAnsiTheme="minorHAnsi"/>
              <w:iCs w:val="0"/>
              <w:color w:val="auto"/>
              <w:kern w:val="2"/>
              <w:sz w:val="21"/>
            </w:rPr>
            <w:tab/>
          </w:r>
          <w:r>
            <w:rPr>
              <w:rStyle w:val="28"/>
              <w:rFonts w:hint="eastAsia" w:cs="Times New Roman" w:asciiTheme="majorEastAsia" w:hAnsiTheme="majorEastAsia"/>
              <w:lang w:val="zh-CN"/>
            </w:rPr>
            <w:t>投标文件</w:t>
          </w:r>
          <w:r>
            <w:tab/>
          </w:r>
          <w:r>
            <w:fldChar w:fldCharType="begin"/>
          </w:r>
          <w:r>
            <w:instrText xml:space="preserve"> PAGEREF _Toc495861522 \h </w:instrText>
          </w:r>
          <w:r>
            <w:fldChar w:fldCharType="separate"/>
          </w:r>
          <w:r>
            <w:t>12</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"_Toc495861523" </w:instrText>
          </w:r>
          <w:r>
            <w:fldChar w:fldCharType="separate"/>
          </w:r>
          <w:r>
            <w:rPr>
              <w:rStyle w:val="28"/>
              <w:rFonts w:hint="eastAsia" w:cs="Times New Roman" w:asciiTheme="majorEastAsia" w:hAnsiTheme="majorEastAsia"/>
              <w:lang w:val="zh-CN"/>
            </w:rPr>
            <w:t>四、</w:t>
          </w:r>
          <w:r>
            <w:rPr>
              <w:rFonts w:asciiTheme="minorHAnsi" w:hAnsiTheme="minorHAnsi"/>
              <w:iCs w:val="0"/>
              <w:color w:val="auto"/>
              <w:kern w:val="2"/>
              <w:sz w:val="21"/>
            </w:rPr>
            <w:tab/>
          </w:r>
          <w:r>
            <w:rPr>
              <w:rStyle w:val="28"/>
              <w:rFonts w:hint="eastAsia" w:cs="Times New Roman" w:asciiTheme="majorEastAsia" w:hAnsiTheme="majorEastAsia"/>
              <w:lang w:val="zh-CN"/>
            </w:rPr>
            <w:t>开标与评标</w:t>
          </w:r>
          <w:r>
            <w:tab/>
          </w:r>
          <w:r>
            <w:fldChar w:fldCharType="begin"/>
          </w:r>
          <w:r>
            <w:instrText xml:space="preserve"> PAGEREF _Toc495861523 \h </w:instrText>
          </w:r>
          <w:r>
            <w:fldChar w:fldCharType="separate"/>
          </w:r>
          <w:r>
            <w:t>16</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"_Toc495861524" </w:instrText>
          </w:r>
          <w:r>
            <w:fldChar w:fldCharType="separate"/>
          </w:r>
          <w:r>
            <w:rPr>
              <w:rStyle w:val="28"/>
              <w:rFonts w:hint="eastAsia" w:cs="Times New Roman" w:asciiTheme="majorEastAsia" w:hAnsiTheme="majorEastAsia"/>
              <w:lang w:val="zh-CN"/>
            </w:rPr>
            <w:t>五、</w:t>
          </w:r>
          <w:r>
            <w:rPr>
              <w:rFonts w:asciiTheme="minorHAnsi" w:hAnsiTheme="minorHAnsi"/>
              <w:iCs w:val="0"/>
              <w:color w:val="auto"/>
              <w:kern w:val="2"/>
              <w:sz w:val="21"/>
            </w:rPr>
            <w:tab/>
          </w:r>
          <w:r>
            <w:rPr>
              <w:rStyle w:val="28"/>
              <w:rFonts w:hint="eastAsia" w:cs="Times New Roman" w:asciiTheme="majorEastAsia" w:hAnsiTheme="majorEastAsia"/>
              <w:lang w:val="zh-CN"/>
            </w:rPr>
            <w:t>投标人信用信息及查询</w:t>
          </w:r>
          <w:r>
            <w:tab/>
          </w:r>
          <w:r>
            <w:fldChar w:fldCharType="begin"/>
          </w:r>
          <w:r>
            <w:instrText xml:space="preserve"> PAGEREF _Toc495861524 \h </w:instrText>
          </w:r>
          <w:r>
            <w:fldChar w:fldCharType="separate"/>
          </w:r>
          <w:r>
            <w:t>18</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"_Toc495861525" </w:instrText>
          </w:r>
          <w:r>
            <w:fldChar w:fldCharType="separate"/>
          </w:r>
          <w:r>
            <w:rPr>
              <w:rStyle w:val="28"/>
              <w:rFonts w:hint="eastAsia" w:cs="Times New Roman" w:asciiTheme="majorEastAsia" w:hAnsiTheme="majorEastAsia"/>
              <w:lang w:val="zh-CN"/>
            </w:rPr>
            <w:t>六、</w:t>
          </w:r>
          <w:r>
            <w:rPr>
              <w:rFonts w:asciiTheme="minorHAnsi" w:hAnsiTheme="minorHAnsi"/>
              <w:iCs w:val="0"/>
              <w:color w:val="auto"/>
              <w:kern w:val="2"/>
              <w:sz w:val="21"/>
            </w:rPr>
            <w:tab/>
          </w:r>
          <w:r>
            <w:rPr>
              <w:rStyle w:val="28"/>
              <w:rFonts w:hint="eastAsia" w:cs="Times New Roman" w:asciiTheme="majorEastAsia" w:hAnsiTheme="majorEastAsia"/>
              <w:lang w:val="zh-CN"/>
            </w:rPr>
            <w:t>中标与合同</w:t>
          </w:r>
          <w:r>
            <w:tab/>
          </w:r>
          <w:r>
            <w:fldChar w:fldCharType="begin"/>
          </w:r>
          <w:r>
            <w:instrText xml:space="preserve"> PAGEREF _Toc495861525 \h </w:instrText>
          </w:r>
          <w:r>
            <w:fldChar w:fldCharType="separate"/>
          </w:r>
          <w:r>
            <w:t>18</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"_Toc495861526" </w:instrText>
          </w:r>
          <w:r>
            <w:fldChar w:fldCharType="separate"/>
          </w:r>
          <w:r>
            <w:rPr>
              <w:rStyle w:val="28"/>
              <w:rFonts w:hint="eastAsia" w:cs="Times New Roman" w:asciiTheme="majorEastAsia" w:hAnsiTheme="majorEastAsia"/>
              <w:lang w:val="zh-CN"/>
            </w:rPr>
            <w:t>七、</w:t>
          </w:r>
          <w:r>
            <w:rPr>
              <w:rFonts w:asciiTheme="minorHAnsi" w:hAnsiTheme="minorHAnsi"/>
              <w:iCs w:val="0"/>
              <w:color w:val="auto"/>
              <w:kern w:val="2"/>
              <w:sz w:val="21"/>
            </w:rPr>
            <w:tab/>
          </w:r>
          <w:r>
            <w:rPr>
              <w:rStyle w:val="28"/>
              <w:rFonts w:hint="eastAsia" w:cs="Times New Roman" w:asciiTheme="majorEastAsia" w:hAnsiTheme="majorEastAsia"/>
              <w:lang w:val="zh-CN"/>
            </w:rPr>
            <w:t>采购信息公告</w:t>
          </w:r>
          <w:r>
            <w:tab/>
          </w:r>
          <w:r>
            <w:fldChar w:fldCharType="begin"/>
          </w:r>
          <w:r>
            <w:instrText xml:space="preserve"> PAGEREF _Toc495861526 \h </w:instrText>
          </w:r>
          <w:r>
            <w:fldChar w:fldCharType="separate"/>
          </w:r>
          <w:r>
            <w:t>19</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"_Toc495861527" </w:instrText>
          </w:r>
          <w:r>
            <w:fldChar w:fldCharType="separate"/>
          </w:r>
          <w:r>
            <w:rPr>
              <w:rStyle w:val="28"/>
              <w:rFonts w:hint="eastAsia" w:cs="Times New Roman" w:asciiTheme="majorEastAsia" w:hAnsiTheme="majorEastAsia"/>
              <w:lang w:val="zh-CN"/>
            </w:rPr>
            <w:t>八、</w:t>
          </w:r>
          <w:r>
            <w:rPr>
              <w:rFonts w:asciiTheme="minorHAnsi" w:hAnsiTheme="minorHAnsi"/>
              <w:iCs w:val="0"/>
              <w:color w:val="auto"/>
              <w:kern w:val="2"/>
              <w:sz w:val="21"/>
            </w:rPr>
            <w:tab/>
          </w:r>
          <w:r>
            <w:rPr>
              <w:rStyle w:val="28"/>
              <w:rFonts w:hint="eastAsia" w:cs="Times New Roman" w:asciiTheme="majorEastAsia" w:hAnsiTheme="majorEastAsia"/>
              <w:lang w:val="zh-CN"/>
            </w:rPr>
            <w:t>质疑及提交</w:t>
          </w:r>
          <w:r>
            <w:tab/>
          </w:r>
          <w:r>
            <w:fldChar w:fldCharType="begin"/>
          </w:r>
          <w:r>
            <w:instrText xml:space="preserve"> PAGEREF _Toc495861527 \h </w:instrText>
          </w:r>
          <w:r>
            <w:fldChar w:fldCharType="separate"/>
          </w:r>
          <w:r>
            <w:t>20</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"_Toc495861528" </w:instrText>
          </w:r>
          <w:r>
            <w:fldChar w:fldCharType="separate"/>
          </w:r>
          <w:r>
            <w:rPr>
              <w:rStyle w:val="28"/>
              <w:rFonts w:hint="eastAsia" w:cs="Times New Roman" w:asciiTheme="majorEastAsia" w:hAnsiTheme="majorEastAsia"/>
              <w:lang w:val="zh-CN"/>
            </w:rPr>
            <w:t>九、</w:t>
          </w:r>
          <w:r>
            <w:rPr>
              <w:rFonts w:asciiTheme="minorHAnsi" w:hAnsiTheme="minorHAnsi"/>
              <w:iCs w:val="0"/>
              <w:color w:val="auto"/>
              <w:kern w:val="2"/>
              <w:sz w:val="21"/>
            </w:rPr>
            <w:tab/>
          </w:r>
          <w:r>
            <w:rPr>
              <w:rStyle w:val="28"/>
              <w:rFonts w:hint="eastAsia" w:cs="Times New Roman" w:asciiTheme="majorEastAsia" w:hAnsiTheme="majorEastAsia"/>
              <w:lang w:val="zh-CN"/>
            </w:rPr>
            <w:t>相关条文解读</w:t>
          </w:r>
          <w:r>
            <w:tab/>
          </w:r>
          <w:r>
            <w:fldChar w:fldCharType="begin"/>
          </w:r>
          <w:r>
            <w:instrText xml:space="preserve"> PAGEREF _Toc495861528 \h </w:instrText>
          </w:r>
          <w:r>
            <w:fldChar w:fldCharType="separate"/>
          </w:r>
          <w:r>
            <w:t>21</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"_Toc495861529" </w:instrText>
          </w:r>
          <w:r>
            <w:fldChar w:fldCharType="separate"/>
          </w:r>
          <w:r>
            <w:rPr>
              <w:rStyle w:val="28"/>
              <w:rFonts w:hint="eastAsia" w:cs="Times New Roman" w:asciiTheme="majorEastAsia" w:hAnsiTheme="majorEastAsia"/>
              <w:lang w:val="zh-CN"/>
            </w:rPr>
            <w:t>十、</w:t>
          </w:r>
          <w:r>
            <w:rPr>
              <w:rFonts w:asciiTheme="minorHAnsi" w:hAnsiTheme="minorHAnsi"/>
              <w:iCs w:val="0"/>
              <w:color w:val="auto"/>
              <w:kern w:val="2"/>
              <w:sz w:val="21"/>
            </w:rPr>
            <w:tab/>
          </w:r>
          <w:r>
            <w:rPr>
              <w:rStyle w:val="28"/>
              <w:rFonts w:hint="eastAsia" w:cs="Times New Roman" w:asciiTheme="majorEastAsia" w:hAnsiTheme="majorEastAsia"/>
              <w:lang w:val="zh-CN"/>
            </w:rPr>
            <w:t>其他注意事项</w:t>
          </w:r>
          <w:r>
            <w:tab/>
          </w:r>
          <w:r>
            <w:fldChar w:fldCharType="begin"/>
          </w:r>
          <w:r>
            <w:instrText xml:space="preserve"> PAGEREF _Toc495861529 \h </w:instrText>
          </w:r>
          <w:r>
            <w:fldChar w:fldCharType="separate"/>
          </w:r>
          <w:r>
            <w:t>21</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"_Toc495861530" </w:instrText>
          </w:r>
          <w:r>
            <w:fldChar w:fldCharType="separate"/>
          </w:r>
          <w:r>
            <w:rPr>
              <w:rStyle w:val="28"/>
              <w:rFonts w:hint="eastAsia" w:cs="Times New Roman" w:asciiTheme="majorEastAsia" w:hAnsiTheme="majorEastAsia"/>
              <w:lang w:val="zh-CN"/>
            </w:rPr>
            <w:t>十一、</w:t>
          </w:r>
          <w:r>
            <w:rPr>
              <w:rFonts w:asciiTheme="minorHAnsi" w:hAnsiTheme="minorHAnsi"/>
              <w:iCs w:val="0"/>
              <w:color w:val="auto"/>
              <w:kern w:val="2"/>
              <w:sz w:val="21"/>
            </w:rPr>
            <w:tab/>
          </w:r>
          <w:r>
            <w:rPr>
              <w:rStyle w:val="28"/>
              <w:rFonts w:hint="eastAsia" w:cs="Times New Roman" w:asciiTheme="majorEastAsia" w:hAnsiTheme="majorEastAsia"/>
              <w:lang w:val="zh-CN"/>
            </w:rPr>
            <w:t>适用法律</w:t>
          </w:r>
          <w:r>
            <w:tab/>
          </w:r>
          <w:r>
            <w:fldChar w:fldCharType="begin"/>
          </w:r>
          <w:r>
            <w:instrText xml:space="preserve"> PAGEREF _Toc495861530 \h </w:instrText>
          </w:r>
          <w:r>
            <w:fldChar w:fldCharType="separate"/>
          </w:r>
          <w:r>
            <w:t>21</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"_Toc495861531" </w:instrText>
          </w:r>
          <w:r>
            <w:fldChar w:fldCharType="separate"/>
          </w:r>
          <w:r>
            <w:rPr>
              <w:rStyle w:val="28"/>
              <w:rFonts w:hint="eastAsia" w:cs="Times New Roman" w:asciiTheme="majorEastAsia" w:hAnsiTheme="majorEastAsia"/>
              <w:lang w:val="zh-CN"/>
            </w:rPr>
            <w:t>十二、</w:t>
          </w:r>
          <w:r>
            <w:rPr>
              <w:rFonts w:asciiTheme="minorHAnsi" w:hAnsiTheme="minorHAnsi"/>
              <w:iCs w:val="0"/>
              <w:color w:val="auto"/>
              <w:kern w:val="2"/>
              <w:sz w:val="21"/>
            </w:rPr>
            <w:tab/>
          </w:r>
          <w:r>
            <w:rPr>
              <w:rStyle w:val="28"/>
              <w:rFonts w:hint="eastAsia" w:cs="Times New Roman" w:asciiTheme="majorEastAsia" w:hAnsiTheme="majorEastAsia"/>
              <w:lang w:val="zh-CN"/>
            </w:rPr>
            <w:t>招标文件的解释权</w:t>
          </w:r>
          <w:r>
            <w:tab/>
          </w:r>
          <w:r>
            <w:fldChar w:fldCharType="begin"/>
          </w:r>
          <w:r>
            <w:instrText xml:space="preserve"> PAGEREF _Toc495861531 \h </w:instrText>
          </w:r>
          <w:r>
            <w:fldChar w:fldCharType="separate"/>
          </w:r>
          <w:r>
            <w:t>21</w:t>
          </w:r>
          <w:r>
            <w:fldChar w:fldCharType="end"/>
          </w:r>
          <w:r>
            <w:fldChar w:fldCharType="end"/>
          </w:r>
        </w:p>
        <w:p>
          <w:pPr>
            <w:pStyle w:val="16"/>
            <w:tabs>
              <w:tab w:val="left" w:pos="1260"/>
              <w:tab w:val="right" w:leader="dot" w:pos="9514"/>
            </w:tabs>
            <w:rPr>
              <w:kern w:val="2"/>
              <w:sz w:val="21"/>
            </w:rPr>
          </w:pPr>
          <w:r>
            <w:fldChar w:fldCharType="begin"/>
          </w:r>
          <w:r>
            <w:instrText xml:space="preserve"> HYPERLINK \l "_Toc495861532" </w:instrText>
          </w:r>
          <w:r>
            <w:fldChar w:fldCharType="separate"/>
          </w:r>
          <w:r>
            <w:rPr>
              <w:rStyle w:val="28"/>
              <w:rFonts w:hint="eastAsia" w:ascii="黑体" w:hAnsi="黑体"/>
            </w:rPr>
            <w:t>第三章</w:t>
          </w:r>
          <w:r>
            <w:rPr>
              <w:rFonts w:eastAsiaTheme="minorEastAsia"/>
              <w:b w:val="0"/>
              <w:kern w:val="2"/>
              <w:sz w:val="21"/>
            </w:rPr>
            <w:tab/>
          </w:r>
          <w:r>
            <w:rPr>
              <w:rStyle w:val="28"/>
              <w:rFonts w:hint="eastAsia" w:ascii="黑体" w:hAnsi="黑体"/>
            </w:rPr>
            <w:t>项目技术、服务及商务要求</w:t>
          </w:r>
          <w:r>
            <w:tab/>
          </w:r>
          <w:r>
            <w:fldChar w:fldCharType="begin"/>
          </w:r>
          <w:r>
            <w:instrText xml:space="preserve"> PAGEREF _Toc495861532 \h </w:instrText>
          </w:r>
          <w:r>
            <w:fldChar w:fldCharType="separate"/>
          </w:r>
          <w:r>
            <w:t>22</w:t>
          </w:r>
          <w:r>
            <w:fldChar w:fldCharType="end"/>
          </w:r>
          <w:r>
            <w:fldChar w:fldCharType="end"/>
          </w:r>
        </w:p>
        <w:p>
          <w:pPr>
            <w:pStyle w:val="16"/>
            <w:tabs>
              <w:tab w:val="left" w:pos="1260"/>
              <w:tab w:val="right" w:leader="dot" w:pos="9514"/>
            </w:tabs>
            <w:rPr>
              <w:rFonts w:eastAsiaTheme="minorEastAsia"/>
              <w:b w:val="0"/>
              <w:kern w:val="2"/>
              <w:sz w:val="21"/>
            </w:rPr>
          </w:pPr>
          <w:r>
            <w:fldChar w:fldCharType="begin"/>
          </w:r>
          <w:r>
            <w:instrText xml:space="preserve"> HYPERLINK \l "_Toc495861538" </w:instrText>
          </w:r>
          <w:r>
            <w:fldChar w:fldCharType="separate"/>
          </w:r>
          <w:r>
            <w:rPr>
              <w:rStyle w:val="28"/>
              <w:rFonts w:hint="eastAsia" w:ascii="黑体" w:hAnsi="黑体"/>
            </w:rPr>
            <w:t>第四章</w:t>
          </w:r>
          <w:r>
            <w:rPr>
              <w:rFonts w:eastAsiaTheme="minorEastAsia"/>
              <w:b w:val="0"/>
              <w:kern w:val="2"/>
              <w:sz w:val="21"/>
            </w:rPr>
            <w:tab/>
          </w:r>
          <w:r>
            <w:rPr>
              <w:rStyle w:val="28"/>
              <w:rFonts w:hint="eastAsia" w:ascii="黑体" w:hAnsi="黑体"/>
            </w:rPr>
            <w:t>资格审查方法及标准</w:t>
          </w:r>
          <w:r>
            <w:tab/>
          </w:r>
          <w:r>
            <w:fldChar w:fldCharType="begin"/>
          </w:r>
          <w:r>
            <w:instrText xml:space="preserve"> PAGEREF _Toc495861538 \h </w:instrText>
          </w:r>
          <w:r>
            <w:fldChar w:fldCharType="separate"/>
          </w:r>
          <w:r>
            <w:t>25</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"_Toc495861539" </w:instrText>
          </w:r>
          <w:r>
            <w:fldChar w:fldCharType="separate"/>
          </w:r>
          <w:r>
            <w:rPr>
              <w:rStyle w:val="28"/>
              <w:rFonts w:hint="eastAsia" w:cs="Times New Roman" w:asciiTheme="majorEastAsia" w:hAnsiTheme="majorEastAsia"/>
              <w:lang w:val="zh-CN"/>
            </w:rPr>
            <w:t>一、</w:t>
          </w:r>
          <w:r>
            <w:rPr>
              <w:rFonts w:asciiTheme="minorHAnsi" w:hAnsiTheme="minorHAnsi"/>
              <w:iCs w:val="0"/>
              <w:color w:val="auto"/>
              <w:kern w:val="2"/>
              <w:sz w:val="21"/>
            </w:rPr>
            <w:tab/>
          </w:r>
          <w:r>
            <w:rPr>
              <w:rStyle w:val="28"/>
              <w:rFonts w:hint="eastAsia" w:cs="Times New Roman" w:asciiTheme="majorEastAsia" w:hAnsiTheme="majorEastAsia"/>
              <w:lang w:val="zh-CN"/>
            </w:rPr>
            <w:t>资格审查方法</w:t>
          </w:r>
          <w:r>
            <w:tab/>
          </w:r>
          <w:r>
            <w:fldChar w:fldCharType="begin"/>
          </w:r>
          <w:r>
            <w:instrText xml:space="preserve"> PAGEREF _Toc495861539 \h </w:instrText>
          </w:r>
          <w:r>
            <w:fldChar w:fldCharType="separate"/>
          </w:r>
          <w:r>
            <w:t>25</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"_Toc495861540" </w:instrText>
          </w:r>
          <w:r>
            <w:fldChar w:fldCharType="separate"/>
          </w:r>
          <w:r>
            <w:rPr>
              <w:rStyle w:val="28"/>
              <w:rFonts w:hint="eastAsia" w:cs="Times New Roman" w:asciiTheme="majorEastAsia" w:hAnsiTheme="majorEastAsia"/>
              <w:lang w:val="zh-CN"/>
            </w:rPr>
            <w:t>二、</w:t>
          </w:r>
          <w:r>
            <w:rPr>
              <w:rFonts w:asciiTheme="minorHAnsi" w:hAnsiTheme="minorHAnsi"/>
              <w:iCs w:val="0"/>
              <w:color w:val="auto"/>
              <w:kern w:val="2"/>
              <w:sz w:val="21"/>
            </w:rPr>
            <w:tab/>
          </w:r>
          <w:r>
            <w:rPr>
              <w:rStyle w:val="28"/>
              <w:rFonts w:hint="eastAsia" w:cs="Times New Roman" w:asciiTheme="majorEastAsia" w:hAnsiTheme="majorEastAsia"/>
              <w:lang w:val="zh-CN"/>
            </w:rPr>
            <w:t>资格审查标准</w:t>
          </w:r>
          <w:r>
            <w:tab/>
          </w:r>
          <w:r>
            <w:fldChar w:fldCharType="begin"/>
          </w:r>
          <w:r>
            <w:instrText xml:space="preserve"> PAGEREF _Toc495861540 \h </w:instrText>
          </w:r>
          <w:r>
            <w:fldChar w:fldCharType="separate"/>
          </w:r>
          <w:r>
            <w:t>25</w:t>
          </w:r>
          <w:r>
            <w:fldChar w:fldCharType="end"/>
          </w:r>
          <w:r>
            <w:fldChar w:fldCharType="end"/>
          </w:r>
        </w:p>
        <w:p>
          <w:pPr>
            <w:pStyle w:val="16"/>
            <w:tabs>
              <w:tab w:val="left" w:pos="1260"/>
              <w:tab w:val="right" w:leader="dot" w:pos="9514"/>
            </w:tabs>
            <w:rPr>
              <w:rFonts w:eastAsiaTheme="minorEastAsia"/>
              <w:b w:val="0"/>
              <w:kern w:val="2"/>
              <w:sz w:val="21"/>
            </w:rPr>
          </w:pPr>
          <w:r>
            <w:fldChar w:fldCharType="begin"/>
          </w:r>
          <w:r>
            <w:instrText xml:space="preserve"> HYPERLINK \l "_Toc495861541" </w:instrText>
          </w:r>
          <w:r>
            <w:fldChar w:fldCharType="separate"/>
          </w:r>
          <w:r>
            <w:rPr>
              <w:rStyle w:val="28"/>
              <w:rFonts w:hint="eastAsia" w:ascii="黑体" w:hAnsi="黑体"/>
            </w:rPr>
            <w:t>第五章</w:t>
          </w:r>
          <w:r>
            <w:rPr>
              <w:rFonts w:eastAsiaTheme="minorEastAsia"/>
              <w:b w:val="0"/>
              <w:kern w:val="2"/>
              <w:sz w:val="21"/>
            </w:rPr>
            <w:tab/>
          </w:r>
          <w:r>
            <w:rPr>
              <w:rStyle w:val="28"/>
              <w:rFonts w:hint="eastAsia" w:ascii="黑体" w:hAnsi="黑体"/>
            </w:rPr>
            <w:t>评标方法、程序及标准</w:t>
          </w:r>
          <w:r>
            <w:tab/>
          </w:r>
          <w:r>
            <w:fldChar w:fldCharType="begin"/>
          </w:r>
          <w:r>
            <w:instrText xml:space="preserve"> PAGEREF _Toc495861541 \h </w:instrText>
          </w:r>
          <w:r>
            <w:fldChar w:fldCharType="separate"/>
          </w:r>
          <w:r>
            <w:t>27</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"_Toc495861542" </w:instrText>
          </w:r>
          <w:r>
            <w:fldChar w:fldCharType="separate"/>
          </w:r>
          <w:r>
            <w:rPr>
              <w:rStyle w:val="28"/>
              <w:rFonts w:hint="eastAsia" w:cs="Times New Roman" w:asciiTheme="majorEastAsia" w:hAnsiTheme="majorEastAsia"/>
              <w:lang w:val="zh-CN"/>
            </w:rPr>
            <w:t>一、</w:t>
          </w:r>
          <w:r>
            <w:rPr>
              <w:rFonts w:asciiTheme="minorHAnsi" w:hAnsiTheme="minorHAnsi"/>
              <w:iCs w:val="0"/>
              <w:color w:val="auto"/>
              <w:kern w:val="2"/>
              <w:sz w:val="21"/>
            </w:rPr>
            <w:tab/>
          </w:r>
          <w:r>
            <w:rPr>
              <w:rStyle w:val="28"/>
              <w:rFonts w:hint="eastAsia" w:cs="Times New Roman" w:asciiTheme="majorEastAsia" w:hAnsiTheme="majorEastAsia"/>
              <w:lang w:val="zh-CN"/>
            </w:rPr>
            <w:t>评标方法</w:t>
          </w:r>
          <w:r>
            <w:tab/>
          </w:r>
          <w:r>
            <w:fldChar w:fldCharType="begin"/>
          </w:r>
          <w:r>
            <w:instrText xml:space="preserve"> PAGEREF _Toc495861542 \h </w:instrText>
          </w:r>
          <w:r>
            <w:fldChar w:fldCharType="separate"/>
          </w:r>
          <w:r>
            <w:t>27</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"_Toc495861543" </w:instrText>
          </w:r>
          <w:r>
            <w:fldChar w:fldCharType="separate"/>
          </w:r>
          <w:r>
            <w:rPr>
              <w:rStyle w:val="28"/>
              <w:rFonts w:hint="eastAsia" w:cs="Times New Roman" w:asciiTheme="majorEastAsia" w:hAnsiTheme="majorEastAsia"/>
              <w:lang w:val="zh-CN"/>
            </w:rPr>
            <w:t>二、</w:t>
          </w:r>
          <w:r>
            <w:rPr>
              <w:rFonts w:asciiTheme="minorHAnsi" w:hAnsiTheme="minorHAnsi"/>
              <w:iCs w:val="0"/>
              <w:color w:val="auto"/>
              <w:kern w:val="2"/>
              <w:sz w:val="21"/>
            </w:rPr>
            <w:tab/>
          </w:r>
          <w:r>
            <w:rPr>
              <w:rStyle w:val="28"/>
              <w:rFonts w:hint="eastAsia" w:cs="Times New Roman" w:asciiTheme="majorEastAsia" w:hAnsiTheme="majorEastAsia"/>
              <w:lang w:val="zh-CN"/>
            </w:rPr>
            <w:t>评标程序及标准</w:t>
          </w:r>
          <w:r>
            <w:tab/>
          </w:r>
          <w:r>
            <w:fldChar w:fldCharType="begin"/>
          </w:r>
          <w:r>
            <w:instrText xml:space="preserve"> PAGEREF _Toc495861543 \h </w:instrText>
          </w:r>
          <w:r>
            <w:fldChar w:fldCharType="separate"/>
          </w:r>
          <w:r>
            <w:t>27</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"_Toc495861544" </w:instrText>
          </w:r>
          <w:r>
            <w:fldChar w:fldCharType="separate"/>
          </w:r>
          <w:r>
            <w:rPr>
              <w:rStyle w:val="28"/>
              <w:rFonts w:hint="eastAsia" w:cs="Times New Roman" w:asciiTheme="majorEastAsia" w:hAnsiTheme="majorEastAsia"/>
              <w:lang w:val="zh-CN"/>
            </w:rPr>
            <w:t>三、</w:t>
          </w:r>
          <w:r>
            <w:rPr>
              <w:rFonts w:asciiTheme="minorHAnsi" w:hAnsiTheme="minorHAnsi"/>
              <w:iCs w:val="0"/>
              <w:color w:val="auto"/>
              <w:kern w:val="2"/>
              <w:sz w:val="21"/>
            </w:rPr>
            <w:tab/>
          </w:r>
          <w:r>
            <w:rPr>
              <w:rStyle w:val="28"/>
              <w:rFonts w:hint="eastAsia" w:cs="Times New Roman" w:asciiTheme="majorEastAsia" w:hAnsiTheme="majorEastAsia"/>
              <w:lang w:val="zh-CN"/>
            </w:rPr>
            <w:t>评审因素及评分标准</w:t>
          </w:r>
          <w:r>
            <w:tab/>
          </w:r>
          <w:r>
            <w:fldChar w:fldCharType="begin"/>
          </w:r>
          <w:r>
            <w:instrText xml:space="preserve"> PAGEREF _Toc495861544 \h </w:instrText>
          </w:r>
          <w:r>
            <w:fldChar w:fldCharType="separate"/>
          </w:r>
          <w:r>
            <w:t>31</w:t>
          </w:r>
          <w:r>
            <w:fldChar w:fldCharType="end"/>
          </w:r>
          <w:r>
            <w:fldChar w:fldCharType="end"/>
          </w:r>
        </w:p>
        <w:p>
          <w:pPr>
            <w:pStyle w:val="16"/>
            <w:tabs>
              <w:tab w:val="left" w:pos="1260"/>
              <w:tab w:val="right" w:leader="dot" w:pos="9514"/>
            </w:tabs>
            <w:rPr>
              <w:rFonts w:eastAsiaTheme="minorEastAsia"/>
              <w:b w:val="0"/>
              <w:kern w:val="2"/>
              <w:sz w:val="21"/>
            </w:rPr>
          </w:pPr>
          <w:r>
            <w:fldChar w:fldCharType="begin"/>
          </w:r>
          <w:r>
            <w:instrText xml:space="preserve"> HYPERLINK \l "_Toc495861545" </w:instrText>
          </w:r>
          <w:r>
            <w:fldChar w:fldCharType="separate"/>
          </w:r>
          <w:r>
            <w:rPr>
              <w:rStyle w:val="28"/>
              <w:rFonts w:hint="eastAsia" w:ascii="黑体" w:hAnsi="黑体"/>
            </w:rPr>
            <w:t>第六章</w:t>
          </w:r>
          <w:r>
            <w:rPr>
              <w:rFonts w:eastAsiaTheme="minorEastAsia"/>
              <w:b w:val="0"/>
              <w:kern w:val="2"/>
              <w:sz w:val="21"/>
            </w:rPr>
            <w:tab/>
          </w:r>
          <w:r>
            <w:rPr>
              <w:rStyle w:val="28"/>
              <w:rFonts w:hint="eastAsia" w:ascii="黑体" w:hAnsi="黑体"/>
            </w:rPr>
            <w:t>合同书格式（参考）</w:t>
          </w:r>
          <w:r>
            <w:tab/>
          </w:r>
          <w:r>
            <w:fldChar w:fldCharType="begin"/>
          </w:r>
          <w:r>
            <w:instrText xml:space="preserve"> PAGEREF _Toc495861545 \h </w:instrText>
          </w:r>
          <w:r>
            <w:fldChar w:fldCharType="separate"/>
          </w:r>
          <w:r>
            <w:t>34</w:t>
          </w:r>
          <w:r>
            <w:fldChar w:fldCharType="end"/>
          </w:r>
          <w:r>
            <w:fldChar w:fldCharType="end"/>
          </w:r>
        </w:p>
        <w:p>
          <w:pPr>
            <w:pStyle w:val="16"/>
            <w:tabs>
              <w:tab w:val="left" w:pos="1260"/>
              <w:tab w:val="right" w:leader="dot" w:pos="9514"/>
            </w:tabs>
            <w:rPr>
              <w:rFonts w:eastAsiaTheme="minorEastAsia"/>
              <w:b w:val="0"/>
              <w:kern w:val="2"/>
              <w:sz w:val="21"/>
            </w:rPr>
          </w:pPr>
          <w:r>
            <w:fldChar w:fldCharType="begin"/>
          </w:r>
          <w:r>
            <w:instrText xml:space="preserve"> HYPERLINK \l "_Toc495861546" </w:instrText>
          </w:r>
          <w:r>
            <w:fldChar w:fldCharType="separate"/>
          </w:r>
          <w:r>
            <w:rPr>
              <w:rStyle w:val="28"/>
              <w:rFonts w:hint="eastAsia" w:ascii="黑体" w:hAnsi="黑体"/>
            </w:rPr>
            <w:t>第七章</w:t>
          </w:r>
          <w:r>
            <w:rPr>
              <w:rFonts w:eastAsiaTheme="minorEastAsia"/>
              <w:b w:val="0"/>
              <w:kern w:val="2"/>
              <w:sz w:val="21"/>
            </w:rPr>
            <w:tab/>
          </w:r>
          <w:r>
            <w:rPr>
              <w:rStyle w:val="28"/>
              <w:rFonts w:hint="eastAsia" w:ascii="黑体" w:hAnsi="黑体"/>
            </w:rPr>
            <w:t>投标文件格式（参考）</w:t>
          </w:r>
          <w:r>
            <w:tab/>
          </w:r>
          <w:r>
            <w:fldChar w:fldCharType="begin"/>
          </w:r>
          <w:r>
            <w:instrText xml:space="preserve"> PAGEREF _Toc495861546 \h </w:instrText>
          </w:r>
          <w:r>
            <w:fldChar w:fldCharType="separate"/>
          </w:r>
          <w:r>
            <w:t>36</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"_Toc495861547" </w:instrText>
          </w:r>
          <w:r>
            <w:fldChar w:fldCharType="separate"/>
          </w:r>
          <w:r>
            <w:rPr>
              <w:rStyle w:val="28"/>
              <w:rFonts w:hint="eastAsia" w:cs="Times New Roman" w:asciiTheme="majorEastAsia" w:hAnsiTheme="majorEastAsia"/>
              <w:lang w:val="zh-CN"/>
            </w:rPr>
            <w:t>第一部分资格证明文件</w:t>
          </w:r>
          <w:r>
            <w:tab/>
          </w:r>
          <w:r>
            <w:fldChar w:fldCharType="begin"/>
          </w:r>
          <w:r>
            <w:instrText xml:space="preserve"> PAGEREF _Toc495861547 \h </w:instrText>
          </w:r>
          <w:r>
            <w:fldChar w:fldCharType="separate"/>
          </w:r>
          <w:r>
            <w:t>36</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"_Toc495861548" </w:instrText>
          </w:r>
          <w:r>
            <w:fldChar w:fldCharType="separate"/>
          </w:r>
          <w:r>
            <w:rPr>
              <w:rStyle w:val="28"/>
              <w:rFonts w:hint="eastAsia" w:cs="Times New Roman" w:asciiTheme="majorEastAsia" w:hAnsiTheme="majorEastAsia"/>
              <w:lang w:val="zh-CN"/>
            </w:rPr>
            <w:t>第二部分商务文件</w:t>
          </w:r>
          <w:r>
            <w:tab/>
          </w:r>
          <w:r>
            <w:fldChar w:fldCharType="begin"/>
          </w:r>
          <w:r>
            <w:instrText xml:space="preserve"> PAGEREF _Toc495861548 \h </w:instrText>
          </w:r>
          <w:r>
            <w:fldChar w:fldCharType="separate"/>
          </w:r>
          <w:r>
            <w:t>38</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"_Toc495861549" </w:instrText>
          </w:r>
          <w:r>
            <w:fldChar w:fldCharType="separate"/>
          </w:r>
          <w:r>
            <w:rPr>
              <w:rStyle w:val="28"/>
              <w:rFonts w:hint="eastAsia" w:cs="Times New Roman" w:asciiTheme="majorEastAsia" w:hAnsiTheme="majorEastAsia"/>
              <w:lang w:val="zh-CN"/>
            </w:rPr>
            <w:t>第三部分技术、服务文件</w:t>
          </w:r>
          <w:r>
            <w:tab/>
          </w:r>
          <w:r>
            <w:fldChar w:fldCharType="begin"/>
          </w:r>
          <w:r>
            <w:instrText xml:space="preserve"> PAGEREF _Toc495861549 \h </w:instrText>
          </w:r>
          <w:r>
            <w:fldChar w:fldCharType="separate"/>
          </w:r>
          <w:r>
            <w:t>40</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"_Toc495861550" </w:instrText>
          </w:r>
          <w:r>
            <w:fldChar w:fldCharType="separate"/>
          </w:r>
          <w:r>
            <w:rPr>
              <w:rStyle w:val="28"/>
              <w:rFonts w:hint="eastAsia" w:eastAsia="宋体"/>
            </w:rPr>
            <w:t>附件一、</w:t>
          </w:r>
          <w:r>
            <w:rPr>
              <w:rFonts w:asciiTheme="minorHAnsi" w:hAnsiTheme="minorHAnsi"/>
              <w:iCs w:val="0"/>
              <w:color w:val="auto"/>
              <w:kern w:val="2"/>
              <w:sz w:val="21"/>
            </w:rPr>
            <w:tab/>
          </w:r>
          <w:r>
            <w:rPr>
              <w:rStyle w:val="28"/>
              <w:rFonts w:hint="eastAsia" w:eastAsia="宋体"/>
            </w:rPr>
            <w:t>投标书</w:t>
          </w:r>
          <w:r>
            <w:tab/>
          </w:r>
          <w:r>
            <w:fldChar w:fldCharType="begin"/>
          </w:r>
          <w:r>
            <w:instrText xml:space="preserve"> PAGEREF _Toc495861550 \h </w:instrText>
          </w:r>
          <w:r>
            <w:fldChar w:fldCharType="separate"/>
          </w:r>
          <w:r>
            <w:t>42</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"_Toc495861551" </w:instrText>
          </w:r>
          <w:r>
            <w:fldChar w:fldCharType="separate"/>
          </w:r>
          <w:r>
            <w:rPr>
              <w:rStyle w:val="28"/>
              <w:rFonts w:hint="eastAsia" w:eastAsia="宋体"/>
            </w:rPr>
            <w:t>附件二、</w:t>
          </w:r>
          <w:r>
            <w:rPr>
              <w:rFonts w:asciiTheme="minorHAnsi" w:hAnsiTheme="minorHAnsi"/>
              <w:iCs w:val="0"/>
              <w:color w:val="auto"/>
              <w:kern w:val="2"/>
              <w:sz w:val="21"/>
            </w:rPr>
            <w:tab/>
          </w:r>
          <w:r>
            <w:rPr>
              <w:rStyle w:val="28"/>
              <w:rFonts w:hint="eastAsia" w:eastAsia="宋体"/>
            </w:rPr>
            <w:t>制造商中小企业声明函</w:t>
          </w:r>
          <w:r>
            <w:tab/>
          </w:r>
          <w:r>
            <w:fldChar w:fldCharType="begin"/>
          </w:r>
          <w:r>
            <w:instrText xml:space="preserve"> PAGEREF _Toc495861551 \h </w:instrText>
          </w:r>
          <w:r>
            <w:fldChar w:fldCharType="separate"/>
          </w:r>
          <w:r>
            <w:t>43</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"_Toc495861552" </w:instrText>
          </w:r>
          <w:r>
            <w:fldChar w:fldCharType="separate"/>
          </w:r>
          <w:r>
            <w:rPr>
              <w:rStyle w:val="28"/>
              <w:rFonts w:hint="eastAsia" w:eastAsia="宋体"/>
            </w:rPr>
            <w:t>附件三、</w:t>
          </w:r>
          <w:r>
            <w:rPr>
              <w:rFonts w:asciiTheme="minorHAnsi" w:hAnsiTheme="minorHAnsi"/>
              <w:iCs w:val="0"/>
              <w:color w:val="auto"/>
              <w:kern w:val="2"/>
              <w:sz w:val="21"/>
            </w:rPr>
            <w:tab/>
          </w:r>
          <w:r>
            <w:rPr>
              <w:rStyle w:val="28"/>
              <w:rFonts w:hint="eastAsia" w:eastAsia="宋体"/>
            </w:rPr>
            <w:t>中小企业声明函</w:t>
          </w:r>
          <w:r>
            <w:tab/>
          </w:r>
          <w:r>
            <w:fldChar w:fldCharType="begin"/>
          </w:r>
          <w:r>
            <w:instrText xml:space="preserve"> PAGEREF _Toc495861552 \h </w:instrText>
          </w:r>
          <w:r>
            <w:fldChar w:fldCharType="separate"/>
          </w:r>
          <w:r>
            <w:t>44</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"_Toc495861553" </w:instrText>
          </w:r>
          <w:r>
            <w:fldChar w:fldCharType="separate"/>
          </w:r>
          <w:r>
            <w:rPr>
              <w:rStyle w:val="28"/>
              <w:rFonts w:hint="eastAsia" w:eastAsia="宋体"/>
            </w:rPr>
            <w:t>附件四、</w:t>
          </w:r>
          <w:r>
            <w:rPr>
              <w:rFonts w:asciiTheme="minorHAnsi" w:hAnsiTheme="minorHAnsi"/>
              <w:iCs w:val="0"/>
              <w:color w:val="auto"/>
              <w:kern w:val="2"/>
              <w:sz w:val="21"/>
            </w:rPr>
            <w:tab/>
          </w:r>
          <w:r>
            <w:rPr>
              <w:rStyle w:val="28"/>
              <w:rFonts w:hint="eastAsia" w:eastAsia="宋体"/>
            </w:rPr>
            <w:t>残疾人福利性单位声明函</w:t>
          </w:r>
          <w:r>
            <w:tab/>
          </w:r>
          <w:r>
            <w:fldChar w:fldCharType="begin"/>
          </w:r>
          <w:r>
            <w:instrText xml:space="preserve"> PAGEREF _Toc495861553 \h </w:instrText>
          </w:r>
          <w:r>
            <w:fldChar w:fldCharType="separate"/>
          </w:r>
          <w:r>
            <w:t>46</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"_Toc495861554" </w:instrText>
          </w:r>
          <w:r>
            <w:fldChar w:fldCharType="separate"/>
          </w:r>
          <w:r>
            <w:rPr>
              <w:rStyle w:val="28"/>
              <w:rFonts w:hint="eastAsia" w:eastAsia="宋体"/>
            </w:rPr>
            <w:t>附件五、</w:t>
          </w:r>
          <w:r>
            <w:rPr>
              <w:rFonts w:asciiTheme="minorHAnsi" w:hAnsiTheme="minorHAnsi"/>
              <w:iCs w:val="0"/>
              <w:color w:val="auto"/>
              <w:kern w:val="2"/>
              <w:sz w:val="21"/>
            </w:rPr>
            <w:tab/>
          </w:r>
          <w:r>
            <w:rPr>
              <w:rStyle w:val="28"/>
              <w:rFonts w:hint="eastAsia" w:eastAsia="宋体"/>
            </w:rPr>
            <w:t>开标一览表</w:t>
          </w:r>
          <w:r>
            <w:tab/>
          </w:r>
          <w:r>
            <w:fldChar w:fldCharType="begin"/>
          </w:r>
          <w:r>
            <w:instrText xml:space="preserve"> PAGEREF _Toc495861554 \h </w:instrText>
          </w:r>
          <w:r>
            <w:fldChar w:fldCharType="separate"/>
          </w:r>
          <w:r>
            <w:t>49</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"_Toc495861555" </w:instrText>
          </w:r>
          <w:r>
            <w:fldChar w:fldCharType="separate"/>
          </w:r>
          <w:r>
            <w:rPr>
              <w:rStyle w:val="28"/>
              <w:rFonts w:hint="eastAsia" w:eastAsia="宋体"/>
            </w:rPr>
            <w:t>附件六、</w:t>
          </w:r>
          <w:r>
            <w:rPr>
              <w:rFonts w:asciiTheme="minorHAnsi" w:hAnsiTheme="minorHAnsi"/>
              <w:iCs w:val="0"/>
              <w:color w:val="auto"/>
              <w:kern w:val="2"/>
              <w:sz w:val="21"/>
            </w:rPr>
            <w:tab/>
          </w:r>
          <w:r>
            <w:rPr>
              <w:rStyle w:val="28"/>
              <w:rFonts w:hint="eastAsia" w:eastAsia="宋体"/>
            </w:rPr>
            <w:t>投标报价明细表</w:t>
          </w:r>
          <w:r>
            <w:tab/>
          </w:r>
          <w:r>
            <w:fldChar w:fldCharType="begin"/>
          </w:r>
          <w:r>
            <w:instrText xml:space="preserve"> PAGEREF _Toc495861555 \h </w:instrText>
          </w:r>
          <w:r>
            <w:fldChar w:fldCharType="separate"/>
          </w:r>
          <w:r>
            <w:t>50</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"_Toc495861556" </w:instrText>
          </w:r>
          <w:r>
            <w:fldChar w:fldCharType="separate"/>
          </w:r>
          <w:r>
            <w:rPr>
              <w:rStyle w:val="28"/>
              <w:rFonts w:hint="eastAsia" w:eastAsia="宋体"/>
            </w:rPr>
            <w:t>附件七、</w:t>
          </w:r>
          <w:r>
            <w:rPr>
              <w:rFonts w:asciiTheme="minorHAnsi" w:hAnsiTheme="minorHAnsi"/>
              <w:iCs w:val="0"/>
              <w:color w:val="auto"/>
              <w:kern w:val="2"/>
              <w:sz w:val="21"/>
            </w:rPr>
            <w:tab/>
          </w:r>
          <w:r>
            <w:rPr>
              <w:rStyle w:val="28"/>
              <w:rFonts w:hint="eastAsia" w:eastAsia="宋体"/>
            </w:rPr>
            <w:t>小型和微型企业、监狱企业、残疾人福利性单位货物汇总表</w:t>
          </w:r>
          <w:r>
            <w:tab/>
          </w:r>
          <w:r>
            <w:fldChar w:fldCharType="begin"/>
          </w:r>
          <w:r>
            <w:instrText xml:space="preserve"> PAGEREF _Toc495861556 \h </w:instrText>
          </w:r>
          <w:r>
            <w:fldChar w:fldCharType="separate"/>
          </w:r>
          <w:r>
            <w:t>51</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"_Toc495861557" </w:instrText>
          </w:r>
          <w:r>
            <w:fldChar w:fldCharType="separate"/>
          </w:r>
          <w:r>
            <w:rPr>
              <w:rStyle w:val="28"/>
              <w:rFonts w:hint="eastAsia" w:eastAsia="宋体"/>
            </w:rPr>
            <w:t>附件八、</w:t>
          </w:r>
          <w:r>
            <w:rPr>
              <w:rFonts w:asciiTheme="minorHAnsi" w:hAnsiTheme="minorHAnsi"/>
              <w:iCs w:val="0"/>
              <w:color w:val="auto"/>
              <w:kern w:val="2"/>
              <w:sz w:val="21"/>
            </w:rPr>
            <w:tab/>
          </w:r>
          <w:r>
            <w:rPr>
              <w:rStyle w:val="28"/>
              <w:rFonts w:hint="eastAsia" w:eastAsia="宋体"/>
            </w:rPr>
            <w:t>投标货物（工程或服务）清单</w:t>
          </w:r>
          <w:r>
            <w:tab/>
          </w:r>
          <w:r>
            <w:fldChar w:fldCharType="begin"/>
          </w:r>
          <w:r>
            <w:instrText xml:space="preserve"> PAGEREF _Toc495861557 \h </w:instrText>
          </w:r>
          <w:r>
            <w:fldChar w:fldCharType="separate"/>
          </w:r>
          <w:r>
            <w:t>52</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"_Toc495861558" </w:instrText>
          </w:r>
          <w:r>
            <w:fldChar w:fldCharType="separate"/>
          </w:r>
          <w:r>
            <w:rPr>
              <w:rStyle w:val="28"/>
              <w:rFonts w:hint="eastAsia" w:eastAsia="宋体"/>
            </w:rPr>
            <w:t>附件九、</w:t>
          </w:r>
          <w:r>
            <w:rPr>
              <w:rFonts w:asciiTheme="minorHAnsi" w:hAnsiTheme="minorHAnsi"/>
              <w:iCs w:val="0"/>
              <w:color w:val="auto"/>
              <w:kern w:val="2"/>
              <w:sz w:val="21"/>
            </w:rPr>
            <w:tab/>
          </w:r>
          <w:r>
            <w:rPr>
              <w:rStyle w:val="28"/>
              <w:rFonts w:hint="eastAsia" w:eastAsia="宋体"/>
            </w:rPr>
            <w:t>交纳投标保证金的银行凭证</w:t>
          </w:r>
          <w:r>
            <w:tab/>
          </w:r>
          <w:r>
            <w:fldChar w:fldCharType="begin"/>
          </w:r>
          <w:r>
            <w:instrText xml:space="preserve"> PAGEREF _Toc495861558 \h </w:instrText>
          </w:r>
          <w:r>
            <w:fldChar w:fldCharType="separate"/>
          </w:r>
          <w:r>
            <w:t>53</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"_Toc495861559" </w:instrText>
          </w:r>
          <w:r>
            <w:fldChar w:fldCharType="separate"/>
          </w:r>
          <w:r>
            <w:rPr>
              <w:rStyle w:val="28"/>
              <w:rFonts w:hint="eastAsia" w:eastAsia="宋体"/>
            </w:rPr>
            <w:t>附件十、</w:t>
          </w:r>
          <w:r>
            <w:rPr>
              <w:rFonts w:asciiTheme="minorHAnsi" w:hAnsiTheme="minorHAnsi"/>
              <w:iCs w:val="0"/>
              <w:color w:val="auto"/>
              <w:kern w:val="2"/>
              <w:sz w:val="21"/>
            </w:rPr>
            <w:tab/>
          </w:r>
          <w:r>
            <w:rPr>
              <w:rStyle w:val="28"/>
              <w:rFonts w:hint="eastAsia" w:eastAsia="宋体"/>
            </w:rPr>
            <w:t>法定代表人授权书</w:t>
          </w:r>
          <w:r>
            <w:tab/>
          </w:r>
          <w:r>
            <w:fldChar w:fldCharType="begin"/>
          </w:r>
          <w:r>
            <w:instrText xml:space="preserve"> PAGEREF _Toc495861559 \h </w:instrText>
          </w:r>
          <w:r>
            <w:fldChar w:fldCharType="separate"/>
          </w:r>
          <w:r>
            <w:t>54</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"_Toc495861560" </w:instrText>
          </w:r>
          <w:r>
            <w:fldChar w:fldCharType="separate"/>
          </w:r>
          <w:r>
            <w:rPr>
              <w:rStyle w:val="28"/>
              <w:rFonts w:hint="eastAsia" w:eastAsia="宋体"/>
            </w:rPr>
            <w:t>附件十一、</w:t>
          </w:r>
          <w:r>
            <w:rPr>
              <w:rFonts w:asciiTheme="minorHAnsi" w:hAnsiTheme="minorHAnsi"/>
              <w:iCs w:val="0"/>
              <w:color w:val="auto"/>
              <w:kern w:val="2"/>
              <w:sz w:val="21"/>
            </w:rPr>
            <w:tab/>
          </w:r>
          <w:r>
            <w:rPr>
              <w:rStyle w:val="28"/>
              <w:rFonts w:hint="eastAsia" w:eastAsia="宋体"/>
            </w:rPr>
            <w:t>投标人的资格声明</w:t>
          </w:r>
          <w:r>
            <w:tab/>
          </w:r>
          <w:r>
            <w:fldChar w:fldCharType="begin"/>
          </w:r>
          <w:r>
            <w:instrText xml:space="preserve"> PAGEREF _Toc495861560 \h </w:instrText>
          </w:r>
          <w:r>
            <w:fldChar w:fldCharType="separate"/>
          </w:r>
          <w:r>
            <w:t>55</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"_Toc495861561" </w:instrText>
          </w:r>
          <w:r>
            <w:fldChar w:fldCharType="separate"/>
          </w:r>
          <w:r>
            <w:rPr>
              <w:rStyle w:val="28"/>
              <w:rFonts w:hint="eastAsia" w:eastAsia="宋体"/>
            </w:rPr>
            <w:t>附件十二、</w:t>
          </w:r>
          <w:r>
            <w:rPr>
              <w:rFonts w:asciiTheme="minorHAnsi" w:hAnsiTheme="minorHAnsi"/>
              <w:iCs w:val="0"/>
              <w:color w:val="auto"/>
              <w:kern w:val="2"/>
              <w:sz w:val="21"/>
            </w:rPr>
            <w:tab/>
          </w:r>
          <w:r>
            <w:rPr>
              <w:rStyle w:val="28"/>
              <w:rFonts w:hint="eastAsia" w:eastAsia="宋体"/>
            </w:rPr>
            <w:t>项目负责人、技术负责人简历表</w:t>
          </w:r>
          <w:r>
            <w:tab/>
          </w:r>
          <w:r>
            <w:fldChar w:fldCharType="begin"/>
          </w:r>
          <w:r>
            <w:instrText xml:space="preserve"> PAGEREF _Toc495861561 \h </w:instrText>
          </w:r>
          <w:r>
            <w:fldChar w:fldCharType="separate"/>
          </w:r>
          <w:r>
            <w:t>56</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"_Toc495861562" </w:instrText>
          </w:r>
          <w:r>
            <w:fldChar w:fldCharType="separate"/>
          </w:r>
          <w:r>
            <w:rPr>
              <w:rStyle w:val="28"/>
              <w:rFonts w:hint="eastAsia" w:eastAsia="宋体"/>
            </w:rPr>
            <w:t>附件十三、</w:t>
          </w:r>
          <w:r>
            <w:rPr>
              <w:rFonts w:asciiTheme="minorHAnsi" w:hAnsiTheme="minorHAnsi"/>
              <w:iCs w:val="0"/>
              <w:color w:val="auto"/>
              <w:kern w:val="2"/>
              <w:sz w:val="21"/>
            </w:rPr>
            <w:tab/>
          </w:r>
          <w:r>
            <w:rPr>
              <w:rStyle w:val="28"/>
              <w:rFonts w:hint="eastAsia" w:eastAsia="宋体"/>
            </w:rPr>
            <w:t>项目班子成员情况表</w:t>
          </w:r>
          <w:r>
            <w:tab/>
          </w:r>
          <w:r>
            <w:fldChar w:fldCharType="begin"/>
          </w:r>
          <w:r>
            <w:instrText xml:space="preserve"> PAGEREF _Toc495861562 \h </w:instrText>
          </w:r>
          <w:r>
            <w:fldChar w:fldCharType="separate"/>
          </w:r>
          <w:r>
            <w:t>57</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"_Toc495861563" </w:instrText>
          </w:r>
          <w:r>
            <w:fldChar w:fldCharType="separate"/>
          </w:r>
          <w:r>
            <w:rPr>
              <w:rStyle w:val="28"/>
              <w:rFonts w:hint="eastAsia" w:eastAsia="宋体"/>
            </w:rPr>
            <w:t>附件十四、</w:t>
          </w:r>
          <w:r>
            <w:rPr>
              <w:rFonts w:asciiTheme="minorHAnsi" w:hAnsiTheme="minorHAnsi"/>
              <w:iCs w:val="0"/>
              <w:color w:val="auto"/>
              <w:kern w:val="2"/>
              <w:sz w:val="21"/>
            </w:rPr>
            <w:tab/>
          </w:r>
          <w:r>
            <w:rPr>
              <w:rStyle w:val="28"/>
              <w:rFonts w:hint="eastAsia" w:eastAsia="宋体"/>
            </w:rPr>
            <w:t>投标人类似项目业绩表</w:t>
          </w:r>
          <w:r>
            <w:tab/>
          </w:r>
          <w:r>
            <w:fldChar w:fldCharType="begin"/>
          </w:r>
          <w:r>
            <w:instrText xml:space="preserve"> PAGEREF _Toc495861563 \h </w:instrText>
          </w:r>
          <w:r>
            <w:fldChar w:fldCharType="separate"/>
          </w:r>
          <w:r>
            <w:t>58</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"_Toc495861564" </w:instrText>
          </w:r>
          <w:r>
            <w:fldChar w:fldCharType="separate"/>
          </w:r>
          <w:r>
            <w:rPr>
              <w:rStyle w:val="28"/>
              <w:rFonts w:hint="eastAsia" w:eastAsia="宋体"/>
            </w:rPr>
            <w:t>附件十五、</w:t>
          </w:r>
          <w:r>
            <w:rPr>
              <w:rFonts w:asciiTheme="minorHAnsi" w:hAnsiTheme="minorHAnsi"/>
              <w:iCs w:val="0"/>
              <w:color w:val="auto"/>
              <w:kern w:val="2"/>
              <w:sz w:val="21"/>
            </w:rPr>
            <w:tab/>
          </w:r>
          <w:r>
            <w:rPr>
              <w:rStyle w:val="28"/>
              <w:rFonts w:hint="eastAsia" w:eastAsia="宋体"/>
            </w:rPr>
            <w:t>符合性审查对照表</w:t>
          </w:r>
          <w:r>
            <w:tab/>
          </w:r>
          <w:r>
            <w:fldChar w:fldCharType="begin"/>
          </w:r>
          <w:r>
            <w:instrText xml:space="preserve"> PAGEREF _Toc495861564 \h </w:instrText>
          </w:r>
          <w:r>
            <w:fldChar w:fldCharType="separate"/>
          </w:r>
          <w:r>
            <w:t>59</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"_Toc495861565" </w:instrText>
          </w:r>
          <w:r>
            <w:fldChar w:fldCharType="separate"/>
          </w:r>
          <w:r>
            <w:rPr>
              <w:rStyle w:val="28"/>
              <w:rFonts w:hint="eastAsia" w:eastAsia="宋体"/>
            </w:rPr>
            <w:t>附件十六、</w:t>
          </w:r>
          <w:r>
            <w:rPr>
              <w:rFonts w:asciiTheme="minorHAnsi" w:hAnsiTheme="minorHAnsi"/>
              <w:iCs w:val="0"/>
              <w:color w:val="auto"/>
              <w:kern w:val="2"/>
              <w:sz w:val="21"/>
            </w:rPr>
            <w:tab/>
          </w:r>
          <w:r>
            <w:rPr>
              <w:rStyle w:val="28"/>
              <w:rFonts w:hint="eastAsia" w:eastAsia="宋体"/>
            </w:rPr>
            <w:t>商务要求响应、偏离说明表</w:t>
          </w:r>
          <w:r>
            <w:tab/>
          </w:r>
          <w:r>
            <w:fldChar w:fldCharType="begin"/>
          </w:r>
          <w:r>
            <w:instrText xml:space="preserve"> PAGEREF _Toc495861565 \h </w:instrText>
          </w:r>
          <w:r>
            <w:fldChar w:fldCharType="separate"/>
          </w:r>
          <w:r>
            <w:t>60</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"_Toc495861566" </w:instrText>
          </w:r>
          <w:r>
            <w:fldChar w:fldCharType="separate"/>
          </w:r>
          <w:r>
            <w:rPr>
              <w:rStyle w:val="28"/>
              <w:rFonts w:hint="eastAsia" w:eastAsia="宋体"/>
            </w:rPr>
            <w:t>附件十七、</w:t>
          </w:r>
          <w:r>
            <w:rPr>
              <w:rFonts w:asciiTheme="minorHAnsi" w:hAnsiTheme="minorHAnsi"/>
              <w:iCs w:val="0"/>
              <w:color w:val="auto"/>
              <w:kern w:val="2"/>
              <w:sz w:val="21"/>
            </w:rPr>
            <w:tab/>
          </w:r>
          <w:r>
            <w:rPr>
              <w:rStyle w:val="28"/>
              <w:rFonts w:hint="eastAsia" w:eastAsia="宋体"/>
            </w:rPr>
            <w:t>商务要求“★”号条款响应、偏离说明表</w:t>
          </w:r>
          <w:r>
            <w:tab/>
          </w:r>
          <w:r>
            <w:fldChar w:fldCharType="begin"/>
          </w:r>
          <w:r>
            <w:instrText xml:space="preserve"> PAGEREF _Toc495861566 \h </w:instrText>
          </w:r>
          <w:r>
            <w:fldChar w:fldCharType="separate"/>
          </w:r>
          <w:r>
            <w:t>61</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"_Toc495861567" </w:instrText>
          </w:r>
          <w:r>
            <w:fldChar w:fldCharType="separate"/>
          </w:r>
          <w:r>
            <w:rPr>
              <w:rStyle w:val="28"/>
              <w:rFonts w:hint="eastAsia" w:eastAsia="宋体"/>
            </w:rPr>
            <w:t>附件十八、</w:t>
          </w:r>
          <w:r>
            <w:rPr>
              <w:rFonts w:asciiTheme="minorHAnsi" w:hAnsiTheme="minorHAnsi"/>
              <w:iCs w:val="0"/>
              <w:color w:val="auto"/>
              <w:kern w:val="2"/>
              <w:sz w:val="21"/>
            </w:rPr>
            <w:tab/>
          </w:r>
          <w:r>
            <w:rPr>
              <w:rStyle w:val="28"/>
              <w:rFonts w:hint="eastAsia" w:eastAsia="宋体"/>
            </w:rPr>
            <w:t>商务评议对照表</w:t>
          </w:r>
          <w:r>
            <w:tab/>
          </w:r>
          <w:r>
            <w:fldChar w:fldCharType="begin"/>
          </w:r>
          <w:r>
            <w:instrText xml:space="preserve"> PAGEREF _Toc495861567 \h </w:instrText>
          </w:r>
          <w:r>
            <w:fldChar w:fldCharType="separate"/>
          </w:r>
          <w:r>
            <w:t>62</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"_Toc495861568" </w:instrText>
          </w:r>
          <w:r>
            <w:fldChar w:fldCharType="separate"/>
          </w:r>
          <w:r>
            <w:rPr>
              <w:rStyle w:val="28"/>
              <w:rFonts w:hint="eastAsia" w:eastAsia="宋体"/>
            </w:rPr>
            <w:t>附件十九、</w:t>
          </w:r>
          <w:r>
            <w:rPr>
              <w:rFonts w:asciiTheme="minorHAnsi" w:hAnsiTheme="minorHAnsi"/>
              <w:iCs w:val="0"/>
              <w:color w:val="auto"/>
              <w:kern w:val="2"/>
              <w:sz w:val="21"/>
            </w:rPr>
            <w:tab/>
          </w:r>
          <w:r>
            <w:rPr>
              <w:rStyle w:val="28"/>
              <w:rFonts w:hint="eastAsia" w:eastAsia="宋体"/>
            </w:rPr>
            <w:t>技术、服务要求响应、偏离说明表</w:t>
          </w:r>
          <w:r>
            <w:tab/>
          </w:r>
          <w:r>
            <w:fldChar w:fldCharType="begin"/>
          </w:r>
          <w:r>
            <w:instrText xml:space="preserve"> PAGEREF _Toc495861568 \h </w:instrText>
          </w:r>
          <w:r>
            <w:fldChar w:fldCharType="separate"/>
          </w:r>
          <w:r>
            <w:t>63</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"_Toc495861569" </w:instrText>
          </w:r>
          <w:r>
            <w:fldChar w:fldCharType="separate"/>
          </w:r>
          <w:r>
            <w:rPr>
              <w:rStyle w:val="28"/>
              <w:rFonts w:hint="eastAsia" w:eastAsia="宋体"/>
            </w:rPr>
            <w:t>附件二十、</w:t>
          </w:r>
          <w:r>
            <w:rPr>
              <w:rFonts w:asciiTheme="minorHAnsi" w:hAnsiTheme="minorHAnsi"/>
              <w:iCs w:val="0"/>
              <w:color w:val="auto"/>
              <w:kern w:val="2"/>
              <w:sz w:val="21"/>
            </w:rPr>
            <w:tab/>
          </w:r>
          <w:r>
            <w:rPr>
              <w:rStyle w:val="28"/>
              <w:rFonts w:hint="eastAsia" w:eastAsia="宋体"/>
            </w:rPr>
            <w:t>技术、服务要求“★”号条款响应、偏离说明表</w:t>
          </w:r>
          <w:r>
            <w:tab/>
          </w:r>
          <w:r>
            <w:fldChar w:fldCharType="begin"/>
          </w:r>
          <w:r>
            <w:instrText xml:space="preserve"> PAGEREF _Toc495861569 \h </w:instrText>
          </w:r>
          <w:r>
            <w:fldChar w:fldCharType="separate"/>
          </w:r>
          <w:r>
            <w:t>64</w:t>
          </w:r>
          <w:r>
            <w:fldChar w:fldCharType="end"/>
          </w:r>
          <w:r>
            <w:fldChar w:fldCharType="end"/>
          </w:r>
        </w:p>
        <w:p>
          <w:pPr>
            <w:pStyle w:val="17"/>
            <w:tabs>
              <w:tab w:val="left" w:pos="1870"/>
            </w:tabs>
            <w:rPr>
              <w:rFonts w:asciiTheme="minorHAnsi" w:hAnsiTheme="minorHAnsi"/>
              <w:iCs w:val="0"/>
              <w:color w:val="auto"/>
              <w:kern w:val="2"/>
              <w:sz w:val="21"/>
            </w:rPr>
          </w:pPr>
          <w:r>
            <w:fldChar w:fldCharType="begin"/>
          </w:r>
          <w:r>
            <w:instrText xml:space="preserve"> HYPERLINK \l "_Toc495861570" </w:instrText>
          </w:r>
          <w:r>
            <w:fldChar w:fldCharType="separate"/>
          </w:r>
          <w:r>
            <w:rPr>
              <w:rStyle w:val="28"/>
              <w:rFonts w:hint="eastAsia" w:eastAsia="宋体"/>
            </w:rPr>
            <w:t>附件二十一、</w:t>
          </w:r>
          <w:r>
            <w:rPr>
              <w:rFonts w:asciiTheme="minorHAnsi" w:hAnsiTheme="minorHAnsi"/>
              <w:iCs w:val="0"/>
              <w:color w:val="auto"/>
              <w:kern w:val="2"/>
              <w:sz w:val="21"/>
            </w:rPr>
            <w:tab/>
          </w:r>
          <w:r>
            <w:rPr>
              <w:rStyle w:val="28"/>
              <w:rFonts w:hint="eastAsia" w:eastAsia="宋体"/>
            </w:rPr>
            <w:t>技术、服务评议对照表</w:t>
          </w:r>
          <w:r>
            <w:tab/>
          </w:r>
          <w:r>
            <w:fldChar w:fldCharType="begin"/>
          </w:r>
          <w:r>
            <w:instrText xml:space="preserve"> PAGEREF _Toc495861570 \h </w:instrText>
          </w:r>
          <w:r>
            <w:fldChar w:fldCharType="separate"/>
          </w:r>
          <w:r>
            <w:t>65</w:t>
          </w:r>
          <w:r>
            <w:fldChar w:fldCharType="end"/>
          </w:r>
          <w:r>
            <w:fldChar w:fldCharType="end"/>
          </w:r>
        </w:p>
        <w:p>
          <w:pPr>
            <w:pStyle w:val="16"/>
            <w:tabs>
              <w:tab w:val="left" w:pos="1260"/>
              <w:tab w:val="right" w:leader="dot" w:pos="9514"/>
            </w:tabs>
          </w:pPr>
          <w:r>
            <w:fldChar w:fldCharType="end"/>
          </w:r>
          <w:r>
            <w:rPr>
              <w:b w:val="0"/>
              <w:bCs/>
              <w:lang w:val="zh-CN"/>
            </w:rPr>
            <w:tab/>
          </w:r>
        </w:p>
      </w:sdtContent>
    </w:sdt>
    <w:p>
      <w:r>
        <w:br w:type="page"/>
      </w:r>
    </w:p>
    <w:p>
      <w:pPr>
        <w:pStyle w:val="3"/>
        <w:numPr>
          <w:ilvl w:val="0"/>
          <w:numId w:val="1"/>
        </w:numPr>
        <w:spacing w:before="240" w:after="120"/>
        <w:ind w:left="883" w:hanging="880" w:hangingChars="200"/>
        <w:jc w:val="center"/>
        <w:rPr>
          <w:rFonts w:ascii="黑体" w:hAnsi="黑体" w:eastAsia="黑体"/>
        </w:rPr>
      </w:pPr>
      <w:bookmarkStart w:id="0" w:name="_Toc495861517"/>
      <w:r>
        <w:rPr>
          <w:rFonts w:hint="eastAsia" w:ascii="黑体" w:hAnsi="黑体" w:eastAsia="黑体"/>
        </w:rPr>
        <w:t>投标邀请书</w:t>
      </w:r>
      <w:bookmarkEnd w:id="0"/>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9580" w:type="dxa"/>
          </w:tcPr>
          <w:p>
            <w:pPr>
              <w:pStyle w:val="19"/>
              <w:widowControl/>
              <w:spacing w:beforeAutospacing="0" w:afterAutospacing="0" w:line="600" w:lineRule="exact"/>
              <w:ind w:right="329"/>
              <w:rPr>
                <w:rFonts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【项目概况】</w:t>
            </w:r>
          </w:p>
          <w:p>
            <w:pPr>
              <w:pStyle w:val="19"/>
              <w:widowControl/>
              <w:spacing w:beforeAutospacing="0" w:afterAutospacing="0" w:line="600" w:lineRule="exact"/>
              <w:ind w:right="329" w:firstLine="720" w:firstLineChars="300"/>
              <w:rPr>
                <w:rFonts w:ascii="微软雅黑" w:hAnsi="微软雅黑" w:eastAsia="微软雅黑" w:cs="微软雅黑"/>
                <w:b/>
                <w:bCs/>
                <w:color w:val="333333"/>
                <w:sz w:val="27"/>
                <w:szCs w:val="27"/>
                <w:shd w:val="clear" w:color="auto" w:fill="FFFFFF"/>
              </w:rPr>
            </w:pPr>
            <w:r>
              <w:rPr>
                <w:rFonts w:hint="eastAsia" w:ascii="微软雅黑" w:hAnsi="微软雅黑" w:eastAsia="微软雅黑" w:cs="微软雅黑"/>
                <w:color w:val="333333"/>
                <w:szCs w:val="24"/>
                <w:u w:val="single"/>
                <w:shd w:val="clear" w:color="auto" w:fill="FFFFFF"/>
                <w:lang w:val="hr-HR"/>
              </w:rPr>
              <w:t>阳新县水环境综合治理规划</w:t>
            </w:r>
            <w:r>
              <w:rPr>
                <w:rFonts w:hint="eastAsia" w:ascii="微软雅黑" w:hAnsi="微软雅黑" w:eastAsia="微软雅黑" w:cs="微软雅黑"/>
                <w:color w:val="333333"/>
                <w:szCs w:val="24"/>
                <w:u w:val="single"/>
                <w:shd w:val="clear" w:color="auto" w:fill="FFFFFF"/>
              </w:rPr>
              <w:t>项目</w:t>
            </w:r>
            <w:r>
              <w:rPr>
                <w:rFonts w:hint="eastAsia" w:ascii="微软雅黑" w:hAnsi="微软雅黑" w:eastAsia="微软雅黑" w:cs="微软雅黑"/>
                <w:color w:val="333333"/>
                <w:szCs w:val="24"/>
                <w:shd w:val="clear" w:color="auto" w:fill="FFFFFF"/>
              </w:rPr>
              <w:t>招标项目的潜在投标人应在：</w:t>
            </w:r>
            <w:r>
              <w:rPr>
                <w:rFonts w:hint="eastAsia" w:ascii="微软雅黑" w:hAnsi="微软雅黑" w:eastAsia="微软雅黑" w:cs="微软雅黑"/>
                <w:color w:val="333333"/>
                <w:szCs w:val="24"/>
                <w:u w:val="single"/>
                <w:shd w:val="clear" w:color="auto" w:fill="FFFFFF"/>
              </w:rPr>
              <w:t>可在“湖北省政府采购网”、“黄石公共资源交易信息网”及“阳新县人民政府网”点击本公告中的链接下载</w:t>
            </w:r>
            <w:r>
              <w:rPr>
                <w:rFonts w:hint="eastAsia" w:ascii="微软雅黑" w:hAnsi="微软雅黑" w:eastAsia="微软雅黑" w:cs="微软雅黑"/>
                <w:color w:val="333333"/>
                <w:szCs w:val="24"/>
                <w:shd w:val="clear" w:color="auto" w:fill="FFFFFF"/>
              </w:rPr>
              <w:t>获取招标文件，并于</w:t>
            </w:r>
            <w:r>
              <w:rPr>
                <w:rFonts w:hint="eastAsia" w:ascii="微软雅黑" w:hAnsi="微软雅黑" w:eastAsia="微软雅黑" w:cs="微软雅黑"/>
                <w:color w:val="333333"/>
                <w:u w:val="single"/>
                <w:shd w:val="clear" w:color="auto" w:fill="FFFFFF"/>
              </w:rPr>
              <w:t>2022年</w:t>
            </w:r>
            <w:r>
              <w:rPr>
                <w:rFonts w:hint="eastAsia" w:ascii="微软雅黑" w:hAnsi="微软雅黑" w:eastAsia="微软雅黑" w:cs="微软雅黑"/>
                <w:color w:val="333333"/>
                <w:u w:val="single"/>
                <w:shd w:val="clear" w:color="auto" w:fill="FFFFFF"/>
                <w:lang w:val="en-US" w:eastAsia="zh-CN"/>
              </w:rPr>
              <w:t>3</w:t>
            </w:r>
            <w:r>
              <w:rPr>
                <w:rFonts w:hint="eastAsia" w:ascii="微软雅黑" w:hAnsi="微软雅黑" w:eastAsia="微软雅黑" w:cs="微软雅黑"/>
                <w:color w:val="333333"/>
                <w:u w:val="single"/>
                <w:shd w:val="clear" w:color="auto" w:fill="FFFFFF"/>
              </w:rPr>
              <w:t>月</w:t>
            </w:r>
            <w:r>
              <w:rPr>
                <w:rFonts w:hint="eastAsia" w:ascii="微软雅黑" w:hAnsi="微软雅黑" w:eastAsia="微软雅黑" w:cs="微软雅黑"/>
                <w:color w:val="333333"/>
                <w:u w:val="single"/>
                <w:shd w:val="clear" w:color="auto" w:fill="FFFFFF"/>
                <w:lang w:val="en-US" w:eastAsia="zh-CN"/>
              </w:rPr>
              <w:t>14</w:t>
            </w:r>
            <w:r>
              <w:rPr>
                <w:rFonts w:hint="eastAsia" w:ascii="微软雅黑" w:hAnsi="微软雅黑" w:eastAsia="微软雅黑" w:cs="微软雅黑"/>
                <w:color w:val="333333"/>
                <w:u w:val="single"/>
                <w:shd w:val="clear" w:color="auto" w:fill="FFFFFF"/>
              </w:rPr>
              <w:t>日</w:t>
            </w:r>
            <w:r>
              <w:rPr>
                <w:rFonts w:hint="eastAsia" w:ascii="微软雅黑" w:hAnsi="微软雅黑" w:eastAsia="微软雅黑" w:cs="微软雅黑"/>
                <w:color w:val="333333"/>
                <w:u w:val="single"/>
                <w:shd w:val="clear" w:color="auto" w:fill="FFFFFF"/>
                <w:lang w:val="en-US" w:eastAsia="zh-CN"/>
              </w:rPr>
              <w:t>15</w:t>
            </w:r>
            <w:r>
              <w:rPr>
                <w:rFonts w:hint="eastAsia" w:ascii="微软雅黑" w:hAnsi="微软雅黑" w:eastAsia="微软雅黑" w:cs="微软雅黑"/>
                <w:color w:val="333333"/>
                <w:u w:val="single"/>
                <w:shd w:val="clear" w:color="auto" w:fill="FFFFFF"/>
              </w:rPr>
              <w:t>点</w:t>
            </w:r>
            <w:r>
              <w:rPr>
                <w:rFonts w:hint="eastAsia" w:ascii="微软雅黑" w:hAnsi="微软雅黑" w:eastAsia="微软雅黑" w:cs="微软雅黑"/>
                <w:color w:val="333333"/>
                <w:u w:val="single"/>
                <w:shd w:val="clear" w:color="auto" w:fill="FFFFFF"/>
                <w:lang w:val="en-US" w:eastAsia="zh-CN"/>
              </w:rPr>
              <w:t>00</w:t>
            </w:r>
            <w:r>
              <w:rPr>
                <w:rFonts w:hint="eastAsia" w:ascii="微软雅黑" w:hAnsi="微软雅黑" w:eastAsia="微软雅黑" w:cs="微软雅黑"/>
                <w:color w:val="333333"/>
                <w:u w:val="single"/>
                <w:shd w:val="clear" w:color="auto" w:fill="FFFFFF"/>
              </w:rPr>
              <w:t>分</w:t>
            </w:r>
            <w:r>
              <w:rPr>
                <w:rFonts w:hint="eastAsia" w:ascii="微软雅黑" w:hAnsi="微软雅黑" w:eastAsia="微软雅黑" w:cs="微软雅黑"/>
                <w:color w:val="333333"/>
                <w:szCs w:val="24"/>
                <w:shd w:val="clear" w:color="auto" w:fill="FFFFFF"/>
              </w:rPr>
              <w:t>（北京时间）前递交投标文件。</w:t>
            </w:r>
          </w:p>
        </w:tc>
      </w:tr>
    </w:tbl>
    <w:p>
      <w:pPr>
        <w:pStyle w:val="19"/>
        <w:widowControl/>
        <w:spacing w:beforeAutospacing="0" w:afterAutospacing="0" w:line="500" w:lineRule="exact"/>
        <w:ind w:left="330" w:right="330"/>
        <w:rPr>
          <w:rFonts w:ascii="微软雅黑" w:hAnsi="微软雅黑" w:eastAsia="微软雅黑" w:cs="微软雅黑"/>
          <w:b/>
          <w:bCs/>
          <w:sz w:val="27"/>
          <w:szCs w:val="27"/>
        </w:rPr>
      </w:pPr>
      <w:r>
        <w:rPr>
          <w:rFonts w:hint="eastAsia" w:ascii="微软雅黑" w:hAnsi="微软雅黑" w:eastAsia="微软雅黑" w:cs="微软雅黑"/>
          <w:b/>
          <w:bCs/>
          <w:color w:val="333333"/>
          <w:sz w:val="27"/>
          <w:szCs w:val="27"/>
          <w:shd w:val="clear" w:color="auto" w:fill="FFFFFF"/>
        </w:rPr>
        <w:t>一、项目基本情况</w:t>
      </w:r>
    </w:p>
    <w:p>
      <w:pPr>
        <w:pStyle w:val="19"/>
        <w:widowControl/>
        <w:spacing w:beforeAutospacing="0" w:afterAutospacing="0" w:line="500" w:lineRule="exact"/>
        <w:ind w:left="330" w:right="330"/>
        <w:jc w:val="both"/>
        <w:rPr>
          <w:rFonts w:ascii="微软雅黑" w:hAnsi="微软雅黑" w:eastAsia="微软雅黑" w:cs="微软雅黑"/>
          <w:u w:val="single"/>
        </w:rPr>
      </w:pPr>
      <w:r>
        <w:rPr>
          <w:rFonts w:hint="eastAsia" w:ascii="微软雅黑" w:hAnsi="微软雅黑" w:eastAsia="微软雅黑" w:cs="微软雅黑"/>
          <w:color w:val="333333"/>
          <w:shd w:val="clear" w:color="auto" w:fill="FFFFFF"/>
        </w:rPr>
        <w:t>1、项目编号：</w:t>
      </w:r>
      <w:r>
        <w:rPr>
          <w:rFonts w:hint="eastAsia" w:ascii="微软雅黑" w:hAnsi="微软雅黑" w:eastAsia="微软雅黑" w:cs="微软雅黑"/>
          <w:color w:val="444444"/>
          <w:u w:val="single"/>
          <w:shd w:val="clear" w:color="auto" w:fill="FFFFFF"/>
        </w:rPr>
        <w:t>131-2022CG-</w:t>
      </w:r>
      <w:r>
        <w:rPr>
          <w:rFonts w:hint="eastAsia" w:ascii="微软雅黑" w:hAnsi="微软雅黑" w:eastAsia="微软雅黑" w:cs="微软雅黑"/>
          <w:color w:val="444444"/>
          <w:u w:val="single"/>
          <w:shd w:val="clear" w:color="auto" w:fill="FFFFFF"/>
          <w:lang w:val="en-US" w:eastAsia="zh-CN"/>
        </w:rPr>
        <w:t>017</w:t>
      </w:r>
      <w:r>
        <w:rPr>
          <w:rFonts w:hint="eastAsia" w:ascii="微软雅黑" w:hAnsi="微软雅黑" w:eastAsia="微软雅黑" w:cs="微软雅黑"/>
          <w:color w:val="333333"/>
          <w:u w:val="single"/>
          <w:shd w:val="clear" w:color="auto" w:fill="FFFFFF"/>
        </w:rPr>
        <w:t xml:space="preserve"> </w:t>
      </w:r>
    </w:p>
    <w:p>
      <w:pPr>
        <w:pStyle w:val="19"/>
        <w:widowControl/>
        <w:spacing w:beforeAutospacing="0" w:afterAutospacing="0" w:line="500" w:lineRule="exact"/>
        <w:ind w:left="330" w:right="330"/>
        <w:jc w:val="both"/>
        <w:rPr>
          <w:rFonts w:ascii="微软雅黑" w:hAnsi="微软雅黑" w:eastAsia="微软雅黑" w:cs="微软雅黑"/>
          <w:u w:val="single"/>
        </w:rPr>
      </w:pPr>
      <w:r>
        <w:rPr>
          <w:rFonts w:hint="eastAsia" w:ascii="微软雅黑" w:hAnsi="微软雅黑" w:eastAsia="微软雅黑" w:cs="微软雅黑"/>
          <w:color w:val="333333"/>
          <w:shd w:val="clear" w:color="auto" w:fill="FFFFFF"/>
        </w:rPr>
        <w:t>2、采购计划备案号：</w:t>
      </w:r>
      <w:r>
        <w:rPr>
          <w:rFonts w:hint="eastAsia" w:ascii="微软雅黑" w:hAnsi="微软雅黑" w:eastAsia="微软雅黑" w:cs="微软雅黑"/>
          <w:color w:val="333333"/>
          <w:u w:val="single"/>
          <w:shd w:val="clear" w:color="auto" w:fill="FFFFFF"/>
        </w:rPr>
        <w:t>阳财采计备[2022]</w:t>
      </w:r>
      <w:r>
        <w:rPr>
          <w:rFonts w:hint="eastAsia" w:ascii="微软雅黑" w:hAnsi="微软雅黑" w:eastAsia="微软雅黑" w:cs="微软雅黑"/>
          <w:color w:val="333333"/>
          <w:u w:val="single"/>
          <w:shd w:val="clear" w:color="auto" w:fill="FFFFFF"/>
          <w:lang w:val="en-US" w:eastAsia="zh-CN"/>
        </w:rPr>
        <w:t>C0202</w:t>
      </w:r>
      <w:r>
        <w:rPr>
          <w:rFonts w:hint="eastAsia" w:ascii="微软雅黑" w:hAnsi="微软雅黑" w:eastAsia="微软雅黑" w:cs="微软雅黑"/>
          <w:color w:val="333333"/>
          <w:u w:val="single"/>
          <w:shd w:val="clear" w:color="auto" w:fill="FFFFFF"/>
        </w:rPr>
        <w:t>号</w:t>
      </w:r>
    </w:p>
    <w:p>
      <w:pPr>
        <w:pStyle w:val="19"/>
        <w:widowControl/>
        <w:spacing w:beforeAutospacing="0" w:afterAutospacing="0" w:line="500" w:lineRule="exact"/>
        <w:ind w:left="330" w:right="330"/>
        <w:jc w:val="both"/>
        <w:rPr>
          <w:rFonts w:ascii="微软雅黑" w:hAnsi="微软雅黑" w:eastAsia="微软雅黑" w:cs="微软雅黑"/>
          <w:color w:val="333333"/>
          <w:shd w:val="clear" w:color="auto" w:fill="FFFFFF"/>
          <w:lang w:val="hr-HR"/>
        </w:rPr>
      </w:pPr>
      <w:r>
        <w:rPr>
          <w:rFonts w:hint="eastAsia" w:ascii="微软雅黑" w:hAnsi="微软雅黑" w:eastAsia="微软雅黑" w:cs="微软雅黑"/>
          <w:color w:val="333333"/>
          <w:shd w:val="clear" w:color="auto" w:fill="FFFFFF"/>
        </w:rPr>
        <w:t>3、项目名称：</w:t>
      </w:r>
      <w:r>
        <w:rPr>
          <w:rFonts w:hint="eastAsia" w:ascii="微软雅黑" w:hAnsi="微软雅黑" w:eastAsia="微软雅黑" w:cs="微软雅黑"/>
          <w:color w:val="333333"/>
          <w:u w:val="single"/>
          <w:shd w:val="clear" w:color="auto" w:fill="FFFFFF"/>
          <w:lang w:val="hr-HR"/>
        </w:rPr>
        <w:t>阳新县水环境综合治理规划</w:t>
      </w:r>
      <w:r>
        <w:rPr>
          <w:rFonts w:hint="eastAsia" w:ascii="微软雅黑" w:hAnsi="微软雅黑" w:eastAsia="微软雅黑" w:cs="微软雅黑"/>
          <w:color w:val="333333"/>
          <w:u w:val="single"/>
          <w:shd w:val="clear" w:color="auto" w:fill="FFFFFF"/>
        </w:rPr>
        <w:t>项目</w:t>
      </w:r>
    </w:p>
    <w:p>
      <w:pPr>
        <w:pStyle w:val="19"/>
        <w:widowControl/>
        <w:spacing w:beforeAutospacing="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333333"/>
          <w:shd w:val="clear" w:color="auto" w:fill="FFFFFF"/>
        </w:rPr>
        <w:t>4、采购方式：</w:t>
      </w:r>
      <w:r>
        <w:rPr>
          <w:rFonts w:hint="eastAsia" w:ascii="微软雅黑" w:hAnsi="微软雅黑" w:eastAsia="微软雅黑" w:cs="微软雅黑"/>
          <w:color w:val="333333"/>
          <w:u w:val="single"/>
          <w:shd w:val="clear" w:color="auto" w:fill="FFFFFF"/>
        </w:rPr>
        <w:t>公开招标</w:t>
      </w:r>
    </w:p>
    <w:p>
      <w:pPr>
        <w:pStyle w:val="19"/>
        <w:widowControl/>
        <w:spacing w:beforeAutospacing="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333333"/>
          <w:shd w:val="clear" w:color="auto" w:fill="FFFFFF"/>
        </w:rPr>
        <w:t>5、预算金额：</w:t>
      </w:r>
      <w:r>
        <w:rPr>
          <w:rFonts w:hint="eastAsia" w:ascii="微软雅黑" w:hAnsi="微软雅黑" w:eastAsia="微软雅黑" w:cs="微软雅黑"/>
          <w:color w:val="333333"/>
          <w:u w:val="single"/>
          <w:shd w:val="clear" w:color="auto" w:fill="FFFFFF"/>
        </w:rPr>
        <w:t>413</w:t>
      </w:r>
      <w:r>
        <w:rPr>
          <w:rFonts w:hint="eastAsia" w:ascii="微软雅黑" w:hAnsi="微软雅黑" w:eastAsia="微软雅黑" w:cs="微软雅黑"/>
          <w:color w:val="333333"/>
          <w:shd w:val="clear" w:color="auto" w:fill="FFFFFF"/>
        </w:rPr>
        <w:t>(万元)</w:t>
      </w:r>
    </w:p>
    <w:p>
      <w:pPr>
        <w:pStyle w:val="19"/>
        <w:widowControl/>
        <w:spacing w:beforeAutospacing="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333333"/>
          <w:shd w:val="clear" w:color="auto" w:fill="FFFFFF"/>
        </w:rPr>
        <w:t>6、最高限价：</w:t>
      </w:r>
      <w:r>
        <w:rPr>
          <w:rFonts w:hint="eastAsia" w:ascii="微软雅黑" w:hAnsi="微软雅黑" w:eastAsia="微软雅黑" w:cs="微软雅黑"/>
          <w:color w:val="333333"/>
          <w:u w:val="single"/>
          <w:shd w:val="clear" w:color="auto" w:fill="FFFFFF"/>
        </w:rPr>
        <w:t>413</w:t>
      </w:r>
      <w:r>
        <w:rPr>
          <w:rFonts w:hint="eastAsia" w:ascii="微软雅黑" w:hAnsi="微软雅黑" w:eastAsia="微软雅黑" w:cs="微软雅黑"/>
          <w:color w:val="333333"/>
          <w:shd w:val="clear" w:color="auto" w:fill="FFFFFF"/>
        </w:rPr>
        <w:t>(万元)</w:t>
      </w:r>
    </w:p>
    <w:p>
      <w:pPr>
        <w:pStyle w:val="19"/>
        <w:widowControl/>
        <w:spacing w:beforeAutospacing="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333333"/>
          <w:shd w:val="clear" w:color="auto" w:fill="FFFFFF"/>
        </w:rPr>
        <w:t>7、采购需求：</w:t>
      </w:r>
    </w:p>
    <w:p>
      <w:pPr>
        <w:pStyle w:val="19"/>
        <w:widowControl/>
        <w:spacing w:beforeAutospacing="0" w:afterAutospacing="0" w:line="500" w:lineRule="exact"/>
        <w:ind w:left="330" w:right="330"/>
        <w:jc w:val="both"/>
        <w:rPr>
          <w:rFonts w:ascii="微软雅黑" w:hAnsi="微软雅黑" w:eastAsia="微软雅黑" w:cs="微软雅黑"/>
          <w:color w:val="333333"/>
          <w:u w:val="single"/>
          <w:shd w:val="clear" w:color="auto" w:fill="FFFFFF"/>
        </w:rPr>
      </w:pPr>
      <w:r>
        <w:rPr>
          <w:rFonts w:hint="eastAsia" w:ascii="微软雅黑" w:hAnsi="微软雅黑" w:eastAsia="微软雅黑" w:cs="微软雅黑"/>
          <w:color w:val="333333"/>
          <w:u w:val="single"/>
          <w:shd w:val="clear" w:color="auto" w:fill="FFFFFF"/>
        </w:rPr>
        <w:t>详见本项目招标文件第三章采购需求</w:t>
      </w:r>
    </w:p>
    <w:p>
      <w:pPr>
        <w:pStyle w:val="19"/>
        <w:widowControl/>
        <w:spacing w:beforeAutospacing="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333333"/>
          <w:shd w:val="clear" w:color="auto" w:fill="FFFFFF"/>
        </w:rPr>
        <w:t>8、合同履行期限：</w:t>
      </w:r>
      <w:r>
        <w:rPr>
          <w:rFonts w:hint="eastAsia" w:ascii="微软雅黑" w:hAnsi="微软雅黑" w:eastAsia="微软雅黑" w:cs="微软雅黑"/>
          <w:color w:val="333333"/>
          <w:u w:val="single"/>
          <w:shd w:val="clear" w:color="auto" w:fill="FFFFFF"/>
        </w:rPr>
        <w:t>1年</w:t>
      </w:r>
    </w:p>
    <w:p>
      <w:pPr>
        <w:pStyle w:val="19"/>
        <w:widowControl/>
        <w:spacing w:beforeAutospacing="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333333"/>
          <w:shd w:val="clear" w:color="auto" w:fill="FFFFFF"/>
        </w:rPr>
        <w:t>9、本项目（是/否）接受联合体投标：</w:t>
      </w:r>
      <w:r>
        <w:rPr>
          <w:rFonts w:hint="eastAsia" w:ascii="微软雅黑" w:hAnsi="微软雅黑" w:eastAsia="微软雅黑" w:cs="微软雅黑"/>
          <w:color w:val="333333"/>
          <w:u w:val="single"/>
          <w:shd w:val="clear" w:color="auto" w:fill="FFFFFF"/>
        </w:rPr>
        <w:t>否</w:t>
      </w:r>
    </w:p>
    <w:p>
      <w:pPr>
        <w:pStyle w:val="19"/>
        <w:widowControl/>
        <w:spacing w:beforeAutospacing="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333333"/>
          <w:shd w:val="clear" w:color="auto" w:fill="FFFFFF"/>
        </w:rPr>
        <w:t>10、是否可采购进口产品：</w:t>
      </w:r>
      <w:r>
        <w:rPr>
          <w:rFonts w:hint="eastAsia" w:ascii="微软雅黑" w:hAnsi="微软雅黑" w:eastAsia="微软雅黑" w:cs="微软雅黑"/>
          <w:color w:val="333333"/>
          <w:u w:val="single"/>
          <w:shd w:val="clear" w:color="auto" w:fill="FFFFFF"/>
        </w:rPr>
        <w:t>否</w:t>
      </w:r>
    </w:p>
    <w:p>
      <w:pPr>
        <w:pStyle w:val="19"/>
        <w:widowControl/>
        <w:spacing w:beforeAutospacing="0" w:after="30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333333"/>
          <w:shd w:val="clear" w:color="auto" w:fill="FFFFFF"/>
        </w:rPr>
        <w:t>11、本项目（是/否）专门面向中小微企业：</w:t>
      </w:r>
      <w:r>
        <w:rPr>
          <w:rFonts w:hint="eastAsia" w:ascii="微软雅黑" w:hAnsi="微软雅黑" w:eastAsia="微软雅黑" w:cs="微软雅黑"/>
          <w:color w:val="333333"/>
          <w:u w:val="single"/>
          <w:shd w:val="clear" w:color="auto" w:fill="FFFFFF"/>
        </w:rPr>
        <w:t>否</w:t>
      </w:r>
    </w:p>
    <w:p>
      <w:pPr>
        <w:pStyle w:val="19"/>
        <w:widowControl/>
        <w:spacing w:beforeAutospacing="0" w:afterAutospacing="0" w:line="500" w:lineRule="exact"/>
        <w:ind w:left="330" w:right="330"/>
        <w:rPr>
          <w:rFonts w:ascii="微软雅黑" w:hAnsi="微软雅黑" w:eastAsia="微软雅黑" w:cs="微软雅黑"/>
          <w:b/>
          <w:bCs/>
          <w:sz w:val="27"/>
          <w:szCs w:val="27"/>
        </w:rPr>
      </w:pPr>
      <w:r>
        <w:rPr>
          <w:rFonts w:hint="eastAsia" w:ascii="微软雅黑" w:hAnsi="微软雅黑" w:eastAsia="微软雅黑" w:cs="微软雅黑"/>
          <w:b/>
          <w:bCs/>
          <w:color w:val="333333"/>
          <w:sz w:val="27"/>
          <w:szCs w:val="27"/>
          <w:shd w:val="clear" w:color="auto" w:fill="FFFFFF"/>
        </w:rPr>
        <w:t>二、申请人的资格要求</w:t>
      </w:r>
    </w:p>
    <w:p>
      <w:pPr>
        <w:pStyle w:val="19"/>
        <w:widowControl/>
        <w:spacing w:beforeAutospacing="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333333"/>
          <w:shd w:val="clear" w:color="auto" w:fill="FFFFFF"/>
        </w:rPr>
        <w:t>1、满足《中华人民共和国政府采购法》第二十二条规定，即：</w:t>
      </w:r>
    </w:p>
    <w:p>
      <w:pPr>
        <w:pStyle w:val="19"/>
        <w:widowControl/>
        <w:spacing w:beforeAutospacing="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333333"/>
          <w:shd w:val="clear" w:color="auto" w:fill="FFFFFF"/>
        </w:rPr>
        <w:t>（1）具有独立承担民事责任的能力；</w:t>
      </w:r>
    </w:p>
    <w:p>
      <w:pPr>
        <w:pStyle w:val="19"/>
        <w:widowControl/>
        <w:spacing w:beforeAutospacing="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333333"/>
          <w:shd w:val="clear" w:color="auto" w:fill="FFFFFF"/>
        </w:rPr>
        <w:t>（2）具有良好的商业信誉和健全的财务会计制度；</w:t>
      </w:r>
    </w:p>
    <w:p>
      <w:pPr>
        <w:pStyle w:val="19"/>
        <w:widowControl/>
        <w:spacing w:beforeAutospacing="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333333"/>
          <w:shd w:val="clear" w:color="auto" w:fill="FFFFFF"/>
        </w:rPr>
        <w:t>（3）具有履行合同所必需的设备和专业技术能力；</w:t>
      </w:r>
    </w:p>
    <w:p>
      <w:pPr>
        <w:pStyle w:val="19"/>
        <w:widowControl/>
        <w:spacing w:beforeAutospacing="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333333"/>
          <w:shd w:val="clear" w:color="auto" w:fill="FFFFFF"/>
        </w:rPr>
        <w:t>（4）有依法缴纳税收和社会保障资金的良好记录；</w:t>
      </w:r>
    </w:p>
    <w:p>
      <w:pPr>
        <w:pStyle w:val="19"/>
        <w:widowControl/>
        <w:spacing w:beforeAutospacing="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333333"/>
          <w:shd w:val="clear" w:color="auto" w:fill="FFFFFF"/>
        </w:rPr>
        <w:t>（5）参加政府采购活动前三年内，在经营活动中没有重大违法记录；</w:t>
      </w:r>
    </w:p>
    <w:p>
      <w:pPr>
        <w:pStyle w:val="19"/>
        <w:widowControl/>
        <w:spacing w:beforeAutospacing="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333333"/>
          <w:shd w:val="clear" w:color="auto" w:fill="FFFFFF"/>
        </w:rPr>
        <w:t>（6）法律、行政法规规定的其他条件。</w:t>
      </w:r>
    </w:p>
    <w:p>
      <w:pPr>
        <w:pStyle w:val="19"/>
        <w:widowControl/>
        <w:spacing w:beforeAutospacing="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333333"/>
          <w:shd w:val="clear" w:color="auto" w:fill="FFFFFF"/>
        </w:rPr>
        <w:t>2、单位负责人为同一人或者存在直接控股、管理关系的不同投标人，不得参加本项目同一合同项下的政府采购活动。</w:t>
      </w:r>
    </w:p>
    <w:p>
      <w:pPr>
        <w:pStyle w:val="19"/>
        <w:widowControl/>
        <w:spacing w:beforeAutospacing="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333333"/>
          <w:shd w:val="clear" w:color="auto" w:fill="FFFFFF"/>
        </w:rPr>
        <w:t>3、为本采购项目提供整体设计、规范编制或者项目管理、监理、检测等服务的，不得再参加本项目的其他招标采购活动。</w:t>
      </w:r>
    </w:p>
    <w:p>
      <w:pPr>
        <w:pStyle w:val="19"/>
        <w:widowControl/>
        <w:spacing w:beforeAutospacing="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333333"/>
          <w:shd w:val="clear" w:color="auto" w:fill="FFFFFF"/>
        </w:rPr>
        <w:t>4、未被列入失信被执行人、重大税收违法案件当事人名单，未被列入政府采购严重违法失信行为记录名单。</w:t>
      </w:r>
    </w:p>
    <w:p>
      <w:pPr>
        <w:pStyle w:val="19"/>
        <w:widowControl/>
        <w:spacing w:beforeAutospacing="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333333"/>
          <w:shd w:val="clear" w:color="auto" w:fill="FFFFFF"/>
        </w:rPr>
        <w:t>5、落实政府采购政策需满足的资格要求：</w:t>
      </w:r>
    </w:p>
    <w:p>
      <w:pPr>
        <w:pStyle w:val="19"/>
        <w:widowControl/>
        <w:spacing w:beforeAutospacing="0" w:afterAutospacing="0" w:line="500" w:lineRule="exact"/>
        <w:ind w:left="330" w:right="330"/>
        <w:jc w:val="both"/>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u w:val="single"/>
          <w:shd w:val="clear" w:color="auto" w:fill="FFFFFF"/>
        </w:rPr>
        <w:t>/。</w:t>
      </w:r>
    </w:p>
    <w:p>
      <w:pPr>
        <w:pStyle w:val="19"/>
        <w:widowControl/>
        <w:numPr>
          <w:ilvl w:val="0"/>
          <w:numId w:val="2"/>
        </w:numPr>
        <w:spacing w:beforeAutospacing="0" w:afterAutospacing="0" w:line="500" w:lineRule="exact"/>
        <w:ind w:left="330" w:right="330"/>
        <w:jc w:val="both"/>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本项目的特定资格要求：</w:t>
      </w:r>
    </w:p>
    <w:p>
      <w:pPr>
        <w:pStyle w:val="19"/>
        <w:widowControl/>
        <w:numPr>
          <w:ilvl w:val="0"/>
          <w:numId w:val="3"/>
        </w:numPr>
        <w:spacing w:beforeAutospacing="0" w:afterAutospacing="0" w:line="500" w:lineRule="exact"/>
        <w:ind w:left="239" w:leftChars="114" w:right="330"/>
        <w:jc w:val="both"/>
        <w:rPr>
          <w:rFonts w:ascii="微软雅黑" w:hAnsi="微软雅黑" w:eastAsia="微软雅黑" w:cs="微软雅黑"/>
          <w:color w:val="FF0000"/>
          <w:u w:val="single"/>
          <w:shd w:val="clear" w:color="auto" w:fill="FFFFFF"/>
        </w:rPr>
      </w:pPr>
      <w:r>
        <w:rPr>
          <w:rFonts w:hint="eastAsia" w:ascii="微软雅黑" w:hAnsi="微软雅黑" w:eastAsia="微软雅黑" w:cs="微软雅黑"/>
          <w:color w:val="FF0000"/>
          <w:u w:val="single"/>
          <w:shd w:val="clear" w:color="auto" w:fill="FFFFFF"/>
        </w:rPr>
        <w:t>投标人须具备工程设计水利行业（</w:t>
      </w:r>
      <w:r>
        <w:rPr>
          <w:rFonts w:hint="eastAsia" w:ascii="微软雅黑" w:hAnsi="微软雅黑" w:eastAsia="微软雅黑" w:cs="微软雅黑"/>
          <w:color w:val="FF0000"/>
          <w:u w:val="single"/>
          <w:shd w:val="clear" w:color="auto" w:fill="FFFFFF"/>
          <w:lang w:val="en-US" w:eastAsia="zh-CN"/>
        </w:rPr>
        <w:t>城市防洪</w:t>
      </w:r>
      <w:r>
        <w:rPr>
          <w:rFonts w:hint="eastAsia" w:ascii="微软雅黑" w:hAnsi="微软雅黑" w:eastAsia="微软雅黑" w:cs="微软雅黑"/>
          <w:color w:val="FF0000"/>
          <w:u w:val="single"/>
          <w:shd w:val="clear" w:color="auto" w:fill="FFFFFF"/>
        </w:rPr>
        <w:t>）专业</w:t>
      </w:r>
      <w:r>
        <w:rPr>
          <w:rFonts w:hint="eastAsia" w:ascii="微软雅黑" w:hAnsi="微软雅黑" w:eastAsia="微软雅黑" w:cs="微软雅黑"/>
          <w:color w:val="FF0000"/>
          <w:u w:val="single"/>
          <w:shd w:val="clear" w:color="auto" w:fill="FFFFFF"/>
          <w:lang w:val="en-US" w:eastAsia="zh-CN"/>
        </w:rPr>
        <w:t>甲</w:t>
      </w:r>
      <w:r>
        <w:rPr>
          <w:rFonts w:hint="eastAsia" w:ascii="微软雅黑" w:hAnsi="微软雅黑" w:eastAsia="微软雅黑" w:cs="微软雅黑"/>
          <w:color w:val="FF0000"/>
          <w:u w:val="single"/>
          <w:shd w:val="clear" w:color="auto" w:fill="FFFFFF"/>
        </w:rPr>
        <w:t>级及以上资质或工程设计综合甲级资质。</w:t>
      </w:r>
    </w:p>
    <w:p>
      <w:pPr>
        <w:pStyle w:val="19"/>
        <w:widowControl/>
        <w:numPr>
          <w:ilvl w:val="0"/>
          <w:numId w:val="3"/>
        </w:numPr>
        <w:spacing w:beforeAutospacing="0" w:afterAutospacing="0" w:line="500" w:lineRule="exact"/>
        <w:ind w:left="239" w:leftChars="114" w:right="330"/>
        <w:jc w:val="both"/>
        <w:rPr>
          <w:rFonts w:ascii="微软雅黑" w:hAnsi="微软雅黑" w:eastAsia="微软雅黑" w:cs="微软雅黑"/>
          <w:color w:val="FF0000"/>
          <w:u w:val="single"/>
          <w:shd w:val="clear" w:color="auto" w:fill="FFFFFF"/>
        </w:rPr>
      </w:pPr>
      <w:r>
        <w:rPr>
          <w:rFonts w:hint="eastAsia" w:ascii="微软雅黑" w:hAnsi="微软雅黑" w:eastAsia="微软雅黑" w:cs="微软雅黑"/>
          <w:color w:val="FF0000"/>
          <w:u w:val="single"/>
          <w:shd w:val="clear" w:color="auto" w:fill="FFFFFF"/>
        </w:rPr>
        <w:t>工程咨询甲级资信（业务包含：水利水电）</w:t>
      </w:r>
    </w:p>
    <w:p>
      <w:pPr>
        <w:pStyle w:val="19"/>
        <w:widowControl/>
        <w:spacing w:beforeAutospacing="0" w:afterAutospacing="0" w:line="500" w:lineRule="exact"/>
        <w:ind w:left="330" w:right="330"/>
        <w:rPr>
          <w:rFonts w:ascii="微软雅黑" w:hAnsi="微软雅黑" w:eastAsia="微软雅黑" w:cs="微软雅黑"/>
          <w:b/>
          <w:bCs/>
          <w:sz w:val="27"/>
          <w:szCs w:val="27"/>
        </w:rPr>
      </w:pPr>
      <w:r>
        <w:rPr>
          <w:rFonts w:hint="eastAsia" w:ascii="微软雅黑" w:hAnsi="微软雅黑" w:eastAsia="微软雅黑" w:cs="微软雅黑"/>
          <w:b/>
          <w:bCs/>
          <w:color w:val="333333"/>
          <w:sz w:val="27"/>
          <w:szCs w:val="27"/>
          <w:shd w:val="clear" w:color="auto" w:fill="FFFFFF"/>
        </w:rPr>
        <w:t>三、获取招标文件</w:t>
      </w:r>
    </w:p>
    <w:p>
      <w:pPr>
        <w:pStyle w:val="19"/>
        <w:widowControl/>
        <w:spacing w:beforeAutospacing="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333333"/>
          <w:shd w:val="clear" w:color="auto" w:fill="FFFFFF"/>
        </w:rPr>
        <w:t>1、时间：</w:t>
      </w:r>
      <w:r>
        <w:rPr>
          <w:rFonts w:hint="eastAsia" w:ascii="微软雅黑" w:hAnsi="微软雅黑" w:eastAsia="微软雅黑" w:cs="微软雅黑"/>
          <w:color w:val="333333"/>
          <w:u w:val="single"/>
          <w:shd w:val="clear" w:color="auto" w:fill="FFFFFF"/>
        </w:rPr>
        <w:t>2022年</w:t>
      </w:r>
      <w:r>
        <w:rPr>
          <w:rFonts w:hint="eastAsia" w:ascii="微软雅黑" w:hAnsi="微软雅黑" w:eastAsia="微软雅黑" w:cs="微软雅黑"/>
          <w:color w:val="333333"/>
          <w:u w:val="single"/>
          <w:shd w:val="clear" w:color="auto" w:fill="FFFFFF"/>
          <w:lang w:val="en-US" w:eastAsia="zh-CN"/>
        </w:rPr>
        <w:t>2</w:t>
      </w:r>
      <w:r>
        <w:rPr>
          <w:rFonts w:hint="eastAsia" w:ascii="微软雅黑" w:hAnsi="微软雅黑" w:eastAsia="微软雅黑" w:cs="微软雅黑"/>
          <w:color w:val="333333"/>
          <w:u w:val="single"/>
          <w:shd w:val="clear" w:color="auto" w:fill="FFFFFF"/>
        </w:rPr>
        <w:t>月</w:t>
      </w:r>
      <w:r>
        <w:rPr>
          <w:rFonts w:hint="eastAsia" w:ascii="微软雅黑" w:hAnsi="微软雅黑" w:eastAsia="微软雅黑" w:cs="微软雅黑"/>
          <w:color w:val="333333"/>
          <w:u w:val="single"/>
          <w:shd w:val="clear" w:color="auto" w:fill="FFFFFF"/>
          <w:lang w:val="en-US" w:eastAsia="zh-CN"/>
        </w:rPr>
        <w:t>21</w:t>
      </w:r>
      <w:r>
        <w:rPr>
          <w:rFonts w:hint="eastAsia" w:ascii="微软雅黑" w:hAnsi="微软雅黑" w:eastAsia="微软雅黑" w:cs="微软雅黑"/>
          <w:color w:val="333333"/>
          <w:u w:val="single"/>
          <w:shd w:val="clear" w:color="auto" w:fill="FFFFFF"/>
        </w:rPr>
        <w:t>日至2022年</w:t>
      </w:r>
      <w:r>
        <w:rPr>
          <w:rFonts w:hint="eastAsia" w:ascii="微软雅黑" w:hAnsi="微软雅黑" w:eastAsia="微软雅黑" w:cs="微软雅黑"/>
          <w:color w:val="333333"/>
          <w:u w:val="single"/>
          <w:shd w:val="clear" w:color="auto" w:fill="FFFFFF"/>
          <w:lang w:val="en-US" w:eastAsia="zh-CN"/>
        </w:rPr>
        <w:t>2</w:t>
      </w:r>
      <w:r>
        <w:rPr>
          <w:rFonts w:hint="eastAsia" w:ascii="微软雅黑" w:hAnsi="微软雅黑" w:eastAsia="微软雅黑" w:cs="微软雅黑"/>
          <w:color w:val="333333"/>
          <w:u w:val="single"/>
          <w:shd w:val="clear" w:color="auto" w:fill="FFFFFF"/>
        </w:rPr>
        <w:t>月</w:t>
      </w:r>
      <w:r>
        <w:rPr>
          <w:rFonts w:hint="eastAsia" w:ascii="微软雅黑" w:hAnsi="微软雅黑" w:eastAsia="微软雅黑" w:cs="微软雅黑"/>
          <w:color w:val="333333"/>
          <w:u w:val="single"/>
          <w:shd w:val="clear" w:color="auto" w:fill="FFFFFF"/>
          <w:lang w:val="en-US" w:eastAsia="zh-CN"/>
        </w:rPr>
        <w:t>28</w:t>
      </w:r>
      <w:r>
        <w:rPr>
          <w:rFonts w:hint="eastAsia" w:ascii="微软雅黑" w:hAnsi="微软雅黑" w:eastAsia="微软雅黑" w:cs="微软雅黑"/>
          <w:color w:val="333333"/>
          <w:u w:val="single"/>
          <w:shd w:val="clear" w:color="auto" w:fill="FFFFFF"/>
        </w:rPr>
        <w:t>日</w:t>
      </w:r>
      <w:r>
        <w:rPr>
          <w:rFonts w:hint="eastAsia" w:ascii="微软雅黑" w:hAnsi="微软雅黑" w:eastAsia="微软雅黑" w:cs="微软雅黑"/>
          <w:color w:val="333333"/>
          <w:shd w:val="clear" w:color="auto" w:fill="FFFFFF"/>
        </w:rPr>
        <w:t>，每天上午</w:t>
      </w:r>
      <w:r>
        <w:rPr>
          <w:rFonts w:hint="eastAsia" w:ascii="微软雅黑" w:hAnsi="微软雅黑" w:eastAsia="微软雅黑" w:cs="微软雅黑"/>
          <w:color w:val="333333"/>
          <w:u w:val="single"/>
          <w:shd w:val="clear" w:color="auto" w:fill="FFFFFF"/>
        </w:rPr>
        <w:t>00:00</w:t>
      </w:r>
      <w:r>
        <w:rPr>
          <w:rFonts w:hint="eastAsia" w:ascii="微软雅黑" w:hAnsi="微软雅黑" w:eastAsia="微软雅黑" w:cs="微软雅黑"/>
          <w:color w:val="333333"/>
          <w:shd w:val="clear" w:color="auto" w:fill="FFFFFF"/>
        </w:rPr>
        <w:t>至</w:t>
      </w:r>
      <w:r>
        <w:rPr>
          <w:rFonts w:hint="eastAsia" w:ascii="微软雅黑" w:hAnsi="微软雅黑" w:eastAsia="微软雅黑" w:cs="微软雅黑"/>
          <w:color w:val="333333"/>
          <w:u w:val="single"/>
          <w:shd w:val="clear" w:color="auto" w:fill="FFFFFF"/>
        </w:rPr>
        <w:t>12:00</w:t>
      </w:r>
      <w:r>
        <w:rPr>
          <w:rFonts w:hint="eastAsia" w:ascii="微软雅黑" w:hAnsi="微软雅黑" w:eastAsia="微软雅黑" w:cs="微软雅黑"/>
          <w:color w:val="333333"/>
          <w:shd w:val="clear" w:color="auto" w:fill="FFFFFF"/>
        </w:rPr>
        <w:t>，下午</w:t>
      </w:r>
      <w:r>
        <w:rPr>
          <w:rFonts w:hint="eastAsia" w:ascii="微软雅黑" w:hAnsi="微软雅黑" w:eastAsia="微软雅黑" w:cs="微软雅黑"/>
          <w:color w:val="333333"/>
          <w:u w:val="single"/>
          <w:shd w:val="clear" w:color="auto" w:fill="FFFFFF"/>
        </w:rPr>
        <w:t>13:00</w:t>
      </w:r>
      <w:r>
        <w:rPr>
          <w:rFonts w:hint="eastAsia" w:ascii="微软雅黑" w:hAnsi="微软雅黑" w:eastAsia="微软雅黑" w:cs="微软雅黑"/>
          <w:color w:val="333333"/>
          <w:shd w:val="clear" w:color="auto" w:fill="FFFFFF"/>
        </w:rPr>
        <w:t>至</w:t>
      </w:r>
      <w:r>
        <w:rPr>
          <w:rFonts w:hint="eastAsia" w:ascii="微软雅黑" w:hAnsi="微软雅黑" w:eastAsia="微软雅黑" w:cs="微软雅黑"/>
          <w:color w:val="333333"/>
          <w:u w:val="single"/>
          <w:shd w:val="clear" w:color="auto" w:fill="FFFFFF"/>
        </w:rPr>
        <w:t>23:00</w:t>
      </w:r>
      <w:r>
        <w:rPr>
          <w:rFonts w:hint="eastAsia" w:ascii="微软雅黑" w:hAnsi="微软雅黑" w:eastAsia="微软雅黑" w:cs="微软雅黑"/>
          <w:color w:val="333333"/>
          <w:shd w:val="clear" w:color="auto" w:fill="FFFFFF"/>
        </w:rPr>
        <w:t>（北京时间，法定节假日除外）</w:t>
      </w:r>
    </w:p>
    <w:p>
      <w:pPr>
        <w:pStyle w:val="19"/>
        <w:widowControl/>
        <w:spacing w:beforeAutospacing="0" w:afterAutospacing="0" w:line="500" w:lineRule="exact"/>
        <w:ind w:left="330" w:right="330"/>
        <w:jc w:val="both"/>
        <w:rPr>
          <w:rFonts w:ascii="微软雅黑" w:hAnsi="微软雅黑" w:eastAsia="微软雅黑" w:cs="微软雅黑"/>
          <w:u w:val="single"/>
        </w:rPr>
      </w:pPr>
      <w:r>
        <w:rPr>
          <w:rFonts w:hint="eastAsia" w:ascii="微软雅黑" w:hAnsi="微软雅黑" w:eastAsia="微软雅黑" w:cs="微软雅黑"/>
          <w:color w:val="333333"/>
          <w:shd w:val="clear" w:color="auto" w:fill="FFFFFF"/>
        </w:rPr>
        <w:t>2、地点：</w:t>
      </w:r>
      <w:r>
        <w:rPr>
          <w:rFonts w:hint="eastAsia" w:ascii="微软雅黑" w:hAnsi="微软雅黑" w:eastAsia="微软雅黑" w:cs="微软雅黑"/>
          <w:color w:val="333333"/>
          <w:u w:val="single"/>
          <w:shd w:val="clear" w:color="auto" w:fill="FFFFFF"/>
        </w:rPr>
        <w:t>网上下载</w:t>
      </w:r>
    </w:p>
    <w:p>
      <w:pPr>
        <w:pStyle w:val="19"/>
        <w:widowControl/>
        <w:spacing w:beforeAutospacing="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333333"/>
          <w:shd w:val="clear" w:color="auto" w:fill="FFFFFF"/>
        </w:rPr>
        <w:t>3、方式：</w:t>
      </w:r>
      <w:r>
        <w:rPr>
          <w:rFonts w:hint="eastAsia" w:ascii="微软雅黑" w:hAnsi="微软雅黑" w:eastAsia="微软雅黑" w:cs="微软雅黑"/>
          <w:color w:val="333333"/>
          <w:u w:val="single"/>
          <w:shd w:val="clear" w:color="auto" w:fill="FFFFFF"/>
        </w:rPr>
        <w:t>点击本公告附件下载</w:t>
      </w:r>
    </w:p>
    <w:p>
      <w:pPr>
        <w:pStyle w:val="19"/>
        <w:widowControl/>
        <w:spacing w:beforeAutospacing="0" w:after="30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333333"/>
          <w:shd w:val="clear" w:color="auto" w:fill="FFFFFF"/>
        </w:rPr>
        <w:t>4、售价：</w:t>
      </w:r>
      <w:r>
        <w:rPr>
          <w:rFonts w:hint="eastAsia" w:ascii="微软雅黑" w:hAnsi="微软雅黑" w:eastAsia="微软雅黑" w:cs="微软雅黑"/>
          <w:color w:val="333333"/>
          <w:u w:val="single"/>
          <w:shd w:val="clear" w:color="auto" w:fill="FFFFFF"/>
        </w:rPr>
        <w:t>0</w:t>
      </w:r>
      <w:r>
        <w:rPr>
          <w:rFonts w:hint="eastAsia" w:ascii="微软雅黑" w:hAnsi="微软雅黑" w:eastAsia="微软雅黑" w:cs="微软雅黑"/>
          <w:color w:val="333333"/>
          <w:shd w:val="clear" w:color="auto" w:fill="FFFFFF"/>
        </w:rPr>
        <w:t>(元)</w:t>
      </w:r>
    </w:p>
    <w:p>
      <w:pPr>
        <w:pStyle w:val="19"/>
        <w:widowControl/>
        <w:spacing w:beforeAutospacing="0" w:afterAutospacing="0" w:line="500" w:lineRule="exact"/>
        <w:ind w:left="330" w:right="330"/>
        <w:rPr>
          <w:rFonts w:ascii="微软雅黑" w:hAnsi="微软雅黑" w:eastAsia="微软雅黑" w:cs="微软雅黑"/>
          <w:b/>
          <w:bCs/>
          <w:sz w:val="27"/>
          <w:szCs w:val="27"/>
        </w:rPr>
      </w:pPr>
      <w:r>
        <w:rPr>
          <w:rFonts w:hint="eastAsia" w:ascii="微软雅黑" w:hAnsi="微软雅黑" w:eastAsia="微软雅黑" w:cs="微软雅黑"/>
          <w:b/>
          <w:bCs/>
          <w:color w:val="333333"/>
          <w:sz w:val="27"/>
          <w:szCs w:val="27"/>
          <w:shd w:val="clear" w:color="auto" w:fill="FFFFFF"/>
        </w:rPr>
        <w:t>四、提交投标文件截止时间、开标时间和地点</w:t>
      </w:r>
    </w:p>
    <w:p>
      <w:pPr>
        <w:pStyle w:val="19"/>
        <w:widowControl/>
        <w:spacing w:beforeAutospacing="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333333"/>
          <w:shd w:val="clear" w:color="auto" w:fill="FFFFFF"/>
        </w:rPr>
        <w:t>1、开始时间：</w:t>
      </w:r>
      <w:r>
        <w:rPr>
          <w:rFonts w:hint="eastAsia" w:ascii="微软雅黑" w:hAnsi="微软雅黑" w:eastAsia="微软雅黑" w:cs="微软雅黑"/>
          <w:color w:val="333333"/>
          <w:u w:val="single"/>
          <w:shd w:val="clear" w:color="auto" w:fill="FFFFFF"/>
        </w:rPr>
        <w:t>2022年</w:t>
      </w:r>
      <w:r>
        <w:rPr>
          <w:rFonts w:hint="eastAsia" w:ascii="微软雅黑" w:hAnsi="微软雅黑" w:eastAsia="微软雅黑" w:cs="微软雅黑"/>
          <w:color w:val="333333"/>
          <w:u w:val="single"/>
          <w:shd w:val="clear" w:color="auto" w:fill="FFFFFF"/>
          <w:lang w:val="en-US" w:eastAsia="zh-CN"/>
        </w:rPr>
        <w:t>3</w:t>
      </w:r>
      <w:r>
        <w:rPr>
          <w:rFonts w:hint="eastAsia" w:ascii="微软雅黑" w:hAnsi="微软雅黑" w:eastAsia="微软雅黑" w:cs="微软雅黑"/>
          <w:color w:val="333333"/>
          <w:u w:val="single"/>
          <w:shd w:val="clear" w:color="auto" w:fill="FFFFFF"/>
        </w:rPr>
        <w:t>月</w:t>
      </w:r>
      <w:r>
        <w:rPr>
          <w:rFonts w:hint="eastAsia" w:ascii="微软雅黑" w:hAnsi="微软雅黑" w:eastAsia="微软雅黑" w:cs="微软雅黑"/>
          <w:color w:val="333333"/>
          <w:u w:val="single"/>
          <w:shd w:val="clear" w:color="auto" w:fill="FFFFFF"/>
          <w:lang w:val="en-US" w:eastAsia="zh-CN"/>
        </w:rPr>
        <w:t>14</w:t>
      </w:r>
      <w:r>
        <w:rPr>
          <w:rFonts w:hint="eastAsia" w:ascii="微软雅黑" w:hAnsi="微软雅黑" w:eastAsia="微软雅黑" w:cs="微软雅黑"/>
          <w:color w:val="333333"/>
          <w:u w:val="single"/>
          <w:shd w:val="clear" w:color="auto" w:fill="FFFFFF"/>
        </w:rPr>
        <w:t>日</w:t>
      </w:r>
      <w:r>
        <w:rPr>
          <w:rFonts w:hint="eastAsia" w:ascii="微软雅黑" w:hAnsi="微软雅黑" w:eastAsia="微软雅黑" w:cs="微软雅黑"/>
          <w:color w:val="333333"/>
          <w:u w:val="single"/>
          <w:shd w:val="clear" w:color="auto" w:fill="FFFFFF"/>
          <w:lang w:val="en-US" w:eastAsia="zh-CN"/>
        </w:rPr>
        <w:t>14</w:t>
      </w:r>
      <w:r>
        <w:rPr>
          <w:rFonts w:hint="eastAsia" w:ascii="微软雅黑" w:hAnsi="微软雅黑" w:eastAsia="微软雅黑" w:cs="微软雅黑"/>
          <w:color w:val="333333"/>
          <w:u w:val="single"/>
          <w:shd w:val="clear" w:color="auto" w:fill="FFFFFF"/>
        </w:rPr>
        <w:t>点</w:t>
      </w:r>
      <w:r>
        <w:rPr>
          <w:rFonts w:hint="eastAsia" w:ascii="微软雅黑" w:hAnsi="微软雅黑" w:eastAsia="微软雅黑" w:cs="微软雅黑"/>
          <w:color w:val="333333"/>
          <w:u w:val="single"/>
          <w:shd w:val="clear" w:color="auto" w:fill="FFFFFF"/>
          <w:lang w:val="en-US" w:eastAsia="zh-CN"/>
        </w:rPr>
        <w:t>30</w:t>
      </w:r>
      <w:r>
        <w:rPr>
          <w:rFonts w:hint="eastAsia" w:ascii="微软雅黑" w:hAnsi="微软雅黑" w:eastAsia="微软雅黑" w:cs="微软雅黑"/>
          <w:color w:val="333333"/>
          <w:u w:val="single"/>
          <w:shd w:val="clear" w:color="auto" w:fill="FFFFFF"/>
        </w:rPr>
        <w:t>分</w:t>
      </w:r>
      <w:r>
        <w:rPr>
          <w:rFonts w:hint="eastAsia" w:ascii="微软雅黑" w:hAnsi="微软雅黑" w:eastAsia="微软雅黑" w:cs="微软雅黑"/>
          <w:color w:val="333333"/>
          <w:shd w:val="clear" w:color="auto" w:fill="FFFFFF"/>
        </w:rPr>
        <w:t>（北京时间）</w:t>
      </w:r>
    </w:p>
    <w:p>
      <w:pPr>
        <w:pStyle w:val="19"/>
        <w:widowControl/>
        <w:spacing w:beforeAutospacing="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333333"/>
          <w:shd w:val="clear" w:color="auto" w:fill="FFFFFF"/>
        </w:rPr>
        <w:t>2、截止时间：</w:t>
      </w:r>
      <w:r>
        <w:rPr>
          <w:rFonts w:hint="eastAsia" w:ascii="微软雅黑" w:hAnsi="微软雅黑" w:eastAsia="微软雅黑" w:cs="微软雅黑"/>
          <w:color w:val="333333"/>
          <w:u w:val="single"/>
          <w:shd w:val="clear" w:color="auto" w:fill="FFFFFF"/>
        </w:rPr>
        <w:t>2022年</w:t>
      </w:r>
      <w:r>
        <w:rPr>
          <w:rFonts w:hint="eastAsia" w:ascii="微软雅黑" w:hAnsi="微软雅黑" w:eastAsia="微软雅黑" w:cs="微软雅黑"/>
          <w:color w:val="333333"/>
          <w:u w:val="single"/>
          <w:shd w:val="clear" w:color="auto" w:fill="FFFFFF"/>
          <w:lang w:val="en-US" w:eastAsia="zh-CN"/>
        </w:rPr>
        <w:t>3</w:t>
      </w:r>
      <w:r>
        <w:rPr>
          <w:rFonts w:hint="eastAsia" w:ascii="微软雅黑" w:hAnsi="微软雅黑" w:eastAsia="微软雅黑" w:cs="微软雅黑"/>
          <w:color w:val="333333"/>
          <w:u w:val="single"/>
          <w:shd w:val="clear" w:color="auto" w:fill="FFFFFF"/>
        </w:rPr>
        <w:t>月</w:t>
      </w:r>
      <w:r>
        <w:rPr>
          <w:rFonts w:hint="eastAsia" w:ascii="微软雅黑" w:hAnsi="微软雅黑" w:eastAsia="微软雅黑" w:cs="微软雅黑"/>
          <w:color w:val="333333"/>
          <w:u w:val="single"/>
          <w:shd w:val="clear" w:color="auto" w:fill="FFFFFF"/>
          <w:lang w:val="en-US" w:eastAsia="zh-CN"/>
        </w:rPr>
        <w:t>14</w:t>
      </w:r>
      <w:r>
        <w:rPr>
          <w:rFonts w:hint="eastAsia" w:ascii="微软雅黑" w:hAnsi="微软雅黑" w:eastAsia="微软雅黑" w:cs="微软雅黑"/>
          <w:color w:val="333333"/>
          <w:u w:val="single"/>
          <w:shd w:val="clear" w:color="auto" w:fill="FFFFFF"/>
        </w:rPr>
        <w:t>日</w:t>
      </w:r>
      <w:r>
        <w:rPr>
          <w:rFonts w:hint="eastAsia" w:ascii="微软雅黑" w:hAnsi="微软雅黑" w:eastAsia="微软雅黑" w:cs="微软雅黑"/>
          <w:color w:val="333333"/>
          <w:u w:val="single"/>
          <w:shd w:val="clear" w:color="auto" w:fill="FFFFFF"/>
          <w:lang w:val="en-US" w:eastAsia="zh-CN"/>
        </w:rPr>
        <w:t>15</w:t>
      </w:r>
      <w:r>
        <w:rPr>
          <w:rFonts w:hint="eastAsia" w:ascii="微软雅黑" w:hAnsi="微软雅黑" w:eastAsia="微软雅黑" w:cs="微软雅黑"/>
          <w:color w:val="333333"/>
          <w:u w:val="single"/>
          <w:shd w:val="clear" w:color="auto" w:fill="FFFFFF"/>
        </w:rPr>
        <w:t>点</w:t>
      </w:r>
      <w:r>
        <w:rPr>
          <w:rFonts w:hint="eastAsia" w:ascii="微软雅黑" w:hAnsi="微软雅黑" w:eastAsia="微软雅黑" w:cs="微软雅黑"/>
          <w:color w:val="333333"/>
          <w:u w:val="single"/>
          <w:shd w:val="clear" w:color="auto" w:fill="FFFFFF"/>
          <w:lang w:val="en-US" w:eastAsia="zh-CN"/>
        </w:rPr>
        <w:t>00</w:t>
      </w:r>
      <w:r>
        <w:rPr>
          <w:rFonts w:hint="eastAsia" w:ascii="微软雅黑" w:hAnsi="微软雅黑" w:eastAsia="微软雅黑" w:cs="微软雅黑"/>
          <w:color w:val="333333"/>
          <w:u w:val="single"/>
          <w:shd w:val="clear" w:color="auto" w:fill="FFFFFF"/>
        </w:rPr>
        <w:t>分</w:t>
      </w:r>
      <w:r>
        <w:rPr>
          <w:rFonts w:hint="eastAsia" w:ascii="微软雅黑" w:hAnsi="微软雅黑" w:eastAsia="微软雅黑" w:cs="微软雅黑"/>
          <w:color w:val="333333"/>
          <w:shd w:val="clear" w:color="auto" w:fill="FFFFFF"/>
        </w:rPr>
        <w:t>（北京时间）</w:t>
      </w:r>
    </w:p>
    <w:p>
      <w:pPr>
        <w:pStyle w:val="19"/>
        <w:widowControl/>
        <w:spacing w:beforeAutospacing="0" w:after="30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333333"/>
          <w:shd w:val="clear" w:color="auto" w:fill="FFFFFF"/>
        </w:rPr>
        <w:t>3、地点：</w:t>
      </w:r>
      <w:r>
        <w:rPr>
          <w:rFonts w:hint="eastAsia" w:ascii="微软雅黑" w:hAnsi="微软雅黑" w:eastAsia="微软雅黑" w:cs="微软雅黑"/>
          <w:color w:val="333333"/>
          <w:u w:val="single"/>
          <w:shd w:val="clear" w:color="auto" w:fill="FFFFFF"/>
        </w:rPr>
        <w:t>阳新县公共资源交易中心二楼开标厅</w:t>
      </w:r>
    </w:p>
    <w:p>
      <w:pPr>
        <w:pStyle w:val="19"/>
        <w:widowControl/>
        <w:spacing w:beforeAutospacing="0" w:afterAutospacing="0" w:line="500" w:lineRule="exact"/>
        <w:ind w:left="330" w:right="330"/>
        <w:rPr>
          <w:rFonts w:ascii="微软雅黑" w:hAnsi="微软雅黑" w:eastAsia="微软雅黑" w:cs="微软雅黑"/>
          <w:b/>
          <w:bCs/>
          <w:sz w:val="27"/>
          <w:szCs w:val="27"/>
        </w:rPr>
      </w:pPr>
      <w:r>
        <w:rPr>
          <w:rFonts w:hint="eastAsia" w:ascii="微软雅黑" w:hAnsi="微软雅黑" w:eastAsia="微软雅黑" w:cs="微软雅黑"/>
          <w:b/>
          <w:bCs/>
          <w:color w:val="333333"/>
          <w:sz w:val="27"/>
          <w:szCs w:val="27"/>
          <w:shd w:val="clear" w:color="auto" w:fill="FFFFFF"/>
        </w:rPr>
        <w:t>五、公告期限</w:t>
      </w:r>
    </w:p>
    <w:p>
      <w:pPr>
        <w:pStyle w:val="19"/>
        <w:widowControl/>
        <w:spacing w:beforeAutospacing="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333333"/>
          <w:shd w:val="clear" w:color="auto" w:fill="FFFFFF"/>
        </w:rPr>
        <w:t>自本公告发布之日起5个工作日。</w:t>
      </w:r>
    </w:p>
    <w:p>
      <w:pPr>
        <w:pStyle w:val="19"/>
        <w:widowControl/>
        <w:spacing w:beforeAutospacing="0" w:afterAutospacing="0" w:line="500" w:lineRule="exact"/>
        <w:ind w:left="330" w:right="330"/>
        <w:rPr>
          <w:rFonts w:ascii="微软雅黑" w:hAnsi="微软雅黑" w:eastAsia="微软雅黑" w:cs="微软雅黑"/>
          <w:b/>
          <w:bCs/>
          <w:sz w:val="27"/>
          <w:szCs w:val="27"/>
        </w:rPr>
      </w:pPr>
      <w:r>
        <w:rPr>
          <w:rFonts w:hint="eastAsia" w:ascii="微软雅黑" w:hAnsi="微软雅黑" w:eastAsia="微软雅黑" w:cs="微软雅黑"/>
          <w:b/>
          <w:bCs/>
          <w:color w:val="333333"/>
          <w:sz w:val="27"/>
          <w:szCs w:val="27"/>
          <w:shd w:val="clear" w:color="auto" w:fill="FFFFFF"/>
        </w:rPr>
        <w:t>六、其他补充事宜</w:t>
      </w:r>
    </w:p>
    <w:p>
      <w:pPr>
        <w:pStyle w:val="19"/>
        <w:widowControl/>
        <w:spacing w:beforeAutospacing="0" w:afterAutospacing="0" w:line="500" w:lineRule="exact"/>
        <w:ind w:left="330" w:right="330"/>
        <w:rPr>
          <w:rFonts w:ascii="微软雅黑" w:hAnsi="微软雅黑" w:eastAsia="微软雅黑" w:cs="微软雅黑"/>
          <w:b/>
          <w:bCs/>
          <w:color w:val="333333"/>
          <w:sz w:val="27"/>
          <w:szCs w:val="27"/>
          <w:u w:val="single"/>
          <w:shd w:val="clear" w:color="auto" w:fill="FFFFFF"/>
        </w:rPr>
      </w:pPr>
      <w:r>
        <w:rPr>
          <w:rFonts w:hint="eastAsia" w:ascii="微软雅黑" w:hAnsi="微软雅黑" w:eastAsia="微软雅黑" w:cs="微软雅黑"/>
          <w:color w:val="444444"/>
          <w:u w:val="single"/>
          <w:shd w:val="clear" w:color="auto" w:fill="FFFFFF"/>
        </w:rPr>
        <w:t>1.投标人认为采购文件、采购过程和成交结果使自己的权益受到损害的，可在成交结果公告期限届满之日起7个工作日内，向采购人或采购代理机构提出质疑（质疑函格式采用财政部国库司政府采购管理办公室发布的质疑函范本http://gks.mof.gov.cn/ztztz/zhengfucaigouguanli/201802/t20180201_2804589.htm）。</w:t>
      </w:r>
      <w:r>
        <w:rPr>
          <w:rFonts w:hint="eastAsia" w:ascii="微软雅黑" w:hAnsi="微软雅黑" w:eastAsia="微软雅黑" w:cs="微软雅黑"/>
          <w:color w:val="444444"/>
          <w:u w:val="single"/>
          <w:shd w:val="clear" w:color="auto" w:fill="FFFFFF"/>
        </w:rPr>
        <w:br w:type="textWrapping"/>
      </w:r>
      <w:r>
        <w:rPr>
          <w:rFonts w:hint="eastAsia" w:ascii="微软雅黑" w:hAnsi="微软雅黑" w:eastAsia="微软雅黑" w:cs="微软雅黑"/>
          <w:color w:val="444444"/>
          <w:u w:val="single"/>
          <w:shd w:val="clear" w:color="auto" w:fill="FFFFFF"/>
        </w:rPr>
        <w:t>2.本公告发布的信息媒体“湖北省政府采购网”、“黄石公共资源交易信息网”及“阳新县人民政府网”。</w:t>
      </w:r>
    </w:p>
    <w:p>
      <w:pPr>
        <w:pStyle w:val="19"/>
        <w:widowControl/>
        <w:spacing w:beforeAutospacing="0" w:afterAutospacing="0" w:line="500" w:lineRule="exact"/>
        <w:ind w:left="330" w:right="330"/>
        <w:rPr>
          <w:rFonts w:ascii="微软雅黑" w:hAnsi="微软雅黑" w:eastAsia="微软雅黑" w:cs="微软雅黑"/>
          <w:b/>
          <w:bCs/>
          <w:sz w:val="27"/>
          <w:szCs w:val="27"/>
        </w:rPr>
      </w:pPr>
      <w:r>
        <w:rPr>
          <w:rFonts w:hint="eastAsia" w:ascii="微软雅黑" w:hAnsi="微软雅黑" w:eastAsia="微软雅黑" w:cs="微软雅黑"/>
          <w:b/>
          <w:bCs/>
          <w:color w:val="333333"/>
          <w:sz w:val="27"/>
          <w:szCs w:val="27"/>
          <w:shd w:val="clear" w:color="auto" w:fill="FFFFFF"/>
        </w:rPr>
        <w:t>七、对本次招标提出询问，请按以下方式联系</w:t>
      </w:r>
    </w:p>
    <w:p>
      <w:pPr>
        <w:pStyle w:val="19"/>
        <w:widowControl/>
        <w:spacing w:beforeAutospacing="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333333"/>
          <w:shd w:val="clear" w:color="auto" w:fill="FFFFFF"/>
        </w:rPr>
        <w:t>1、采购人信息</w:t>
      </w:r>
    </w:p>
    <w:p>
      <w:pPr>
        <w:pStyle w:val="19"/>
        <w:widowControl/>
        <w:spacing w:beforeAutospacing="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333333"/>
          <w:shd w:val="clear" w:color="auto" w:fill="FFFFFF"/>
        </w:rPr>
        <w:t xml:space="preserve">名   称：阳新县住房和城乡建设局 </w:t>
      </w:r>
    </w:p>
    <w:p>
      <w:pPr>
        <w:pStyle w:val="19"/>
        <w:widowControl/>
        <w:spacing w:beforeAutospacing="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333333"/>
          <w:shd w:val="clear" w:color="auto" w:fill="FFFFFF"/>
        </w:rPr>
        <w:t>地   址： 阳新县陵园大道13号</w:t>
      </w:r>
    </w:p>
    <w:p>
      <w:pPr>
        <w:pStyle w:val="19"/>
        <w:widowControl/>
        <w:spacing w:beforeAutospacing="0" w:after="15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333333"/>
          <w:shd w:val="clear" w:color="auto" w:fill="FFFFFF"/>
        </w:rPr>
        <w:t>联系方式：18972766686</w:t>
      </w:r>
    </w:p>
    <w:p>
      <w:pPr>
        <w:pStyle w:val="19"/>
        <w:widowControl/>
        <w:spacing w:beforeAutospacing="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333333"/>
          <w:shd w:val="clear" w:color="auto" w:fill="FFFFFF"/>
        </w:rPr>
        <w:t>2、采购代理机构信息</w:t>
      </w:r>
    </w:p>
    <w:p>
      <w:pPr>
        <w:pStyle w:val="19"/>
        <w:widowControl/>
        <w:spacing w:beforeAutospacing="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444444"/>
          <w:shd w:val="clear" w:color="auto" w:fill="FFFFFF"/>
        </w:rPr>
        <w:t>名   称：湖北顺成建设工程招标代理有限公司</w:t>
      </w:r>
    </w:p>
    <w:p>
      <w:pPr>
        <w:pStyle w:val="19"/>
        <w:widowControl/>
        <w:spacing w:beforeAutospacing="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444444"/>
          <w:shd w:val="clear" w:color="auto" w:fill="FFFFFF"/>
        </w:rPr>
        <w:t>地   址：阳新县陵园大道13号，住建局七楼</w:t>
      </w:r>
    </w:p>
    <w:p>
      <w:pPr>
        <w:pStyle w:val="19"/>
        <w:widowControl/>
        <w:spacing w:beforeAutospacing="0" w:after="15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444444"/>
          <w:shd w:val="clear" w:color="auto" w:fill="FFFFFF"/>
        </w:rPr>
        <w:t>联系方式：13972784844</w:t>
      </w:r>
    </w:p>
    <w:p>
      <w:pPr>
        <w:pStyle w:val="19"/>
        <w:widowControl/>
        <w:spacing w:beforeAutospacing="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444444"/>
          <w:shd w:val="clear" w:color="auto" w:fill="FFFFFF"/>
        </w:rPr>
        <w:t>3、项目联系方式</w:t>
      </w:r>
    </w:p>
    <w:p>
      <w:pPr>
        <w:pStyle w:val="19"/>
        <w:widowControl/>
        <w:spacing w:beforeAutospacing="0" w:afterAutospacing="0" w:line="500" w:lineRule="exact"/>
        <w:ind w:left="330" w:right="330"/>
        <w:jc w:val="both"/>
        <w:rPr>
          <w:rFonts w:ascii="微软雅黑" w:hAnsi="微软雅黑" w:eastAsia="微软雅黑" w:cs="微软雅黑"/>
        </w:rPr>
      </w:pPr>
      <w:r>
        <w:rPr>
          <w:rFonts w:hint="eastAsia" w:ascii="微软雅黑" w:hAnsi="微软雅黑" w:eastAsia="微软雅黑" w:cs="微软雅黑"/>
          <w:color w:val="444444"/>
          <w:shd w:val="clear" w:color="auto" w:fill="FFFFFF"/>
        </w:rPr>
        <w:t>项目联系人：钟威</w:t>
      </w:r>
    </w:p>
    <w:p>
      <w:pPr>
        <w:pStyle w:val="19"/>
        <w:widowControl/>
        <w:spacing w:beforeAutospacing="0" w:after="150" w:afterAutospacing="0" w:line="500" w:lineRule="exact"/>
        <w:ind w:left="330" w:right="330"/>
        <w:jc w:val="both"/>
        <w:rPr>
          <w:rFonts w:ascii="宋体" w:hAnsi="宋体" w:cs="宋体"/>
          <w:bCs/>
          <w:color w:val="0C0C0C"/>
        </w:rPr>
      </w:pPr>
      <w:r>
        <w:rPr>
          <w:rFonts w:hint="eastAsia" w:ascii="微软雅黑" w:hAnsi="微软雅黑" w:eastAsia="微软雅黑" w:cs="微软雅黑"/>
          <w:color w:val="444444"/>
          <w:shd w:val="clear" w:color="auto" w:fill="FFFFFF"/>
        </w:rPr>
        <w:t>电   话：13972784844</w:t>
      </w:r>
      <w:r>
        <w:rPr>
          <w:rFonts w:hint="eastAsia" w:ascii="微软雅黑" w:hAnsi="微软雅黑" w:eastAsia="微软雅黑" w:cs="微软雅黑"/>
          <w:color w:val="333333"/>
          <w:shd w:val="clear" w:color="auto" w:fill="FFFFFF"/>
        </w:rPr>
        <w:t xml:space="preserve"> </w:t>
      </w:r>
    </w:p>
    <w:p>
      <w:pPr>
        <w:wordWrap w:val="0"/>
        <w:spacing w:line="500" w:lineRule="exact"/>
        <w:jc w:val="right"/>
      </w:pPr>
      <w:r>
        <w:rPr>
          <w:rFonts w:hint="eastAsia" w:ascii="微软雅黑" w:hAnsi="微软雅黑" w:eastAsia="微软雅黑" w:cs="微软雅黑"/>
          <w:color w:val="444444"/>
          <w:kern w:val="0"/>
          <w:sz w:val="24"/>
          <w:shd w:val="clear" w:color="auto" w:fill="FFFFFF"/>
        </w:rPr>
        <w:t>2022年</w:t>
      </w:r>
      <w:r>
        <w:rPr>
          <w:rFonts w:hint="eastAsia" w:ascii="微软雅黑" w:hAnsi="微软雅黑" w:eastAsia="微软雅黑" w:cs="微软雅黑"/>
          <w:color w:val="444444"/>
          <w:kern w:val="0"/>
          <w:sz w:val="24"/>
          <w:shd w:val="clear" w:color="auto" w:fill="FFFFFF"/>
          <w:lang w:val="en-US" w:eastAsia="zh-CN"/>
        </w:rPr>
        <w:t>3</w:t>
      </w:r>
      <w:r>
        <w:rPr>
          <w:rFonts w:hint="eastAsia" w:ascii="微软雅黑" w:hAnsi="微软雅黑" w:eastAsia="微软雅黑" w:cs="微软雅黑"/>
          <w:color w:val="444444"/>
          <w:kern w:val="0"/>
          <w:sz w:val="24"/>
          <w:shd w:val="clear" w:color="auto" w:fill="FFFFFF"/>
        </w:rPr>
        <w:t>月</w:t>
      </w:r>
      <w:r>
        <w:rPr>
          <w:rFonts w:hint="eastAsia" w:ascii="微软雅黑" w:hAnsi="微软雅黑" w:eastAsia="微软雅黑" w:cs="微软雅黑"/>
          <w:color w:val="444444"/>
          <w:kern w:val="0"/>
          <w:sz w:val="24"/>
          <w:shd w:val="clear" w:color="auto" w:fill="FFFFFF"/>
          <w:lang w:val="en-US" w:eastAsia="zh-CN"/>
        </w:rPr>
        <w:t>14</w:t>
      </w:r>
      <w:r>
        <w:rPr>
          <w:rFonts w:hint="eastAsia" w:ascii="微软雅黑" w:hAnsi="微软雅黑" w:eastAsia="微软雅黑" w:cs="微软雅黑"/>
          <w:color w:val="444444"/>
          <w:kern w:val="0"/>
          <w:sz w:val="24"/>
          <w:shd w:val="clear" w:color="auto" w:fill="FFFFFF"/>
        </w:rPr>
        <w:t>日</w:t>
      </w:r>
    </w:p>
    <w:p>
      <w:pPr>
        <w:widowControl/>
        <w:spacing w:line="400" w:lineRule="exact"/>
        <w:ind w:firstLine="480"/>
        <w:jc w:val="left"/>
        <w:rPr>
          <w:rFonts w:ascii="宋体" w:hAnsi="宋体" w:eastAsia="宋体" w:cs="宋体"/>
          <w:bCs/>
          <w:color w:val="0D0D0D" w:themeColor="text1" w:themeTint="F2"/>
          <w:kern w:val="0"/>
          <w:sz w:val="24"/>
          <w:szCs w:val="24"/>
          <w14:textFill>
            <w14:solidFill>
              <w14:schemeClr w14:val="tx1">
                <w14:lumMod w14:val="95000"/>
                <w14:lumOff w14:val="5000"/>
              </w14:schemeClr>
            </w14:solidFill>
          </w14:textFill>
        </w:rPr>
      </w:pPr>
    </w:p>
    <w:p>
      <w:pPr>
        <w:widowControl/>
        <w:spacing w:line="360" w:lineRule="auto"/>
        <w:ind w:firstLine="480"/>
        <w:jc w:val="left"/>
        <w:rPr>
          <w:color w:val="0D0D0D" w:themeColor="text1" w:themeTint="F2"/>
          <w14:textFill>
            <w14:solidFill>
              <w14:schemeClr w14:val="tx1">
                <w14:lumMod w14:val="95000"/>
                <w14:lumOff w14:val="5000"/>
              </w14:schemeClr>
            </w14:solidFill>
          </w14:textFill>
        </w:rPr>
      </w:pPr>
      <w:r>
        <w:rPr>
          <w:rFonts w:hint="eastAsia" w:ascii="宋体" w:hAnsi="宋体" w:eastAsia="宋体" w:cs="Times New Roman"/>
          <w:b/>
          <w:color w:val="0D0D0D" w:themeColor="text1" w:themeTint="F2"/>
          <w:sz w:val="28"/>
          <w:szCs w:val="28"/>
          <w:lang w:val="zh-CN"/>
          <w14:textFill>
            <w14:solidFill>
              <w14:schemeClr w14:val="tx1">
                <w14:lumMod w14:val="95000"/>
                <w14:lumOff w14:val="5000"/>
              </w14:schemeClr>
            </w14:solidFill>
          </w14:textFill>
        </w:rPr>
        <w:br w:type="page"/>
      </w:r>
    </w:p>
    <w:p>
      <w:pPr>
        <w:pStyle w:val="3"/>
        <w:numPr>
          <w:ilvl w:val="0"/>
          <w:numId w:val="1"/>
        </w:numPr>
        <w:spacing w:before="240" w:after="120"/>
        <w:ind w:left="883" w:hanging="880" w:hangingChars="200"/>
        <w:jc w:val="center"/>
        <w:rPr>
          <w:rFonts w:ascii="黑体" w:hAnsi="黑体" w:eastAsia="黑体"/>
        </w:rPr>
      </w:pPr>
      <w:bookmarkStart w:id="1" w:name="_Toc495861518"/>
      <w:r>
        <w:rPr>
          <w:rFonts w:hint="eastAsia" w:ascii="黑体" w:hAnsi="黑体" w:eastAsia="黑体"/>
        </w:rPr>
        <w:t>投标人须知</w:t>
      </w:r>
      <w:bookmarkEnd w:id="1"/>
    </w:p>
    <w:p>
      <w:pPr>
        <w:keepNext/>
        <w:keepLines/>
        <w:spacing w:line="360" w:lineRule="auto"/>
        <w:jc w:val="center"/>
        <w:outlineLvl w:val="1"/>
        <w:rPr>
          <w:rFonts w:cs="Times New Roman" w:asciiTheme="majorEastAsia" w:hAnsiTheme="majorEastAsia" w:eastAsiaTheme="majorEastAsia"/>
          <w:b/>
          <w:bCs/>
          <w:sz w:val="32"/>
          <w:szCs w:val="32"/>
          <w:lang w:val="zh-CN"/>
        </w:rPr>
      </w:pPr>
      <w:bookmarkStart w:id="2" w:name="_Toc495861519"/>
      <w:bookmarkStart w:id="3" w:name="_Toc494561937"/>
      <w:r>
        <w:rPr>
          <w:rFonts w:cs="Times New Roman" w:asciiTheme="majorEastAsia" w:hAnsiTheme="majorEastAsia" w:eastAsiaTheme="majorEastAsia"/>
          <w:b/>
          <w:bCs/>
          <w:sz w:val="32"/>
          <w:szCs w:val="32"/>
          <w:lang w:val="zh-CN"/>
        </w:rPr>
        <w:t>投标须知前附表</w:t>
      </w:r>
      <w:bookmarkEnd w:id="2"/>
      <w:bookmarkEnd w:id="3"/>
    </w:p>
    <w:tbl>
      <w:tblPr>
        <w:tblStyle w:val="23"/>
        <w:tblW w:w="9318"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3"/>
        <w:gridCol w:w="2199"/>
        <w:gridCol w:w="64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73"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hAnsi="宋体" w:eastAsia="宋体" w:cs="Times New Roman"/>
                <w:b/>
                <w:sz w:val="24"/>
                <w:szCs w:val="24"/>
              </w:rPr>
            </w:pPr>
            <w:r>
              <w:rPr>
                <w:rFonts w:ascii="宋体" w:hAnsi="宋体" w:eastAsia="宋体" w:cs="Times New Roman"/>
                <w:b/>
                <w:sz w:val="24"/>
                <w:szCs w:val="24"/>
              </w:rPr>
              <w:t>序号</w:t>
            </w:r>
          </w:p>
        </w:tc>
        <w:tc>
          <w:tcPr>
            <w:tcW w:w="2199"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eastAsia="宋体" w:cs="Times New Roman"/>
                <w:b/>
                <w:sz w:val="24"/>
                <w:szCs w:val="24"/>
              </w:rPr>
            </w:pPr>
            <w:r>
              <w:rPr>
                <w:rFonts w:hint="eastAsia" w:ascii="Times New Roman" w:hAnsi="宋体" w:eastAsia="宋体" w:cs="Times New Roman"/>
                <w:b/>
                <w:sz w:val="24"/>
                <w:szCs w:val="24"/>
              </w:rPr>
              <w:t>名  称</w:t>
            </w:r>
          </w:p>
        </w:tc>
        <w:tc>
          <w:tcPr>
            <w:tcW w:w="6446"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Times New Roman" w:hAnsi="Times New Roman" w:eastAsia="宋体" w:cs="Times New Roman"/>
                <w:b/>
                <w:sz w:val="24"/>
                <w:szCs w:val="24"/>
              </w:rPr>
            </w:pPr>
            <w:r>
              <w:rPr>
                <w:rFonts w:ascii="Times New Roman" w:hAnsi="宋体" w:eastAsia="宋体" w:cs="Times New Roman"/>
                <w:b/>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673"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rPr>
            </w:pPr>
          </w:p>
        </w:tc>
        <w:tc>
          <w:tcPr>
            <w:tcW w:w="21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项目编号</w:t>
            </w:r>
          </w:p>
        </w:tc>
        <w:tc>
          <w:tcPr>
            <w:tcW w:w="6446" w:type="dxa"/>
            <w:tcBorders>
              <w:top w:val="single" w:color="auto" w:sz="4" w:space="0"/>
              <w:left w:val="single" w:color="auto" w:sz="4" w:space="0"/>
              <w:bottom w:val="single" w:color="auto" w:sz="4" w:space="0"/>
            </w:tcBorders>
            <w:vAlign w:val="center"/>
          </w:tcPr>
          <w:p>
            <w:pPr>
              <w:rPr>
                <w:rFonts w:hint="default" w:ascii="Times New Roman" w:hAnsi="Times New Roman" w:eastAsia="宋体" w:cs="Times New Roman"/>
                <w:color w:val="FF0000"/>
                <w:sz w:val="24"/>
                <w:szCs w:val="24"/>
                <w:lang w:val="en-US" w:eastAsia="zh-CN"/>
              </w:rPr>
            </w:pPr>
            <w:r>
              <w:rPr>
                <w:rFonts w:hint="eastAsia" w:ascii="Times New Roman" w:hAnsi="Times New Roman" w:eastAsia="宋体" w:cs="Times New Roman"/>
                <w:color w:val="000000" w:themeColor="text1"/>
                <w:sz w:val="24"/>
                <w:szCs w:val="24"/>
                <w:u w:val="none"/>
                <w14:textFill>
                  <w14:solidFill>
                    <w14:schemeClr w14:val="tx1"/>
                  </w14:solidFill>
                </w14:textFill>
              </w:rPr>
              <w:t>131-2022CG-</w:t>
            </w:r>
            <w:r>
              <w:rPr>
                <w:rFonts w:hint="eastAsia" w:ascii="Times New Roman" w:hAnsi="Times New Roman" w:eastAsia="宋体" w:cs="Times New Roman"/>
                <w:color w:val="000000" w:themeColor="text1"/>
                <w:sz w:val="24"/>
                <w:szCs w:val="24"/>
                <w:u w:val="none"/>
                <w:lang w:val="en-US" w:eastAsia="zh-CN"/>
                <w14:textFill>
                  <w14:solidFill>
                    <w14:schemeClr w14:val="tx1"/>
                  </w14:solidFill>
                </w14:textFill>
              </w:rPr>
              <w:t>017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673"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rPr>
            </w:pPr>
          </w:p>
        </w:tc>
        <w:tc>
          <w:tcPr>
            <w:tcW w:w="21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项目名称</w:t>
            </w:r>
          </w:p>
        </w:tc>
        <w:tc>
          <w:tcPr>
            <w:tcW w:w="6446"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hr-HR"/>
                <w14:textFill>
                  <w14:solidFill>
                    <w14:schemeClr w14:val="tx1"/>
                  </w14:solidFill>
                </w14:textFill>
              </w:rPr>
              <w:t>阳新县水环境综合治理规划</w:t>
            </w:r>
            <w:r>
              <w:rPr>
                <w:rFonts w:hint="eastAsia" w:ascii="Times New Roman" w:hAnsi="Times New Roman" w:eastAsia="宋体" w:cs="Times New Roman"/>
                <w:color w:val="000000" w:themeColor="text1"/>
                <w:sz w:val="24"/>
                <w:szCs w:val="24"/>
                <w14:textFill>
                  <w14:solidFill>
                    <w14:schemeClr w14:val="tx1"/>
                  </w14:solidFill>
                </w14:textFill>
              </w:rPr>
              <w:t>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673"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rPr>
            </w:pPr>
          </w:p>
        </w:tc>
        <w:tc>
          <w:tcPr>
            <w:tcW w:w="21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rPr>
            </w:pPr>
            <w:r>
              <w:rPr>
                <w:rFonts w:hint="eastAsia" w:ascii="Times New Roman" w:hAnsi="宋体" w:eastAsia="宋体" w:cs="Times New Roman"/>
                <w:color w:val="0D0D0D"/>
                <w:sz w:val="24"/>
                <w:szCs w:val="24"/>
              </w:rPr>
              <w:t>项目属性</w:t>
            </w:r>
          </w:p>
        </w:tc>
        <w:tc>
          <w:tcPr>
            <w:tcW w:w="6446"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673"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rPr>
            </w:pPr>
          </w:p>
        </w:tc>
        <w:tc>
          <w:tcPr>
            <w:tcW w:w="21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采购人</w:t>
            </w:r>
          </w:p>
        </w:tc>
        <w:tc>
          <w:tcPr>
            <w:tcW w:w="6446"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阳新县住房和城乡建设局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673"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rPr>
            </w:pPr>
          </w:p>
        </w:tc>
        <w:tc>
          <w:tcPr>
            <w:tcW w:w="21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投标保证金</w:t>
            </w:r>
          </w:p>
        </w:tc>
        <w:tc>
          <w:tcPr>
            <w:tcW w:w="6446" w:type="dxa"/>
            <w:tcBorders>
              <w:top w:val="single" w:color="auto" w:sz="4" w:space="0"/>
              <w:left w:val="single" w:color="auto" w:sz="4" w:space="0"/>
              <w:bottom w:val="single" w:color="auto" w:sz="4" w:space="0"/>
            </w:tcBorders>
            <w:vAlign w:val="center"/>
          </w:tcPr>
          <w:p>
            <w:pP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本项目无须递交投标保证金，该文件涉及投标保证金的部分都将不作任何要求。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673"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rPr>
            </w:pPr>
          </w:p>
        </w:tc>
        <w:tc>
          <w:tcPr>
            <w:tcW w:w="21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保证金</w:t>
            </w:r>
            <w:r>
              <w:rPr>
                <w:rFonts w:hint="eastAsia" w:ascii="Times New Roman" w:hAnsi="宋体" w:eastAsia="宋体" w:cs="Times New Roman"/>
                <w:sz w:val="24"/>
                <w:szCs w:val="24"/>
              </w:rPr>
              <w:t>账户信息</w:t>
            </w:r>
          </w:p>
        </w:tc>
        <w:tc>
          <w:tcPr>
            <w:tcW w:w="6446" w:type="dxa"/>
            <w:tcBorders>
              <w:top w:val="single" w:color="auto" w:sz="4" w:space="0"/>
              <w:left w:val="single" w:color="auto" w:sz="4" w:space="0"/>
              <w:bottom w:val="single" w:color="auto" w:sz="4" w:space="0"/>
            </w:tcBorders>
            <w:vAlign w:val="center"/>
          </w:tcPr>
          <w:p>
            <w:pPr>
              <w:rPr>
                <w:rFonts w:ascii="宋体" w:hAnsi="宋体" w:eastAsia="宋体" w:cs="宋体"/>
                <w:kern w:val="0"/>
                <w:sz w:val="24"/>
                <w:szCs w:val="24"/>
              </w:rPr>
            </w:pP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673"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rPr>
            </w:pPr>
          </w:p>
        </w:tc>
        <w:tc>
          <w:tcPr>
            <w:tcW w:w="21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投标文件份数</w:t>
            </w:r>
          </w:p>
        </w:tc>
        <w:tc>
          <w:tcPr>
            <w:tcW w:w="6446"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ascii="Times New Roman" w:hAnsi="Times New Roman" w:eastAsia="宋体" w:cs="Times New Roman"/>
                <w:color w:val="0D0D0D"/>
                <w:sz w:val="24"/>
                <w:szCs w:val="24"/>
              </w:rPr>
              <w:t>正本</w:t>
            </w:r>
            <w:r>
              <w:rPr>
                <w:rFonts w:hint="eastAsia" w:ascii="Times New Roman" w:hAnsi="Times New Roman" w:eastAsia="宋体" w:cs="Times New Roman"/>
                <w:color w:val="0D0D0D"/>
                <w:sz w:val="24"/>
                <w:szCs w:val="24"/>
              </w:rPr>
              <w:t>一</w:t>
            </w:r>
            <w:r>
              <w:rPr>
                <w:rFonts w:ascii="Times New Roman" w:hAnsi="Times New Roman" w:eastAsia="宋体" w:cs="Times New Roman"/>
                <w:color w:val="0D0D0D"/>
                <w:sz w:val="24"/>
                <w:szCs w:val="24"/>
              </w:rPr>
              <w:t>份</w:t>
            </w:r>
            <w:r>
              <w:rPr>
                <w:rFonts w:hint="eastAsia" w:ascii="Times New Roman" w:hAnsi="Times New Roman" w:eastAsia="宋体" w:cs="Times New Roman"/>
                <w:color w:val="0D0D0D"/>
                <w:sz w:val="24"/>
                <w:szCs w:val="24"/>
              </w:rPr>
              <w:t>，</w:t>
            </w:r>
            <w:r>
              <w:rPr>
                <w:rFonts w:ascii="Times New Roman" w:hAnsi="Times New Roman" w:eastAsia="宋体" w:cs="Times New Roman"/>
                <w:color w:val="0D0D0D"/>
                <w:sz w:val="24"/>
                <w:szCs w:val="24"/>
              </w:rPr>
              <w:t>副本</w:t>
            </w:r>
            <w:r>
              <w:rPr>
                <w:rFonts w:hint="eastAsia" w:ascii="Times New Roman" w:hAnsi="Times New Roman" w:eastAsia="宋体" w:cs="Times New Roman"/>
                <w:color w:val="0D0D0D"/>
                <w:sz w:val="24"/>
                <w:szCs w:val="24"/>
              </w:rPr>
              <w:t>四</w:t>
            </w:r>
            <w:r>
              <w:rPr>
                <w:rFonts w:ascii="Times New Roman" w:hAnsi="Times New Roman" w:eastAsia="宋体" w:cs="Times New Roman"/>
                <w:color w:val="0D0D0D"/>
                <w:sz w:val="24"/>
                <w:szCs w:val="24"/>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673"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rPr>
            </w:pPr>
          </w:p>
        </w:tc>
        <w:tc>
          <w:tcPr>
            <w:tcW w:w="21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投标有效期</w:t>
            </w:r>
          </w:p>
        </w:tc>
        <w:tc>
          <w:tcPr>
            <w:tcW w:w="6446"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宋体" w:hAnsi="宋体" w:eastAsia="宋体" w:cs="宋体"/>
                <w:color w:val="0D0D0D"/>
                <w:kern w:val="0"/>
                <w:sz w:val="24"/>
                <w:szCs w:val="24"/>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673" w:type="dxa"/>
            <w:tcBorders>
              <w:top w:val="single" w:color="auto" w:sz="4" w:space="0"/>
              <w:bottom w:val="single" w:color="auto" w:sz="4" w:space="0"/>
              <w:right w:val="single" w:color="auto" w:sz="4" w:space="0"/>
            </w:tcBorders>
            <w:vAlign w:val="center"/>
          </w:tcPr>
          <w:p>
            <w:pPr>
              <w:numPr>
                <w:ilvl w:val="0"/>
                <w:numId w:val="4"/>
              </w:numPr>
              <w:tabs>
                <w:tab w:val="left" w:pos="130"/>
              </w:tabs>
              <w:ind w:right="57"/>
              <w:jc w:val="center"/>
              <w:rPr>
                <w:rFonts w:ascii="宋体" w:hAnsi="宋体" w:eastAsia="宋体" w:cs="Times New Roman"/>
                <w:b/>
                <w:sz w:val="24"/>
                <w:szCs w:val="24"/>
              </w:rPr>
            </w:pPr>
          </w:p>
        </w:tc>
        <w:tc>
          <w:tcPr>
            <w:tcW w:w="21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资格预审</w:t>
            </w:r>
          </w:p>
        </w:tc>
        <w:tc>
          <w:tcPr>
            <w:tcW w:w="6446"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yellow"/>
              </w:rPr>
            </w:pPr>
            <w:r>
              <w:rPr>
                <w:rFonts w:hint="eastAsia" w:ascii="Times New Roman" w:hAnsi="Times New Roman" w:eastAsia="宋体" w:cs="Times New Roman"/>
                <w:color w:val="FF0000"/>
                <w:sz w:val="24"/>
                <w:szCs w:val="24"/>
                <w:highlight w:val="yellow"/>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673"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rPr>
            </w:pPr>
          </w:p>
        </w:tc>
        <w:tc>
          <w:tcPr>
            <w:tcW w:w="21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投标文件递交时间</w:t>
            </w:r>
          </w:p>
        </w:tc>
        <w:tc>
          <w:tcPr>
            <w:tcW w:w="6446"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673"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rPr>
            </w:pPr>
          </w:p>
        </w:tc>
        <w:tc>
          <w:tcPr>
            <w:tcW w:w="21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开标时间</w:t>
            </w:r>
            <w:r>
              <w:rPr>
                <w:rFonts w:hint="eastAsia" w:ascii="Times New Roman" w:hAnsi="宋体" w:eastAsia="宋体" w:cs="Times New Roman"/>
                <w:sz w:val="24"/>
                <w:szCs w:val="24"/>
              </w:rPr>
              <w:t>、地点</w:t>
            </w:r>
          </w:p>
        </w:tc>
        <w:tc>
          <w:tcPr>
            <w:tcW w:w="6446"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673"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rPr>
            </w:pPr>
          </w:p>
        </w:tc>
        <w:tc>
          <w:tcPr>
            <w:tcW w:w="21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备选方案</w:t>
            </w:r>
          </w:p>
        </w:tc>
        <w:tc>
          <w:tcPr>
            <w:tcW w:w="6446"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rPr>
              <w:t>不允许</w:t>
            </w:r>
          </w:p>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详见第三章“</w:t>
            </w:r>
            <w:r>
              <w:rPr>
                <w:rFonts w:hint="eastAsia" w:ascii="宋体" w:hAnsi="宋体" w:eastAsia="宋体" w:cs="Times New Roman"/>
                <w:color w:val="0D0D0D"/>
                <w:sz w:val="24"/>
                <w:szCs w:val="24"/>
              </w:rPr>
              <w:t>项目技术、服务及商务要求</w:t>
            </w:r>
            <w:r>
              <w:rPr>
                <w:rFonts w:hint="eastAsia" w:ascii="Times New Roman" w:hAnsi="Times New Roman" w:eastAsia="宋体" w:cs="Times New Roman"/>
                <w:color w:val="0D0D0D"/>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673"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rPr>
            </w:pPr>
          </w:p>
        </w:tc>
        <w:tc>
          <w:tcPr>
            <w:tcW w:w="21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实物样品</w:t>
            </w:r>
          </w:p>
        </w:tc>
        <w:tc>
          <w:tcPr>
            <w:tcW w:w="6446"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highlight w:val="yellow"/>
              </w:rPr>
              <w:t>不提交</w:t>
            </w:r>
          </w:p>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详见第三章“</w:t>
            </w:r>
            <w:r>
              <w:rPr>
                <w:rFonts w:hint="eastAsia" w:ascii="宋体" w:hAnsi="宋体" w:eastAsia="宋体" w:cs="Times New Roman"/>
                <w:color w:val="0D0D0D"/>
                <w:sz w:val="24"/>
                <w:szCs w:val="24"/>
              </w:rPr>
              <w:t>项目技术、服务及商务要求</w:t>
            </w:r>
            <w:r>
              <w:rPr>
                <w:rFonts w:hint="eastAsia" w:ascii="Times New Roman" w:hAnsi="Times New Roman" w:eastAsia="宋体" w:cs="Times New Roman"/>
                <w:color w:val="0D0D0D"/>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673"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rPr>
            </w:pPr>
          </w:p>
        </w:tc>
        <w:tc>
          <w:tcPr>
            <w:tcW w:w="21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宋体" w:hAnsi="宋体" w:eastAsia="宋体" w:cs="宋体"/>
                <w:color w:val="000000"/>
                <w:sz w:val="24"/>
                <w:szCs w:val="24"/>
              </w:rPr>
              <w:t>现</w:t>
            </w:r>
            <w:r>
              <w:rPr>
                <w:rFonts w:hint="eastAsia" w:ascii="宋体" w:hAnsi="宋体" w:eastAsia="宋体" w:cs="宋体"/>
                <w:sz w:val="24"/>
                <w:szCs w:val="24"/>
              </w:rPr>
              <w:t>场考察</w:t>
            </w:r>
          </w:p>
        </w:tc>
        <w:tc>
          <w:tcPr>
            <w:tcW w:w="6446" w:type="dxa"/>
            <w:tcBorders>
              <w:top w:val="single" w:color="auto" w:sz="4" w:space="0"/>
              <w:left w:val="single" w:color="auto" w:sz="4" w:space="0"/>
              <w:bottom w:val="single" w:color="auto" w:sz="4" w:space="0"/>
            </w:tcBorders>
            <w:vAlign w:val="center"/>
          </w:tcPr>
          <w:p>
            <w:pPr>
              <w:ind w:right="-105" w:rightChars="-50"/>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highlight w:val="yellow"/>
              </w:rPr>
              <w:t>不组织</w:t>
            </w:r>
          </w:p>
          <w:p>
            <w:pPr>
              <w:ind w:right="-105" w:rightChars="-50"/>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详见第三章“</w:t>
            </w:r>
            <w:r>
              <w:rPr>
                <w:rFonts w:hint="eastAsia" w:ascii="宋体" w:hAnsi="宋体" w:eastAsia="宋体" w:cs="Times New Roman"/>
                <w:color w:val="0D0D0D"/>
                <w:sz w:val="24"/>
                <w:szCs w:val="24"/>
              </w:rPr>
              <w:t>项目技术、服务及商务要求</w:t>
            </w:r>
            <w:r>
              <w:rPr>
                <w:rFonts w:hint="eastAsia" w:ascii="Times New Roman" w:hAnsi="Times New Roman" w:eastAsia="宋体" w:cs="Times New Roman"/>
                <w:color w:val="0D0D0D"/>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673"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rPr>
            </w:pPr>
          </w:p>
        </w:tc>
        <w:tc>
          <w:tcPr>
            <w:tcW w:w="21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rPr>
            </w:pPr>
            <w:r>
              <w:rPr>
                <w:rFonts w:hint="eastAsia" w:ascii="Times New Roman" w:hAnsi="宋体" w:eastAsia="宋体" w:cs="Times New Roman"/>
                <w:color w:val="0D0D0D"/>
                <w:sz w:val="24"/>
                <w:szCs w:val="24"/>
              </w:rPr>
              <w:t>中标后分包</w:t>
            </w:r>
          </w:p>
        </w:tc>
        <w:tc>
          <w:tcPr>
            <w:tcW w:w="6446"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rPr>
              <w:t>不允许</w:t>
            </w:r>
          </w:p>
          <w:p>
            <w:pPr>
              <w:rPr>
                <w:rFonts w:ascii="Times New Roman" w:hAnsi="Times New Roman" w:eastAsia="宋体" w:cs="Times New Roman"/>
                <w:color w:val="0D0D0D"/>
                <w:sz w:val="24"/>
                <w:szCs w:val="24"/>
                <w:highlight w:val="yellow"/>
              </w:rPr>
            </w:pPr>
            <w:r>
              <w:rPr>
                <w:rFonts w:hint="eastAsia" w:ascii="Times New Roman" w:hAnsi="Times New Roman" w:eastAsia="宋体" w:cs="Times New Roman"/>
                <w:color w:val="0D0D0D"/>
                <w:sz w:val="24"/>
                <w:szCs w:val="24"/>
              </w:rPr>
              <w:t>详见第三章“</w:t>
            </w:r>
            <w:r>
              <w:rPr>
                <w:rFonts w:hint="eastAsia" w:ascii="宋体" w:hAnsi="宋体" w:eastAsia="宋体" w:cs="Times New Roman"/>
                <w:color w:val="0D0D0D"/>
                <w:sz w:val="24"/>
                <w:szCs w:val="24"/>
              </w:rPr>
              <w:t>项目技术、服务及商务要求</w:t>
            </w:r>
            <w:r>
              <w:rPr>
                <w:rFonts w:hint="eastAsia" w:ascii="Times New Roman" w:hAnsi="Times New Roman" w:eastAsia="宋体" w:cs="Times New Roman"/>
                <w:color w:val="0D0D0D"/>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673"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rPr>
            </w:pPr>
          </w:p>
        </w:tc>
        <w:tc>
          <w:tcPr>
            <w:tcW w:w="21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评标办法</w:t>
            </w:r>
          </w:p>
        </w:tc>
        <w:tc>
          <w:tcPr>
            <w:tcW w:w="6446"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ascii="Times New Roman" w:hAnsi="Times New Roman" w:eastAsia="宋体" w:cs="Times New Roman"/>
                <w:color w:val="0D0D0D"/>
                <w:sz w:val="24"/>
                <w:szCs w:val="24"/>
              </w:rPr>
              <w:t>综合评分法</w:t>
            </w:r>
          </w:p>
          <w:p>
            <w:pPr>
              <w:rPr>
                <w:rFonts w:ascii="Times New Roman" w:hAnsi="Times New Roman" w:eastAsia="宋体" w:cs="Times New Roman"/>
                <w:color w:val="0D0D0D"/>
                <w:sz w:val="24"/>
                <w:szCs w:val="24"/>
                <w:lang w:val="zh-CN"/>
              </w:rPr>
            </w:pPr>
            <w:r>
              <w:rPr>
                <w:rFonts w:hint="eastAsia" w:ascii="Times New Roman" w:hAnsi="Times New Roman" w:eastAsia="宋体" w:cs="Times New Roman"/>
                <w:color w:val="0D0D0D"/>
                <w:sz w:val="24"/>
                <w:szCs w:val="24"/>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673"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rPr>
            </w:pPr>
          </w:p>
        </w:tc>
        <w:tc>
          <w:tcPr>
            <w:tcW w:w="21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中小企业</w:t>
            </w:r>
          </w:p>
        </w:tc>
        <w:tc>
          <w:tcPr>
            <w:tcW w:w="6446"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673"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rPr>
            </w:pPr>
          </w:p>
        </w:tc>
        <w:tc>
          <w:tcPr>
            <w:tcW w:w="21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监狱企业</w:t>
            </w:r>
          </w:p>
        </w:tc>
        <w:tc>
          <w:tcPr>
            <w:tcW w:w="6446"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673"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rPr>
            </w:pPr>
          </w:p>
        </w:tc>
        <w:tc>
          <w:tcPr>
            <w:tcW w:w="21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质疑及提交</w:t>
            </w:r>
          </w:p>
        </w:tc>
        <w:tc>
          <w:tcPr>
            <w:tcW w:w="6446" w:type="dxa"/>
            <w:tcBorders>
              <w:top w:val="single" w:color="auto" w:sz="4" w:space="0"/>
              <w:left w:val="single" w:color="auto" w:sz="4" w:space="0"/>
              <w:bottom w:val="single" w:color="auto" w:sz="4" w:space="0"/>
            </w:tcBorders>
            <w:vAlign w:val="center"/>
          </w:tcPr>
          <w:p>
            <w:pPr>
              <w:rPr>
                <w:rFonts w:cs="Times New Roman" w:asciiTheme="minorEastAsia" w:hAnsiTheme="minorEastAsia"/>
                <w:color w:val="0D0D0D"/>
                <w:sz w:val="24"/>
                <w:szCs w:val="24"/>
              </w:rPr>
            </w:pPr>
            <w:r>
              <w:rPr>
                <w:rFonts w:hint="eastAsia" w:cs="Times New Roman" w:asciiTheme="minorEastAsia" w:hAnsiTheme="minorEastAsia"/>
                <w:color w:val="0D0D0D"/>
                <w:sz w:val="24"/>
                <w:szCs w:val="24"/>
              </w:rPr>
              <w:t>详见本章“质疑及提交”要求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673" w:type="dxa"/>
            <w:tcBorders>
              <w:top w:val="single" w:color="auto" w:sz="4" w:space="0"/>
              <w:bottom w:val="single" w:color="auto" w:sz="4" w:space="0"/>
              <w:right w:val="single" w:color="auto" w:sz="4" w:space="0"/>
            </w:tcBorders>
            <w:vAlign w:val="center"/>
          </w:tcPr>
          <w:p>
            <w:pPr>
              <w:numPr>
                <w:ilvl w:val="0"/>
                <w:numId w:val="4"/>
              </w:numPr>
              <w:tabs>
                <w:tab w:val="left" w:pos="242"/>
              </w:tabs>
              <w:ind w:right="57"/>
              <w:jc w:val="center"/>
              <w:rPr>
                <w:rFonts w:ascii="宋体" w:hAnsi="宋体" w:eastAsia="宋体" w:cs="Times New Roman"/>
                <w:b/>
                <w:sz w:val="24"/>
                <w:szCs w:val="24"/>
              </w:rPr>
            </w:pPr>
            <w:bookmarkStart w:id="4" w:name="_Toc494561938"/>
          </w:p>
        </w:tc>
        <w:tc>
          <w:tcPr>
            <w:tcW w:w="219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小微企业报价扣除</w:t>
            </w:r>
          </w:p>
        </w:tc>
        <w:tc>
          <w:tcPr>
            <w:tcW w:w="6446" w:type="dxa"/>
            <w:tcBorders>
              <w:top w:val="single" w:color="auto" w:sz="4" w:space="0"/>
              <w:left w:val="single" w:color="auto" w:sz="4" w:space="0"/>
              <w:bottom w:val="single" w:color="auto" w:sz="4" w:space="0"/>
            </w:tcBorders>
            <w:vAlign w:val="center"/>
          </w:tcPr>
          <w:p>
            <w:pPr>
              <w:rPr>
                <w:rFonts w:cs="Times New Roman" w:asciiTheme="minorEastAsia" w:hAnsiTheme="minorEastAsia"/>
                <w:color w:val="0D0D0D"/>
                <w:sz w:val="24"/>
                <w:szCs w:val="24"/>
              </w:rPr>
            </w:pPr>
            <w:r>
              <w:rPr>
                <w:rFonts w:hint="eastAsia" w:ascii="Times New Roman" w:hAnsi="宋体" w:eastAsia="宋体" w:cs="Times New Roman"/>
                <w:sz w:val="24"/>
                <w:szCs w:val="24"/>
              </w:rPr>
              <w:t>小微企业报价给予</w:t>
            </w:r>
            <w:r>
              <w:rPr>
                <w:rFonts w:hint="eastAsia" w:cs="Times New Roman" w:asciiTheme="minorEastAsia" w:hAnsiTheme="minorEastAsia"/>
                <w:color w:val="0D0D0D"/>
                <w:sz w:val="24"/>
                <w:szCs w:val="24"/>
              </w:rPr>
              <w:t>6%的扣除，用扣除后的价格参加评审。</w:t>
            </w:r>
          </w:p>
        </w:tc>
      </w:tr>
    </w:tbl>
    <w:p>
      <w:pPr>
        <w:keepNext/>
        <w:keepLines/>
        <w:numPr>
          <w:ilvl w:val="0"/>
          <w:numId w:val="5"/>
        </w:numPr>
        <w:spacing w:before="100" w:beforeAutospacing="1" w:after="100" w:afterAutospacing="1" w:line="360" w:lineRule="auto"/>
        <w:ind w:left="482" w:hanging="480" w:hangingChars="150"/>
        <w:outlineLvl w:val="1"/>
        <w:rPr>
          <w:rFonts w:ascii="黑体" w:hAnsi="黑体" w:eastAsia="黑体" w:cs="Times New Roman"/>
          <w:b/>
          <w:bCs/>
          <w:sz w:val="32"/>
          <w:szCs w:val="32"/>
          <w:lang w:val="zh-CN"/>
        </w:rPr>
      </w:pPr>
      <w:r>
        <w:rPr>
          <w:rFonts w:ascii="黑体" w:hAnsi="黑体" w:eastAsia="黑体" w:cs="Times New Roman"/>
          <w:b/>
          <w:bCs/>
          <w:sz w:val="32"/>
          <w:szCs w:val="32"/>
          <w:lang w:val="zh-CN"/>
        </w:rPr>
        <w:br w:type="page"/>
      </w:r>
    </w:p>
    <w:p>
      <w:pPr>
        <w:pStyle w:val="4"/>
        <w:numPr>
          <w:ilvl w:val="0"/>
          <w:numId w:val="6"/>
        </w:numPr>
        <w:spacing w:before="40" w:after="40" w:line="360" w:lineRule="auto"/>
        <w:ind w:left="658" w:hanging="658"/>
        <w:jc w:val="left"/>
        <w:rPr>
          <w:rFonts w:cs="Times New Roman" w:asciiTheme="majorEastAsia" w:hAnsiTheme="majorEastAsia"/>
          <w:bCs w:val="0"/>
          <w:lang w:val="zh-CN"/>
        </w:rPr>
      </w:pPr>
      <w:bookmarkStart w:id="5" w:name="_Toc495861520"/>
      <w:r>
        <w:rPr>
          <w:rFonts w:hint="eastAsia" w:cs="Times New Roman" w:asciiTheme="majorEastAsia" w:hAnsiTheme="majorEastAsia"/>
          <w:bCs w:val="0"/>
          <w:lang w:val="zh-CN"/>
        </w:rPr>
        <w:t>说  明</w:t>
      </w:r>
      <w:bookmarkEnd w:id="4"/>
      <w:bookmarkEnd w:id="5"/>
    </w:p>
    <w:p>
      <w:pPr>
        <w:numPr>
          <w:ilvl w:val="0"/>
          <w:numId w:val="7"/>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适用范围</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招标文件仅适用于第一章“投标邀请书”中所述项目的货物、工程及服务的采购。</w:t>
      </w:r>
    </w:p>
    <w:p>
      <w:pPr>
        <w:numPr>
          <w:ilvl w:val="0"/>
          <w:numId w:val="7"/>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当事人定义</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“采购人”是指：</w:t>
      </w:r>
      <w:r>
        <w:rPr>
          <w:rFonts w:hint="eastAsia" w:cs="Times New Roman" w:asciiTheme="minorEastAsia" w:hAnsiTheme="minorEastAsia"/>
          <w:sz w:val="24"/>
          <w:szCs w:val="24"/>
          <w:lang w:val="zh-CN"/>
        </w:rPr>
        <w:t>详见第一章“投标邀请书”。</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“监管部门”是指：</w:t>
      </w:r>
      <w:r>
        <w:rPr>
          <w:rFonts w:hint="eastAsia" w:cs="Helvetica" w:asciiTheme="minorEastAsia" w:hAnsiTheme="minorEastAsia"/>
          <w:kern w:val="0"/>
          <w:sz w:val="24"/>
          <w:szCs w:val="24"/>
          <w:lang w:val="zh-CN"/>
        </w:rPr>
        <w:t>阳新县政府采购办公室、阳新县公共资源交易监督管理局</w:t>
      </w:r>
      <w:r>
        <w:rPr>
          <w:rFonts w:hint="eastAsia" w:cs="Times New Roman" w:asciiTheme="minorEastAsia" w:hAnsiTheme="minorEastAsia"/>
          <w:color w:val="FF0000"/>
          <w:sz w:val="24"/>
          <w:szCs w:val="24"/>
          <w:lang w:val="zh-CN"/>
        </w:rPr>
        <w:t>。</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“采购机构”是指：</w:t>
      </w:r>
      <w:r>
        <w:rPr>
          <w:rFonts w:hint="eastAsia" w:cs="Helvetica" w:asciiTheme="minorEastAsia" w:hAnsiTheme="minorEastAsia"/>
          <w:kern w:val="0"/>
          <w:sz w:val="24"/>
          <w:szCs w:val="24"/>
          <w:lang w:val="zh-CN"/>
        </w:rPr>
        <w:t>湖北顺成建设工程招标代理有限公司。</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“投标人”是指：</w:t>
      </w:r>
      <w:r>
        <w:rPr>
          <w:rFonts w:cs="Helvetica" w:asciiTheme="minorEastAsia" w:hAnsiTheme="minorEastAsia"/>
          <w:kern w:val="0"/>
          <w:sz w:val="24"/>
          <w:szCs w:val="24"/>
          <w:lang w:val="zh-CN"/>
        </w:rPr>
        <w:t>响应招标、参加投标竞争的法人、其他组织或者自然人。</w:t>
      </w:r>
    </w:p>
    <w:p>
      <w:pPr>
        <w:numPr>
          <w:ilvl w:val="0"/>
          <w:numId w:val="8"/>
        </w:numPr>
        <w:spacing w:line="360" w:lineRule="auto"/>
        <w:ind w:left="476" w:hanging="476"/>
        <w:rPr>
          <w:rFonts w:cs="Helvetica" w:asciiTheme="minorEastAsia" w:hAnsiTheme="minorEastAsia"/>
          <w:kern w:val="0"/>
          <w:sz w:val="24"/>
          <w:szCs w:val="24"/>
          <w:lang w:val="zh-CN"/>
        </w:rPr>
      </w:pPr>
      <w:r>
        <w:rPr>
          <w:rFonts w:hint="eastAsia" w:cs="Times New Roman" w:asciiTheme="minorEastAsia" w:hAnsiTheme="minorEastAsia"/>
          <w:b/>
          <w:sz w:val="24"/>
          <w:szCs w:val="24"/>
          <w:lang w:val="zh-CN"/>
        </w:rPr>
        <w:t>“合格的投标人”是指：</w:t>
      </w:r>
      <w:r>
        <w:rPr>
          <w:rFonts w:hint="eastAsia" w:cs="Helvetica" w:asciiTheme="minorEastAsia" w:hAnsiTheme="minorEastAsia"/>
          <w:kern w:val="0"/>
          <w:sz w:val="24"/>
          <w:szCs w:val="24"/>
          <w:lang w:val="zh-CN"/>
        </w:rPr>
        <w:t>资格审查和符合性审查合格的投标人。</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“中标人”是指：</w:t>
      </w:r>
      <w:r>
        <w:rPr>
          <w:rFonts w:hint="eastAsia" w:cs="Times New Roman" w:asciiTheme="minorEastAsia" w:hAnsiTheme="minorEastAsia"/>
          <w:sz w:val="24"/>
          <w:szCs w:val="24"/>
          <w:lang w:val="zh-CN"/>
        </w:rPr>
        <w:t>经评标委员会评审，授予合同的投标人。</w:t>
      </w:r>
    </w:p>
    <w:p>
      <w:pPr>
        <w:numPr>
          <w:ilvl w:val="0"/>
          <w:numId w:val="7"/>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项目属性及定义</w:t>
      </w:r>
    </w:p>
    <w:p>
      <w:pPr>
        <w:numPr>
          <w:ilvl w:val="0"/>
          <w:numId w:val="9"/>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“货物”是指</w:t>
      </w:r>
      <w:r>
        <w:rPr>
          <w:rFonts w:hint="eastAsia" w:cs="Times New Roman" w:asciiTheme="minorEastAsia" w:hAnsiTheme="minorEastAsia"/>
          <w:sz w:val="24"/>
          <w:szCs w:val="24"/>
          <w:lang w:val="zh-CN"/>
        </w:rPr>
        <w:t>：各种形态和种类的物品，包括原材料、燃料、设备、产品等。</w:t>
      </w:r>
    </w:p>
    <w:p>
      <w:pPr>
        <w:numPr>
          <w:ilvl w:val="0"/>
          <w:numId w:val="10"/>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招标文件中没有提及招标货物来源地的，根据《政府采购法》及相关规定均应是本国货物，另有规定的除外。</w:t>
      </w:r>
    </w:p>
    <w:p>
      <w:pPr>
        <w:numPr>
          <w:ilvl w:val="0"/>
          <w:numId w:val="10"/>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投标的货物应是合法生产的符合国家有关标准要求的货物，并能够按照合同规定的品牌、产地、质量、价格和有效期等履约。</w:t>
      </w:r>
    </w:p>
    <w:p>
      <w:pPr>
        <w:numPr>
          <w:ilvl w:val="0"/>
          <w:numId w:val="9"/>
        </w:numPr>
        <w:spacing w:line="360" w:lineRule="auto"/>
        <w:ind w:left="476" w:hanging="476"/>
        <w:rPr>
          <w:rFonts w:cs="Times New Roman" w:asciiTheme="minorEastAsia" w:hAnsiTheme="minorEastAsia"/>
          <w:b/>
          <w:color w:val="0D0D0D"/>
          <w:sz w:val="24"/>
          <w:szCs w:val="24"/>
          <w:lang w:val="zh-CN"/>
        </w:rPr>
      </w:pPr>
      <w:r>
        <w:rPr>
          <w:rFonts w:hint="eastAsia" w:cs="Times New Roman" w:asciiTheme="minorEastAsia" w:hAnsiTheme="minorEastAsia"/>
          <w:b/>
          <w:color w:val="0D0D0D"/>
          <w:sz w:val="24"/>
          <w:szCs w:val="24"/>
          <w:lang w:val="zh-CN"/>
        </w:rPr>
        <w:t>“工程”是指</w:t>
      </w:r>
      <w:r>
        <w:rPr>
          <w:rFonts w:hint="eastAsia" w:cs="Times New Roman" w:asciiTheme="minorEastAsia" w:hAnsiTheme="minorEastAsia"/>
          <w:color w:val="0D0D0D"/>
          <w:sz w:val="24"/>
          <w:szCs w:val="24"/>
          <w:lang w:val="zh-CN"/>
        </w:rPr>
        <w:t>：与建筑物和构筑物的新建、改建、扩建及其相关的装修、拆除、修缮无关的工程。</w:t>
      </w:r>
    </w:p>
    <w:p>
      <w:pPr>
        <w:numPr>
          <w:ilvl w:val="0"/>
          <w:numId w:val="9"/>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“服务”</w:t>
      </w:r>
      <w:r>
        <w:rPr>
          <w:rFonts w:hint="eastAsia" w:cs="Times New Roman" w:asciiTheme="minorEastAsia" w:hAnsiTheme="minorEastAsia"/>
          <w:b/>
          <w:color w:val="0D0D0D" w:themeColor="text1" w:themeTint="F2"/>
          <w:sz w:val="24"/>
          <w:szCs w:val="24"/>
          <w:lang w:val="zh-CN"/>
          <w14:textFill>
            <w14:solidFill>
              <w14:schemeClr w14:val="tx1">
                <w14:lumMod w14:val="95000"/>
                <w14:lumOff w14:val="5000"/>
              </w14:schemeClr>
            </w14:solidFill>
          </w14:textFill>
        </w:rPr>
        <w:t>是指：</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除货物和工程（含本章3.2条所述工程及《招标投标法》所定义工程）以外的其他政府采购对象,包括政府自身需要的服务和政府向社会公众提供的公共服务。</w:t>
      </w:r>
    </w:p>
    <w:p>
      <w:pPr>
        <w:numPr>
          <w:ilvl w:val="0"/>
          <w:numId w:val="9"/>
        </w:numPr>
        <w:spacing w:line="360" w:lineRule="auto"/>
        <w:ind w:left="476" w:hanging="476"/>
        <w:rPr>
          <w:rFonts w:cs="Times New Roman" w:asciiTheme="minorEastAsia" w:hAnsiTheme="minorEastAsia"/>
          <w:sz w:val="24"/>
          <w:szCs w:val="24"/>
          <w:lang w:val="zh-CN"/>
        </w:rPr>
      </w:pPr>
      <w:r>
        <w:rPr>
          <w:rFonts w:cs="Times New Roman" w:asciiTheme="minorEastAsia" w:hAnsiTheme="minorEastAsia"/>
          <w:sz w:val="24"/>
          <w:szCs w:val="24"/>
          <w:lang w:val="zh-CN"/>
        </w:rPr>
        <w:t>采购人应当按照财政部制定的《政府采购品目分类目录》确定采购项目属性</w:t>
      </w:r>
      <w:r>
        <w:rPr>
          <w:rFonts w:hint="eastAsia" w:cs="Times New Roman" w:asciiTheme="minorEastAsia" w:hAnsiTheme="minorEastAsia"/>
          <w:sz w:val="24"/>
          <w:szCs w:val="24"/>
          <w:lang w:val="zh-CN"/>
        </w:rPr>
        <w:t>。</w:t>
      </w:r>
      <w:r>
        <w:rPr>
          <w:rFonts w:cs="Times New Roman" w:asciiTheme="minorEastAsia" w:hAnsiTheme="minorEastAsia"/>
          <w:sz w:val="24"/>
          <w:szCs w:val="24"/>
          <w:lang w:val="zh-CN"/>
        </w:rPr>
        <w:t>按照《政府采购品目分类目录》无法确定的，按照有利于采购项目实施的原则确定。</w:t>
      </w:r>
    </w:p>
    <w:p>
      <w:pPr>
        <w:numPr>
          <w:ilvl w:val="0"/>
          <w:numId w:val="7"/>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投标费用</w:t>
      </w:r>
    </w:p>
    <w:p>
      <w:pPr>
        <w:numPr>
          <w:ilvl w:val="0"/>
          <w:numId w:val="11"/>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投标人应承担所有与准备和参加投标有关的费用。不论投标的结果如何，采购代理机构和采购人均无义务和责任承担这些费用。</w:t>
      </w:r>
    </w:p>
    <w:p>
      <w:pPr>
        <w:pStyle w:val="44"/>
        <w:numPr>
          <w:ilvl w:val="0"/>
          <w:numId w:val="11"/>
        </w:numPr>
        <w:adjustRightInd w:val="0"/>
        <w:snapToGrid w:val="0"/>
        <w:spacing w:line="300" w:lineRule="auto"/>
        <w:ind w:firstLineChars="0"/>
        <w:rPr>
          <w:rFonts w:ascii="宋体" w:hAnsi="宋体"/>
          <w:bCs/>
          <w:sz w:val="24"/>
          <w:szCs w:val="24"/>
        </w:rPr>
      </w:pPr>
      <w:r>
        <w:rPr>
          <w:rFonts w:hint="eastAsia" w:ascii="宋体" w:hAnsi="宋体"/>
          <w:sz w:val="24"/>
          <w:szCs w:val="24"/>
        </w:rPr>
        <w:t>采购代理服务费</w:t>
      </w:r>
    </w:p>
    <w:p>
      <w:pPr>
        <w:pStyle w:val="44"/>
        <w:ind w:left="420" w:firstLine="0" w:firstLineChars="0"/>
        <w:rPr>
          <w:rFonts w:ascii="宋体" w:hAnsi="宋体"/>
          <w:b/>
          <w:sz w:val="24"/>
          <w:szCs w:val="24"/>
        </w:rPr>
      </w:pPr>
      <w:r>
        <w:rPr>
          <w:rFonts w:hint="eastAsia" w:ascii="宋体" w:hAnsi="宋体"/>
          <w:b/>
          <w:sz w:val="24"/>
          <w:szCs w:val="24"/>
        </w:rPr>
        <w:t>经过采购代理机构与采购人协议，规定由中标单位支付。采购代理服务费收费标准如下：</w:t>
      </w:r>
    </w:p>
    <w:p>
      <w:pPr>
        <w:pStyle w:val="44"/>
        <w:ind w:left="420" w:firstLine="0" w:firstLineChars="0"/>
        <w:rPr>
          <w:rFonts w:ascii="宋体" w:hAnsi="宋体"/>
          <w:sz w:val="24"/>
          <w:szCs w:val="24"/>
        </w:rPr>
      </w:pPr>
    </w:p>
    <w:tbl>
      <w:tblPr>
        <w:tblStyle w:val="23"/>
        <w:tblW w:w="924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101600</wp:posOffset>
                      </wp:positionV>
                      <wp:extent cx="1410970" cy="869950"/>
                      <wp:effectExtent l="2540" t="3810" r="3810" b="10160"/>
                      <wp:wrapNone/>
                      <wp:docPr id="2" name="Line 16"/>
                      <wp:cNvGraphicFramePr/>
                      <a:graphic xmlns:a="http://schemas.openxmlformats.org/drawingml/2006/main">
                        <a:graphicData uri="http://schemas.microsoft.com/office/word/2010/wordprocessingShape">
                          <wps:wsp>
                            <wps:cNvCnPr/>
                            <wps:spPr>
                              <a:xfrm flipH="1" flipV="1">
                                <a:off x="0" y="0"/>
                                <a:ext cx="1410970" cy="8699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16" o:spid="_x0000_s1026" o:spt="20" style="position:absolute;left:0pt;flip:x y;margin-left:-1.05pt;margin-top:8pt;height:68.5pt;width:111.1pt;z-index:251660288;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4EZzrNEAAAAJ&#10;AQAADwAAAAAAAAABACAAAAAiAAAAZHJzL2Rvd25yZXYueG1sUEsBAhQAFAAAAAgAh07iQDbaSUzq&#10;AQAA9QMAAA4AAAAAAAAAAQAgAAAAIAEAAGRycy9lMm9Eb2MueG1sUEsFBgAAAAAGAAYAWQEAAHwF&#10;AAAAAA==&#10;">
                      <v:fill on="f" focussize="0,0"/>
                      <v:stroke color="#000000" joinstyle="round"/>
                      <v:imagedata o:title=""/>
                      <o:lock v:ext="edit" aspectratio="f"/>
                    </v:line>
                  </w:pict>
                </mc:Fallback>
              </mc:AlternateContent>
            </w:r>
            <w:r>
              <w:rPr>
                <w:rFonts w:ascii="宋体"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54610</wp:posOffset>
                      </wp:positionV>
                      <wp:extent cx="1597025" cy="421005"/>
                      <wp:effectExtent l="1270" t="4445" r="1905" b="16510"/>
                      <wp:wrapNone/>
                      <wp:docPr id="3" name="Line 17"/>
                      <wp:cNvGraphicFramePr/>
                      <a:graphic xmlns:a="http://schemas.openxmlformats.org/drawingml/2006/main">
                        <a:graphicData uri="http://schemas.microsoft.com/office/word/2010/wordprocessingShape">
                          <wps:wsp>
                            <wps:cNvCnPr/>
                            <wps:spPr>
                              <a:xfrm flipH="1" flipV="1">
                                <a:off x="0" y="0"/>
                                <a:ext cx="1597025" cy="42100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17" o:spid="_x0000_s1026" o:spt="20" style="position:absolute;left:0pt;flip:x y;margin-left:-5.15pt;margin-top:4.3pt;height:33.15pt;width:125.75pt;z-index:251661312;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4uAobVAAAA&#10;CAEAAA8AAAAAAAAAAQAgAAAAIgAAAGRycy9kb3ducmV2LnhtbFBLAQIUABQAAAAIAIdO4kD6cOSQ&#10;5wEAAPUDAAAOAAAAAAAAAAEAIAAAACQBAABkcnMvZTJvRG9jLnhtbFBLBQYAAAAABgAGAFkBAAB9&#10;BQAAAAA=&#10;">
                      <v:fill on="f" focussize="0,0"/>
                      <v:stroke color="#000000" joinstyle="round"/>
                      <v:imagedata o:title=""/>
                      <o:lock v:ext="edit" aspectratio="f"/>
                    </v:line>
                  </w:pict>
                </mc:Fallback>
              </mc:AlternateContent>
            </w:r>
            <w:r>
              <w:rPr>
                <w:rFonts w:ascii="宋体" w:hAnsi="宋体" w:cs="宋体"/>
                <w:sz w:val="24"/>
                <w:szCs w:val="24"/>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0" r="0" b="0"/>
                      <wp:wrapNone/>
                      <wp:docPr id="1" name="Line 1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15"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5HTftUAAAAJAQAADwAAAAAAAAABACAAAAAi&#10;AAAAZHJzL2Rvd25yZXYueG1sUEsBAhQAFAAAAAgAh07iQKiChf3UAQAA2AMAAA4AAAAAAAAAAQAg&#10;AAAAJAEAAGRycy9lMm9Eb2MueG1sUEsFBgAAAAAGAAYAWQEAAGoFAAAAAA==&#10;">
                      <v:fill on="f" focussize="0,0"/>
                      <v:stroke color="#000000" joinstyle="round"/>
                      <v:imagedata o:title=""/>
                      <o:lock v:ext="edit" aspectratio="f"/>
                    </v:line>
                  </w:pict>
                </mc:Fallback>
              </mc:AlternateContent>
            </w:r>
            <w:r>
              <w:rPr>
                <w:rFonts w:hint="eastAsia" w:ascii="宋体" w:hAnsi="宋体" w:cs="宋体"/>
                <w:sz w:val="24"/>
                <w:szCs w:val="24"/>
              </w:rPr>
              <w:t>招标类型　　　</w:t>
            </w:r>
          </w:p>
          <w:p>
            <w:pPr>
              <w:spacing w:line="300" w:lineRule="auto"/>
              <w:ind w:firstLine="998" w:firstLineChars="416"/>
              <w:rPr>
                <w:rFonts w:ascii="宋体" w:hAnsi="宋体" w:cs="宋体"/>
                <w:sz w:val="24"/>
                <w:szCs w:val="24"/>
              </w:rPr>
            </w:pPr>
            <w:r>
              <w:rPr>
                <w:rFonts w:hint="eastAsia" w:ascii="宋体" w:hAnsi="宋体" w:cs="宋体"/>
                <w:bCs/>
                <w:sz w:val="24"/>
                <w:szCs w:val="24"/>
              </w:rPr>
              <w:t>中标</w:t>
            </w:r>
            <w:r>
              <w:rPr>
                <w:rFonts w:hint="eastAsia" w:ascii="宋体" w:hAnsi="宋体" w:cs="宋体"/>
                <w:sz w:val="24"/>
                <w:szCs w:val="24"/>
              </w:rPr>
              <w:t xml:space="preserve">　　　 </w:t>
            </w:r>
          </w:p>
          <w:p>
            <w:pPr>
              <w:spacing w:line="300" w:lineRule="auto"/>
              <w:ind w:firstLine="1504" w:firstLineChars="627"/>
              <w:rPr>
                <w:rFonts w:ascii="宋体" w:hAnsi="宋体" w:cs="宋体"/>
                <w:bCs/>
                <w:sz w:val="24"/>
                <w:szCs w:val="24"/>
              </w:rPr>
            </w:pPr>
            <w:r>
              <w:rPr>
                <w:rFonts w:hint="eastAsia" w:ascii="宋体" w:hAnsi="宋体" w:cs="宋体"/>
                <w:bCs/>
                <w:sz w:val="24"/>
                <w:szCs w:val="24"/>
              </w:rPr>
              <w:t>费率</w:t>
            </w:r>
          </w:p>
          <w:p>
            <w:pPr>
              <w:spacing w:line="300" w:lineRule="auto"/>
              <w:rPr>
                <w:rFonts w:ascii="宋体" w:hAnsi="宋体" w:cs="宋体"/>
                <w:sz w:val="24"/>
                <w:szCs w:val="24"/>
              </w:rPr>
            </w:pPr>
            <w:r>
              <w:rPr>
                <w:rFonts w:hint="eastAsia" w:ascii="宋体" w:hAnsi="宋体" w:cs="宋体"/>
                <w:sz w:val="24"/>
                <w:szCs w:val="24"/>
              </w:rPr>
              <w:t>金额（万元）</w:t>
            </w:r>
          </w:p>
        </w:tc>
        <w:tc>
          <w:tcPr>
            <w:tcW w:w="2470" w:type="dxa"/>
            <w:vAlign w:val="center"/>
          </w:tcPr>
          <w:p>
            <w:pPr>
              <w:spacing w:line="300" w:lineRule="auto"/>
              <w:jc w:val="center"/>
              <w:rPr>
                <w:rFonts w:ascii="宋体" w:hAnsi="宋体" w:cs="宋体"/>
                <w:sz w:val="24"/>
                <w:szCs w:val="24"/>
              </w:rPr>
            </w:pPr>
            <w:r>
              <w:rPr>
                <w:rFonts w:hint="eastAsia" w:ascii="宋体" w:hAnsi="宋体" w:cs="宋体"/>
                <w:sz w:val="24"/>
                <w:szCs w:val="24"/>
              </w:rPr>
              <w:t>货物招标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服务招标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100以下</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100-500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1.1%</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500-1000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0.45%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0.55％</w:t>
            </w:r>
          </w:p>
        </w:tc>
      </w:tr>
    </w:tbl>
    <w:p>
      <w:pPr>
        <w:pStyle w:val="44"/>
        <w:adjustRightInd w:val="0"/>
        <w:snapToGrid w:val="0"/>
        <w:spacing w:line="300" w:lineRule="auto"/>
        <w:ind w:left="420" w:firstLine="0" w:firstLineChars="0"/>
        <w:rPr>
          <w:rFonts w:ascii="宋体" w:hAnsi="宋体"/>
          <w:sz w:val="24"/>
          <w:szCs w:val="24"/>
        </w:rPr>
      </w:pPr>
    </w:p>
    <w:p>
      <w:pPr>
        <w:pStyle w:val="4"/>
        <w:numPr>
          <w:ilvl w:val="0"/>
          <w:numId w:val="6"/>
        </w:numPr>
        <w:spacing w:before="40" w:after="40" w:line="360" w:lineRule="auto"/>
        <w:ind w:left="658" w:hanging="658"/>
        <w:jc w:val="left"/>
        <w:rPr>
          <w:rFonts w:cs="Times New Roman" w:asciiTheme="majorEastAsia" w:hAnsiTheme="majorEastAsia"/>
          <w:bCs w:val="0"/>
          <w:lang w:val="zh-CN"/>
        </w:rPr>
      </w:pPr>
      <w:bookmarkStart w:id="6" w:name="_Toc495861521"/>
      <w:bookmarkStart w:id="7" w:name="_Toc272247695"/>
      <w:bookmarkStart w:id="8" w:name="_Toc278891592"/>
      <w:bookmarkStart w:id="9" w:name="_Toc494561939"/>
      <w:r>
        <w:rPr>
          <w:rFonts w:hint="eastAsia" w:cs="Times New Roman" w:asciiTheme="majorEastAsia" w:hAnsiTheme="majorEastAsia"/>
          <w:bCs w:val="0"/>
          <w:lang w:val="zh-CN"/>
        </w:rPr>
        <w:t>招标文件</w:t>
      </w:r>
      <w:bookmarkEnd w:id="6"/>
      <w:bookmarkEnd w:id="7"/>
      <w:bookmarkEnd w:id="8"/>
      <w:bookmarkEnd w:id="9"/>
    </w:p>
    <w:p>
      <w:pPr>
        <w:numPr>
          <w:ilvl w:val="0"/>
          <w:numId w:val="7"/>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招标文件的构成</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第一章 投标邀请书</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第二章 投标人须知</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第三章 项目技术、服务及商务要求</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第四章 资格审查方法及标准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第五章 评标方法、程序及标准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第六章 合同书格式（参考）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第七章 投标文件格式（参考）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其 他  在招标过程中由采购机构发出的修正和补充文件等</w:t>
      </w:r>
    </w:p>
    <w:p>
      <w:pPr>
        <w:numPr>
          <w:ilvl w:val="0"/>
          <w:numId w:val="7"/>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招标文件疑问的提交</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潜在投标人对招标文件有疑问的，可以向采购机构提出询问，或在6.2规定的时间前以书面的形式向采购机构提交疑问函。</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潜在投标人在项目招标公告期限届满之日起7个工作日内未对招标文件提出疑问的，采购机构将视其认同招标文件，在规定的时间后就招标文件内容提出的疑问将不予受理。</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机构将组织采购人对潜在投标人所提交疑问以书面（或网上公告）的形式予以答复。必要时，采购机构将组织相关专家召开答疑会，并将会议内容以书面的形式发给每个领取招标文件的潜在投标人（答复中不包括问题的来源）。</w:t>
      </w:r>
    </w:p>
    <w:p>
      <w:pPr>
        <w:numPr>
          <w:ilvl w:val="0"/>
          <w:numId w:val="7"/>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招标文件的澄清、修改</w:t>
      </w:r>
    </w:p>
    <w:p>
      <w:pPr>
        <w:numPr>
          <w:ilvl w:val="0"/>
          <w:numId w:val="13"/>
        </w:numPr>
        <w:spacing w:line="360" w:lineRule="auto"/>
        <w:ind w:left="476" w:hanging="476"/>
        <w:rPr>
          <w:rFonts w:ascii="Helvetica" w:hAnsi="Helvetica" w:eastAsia="宋体" w:cs="Helvetica"/>
          <w:kern w:val="0"/>
          <w:sz w:val="24"/>
          <w:szCs w:val="24"/>
          <w:lang w:val="zh-CN"/>
        </w:rPr>
      </w:pPr>
      <w:r>
        <w:rPr>
          <w:rFonts w:hint="eastAsia" w:ascii="宋体" w:hAnsi="宋体" w:eastAsia="宋体" w:cs="Times New Roman"/>
          <w:sz w:val="24"/>
          <w:szCs w:val="20"/>
          <w:lang w:val="zh-CN"/>
        </w:rPr>
        <w:t>采购机构和采购人可以对已发出的招标文件进行必要的澄清或者修改。</w:t>
      </w:r>
      <w:r>
        <w:rPr>
          <w:rFonts w:hint="eastAsia" w:ascii="Helvetica" w:hAnsi="Helvetica" w:eastAsia="宋体" w:cs="Helvetica"/>
          <w:kern w:val="0"/>
          <w:sz w:val="24"/>
          <w:szCs w:val="24"/>
          <w:lang w:val="zh-CN"/>
        </w:rPr>
        <w:t>澄清或者修改将在原公告发布媒体上发布澄清公告。澄清或者修改的内容可能影响投标文件编制的，采购机构和采购人将在投标截止时间至少</w:t>
      </w:r>
      <w:r>
        <w:rPr>
          <w:rFonts w:hint="eastAsia" w:ascii="宋体" w:hAnsi="宋体" w:eastAsia="宋体" w:cs="Times New Roman"/>
          <w:sz w:val="24"/>
          <w:szCs w:val="20"/>
          <w:lang w:val="zh-CN"/>
        </w:rPr>
        <w:t>15</w:t>
      </w:r>
      <w:r>
        <w:rPr>
          <w:rFonts w:hint="eastAsia" w:ascii="Helvetica" w:hAnsi="Helvetica" w:eastAsia="宋体" w:cs="Helvetica"/>
          <w:kern w:val="0"/>
          <w:sz w:val="24"/>
          <w:szCs w:val="24"/>
          <w:lang w:val="zh-CN"/>
        </w:rPr>
        <w:t>日前，以书面</w:t>
      </w:r>
      <w:r>
        <w:rPr>
          <w:rFonts w:hint="eastAsia" w:ascii="宋体" w:hAnsi="宋体" w:eastAsia="宋体" w:cs="Times New Roman"/>
          <w:sz w:val="24"/>
          <w:szCs w:val="20"/>
          <w:lang w:val="zh-CN"/>
        </w:rPr>
        <w:t>（或网上公告）</w:t>
      </w:r>
      <w:r>
        <w:rPr>
          <w:rFonts w:hint="eastAsia" w:ascii="Helvetica" w:hAnsi="Helvetica" w:eastAsia="宋体" w:cs="Helvetica"/>
          <w:kern w:val="0"/>
          <w:sz w:val="24"/>
          <w:szCs w:val="24"/>
          <w:lang w:val="zh-CN"/>
        </w:rPr>
        <w:t>形式通知所有获取招标文件的潜在投标人。</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为使潜在投标人有充足时间对招标文件的澄清或者修改的内容进行研究和响应，采购机构和采购人可适当顺延提交投标文件的截止时间，并以书面（或网上公告）的形式通知所有领取招标文件的潜在投标人。</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澄清或者修改的内容为招标文件的组成部分，并对潜在投标人具有约束力。</w:t>
      </w:r>
    </w:p>
    <w:p>
      <w:pPr>
        <w:numPr>
          <w:ilvl w:val="0"/>
          <w:numId w:val="7"/>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现场考察</w:t>
      </w:r>
    </w:p>
    <w:p>
      <w:pPr>
        <w:numPr>
          <w:ilvl w:val="0"/>
          <w:numId w:val="14"/>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4"/>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4"/>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4"/>
        <w:numPr>
          <w:ilvl w:val="0"/>
          <w:numId w:val="6"/>
        </w:numPr>
        <w:spacing w:before="40" w:after="40" w:line="360" w:lineRule="auto"/>
        <w:ind w:left="658" w:hanging="658"/>
        <w:jc w:val="left"/>
        <w:rPr>
          <w:rFonts w:cs="Times New Roman" w:asciiTheme="majorEastAsia" w:hAnsiTheme="majorEastAsia"/>
          <w:bCs w:val="0"/>
          <w:lang w:val="zh-CN"/>
        </w:rPr>
      </w:pPr>
      <w:bookmarkStart w:id="10" w:name="_Toc278891593"/>
      <w:bookmarkStart w:id="11" w:name="_Toc272247696"/>
      <w:bookmarkStart w:id="12" w:name="_Toc494561940"/>
      <w:bookmarkStart w:id="13" w:name="_Toc495861522"/>
      <w:r>
        <w:rPr>
          <w:rFonts w:hint="eastAsia" w:cs="Times New Roman" w:asciiTheme="majorEastAsia" w:hAnsiTheme="majorEastAsia"/>
          <w:bCs w:val="0"/>
          <w:lang w:val="zh-CN"/>
        </w:rPr>
        <w:t>投标文件</w:t>
      </w:r>
      <w:bookmarkEnd w:id="10"/>
      <w:bookmarkEnd w:id="11"/>
      <w:bookmarkEnd w:id="12"/>
      <w:bookmarkEnd w:id="13"/>
    </w:p>
    <w:p>
      <w:pPr>
        <w:numPr>
          <w:ilvl w:val="0"/>
          <w:numId w:val="7"/>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投标的语言</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提交的投标文件以及投标人与采购机构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7"/>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投标人编制的投标文件应包括但不限于下列内容：</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第一部分  资格证明文件（详见第七章“投标文件格式”中资格证明文件组成）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第二部分  商务文件（详见第七章“投标文件格式”中商务文件组成）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第三部分  技术、服务文件（详见第七章“投标文件格式”中技术、服务文件组成）</w:t>
      </w:r>
    </w:p>
    <w:p>
      <w:pPr>
        <w:numPr>
          <w:ilvl w:val="0"/>
          <w:numId w:val="7"/>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投标文件编制</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如招标文件有分包要求，投标人对招标文件中多个包进行投标的，其投标文件的编制应按每包要求分别装订和封装，并注明对应包号。</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投标人应当对投标文件进行装订，对未经装订的投标书可能发生的文件散落或缺损，由此产生的后果及责任由投标人自行承担。</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投标人应按照招标文件第七章“投标文件格式”提供的《投标书》、《开标一览表》、《投标报价明细表》、《法定代表人授权书》等格式、要求、规定来编制投标文件。</w:t>
      </w:r>
    </w:p>
    <w:p>
      <w:pPr>
        <w:numPr>
          <w:ilvl w:val="0"/>
          <w:numId w:val="15"/>
        </w:numPr>
        <w:spacing w:line="360" w:lineRule="auto"/>
        <w:ind w:left="616" w:hanging="616"/>
        <w:rPr>
          <w:rFonts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pP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投标人应对投标文件中所提供资料的真实性负责，如有虚假，将依法承担相应责任。投标人应自觉接受采购机构对其中任何资料进一步核实的要求。</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因投标人投标文件填报的内容不详，或没有提供招标文件中所要求的全部资料及数据等，由此产生的后果及责任由投标人自行承担。</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投标文件用纸应统一为A4规格（图纸除外）。</w:t>
      </w:r>
    </w:p>
    <w:p>
      <w:pPr>
        <w:numPr>
          <w:ilvl w:val="0"/>
          <w:numId w:val="15"/>
        </w:numPr>
        <w:spacing w:line="360" w:lineRule="auto"/>
        <w:ind w:left="616" w:hanging="616"/>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投标人应将投标文件第一部分资格证明文件、第二部分商务文件、第三部分技术、服务文件</w:t>
      </w:r>
      <w:r>
        <w:rPr>
          <w:rFonts w:hint="eastAsia" w:cs="Times New Roman" w:asciiTheme="minorEastAsia" w:hAnsiTheme="minorEastAsia"/>
          <w:b/>
          <w:sz w:val="24"/>
          <w:szCs w:val="24"/>
          <w:highlight w:val="yellow"/>
          <w:lang w:val="zh-CN"/>
        </w:rPr>
        <w:t>合并</w:t>
      </w:r>
      <w:r>
        <w:rPr>
          <w:rFonts w:hint="eastAsia" w:cs="Times New Roman" w:asciiTheme="minorEastAsia" w:hAnsiTheme="minorEastAsia"/>
          <w:b/>
          <w:sz w:val="24"/>
          <w:szCs w:val="24"/>
          <w:lang w:val="zh-CN"/>
        </w:rPr>
        <w:t>编制装订，分别逐页连续标注页码，建立目录索引。</w:t>
      </w:r>
      <w:r>
        <w:rPr>
          <w:rFonts w:hint="eastAsia" w:ascii="宋体" w:hAnsi="宋体" w:eastAsia="宋体" w:cs="Times New Roman"/>
          <w:b/>
          <w:sz w:val="24"/>
          <w:szCs w:val="20"/>
          <w:lang w:val="zh-CN"/>
        </w:rPr>
        <w:t>各部分文件及内容详见第七章“投标文件格式”要求。</w:t>
      </w:r>
    </w:p>
    <w:p>
      <w:pPr>
        <w:numPr>
          <w:ilvl w:val="0"/>
          <w:numId w:val="15"/>
        </w:numPr>
        <w:spacing w:line="360" w:lineRule="auto"/>
        <w:ind w:left="616" w:hanging="616"/>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为方便开标时唱标，投标人应将《开标一览表》一份单独密封提交，并在信封上标明"开标一览表"字样。投标人应将投标文件正本和所有的副本一起密封装在文件袋（或封装袋）中，并在封面上标明"正本"、"副本"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pPr>
        <w:numPr>
          <w:ilvl w:val="0"/>
          <w:numId w:val="7"/>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投标报价</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投标人所提供的货物（工程或服务）均以人民币计价。</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《投标报价明细表》填写时应响应下列要求：</w:t>
      </w:r>
    </w:p>
    <w:p>
      <w:pPr>
        <w:numPr>
          <w:ilvl w:val="0"/>
          <w:numId w:val="17"/>
        </w:numPr>
        <w:spacing w:line="360" w:lineRule="auto"/>
        <w:ind w:left="980" w:hanging="854"/>
        <w:rPr>
          <w:rFonts w:cs="Times New Roman" w:asciiTheme="minorEastAsia" w:hAnsiTheme="minorEastAsia"/>
          <w:sz w:val="24"/>
          <w:szCs w:val="24"/>
          <w:lang w:val="zh-CN"/>
        </w:rPr>
      </w:pPr>
      <w:r>
        <w:rPr>
          <w:rFonts w:hint="eastAsia" w:ascii="宋体" w:hAnsi="宋体"/>
          <w:sz w:val="24"/>
        </w:rPr>
        <w:t>应包括所有根据合同或其他原因由投标人支付的款项、费用</w:t>
      </w:r>
      <w:r>
        <w:rPr>
          <w:rFonts w:hint="eastAsia" w:cs="Times New Roman" w:asciiTheme="minorEastAsia" w:hAnsiTheme="minorEastAsia"/>
          <w:sz w:val="24"/>
          <w:szCs w:val="24"/>
          <w:lang w:val="zh-CN"/>
        </w:rPr>
        <w:t>；</w:t>
      </w:r>
    </w:p>
    <w:p>
      <w:pPr>
        <w:numPr>
          <w:ilvl w:val="0"/>
          <w:numId w:val="17"/>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应包含货物运至最终目的地的运输、保险和伴随货物（工程或服务）的有关费用；</w:t>
      </w:r>
    </w:p>
    <w:p>
      <w:pPr>
        <w:numPr>
          <w:ilvl w:val="0"/>
          <w:numId w:val="17"/>
        </w:numPr>
        <w:spacing w:line="360" w:lineRule="auto"/>
        <w:ind w:left="980" w:hanging="854"/>
        <w:rPr>
          <w:rFonts w:cs="Courier New" w:asciiTheme="minorEastAsia" w:hAnsiTheme="minorEastAsia"/>
          <w:sz w:val="24"/>
          <w:szCs w:val="24"/>
          <w:lang w:val="zh-CN"/>
        </w:rPr>
      </w:pPr>
      <w:r>
        <w:rPr>
          <w:rFonts w:hint="eastAsia" w:cs="Times New Roman" w:asciiTheme="minorEastAsia" w:hAnsiTheme="minorEastAsia"/>
          <w:sz w:val="24"/>
          <w:szCs w:val="24"/>
          <w:lang w:val="zh-CN"/>
        </w:rPr>
        <w:t>应详细提供《投标报价明细表》和《投标货物、服务清单》等内容，否则按照</w:t>
      </w:r>
      <w:r>
        <w:rPr>
          <w:rFonts w:hint="eastAsia" w:cs="Times New Roman" w:asciiTheme="minorEastAsia" w:hAnsiTheme="minorEastAsia"/>
          <w:b/>
          <w:sz w:val="24"/>
          <w:szCs w:val="24"/>
          <w:lang w:val="zh-CN"/>
        </w:rPr>
        <w:t>无效投标处理。</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每一种规格的货物（工程或服务）只允许有一个报价，否则按照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投标人应对项目招标范围内的全部内容进行报价，不得缺、漏项或只投其中的部分内容的，否则按照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7"/>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备选方案</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只允许投标人提供一个投标方案（招标文件中要求提供备选方案的除外），否则按照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7"/>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中标后分包</w:t>
      </w:r>
    </w:p>
    <w:p>
      <w:pPr>
        <w:spacing w:line="360" w:lineRule="auto"/>
        <w:ind w:firstLine="480" w:firstLineChars="200"/>
        <w:rPr>
          <w:rFonts w:cs="Times New Roman" w:asciiTheme="minorEastAsia" w:hAnsiTheme="minorEastAsia"/>
          <w:sz w:val="24"/>
          <w:szCs w:val="24"/>
          <w:lang w:val="zh-CN"/>
        </w:rPr>
      </w:pPr>
      <w:r>
        <w:rPr>
          <w:rFonts w:cs="Times New Roman" w:asciiTheme="minorEastAsia" w:hAnsiTheme="minorEastAsia"/>
          <w:sz w:val="24"/>
          <w:szCs w:val="24"/>
          <w:lang w:val="zh-CN"/>
        </w:rPr>
        <w:t>招标文件规定</w:t>
      </w:r>
      <w:r>
        <w:rPr>
          <w:rFonts w:hint="eastAsia" w:cs="Times New Roman" w:asciiTheme="minorEastAsia" w:hAnsiTheme="minorEastAsia"/>
          <w:sz w:val="24"/>
          <w:szCs w:val="24"/>
          <w:lang w:val="zh-CN"/>
        </w:rPr>
        <w:t>项目非主体、非关键性工作中标后可以分包</w:t>
      </w:r>
      <w:r>
        <w:rPr>
          <w:rFonts w:cs="Times New Roman" w:asciiTheme="minorEastAsia" w:hAnsiTheme="minorEastAsia"/>
          <w:sz w:val="24"/>
          <w:szCs w:val="24"/>
          <w:lang w:val="zh-CN"/>
        </w:rPr>
        <w:t>的，投标人拟在中标后将项目的非主体、非关键性工作分包，应当在投标文件中载明</w:t>
      </w:r>
      <w:r>
        <w:rPr>
          <w:rFonts w:hint="eastAsia" w:cs="Times New Roman" w:asciiTheme="minorEastAsia" w:hAnsiTheme="minorEastAsia"/>
          <w:sz w:val="24"/>
          <w:szCs w:val="24"/>
          <w:lang w:val="zh-CN"/>
        </w:rPr>
        <w:t>具备相应资质条件的</w:t>
      </w:r>
      <w:r>
        <w:rPr>
          <w:rFonts w:cs="Times New Roman" w:asciiTheme="minorEastAsia" w:hAnsiTheme="minorEastAsia"/>
          <w:sz w:val="24"/>
          <w:szCs w:val="24"/>
          <w:lang w:val="zh-CN"/>
        </w:rPr>
        <w:t>分包承担主体，分包承担主体不得再次分包。</w:t>
      </w:r>
      <w:r>
        <w:rPr>
          <w:rFonts w:hint="eastAsia" w:cs="Times New Roman" w:asciiTheme="minorEastAsia" w:hAnsiTheme="minorEastAsia"/>
          <w:sz w:val="24"/>
          <w:szCs w:val="24"/>
          <w:lang w:val="zh-CN"/>
        </w:rPr>
        <w:t>否则中标后不允许分包。</w:t>
      </w:r>
    </w:p>
    <w:p>
      <w:pPr>
        <w:numPr>
          <w:ilvl w:val="0"/>
          <w:numId w:val="7"/>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联合体投标</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两个及以上供应商可以组成一个联合体，以一个投标人的身份共同参与投标。</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采取联合体形式投标的，联合体各方均应当符合政府采购法第二十二条第一款规定的条件。联合体的主体应完全满足项目投标人资格要求。</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联合体各方之间应签订联合投标协议，明确约定联合体主体及各方承担的工作和相应的责任，其投标文件中应提供联合投标协议。</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以联合体形式参加政府采购活动的，联合体各方不得再单独参加或者与其他供应商另外组成联合体参加同一合同项下的政府采购活动。</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采取联合体形式投标的，项目评审时只对联合体主体进行评议。</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联合体中标的，联合体各方应当共同与采购人</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签订采购合同，</w:t>
      </w:r>
      <w:r>
        <w:rPr>
          <w:rFonts w:hint="eastAsia" w:ascii="宋体" w:hAnsi="宋体"/>
          <w:color w:val="0D0D0D" w:themeColor="text1" w:themeTint="F2"/>
          <w:sz w:val="24"/>
          <w14:textFill>
            <w14:solidFill>
              <w14:schemeClr w14:val="tx1">
                <w14:lumMod w14:val="95000"/>
                <w14:lumOff w14:val="5000"/>
              </w14:schemeClr>
            </w14:solidFill>
          </w14:textFill>
        </w:rPr>
        <w:t>就采购合同约定的事项对采购人承担连带责任，</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联合体主体单位负主要</w:t>
      </w:r>
      <w:r>
        <w:rPr>
          <w:rFonts w:hint="eastAsia" w:cs="Times New Roman" w:asciiTheme="minorEastAsia" w:hAnsiTheme="minorEastAsia"/>
          <w:sz w:val="24"/>
          <w:szCs w:val="24"/>
          <w:lang w:val="zh-CN"/>
        </w:rPr>
        <w:t>责任。</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联合体中有同类资质的供应商按照联合体分工承担相同工作的，应当按照资质等级较低的供应商确定资质等级。</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招标文件第一章“投标人资格要求”中</w:t>
      </w:r>
      <w:r>
        <w:rPr>
          <w:rFonts w:cs="Times New Roman" w:asciiTheme="minorEastAsia" w:hAnsiTheme="minorEastAsia"/>
          <w:sz w:val="24"/>
          <w:szCs w:val="24"/>
          <w:lang w:val="zh-CN"/>
        </w:rPr>
        <w:t>未载明</w:t>
      </w:r>
      <w:r>
        <w:rPr>
          <w:rFonts w:hint="eastAsia" w:cs="Times New Roman" w:asciiTheme="minorEastAsia" w:hAnsiTheme="minorEastAsia"/>
          <w:sz w:val="24"/>
          <w:szCs w:val="24"/>
          <w:lang w:val="zh-CN"/>
        </w:rPr>
        <w:t>是否接受联合体投标的</w:t>
      </w:r>
      <w:r>
        <w:rPr>
          <w:rFonts w:cs="Times New Roman" w:asciiTheme="minorEastAsia" w:hAnsiTheme="minorEastAsia"/>
          <w:sz w:val="24"/>
          <w:szCs w:val="24"/>
          <w:lang w:val="zh-CN"/>
        </w:rPr>
        <w:t>，</w:t>
      </w:r>
      <w:r>
        <w:rPr>
          <w:rFonts w:hint="eastAsia" w:cs="Times New Roman" w:asciiTheme="minorEastAsia" w:hAnsiTheme="minorEastAsia"/>
          <w:sz w:val="24"/>
          <w:szCs w:val="24"/>
          <w:lang w:val="zh-CN"/>
        </w:rPr>
        <w:t>视同接受</w:t>
      </w:r>
      <w:r>
        <w:rPr>
          <w:rFonts w:cs="Times New Roman" w:asciiTheme="minorEastAsia" w:hAnsiTheme="minorEastAsia"/>
          <w:sz w:val="24"/>
          <w:szCs w:val="24"/>
          <w:lang w:val="zh-CN"/>
        </w:rPr>
        <w:t>。</w:t>
      </w:r>
    </w:p>
    <w:p>
      <w:pPr>
        <w:numPr>
          <w:ilvl w:val="0"/>
          <w:numId w:val="18"/>
        </w:numPr>
        <w:spacing w:line="360" w:lineRule="auto"/>
        <w:ind w:left="728"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以联合体形式参与投标的，其价格扣除相关规定详见第五章“评标方法、程序及标准”。</w:t>
      </w:r>
    </w:p>
    <w:p>
      <w:pPr>
        <w:numPr>
          <w:ilvl w:val="0"/>
          <w:numId w:val="7"/>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资格证明文件</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资格证明文件应真实、合法，并就此承担相应法律责任。</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资格证明文件正本应为清晰彩色影印件且加盖单位公章，否则按照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。副本可为正本的复印件,但应在副本封面加盖单位公章。</w:t>
      </w:r>
    </w:p>
    <w:p>
      <w:pPr>
        <w:numPr>
          <w:ilvl w:val="0"/>
          <w:numId w:val="19"/>
        </w:numPr>
        <w:spacing w:line="360" w:lineRule="auto"/>
        <w:ind w:left="616" w:hanging="616"/>
        <w:rPr>
          <w:rFonts w:cs="Times New Roman" w:asciiTheme="minorEastAsia" w:hAnsiTheme="minorEastAsia"/>
          <w:sz w:val="24"/>
          <w:szCs w:val="24"/>
          <w:lang w:val="zh-CN"/>
        </w:rPr>
      </w:pPr>
      <w:r>
        <w:rPr>
          <w:rFonts w:hint="eastAsia" w:cs="Helvetica" w:asciiTheme="minorEastAsia" w:hAnsiTheme="minorEastAsia"/>
          <w:kern w:val="0"/>
          <w:sz w:val="24"/>
          <w:szCs w:val="24"/>
          <w:lang w:val="zh-CN"/>
        </w:rPr>
        <w:t>资格证明文件内容详见</w:t>
      </w:r>
      <w:r>
        <w:rPr>
          <w:rFonts w:hint="eastAsia" w:cs="Times New Roman" w:asciiTheme="minorEastAsia" w:hAnsiTheme="minorEastAsia"/>
          <w:sz w:val="24"/>
          <w:szCs w:val="24"/>
          <w:lang w:val="zh-CN"/>
        </w:rPr>
        <w:t>第四章“资格审查方法及标准”中资格审查内容</w:t>
      </w:r>
      <w:r>
        <w:rPr>
          <w:rFonts w:hint="eastAsia" w:cs="Helvetica" w:asciiTheme="minorEastAsia" w:hAnsiTheme="minorEastAsia"/>
          <w:kern w:val="0"/>
          <w:sz w:val="24"/>
          <w:szCs w:val="24"/>
          <w:lang w:val="zh-CN"/>
        </w:rPr>
        <w:t>。</w:t>
      </w:r>
    </w:p>
    <w:p>
      <w:pPr>
        <w:numPr>
          <w:ilvl w:val="0"/>
          <w:numId w:val="7"/>
        </w:numPr>
        <w:spacing w:line="360" w:lineRule="auto"/>
        <w:ind w:left="560" w:hanging="560"/>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投标保证金</w:t>
      </w:r>
      <w:r>
        <w:rPr>
          <w:rFonts w:hint="eastAsia" w:cs="Times New Roman" w:asciiTheme="minorEastAsia" w:hAnsiTheme="minorEastAsia"/>
          <w:sz w:val="24"/>
          <w:szCs w:val="24"/>
          <w:lang w:val="zh-CN"/>
        </w:rPr>
        <w:t>（交纳金额及账户信息详见本章“投标须知前附表”中规定）。</w:t>
      </w:r>
    </w:p>
    <w:p>
      <w:pPr>
        <w:numPr>
          <w:ilvl w:val="0"/>
          <w:numId w:val="7"/>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投标有效期</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投标有效期详见本章“投标须知前附表”中规定。</w:t>
      </w:r>
      <w:r>
        <w:rPr>
          <w:rFonts w:cs="Helvetica" w:asciiTheme="minorEastAsia" w:hAnsiTheme="minorEastAsia"/>
          <w:kern w:val="0"/>
          <w:sz w:val="24"/>
          <w:szCs w:val="24"/>
          <w:lang w:val="zh-CN"/>
        </w:rPr>
        <w:t>投标文件中承诺的投标有效期应当不少于招标文件中载明的投标有效期</w:t>
      </w:r>
      <w:r>
        <w:rPr>
          <w:rFonts w:hint="eastAsia" w:cs="Helvetica" w:asciiTheme="minorEastAsia" w:hAnsiTheme="minorEastAsia"/>
          <w:kern w:val="0"/>
          <w:sz w:val="24"/>
          <w:szCs w:val="24"/>
          <w:lang w:val="zh-CN"/>
        </w:rPr>
        <w:t>。投标有效期不足的，</w:t>
      </w:r>
      <w:r>
        <w:rPr>
          <w:rFonts w:hint="eastAsia" w:cs="Times New Roman" w:asciiTheme="minorEastAsia" w:hAnsiTheme="minorEastAsia"/>
          <w:sz w:val="24"/>
          <w:szCs w:val="24"/>
          <w:lang w:val="zh-CN"/>
        </w:rPr>
        <w:t>按照</w:t>
      </w:r>
      <w:r>
        <w:rPr>
          <w:rFonts w:hint="eastAsia" w:cs="Times New Roman" w:asciiTheme="minorEastAsia" w:hAnsiTheme="minorEastAsia"/>
          <w:b/>
          <w:sz w:val="24"/>
          <w:szCs w:val="24"/>
          <w:lang w:val="zh-CN"/>
        </w:rPr>
        <w:t>无效投标处理。</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特殊情况下，在原投标有效期截止之前，采购机构或采购人可要求投标人延长投标有效期。这种要求与答复均应以书面形式提交。投标人可拒绝采购机构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7"/>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投标文件的数量和签署</w:t>
      </w:r>
    </w:p>
    <w:p>
      <w:pPr>
        <w:numPr>
          <w:ilvl w:val="0"/>
          <w:numId w:val="21"/>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21"/>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21"/>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投标文件中任何涂改和增删，应由法定代表人或经其正式授权的代表在旁边签字后方为有效。</w:t>
      </w:r>
    </w:p>
    <w:p>
      <w:pPr>
        <w:numPr>
          <w:ilvl w:val="0"/>
          <w:numId w:val="21"/>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招标文件中要求加盖公章及签字（签章）之处，投标文件正本中应按要求提供加盖公章及签字（签章）的原件，否则按照</w:t>
      </w:r>
      <w:r>
        <w:rPr>
          <w:rFonts w:hint="eastAsia" w:cs="Times New Roman" w:asciiTheme="minorEastAsia" w:hAnsiTheme="minorEastAsia"/>
          <w:b/>
          <w:sz w:val="24"/>
          <w:szCs w:val="24"/>
          <w:lang w:val="zh-CN"/>
        </w:rPr>
        <w:t>无效投标处理。</w:t>
      </w:r>
    </w:p>
    <w:p>
      <w:pPr>
        <w:numPr>
          <w:ilvl w:val="0"/>
          <w:numId w:val="21"/>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投标文件的密封和标记</w:t>
      </w:r>
    </w:p>
    <w:p>
      <w:pPr>
        <w:numPr>
          <w:ilvl w:val="0"/>
          <w:numId w:val="21"/>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投标人应将投标文件第一部分资格证明文件、第二部分商务文件、第三部分技术、服务文件一起合并装订成一本投标文件，一起封装。</w:t>
      </w:r>
    </w:p>
    <w:p>
      <w:pPr>
        <w:numPr>
          <w:ilvl w:val="0"/>
          <w:numId w:val="21"/>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投标人应将投标文件正本和副本密封合装在封包中。</w:t>
      </w:r>
    </w:p>
    <w:p>
      <w:pPr>
        <w:numPr>
          <w:ilvl w:val="0"/>
          <w:numId w:val="2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如果未按要求加写密封、标记或存在错误，采购机构对其误投或提前启封概不负责。</w:t>
      </w:r>
    </w:p>
    <w:p>
      <w:pPr>
        <w:numPr>
          <w:ilvl w:val="0"/>
          <w:numId w:val="22"/>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sz w:val="24"/>
          <w:szCs w:val="20"/>
          <w:lang w:val="zh-CN"/>
        </w:rPr>
        <w:t>为方便开标时唱标，投标人应将《开标一览表》原件及《交纳投标保证金的银行凭证》（若有交纳保证金要求的）各一份一并</w:t>
      </w:r>
      <w:r>
        <w:rPr>
          <w:rFonts w:hint="eastAsia" w:ascii="宋体" w:hAnsi="宋体" w:eastAsia="宋体" w:cs="Times New Roman"/>
          <w:spacing w:val="-6"/>
          <w:kern w:val="0"/>
          <w:sz w:val="24"/>
          <w:szCs w:val="20"/>
          <w:lang w:val="zh-CN"/>
        </w:rPr>
        <w:t>装入一个信封，单独密封提交</w:t>
      </w:r>
      <w:r>
        <w:rPr>
          <w:rFonts w:hint="eastAsia" w:ascii="宋体" w:hAnsi="宋体" w:eastAsia="宋体" w:cs="Times New Roman"/>
          <w:sz w:val="24"/>
          <w:szCs w:val="20"/>
          <w:lang w:val="zh-CN"/>
        </w:rPr>
        <w:t>，并在信封上标明“开标一览表”字样。未单独提交或单独提交的上述资料未按照招标文件规定的格式填写完整并签字、盖章的采购人</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numPr>
          <w:ilvl w:val="0"/>
          <w:numId w:val="2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“开标一览表”信封和投标文件的封包上应注明采购项目编号、项目名称、投标内容和有“在（招标文件中规定的开标日期和时间）之前不得启封”的字样，封口处加盖投标人公章。</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投标文件递交</w:t>
      </w:r>
    </w:p>
    <w:p>
      <w:pPr>
        <w:numPr>
          <w:ilvl w:val="0"/>
          <w:numId w:val="23"/>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投标人应在不迟于投标邀请书中规定的投标截止日期和时间将投标文件密封递交至</w:t>
      </w:r>
      <w:r>
        <w:rPr>
          <w:rFonts w:hint="eastAsia" w:cs="Times New Roman" w:asciiTheme="minorEastAsia" w:hAnsiTheme="minorEastAsia"/>
          <w:sz w:val="24"/>
          <w:szCs w:val="24"/>
          <w:lang w:val="zh-CN"/>
        </w:rPr>
        <w:t>采购人（或代理公司）</w:t>
      </w:r>
      <w:r>
        <w:rPr>
          <w:rFonts w:hint="eastAsia" w:ascii="Helvetica" w:hAnsi="Helvetica" w:eastAsia="宋体" w:cs="Helvetica"/>
          <w:kern w:val="0"/>
          <w:sz w:val="24"/>
          <w:szCs w:val="24"/>
          <w:lang w:val="zh-CN"/>
        </w:rPr>
        <w:t>规定的投标地点。</w:t>
      </w:r>
    </w:p>
    <w:p>
      <w:pPr>
        <w:numPr>
          <w:ilvl w:val="0"/>
          <w:numId w:val="23"/>
        </w:numPr>
        <w:spacing w:line="360" w:lineRule="auto"/>
        <w:ind w:left="616" w:hanging="616"/>
        <w:rPr>
          <w:rFonts w:ascii="Helvetica" w:hAnsi="Helvetica" w:eastAsia="宋体" w:cs="Helvetica"/>
          <w:b/>
          <w:kern w:val="0"/>
          <w:sz w:val="24"/>
          <w:szCs w:val="24"/>
          <w:lang w:val="zh-CN"/>
        </w:rPr>
      </w:pPr>
      <w:r>
        <w:rPr>
          <w:rFonts w:hint="eastAsia" w:cs="Times New Roman" w:asciiTheme="minorEastAsia" w:hAnsiTheme="minorEastAsia"/>
          <w:sz w:val="24"/>
          <w:szCs w:val="24"/>
          <w:lang w:val="zh-CN"/>
        </w:rPr>
        <w:t>采购人（或代理公司）</w:t>
      </w:r>
      <w:r>
        <w:rPr>
          <w:rFonts w:hint="eastAsia" w:ascii="Helvetica" w:hAnsi="Helvetica" w:eastAsia="宋体" w:cs="Helvetica"/>
          <w:b/>
          <w:kern w:val="0"/>
          <w:sz w:val="24"/>
          <w:szCs w:val="24"/>
          <w:lang w:val="zh-CN"/>
        </w:rPr>
        <w:t>拒收逾期送达或者未按招标文件要求密封的投标文件。</w:t>
      </w:r>
    </w:p>
    <w:p>
      <w:pPr>
        <w:numPr>
          <w:ilvl w:val="0"/>
          <w:numId w:val="23"/>
        </w:numPr>
        <w:spacing w:line="360" w:lineRule="auto"/>
        <w:ind w:left="616" w:hanging="616"/>
        <w:rPr>
          <w:rFonts w:ascii="Helvetica" w:hAnsi="Helvetica" w:eastAsia="宋体" w:cs="Helvetica"/>
          <w:kern w:val="0"/>
          <w:sz w:val="24"/>
          <w:szCs w:val="24"/>
          <w:lang w:val="zh-CN"/>
        </w:rPr>
      </w:pPr>
      <w:r>
        <w:rPr>
          <w:rFonts w:hint="eastAsia" w:cs="Times New Roman" w:asciiTheme="minorEastAsia" w:hAnsiTheme="minorEastAsia"/>
          <w:sz w:val="24"/>
          <w:szCs w:val="24"/>
          <w:lang w:val="zh-CN"/>
        </w:rPr>
        <w:t>采购人（或代理公司）</w:t>
      </w:r>
      <w:r>
        <w:rPr>
          <w:rFonts w:ascii="Helvetica" w:hAnsi="Helvetica" w:eastAsia="宋体" w:cs="Helvetica"/>
          <w:kern w:val="0"/>
          <w:sz w:val="24"/>
          <w:szCs w:val="24"/>
          <w:lang w:val="zh-CN"/>
        </w:rPr>
        <w:t>收到投标文件后，应当如实记载投标文件的送达时间和密封情况，签收保存，并向投标人出具签收回执。</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投标文件的修改和撤回</w:t>
      </w:r>
    </w:p>
    <w:p>
      <w:pPr>
        <w:numPr>
          <w:ilvl w:val="0"/>
          <w:numId w:val="24"/>
        </w:numPr>
        <w:spacing w:line="360" w:lineRule="auto"/>
        <w:ind w:left="616" w:hanging="616"/>
        <w:rPr>
          <w:rFonts w:ascii="宋体" w:hAnsi="宋体" w:eastAsia="宋体" w:cs="Times New Roman"/>
          <w:strike/>
          <w:sz w:val="24"/>
          <w:szCs w:val="20"/>
          <w:lang w:val="zh-CN"/>
        </w:rPr>
      </w:pPr>
      <w:r>
        <w:rPr>
          <w:rFonts w:ascii="宋体" w:hAnsi="宋体" w:eastAsia="宋体" w:cs="Times New Roman"/>
          <w:sz w:val="24"/>
          <w:szCs w:val="20"/>
          <w:lang w:val="zh-CN"/>
        </w:rPr>
        <w:t>投标人在投标截止时间前，可以对所递交的投标文件进行补充、修改或者撤回，并书面通知</w:t>
      </w:r>
      <w:r>
        <w:rPr>
          <w:rFonts w:hint="eastAsia" w:ascii="宋体" w:hAnsi="宋体" w:eastAsia="宋体" w:cs="Times New Roman"/>
          <w:sz w:val="24"/>
          <w:szCs w:val="20"/>
          <w:lang w:val="zh-CN"/>
        </w:rPr>
        <w:t>采购机构</w:t>
      </w:r>
      <w:r>
        <w:rPr>
          <w:rFonts w:ascii="宋体" w:hAnsi="宋体" w:eastAsia="宋体" w:cs="Times New Roman"/>
          <w:sz w:val="24"/>
          <w:szCs w:val="20"/>
          <w:lang w:val="zh-CN"/>
        </w:rPr>
        <w:t>。补充、修改的内容应当按照招标文件要求签署、盖章、密封后，作为投标文件的组成部分。</w:t>
      </w:r>
    </w:p>
    <w:p>
      <w:pPr>
        <w:numPr>
          <w:ilvl w:val="0"/>
          <w:numId w:val="2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投标有效期内投标人不得撤销其投标文件，否则按照本章“投标保证金”的规定其投标保证金不予退还。</w:t>
      </w:r>
    </w:p>
    <w:p>
      <w:pPr>
        <w:numPr>
          <w:ilvl w:val="0"/>
          <w:numId w:val="2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投标人所递交的投标文件无论中标与否不予退还。</w:t>
      </w:r>
    </w:p>
    <w:p>
      <w:pPr>
        <w:pStyle w:val="4"/>
        <w:numPr>
          <w:ilvl w:val="0"/>
          <w:numId w:val="6"/>
        </w:numPr>
        <w:spacing w:before="40" w:after="40" w:line="360" w:lineRule="auto"/>
        <w:ind w:left="658" w:hanging="658"/>
        <w:jc w:val="left"/>
        <w:rPr>
          <w:rFonts w:cs="Times New Roman" w:asciiTheme="majorEastAsia" w:hAnsiTheme="majorEastAsia"/>
          <w:bCs w:val="0"/>
          <w:lang w:val="zh-CN"/>
        </w:rPr>
      </w:pPr>
      <w:bookmarkStart w:id="14" w:name="_Toc272247698"/>
      <w:bookmarkStart w:id="15" w:name="_Toc494561942"/>
      <w:bookmarkStart w:id="16" w:name="_Toc278891595"/>
      <w:bookmarkStart w:id="17" w:name="_Toc495861523"/>
      <w:r>
        <w:rPr>
          <w:rFonts w:hint="eastAsia" w:cs="Times New Roman" w:asciiTheme="majorEastAsia" w:hAnsiTheme="majorEastAsia"/>
          <w:bCs w:val="0"/>
          <w:lang w:val="zh-CN"/>
        </w:rPr>
        <w:t>开标与评标</w:t>
      </w:r>
      <w:bookmarkEnd w:id="14"/>
      <w:bookmarkEnd w:id="15"/>
      <w:bookmarkEnd w:id="16"/>
      <w:bookmarkEnd w:id="17"/>
    </w:p>
    <w:p>
      <w:pPr>
        <w:numPr>
          <w:ilvl w:val="0"/>
          <w:numId w:val="7"/>
        </w:numPr>
        <w:spacing w:line="360" w:lineRule="auto"/>
        <w:ind w:left="560" w:hanging="560"/>
        <w:rPr>
          <w:rFonts w:cs="Times New Roman" w:asciiTheme="minorEastAsia" w:hAnsiTheme="minorEastAsia"/>
          <w:sz w:val="24"/>
          <w:szCs w:val="24"/>
          <w:lang w:val="zh-CN"/>
        </w:rPr>
      </w:pPr>
      <w:r>
        <w:rPr>
          <w:rFonts w:hint="eastAsia" w:ascii="宋体" w:hAnsi="宋体" w:eastAsia="宋体" w:cs="Times New Roman"/>
          <w:b/>
          <w:sz w:val="24"/>
          <w:szCs w:val="20"/>
          <w:lang w:val="zh-CN"/>
        </w:rPr>
        <w:t>开标</w:t>
      </w:r>
    </w:p>
    <w:p>
      <w:pPr>
        <w:numPr>
          <w:ilvl w:val="0"/>
          <w:numId w:val="25"/>
        </w:numPr>
        <w:spacing w:line="360" w:lineRule="auto"/>
        <w:ind w:left="616" w:hanging="616"/>
        <w:rPr>
          <w:rFonts w:ascii="宋体" w:hAnsi="宋体" w:eastAsia="宋体" w:cs="Times New Roman"/>
          <w:b/>
          <w:sz w:val="24"/>
          <w:szCs w:val="20"/>
          <w:lang w:val="zh-CN"/>
        </w:rPr>
      </w:pPr>
      <w:r>
        <w:rPr>
          <w:rFonts w:hint="eastAsia" w:ascii="Helvetica" w:hAnsi="Helvetica" w:eastAsia="宋体" w:cs="Helvetica"/>
          <w:color w:val="FF0000"/>
          <w:kern w:val="0"/>
          <w:sz w:val="24"/>
          <w:szCs w:val="24"/>
          <w:lang w:val="zh-CN"/>
        </w:rPr>
        <w:t>采购人（或代理公司）</w:t>
      </w:r>
      <w:r>
        <w:rPr>
          <w:rFonts w:hint="eastAsia" w:ascii="宋体" w:hAnsi="宋体" w:eastAsia="宋体" w:cs="Times New Roman"/>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hint="eastAsia" w:ascii="宋体" w:hAnsi="宋体" w:eastAsia="宋体" w:cs="Times New Roman"/>
          <w:b/>
          <w:sz w:val="24"/>
          <w:szCs w:val="20"/>
          <w:lang w:val="zh-CN"/>
        </w:rPr>
        <w:t>，否则视同认可开标结果。</w:t>
      </w:r>
    </w:p>
    <w:p>
      <w:pPr>
        <w:numPr>
          <w:ilvl w:val="0"/>
          <w:numId w:val="2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投标人法定代表人或其授权代表应携带有效身份证明参加项目开标会，</w:t>
      </w:r>
      <w:r>
        <w:rPr>
          <w:rFonts w:ascii="宋体" w:hAnsi="宋体" w:eastAsia="宋体" w:cs="Times New Roman"/>
          <w:sz w:val="24"/>
          <w:szCs w:val="20"/>
          <w:lang w:val="zh-CN"/>
        </w:rPr>
        <w:t>投标人未参加开标的，视同认可开标结果。</w:t>
      </w:r>
      <w:r>
        <w:rPr>
          <w:rFonts w:hint="eastAsia" w:ascii="宋体" w:hAnsi="宋体" w:eastAsia="宋体" w:cs="Times New Roman"/>
          <w:sz w:val="24"/>
          <w:szCs w:val="20"/>
          <w:lang w:val="zh-CN"/>
        </w:rPr>
        <w:t>截止</w:t>
      </w:r>
      <w:r>
        <w:rPr>
          <w:rFonts w:hint="eastAsia" w:ascii="宋体" w:hAnsi="宋体" w:eastAsia="宋体" w:cs="宋体"/>
          <w:kern w:val="0"/>
          <w:sz w:val="24"/>
          <w:szCs w:val="24"/>
        </w:rPr>
        <w:t>投标文件</w:t>
      </w:r>
      <w:r>
        <w:rPr>
          <w:rFonts w:hint="eastAsia" w:ascii="宋体" w:hAnsi="宋体" w:eastAsia="宋体" w:cs="Times New Roman"/>
          <w:sz w:val="24"/>
          <w:szCs w:val="20"/>
          <w:lang w:val="zh-CN"/>
        </w:rPr>
        <w:t>递交时间，投标人不足3家的，不进行开标</w:t>
      </w:r>
      <w:r>
        <w:rPr>
          <w:rFonts w:hint="eastAsia" w:ascii="Helvetica" w:hAnsi="Helvetica" w:eastAsia="宋体" w:cs="Helvetica"/>
          <w:kern w:val="0"/>
          <w:sz w:val="24"/>
          <w:szCs w:val="24"/>
          <w:lang w:val="zh-CN"/>
        </w:rPr>
        <w:t>。</w:t>
      </w:r>
    </w:p>
    <w:p>
      <w:pPr>
        <w:numPr>
          <w:ilvl w:val="0"/>
          <w:numId w:val="2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开标时，由投标人或其推选的代表检查投标文件的密封情况，经确认无误后由</w:t>
      </w:r>
      <w:r>
        <w:rPr>
          <w:rFonts w:hint="eastAsia" w:ascii="Helvetica" w:hAnsi="Helvetica" w:eastAsia="宋体" w:cs="Helvetica"/>
          <w:color w:val="FF0000"/>
          <w:kern w:val="0"/>
          <w:sz w:val="24"/>
          <w:szCs w:val="24"/>
          <w:lang w:val="zh-CN"/>
        </w:rPr>
        <w:t>采购人</w:t>
      </w:r>
      <w:r>
        <w:rPr>
          <w:rFonts w:hint="eastAsia" w:ascii="宋体" w:hAnsi="宋体" w:eastAsia="宋体" w:cs="Times New Roman"/>
          <w:sz w:val="24"/>
          <w:szCs w:val="20"/>
          <w:lang w:val="zh-CN"/>
        </w:rPr>
        <w:t>（或代理公司）工作人员当众拆封，宣布投标人名称、投标价格和招标文件规定的需要宣布的其他内容。</w:t>
      </w:r>
    </w:p>
    <w:p>
      <w:pPr>
        <w:numPr>
          <w:ilvl w:val="0"/>
          <w:numId w:val="2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采购人（或代理公司）负责对开标过程进行记录，由参加开标的各投标人代表和相关工作人员对开标记录进行签字确认。</w:t>
      </w:r>
    </w:p>
    <w:p>
      <w:pPr>
        <w:numPr>
          <w:ilvl w:val="0"/>
          <w:numId w:val="2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投标人代表对开标过程和开标记录有疑义，以及认为采购人、代理公司相关工作人员有需要回避的情形的，应当场提出询问或者回避申请。采购人、代理公司将及时处理投标人代表提出的询问或者回避申请。</w:t>
      </w:r>
    </w:p>
    <w:p>
      <w:pPr>
        <w:numPr>
          <w:ilvl w:val="0"/>
          <w:numId w:val="2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资格审查</w:t>
      </w:r>
    </w:p>
    <w:p>
      <w:pPr>
        <w:numPr>
          <w:ilvl w:val="0"/>
          <w:numId w:val="25"/>
        </w:numPr>
        <w:spacing w:line="360" w:lineRule="auto"/>
        <w:ind w:left="616" w:hanging="616"/>
        <w:rPr>
          <w:rFonts w:ascii="Helvetica" w:hAnsi="Helvetica" w:eastAsia="宋体" w:cs="Helvetica"/>
          <w:kern w:val="0"/>
          <w:sz w:val="24"/>
          <w:szCs w:val="24"/>
          <w:lang w:val="zh-CN"/>
        </w:rPr>
      </w:pPr>
      <w:r>
        <w:rPr>
          <w:rFonts w:hint="eastAsia" w:ascii="宋体" w:hAnsi="宋体" w:eastAsia="宋体" w:cs="Times New Roman"/>
          <w:sz w:val="24"/>
          <w:szCs w:val="20"/>
          <w:lang w:val="zh-CN"/>
        </w:rPr>
        <w:t>公开招标采购项目开标结束后，采购人和采购代理公司依据法律、法规及招标文件的规定，对投标人的资格进行审查，以确定投</w:t>
      </w:r>
      <w:r>
        <w:rPr>
          <w:rFonts w:hint="eastAsia" w:ascii="宋体" w:hAnsi="宋体" w:eastAsia="宋体" w:cs="Times New Roman"/>
          <w:bCs/>
          <w:sz w:val="24"/>
          <w:szCs w:val="20"/>
          <w:lang w:val="zh-CN"/>
        </w:rPr>
        <w:t>标人资格是否合格。</w:t>
      </w:r>
      <w:r>
        <w:rPr>
          <w:rFonts w:ascii="Helvetica" w:hAnsi="Helvetica" w:eastAsia="宋体" w:cs="Helvetica"/>
          <w:kern w:val="0"/>
          <w:sz w:val="24"/>
          <w:szCs w:val="24"/>
          <w:lang w:val="zh-CN"/>
        </w:rPr>
        <w:t>合格投标人不足</w:t>
      </w:r>
      <w:r>
        <w:rPr>
          <w:rFonts w:ascii="宋体" w:hAnsi="宋体" w:eastAsia="宋体" w:cs="Helvetica"/>
          <w:kern w:val="0"/>
          <w:sz w:val="24"/>
          <w:szCs w:val="24"/>
          <w:lang w:val="zh-CN"/>
        </w:rPr>
        <w:t>3</w:t>
      </w:r>
      <w:r>
        <w:rPr>
          <w:rFonts w:ascii="Helvetica" w:hAnsi="Helvetica" w:eastAsia="宋体" w:cs="Helvetica"/>
          <w:kern w:val="0"/>
          <w:sz w:val="24"/>
          <w:szCs w:val="24"/>
          <w:lang w:val="zh-CN"/>
        </w:rPr>
        <w:t>家的，不</w:t>
      </w:r>
      <w:r>
        <w:rPr>
          <w:rFonts w:hint="eastAsia" w:ascii="Helvetica" w:hAnsi="Helvetica" w:eastAsia="宋体" w:cs="Helvetica"/>
          <w:kern w:val="0"/>
          <w:sz w:val="24"/>
          <w:szCs w:val="24"/>
          <w:lang w:val="zh-CN"/>
        </w:rPr>
        <w:t>进行</w:t>
      </w:r>
      <w:r>
        <w:rPr>
          <w:rFonts w:ascii="Helvetica" w:hAnsi="Helvetica" w:eastAsia="宋体" w:cs="Helvetica"/>
          <w:kern w:val="0"/>
          <w:sz w:val="24"/>
          <w:szCs w:val="24"/>
          <w:lang w:val="zh-CN"/>
        </w:rPr>
        <w:t>评标</w:t>
      </w:r>
      <w:r>
        <w:rPr>
          <w:rFonts w:hint="eastAsia" w:ascii="Helvetica" w:hAnsi="Helvetica" w:eastAsia="宋体" w:cs="Helvetica"/>
          <w:kern w:val="0"/>
          <w:sz w:val="24"/>
          <w:szCs w:val="24"/>
          <w:lang w:val="zh-CN"/>
        </w:rPr>
        <w:t>。</w:t>
      </w:r>
    </w:p>
    <w:p>
      <w:pPr>
        <w:numPr>
          <w:ilvl w:val="0"/>
          <w:numId w:val="26"/>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资格审查详见第四章“资格审查方法及标准”。</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评标方法</w:t>
      </w:r>
    </w:p>
    <w:p>
      <w:pPr>
        <w:numPr>
          <w:ilvl w:val="0"/>
          <w:numId w:val="27"/>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最低评标价法。最低评标价法是指投标文件满足招标文件全部实质性要求，且投标报价最低的投标人为中标候选人的评标方法。</w:t>
      </w:r>
    </w:p>
    <w:p>
      <w:pPr>
        <w:numPr>
          <w:ilvl w:val="0"/>
          <w:numId w:val="27"/>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综合评分法。</w:t>
      </w:r>
      <w:r>
        <w:rPr>
          <w:rFonts w:ascii="宋体" w:hAnsi="宋体" w:eastAsia="宋体" w:cs="Times New Roman"/>
          <w:bCs/>
          <w:sz w:val="24"/>
          <w:szCs w:val="20"/>
          <w:lang w:val="zh-CN"/>
        </w:rPr>
        <w:t>综合评分法是指投标文件满足招标文件全部实质性要求，且按照评审因素的量化指标评审得分最高的投标人为中标候选人的评标方法。</w:t>
      </w:r>
    </w:p>
    <w:p>
      <w:pPr>
        <w:numPr>
          <w:ilvl w:val="0"/>
          <w:numId w:val="27"/>
        </w:numPr>
        <w:spacing w:line="360" w:lineRule="auto"/>
        <w:ind w:left="616" w:hanging="616"/>
        <w:rPr>
          <w:rFonts w:ascii="宋体" w:hAnsi="宋体" w:eastAsia="宋体" w:cs="Times New Roman"/>
          <w:bCs/>
          <w:sz w:val="24"/>
          <w:szCs w:val="20"/>
          <w:lang w:val="zh-CN"/>
        </w:rPr>
      </w:pPr>
      <w:r>
        <w:rPr>
          <w:rFonts w:hint="eastAsia" w:ascii="Helvetica" w:hAnsi="Helvetica" w:eastAsia="宋体" w:cs="Helvetica"/>
          <w:kern w:val="0"/>
          <w:sz w:val="24"/>
          <w:szCs w:val="24"/>
          <w:lang w:val="zh-CN"/>
        </w:rPr>
        <w:t>评标方法详见第五章“评标方法、程序及标准”</w:t>
      </w:r>
      <w:r>
        <w:rPr>
          <w:rFonts w:hint="eastAsia" w:ascii="宋体" w:hAnsi="宋体" w:eastAsia="宋体" w:cs="Times New Roman"/>
          <w:bCs/>
          <w:sz w:val="24"/>
          <w:szCs w:val="20"/>
          <w:lang w:val="zh-CN"/>
        </w:rPr>
        <w:t>。</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评标委员会的组成</w:t>
      </w:r>
    </w:p>
    <w:p>
      <w:pPr>
        <w:numPr>
          <w:ilvl w:val="0"/>
          <w:numId w:val="28"/>
        </w:numPr>
        <w:spacing w:line="360" w:lineRule="auto"/>
        <w:ind w:left="616" w:hanging="616"/>
        <w:rPr>
          <w:rFonts w:ascii="宋体" w:hAnsi="宋体" w:eastAsia="宋体" w:cs="Times New Roman"/>
          <w:sz w:val="24"/>
          <w:szCs w:val="20"/>
          <w:lang w:val="zh-CN"/>
        </w:rPr>
      </w:pPr>
      <w:r>
        <w:rPr>
          <w:rFonts w:ascii="宋体" w:hAnsi="宋体" w:eastAsia="宋体" w:cs="Helvetica"/>
          <w:kern w:val="0"/>
          <w:sz w:val="24"/>
          <w:szCs w:val="24"/>
          <w:lang w:val="zh-CN"/>
        </w:rPr>
        <w:t>评标委员会由采购人代表和评审专家组成，成员人数应当为5人</w:t>
      </w:r>
      <w:r>
        <w:rPr>
          <w:rFonts w:hint="eastAsia" w:ascii="宋体" w:hAnsi="宋体" w:eastAsia="宋体" w:cs="Helvetica"/>
          <w:kern w:val="0"/>
          <w:sz w:val="24"/>
          <w:szCs w:val="24"/>
          <w:lang w:val="zh-CN"/>
        </w:rPr>
        <w:t>及</w:t>
      </w:r>
      <w:r>
        <w:rPr>
          <w:rFonts w:ascii="宋体" w:hAnsi="宋体" w:eastAsia="宋体" w:cs="Helvetica"/>
          <w:kern w:val="0"/>
          <w:sz w:val="24"/>
          <w:szCs w:val="24"/>
          <w:lang w:val="zh-CN"/>
        </w:rPr>
        <w:t>以上单数，其中评审专家不得少于成员总数的三分之二</w:t>
      </w:r>
      <w:r>
        <w:rPr>
          <w:rFonts w:hint="eastAsia" w:ascii="宋体" w:hAnsi="宋体" w:eastAsia="宋体" w:cs="Helvetica"/>
          <w:kern w:val="0"/>
          <w:sz w:val="24"/>
          <w:szCs w:val="24"/>
          <w:lang w:val="zh-CN"/>
        </w:rPr>
        <w:t>；</w:t>
      </w:r>
      <w:r>
        <w:rPr>
          <w:rFonts w:ascii="宋体" w:hAnsi="宋体" w:eastAsia="宋体" w:cs="Times New Roman"/>
          <w:sz w:val="24"/>
          <w:szCs w:val="20"/>
          <w:lang w:val="zh-CN"/>
        </w:rPr>
        <w:t>采购预算金额在1000万元</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w:t>
      </w:r>
      <w:r>
        <w:rPr>
          <w:rFonts w:hint="eastAsia" w:ascii="宋体" w:hAnsi="宋体" w:eastAsia="宋体" w:cs="Times New Roman"/>
          <w:sz w:val="24"/>
          <w:szCs w:val="20"/>
          <w:lang w:val="zh-CN"/>
        </w:rPr>
        <w:t>、</w:t>
      </w:r>
      <w:r>
        <w:rPr>
          <w:rFonts w:ascii="宋体" w:hAnsi="宋体" w:eastAsia="宋体" w:cs="Times New Roman"/>
          <w:sz w:val="24"/>
          <w:szCs w:val="20"/>
          <w:lang w:val="zh-CN"/>
        </w:rPr>
        <w:t>技术复杂</w:t>
      </w:r>
      <w:r>
        <w:rPr>
          <w:rFonts w:hint="eastAsia" w:ascii="宋体" w:hAnsi="宋体" w:eastAsia="宋体" w:cs="Times New Roman"/>
          <w:sz w:val="24"/>
          <w:szCs w:val="20"/>
          <w:lang w:val="zh-CN"/>
        </w:rPr>
        <w:t>或</w:t>
      </w:r>
      <w:r>
        <w:rPr>
          <w:rFonts w:ascii="宋体" w:hAnsi="宋体" w:eastAsia="宋体" w:cs="Times New Roman"/>
          <w:sz w:val="24"/>
          <w:szCs w:val="20"/>
          <w:lang w:val="zh-CN"/>
        </w:rPr>
        <w:t>社会影响较大</w:t>
      </w:r>
      <w:r>
        <w:rPr>
          <w:rFonts w:hint="eastAsia" w:ascii="宋体" w:hAnsi="宋体" w:eastAsia="宋体" w:cs="Times New Roman"/>
          <w:sz w:val="24"/>
          <w:szCs w:val="20"/>
          <w:lang w:val="zh-CN"/>
        </w:rPr>
        <w:t>的项目，</w:t>
      </w:r>
      <w:r>
        <w:rPr>
          <w:rFonts w:ascii="宋体" w:hAnsi="宋体" w:eastAsia="宋体" w:cs="Times New Roman"/>
          <w:sz w:val="24"/>
          <w:szCs w:val="20"/>
          <w:lang w:val="zh-CN"/>
        </w:rPr>
        <w:t>评标委员会成员人数应当为7人</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以上单数</w:t>
      </w:r>
      <w:r>
        <w:rPr>
          <w:rFonts w:hint="eastAsia" w:ascii="宋体" w:hAnsi="宋体" w:eastAsia="宋体" w:cs="Times New Roman"/>
          <w:sz w:val="24"/>
          <w:szCs w:val="20"/>
          <w:lang w:val="zh-CN"/>
        </w:rPr>
        <w:t>。</w:t>
      </w:r>
    </w:p>
    <w:p>
      <w:pPr>
        <w:numPr>
          <w:ilvl w:val="0"/>
          <w:numId w:val="28"/>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评标委员会成员依法从政府采购专家库中随机抽取。</w:t>
      </w:r>
      <w:r>
        <w:rPr>
          <w:rFonts w:ascii="宋体" w:hAnsi="宋体" w:eastAsia="宋体" w:cs="Times New Roman"/>
          <w:b/>
          <w:sz w:val="24"/>
          <w:szCs w:val="20"/>
          <w:lang w:val="zh-CN"/>
        </w:rPr>
        <w:t>对技术复杂、专业性强的采购项目，通过随机方式难以确定合适评审专家的，经主管预算单位同意，采购人可以自行选定相应专业领域的评审专家。</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评标程序</w:t>
      </w:r>
    </w:p>
    <w:p>
      <w:pPr>
        <w:numPr>
          <w:ilvl w:val="0"/>
          <w:numId w:val="29"/>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评标委员会负责具体评标事务，并独立履行下列职责：</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审查、评价投标文件是否符合招标文件的商务、技术等实质性要求；</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要求投标人对投标文件有关事项作出澄清或者说明；</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对投标文件进行</w:t>
      </w:r>
      <w:r>
        <w:rPr>
          <w:rFonts w:hint="eastAsia" w:ascii="宋体" w:hAnsi="宋体" w:eastAsia="宋体" w:cs="Times New Roman"/>
          <w:sz w:val="24"/>
          <w:szCs w:val="20"/>
          <w:lang w:val="zh-CN"/>
        </w:rPr>
        <w:t>综合</w:t>
      </w:r>
      <w:r>
        <w:rPr>
          <w:rFonts w:ascii="宋体" w:hAnsi="宋体" w:eastAsia="宋体" w:cs="Times New Roman"/>
          <w:sz w:val="24"/>
          <w:szCs w:val="20"/>
          <w:lang w:val="zh-CN"/>
        </w:rPr>
        <w:t>比较和评价；</w:t>
      </w:r>
    </w:p>
    <w:p>
      <w:pPr>
        <w:numPr>
          <w:ilvl w:val="0"/>
          <w:numId w:val="30"/>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确定中标候选人名单或中标人；</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向采购人、</w:t>
      </w:r>
      <w:r>
        <w:rPr>
          <w:rFonts w:hint="eastAsia" w:ascii="宋体" w:hAnsi="宋体" w:eastAsia="宋体" w:cs="Times New Roman"/>
          <w:sz w:val="24"/>
          <w:szCs w:val="20"/>
          <w:lang w:val="zh-CN"/>
        </w:rPr>
        <w:t>采购</w:t>
      </w:r>
      <w:r>
        <w:rPr>
          <w:rFonts w:ascii="宋体" w:hAnsi="宋体" w:eastAsia="宋体" w:cs="Times New Roman"/>
          <w:sz w:val="24"/>
          <w:szCs w:val="20"/>
          <w:lang w:val="zh-CN"/>
        </w:rPr>
        <w:t>机构或者有关部门报告评标中发现的违法行为。</w:t>
      </w:r>
    </w:p>
    <w:p>
      <w:pPr>
        <w:numPr>
          <w:ilvl w:val="0"/>
          <w:numId w:val="29"/>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评标程序详见第五章“评标方法、程序及标准”。</w:t>
      </w:r>
    </w:p>
    <w:p>
      <w:pPr>
        <w:pStyle w:val="4"/>
        <w:numPr>
          <w:ilvl w:val="0"/>
          <w:numId w:val="6"/>
        </w:numPr>
        <w:spacing w:before="40" w:after="40" w:line="360" w:lineRule="auto"/>
        <w:ind w:left="658" w:hanging="658"/>
        <w:jc w:val="left"/>
        <w:rPr>
          <w:rFonts w:cs="Times New Roman" w:asciiTheme="majorEastAsia" w:hAnsiTheme="majorEastAsia"/>
          <w:bCs w:val="0"/>
          <w:lang w:val="zh-CN"/>
        </w:rPr>
      </w:pPr>
      <w:bookmarkStart w:id="18" w:name="_Toc494561943"/>
      <w:bookmarkStart w:id="19" w:name="_Toc495861524"/>
      <w:r>
        <w:rPr>
          <w:rFonts w:hint="eastAsia" w:cs="Times New Roman" w:asciiTheme="majorEastAsia" w:hAnsiTheme="majorEastAsia"/>
          <w:bCs w:val="0"/>
          <w:lang w:val="zh-CN"/>
        </w:rPr>
        <w:t>投标人信用信息及查询</w:t>
      </w:r>
      <w:bookmarkEnd w:id="18"/>
      <w:bookmarkEnd w:id="19"/>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信用信息查询渠道及使用规则</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按照《关于在政府采购活动中查询及使用信用记录有关问题的通知》的要求，参与政府采购的投标人，信用记录的查询渠道为“信用中国”网站(www.creditchina.gov.cn)、中国政府采购网(</w:t>
      </w:r>
      <w:r>
        <w:fldChar w:fldCharType="begin"/>
      </w:r>
      <w:r>
        <w:instrText xml:space="preserve"> HYPERLINK "http://www.ccgp.gov.cn" </w:instrText>
      </w:r>
      <w:r>
        <w:fldChar w:fldCharType="separate"/>
      </w:r>
      <w:r>
        <w:rPr>
          <w:rFonts w:hint="eastAsia" w:cs="Helvetica" w:asciiTheme="minorEastAsia" w:hAnsiTheme="minorEastAsia"/>
          <w:kern w:val="0"/>
          <w:sz w:val="24"/>
          <w:szCs w:val="24"/>
          <w:lang w:val="zh-CN"/>
        </w:rPr>
        <w:t>www.ccgp.gov.cn</w:t>
      </w:r>
      <w:r>
        <w:rPr>
          <w:rFonts w:hint="eastAsia" w:cs="Helvetica" w:asciiTheme="minorEastAsia" w:hAnsiTheme="minorEastAsia"/>
          <w:kern w:val="0"/>
          <w:sz w:val="24"/>
          <w:szCs w:val="24"/>
          <w:lang w:val="zh-CN"/>
        </w:rPr>
        <w:fldChar w:fldCharType="end"/>
      </w:r>
      <w:r>
        <w:rPr>
          <w:rFonts w:hint="eastAsia" w:cs="Helvetica" w:asciiTheme="minorEastAsia" w:hAnsiTheme="minorEastAsia"/>
          <w:kern w:val="0"/>
          <w:sz w:val="24"/>
          <w:szCs w:val="24"/>
          <w:lang w:val="zh-CN"/>
        </w:rPr>
        <w:t>)。</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列入失信被执行人、重大税收违法案件当事人名单、政府采购严重违法失信行为记录名单的供应商，采购人、采购代理机构</w:t>
      </w:r>
      <w:r>
        <w:rPr>
          <w:rFonts w:hint="eastAsia" w:cs="Helvetica" w:asciiTheme="minorEastAsia" w:hAnsiTheme="minorEastAsia"/>
          <w:b/>
          <w:kern w:val="0"/>
          <w:sz w:val="24"/>
          <w:szCs w:val="24"/>
          <w:lang w:val="zh-CN"/>
        </w:rPr>
        <w:t>拒绝</w:t>
      </w:r>
      <w:r>
        <w:rPr>
          <w:rFonts w:hint="eastAsia" w:cs="Helvetica" w:asciiTheme="minorEastAsia" w:hAnsiTheme="minorEastAsia"/>
          <w:kern w:val="0"/>
          <w:sz w:val="24"/>
          <w:szCs w:val="24"/>
          <w:lang w:val="zh-CN"/>
        </w:rPr>
        <w:t>其参与政府采购活动。</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投标人的信用记录，最终以评标时的“信用中国”网站发布的信息为准。</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在资格审查与评标工作未同日进行的特殊情形下，</w:t>
      </w:r>
      <w:r>
        <w:rPr>
          <w:rFonts w:hint="eastAsia" w:ascii="Helvetica" w:hAnsi="Helvetica" w:eastAsia="宋体" w:cs="Helvetica"/>
          <w:color w:val="FF0000"/>
          <w:kern w:val="0"/>
          <w:sz w:val="24"/>
          <w:szCs w:val="24"/>
          <w:lang w:val="zh-CN"/>
        </w:rPr>
        <w:t>采购人（或代理公司）</w:t>
      </w:r>
      <w:r>
        <w:rPr>
          <w:rFonts w:hint="eastAsia" w:cs="Helvetica" w:asciiTheme="minorEastAsia" w:hAnsiTheme="minorEastAsia"/>
          <w:kern w:val="0"/>
          <w:sz w:val="24"/>
          <w:szCs w:val="24"/>
          <w:lang w:val="zh-CN"/>
        </w:rPr>
        <w:t>工作人员在评标时对投标人的信用信息进行复核，发现评标当日存在不良信用信息的，由评标委员会按照符合性审查不合格作</w:t>
      </w:r>
      <w:r>
        <w:rPr>
          <w:rFonts w:hint="eastAsia" w:cs="Helvetica" w:asciiTheme="minorEastAsia" w:hAnsiTheme="minorEastAsia"/>
          <w:b/>
          <w:kern w:val="0"/>
          <w:sz w:val="24"/>
          <w:szCs w:val="24"/>
          <w:lang w:val="zh-CN"/>
        </w:rPr>
        <w:t>无效投标处理</w:t>
      </w:r>
      <w:r>
        <w:rPr>
          <w:rFonts w:hint="eastAsia" w:cs="Helvetica" w:asciiTheme="minorEastAsia" w:hAnsiTheme="minorEastAsia"/>
          <w:kern w:val="0"/>
          <w:sz w:val="24"/>
          <w:szCs w:val="24"/>
          <w:lang w:val="zh-CN"/>
        </w:rPr>
        <w:t>。</w:t>
      </w:r>
    </w:p>
    <w:p>
      <w:pPr>
        <w:pStyle w:val="4"/>
        <w:numPr>
          <w:ilvl w:val="0"/>
          <w:numId w:val="6"/>
        </w:numPr>
        <w:spacing w:before="40" w:after="40" w:line="360" w:lineRule="auto"/>
        <w:ind w:left="658" w:hanging="658"/>
        <w:jc w:val="left"/>
        <w:rPr>
          <w:rFonts w:cs="Times New Roman" w:asciiTheme="majorEastAsia" w:hAnsiTheme="majorEastAsia"/>
          <w:bCs w:val="0"/>
          <w:lang w:val="zh-CN"/>
        </w:rPr>
      </w:pPr>
      <w:bookmarkStart w:id="20" w:name="_Toc494561944"/>
      <w:bookmarkStart w:id="21" w:name="_Toc495861525"/>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bookmarkEnd w:id="20"/>
      <w:bookmarkEnd w:id="21"/>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确定中标人</w:t>
      </w:r>
    </w:p>
    <w:p>
      <w:pPr>
        <w:numPr>
          <w:ilvl w:val="0"/>
          <w:numId w:val="32"/>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采购人收到评标报告</w:t>
      </w:r>
      <w:r>
        <w:rPr>
          <w:rFonts w:ascii="宋体" w:hAnsi="宋体" w:eastAsia="宋体" w:cs="Helvetica"/>
          <w:kern w:val="0"/>
          <w:sz w:val="24"/>
          <w:szCs w:val="24"/>
          <w:lang w:val="zh-CN"/>
        </w:rPr>
        <w:t>5个工作日内，</w:t>
      </w:r>
      <w:r>
        <w:rPr>
          <w:rFonts w:hint="eastAsia" w:ascii="宋体" w:hAnsi="宋体" w:eastAsia="宋体" w:cs="Helvetica"/>
          <w:kern w:val="0"/>
          <w:sz w:val="24"/>
          <w:szCs w:val="24"/>
          <w:lang w:val="zh-CN"/>
        </w:rPr>
        <w:t>按</w:t>
      </w:r>
      <w:r>
        <w:rPr>
          <w:rFonts w:ascii="宋体" w:hAnsi="宋体" w:eastAsia="宋体" w:cs="Helvetica"/>
          <w:kern w:val="0"/>
          <w:sz w:val="24"/>
          <w:szCs w:val="24"/>
          <w:lang w:val="zh-CN"/>
        </w:rPr>
        <w:t>评标报告推荐的中标候选人顺序确定中标人。</w:t>
      </w:r>
    </w:p>
    <w:p>
      <w:pPr>
        <w:numPr>
          <w:ilvl w:val="0"/>
          <w:numId w:val="32"/>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中标候选人并列的</w:t>
      </w:r>
      <w:r>
        <w:rPr>
          <w:rFonts w:hint="eastAsia" w:ascii="Helvetica" w:hAnsi="Helvetica" w:eastAsia="宋体" w:cs="Helvetica"/>
          <w:kern w:val="0"/>
          <w:sz w:val="24"/>
          <w:szCs w:val="24"/>
          <w:lang w:val="zh-CN"/>
        </w:rPr>
        <w:t>：</w:t>
      </w:r>
    </w:p>
    <w:p>
      <w:pPr>
        <w:numPr>
          <w:ilvl w:val="0"/>
          <w:numId w:val="33"/>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采用最低评标价法的，评标结果按投标报价由低到高顺序排列。投标报价相同的，按技术部分由高到低顺序排列。</w:t>
      </w:r>
    </w:p>
    <w:p>
      <w:pPr>
        <w:numPr>
          <w:ilvl w:val="0"/>
          <w:numId w:val="33"/>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采用综合评分法的，评标结果按评审后得分由高到低顺序排列。得分相同的，按投标报价由低到高顺序排列。得分且投标报价相同的，按技术部分由高到低顺序排列。</w:t>
      </w:r>
    </w:p>
    <w:p>
      <w:pPr>
        <w:numPr>
          <w:ilvl w:val="0"/>
          <w:numId w:val="3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中标人的数量有其他规定的，按招标文件相关规定执行。</w:t>
      </w:r>
    </w:p>
    <w:p>
      <w:pPr>
        <w:numPr>
          <w:ilvl w:val="0"/>
          <w:numId w:val="32"/>
        </w:numPr>
        <w:spacing w:line="360" w:lineRule="auto"/>
        <w:ind w:left="616" w:hanging="616"/>
        <w:rPr>
          <w:rFonts w:ascii="宋体" w:hAnsi="宋体" w:eastAsia="宋体" w:cs="Times New Roman"/>
          <w:strike/>
          <w:sz w:val="24"/>
          <w:szCs w:val="20"/>
          <w:lang w:val="zh-CN"/>
        </w:rPr>
      </w:pPr>
      <w:r>
        <w:rPr>
          <w:rFonts w:hint="eastAsia" w:ascii="宋体" w:hAnsi="宋体" w:eastAsia="宋体" w:cs="Times New Roman"/>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pPr>
        <w:numPr>
          <w:ilvl w:val="0"/>
          <w:numId w:val="32"/>
        </w:numPr>
        <w:spacing w:line="360" w:lineRule="auto"/>
        <w:ind w:left="616" w:hanging="616"/>
        <w:rPr>
          <w:rFonts w:ascii="宋体" w:hAnsi="宋体" w:eastAsia="宋体" w:cs="Times New Roman"/>
          <w:strike/>
          <w:sz w:val="24"/>
          <w:szCs w:val="20"/>
          <w:lang w:val="zh-CN"/>
        </w:rPr>
      </w:pPr>
      <w:r>
        <w:rPr>
          <w:rFonts w:ascii="Helvetica" w:hAnsi="Helvetica" w:eastAsia="宋体" w:cs="Helvetica"/>
          <w:kern w:val="0"/>
          <w:sz w:val="24"/>
          <w:szCs w:val="24"/>
          <w:lang w:val="zh-CN"/>
        </w:rPr>
        <w:t>中标通知书发出后，采购人不得违法改变中标结果，中标人无正当理由不得放弃中标。</w:t>
      </w:r>
    </w:p>
    <w:p>
      <w:pPr>
        <w:numPr>
          <w:ilvl w:val="0"/>
          <w:numId w:val="3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中标人拒绝与采购人签订合同的，采购人可以按照评标报告推荐的中标候选人名单排序，确定下一候选人为中标人，也可以重新开展政府采购活动。</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合同授予</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除本章“确定中标人”规定及其他法律规定的情形外，采购人把合同授予被确定为实质上响应招标文件要求且排名第一的中标人。</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合同签订</w:t>
      </w:r>
    </w:p>
    <w:p>
      <w:pPr>
        <w:numPr>
          <w:ilvl w:val="0"/>
          <w:numId w:val="34"/>
        </w:numPr>
        <w:spacing w:line="360" w:lineRule="auto"/>
        <w:ind w:left="616" w:hanging="616"/>
        <w:rPr>
          <w:rFonts w:ascii="宋体" w:hAnsi="宋体" w:eastAsia="宋体" w:cs="Times New Roman"/>
          <w:sz w:val="24"/>
          <w:szCs w:val="20"/>
          <w:lang w:val="zh-CN"/>
        </w:rPr>
      </w:pPr>
      <w:bookmarkStart w:id="22" w:name="_Toc278891597"/>
      <w:bookmarkStart w:id="23" w:name="_Toc272247700"/>
      <w:r>
        <w:rPr>
          <w:rFonts w:ascii="宋体" w:hAnsi="宋体" w:eastAsia="宋体" w:cs="Times New Roman"/>
          <w:sz w:val="24"/>
          <w:szCs w:val="20"/>
          <w:lang w:val="zh-CN"/>
        </w:rPr>
        <w:t>采购人应当自中标通知书发出之日起30日内，按照招标文件</w:t>
      </w:r>
      <w:r>
        <w:rPr>
          <w:rFonts w:hint="eastAsia" w:ascii="宋体" w:hAnsi="宋体" w:eastAsia="宋体" w:cs="Times New Roman"/>
          <w:sz w:val="24"/>
          <w:szCs w:val="20"/>
          <w:lang w:val="zh-CN"/>
        </w:rPr>
        <w:t>规定</w:t>
      </w:r>
      <w:r>
        <w:rPr>
          <w:rFonts w:ascii="宋体" w:hAnsi="宋体" w:eastAsia="宋体" w:cs="Times New Roman"/>
          <w:sz w:val="24"/>
          <w:szCs w:val="20"/>
          <w:lang w:val="zh-CN"/>
        </w:rPr>
        <w:t>和中标人投标文件的</w:t>
      </w:r>
      <w:r>
        <w:rPr>
          <w:rFonts w:hint="eastAsia" w:ascii="宋体" w:hAnsi="宋体" w:eastAsia="宋体" w:cs="Times New Roman"/>
          <w:sz w:val="24"/>
          <w:szCs w:val="20"/>
          <w:lang w:val="zh-CN"/>
        </w:rPr>
        <w:t>承诺</w:t>
      </w:r>
      <w:r>
        <w:rPr>
          <w:rFonts w:ascii="宋体" w:hAnsi="宋体" w:eastAsia="宋体" w:cs="Times New Roman"/>
          <w:sz w:val="24"/>
          <w:szCs w:val="20"/>
          <w:lang w:val="zh-CN"/>
        </w:rPr>
        <w:t>，与中标人签订书面合同。所签订的合同不得对招标文件确定的事项和中标人投标文件作实质性修改。</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采购人不得向中标人提出任何不合理的要求作为签订合同的条件。</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rPr>
        <w:t>采购人应当自政府采购合同签订之日起2个工作日内，将政府采购合同在省级以上人民政府财政部门指定的媒体上公告，但政府采购合同中涉及国家秘密、商业秘密的内容除外。</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4"/>
        <w:numPr>
          <w:ilvl w:val="0"/>
          <w:numId w:val="6"/>
        </w:numPr>
        <w:spacing w:before="40" w:after="40" w:line="360" w:lineRule="auto"/>
        <w:ind w:left="658" w:hanging="658"/>
        <w:jc w:val="left"/>
        <w:rPr>
          <w:rFonts w:cs="Times New Roman" w:asciiTheme="majorEastAsia" w:hAnsiTheme="majorEastAsia"/>
          <w:bCs w:val="0"/>
          <w:lang w:val="zh-CN"/>
        </w:rPr>
      </w:pPr>
      <w:bookmarkStart w:id="24" w:name="_Toc495861526"/>
      <w:bookmarkStart w:id="25" w:name="_Toc494561945"/>
      <w:r>
        <w:rPr>
          <w:rFonts w:hint="eastAsia" w:cs="Times New Roman" w:asciiTheme="majorEastAsia" w:hAnsiTheme="majorEastAsia"/>
          <w:bCs w:val="0"/>
          <w:lang w:val="zh-CN"/>
        </w:rPr>
        <w:t>采购信息公告</w:t>
      </w:r>
      <w:bookmarkEnd w:id="24"/>
      <w:bookmarkEnd w:id="25"/>
    </w:p>
    <w:p>
      <w:pPr>
        <w:numPr>
          <w:ilvl w:val="0"/>
          <w:numId w:val="7"/>
        </w:numPr>
        <w:spacing w:line="360" w:lineRule="auto"/>
        <w:ind w:left="560" w:hanging="560"/>
        <w:rPr>
          <w:rFonts w:ascii="宋体" w:hAnsi="宋体" w:eastAsia="宋体" w:cs="Helvetica"/>
          <w:b/>
          <w:color w:val="0D0D0D"/>
          <w:kern w:val="0"/>
          <w:sz w:val="24"/>
          <w:szCs w:val="24"/>
          <w:lang w:val="zh-CN"/>
        </w:rPr>
      </w:pPr>
      <w:r>
        <w:rPr>
          <w:rFonts w:hint="eastAsia" w:ascii="宋体" w:hAnsi="宋体" w:eastAsia="宋体" w:cs="Helvetica"/>
          <w:b/>
          <w:color w:val="0D0D0D"/>
          <w:kern w:val="0"/>
          <w:sz w:val="24"/>
          <w:szCs w:val="24"/>
          <w:lang w:val="zh-CN"/>
        </w:rPr>
        <w:t>公告的媒体及规定</w:t>
      </w:r>
    </w:p>
    <w:p>
      <w:pPr>
        <w:numPr>
          <w:ilvl w:val="0"/>
          <w:numId w:val="35"/>
        </w:numPr>
        <w:tabs>
          <w:tab w:val="left" w:pos="616"/>
        </w:tabs>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采购机构在招标活动中的公告、补充、更正、结果等采购信息均依法在政府采购监管部门指定媒体上（中国湖北政府采购网http://www.ccgp-hubei.gov.cn/）发布。</w:t>
      </w:r>
    </w:p>
    <w:p>
      <w:pPr>
        <w:numPr>
          <w:ilvl w:val="0"/>
          <w:numId w:val="35"/>
        </w:numPr>
        <w:tabs>
          <w:tab w:val="left" w:pos="616"/>
        </w:tabs>
        <w:spacing w:line="360" w:lineRule="auto"/>
        <w:ind w:left="616" w:hanging="616"/>
        <w:rPr>
          <w:rFonts w:cs="Helvetica" w:asciiTheme="minorEastAsia" w:hAnsiTheme="minorEastAsia"/>
          <w:b/>
          <w:kern w:val="0"/>
          <w:sz w:val="24"/>
          <w:szCs w:val="24"/>
          <w:lang w:val="zh-CN"/>
        </w:rPr>
      </w:pPr>
      <w:r>
        <w:rPr>
          <w:rFonts w:hint="eastAsia" w:cs="Helvetica" w:asciiTheme="minorEastAsia" w:hAnsiTheme="minorEastAsia"/>
          <w:kern w:val="0"/>
          <w:sz w:val="24"/>
          <w:szCs w:val="24"/>
          <w:lang w:val="zh-CN"/>
        </w:rPr>
        <w:t>采购机构在自</w:t>
      </w:r>
      <w:r>
        <w:rPr>
          <w:rFonts w:cs="Helvetica" w:asciiTheme="minorEastAsia" w:hAnsiTheme="minorEastAsia"/>
          <w:kern w:val="0"/>
          <w:sz w:val="24"/>
          <w:szCs w:val="24"/>
          <w:lang w:val="zh-CN"/>
        </w:rPr>
        <w:t>中标人确定之日起2个工作日内，</w:t>
      </w:r>
      <w:r>
        <w:rPr>
          <w:rFonts w:hint="eastAsia" w:cs="Helvetica" w:asciiTheme="minorEastAsia" w:hAnsiTheme="minorEastAsia"/>
          <w:kern w:val="0"/>
          <w:sz w:val="24"/>
          <w:szCs w:val="24"/>
          <w:lang w:val="zh-CN"/>
        </w:rPr>
        <w:t>在政府采购监管部门指定媒体上</w:t>
      </w:r>
      <w:r>
        <w:rPr>
          <w:rFonts w:cs="Helvetica" w:asciiTheme="minorEastAsia" w:hAnsiTheme="minorEastAsia"/>
          <w:kern w:val="0"/>
          <w:sz w:val="24"/>
          <w:szCs w:val="24"/>
          <w:lang w:val="zh-CN"/>
        </w:rPr>
        <w:t>公告中标结果</w:t>
      </w:r>
      <w:r>
        <w:rPr>
          <w:rFonts w:hint="eastAsia" w:cs="Helvetica" w:asciiTheme="minorEastAsia" w:hAnsiTheme="minorEastAsia"/>
          <w:kern w:val="0"/>
          <w:sz w:val="24"/>
          <w:szCs w:val="24"/>
          <w:lang w:val="zh-CN"/>
        </w:rPr>
        <w:t>，</w:t>
      </w:r>
      <w:r>
        <w:rPr>
          <w:rFonts w:hint="eastAsia" w:cs="Helvetica" w:asciiTheme="minorEastAsia" w:hAnsiTheme="minorEastAsia"/>
          <w:b/>
          <w:kern w:val="0"/>
          <w:sz w:val="24"/>
          <w:szCs w:val="24"/>
          <w:lang w:val="zh-CN"/>
        </w:rPr>
        <w:t>中标公告的公示期为1个工作日。</w:t>
      </w:r>
    </w:p>
    <w:p>
      <w:pPr>
        <w:numPr>
          <w:ilvl w:val="0"/>
          <w:numId w:val="35"/>
        </w:numPr>
        <w:tabs>
          <w:tab w:val="left" w:pos="616"/>
        </w:tabs>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资格审查未通过的投标人可在结果公告质疑有效期内按公告中的联系方式获知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w:t>
      </w:r>
      <w:r>
        <w:rPr>
          <w:rFonts w:hint="eastAsia" w:cs="Helvetica" w:asciiTheme="minorEastAsia" w:hAnsiTheme="minorEastAsia"/>
          <w:kern w:val="0"/>
          <w:sz w:val="24"/>
          <w:szCs w:val="24"/>
          <w:lang w:val="zh-CN"/>
        </w:rPr>
        <w:t>资格审查情况</w:t>
      </w:r>
      <w:r>
        <w:rPr>
          <w:rFonts w:cs="Helvetica" w:asciiTheme="minorEastAsia" w:hAnsiTheme="minorEastAsia"/>
          <w:kern w:val="0"/>
          <w:sz w:val="24"/>
          <w:szCs w:val="24"/>
          <w:lang w:val="zh-CN"/>
        </w:rPr>
        <w:t>。</w:t>
      </w:r>
    </w:p>
    <w:p>
      <w:pPr>
        <w:numPr>
          <w:ilvl w:val="0"/>
          <w:numId w:val="35"/>
        </w:numPr>
        <w:tabs>
          <w:tab w:val="left" w:pos="616"/>
        </w:tabs>
        <w:spacing w:line="360" w:lineRule="auto"/>
        <w:ind w:left="616" w:hanging="616"/>
        <w:rPr>
          <w:rFonts w:cs="Helvetica" w:asciiTheme="minorEastAsia" w:hAnsiTheme="minorEastAsia"/>
          <w:kern w:val="0"/>
          <w:sz w:val="24"/>
          <w:szCs w:val="24"/>
          <w:lang w:val="zh-CN"/>
        </w:rPr>
      </w:pPr>
      <w:r>
        <w:rPr>
          <w:rFonts w:cs="Helvetica" w:asciiTheme="minorEastAsia" w:hAnsiTheme="minorEastAsia"/>
          <w:kern w:val="0"/>
          <w:sz w:val="24"/>
          <w:szCs w:val="24"/>
          <w:lang w:val="zh-CN"/>
        </w:rPr>
        <w:t>采用综合评分法评审的</w:t>
      </w:r>
      <w:r>
        <w:rPr>
          <w:rFonts w:hint="eastAsia" w:cs="Helvetica" w:asciiTheme="minorEastAsia" w:hAnsiTheme="minorEastAsia"/>
          <w:kern w:val="0"/>
          <w:sz w:val="24"/>
          <w:szCs w:val="24"/>
          <w:lang w:val="zh-CN"/>
        </w:rPr>
        <w:t>项目</w:t>
      </w:r>
      <w:r>
        <w:rPr>
          <w:rFonts w:cs="Helvetica" w:asciiTheme="minorEastAsia" w:hAnsiTheme="minorEastAsia"/>
          <w:kern w:val="0"/>
          <w:sz w:val="24"/>
          <w:szCs w:val="24"/>
          <w:lang w:val="zh-CN"/>
        </w:rPr>
        <w:t>，</w:t>
      </w:r>
      <w:r>
        <w:rPr>
          <w:rFonts w:hint="eastAsia" w:cs="Helvetica" w:asciiTheme="minorEastAsia" w:hAnsiTheme="minorEastAsia"/>
          <w:kern w:val="0"/>
          <w:sz w:val="24"/>
          <w:szCs w:val="24"/>
          <w:lang w:val="zh-CN"/>
        </w:rPr>
        <w:t>未中标人可在结果公告质疑有效期内按公告中的联系方式获知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的评审得分与排序。</w:t>
      </w:r>
    </w:p>
    <w:p>
      <w:pPr>
        <w:pStyle w:val="4"/>
        <w:numPr>
          <w:ilvl w:val="0"/>
          <w:numId w:val="6"/>
        </w:numPr>
        <w:spacing w:before="40" w:after="40" w:line="360" w:lineRule="auto"/>
        <w:ind w:left="658" w:hanging="658"/>
        <w:jc w:val="left"/>
        <w:rPr>
          <w:rFonts w:cs="Times New Roman" w:asciiTheme="majorEastAsia" w:hAnsiTheme="majorEastAsia"/>
          <w:bCs w:val="0"/>
          <w:lang w:val="zh-CN"/>
        </w:rPr>
      </w:pPr>
      <w:bookmarkStart w:id="26" w:name="_Toc495861527"/>
      <w:bookmarkStart w:id="27" w:name="_Toc494561946"/>
      <w:r>
        <w:rPr>
          <w:rFonts w:hint="eastAsia" w:cs="Times New Roman" w:asciiTheme="majorEastAsia" w:hAnsiTheme="majorEastAsia"/>
          <w:bCs w:val="0"/>
          <w:lang w:val="zh-CN"/>
        </w:rPr>
        <w:t>质疑</w:t>
      </w:r>
      <w:bookmarkEnd w:id="22"/>
      <w:bookmarkEnd w:id="23"/>
      <w:r>
        <w:rPr>
          <w:rFonts w:hint="eastAsia" w:cs="Times New Roman" w:asciiTheme="majorEastAsia" w:hAnsiTheme="majorEastAsia"/>
          <w:bCs w:val="0"/>
          <w:lang w:val="zh-CN"/>
        </w:rPr>
        <w:t>及提交</w:t>
      </w:r>
      <w:bookmarkEnd w:id="26"/>
      <w:bookmarkEnd w:id="27"/>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质疑提交</w:t>
      </w:r>
    </w:p>
    <w:p>
      <w:pPr>
        <w:autoSpaceDE w:val="0"/>
        <w:autoSpaceDN w:val="0"/>
        <w:adjustRightInd w:val="0"/>
        <w:snapToGrid w:val="0"/>
        <w:spacing w:line="300" w:lineRule="auto"/>
        <w:ind w:left="420" w:right="32" w:firstLine="6"/>
        <w:rPr>
          <w:rFonts w:ascii="宋体" w:hAnsi="宋体" w:eastAsia="宋体" w:cs="Times New Roman"/>
          <w:sz w:val="24"/>
          <w:szCs w:val="20"/>
          <w:lang w:val="zh-CN"/>
        </w:rPr>
      </w:pPr>
      <w:r>
        <w:rPr>
          <w:rFonts w:hint="eastAsia" w:ascii="宋体" w:hAnsi="宋体" w:eastAsia="宋体" w:cs="Times New Roman"/>
          <w:sz w:val="24"/>
          <w:szCs w:val="20"/>
          <w:lang w:val="zh-CN"/>
        </w:rPr>
        <w:t>投标人认为招标文件、招标过程和中标结果使自己的权益受到损害的，可以在知道或者应知其权益受到损害之日起7个工作日内，向采购人（或代理公司）</w:t>
      </w:r>
      <w:r>
        <w:rPr>
          <w:rFonts w:ascii="宋体" w:hAnsi="宋体" w:eastAsia="宋体" w:cs="Times New Roman"/>
          <w:sz w:val="24"/>
          <w:szCs w:val="20"/>
          <w:lang w:val="zh-CN"/>
        </w:rPr>
        <w:t>提出</w:t>
      </w:r>
      <w:r>
        <w:rPr>
          <w:rFonts w:hint="eastAsia" w:ascii="宋体" w:hAnsi="宋体" w:eastAsia="宋体" w:cs="Times New Roman"/>
          <w:sz w:val="24"/>
          <w:szCs w:val="20"/>
          <w:lang w:val="zh-CN"/>
        </w:rPr>
        <w:t>书面</w:t>
      </w:r>
      <w:r>
        <w:rPr>
          <w:rFonts w:ascii="宋体" w:hAnsi="宋体" w:eastAsia="宋体" w:cs="Times New Roman"/>
          <w:sz w:val="24"/>
          <w:szCs w:val="20"/>
          <w:lang w:val="zh-CN"/>
        </w:rPr>
        <w:t>质疑</w:t>
      </w:r>
      <w:r>
        <w:rPr>
          <w:rFonts w:hint="eastAsia" w:ascii="宋体" w:hAnsi="宋体" w:eastAsia="宋体" w:cs="Times New Roman"/>
          <w:sz w:val="24"/>
          <w:szCs w:val="20"/>
          <w:lang w:val="zh-CN"/>
        </w:rPr>
        <w:t>，质疑提出时间以收到之日为准。</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投标人</w:t>
      </w:r>
      <w:r>
        <w:rPr>
          <w:rFonts w:ascii="宋体" w:hAnsi="宋体" w:eastAsia="宋体" w:cs="Times New Roman"/>
          <w:b/>
          <w:sz w:val="24"/>
          <w:szCs w:val="20"/>
          <w:lang w:val="zh-CN"/>
        </w:rPr>
        <w:t>应知其权益受到损害之日是指：</w:t>
      </w:r>
    </w:p>
    <w:p>
      <w:pPr>
        <w:numPr>
          <w:ilvl w:val="0"/>
          <w:numId w:val="36"/>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对可以质疑的</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文件提出质疑的，为收到</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文件之日或者</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文件公告期限届满之日</w:t>
      </w:r>
      <w:r>
        <w:rPr>
          <w:rFonts w:hint="eastAsia" w:ascii="宋体" w:hAnsi="宋体" w:eastAsia="宋体" w:cs="Times New Roman"/>
          <w:sz w:val="24"/>
          <w:szCs w:val="20"/>
          <w:lang w:val="zh-CN"/>
        </w:rPr>
        <w:t>；</w:t>
      </w:r>
    </w:p>
    <w:p>
      <w:pPr>
        <w:numPr>
          <w:ilvl w:val="0"/>
          <w:numId w:val="36"/>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w:t>
      </w:r>
      <w:r>
        <w:rPr>
          <w:rFonts w:hint="eastAsia" w:ascii="宋体" w:hAnsi="宋体" w:eastAsia="宋体" w:cs="Times New Roman"/>
          <w:sz w:val="24"/>
          <w:szCs w:val="20"/>
          <w:lang w:val="zh-CN"/>
        </w:rPr>
        <w:t>招标</w:t>
      </w:r>
      <w:r>
        <w:rPr>
          <w:rFonts w:ascii="宋体" w:hAnsi="宋体" w:eastAsia="宋体" w:cs="Times New Roman"/>
          <w:sz w:val="24"/>
          <w:szCs w:val="20"/>
          <w:lang w:val="zh-CN"/>
        </w:rPr>
        <w:t>过程提出质疑的，为各</w:t>
      </w:r>
      <w:r>
        <w:rPr>
          <w:rFonts w:hint="eastAsia" w:ascii="宋体" w:hAnsi="宋体" w:eastAsia="宋体" w:cs="Times New Roman"/>
          <w:sz w:val="24"/>
          <w:szCs w:val="20"/>
          <w:lang w:val="zh-CN"/>
        </w:rPr>
        <w:t>招标</w:t>
      </w:r>
      <w:r>
        <w:rPr>
          <w:rFonts w:ascii="宋体" w:hAnsi="宋体" w:eastAsia="宋体" w:cs="Times New Roman"/>
          <w:sz w:val="24"/>
          <w:szCs w:val="20"/>
          <w:lang w:val="zh-CN"/>
        </w:rPr>
        <w:t>程序环节结束之日</w:t>
      </w:r>
      <w:r>
        <w:rPr>
          <w:rFonts w:hint="eastAsia" w:ascii="宋体" w:hAnsi="宋体" w:eastAsia="宋体" w:cs="Times New Roman"/>
          <w:sz w:val="24"/>
          <w:szCs w:val="20"/>
          <w:lang w:val="zh-CN"/>
        </w:rPr>
        <w:t>；</w:t>
      </w:r>
    </w:p>
    <w:p>
      <w:pPr>
        <w:numPr>
          <w:ilvl w:val="0"/>
          <w:numId w:val="36"/>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对中标结果提出质疑的，为中标公告期限届满之日。</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质疑书应当包括下列主要内容：</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质疑人的名称、地址、联系人及联系电话等；</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被质疑人的名称、地址、联系人及联系电话等；</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质疑项目名称及编号、质疑事项和明确的请求；</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质疑事项的事实根据、法律依据及其他必要的证明材料；</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提出质疑的日期；</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质疑人的署名及签章（质疑人为自然人的，应当由本人签字；质疑人为法人或者其他组织的，应当由法定代表人或者主要负责人签字盖章并加盖公章）；</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法人授权委托书（质疑人或法人委托代理人办理质疑事务的，应当提供授权委托书，授权委托书应当载明委托代理的具体权限和事项）。</w:t>
      </w:r>
    </w:p>
    <w:p>
      <w:pPr>
        <w:numPr>
          <w:ilvl w:val="0"/>
          <w:numId w:val="7"/>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不予受理的情形</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投标人未按本章“质疑及提交”规定的时限、内容及方式进行质疑的，采购人</w:t>
      </w:r>
      <w:r>
        <w:rPr>
          <w:rFonts w:hint="eastAsia" w:ascii="宋体" w:hAnsi="宋体" w:eastAsia="宋体" w:cs="Times New Roman"/>
          <w:color w:val="FF0000"/>
          <w:sz w:val="24"/>
          <w:szCs w:val="20"/>
          <w:lang w:val="zh-CN"/>
        </w:rPr>
        <w:t>（或代理公司）</w:t>
      </w:r>
      <w:r>
        <w:rPr>
          <w:rFonts w:hint="eastAsia" w:ascii="宋体" w:hAnsi="宋体" w:eastAsia="宋体" w:cs="Times New Roman"/>
          <w:sz w:val="24"/>
          <w:szCs w:val="20"/>
          <w:lang w:val="zh-CN"/>
        </w:rPr>
        <w:t>不予受理。</w:t>
      </w:r>
    </w:p>
    <w:p>
      <w:pPr>
        <w:pStyle w:val="4"/>
        <w:numPr>
          <w:ilvl w:val="0"/>
          <w:numId w:val="6"/>
        </w:numPr>
        <w:spacing w:before="40" w:after="40" w:line="360" w:lineRule="auto"/>
        <w:ind w:left="658" w:hanging="658"/>
        <w:jc w:val="left"/>
        <w:rPr>
          <w:rFonts w:cs="Times New Roman" w:asciiTheme="majorEastAsia" w:hAnsiTheme="majorEastAsia"/>
          <w:bCs w:val="0"/>
          <w:lang w:val="zh-CN"/>
        </w:rPr>
      </w:pPr>
      <w:bookmarkStart w:id="28" w:name="_Toc495861528"/>
      <w:bookmarkStart w:id="29" w:name="_Toc494561947"/>
      <w:r>
        <w:rPr>
          <w:rFonts w:hint="eastAsia" w:cs="Times New Roman" w:asciiTheme="majorEastAsia" w:hAnsiTheme="majorEastAsia"/>
          <w:bCs w:val="0"/>
          <w:lang w:val="zh-CN"/>
        </w:rPr>
        <w:t>相关条文解读</w:t>
      </w:r>
      <w:bookmarkEnd w:id="28"/>
      <w:bookmarkEnd w:id="29"/>
    </w:p>
    <w:p>
      <w:pPr>
        <w:numPr>
          <w:ilvl w:val="0"/>
          <w:numId w:val="7"/>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政府采购法第二十二条第一款第五项所称重大违法记录，是指供应商因违法经营受到刑事处罚或者责令停产停业、吊销许可证或者执照、较大数额罚款等行政处罚。</w:t>
      </w:r>
    </w:p>
    <w:p>
      <w:pPr>
        <w:numPr>
          <w:ilvl w:val="0"/>
          <w:numId w:val="7"/>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按照财政部《关于规范政府采购行政处罚有关问题的通知》的规定，</w:t>
      </w:r>
      <w:r>
        <w:rPr>
          <w:rFonts w:ascii="宋体" w:hAnsi="宋体" w:eastAsia="宋体" w:cs="Times New Roman"/>
          <w:sz w:val="24"/>
          <w:szCs w:val="20"/>
          <w:lang w:val="zh-CN"/>
        </w:rPr>
        <w:t>各级人民政府财政部门依法对参加政府采购活动的供应商作出的禁止参加政府采购活动等行政处罚决定在全国范围内生效。</w:t>
      </w:r>
    </w:p>
    <w:p>
      <w:pPr>
        <w:numPr>
          <w:ilvl w:val="0"/>
          <w:numId w:val="7"/>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供应商在参加政府采购活动前3年内因违法经营被禁止在一定期限内参加政府采购活动，期限届满的，可以参加政府采购活动。</w:t>
      </w:r>
    </w:p>
    <w:p>
      <w:pPr>
        <w:numPr>
          <w:ilvl w:val="0"/>
          <w:numId w:val="7"/>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根据财政部《政府采购法实施条例》释义中关于供应商资格条件的解释，</w:t>
      </w:r>
      <w:r>
        <w:rPr>
          <w:rFonts w:hint="eastAsia" w:ascii="宋体" w:hAnsi="宋体" w:eastAsia="宋体" w:cs="Times New Roman"/>
          <w:sz w:val="24"/>
          <w:szCs w:val="20"/>
          <w:highlight w:val="yellow"/>
          <w:lang w:val="zh-CN"/>
        </w:rPr>
        <w:t>对于银行、保险、石油石化、电力、电信等有行业特殊情况的</w:t>
      </w:r>
      <w:r>
        <w:rPr>
          <w:rFonts w:hint="eastAsia" w:ascii="宋体" w:hAnsi="宋体" w:eastAsia="宋体" w:cs="Times New Roman"/>
          <w:sz w:val="24"/>
          <w:szCs w:val="20"/>
          <w:lang w:val="zh-CN"/>
        </w:rPr>
        <w:t>，采购人和采购机构允许其分支机构参与投标。</w:t>
      </w:r>
    </w:p>
    <w:p>
      <w:pPr>
        <w:pStyle w:val="4"/>
        <w:numPr>
          <w:ilvl w:val="0"/>
          <w:numId w:val="6"/>
        </w:numPr>
        <w:spacing w:before="40" w:after="40" w:line="360" w:lineRule="auto"/>
        <w:ind w:left="658" w:hanging="658"/>
        <w:jc w:val="left"/>
        <w:rPr>
          <w:rFonts w:cs="Times New Roman" w:asciiTheme="majorEastAsia" w:hAnsiTheme="majorEastAsia"/>
          <w:bCs w:val="0"/>
          <w:lang w:val="zh-CN"/>
        </w:rPr>
      </w:pPr>
      <w:bookmarkStart w:id="30" w:name="_Toc495861529"/>
      <w:bookmarkStart w:id="31" w:name="_Toc494561948"/>
      <w:r>
        <w:rPr>
          <w:rFonts w:hint="eastAsia" w:cs="Times New Roman" w:asciiTheme="majorEastAsia" w:hAnsiTheme="majorEastAsia"/>
          <w:bCs w:val="0"/>
          <w:lang w:val="zh-CN"/>
        </w:rPr>
        <w:t>其他注意事项</w:t>
      </w:r>
      <w:bookmarkEnd w:id="30"/>
      <w:bookmarkEnd w:id="31"/>
    </w:p>
    <w:p>
      <w:pPr>
        <w:numPr>
          <w:ilvl w:val="0"/>
          <w:numId w:val="7"/>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单位负责人为同一人或者存在直接控股、管理关系的不同供应商，不得参加同一合同项下的政府采购活动。</w:t>
      </w:r>
    </w:p>
    <w:p>
      <w:pPr>
        <w:numPr>
          <w:ilvl w:val="0"/>
          <w:numId w:val="7"/>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除单一来源采购项目外，为采购项目提供整体设计、规范编制或者项目管理、监理、检测等服务的供应商，不得再参加该采购项目的其他采购活动。</w:t>
      </w:r>
    </w:p>
    <w:p>
      <w:pPr>
        <w:pStyle w:val="4"/>
        <w:numPr>
          <w:ilvl w:val="0"/>
          <w:numId w:val="6"/>
        </w:numPr>
        <w:spacing w:before="40" w:after="40" w:line="360" w:lineRule="auto"/>
        <w:ind w:left="966" w:hanging="966"/>
        <w:jc w:val="left"/>
        <w:rPr>
          <w:rFonts w:cs="Times New Roman" w:asciiTheme="majorEastAsia" w:hAnsiTheme="majorEastAsia"/>
          <w:bCs w:val="0"/>
          <w:lang w:val="zh-CN"/>
        </w:rPr>
      </w:pPr>
      <w:bookmarkStart w:id="32" w:name="_Toc278891598"/>
      <w:bookmarkStart w:id="33" w:name="_Toc495861530"/>
      <w:bookmarkStart w:id="34" w:name="_Toc494561949"/>
      <w:bookmarkStart w:id="35" w:name="_Toc272247701"/>
      <w:r>
        <w:rPr>
          <w:rFonts w:hint="eastAsia" w:cs="Times New Roman" w:asciiTheme="majorEastAsia" w:hAnsiTheme="majorEastAsia"/>
          <w:bCs w:val="0"/>
          <w:lang w:val="zh-CN"/>
        </w:rPr>
        <w:t>适用法律</w:t>
      </w:r>
      <w:bookmarkEnd w:id="32"/>
      <w:bookmarkEnd w:id="33"/>
      <w:bookmarkEnd w:id="34"/>
      <w:bookmarkEnd w:id="35"/>
    </w:p>
    <w:p>
      <w:pPr>
        <w:numPr>
          <w:ilvl w:val="0"/>
          <w:numId w:val="7"/>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采购人、采购代理机构及投标人的一切招标投标活动均适用《政府采购法》、《政府采购法实施条例》、</w:t>
      </w:r>
      <w:r>
        <w:rPr>
          <w:rFonts w:ascii="宋体" w:hAnsi="宋体" w:eastAsia="宋体" w:cs="Times New Roman"/>
          <w:sz w:val="24"/>
          <w:szCs w:val="20"/>
          <w:lang w:val="zh-CN"/>
        </w:rPr>
        <w:t>《政府采购货物和服务招标投标管理办法》</w:t>
      </w:r>
      <w:r>
        <w:rPr>
          <w:rFonts w:hint="eastAsia" w:ascii="宋体" w:hAnsi="宋体" w:eastAsia="宋体" w:cs="Times New Roman"/>
          <w:sz w:val="24"/>
          <w:szCs w:val="20"/>
          <w:lang w:val="zh-CN"/>
        </w:rPr>
        <w:t>及相关法律法规。</w:t>
      </w:r>
    </w:p>
    <w:p>
      <w:pPr>
        <w:numPr>
          <w:ilvl w:val="0"/>
          <w:numId w:val="7"/>
        </w:numPr>
        <w:spacing w:line="360" w:lineRule="auto"/>
        <w:ind w:left="560" w:hanging="560"/>
        <w:rPr>
          <w:rFonts w:ascii="宋体" w:hAnsi="宋体" w:eastAsia="宋体" w:cs="Times New Roman"/>
          <w:sz w:val="24"/>
          <w:szCs w:val="20"/>
          <w:lang w:val="zh-CN"/>
        </w:rPr>
      </w:pPr>
      <w:r>
        <w:rPr>
          <w:rFonts w:ascii="Helvetica" w:hAnsi="Helvetica" w:eastAsia="宋体" w:cs="Helvetica"/>
          <w:kern w:val="0"/>
          <w:sz w:val="24"/>
          <w:szCs w:val="24"/>
          <w:lang w:val="zh-CN"/>
        </w:rPr>
        <w:t>政府采购合同的履行、违约责任和解决争议的方法等适用《合同法》。</w:t>
      </w:r>
    </w:p>
    <w:p>
      <w:pPr>
        <w:pStyle w:val="4"/>
        <w:numPr>
          <w:ilvl w:val="0"/>
          <w:numId w:val="6"/>
        </w:numPr>
        <w:spacing w:before="40" w:after="40" w:line="360" w:lineRule="auto"/>
        <w:ind w:left="966" w:hanging="966"/>
        <w:jc w:val="left"/>
        <w:rPr>
          <w:rFonts w:cs="Times New Roman" w:asciiTheme="majorEastAsia" w:hAnsiTheme="majorEastAsia"/>
          <w:bCs w:val="0"/>
          <w:lang w:val="zh-CN"/>
        </w:rPr>
      </w:pPr>
      <w:bookmarkStart w:id="36" w:name="_Toc272247702"/>
      <w:bookmarkStart w:id="37" w:name="_Toc494561950"/>
      <w:bookmarkStart w:id="38" w:name="_Toc278891599"/>
      <w:bookmarkStart w:id="39" w:name="_Toc495861531"/>
      <w:r>
        <w:rPr>
          <w:rFonts w:hint="eastAsia" w:cs="Times New Roman" w:asciiTheme="majorEastAsia" w:hAnsiTheme="majorEastAsia"/>
          <w:bCs w:val="0"/>
          <w:lang w:val="zh-CN"/>
        </w:rPr>
        <w:t>招标文件的解释权</w:t>
      </w:r>
      <w:bookmarkEnd w:id="36"/>
      <w:bookmarkEnd w:id="37"/>
      <w:bookmarkEnd w:id="38"/>
      <w:bookmarkEnd w:id="39"/>
    </w:p>
    <w:p>
      <w:pPr>
        <w:numPr>
          <w:ilvl w:val="0"/>
          <w:numId w:val="7"/>
        </w:numPr>
        <w:spacing w:line="360" w:lineRule="auto"/>
        <w:ind w:left="560" w:hanging="560"/>
      </w:pPr>
      <w:r>
        <w:rPr>
          <w:rFonts w:hint="eastAsia" w:ascii="宋体" w:hAnsi="宋体" w:eastAsia="宋体" w:cs="Times New Roman"/>
          <w:sz w:val="24"/>
          <w:szCs w:val="20"/>
          <w:lang w:val="zh-CN"/>
        </w:rPr>
        <w:t>招标文件的最终解释权为</w:t>
      </w:r>
      <w:r>
        <w:rPr>
          <w:rFonts w:hint="eastAsia" w:ascii="宋体" w:hAnsi="宋体" w:eastAsia="宋体" w:cs="Times New Roman"/>
          <w:color w:val="FF0000"/>
          <w:sz w:val="24"/>
          <w:szCs w:val="20"/>
          <w:lang w:val="zh-CN"/>
        </w:rPr>
        <w:t>采购人、采购代理机构</w:t>
      </w:r>
      <w:r>
        <w:rPr>
          <w:rFonts w:hint="eastAsia" w:ascii="宋体" w:hAnsi="宋体" w:eastAsia="宋体" w:cs="Times New Roman"/>
          <w:sz w:val="24"/>
          <w:szCs w:val="20"/>
          <w:lang w:val="zh-CN"/>
        </w:rPr>
        <w:t>所有。</w:t>
      </w:r>
      <w:r>
        <w:br w:type="page"/>
      </w:r>
    </w:p>
    <w:p>
      <w:pPr>
        <w:pStyle w:val="3"/>
        <w:numPr>
          <w:ilvl w:val="0"/>
          <w:numId w:val="1"/>
        </w:numPr>
        <w:jc w:val="center"/>
        <w:rPr>
          <w:rFonts w:ascii="黑体" w:hAnsi="黑体" w:eastAsia="黑体"/>
        </w:rPr>
      </w:pPr>
      <w:bookmarkStart w:id="40" w:name="_Toc495861532"/>
      <w:r>
        <w:rPr>
          <w:rFonts w:hint="eastAsia" w:ascii="黑体" w:hAnsi="黑体" w:eastAsia="黑体"/>
        </w:rPr>
        <w:t>项目技术、服务及商务要求</w:t>
      </w:r>
      <w:bookmarkEnd w:id="40"/>
    </w:p>
    <w:p>
      <w:pPr>
        <w:adjustRightInd w:val="0"/>
        <w:snapToGrid w:val="0"/>
        <w:spacing w:before="100" w:beforeAutospacing="1"/>
        <w:ind w:right="-315" w:rightChars="-150"/>
        <w:rPr>
          <w:rFonts w:ascii="宋体" w:hAnsi="宋体"/>
          <w:b/>
          <w:sz w:val="32"/>
          <w:szCs w:val="32"/>
        </w:rPr>
      </w:pPr>
      <w:r>
        <w:rPr>
          <w:rFonts w:hint="eastAsia" w:ascii="宋体" w:hAnsi="宋体"/>
          <w:b/>
          <w:sz w:val="32"/>
          <w:szCs w:val="32"/>
        </w:rPr>
        <w:t>一、项目概况</w:t>
      </w:r>
    </w:p>
    <w:p>
      <w:pPr>
        <w:pStyle w:val="22"/>
        <w:rPr>
          <w:rFonts w:hint="default"/>
        </w:rPr>
      </w:pPr>
      <w:r>
        <w:rPr>
          <w:rFonts w:hint="default"/>
        </w:rPr>
        <w:t>阳新县地处鄂东南，长江经济带中游南岸，长江黄金水道过境45公里，县域面积2780平方公里。阳新县域总集水面积6771.4平方公里，境内长江一级支流水系6条，以富水为主，其次是韦源湖、海口湖、菖湖、袁广湖、上巢湖。全县大小河港365条，大小湖泊250处，素有“百湖之县”的美称。依据阳新县环境质量公报，阳新县水环境治理压力巨大。为满足长远发展目标，阳新县系统性推进水环境治理工作迫在眉睫。</w:t>
      </w:r>
    </w:p>
    <w:p>
      <w:pPr>
        <w:pStyle w:val="22"/>
        <w:rPr>
          <w:rFonts w:hint="default"/>
        </w:rPr>
      </w:pPr>
      <w:r>
        <w:rPr>
          <w:rFonts w:hint="default"/>
        </w:rPr>
        <w:t>为推进阳新县长江大保护工作，2020年8月25日，阳新县县长明进华、副县长柯友国等县政府主要领导与长江生态环保集团副总工程师、湖北区域公司总经理袁建伟一行进行工作座谈。阳新县作为三峡集团长江大保护合作城市，将与三峡集团进一步创新合作模式，加强顶层推动，加强工作协同，加快工作节奏，努力让更多合作项目落地见效，共同为保护长江母亲河做出贡献。</w:t>
      </w:r>
    </w:p>
    <w:p>
      <w:pPr>
        <w:pStyle w:val="22"/>
        <w:rPr>
          <w:rFonts w:hint="default"/>
        </w:rPr>
      </w:pPr>
      <w:r>
        <w:rPr>
          <w:rFonts w:hint="default"/>
        </w:rPr>
        <w:t>2020年9月，黄石市人民政府与长江环保集团签订《战略合作框架协议》，明确中国长江三峡集团发挥好资金和管理优势，凸显国家使命和政治担当，助力黄石市湖泊流域治理工作。为贯彻落实《水污染防治行动计划》、《城镇污水处理提质增效三年行动方案（2019-2021年）》、《湖北省疫后重振补短板强功能生态环境补短板工程三年行动实施方案（2020-2023年）》等文件要求，阳新县政府提出希望三峡集团支持阳新县开展水环境综合治理规划编制工作。</w:t>
      </w:r>
    </w:p>
    <w:p>
      <w:pPr>
        <w:pStyle w:val="22"/>
        <w:rPr>
          <w:rFonts w:hint="default" w:ascii="宋体" w:hAnsi="宋体" w:cs="宋体"/>
          <w:bCs/>
          <w:sz w:val="24"/>
          <w:szCs w:val="24"/>
        </w:rPr>
      </w:pPr>
      <w:r>
        <w:rPr>
          <w:rFonts w:hint="default"/>
        </w:rPr>
        <w:t>近期国家层面出台了《中共中央国务院关于加快推进生态文明建设的意见》、《长江经济带生态环境保护规划》、《海绵城市建设》、《长江保护修复攻坚战行动计划》等一系列重大治水政策，这些治水工程均要求进行流（区）域性治理保护要求。阳新县水环境综合治理规划，将遵循“规划引领、综合协调、系统治理”的新时期治水思路，创新理念与技术方法，以生态型、高起点、前瞻性为目标；将全面贯彻落实党中央、国务院关于推动长江经济带发展的总体部署，全面贯彻落实习近平总书记“把修复长江生态环境摆在压倒性位置，共抓大保护，不搞大开发”的重要指示，以“创新、协调、绿色、开放、共享”五大发展理念为引领，以生态优先和绿色发展为导向，从源头、过程、末端及系统治理的高度，对阳新县中心城区水环境系统治理体系进行整体布局、统筹规划。</w:t>
      </w:r>
    </w:p>
    <w:p>
      <w:pPr>
        <w:adjustRightInd w:val="0"/>
        <w:snapToGrid w:val="0"/>
        <w:spacing w:beforeAutospacing="1" w:line="360" w:lineRule="auto"/>
        <w:ind w:right="283" w:rightChars="135"/>
        <w:rPr>
          <w:rFonts w:ascii="宋体" w:hAnsi="宋体" w:eastAsia="宋体" w:cs="宋体"/>
          <w:b/>
          <w:sz w:val="32"/>
          <w:szCs w:val="32"/>
        </w:rPr>
      </w:pPr>
      <w:bookmarkStart w:id="41" w:name="_Toc494561954"/>
      <w:bookmarkStart w:id="42" w:name="_Toc495861535"/>
      <w:r>
        <w:rPr>
          <w:rFonts w:hint="eastAsia" w:ascii="宋体" w:hAnsi="宋体" w:eastAsia="宋体" w:cs="宋体"/>
          <w:b/>
          <w:sz w:val="32"/>
          <w:szCs w:val="32"/>
        </w:rPr>
        <w:t>二、</w:t>
      </w:r>
      <w:r>
        <w:rPr>
          <w:rFonts w:hint="eastAsia" w:ascii="宋体" w:hAnsi="宋体" w:eastAsia="宋体" w:cs="宋体"/>
          <w:b/>
          <w:sz w:val="32"/>
          <w:szCs w:val="32"/>
          <w:lang w:val="zh-CN"/>
        </w:rPr>
        <w:t>国家相关行政主管部门颁布的强制标准、规范</w:t>
      </w:r>
      <w:bookmarkEnd w:id="41"/>
      <w:bookmarkEnd w:id="42"/>
    </w:p>
    <w:p>
      <w:pPr>
        <w:adjustRightInd w:val="0"/>
        <w:snapToGrid w:val="0"/>
        <w:spacing w:beforeAutospacing="1" w:line="360" w:lineRule="auto"/>
        <w:ind w:right="283" w:rightChars="135" w:firstLine="560" w:firstLineChars="200"/>
        <w:rPr>
          <w:rFonts w:ascii="宋体" w:hAnsi="宋体" w:eastAsia="宋体" w:cs="仿宋_GB2312"/>
          <w:sz w:val="28"/>
          <w:szCs w:val="28"/>
        </w:rPr>
      </w:pPr>
      <w:r>
        <w:rPr>
          <w:rFonts w:hint="eastAsia" w:ascii="宋体" w:hAnsi="宋体" w:eastAsia="宋体" w:cs="仿宋_GB2312"/>
          <w:sz w:val="28"/>
          <w:szCs w:val="28"/>
        </w:rPr>
        <w:t>采购内容需执行的国家相关标准、行业标准、地方标准或者其他标准、规范。</w:t>
      </w:r>
    </w:p>
    <w:p>
      <w:pPr>
        <w:pStyle w:val="22"/>
        <w:rPr>
          <w:rFonts w:hint="default"/>
        </w:rPr>
      </w:pPr>
      <w:r>
        <w:rPr>
          <w:rFonts w:hint="default"/>
        </w:rPr>
        <w:t>城市规划基本术语标准GB/T50280—98</w:t>
      </w:r>
    </w:p>
    <w:p>
      <w:pPr>
        <w:pStyle w:val="22"/>
        <w:rPr>
          <w:rFonts w:hint="default"/>
        </w:rPr>
      </w:pPr>
      <w:r>
        <w:rPr>
          <w:rFonts w:hint="default"/>
        </w:rPr>
        <w:t>城市给水工程规划规范GB50282—98</w:t>
      </w:r>
    </w:p>
    <w:p>
      <w:pPr>
        <w:pStyle w:val="22"/>
        <w:rPr>
          <w:rFonts w:hint="default"/>
        </w:rPr>
      </w:pPr>
      <w:r>
        <w:rPr>
          <w:rFonts w:hint="default"/>
        </w:rPr>
        <w:t>城市排水工程规划规范GB50318—2000</w:t>
      </w:r>
    </w:p>
    <w:p>
      <w:pPr>
        <w:pStyle w:val="22"/>
        <w:rPr>
          <w:rFonts w:hint="default"/>
        </w:rPr>
      </w:pPr>
      <w:r>
        <w:rPr>
          <w:rFonts w:hint="default"/>
        </w:rPr>
        <w:t>城市用地竖向规划规范CJJ83—99</w:t>
      </w:r>
    </w:p>
    <w:p>
      <w:pPr>
        <w:pStyle w:val="22"/>
        <w:rPr>
          <w:rFonts w:hint="default"/>
        </w:rPr>
      </w:pPr>
      <w:r>
        <w:rPr>
          <w:rFonts w:hint="default"/>
        </w:rPr>
        <w:t>城市规划制图标准CJJ/T97—2003</w:t>
      </w:r>
    </w:p>
    <w:p>
      <w:pPr>
        <w:pStyle w:val="22"/>
        <w:rPr>
          <w:rFonts w:hint="default"/>
        </w:rPr>
      </w:pPr>
      <w:r>
        <w:rPr>
          <w:rFonts w:hint="default"/>
        </w:rPr>
        <w:t>乡镇集贸市场规划设计标准CJJ/T87—2000</w:t>
      </w:r>
    </w:p>
    <w:p>
      <w:pPr>
        <w:pStyle w:val="22"/>
        <w:rPr>
          <w:rFonts w:hint="default"/>
        </w:rPr>
      </w:pPr>
      <w:r>
        <w:rPr>
          <w:rFonts w:hint="default"/>
        </w:rPr>
        <w:t>风景园林图例图示标准CJJ67—95</w:t>
      </w:r>
    </w:p>
    <w:p>
      <w:pPr>
        <w:pStyle w:val="22"/>
        <w:rPr>
          <w:rFonts w:hint="default"/>
        </w:rPr>
      </w:pPr>
      <w:r>
        <w:rPr>
          <w:rFonts w:hint="default"/>
        </w:rPr>
        <w:t>园林基本术语标准CJJ/T91—2002</w:t>
      </w:r>
    </w:p>
    <w:p>
      <w:pPr>
        <w:pStyle w:val="22"/>
        <w:rPr>
          <w:rFonts w:hint="default"/>
        </w:rPr>
      </w:pPr>
      <w:r>
        <w:rPr>
          <w:rFonts w:hint="default"/>
        </w:rPr>
        <w:t>环境卫生设施与设备图形符号CJ/T13～15—1999</w:t>
      </w:r>
    </w:p>
    <w:p>
      <w:pPr>
        <w:pStyle w:val="22"/>
        <w:rPr>
          <w:rFonts w:hint="default"/>
        </w:rPr>
      </w:pPr>
      <w:r>
        <w:rPr>
          <w:rFonts w:hint="default"/>
        </w:rPr>
        <w:t>城市环境卫生设施规划规范GB50337—2003</w:t>
      </w:r>
    </w:p>
    <w:p>
      <w:pPr>
        <w:pStyle w:val="22"/>
        <w:rPr>
          <w:rFonts w:hint="default"/>
        </w:rPr>
      </w:pPr>
      <w:r>
        <w:rPr>
          <w:rFonts w:hint="default"/>
        </w:rPr>
        <w:t>城镇环境卫生设施设置标准CJJ27—2005</w:t>
      </w:r>
    </w:p>
    <w:p>
      <w:pPr>
        <w:pStyle w:val="22"/>
        <w:rPr>
          <w:rFonts w:hint="default"/>
        </w:rPr>
      </w:pPr>
      <w:r>
        <w:rPr>
          <w:rFonts w:hint="default"/>
        </w:rPr>
        <w:t>市容环境卫生术语标准CIJ/T65—2004</w:t>
      </w:r>
    </w:p>
    <w:p>
      <w:pPr>
        <w:pStyle w:val="22"/>
        <w:rPr>
          <w:rFonts w:hint="default"/>
        </w:rPr>
      </w:pPr>
      <w:r>
        <w:rPr>
          <w:rFonts w:ascii="宋体" w:hAnsi="宋体" w:eastAsia="宋体" w:cs="宋体"/>
          <w:lang w:val="zh-CN"/>
        </w:rPr>
        <w:t>上述各项规定仅是本项目的最基本依据，并未包括实施中所涉及到的所有规定，并且所用规定均应为合同签订之日为止的最新版本。</w:t>
      </w:r>
    </w:p>
    <w:p>
      <w:pPr>
        <w:adjustRightInd w:val="0"/>
        <w:snapToGrid w:val="0"/>
        <w:spacing w:beforeAutospacing="1"/>
        <w:ind w:right="283" w:rightChars="135"/>
        <w:rPr>
          <w:rFonts w:ascii="宋体" w:hAnsi="宋体" w:eastAsia="宋体" w:cs="宋体"/>
          <w:b/>
          <w:sz w:val="32"/>
          <w:szCs w:val="32"/>
        </w:rPr>
      </w:pPr>
      <w:r>
        <w:rPr>
          <w:rFonts w:hint="eastAsia" w:ascii="宋体" w:hAnsi="宋体" w:cs="宋体"/>
          <w:b/>
          <w:sz w:val="32"/>
          <w:szCs w:val="32"/>
        </w:rPr>
        <w:t>三、</w:t>
      </w:r>
      <w:r>
        <w:rPr>
          <w:rFonts w:hint="eastAsia" w:ascii="宋体" w:hAnsi="宋体" w:cs="宋体"/>
          <w:b/>
          <w:sz w:val="32"/>
          <w:szCs w:val="32"/>
          <w:lang w:val="zh-CN"/>
        </w:rPr>
        <w:t>技术、服务要求</w:t>
      </w:r>
    </w:p>
    <w:p>
      <w:pPr>
        <w:ind w:firstLine="560" w:firstLineChars="200"/>
        <w:rPr>
          <w:rFonts w:ascii="宋体" w:hAnsi="宋体" w:eastAsia="宋体" w:cs="仿宋_GB2312"/>
          <w:sz w:val="28"/>
          <w:szCs w:val="28"/>
        </w:rPr>
      </w:pPr>
      <w:r>
        <w:rPr>
          <w:rFonts w:hint="eastAsia" w:ascii="宋体" w:hAnsi="宋体" w:eastAsia="宋体" w:cs="仿宋_GB2312"/>
          <w:sz w:val="28"/>
          <w:szCs w:val="28"/>
        </w:rPr>
        <w:t>说明：投标人在投标文件《技术、服务要求响应、偏离说明表》中应对以下技术、服务要求逐条进行响应描述或偏离说明。不满足以上要求的，其投标按照无效投标处理。</w:t>
      </w:r>
    </w:p>
    <w:p>
      <w:pPr>
        <w:pStyle w:val="22"/>
        <w:ind w:left="0" w:firstLine="560" w:firstLineChars="200"/>
        <w:rPr>
          <w:rFonts w:hint="default"/>
        </w:rPr>
      </w:pPr>
      <w:r>
        <w:t>一、规划项目内容</w:t>
      </w:r>
    </w:p>
    <w:p>
      <w:pPr>
        <w:pStyle w:val="22"/>
        <w:ind w:left="0" w:firstLine="560" w:firstLineChars="200"/>
        <w:rPr>
          <w:rFonts w:hint="default"/>
        </w:rPr>
      </w:pPr>
      <w:r>
        <w:t>本次规划范围包括阳新县境内河湖水系流域范围，规划面积2782.8平方公里。根据阳新县城市总体规划（2017年-2030年），规划范围涵盖规划建成区面积为172平方公里，规划范围内城镇人口80.9万。</w:t>
      </w:r>
    </w:p>
    <w:p>
      <w:pPr>
        <w:pStyle w:val="22"/>
        <w:ind w:left="0" w:firstLine="560" w:firstLineChars="200"/>
        <w:rPr>
          <w:rFonts w:hint="default"/>
        </w:rPr>
      </w:pPr>
      <w:r>
        <w:t>本次规划在承接上位规划的基础上，统筹阳新县相关涉水规划，系统协调水系格局相关要素，按照统筹兼顾、点面结合、重点施治、综合整治的思路，提出针对水安全、水环境、水生态、水管理等涉水要素多规合一的顶层设计。</w:t>
      </w:r>
    </w:p>
    <w:p>
      <w:pPr>
        <w:pStyle w:val="22"/>
        <w:ind w:left="0" w:firstLine="560" w:firstLineChars="200"/>
        <w:rPr>
          <w:rFonts w:hint="default"/>
        </w:rPr>
      </w:pPr>
      <w:r>
        <w:t>本次规划以水环境质量根本改善为核心，提出 “1+N”综合治理体系及配套实施机制，绘制水环境综合治理“一张蓝图”。以数据分析及现状调查为基础，以现状问题分析为目标导向，以水环境改善为核心，通过打造污水、雨水、水系、绿地系统等四张网，结合灰色、蓝色、绿色三种基础设施，统筹规划阳新县的水环境建设，将阳新县建设成为“水更清、岸更绿、产业优”的绿色发展示范区，成为长江经济带中生态优先、绿色发展的湖北样板。主要工作内容包括：本底调查、水系布局及防洪安全规划、水污染控制规划、水生态系统规划、水景观水文化规划、水环境经济规划、智慧管控系统、管理体系规划。</w:t>
      </w:r>
    </w:p>
    <w:p>
      <w:pPr>
        <w:pStyle w:val="22"/>
        <w:ind w:left="0" w:firstLine="560" w:firstLineChars="200"/>
        <w:rPr>
          <w:rFonts w:hint="default"/>
        </w:rPr>
      </w:pPr>
      <w:r>
        <w:t>1.水系本底调查</w:t>
      </w:r>
    </w:p>
    <w:p>
      <w:pPr>
        <w:pStyle w:val="22"/>
        <w:ind w:left="0" w:firstLine="560" w:firstLineChars="200"/>
        <w:rPr>
          <w:rFonts w:hint="default"/>
        </w:rPr>
      </w:pPr>
      <w:r>
        <w:t>以阳新县长江水系富水、湋源湖、海口湖、菖湖、袁广湖、上巢湖等六大水系为重点水系流域，对阳新县的自然资源禀赋、社会经济状况、气候降雨特征、水系连通关系、城镇开发建设等基础特征，和流域水环境、水生态、水安全现状以及排水系统建设情况进行调查研究。立足阳新县内河湖以及城市排水特点及现状，梳理存在的突出问题，紧扣制约水环境改善的关键因素，开展污染溯源分析，分析阳新县流域水环境问题和水体污染成因。</w:t>
      </w:r>
    </w:p>
    <w:p>
      <w:pPr>
        <w:pStyle w:val="22"/>
        <w:ind w:left="0" w:firstLine="560" w:firstLineChars="200"/>
        <w:rPr>
          <w:rFonts w:hint="default"/>
        </w:rPr>
      </w:pPr>
      <w:r>
        <w:t>2.水系布局及防洪安全</w:t>
      </w:r>
    </w:p>
    <w:p>
      <w:pPr>
        <w:pStyle w:val="22"/>
        <w:ind w:left="0" w:firstLine="560" w:firstLineChars="200"/>
        <w:rPr>
          <w:rFonts w:hint="default"/>
        </w:rPr>
      </w:pPr>
      <w:r>
        <w:t>与《阳新县水利补短板工程三年行动方案（2020-2022年）》进行有机结合，在洪涝风险分析基础上，确定阳新县防涝排涝安全格局，提出构建与高质量发展相适应的水安全保障体系，研究活水循环、水系连通、统筹调度等方案。通过分片区、分类型、分措施开展海绵城市、雨水调蓄、排水管网等灰绿结合措施，构建径流污染控制与排水防涝相结合的健康雨水管理系统。推进富河等水系防洪治理工程全面升级，实现兴水利、补短板、保安澜 。</w:t>
      </w:r>
    </w:p>
    <w:p>
      <w:pPr>
        <w:pStyle w:val="22"/>
        <w:ind w:left="0" w:firstLine="560" w:firstLineChars="200"/>
        <w:rPr>
          <w:rFonts w:hint="default"/>
        </w:rPr>
      </w:pPr>
      <w:r>
        <w:t>3.水污染控制规划</w:t>
      </w:r>
    </w:p>
    <w:p>
      <w:pPr>
        <w:pStyle w:val="22"/>
        <w:ind w:left="0" w:firstLine="560" w:firstLineChars="200"/>
        <w:rPr>
          <w:rFonts w:hint="default"/>
        </w:rPr>
      </w:pPr>
      <w:r>
        <w:t>在污染溯源基础上，分析阳新县各流域的水环境承载能力与排污总量控制方案，分别针对三大流域的建设特点和污染类型，提出控源截污、内源治理的系统规划方案，包括城镇和农村的点源、面源污染治理、城镇污水系统提质增效等。同时，结合住房和城乡建设部、生态环境部、国家发展改革委联合发布的《城镇污水处理提质增效三年行动方案（2019-2021年）》，以阳新城区为重点，确保污水系统从“规模增长”向“提质增效”转变。通过规划统筹考虑污水系统的规划、建设、养护、管理，因地制宜设定相关的目标任务，提出针对性强、可操作性的措施。最终形成以流域污水收集处理系统全面提质增效为核心的水污染控制体系。</w:t>
      </w:r>
    </w:p>
    <w:p>
      <w:pPr>
        <w:pStyle w:val="22"/>
        <w:ind w:left="0" w:firstLine="560" w:firstLineChars="200"/>
        <w:rPr>
          <w:rFonts w:hint="default"/>
        </w:rPr>
      </w:pPr>
      <w:r>
        <w:t>4.水生态系统规划</w:t>
      </w:r>
    </w:p>
    <w:p>
      <w:pPr>
        <w:pStyle w:val="22"/>
        <w:ind w:left="0" w:firstLine="560" w:firstLineChars="200"/>
        <w:rPr>
          <w:rFonts w:hint="default"/>
        </w:rPr>
      </w:pPr>
      <w:r>
        <w:t>以阳新河湖生态环境改善为目标，以水系生态安全格局为基础，针对六大流域的不同保护发展特征，突出网湖湿地作为联合国保护湿地名录的生态建设，合理开展生态功能布局，提出相应的生态修复方案，构建与修复完善的水生态系统。打造污水、雨水、水系、绿地系统等四张网，结合灰色、蓝色、绿色三种基础设施，统筹规划阳新县的水生态环境建设。</w:t>
      </w:r>
    </w:p>
    <w:p>
      <w:pPr>
        <w:pStyle w:val="22"/>
        <w:ind w:left="0" w:firstLine="560" w:firstLineChars="200"/>
        <w:rPr>
          <w:rFonts w:hint="default"/>
        </w:rPr>
      </w:pPr>
      <w:r>
        <w:t>5.水景观水文化规划</w:t>
      </w:r>
    </w:p>
    <w:p>
      <w:pPr>
        <w:pStyle w:val="22"/>
        <w:ind w:left="0" w:firstLine="560" w:firstLineChars="200"/>
        <w:rPr>
          <w:rFonts w:hint="default"/>
        </w:rPr>
      </w:pPr>
      <w:r>
        <w:t>深入挖掘包装阳新县六大水系的文化历史及治水经验，依据水系与城市、村镇的共融关系，提出相适应的水景观空间格局和滨水生态景观建设方案等。</w:t>
      </w:r>
    </w:p>
    <w:p>
      <w:pPr>
        <w:pStyle w:val="22"/>
        <w:ind w:left="0" w:firstLine="560" w:firstLineChars="200"/>
        <w:rPr>
          <w:rFonts w:hint="default"/>
        </w:rPr>
      </w:pPr>
      <w:r>
        <w:t>6.水环境经济规划</w:t>
      </w:r>
    </w:p>
    <w:p>
      <w:pPr>
        <w:pStyle w:val="22"/>
        <w:ind w:left="0" w:firstLine="560" w:firstLineChars="200"/>
        <w:rPr>
          <w:rFonts w:hint="default"/>
        </w:rPr>
      </w:pPr>
      <w:r>
        <w:t>以生态发展为理念，以水质目标为管控，规划阳新县发展做好水的文章，依托县域内丰富的水资源，以富河和网湖湿地为水环境经济发展重点，将仙岛湖和富河及沿线大小湖泊等统一打造水经济带，将阳新县打造为“江湖经济”发展的样板区、生态文明建设的先导区，落实绿水青山就是金山银山理念。</w:t>
      </w:r>
    </w:p>
    <w:p>
      <w:pPr>
        <w:pStyle w:val="22"/>
        <w:ind w:left="0" w:firstLine="560" w:firstLineChars="200"/>
        <w:rPr>
          <w:rFonts w:hint="default"/>
        </w:rPr>
      </w:pPr>
      <w:r>
        <w:t>7.智慧管控系统构建</w:t>
      </w:r>
    </w:p>
    <w:p>
      <w:pPr>
        <w:pStyle w:val="22"/>
        <w:ind w:left="0" w:firstLine="560" w:firstLineChars="200"/>
        <w:rPr>
          <w:rFonts w:hint="default"/>
        </w:rPr>
      </w:pPr>
      <w:r>
        <w:t>立足于阳新县流域水系的实际情况以及流域综合治理规划设计，建设阳新县智慧水务基础设施与感知体系、网络体系与智能化运行调度体系，实现对工程建设与运行管控的智能化、数字化。</w:t>
      </w:r>
    </w:p>
    <w:p>
      <w:pPr>
        <w:pStyle w:val="22"/>
        <w:ind w:left="0" w:firstLine="560" w:firstLineChars="200"/>
        <w:rPr>
          <w:rFonts w:hint="default"/>
        </w:rPr>
      </w:pPr>
      <w:r>
        <w:t>对全市主要河湖监测断面、排口建设在线监测系统，实现快速反应、监测预警，以推进各类污水处理达标排放，严厉打击偷排、超排、非法捕捞等环境违法行为。利用BIM、3DGIS 、“云、大、移、智、物”技术，结合专业水文水动力水质模型，开展阳新县水环境基础地理框架建设、黄石市中心城区水务立体监测感知体系建设、实现水污染防治、工程建设管理、水环境水生态保护、水务设施管理等涉水事务监测预警、日常协同管理、智能化控制、应急决策指挥、大数据智能分析、考核与评估，构建“广泛互联、决策科学”的水务智慧管控服务体系。</w:t>
      </w:r>
    </w:p>
    <w:p>
      <w:pPr>
        <w:pStyle w:val="22"/>
        <w:ind w:left="0" w:firstLine="560" w:firstLineChars="200"/>
        <w:rPr>
          <w:rFonts w:hint="default"/>
        </w:rPr>
      </w:pPr>
      <w:r>
        <w:t>8.管理体系规划</w:t>
      </w:r>
    </w:p>
    <w:p>
      <w:pPr>
        <w:pStyle w:val="22"/>
        <w:ind w:left="0" w:firstLine="560" w:firstLineChars="200"/>
        <w:rPr>
          <w:rFonts w:hint="default"/>
        </w:rPr>
      </w:pPr>
      <w:r>
        <w:t>立足城市水环境综合管理现状，制定城市水环境综合管理长效机制，包括责任体系和监管体制、智慧管理、考核制度等，达到阳新县水系治理的长治久清。</w:t>
      </w:r>
    </w:p>
    <w:p>
      <w:pPr>
        <w:pStyle w:val="22"/>
        <w:rPr>
          <w:rFonts w:hint="default"/>
        </w:rPr>
      </w:pPr>
      <w:r>
        <w:t>二、规划成果</w:t>
      </w:r>
    </w:p>
    <w:p>
      <w:pPr>
        <w:pStyle w:val="22"/>
        <w:rPr>
          <w:rFonts w:hint="default"/>
        </w:rPr>
      </w:pPr>
      <w:r>
        <w:t>1.</w:t>
      </w:r>
      <w:r>
        <w:rPr>
          <w:lang w:val="en-GB"/>
        </w:rPr>
        <w:t>完成规划所需现状调查、监测与实验，完成包括但不限于《阳新县城市水环境本底及现状调查评价报告》的编制。</w:t>
      </w:r>
    </w:p>
    <w:p>
      <w:pPr>
        <w:pStyle w:val="22"/>
        <w:rPr>
          <w:rFonts w:hint="default"/>
        </w:rPr>
      </w:pPr>
      <w:r>
        <w:t>2.</w:t>
      </w:r>
      <w:r>
        <w:rPr>
          <w:lang w:val="en-GB"/>
        </w:rPr>
        <w:t>分阶段完成包括但不限于污水系统提质增效、水生态水景观综合提升、数值模拟与目标可达性分析、综合管理与智慧管控等相关专项专题的编制，形成专题初稿的编制。</w:t>
      </w:r>
    </w:p>
    <w:p>
      <w:pPr>
        <w:pStyle w:val="22"/>
        <w:rPr>
          <w:rFonts w:hint="default"/>
        </w:rPr>
      </w:pPr>
      <w:r>
        <w:t>3.</w:t>
      </w:r>
      <w:r>
        <w:rPr>
          <w:lang w:val="en-GB"/>
        </w:rPr>
        <w:t>完成《阳新县中心城区水环境综合治理规划文本》及图册送审稿的编制，提交主管单位进行审查。</w:t>
      </w:r>
    </w:p>
    <w:p>
      <w:pPr>
        <w:pStyle w:val="22"/>
        <w:rPr>
          <w:rFonts w:hint="default"/>
        </w:rPr>
      </w:pPr>
      <w:r>
        <w:t>4.完成</w:t>
      </w:r>
      <w:r>
        <w:rPr>
          <w:lang w:val="en-GB"/>
        </w:rPr>
        <w:t>规划报告的修改与完善工作，</w:t>
      </w:r>
      <w:r>
        <w:t>规划报告批复。</w:t>
      </w:r>
    </w:p>
    <w:p>
      <w:pPr>
        <w:adjustRightInd w:val="0"/>
        <w:snapToGrid w:val="0"/>
        <w:spacing w:beforeAutospacing="1"/>
        <w:ind w:right="283" w:rightChars="135"/>
        <w:rPr>
          <w:rFonts w:ascii="宋体" w:hAnsi="宋体" w:eastAsia="宋体" w:cs="宋体"/>
          <w:b/>
          <w:sz w:val="32"/>
          <w:szCs w:val="32"/>
        </w:rPr>
      </w:pPr>
      <w:r>
        <w:rPr>
          <w:rFonts w:hint="eastAsia" w:ascii="宋体" w:hAnsi="宋体" w:cs="宋体"/>
          <w:b/>
          <w:sz w:val="32"/>
          <w:szCs w:val="32"/>
        </w:rPr>
        <w:t>四、</w:t>
      </w:r>
      <w:r>
        <w:rPr>
          <w:rFonts w:hint="eastAsia" w:ascii="宋体" w:hAnsi="宋体" w:cs="宋体"/>
          <w:b/>
          <w:sz w:val="32"/>
          <w:szCs w:val="32"/>
          <w:lang w:val="zh-CN"/>
        </w:rPr>
        <w:t>商务要求</w:t>
      </w:r>
    </w:p>
    <w:p>
      <w:pPr>
        <w:ind w:firstLine="560" w:firstLineChars="200"/>
        <w:rPr>
          <w:rFonts w:ascii="宋体" w:hAnsi="宋体" w:eastAsia="宋体" w:cs="宋体"/>
          <w:b/>
          <w:color w:val="000000"/>
          <w:sz w:val="28"/>
          <w:szCs w:val="28"/>
        </w:rPr>
      </w:pPr>
      <w:r>
        <w:rPr>
          <w:rFonts w:hint="eastAsia" w:ascii="宋体" w:hAnsi="宋体" w:eastAsia="宋体" w:cs="宋体"/>
          <w:color w:val="000000"/>
          <w:sz w:val="28"/>
          <w:szCs w:val="28"/>
        </w:rPr>
        <w:t>说明：</w:t>
      </w:r>
      <w:r>
        <w:rPr>
          <w:rFonts w:hint="eastAsia" w:ascii="宋体" w:hAnsi="宋体" w:eastAsia="宋体" w:cs="仿宋_GB2312"/>
          <w:sz w:val="28"/>
          <w:szCs w:val="28"/>
        </w:rPr>
        <w:t>投标人在投标文件《商务要求响应、偏离说明表》中应对以下逐条商务要求进行响应描述或偏离说明。</w:t>
      </w:r>
      <w:r>
        <w:rPr>
          <w:rFonts w:hint="eastAsia" w:ascii="宋体" w:hAnsi="宋体" w:eastAsia="宋体" w:cs="宋体"/>
          <w:color w:val="000000"/>
          <w:sz w:val="28"/>
          <w:szCs w:val="28"/>
        </w:rPr>
        <w:t>不满足以上要求的，其投标按照</w:t>
      </w:r>
      <w:r>
        <w:rPr>
          <w:rFonts w:hint="eastAsia" w:ascii="宋体" w:hAnsi="宋体" w:eastAsia="宋体" w:cs="宋体"/>
          <w:b/>
          <w:color w:val="000000"/>
          <w:sz w:val="28"/>
          <w:szCs w:val="28"/>
        </w:rPr>
        <w:t>无效投标处理。</w:t>
      </w:r>
    </w:p>
    <w:p>
      <w:pPr>
        <w:numPr>
          <w:ilvl w:val="0"/>
          <w:numId w:val="38"/>
        </w:numPr>
        <w:rPr>
          <w:rFonts w:ascii="宋体" w:hAnsi="宋体" w:eastAsia="宋体" w:cs="宋体"/>
          <w:bCs/>
          <w:color w:val="000000"/>
          <w:sz w:val="28"/>
          <w:szCs w:val="28"/>
        </w:rPr>
      </w:pPr>
      <w:r>
        <w:rPr>
          <w:rFonts w:hint="eastAsia" w:ascii="宋体" w:hAnsi="宋体" w:eastAsia="宋体" w:cs="宋体"/>
          <w:bCs/>
          <w:color w:val="000000"/>
          <w:sz w:val="28"/>
          <w:szCs w:val="28"/>
        </w:rPr>
        <w:t>服务期：1年；</w:t>
      </w:r>
    </w:p>
    <w:p>
      <w:r>
        <w:rPr>
          <w:rFonts w:hint="eastAsia" w:ascii="宋体" w:hAnsi="宋体" w:cs="宋体"/>
          <w:bCs/>
          <w:color w:val="000000"/>
          <w:sz w:val="28"/>
          <w:szCs w:val="28"/>
        </w:rPr>
        <w:t>2、</w:t>
      </w:r>
      <w:r>
        <w:rPr>
          <w:rFonts w:hint="eastAsia" w:ascii="宋体" w:hAnsi="宋体" w:eastAsia="宋体" w:cs="宋体"/>
          <w:bCs/>
          <w:color w:val="000000"/>
          <w:sz w:val="28"/>
          <w:szCs w:val="28"/>
        </w:rPr>
        <w:t>付款方式：完成</w:t>
      </w:r>
      <w:r>
        <w:rPr>
          <w:rFonts w:hint="eastAsia" w:ascii="宋体" w:hAnsi="宋体" w:eastAsia="宋体" w:cs="宋体"/>
          <w:bCs/>
          <w:color w:val="000000"/>
          <w:sz w:val="28"/>
          <w:szCs w:val="28"/>
          <w:lang w:val="en-GB"/>
        </w:rPr>
        <w:t>规划报告的修改与完善工作，</w:t>
      </w:r>
      <w:r>
        <w:rPr>
          <w:rFonts w:hint="eastAsia" w:ascii="宋体" w:hAnsi="宋体" w:eastAsia="宋体" w:cs="宋体"/>
          <w:bCs/>
          <w:color w:val="000000"/>
          <w:sz w:val="28"/>
          <w:szCs w:val="28"/>
        </w:rPr>
        <w:t>规划报告批复后，合同款全部付清。</w:t>
      </w:r>
      <w:r>
        <w:br w:type="page"/>
      </w:r>
    </w:p>
    <w:p/>
    <w:p>
      <w:pPr>
        <w:pStyle w:val="3"/>
        <w:numPr>
          <w:ilvl w:val="0"/>
          <w:numId w:val="1"/>
        </w:numPr>
        <w:jc w:val="center"/>
        <w:rPr>
          <w:rFonts w:ascii="黑体" w:hAnsi="黑体" w:eastAsia="黑体"/>
        </w:rPr>
      </w:pPr>
      <w:bookmarkStart w:id="43" w:name="_Toc495861538"/>
      <w:r>
        <w:rPr>
          <w:rFonts w:hint="eastAsia" w:ascii="黑体" w:hAnsi="黑体" w:eastAsia="黑体"/>
        </w:rPr>
        <w:t>资格审查方法及标准</w:t>
      </w:r>
      <w:bookmarkEnd w:id="43"/>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根据《政府采购法》、《政府采购法实施条例》、《政府采购货物和服务招标投标管理办法》等相关法律法规确定以下资格审查方法及标准。</w:t>
      </w:r>
    </w:p>
    <w:p>
      <w:pPr>
        <w:pStyle w:val="4"/>
        <w:numPr>
          <w:ilvl w:val="0"/>
          <w:numId w:val="39"/>
        </w:numPr>
        <w:spacing w:before="0" w:after="0" w:line="360" w:lineRule="auto"/>
        <w:ind w:left="616" w:hanging="616"/>
        <w:jc w:val="left"/>
        <w:rPr>
          <w:rFonts w:cs="Times New Roman" w:asciiTheme="majorEastAsia" w:hAnsiTheme="majorEastAsia"/>
          <w:bCs w:val="0"/>
          <w:sz w:val="30"/>
          <w:szCs w:val="30"/>
          <w:lang w:val="zh-CN"/>
        </w:rPr>
      </w:pPr>
      <w:bookmarkStart w:id="44" w:name="_Toc494561958"/>
      <w:bookmarkStart w:id="45" w:name="_Toc495861539"/>
      <w:r>
        <w:rPr>
          <w:rFonts w:hint="eastAsia" w:cs="Times New Roman" w:asciiTheme="majorEastAsia" w:hAnsiTheme="majorEastAsia"/>
          <w:bCs w:val="0"/>
          <w:sz w:val="30"/>
          <w:szCs w:val="30"/>
          <w:lang w:val="zh-CN"/>
        </w:rPr>
        <w:t>资格审查方法</w:t>
      </w:r>
      <w:bookmarkEnd w:id="44"/>
      <w:bookmarkEnd w:id="45"/>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公开招标采购项目开标结束后，采购人、采购代理机构成立资格审查小组，依据法律、法规及招标文件的规定，对投标人的资格进行审查，以确定投标人资格是否合格。</w:t>
      </w:r>
    </w:p>
    <w:p>
      <w:pPr>
        <w:pStyle w:val="4"/>
        <w:numPr>
          <w:ilvl w:val="0"/>
          <w:numId w:val="39"/>
        </w:numPr>
        <w:spacing w:before="0" w:after="0" w:line="360" w:lineRule="auto"/>
        <w:ind w:left="616" w:hanging="616"/>
        <w:jc w:val="left"/>
        <w:rPr>
          <w:rFonts w:cs="Times New Roman" w:asciiTheme="majorEastAsia" w:hAnsiTheme="majorEastAsia"/>
          <w:bCs w:val="0"/>
          <w:sz w:val="30"/>
          <w:szCs w:val="30"/>
          <w:lang w:val="zh-CN"/>
        </w:rPr>
      </w:pPr>
      <w:bookmarkStart w:id="46" w:name="_Toc495861540"/>
      <w:bookmarkStart w:id="47" w:name="_Toc494561959"/>
      <w:r>
        <w:rPr>
          <w:rFonts w:hint="eastAsia" w:cs="Times New Roman" w:asciiTheme="majorEastAsia" w:hAnsiTheme="majorEastAsia"/>
          <w:bCs w:val="0"/>
          <w:sz w:val="30"/>
          <w:szCs w:val="30"/>
          <w:lang w:val="zh-CN"/>
        </w:rPr>
        <w:t>资格审查标准</w:t>
      </w:r>
      <w:bookmarkEnd w:id="46"/>
      <w:bookmarkEnd w:id="47"/>
    </w:p>
    <w:p>
      <w:pPr>
        <w:numPr>
          <w:ilvl w:val="0"/>
          <w:numId w:val="40"/>
        </w:numPr>
        <w:tabs>
          <w:tab w:val="left" w:pos="616"/>
        </w:tabs>
        <w:spacing w:line="360" w:lineRule="auto"/>
        <w:ind w:left="14" w:firstLine="238"/>
        <w:rPr>
          <w:rFonts w:ascii="宋体" w:hAnsi="宋体" w:eastAsia="宋体" w:cs="Times New Roman"/>
          <w:b/>
          <w:color w:val="0D0D0D"/>
          <w:sz w:val="24"/>
          <w:szCs w:val="24"/>
          <w:lang w:val="zh-CN"/>
        </w:rPr>
      </w:pPr>
      <w:r>
        <w:rPr>
          <w:rFonts w:hint="eastAsia" w:ascii="宋体" w:hAnsi="宋体" w:eastAsia="宋体" w:cs="Times New Roman"/>
          <w:b/>
          <w:color w:val="0D0D0D"/>
          <w:sz w:val="24"/>
          <w:szCs w:val="24"/>
          <w:lang w:val="zh-CN"/>
        </w:rPr>
        <w:t>资格证明文件审查</w:t>
      </w:r>
    </w:p>
    <w:p>
      <w:pPr>
        <w:tabs>
          <w:tab w:val="left" w:pos="616"/>
        </w:tabs>
        <w:spacing w:line="360" w:lineRule="auto"/>
        <w:ind w:firstLine="420"/>
        <w:rPr>
          <w:rFonts w:ascii="Helvetica" w:hAnsi="Helvetica" w:eastAsia="宋体" w:cs="Helvetica"/>
          <w:b/>
          <w:color w:val="0D0D0D"/>
          <w:kern w:val="0"/>
          <w:sz w:val="24"/>
          <w:szCs w:val="24"/>
          <w:lang w:val="zh-CN"/>
        </w:rPr>
      </w:pPr>
      <w:r>
        <w:rPr>
          <w:rFonts w:hint="eastAsia" w:ascii="Helvetica" w:hAnsi="Helvetica" w:eastAsia="宋体" w:cs="Helvetica"/>
          <w:color w:val="0D0D0D"/>
          <w:kern w:val="0"/>
          <w:sz w:val="24"/>
          <w:szCs w:val="24"/>
          <w:lang w:val="zh-CN"/>
        </w:rPr>
        <w:t>所递交的资格证明文件出现不符合下列情形之一或不足以证明其符合下列情形之一的，应视为资格审查不合格，并按照</w:t>
      </w:r>
      <w:r>
        <w:rPr>
          <w:rFonts w:hint="eastAsia" w:ascii="Helvetica" w:hAnsi="Helvetica" w:eastAsia="宋体" w:cs="Helvetica"/>
          <w:b/>
          <w:color w:val="0D0D0D"/>
          <w:kern w:val="0"/>
          <w:sz w:val="24"/>
          <w:szCs w:val="24"/>
          <w:lang w:val="zh-CN"/>
        </w:rPr>
        <w:t>无效投标处理：</w:t>
      </w:r>
    </w:p>
    <w:p>
      <w:pPr>
        <w:pStyle w:val="33"/>
        <w:numPr>
          <w:ilvl w:val="0"/>
          <w:numId w:val="41"/>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应具备《政府采购法》第二十二条第一款规定的条件，</w:t>
      </w:r>
      <w:r>
        <w:rPr>
          <w:rFonts w:hint="eastAsia" w:hAnsi="宋体"/>
          <w:sz w:val="24"/>
          <w:szCs w:val="24"/>
        </w:rPr>
        <w:t>提供下列材料</w:t>
      </w:r>
      <w:r>
        <w:rPr>
          <w:rFonts w:hint="eastAsia" w:ascii="宋体" w:hAnsi="宋体" w:eastAsia="宋体" w:cs="Times New Roman"/>
          <w:sz w:val="24"/>
          <w:szCs w:val="24"/>
          <w:lang w:val="zh-CN"/>
        </w:rPr>
        <w:t>：</w:t>
      </w:r>
    </w:p>
    <w:p>
      <w:pPr>
        <w:pStyle w:val="33"/>
        <w:numPr>
          <w:ilvl w:val="0"/>
          <w:numId w:val="42"/>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法人或者其他组织的营业执照等证明文件，自然人的身份证明；</w:t>
      </w:r>
    </w:p>
    <w:p>
      <w:pPr>
        <w:pStyle w:val="33"/>
        <w:numPr>
          <w:ilvl w:val="0"/>
          <w:numId w:val="42"/>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财务状况报告，依法缴纳税收和社会保障资金的相关材料；</w:t>
      </w:r>
    </w:p>
    <w:p>
      <w:pPr>
        <w:pStyle w:val="33"/>
        <w:numPr>
          <w:ilvl w:val="0"/>
          <w:numId w:val="42"/>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具备履行合同所必需的设备和专业技术能力的证明材料；</w:t>
      </w:r>
    </w:p>
    <w:p>
      <w:pPr>
        <w:pStyle w:val="33"/>
        <w:numPr>
          <w:ilvl w:val="0"/>
          <w:numId w:val="42"/>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参加政府采购活动前3年内在经营活动中没有重大违法记录的书面声明；</w:t>
      </w:r>
    </w:p>
    <w:p>
      <w:pPr>
        <w:pStyle w:val="33"/>
        <w:numPr>
          <w:ilvl w:val="0"/>
          <w:numId w:val="42"/>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具备法律、行政法规规定的其他条件的证明材料。</w:t>
      </w:r>
    </w:p>
    <w:p>
      <w:pPr>
        <w:pStyle w:val="33"/>
        <w:numPr>
          <w:ilvl w:val="0"/>
          <w:numId w:val="41"/>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未被“信用中国”网站(www.creditchina.gov.cn)列入失信被执行人、重大税收违法案件当事人名单、政府采购严重违法失信行为记录名单的书面申明及该网站查询结果页面截图；</w:t>
      </w:r>
    </w:p>
    <w:p>
      <w:pPr>
        <w:pStyle w:val="33"/>
        <w:numPr>
          <w:ilvl w:val="0"/>
          <w:numId w:val="41"/>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招标文件第一章“投标人资格要求”中有特殊要求的，投标人应提供其符合特殊要求的证明材料或者情况说明；</w:t>
      </w:r>
    </w:p>
    <w:p>
      <w:pPr>
        <w:pStyle w:val="33"/>
        <w:numPr>
          <w:ilvl w:val="0"/>
          <w:numId w:val="41"/>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不符合联合体投标相关规定和要求的；</w:t>
      </w:r>
    </w:p>
    <w:p>
      <w:pPr>
        <w:pStyle w:val="33"/>
        <w:numPr>
          <w:ilvl w:val="0"/>
          <w:numId w:val="41"/>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投标人认为需提供的其它相关资格证明材料；</w:t>
      </w:r>
    </w:p>
    <w:p>
      <w:pPr>
        <w:pStyle w:val="33"/>
        <w:numPr>
          <w:ilvl w:val="0"/>
          <w:numId w:val="41"/>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资格证明文件正本应为清晰彩色影印件且加盖单位公章。</w:t>
      </w:r>
    </w:p>
    <w:p>
      <w:pPr>
        <w:numPr>
          <w:ilvl w:val="0"/>
          <w:numId w:val="40"/>
        </w:numPr>
        <w:tabs>
          <w:tab w:val="left" w:pos="616"/>
        </w:tabs>
        <w:spacing w:line="360" w:lineRule="auto"/>
        <w:ind w:left="14" w:firstLine="238"/>
        <w:rPr>
          <w:rFonts w:ascii="宋体" w:hAnsi="宋体" w:eastAsia="宋体" w:cs="Times New Roman"/>
          <w:b/>
          <w:sz w:val="24"/>
          <w:szCs w:val="24"/>
          <w:lang w:val="zh-CN"/>
        </w:rPr>
      </w:pPr>
      <w:r>
        <w:rPr>
          <w:rFonts w:hint="eastAsia" w:ascii="宋体" w:hAnsi="宋体" w:eastAsia="宋体" w:cs="Times New Roman"/>
          <w:b/>
          <w:sz w:val="24"/>
          <w:szCs w:val="24"/>
          <w:lang w:val="zh-CN"/>
        </w:rPr>
        <w:t>确定资格审查合格投标人</w:t>
      </w:r>
    </w:p>
    <w:p>
      <w:pPr>
        <w:pStyle w:val="33"/>
        <w:numPr>
          <w:ilvl w:val="0"/>
          <w:numId w:val="43"/>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eastAsia="宋体" w:cs="Times New Roman"/>
          <w:b/>
          <w:sz w:val="24"/>
          <w:szCs w:val="24"/>
          <w:lang w:val="zh-CN"/>
        </w:rPr>
        <w:t>形成书面的资格审查报告。</w:t>
      </w:r>
    </w:p>
    <w:p>
      <w:pPr>
        <w:pStyle w:val="33"/>
        <w:numPr>
          <w:ilvl w:val="0"/>
          <w:numId w:val="43"/>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资格审查合格投标人不足3家的，不进行评标。</w:t>
      </w:r>
    </w:p>
    <w:p>
      <w:pPr>
        <w:pStyle w:val="33"/>
        <w:numPr>
          <w:ilvl w:val="0"/>
          <w:numId w:val="43"/>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资格审查未通过的投标人可在结果公告质疑有效期内按公告中的联系方式获知</w:t>
      </w:r>
      <w:r>
        <w:rPr>
          <w:rFonts w:ascii="宋体" w:hAnsi="宋体" w:eastAsia="宋体" w:cs="Times New Roman"/>
          <w:sz w:val="24"/>
          <w:szCs w:val="24"/>
          <w:lang w:val="zh-CN"/>
        </w:rPr>
        <w:t>本</w:t>
      </w:r>
      <w:r>
        <w:rPr>
          <w:rFonts w:hint="eastAsia" w:ascii="宋体" w:hAnsi="宋体" w:eastAsia="宋体" w:cs="Times New Roman"/>
          <w:sz w:val="24"/>
          <w:szCs w:val="24"/>
          <w:lang w:val="zh-CN"/>
        </w:rPr>
        <w:t>单位</w:t>
      </w:r>
      <w:r>
        <w:rPr>
          <w:rFonts w:ascii="宋体" w:hAnsi="宋体" w:eastAsia="宋体" w:cs="Times New Roman"/>
          <w:sz w:val="24"/>
          <w:szCs w:val="24"/>
          <w:lang w:val="zh-CN"/>
        </w:rPr>
        <w:t>的</w:t>
      </w:r>
      <w:r>
        <w:rPr>
          <w:rFonts w:hint="eastAsia" w:ascii="宋体" w:hAnsi="宋体" w:eastAsia="宋体" w:cs="Times New Roman"/>
          <w:sz w:val="24"/>
          <w:szCs w:val="24"/>
          <w:lang w:val="zh-CN"/>
        </w:rPr>
        <w:t>资格审查情况。</w:t>
      </w:r>
    </w:p>
    <w:p>
      <w:pPr>
        <w:pStyle w:val="33"/>
        <w:numPr>
          <w:ilvl w:val="0"/>
          <w:numId w:val="43"/>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采购人已进行资格预审的，不再进行资格审查。未通过资格预审的投标人，采购人、采购代理机构</w:t>
      </w:r>
      <w:r>
        <w:rPr>
          <w:rFonts w:hint="eastAsia" w:ascii="宋体" w:hAnsi="宋体" w:eastAsia="宋体" w:cs="Times New Roman"/>
          <w:b/>
          <w:sz w:val="24"/>
          <w:szCs w:val="24"/>
          <w:lang w:val="zh-CN"/>
        </w:rPr>
        <w:t>拒绝</w:t>
      </w:r>
      <w:r>
        <w:rPr>
          <w:rFonts w:hint="eastAsia" w:ascii="宋体" w:hAnsi="宋体" w:eastAsia="宋体" w:cs="Times New Roman"/>
          <w:sz w:val="24"/>
          <w:szCs w:val="24"/>
          <w:lang w:val="zh-CN"/>
        </w:rPr>
        <w:t>其投标。</w:t>
      </w:r>
    </w:p>
    <w:p>
      <w:r>
        <w:br w:type="page"/>
      </w:r>
    </w:p>
    <w:p>
      <w:pPr>
        <w:pStyle w:val="3"/>
        <w:numPr>
          <w:ilvl w:val="0"/>
          <w:numId w:val="1"/>
        </w:numPr>
        <w:jc w:val="center"/>
        <w:rPr>
          <w:rFonts w:ascii="黑体" w:hAnsi="黑体" w:eastAsia="黑体"/>
        </w:rPr>
      </w:pPr>
      <w:bookmarkStart w:id="48" w:name="_Toc495861541"/>
      <w:r>
        <w:rPr>
          <w:rFonts w:hint="eastAsia" w:ascii="黑体" w:hAnsi="黑体" w:eastAsia="黑体"/>
        </w:rPr>
        <w:t>评标方法、程序及标准</w:t>
      </w:r>
      <w:bookmarkEnd w:id="48"/>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根据《政府采购法》、《政府采购法实施条例》、《政府采购货物和服务招标投标管理办法》等相关法律法规确定以下评标办法、程序及标准。</w:t>
      </w:r>
    </w:p>
    <w:p>
      <w:pPr>
        <w:pStyle w:val="4"/>
        <w:numPr>
          <w:ilvl w:val="0"/>
          <w:numId w:val="44"/>
        </w:numPr>
        <w:spacing w:before="0" w:after="0" w:line="360" w:lineRule="auto"/>
        <w:ind w:left="616" w:hanging="616"/>
        <w:jc w:val="left"/>
        <w:rPr>
          <w:rFonts w:cs="Times New Roman" w:asciiTheme="majorEastAsia" w:hAnsiTheme="majorEastAsia"/>
          <w:bCs w:val="0"/>
          <w:sz w:val="30"/>
          <w:szCs w:val="30"/>
          <w:lang w:val="zh-CN"/>
        </w:rPr>
      </w:pPr>
      <w:bookmarkStart w:id="49" w:name="_Toc278891605"/>
      <w:bookmarkStart w:id="50" w:name="_Toc272247708"/>
      <w:bookmarkStart w:id="51" w:name="_Toc495861542"/>
      <w:bookmarkStart w:id="52" w:name="_Toc494561961"/>
      <w:r>
        <w:rPr>
          <w:rFonts w:hint="eastAsia" w:cs="Times New Roman" w:asciiTheme="majorEastAsia" w:hAnsiTheme="majorEastAsia"/>
          <w:bCs w:val="0"/>
          <w:sz w:val="30"/>
          <w:szCs w:val="30"/>
          <w:lang w:val="zh-CN"/>
        </w:rPr>
        <w:t>评标</w:t>
      </w:r>
      <w:bookmarkEnd w:id="49"/>
      <w:bookmarkEnd w:id="50"/>
      <w:r>
        <w:rPr>
          <w:rFonts w:hint="eastAsia" w:cs="Times New Roman" w:asciiTheme="majorEastAsia" w:hAnsiTheme="majorEastAsia"/>
          <w:bCs w:val="0"/>
          <w:sz w:val="30"/>
          <w:szCs w:val="30"/>
          <w:lang w:val="zh-CN"/>
        </w:rPr>
        <w:t>方法</w:t>
      </w:r>
      <w:bookmarkEnd w:id="51"/>
      <w:bookmarkEnd w:id="52"/>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本项目评标采用综合评分法，</w:t>
      </w:r>
      <w:r>
        <w:rPr>
          <w:rFonts w:ascii="宋体" w:hAnsi="宋体" w:eastAsia="宋体" w:cs="Times New Roman"/>
          <w:bCs/>
          <w:sz w:val="24"/>
          <w:szCs w:val="20"/>
          <w:lang w:val="zh-CN"/>
        </w:rPr>
        <w:t>是指投标文件满足招标文件全部实质性要求，且按照评审因素的量化指标评审得分最高的投标人为中标候选人的评标方法。</w:t>
      </w:r>
    </w:p>
    <w:p>
      <w:pPr>
        <w:pStyle w:val="4"/>
        <w:numPr>
          <w:ilvl w:val="0"/>
          <w:numId w:val="44"/>
        </w:numPr>
        <w:spacing w:before="0" w:after="0" w:line="360" w:lineRule="auto"/>
        <w:ind w:left="616" w:hanging="616"/>
        <w:jc w:val="left"/>
        <w:rPr>
          <w:rFonts w:cs="Times New Roman" w:asciiTheme="majorEastAsia" w:hAnsiTheme="majorEastAsia"/>
          <w:bCs w:val="0"/>
          <w:sz w:val="30"/>
          <w:szCs w:val="30"/>
          <w:lang w:val="zh-CN"/>
        </w:rPr>
      </w:pPr>
      <w:bookmarkStart w:id="53" w:name="_Toc278891606"/>
      <w:bookmarkStart w:id="54" w:name="_Toc272247709"/>
      <w:bookmarkStart w:id="55" w:name="_Toc494561962"/>
      <w:bookmarkStart w:id="56" w:name="_Toc495861543"/>
      <w:r>
        <w:rPr>
          <w:rFonts w:hint="eastAsia" w:cs="Times New Roman" w:asciiTheme="majorEastAsia" w:hAnsiTheme="majorEastAsia"/>
          <w:bCs w:val="0"/>
          <w:sz w:val="30"/>
          <w:szCs w:val="30"/>
          <w:lang w:val="zh-CN"/>
        </w:rPr>
        <w:t>评标程序</w:t>
      </w:r>
      <w:bookmarkEnd w:id="53"/>
      <w:bookmarkEnd w:id="54"/>
      <w:r>
        <w:rPr>
          <w:rFonts w:hint="eastAsia" w:cs="Times New Roman" w:asciiTheme="majorEastAsia" w:hAnsiTheme="majorEastAsia"/>
          <w:bCs w:val="0"/>
          <w:sz w:val="30"/>
          <w:szCs w:val="30"/>
          <w:lang w:val="zh-CN"/>
        </w:rPr>
        <w:t>及标准</w:t>
      </w:r>
      <w:bookmarkEnd w:id="55"/>
      <w:bookmarkEnd w:id="56"/>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评标委员会按以下工作程序进行评标：</w:t>
      </w:r>
      <w:r>
        <w:rPr>
          <w:rFonts w:hint="eastAsia" w:ascii="宋体" w:hAnsi="宋体" w:eastAsia="宋体" w:cs="Times New Roman"/>
          <w:sz w:val="24"/>
          <w:szCs w:val="20"/>
          <w:lang w:val="zh-CN"/>
        </w:rPr>
        <w:t>符合性审查、澄清有关问题、综合比较和评价、确定中标候选人名单。</w:t>
      </w:r>
    </w:p>
    <w:p>
      <w:pPr>
        <w:numPr>
          <w:ilvl w:val="0"/>
          <w:numId w:val="45"/>
        </w:numPr>
        <w:ind w:left="1311" w:leftChars="154" w:hanging="988" w:hangingChars="353"/>
        <w:rPr>
          <w:rFonts w:ascii="宋体" w:hAnsi="宋体" w:eastAsia="宋体" w:cs="Times New Roman"/>
          <w:strike/>
          <w:sz w:val="28"/>
          <w:szCs w:val="28"/>
          <w:lang w:val="zh-CN"/>
        </w:rPr>
      </w:pPr>
      <w:r>
        <w:rPr>
          <w:rFonts w:hint="eastAsia" w:ascii="宋体" w:hAnsi="宋体" w:eastAsia="宋体" w:cs="Times New Roman"/>
          <w:b/>
          <w:sz w:val="28"/>
          <w:szCs w:val="28"/>
          <w:lang w:val="zh-CN"/>
        </w:rPr>
        <w:t>符合性审查</w:t>
      </w:r>
    </w:p>
    <w:p>
      <w:pPr>
        <w:ind w:firstLine="480" w:firstLineChars="200"/>
        <w:rPr>
          <w:rFonts w:ascii="宋体" w:hAnsi="宋体" w:eastAsia="宋体" w:cs="Times New Roman"/>
          <w:strike/>
          <w:sz w:val="28"/>
          <w:szCs w:val="28"/>
          <w:lang w:val="zh-CN"/>
        </w:rPr>
      </w:pPr>
      <w:r>
        <w:rPr>
          <w:rFonts w:ascii="Helvetica" w:hAnsi="Helvetica" w:eastAsia="宋体" w:cs="Helvetica"/>
          <w:kern w:val="0"/>
          <w:sz w:val="24"/>
          <w:szCs w:val="24"/>
          <w:lang w:val="zh-CN"/>
        </w:rPr>
        <w:t>评标委员会应当对符合资格的投标人的投标文件进行符合性审查，以确定其是否满足招标文件的实质性要求。</w:t>
      </w:r>
      <w:r>
        <w:rPr>
          <w:rFonts w:hint="eastAsia" w:ascii="宋体" w:hAnsi="宋体" w:eastAsia="宋体" w:cs="Times New Roman"/>
          <w:bCs/>
          <w:sz w:val="24"/>
          <w:szCs w:val="20"/>
          <w:lang w:val="zh-CN"/>
        </w:rPr>
        <w:t>符合性审查出现下列情形之一的投标按照</w:t>
      </w:r>
      <w:r>
        <w:rPr>
          <w:rFonts w:hint="eastAsia" w:ascii="宋体" w:hAnsi="宋体" w:eastAsia="宋体" w:cs="Times New Roman"/>
          <w:b/>
          <w:bCs/>
          <w:sz w:val="24"/>
          <w:szCs w:val="20"/>
          <w:lang w:val="zh-CN"/>
        </w:rPr>
        <w:t>无效投标处理</w:t>
      </w:r>
      <w:r>
        <w:rPr>
          <w:rFonts w:hint="eastAsia" w:ascii="宋体" w:hAnsi="宋体" w:eastAsia="宋体" w:cs="Times New Roman"/>
          <w:bCs/>
          <w:sz w:val="24"/>
          <w:szCs w:val="20"/>
          <w:lang w:val="zh-CN"/>
        </w:rPr>
        <w:t>：</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投标总报价超过项目（分包）预算金额或最高限价的；</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《投标书》、《法定代表人授权书》、《开标一览表》、《投标报价明细表》未提供或不符合招标文件要求的；</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工期（服务期限）、质保期不符合招标文件要求的；</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投标保证金的交纳不符合招标文件要求的；</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出现两个或两个以上不同报价的；</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出现两个或两个以上投标方案的（招标文件中要求提供备选方案的除外）；</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投标报价存在缺项、漏项的；</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投标有效期不足的；</w:t>
      </w:r>
    </w:p>
    <w:p>
      <w:pPr>
        <w:numPr>
          <w:ilvl w:val="0"/>
          <w:numId w:val="46"/>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无法定代表人签字（签章）或签字（签章）人无法定代表人有效授权的（本项目可以由分公司或分支机构总负责人签字（签章）或其授权人签字（签章））；</w:t>
      </w:r>
    </w:p>
    <w:p>
      <w:pPr>
        <w:numPr>
          <w:ilvl w:val="0"/>
          <w:numId w:val="46"/>
        </w:numPr>
        <w:tabs>
          <w:tab w:val="left" w:pos="75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正本未按要求提供加盖公章及签字（签章）原件的；</w:t>
      </w:r>
    </w:p>
    <w:p>
      <w:pPr>
        <w:numPr>
          <w:ilvl w:val="0"/>
          <w:numId w:val="4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highlight w:val="yellow"/>
          <w:lang w:val="zh-CN"/>
        </w:rPr>
        <w:t>符合招标文件第二章“投标人须知”中第</w:t>
      </w:r>
      <w:r>
        <w:rPr>
          <w:rFonts w:hint="eastAsia" w:ascii="Times New Roman" w:hAnsi="宋体" w:eastAsia="宋体" w:cs="Times New Roman"/>
          <w:sz w:val="24"/>
          <w:szCs w:val="24"/>
          <w:highlight w:val="yellow"/>
        </w:rPr>
        <w:t>38</w:t>
      </w:r>
      <w:r>
        <w:rPr>
          <w:rFonts w:hint="eastAsia" w:ascii="Times New Roman" w:hAnsi="宋体" w:eastAsia="宋体" w:cs="Times New Roman"/>
          <w:sz w:val="24"/>
          <w:szCs w:val="24"/>
          <w:highlight w:val="yellow"/>
          <w:lang w:val="zh-CN"/>
        </w:rPr>
        <w:t>条中规定情形，以分公司形式参与投标的，法定代表人授权书未由分公司或分支机构总负责人签字（签章）并加盖公章的</w:t>
      </w:r>
      <w:r>
        <w:rPr>
          <w:rFonts w:hint="eastAsia" w:ascii="Times New Roman" w:hAnsi="宋体" w:eastAsia="宋体" w:cs="Times New Roman"/>
          <w:sz w:val="24"/>
          <w:szCs w:val="24"/>
          <w:lang w:val="zh-CN"/>
        </w:rPr>
        <w:t>；</w:t>
      </w:r>
    </w:p>
    <w:p>
      <w:pPr>
        <w:numPr>
          <w:ilvl w:val="0"/>
          <w:numId w:val="4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未按要求提供招标文件第二章“</w:t>
      </w:r>
      <w:r>
        <w:rPr>
          <w:rFonts w:hint="eastAsia" w:ascii="Times New Roman" w:hAnsi="宋体" w:eastAsia="宋体" w:cs="Times New Roman"/>
          <w:sz w:val="24"/>
          <w:szCs w:val="24"/>
          <w:highlight w:val="yellow"/>
          <w:lang w:val="zh-CN"/>
        </w:rPr>
        <w:t>十 其他注意事项</w:t>
      </w:r>
      <w:r>
        <w:rPr>
          <w:rFonts w:hint="eastAsia" w:ascii="Times New Roman" w:hAnsi="宋体" w:eastAsia="宋体" w:cs="Times New Roman"/>
          <w:sz w:val="24"/>
          <w:szCs w:val="24"/>
          <w:lang w:val="zh-CN"/>
        </w:rPr>
        <w:t>”中规定的书面声明的；</w:t>
      </w:r>
    </w:p>
    <w:p>
      <w:pPr>
        <w:numPr>
          <w:ilvl w:val="0"/>
          <w:numId w:val="4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4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所投货物是通过中国海关报关验放进入中国境内且产自关境外的（招标文件中注明已办理进口产品核准的除外）；</w:t>
      </w:r>
    </w:p>
    <w:p>
      <w:pPr>
        <w:numPr>
          <w:ilvl w:val="0"/>
          <w:numId w:val="4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未提供所投货物（工程或服务）的具体参数值或功能表述，或原文复制招标文件的技术规格相关部分内容作为其投标文件的一部分的；</w:t>
      </w:r>
    </w:p>
    <w:p>
      <w:pPr>
        <w:numPr>
          <w:ilvl w:val="0"/>
          <w:numId w:val="4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不满足招标文件第三章“项目技术、服务和商务要求”中“★”号条款要求的；</w:t>
      </w:r>
    </w:p>
    <w:p>
      <w:pPr>
        <w:numPr>
          <w:ilvl w:val="0"/>
          <w:numId w:val="4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含有采购人不能接受的附加条件的</w:t>
      </w:r>
      <w:r>
        <w:rPr>
          <w:rFonts w:hint="eastAsia" w:ascii="Times New Roman" w:hAnsi="宋体" w:eastAsia="宋体" w:cs="Times New Roman"/>
          <w:sz w:val="24"/>
          <w:szCs w:val="24"/>
          <w:lang w:val="zh-CN"/>
        </w:rPr>
        <w:t>；</w:t>
      </w:r>
    </w:p>
    <w:p>
      <w:pPr>
        <w:numPr>
          <w:ilvl w:val="0"/>
          <w:numId w:val="4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pPr>
        <w:numPr>
          <w:ilvl w:val="0"/>
          <w:numId w:val="46"/>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法律、法规</w:t>
      </w:r>
      <w:r>
        <w:rPr>
          <w:rFonts w:hint="eastAsia" w:ascii="Times New Roman" w:hAnsi="宋体" w:eastAsia="宋体" w:cs="Times New Roman"/>
          <w:sz w:val="24"/>
          <w:szCs w:val="24"/>
          <w:lang w:val="zh-CN"/>
        </w:rPr>
        <w:t>和招标文件</w:t>
      </w:r>
      <w:r>
        <w:rPr>
          <w:rFonts w:ascii="Times New Roman" w:hAnsi="宋体" w:eastAsia="宋体" w:cs="Times New Roman"/>
          <w:sz w:val="24"/>
          <w:szCs w:val="24"/>
          <w:lang w:val="zh-CN"/>
        </w:rPr>
        <w:t>规定的其他</w:t>
      </w:r>
      <w:r>
        <w:rPr>
          <w:rFonts w:hint="eastAsia" w:ascii="Times New Roman" w:hAnsi="宋体" w:eastAsia="宋体" w:cs="Times New Roman"/>
          <w:sz w:val="24"/>
          <w:szCs w:val="24"/>
          <w:lang w:val="zh-CN"/>
        </w:rPr>
        <w:t>无效投标</w:t>
      </w:r>
      <w:r>
        <w:rPr>
          <w:rFonts w:ascii="Times New Roman" w:hAnsi="宋体" w:eastAsia="宋体" w:cs="Times New Roman"/>
          <w:sz w:val="24"/>
          <w:szCs w:val="24"/>
          <w:lang w:val="zh-CN"/>
        </w:rPr>
        <w:t>情形。</w:t>
      </w:r>
    </w:p>
    <w:p>
      <w:pPr>
        <w:numPr>
          <w:ilvl w:val="0"/>
          <w:numId w:val="45"/>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澄清有关问题</w:t>
      </w:r>
    </w:p>
    <w:p>
      <w:pPr>
        <w:numPr>
          <w:ilvl w:val="0"/>
          <w:numId w:val="47"/>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评标期间，</w:t>
      </w:r>
      <w:r>
        <w:rPr>
          <w:rFonts w:ascii="Helvetica" w:hAnsi="Helvetica" w:eastAsia="宋体" w:cs="Helvetica"/>
          <w:kern w:val="0"/>
          <w:sz w:val="24"/>
          <w:szCs w:val="24"/>
          <w:lang w:val="zh-CN"/>
        </w:rPr>
        <w:t>对于投标文件中含义不明确、同类问题表述不一致或者有明显文字和计算错误的内容，评标委员会应当以书面形式要求投标人作出必要的澄清、说明或者补正。</w:t>
      </w:r>
    </w:p>
    <w:p>
      <w:pPr>
        <w:numPr>
          <w:ilvl w:val="0"/>
          <w:numId w:val="47"/>
        </w:numPr>
        <w:tabs>
          <w:tab w:val="left" w:pos="616"/>
        </w:tabs>
        <w:spacing w:line="360" w:lineRule="auto"/>
        <w:ind w:left="10" w:leftChars="5" w:firstLine="237" w:firstLineChars="99"/>
        <w:rPr>
          <w:rFonts w:ascii="宋体" w:hAnsi="宋体" w:eastAsia="宋体" w:cs="Times New Roman"/>
          <w:bCs/>
          <w:strike/>
          <w:sz w:val="24"/>
          <w:szCs w:val="20"/>
          <w:lang w:val="zh-CN"/>
        </w:rPr>
      </w:pPr>
      <w:r>
        <w:rPr>
          <w:rFonts w:hint="eastAsia" w:ascii="宋体" w:hAnsi="宋体" w:eastAsia="宋体" w:cs="Times New Roman"/>
          <w:bCs/>
          <w:sz w:val="24"/>
          <w:szCs w:val="20"/>
          <w:lang w:val="zh-CN"/>
        </w:rPr>
        <w:t>投标人应按照评标委员会要求的澄清内容在规定时间内做出澄清。</w:t>
      </w:r>
      <w:r>
        <w:rPr>
          <w:rFonts w:ascii="宋体" w:hAnsi="宋体" w:eastAsia="宋体" w:cs="Times New Roman"/>
          <w:sz w:val="24"/>
          <w:szCs w:val="20"/>
          <w:lang w:val="zh-CN"/>
        </w:rPr>
        <w:t>投标文件报价出现前后不一致的</w:t>
      </w:r>
      <w:r>
        <w:rPr>
          <w:rFonts w:hint="eastAsia" w:ascii="宋体" w:hAnsi="宋体" w:eastAsia="宋体" w:cs="Times New Roman"/>
          <w:sz w:val="24"/>
          <w:szCs w:val="20"/>
          <w:lang w:val="zh-CN"/>
        </w:rPr>
        <w:t>，按照本节第3</w:t>
      </w:r>
      <w:r>
        <w:rPr>
          <w:rFonts w:hint="eastAsia" w:ascii="宋体" w:hAnsi="宋体" w:eastAsia="宋体" w:cs="Times New Roman"/>
          <w:bCs/>
          <w:sz w:val="24"/>
          <w:szCs w:val="20"/>
          <w:lang w:val="zh-CN"/>
        </w:rPr>
        <w:t>条规定进行修正，</w:t>
      </w:r>
      <w:r>
        <w:rPr>
          <w:rFonts w:ascii="Helvetica" w:hAnsi="Helvetica" w:eastAsia="宋体" w:cs="Helvetica"/>
          <w:kern w:val="0"/>
          <w:sz w:val="24"/>
          <w:szCs w:val="24"/>
          <w:lang w:val="zh-CN"/>
        </w:rPr>
        <w:t>投标人的澄清、说明或者补正不得超出投标文件的范围或者改变投标文件的实质性内容。</w:t>
      </w:r>
    </w:p>
    <w:p>
      <w:pPr>
        <w:numPr>
          <w:ilvl w:val="0"/>
          <w:numId w:val="47"/>
        </w:numPr>
        <w:tabs>
          <w:tab w:val="left" w:pos="616"/>
        </w:tabs>
        <w:spacing w:line="360" w:lineRule="auto"/>
        <w:ind w:left="10" w:leftChars="5" w:firstLine="237" w:firstLineChars="99"/>
        <w:rPr>
          <w:rFonts w:ascii="宋体" w:hAnsi="宋体" w:eastAsia="宋体" w:cs="Times New Roman"/>
          <w:bCs/>
          <w:sz w:val="24"/>
          <w:szCs w:val="20"/>
          <w:lang w:val="zh-CN"/>
        </w:rPr>
      </w:pPr>
      <w:r>
        <w:rPr>
          <w:rFonts w:ascii="宋体" w:hAnsi="宋体" w:eastAsia="宋体" w:cs="Times New Roman"/>
          <w:bCs/>
          <w:sz w:val="24"/>
          <w:szCs w:val="20"/>
          <w:lang w:val="zh-CN"/>
        </w:rPr>
        <w:t>投标文件报价出现前后不一致的，按照下列规定修正：</w:t>
      </w:r>
    </w:p>
    <w:p>
      <w:pPr>
        <w:numPr>
          <w:ilvl w:val="0"/>
          <w:numId w:val="48"/>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投标文件中开标一览表内容与投标文件中相应内容不一致的，以开标一览表为准</w:t>
      </w:r>
      <w:r>
        <w:rPr>
          <w:rFonts w:hint="eastAsia" w:ascii="宋体" w:hAnsi="宋体" w:eastAsia="宋体" w:cs="Times New Roman"/>
          <w:color w:val="0D0D0D"/>
          <w:sz w:val="24"/>
          <w:szCs w:val="24"/>
          <w:lang w:val="zh-CN"/>
        </w:rPr>
        <w:t>。</w:t>
      </w:r>
    </w:p>
    <w:p>
      <w:pPr>
        <w:numPr>
          <w:ilvl w:val="0"/>
          <w:numId w:val="48"/>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大写金额和小写金额不一致的，以大写金额为准</w:t>
      </w:r>
      <w:r>
        <w:rPr>
          <w:rFonts w:hint="eastAsia" w:ascii="宋体" w:hAnsi="宋体" w:eastAsia="宋体" w:cs="Times New Roman"/>
          <w:color w:val="0D0D0D"/>
          <w:sz w:val="24"/>
          <w:szCs w:val="24"/>
          <w:lang w:val="zh-CN"/>
        </w:rPr>
        <w:t>。</w:t>
      </w:r>
    </w:p>
    <w:p>
      <w:pPr>
        <w:numPr>
          <w:ilvl w:val="0"/>
          <w:numId w:val="48"/>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单价金额小数点或者百分比有明显错位的，以开标一览表的总价为准，并修改单价</w:t>
      </w:r>
      <w:r>
        <w:rPr>
          <w:rFonts w:hint="eastAsia" w:ascii="宋体" w:hAnsi="宋体" w:eastAsia="宋体" w:cs="Times New Roman"/>
          <w:color w:val="0D0D0D"/>
          <w:sz w:val="24"/>
          <w:szCs w:val="24"/>
          <w:lang w:val="zh-CN"/>
        </w:rPr>
        <w:t>。</w:t>
      </w:r>
    </w:p>
    <w:p>
      <w:pPr>
        <w:numPr>
          <w:ilvl w:val="0"/>
          <w:numId w:val="48"/>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总价金额与按单价汇总金额不一致的，以单价金额计算结果为准</w:t>
      </w:r>
      <w:r>
        <w:rPr>
          <w:rFonts w:hint="eastAsia" w:ascii="宋体" w:hAnsi="宋体" w:eastAsia="宋体" w:cs="Times New Roman"/>
          <w:color w:val="0D0D0D"/>
          <w:sz w:val="24"/>
          <w:szCs w:val="24"/>
          <w:lang w:val="zh-CN"/>
        </w:rPr>
        <w:t>。</w:t>
      </w:r>
    </w:p>
    <w:p>
      <w:pPr>
        <w:numPr>
          <w:ilvl w:val="0"/>
          <w:numId w:val="48"/>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同时出现两种以上不一致的，按照前款规定的顺序修正</w:t>
      </w:r>
      <w:r>
        <w:rPr>
          <w:rFonts w:hint="eastAsia" w:ascii="宋体" w:hAnsi="宋体" w:eastAsia="宋体" w:cs="Times New Roman"/>
          <w:color w:val="0D0D0D"/>
          <w:sz w:val="24"/>
          <w:szCs w:val="24"/>
          <w:lang w:val="zh-CN"/>
        </w:rPr>
        <w:t>。</w:t>
      </w:r>
    </w:p>
    <w:p>
      <w:pPr>
        <w:numPr>
          <w:ilvl w:val="0"/>
          <w:numId w:val="48"/>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修正后的报价按照</w:t>
      </w:r>
      <w:r>
        <w:rPr>
          <w:rFonts w:hint="eastAsia" w:ascii="宋体" w:hAnsi="宋体" w:eastAsia="宋体" w:cs="Times New Roman"/>
          <w:color w:val="0D0D0D"/>
          <w:sz w:val="24"/>
          <w:szCs w:val="24"/>
          <w:lang w:val="zh-CN"/>
        </w:rPr>
        <w:t>本节第4条规定</w:t>
      </w:r>
      <w:r>
        <w:rPr>
          <w:rFonts w:ascii="宋体" w:hAnsi="宋体" w:eastAsia="宋体" w:cs="Times New Roman"/>
          <w:color w:val="0D0D0D"/>
          <w:sz w:val="24"/>
          <w:szCs w:val="24"/>
          <w:lang w:val="zh-CN"/>
        </w:rPr>
        <w:t>经投标人确认后产生约束力，投标人不确认的，</w:t>
      </w:r>
      <w:r>
        <w:rPr>
          <w:rFonts w:hint="eastAsia" w:ascii="宋体" w:hAnsi="宋体" w:eastAsia="宋体" w:cs="Times New Roman"/>
          <w:color w:val="0D0D0D"/>
          <w:sz w:val="24"/>
          <w:szCs w:val="24"/>
          <w:lang w:val="zh-CN"/>
        </w:rPr>
        <w:t>按照</w:t>
      </w:r>
      <w:r>
        <w:rPr>
          <w:rFonts w:ascii="宋体" w:hAnsi="宋体" w:eastAsia="宋体" w:cs="Times New Roman"/>
          <w:b/>
          <w:color w:val="0D0D0D"/>
          <w:sz w:val="24"/>
          <w:szCs w:val="24"/>
          <w:lang w:val="zh-CN"/>
        </w:rPr>
        <w:t>无效</w:t>
      </w:r>
      <w:r>
        <w:rPr>
          <w:rFonts w:hint="eastAsia" w:ascii="宋体" w:hAnsi="宋体" w:eastAsia="宋体" w:cs="Times New Roman"/>
          <w:b/>
          <w:color w:val="0D0D0D"/>
          <w:sz w:val="24"/>
          <w:szCs w:val="24"/>
          <w:lang w:val="zh-CN"/>
        </w:rPr>
        <w:t>投标处理</w:t>
      </w:r>
      <w:r>
        <w:rPr>
          <w:rFonts w:ascii="宋体" w:hAnsi="宋体" w:eastAsia="宋体" w:cs="Times New Roman"/>
          <w:color w:val="0D0D0D"/>
          <w:sz w:val="24"/>
          <w:szCs w:val="24"/>
          <w:lang w:val="zh-CN"/>
        </w:rPr>
        <w:t>。</w:t>
      </w:r>
    </w:p>
    <w:p>
      <w:pPr>
        <w:numPr>
          <w:ilvl w:val="0"/>
          <w:numId w:val="47"/>
        </w:numPr>
        <w:tabs>
          <w:tab w:val="left" w:pos="616"/>
        </w:tabs>
        <w:spacing w:line="360" w:lineRule="auto"/>
        <w:ind w:left="10" w:leftChars="5" w:firstLine="237" w:firstLineChars="99"/>
        <w:rPr>
          <w:rFonts w:ascii="宋体" w:hAnsi="宋体" w:eastAsia="宋体" w:cs="Times New Roman"/>
          <w:sz w:val="24"/>
          <w:szCs w:val="20"/>
          <w:lang w:val="zh-CN"/>
        </w:rPr>
      </w:pPr>
      <w:r>
        <w:rPr>
          <w:rFonts w:hint="eastAsia" w:ascii="宋体" w:hAnsi="宋体" w:eastAsia="宋体" w:cs="Times New Roman"/>
          <w:sz w:val="24"/>
          <w:szCs w:val="20"/>
          <w:lang w:val="zh-CN"/>
        </w:rPr>
        <w:t>投标人的</w:t>
      </w:r>
      <w:r>
        <w:rPr>
          <w:rFonts w:ascii="Helvetica" w:hAnsi="Helvetica" w:eastAsia="宋体" w:cs="Helvetica"/>
          <w:kern w:val="0"/>
          <w:sz w:val="24"/>
          <w:szCs w:val="24"/>
          <w:lang w:val="zh-CN"/>
        </w:rPr>
        <w:t>澄清、说明或者补正</w:t>
      </w:r>
      <w:r>
        <w:rPr>
          <w:rFonts w:hint="eastAsia" w:ascii="宋体" w:hAnsi="宋体" w:eastAsia="宋体" w:cs="Times New Roman"/>
          <w:sz w:val="24"/>
          <w:szCs w:val="20"/>
          <w:lang w:val="zh-CN"/>
        </w:rPr>
        <w:t>是其投标文件的有效组成部分。</w:t>
      </w:r>
      <w:r>
        <w:rPr>
          <w:rFonts w:ascii="Helvetica" w:hAnsi="Helvetica" w:eastAsia="宋体" w:cs="Helvetica"/>
          <w:kern w:val="0"/>
          <w:sz w:val="24"/>
          <w:szCs w:val="24"/>
          <w:lang w:val="zh-CN"/>
        </w:rPr>
        <w:t>投标人的澄清、说明或者补正应当采用书面形式，并加盖公章，或者由法定代表人或其授权的代表签字。</w:t>
      </w:r>
    </w:p>
    <w:p>
      <w:pPr>
        <w:numPr>
          <w:ilvl w:val="0"/>
          <w:numId w:val="45"/>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综合比较与评价</w:t>
      </w:r>
    </w:p>
    <w:p>
      <w:pPr>
        <w:spacing w:line="360" w:lineRule="auto"/>
        <w:ind w:firstLine="480" w:firstLineChars="200"/>
        <w:rPr>
          <w:rFonts w:ascii="宋体" w:hAnsi="宋体" w:eastAsia="宋体" w:cs="Times New Roman"/>
          <w:bCs/>
          <w:sz w:val="24"/>
          <w:szCs w:val="20"/>
          <w:lang w:val="zh-CN"/>
        </w:rPr>
      </w:pPr>
      <w:r>
        <w:rPr>
          <w:rFonts w:ascii="宋体" w:hAnsi="宋体" w:eastAsia="宋体" w:cs="Times New Roman"/>
          <w:bCs/>
          <w:sz w:val="24"/>
          <w:szCs w:val="20"/>
          <w:lang w:val="zh-CN"/>
        </w:rPr>
        <w:t>评标委员会应当按照</w:t>
      </w:r>
      <w:r>
        <w:rPr>
          <w:rFonts w:hint="eastAsia" w:ascii="宋体" w:hAnsi="宋体" w:eastAsia="宋体" w:cs="Times New Roman"/>
          <w:bCs/>
          <w:sz w:val="24"/>
          <w:szCs w:val="20"/>
          <w:lang w:val="zh-CN"/>
        </w:rPr>
        <w:t>本章</w:t>
      </w:r>
      <w:r>
        <w:rPr>
          <w:rFonts w:ascii="宋体" w:hAnsi="宋体" w:eastAsia="宋体" w:cs="Times New Roman"/>
          <w:bCs/>
          <w:sz w:val="24"/>
          <w:szCs w:val="20"/>
          <w:lang w:val="zh-CN"/>
        </w:rPr>
        <w:t>中规定的</w:t>
      </w:r>
      <w:r>
        <w:rPr>
          <w:rFonts w:hint="eastAsia" w:ascii="宋体" w:hAnsi="宋体" w:eastAsia="宋体" w:cs="Times New Roman"/>
          <w:bCs/>
          <w:sz w:val="24"/>
          <w:szCs w:val="20"/>
          <w:lang w:val="zh-CN"/>
        </w:rPr>
        <w:t>评标方法和标准</w:t>
      </w:r>
      <w:r>
        <w:rPr>
          <w:rFonts w:ascii="宋体" w:hAnsi="宋体" w:eastAsia="宋体" w:cs="Times New Roman"/>
          <w:bCs/>
          <w:sz w:val="24"/>
          <w:szCs w:val="20"/>
          <w:lang w:val="zh-CN"/>
        </w:rPr>
        <w:t>，对符合性审查合格的投标文件进行商务和技术</w:t>
      </w:r>
      <w:r>
        <w:rPr>
          <w:rFonts w:hint="eastAsia" w:ascii="宋体" w:hAnsi="宋体" w:eastAsia="宋体" w:cs="Times New Roman"/>
          <w:bCs/>
          <w:sz w:val="24"/>
          <w:szCs w:val="20"/>
          <w:lang w:val="zh-CN"/>
        </w:rPr>
        <w:t>、服务</w:t>
      </w:r>
      <w:r>
        <w:rPr>
          <w:rFonts w:ascii="宋体" w:hAnsi="宋体" w:eastAsia="宋体" w:cs="Times New Roman"/>
          <w:bCs/>
          <w:sz w:val="24"/>
          <w:szCs w:val="20"/>
          <w:lang w:val="zh-CN"/>
        </w:rPr>
        <w:t>评估，综合比较与评价。</w:t>
      </w:r>
    </w:p>
    <w:p>
      <w:pPr>
        <w:numPr>
          <w:ilvl w:val="0"/>
          <w:numId w:val="49"/>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商务评议</w:t>
      </w:r>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评标委员会对符合性审查合格的投标文件进行评议，并依据本章“评审因素及评分标准”中的商务评议进行综合比较和评分。</w:t>
      </w:r>
    </w:p>
    <w:p>
      <w:pPr>
        <w:numPr>
          <w:ilvl w:val="0"/>
          <w:numId w:val="49"/>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技术、服务评议</w:t>
      </w:r>
    </w:p>
    <w:p>
      <w:pPr>
        <w:spacing w:line="360" w:lineRule="auto"/>
        <w:ind w:firstLine="480" w:firstLineChars="200"/>
        <w:rPr>
          <w:rFonts w:ascii="宋体" w:hAnsi="宋体" w:eastAsia="宋体" w:cs="Times New Roman"/>
          <w:kern w:val="0"/>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评标委员会对符合性审查合格的投标文件进行评议，并依据本章“评审因素及评分标准”中的技术、服务评议进行综合比较和评分。</w:t>
      </w:r>
    </w:p>
    <w:p>
      <w:pPr>
        <w:numPr>
          <w:ilvl w:val="0"/>
          <w:numId w:val="49"/>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价格评议</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评标委员会对符合性审查合格的投标文件进行价格评议（</w:t>
      </w:r>
      <w:r>
        <w:rPr>
          <w:rFonts w:hint="eastAsia" w:ascii="宋体" w:hAnsi="宋体" w:eastAsia="宋体" w:cs="Times New Roman"/>
          <w:bCs/>
          <w:sz w:val="24"/>
          <w:szCs w:val="21"/>
          <w:lang w:val="zh-CN"/>
        </w:rPr>
        <w:t>执行国家统一定价标准和采用固定价格采购的项目，其价格不列为评审因素</w:t>
      </w:r>
      <w:r>
        <w:rPr>
          <w:rFonts w:hint="eastAsia" w:ascii="宋体" w:hAnsi="宋体" w:eastAsia="宋体" w:cs="Times New Roman"/>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50"/>
        </w:numPr>
        <w:adjustRightInd w:val="0"/>
        <w:spacing w:line="360" w:lineRule="auto"/>
        <w:ind w:left="742" w:hanging="493"/>
        <w:rPr>
          <w:rFonts w:ascii="宋体" w:hAnsi="宋体" w:eastAsia="宋体" w:cs="Times New Roman"/>
          <w:bCs/>
          <w:sz w:val="24"/>
          <w:szCs w:val="21"/>
          <w:lang w:val="zh-CN"/>
        </w:rPr>
      </w:pPr>
      <w:r>
        <w:rPr>
          <w:rFonts w:hint="eastAsia" w:ascii="宋体" w:hAnsi="宋体" w:eastAsia="宋体" w:cs="Times New Roman"/>
          <w:bCs/>
          <w:color w:val="0D0D0D"/>
          <w:sz w:val="24"/>
          <w:szCs w:val="20"/>
          <w:lang w:val="zh-CN"/>
        </w:rPr>
        <w:t>报价合理性说明：评标</w:t>
      </w:r>
      <w:r>
        <w:rPr>
          <w:rFonts w:ascii="宋体" w:hAnsi="宋体" w:eastAsia="宋体" w:cs="Helvetica"/>
          <w:kern w:val="0"/>
          <w:sz w:val="24"/>
          <w:szCs w:val="24"/>
          <w:lang w:val="zh-CN"/>
        </w:rPr>
        <w:t>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eastAsia="宋体" w:cs="Helvetica"/>
          <w:kern w:val="0"/>
          <w:sz w:val="24"/>
          <w:szCs w:val="24"/>
          <w:lang w:val="zh-CN"/>
        </w:rPr>
        <w:t>应当将其作为</w:t>
      </w:r>
      <w:r>
        <w:rPr>
          <w:rFonts w:ascii="宋体" w:hAnsi="宋体" w:eastAsia="宋体" w:cs="Helvetica"/>
          <w:b/>
          <w:kern w:val="0"/>
          <w:sz w:val="24"/>
          <w:szCs w:val="24"/>
          <w:lang w:val="zh-CN"/>
        </w:rPr>
        <w:t>无效投标处理</w:t>
      </w:r>
      <w:r>
        <w:rPr>
          <w:rFonts w:ascii="宋体" w:hAnsi="宋体" w:eastAsia="宋体" w:cs="Helvetica"/>
          <w:kern w:val="0"/>
          <w:sz w:val="24"/>
          <w:szCs w:val="24"/>
          <w:lang w:val="zh-CN"/>
        </w:rPr>
        <w:t>。</w:t>
      </w:r>
    </w:p>
    <w:p>
      <w:pPr>
        <w:numPr>
          <w:ilvl w:val="0"/>
          <w:numId w:val="50"/>
        </w:numPr>
        <w:adjustRightInd w:val="0"/>
        <w:spacing w:line="360" w:lineRule="auto"/>
        <w:ind w:left="742" w:hanging="493"/>
        <w:rPr>
          <w:rFonts w:ascii="宋体" w:hAnsi="宋体" w:eastAsia="宋体" w:cs="Times New Roman"/>
          <w:b/>
          <w:sz w:val="24"/>
          <w:szCs w:val="24"/>
          <w:lang w:val="zh-CN"/>
        </w:rPr>
      </w:pPr>
      <w:r>
        <w:rPr>
          <w:rFonts w:hint="eastAsia" w:ascii="宋体" w:hAnsi="宋体" w:eastAsia="宋体" w:cs="Times New Roman"/>
          <w:b/>
          <w:sz w:val="24"/>
          <w:szCs w:val="24"/>
          <w:lang w:val="zh-CN"/>
        </w:rPr>
        <w:t>小型和微型企业、监狱企业、残疾人福利性单位价格扣除：</w:t>
      </w:r>
    </w:p>
    <w:p>
      <w:pPr>
        <w:numPr>
          <w:ilvl w:val="0"/>
          <w:numId w:val="51"/>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非专门面向中小企业的货物类采购项目，按招标文件中采购清单确定的货物，对小型和微型企业制造的货物价格给予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51"/>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非专门面向中小企业的工程、服务类采购项目，投标人是小型和微型企业的价格给予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51"/>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鼓励大中型企业和其他自然人</w:t>
      </w:r>
      <w:r>
        <w:rPr>
          <w:rFonts w:ascii="宋体" w:hAnsi="宋体" w:eastAsia="宋体" w:cs="Times New Roman"/>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hAnsi="宋体" w:eastAsia="宋体" w:cs="Times New Roman"/>
          <w:b/>
          <w:bCs/>
          <w:sz w:val="24"/>
          <w:szCs w:val="20"/>
        </w:rPr>
        <w:t>30%</w:t>
      </w:r>
      <w:r>
        <w:rPr>
          <w:rFonts w:ascii="宋体" w:hAnsi="宋体" w:eastAsia="宋体" w:cs="Times New Roman"/>
          <w:bCs/>
          <w:sz w:val="24"/>
          <w:szCs w:val="20"/>
        </w:rPr>
        <w:t>以上的，可给予联合体</w:t>
      </w:r>
      <w:r>
        <w:rPr>
          <w:rFonts w:ascii="宋体" w:hAnsi="宋体" w:eastAsia="宋体" w:cs="Times New Roman"/>
          <w:b/>
          <w:bCs/>
          <w:sz w:val="24"/>
          <w:szCs w:val="20"/>
          <w:lang w:val="zh-CN"/>
        </w:rPr>
        <w:t>3%</w:t>
      </w:r>
      <w:r>
        <w:rPr>
          <w:rFonts w:ascii="宋体" w:hAnsi="宋体" w:eastAsia="宋体" w:cs="Times New Roman"/>
          <w:bCs/>
          <w:sz w:val="24"/>
          <w:szCs w:val="20"/>
        </w:rPr>
        <w:t>的价格扣除</w:t>
      </w:r>
      <w:r>
        <w:rPr>
          <w:rFonts w:hint="eastAsia" w:ascii="宋体" w:hAnsi="宋体" w:eastAsia="宋体" w:cs="Times New Roman"/>
          <w:bCs/>
          <w:sz w:val="24"/>
          <w:szCs w:val="20"/>
        </w:rPr>
        <w:t>，</w:t>
      </w:r>
      <w:r>
        <w:rPr>
          <w:rFonts w:hint="eastAsia" w:ascii="宋体" w:hAnsi="宋体" w:eastAsia="宋体" w:cs="Times New Roman"/>
          <w:bCs/>
          <w:sz w:val="24"/>
          <w:szCs w:val="20"/>
          <w:lang w:val="zh-CN"/>
        </w:rPr>
        <w:t>不重复享受政策。</w:t>
      </w:r>
    </w:p>
    <w:p>
      <w:pPr>
        <w:numPr>
          <w:ilvl w:val="0"/>
          <w:numId w:val="51"/>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监狱企业</w:t>
      </w:r>
      <w:r>
        <w:rPr>
          <w:rFonts w:hint="eastAsia" w:ascii="宋体" w:hAnsi="宋体" w:eastAsia="宋体" w:cs="Times New Roman"/>
          <w:bCs/>
          <w:sz w:val="24"/>
          <w:szCs w:val="20"/>
          <w:lang w:val="zh-CN"/>
        </w:rPr>
        <w:t>、残疾人福利性单位</w:t>
      </w:r>
      <w:r>
        <w:rPr>
          <w:rFonts w:ascii="宋体" w:hAnsi="宋体" w:eastAsia="宋体" w:cs="Times New Roman"/>
          <w:bCs/>
          <w:sz w:val="24"/>
          <w:szCs w:val="20"/>
          <w:lang w:val="zh-CN"/>
        </w:rPr>
        <w:t>视同小型、微型企业，享受预留份额、评审中价格扣除等政府采购促进中小企业发展的政府采购政策</w:t>
      </w:r>
      <w:r>
        <w:rPr>
          <w:rFonts w:hint="eastAsia" w:ascii="宋体" w:hAnsi="宋体" w:eastAsia="宋体" w:cs="Times New Roman"/>
          <w:bCs/>
          <w:sz w:val="24"/>
          <w:szCs w:val="20"/>
          <w:lang w:val="zh-CN"/>
        </w:rPr>
        <w:t>，残疾人福利性单位属于小型、微型企业的，不重复享受政策。</w:t>
      </w:r>
    </w:p>
    <w:p>
      <w:pPr>
        <w:numPr>
          <w:ilvl w:val="0"/>
          <w:numId w:val="51"/>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小型和微型企业应出具《声明函》（附件二、三）；监狱企业应提供由省级监狱局、戒毒局（含新疆生产建设兵团）出具的监狱企业的证明文件；残疾人福利性单位提供《声明函》（附件四）。</w:t>
      </w:r>
    </w:p>
    <w:p>
      <w:pPr>
        <w:numPr>
          <w:ilvl w:val="0"/>
          <w:numId w:val="49"/>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相同品牌处理原则</w:t>
      </w:r>
    </w:p>
    <w:p>
      <w:pPr>
        <w:numPr>
          <w:ilvl w:val="0"/>
          <w:numId w:val="52"/>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hint="eastAsia" w:ascii="Helvetica" w:hAnsi="Helvetica" w:eastAsia="宋体" w:cs="Helvetica"/>
          <w:color w:val="0D0D0D"/>
          <w:kern w:val="0"/>
          <w:sz w:val="24"/>
          <w:szCs w:val="24"/>
          <w:lang w:val="zh-CN"/>
        </w:rPr>
        <w:t>确定</w:t>
      </w:r>
      <w:r>
        <w:rPr>
          <w:rFonts w:ascii="Helvetica" w:hAnsi="Helvetica" w:eastAsia="宋体" w:cs="Helvetica"/>
          <w:color w:val="0D0D0D"/>
          <w:kern w:val="0"/>
          <w:sz w:val="24"/>
          <w:szCs w:val="24"/>
          <w:lang w:val="zh-CN"/>
        </w:rPr>
        <w:t>或者采购人委托评标委员会</w:t>
      </w:r>
      <w:r>
        <w:rPr>
          <w:rFonts w:hint="eastAsia" w:ascii="Helvetica" w:hAnsi="Helvetica" w:eastAsia="宋体" w:cs="Helvetica"/>
          <w:color w:val="0D0D0D"/>
          <w:kern w:val="0"/>
          <w:sz w:val="24"/>
          <w:szCs w:val="24"/>
          <w:lang w:val="zh-CN"/>
        </w:rPr>
        <w:t>以投票方式</w:t>
      </w:r>
      <w:r>
        <w:rPr>
          <w:rFonts w:ascii="Helvetica" w:hAnsi="Helvetica" w:eastAsia="宋体" w:cs="Helvetica"/>
          <w:color w:val="0D0D0D"/>
          <w:kern w:val="0"/>
          <w:sz w:val="24"/>
          <w:szCs w:val="24"/>
          <w:lang w:val="zh-CN"/>
        </w:rPr>
        <w:t>确定一个投标人获得中标人推荐资格，其他同品牌投标人不作为中标候选人。</w:t>
      </w:r>
    </w:p>
    <w:p>
      <w:pPr>
        <w:numPr>
          <w:ilvl w:val="0"/>
          <w:numId w:val="52"/>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非单一产品采购项目，采购人</w:t>
      </w:r>
      <w:r>
        <w:rPr>
          <w:rFonts w:ascii="Helvetica" w:hAnsi="Helvetica" w:eastAsia="宋体" w:cs="Helvetica"/>
          <w:kern w:val="0"/>
          <w:sz w:val="24"/>
          <w:szCs w:val="24"/>
          <w:lang w:val="zh-CN"/>
        </w:rPr>
        <w:t>应当根据采购项目技术构成、产品价格比重等合理确定</w:t>
      </w:r>
      <w:r>
        <w:rPr>
          <w:rFonts w:hint="eastAsia" w:ascii="Helvetica" w:hAnsi="Helvetica" w:eastAsia="宋体" w:cs="Helvetica"/>
          <w:b/>
          <w:kern w:val="0"/>
          <w:sz w:val="24"/>
          <w:szCs w:val="24"/>
          <w:lang w:val="zh-CN"/>
        </w:rPr>
        <w:t>一个</w:t>
      </w:r>
      <w:r>
        <w:rPr>
          <w:rFonts w:ascii="Helvetica" w:hAnsi="Helvetica" w:eastAsia="宋体" w:cs="Helvetica"/>
          <w:b/>
          <w:kern w:val="0"/>
          <w:sz w:val="24"/>
          <w:szCs w:val="24"/>
          <w:lang w:val="zh-CN"/>
        </w:rPr>
        <w:t>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采购清单中作“相同〈或同一〉品牌”实质性要求的产品，视为一个核心产品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w:t>
      </w:r>
      <w:r>
        <w:rPr>
          <w:rFonts w:ascii="Helvetica" w:hAnsi="Helvetica" w:eastAsia="宋体" w:cs="Helvetica"/>
          <w:kern w:val="0"/>
          <w:sz w:val="24"/>
          <w:szCs w:val="24"/>
          <w:lang w:val="zh-CN"/>
        </w:rPr>
        <w:t>并</w:t>
      </w:r>
      <w:r>
        <w:rPr>
          <w:rFonts w:hint="eastAsia" w:ascii="Helvetica" w:hAnsi="Helvetica" w:eastAsia="宋体" w:cs="Helvetica"/>
          <w:kern w:val="0"/>
          <w:sz w:val="24"/>
          <w:szCs w:val="24"/>
          <w:lang w:val="zh-CN"/>
        </w:rPr>
        <w:t>以</w:t>
      </w:r>
      <w:r>
        <w:rPr>
          <w:rFonts w:hint="eastAsia" w:ascii="Helvetica" w:hAnsi="Helvetica" w:eastAsia="宋体" w:cs="Helvetica"/>
          <w:b/>
          <w:kern w:val="0"/>
          <w:sz w:val="24"/>
          <w:szCs w:val="24"/>
          <w:lang w:val="zh-CN"/>
        </w:rPr>
        <w:t>“</w:t>
      </w:r>
      <w:r>
        <w:rPr>
          <w:rFonts w:hint="eastAsia" w:ascii="MS Gothic" w:hAnsi="MS Gothic" w:eastAsia="宋体" w:cs="MS Gothic"/>
          <w:b/>
          <w:kern w:val="0"/>
          <w:sz w:val="24"/>
          <w:szCs w:val="24"/>
          <w:lang w:val="zh-CN"/>
        </w:rPr>
        <w:t>核心产品</w:t>
      </w:r>
      <w:r>
        <w:rPr>
          <w:rFonts w:hint="eastAsia" w:ascii="Helvetica" w:hAnsi="Helvetica" w:eastAsia="宋体" w:cs="Helvetica"/>
          <w:b/>
          <w:kern w:val="0"/>
          <w:sz w:val="24"/>
          <w:szCs w:val="24"/>
          <w:lang w:val="zh-CN"/>
        </w:rPr>
        <w:t>”</w:t>
      </w:r>
      <w:r>
        <w:rPr>
          <w:rFonts w:ascii="Helvetica" w:hAnsi="Helvetica" w:eastAsia="宋体" w:cs="Helvetica"/>
          <w:kern w:val="0"/>
          <w:sz w:val="24"/>
          <w:szCs w:val="24"/>
          <w:lang w:val="zh-CN"/>
        </w:rPr>
        <w:t>在</w:t>
      </w:r>
      <w:r>
        <w:rPr>
          <w:rFonts w:ascii="Helvetica" w:hAnsi="Helvetica" w:eastAsia="宋体" w:cs="Helvetica"/>
          <w:color w:val="0D0D0D"/>
          <w:kern w:val="0"/>
          <w:sz w:val="24"/>
          <w:szCs w:val="24"/>
          <w:lang w:val="zh-CN"/>
        </w:rPr>
        <w:t>招标文件中</w:t>
      </w:r>
      <w:r>
        <w:rPr>
          <w:rFonts w:hint="eastAsia" w:ascii="Helvetica" w:hAnsi="Helvetica" w:eastAsia="宋体" w:cs="Helvetica"/>
          <w:color w:val="0D0D0D"/>
          <w:kern w:val="0"/>
          <w:sz w:val="24"/>
          <w:szCs w:val="24"/>
          <w:lang w:val="zh-CN"/>
        </w:rPr>
        <w:t>标注</w:t>
      </w:r>
      <w:r>
        <w:rPr>
          <w:rFonts w:ascii="Helvetica" w:hAnsi="Helvetica" w:eastAsia="宋体" w:cs="Helvetica"/>
          <w:color w:val="0D0D0D"/>
          <w:kern w:val="0"/>
          <w:sz w:val="24"/>
          <w:szCs w:val="24"/>
          <w:lang w:val="zh-CN"/>
        </w:rPr>
        <w:t>。</w:t>
      </w:r>
    </w:p>
    <w:p>
      <w:pPr>
        <w:numPr>
          <w:ilvl w:val="0"/>
          <w:numId w:val="49"/>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计分办法</w:t>
      </w:r>
    </w:p>
    <w:p>
      <w:pPr>
        <w:numPr>
          <w:ilvl w:val="0"/>
          <w:numId w:val="53"/>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采购机构对各评委的总分进行复核。各项统计结果均精确到小数点后两位。</w:t>
      </w:r>
    </w:p>
    <w:p>
      <w:pPr>
        <w:numPr>
          <w:ilvl w:val="0"/>
          <w:numId w:val="53"/>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各投标人的最终得分为评委所评定分数的算术平均值。</w:t>
      </w:r>
    </w:p>
    <w:p>
      <w:pPr>
        <w:numPr>
          <w:ilvl w:val="0"/>
          <w:numId w:val="45"/>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推荐中标候选人名单或确定中标人</w:t>
      </w:r>
    </w:p>
    <w:p>
      <w:pPr>
        <w:numPr>
          <w:ilvl w:val="0"/>
          <w:numId w:val="54"/>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评标委员会按照招标文件确定的评标方法、程序及标准，对投标文件进行评审。</w:t>
      </w:r>
      <w:r>
        <w:rPr>
          <w:rFonts w:ascii="Helvetica" w:hAnsi="Helvetica" w:eastAsia="宋体" w:cs="Helvetica"/>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54"/>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评标委员会依据评标结果，按各投标人的评审后得分由高到低的顺序向采购人推荐得分前三名的进入中标候选人名单，并形成书面的评标报告。</w:t>
      </w:r>
    </w:p>
    <w:p>
      <w:pPr>
        <w:numPr>
          <w:ilvl w:val="0"/>
          <w:numId w:val="54"/>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中标候选人并列的，</w:t>
      </w:r>
      <w:r>
        <w:rPr>
          <w:rFonts w:ascii="Helvetica" w:hAnsi="Helvetica" w:eastAsia="宋体" w:cs="Helvetica"/>
          <w:kern w:val="0"/>
          <w:sz w:val="24"/>
          <w:szCs w:val="24"/>
          <w:lang w:val="zh-CN"/>
        </w:rPr>
        <w:t>由采购人</w:t>
      </w:r>
      <w:r>
        <w:rPr>
          <w:rFonts w:hint="eastAsia" w:ascii="Helvetica" w:hAnsi="Helvetica" w:eastAsia="宋体" w:cs="Helvetica"/>
          <w:kern w:val="0"/>
          <w:sz w:val="24"/>
          <w:szCs w:val="24"/>
          <w:lang w:val="zh-CN"/>
        </w:rPr>
        <w:t>确定</w:t>
      </w:r>
      <w:r>
        <w:rPr>
          <w:rFonts w:ascii="Helvetica" w:hAnsi="Helvetica" w:eastAsia="宋体" w:cs="Helvetica"/>
          <w:kern w:val="0"/>
          <w:sz w:val="24"/>
          <w:szCs w:val="24"/>
          <w:lang w:val="zh-CN"/>
        </w:rPr>
        <w:t>或者采购人委托评标委员会</w:t>
      </w:r>
      <w:r>
        <w:rPr>
          <w:rFonts w:hint="eastAsia" w:ascii="Helvetica" w:hAnsi="Helvetica" w:eastAsia="宋体" w:cs="Helvetica"/>
          <w:kern w:val="0"/>
          <w:sz w:val="24"/>
          <w:szCs w:val="24"/>
          <w:lang w:val="zh-CN"/>
        </w:rPr>
        <w:t>以投票方式</w:t>
      </w:r>
      <w:r>
        <w:rPr>
          <w:rFonts w:ascii="Helvetica" w:hAnsi="Helvetica" w:eastAsia="宋体" w:cs="Helvetica"/>
          <w:kern w:val="0"/>
          <w:sz w:val="24"/>
          <w:szCs w:val="24"/>
          <w:lang w:val="zh-CN"/>
        </w:rPr>
        <w:t>确定中标人。</w:t>
      </w:r>
    </w:p>
    <w:p>
      <w:pPr>
        <w:numPr>
          <w:ilvl w:val="0"/>
          <w:numId w:val="54"/>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评标委员会应当在评标报告上签字，对自己的评审意见承担法律责任。对评标报告有异议的，应当在评标报告上签署不同意见，并说明理由，否则视为同意评标报告。</w:t>
      </w:r>
    </w:p>
    <w:p>
      <w:pPr>
        <w:numPr>
          <w:ilvl w:val="0"/>
          <w:numId w:val="54"/>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中标人的数量有其他规定的，应在此处明确方法、中标比例等。</w:t>
      </w:r>
    </w:p>
    <w:p>
      <w:pPr>
        <w:tabs>
          <w:tab w:val="left" w:pos="616"/>
        </w:tabs>
        <w:spacing w:line="360" w:lineRule="auto"/>
        <w:rPr>
          <w:rFonts w:ascii="Helvetica" w:hAnsi="Helvetica" w:eastAsia="宋体" w:cs="Helvetica"/>
          <w:kern w:val="0"/>
          <w:sz w:val="24"/>
          <w:szCs w:val="24"/>
          <w:lang w:val="zh-CN"/>
        </w:rPr>
      </w:pPr>
    </w:p>
    <w:p>
      <w:pPr>
        <w:tabs>
          <w:tab w:val="left" w:pos="616"/>
        </w:tabs>
        <w:spacing w:line="360" w:lineRule="auto"/>
        <w:rPr>
          <w:rFonts w:ascii="Helvetica" w:hAnsi="Helvetica" w:eastAsia="宋体" w:cs="Helvetica"/>
          <w:kern w:val="0"/>
          <w:sz w:val="24"/>
          <w:szCs w:val="24"/>
          <w:lang w:val="zh-CN"/>
        </w:rPr>
      </w:pPr>
    </w:p>
    <w:p>
      <w:pPr>
        <w:pStyle w:val="2"/>
        <w:rPr>
          <w:rFonts w:ascii="Helvetica" w:hAnsi="Helvetica" w:eastAsia="宋体" w:cs="Helvetica"/>
          <w:kern w:val="0"/>
          <w:sz w:val="24"/>
          <w:szCs w:val="24"/>
          <w:lang w:val="zh-CN"/>
        </w:rPr>
      </w:pPr>
    </w:p>
    <w:p>
      <w:pPr>
        <w:pStyle w:val="2"/>
        <w:rPr>
          <w:rFonts w:ascii="Helvetica" w:hAnsi="Helvetica" w:eastAsia="宋体" w:cs="Helvetica"/>
          <w:kern w:val="0"/>
          <w:sz w:val="24"/>
          <w:szCs w:val="24"/>
          <w:lang w:val="zh-CN"/>
        </w:rPr>
      </w:pPr>
    </w:p>
    <w:p>
      <w:pPr>
        <w:pStyle w:val="2"/>
        <w:ind w:left="0" w:leftChars="0" w:firstLine="0" w:firstLineChars="0"/>
        <w:rPr>
          <w:rFonts w:hint="eastAsia" w:cs="Times New Roman" w:asciiTheme="majorEastAsia" w:hAnsiTheme="majorEastAsia"/>
          <w:b/>
          <w:bCs/>
          <w:sz w:val="30"/>
          <w:szCs w:val="30"/>
          <w:lang w:val="en-US" w:eastAsia="zh-CN"/>
        </w:rPr>
      </w:pPr>
    </w:p>
    <w:p>
      <w:pPr>
        <w:pStyle w:val="2"/>
        <w:ind w:left="0" w:leftChars="0" w:firstLine="0" w:firstLineChars="0"/>
        <w:rPr>
          <w:rFonts w:ascii="Helvetica" w:hAnsi="Helvetica" w:eastAsia="宋体" w:cs="Helvetica"/>
          <w:kern w:val="0"/>
          <w:sz w:val="24"/>
          <w:szCs w:val="24"/>
          <w:lang w:val="zh-CN"/>
        </w:rPr>
      </w:pPr>
      <w:r>
        <w:rPr>
          <w:rFonts w:hint="eastAsia" w:cs="Times New Roman" w:asciiTheme="majorEastAsia" w:hAnsiTheme="majorEastAsia"/>
          <w:b/>
          <w:bCs/>
          <w:sz w:val="30"/>
          <w:szCs w:val="30"/>
          <w:lang w:val="en-US" w:eastAsia="zh-CN"/>
        </w:rPr>
        <w:t>三、</w:t>
      </w:r>
      <w:r>
        <w:rPr>
          <w:rFonts w:hint="eastAsia" w:cs="Times New Roman" w:asciiTheme="majorEastAsia" w:hAnsiTheme="majorEastAsia"/>
          <w:b/>
          <w:bCs/>
          <w:sz w:val="30"/>
          <w:szCs w:val="30"/>
          <w:lang w:val="zh-CN"/>
        </w:rPr>
        <w:t>评审因素及评分标准</w:t>
      </w:r>
    </w:p>
    <w:tbl>
      <w:tblPr>
        <w:tblStyle w:val="23"/>
        <w:tblpPr w:leftFromText="180" w:rightFromText="180" w:vertAnchor="text" w:horzAnchor="page" w:tblpX="1095" w:tblpY="936"/>
        <w:tblOverlap w:val="never"/>
        <w:tblW w:w="10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971"/>
        <w:gridCol w:w="6210"/>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9" w:type="dxa"/>
            <w:vAlign w:val="center"/>
          </w:tcPr>
          <w:p>
            <w:pPr>
              <w:jc w:val="center"/>
              <w:rPr>
                <w:rFonts w:ascii="宋体" w:hAnsi="宋体"/>
                <w:b/>
                <w:color w:val="000000" w:themeColor="text1"/>
                <w:sz w:val="21"/>
                <w:szCs w:val="21"/>
                <w14:textFill>
                  <w14:solidFill>
                    <w14:schemeClr w14:val="tx1"/>
                  </w14:solidFill>
                </w14:textFill>
              </w:rPr>
            </w:pPr>
            <w:bookmarkStart w:id="57" w:name="_Toc494561963"/>
            <w:bookmarkStart w:id="58" w:name="_Toc495861544"/>
            <w:r>
              <w:rPr>
                <w:rFonts w:hint="eastAsia" w:ascii="宋体" w:hAnsi="宋体"/>
                <w:b/>
                <w:color w:val="000000" w:themeColor="text1"/>
                <w:sz w:val="21"/>
                <w:szCs w:val="21"/>
                <w14:textFill>
                  <w14:solidFill>
                    <w14:schemeClr w14:val="tx1"/>
                  </w14:solidFill>
                </w14:textFill>
              </w:rPr>
              <w:t>评分因素及权重</w:t>
            </w:r>
          </w:p>
        </w:tc>
        <w:tc>
          <w:tcPr>
            <w:tcW w:w="971" w:type="dxa"/>
            <w:vAlign w:val="center"/>
          </w:tcPr>
          <w:p>
            <w:pPr>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分值</w:t>
            </w:r>
          </w:p>
        </w:tc>
        <w:tc>
          <w:tcPr>
            <w:tcW w:w="6210" w:type="dxa"/>
            <w:vAlign w:val="center"/>
          </w:tcPr>
          <w:p>
            <w:pPr>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评分标准</w:t>
            </w:r>
          </w:p>
        </w:tc>
        <w:tc>
          <w:tcPr>
            <w:tcW w:w="1978" w:type="dxa"/>
            <w:vAlign w:val="center"/>
          </w:tcPr>
          <w:p>
            <w:pPr>
              <w:jc w:val="center"/>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199" w:type="dxa"/>
            <w:vAlign w:val="center"/>
          </w:tcPr>
          <w:p>
            <w:pPr>
              <w:spacing w:line="360" w:lineRule="exact"/>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投标报价（10</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w:t>
            </w:r>
          </w:p>
        </w:tc>
        <w:tc>
          <w:tcPr>
            <w:tcW w:w="971" w:type="dxa"/>
            <w:vAlign w:val="center"/>
          </w:tcPr>
          <w:p>
            <w:pPr>
              <w:spacing w:line="360" w:lineRule="exact"/>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10分</w:t>
            </w:r>
          </w:p>
        </w:tc>
        <w:tc>
          <w:tcPr>
            <w:tcW w:w="6210" w:type="dxa"/>
            <w:vAlign w:val="center"/>
          </w:tcPr>
          <w:p>
            <w:pP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有效的投标报价中的最低价为评标基准价，按照下列公式计算每个投标人的投标价格得分。</w:t>
            </w:r>
          </w:p>
          <w:p>
            <w:pP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投标报价得分＝（评标基准价/投标报价）×价格权重×100。</w:t>
            </w:r>
          </w:p>
          <w:p>
            <w:pP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以上计算均保留小数点后两位，第三位四舍五入。</w:t>
            </w:r>
          </w:p>
        </w:tc>
        <w:tc>
          <w:tcPr>
            <w:tcW w:w="1978" w:type="dxa"/>
            <w:vAlign w:val="center"/>
          </w:tcPr>
          <w:p>
            <w:pPr>
              <w:rPr>
                <w:rFonts w:ascii="宋体" w:hAnsi="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3" w:hRule="atLeast"/>
        </w:trPr>
        <w:tc>
          <w:tcPr>
            <w:tcW w:w="1199" w:type="dxa"/>
            <w:vAlign w:val="center"/>
          </w:tcPr>
          <w:p>
            <w:pPr>
              <w:spacing w:line="360" w:lineRule="exact"/>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eastAsia="en-US"/>
                <w14:textFill>
                  <w14:solidFill>
                    <w14:schemeClr w14:val="tx1"/>
                  </w14:solidFill>
                </w14:textFill>
              </w:rPr>
              <w:t>技术部分</w:t>
            </w:r>
            <w:r>
              <w:rPr>
                <w:rFonts w:hint="eastAsia" w:ascii="宋体" w:hAnsi="宋体"/>
                <w:color w:val="000000" w:themeColor="text1"/>
                <w:sz w:val="21"/>
                <w:szCs w:val="21"/>
                <w14:textFill>
                  <w14:solidFill>
                    <w14:schemeClr w14:val="tx1"/>
                  </w14:solidFill>
                </w14:textFill>
              </w:rPr>
              <w:t>（50</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w:t>
            </w:r>
          </w:p>
        </w:tc>
        <w:tc>
          <w:tcPr>
            <w:tcW w:w="971" w:type="dxa"/>
            <w:vAlign w:val="center"/>
          </w:tcPr>
          <w:p>
            <w:pPr>
              <w:spacing w:line="360" w:lineRule="exact"/>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50分</w:t>
            </w:r>
          </w:p>
        </w:tc>
        <w:tc>
          <w:tcPr>
            <w:tcW w:w="6210" w:type="dxa"/>
          </w:tcPr>
          <w:p>
            <w:pP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1.对长江大保护和本项目的理解</w:t>
            </w:r>
          </w:p>
          <w:p>
            <w:pPr>
              <w:pStyle w:val="2"/>
              <w:rPr>
                <w:rFonts w:hint="eastAsia" w:ascii="宋体" w:hAnsi="宋体" w:eastAsiaTheme="minorEastAsia"/>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（1）对长江大保护工作的理解</w:t>
            </w:r>
            <w:r>
              <w:rPr>
                <w:rFonts w:hint="eastAsia"/>
                <w:color w:val="000000" w:themeColor="text1"/>
                <w:sz w:val="21"/>
                <w:szCs w:val="21"/>
                <w:lang w:val="en-US" w:eastAsia="zh-CN"/>
                <w14:textFill>
                  <w14:solidFill>
                    <w14:schemeClr w14:val="tx1"/>
                  </w14:solidFill>
                </w14:textFill>
              </w:rPr>
              <w:t>是否</w:t>
            </w:r>
            <w:r>
              <w:rPr>
                <w:rFonts w:hint="eastAsia" w:ascii="宋体" w:hAnsi="宋体"/>
                <w:color w:val="000000" w:themeColor="text1"/>
                <w:sz w:val="21"/>
                <w:szCs w:val="21"/>
                <w14:textFill>
                  <w14:solidFill>
                    <w14:schemeClr w14:val="tx1"/>
                  </w14:solidFill>
                </w14:textFill>
              </w:rPr>
              <w:t>准确、深刻；对本项目的作用和意义的理解</w:t>
            </w:r>
            <w:r>
              <w:rPr>
                <w:rFonts w:hint="eastAsia"/>
                <w:color w:val="000000" w:themeColor="text1"/>
                <w:sz w:val="21"/>
                <w:szCs w:val="21"/>
                <w:lang w:val="en-US" w:eastAsia="zh-CN"/>
                <w14:textFill>
                  <w14:solidFill>
                    <w14:schemeClr w14:val="tx1"/>
                  </w14:solidFill>
                </w14:textFill>
              </w:rPr>
              <w:t>是否</w:t>
            </w:r>
            <w:r>
              <w:rPr>
                <w:rFonts w:hint="eastAsia" w:ascii="宋体" w:hAnsi="宋体"/>
                <w:color w:val="000000" w:themeColor="text1"/>
                <w:sz w:val="21"/>
                <w:szCs w:val="21"/>
                <w14:textFill>
                  <w14:solidFill>
                    <w14:schemeClr w14:val="tx1"/>
                  </w14:solidFill>
                </w14:textFill>
              </w:rPr>
              <w:t>准确、深刻；对市级、区级相关上层规划及相关规划的认识和理解</w:t>
            </w:r>
            <w:r>
              <w:rPr>
                <w:rFonts w:hint="eastAsia"/>
                <w:color w:val="000000" w:themeColor="text1"/>
                <w:sz w:val="21"/>
                <w:szCs w:val="21"/>
                <w:lang w:val="en-US" w:eastAsia="zh-CN"/>
                <w14:textFill>
                  <w14:solidFill>
                    <w14:schemeClr w14:val="tx1"/>
                  </w14:solidFill>
                </w14:textFill>
              </w:rPr>
              <w:t>是否</w:t>
            </w:r>
            <w:r>
              <w:rPr>
                <w:rFonts w:hint="eastAsia" w:ascii="宋体" w:hAnsi="宋体"/>
                <w:color w:val="000000" w:themeColor="text1"/>
                <w:sz w:val="21"/>
                <w:szCs w:val="21"/>
                <w14:textFill>
                  <w14:solidFill>
                    <w14:schemeClr w14:val="tx1"/>
                  </w14:solidFill>
                </w14:textFill>
              </w:rPr>
              <w:t>全面、到位</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包括但不限于长江经济带相关规划、阳新县全域相关规划等</w:t>
            </w:r>
            <w:r>
              <w:rPr>
                <w:rFonts w:hint="eastAsia"/>
                <w:color w:val="000000" w:themeColor="text1"/>
                <w:sz w:val="21"/>
                <w:szCs w:val="21"/>
                <w:lang w:eastAsia="zh-CN"/>
                <w14:textFill>
                  <w14:solidFill>
                    <w14:schemeClr w14:val="tx1"/>
                  </w14:solidFill>
                </w14:textFill>
              </w:rPr>
              <w:t>：</w:t>
            </w:r>
          </w:p>
          <w:p>
            <w:pPr>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对长江大保护工作的理解准确、深刻；对本项目的作用和意义的理解准确、深刻；对市级、区级相关上层规划及相关规划的认识和理解全面、到位</w:t>
            </w:r>
            <w:r>
              <w:rPr>
                <w:rFonts w:hint="eastAsia" w:ascii="宋体" w:hAnsi="宋体"/>
                <w:color w:val="000000" w:themeColor="text1"/>
                <w:sz w:val="21"/>
                <w:szCs w:val="21"/>
                <w:lang w:val="en-US" w:eastAsia="zh-CN"/>
                <w14:textFill>
                  <w14:solidFill>
                    <w14:schemeClr w14:val="tx1"/>
                  </w14:solidFill>
                </w14:textFill>
              </w:rPr>
              <w:t>的，得5分；</w:t>
            </w:r>
          </w:p>
          <w:p>
            <w:pPr>
              <w:ind w:firstLine="420" w:firstLineChars="200"/>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对长江大保护工作的理解</w:t>
            </w:r>
            <w:r>
              <w:rPr>
                <w:rFonts w:hint="eastAsia" w:ascii="宋体" w:hAnsi="宋体"/>
                <w:color w:val="000000" w:themeColor="text1"/>
                <w:sz w:val="21"/>
                <w:szCs w:val="21"/>
                <w:lang w:val="en-US" w:eastAsia="zh-CN"/>
                <w14:textFill>
                  <w14:solidFill>
                    <w14:schemeClr w14:val="tx1"/>
                  </w14:solidFill>
                </w14:textFill>
              </w:rPr>
              <w:t>及</w:t>
            </w:r>
            <w:r>
              <w:rPr>
                <w:rFonts w:hint="eastAsia" w:ascii="宋体" w:hAnsi="宋体"/>
                <w:color w:val="000000" w:themeColor="text1"/>
                <w:sz w:val="21"/>
                <w:szCs w:val="21"/>
                <w14:textFill>
                  <w14:solidFill>
                    <w14:schemeClr w14:val="tx1"/>
                  </w14:solidFill>
                </w14:textFill>
              </w:rPr>
              <w:t>对本项目的作用和意义的理解</w:t>
            </w:r>
            <w:r>
              <w:rPr>
                <w:rFonts w:hint="eastAsia" w:ascii="宋体" w:hAnsi="宋体"/>
                <w:color w:val="000000" w:themeColor="text1"/>
                <w:sz w:val="21"/>
                <w:szCs w:val="21"/>
                <w:lang w:val="en-US" w:eastAsia="zh-CN"/>
                <w14:textFill>
                  <w14:solidFill>
                    <w14:schemeClr w14:val="tx1"/>
                  </w14:solidFill>
                </w14:textFill>
              </w:rPr>
              <w:t>较</w:t>
            </w:r>
            <w:r>
              <w:rPr>
                <w:rFonts w:hint="eastAsia" w:ascii="宋体" w:hAnsi="宋体"/>
                <w:color w:val="000000" w:themeColor="text1"/>
                <w:sz w:val="21"/>
                <w:szCs w:val="21"/>
                <w14:textFill>
                  <w14:solidFill>
                    <w14:schemeClr w14:val="tx1"/>
                  </w14:solidFill>
                </w14:textFill>
              </w:rPr>
              <w:t>准确；对市级、区级相关上层规划及相关规划的认识和理解</w:t>
            </w:r>
            <w:r>
              <w:rPr>
                <w:rFonts w:hint="eastAsia" w:ascii="宋体" w:hAnsi="宋体"/>
                <w:color w:val="000000" w:themeColor="text1"/>
                <w:sz w:val="21"/>
                <w:szCs w:val="21"/>
                <w:lang w:val="en-US" w:eastAsia="zh-CN"/>
                <w14:textFill>
                  <w14:solidFill>
                    <w14:schemeClr w14:val="tx1"/>
                  </w14:solidFill>
                </w14:textFill>
              </w:rPr>
              <w:t>较</w:t>
            </w:r>
            <w:r>
              <w:rPr>
                <w:rFonts w:hint="eastAsia" w:ascii="宋体" w:hAnsi="宋体"/>
                <w:color w:val="000000" w:themeColor="text1"/>
                <w:sz w:val="21"/>
                <w:szCs w:val="21"/>
                <w14:textFill>
                  <w14:solidFill>
                    <w14:schemeClr w14:val="tx1"/>
                  </w14:solidFill>
                </w14:textFill>
              </w:rPr>
              <w:t>全面、到位</w:t>
            </w:r>
            <w:r>
              <w:rPr>
                <w:rFonts w:hint="eastAsia" w:ascii="宋体" w:hAnsi="宋体"/>
                <w:color w:val="000000" w:themeColor="text1"/>
                <w:sz w:val="21"/>
                <w:szCs w:val="21"/>
                <w:lang w:val="en-US" w:eastAsia="zh-CN"/>
                <w14:textFill>
                  <w14:solidFill>
                    <w14:schemeClr w14:val="tx1"/>
                  </w14:solidFill>
                </w14:textFill>
              </w:rPr>
              <w:t>的，</w:t>
            </w:r>
            <w:r>
              <w:rPr>
                <w:rFonts w:hint="eastAsia" w:ascii="宋体" w:hAnsi="宋体"/>
                <w:color w:val="000000" w:themeColor="text1"/>
                <w:sz w:val="21"/>
                <w:szCs w:val="21"/>
                <w14:textFill>
                  <w14:solidFill>
                    <w14:schemeClr w14:val="tx1"/>
                  </w14:solidFill>
                </w14:textFill>
              </w:rPr>
              <w:t>得3分</w:t>
            </w:r>
            <w:r>
              <w:rPr>
                <w:rFonts w:hint="eastAsia" w:ascii="宋体" w:hAnsi="宋体"/>
                <w:color w:val="000000" w:themeColor="text1"/>
                <w:sz w:val="21"/>
                <w:szCs w:val="21"/>
                <w:lang w:val="en-US" w:eastAsia="zh-CN"/>
                <w14:textFill>
                  <w14:solidFill>
                    <w14:schemeClr w14:val="tx1"/>
                  </w14:solidFill>
                </w14:textFill>
              </w:rPr>
              <w:t>；</w:t>
            </w:r>
          </w:p>
          <w:p>
            <w:pPr>
              <w:ind w:firstLine="420" w:firstLineChars="200"/>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对长江大保护工作的理解</w:t>
            </w:r>
            <w:r>
              <w:rPr>
                <w:rFonts w:hint="eastAsia" w:ascii="宋体" w:hAnsi="宋体"/>
                <w:color w:val="000000" w:themeColor="text1"/>
                <w:sz w:val="21"/>
                <w:szCs w:val="21"/>
                <w:lang w:val="en-US" w:eastAsia="zh-CN"/>
                <w14:textFill>
                  <w14:solidFill>
                    <w14:schemeClr w14:val="tx1"/>
                  </w14:solidFill>
                </w14:textFill>
              </w:rPr>
              <w:t>及</w:t>
            </w:r>
            <w:r>
              <w:rPr>
                <w:rFonts w:hint="eastAsia" w:ascii="宋体" w:hAnsi="宋体"/>
                <w:color w:val="000000" w:themeColor="text1"/>
                <w:sz w:val="21"/>
                <w:szCs w:val="21"/>
                <w14:textFill>
                  <w14:solidFill>
                    <w14:schemeClr w14:val="tx1"/>
                  </w14:solidFill>
                </w14:textFill>
              </w:rPr>
              <w:t>对本项目的作用和意义的理解</w:t>
            </w:r>
            <w:r>
              <w:rPr>
                <w:rFonts w:hint="eastAsia" w:ascii="宋体" w:hAnsi="宋体"/>
                <w:color w:val="000000" w:themeColor="text1"/>
                <w:sz w:val="21"/>
                <w:szCs w:val="21"/>
                <w:lang w:val="en-US" w:eastAsia="zh-CN"/>
                <w14:textFill>
                  <w14:solidFill>
                    <w14:schemeClr w14:val="tx1"/>
                  </w14:solidFill>
                </w14:textFill>
              </w:rPr>
              <w:t>有所欠缺</w:t>
            </w:r>
            <w:r>
              <w:rPr>
                <w:rFonts w:hint="eastAsia" w:ascii="宋体" w:hAnsi="宋体"/>
                <w:color w:val="000000" w:themeColor="text1"/>
                <w:sz w:val="21"/>
                <w:szCs w:val="21"/>
                <w14:textFill>
                  <w14:solidFill>
                    <w14:schemeClr w14:val="tx1"/>
                  </w14:solidFill>
                </w14:textFill>
              </w:rPr>
              <w:t>；对市级、区级相关上层规划及相关规划的认识和理解</w:t>
            </w:r>
            <w:r>
              <w:rPr>
                <w:rFonts w:hint="eastAsia" w:ascii="宋体" w:hAnsi="宋体"/>
                <w:color w:val="000000" w:themeColor="text1"/>
                <w:sz w:val="21"/>
                <w:szCs w:val="21"/>
                <w:lang w:val="en-US" w:eastAsia="zh-CN"/>
                <w14:textFill>
                  <w14:solidFill>
                    <w14:schemeClr w14:val="tx1"/>
                  </w14:solidFill>
                </w14:textFill>
              </w:rPr>
              <w:t>不</w:t>
            </w:r>
            <w:r>
              <w:rPr>
                <w:rFonts w:hint="eastAsia" w:ascii="宋体" w:hAnsi="宋体"/>
                <w:color w:val="000000" w:themeColor="text1"/>
                <w:sz w:val="21"/>
                <w:szCs w:val="21"/>
                <w14:textFill>
                  <w14:solidFill>
                    <w14:schemeClr w14:val="tx1"/>
                  </w14:solidFill>
                </w14:textFill>
              </w:rPr>
              <w:t>全面</w:t>
            </w:r>
            <w:r>
              <w:rPr>
                <w:rFonts w:hint="eastAsia" w:ascii="宋体" w:hAnsi="宋体"/>
                <w:color w:val="000000" w:themeColor="text1"/>
                <w:sz w:val="21"/>
                <w:szCs w:val="21"/>
                <w:lang w:val="en-US" w:eastAsia="zh-CN"/>
                <w14:textFill>
                  <w14:solidFill>
                    <w14:schemeClr w14:val="tx1"/>
                  </w14:solidFill>
                </w14:textFill>
              </w:rPr>
              <w:t>的，</w:t>
            </w:r>
            <w:r>
              <w:rPr>
                <w:rFonts w:hint="eastAsia" w:ascii="宋体" w:hAnsi="宋体"/>
                <w:color w:val="000000" w:themeColor="text1"/>
                <w:sz w:val="21"/>
                <w:szCs w:val="21"/>
                <w14:textFill>
                  <w14:solidFill>
                    <w14:schemeClr w14:val="tx1"/>
                  </w14:solidFill>
                </w14:textFill>
              </w:rPr>
              <w:t>得1分。</w:t>
            </w:r>
          </w:p>
          <w:p>
            <w:pPr>
              <w:pStyle w:val="2"/>
              <w:rPr>
                <w:rFonts w:hint="eastAsia"/>
                <w:color w:val="000000" w:themeColor="text1"/>
                <w:sz w:val="21"/>
                <w:szCs w:val="21"/>
                <w:lang w:eastAsia="zh-CN"/>
                <w14:textFill>
                  <w14:solidFill>
                    <w14:schemeClr w14:val="tx1"/>
                  </w14:solidFill>
                </w14:textFill>
              </w:rPr>
            </w:pPr>
          </w:p>
          <w:p>
            <w:pPr>
              <w:rPr>
                <w:rFonts w:hint="eastAsia" w:ascii="宋体" w:hAnsi="宋体" w:eastAsiaTheme="minorEastAsia"/>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（2）对项目的特点、难点分析是否准确，对重点难点问题拟采取的措施是否具有有效性和针对性。特点、难点分析包括但不限于管网摸底、资料收集等</w:t>
            </w:r>
            <w:r>
              <w:rPr>
                <w:rFonts w:hint="eastAsia" w:ascii="宋体" w:hAnsi="宋体"/>
                <w:color w:val="000000" w:themeColor="text1"/>
                <w:sz w:val="21"/>
                <w:szCs w:val="21"/>
                <w:lang w:eastAsia="zh-CN"/>
                <w14:textFill>
                  <w14:solidFill>
                    <w14:schemeClr w14:val="tx1"/>
                  </w14:solidFill>
                </w14:textFill>
              </w:rPr>
              <w:t>：</w:t>
            </w:r>
          </w:p>
          <w:p>
            <w:pPr>
              <w:ind w:firstLine="420" w:firstLineChars="200"/>
              <w:rPr>
                <w:rFonts w:hint="eastAsia" w:ascii="宋体" w:hAnsi="宋体" w:eastAsiaTheme="minorEastAsia"/>
                <w:color w:val="000000" w:themeColor="text1"/>
                <w:sz w:val="21"/>
                <w:szCs w:val="21"/>
                <w:lang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对项目的特点、难点分析准确，对重点难点问题拟采取的措施具有有效性和针对性</w:t>
            </w:r>
            <w:r>
              <w:rPr>
                <w:rFonts w:hint="eastAsia" w:ascii="宋体" w:hAnsi="宋体"/>
                <w:color w:val="000000" w:themeColor="text1"/>
                <w:sz w:val="21"/>
                <w:szCs w:val="21"/>
                <w:lang w:val="en-US" w:eastAsia="zh-CN"/>
                <w14:textFill>
                  <w14:solidFill>
                    <w14:schemeClr w14:val="tx1"/>
                  </w14:solidFill>
                </w14:textFill>
              </w:rPr>
              <w:t>的，得5分；</w:t>
            </w:r>
          </w:p>
          <w:p>
            <w:pPr>
              <w:ind w:firstLine="420" w:firstLineChars="200"/>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对项目的特点、难点分析</w:t>
            </w:r>
            <w:r>
              <w:rPr>
                <w:rFonts w:hint="eastAsia" w:ascii="宋体" w:hAnsi="宋体"/>
                <w:color w:val="000000" w:themeColor="text1"/>
                <w:sz w:val="21"/>
                <w:szCs w:val="21"/>
                <w:lang w:val="en-US" w:eastAsia="zh-CN"/>
                <w14:textFill>
                  <w14:solidFill>
                    <w14:schemeClr w14:val="tx1"/>
                  </w14:solidFill>
                </w14:textFill>
              </w:rPr>
              <w:t>较</w:t>
            </w:r>
            <w:r>
              <w:rPr>
                <w:rFonts w:hint="eastAsia" w:ascii="宋体" w:hAnsi="宋体"/>
                <w:color w:val="000000" w:themeColor="text1"/>
                <w:sz w:val="21"/>
                <w:szCs w:val="21"/>
                <w14:textFill>
                  <w14:solidFill>
                    <w14:schemeClr w14:val="tx1"/>
                  </w14:solidFill>
                </w14:textFill>
              </w:rPr>
              <w:t>准确，对重点难点问题拟采取的措施</w:t>
            </w:r>
            <w:r>
              <w:rPr>
                <w:rFonts w:hint="eastAsia" w:ascii="宋体" w:hAnsi="宋体"/>
                <w:color w:val="000000" w:themeColor="text1"/>
                <w:sz w:val="21"/>
                <w:szCs w:val="21"/>
                <w:lang w:val="en-US" w:eastAsia="zh-CN"/>
                <w14:textFill>
                  <w14:solidFill>
                    <w14:schemeClr w14:val="tx1"/>
                  </w14:solidFill>
                </w14:textFill>
              </w:rPr>
              <w:t>较</w:t>
            </w:r>
            <w:r>
              <w:rPr>
                <w:rFonts w:hint="eastAsia" w:ascii="宋体" w:hAnsi="宋体"/>
                <w:color w:val="000000" w:themeColor="text1"/>
                <w:sz w:val="21"/>
                <w:szCs w:val="21"/>
                <w14:textFill>
                  <w14:solidFill>
                    <w14:schemeClr w14:val="tx1"/>
                  </w14:solidFill>
                </w14:textFill>
              </w:rPr>
              <w:t>有有效性和针对性</w:t>
            </w:r>
            <w:r>
              <w:rPr>
                <w:rFonts w:hint="eastAsia" w:ascii="宋体" w:hAnsi="宋体"/>
                <w:color w:val="000000" w:themeColor="text1"/>
                <w:sz w:val="21"/>
                <w:szCs w:val="21"/>
                <w:lang w:val="en-US" w:eastAsia="zh-CN"/>
                <w14:textFill>
                  <w14:solidFill>
                    <w14:schemeClr w14:val="tx1"/>
                  </w14:solidFill>
                </w14:textFill>
              </w:rPr>
              <w:t>的，得3分；</w:t>
            </w:r>
          </w:p>
          <w:p>
            <w:pPr>
              <w:pStyle w:val="2"/>
              <w:rPr>
                <w:rFonts w:hint="eastAsia"/>
                <w:sz w:val="21"/>
                <w:szCs w:val="21"/>
              </w:rPr>
            </w:pPr>
            <w:r>
              <w:rPr>
                <w:rFonts w:hint="eastAsia" w:ascii="宋体" w:hAnsi="宋体"/>
                <w:color w:val="000000" w:themeColor="text1"/>
                <w:sz w:val="21"/>
                <w:szCs w:val="21"/>
                <w14:textFill>
                  <w14:solidFill>
                    <w14:schemeClr w14:val="tx1"/>
                  </w14:solidFill>
                </w14:textFill>
              </w:rPr>
              <w:t>对项目的特点、难点分析</w:t>
            </w:r>
            <w:r>
              <w:rPr>
                <w:rFonts w:hint="eastAsia"/>
                <w:color w:val="000000" w:themeColor="text1"/>
                <w:sz w:val="21"/>
                <w:szCs w:val="21"/>
                <w:lang w:val="en-US" w:eastAsia="zh-CN"/>
                <w14:textFill>
                  <w14:solidFill>
                    <w14:schemeClr w14:val="tx1"/>
                  </w14:solidFill>
                </w14:textFill>
              </w:rPr>
              <w:t>不够准确的</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得</w:t>
            </w:r>
            <w:r>
              <w:rPr>
                <w:rFonts w:hint="eastAsia"/>
                <w:color w:val="000000" w:themeColor="text1"/>
                <w:sz w:val="21"/>
                <w:szCs w:val="21"/>
                <w:lang w:val="en-US" w:eastAsia="zh-CN"/>
                <w14:textFill>
                  <w14:solidFill>
                    <w14:schemeClr w14:val="tx1"/>
                  </w14:solidFill>
                </w14:textFill>
              </w:rPr>
              <w:t>1</w:t>
            </w:r>
            <w:r>
              <w:rPr>
                <w:rFonts w:hint="eastAsia" w:ascii="宋体" w:hAnsi="宋体"/>
                <w:color w:val="000000" w:themeColor="text1"/>
                <w:sz w:val="21"/>
                <w:szCs w:val="21"/>
                <w:lang w:val="en-US" w:eastAsia="zh-CN"/>
                <w14:textFill>
                  <w14:solidFill>
                    <w14:schemeClr w14:val="tx1"/>
                  </w14:solidFill>
                </w14:textFill>
              </w:rPr>
              <w:t>分</w:t>
            </w:r>
            <w:r>
              <w:rPr>
                <w:rFonts w:hint="eastAsia"/>
                <w:color w:val="000000" w:themeColor="text1"/>
                <w:sz w:val="21"/>
                <w:szCs w:val="21"/>
                <w:lang w:val="en-US" w:eastAsia="zh-CN"/>
                <w14:textFill>
                  <w14:solidFill>
                    <w14:schemeClr w14:val="tx1"/>
                  </w14:solidFill>
                </w14:textFill>
              </w:rPr>
              <w:t>。</w:t>
            </w:r>
          </w:p>
          <w:p>
            <w:pPr>
              <w:rPr>
                <w:rFonts w:ascii="宋体" w:hAnsi="宋体"/>
                <w:color w:val="000000" w:themeColor="text1"/>
                <w:sz w:val="21"/>
                <w:szCs w:val="21"/>
                <w14:textFill>
                  <w14:solidFill>
                    <w14:schemeClr w14:val="tx1"/>
                  </w14:solidFill>
                </w14:textFill>
              </w:rPr>
            </w:pPr>
          </w:p>
          <w:p>
            <w:pPr>
              <w:rPr>
                <w:rFonts w:ascii="宋体" w:hAnsi="宋体"/>
                <w:color w:val="000000" w:themeColor="text1"/>
                <w:sz w:val="21"/>
                <w:szCs w:val="21"/>
                <w:lang w:val="zh-CN"/>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w:t>
            </w:r>
            <w:r>
              <w:rPr>
                <w:rFonts w:hint="eastAsia" w:ascii="宋体" w:hAnsi="宋体"/>
                <w:color w:val="000000" w:themeColor="text1"/>
                <w:sz w:val="21"/>
                <w:szCs w:val="21"/>
                <w:lang w:val="zh-CN"/>
                <w14:textFill>
                  <w14:solidFill>
                    <w14:schemeClr w14:val="tx1"/>
                  </w14:solidFill>
                </w14:textFill>
              </w:rPr>
              <w:t>服务方案保证措施</w:t>
            </w:r>
          </w:p>
          <w:p>
            <w:pPr>
              <w:ind w:firstLine="420" w:firstLineChars="200"/>
              <w:rPr>
                <w:rFonts w:hint="eastAsia" w:ascii="宋体" w:hAnsi="宋体"/>
                <w:color w:val="000000" w:themeColor="text1"/>
                <w:sz w:val="21"/>
                <w:szCs w:val="21"/>
                <w:lang w:val="zh-CN"/>
                <w14:textFill>
                  <w14:solidFill>
                    <w14:schemeClr w14:val="tx1"/>
                  </w14:solidFill>
                </w14:textFill>
              </w:rPr>
            </w:pPr>
            <w:r>
              <w:rPr>
                <w:rFonts w:hint="eastAsia" w:ascii="宋体" w:hAnsi="宋体"/>
                <w:color w:val="000000" w:themeColor="text1"/>
                <w:sz w:val="21"/>
                <w:szCs w:val="21"/>
                <w:lang w:val="zh-CN"/>
                <w14:textFill>
                  <w14:solidFill>
                    <w14:schemeClr w14:val="tx1"/>
                  </w14:solidFill>
                </w14:textFill>
              </w:rPr>
              <w:t>提出确保本项目顺利实施的保障措施，包括组织保障、质量保障、进度保障、人员保障等：</w:t>
            </w:r>
          </w:p>
          <w:p>
            <w:pPr>
              <w:ind w:firstLine="420" w:firstLineChars="200"/>
              <w:rPr>
                <w:rFonts w:hint="default" w:ascii="宋体" w:hAnsi="宋体"/>
                <w:color w:val="000000" w:themeColor="text1"/>
                <w:sz w:val="21"/>
                <w:szCs w:val="21"/>
                <w:lang w:val="en-US"/>
                <w14:textFill>
                  <w14:solidFill>
                    <w14:schemeClr w14:val="tx1"/>
                  </w14:solidFill>
                </w14:textFill>
              </w:rPr>
            </w:pPr>
            <w:r>
              <w:rPr>
                <w:rFonts w:hint="eastAsia" w:ascii="宋体" w:hAnsi="宋体"/>
                <w:color w:val="000000" w:themeColor="text1"/>
                <w:sz w:val="21"/>
                <w:szCs w:val="21"/>
                <w:lang w:val="zh-CN"/>
                <w14:textFill>
                  <w14:solidFill>
                    <w14:schemeClr w14:val="tx1"/>
                  </w14:solidFill>
                </w14:textFill>
              </w:rPr>
              <w:t>保障措施具体、切合实际</w:t>
            </w:r>
            <w:r>
              <w:rPr>
                <w:rFonts w:hint="eastAsia" w:ascii="宋体" w:hAnsi="宋体"/>
                <w:color w:val="000000" w:themeColor="text1"/>
                <w:sz w:val="21"/>
                <w:szCs w:val="21"/>
                <w:lang w:val="en-US" w:eastAsia="zh-CN"/>
                <w14:textFill>
                  <w14:solidFill>
                    <w14:schemeClr w14:val="tx1"/>
                  </w14:solidFill>
                </w14:textFill>
              </w:rPr>
              <w:t>的，得5分；</w:t>
            </w:r>
          </w:p>
          <w:p>
            <w:pPr>
              <w:pStyle w:val="2"/>
              <w:rPr>
                <w:rFonts w:hint="eastAsia"/>
                <w:sz w:val="21"/>
                <w:szCs w:val="21"/>
                <w:lang w:val="en-US" w:eastAsia="zh-CN"/>
              </w:rPr>
            </w:pPr>
            <w:r>
              <w:rPr>
                <w:rFonts w:hint="eastAsia"/>
                <w:sz w:val="21"/>
                <w:szCs w:val="21"/>
                <w:lang w:val="en-US" w:eastAsia="zh-CN"/>
              </w:rPr>
              <w:t>保障措施基本可行的，得3分；</w:t>
            </w:r>
          </w:p>
          <w:p>
            <w:pPr>
              <w:pStyle w:val="2"/>
              <w:rPr>
                <w:rFonts w:hint="eastAsia"/>
                <w:sz w:val="21"/>
                <w:szCs w:val="21"/>
                <w:lang w:val="en-US" w:eastAsia="zh-CN"/>
              </w:rPr>
            </w:pPr>
            <w:r>
              <w:rPr>
                <w:rFonts w:hint="eastAsia"/>
                <w:sz w:val="21"/>
                <w:szCs w:val="21"/>
                <w:lang w:val="en-US" w:eastAsia="zh-CN"/>
              </w:rPr>
              <w:t>保障措施不大合理的，得1分。</w:t>
            </w:r>
          </w:p>
          <w:p>
            <w:pPr>
              <w:pStyle w:val="2"/>
              <w:rPr>
                <w:rFonts w:hint="default"/>
                <w:sz w:val="21"/>
                <w:szCs w:val="21"/>
                <w:lang w:val="en-US" w:eastAsia="zh-CN"/>
              </w:rPr>
            </w:pPr>
          </w:p>
          <w:p>
            <w:pPr>
              <w:rPr>
                <w:rFonts w:ascii="宋体" w:hAnsi="宋体"/>
                <w:color w:val="000000" w:themeColor="text1"/>
                <w:sz w:val="21"/>
                <w:szCs w:val="21"/>
                <w:lang w:val="zh-CN"/>
                <w14:textFill>
                  <w14:solidFill>
                    <w14:schemeClr w14:val="tx1"/>
                  </w14:solidFill>
                </w14:textFill>
              </w:rPr>
            </w:pPr>
            <w:r>
              <w:rPr>
                <w:rFonts w:hint="eastAsia" w:ascii="宋体" w:hAnsi="宋体"/>
                <w:color w:val="000000" w:themeColor="text1"/>
                <w:sz w:val="21"/>
                <w:szCs w:val="21"/>
                <w:lang w:val="zh-CN"/>
                <w14:textFill>
                  <w14:solidFill>
                    <w14:schemeClr w14:val="tx1"/>
                  </w14:solidFill>
                </w14:textFill>
              </w:rPr>
              <w:t>3.规划方案</w:t>
            </w:r>
          </w:p>
          <w:p>
            <w:pPr>
              <w:rPr>
                <w:rFonts w:hint="eastAsia" w:ascii="宋体" w:hAnsi="宋体"/>
                <w:color w:val="000000" w:themeColor="text1"/>
                <w:sz w:val="21"/>
                <w:szCs w:val="21"/>
                <w:lang w:val="zh-CN"/>
                <w14:textFill>
                  <w14:solidFill>
                    <w14:schemeClr w14:val="tx1"/>
                  </w14:solidFill>
                </w14:textFill>
              </w:rPr>
            </w:pPr>
            <w:r>
              <w:rPr>
                <w:rFonts w:hint="eastAsia" w:ascii="宋体" w:hAnsi="宋体"/>
                <w:color w:val="000000" w:themeColor="text1"/>
                <w:sz w:val="21"/>
                <w:szCs w:val="21"/>
                <w:lang w:val="zh-CN"/>
                <w14:textFill>
                  <w14:solidFill>
                    <w14:schemeClr w14:val="tx1"/>
                  </w14:solidFill>
                </w14:textFill>
              </w:rPr>
              <w:t>（1）开展阳新县全域水环境本底调查与评价与问题研究，包括城镇排水系统进行普查探测，摸清城镇排水设施、污染源等内容。现状情况及问题分析是否全面，是否符合阳新县全域实际情况：</w:t>
            </w:r>
          </w:p>
          <w:p>
            <w:pPr>
              <w:pStyle w:val="2"/>
              <w:rPr>
                <w:rFonts w:hint="eastAsia"/>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zh-CN"/>
                <w14:textFill>
                  <w14:solidFill>
                    <w14:schemeClr w14:val="tx1"/>
                  </w14:solidFill>
                </w14:textFill>
              </w:rPr>
              <w:t>现状情况及问题分析全面，符合阳新县全域实际情</w:t>
            </w:r>
            <w:r>
              <w:rPr>
                <w:rFonts w:hint="eastAsia"/>
                <w:color w:val="000000" w:themeColor="text1"/>
                <w:sz w:val="21"/>
                <w:szCs w:val="21"/>
                <w:lang w:val="en-US" w:eastAsia="zh-CN"/>
                <w14:textFill>
                  <w14:solidFill>
                    <w14:schemeClr w14:val="tx1"/>
                  </w14:solidFill>
                </w14:textFill>
              </w:rPr>
              <w:t>的，得8分；</w:t>
            </w:r>
          </w:p>
          <w:p>
            <w:pPr>
              <w:pStyle w:val="2"/>
              <w:rPr>
                <w:rFonts w:hint="eastAsia"/>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zh-CN"/>
                <w14:textFill>
                  <w14:solidFill>
                    <w14:schemeClr w14:val="tx1"/>
                  </w14:solidFill>
                </w14:textFill>
              </w:rPr>
              <w:t>现状情况及问题分析</w:t>
            </w:r>
            <w:r>
              <w:rPr>
                <w:rFonts w:hint="eastAsia"/>
                <w:color w:val="000000" w:themeColor="text1"/>
                <w:sz w:val="21"/>
                <w:szCs w:val="21"/>
                <w:lang w:val="en-US" w:eastAsia="zh-CN"/>
                <w14:textFill>
                  <w14:solidFill>
                    <w14:schemeClr w14:val="tx1"/>
                  </w14:solidFill>
                </w14:textFill>
              </w:rPr>
              <w:t>比较</w:t>
            </w:r>
            <w:r>
              <w:rPr>
                <w:rFonts w:hint="eastAsia" w:ascii="宋体" w:hAnsi="宋体"/>
                <w:color w:val="000000" w:themeColor="text1"/>
                <w:sz w:val="21"/>
                <w:szCs w:val="21"/>
                <w:lang w:val="zh-CN"/>
                <w14:textFill>
                  <w14:solidFill>
                    <w14:schemeClr w14:val="tx1"/>
                  </w14:solidFill>
                </w14:textFill>
              </w:rPr>
              <w:t>全面，</w:t>
            </w:r>
            <w:r>
              <w:rPr>
                <w:rFonts w:hint="eastAsia"/>
                <w:color w:val="000000" w:themeColor="text1"/>
                <w:sz w:val="21"/>
                <w:szCs w:val="21"/>
                <w:lang w:val="en-US" w:eastAsia="zh-CN"/>
                <w14:textFill>
                  <w14:solidFill>
                    <w14:schemeClr w14:val="tx1"/>
                  </w14:solidFill>
                </w14:textFill>
              </w:rPr>
              <w:t>基本</w:t>
            </w:r>
            <w:r>
              <w:rPr>
                <w:rFonts w:hint="eastAsia" w:ascii="宋体" w:hAnsi="宋体"/>
                <w:color w:val="000000" w:themeColor="text1"/>
                <w:sz w:val="21"/>
                <w:szCs w:val="21"/>
                <w:lang w:val="zh-CN"/>
                <w14:textFill>
                  <w14:solidFill>
                    <w14:schemeClr w14:val="tx1"/>
                  </w14:solidFill>
                </w14:textFill>
              </w:rPr>
              <w:t>符合阳新县全域实际情</w:t>
            </w:r>
            <w:r>
              <w:rPr>
                <w:rFonts w:hint="eastAsia"/>
                <w:color w:val="000000" w:themeColor="text1"/>
                <w:sz w:val="21"/>
                <w:szCs w:val="21"/>
                <w:lang w:val="en-US" w:eastAsia="zh-CN"/>
                <w14:textFill>
                  <w14:solidFill>
                    <w14:schemeClr w14:val="tx1"/>
                  </w14:solidFill>
                </w14:textFill>
              </w:rPr>
              <w:t>的，得5分；</w:t>
            </w:r>
          </w:p>
          <w:p>
            <w:pPr>
              <w:pStyle w:val="2"/>
              <w:rPr>
                <w:rFonts w:hint="eastAsia"/>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zh-CN"/>
                <w14:textFill>
                  <w14:solidFill>
                    <w14:schemeClr w14:val="tx1"/>
                  </w14:solidFill>
                </w14:textFill>
              </w:rPr>
              <w:t>现状情况及问题分析</w:t>
            </w:r>
            <w:r>
              <w:rPr>
                <w:rFonts w:hint="eastAsia"/>
                <w:color w:val="000000" w:themeColor="text1"/>
                <w:sz w:val="21"/>
                <w:szCs w:val="21"/>
                <w:lang w:val="en-US" w:eastAsia="zh-CN"/>
                <w14:textFill>
                  <w14:solidFill>
                    <w14:schemeClr w14:val="tx1"/>
                  </w14:solidFill>
                </w14:textFill>
              </w:rPr>
              <w:t>不够</w:t>
            </w:r>
            <w:r>
              <w:rPr>
                <w:rFonts w:hint="eastAsia" w:ascii="宋体" w:hAnsi="宋体"/>
                <w:color w:val="000000" w:themeColor="text1"/>
                <w:sz w:val="21"/>
                <w:szCs w:val="21"/>
                <w:lang w:val="zh-CN"/>
                <w14:textFill>
                  <w14:solidFill>
                    <w14:schemeClr w14:val="tx1"/>
                  </w14:solidFill>
                </w14:textFill>
              </w:rPr>
              <w:t>全面，</w:t>
            </w:r>
            <w:r>
              <w:rPr>
                <w:rFonts w:hint="eastAsia"/>
                <w:color w:val="000000" w:themeColor="text1"/>
                <w:sz w:val="21"/>
                <w:szCs w:val="21"/>
                <w:lang w:val="en-US" w:eastAsia="zh-CN"/>
                <w14:textFill>
                  <w14:solidFill>
                    <w14:schemeClr w14:val="tx1"/>
                  </w14:solidFill>
                </w14:textFill>
              </w:rPr>
              <w:t>不大</w:t>
            </w:r>
            <w:r>
              <w:rPr>
                <w:rFonts w:hint="eastAsia" w:ascii="宋体" w:hAnsi="宋体"/>
                <w:color w:val="000000" w:themeColor="text1"/>
                <w:sz w:val="21"/>
                <w:szCs w:val="21"/>
                <w:lang w:val="zh-CN"/>
                <w14:textFill>
                  <w14:solidFill>
                    <w14:schemeClr w14:val="tx1"/>
                  </w14:solidFill>
                </w14:textFill>
              </w:rPr>
              <w:t>符合阳新县全域实际情</w:t>
            </w:r>
            <w:r>
              <w:rPr>
                <w:rFonts w:hint="eastAsia"/>
                <w:color w:val="000000" w:themeColor="text1"/>
                <w:sz w:val="21"/>
                <w:szCs w:val="21"/>
                <w:lang w:val="en-US" w:eastAsia="zh-CN"/>
                <w14:textFill>
                  <w14:solidFill>
                    <w14:schemeClr w14:val="tx1"/>
                  </w14:solidFill>
                </w14:textFill>
              </w:rPr>
              <w:t>的，得2分。</w:t>
            </w:r>
          </w:p>
          <w:p>
            <w:pPr>
              <w:pStyle w:val="2"/>
              <w:rPr>
                <w:rFonts w:hint="default"/>
                <w:color w:val="000000" w:themeColor="text1"/>
                <w:sz w:val="21"/>
                <w:szCs w:val="21"/>
                <w:lang w:val="en-US" w:eastAsia="zh-CN"/>
                <w14:textFill>
                  <w14:solidFill>
                    <w14:schemeClr w14:val="tx1"/>
                  </w14:solidFill>
                </w14:textFill>
              </w:rPr>
            </w:pPr>
          </w:p>
          <w:p>
            <w:pPr>
              <w:rPr>
                <w:rFonts w:hint="eastAsia" w:ascii="宋体" w:hAnsi="宋体"/>
                <w:color w:val="000000" w:themeColor="text1"/>
                <w:sz w:val="21"/>
                <w:szCs w:val="21"/>
                <w:lang w:val="zh-CN"/>
                <w14:textFill>
                  <w14:solidFill>
                    <w14:schemeClr w14:val="tx1"/>
                  </w14:solidFill>
                </w14:textFill>
              </w:rPr>
            </w:pPr>
            <w:r>
              <w:rPr>
                <w:rFonts w:hint="eastAsia" w:ascii="宋体" w:hAnsi="宋体"/>
                <w:color w:val="000000" w:themeColor="text1"/>
                <w:sz w:val="21"/>
                <w:szCs w:val="21"/>
                <w:lang w:val="zh-CN"/>
                <w14:textFill>
                  <w14:solidFill>
                    <w14:schemeClr w14:val="tx1"/>
                  </w14:solidFill>
                </w14:textFill>
              </w:rPr>
              <w:t>（2）提出阳新县全域水环境总体规划：规划是否满足黄石市落实“共抓大保护，不搞大开发”的具体要求，是否落实三峡集团城市水环境系统治理理念，突出水环境治理根本改善为核心，是否全面，规划范围及时限、目标与指标是否科学，布局是否合理，因地制宜：</w:t>
            </w:r>
          </w:p>
          <w:p>
            <w:pPr>
              <w:pStyle w:val="2"/>
              <w:rPr>
                <w:rFonts w:hint="eastAsia"/>
                <w:color w:val="000000" w:themeColor="text1"/>
                <w:sz w:val="21"/>
                <w:szCs w:val="21"/>
                <w:lang w:val="en-US" w:eastAsia="zh-CN"/>
                <w14:textFill>
                  <w14:solidFill>
                    <w14:schemeClr w14:val="tx1"/>
                  </w14:solidFill>
                </w14:textFill>
              </w:rPr>
            </w:pPr>
            <w:r>
              <w:rPr>
                <w:rFonts w:hint="eastAsia"/>
                <w:sz w:val="21"/>
                <w:szCs w:val="21"/>
                <w:lang w:val="en-US" w:eastAsia="zh-CN"/>
              </w:rPr>
              <w:t>总体规划满足上述要求落实的具体要求且全面的，</w:t>
            </w:r>
            <w:r>
              <w:rPr>
                <w:rFonts w:hint="eastAsia" w:ascii="宋体" w:hAnsi="宋体"/>
                <w:color w:val="000000" w:themeColor="text1"/>
                <w:sz w:val="21"/>
                <w:szCs w:val="21"/>
                <w:lang w:val="zh-CN"/>
                <w14:textFill>
                  <w14:solidFill>
                    <w14:schemeClr w14:val="tx1"/>
                  </w14:solidFill>
                </w14:textFill>
              </w:rPr>
              <w:t>规划范围及时限、目标与指标科学，布局合理</w:t>
            </w:r>
            <w:r>
              <w:rPr>
                <w:rFonts w:hint="eastAsia"/>
                <w:color w:val="000000" w:themeColor="text1"/>
                <w:sz w:val="21"/>
                <w:szCs w:val="21"/>
                <w:lang w:val="en-US" w:eastAsia="zh-CN"/>
                <w14:textFill>
                  <w14:solidFill>
                    <w14:schemeClr w14:val="tx1"/>
                  </w14:solidFill>
                </w14:textFill>
              </w:rPr>
              <w:t>的</w:t>
            </w:r>
            <w:r>
              <w:rPr>
                <w:rFonts w:hint="eastAsia" w:ascii="宋体" w:hAnsi="宋体"/>
                <w:color w:val="000000" w:themeColor="text1"/>
                <w:sz w:val="21"/>
                <w:szCs w:val="21"/>
                <w:lang w:val="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得8分；</w:t>
            </w:r>
          </w:p>
          <w:p>
            <w:pPr>
              <w:pStyle w:val="2"/>
              <w:rPr>
                <w:rFonts w:hint="eastAsia"/>
                <w:color w:val="000000" w:themeColor="text1"/>
                <w:sz w:val="21"/>
                <w:szCs w:val="21"/>
                <w:lang w:val="en-US" w:eastAsia="zh-CN"/>
                <w14:textFill>
                  <w14:solidFill>
                    <w14:schemeClr w14:val="tx1"/>
                  </w14:solidFill>
                </w14:textFill>
              </w:rPr>
            </w:pPr>
            <w:r>
              <w:rPr>
                <w:rFonts w:hint="eastAsia"/>
                <w:sz w:val="21"/>
                <w:szCs w:val="21"/>
                <w:lang w:val="en-US" w:eastAsia="zh-CN"/>
              </w:rPr>
              <w:t>总体规划基本满足上述要求落实的具体要求且较全面，</w:t>
            </w:r>
            <w:r>
              <w:rPr>
                <w:rFonts w:hint="eastAsia" w:ascii="宋体" w:hAnsi="宋体"/>
                <w:color w:val="000000" w:themeColor="text1"/>
                <w:sz w:val="21"/>
                <w:szCs w:val="21"/>
                <w:lang w:val="zh-CN"/>
                <w14:textFill>
                  <w14:solidFill>
                    <w14:schemeClr w14:val="tx1"/>
                  </w14:solidFill>
                </w14:textFill>
              </w:rPr>
              <w:t>规划范围及时限、目标与指标</w:t>
            </w:r>
            <w:r>
              <w:rPr>
                <w:rFonts w:hint="eastAsia"/>
                <w:color w:val="000000" w:themeColor="text1"/>
                <w:sz w:val="21"/>
                <w:szCs w:val="21"/>
                <w:lang w:val="en-US" w:eastAsia="zh-CN"/>
                <w14:textFill>
                  <w14:solidFill>
                    <w14:schemeClr w14:val="tx1"/>
                  </w14:solidFill>
                </w14:textFill>
              </w:rPr>
              <w:t>较</w:t>
            </w:r>
            <w:r>
              <w:rPr>
                <w:rFonts w:hint="eastAsia" w:ascii="宋体" w:hAnsi="宋体"/>
                <w:color w:val="000000" w:themeColor="text1"/>
                <w:sz w:val="21"/>
                <w:szCs w:val="21"/>
                <w:lang w:val="zh-CN"/>
                <w14:textFill>
                  <w14:solidFill>
                    <w14:schemeClr w14:val="tx1"/>
                  </w14:solidFill>
                </w14:textFill>
              </w:rPr>
              <w:t>科学，布局</w:t>
            </w:r>
            <w:r>
              <w:rPr>
                <w:rFonts w:hint="eastAsia"/>
                <w:color w:val="000000" w:themeColor="text1"/>
                <w:sz w:val="21"/>
                <w:szCs w:val="21"/>
                <w:lang w:val="en-US" w:eastAsia="zh-CN"/>
                <w14:textFill>
                  <w14:solidFill>
                    <w14:schemeClr w14:val="tx1"/>
                  </w14:solidFill>
                </w14:textFill>
              </w:rPr>
              <w:t>基本</w:t>
            </w:r>
            <w:r>
              <w:rPr>
                <w:rFonts w:hint="eastAsia" w:ascii="宋体" w:hAnsi="宋体"/>
                <w:color w:val="000000" w:themeColor="text1"/>
                <w:sz w:val="21"/>
                <w:szCs w:val="21"/>
                <w:lang w:val="zh-CN"/>
                <w14:textFill>
                  <w14:solidFill>
                    <w14:schemeClr w14:val="tx1"/>
                  </w14:solidFill>
                </w14:textFill>
              </w:rPr>
              <w:t>合理</w:t>
            </w:r>
            <w:r>
              <w:rPr>
                <w:rFonts w:hint="eastAsia"/>
                <w:color w:val="000000" w:themeColor="text1"/>
                <w:sz w:val="21"/>
                <w:szCs w:val="21"/>
                <w:lang w:val="en-US" w:eastAsia="zh-CN"/>
                <w14:textFill>
                  <w14:solidFill>
                    <w14:schemeClr w14:val="tx1"/>
                  </w14:solidFill>
                </w14:textFill>
              </w:rPr>
              <w:t>的</w:t>
            </w:r>
            <w:r>
              <w:rPr>
                <w:rFonts w:hint="eastAsia" w:ascii="宋体" w:hAnsi="宋体"/>
                <w:color w:val="000000" w:themeColor="text1"/>
                <w:sz w:val="21"/>
                <w:szCs w:val="21"/>
                <w:lang w:val="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得5分；</w:t>
            </w:r>
          </w:p>
          <w:p>
            <w:pPr>
              <w:pStyle w:val="2"/>
              <w:rPr>
                <w:rFonts w:hint="eastAsia" w:ascii="宋体" w:hAnsi="宋体"/>
                <w:color w:val="000000" w:themeColor="text1"/>
                <w:sz w:val="21"/>
                <w:szCs w:val="21"/>
                <w:lang w:val="zh-CN"/>
                <w14:textFill>
                  <w14:solidFill>
                    <w14:schemeClr w14:val="tx1"/>
                  </w14:solidFill>
                </w14:textFill>
              </w:rPr>
            </w:pPr>
            <w:r>
              <w:rPr>
                <w:rFonts w:hint="eastAsia"/>
                <w:sz w:val="21"/>
                <w:szCs w:val="21"/>
                <w:lang w:val="en-US" w:eastAsia="zh-CN"/>
              </w:rPr>
              <w:t>总体规划基本满足上述要求落实的具体要求，但是不全面，</w:t>
            </w:r>
            <w:r>
              <w:rPr>
                <w:rFonts w:hint="eastAsia" w:ascii="宋体" w:hAnsi="宋体"/>
                <w:color w:val="000000" w:themeColor="text1"/>
                <w:sz w:val="21"/>
                <w:szCs w:val="21"/>
                <w:lang w:val="zh-CN"/>
                <w14:textFill>
                  <w14:solidFill>
                    <w14:schemeClr w14:val="tx1"/>
                  </w14:solidFill>
                </w14:textFill>
              </w:rPr>
              <w:t>规划范围及时限、目标与指标</w:t>
            </w:r>
            <w:r>
              <w:rPr>
                <w:rFonts w:hint="eastAsia"/>
                <w:color w:val="000000" w:themeColor="text1"/>
                <w:sz w:val="21"/>
                <w:szCs w:val="21"/>
                <w:lang w:val="en-US" w:eastAsia="zh-CN"/>
                <w14:textFill>
                  <w14:solidFill>
                    <w14:schemeClr w14:val="tx1"/>
                  </w14:solidFill>
                </w14:textFill>
              </w:rPr>
              <w:t>不</w:t>
            </w:r>
            <w:r>
              <w:rPr>
                <w:rFonts w:hint="eastAsia" w:ascii="宋体" w:hAnsi="宋体"/>
                <w:color w:val="000000" w:themeColor="text1"/>
                <w:sz w:val="21"/>
                <w:szCs w:val="21"/>
                <w:lang w:val="zh-CN"/>
                <w14:textFill>
                  <w14:solidFill>
                    <w14:schemeClr w14:val="tx1"/>
                  </w14:solidFill>
                </w14:textFill>
              </w:rPr>
              <w:t>科学，布局</w:t>
            </w:r>
            <w:r>
              <w:rPr>
                <w:rFonts w:hint="eastAsia"/>
                <w:color w:val="000000" w:themeColor="text1"/>
                <w:sz w:val="21"/>
                <w:szCs w:val="21"/>
                <w:lang w:val="en-US" w:eastAsia="zh-CN"/>
                <w14:textFill>
                  <w14:solidFill>
                    <w14:schemeClr w14:val="tx1"/>
                  </w14:solidFill>
                </w14:textFill>
              </w:rPr>
              <w:t>不</w:t>
            </w:r>
            <w:r>
              <w:rPr>
                <w:rFonts w:hint="eastAsia" w:ascii="宋体" w:hAnsi="宋体"/>
                <w:color w:val="000000" w:themeColor="text1"/>
                <w:sz w:val="21"/>
                <w:szCs w:val="21"/>
                <w:lang w:val="zh-CN"/>
                <w14:textFill>
                  <w14:solidFill>
                    <w14:schemeClr w14:val="tx1"/>
                  </w14:solidFill>
                </w14:textFill>
              </w:rPr>
              <w:t>合理</w:t>
            </w:r>
            <w:r>
              <w:rPr>
                <w:rFonts w:hint="eastAsia"/>
                <w:color w:val="000000" w:themeColor="text1"/>
                <w:sz w:val="21"/>
                <w:szCs w:val="21"/>
                <w:lang w:val="en-US" w:eastAsia="zh-CN"/>
                <w14:textFill>
                  <w14:solidFill>
                    <w14:schemeClr w14:val="tx1"/>
                  </w14:solidFill>
                </w14:textFill>
              </w:rPr>
              <w:t>的</w:t>
            </w:r>
            <w:r>
              <w:rPr>
                <w:rFonts w:hint="eastAsia" w:ascii="宋体" w:hAnsi="宋体"/>
                <w:color w:val="000000" w:themeColor="text1"/>
                <w:sz w:val="21"/>
                <w:szCs w:val="21"/>
                <w:lang w:val="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得2分</w:t>
            </w:r>
            <w:r>
              <w:rPr>
                <w:rFonts w:hint="eastAsia" w:ascii="宋体" w:hAnsi="宋体"/>
                <w:color w:val="000000" w:themeColor="text1"/>
                <w:sz w:val="21"/>
                <w:szCs w:val="21"/>
                <w:lang w:val="zh-CN"/>
                <w14:textFill>
                  <w14:solidFill>
                    <w14:schemeClr w14:val="tx1"/>
                  </w14:solidFill>
                </w14:textFill>
              </w:rPr>
              <w:t>。</w:t>
            </w:r>
          </w:p>
          <w:p>
            <w:pPr>
              <w:pStyle w:val="2"/>
              <w:rPr>
                <w:sz w:val="21"/>
                <w:szCs w:val="21"/>
                <w:lang w:val="zh-CN"/>
              </w:rPr>
            </w:pPr>
          </w:p>
          <w:p>
            <w:pPr>
              <w:rPr>
                <w:rFonts w:hint="eastAsia" w:ascii="宋体" w:hAnsi="宋体"/>
                <w:color w:val="000000" w:themeColor="text1"/>
                <w:sz w:val="21"/>
                <w:szCs w:val="21"/>
                <w:lang w:val="zh-CN"/>
                <w14:textFill>
                  <w14:solidFill>
                    <w14:schemeClr w14:val="tx1"/>
                  </w14:solidFill>
                </w14:textFill>
              </w:rPr>
            </w:pPr>
            <w:r>
              <w:rPr>
                <w:rFonts w:hint="eastAsia" w:ascii="宋体" w:hAnsi="宋体"/>
                <w:color w:val="000000" w:themeColor="text1"/>
                <w:sz w:val="21"/>
                <w:szCs w:val="21"/>
                <w:lang w:val="zh-CN"/>
                <w14:textFill>
                  <w14:solidFill>
                    <w14:schemeClr w14:val="tx1"/>
                  </w14:solidFill>
                </w14:textFill>
              </w:rPr>
              <w:t>（3）提出规划系统治理方案，主要包括水系布局规划，水污染控制规划，水生态系统建设规划，水景观水经济规划，综合管理与智慧管控规划、资源能源综合利用方案等内容。系统方案是否合理，是否全面，是否突出重点，是否符合大保护治水理念：</w:t>
            </w:r>
          </w:p>
          <w:p>
            <w:pPr>
              <w:pStyle w:val="2"/>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规划</w:t>
            </w:r>
            <w:r>
              <w:rPr>
                <w:rFonts w:hint="eastAsia" w:ascii="宋体" w:hAnsi="宋体"/>
                <w:color w:val="000000" w:themeColor="text1"/>
                <w:sz w:val="21"/>
                <w:szCs w:val="21"/>
                <w:lang w:val="zh-CN"/>
                <w14:textFill>
                  <w14:solidFill>
                    <w14:schemeClr w14:val="tx1"/>
                  </w14:solidFill>
                </w14:textFill>
              </w:rPr>
              <w:t>系统</w:t>
            </w:r>
            <w:r>
              <w:rPr>
                <w:rFonts w:hint="eastAsia"/>
                <w:color w:val="000000" w:themeColor="text1"/>
                <w:sz w:val="21"/>
                <w:szCs w:val="21"/>
                <w:lang w:val="en-US" w:eastAsia="zh-CN"/>
                <w14:textFill>
                  <w14:solidFill>
                    <w14:schemeClr w14:val="tx1"/>
                  </w14:solidFill>
                </w14:textFill>
              </w:rPr>
              <w:t>治理</w:t>
            </w:r>
            <w:r>
              <w:rPr>
                <w:rFonts w:hint="eastAsia" w:ascii="宋体" w:hAnsi="宋体"/>
                <w:color w:val="000000" w:themeColor="text1"/>
                <w:sz w:val="21"/>
                <w:szCs w:val="21"/>
                <w:lang w:val="zh-CN"/>
                <w14:textFill>
                  <w14:solidFill>
                    <w14:schemeClr w14:val="tx1"/>
                  </w14:solidFill>
                </w14:textFill>
              </w:rPr>
              <w:t>方案合理，全面，突出重点，符合大保护治水理念</w:t>
            </w:r>
            <w:r>
              <w:rPr>
                <w:rFonts w:hint="eastAsia"/>
                <w:color w:val="000000" w:themeColor="text1"/>
                <w:sz w:val="21"/>
                <w:szCs w:val="21"/>
                <w:lang w:val="en-US" w:eastAsia="zh-CN"/>
                <w14:textFill>
                  <w14:solidFill>
                    <w14:schemeClr w14:val="tx1"/>
                  </w14:solidFill>
                </w14:textFill>
              </w:rPr>
              <w:t>的，得8分；</w:t>
            </w:r>
          </w:p>
          <w:p>
            <w:pPr>
              <w:pStyle w:val="2"/>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规划</w:t>
            </w:r>
            <w:r>
              <w:rPr>
                <w:rFonts w:hint="eastAsia" w:ascii="宋体" w:hAnsi="宋体"/>
                <w:color w:val="000000" w:themeColor="text1"/>
                <w:sz w:val="21"/>
                <w:szCs w:val="21"/>
                <w:lang w:val="zh-CN"/>
                <w14:textFill>
                  <w14:solidFill>
                    <w14:schemeClr w14:val="tx1"/>
                  </w14:solidFill>
                </w14:textFill>
              </w:rPr>
              <w:t>系统</w:t>
            </w:r>
            <w:r>
              <w:rPr>
                <w:rFonts w:hint="eastAsia"/>
                <w:color w:val="000000" w:themeColor="text1"/>
                <w:sz w:val="21"/>
                <w:szCs w:val="21"/>
                <w:lang w:val="en-US" w:eastAsia="zh-CN"/>
                <w14:textFill>
                  <w14:solidFill>
                    <w14:schemeClr w14:val="tx1"/>
                  </w14:solidFill>
                </w14:textFill>
              </w:rPr>
              <w:t>治理</w:t>
            </w:r>
            <w:r>
              <w:rPr>
                <w:rFonts w:hint="eastAsia" w:ascii="宋体" w:hAnsi="宋体"/>
                <w:color w:val="000000" w:themeColor="text1"/>
                <w:sz w:val="21"/>
                <w:szCs w:val="21"/>
                <w:lang w:val="zh-CN"/>
                <w14:textFill>
                  <w14:solidFill>
                    <w14:schemeClr w14:val="tx1"/>
                  </w14:solidFill>
                </w14:textFill>
              </w:rPr>
              <w:t>方案</w:t>
            </w:r>
            <w:r>
              <w:rPr>
                <w:rFonts w:hint="eastAsia"/>
                <w:color w:val="000000" w:themeColor="text1"/>
                <w:sz w:val="21"/>
                <w:szCs w:val="21"/>
                <w:lang w:val="en-US" w:eastAsia="zh-CN"/>
                <w14:textFill>
                  <w14:solidFill>
                    <w14:schemeClr w14:val="tx1"/>
                  </w14:solidFill>
                </w14:textFill>
              </w:rPr>
              <w:t>基本</w:t>
            </w:r>
            <w:r>
              <w:rPr>
                <w:rFonts w:hint="eastAsia" w:ascii="宋体" w:hAnsi="宋体"/>
                <w:color w:val="000000" w:themeColor="text1"/>
                <w:sz w:val="21"/>
                <w:szCs w:val="21"/>
                <w:lang w:val="zh-CN"/>
                <w14:textFill>
                  <w14:solidFill>
                    <w14:schemeClr w14:val="tx1"/>
                  </w14:solidFill>
                </w14:textFill>
              </w:rPr>
              <w:t>合理，</w:t>
            </w:r>
            <w:r>
              <w:rPr>
                <w:rFonts w:hint="eastAsia"/>
                <w:color w:val="000000" w:themeColor="text1"/>
                <w:sz w:val="21"/>
                <w:szCs w:val="21"/>
                <w:lang w:val="en-US" w:eastAsia="zh-CN"/>
                <w14:textFill>
                  <w14:solidFill>
                    <w14:schemeClr w14:val="tx1"/>
                  </w14:solidFill>
                </w14:textFill>
              </w:rPr>
              <w:t>比较</w:t>
            </w:r>
            <w:r>
              <w:rPr>
                <w:rFonts w:hint="eastAsia" w:ascii="宋体" w:hAnsi="宋体"/>
                <w:color w:val="000000" w:themeColor="text1"/>
                <w:sz w:val="21"/>
                <w:szCs w:val="21"/>
                <w:lang w:val="zh-CN"/>
                <w14:textFill>
                  <w14:solidFill>
                    <w14:schemeClr w14:val="tx1"/>
                  </w14:solidFill>
                </w14:textFill>
              </w:rPr>
              <w:t>全面，</w:t>
            </w:r>
            <w:r>
              <w:rPr>
                <w:rFonts w:hint="eastAsia"/>
                <w:color w:val="000000" w:themeColor="text1"/>
                <w:sz w:val="21"/>
                <w:szCs w:val="21"/>
                <w:lang w:val="en-US" w:eastAsia="zh-CN"/>
                <w14:textFill>
                  <w14:solidFill>
                    <w14:schemeClr w14:val="tx1"/>
                  </w14:solidFill>
                </w14:textFill>
              </w:rPr>
              <w:t>基本</w:t>
            </w:r>
            <w:r>
              <w:rPr>
                <w:rFonts w:hint="eastAsia" w:ascii="宋体" w:hAnsi="宋体"/>
                <w:color w:val="000000" w:themeColor="text1"/>
                <w:sz w:val="21"/>
                <w:szCs w:val="21"/>
                <w:lang w:val="zh-CN"/>
                <w14:textFill>
                  <w14:solidFill>
                    <w14:schemeClr w14:val="tx1"/>
                  </w14:solidFill>
                </w14:textFill>
              </w:rPr>
              <w:t>符合大保护治水理念</w:t>
            </w:r>
            <w:r>
              <w:rPr>
                <w:rFonts w:hint="eastAsia"/>
                <w:color w:val="000000" w:themeColor="text1"/>
                <w:sz w:val="21"/>
                <w:szCs w:val="21"/>
                <w:lang w:val="en-US" w:eastAsia="zh-CN"/>
                <w14:textFill>
                  <w14:solidFill>
                    <w14:schemeClr w14:val="tx1"/>
                  </w14:solidFill>
                </w14:textFill>
              </w:rPr>
              <w:t>的，得5分；</w:t>
            </w:r>
          </w:p>
          <w:p>
            <w:pPr>
              <w:pStyle w:val="2"/>
              <w:rPr>
                <w:rFonts w:hint="eastAsia" w:ascii="宋体" w:hAnsi="宋体"/>
                <w:color w:val="000000" w:themeColor="text1"/>
                <w:sz w:val="21"/>
                <w:szCs w:val="21"/>
                <w:lang w:val="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规划</w:t>
            </w:r>
            <w:r>
              <w:rPr>
                <w:rFonts w:hint="eastAsia" w:ascii="宋体" w:hAnsi="宋体"/>
                <w:color w:val="000000" w:themeColor="text1"/>
                <w:sz w:val="21"/>
                <w:szCs w:val="21"/>
                <w:lang w:val="zh-CN"/>
                <w14:textFill>
                  <w14:solidFill>
                    <w14:schemeClr w14:val="tx1"/>
                  </w14:solidFill>
                </w14:textFill>
              </w:rPr>
              <w:t>系统</w:t>
            </w:r>
            <w:r>
              <w:rPr>
                <w:rFonts w:hint="eastAsia"/>
                <w:color w:val="000000" w:themeColor="text1"/>
                <w:sz w:val="21"/>
                <w:szCs w:val="21"/>
                <w:lang w:val="en-US" w:eastAsia="zh-CN"/>
                <w14:textFill>
                  <w14:solidFill>
                    <w14:schemeClr w14:val="tx1"/>
                  </w14:solidFill>
                </w14:textFill>
              </w:rPr>
              <w:t>治理</w:t>
            </w:r>
            <w:r>
              <w:rPr>
                <w:rFonts w:hint="eastAsia" w:ascii="宋体" w:hAnsi="宋体"/>
                <w:color w:val="000000" w:themeColor="text1"/>
                <w:sz w:val="21"/>
                <w:szCs w:val="21"/>
                <w:lang w:val="zh-CN"/>
                <w14:textFill>
                  <w14:solidFill>
                    <w14:schemeClr w14:val="tx1"/>
                  </w14:solidFill>
                </w14:textFill>
              </w:rPr>
              <w:t>方案</w:t>
            </w:r>
            <w:r>
              <w:rPr>
                <w:rFonts w:hint="eastAsia"/>
                <w:color w:val="000000" w:themeColor="text1"/>
                <w:sz w:val="21"/>
                <w:szCs w:val="21"/>
                <w:lang w:val="en-US" w:eastAsia="zh-CN"/>
                <w14:textFill>
                  <w14:solidFill>
                    <w14:schemeClr w14:val="tx1"/>
                  </w14:solidFill>
                </w14:textFill>
              </w:rPr>
              <w:t>不够</w:t>
            </w:r>
            <w:r>
              <w:rPr>
                <w:rFonts w:hint="eastAsia" w:ascii="宋体" w:hAnsi="宋体"/>
                <w:color w:val="000000" w:themeColor="text1"/>
                <w:sz w:val="21"/>
                <w:szCs w:val="21"/>
                <w:lang w:val="zh-CN"/>
                <w14:textFill>
                  <w14:solidFill>
                    <w14:schemeClr w14:val="tx1"/>
                  </w14:solidFill>
                </w14:textFill>
              </w:rPr>
              <w:t>合理，</w:t>
            </w:r>
            <w:r>
              <w:rPr>
                <w:rFonts w:hint="eastAsia"/>
                <w:color w:val="000000" w:themeColor="text1"/>
                <w:sz w:val="21"/>
                <w:szCs w:val="21"/>
                <w:lang w:val="en-US" w:eastAsia="zh-CN"/>
                <w14:textFill>
                  <w14:solidFill>
                    <w14:schemeClr w14:val="tx1"/>
                  </w14:solidFill>
                </w14:textFill>
              </w:rPr>
              <w:t>不大</w:t>
            </w:r>
            <w:r>
              <w:rPr>
                <w:rFonts w:hint="eastAsia" w:ascii="宋体" w:hAnsi="宋体"/>
                <w:color w:val="000000" w:themeColor="text1"/>
                <w:sz w:val="21"/>
                <w:szCs w:val="21"/>
                <w:lang w:val="zh-CN"/>
                <w14:textFill>
                  <w14:solidFill>
                    <w14:schemeClr w14:val="tx1"/>
                  </w14:solidFill>
                </w14:textFill>
              </w:rPr>
              <w:t>全面，</w:t>
            </w:r>
            <w:r>
              <w:rPr>
                <w:rFonts w:hint="eastAsia"/>
                <w:color w:val="000000" w:themeColor="text1"/>
                <w:sz w:val="21"/>
                <w:szCs w:val="21"/>
                <w:lang w:val="en-US" w:eastAsia="zh-CN"/>
                <w14:textFill>
                  <w14:solidFill>
                    <w14:schemeClr w14:val="tx1"/>
                  </w14:solidFill>
                </w14:textFill>
              </w:rPr>
              <w:t>但基本</w:t>
            </w:r>
            <w:r>
              <w:rPr>
                <w:rFonts w:hint="eastAsia" w:ascii="宋体" w:hAnsi="宋体"/>
                <w:color w:val="000000" w:themeColor="text1"/>
                <w:sz w:val="21"/>
                <w:szCs w:val="21"/>
                <w:lang w:val="zh-CN"/>
                <w14:textFill>
                  <w14:solidFill>
                    <w14:schemeClr w14:val="tx1"/>
                  </w14:solidFill>
                </w14:textFill>
              </w:rPr>
              <w:t>符合大保护治水理念</w:t>
            </w:r>
            <w:r>
              <w:rPr>
                <w:rFonts w:hint="eastAsia"/>
                <w:color w:val="000000" w:themeColor="text1"/>
                <w:sz w:val="21"/>
                <w:szCs w:val="21"/>
                <w:lang w:val="en-US" w:eastAsia="zh-CN"/>
                <w14:textFill>
                  <w14:solidFill>
                    <w14:schemeClr w14:val="tx1"/>
                  </w14:solidFill>
                </w14:textFill>
              </w:rPr>
              <w:t>的，</w:t>
            </w:r>
            <w:r>
              <w:rPr>
                <w:rFonts w:hint="eastAsia" w:ascii="宋体" w:hAnsi="宋体"/>
                <w:color w:val="000000" w:themeColor="text1"/>
                <w:sz w:val="21"/>
                <w:szCs w:val="21"/>
                <w:lang w:val="zh-CN"/>
                <w14:textFill>
                  <w14:solidFill>
                    <w14:schemeClr w14:val="tx1"/>
                  </w14:solidFill>
                </w14:textFill>
              </w:rPr>
              <w:t>得2分。</w:t>
            </w:r>
          </w:p>
          <w:p>
            <w:pPr>
              <w:pStyle w:val="2"/>
              <w:rPr>
                <w:sz w:val="21"/>
                <w:szCs w:val="21"/>
                <w:lang w:val="zh-CN"/>
              </w:rPr>
            </w:pPr>
          </w:p>
          <w:p>
            <w:pPr>
              <w:rPr>
                <w:rFonts w:hint="eastAsia" w:ascii="宋体" w:hAnsi="宋体"/>
                <w:color w:val="000000" w:themeColor="text1"/>
                <w:sz w:val="21"/>
                <w:szCs w:val="21"/>
                <w:lang w:val="zh-CN"/>
                <w14:textFill>
                  <w14:solidFill>
                    <w14:schemeClr w14:val="tx1"/>
                  </w14:solidFill>
                </w14:textFill>
              </w:rPr>
            </w:pPr>
            <w:r>
              <w:rPr>
                <w:rFonts w:hint="eastAsia" w:ascii="宋体" w:hAnsi="宋体"/>
                <w:color w:val="000000" w:themeColor="text1"/>
                <w:sz w:val="21"/>
                <w:szCs w:val="21"/>
                <w:lang w:val="zh-CN"/>
                <w14:textFill>
                  <w14:solidFill>
                    <w14:schemeClr w14:val="tx1"/>
                  </w14:solidFill>
                </w14:textFill>
              </w:rPr>
              <w:t>（4）提出规划工程与投资估算：规划工程是否与现状存在问题相匹配、规划投资是否合理；提出规划保障措施：从保障规划有效实施的角度，从组织、资金、技术、监督考核等方面提出保障措施，保障措施是否合理、是否具有可行性：</w:t>
            </w:r>
          </w:p>
          <w:p>
            <w:pPr>
              <w:pStyle w:val="2"/>
              <w:rPr>
                <w:rFonts w:hint="eastAsia"/>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zh-CN"/>
                <w14:textFill>
                  <w14:solidFill>
                    <w14:schemeClr w14:val="tx1"/>
                  </w14:solidFill>
                </w14:textFill>
              </w:rPr>
              <w:t>规划工程与现状存在问题相匹配、规划投资合理；提出规划保障措施合理、具有可行性</w:t>
            </w:r>
            <w:r>
              <w:rPr>
                <w:rFonts w:hint="eastAsia"/>
                <w:color w:val="000000" w:themeColor="text1"/>
                <w:sz w:val="21"/>
                <w:szCs w:val="21"/>
                <w:lang w:val="en-US" w:eastAsia="zh-CN"/>
                <w14:textFill>
                  <w14:solidFill>
                    <w14:schemeClr w14:val="tx1"/>
                  </w14:solidFill>
                </w14:textFill>
              </w:rPr>
              <w:t>的，得8分；</w:t>
            </w:r>
          </w:p>
          <w:p>
            <w:pPr>
              <w:pStyle w:val="2"/>
              <w:rPr>
                <w:rFonts w:hint="eastAsia"/>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zh-CN"/>
                <w14:textFill>
                  <w14:solidFill>
                    <w14:schemeClr w14:val="tx1"/>
                  </w14:solidFill>
                </w14:textFill>
              </w:rPr>
              <w:t>规划工程与现状存在问题匹配、规划投资</w:t>
            </w:r>
            <w:r>
              <w:rPr>
                <w:rFonts w:hint="eastAsia"/>
                <w:color w:val="000000" w:themeColor="text1"/>
                <w:sz w:val="21"/>
                <w:szCs w:val="21"/>
                <w:lang w:val="en-US" w:eastAsia="zh-CN"/>
                <w14:textFill>
                  <w14:solidFill>
                    <w14:schemeClr w14:val="tx1"/>
                  </w14:solidFill>
                </w14:textFill>
              </w:rPr>
              <w:t>基本</w:t>
            </w:r>
            <w:r>
              <w:rPr>
                <w:rFonts w:hint="eastAsia" w:ascii="宋体" w:hAnsi="宋体"/>
                <w:color w:val="000000" w:themeColor="text1"/>
                <w:sz w:val="21"/>
                <w:szCs w:val="21"/>
                <w:lang w:val="zh-CN"/>
                <w14:textFill>
                  <w14:solidFill>
                    <w14:schemeClr w14:val="tx1"/>
                  </w14:solidFill>
                </w14:textFill>
              </w:rPr>
              <w:t>合理；提出规划保障措施</w:t>
            </w:r>
            <w:r>
              <w:rPr>
                <w:rFonts w:hint="eastAsia"/>
                <w:color w:val="000000" w:themeColor="text1"/>
                <w:sz w:val="21"/>
                <w:szCs w:val="21"/>
                <w:lang w:val="en-US" w:eastAsia="zh-CN"/>
                <w14:textFill>
                  <w14:solidFill>
                    <w14:schemeClr w14:val="tx1"/>
                  </w14:solidFill>
                </w14:textFill>
              </w:rPr>
              <w:t>基本</w:t>
            </w:r>
            <w:r>
              <w:rPr>
                <w:rFonts w:hint="eastAsia" w:ascii="宋体" w:hAnsi="宋体"/>
                <w:color w:val="000000" w:themeColor="text1"/>
                <w:sz w:val="21"/>
                <w:szCs w:val="21"/>
                <w:lang w:val="zh-CN"/>
                <w14:textFill>
                  <w14:solidFill>
                    <w14:schemeClr w14:val="tx1"/>
                  </w14:solidFill>
                </w14:textFill>
              </w:rPr>
              <w:t>合理、</w:t>
            </w:r>
            <w:r>
              <w:rPr>
                <w:rFonts w:hint="eastAsia"/>
                <w:color w:val="000000" w:themeColor="text1"/>
                <w:sz w:val="21"/>
                <w:szCs w:val="21"/>
                <w:lang w:val="en-US" w:eastAsia="zh-CN"/>
                <w14:textFill>
                  <w14:solidFill>
                    <w14:schemeClr w14:val="tx1"/>
                  </w14:solidFill>
                </w14:textFill>
              </w:rPr>
              <w:t>较</w:t>
            </w:r>
            <w:r>
              <w:rPr>
                <w:rFonts w:hint="eastAsia" w:ascii="宋体" w:hAnsi="宋体"/>
                <w:color w:val="000000" w:themeColor="text1"/>
                <w:sz w:val="21"/>
                <w:szCs w:val="21"/>
                <w:lang w:val="zh-CN"/>
                <w14:textFill>
                  <w14:solidFill>
                    <w14:schemeClr w14:val="tx1"/>
                  </w14:solidFill>
                </w14:textFill>
              </w:rPr>
              <w:t>有可行性</w:t>
            </w:r>
            <w:r>
              <w:rPr>
                <w:rFonts w:hint="eastAsia"/>
                <w:color w:val="000000" w:themeColor="text1"/>
                <w:sz w:val="21"/>
                <w:szCs w:val="21"/>
                <w:lang w:val="en-US" w:eastAsia="zh-CN"/>
                <w14:textFill>
                  <w14:solidFill>
                    <w14:schemeClr w14:val="tx1"/>
                  </w14:solidFill>
                </w14:textFill>
              </w:rPr>
              <w:t>的，得5分；</w:t>
            </w:r>
          </w:p>
          <w:p>
            <w:pPr>
              <w:pStyle w:val="2"/>
              <w:rPr>
                <w:sz w:val="21"/>
                <w:szCs w:val="21"/>
                <w:lang w:val="zh-CN"/>
              </w:rPr>
            </w:pPr>
            <w:r>
              <w:rPr>
                <w:rFonts w:hint="eastAsia" w:ascii="宋体" w:hAnsi="宋体"/>
                <w:color w:val="000000" w:themeColor="text1"/>
                <w:sz w:val="21"/>
                <w:szCs w:val="21"/>
                <w:lang w:val="zh-CN"/>
                <w14:textFill>
                  <w14:solidFill>
                    <w14:schemeClr w14:val="tx1"/>
                  </w14:solidFill>
                </w14:textFill>
              </w:rPr>
              <w:t>规划工程与现状存在问题</w:t>
            </w:r>
            <w:r>
              <w:rPr>
                <w:rFonts w:hint="eastAsia"/>
                <w:color w:val="000000" w:themeColor="text1"/>
                <w:sz w:val="21"/>
                <w:szCs w:val="21"/>
                <w:lang w:val="en-US" w:eastAsia="zh-CN"/>
                <w14:textFill>
                  <w14:solidFill>
                    <w14:schemeClr w14:val="tx1"/>
                  </w14:solidFill>
                </w14:textFill>
              </w:rPr>
              <w:t>基本</w:t>
            </w:r>
            <w:r>
              <w:rPr>
                <w:rFonts w:hint="eastAsia" w:ascii="宋体" w:hAnsi="宋体"/>
                <w:color w:val="000000" w:themeColor="text1"/>
                <w:sz w:val="21"/>
                <w:szCs w:val="21"/>
                <w:lang w:val="zh-CN"/>
                <w14:textFill>
                  <w14:solidFill>
                    <w14:schemeClr w14:val="tx1"/>
                  </w14:solidFill>
                </w14:textFill>
              </w:rPr>
              <w:t>匹配、规划投资</w:t>
            </w:r>
            <w:r>
              <w:rPr>
                <w:rFonts w:hint="eastAsia"/>
                <w:color w:val="000000" w:themeColor="text1"/>
                <w:sz w:val="21"/>
                <w:szCs w:val="21"/>
                <w:lang w:val="en-US" w:eastAsia="zh-CN"/>
                <w14:textFill>
                  <w14:solidFill>
                    <w14:schemeClr w14:val="tx1"/>
                  </w14:solidFill>
                </w14:textFill>
              </w:rPr>
              <w:t>不大</w:t>
            </w:r>
            <w:r>
              <w:rPr>
                <w:rFonts w:hint="eastAsia" w:ascii="宋体" w:hAnsi="宋体"/>
                <w:color w:val="000000" w:themeColor="text1"/>
                <w:sz w:val="21"/>
                <w:szCs w:val="21"/>
                <w:lang w:val="zh-CN"/>
                <w14:textFill>
                  <w14:solidFill>
                    <w14:schemeClr w14:val="tx1"/>
                  </w14:solidFill>
                </w14:textFill>
              </w:rPr>
              <w:t>合理；提出规划保障措施</w:t>
            </w:r>
            <w:r>
              <w:rPr>
                <w:rFonts w:hint="eastAsia"/>
                <w:color w:val="000000" w:themeColor="text1"/>
                <w:sz w:val="21"/>
                <w:szCs w:val="21"/>
                <w:lang w:val="en-US" w:eastAsia="zh-CN"/>
                <w14:textFill>
                  <w14:solidFill>
                    <w14:schemeClr w14:val="tx1"/>
                  </w14:solidFill>
                </w14:textFill>
              </w:rPr>
              <w:t>不</w:t>
            </w:r>
            <w:r>
              <w:rPr>
                <w:rFonts w:hint="eastAsia" w:ascii="宋体" w:hAnsi="宋体"/>
                <w:color w:val="000000" w:themeColor="text1"/>
                <w:sz w:val="21"/>
                <w:szCs w:val="21"/>
                <w:lang w:val="zh-CN"/>
                <w14:textFill>
                  <w14:solidFill>
                    <w14:schemeClr w14:val="tx1"/>
                  </w14:solidFill>
                </w14:textFill>
              </w:rPr>
              <w:t>合理</w:t>
            </w:r>
            <w:r>
              <w:rPr>
                <w:rFonts w:hint="eastAsia"/>
                <w:color w:val="000000" w:themeColor="text1"/>
                <w:sz w:val="21"/>
                <w:szCs w:val="21"/>
                <w:lang w:val="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不具有可行性，得2分</w:t>
            </w:r>
            <w:r>
              <w:rPr>
                <w:rFonts w:hint="eastAsia" w:ascii="宋体" w:hAnsi="宋体"/>
                <w:color w:val="000000" w:themeColor="text1"/>
                <w:sz w:val="21"/>
                <w:szCs w:val="21"/>
                <w:lang w:val="zh-CN"/>
                <w14:textFill>
                  <w14:solidFill>
                    <w14:schemeClr w14:val="tx1"/>
                  </w14:solidFill>
                </w14:textFill>
              </w:rPr>
              <w:t>。</w:t>
            </w:r>
          </w:p>
          <w:p>
            <w:pPr>
              <w:pStyle w:val="2"/>
              <w:rPr>
                <w:sz w:val="21"/>
                <w:szCs w:val="21"/>
                <w:lang w:val="zh-CN"/>
              </w:rPr>
            </w:pPr>
          </w:p>
          <w:p>
            <w:pPr>
              <w:rPr>
                <w:rFonts w:hint="eastAsia" w:ascii="宋体" w:hAnsi="宋体"/>
                <w:color w:val="000000" w:themeColor="text1"/>
                <w:sz w:val="21"/>
                <w:szCs w:val="21"/>
                <w:lang w:val="zh-CN"/>
                <w14:textFill>
                  <w14:solidFill>
                    <w14:schemeClr w14:val="tx1"/>
                  </w14:solidFill>
                </w14:textFill>
              </w:rPr>
            </w:pPr>
            <w:r>
              <w:rPr>
                <w:rFonts w:hint="eastAsia" w:ascii="宋体" w:hAnsi="宋体"/>
                <w:color w:val="000000" w:themeColor="text1"/>
                <w:sz w:val="21"/>
                <w:szCs w:val="21"/>
                <w:lang w:val="zh-CN"/>
                <w14:textFill>
                  <w14:solidFill>
                    <w14:schemeClr w14:val="tx1"/>
                  </w14:solidFill>
                </w14:textFill>
              </w:rPr>
              <w:t>（5）结合工程项目，进行规划实施后的社会、经济、环境效益分析和目标可达性分析。目标可达性分析是否合理：</w:t>
            </w:r>
          </w:p>
          <w:p>
            <w:pPr>
              <w:pStyle w:val="2"/>
              <w:rPr>
                <w:rFonts w:hint="eastAsia"/>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zh-CN"/>
                <w14:textFill>
                  <w14:solidFill>
                    <w14:schemeClr w14:val="tx1"/>
                  </w14:solidFill>
                </w14:textFill>
              </w:rPr>
              <w:t>目标可达性分析合理</w:t>
            </w:r>
            <w:r>
              <w:rPr>
                <w:rFonts w:hint="eastAsia"/>
                <w:color w:val="000000" w:themeColor="text1"/>
                <w:sz w:val="21"/>
                <w:szCs w:val="21"/>
                <w:lang w:val="en-US" w:eastAsia="zh-CN"/>
                <w14:textFill>
                  <w14:solidFill>
                    <w14:schemeClr w14:val="tx1"/>
                  </w14:solidFill>
                </w14:textFill>
              </w:rPr>
              <w:t>的，得3分；</w:t>
            </w:r>
          </w:p>
          <w:p>
            <w:pPr>
              <w:pStyle w:val="2"/>
              <w:rPr>
                <w:rFonts w:hint="eastAsia"/>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zh-CN"/>
                <w14:textFill>
                  <w14:solidFill>
                    <w14:schemeClr w14:val="tx1"/>
                  </w14:solidFill>
                </w14:textFill>
              </w:rPr>
              <w:t>目标可达性分析</w:t>
            </w:r>
            <w:r>
              <w:rPr>
                <w:rFonts w:hint="eastAsia"/>
                <w:color w:val="000000" w:themeColor="text1"/>
                <w:sz w:val="21"/>
                <w:szCs w:val="21"/>
                <w:lang w:val="en-US" w:eastAsia="zh-CN"/>
                <w14:textFill>
                  <w14:solidFill>
                    <w14:schemeClr w14:val="tx1"/>
                  </w14:solidFill>
                </w14:textFill>
              </w:rPr>
              <w:t>基本</w:t>
            </w:r>
            <w:r>
              <w:rPr>
                <w:rFonts w:hint="eastAsia" w:ascii="宋体" w:hAnsi="宋体"/>
                <w:color w:val="000000" w:themeColor="text1"/>
                <w:sz w:val="21"/>
                <w:szCs w:val="21"/>
                <w:lang w:val="zh-CN"/>
                <w14:textFill>
                  <w14:solidFill>
                    <w14:schemeClr w14:val="tx1"/>
                  </w14:solidFill>
                </w14:textFill>
              </w:rPr>
              <w:t>合理</w:t>
            </w:r>
            <w:r>
              <w:rPr>
                <w:rFonts w:hint="eastAsia"/>
                <w:color w:val="000000" w:themeColor="text1"/>
                <w:sz w:val="21"/>
                <w:szCs w:val="21"/>
                <w:lang w:val="en-US" w:eastAsia="zh-CN"/>
                <w14:textFill>
                  <w14:solidFill>
                    <w14:schemeClr w14:val="tx1"/>
                  </w14:solidFill>
                </w14:textFill>
              </w:rPr>
              <w:t>的，得2分；</w:t>
            </w:r>
          </w:p>
          <w:p>
            <w:pPr>
              <w:pStyle w:val="2"/>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zh-CN"/>
                <w14:textFill>
                  <w14:solidFill>
                    <w14:schemeClr w14:val="tx1"/>
                  </w14:solidFill>
                </w14:textFill>
              </w:rPr>
              <w:t>目标可达性分析</w:t>
            </w:r>
            <w:r>
              <w:rPr>
                <w:rFonts w:hint="eastAsia"/>
                <w:color w:val="000000" w:themeColor="text1"/>
                <w:sz w:val="21"/>
                <w:szCs w:val="21"/>
                <w:lang w:val="en-US" w:eastAsia="zh-CN"/>
                <w14:textFill>
                  <w14:solidFill>
                    <w14:schemeClr w14:val="tx1"/>
                  </w14:solidFill>
                </w14:textFill>
              </w:rPr>
              <w:t>不</w:t>
            </w:r>
            <w:r>
              <w:rPr>
                <w:rFonts w:hint="eastAsia" w:ascii="宋体" w:hAnsi="宋体"/>
                <w:color w:val="000000" w:themeColor="text1"/>
                <w:sz w:val="21"/>
                <w:szCs w:val="21"/>
                <w:lang w:val="zh-CN"/>
                <w14:textFill>
                  <w14:solidFill>
                    <w14:schemeClr w14:val="tx1"/>
                  </w14:solidFill>
                </w14:textFill>
              </w:rPr>
              <w:t>合理</w:t>
            </w:r>
            <w:r>
              <w:rPr>
                <w:rFonts w:hint="eastAsia"/>
                <w:color w:val="000000" w:themeColor="text1"/>
                <w:sz w:val="21"/>
                <w:szCs w:val="21"/>
                <w:lang w:val="en-US" w:eastAsia="zh-CN"/>
                <w14:textFill>
                  <w14:solidFill>
                    <w14:schemeClr w14:val="tx1"/>
                  </w14:solidFill>
                </w14:textFill>
              </w:rPr>
              <w:t>的，得1分。</w:t>
            </w:r>
          </w:p>
        </w:tc>
        <w:tc>
          <w:tcPr>
            <w:tcW w:w="1978" w:type="dxa"/>
          </w:tcPr>
          <w:p>
            <w:pPr>
              <w:rPr>
                <w:rFonts w:ascii="宋体" w:hAnsi="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199" w:type="dxa"/>
            <w:vMerge w:val="restart"/>
            <w:vAlign w:val="center"/>
          </w:tcPr>
          <w:p>
            <w:pPr>
              <w:spacing w:line="360" w:lineRule="exac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eastAsia="en-US"/>
                <w14:textFill>
                  <w14:solidFill>
                    <w14:schemeClr w14:val="tx1"/>
                  </w14:solidFill>
                </w14:textFill>
              </w:rPr>
              <w:t>商务部分</w:t>
            </w:r>
            <w:r>
              <w:rPr>
                <w:rFonts w:hint="eastAsia" w:ascii="宋体" w:hAnsi="宋体"/>
                <w:color w:val="000000" w:themeColor="text1"/>
                <w:sz w:val="21"/>
                <w:szCs w:val="21"/>
                <w14:textFill>
                  <w14:solidFill>
                    <w14:schemeClr w14:val="tx1"/>
                  </w14:solidFill>
                </w14:textFill>
              </w:rPr>
              <w:t>（40</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w:t>
            </w:r>
          </w:p>
        </w:tc>
        <w:tc>
          <w:tcPr>
            <w:tcW w:w="971" w:type="dxa"/>
            <w:vAlign w:val="center"/>
          </w:tcPr>
          <w:p>
            <w:pPr>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zh-CN"/>
                <w14:textFill>
                  <w14:solidFill>
                    <w14:schemeClr w14:val="tx1"/>
                  </w14:solidFill>
                </w14:textFill>
              </w:rPr>
              <w:t>投标人荣誉</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10</w:t>
            </w:r>
            <w:r>
              <w:rPr>
                <w:rFonts w:hint="eastAsia" w:ascii="宋体" w:hAnsi="宋体"/>
                <w:color w:val="000000" w:themeColor="text1"/>
                <w:sz w:val="21"/>
                <w:szCs w:val="21"/>
                <w14:textFill>
                  <w14:solidFill>
                    <w14:schemeClr w14:val="tx1"/>
                  </w14:solidFill>
                </w14:textFill>
              </w:rPr>
              <w:t>分）</w:t>
            </w:r>
          </w:p>
        </w:tc>
        <w:tc>
          <w:tcPr>
            <w:tcW w:w="6210" w:type="dxa"/>
            <w:vAlign w:val="center"/>
          </w:tcPr>
          <w:p>
            <w:pPr>
              <w:rPr>
                <w:rFonts w:ascii="宋体" w:hAnsi="宋体"/>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投标人自2</w:t>
            </w:r>
            <w:r>
              <w:rPr>
                <w:rFonts w:ascii="宋体" w:hAnsi="宋体"/>
                <w:color w:val="000000" w:themeColor="text1"/>
                <w:sz w:val="21"/>
                <w:szCs w:val="21"/>
                <w14:textFill>
                  <w14:solidFill>
                    <w14:schemeClr w14:val="tx1"/>
                  </w14:solidFill>
                </w14:textFill>
              </w:rPr>
              <w:t>017</w:t>
            </w:r>
            <w:r>
              <w:rPr>
                <w:rFonts w:hint="eastAsia" w:ascii="宋体" w:hAnsi="宋体"/>
                <w:color w:val="000000" w:themeColor="text1"/>
                <w:sz w:val="21"/>
                <w:szCs w:val="21"/>
                <w14:textFill>
                  <w14:solidFill>
                    <w14:schemeClr w14:val="tx1"/>
                  </w14:solidFill>
                </w14:textFill>
              </w:rPr>
              <w:t>年1月1日至今，承担的水利类业绩获得优秀工程咨询成果奖的，每有一个得2分，满分</w:t>
            </w:r>
            <w:r>
              <w:rPr>
                <w:rFonts w:ascii="宋体" w:hAnsi="宋体"/>
                <w:color w:val="000000" w:themeColor="text1"/>
                <w:sz w:val="21"/>
                <w:szCs w:val="21"/>
                <w14:textFill>
                  <w14:solidFill>
                    <w14:schemeClr w14:val="tx1"/>
                  </w14:solidFill>
                </w14:textFill>
              </w:rPr>
              <w:t>10</w:t>
            </w:r>
            <w:r>
              <w:rPr>
                <w:rFonts w:hint="eastAsia" w:ascii="宋体" w:hAnsi="宋体"/>
                <w:color w:val="000000" w:themeColor="text1"/>
                <w:sz w:val="21"/>
                <w:szCs w:val="21"/>
                <w14:textFill>
                  <w14:solidFill>
                    <w14:schemeClr w14:val="tx1"/>
                  </w14:solidFill>
                </w14:textFill>
              </w:rPr>
              <w:t>分</w:t>
            </w:r>
          </w:p>
        </w:tc>
        <w:tc>
          <w:tcPr>
            <w:tcW w:w="1978" w:type="dxa"/>
            <w:vAlign w:val="center"/>
          </w:tcPr>
          <w:p>
            <w:pPr>
              <w:rPr>
                <w:rFonts w:ascii="宋体" w:hAnsi="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8" w:hRule="atLeast"/>
        </w:trPr>
        <w:tc>
          <w:tcPr>
            <w:tcW w:w="1199" w:type="dxa"/>
            <w:vMerge w:val="continue"/>
            <w:vAlign w:val="center"/>
          </w:tcPr>
          <w:p>
            <w:pPr>
              <w:spacing w:line="360" w:lineRule="exact"/>
              <w:rPr>
                <w:rFonts w:ascii="宋体" w:hAnsi="宋体"/>
                <w:color w:val="000000" w:themeColor="text1"/>
                <w:sz w:val="21"/>
                <w:szCs w:val="21"/>
                <w14:textFill>
                  <w14:solidFill>
                    <w14:schemeClr w14:val="tx1"/>
                  </w14:solidFill>
                </w14:textFill>
              </w:rPr>
            </w:pPr>
          </w:p>
        </w:tc>
        <w:tc>
          <w:tcPr>
            <w:tcW w:w="971" w:type="dxa"/>
            <w:vAlign w:val="center"/>
          </w:tcPr>
          <w:p>
            <w:pPr>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项目团队配置（</w:t>
            </w:r>
            <w:r>
              <w:rPr>
                <w:rFonts w:ascii="宋体" w:hAnsi="宋体"/>
                <w:color w:val="000000" w:themeColor="text1"/>
                <w:sz w:val="21"/>
                <w:szCs w:val="21"/>
                <w14:textFill>
                  <w14:solidFill>
                    <w14:schemeClr w14:val="tx1"/>
                  </w14:solidFill>
                </w14:textFill>
              </w:rPr>
              <w:t>15</w:t>
            </w:r>
            <w:r>
              <w:rPr>
                <w:rFonts w:hint="eastAsia" w:ascii="宋体" w:hAnsi="宋体"/>
                <w:color w:val="000000" w:themeColor="text1"/>
                <w:sz w:val="21"/>
                <w:szCs w:val="21"/>
                <w14:textFill>
                  <w14:solidFill>
                    <w14:schemeClr w14:val="tx1"/>
                  </w14:solidFill>
                </w14:textFill>
              </w:rPr>
              <w:t>分）</w:t>
            </w:r>
          </w:p>
        </w:tc>
        <w:tc>
          <w:tcPr>
            <w:tcW w:w="6210" w:type="dxa"/>
            <w:vAlign w:val="center"/>
          </w:tcPr>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（1）项目负责人：</w:t>
            </w:r>
          </w:p>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①具备水利类正高级职称，得</w:t>
            </w:r>
            <w:r>
              <w:rPr>
                <w:rFonts w:ascii="宋体" w:hAnsi="宋体"/>
                <w:color w:val="000000" w:themeColor="text1"/>
                <w:sz w:val="21"/>
                <w:szCs w:val="21"/>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分；</w:t>
            </w:r>
          </w:p>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②获得过水利规划类奖项的得</w:t>
            </w:r>
            <w:r>
              <w:rPr>
                <w:rFonts w:ascii="宋体" w:hAnsi="宋体"/>
                <w:color w:val="000000" w:themeColor="text1"/>
                <w:sz w:val="21"/>
                <w:szCs w:val="21"/>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分；</w:t>
            </w:r>
          </w:p>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项目团队成员：</w:t>
            </w:r>
          </w:p>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除拟派项目负责人外的项目团队成员至少有10人，否则此项不得分。项目团队成员（项目负责人除外）中：具有环境工程、水生态保护与修复、给排水设计、水利水电规划、水利工程、工程造价、环保、园林、景观规划、水土保持全部专业（专业以职称证载明为准）有副高级（或高级工程师）及以上职称的得</w:t>
            </w:r>
            <w:r>
              <w:rPr>
                <w:rFonts w:ascii="宋体" w:hAnsi="宋体"/>
                <w:color w:val="000000" w:themeColor="text1"/>
                <w:sz w:val="21"/>
                <w:szCs w:val="21"/>
                <w14:textFill>
                  <w14:solidFill>
                    <w14:schemeClr w14:val="tx1"/>
                  </w14:solidFill>
                </w14:textFill>
              </w:rPr>
              <w:t>10</w:t>
            </w:r>
            <w:r>
              <w:rPr>
                <w:rFonts w:hint="eastAsia" w:ascii="宋体" w:hAnsi="宋体"/>
                <w:color w:val="000000" w:themeColor="text1"/>
                <w:sz w:val="21"/>
                <w:szCs w:val="21"/>
                <w14:textFill>
                  <w14:solidFill>
                    <w14:schemeClr w14:val="tx1"/>
                  </w14:solidFill>
                </w14:textFill>
              </w:rPr>
              <w:t>分，每差一个专业（专业以职称证载明为准）扣减</w:t>
            </w:r>
            <w:r>
              <w:rPr>
                <w:rFonts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分，扣完为止。</w:t>
            </w:r>
          </w:p>
        </w:tc>
        <w:tc>
          <w:tcPr>
            <w:tcW w:w="1978" w:type="dxa"/>
            <w:vAlign w:val="center"/>
          </w:tcPr>
          <w:p>
            <w:pPr>
              <w:spacing w:line="360" w:lineRule="exact"/>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项目负责人需提供近半年社保缴纳证明复印件、职称证、获奖（荣誉）证书等证明材料复印件，未提供不得分。</w:t>
            </w:r>
          </w:p>
          <w:p>
            <w:pPr>
              <w:spacing w:line="360" w:lineRule="exact"/>
              <w:rPr>
                <w:rFonts w:ascii="宋体" w:hAnsi="宋体"/>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项目团队成员需提供职称证及近半年社保缴纳证明复印件，未提供不得分。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99" w:type="dxa"/>
            <w:vMerge w:val="continue"/>
            <w:vAlign w:val="center"/>
          </w:tcPr>
          <w:p>
            <w:pPr>
              <w:spacing w:line="360" w:lineRule="exact"/>
              <w:rPr>
                <w:rFonts w:ascii="宋体" w:hAnsi="宋体"/>
                <w:color w:val="000000" w:themeColor="text1"/>
                <w:sz w:val="21"/>
                <w:szCs w:val="21"/>
                <w14:textFill>
                  <w14:solidFill>
                    <w14:schemeClr w14:val="tx1"/>
                  </w14:solidFill>
                </w14:textFill>
              </w:rPr>
            </w:pPr>
          </w:p>
        </w:tc>
        <w:tc>
          <w:tcPr>
            <w:tcW w:w="971" w:type="dxa"/>
            <w:vAlign w:val="center"/>
          </w:tcPr>
          <w:p>
            <w:pPr>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投标人业绩（15分）</w:t>
            </w:r>
          </w:p>
        </w:tc>
        <w:tc>
          <w:tcPr>
            <w:tcW w:w="6210" w:type="dxa"/>
            <w:vAlign w:val="center"/>
          </w:tcPr>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201</w:t>
            </w:r>
            <w:r>
              <w:rPr>
                <w:rFonts w:ascii="宋体" w:hAnsi="宋体"/>
                <w:color w:val="000000" w:themeColor="text1"/>
                <w:sz w:val="21"/>
                <w:szCs w:val="21"/>
                <w14:textFill>
                  <w14:solidFill>
                    <w14:schemeClr w14:val="tx1"/>
                  </w14:solidFill>
                </w14:textFill>
              </w:rPr>
              <w:t>8</w:t>
            </w:r>
            <w:r>
              <w:rPr>
                <w:rFonts w:hint="eastAsia" w:ascii="宋体" w:hAnsi="宋体"/>
                <w:color w:val="000000" w:themeColor="text1"/>
                <w:sz w:val="21"/>
                <w:szCs w:val="21"/>
                <w14:textFill>
                  <w14:solidFill>
                    <w14:schemeClr w14:val="tx1"/>
                  </w14:solidFill>
                </w14:textFill>
              </w:rPr>
              <w:t>年01月01日起至今，投标人承担过水生态综合治理规划或河流综合治理规划业绩，每个得</w:t>
            </w:r>
            <w:r>
              <w:rPr>
                <w:rFonts w:ascii="宋体" w:hAnsi="宋体"/>
                <w:color w:val="000000" w:themeColor="text1"/>
                <w:sz w:val="21"/>
                <w:szCs w:val="21"/>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分，最多得</w:t>
            </w:r>
            <w:r>
              <w:rPr>
                <w:rFonts w:ascii="宋体" w:hAnsi="宋体"/>
                <w:color w:val="000000" w:themeColor="text1"/>
                <w:sz w:val="21"/>
                <w:szCs w:val="21"/>
                <w14:textFill>
                  <w14:solidFill>
                    <w14:schemeClr w14:val="tx1"/>
                  </w14:solidFill>
                </w14:textFill>
              </w:rPr>
              <w:t>15</w:t>
            </w:r>
            <w:r>
              <w:rPr>
                <w:rFonts w:hint="eastAsia" w:ascii="宋体" w:hAnsi="宋体"/>
                <w:color w:val="000000" w:themeColor="text1"/>
                <w:sz w:val="21"/>
                <w:szCs w:val="21"/>
                <w14:textFill>
                  <w14:solidFill>
                    <w14:schemeClr w14:val="tx1"/>
                  </w14:solidFill>
                </w14:textFill>
              </w:rPr>
              <w:t>分。</w:t>
            </w:r>
          </w:p>
        </w:tc>
        <w:tc>
          <w:tcPr>
            <w:tcW w:w="1978" w:type="dxa"/>
            <w:vAlign w:val="center"/>
          </w:tcPr>
          <w:p>
            <w:pPr>
              <w:spacing w:line="360" w:lineRule="exact"/>
              <w:rPr>
                <w:rFonts w:ascii="宋体" w:hAnsi="宋体"/>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提供业绩合同复印件，未提供不得分。</w:t>
            </w:r>
          </w:p>
        </w:tc>
      </w:tr>
      <w:bookmarkEnd w:id="57"/>
      <w:bookmarkEnd w:id="58"/>
    </w:tbl>
    <w:p>
      <w:pPr>
        <w:ind w:firstLine="420" w:firstLineChars="200"/>
        <w:rPr>
          <w:b/>
        </w:rPr>
      </w:pPr>
      <w:r>
        <w:rPr>
          <w:rFonts w:hint="eastAsia"/>
          <w:b/>
        </w:rPr>
        <w:t>备注：以上所有须提供的证件、证书、有关资料等投标人都必须提供复印件等有关资料供专家评委评审，否则不得分。投标人投标时须认真对待、如实应标。凡提供虚假材料谋取中标的，一经查实，根据《政府采购法》第七十七条之规定，将对供应商处以罚款、列入不良行为记录名单、依法追究刑事责任等。</w:t>
      </w:r>
      <w:r>
        <w:rPr>
          <w:b/>
        </w:rPr>
        <w:br w:type="page"/>
      </w:r>
    </w:p>
    <w:p/>
    <w:p>
      <w:pPr>
        <w:pStyle w:val="3"/>
        <w:numPr>
          <w:ilvl w:val="0"/>
          <w:numId w:val="1"/>
        </w:numPr>
        <w:jc w:val="center"/>
        <w:rPr>
          <w:rFonts w:ascii="黑体" w:hAnsi="黑体" w:eastAsia="黑体"/>
        </w:rPr>
      </w:pPr>
      <w:bookmarkStart w:id="59" w:name="_Toc494665546"/>
      <w:bookmarkStart w:id="60" w:name="_Toc494702263"/>
      <w:bookmarkStart w:id="61" w:name="_Toc494745310"/>
      <w:bookmarkStart w:id="62" w:name="_Toc494664993"/>
      <w:bookmarkStart w:id="63" w:name="_Toc494721093"/>
      <w:bookmarkStart w:id="64" w:name="_Toc494665943"/>
      <w:bookmarkStart w:id="65" w:name="_Toc495861545"/>
      <w:r>
        <w:rPr>
          <w:rFonts w:hint="eastAsia" w:ascii="黑体" w:hAnsi="黑体" w:eastAsia="黑体"/>
        </w:rPr>
        <w:t>合同书格式（参考）</w:t>
      </w:r>
      <w:bookmarkEnd w:id="59"/>
      <w:bookmarkEnd w:id="60"/>
      <w:bookmarkEnd w:id="61"/>
      <w:bookmarkEnd w:id="62"/>
      <w:bookmarkEnd w:id="63"/>
      <w:bookmarkEnd w:id="64"/>
      <w:bookmarkEnd w:id="65"/>
    </w:p>
    <w:p>
      <w:pPr>
        <w:spacing w:line="360" w:lineRule="auto"/>
        <w:ind w:firstLine="480" w:firstLineChars="20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eastAsia="宋体" w:cs="Times New Roman"/>
          <w:b/>
          <w:kern w:val="0"/>
          <w:sz w:val="36"/>
          <w:szCs w:val="36"/>
        </w:rPr>
      </w:pPr>
      <w:r>
        <w:rPr>
          <w:rFonts w:hint="eastAsia" w:ascii="宋体" w:hAnsi="宋体" w:eastAsia="宋体" w:cs="Times New Roman"/>
          <w:b/>
          <w:kern w:val="0"/>
          <w:sz w:val="36"/>
          <w:szCs w:val="36"/>
        </w:rPr>
        <w:t>合   同   书</w:t>
      </w:r>
    </w:p>
    <w:p>
      <w:pPr>
        <w:spacing w:before="78"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项目名称：</w:t>
      </w:r>
    </w:p>
    <w:p>
      <w:pPr>
        <w:spacing w:before="78"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合同编号：</w:t>
      </w:r>
    </w:p>
    <w:p>
      <w:pPr>
        <w:spacing w:before="78"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签订日期：</w:t>
      </w:r>
    </w:p>
    <w:p>
      <w:pPr>
        <w:spacing w:before="78"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签订合同地点：</w:t>
      </w:r>
    </w:p>
    <w:p>
      <w:pPr>
        <w:spacing w:before="78" w:beforeLines="25" w:line="360" w:lineRule="auto"/>
        <w:ind w:firstLine="480" w:firstLineChars="200"/>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本合同由</w:t>
      </w:r>
      <w:r>
        <w:rPr>
          <w:rFonts w:hint="eastAsia" w:ascii="Helvetica" w:hAnsi="Helvetica" w:eastAsia="宋体" w:cs="Helvetica"/>
          <w:kern w:val="0"/>
          <w:sz w:val="24"/>
          <w:szCs w:val="24"/>
          <w:u w:val="single"/>
          <w:lang w:val="zh-CN"/>
        </w:rPr>
        <w:t>（采购人）</w:t>
      </w:r>
      <w:r>
        <w:rPr>
          <w:rFonts w:hint="eastAsia" w:ascii="Helvetica" w:hAnsi="Helvetica" w:eastAsia="宋体" w:cs="Helvetica"/>
          <w:kern w:val="0"/>
          <w:sz w:val="24"/>
          <w:szCs w:val="24"/>
          <w:lang w:val="zh-CN"/>
        </w:rPr>
        <w:t>（以下简称“甲方”）与</w:t>
      </w:r>
      <w:r>
        <w:rPr>
          <w:rFonts w:hint="eastAsia" w:ascii="Helvetica" w:hAnsi="Helvetica" w:eastAsia="宋体" w:cs="Helvetica"/>
          <w:kern w:val="0"/>
          <w:sz w:val="24"/>
          <w:szCs w:val="24"/>
          <w:u w:val="single"/>
          <w:lang w:val="zh-CN"/>
        </w:rPr>
        <w:t>（中标人）</w:t>
      </w:r>
      <w:r>
        <w:rPr>
          <w:rFonts w:hint="eastAsia" w:ascii="Helvetica" w:hAnsi="Helvetica" w:eastAsia="宋体" w:cs="Helvetica"/>
          <w:kern w:val="0"/>
          <w:sz w:val="24"/>
          <w:szCs w:val="24"/>
          <w:lang w:val="zh-CN"/>
        </w:rPr>
        <w:t>（以下简称“乙方”）签订。乙方以总金额万元人民币（用大写数字书写）向甲方提供如下货物（工程或服务）：</w:t>
      </w:r>
    </w:p>
    <w:p>
      <w:pPr>
        <w:spacing w:before="78" w:beforeLines="25" w:line="360" w:lineRule="auto"/>
        <w:ind w:firstLine="489" w:firstLineChars="204"/>
        <w:contextualSpacing/>
        <w:rPr>
          <w:rFonts w:ascii="宋体" w:hAnsi="宋体" w:eastAsia="宋体" w:cs="Times New Roman"/>
          <w:b/>
          <w:kern w:val="0"/>
          <w:sz w:val="24"/>
          <w:szCs w:val="20"/>
        </w:rPr>
      </w:pPr>
      <w:r>
        <w:rPr>
          <w:rFonts w:hint="eastAsia" w:ascii="Helvetica" w:hAnsi="Helvetica" w:eastAsia="宋体" w:cs="Helvetica"/>
          <w:b/>
          <w:kern w:val="0"/>
          <w:sz w:val="24"/>
          <w:szCs w:val="24"/>
          <w:lang w:val="zh-CN"/>
        </w:rPr>
        <w:t>经双方协商，同意按下列条文执行：</w:t>
      </w:r>
    </w:p>
    <w:p>
      <w:pPr>
        <w:numPr>
          <w:ilvl w:val="3"/>
          <w:numId w:val="55"/>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本合同甲、乙双方应遵守国家颁布的《中华人民共和国合同法》、《中华人民共和国政府采购法》，并各自履行应负的全部责任和义务。</w:t>
      </w:r>
    </w:p>
    <w:p>
      <w:pPr>
        <w:numPr>
          <w:ilvl w:val="3"/>
          <w:numId w:val="55"/>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甲方保证按合同条款规定的时间和方式付给乙方到期应付的合同款，并承担应负的责任和义务。</w:t>
      </w:r>
    </w:p>
    <w:p>
      <w:pPr>
        <w:numPr>
          <w:ilvl w:val="3"/>
          <w:numId w:val="55"/>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乙方保证按合同条款规定的内容和工期（服务期限）向甲方提供合格的货物（工程或服务），并承担应负的责任和义务。</w:t>
      </w:r>
    </w:p>
    <w:p>
      <w:pPr>
        <w:numPr>
          <w:ilvl w:val="3"/>
          <w:numId w:val="55"/>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合同文件。下列文件为本合同不可分割的部分：</w:t>
      </w:r>
    </w:p>
    <w:p>
      <w:pPr>
        <w:numPr>
          <w:ilvl w:val="0"/>
          <w:numId w:val="56"/>
        </w:numPr>
        <w:adjustRightInd w:val="0"/>
        <w:spacing w:before="78"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招标文件（项目编号：</w:t>
      </w:r>
      <w:r>
        <w:rPr>
          <w:rFonts w:hint="eastAsia" w:ascii="宋体" w:hAnsi="宋体" w:eastAsia="宋体" w:cs="Times New Roman"/>
          <w:kern w:val="0"/>
          <w:sz w:val="24"/>
          <w:szCs w:val="20"/>
          <w:u w:val="single"/>
          <w:lang w:val="zh-CN"/>
        </w:rPr>
        <w:t>　　            　</w:t>
      </w:r>
      <w:r>
        <w:rPr>
          <w:rFonts w:hint="eastAsia" w:ascii="宋体" w:hAnsi="宋体" w:eastAsia="宋体" w:cs="Times New Roman"/>
          <w:kern w:val="0"/>
          <w:sz w:val="24"/>
          <w:szCs w:val="20"/>
          <w:lang w:val="zh-CN"/>
        </w:rPr>
        <w:t>）；</w:t>
      </w:r>
    </w:p>
    <w:p>
      <w:pPr>
        <w:numPr>
          <w:ilvl w:val="0"/>
          <w:numId w:val="56"/>
        </w:numPr>
        <w:adjustRightInd w:val="0"/>
        <w:spacing w:before="78"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中标的投标文件；</w:t>
      </w:r>
    </w:p>
    <w:p>
      <w:pPr>
        <w:numPr>
          <w:ilvl w:val="0"/>
          <w:numId w:val="56"/>
        </w:numPr>
        <w:adjustRightInd w:val="0"/>
        <w:spacing w:before="78"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合同书；</w:t>
      </w:r>
    </w:p>
    <w:p>
      <w:pPr>
        <w:numPr>
          <w:ilvl w:val="0"/>
          <w:numId w:val="56"/>
        </w:numPr>
        <w:adjustRightInd w:val="0"/>
        <w:spacing w:before="78"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合同条款；</w:t>
      </w:r>
    </w:p>
    <w:p>
      <w:pPr>
        <w:numPr>
          <w:ilvl w:val="0"/>
          <w:numId w:val="56"/>
        </w:numPr>
        <w:adjustRightInd w:val="0"/>
        <w:spacing w:before="78"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采购机构发出的中标通知书；</w:t>
      </w:r>
    </w:p>
    <w:p>
      <w:pPr>
        <w:numPr>
          <w:ilvl w:val="0"/>
          <w:numId w:val="56"/>
        </w:numPr>
        <w:adjustRightInd w:val="0"/>
        <w:spacing w:before="78"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附件；</w:t>
      </w:r>
    </w:p>
    <w:p>
      <w:pPr>
        <w:numPr>
          <w:ilvl w:val="0"/>
          <w:numId w:val="57"/>
        </w:numPr>
        <w:spacing w:before="78" w:beforeLines="25" w:line="360" w:lineRule="auto"/>
        <w:ind w:left="1358" w:hanging="724"/>
        <w:rPr>
          <w:rFonts w:ascii="宋体" w:hAnsi="宋体" w:eastAsia="宋体" w:cs="Times New Roman"/>
          <w:sz w:val="24"/>
          <w:szCs w:val="20"/>
          <w:lang w:val="zh-CN"/>
        </w:rPr>
      </w:pPr>
      <w:r>
        <w:rPr>
          <w:rFonts w:hint="eastAsia" w:ascii="宋体" w:hAnsi="宋体" w:eastAsia="宋体" w:cs="Times New Roman"/>
          <w:kern w:val="0"/>
          <w:sz w:val="24"/>
          <w:szCs w:val="20"/>
          <w:lang w:val="zh-CN"/>
        </w:rPr>
        <w:t>甲方</w:t>
      </w:r>
      <w:r>
        <w:rPr>
          <w:rFonts w:hint="eastAsia" w:ascii="宋体" w:hAnsi="宋体" w:eastAsia="宋体" w:cs="Times New Roman"/>
          <w:sz w:val="24"/>
          <w:szCs w:val="20"/>
          <w:lang w:val="zh-CN"/>
        </w:rPr>
        <w:t>在招标期间发布的所有补充通知；</w:t>
      </w:r>
    </w:p>
    <w:p>
      <w:pPr>
        <w:numPr>
          <w:ilvl w:val="0"/>
          <w:numId w:val="57"/>
        </w:numPr>
        <w:spacing w:before="78"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乙方在投标期内补充的所有书面文件；</w:t>
      </w:r>
    </w:p>
    <w:p>
      <w:pPr>
        <w:numPr>
          <w:ilvl w:val="0"/>
          <w:numId w:val="57"/>
        </w:numPr>
        <w:spacing w:before="78"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乙方在投标时随同投标文件一起递送的资料及附图；</w:t>
      </w:r>
    </w:p>
    <w:p>
      <w:pPr>
        <w:numPr>
          <w:ilvl w:val="0"/>
          <w:numId w:val="57"/>
        </w:numPr>
        <w:spacing w:before="78"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在商洽本合同时，双方澄清、确认并共同签字的补充文件、技术协议。</w:t>
      </w:r>
    </w:p>
    <w:p>
      <w:pPr>
        <w:numPr>
          <w:ilvl w:val="3"/>
          <w:numId w:val="55"/>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合同范围和条件。本合同的范围和条件应与上述规定的合同文件内容相一致。</w:t>
      </w:r>
    </w:p>
    <w:p>
      <w:pPr>
        <w:numPr>
          <w:ilvl w:val="3"/>
          <w:numId w:val="55"/>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货物（工程或服务）及数量。本合同所提供的货物（工程或服务）及数量详见招标文件的要求及乙方投标文件中的承诺。</w:t>
      </w:r>
    </w:p>
    <w:p>
      <w:pPr>
        <w:numPr>
          <w:ilvl w:val="3"/>
          <w:numId w:val="55"/>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付款条件。本合同的付款条件按招标文件规定执行。</w:t>
      </w:r>
    </w:p>
    <w:p>
      <w:pPr>
        <w:numPr>
          <w:ilvl w:val="3"/>
          <w:numId w:val="55"/>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合同金额。合同总金额见合同书，分项价格在乙方的投标报价表中有明确规定。</w:t>
      </w:r>
    </w:p>
    <w:p>
      <w:pPr>
        <w:numPr>
          <w:ilvl w:val="3"/>
          <w:numId w:val="55"/>
        </w:numPr>
        <w:tabs>
          <w:tab w:val="left" w:pos="854"/>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工期和交货（服务）地点。本合同中货物（工程或服务）的工期、交货（服务）地点在招标文件中有明确规定。</w:t>
      </w:r>
    </w:p>
    <w:p>
      <w:pPr>
        <w:numPr>
          <w:ilvl w:val="3"/>
          <w:numId w:val="55"/>
        </w:numPr>
        <w:tabs>
          <w:tab w:val="left" w:pos="980"/>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合同生效。本合同经甲、乙双方授权代表签字和加盖公章（或合同专用章）后生效。如招标申请公证的，合同需经公证机构公证后生效。</w:t>
      </w:r>
    </w:p>
    <w:p>
      <w:pPr>
        <w:numPr>
          <w:ilvl w:val="3"/>
          <w:numId w:val="55"/>
        </w:numPr>
        <w:tabs>
          <w:tab w:val="left" w:pos="980"/>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合同的份数。本合同正本一式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份；副本一式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w:t>
      </w:r>
    </w:p>
    <w:p>
      <w:pPr>
        <w:numPr>
          <w:ilvl w:val="3"/>
          <w:numId w:val="55"/>
        </w:numPr>
        <w:tabs>
          <w:tab w:val="left" w:pos="980"/>
        </w:tabs>
        <w:autoSpaceDE w:val="0"/>
        <w:autoSpaceDN w:val="0"/>
        <w:spacing w:before="78"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合同的失效。本合同在合同价款全部结清后失效。</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甲　　方：</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乙　　方：</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单位名称（盖章）：</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单位名称（盖章）：</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单位地址：</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单位地址：</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法人代表授权人(签字)：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法人代表授权人(签字)：</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联 系 人：</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联 系 人：</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电　　话：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电　　话：</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传　　真：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传　　真：</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邮政编码：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邮政编码：</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开户银行：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开户银行：</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帐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帐　　号：</w:t>
      </w:r>
    </w:p>
    <w:p>
      <w:pPr>
        <w:spacing w:before="78"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税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税　　号：</w:t>
      </w:r>
    </w:p>
    <w:p>
      <w:r>
        <w:br w:type="page"/>
      </w:r>
    </w:p>
    <w:p>
      <w:pPr>
        <w:pStyle w:val="3"/>
        <w:numPr>
          <w:ilvl w:val="0"/>
          <w:numId w:val="1"/>
        </w:numPr>
        <w:jc w:val="center"/>
        <w:rPr>
          <w:rFonts w:ascii="黑体" w:hAnsi="黑体" w:eastAsia="黑体"/>
        </w:rPr>
      </w:pPr>
      <w:bookmarkStart w:id="66" w:name="_Toc495861546"/>
      <w:bookmarkStart w:id="67" w:name="_Toc494665944"/>
      <w:bookmarkStart w:id="68" w:name="_Toc494721094"/>
      <w:bookmarkStart w:id="69" w:name="_Toc494665547"/>
      <w:bookmarkStart w:id="70" w:name="_Toc494702264"/>
      <w:bookmarkStart w:id="71" w:name="_Toc494664994"/>
      <w:bookmarkStart w:id="72" w:name="_Toc494745311"/>
      <w:r>
        <w:rPr>
          <w:rFonts w:hint="eastAsia" w:ascii="黑体" w:hAnsi="黑体" w:eastAsia="黑体"/>
        </w:rPr>
        <w:t>投标文件格式（参考）</w:t>
      </w:r>
      <w:bookmarkEnd w:id="66"/>
      <w:bookmarkEnd w:id="67"/>
      <w:bookmarkEnd w:id="68"/>
      <w:bookmarkEnd w:id="69"/>
      <w:bookmarkEnd w:id="70"/>
      <w:bookmarkEnd w:id="71"/>
      <w:bookmarkEnd w:id="72"/>
    </w:p>
    <w:p>
      <w:pPr>
        <w:spacing w:after="780" w:afterLines="250"/>
        <w:jc w:val="center"/>
        <w:rPr>
          <w:rFonts w:ascii="黑体" w:hAnsi="黑体" w:eastAsia="黑体"/>
          <w:b/>
          <w:sz w:val="56"/>
          <w:szCs w:val="56"/>
        </w:rPr>
      </w:pPr>
      <w:r>
        <w:rPr>
          <w:rFonts w:hint="eastAsia" w:ascii="黑体" w:hAnsi="黑体" w:eastAsia="黑体"/>
          <w:b/>
          <w:sz w:val="56"/>
          <w:szCs w:val="56"/>
        </w:rPr>
        <w:t>阳新县县级政府采购</w:t>
      </w:r>
    </w:p>
    <w:p>
      <w:pPr>
        <w:spacing w:after="624" w:afterLines="200"/>
        <w:jc w:val="center"/>
        <w:rPr>
          <w:rFonts w:ascii="黑体" w:hAnsi="黑体" w:eastAsia="黑体"/>
          <w:b/>
          <w:sz w:val="144"/>
          <w:szCs w:val="144"/>
        </w:rPr>
      </w:pPr>
      <w:r>
        <w:rPr>
          <w:rFonts w:hint="eastAsia" w:ascii="黑体" w:hAnsi="黑体" w:eastAsia="黑体"/>
          <w:b/>
          <w:sz w:val="144"/>
          <w:szCs w:val="144"/>
        </w:rPr>
        <w:t>投 标 文 件</w:t>
      </w:r>
    </w:p>
    <w:p>
      <w:pPr>
        <w:spacing w:after="624" w:afterLines="200"/>
        <w:jc w:val="center"/>
        <w:rPr>
          <w:rFonts w:ascii="黑体" w:hAnsi="黑体" w:eastAsia="黑体"/>
          <w:b/>
          <w:sz w:val="144"/>
          <w:szCs w:val="144"/>
        </w:rPr>
      </w:pPr>
    </w:p>
    <w:p>
      <w:pPr>
        <w:pStyle w:val="4"/>
        <w:spacing w:before="340" w:after="480" w:line="360" w:lineRule="auto"/>
        <w:jc w:val="center"/>
        <w:rPr>
          <w:rFonts w:cs="Times New Roman" w:asciiTheme="majorEastAsia" w:hAnsiTheme="majorEastAsia"/>
          <w:bCs w:val="0"/>
          <w:sz w:val="44"/>
          <w:szCs w:val="44"/>
          <w:lang w:val="zh-CN"/>
        </w:rPr>
      </w:pPr>
      <w:bookmarkStart w:id="73" w:name="_Toc494665945"/>
      <w:bookmarkStart w:id="74" w:name="_Toc494721095"/>
      <w:bookmarkStart w:id="75" w:name="_Toc494664995"/>
      <w:bookmarkStart w:id="76" w:name="_Toc494665548"/>
      <w:bookmarkStart w:id="77" w:name="_Toc494745312"/>
      <w:bookmarkStart w:id="78" w:name="_Toc495861547"/>
      <w:bookmarkStart w:id="79" w:name="_Toc494702265"/>
      <w:r>
        <w:rPr>
          <w:rFonts w:hint="eastAsia" w:cs="Times New Roman" w:asciiTheme="majorEastAsia" w:hAnsiTheme="majorEastAsia"/>
          <w:bCs w:val="0"/>
          <w:sz w:val="44"/>
          <w:szCs w:val="44"/>
          <w:lang w:val="zh-CN"/>
        </w:rPr>
        <w:t>第一部分 资格证明文件</w:t>
      </w:r>
      <w:bookmarkEnd w:id="73"/>
      <w:bookmarkEnd w:id="74"/>
      <w:bookmarkEnd w:id="75"/>
      <w:bookmarkEnd w:id="76"/>
      <w:bookmarkEnd w:id="77"/>
      <w:bookmarkEnd w:id="78"/>
      <w:bookmarkEnd w:id="79"/>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right="1287" w:rightChars="613"/>
        <w:jc w:val="center"/>
        <w:rPr>
          <w:rFonts w:cs="Times New Roman" w:asciiTheme="minorEastAsia" w:hAnsiTheme="minorEastAsia"/>
          <w:b/>
          <w:bCs/>
          <w:sz w:val="96"/>
          <w:szCs w:val="96"/>
        </w:rPr>
      </w:pPr>
      <w:r>
        <w:rPr>
          <w:rFonts w:hint="eastAsia" w:cs="Times New Roman" w:asciiTheme="minorEastAsia" w:hAnsiTheme="minorEastAsia"/>
          <w:b/>
          <w:bCs/>
          <w:sz w:val="96"/>
          <w:szCs w:val="96"/>
        </w:rPr>
        <w:t xml:space="preserve">   投标人（盖章）</w:t>
      </w:r>
    </w:p>
    <w:p>
      <w:pPr>
        <w:spacing w:line="360" w:lineRule="auto"/>
        <w:ind w:left="1971" w:leftChars="939" w:right="1287" w:rightChars="613" w:firstLine="1104" w:firstLineChars="345"/>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312" w:beforeLines="100" w:after="312"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p>
      <w:pPr>
        <w:spacing w:before="312"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80" w:name="_Toc494745313"/>
      <w:bookmarkStart w:id="81" w:name="_Toc494721096"/>
      <w:bookmarkStart w:id="82" w:name="_Toc494665946"/>
      <w:bookmarkStart w:id="83" w:name="_Toc494664996"/>
      <w:bookmarkStart w:id="84" w:name="_Toc494702266"/>
      <w:bookmarkStart w:id="85" w:name="_Toc494665549"/>
      <w:r>
        <w:rPr>
          <w:rFonts w:hint="eastAsia" w:ascii="黑体" w:hAnsi="黑体" w:eastAsia="黑体" w:cs="Times New Roman"/>
          <w:b/>
          <w:sz w:val="36"/>
          <w:szCs w:val="36"/>
        </w:rPr>
        <w:t>资格证明文件组成</w:t>
      </w:r>
      <w:bookmarkEnd w:id="80"/>
      <w:bookmarkEnd w:id="81"/>
      <w:bookmarkEnd w:id="82"/>
      <w:bookmarkEnd w:id="83"/>
      <w:bookmarkEnd w:id="84"/>
      <w:bookmarkEnd w:id="85"/>
    </w:p>
    <w:p>
      <w:pPr>
        <w:autoSpaceDE w:val="0"/>
        <w:autoSpaceDN w:val="0"/>
        <w:adjustRightInd w:val="0"/>
        <w:spacing w:before="156" w:beforeLines="50" w:after="156"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由各投标人根据参考格式要求自行编写。目录清晰、内容详尽、易于理解和审查。具体内容应包括但不限于以下内容：</w:t>
      </w:r>
    </w:p>
    <w:p>
      <w:pPr>
        <w:numPr>
          <w:ilvl w:val="0"/>
          <w:numId w:val="58"/>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资格证明文件目录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58"/>
        </w:numPr>
        <w:autoSpaceDE w:val="0"/>
        <w:autoSpaceDN w:val="0"/>
        <w:adjustRightInd w:val="0"/>
        <w:spacing w:line="360" w:lineRule="auto"/>
        <w:ind w:left="490" w:hanging="370"/>
        <w:rPr>
          <w:rFonts w:ascii="宋体" w:hAnsi="宋体" w:eastAsia="宋体" w:cs="Times New Roman"/>
          <w:b/>
          <w:color w:val="0D0D0D" w:themeColor="text1" w:themeTint="F2"/>
          <w:kern w:val="0"/>
          <w:sz w:val="24"/>
          <w:szCs w:val="32"/>
          <w14:textFill>
            <w14:solidFill>
              <w14:schemeClr w14:val="tx1">
                <w14:lumMod w14:val="95000"/>
                <w14:lumOff w14:val="5000"/>
              </w14:schemeClr>
            </w14:solidFill>
          </w14:textFill>
        </w:rPr>
      </w:pPr>
      <w:r>
        <w:rPr>
          <w:rFonts w:hint="eastAsia" w:ascii="宋体" w:hAnsi="宋体"/>
          <w:color w:val="0D0D0D" w:themeColor="text1" w:themeTint="F2"/>
          <w:kern w:val="0"/>
          <w:sz w:val="24"/>
          <w:szCs w:val="32"/>
          <w14:textFill>
            <w14:solidFill>
              <w14:schemeClr w14:val="tx1">
                <w14:lumMod w14:val="95000"/>
                <w14:lumOff w14:val="5000"/>
              </w14:schemeClr>
            </w14:solidFill>
          </w14:textFill>
        </w:rPr>
        <w:t>应具备《政府采购法》第二十二条第一款规定的条件，提供下列材料：</w:t>
      </w:r>
    </w:p>
    <w:p>
      <w:pPr>
        <w:pStyle w:val="33"/>
        <w:numPr>
          <w:ilvl w:val="0"/>
          <w:numId w:val="59"/>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法人或者其他组织的营业执照等证明文件，自然人的身份证明；</w:t>
      </w:r>
    </w:p>
    <w:p>
      <w:pPr>
        <w:pStyle w:val="33"/>
        <w:numPr>
          <w:ilvl w:val="0"/>
          <w:numId w:val="59"/>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财务状况报告，依法缴纳税收和社会保障资金的相关材料；</w:t>
      </w:r>
    </w:p>
    <w:p>
      <w:pPr>
        <w:pStyle w:val="33"/>
        <w:numPr>
          <w:ilvl w:val="0"/>
          <w:numId w:val="59"/>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具备履行合同所必需的设备和专业技术能力的证明材料；</w:t>
      </w:r>
    </w:p>
    <w:p>
      <w:pPr>
        <w:pStyle w:val="33"/>
        <w:numPr>
          <w:ilvl w:val="0"/>
          <w:numId w:val="59"/>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参加政府采购活动前3年内在经营活动中没有重大违法记录的书面声明；</w:t>
      </w:r>
    </w:p>
    <w:p>
      <w:pPr>
        <w:pStyle w:val="33"/>
        <w:numPr>
          <w:ilvl w:val="0"/>
          <w:numId w:val="59"/>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具备法律、行政法规规定的其他条件的证明材料；</w:t>
      </w:r>
    </w:p>
    <w:p>
      <w:pPr>
        <w:numPr>
          <w:ilvl w:val="0"/>
          <w:numId w:val="58"/>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未被“信用中国”网站(www.creditchina.gov.cn)列入失信被执行人、重大税收违法案件当事人名单、政府采购严重违法失信行为记录名单的书面申明及该网站查询结果页面截图；</w:t>
      </w:r>
    </w:p>
    <w:p>
      <w:pPr>
        <w:numPr>
          <w:ilvl w:val="0"/>
          <w:numId w:val="58"/>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投标人应提供无行贿犯罪记录查询证明（提供在中国裁判文书网的查询结果截图）；</w:t>
      </w:r>
    </w:p>
    <w:p>
      <w:pPr>
        <w:numPr>
          <w:ilvl w:val="0"/>
          <w:numId w:val="58"/>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招标文件第一章“投标人资格要求”中有特殊要求的，投标人应提供其符合特殊要求的证明材料或者情况说明；</w:t>
      </w:r>
    </w:p>
    <w:p>
      <w:pPr>
        <w:numPr>
          <w:ilvl w:val="0"/>
          <w:numId w:val="58"/>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不符合联合体投标相关规定和要</w:t>
      </w:r>
      <w:r>
        <w:rPr>
          <w:rFonts w:hint="eastAsia" w:ascii="宋体" w:hAnsi="宋体" w:eastAsia="宋体" w:cs="Courier New"/>
          <w:color w:val="0D0D0D"/>
          <w:sz w:val="24"/>
          <w:szCs w:val="24"/>
        </w:rPr>
        <w:t>求的（适用于接受联合体投标的项目）；</w:t>
      </w:r>
    </w:p>
    <w:p>
      <w:pPr>
        <w:numPr>
          <w:ilvl w:val="0"/>
          <w:numId w:val="58"/>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投标人认为需提供的其它相关资格证明材料。</w:t>
      </w:r>
    </w:p>
    <w:p>
      <w:pPr>
        <w:autoSpaceDE w:val="0"/>
        <w:autoSpaceDN w:val="0"/>
        <w:adjustRightInd w:val="0"/>
        <w:spacing w:line="400" w:lineRule="exact"/>
        <w:ind w:left="490"/>
        <w:rPr>
          <w:rFonts w:ascii="Calibri" w:hAnsi="宋体" w:eastAsia="宋体" w:cs="Times New Roman"/>
          <w:color w:val="0D0D0D"/>
          <w:sz w:val="24"/>
          <w:szCs w:val="24"/>
        </w:rPr>
      </w:pPr>
    </w:p>
    <w:p>
      <w:pPr>
        <w:autoSpaceDE w:val="0"/>
        <w:autoSpaceDN w:val="0"/>
        <w:adjustRightInd w:val="0"/>
        <w:spacing w:line="400" w:lineRule="exact"/>
        <w:ind w:left="490"/>
        <w:rPr>
          <w:rFonts w:ascii="Calibri" w:hAnsi="宋体" w:eastAsia="宋体" w:cs="Times New Roman"/>
          <w:color w:val="0D0D0D"/>
          <w:sz w:val="24"/>
          <w:szCs w:val="24"/>
        </w:rPr>
      </w:pPr>
    </w:p>
    <w:p>
      <w:r>
        <w:rPr>
          <w:rFonts w:hint="eastAsia" w:ascii="宋体" w:hAnsi="宋体" w:eastAsia="宋体" w:cs="Times New Roman"/>
          <w:sz w:val="24"/>
          <w:szCs w:val="24"/>
        </w:rPr>
        <w:t>说明：资格证明文件正本应为清晰彩色影印件且加盖单位公章，否则</w:t>
      </w:r>
      <w:r>
        <w:rPr>
          <w:rFonts w:hint="eastAsia" w:ascii="Helvetica" w:hAnsi="Helvetica" w:eastAsia="宋体" w:cs="Helvetica"/>
          <w:kern w:val="0"/>
          <w:sz w:val="24"/>
          <w:szCs w:val="24"/>
        </w:rPr>
        <w:t>按照</w:t>
      </w:r>
      <w:r>
        <w:rPr>
          <w:rFonts w:hint="eastAsia" w:ascii="Helvetica" w:hAnsi="Helvetica" w:eastAsia="宋体" w:cs="Helvetica"/>
          <w:b/>
          <w:kern w:val="0"/>
          <w:sz w:val="24"/>
          <w:szCs w:val="24"/>
        </w:rPr>
        <w:t>无效投标处理</w:t>
      </w:r>
      <w:r>
        <w:rPr>
          <w:rFonts w:hint="eastAsia" w:ascii="宋体" w:hAnsi="宋体" w:eastAsia="宋体" w:cs="Times New Roman"/>
          <w:b/>
          <w:sz w:val="24"/>
          <w:szCs w:val="24"/>
        </w:rPr>
        <w:t>。</w:t>
      </w:r>
    </w:p>
    <w:p>
      <w:r>
        <w:br w:type="page"/>
      </w:r>
    </w:p>
    <w:p>
      <w:pPr>
        <w:spacing w:before="312" w:beforeLines="100" w:after="78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624" w:afterLines="200"/>
        <w:jc w:val="center"/>
        <w:rPr>
          <w:rFonts w:ascii="黑体" w:hAnsi="黑体" w:eastAsia="黑体"/>
          <w:b/>
          <w:sz w:val="144"/>
          <w:szCs w:val="144"/>
        </w:rPr>
      </w:pPr>
      <w:r>
        <w:rPr>
          <w:rFonts w:hint="eastAsia" w:ascii="黑体" w:hAnsi="黑体" w:eastAsia="黑体"/>
          <w:b/>
          <w:sz w:val="144"/>
          <w:szCs w:val="144"/>
        </w:rPr>
        <w:t>投 标 文 件</w:t>
      </w:r>
    </w:p>
    <w:p>
      <w:pPr>
        <w:pStyle w:val="4"/>
        <w:spacing w:before="340" w:after="480" w:line="360" w:lineRule="auto"/>
        <w:jc w:val="center"/>
        <w:rPr>
          <w:rFonts w:cs="Times New Roman" w:asciiTheme="majorEastAsia" w:hAnsiTheme="majorEastAsia"/>
          <w:bCs w:val="0"/>
          <w:sz w:val="44"/>
          <w:szCs w:val="44"/>
          <w:lang w:val="zh-CN"/>
        </w:rPr>
      </w:pPr>
      <w:bookmarkStart w:id="86" w:name="_Toc494745314"/>
      <w:bookmarkStart w:id="87" w:name="_Toc495861548"/>
      <w:bookmarkStart w:id="88" w:name="_Toc494665947"/>
      <w:bookmarkStart w:id="89" w:name="_Toc494665550"/>
      <w:bookmarkStart w:id="90" w:name="_Toc494721097"/>
      <w:bookmarkStart w:id="91" w:name="_Toc494664997"/>
      <w:bookmarkStart w:id="92" w:name="_Toc494702267"/>
    </w:p>
    <w:p>
      <w:pPr>
        <w:pStyle w:val="4"/>
        <w:spacing w:before="340" w:after="480" w:line="360" w:lineRule="auto"/>
        <w:rPr>
          <w:rFonts w:cs="Times New Roman" w:asciiTheme="majorEastAsia" w:hAnsiTheme="majorEastAsia"/>
          <w:bCs w:val="0"/>
          <w:sz w:val="44"/>
          <w:szCs w:val="44"/>
          <w:lang w:val="zh-CN"/>
        </w:rPr>
      </w:pPr>
    </w:p>
    <w:p>
      <w:pPr>
        <w:pStyle w:val="4"/>
        <w:spacing w:before="340" w:after="480" w:line="360" w:lineRule="auto"/>
        <w:jc w:val="center"/>
        <w:rPr>
          <w:rFonts w:cs="Times New Roman" w:asciiTheme="majorEastAsia" w:hAnsiTheme="majorEastAsia"/>
          <w:bCs w:val="0"/>
          <w:sz w:val="44"/>
          <w:szCs w:val="44"/>
          <w:lang w:val="zh-CN"/>
        </w:rPr>
      </w:pPr>
      <w:r>
        <w:rPr>
          <w:rFonts w:hint="eastAsia" w:cs="Times New Roman" w:asciiTheme="majorEastAsia" w:hAnsiTheme="majorEastAsia"/>
          <w:bCs w:val="0"/>
          <w:sz w:val="44"/>
          <w:szCs w:val="44"/>
          <w:lang w:val="zh-CN"/>
        </w:rPr>
        <w:t>第二部分 商务文件</w:t>
      </w:r>
      <w:bookmarkEnd w:id="86"/>
      <w:bookmarkEnd w:id="87"/>
      <w:bookmarkEnd w:id="88"/>
      <w:bookmarkEnd w:id="89"/>
      <w:bookmarkEnd w:id="90"/>
      <w:bookmarkEnd w:id="91"/>
      <w:bookmarkEnd w:id="92"/>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312" w:beforeLines="100" w:after="312"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p>
    <w:p>
      <w:pPr>
        <w:spacing w:before="312"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93" w:name="_Toc494665551"/>
      <w:bookmarkStart w:id="94" w:name="_Toc494721098"/>
      <w:bookmarkStart w:id="95" w:name="_Toc494745315"/>
      <w:bookmarkStart w:id="96" w:name="_Toc494702268"/>
      <w:bookmarkStart w:id="97" w:name="_Toc494665948"/>
      <w:bookmarkStart w:id="98" w:name="_Toc494664998"/>
      <w:r>
        <w:rPr>
          <w:rFonts w:hint="eastAsia" w:ascii="黑体" w:hAnsi="黑体" w:eastAsia="黑体" w:cs="Times New Roman"/>
          <w:b/>
          <w:sz w:val="36"/>
          <w:szCs w:val="36"/>
        </w:rPr>
        <w:t>商务文件组成</w:t>
      </w:r>
      <w:bookmarkEnd w:id="93"/>
      <w:bookmarkEnd w:id="94"/>
      <w:bookmarkEnd w:id="95"/>
      <w:bookmarkEnd w:id="96"/>
      <w:bookmarkEnd w:id="97"/>
      <w:bookmarkEnd w:id="98"/>
    </w:p>
    <w:p>
      <w:pPr>
        <w:autoSpaceDE w:val="0"/>
        <w:autoSpaceDN w:val="0"/>
        <w:adjustRightInd w:val="0"/>
        <w:spacing w:before="156" w:beforeLines="50" w:after="156"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60"/>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商务文件目录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60"/>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投标书（附件一）；</w:t>
      </w:r>
    </w:p>
    <w:p>
      <w:pPr>
        <w:numPr>
          <w:ilvl w:val="0"/>
          <w:numId w:val="60"/>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制造商中小企业声明函（附件二）；</w:t>
      </w:r>
    </w:p>
    <w:p>
      <w:pPr>
        <w:numPr>
          <w:ilvl w:val="0"/>
          <w:numId w:val="60"/>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kern w:val="0"/>
          <w:sz w:val="24"/>
          <w:szCs w:val="32"/>
        </w:rPr>
        <w:t>中小企业声</w:t>
      </w:r>
      <w:r>
        <w:rPr>
          <w:rFonts w:hint="eastAsia" w:ascii="宋体" w:hAnsi="宋体" w:eastAsia="宋体" w:cs="Times New Roman"/>
          <w:color w:val="0D0D0D"/>
          <w:kern w:val="0"/>
          <w:sz w:val="24"/>
          <w:szCs w:val="32"/>
        </w:rPr>
        <w:t>明函（附件三）；</w:t>
      </w:r>
    </w:p>
    <w:p>
      <w:pPr>
        <w:numPr>
          <w:ilvl w:val="0"/>
          <w:numId w:val="60"/>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残疾人福利性单位声明函（附件四）</w:t>
      </w:r>
    </w:p>
    <w:p>
      <w:pPr>
        <w:numPr>
          <w:ilvl w:val="0"/>
          <w:numId w:val="60"/>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开标一览表（附件五）；</w:t>
      </w:r>
    </w:p>
    <w:p>
      <w:pPr>
        <w:numPr>
          <w:ilvl w:val="0"/>
          <w:numId w:val="60"/>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投标报价明细表（附件六）；</w:t>
      </w:r>
    </w:p>
    <w:p>
      <w:pPr>
        <w:numPr>
          <w:ilvl w:val="0"/>
          <w:numId w:val="60"/>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小型和微型企业、监狱企业、残疾人福利性单位货物汇总表（附件七）；</w:t>
      </w:r>
    </w:p>
    <w:p>
      <w:pPr>
        <w:numPr>
          <w:ilvl w:val="0"/>
          <w:numId w:val="60"/>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投标货物、服务清单（附件八）；</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交纳投标保证金的银行凭证（附件九，适用招标文件有交纳要求的应当提供）；</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法定代表人授权书（附件十）；</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关于不存在招标文件第二章“</w:t>
      </w:r>
      <w:r>
        <w:rPr>
          <w:rFonts w:hint="eastAsia" w:ascii="宋体" w:hAnsi="宋体" w:eastAsia="宋体" w:cs="Courier New"/>
          <w:color w:val="0D0D0D"/>
          <w:sz w:val="24"/>
          <w:szCs w:val="24"/>
          <w:highlight w:val="yellow"/>
        </w:rPr>
        <w:t>十  其他注意事项</w:t>
      </w:r>
      <w:r>
        <w:rPr>
          <w:rFonts w:hint="eastAsia" w:ascii="宋体" w:hAnsi="宋体" w:eastAsia="宋体" w:cs="Courier New"/>
          <w:color w:val="0D0D0D"/>
          <w:sz w:val="24"/>
          <w:szCs w:val="24"/>
        </w:rPr>
        <w:t>”中规定禁止情形的书面声明；</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投标人的资格声明（附件十一）；</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项目负责人、技术负责人简历表（附件十二）；</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项目班子成员情况表（附件十三）；</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投标人类似项目业绩表（附件十四）；</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招标文件要求提供或投标人认为需提供的其它资料；</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符合性审查对照表（附件十五）；</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商务要求响应、偏离说明表（附件十六）；</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商务要求“★”号条款响应、偏离说明表（附件十七）</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商务评议对照表（附件十八）。</w:t>
      </w:r>
    </w:p>
    <w:p>
      <w:r>
        <w:br w:type="page"/>
      </w:r>
    </w:p>
    <w:p>
      <w:pPr>
        <w:spacing w:before="312" w:beforeLines="100" w:after="78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624" w:afterLines="200"/>
        <w:jc w:val="center"/>
        <w:rPr>
          <w:rFonts w:ascii="黑体" w:hAnsi="黑体" w:eastAsia="黑体"/>
          <w:b/>
          <w:sz w:val="144"/>
          <w:szCs w:val="144"/>
        </w:rPr>
      </w:pPr>
      <w:r>
        <w:rPr>
          <w:rFonts w:hint="eastAsia" w:ascii="黑体" w:hAnsi="黑体" w:eastAsia="黑体"/>
          <w:b/>
          <w:sz w:val="144"/>
          <w:szCs w:val="144"/>
        </w:rPr>
        <w:t>投 标 文 件</w:t>
      </w:r>
    </w:p>
    <w:p>
      <w:pPr>
        <w:pStyle w:val="4"/>
        <w:spacing w:before="340" w:after="480" w:line="360" w:lineRule="auto"/>
        <w:jc w:val="center"/>
        <w:rPr>
          <w:rFonts w:cs="Times New Roman" w:asciiTheme="majorEastAsia" w:hAnsiTheme="majorEastAsia"/>
          <w:bCs w:val="0"/>
          <w:sz w:val="44"/>
          <w:szCs w:val="44"/>
          <w:lang w:val="zh-CN"/>
        </w:rPr>
      </w:pPr>
      <w:bookmarkStart w:id="99" w:name="_Toc494721099"/>
      <w:bookmarkStart w:id="100" w:name="_Toc494665552"/>
      <w:bookmarkStart w:id="101" w:name="_Toc494702269"/>
      <w:bookmarkStart w:id="102" w:name="_Toc495861549"/>
      <w:bookmarkStart w:id="103" w:name="_Toc494745316"/>
      <w:bookmarkStart w:id="104" w:name="_Toc494665949"/>
      <w:bookmarkStart w:id="105" w:name="_Toc494664999"/>
    </w:p>
    <w:p>
      <w:pPr>
        <w:pStyle w:val="4"/>
        <w:spacing w:before="340" w:after="480" w:line="360" w:lineRule="auto"/>
        <w:jc w:val="center"/>
        <w:rPr>
          <w:rFonts w:cs="Times New Roman" w:asciiTheme="majorEastAsia" w:hAnsiTheme="majorEastAsia"/>
          <w:bCs w:val="0"/>
          <w:sz w:val="44"/>
          <w:szCs w:val="44"/>
          <w:lang w:val="zh-CN"/>
        </w:rPr>
      </w:pPr>
    </w:p>
    <w:p>
      <w:pPr>
        <w:pStyle w:val="4"/>
        <w:spacing w:before="340" w:after="480" w:line="360" w:lineRule="auto"/>
        <w:jc w:val="center"/>
        <w:rPr>
          <w:rFonts w:cs="Times New Roman" w:asciiTheme="majorEastAsia" w:hAnsiTheme="majorEastAsia"/>
          <w:bCs w:val="0"/>
          <w:sz w:val="44"/>
          <w:szCs w:val="44"/>
          <w:lang w:val="zh-CN"/>
        </w:rPr>
      </w:pPr>
      <w:r>
        <w:rPr>
          <w:rFonts w:hint="eastAsia" w:cs="Times New Roman" w:asciiTheme="majorEastAsia" w:hAnsiTheme="majorEastAsia"/>
          <w:bCs w:val="0"/>
          <w:sz w:val="44"/>
          <w:szCs w:val="44"/>
          <w:lang w:val="zh-CN"/>
        </w:rPr>
        <w:t>第三部分 技术、服务文件</w:t>
      </w:r>
      <w:bookmarkEnd w:id="99"/>
      <w:bookmarkEnd w:id="100"/>
      <w:bookmarkEnd w:id="101"/>
      <w:bookmarkEnd w:id="102"/>
      <w:bookmarkEnd w:id="103"/>
      <w:bookmarkEnd w:id="104"/>
      <w:bookmarkEnd w:id="105"/>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312" w:beforeLines="100" w:after="312"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p>
    <w:p>
      <w:pPr>
        <w:spacing w:before="312"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06" w:name="_Toc494702270"/>
      <w:bookmarkStart w:id="107" w:name="_Toc494721100"/>
      <w:bookmarkStart w:id="108" w:name="_Toc494665553"/>
      <w:bookmarkStart w:id="109" w:name="_Toc494745317"/>
      <w:bookmarkStart w:id="110" w:name="_Toc494665950"/>
      <w:bookmarkStart w:id="111" w:name="_Toc494665000"/>
      <w:r>
        <w:rPr>
          <w:rFonts w:hint="eastAsia" w:ascii="黑体" w:hAnsi="黑体" w:eastAsia="黑体" w:cs="Times New Roman"/>
          <w:b/>
          <w:bCs/>
          <w:sz w:val="36"/>
          <w:szCs w:val="36"/>
          <w:lang w:val="zh-CN"/>
        </w:rPr>
        <w:t>技术</w:t>
      </w:r>
      <w:r>
        <w:rPr>
          <w:rFonts w:hint="eastAsia" w:ascii="黑体" w:hAnsi="黑体" w:eastAsia="黑体" w:cs="Times New Roman"/>
          <w:b/>
          <w:sz w:val="36"/>
          <w:szCs w:val="36"/>
        </w:rPr>
        <w:t>、服务文件组成</w:t>
      </w:r>
      <w:bookmarkEnd w:id="106"/>
      <w:bookmarkEnd w:id="107"/>
      <w:bookmarkEnd w:id="108"/>
      <w:bookmarkEnd w:id="109"/>
      <w:bookmarkEnd w:id="110"/>
      <w:bookmarkEnd w:id="111"/>
    </w:p>
    <w:p>
      <w:pPr>
        <w:autoSpaceDE w:val="0"/>
        <w:autoSpaceDN w:val="0"/>
        <w:adjustRightInd w:val="0"/>
        <w:spacing w:before="156" w:beforeLines="50" w:after="156"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6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技术、服务文件目录（目录应涵盖下述所有资料，页码清晰以便查阅）；</w:t>
      </w:r>
    </w:p>
    <w:p>
      <w:pPr>
        <w:numPr>
          <w:ilvl w:val="0"/>
          <w:numId w:val="61"/>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投标货物（工程或服务）介绍，项目建设（服务）方案；</w:t>
      </w:r>
    </w:p>
    <w:p>
      <w:pPr>
        <w:numPr>
          <w:ilvl w:val="0"/>
          <w:numId w:val="6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技术、服务要求响应、偏离说明表（附件十九）；</w:t>
      </w:r>
    </w:p>
    <w:p>
      <w:pPr>
        <w:numPr>
          <w:ilvl w:val="0"/>
          <w:numId w:val="6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技术、服务要求“★”号条款响应、偏离说明表（附件二十）；</w:t>
      </w:r>
    </w:p>
    <w:p>
      <w:pPr>
        <w:numPr>
          <w:ilvl w:val="0"/>
          <w:numId w:val="6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技术、服务评议对照表（附件二十一）；</w:t>
      </w:r>
    </w:p>
    <w:p>
      <w:pPr>
        <w:numPr>
          <w:ilvl w:val="0"/>
          <w:numId w:val="6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招标文件要求提供或投标人认为需提供的其它资料。</w:t>
      </w:r>
    </w:p>
    <w:p>
      <w:pPr>
        <w:autoSpaceDE w:val="0"/>
        <w:autoSpaceDN w:val="0"/>
        <w:adjustRightInd w:val="0"/>
        <w:spacing w:line="360" w:lineRule="auto"/>
        <w:rPr>
          <w:rFonts w:ascii="宋体" w:hAnsi="宋体" w:eastAsia="宋体" w:cs="Times New Roman"/>
          <w:kern w:val="0"/>
          <w:sz w:val="24"/>
          <w:szCs w:val="32"/>
        </w:rPr>
      </w:pPr>
    </w:p>
    <w:p>
      <w:pPr>
        <w:autoSpaceDE w:val="0"/>
        <w:autoSpaceDN w:val="0"/>
        <w:adjustRightInd w:val="0"/>
        <w:spacing w:line="360" w:lineRule="auto"/>
        <w:ind w:left="715" w:leftChars="-6" w:hanging="727" w:hangingChars="303"/>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
        <w:br w:type="page"/>
      </w:r>
    </w:p>
    <w:p>
      <w:pPr>
        <w:pStyle w:val="4"/>
        <w:numPr>
          <w:ilvl w:val="0"/>
          <w:numId w:val="62"/>
        </w:numPr>
        <w:spacing w:before="100" w:beforeAutospacing="1" w:after="156" w:afterLines="50" w:line="360" w:lineRule="auto"/>
        <w:ind w:left="1288" w:hanging="1288"/>
        <w:rPr>
          <w:rFonts w:ascii="宋体" w:hAnsi="宋体" w:eastAsia="宋体"/>
        </w:rPr>
      </w:pPr>
      <w:bookmarkStart w:id="112" w:name="_Toc494665554"/>
      <w:bookmarkStart w:id="113" w:name="_Toc494745318"/>
      <w:bookmarkStart w:id="114" w:name="_Toc238276242"/>
      <w:bookmarkStart w:id="115" w:name="_Toc494721101"/>
      <w:bookmarkStart w:id="116" w:name="_Toc494665951"/>
      <w:bookmarkStart w:id="117" w:name="_Toc494702271"/>
      <w:bookmarkStart w:id="118" w:name="_Toc495861550"/>
      <w:bookmarkStart w:id="119" w:name="_Toc494665001"/>
      <w:bookmarkStart w:id="120" w:name="_Toc236473298"/>
      <w:r>
        <w:rPr>
          <w:rFonts w:hint="eastAsia" w:ascii="宋体" w:hAnsi="宋体" w:eastAsia="宋体"/>
        </w:rPr>
        <w:t>投标书</w:t>
      </w:r>
      <w:bookmarkEnd w:id="112"/>
      <w:bookmarkEnd w:id="113"/>
      <w:bookmarkEnd w:id="114"/>
      <w:bookmarkEnd w:id="115"/>
      <w:bookmarkEnd w:id="116"/>
      <w:bookmarkEnd w:id="117"/>
      <w:bookmarkEnd w:id="118"/>
      <w:bookmarkEnd w:id="119"/>
      <w:bookmarkEnd w:id="120"/>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依据贵方___</w:t>
      </w:r>
      <w:r>
        <w:rPr>
          <w:rFonts w:hint="eastAsia" w:asciiTheme="minorEastAsia" w:hAnsiTheme="minorEastAsia"/>
          <w:color w:val="0D0D0D" w:themeColor="text1" w:themeTint="F2"/>
          <w:sz w:val="24"/>
          <w:szCs w:val="24"/>
          <w:u w:val="single"/>
          <w14:textFill>
            <w14:solidFill>
              <w14:schemeClr w14:val="tx1">
                <w14:lumMod w14:val="95000"/>
                <w14:lumOff w14:val="5000"/>
              </w14:schemeClr>
            </w14:solidFill>
          </w14:textFill>
        </w:rPr>
        <w:t xml:space="preserve">  _</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项目（项目编号：_____）招标的投标邀请，我方代表</w:t>
      </w:r>
      <w:r>
        <w:rPr>
          <w:rFonts w:hint="eastAsia" w:asciiTheme="minorEastAsia" w:hAnsiTheme="minorEastAsia"/>
          <w:color w:val="0D0D0D" w:themeColor="text1" w:themeTint="F2"/>
          <w:sz w:val="24"/>
          <w:szCs w:val="24"/>
          <w:u w:val="single"/>
          <w14:textFill>
            <w14:solidFill>
              <w14:schemeClr w14:val="tx1">
                <w14:lumMod w14:val="95000"/>
                <w14:lumOff w14:val="5000"/>
              </w14:schemeClr>
            </w14:solidFill>
          </w14:textFill>
        </w:rPr>
        <w:t>（姓名、职务）</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经正式授权并代表投标人</w:t>
      </w:r>
      <w:r>
        <w:rPr>
          <w:rFonts w:hint="eastAsia" w:asciiTheme="minorEastAsia" w:hAnsiTheme="minorEastAsia"/>
          <w:color w:val="0D0D0D" w:themeColor="text1" w:themeTint="F2"/>
          <w:sz w:val="24"/>
          <w:szCs w:val="24"/>
          <w:u w:val="single"/>
          <w14:textFill>
            <w14:solidFill>
              <w14:schemeClr w14:val="tx1">
                <w14:lumMod w14:val="95000"/>
                <w14:lumOff w14:val="5000"/>
              </w14:schemeClr>
            </w14:solidFill>
          </w14:textFill>
        </w:rPr>
        <w:t>（投标人全称 ）</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提交</w:t>
      </w:r>
      <w:r>
        <w:rPr>
          <w:rFonts w:hint="eastAsia" w:ascii="宋体" w:hAnsi="宋体"/>
          <w:color w:val="0D0D0D" w:themeColor="text1" w:themeTint="F2"/>
          <w:kern w:val="0"/>
          <w:sz w:val="24"/>
          <w14:textFill>
            <w14:solidFill>
              <w14:schemeClr w14:val="tx1">
                <w14:lumMod w14:val="95000"/>
                <w14:lumOff w14:val="5000"/>
              </w14:schemeClr>
            </w14:solidFill>
          </w14:textFill>
        </w:rPr>
        <w:t>“开标一览表”信封和下述文件正本份，副本份。</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 xml:space="preserve">1.资格证明文件； </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2.商务文件；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3.技术、服务文件。</w:t>
      </w:r>
    </w:p>
    <w:p>
      <w:pPr>
        <w:spacing w:line="360" w:lineRule="auto"/>
        <w:rPr>
          <w:rFonts w:ascii="宋体" w:hAnsi="宋体" w:eastAsia="宋体" w:cs="Times New Roman"/>
          <w:b/>
          <w:color w:val="0D0D0D" w:themeColor="text1" w:themeTint="F2"/>
          <w:kern w:val="0"/>
          <w:sz w:val="24"/>
          <w:szCs w:val="24"/>
          <w14:textFill>
            <w14:solidFill>
              <w14:schemeClr w14:val="tx1">
                <w14:lumMod w14:val="95000"/>
                <w14:lumOff w14:val="5000"/>
              </w14:schemeClr>
            </w14:solidFill>
          </w14:textFill>
        </w:rPr>
      </w:pPr>
      <w:r>
        <w:rPr>
          <w:rFonts w:hint="eastAsia" w:ascii="宋体" w:hAnsi="宋体" w:eastAsia="宋体" w:cs="Times New Roman"/>
          <w:b/>
          <w:color w:val="0D0D0D" w:themeColor="text1" w:themeTint="F2"/>
          <w:kern w:val="0"/>
          <w:sz w:val="24"/>
          <w:szCs w:val="24"/>
          <w14:textFill>
            <w14:solidFill>
              <w14:schemeClr w14:val="tx1">
                <w14:lumMod w14:val="95000"/>
                <w14:lumOff w14:val="5000"/>
              </w14:schemeClr>
            </w14:solidFill>
          </w14:textFill>
        </w:rPr>
        <w:t>在此，我方宣布同意如下：</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1．《开标一览表》中规定的应提交和交付的</w:t>
      </w:r>
      <w:r>
        <w:rPr>
          <w:rFonts w:hint="eastAsia" w:asciiTheme="minorEastAsia" w:hAnsiTheme="minorEastAsia"/>
          <w:sz w:val="24"/>
          <w:szCs w:val="24"/>
          <w:u w:val="single"/>
        </w:rPr>
        <w:t xml:space="preserve">  （包号）  </w:t>
      </w:r>
      <w:r>
        <w:rPr>
          <w:rFonts w:hint="eastAsia" w:asciiTheme="minorEastAsia" w:hAnsiTheme="minorEastAsia"/>
          <w:sz w:val="24"/>
          <w:szCs w:val="24"/>
        </w:rPr>
        <w:t>货物（工程或服务）投标总价为</w:t>
      </w:r>
      <w:r>
        <w:rPr>
          <w:rFonts w:hint="eastAsia" w:asciiTheme="minorEastAsia" w:hAnsiTheme="minorEastAsia"/>
          <w:sz w:val="24"/>
          <w:szCs w:val="24"/>
          <w:u w:val="single"/>
        </w:rPr>
        <w:t>（注明币种，并用大写和小写表述投标总价）</w:t>
      </w:r>
      <w:r>
        <w:rPr>
          <w:rFonts w:hint="eastAsia" w:asciiTheme="minorEastAsia" w:hAnsiTheme="minorEastAsia"/>
          <w:sz w:val="24"/>
          <w:szCs w:val="24"/>
        </w:rPr>
        <w:t>；</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2．按招标文件的约定履行合同责任和义务；</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3．已详细审查全部招标文件，包括</w:t>
      </w:r>
      <w:r>
        <w:rPr>
          <w:rFonts w:hint="eastAsia" w:asciiTheme="minorEastAsia" w:hAnsiTheme="minorEastAsia"/>
          <w:sz w:val="24"/>
          <w:szCs w:val="24"/>
          <w:u w:val="single"/>
        </w:rPr>
        <w:t>（修正或补充文件）（如果有的话）</w:t>
      </w:r>
      <w:r>
        <w:rPr>
          <w:rFonts w:hint="eastAsia" w:asciiTheme="minorEastAsia" w:hAnsiTheme="minorEastAsia"/>
          <w:sz w:val="24"/>
          <w:szCs w:val="24"/>
        </w:rPr>
        <w:t>，对此无异议；</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4．投标有效期为</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自</w:t>
      </w:r>
      <w:r>
        <w:rPr>
          <w:rFonts w:hint="eastAsia" w:ascii="宋体" w:hAnsi="宋体"/>
          <w:color w:val="0D0D0D" w:themeColor="text1" w:themeTint="F2"/>
          <w:kern w:val="0"/>
          <w:sz w:val="24"/>
          <w14:textFill>
            <w14:solidFill>
              <w14:schemeClr w14:val="tx1">
                <w14:lumMod w14:val="95000"/>
                <w14:lumOff w14:val="5000"/>
              </w14:schemeClr>
            </w14:solidFill>
          </w14:textFill>
        </w:rPr>
        <w:t>递交投标文件截止之日</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起</w:t>
      </w:r>
      <w:r>
        <w:rPr>
          <w:rFonts w:hint="eastAsia" w:asciiTheme="minorEastAsia" w:hAnsiTheme="minorEastAsia"/>
          <w:sz w:val="24"/>
          <w:szCs w:val="24"/>
        </w:rPr>
        <w:t>，共个日历日；</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5．接受招标文件关于不予退还投标保证金的约定；</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6．提供按照贵方可能要求的与投标有关的一切数据或资料；</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7．与投标有关的一切正式往来信函请寄：。</w:t>
      </w:r>
    </w:p>
    <w:p>
      <w:pPr>
        <w:autoSpaceDE w:val="0"/>
        <w:autoSpaceDN w:val="0"/>
        <w:adjustRightInd w:val="0"/>
        <w:spacing w:line="400" w:lineRule="exact"/>
        <w:ind w:right="246" w:firstLine="480" w:firstLineChars="200"/>
        <w:rPr>
          <w:rFonts w:ascii="宋体" w:hAnsi="宋体" w:eastAsia="宋体" w:cs="Times New Roman"/>
          <w:kern w:val="0"/>
          <w:sz w:val="24"/>
          <w:szCs w:val="24"/>
        </w:rPr>
      </w:pP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地  址：</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电话/传真：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电子邮件：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投标人(公章)：</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投标人授权代表（签字）：</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日    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开户银行：</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帐号/行号：</w:t>
      </w:r>
    </w:p>
    <w:p>
      <w:r>
        <w:br w:type="page"/>
      </w:r>
    </w:p>
    <w:p>
      <w:pPr>
        <w:pStyle w:val="4"/>
        <w:numPr>
          <w:ilvl w:val="0"/>
          <w:numId w:val="62"/>
        </w:numPr>
        <w:spacing w:before="100" w:beforeAutospacing="1" w:after="156" w:afterLines="50" w:line="360" w:lineRule="auto"/>
        <w:ind w:left="1288" w:hanging="1288"/>
        <w:rPr>
          <w:rFonts w:ascii="宋体" w:hAnsi="宋体" w:eastAsia="宋体"/>
        </w:rPr>
      </w:pPr>
      <w:bookmarkStart w:id="121" w:name="_Toc494721102"/>
      <w:bookmarkStart w:id="122" w:name="_Toc494702272"/>
      <w:bookmarkStart w:id="123" w:name="_Toc494665952"/>
      <w:bookmarkStart w:id="124" w:name="_Toc494665002"/>
      <w:bookmarkStart w:id="125" w:name="_Toc495861551"/>
      <w:bookmarkStart w:id="126" w:name="_Toc494665555"/>
      <w:bookmarkStart w:id="127" w:name="_Toc494745319"/>
      <w:r>
        <w:rPr>
          <w:rFonts w:hint="eastAsia" w:ascii="宋体" w:hAnsi="宋体" w:eastAsia="宋体"/>
        </w:rPr>
        <w:t>制造商中小企业声明函</w:t>
      </w:r>
      <w:bookmarkEnd w:id="121"/>
      <w:bookmarkEnd w:id="122"/>
      <w:bookmarkEnd w:id="123"/>
      <w:bookmarkEnd w:id="124"/>
      <w:bookmarkEnd w:id="125"/>
      <w:bookmarkEnd w:id="126"/>
      <w:bookmarkEnd w:id="127"/>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制造商中小企业声明函</w:t>
      </w:r>
    </w:p>
    <w:p>
      <w:pPr>
        <w:adjustRightInd w:val="0"/>
        <w:snapToGrid w:val="0"/>
        <w:spacing w:before="156" w:beforeLines="50" w:after="156"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ind w:firstLine="480" w:firstLineChars="200"/>
        <w:rPr>
          <w:rFonts w:hint="eastAsia" w:asciiTheme="minorEastAsia" w:hAnsiTheme="minorEastAsia"/>
          <w:sz w:val="24"/>
        </w:rPr>
      </w:pPr>
      <w:r>
        <w:rPr>
          <w:rFonts w:hint="eastAsia" w:asciiTheme="minorEastAsia" w:hAnsiTheme="minorEastAsia"/>
          <w:sz w:val="24"/>
        </w:rPr>
        <w:t>本公司（联合体）郑重声明， 根据《政府采购促进中小企业发展管理办法》（财库 (2020) 46 号）的规定， 本公司（联合体）参加</w:t>
      </w:r>
      <w:r>
        <w:rPr>
          <w:rFonts w:hint="eastAsia" w:asciiTheme="minorEastAsia" w:hAnsiTheme="minorEastAsia"/>
          <w:i/>
          <w:iCs/>
          <w:sz w:val="24"/>
          <w:u w:val="single"/>
        </w:rPr>
        <w:t>（单</w:t>
      </w:r>
      <w:r>
        <w:rPr>
          <w:rFonts w:hint="eastAsia" w:asciiTheme="minorEastAsia" w:hAnsiTheme="minorEastAsia"/>
          <w:i/>
          <w:iCs/>
          <w:sz w:val="24"/>
          <w:u w:val="single"/>
          <w:lang w:val="en-US" w:eastAsia="zh-CN"/>
        </w:rPr>
        <w:t>位</w:t>
      </w:r>
      <w:r>
        <w:rPr>
          <w:rFonts w:hint="eastAsia" w:asciiTheme="minorEastAsia" w:hAnsiTheme="minorEastAsia"/>
          <w:i/>
          <w:iCs/>
          <w:sz w:val="24"/>
          <w:u w:val="single"/>
        </w:rPr>
        <w:t>名称）</w:t>
      </w:r>
      <w:r>
        <w:rPr>
          <w:rFonts w:hint="eastAsia" w:asciiTheme="minorEastAsia" w:hAnsiTheme="minorEastAsia"/>
          <w:sz w:val="24"/>
        </w:rPr>
        <w:t xml:space="preserve"> 的</w:t>
      </w:r>
      <w:r>
        <w:rPr>
          <w:rFonts w:hint="eastAsia" w:asciiTheme="minorEastAsia" w:hAnsiTheme="minorEastAsia"/>
          <w:i/>
          <w:iCs/>
          <w:sz w:val="24"/>
          <w:u w:val="single"/>
        </w:rPr>
        <w:t>（</w:t>
      </w:r>
      <w:r>
        <w:rPr>
          <w:rFonts w:hint="eastAsia" w:asciiTheme="minorEastAsia" w:hAnsiTheme="minorEastAsia"/>
          <w:i/>
          <w:iCs/>
          <w:sz w:val="24"/>
          <w:u w:val="single"/>
          <w:lang w:val="en-US" w:eastAsia="zh-CN"/>
        </w:rPr>
        <w:t>项目</w:t>
      </w:r>
      <w:r>
        <w:rPr>
          <w:rFonts w:hint="eastAsia" w:asciiTheme="minorEastAsia" w:hAnsiTheme="minorEastAsia"/>
          <w:i/>
          <w:iCs/>
          <w:sz w:val="24"/>
          <w:u w:val="single"/>
        </w:rPr>
        <w:t>名称）</w:t>
      </w:r>
      <w:r>
        <w:rPr>
          <w:rFonts w:hint="eastAsia" w:asciiTheme="minorEastAsia" w:hAnsiTheme="minorEastAsia"/>
          <w:sz w:val="24"/>
        </w:rPr>
        <w:t>采购活动， 提供的货物全部由符合政策要求的中小企业制造。 相关企业（含联合体中的中小企业、 签订分包意向协议的中小企业）的具体情况如下</w:t>
      </w:r>
      <w:r>
        <w:rPr>
          <w:rFonts w:hint="eastAsia" w:asciiTheme="minorEastAsia" w:hAnsiTheme="minorEastAsia"/>
          <w:sz w:val="24"/>
          <w:lang w:eastAsia="zh-CN"/>
        </w:rPr>
        <w:t>：</w:t>
      </w:r>
      <w:r>
        <w:rPr>
          <w:rFonts w:hint="eastAsia" w:asciiTheme="minorEastAsia" w:hAnsiTheme="minorEastAsia"/>
          <w:sz w:val="24"/>
        </w:rPr>
        <w:br w:type="textWrapping"/>
      </w:r>
      <w:r>
        <w:rPr>
          <w:rFonts w:hint="eastAsia" w:asciiTheme="minorEastAsia" w:hAnsiTheme="minorEastAsia"/>
          <w:sz w:val="24"/>
        </w:rPr>
        <w:t>　　</w:t>
      </w:r>
      <w:r>
        <w:rPr>
          <w:rFonts w:hint="eastAsia" w:asciiTheme="minorEastAsia" w:hAnsiTheme="minorEastAsia"/>
          <w:sz w:val="24"/>
          <w:lang w:val="en-US" w:eastAsia="zh-CN"/>
        </w:rPr>
        <w:t>1.</w:t>
      </w:r>
      <w:r>
        <w:rPr>
          <w:rFonts w:hint="eastAsia" w:asciiTheme="minorEastAsia" w:hAnsiTheme="minorEastAsia"/>
          <w:i/>
          <w:iCs/>
          <w:sz w:val="24"/>
          <w:u w:val="single"/>
          <w:lang w:val="en-US" w:eastAsia="zh-CN"/>
        </w:rPr>
        <w:t xml:space="preserve"> （标的名称） </w:t>
      </w:r>
      <w:r>
        <w:rPr>
          <w:rFonts w:hint="eastAsia" w:asciiTheme="minorEastAsia" w:hAnsiTheme="minorEastAsia"/>
          <w:sz w:val="24"/>
          <w:lang w:val="en-US" w:eastAsia="zh-CN"/>
        </w:rPr>
        <w:t>，属于</w:t>
      </w:r>
      <w:r>
        <w:rPr>
          <w:rFonts w:hint="eastAsia" w:asciiTheme="minorEastAsia" w:hAnsiTheme="minorEastAsia"/>
          <w:i/>
          <w:iCs/>
          <w:sz w:val="24"/>
          <w:u w:val="single"/>
          <w:lang w:val="en-US" w:eastAsia="zh-CN"/>
        </w:rPr>
        <w:t>（采购文件中明确的所属行业）</w:t>
      </w:r>
      <w:r>
        <w:rPr>
          <w:rFonts w:hint="eastAsia" w:asciiTheme="minorEastAsia" w:hAnsiTheme="minorEastAsia"/>
          <w:sz w:val="24"/>
          <w:lang w:val="en-US" w:eastAsia="zh-CN"/>
        </w:rPr>
        <w:t>； 制造商为</w:t>
      </w:r>
      <w:r>
        <w:rPr>
          <w:rFonts w:hint="eastAsia" w:asciiTheme="minorEastAsia" w:hAnsiTheme="minorEastAsia"/>
          <w:i/>
          <w:iCs/>
          <w:sz w:val="24"/>
          <w:u w:val="single"/>
          <w:lang w:val="en-US" w:eastAsia="zh-CN"/>
        </w:rPr>
        <w:t>（企业名称）</w:t>
      </w:r>
      <w:r>
        <w:rPr>
          <w:rFonts w:hint="eastAsia" w:asciiTheme="minorEastAsia" w:hAnsiTheme="minorEastAsia"/>
          <w:sz w:val="24"/>
          <w:u w:val="none"/>
          <w:lang w:val="en-US" w:eastAsia="zh-CN"/>
        </w:rPr>
        <w:t>，</w:t>
      </w:r>
      <w:r>
        <w:rPr>
          <w:rFonts w:hint="eastAsia" w:asciiTheme="minorEastAsia" w:hAnsiTheme="minorEastAsia"/>
          <w:sz w:val="24"/>
          <w:lang w:val="en-US" w:eastAsia="zh-CN"/>
        </w:rPr>
        <w:t>从业人员</w:t>
      </w:r>
      <w:r>
        <w:rPr>
          <w:rFonts w:hint="eastAsia" w:asciiTheme="minorEastAsia" w:hAnsiTheme="minorEastAsia"/>
          <w:sz w:val="24"/>
          <w:u w:val="single"/>
          <w:lang w:val="en-US" w:eastAsia="zh-CN"/>
        </w:rPr>
        <w:t xml:space="preserve">     </w:t>
      </w:r>
      <w:r>
        <w:rPr>
          <w:rFonts w:hint="eastAsia" w:asciiTheme="minorEastAsia" w:hAnsiTheme="minorEastAsia"/>
          <w:sz w:val="24"/>
          <w:lang w:val="en-US" w:eastAsia="zh-CN"/>
        </w:rPr>
        <w:t>人，营业收入为</w:t>
      </w:r>
      <w:r>
        <w:rPr>
          <w:rFonts w:hint="eastAsia" w:asciiTheme="minorEastAsia" w:hAnsiTheme="minorEastAsia"/>
          <w:sz w:val="24"/>
          <w:u w:val="single"/>
          <w:lang w:val="en-US" w:eastAsia="zh-CN"/>
        </w:rPr>
        <w:t xml:space="preserve">     </w:t>
      </w:r>
      <w:r>
        <w:rPr>
          <w:rFonts w:hint="eastAsia" w:asciiTheme="minorEastAsia" w:hAnsiTheme="minorEastAsia"/>
          <w:sz w:val="24"/>
          <w:lang w:val="en-US" w:eastAsia="zh-CN"/>
        </w:rPr>
        <w:t>万元，资产总额为</w:t>
      </w:r>
      <w:r>
        <w:rPr>
          <w:rFonts w:hint="eastAsia" w:asciiTheme="minorEastAsia" w:hAnsiTheme="minorEastAsia"/>
          <w:sz w:val="24"/>
          <w:u w:val="single"/>
          <w:lang w:val="en-US" w:eastAsia="zh-CN"/>
        </w:rPr>
        <w:t xml:space="preserve">    </w:t>
      </w:r>
      <w:r>
        <w:rPr>
          <w:rFonts w:hint="eastAsia" w:asciiTheme="minorEastAsia" w:hAnsiTheme="minorEastAsia"/>
          <w:sz w:val="24"/>
          <w:lang w:val="en-US" w:eastAsia="zh-CN"/>
        </w:rPr>
        <w:t>万元，属于</w:t>
      </w:r>
      <w:r>
        <w:rPr>
          <w:rFonts w:hint="eastAsia" w:asciiTheme="minorEastAsia" w:hAnsiTheme="minorEastAsia"/>
          <w:i/>
          <w:iCs/>
          <w:sz w:val="24"/>
          <w:u w:val="single"/>
          <w:lang w:val="en-US" w:eastAsia="zh-CN"/>
        </w:rPr>
        <w:t>（中型企业、小型企业、微型企业）</w:t>
      </w:r>
      <w:r>
        <w:rPr>
          <w:rFonts w:hint="eastAsia" w:asciiTheme="minorEastAsia" w:hAnsiTheme="minorEastAsia"/>
          <w:sz w:val="24"/>
          <w:lang w:val="en-US" w:eastAsia="zh-CN"/>
        </w:rPr>
        <w:t xml:space="preserve">； </w:t>
      </w:r>
    </w:p>
    <w:p>
      <w:pPr>
        <w:spacing w:line="360" w:lineRule="auto"/>
        <w:ind w:firstLine="480" w:firstLineChars="200"/>
        <w:rPr>
          <w:rFonts w:hint="eastAsia" w:asciiTheme="minorEastAsia" w:hAnsiTheme="minorEastAsia"/>
          <w:sz w:val="24"/>
        </w:rPr>
      </w:pPr>
      <w:r>
        <w:rPr>
          <w:rFonts w:hint="eastAsia" w:asciiTheme="minorEastAsia" w:hAnsiTheme="minorEastAsia"/>
          <w:sz w:val="24"/>
          <w:lang w:val="en-US" w:eastAsia="zh-CN"/>
        </w:rPr>
        <w:t>2.</w:t>
      </w:r>
      <w:r>
        <w:rPr>
          <w:rFonts w:hint="eastAsia" w:asciiTheme="minorEastAsia" w:hAnsiTheme="minorEastAsia"/>
          <w:i/>
          <w:iCs/>
          <w:sz w:val="24"/>
          <w:u w:val="single"/>
          <w:lang w:val="en-US" w:eastAsia="zh-CN"/>
        </w:rPr>
        <w:t xml:space="preserve"> （标的名称）</w:t>
      </w:r>
      <w:r>
        <w:rPr>
          <w:rFonts w:hint="eastAsia" w:asciiTheme="minorEastAsia" w:hAnsiTheme="minorEastAsia"/>
          <w:sz w:val="24"/>
          <w:u w:val="single"/>
          <w:lang w:val="en-US" w:eastAsia="zh-CN"/>
        </w:rPr>
        <w:t xml:space="preserve"> </w:t>
      </w:r>
      <w:r>
        <w:rPr>
          <w:rFonts w:hint="eastAsia" w:asciiTheme="minorEastAsia" w:hAnsiTheme="minorEastAsia"/>
          <w:sz w:val="24"/>
          <w:lang w:val="en-US" w:eastAsia="zh-CN"/>
        </w:rPr>
        <w:t>，属于</w:t>
      </w:r>
      <w:r>
        <w:rPr>
          <w:rFonts w:hint="eastAsia" w:asciiTheme="minorEastAsia" w:hAnsiTheme="minorEastAsia"/>
          <w:i/>
          <w:iCs/>
          <w:sz w:val="24"/>
          <w:u w:val="single"/>
          <w:lang w:val="en-US" w:eastAsia="zh-CN"/>
        </w:rPr>
        <w:t>（采购文件中明确的所属行业）</w:t>
      </w:r>
      <w:r>
        <w:rPr>
          <w:rFonts w:hint="eastAsia" w:asciiTheme="minorEastAsia" w:hAnsiTheme="minorEastAsia"/>
          <w:sz w:val="24"/>
          <w:lang w:val="en-US" w:eastAsia="zh-CN"/>
        </w:rPr>
        <w:t>； 制造商为</w:t>
      </w:r>
      <w:r>
        <w:rPr>
          <w:rFonts w:hint="eastAsia" w:asciiTheme="minorEastAsia" w:hAnsiTheme="minorEastAsia"/>
          <w:i/>
          <w:iCs/>
          <w:sz w:val="24"/>
          <w:u w:val="single"/>
          <w:lang w:val="en-US" w:eastAsia="zh-CN"/>
        </w:rPr>
        <w:t>（企业名称）</w:t>
      </w:r>
      <w:r>
        <w:rPr>
          <w:rFonts w:hint="eastAsia" w:asciiTheme="minorEastAsia" w:hAnsiTheme="minorEastAsia"/>
          <w:sz w:val="24"/>
          <w:u w:val="none"/>
          <w:lang w:val="en-US" w:eastAsia="zh-CN"/>
        </w:rPr>
        <w:t>，</w:t>
      </w:r>
      <w:r>
        <w:rPr>
          <w:rFonts w:hint="eastAsia" w:asciiTheme="minorEastAsia" w:hAnsiTheme="minorEastAsia"/>
          <w:sz w:val="24"/>
          <w:lang w:val="en-US" w:eastAsia="zh-CN"/>
        </w:rPr>
        <w:t>从业人员</w:t>
      </w:r>
      <w:r>
        <w:rPr>
          <w:rFonts w:hint="eastAsia" w:asciiTheme="minorEastAsia" w:hAnsiTheme="minorEastAsia"/>
          <w:sz w:val="24"/>
          <w:u w:val="single"/>
          <w:lang w:val="en-US" w:eastAsia="zh-CN"/>
        </w:rPr>
        <w:t xml:space="preserve">    </w:t>
      </w:r>
      <w:r>
        <w:rPr>
          <w:rFonts w:hint="eastAsia" w:asciiTheme="minorEastAsia" w:hAnsiTheme="minorEastAsia"/>
          <w:sz w:val="24"/>
          <w:lang w:val="en-US" w:eastAsia="zh-CN"/>
        </w:rPr>
        <w:t>人，营业收入为</w:t>
      </w:r>
      <w:r>
        <w:rPr>
          <w:rFonts w:hint="eastAsia" w:asciiTheme="minorEastAsia" w:hAnsiTheme="minorEastAsia"/>
          <w:sz w:val="24"/>
          <w:u w:val="single"/>
          <w:lang w:val="en-US" w:eastAsia="zh-CN"/>
        </w:rPr>
        <w:t xml:space="preserve">    </w:t>
      </w:r>
      <w:r>
        <w:rPr>
          <w:rFonts w:hint="eastAsia" w:asciiTheme="minorEastAsia" w:hAnsiTheme="minorEastAsia"/>
          <w:sz w:val="24"/>
          <w:lang w:val="en-US" w:eastAsia="zh-CN"/>
        </w:rPr>
        <w:t>万元，资产总额为</w:t>
      </w:r>
      <w:r>
        <w:rPr>
          <w:rFonts w:hint="eastAsia" w:asciiTheme="minorEastAsia" w:hAnsiTheme="minorEastAsia"/>
          <w:sz w:val="24"/>
          <w:u w:val="single"/>
          <w:lang w:val="en-US" w:eastAsia="zh-CN"/>
        </w:rPr>
        <w:t xml:space="preserve">   </w:t>
      </w:r>
      <w:r>
        <w:rPr>
          <w:rFonts w:hint="eastAsia" w:asciiTheme="minorEastAsia" w:hAnsiTheme="minorEastAsia"/>
          <w:sz w:val="24"/>
          <w:lang w:val="en-US" w:eastAsia="zh-CN"/>
        </w:rPr>
        <w:t>万元，属于</w:t>
      </w:r>
      <w:r>
        <w:rPr>
          <w:rFonts w:hint="eastAsia" w:asciiTheme="minorEastAsia" w:hAnsiTheme="minorEastAsia"/>
          <w:i/>
          <w:iCs/>
          <w:sz w:val="24"/>
          <w:u w:val="single"/>
          <w:lang w:val="en-US" w:eastAsia="zh-CN"/>
        </w:rPr>
        <w:t>（中型企业、小型企业、微型企业）</w:t>
      </w:r>
      <w:r>
        <w:rPr>
          <w:rFonts w:hint="eastAsia" w:asciiTheme="minorEastAsia" w:hAnsiTheme="minorEastAsia"/>
          <w:sz w:val="24"/>
          <w:lang w:val="en-US" w:eastAsia="zh-CN"/>
        </w:rPr>
        <w:t xml:space="preserve">； </w:t>
      </w:r>
    </w:p>
    <w:p>
      <w:pPr>
        <w:spacing w:line="360" w:lineRule="auto"/>
        <w:ind w:firstLine="480" w:firstLineChars="200"/>
        <w:rPr>
          <w:rFonts w:hint="eastAsia" w:asciiTheme="minorEastAsia" w:hAnsiTheme="minorEastAsia"/>
          <w:sz w:val="24"/>
        </w:rPr>
      </w:pPr>
      <w:r>
        <w:rPr>
          <w:rFonts w:hint="eastAsia" w:asciiTheme="minorEastAsia" w:hAnsiTheme="minorEastAsia"/>
          <w:sz w:val="24"/>
          <w:lang w:val="en-US" w:eastAsia="zh-CN"/>
        </w:rPr>
        <w:t>……</w:t>
      </w:r>
    </w:p>
    <w:p>
      <w:pPr>
        <w:spacing w:line="360" w:lineRule="auto"/>
        <w:ind w:firstLine="480" w:firstLineChars="200"/>
        <w:rPr>
          <w:rFonts w:hint="eastAsia" w:asciiTheme="minorEastAsia" w:hAnsiTheme="minorEastAsia"/>
          <w:sz w:val="24"/>
        </w:rPr>
      </w:pPr>
      <w:r>
        <w:rPr>
          <w:rFonts w:hint="eastAsia" w:asciiTheme="minorEastAsia" w:hAnsiTheme="minorEastAsia"/>
          <w:sz w:val="24"/>
          <w:lang w:val="en-US" w:eastAsia="zh-CN"/>
        </w:rPr>
        <w:t>以上企业，不属于大企业的分支机构，不存在控股股东为大企业的情形，也不存在与大企业的负责人为同一人的情形。</w:t>
      </w:r>
    </w:p>
    <w:p>
      <w:pPr>
        <w:spacing w:line="360" w:lineRule="auto"/>
        <w:ind w:firstLine="480" w:firstLineChars="200"/>
        <w:rPr>
          <w:rFonts w:hint="eastAsia" w:asciiTheme="minorEastAsia" w:hAnsiTheme="minorEastAsia"/>
          <w:sz w:val="24"/>
        </w:rPr>
      </w:pPr>
      <w:r>
        <w:rPr>
          <w:rFonts w:hint="eastAsia" w:asciiTheme="minorEastAsia" w:hAnsiTheme="minorEastAsia"/>
          <w:sz w:val="24"/>
          <w:lang w:val="en-US" w:eastAsia="zh-CN"/>
        </w:rPr>
        <w:t xml:space="preserve">本企业对上述声明内容的真实性负责。如有虚假，将依法承担相应责任。 </w:t>
      </w:r>
    </w:p>
    <w:p>
      <w:pPr>
        <w:spacing w:line="360" w:lineRule="auto"/>
        <w:ind w:firstLine="480" w:firstLineChars="200"/>
        <w:jc w:val="center"/>
        <w:rPr>
          <w:rFonts w:hint="eastAsia" w:asciiTheme="minorEastAsia" w:hAnsiTheme="minorEastAsia"/>
          <w:sz w:val="24"/>
          <w:lang w:val="en-US" w:eastAsia="zh-CN"/>
        </w:rPr>
      </w:pPr>
    </w:p>
    <w:p>
      <w:pPr>
        <w:spacing w:line="360" w:lineRule="auto"/>
        <w:ind w:firstLine="480" w:firstLineChars="200"/>
        <w:jc w:val="center"/>
        <w:rPr>
          <w:rFonts w:hint="eastAsia" w:asciiTheme="minorEastAsia" w:hAnsiTheme="minorEastAsia"/>
          <w:sz w:val="24"/>
          <w:lang w:val="en-US" w:eastAsia="zh-CN"/>
        </w:rPr>
      </w:pPr>
      <w:r>
        <w:rPr>
          <w:rFonts w:hint="eastAsia" w:asciiTheme="minorEastAsia" w:hAnsiTheme="minorEastAsia"/>
          <w:sz w:val="24"/>
          <w:lang w:val="en-US" w:eastAsia="zh-CN"/>
        </w:rPr>
        <w:t xml:space="preserve">企业名称（盖章）： </w:t>
      </w:r>
    </w:p>
    <w:p>
      <w:pPr>
        <w:pStyle w:val="2"/>
        <w:rPr>
          <w:rFonts w:hint="eastAsia"/>
          <w:lang w:val="en-US" w:eastAsia="zh-CN"/>
        </w:rPr>
      </w:pPr>
    </w:p>
    <w:p>
      <w:pPr>
        <w:spacing w:before="100" w:beforeAutospacing="1" w:after="100" w:afterAutospacing="1" w:line="360" w:lineRule="auto"/>
        <w:ind w:firstLine="4034" w:firstLineChars="1681"/>
      </w:pPr>
      <w:r>
        <w:rPr>
          <w:rFonts w:hint="eastAsia" w:asciiTheme="minorEastAsia" w:hAnsiTheme="minorEastAsia"/>
          <w:sz w:val="24"/>
          <w:lang w:val="en-US" w:eastAsia="zh-CN"/>
        </w:rPr>
        <w:t>日 期</w:t>
      </w:r>
      <w:r>
        <w:rPr>
          <w:rFonts w:hint="eastAsia" w:asciiTheme="minorEastAsia" w:hAnsiTheme="minorEastAsia"/>
          <w:sz w:val="24"/>
          <w:lang w:eastAsia="zh-CN"/>
        </w:rPr>
        <w:t>：</w:t>
      </w:r>
    </w:p>
    <w:p>
      <w:r>
        <w:br w:type="page"/>
      </w:r>
    </w:p>
    <w:p>
      <w:pPr>
        <w:pStyle w:val="4"/>
        <w:numPr>
          <w:ilvl w:val="0"/>
          <w:numId w:val="62"/>
        </w:numPr>
        <w:spacing w:before="100" w:beforeAutospacing="1" w:after="156" w:afterLines="50" w:line="360" w:lineRule="auto"/>
        <w:ind w:left="1288" w:hanging="1288"/>
        <w:rPr>
          <w:rFonts w:ascii="宋体" w:hAnsi="宋体" w:eastAsia="宋体"/>
        </w:rPr>
      </w:pPr>
      <w:bookmarkStart w:id="128" w:name="_Toc494721103"/>
      <w:bookmarkStart w:id="129" w:name="_Toc494702273"/>
      <w:bookmarkStart w:id="130" w:name="_Toc494665556"/>
      <w:bookmarkStart w:id="131" w:name="_Toc494665003"/>
      <w:bookmarkStart w:id="132" w:name="_Toc494665953"/>
      <w:bookmarkStart w:id="133" w:name="_Toc456264006"/>
      <w:bookmarkStart w:id="134" w:name="_Toc495861552"/>
      <w:bookmarkStart w:id="135" w:name="_Toc494745320"/>
      <w:r>
        <w:rPr>
          <w:rFonts w:hint="eastAsia" w:ascii="宋体" w:hAnsi="宋体" w:eastAsia="宋体"/>
        </w:rPr>
        <w:t>中小企业声明函</w:t>
      </w:r>
      <w:bookmarkEnd w:id="128"/>
      <w:bookmarkEnd w:id="129"/>
      <w:bookmarkEnd w:id="130"/>
      <w:bookmarkEnd w:id="131"/>
      <w:bookmarkEnd w:id="132"/>
      <w:bookmarkEnd w:id="133"/>
      <w:bookmarkEnd w:id="134"/>
      <w:bookmarkEnd w:id="135"/>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中小企业声明函</w:t>
      </w:r>
    </w:p>
    <w:p>
      <w:pPr>
        <w:adjustRightInd w:val="0"/>
        <w:snapToGrid w:val="0"/>
        <w:spacing w:before="156" w:beforeLines="50" w:after="156"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ind w:firstLine="480" w:firstLineChars="200"/>
        <w:rPr>
          <w:rFonts w:hint="eastAsia" w:asciiTheme="minorEastAsia" w:hAnsiTheme="minorEastAsia"/>
          <w:sz w:val="24"/>
        </w:rPr>
      </w:pPr>
      <w:r>
        <w:rPr>
          <w:rFonts w:hint="eastAsia" w:asciiTheme="minorEastAsia" w:hAnsiTheme="minorEastAsia"/>
          <w:sz w:val="24"/>
        </w:rPr>
        <w:t>本公司（联合体）郑重声明，根据《政府采购促进中小企业发展管理办法》（财库﹝2020﹞46 号）的规定，本公司（联合体）参加</w:t>
      </w:r>
      <w:r>
        <w:rPr>
          <w:rFonts w:hint="eastAsia" w:asciiTheme="minorEastAsia" w:hAnsiTheme="minorEastAsia"/>
          <w:i/>
          <w:iCs/>
          <w:sz w:val="24"/>
          <w:u w:val="single"/>
        </w:rPr>
        <w:t>（单位名称）</w:t>
      </w:r>
      <w:r>
        <w:rPr>
          <w:rFonts w:hint="eastAsia" w:asciiTheme="minorEastAsia" w:hAnsiTheme="minorEastAsia"/>
          <w:sz w:val="24"/>
        </w:rPr>
        <w:t>的</w:t>
      </w:r>
      <w:r>
        <w:rPr>
          <w:rFonts w:hint="eastAsia" w:asciiTheme="minorEastAsia" w:hAnsiTheme="minorEastAsia"/>
          <w:i/>
          <w:iCs/>
          <w:sz w:val="24"/>
          <w:u w:val="single"/>
        </w:rPr>
        <w:t>（项目名称）</w:t>
      </w:r>
      <w:r>
        <w:rPr>
          <w:rFonts w:hint="eastAsia" w:asciiTheme="minorEastAsia" w:hAnsiTheme="minorEastAsia"/>
          <w:sz w:val="24"/>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Theme="minorEastAsia" w:hAnsiTheme="minorEastAsia"/>
          <w:sz w:val="24"/>
        </w:rPr>
        <w:br w:type="textWrapping"/>
      </w:r>
      <w:r>
        <w:rPr>
          <w:rFonts w:hint="eastAsia" w:asciiTheme="minorEastAsia" w:hAnsiTheme="minorEastAsia"/>
          <w:sz w:val="24"/>
        </w:rPr>
        <w:t>　　</w:t>
      </w:r>
      <w:r>
        <w:rPr>
          <w:rFonts w:hint="eastAsia" w:asciiTheme="minorEastAsia" w:hAnsiTheme="minorEastAsia"/>
          <w:sz w:val="24"/>
          <w:lang w:val="en-US" w:eastAsia="zh-CN"/>
        </w:rPr>
        <w:t>1.</w:t>
      </w:r>
      <w:r>
        <w:rPr>
          <w:rFonts w:hint="eastAsia" w:asciiTheme="minorEastAsia" w:hAnsiTheme="minorEastAsia"/>
          <w:i/>
          <w:iCs/>
          <w:sz w:val="24"/>
          <w:u w:val="single"/>
          <w:lang w:val="en-US" w:eastAsia="zh-CN"/>
        </w:rPr>
        <w:t xml:space="preserve"> （标的名称） </w:t>
      </w:r>
      <w:r>
        <w:rPr>
          <w:rFonts w:hint="eastAsia" w:asciiTheme="minorEastAsia" w:hAnsiTheme="minorEastAsia"/>
          <w:sz w:val="24"/>
          <w:lang w:val="en-US" w:eastAsia="zh-CN"/>
        </w:rPr>
        <w:t>，属于</w:t>
      </w:r>
      <w:r>
        <w:rPr>
          <w:rFonts w:hint="eastAsia" w:asciiTheme="minorEastAsia" w:hAnsiTheme="minorEastAsia"/>
          <w:i/>
          <w:iCs/>
          <w:sz w:val="24"/>
          <w:u w:val="single"/>
          <w:lang w:val="en-US" w:eastAsia="zh-CN"/>
        </w:rPr>
        <w:t>（采购文件中明确的所属行业）</w:t>
      </w:r>
      <w:r>
        <w:rPr>
          <w:rFonts w:hint="eastAsia" w:asciiTheme="minorEastAsia" w:hAnsiTheme="minorEastAsia"/>
          <w:sz w:val="24"/>
          <w:lang w:val="en-US" w:eastAsia="zh-CN"/>
        </w:rPr>
        <w:t>； 承建（承接）企业为</w:t>
      </w:r>
      <w:r>
        <w:rPr>
          <w:rFonts w:hint="eastAsia" w:asciiTheme="minorEastAsia" w:hAnsiTheme="minorEastAsia"/>
          <w:i/>
          <w:iCs/>
          <w:sz w:val="24"/>
          <w:u w:val="single"/>
          <w:lang w:val="en-US" w:eastAsia="zh-CN"/>
        </w:rPr>
        <w:t>（企业名称）</w:t>
      </w:r>
      <w:r>
        <w:rPr>
          <w:rFonts w:hint="eastAsia" w:asciiTheme="minorEastAsia" w:hAnsiTheme="minorEastAsia"/>
          <w:sz w:val="24"/>
          <w:lang w:val="en-US" w:eastAsia="zh-CN"/>
        </w:rPr>
        <w:t>，从业人员</w:t>
      </w:r>
      <w:r>
        <w:rPr>
          <w:rFonts w:hint="eastAsia" w:asciiTheme="minorEastAsia" w:hAnsiTheme="minorEastAsia"/>
          <w:sz w:val="24"/>
          <w:u w:val="single"/>
          <w:lang w:val="en-US" w:eastAsia="zh-CN"/>
        </w:rPr>
        <w:t xml:space="preserve">     </w:t>
      </w:r>
      <w:r>
        <w:rPr>
          <w:rFonts w:hint="eastAsia" w:asciiTheme="minorEastAsia" w:hAnsiTheme="minorEastAsia"/>
          <w:sz w:val="24"/>
          <w:lang w:val="en-US" w:eastAsia="zh-CN"/>
        </w:rPr>
        <w:t>人，营业收入为</w:t>
      </w:r>
      <w:r>
        <w:rPr>
          <w:rFonts w:hint="eastAsia" w:asciiTheme="minorEastAsia" w:hAnsiTheme="minorEastAsia"/>
          <w:sz w:val="24"/>
          <w:u w:val="single"/>
          <w:lang w:val="en-US" w:eastAsia="zh-CN"/>
        </w:rPr>
        <w:t xml:space="preserve">     </w:t>
      </w:r>
      <w:r>
        <w:rPr>
          <w:rFonts w:hint="eastAsia" w:asciiTheme="minorEastAsia" w:hAnsiTheme="minorEastAsia"/>
          <w:sz w:val="24"/>
          <w:lang w:val="en-US" w:eastAsia="zh-CN"/>
        </w:rPr>
        <w:t>万元，资产总额为</w:t>
      </w:r>
      <w:r>
        <w:rPr>
          <w:rFonts w:hint="eastAsia" w:asciiTheme="minorEastAsia" w:hAnsiTheme="minorEastAsia"/>
          <w:sz w:val="24"/>
          <w:u w:val="single"/>
          <w:lang w:val="en-US" w:eastAsia="zh-CN"/>
        </w:rPr>
        <w:t xml:space="preserve">    </w:t>
      </w:r>
      <w:r>
        <w:rPr>
          <w:rFonts w:hint="eastAsia" w:asciiTheme="minorEastAsia" w:hAnsiTheme="minorEastAsia"/>
          <w:sz w:val="24"/>
          <w:lang w:val="en-US" w:eastAsia="zh-CN"/>
        </w:rPr>
        <w:t>万元，属于</w:t>
      </w:r>
      <w:r>
        <w:rPr>
          <w:rFonts w:hint="eastAsia" w:asciiTheme="minorEastAsia" w:hAnsiTheme="minorEastAsia"/>
          <w:i/>
          <w:iCs/>
          <w:sz w:val="24"/>
          <w:u w:val="single"/>
          <w:lang w:val="en-US" w:eastAsia="zh-CN"/>
        </w:rPr>
        <w:t>（中型企业、小型企业、微型企业）</w:t>
      </w:r>
      <w:r>
        <w:rPr>
          <w:rFonts w:hint="eastAsia" w:asciiTheme="minorEastAsia" w:hAnsiTheme="minorEastAsia"/>
          <w:sz w:val="24"/>
          <w:lang w:val="en-US" w:eastAsia="zh-CN"/>
        </w:rPr>
        <w:t xml:space="preserve">； </w:t>
      </w:r>
    </w:p>
    <w:p>
      <w:pPr>
        <w:spacing w:line="360" w:lineRule="auto"/>
        <w:ind w:firstLine="480" w:firstLineChars="200"/>
        <w:rPr>
          <w:rFonts w:hint="default" w:asciiTheme="minorEastAsia" w:hAnsiTheme="minorEastAsia"/>
          <w:sz w:val="24"/>
          <w:u w:val="single"/>
          <w:lang w:val="en-US"/>
        </w:rPr>
      </w:pPr>
      <w:r>
        <w:rPr>
          <w:rFonts w:hint="eastAsia" w:asciiTheme="minorEastAsia" w:hAnsiTheme="minorEastAsia"/>
          <w:sz w:val="24"/>
          <w:lang w:val="en-US" w:eastAsia="zh-CN"/>
        </w:rPr>
        <w:t>2.</w:t>
      </w:r>
      <w:r>
        <w:rPr>
          <w:rFonts w:hint="eastAsia" w:asciiTheme="minorEastAsia" w:hAnsiTheme="minorEastAsia"/>
          <w:i/>
          <w:iCs/>
          <w:sz w:val="24"/>
          <w:u w:val="single"/>
          <w:lang w:val="en-US" w:eastAsia="zh-CN"/>
        </w:rPr>
        <w:t xml:space="preserve"> （标的名称）</w:t>
      </w:r>
      <w:r>
        <w:rPr>
          <w:rFonts w:hint="eastAsia" w:asciiTheme="minorEastAsia" w:hAnsiTheme="minorEastAsia"/>
          <w:sz w:val="24"/>
          <w:u w:val="single"/>
          <w:lang w:val="en-US" w:eastAsia="zh-CN"/>
        </w:rPr>
        <w:t xml:space="preserve"> </w:t>
      </w:r>
      <w:r>
        <w:rPr>
          <w:rFonts w:hint="eastAsia" w:asciiTheme="minorEastAsia" w:hAnsiTheme="minorEastAsia"/>
          <w:sz w:val="24"/>
          <w:lang w:val="en-US" w:eastAsia="zh-CN"/>
        </w:rPr>
        <w:t>，属于</w:t>
      </w:r>
      <w:r>
        <w:rPr>
          <w:rFonts w:hint="eastAsia" w:asciiTheme="minorEastAsia" w:hAnsiTheme="minorEastAsia"/>
          <w:i/>
          <w:iCs/>
          <w:sz w:val="24"/>
          <w:u w:val="single"/>
          <w:lang w:val="en-US" w:eastAsia="zh-CN"/>
        </w:rPr>
        <w:t>（采购文件中明确的所属行业）</w:t>
      </w:r>
      <w:r>
        <w:rPr>
          <w:rFonts w:hint="eastAsia" w:asciiTheme="minorEastAsia" w:hAnsiTheme="minorEastAsia"/>
          <w:sz w:val="24"/>
          <w:lang w:val="en-US" w:eastAsia="zh-CN"/>
        </w:rPr>
        <w:t>； 承建（承接）企业为</w:t>
      </w:r>
      <w:r>
        <w:rPr>
          <w:rFonts w:hint="eastAsia" w:asciiTheme="minorEastAsia" w:hAnsiTheme="minorEastAsia"/>
          <w:i/>
          <w:iCs/>
          <w:sz w:val="24"/>
          <w:u w:val="single"/>
          <w:lang w:val="en-US" w:eastAsia="zh-CN"/>
        </w:rPr>
        <w:t>（企业名称）</w:t>
      </w:r>
      <w:r>
        <w:rPr>
          <w:rFonts w:hint="eastAsia" w:asciiTheme="minorEastAsia" w:hAnsiTheme="minorEastAsia"/>
          <w:sz w:val="24"/>
          <w:lang w:val="en-US" w:eastAsia="zh-CN"/>
        </w:rPr>
        <w:t>，从业人员</w:t>
      </w:r>
      <w:r>
        <w:rPr>
          <w:rFonts w:hint="eastAsia" w:asciiTheme="minorEastAsia" w:hAnsiTheme="minorEastAsia"/>
          <w:sz w:val="24"/>
          <w:u w:val="single"/>
          <w:lang w:val="en-US" w:eastAsia="zh-CN"/>
        </w:rPr>
        <w:t xml:space="preserve">    </w:t>
      </w:r>
      <w:r>
        <w:rPr>
          <w:rFonts w:hint="eastAsia" w:asciiTheme="minorEastAsia" w:hAnsiTheme="minorEastAsia"/>
          <w:sz w:val="24"/>
          <w:lang w:val="en-US" w:eastAsia="zh-CN"/>
        </w:rPr>
        <w:t>人，营业收入为</w:t>
      </w:r>
      <w:r>
        <w:rPr>
          <w:rFonts w:hint="eastAsia" w:asciiTheme="minorEastAsia" w:hAnsiTheme="minorEastAsia"/>
          <w:sz w:val="24"/>
          <w:u w:val="single"/>
          <w:lang w:val="en-US" w:eastAsia="zh-CN"/>
        </w:rPr>
        <w:t xml:space="preserve">    </w:t>
      </w:r>
      <w:r>
        <w:rPr>
          <w:rFonts w:hint="eastAsia" w:asciiTheme="minorEastAsia" w:hAnsiTheme="minorEastAsia"/>
          <w:sz w:val="24"/>
          <w:lang w:val="en-US" w:eastAsia="zh-CN"/>
        </w:rPr>
        <w:t>万元，资产总额为</w:t>
      </w:r>
      <w:r>
        <w:rPr>
          <w:rFonts w:hint="eastAsia" w:asciiTheme="minorEastAsia" w:hAnsiTheme="minorEastAsia"/>
          <w:sz w:val="24"/>
          <w:u w:val="single"/>
          <w:lang w:val="en-US" w:eastAsia="zh-CN"/>
        </w:rPr>
        <w:t xml:space="preserve">   </w:t>
      </w:r>
    </w:p>
    <w:p>
      <w:pPr>
        <w:spacing w:line="360" w:lineRule="auto"/>
        <w:rPr>
          <w:rFonts w:hint="eastAsia" w:asciiTheme="minorEastAsia" w:hAnsiTheme="minorEastAsia"/>
          <w:sz w:val="24"/>
        </w:rPr>
      </w:pPr>
      <w:r>
        <w:rPr>
          <w:rFonts w:hint="eastAsia" w:asciiTheme="minorEastAsia" w:hAnsiTheme="minorEastAsia"/>
          <w:sz w:val="24"/>
          <w:lang w:val="en-US" w:eastAsia="zh-CN"/>
        </w:rPr>
        <w:t>万元，属于</w:t>
      </w:r>
      <w:r>
        <w:rPr>
          <w:rFonts w:hint="eastAsia" w:asciiTheme="minorEastAsia" w:hAnsiTheme="minorEastAsia"/>
          <w:i/>
          <w:iCs/>
          <w:sz w:val="24"/>
          <w:u w:val="single"/>
          <w:lang w:val="en-US" w:eastAsia="zh-CN"/>
        </w:rPr>
        <w:t>（中型企业、小型企业、微型企业）</w:t>
      </w:r>
      <w:r>
        <w:rPr>
          <w:rFonts w:hint="eastAsia" w:asciiTheme="minorEastAsia" w:hAnsiTheme="minorEastAsia"/>
          <w:sz w:val="24"/>
          <w:lang w:val="en-US" w:eastAsia="zh-CN"/>
        </w:rPr>
        <w:t xml:space="preserve">； </w:t>
      </w:r>
    </w:p>
    <w:p>
      <w:pPr>
        <w:spacing w:line="360" w:lineRule="auto"/>
        <w:ind w:firstLine="480" w:firstLineChars="200"/>
        <w:rPr>
          <w:rFonts w:hint="eastAsia" w:asciiTheme="minorEastAsia" w:hAnsiTheme="minorEastAsia"/>
          <w:sz w:val="24"/>
        </w:rPr>
      </w:pPr>
      <w:r>
        <w:rPr>
          <w:rFonts w:hint="eastAsia" w:asciiTheme="minorEastAsia" w:hAnsiTheme="minorEastAsia"/>
          <w:sz w:val="24"/>
          <w:lang w:val="en-US" w:eastAsia="zh-CN"/>
        </w:rPr>
        <w:t>……</w:t>
      </w:r>
    </w:p>
    <w:p>
      <w:pPr>
        <w:spacing w:line="360" w:lineRule="auto"/>
        <w:ind w:firstLine="480" w:firstLineChars="200"/>
        <w:rPr>
          <w:rFonts w:hint="eastAsia" w:asciiTheme="minorEastAsia" w:hAnsiTheme="minorEastAsia"/>
          <w:sz w:val="24"/>
        </w:rPr>
      </w:pPr>
      <w:r>
        <w:rPr>
          <w:rFonts w:hint="eastAsia" w:asciiTheme="minorEastAsia" w:hAnsiTheme="minorEastAsia"/>
          <w:sz w:val="24"/>
          <w:lang w:val="en-US" w:eastAsia="zh-CN"/>
        </w:rPr>
        <w:t>以上企业，不属于大企业的分支机构，不存在控股股东为大企业的情形，也不存在与大企业的负责人为同一人的情形。</w:t>
      </w:r>
    </w:p>
    <w:p>
      <w:pPr>
        <w:spacing w:line="360" w:lineRule="auto"/>
        <w:ind w:firstLine="480" w:firstLineChars="200"/>
        <w:rPr>
          <w:rFonts w:hint="eastAsia" w:asciiTheme="minorEastAsia" w:hAnsiTheme="minorEastAsia"/>
          <w:sz w:val="24"/>
        </w:rPr>
      </w:pPr>
      <w:r>
        <w:rPr>
          <w:rFonts w:hint="eastAsia" w:asciiTheme="minorEastAsia" w:hAnsiTheme="minorEastAsia"/>
          <w:sz w:val="24"/>
          <w:lang w:val="en-US" w:eastAsia="zh-CN"/>
        </w:rPr>
        <w:t xml:space="preserve">本企业对上述声明内容的真实性负责。如有虚假，将依法承担相应责任。 </w:t>
      </w:r>
    </w:p>
    <w:p>
      <w:pPr>
        <w:spacing w:line="360" w:lineRule="auto"/>
        <w:ind w:firstLine="480" w:firstLineChars="200"/>
        <w:jc w:val="center"/>
        <w:rPr>
          <w:rFonts w:hint="eastAsia" w:asciiTheme="minorEastAsia" w:hAnsiTheme="minorEastAsia"/>
          <w:sz w:val="24"/>
          <w:lang w:val="en-US" w:eastAsia="zh-CN"/>
        </w:rPr>
      </w:pPr>
    </w:p>
    <w:p>
      <w:pPr>
        <w:spacing w:line="360" w:lineRule="auto"/>
        <w:ind w:firstLine="480" w:firstLineChars="200"/>
        <w:jc w:val="center"/>
        <w:rPr>
          <w:rFonts w:hint="eastAsia" w:asciiTheme="minorEastAsia" w:hAnsiTheme="minorEastAsia"/>
          <w:sz w:val="24"/>
          <w:lang w:val="en-US" w:eastAsia="zh-CN"/>
        </w:rPr>
      </w:pPr>
      <w:r>
        <w:rPr>
          <w:rFonts w:hint="eastAsia" w:asciiTheme="minorEastAsia" w:hAnsiTheme="minorEastAsia"/>
          <w:sz w:val="24"/>
          <w:lang w:val="en-US" w:eastAsia="zh-CN"/>
        </w:rPr>
        <w:t xml:space="preserve">企业名称（盖章）： </w:t>
      </w:r>
    </w:p>
    <w:p>
      <w:pPr>
        <w:pStyle w:val="2"/>
        <w:rPr>
          <w:rFonts w:hint="eastAsia"/>
          <w:lang w:val="en-US" w:eastAsia="zh-CN"/>
        </w:rPr>
      </w:pPr>
    </w:p>
    <w:p>
      <w:pPr>
        <w:spacing w:before="100" w:beforeAutospacing="1" w:after="100" w:afterAutospacing="1" w:line="360" w:lineRule="auto"/>
        <w:ind w:firstLine="3794" w:firstLineChars="1581"/>
        <w:rPr>
          <w:rFonts w:ascii="宋体" w:hAnsi="宋体" w:eastAsia="宋体" w:cs="Times New Roman"/>
          <w:b/>
          <w:bCs/>
          <w:sz w:val="24"/>
          <w:szCs w:val="21"/>
          <w:lang w:val="zh-CN"/>
        </w:rPr>
      </w:pPr>
      <w:r>
        <w:rPr>
          <w:rFonts w:hint="eastAsia" w:asciiTheme="minorEastAsia" w:hAnsiTheme="minorEastAsia"/>
          <w:sz w:val="24"/>
          <w:lang w:val="en-US" w:eastAsia="zh-CN"/>
        </w:rPr>
        <w:t>日 期</w:t>
      </w:r>
      <w:r>
        <w:rPr>
          <w:rFonts w:hint="eastAsia" w:asciiTheme="minorEastAsia" w:hAnsiTheme="minorEastAsia"/>
          <w:sz w:val="24"/>
          <w:lang w:eastAsia="zh-CN"/>
        </w:rPr>
        <w:t>：</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p>
    <w:p>
      <w:pPr>
        <w:spacing w:before="100" w:beforeAutospacing="1" w:after="100" w:afterAutospacing="1" w:line="360" w:lineRule="auto"/>
        <w:rPr>
          <w:rFonts w:ascii="宋体" w:hAnsi="宋体" w:eastAsia="宋体" w:cs="Times New Roman"/>
          <w:b/>
          <w:bCs/>
          <w:sz w:val="24"/>
          <w:szCs w:val="21"/>
          <w:lang w:val="zh-CN"/>
        </w:rPr>
        <w:sectPr>
          <w:headerReference r:id="rId7" w:type="default"/>
          <w:footerReference r:id="rId8" w:type="default"/>
          <w:pgSz w:w="11906" w:h="16838"/>
          <w:pgMar w:top="1134" w:right="1191" w:bottom="1134" w:left="1191" w:header="851" w:footer="851" w:gutter="0"/>
          <w:cols w:space="425" w:num="1"/>
          <w:docGrid w:type="linesAndChars" w:linePitch="312" w:charSpace="0"/>
        </w:sectPr>
      </w:pPr>
    </w:p>
    <w:p/>
    <w:p>
      <w:pPr>
        <w:spacing w:line="240" w:lineRule="atLeast"/>
        <w:ind w:right="-65" w:rightChars="-31"/>
        <w:jc w:val="center"/>
        <w:rPr>
          <w:rFonts w:ascii="宋体" w:hAnsi="宋体" w:eastAsia="宋体" w:cs="Times New Roman"/>
          <w:b/>
          <w:sz w:val="30"/>
          <w:szCs w:val="30"/>
          <w:lang w:val="zh-CN"/>
        </w:rPr>
      </w:pPr>
      <w:bookmarkStart w:id="136" w:name="_Toc476153619"/>
      <w:r>
        <w:rPr>
          <w:rFonts w:hint="eastAsia" w:ascii="宋体" w:hAnsi="宋体" w:eastAsia="宋体" w:cs="Times New Roman"/>
          <w:b/>
          <w:sz w:val="30"/>
          <w:szCs w:val="30"/>
          <w:lang w:val="zh-CN"/>
        </w:rPr>
        <w:t>中小企业划型标准</w:t>
      </w:r>
      <w:bookmarkEnd w:id="136"/>
    </w:p>
    <w:tbl>
      <w:tblPr>
        <w:tblStyle w:val="23"/>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eastAsia="宋体" w:cs="宋体"/>
                <w:b/>
                <w:kern w:val="0"/>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7" w:leftChars="-23" w:right="-65" w:rightChars="-31" w:hanging="165" w:hangingChars="79"/>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bl>
    <w:p>
      <w:pPr>
        <w:rPr>
          <w:rFonts w:ascii="宋体" w:hAnsi="宋体" w:eastAsia="宋体"/>
        </w:rPr>
        <w:sectPr>
          <w:pgSz w:w="16838" w:h="11906" w:orient="landscape"/>
          <w:pgMar w:top="1191" w:right="1134" w:bottom="1191" w:left="1134" w:header="851" w:footer="851" w:gutter="0"/>
          <w:cols w:space="425" w:num="1"/>
          <w:docGrid w:type="linesAndChars" w:linePitch="312" w:charSpace="0"/>
        </w:sectPr>
      </w:pPr>
      <w:bookmarkStart w:id="137" w:name="_Toc494745321"/>
      <w:bookmarkStart w:id="138" w:name="_Toc494665004"/>
      <w:bookmarkStart w:id="139" w:name="_Toc495861553"/>
      <w:bookmarkStart w:id="140" w:name="_Toc494665557"/>
      <w:bookmarkStart w:id="141" w:name="_Toc494702274"/>
      <w:bookmarkStart w:id="142" w:name="_Toc494665954"/>
      <w:bookmarkStart w:id="143" w:name="_Toc494721104"/>
    </w:p>
    <w:p/>
    <w:p>
      <w:pPr>
        <w:pStyle w:val="4"/>
        <w:numPr>
          <w:ilvl w:val="0"/>
          <w:numId w:val="62"/>
        </w:numPr>
        <w:spacing w:before="100" w:beforeAutospacing="1" w:after="156" w:afterLines="50" w:line="360" w:lineRule="auto"/>
        <w:ind w:left="1288" w:hanging="1288"/>
        <w:rPr>
          <w:rFonts w:ascii="宋体" w:hAnsi="宋体" w:eastAsia="宋体"/>
        </w:rPr>
      </w:pPr>
      <w:r>
        <w:rPr>
          <w:rFonts w:hint="eastAsia" w:ascii="宋体" w:hAnsi="宋体" w:eastAsia="宋体"/>
        </w:rPr>
        <w:t>残疾人福利性单位声明函</w:t>
      </w:r>
      <w:bookmarkEnd w:id="137"/>
      <w:bookmarkEnd w:id="138"/>
      <w:bookmarkEnd w:id="139"/>
      <w:bookmarkEnd w:id="140"/>
      <w:bookmarkEnd w:id="141"/>
      <w:bookmarkEnd w:id="142"/>
      <w:bookmarkEnd w:id="143"/>
    </w:p>
    <w:p/>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156" w:beforeLines="50" w:after="156"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pStyle w:val="11"/>
        <w:spacing w:line="360" w:lineRule="auto"/>
        <w:ind w:firstLine="475" w:firstLineChars="198"/>
        <w:jc w:val="left"/>
        <w:rPr>
          <w:rFonts w:hAnsi="宋体"/>
          <w:sz w:val="24"/>
        </w:rPr>
      </w:pPr>
      <w:r>
        <w:rPr>
          <w:rFonts w:hint="eastAsia" w:hAnsi="宋体"/>
          <w:sz w:val="24"/>
        </w:rPr>
        <w:t>单位郑重声明，根据《财政部 民政部 中国残疾人联合会关于促进残疾人就业政府采购政策的通知》（财库〔2017〕141号）的规定，本</w:t>
      </w:r>
      <w:r>
        <w:rPr>
          <w:rFonts w:hint="eastAsia" w:hAnsi="宋体"/>
          <w:color w:val="0D0D0D" w:themeColor="text1" w:themeTint="F2"/>
          <w:sz w:val="24"/>
          <w14:textFill>
            <w14:solidFill>
              <w14:schemeClr w14:val="tx1">
                <w14:lumMod w14:val="95000"/>
                <w14:lumOff w14:val="5000"/>
              </w14:schemeClr>
            </w14:solidFill>
          </w14:textFill>
        </w:rPr>
        <w:t>单位为符合条件的残疾人福利性单位（详见“残疾人福利性单位应当满足的条件”）。</w:t>
      </w:r>
    </w:p>
    <w:p>
      <w:pPr>
        <w:pStyle w:val="11"/>
        <w:spacing w:line="360" w:lineRule="auto"/>
        <w:ind w:firstLine="475" w:firstLineChars="198"/>
        <w:jc w:val="left"/>
        <w:rPr>
          <w:rFonts w:hAnsi="宋体"/>
          <w:sz w:val="24"/>
        </w:rPr>
      </w:pPr>
      <w:r>
        <w:rPr>
          <w:rFonts w:hint="eastAsia" w:hAnsi="宋体"/>
          <w:sz w:val="24"/>
        </w:rPr>
        <w:t>1.本单位授权</w:t>
      </w:r>
      <w:r>
        <w:rPr>
          <w:rFonts w:hint="eastAsia" w:hAnsi="宋体"/>
          <w:sz w:val="24"/>
          <w:u w:val="single"/>
        </w:rPr>
        <w:t xml:space="preserve"> （投标人） </w:t>
      </w:r>
      <w:r>
        <w:rPr>
          <w:rFonts w:hint="eastAsia" w:hAnsi="宋体"/>
          <w:sz w:val="24"/>
        </w:rPr>
        <w:t>参加_</w:t>
      </w:r>
      <w:r>
        <w:rPr>
          <w:rFonts w:hint="eastAsia" w:hAnsi="宋体"/>
          <w:sz w:val="24"/>
          <w:u w:val="single"/>
        </w:rPr>
        <w:t>（采购人）</w:t>
      </w:r>
      <w:r>
        <w:rPr>
          <w:rFonts w:hint="eastAsia" w:hAnsi="宋体"/>
          <w:sz w:val="24"/>
        </w:rPr>
        <w:t>的__</w:t>
      </w:r>
      <w:r>
        <w:rPr>
          <w:rFonts w:hint="eastAsia" w:hAnsi="宋体"/>
          <w:sz w:val="24"/>
          <w:u w:val="single"/>
        </w:rPr>
        <w:t>_ _</w:t>
      </w:r>
      <w:r>
        <w:rPr>
          <w:rFonts w:hint="eastAsia" w:hAnsi="宋体"/>
          <w:sz w:val="24"/>
        </w:rPr>
        <w:t>项目（项目编号：_____）采购活动提供本单位制造的货物。本条所称货物不包括使用非残疾人福利性单位注册商标的货物。</w:t>
      </w:r>
    </w:p>
    <w:p>
      <w:pPr>
        <w:spacing w:line="360" w:lineRule="auto"/>
        <w:ind w:firstLine="480" w:firstLineChars="200"/>
        <w:rPr>
          <w:rFonts w:ascii="宋体" w:hAnsi="宋体"/>
          <w:bCs/>
          <w:color w:val="0D0D0D"/>
          <w:sz w:val="24"/>
        </w:rPr>
      </w:pPr>
      <w:r>
        <w:rPr>
          <w:rFonts w:hint="eastAsia" w:ascii="宋体" w:hAnsi="宋体"/>
          <w:bCs/>
          <w:sz w:val="24"/>
          <w:lang w:val="zh-CN"/>
        </w:rPr>
        <w:t>2</w:t>
      </w:r>
      <w:r>
        <w:rPr>
          <w:rFonts w:hint="eastAsia" w:ascii="宋体" w:hAnsi="宋体"/>
          <w:bCs/>
          <w:sz w:val="24"/>
        </w:rPr>
        <w:t>.由本单位制造的</w:t>
      </w:r>
      <w:r>
        <w:rPr>
          <w:rFonts w:hint="eastAsia" w:ascii="宋体" w:hAnsi="宋体"/>
          <w:bCs/>
          <w:color w:val="0D0D0D"/>
          <w:sz w:val="24"/>
        </w:rPr>
        <w:t>货物清单见下表：</w:t>
      </w:r>
    </w:p>
    <w:tbl>
      <w:tblPr>
        <w:tblStyle w:val="23"/>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3"/>
              </w:numPr>
              <w:tabs>
                <w:tab w:val="left" w:pos="82"/>
              </w:tabs>
              <w:adjustRightInd w:val="0"/>
              <w:snapToGrid w:val="0"/>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3"/>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bCs/>
          <w:color w:val="0D0D0D" w:themeColor="text1" w:themeTint="F2"/>
          <w:sz w:val="24"/>
          <w:szCs w:val="24"/>
          <w14:textFill>
            <w14:solidFill>
              <w14:schemeClr w14:val="tx1">
                <w14:lumMod w14:val="95000"/>
                <w14:lumOff w14:val="5000"/>
              </w14:schemeClr>
            </w14:solidFill>
          </w14:textFill>
        </w:rPr>
      </w:pPr>
    </w:p>
    <w:p>
      <w:pPr>
        <w:pStyle w:val="11"/>
        <w:spacing w:line="360" w:lineRule="auto"/>
        <w:jc w:val="left"/>
        <w:rPr>
          <w:rFonts w:hAnsi="宋体" w:cs="Corbel"/>
          <w:color w:val="0D0D0D" w:themeColor="text1" w:themeTint="F2"/>
          <w:sz w:val="24"/>
          <w14:textFill>
            <w14:solidFill>
              <w14:schemeClr w14:val="tx1">
                <w14:lumMod w14:val="95000"/>
                <w14:lumOff w14:val="5000"/>
              </w14:schemeClr>
            </w14:solidFill>
          </w14:textFill>
        </w:rPr>
      </w:pPr>
      <w:r>
        <w:rPr>
          <w:rFonts w:hint="eastAsia" w:hAnsi="宋体" w:eastAsia="宋体" w:cs="Times New Roman"/>
          <w:bCs/>
          <w:color w:val="0D0D0D" w:themeColor="text1" w:themeTint="F2"/>
          <w:sz w:val="24"/>
          <w:szCs w:val="24"/>
          <w14:textFill>
            <w14:solidFill>
              <w14:schemeClr w14:val="tx1">
                <w14:lumMod w14:val="95000"/>
                <w14:lumOff w14:val="5000"/>
              </w14:schemeClr>
            </w14:solidFill>
          </w14:textFill>
        </w:rPr>
        <w:t>说明：</w:t>
      </w:r>
      <w:r>
        <w:rPr>
          <w:rFonts w:hint="eastAsia" w:hAnsi="宋体" w:cs="Corbel"/>
          <w:color w:val="0D0D0D" w:themeColor="text1" w:themeTint="F2"/>
          <w:sz w:val="24"/>
          <w14:textFill>
            <w14:solidFill>
              <w14:schemeClr w14:val="tx1">
                <w14:lumMod w14:val="95000"/>
                <w14:lumOff w14:val="5000"/>
              </w14:schemeClr>
            </w14:solidFill>
          </w14:textFill>
        </w:rPr>
        <w:t>1、投标人所投货物为自己制造的，也应按本声明函格式填写。</w:t>
      </w:r>
    </w:p>
    <w:p>
      <w:pPr>
        <w:pStyle w:val="11"/>
        <w:spacing w:line="360" w:lineRule="auto"/>
        <w:ind w:left="1078" w:leftChars="342" w:hanging="360" w:hangingChars="150"/>
        <w:jc w:val="left"/>
        <w:rPr>
          <w:rFonts w:hAnsi="宋体"/>
          <w:color w:val="0D0D0D" w:themeColor="text1" w:themeTint="F2"/>
          <w:sz w:val="24"/>
          <w14:textFill>
            <w14:solidFill>
              <w14:schemeClr w14:val="tx1">
                <w14:lumMod w14:val="95000"/>
                <w14:lumOff w14:val="5000"/>
              </w14:schemeClr>
            </w14:solidFill>
          </w14:textFill>
        </w:rPr>
      </w:pPr>
      <w:r>
        <w:rPr>
          <w:rFonts w:hint="eastAsia" w:hAnsi="宋体"/>
          <w:color w:val="0D0D0D" w:themeColor="text1" w:themeTint="F2"/>
          <w:sz w:val="24"/>
          <w14:textFill>
            <w14:solidFill>
              <w14:schemeClr w14:val="tx1">
                <w14:lumMod w14:val="95000"/>
                <w14:lumOff w14:val="5000"/>
              </w14:schemeClr>
            </w14:solidFill>
          </w14:textFill>
        </w:rPr>
        <w:t>2、组成联合体的大中型企业和其他自然人、法人或者其他组织，与残疾人福利性单位之间不得存在投资关系。</w:t>
      </w:r>
    </w:p>
    <w:p>
      <w:pPr>
        <w:pStyle w:val="11"/>
        <w:spacing w:line="360" w:lineRule="auto"/>
        <w:ind w:left="1078" w:leftChars="342" w:hanging="360" w:hangingChars="150"/>
        <w:jc w:val="left"/>
        <w:rPr>
          <w:rFonts w:hAnsi="宋体"/>
          <w:color w:val="0D0D0D" w:themeColor="text1" w:themeTint="F2"/>
          <w:sz w:val="24"/>
          <w14:textFill>
            <w14:solidFill>
              <w14:schemeClr w14:val="tx1">
                <w14:lumMod w14:val="95000"/>
                <w14:lumOff w14:val="5000"/>
              </w14:schemeClr>
            </w14:solidFill>
          </w14:textFill>
        </w:rPr>
      </w:pPr>
      <w:r>
        <w:rPr>
          <w:rFonts w:hint="eastAsia" w:hAnsi="宋体"/>
          <w:color w:val="0D0D0D" w:themeColor="text1" w:themeTint="F2"/>
          <w:sz w:val="24"/>
          <w14:textFill>
            <w14:solidFill>
              <w14:schemeClr w14:val="tx1">
                <w14:lumMod w14:val="95000"/>
                <w14:lumOff w14:val="5000"/>
              </w14:schemeClr>
            </w14:solidFill>
          </w14:textFill>
        </w:rPr>
        <w:t>3、以联合体方式参与本项目投标的供应商，应由联合体双方签字盖章。</w:t>
      </w:r>
    </w:p>
    <w:p>
      <w:pPr>
        <w:spacing w:line="360" w:lineRule="auto"/>
        <w:rPr>
          <w:rFonts w:ascii="宋体" w:hAnsi="宋体"/>
          <w:sz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p>
    <w:p/>
    <w:p>
      <w:pPr>
        <w:adjustRightInd w:val="0"/>
        <w:snapToGrid w:val="0"/>
        <w:jc w:val="center"/>
        <w:rPr>
          <w:rFonts w:ascii="宋体" w:hAnsi="宋体" w:eastAsia="宋体" w:cs="Times New Roman"/>
          <w:b/>
          <w:sz w:val="30"/>
          <w:szCs w:val="30"/>
          <w:lang w:val="zh-CN"/>
        </w:rPr>
      </w:pPr>
    </w:p>
    <w:p>
      <w:pPr>
        <w:adjustRightInd w:val="0"/>
        <w:snapToGrid w:val="0"/>
        <w:spacing w:before="312" w:beforeLines="10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156" w:beforeLines="50" w:after="156"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本单位郑重声明，根据《财政</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部 民政部 中国残疾人联合会关于促进残疾人就业政府采购政策的通知》（财库〔2017〕141号）的规定，本单位为符合条件的残疾人福利性单位</w:t>
      </w:r>
      <w:r>
        <w:rPr>
          <w:rFonts w:hint="eastAsia" w:hAnsi="宋体"/>
          <w:color w:val="0D0D0D" w:themeColor="text1" w:themeTint="F2"/>
          <w:sz w:val="24"/>
          <w14:textFill>
            <w14:solidFill>
              <w14:schemeClr w14:val="tx1">
                <w14:lumMod w14:val="95000"/>
                <w14:lumOff w14:val="5000"/>
              </w14:schemeClr>
            </w14:solidFill>
          </w14:textFill>
        </w:rPr>
        <w:t>（详见“残疾人福利性单位应当满足的条件”）</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w:t>
      </w:r>
      <w:r>
        <w:rPr>
          <w:rFonts w:hint="eastAsia" w:ascii="宋体" w:hAnsi="宋体" w:eastAsia="宋体" w:cs="Times New Roman"/>
          <w:sz w:val="24"/>
          <w:szCs w:val="24"/>
        </w:rPr>
        <w:t>且本单位参加</w:t>
      </w:r>
      <w:r>
        <w:rPr>
          <w:rFonts w:hint="eastAsia" w:ascii="宋体" w:hAnsi="宋体" w:eastAsia="宋体" w:cs="Times New Roman"/>
          <w:sz w:val="24"/>
          <w:szCs w:val="24"/>
          <w:u w:val="single"/>
        </w:rPr>
        <w:t xml:space="preserve">  （</w:t>
      </w:r>
      <w:r>
        <w:rPr>
          <w:rFonts w:hint="eastAsia" w:ascii="Times New Roman" w:hAnsi="宋体" w:eastAsia="宋体" w:cs="Times New Roman"/>
          <w:sz w:val="24"/>
          <w:szCs w:val="24"/>
          <w:u w:val="single"/>
        </w:rPr>
        <w:t>采购</w:t>
      </w:r>
      <w:r>
        <w:rPr>
          <w:rFonts w:hint="eastAsia" w:ascii="宋体" w:hAnsi="宋体" w:eastAsia="宋体" w:cs="Times New Roman"/>
          <w:sz w:val="24"/>
          <w:szCs w:val="24"/>
          <w:u w:val="single"/>
        </w:rPr>
        <w:t>人）</w:t>
      </w:r>
      <w:r>
        <w:rPr>
          <w:rFonts w:hint="eastAsia" w:ascii="Times New Roman" w:hAnsi="宋体" w:eastAsia="宋体" w:cs="Times New Roman"/>
          <w:sz w:val="24"/>
          <w:szCs w:val="24"/>
        </w:rPr>
        <w:t>的</w:t>
      </w:r>
      <w:r>
        <w:rPr>
          <w:rFonts w:hint="eastAsia" w:cs="Times New Roman" w:asciiTheme="minorEastAsia" w:hAnsiTheme="minorEastAsia"/>
          <w:sz w:val="24"/>
          <w:szCs w:val="24"/>
          <w:u w:val="single"/>
        </w:rPr>
        <w:t>__   _</w:t>
      </w:r>
      <w:r>
        <w:rPr>
          <w:rFonts w:hint="eastAsia" w:ascii="Times New Roman" w:hAnsi="宋体" w:eastAsia="宋体" w:cs="Times New Roman"/>
          <w:sz w:val="24"/>
          <w:szCs w:val="24"/>
        </w:rPr>
        <w:t>项目（项目编号：______）</w:t>
      </w:r>
      <w:r>
        <w:rPr>
          <w:rFonts w:hint="eastAsia" w:ascii="宋体" w:hAnsi="宋体" w:eastAsia="宋体" w:cs="Times New Roman"/>
          <w:sz w:val="24"/>
          <w:szCs w:val="24"/>
        </w:rPr>
        <w:t>采购活动由本单位承担工程（或提供服务）。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080" w:hanging="1080" w:hangingChars="450"/>
        <w:jc w:val="left"/>
        <w:rPr>
          <w:rFonts w:ascii="宋体" w:hAnsi="宋体" w:cs="Courier New"/>
          <w:color w:val="0D0D0D" w:themeColor="text1" w:themeTint="F2"/>
          <w:sz w:val="24"/>
          <w:szCs w:val="21"/>
          <w14:textFill>
            <w14:solidFill>
              <w14:schemeClr w14:val="tx1">
                <w14:lumMod w14:val="95000"/>
                <w14:lumOff w14:val="5000"/>
              </w14:schemeClr>
            </w14:solidFill>
          </w14:textFill>
        </w:rPr>
      </w:pPr>
      <w:r>
        <w:rPr>
          <w:rFonts w:hint="eastAsia" w:ascii="宋体" w:hAnsi="宋体" w:cs="Courier New"/>
          <w:color w:val="0D0D0D" w:themeColor="text1" w:themeTint="F2"/>
          <w:sz w:val="24"/>
          <w:szCs w:val="21"/>
          <w14:textFill>
            <w14:solidFill>
              <w14:schemeClr w14:val="tx1">
                <w14:lumMod w14:val="95000"/>
                <w14:lumOff w14:val="5000"/>
              </w14:schemeClr>
            </w14:solidFill>
          </w14:textFill>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cs="Courier New"/>
          <w:color w:val="0D0D0D" w:themeColor="text1" w:themeTint="F2"/>
          <w:sz w:val="24"/>
          <w:szCs w:val="21"/>
          <w14:textFill>
            <w14:solidFill>
              <w14:schemeClr w14:val="tx1">
                <w14:lumMod w14:val="95000"/>
                <w14:lumOff w14:val="5000"/>
              </w14:schemeClr>
            </w14:solidFill>
          </w14:textFill>
        </w:rPr>
        <w:t>2、以联合体方式参与本项目投标的供应商，应由联合体双方签字盖章。</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Times New Roman" w:hAnsi="宋体" w:eastAsia="宋体" w:cs="Times New Roman"/>
          <w:bCs/>
          <w:sz w:val="24"/>
          <w:szCs w:val="24"/>
          <w:u w:val="single"/>
        </w:rPr>
      </w:pPr>
      <w:r>
        <w:rPr>
          <w:rFonts w:hint="eastAsia" w:ascii="Times New Roman" w:hAnsi="宋体" w:eastAsia="宋体" w:cs="Times New Roman"/>
          <w:b/>
          <w:sz w:val="24"/>
          <w:szCs w:val="24"/>
        </w:rPr>
        <w:t>日   期：</w:t>
      </w:r>
    </w:p>
    <w:p>
      <w:r>
        <w:br w:type="page"/>
      </w:r>
    </w:p>
    <w:p>
      <w:pPr>
        <w:spacing w:line="60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享受政府采购支持政策的残疾人福利性单位应当同时满足以下条件：</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（一）安置的残疾人占本单位在职职工人数的比例不低于25%（含25%），并且安置的残疾人人数不少于10人（含10人）；</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（二）依法与安置的每位残疾人签订了一年以上（含一年）的劳动合同或服务协议；</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
      <w:r>
        <w:br w:type="page"/>
      </w:r>
    </w:p>
    <w:p>
      <w:pPr>
        <w:pStyle w:val="4"/>
        <w:numPr>
          <w:ilvl w:val="0"/>
          <w:numId w:val="62"/>
        </w:numPr>
        <w:spacing w:before="100" w:beforeAutospacing="1" w:after="156" w:afterLines="50" w:line="360" w:lineRule="auto"/>
        <w:ind w:left="1288" w:hanging="1288"/>
        <w:rPr>
          <w:rFonts w:ascii="宋体" w:hAnsi="宋体" w:eastAsia="宋体"/>
        </w:rPr>
      </w:pPr>
      <w:bookmarkStart w:id="144" w:name="_Toc494665955"/>
      <w:bookmarkStart w:id="145" w:name="_Toc494577410"/>
      <w:bookmarkStart w:id="146" w:name="_Toc494745322"/>
      <w:bookmarkStart w:id="147" w:name="_Toc494665558"/>
      <w:bookmarkStart w:id="148" w:name="_Toc494665005"/>
      <w:bookmarkStart w:id="149" w:name="_Toc494702275"/>
      <w:bookmarkStart w:id="150" w:name="_Toc494721105"/>
      <w:bookmarkStart w:id="151" w:name="_Toc495861554"/>
      <w:r>
        <w:rPr>
          <w:rFonts w:hint="eastAsia" w:ascii="宋体" w:hAnsi="宋体" w:eastAsia="宋体"/>
        </w:rPr>
        <w:t>开标一览表</w:t>
      </w:r>
      <w:bookmarkEnd w:id="144"/>
      <w:bookmarkEnd w:id="145"/>
      <w:bookmarkEnd w:id="146"/>
      <w:bookmarkEnd w:id="147"/>
      <w:bookmarkEnd w:id="148"/>
      <w:bookmarkEnd w:id="149"/>
      <w:bookmarkEnd w:id="150"/>
      <w:bookmarkEnd w:id="151"/>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bCs/>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3"/>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783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8896" w:type="dxa"/>
            <w:gridSpan w:val="2"/>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名称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8896" w:type="dxa"/>
            <w:gridSpan w:val="2"/>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投标总报价</w:t>
            </w:r>
          </w:p>
        </w:tc>
        <w:tc>
          <w:tcPr>
            <w:tcW w:w="7839" w:type="dxa"/>
            <w:tcBorders>
              <w:top w:val="single" w:color="auto" w:sz="4" w:space="0"/>
              <w:left w:val="single" w:color="auto" w:sz="4" w:space="0"/>
              <w:bottom w:val="single" w:color="auto" w:sz="4" w:space="0"/>
              <w:right w:val="double" w:color="auto" w:sz="4" w:space="0"/>
            </w:tcBorders>
            <w:vAlign w:val="center"/>
          </w:tcPr>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小写：</w:t>
            </w:r>
          </w:p>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大写：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项目工期</w:t>
            </w:r>
          </w:p>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（服务期限）</w:t>
            </w:r>
          </w:p>
        </w:tc>
        <w:tc>
          <w:tcPr>
            <w:tcW w:w="7839"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质保期</w:t>
            </w:r>
          </w:p>
        </w:tc>
        <w:tc>
          <w:tcPr>
            <w:tcW w:w="7839"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备注</w:t>
            </w:r>
          </w:p>
        </w:tc>
        <w:tc>
          <w:tcPr>
            <w:tcW w:w="7839" w:type="dxa"/>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eastAsia="宋体" w:cs="Times New Roman"/>
                <w:color w:val="FF0000"/>
                <w:sz w:val="24"/>
              </w:rPr>
            </w:pPr>
            <w:r>
              <w:rPr>
                <w:rFonts w:hint="eastAsia" w:ascii="Times New Roman" w:hAnsi="宋体" w:eastAsia="宋体" w:cs="Times New Roman"/>
                <w:color w:val="FF0000"/>
                <w:sz w:val="24"/>
                <w:szCs w:val="24"/>
              </w:rPr>
              <w:t>小型和微型企业、监狱企业、残疾人福利性单位价格扣除</w:t>
            </w:r>
            <w:r>
              <w:rPr>
                <w:rFonts w:hint="eastAsia" w:ascii="宋体" w:hAnsi="宋体" w:eastAsia="宋体" w:cs="Times New Roman"/>
                <w:color w:val="FF0000"/>
                <w:sz w:val="24"/>
              </w:rPr>
              <w:t>合计（</w:t>
            </w:r>
            <w:r>
              <w:rPr>
                <w:rFonts w:hint="eastAsia" w:ascii="宋体" w:hAnsi="宋体" w:eastAsia="宋体" w:cs="宋体"/>
                <w:color w:val="FF0000"/>
                <w:kern w:val="0"/>
                <w:sz w:val="24"/>
                <w:szCs w:val="24"/>
              </w:rPr>
              <w:t>大写</w:t>
            </w:r>
            <w:r>
              <w:rPr>
                <w:rFonts w:hint="eastAsia" w:ascii="宋体" w:hAnsi="宋体" w:eastAsia="宋体" w:cs="Times New Roman"/>
                <w:color w:val="FF0000"/>
                <w:sz w:val="24"/>
              </w:rPr>
              <w:t>）：</w:t>
            </w:r>
          </w:p>
          <w:p>
            <w:pPr>
              <w:spacing w:line="276" w:lineRule="auto"/>
              <w:ind w:left="-48" w:leftChars="-23" w:right="-65" w:rightChars="-31"/>
              <w:jc w:val="left"/>
              <w:rPr>
                <w:rFonts w:ascii="宋体" w:hAnsi="宋体" w:eastAsia="宋体" w:cs="宋体"/>
                <w:kern w:val="0"/>
                <w:sz w:val="24"/>
                <w:szCs w:val="24"/>
                <w:lang w:val="zh-CN"/>
              </w:rPr>
            </w:pPr>
            <w:r>
              <w:rPr>
                <w:rFonts w:hint="eastAsia" w:ascii="宋体" w:hAnsi="宋体" w:eastAsia="宋体" w:cs="宋体"/>
                <w:color w:val="FF0000"/>
                <w:kern w:val="0"/>
                <w:sz w:val="24"/>
                <w:szCs w:val="24"/>
              </w:rPr>
              <w:t>万仟佰拾元整</w:t>
            </w:r>
            <w:r>
              <w:rPr>
                <w:rFonts w:hint="eastAsia" w:ascii="宋体" w:hAnsi="宋体" w:cs="宋体"/>
                <w:color w:val="FF0000"/>
                <w:kern w:val="0"/>
                <w:sz w:val="24"/>
              </w:rPr>
              <w:t>（或以联合体投标的，</w:t>
            </w:r>
            <w:r>
              <w:rPr>
                <w:rFonts w:ascii="宋体" w:hAnsi="宋体"/>
                <w:bCs/>
                <w:color w:val="FF0000"/>
                <w:sz w:val="24"/>
              </w:rPr>
              <w:t>联合协议中约定小型、微型企业的协议合同金额占到联合体协议合同总金额的</w:t>
            </w:r>
            <w:r>
              <w:rPr>
                <w:rFonts w:hint="eastAsia" w:ascii="宋体" w:hAnsi="宋体"/>
                <w:bCs/>
                <w:color w:val="FF0000"/>
                <w:sz w:val="24"/>
              </w:rPr>
              <w:t>%）</w:t>
            </w:r>
          </w:p>
        </w:tc>
      </w:tr>
    </w:tbl>
    <w:p>
      <w:pPr>
        <w:spacing w:line="360" w:lineRule="auto"/>
        <w:ind w:left="1049" w:hanging="1048" w:hangingChars="437"/>
        <w:jc w:val="left"/>
        <w:rPr>
          <w:rFonts w:ascii="宋体" w:hAnsi="宋体"/>
          <w:sz w:val="24"/>
        </w:rPr>
      </w:pPr>
    </w:p>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说明：1．所有价格均用人民币表示，单位为万元。</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2．价格应按照招标文件第二章“投标人须知”中第12条的要求进行报价。</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Times New Roman"/>
          <w:sz w:val="24"/>
          <w:szCs w:val="24"/>
        </w:rPr>
        <w:t>3．为方便开标时唱标，投标人应另附《开标一览表》及《交纳投标保证金的银行凭证》（如有交纳保证金要求的）各一份一并</w:t>
      </w:r>
      <w:r>
        <w:rPr>
          <w:rFonts w:hint="eastAsia" w:ascii="宋体" w:hAnsi="宋体" w:eastAsia="宋体" w:cs="Times New Roman"/>
          <w:spacing w:val="-6"/>
          <w:kern w:val="0"/>
          <w:sz w:val="24"/>
          <w:szCs w:val="24"/>
        </w:rPr>
        <w:t>装入一个信封，单独密封提交</w:t>
      </w:r>
      <w:r>
        <w:rPr>
          <w:rFonts w:hint="eastAsia" w:ascii="宋体" w:hAnsi="宋体" w:eastAsia="宋体" w:cs="Times New Roman"/>
          <w:sz w:val="24"/>
          <w:szCs w:val="24"/>
        </w:rPr>
        <w:t>，并在信封上标明“开标一览表”字样。未单独提交或单独提交的上述资料未按照招标文件规定的格式填写完整并签字、盖章</w:t>
      </w:r>
      <w:r>
        <w:rPr>
          <w:rFonts w:hint="eastAsia" w:ascii="宋体" w:hAnsi="宋体" w:eastAsia="宋体" w:cs="Times New Roman"/>
          <w:sz w:val="24"/>
          <w:szCs w:val="20"/>
          <w:lang w:val="zh-CN"/>
        </w:rPr>
        <w:t>的采购机构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4. 本表应按要求由投标人法人授权代表签字，并加盖投标单位公章，否则将被视为非响应性投标，将按照</w:t>
      </w:r>
      <w:r>
        <w:rPr>
          <w:rFonts w:hint="eastAsia" w:ascii="宋体" w:hAnsi="宋体" w:eastAsia="宋体" w:cs="Times New Roman"/>
          <w:b/>
          <w:sz w:val="24"/>
          <w:szCs w:val="24"/>
        </w:rPr>
        <w:t>无效投标处理</w:t>
      </w:r>
      <w:r>
        <w:rPr>
          <w:rFonts w:hint="eastAsia" w:ascii="宋体" w:hAnsi="宋体" w:eastAsia="宋体" w:cs="Times New Roman"/>
          <w:sz w:val="24"/>
          <w:szCs w:val="24"/>
        </w:rPr>
        <w:t>。</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r>
        <w:br w:type="page"/>
      </w:r>
    </w:p>
    <w:p>
      <w:pPr>
        <w:pStyle w:val="4"/>
        <w:numPr>
          <w:ilvl w:val="0"/>
          <w:numId w:val="62"/>
        </w:numPr>
        <w:spacing w:before="100" w:beforeAutospacing="1" w:after="156" w:afterLines="50" w:line="360" w:lineRule="auto"/>
        <w:ind w:left="1288" w:hanging="1288"/>
        <w:rPr>
          <w:rFonts w:ascii="宋体" w:hAnsi="宋体" w:eastAsia="宋体"/>
        </w:rPr>
      </w:pPr>
      <w:bookmarkStart w:id="152" w:name="_Toc494577411"/>
      <w:bookmarkStart w:id="153" w:name="_Toc494721106"/>
      <w:bookmarkStart w:id="154" w:name="_Toc494665006"/>
      <w:bookmarkStart w:id="155" w:name="_Toc494665956"/>
      <w:bookmarkStart w:id="156" w:name="_Toc495861555"/>
      <w:bookmarkStart w:id="157" w:name="_Toc494702276"/>
      <w:bookmarkStart w:id="158" w:name="_Toc494745323"/>
      <w:bookmarkStart w:id="159" w:name="_Toc494665559"/>
      <w:r>
        <w:rPr>
          <w:rFonts w:hint="eastAsia" w:ascii="宋体" w:hAnsi="宋体" w:eastAsia="宋体"/>
        </w:rPr>
        <w:t>投标报价明细表</w:t>
      </w:r>
      <w:bookmarkEnd w:id="152"/>
      <w:bookmarkEnd w:id="153"/>
      <w:bookmarkEnd w:id="154"/>
      <w:bookmarkEnd w:id="155"/>
      <w:bookmarkEnd w:id="156"/>
      <w:bookmarkEnd w:id="157"/>
      <w:bookmarkEnd w:id="158"/>
      <w:bookmarkEnd w:id="159"/>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3"/>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1676"/>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611"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134" w:type="dxa"/>
            <w:shd w:val="clear" w:color="auto" w:fill="D8D8D8" w:themeFill="background1" w:themeFillShade="D9"/>
            <w:vAlign w:val="center"/>
          </w:tcPr>
          <w:p>
            <w:pPr>
              <w:ind w:left="-48" w:leftChars="-23" w:right="-65" w:rightChars="-31"/>
              <w:jc w:val="center"/>
              <w:rPr>
                <w:rFonts w:ascii="宋体" w:hAnsi="宋体" w:cs="宋体"/>
                <w:color w:val="0D0D0D"/>
                <w:kern w:val="0"/>
                <w:sz w:val="24"/>
              </w:rPr>
            </w:pPr>
            <w:r>
              <w:rPr>
                <w:rFonts w:hint="eastAsia" w:ascii="宋体" w:hAnsi="宋体"/>
                <w:color w:val="0D0D0D" w:themeColor="text1" w:themeTint="F2"/>
                <w:sz w:val="24"/>
                <w14:textFill>
                  <w14:solidFill>
                    <w14:schemeClr w14:val="tx1">
                      <w14:lumMod w14:val="95000"/>
                      <w14:lumOff w14:val="5000"/>
                    </w14:schemeClr>
                  </w14:solidFill>
                </w14:textFill>
              </w:rPr>
              <w:t>品牌型号规格</w:t>
            </w:r>
          </w:p>
        </w:tc>
        <w:tc>
          <w:tcPr>
            <w:tcW w:w="800"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676"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制造商名称</w:t>
            </w:r>
          </w:p>
        </w:tc>
        <w:tc>
          <w:tcPr>
            <w:tcW w:w="1316"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单价</w:t>
            </w:r>
          </w:p>
        </w:tc>
        <w:tc>
          <w:tcPr>
            <w:tcW w:w="1357"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ind w:left="547" w:hanging="547" w:hangingChars="228"/>
              <w:jc w:val="center"/>
              <w:rPr>
                <w:rFonts w:ascii="宋体" w:hAnsi="宋体"/>
                <w:sz w:val="24"/>
              </w:rPr>
            </w:pPr>
            <w:r>
              <w:rPr>
                <w:rFonts w:hint="eastAsia" w:ascii="宋体" w:hAnsi="宋体"/>
                <w:sz w:val="24"/>
              </w:rPr>
              <w:t>货物1（工程或服务）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货物2（工程或服务）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货物3（工程或服务）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货物4（工程或服务）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货物5（工程或服务）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货物6（工程或服务）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货物7（工程或服务）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611"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3"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2673"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说明：1．所有价格均用人民币表示，单位为元。</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2．报价明细表合计应与《开标一览表》中的投标总报价一致。</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3．未提供详细的货物（工程或服务）报价明细</w:t>
      </w:r>
      <w:r>
        <w:rPr>
          <w:rFonts w:hint="eastAsia" w:ascii="宋体" w:hAnsi="宋体" w:cs="Corbel"/>
          <w:sz w:val="24"/>
        </w:rPr>
        <w:t>，</w:t>
      </w:r>
      <w:r>
        <w:rPr>
          <w:rFonts w:hint="eastAsia" w:ascii="宋体" w:hAnsi="宋体"/>
          <w:sz w:val="24"/>
        </w:rPr>
        <w:t>导致的后果由投标人自行承担。</w:t>
      </w: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156" w:afterLines="50" w:line="360" w:lineRule="auto"/>
        <w:ind w:left="1288" w:hanging="1288"/>
        <w:rPr>
          <w:rFonts w:ascii="宋体" w:hAnsi="宋体" w:eastAsia="宋体"/>
          <w:sz w:val="31"/>
          <w:szCs w:val="31"/>
        </w:rPr>
      </w:pPr>
      <w:bookmarkStart w:id="160" w:name="_Toc494721107"/>
      <w:bookmarkStart w:id="161" w:name="_Toc494702277"/>
      <w:bookmarkStart w:id="162" w:name="_Toc494665957"/>
      <w:bookmarkStart w:id="163" w:name="_Toc494745324"/>
      <w:bookmarkStart w:id="164" w:name="_Toc494577412"/>
      <w:bookmarkStart w:id="165" w:name="_Toc494665007"/>
      <w:bookmarkStart w:id="166" w:name="_Toc495861556"/>
      <w:bookmarkStart w:id="167" w:name="_Toc494665560"/>
      <w:r>
        <w:rPr>
          <w:rFonts w:hint="eastAsia" w:ascii="宋体" w:hAnsi="宋体" w:eastAsia="宋体"/>
          <w:sz w:val="31"/>
          <w:szCs w:val="31"/>
        </w:rPr>
        <w:t>小型和微型企业、监狱企业、残疾人福利性单位货物汇总表</w:t>
      </w:r>
      <w:bookmarkEnd w:id="160"/>
      <w:bookmarkEnd w:id="161"/>
      <w:bookmarkEnd w:id="162"/>
      <w:bookmarkEnd w:id="163"/>
      <w:bookmarkEnd w:id="164"/>
      <w:bookmarkEnd w:id="165"/>
      <w:bookmarkEnd w:id="166"/>
      <w:bookmarkEnd w:id="167"/>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3"/>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序号</w:t>
            </w:r>
          </w:p>
        </w:tc>
        <w:tc>
          <w:tcPr>
            <w:tcW w:w="1552"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制造商名称</w:t>
            </w:r>
          </w:p>
        </w:tc>
        <w:tc>
          <w:tcPr>
            <w:tcW w:w="156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货物名称</w:t>
            </w:r>
          </w:p>
        </w:tc>
        <w:tc>
          <w:tcPr>
            <w:tcW w:w="1133"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规格型号</w:t>
            </w:r>
          </w:p>
        </w:tc>
        <w:tc>
          <w:tcPr>
            <w:tcW w:w="84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数量</w:t>
            </w:r>
          </w:p>
        </w:tc>
        <w:tc>
          <w:tcPr>
            <w:tcW w:w="110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单价</w:t>
            </w:r>
          </w:p>
        </w:tc>
        <w:tc>
          <w:tcPr>
            <w:tcW w:w="1134"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分项</w:t>
            </w:r>
          </w:p>
          <w:p>
            <w:pPr>
              <w:adjustRightInd w:val="0"/>
              <w:snapToGrid w:val="0"/>
              <w:ind w:left="-88" w:leftChars="-42"/>
              <w:jc w:val="center"/>
              <w:rPr>
                <w:rFonts w:ascii="宋体" w:hAnsi="宋体"/>
                <w:sz w:val="24"/>
              </w:rPr>
            </w:pPr>
            <w:r>
              <w:rPr>
                <w:rFonts w:hint="eastAsia" w:ascii="宋体" w:hAnsi="宋体"/>
                <w:sz w:val="24"/>
              </w:rPr>
              <w:t>合计</w:t>
            </w:r>
          </w:p>
        </w:tc>
        <w:tc>
          <w:tcPr>
            <w:tcW w:w="146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1</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2</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3</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4</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5</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6</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7</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bCs/>
                <w:sz w:val="24"/>
              </w:rPr>
            </w:pPr>
            <w:r>
              <w:rPr>
                <w:rFonts w:hint="eastAsia" w:ascii="宋体" w:hAnsi="宋体"/>
                <w:bCs/>
                <w:sz w:val="24"/>
              </w:rPr>
              <w:t>合计</w:t>
            </w:r>
          </w:p>
        </w:tc>
        <w:tc>
          <w:tcPr>
            <w:tcW w:w="2602" w:type="dxa"/>
            <w:gridSpan w:val="2"/>
            <w:shd w:val="clear" w:color="auto" w:fill="auto"/>
            <w:vAlign w:val="center"/>
          </w:tcPr>
          <w:p>
            <w:pPr>
              <w:spacing w:line="360" w:lineRule="auto"/>
              <w:jc w:val="left"/>
              <w:rPr>
                <w:rFonts w:ascii="宋体" w:hAnsi="宋体"/>
                <w:bCs/>
                <w:sz w:val="24"/>
              </w:rPr>
            </w:pPr>
          </w:p>
        </w:tc>
      </w:tr>
    </w:tbl>
    <w:p>
      <w:pPr>
        <w:spacing w:line="360" w:lineRule="auto"/>
        <w:ind w:left="1049" w:hanging="1048" w:hangingChars="437"/>
        <w:jc w:val="left"/>
        <w:rPr>
          <w:rFonts w:ascii="宋体" w:hAnsi="宋体"/>
          <w:sz w:val="24"/>
        </w:rPr>
      </w:pPr>
      <w:r>
        <w:rPr>
          <w:rFonts w:hint="eastAsia" w:ascii="宋体" w:hAnsi="宋体"/>
          <w:sz w:val="24"/>
        </w:rPr>
        <w:t>说明：1</w:t>
      </w:r>
      <w:r>
        <w:rPr>
          <w:rFonts w:hint="eastAsia" w:ascii="宋体" w:hAnsi="宋体" w:eastAsia="宋体" w:cs="Times New Roman"/>
          <w:sz w:val="24"/>
          <w:szCs w:val="24"/>
        </w:rPr>
        <w:t>．</w:t>
      </w:r>
      <w:r>
        <w:rPr>
          <w:rFonts w:hint="eastAsia" w:ascii="宋体" w:hAnsi="宋体"/>
          <w:sz w:val="24"/>
        </w:rPr>
        <w:t>所有价格均用人民币表示，单位为元。</w:t>
      </w:r>
    </w:p>
    <w:p>
      <w:pPr>
        <w:spacing w:line="360" w:lineRule="auto"/>
        <w:ind w:left="1061" w:leftChars="339" w:hanging="350" w:hangingChars="146"/>
        <w:jc w:val="left"/>
        <w:rPr>
          <w:rFonts w:ascii="宋体" w:hAnsi="宋体"/>
          <w:sz w:val="24"/>
        </w:rPr>
      </w:pPr>
      <w:r>
        <w:rPr>
          <w:rFonts w:hint="eastAsia" w:ascii="宋体" w:hAnsi="宋体"/>
          <w:sz w:val="24"/>
        </w:rPr>
        <w:t>2</w:t>
      </w:r>
      <w:r>
        <w:rPr>
          <w:rFonts w:hint="eastAsia" w:ascii="宋体" w:hAnsi="宋体" w:eastAsia="宋体" w:cs="Times New Roman"/>
          <w:sz w:val="24"/>
          <w:szCs w:val="24"/>
        </w:rPr>
        <w:t>．</w:t>
      </w:r>
      <w:r>
        <w:rPr>
          <w:rFonts w:hint="eastAsia" w:ascii="宋体" w:hAnsi="宋体"/>
          <w:color w:val="0D0D0D"/>
          <w:sz w:val="24"/>
        </w:rPr>
        <w:t>投标人</w:t>
      </w:r>
      <w:r>
        <w:rPr>
          <w:rFonts w:hint="eastAsia" w:ascii="宋体" w:hAnsi="宋体"/>
          <w:sz w:val="24"/>
        </w:rPr>
        <w:t>提供的相关证明文件对应页码填写到上表“投标文件对应的页码”中。</w:t>
      </w:r>
      <w:r>
        <w:rPr>
          <w:rFonts w:hint="eastAsia" w:ascii="宋体" w:hAnsi="宋体" w:cs="Corbel"/>
          <w:sz w:val="24"/>
        </w:rPr>
        <w:t>如未提供页码或内容页码完全不一致的，</w:t>
      </w:r>
      <w:r>
        <w:rPr>
          <w:rFonts w:hint="eastAsia" w:ascii="宋体" w:hAnsi="宋体"/>
          <w:sz w:val="24"/>
        </w:rPr>
        <w:t>导致的后果由投标人自行承担。</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156" w:afterLines="50" w:line="360" w:lineRule="auto"/>
        <w:ind w:left="1288" w:hanging="1288"/>
        <w:rPr>
          <w:rFonts w:ascii="宋体" w:hAnsi="宋体" w:eastAsia="宋体"/>
        </w:rPr>
      </w:pPr>
      <w:bookmarkStart w:id="168" w:name="_Toc494721108"/>
      <w:bookmarkStart w:id="169" w:name="_Toc494745325"/>
      <w:bookmarkStart w:id="170" w:name="_Toc494702278"/>
      <w:bookmarkStart w:id="171" w:name="_Toc494665958"/>
      <w:bookmarkStart w:id="172" w:name="_Toc495861557"/>
      <w:bookmarkStart w:id="173" w:name="_Toc494665561"/>
      <w:bookmarkStart w:id="174" w:name="_Toc494665008"/>
      <w:r>
        <w:rPr>
          <w:rFonts w:hint="eastAsia" w:ascii="宋体" w:hAnsi="宋体" w:eastAsia="宋体"/>
        </w:rPr>
        <w:t>投标货物（工程或服务）清单</w:t>
      </w:r>
      <w:bookmarkEnd w:id="168"/>
      <w:bookmarkEnd w:id="169"/>
      <w:bookmarkEnd w:id="170"/>
      <w:bookmarkEnd w:id="171"/>
      <w:bookmarkEnd w:id="172"/>
      <w:bookmarkEnd w:id="173"/>
      <w:bookmarkEnd w:id="174"/>
    </w:p>
    <w:p>
      <w:pPr>
        <w:adjustRightInd w:val="0"/>
        <w:snapToGrid w:val="0"/>
        <w:spacing w:line="360" w:lineRule="auto"/>
        <w:rPr>
          <w:rFonts w:ascii="宋体" w:hAnsi="宋体"/>
          <w:b/>
          <w:sz w:val="24"/>
        </w:rPr>
      </w:pPr>
      <w:r>
        <w:rPr>
          <w:rFonts w:hint="eastAsia" w:ascii="宋体" w:hAnsi="宋体"/>
          <w:b/>
          <w:sz w:val="24"/>
        </w:rPr>
        <w:t>投 标 人：</w:t>
      </w:r>
    </w:p>
    <w:p>
      <w:pPr>
        <w:adjustRightInd w:val="0"/>
        <w:snapToGrid w:val="0"/>
        <w:spacing w:line="360" w:lineRule="auto"/>
        <w:rPr>
          <w:rFonts w:ascii="宋体" w:hAnsi="宋体"/>
          <w:b/>
          <w:color w:val="FF0000"/>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3"/>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84" w:rightChars="-40"/>
              <w:jc w:val="center"/>
              <w:rPr>
                <w:rFonts w:ascii="宋体" w:hAnsi="宋体" w:cs="宋体"/>
                <w:color w:val="0D0D0D"/>
                <w:kern w:val="0"/>
                <w:sz w:val="24"/>
              </w:rPr>
            </w:pPr>
            <w:r>
              <w:rPr>
                <w:rFonts w:hint="eastAsia" w:ascii="宋体" w:hAnsi="宋体" w:cs="宋体"/>
                <w:color w:val="0D0D0D"/>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2593" w:type="dxa"/>
            <w:tcBorders>
              <w:top w:val="single" w:color="auto" w:sz="4" w:space="0"/>
              <w:left w:val="single" w:color="auto" w:sz="4" w:space="0"/>
              <w:bottom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sz w:val="24"/>
              </w:rPr>
            </w:pPr>
            <w:r>
              <w:rPr>
                <w:rFonts w:hint="eastAsia" w:ascii="宋体" w:hAnsi="宋体"/>
                <w:sz w:val="24"/>
              </w:rPr>
              <w:t>1</w:t>
            </w:r>
          </w:p>
        </w:tc>
        <w:tc>
          <w:tcPr>
            <w:tcW w:w="2722" w:type="dxa"/>
            <w:tcBorders>
              <w:top w:val="single" w:color="auto" w:sz="4" w:space="0"/>
            </w:tcBorders>
            <w:vAlign w:val="center"/>
          </w:tcPr>
          <w:p>
            <w:pPr>
              <w:adjustRightInd w:val="0"/>
              <w:snapToGrid w:val="0"/>
              <w:ind w:left="-88" w:leftChars="-42"/>
              <w:jc w:val="center"/>
              <w:rPr>
                <w:rFonts w:ascii="宋体" w:hAnsi="宋体"/>
                <w:sz w:val="24"/>
              </w:rPr>
            </w:pPr>
          </w:p>
        </w:tc>
        <w:tc>
          <w:tcPr>
            <w:tcW w:w="2459" w:type="dxa"/>
            <w:tcBorders>
              <w:top w:val="single" w:color="auto" w:sz="4" w:space="0"/>
            </w:tcBorders>
            <w:vAlign w:val="center"/>
          </w:tcPr>
          <w:p>
            <w:pPr>
              <w:adjustRightInd w:val="0"/>
              <w:snapToGrid w:val="0"/>
              <w:jc w:val="center"/>
              <w:rPr>
                <w:rFonts w:ascii="宋体" w:hAnsi="宋体"/>
                <w:sz w:val="24"/>
              </w:rPr>
            </w:pPr>
          </w:p>
        </w:tc>
        <w:tc>
          <w:tcPr>
            <w:tcW w:w="851" w:type="dxa"/>
            <w:tcBorders>
              <w:top w:val="single" w:color="auto" w:sz="4" w:space="0"/>
            </w:tcBorders>
            <w:vAlign w:val="center"/>
          </w:tcPr>
          <w:p>
            <w:pPr>
              <w:adjustRightInd w:val="0"/>
              <w:snapToGrid w:val="0"/>
              <w:jc w:val="center"/>
              <w:rPr>
                <w:rFonts w:ascii="宋体" w:hAnsi="宋体"/>
                <w:sz w:val="24"/>
              </w:rPr>
            </w:pPr>
          </w:p>
        </w:tc>
        <w:tc>
          <w:tcPr>
            <w:tcW w:w="2593" w:type="dxa"/>
            <w:tcBorders>
              <w:top w:val="single" w:color="auto" w:sz="4" w:space="0"/>
            </w:tcBorders>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2</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3</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ind w:left="-88" w:leftChars="-42"/>
              <w:jc w:val="center"/>
              <w:rPr>
                <w:rFonts w:ascii="宋体" w:hAnsi="宋体"/>
                <w:sz w:val="24"/>
              </w:rPr>
            </w:pPr>
          </w:p>
        </w:tc>
        <w:tc>
          <w:tcPr>
            <w:tcW w:w="851" w:type="dxa"/>
            <w:vAlign w:val="center"/>
          </w:tcPr>
          <w:p>
            <w:pPr>
              <w:adjustRightInd w:val="0"/>
              <w:snapToGrid w:val="0"/>
              <w:ind w:left="-88" w:leftChars="-42"/>
              <w:jc w:val="center"/>
              <w:rPr>
                <w:rFonts w:ascii="宋体" w:hAnsi="宋体"/>
                <w:sz w:val="24"/>
              </w:rPr>
            </w:pPr>
          </w:p>
        </w:tc>
        <w:tc>
          <w:tcPr>
            <w:tcW w:w="2593" w:type="dxa"/>
            <w:vAlign w:val="center"/>
          </w:tcPr>
          <w:p>
            <w:pPr>
              <w:adjustRightInd w:val="0"/>
              <w:snapToGrid w:val="0"/>
              <w:ind w:left="-88" w:leftChars="-4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4</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5</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6</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7</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bl>
    <w:p>
      <w:pPr>
        <w:spacing w:line="360" w:lineRule="auto"/>
        <w:ind w:left="1078" w:hanging="1077" w:hangingChars="449"/>
        <w:jc w:val="left"/>
        <w:rPr>
          <w:rFonts w:ascii="宋体" w:hAnsi="宋体"/>
          <w:sz w:val="24"/>
        </w:rPr>
      </w:pPr>
      <w:r>
        <w:rPr>
          <w:rFonts w:hint="eastAsia" w:ascii="宋体" w:hAnsi="宋体"/>
          <w:sz w:val="24"/>
        </w:rPr>
        <w:t>说明：1．此表为货物（工程或服务）清单，投标人应提供所投货物（工程或服务）详细的供货（工程或服务）范围，包括主要配件及生产厂家、备品备件等。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ascii="宋体" w:hAnsi="宋体"/>
          <w:sz w:val="24"/>
        </w:rPr>
      </w:pPr>
      <w:r>
        <w:rPr>
          <w:rFonts w:hint="eastAsia" w:ascii="宋体" w:hAnsi="宋体"/>
          <w:sz w:val="24"/>
        </w:rPr>
        <w:t>2．各项货物（工程或服务）详细技术规格、参数及要求性能，应另页描述。</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156" w:afterLines="50" w:line="360" w:lineRule="auto"/>
        <w:ind w:left="1288" w:hanging="1288"/>
        <w:rPr>
          <w:rFonts w:ascii="宋体" w:hAnsi="宋体" w:eastAsia="宋体"/>
        </w:rPr>
      </w:pPr>
      <w:bookmarkStart w:id="175" w:name="_Toc494665959"/>
      <w:bookmarkStart w:id="176" w:name="_Toc494721109"/>
      <w:bookmarkStart w:id="177" w:name="_Toc494702279"/>
      <w:bookmarkStart w:id="178" w:name="_Toc494665562"/>
      <w:bookmarkStart w:id="179" w:name="_Toc494745326"/>
      <w:bookmarkStart w:id="180" w:name="_Toc494665009"/>
      <w:bookmarkStart w:id="181" w:name="_Toc495861558"/>
      <w:r>
        <w:rPr>
          <w:rFonts w:hint="eastAsia" w:ascii="宋体" w:hAnsi="宋体" w:eastAsia="宋体"/>
        </w:rPr>
        <w:t>交纳投标保证金的银行凭证</w:t>
      </w:r>
      <w:bookmarkEnd w:id="175"/>
      <w:bookmarkEnd w:id="176"/>
      <w:bookmarkEnd w:id="177"/>
      <w:bookmarkEnd w:id="178"/>
      <w:bookmarkEnd w:id="179"/>
      <w:bookmarkEnd w:id="180"/>
      <w:bookmarkEnd w:id="181"/>
    </w:p>
    <w:p>
      <w:pPr>
        <w:spacing w:line="480" w:lineRule="auto"/>
        <w:rPr>
          <w:rFonts w:ascii="宋体" w:hAnsi="宋体" w:cs="Courier New"/>
          <w:b/>
          <w:sz w:val="28"/>
          <w:szCs w:val="28"/>
        </w:rPr>
      </w:pPr>
      <w:r>
        <w:rPr>
          <w:rFonts w:hint="eastAsia"/>
          <w:b/>
          <w:sz w:val="28"/>
          <w:szCs w:val="28"/>
        </w:rPr>
        <w:t>采购人</w:t>
      </w:r>
      <w:r>
        <w:rPr>
          <w:rFonts w:hint="eastAsia"/>
          <w:b/>
          <w:color w:val="FF0000"/>
          <w:sz w:val="28"/>
          <w:szCs w:val="28"/>
        </w:rPr>
        <w:t>（或代理公司）</w:t>
      </w:r>
      <w:r>
        <w:rPr>
          <w:rFonts w:hint="eastAsia" w:ascii="宋体" w:hAnsi="宋体" w:cs="Courier New"/>
          <w:b/>
          <w:sz w:val="28"/>
          <w:szCs w:val="28"/>
        </w:rPr>
        <w:t>：</w:t>
      </w:r>
    </w:p>
    <w:p>
      <w:pPr>
        <w:spacing w:line="360" w:lineRule="auto"/>
        <w:ind w:firstLine="489" w:firstLineChars="204"/>
        <w:jc w:val="left"/>
        <w:rPr>
          <w:rFonts w:ascii="宋体" w:hAnsi="宋体" w:eastAsia="宋体" w:cs="Times New Roman"/>
          <w:sz w:val="24"/>
          <w:szCs w:val="21"/>
          <w:lang w:val="zh-CN"/>
        </w:rPr>
      </w:pPr>
      <w:r>
        <w:rPr>
          <w:rFonts w:hint="eastAsia" w:ascii="宋体" w:hAnsi="宋体" w:eastAsia="宋体" w:cs="Times New Roman"/>
          <w:sz w:val="24"/>
          <w:szCs w:val="21"/>
          <w:u w:val="single"/>
          <w:lang w:val="zh-CN"/>
        </w:rPr>
        <w:t xml:space="preserve">  （投标人全称）  </w:t>
      </w:r>
      <w:r>
        <w:rPr>
          <w:rFonts w:hint="eastAsia" w:ascii="宋体" w:hAnsi="宋体" w:eastAsia="宋体" w:cs="Times New Roman"/>
          <w:sz w:val="24"/>
          <w:szCs w:val="21"/>
          <w:lang w:val="zh-CN"/>
        </w:rPr>
        <w:t>参加贵方组织的</w:t>
      </w:r>
      <w:r>
        <w:rPr>
          <w:rFonts w:hint="eastAsia" w:ascii="宋体" w:hAnsi="宋体" w:eastAsia="宋体" w:cs="Times New Roman"/>
          <w:color w:val="0D0D0D"/>
          <w:sz w:val="24"/>
          <w:szCs w:val="21"/>
          <w:lang w:val="zh-CN"/>
        </w:rPr>
        <w:t>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项目（项目编号：_____</w:t>
      </w:r>
      <w:r>
        <w:rPr>
          <w:rFonts w:hint="eastAsia" w:ascii="宋体" w:hAnsi="宋体" w:eastAsia="宋体" w:cs="Times New Roman"/>
          <w:sz w:val="24"/>
          <w:szCs w:val="21"/>
          <w:lang w:val="zh-CN"/>
        </w:rPr>
        <w:t>_）的政府采购活动。按招标文件的规定，已递交人民币（大写）</w:t>
      </w:r>
      <w:r>
        <w:rPr>
          <w:rFonts w:hint="eastAsia" w:ascii="宋体" w:hAnsi="宋体" w:eastAsia="宋体" w:cs="Times New Roman"/>
          <w:color w:val="0D0D0D"/>
          <w:sz w:val="24"/>
          <w:szCs w:val="21"/>
          <w:lang w:val="zh-CN"/>
        </w:rPr>
        <w:t>__</w:t>
      </w:r>
      <w:r>
        <w:rPr>
          <w:rFonts w:hint="eastAsia" w:ascii="宋体" w:hAnsi="宋体" w:eastAsia="宋体" w:cs="Times New Roman"/>
          <w:color w:val="0D0D0D"/>
          <w:sz w:val="24"/>
          <w:szCs w:val="21"/>
          <w:u w:val="single"/>
          <w:lang w:val="zh-CN"/>
        </w:rPr>
        <w:t>__</w:t>
      </w:r>
      <w:r>
        <w:rPr>
          <w:rFonts w:hint="eastAsia" w:ascii="宋体" w:hAnsi="宋体" w:eastAsia="宋体" w:cs="Times New Roman"/>
          <w:sz w:val="24"/>
          <w:szCs w:val="21"/>
          <w:lang w:val="zh-CN"/>
        </w:rPr>
        <w:t>万元的投标保证金。</w:t>
      </w:r>
    </w:p>
    <w:tbl>
      <w:tblPr>
        <w:tblStyle w:val="23"/>
        <w:tblW w:w="95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restart"/>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投标人</w:t>
            </w: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全  称</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地  址</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邮  编</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 系 人</w:t>
            </w:r>
          </w:p>
        </w:tc>
        <w:tc>
          <w:tcPr>
            <w:tcW w:w="2160" w:type="dxa"/>
            <w:vAlign w:val="center"/>
          </w:tcPr>
          <w:p>
            <w:pPr>
              <w:widowControl/>
              <w:spacing w:line="360" w:lineRule="auto"/>
              <w:jc w:val="left"/>
              <w:rPr>
                <w:rFonts w:ascii="宋体" w:hAnsi="宋体" w:eastAsia="宋体" w:cs="宋体"/>
                <w:kern w:val="0"/>
                <w:sz w:val="24"/>
                <w:szCs w:val="21"/>
              </w:rPr>
            </w:pPr>
          </w:p>
        </w:tc>
        <w:tc>
          <w:tcPr>
            <w:tcW w:w="1440"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联系电话</w:t>
            </w:r>
          </w:p>
        </w:tc>
        <w:tc>
          <w:tcPr>
            <w:tcW w:w="3523" w:type="dxa"/>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开 户 银 行</w:t>
            </w:r>
          </w:p>
        </w:tc>
        <w:tc>
          <w:tcPr>
            <w:tcW w:w="7123" w:type="dxa"/>
            <w:gridSpan w:val="3"/>
            <w:vAlign w:val="center"/>
          </w:tcPr>
          <w:p>
            <w:pPr>
              <w:widowControl/>
              <w:spacing w:line="360" w:lineRule="auto"/>
              <w:jc w:val="left"/>
              <w:rPr>
                <w:rFonts w:ascii="宋体" w:hAnsi="宋体" w:eastAsia="宋体" w:cs="Arial"/>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帐  号</w:t>
            </w:r>
          </w:p>
        </w:tc>
        <w:tc>
          <w:tcPr>
            <w:tcW w:w="7123" w:type="dxa"/>
            <w:gridSpan w:val="3"/>
            <w:vAlign w:val="center"/>
          </w:tcPr>
          <w:p>
            <w:pPr>
              <w:widowControl/>
              <w:spacing w:line="360" w:lineRule="auto"/>
              <w:jc w:val="left"/>
              <w:rPr>
                <w:rFonts w:ascii="宋体" w:hAnsi="宋体" w:eastAsia="宋体" w:cs="Arial"/>
                <w:kern w:val="0"/>
                <w:sz w:val="24"/>
                <w:szCs w:val="21"/>
              </w:rPr>
            </w:pPr>
          </w:p>
        </w:tc>
      </w:tr>
    </w:tbl>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tbl>
      <w:tblPr>
        <w:tblStyle w:val="23"/>
        <w:tblW w:w="954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exact"/>
        </w:trPr>
        <w:tc>
          <w:tcPr>
            <w:tcW w:w="9547" w:type="dxa"/>
          </w:tcPr>
          <w:p>
            <w:pPr>
              <w:spacing w:line="360" w:lineRule="auto"/>
              <w:rPr>
                <w:rFonts w:ascii="宋体" w:hAnsi="宋体" w:eastAsia="宋体" w:cs="Times New Roman"/>
                <w:sz w:val="24"/>
                <w:szCs w:val="24"/>
              </w:rPr>
            </w:pPr>
            <w:r>
              <w:rPr>
                <w:rFonts w:hint="eastAsia" w:ascii="宋体" w:hAnsi="宋体" w:eastAsia="宋体" w:cs="Times New Roman"/>
                <w:sz w:val="24"/>
                <w:szCs w:val="24"/>
              </w:rPr>
              <w:t>粘贴转帐、电汇或网上银行凭证（清晰影印件）</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10" w:leftChars="38" w:hanging="31" w:hangingChars="13"/>
              <w:rPr>
                <w:rFonts w:ascii="宋体" w:hAnsi="宋体" w:eastAsia="宋体" w:cs="Times New Roman"/>
                <w:b/>
                <w:sz w:val="24"/>
                <w:szCs w:val="20"/>
                <w:lang w:val="zh-CN"/>
              </w:rPr>
            </w:pPr>
            <w:r>
              <w:rPr>
                <w:rFonts w:hint="eastAsia" w:ascii="宋体" w:hAnsi="宋体" w:eastAsia="宋体" w:cs="Times New Roman"/>
                <w:sz w:val="24"/>
                <w:szCs w:val="20"/>
                <w:lang w:val="zh-CN"/>
              </w:rPr>
              <w:t>注：在交款凭证备注中说明项目编号及开标时间</w:t>
            </w:r>
          </w:p>
        </w:tc>
      </w:tr>
    </w:tbl>
    <w:p>
      <w:pPr>
        <w:spacing w:line="360" w:lineRule="auto"/>
        <w:ind w:left="720" w:hanging="720" w:hangingChars="300"/>
        <w:jc w:val="left"/>
        <w:rPr>
          <w:rFonts w:ascii="宋体" w:hAnsi="宋体" w:eastAsia="宋体" w:cs="Times New Roman"/>
          <w:sz w:val="24"/>
          <w:szCs w:val="24"/>
        </w:rPr>
      </w:pPr>
      <w:r>
        <w:rPr>
          <w:rFonts w:hint="eastAsia" w:ascii="宋体" w:hAnsi="宋体" w:eastAsia="宋体" w:cs="Times New Roman"/>
          <w:sz w:val="24"/>
          <w:szCs w:val="24"/>
        </w:rPr>
        <w:t>说明：投标人应认真填写银行信息，与转帐或电汇银行凭证的相关信息一致，采购机构将依据此凭证信息查退投标保证金。</w:t>
      </w:r>
    </w:p>
    <w:p>
      <w:r>
        <w:br w:type="page"/>
      </w:r>
    </w:p>
    <w:p>
      <w:pPr>
        <w:pStyle w:val="4"/>
        <w:numPr>
          <w:ilvl w:val="0"/>
          <w:numId w:val="62"/>
        </w:numPr>
        <w:spacing w:before="100" w:beforeAutospacing="1" w:after="156" w:afterLines="50" w:line="360" w:lineRule="auto"/>
        <w:ind w:left="1288" w:hanging="1288"/>
        <w:rPr>
          <w:rFonts w:ascii="宋体" w:hAnsi="宋体" w:eastAsia="宋体"/>
        </w:rPr>
      </w:pPr>
      <w:bookmarkStart w:id="182" w:name="_Toc238276247"/>
      <w:bookmarkStart w:id="183" w:name="_Toc495861559"/>
      <w:bookmarkStart w:id="184" w:name="_Toc494721110"/>
      <w:bookmarkStart w:id="185" w:name="_Toc494702280"/>
      <w:bookmarkStart w:id="186" w:name="_Toc494665960"/>
      <w:bookmarkStart w:id="187" w:name="_Toc494665010"/>
      <w:bookmarkStart w:id="188" w:name="_Toc236473303"/>
      <w:bookmarkStart w:id="189" w:name="_Toc494665563"/>
      <w:bookmarkStart w:id="190" w:name="_Toc494745327"/>
      <w:r>
        <w:rPr>
          <w:rFonts w:hint="eastAsia" w:ascii="宋体" w:hAnsi="宋体" w:eastAsia="宋体"/>
        </w:rPr>
        <w:t>法定代表人授权书</w:t>
      </w:r>
      <w:bookmarkEnd w:id="182"/>
      <w:bookmarkEnd w:id="183"/>
      <w:bookmarkEnd w:id="184"/>
      <w:bookmarkEnd w:id="185"/>
      <w:bookmarkEnd w:id="186"/>
      <w:bookmarkEnd w:id="187"/>
      <w:bookmarkEnd w:id="188"/>
      <w:bookmarkEnd w:id="189"/>
      <w:bookmarkEnd w:id="190"/>
    </w:p>
    <w:p>
      <w:pPr>
        <w:spacing w:line="480" w:lineRule="auto"/>
        <w:rPr>
          <w:rFonts w:ascii="宋体" w:hAnsi="宋体" w:eastAsia="宋体" w:cs="Times New Roman"/>
          <w:b/>
          <w:sz w:val="24"/>
          <w:szCs w:val="24"/>
        </w:rPr>
      </w:pPr>
      <w:r>
        <w:rPr>
          <w:rFonts w:hint="eastAsia"/>
          <w:b/>
          <w:sz w:val="28"/>
          <w:szCs w:val="28"/>
        </w:rPr>
        <w:t>采购人</w:t>
      </w:r>
      <w:r>
        <w:rPr>
          <w:rFonts w:hint="eastAsia"/>
          <w:b/>
          <w:color w:val="FF0000"/>
          <w:sz w:val="28"/>
          <w:szCs w:val="28"/>
        </w:rPr>
        <w:t>（或代理公司）</w:t>
      </w:r>
      <w:r>
        <w:rPr>
          <w:rFonts w:hint="eastAsia" w:ascii="宋体" w:hAnsi="宋体" w:cs="Courier New"/>
          <w:b/>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兹授权</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同志为我单位参加贵方组织的</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Times New Roman" w:hAnsi="宋体" w:eastAsia="宋体" w:cs="Times New Roman"/>
          <w:color w:val="0D0D0D"/>
          <w:sz w:val="24"/>
          <w:szCs w:val="24"/>
        </w:rPr>
        <w:t>项目（项目编号：_____</w:t>
      </w:r>
      <w:r>
        <w:rPr>
          <w:rFonts w:hint="eastAsia" w:ascii="Times New Roman" w:hAnsi="宋体" w:eastAsia="宋体" w:cs="Times New Roman"/>
          <w:sz w:val="24"/>
          <w:szCs w:val="24"/>
        </w:rPr>
        <w:t>_）</w:t>
      </w:r>
      <w:r>
        <w:rPr>
          <w:rFonts w:hint="eastAsia" w:ascii="宋体" w:hAnsi="宋体" w:eastAsia="宋体" w:cs="Times New Roman"/>
          <w:sz w:val="24"/>
          <w:szCs w:val="24"/>
        </w:rPr>
        <w:t>采购活动的投标人授权代表，全权代表我公司处理在</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项目采购活动中的一切事宜。代理期限从</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w:t>
      </w:r>
      <w:r>
        <w:rPr>
          <w:rFonts w:hint="eastAsia" w:ascii="宋体" w:hAnsi="宋体" w:eastAsia="宋体" w:cs="Times New Roman"/>
          <w:sz w:val="24"/>
          <w:szCs w:val="24"/>
        </w:rPr>
        <w:t>日起至</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 xml:space="preserve">日止。 </w:t>
      </w:r>
    </w:p>
    <w:p>
      <w:pPr>
        <w:spacing w:line="360" w:lineRule="auto"/>
        <w:ind w:firstLine="540" w:firstLineChars="225"/>
        <w:rPr>
          <w:rFonts w:ascii="宋体" w:hAnsi="宋体" w:eastAsia="宋体" w:cs="Times New Roman"/>
          <w:sz w:val="24"/>
          <w:szCs w:val="24"/>
        </w:rPr>
      </w:pPr>
      <w:r>
        <w:rPr>
          <w:rFonts w:hint="eastAsia" w:ascii="宋体" w:hAnsi="宋体" w:eastAsia="宋体" w:cs="Times New Roman"/>
          <w:sz w:val="24"/>
          <w:szCs w:val="24"/>
        </w:rPr>
        <w:t>被授权代表无转委托权。</w:t>
      </w:r>
    </w:p>
    <w:p>
      <w:pPr>
        <w:spacing w:line="360" w:lineRule="auto"/>
        <w:ind w:firstLine="540" w:firstLineChars="225"/>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授权单位（公章）：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法定代表人（签字或盖章）</w:t>
      </w:r>
      <w:r>
        <w:rPr>
          <w:rFonts w:hint="eastAsia" w:hAnsi="宋体"/>
          <w:b/>
          <w:bCs/>
          <w:sz w:val="24"/>
        </w:rPr>
        <w:t>：</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sz w:val="24"/>
          <w:szCs w:val="21"/>
          <w:lang w:val="zh-CN"/>
        </w:rPr>
        <w:t>签发日期：</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日</w:t>
      </w:r>
    </w:p>
    <w:p>
      <w:pPr>
        <w:spacing w:line="360" w:lineRule="auto"/>
        <w:rPr>
          <w:rFonts w:ascii="宋体" w:hAnsi="宋体" w:eastAsia="宋体" w:cs="Times New Roman"/>
          <w:sz w:val="24"/>
          <w:szCs w:val="24"/>
        </w:rPr>
      </w:pPr>
      <w:r>
        <w:rPr>
          <w:rFonts w:hint="eastAsia" w:ascii="宋体" w:hAnsi="宋体" w:eastAsia="宋体" w:cs="Times New Roman"/>
          <w:sz w:val="24"/>
          <w:szCs w:val="24"/>
        </w:rPr>
        <w:t>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投标人授权代表单位名称：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职务： 性别：</w:t>
      </w:r>
    </w:p>
    <w:p>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身份证号码：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电话：</w:t>
      </w:r>
    </w:p>
    <w:tbl>
      <w:tblPr>
        <w:tblStyle w:val="23"/>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cs="Times New Roman"/>
                <w:sz w:val="24"/>
                <w:szCs w:val="24"/>
              </w:rPr>
            </w:pPr>
            <w:r>
              <w:rPr>
                <w:rFonts w:hint="eastAsia" w:ascii="宋体" w:hAnsi="宋体" w:eastAsia="宋体" w:cs="Times New Roman"/>
                <w:sz w:val="24"/>
                <w:szCs w:val="24"/>
              </w:rPr>
              <w:t>粘贴被授权人身份证（清晰影印件）</w:t>
            </w:r>
          </w:p>
        </w:tc>
      </w:tr>
    </w:tbl>
    <w:p>
      <w:r>
        <w:rPr>
          <w:rFonts w:hint="eastAsia"/>
        </w:rPr>
        <w:t>注：本项目可由分公司或分支机构总负责人进行授权。</w:t>
      </w:r>
      <w:r>
        <w:br w:type="page"/>
      </w:r>
    </w:p>
    <w:p>
      <w:pPr>
        <w:pStyle w:val="4"/>
        <w:numPr>
          <w:ilvl w:val="0"/>
          <w:numId w:val="62"/>
        </w:numPr>
        <w:spacing w:before="100" w:beforeAutospacing="1" w:after="156" w:afterLines="50" w:line="360" w:lineRule="auto"/>
        <w:ind w:left="1610" w:hanging="1610"/>
        <w:rPr>
          <w:rFonts w:ascii="宋体" w:hAnsi="宋体" w:eastAsia="宋体"/>
        </w:rPr>
      </w:pPr>
      <w:bookmarkStart w:id="191" w:name="_Toc494665961"/>
      <w:bookmarkStart w:id="192" w:name="_Toc495861560"/>
      <w:bookmarkStart w:id="193" w:name="_Toc236473304"/>
      <w:bookmarkStart w:id="194" w:name="_Toc494702281"/>
      <w:bookmarkStart w:id="195" w:name="_Toc238276248"/>
      <w:bookmarkStart w:id="196" w:name="_Toc494665564"/>
      <w:bookmarkStart w:id="197" w:name="_Toc494745328"/>
      <w:bookmarkStart w:id="198" w:name="_Toc494665011"/>
      <w:bookmarkStart w:id="199" w:name="_Toc494721111"/>
      <w:r>
        <w:rPr>
          <w:rFonts w:hint="eastAsia" w:ascii="宋体" w:hAnsi="宋体" w:eastAsia="宋体"/>
        </w:rPr>
        <w:t>投标人的资格声明</w:t>
      </w:r>
      <w:bookmarkEnd w:id="191"/>
      <w:bookmarkEnd w:id="192"/>
      <w:bookmarkEnd w:id="193"/>
      <w:bookmarkEnd w:id="194"/>
      <w:bookmarkEnd w:id="195"/>
      <w:bookmarkEnd w:id="196"/>
      <w:bookmarkEnd w:id="197"/>
      <w:bookmarkEnd w:id="198"/>
      <w:bookmarkEnd w:id="199"/>
    </w:p>
    <w:p>
      <w:pPr>
        <w:spacing w:line="360" w:lineRule="auto"/>
        <w:ind w:left="1078" w:hanging="1077" w:hangingChars="449"/>
        <w:jc w:val="left"/>
        <w:rPr>
          <w:rFonts w:ascii="宋体" w:hAnsi="宋体" w:eastAsia="宋体" w:cs="Times New Roman"/>
          <w:sz w:val="24"/>
          <w:szCs w:val="24"/>
        </w:rPr>
      </w:pPr>
      <w:r>
        <w:rPr>
          <w:rFonts w:hint="eastAsia" w:ascii="宋体" w:hAnsi="宋体" w:eastAsia="宋体" w:cs="Times New Roman"/>
          <w:sz w:val="24"/>
          <w:szCs w:val="24"/>
        </w:rPr>
        <w:t>1．名称及基本情况：</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（1）投标人：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（2）地址：     邮编：</w:t>
      </w:r>
    </w:p>
    <w:p>
      <w:pPr>
        <w:spacing w:line="360" w:lineRule="exact"/>
        <w:ind w:firstLine="840" w:firstLineChars="350"/>
        <w:rPr>
          <w:rFonts w:ascii="宋体" w:hAnsi="宋体" w:eastAsia="宋体" w:cs="Times New Roman"/>
          <w:sz w:val="24"/>
          <w:szCs w:val="24"/>
          <w:u w:val="single"/>
        </w:rPr>
      </w:pPr>
      <w:r>
        <w:rPr>
          <w:rFonts w:hint="eastAsia" w:ascii="宋体" w:hAnsi="宋体" w:eastAsia="宋体" w:cs="Times New Roman"/>
          <w:sz w:val="24"/>
          <w:szCs w:val="24"/>
        </w:rPr>
        <w:t>电话：     传真：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（3）成立或注册日期：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（4）单位性质：</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（5）法定代表人或主要负责人：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（6）员工人数：</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（7）注册资本：</w:t>
      </w:r>
    </w:p>
    <w:p>
      <w:pPr>
        <w:adjustRightInd w:val="0"/>
        <w:snapToGrid w:val="0"/>
        <w:spacing w:line="360" w:lineRule="auto"/>
        <w:ind w:left="1200" w:hanging="1200" w:hangingChars="500"/>
        <w:rPr>
          <w:rFonts w:hint="eastAsia" w:ascii="宋体" w:hAnsi="宋体" w:eastAsia="宋体" w:cs="Times New Roman"/>
          <w:sz w:val="24"/>
          <w:szCs w:val="24"/>
        </w:rPr>
      </w:pPr>
      <w:r>
        <w:rPr>
          <w:rFonts w:hint="eastAsia" w:ascii="宋体" w:hAnsi="宋体" w:eastAsia="宋体"/>
          <w:sz w:val="24"/>
          <w:szCs w:val="24"/>
        </w:rPr>
        <w:t>2.</w:t>
      </w:r>
      <w:r>
        <w:rPr>
          <w:rFonts w:hint="eastAsia" w:ascii="宋体" w:hAnsi="宋体" w:eastAsia="宋体" w:cs="Times New Roman"/>
          <w:sz w:val="24"/>
          <w:szCs w:val="24"/>
        </w:rPr>
        <w:t xml:space="preserve"> 投标人认为需要声明的其它情况：</w:t>
      </w:r>
    </w:p>
    <w:p>
      <w:pPr>
        <w:spacing w:line="360" w:lineRule="exact"/>
        <w:ind w:firstLine="475" w:firstLineChars="198"/>
        <w:rPr>
          <w:rFonts w:ascii="宋体" w:hAnsi="宋体" w:eastAsia="宋体" w:cs="Times New Roman"/>
          <w:sz w:val="24"/>
          <w:szCs w:val="24"/>
        </w:rPr>
      </w:pPr>
      <w:r>
        <w:rPr>
          <w:rFonts w:hint="eastAsia" w:ascii="宋体" w:hAnsi="宋体" w:eastAsia="宋体" w:cs="Times New Roman"/>
          <w:sz w:val="24"/>
          <w:szCs w:val="24"/>
        </w:rPr>
        <w:t xml:space="preserve">兹证明上述声明是真实的、正确，并提供了全部能提供的资料和数据，同意按照采购机构要求出示有关证明文件。                      </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投标人</w:t>
      </w:r>
      <w:r>
        <w:rPr>
          <w:rFonts w:hint="eastAsia" w:ascii="Times New Roman" w:hAnsi="宋体" w:eastAsia="宋体" w:cs="Times New Roman"/>
          <w:b/>
          <w:sz w:val="24"/>
          <w:szCs w:val="24"/>
        </w:rPr>
        <w:t>（公章）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Times New Roman" w:hAnsi="宋体" w:eastAsia="宋体" w:cs="Times New Roman"/>
          <w:b/>
          <w:sz w:val="24"/>
          <w:szCs w:val="24"/>
        </w:rPr>
        <w:t>法定代表人（签字或盖章）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电    话：</w:t>
      </w:r>
    </w:p>
    <w:p>
      <w:pPr>
        <w:spacing w:line="360" w:lineRule="auto"/>
        <w:ind w:left="504" w:leftChars="240"/>
        <w:rPr>
          <w:rFonts w:ascii="宋体" w:hAnsi="宋体" w:eastAsia="宋体" w:cs="Times New Roman"/>
          <w:b/>
          <w:sz w:val="24"/>
          <w:szCs w:val="24"/>
          <w:u w:val="single"/>
        </w:rPr>
      </w:pPr>
      <w:r>
        <w:rPr>
          <w:rFonts w:hint="eastAsia" w:ascii="宋体" w:hAnsi="宋体" w:eastAsia="宋体" w:cs="Times New Roman"/>
          <w:b/>
          <w:sz w:val="24"/>
          <w:szCs w:val="24"/>
        </w:rPr>
        <w:t>传    真：</w:t>
      </w:r>
    </w:p>
    <w:p>
      <w:pPr>
        <w:spacing w:line="360" w:lineRule="auto"/>
        <w:ind w:left="504" w:leftChars="240"/>
        <w:rPr>
          <w:rFonts w:hint="eastAsia" w:ascii="宋体" w:hAnsi="宋体" w:eastAsia="宋体" w:cs="Times New Roman"/>
          <w:b/>
          <w:sz w:val="24"/>
          <w:szCs w:val="24"/>
        </w:rPr>
      </w:pPr>
      <w:r>
        <w:rPr>
          <w:rFonts w:hint="eastAsia" w:ascii="宋体" w:hAnsi="宋体" w:eastAsia="宋体" w:cs="Times New Roman"/>
          <w:b/>
          <w:sz w:val="24"/>
          <w:szCs w:val="24"/>
        </w:rPr>
        <w:t>日    期：年月 日</w:t>
      </w:r>
    </w:p>
    <w:p>
      <w:r>
        <w:br w:type="page"/>
      </w:r>
    </w:p>
    <w:p>
      <w:pPr>
        <w:pStyle w:val="2"/>
      </w:pPr>
    </w:p>
    <w:p>
      <w:pPr>
        <w:pStyle w:val="4"/>
        <w:numPr>
          <w:ilvl w:val="0"/>
          <w:numId w:val="62"/>
        </w:numPr>
        <w:spacing w:before="100" w:beforeAutospacing="1" w:after="156" w:afterLines="50" w:line="360" w:lineRule="auto"/>
        <w:ind w:left="1610" w:hanging="1610"/>
        <w:rPr>
          <w:rFonts w:ascii="宋体" w:hAnsi="宋体" w:eastAsia="宋体"/>
        </w:rPr>
      </w:pPr>
      <w:bookmarkStart w:id="200" w:name="_Toc495861561"/>
      <w:bookmarkStart w:id="201" w:name="_Toc494665565"/>
      <w:bookmarkStart w:id="202" w:name="_Toc494702282"/>
      <w:bookmarkStart w:id="203" w:name="_Toc494665962"/>
      <w:bookmarkStart w:id="204" w:name="_Toc494745329"/>
      <w:bookmarkStart w:id="205" w:name="_Toc494665012"/>
      <w:bookmarkStart w:id="206" w:name="_Toc494721112"/>
      <w:r>
        <w:rPr>
          <w:rFonts w:hint="eastAsia" w:ascii="宋体" w:hAnsi="宋体" w:eastAsia="宋体"/>
        </w:rPr>
        <w:t>项目负责人、技术负责人简历表</w:t>
      </w:r>
      <w:bookmarkEnd w:id="200"/>
      <w:bookmarkEnd w:id="201"/>
      <w:bookmarkEnd w:id="202"/>
      <w:bookmarkEnd w:id="203"/>
      <w:bookmarkEnd w:id="204"/>
      <w:bookmarkEnd w:id="205"/>
      <w:bookmarkEnd w:id="206"/>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Times New Roman"/>
                <w:kern w:val="0"/>
                <w:sz w:val="24"/>
                <w:szCs w:val="28"/>
              </w:rPr>
            </w:pPr>
            <w:r>
              <w:rPr>
                <w:rFonts w:hint="eastAsia" w:ascii="宋体" w:hAnsi="宋体" w:eastAsia="宋体" w:cs="Times New Roman"/>
                <w:kern w:val="0"/>
                <w:sz w:val="24"/>
                <w:szCs w:val="28"/>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年    龄</w:t>
            </w:r>
          </w:p>
        </w:tc>
        <w:tc>
          <w:tcPr>
            <w:tcW w:w="1530" w:type="dxa"/>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Times New Roman"/>
                <w:kern w:val="0"/>
                <w:sz w:val="24"/>
                <w:szCs w:val="28"/>
              </w:rPr>
            </w:pPr>
            <w:r>
              <w:rPr>
                <w:rFonts w:hint="eastAsia" w:ascii="宋体" w:hAnsi="宋体" w:eastAsia="宋体" w:cs="Times New Roman"/>
                <w:kern w:val="0"/>
                <w:sz w:val="24"/>
                <w:szCs w:val="28"/>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参加工作</w:t>
            </w:r>
          </w:p>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项目金额</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156" w:afterLines="50" w:line="360" w:lineRule="auto"/>
        <w:ind w:left="1610" w:hanging="1610"/>
        <w:rPr>
          <w:rFonts w:ascii="宋体" w:hAnsi="宋体" w:eastAsia="宋体"/>
        </w:rPr>
      </w:pPr>
      <w:bookmarkStart w:id="207" w:name="_Toc494745330"/>
      <w:bookmarkStart w:id="208" w:name="_Toc494721113"/>
      <w:bookmarkStart w:id="209" w:name="_Toc236473307"/>
      <w:bookmarkStart w:id="210" w:name="_Toc495861562"/>
      <w:bookmarkStart w:id="211" w:name="_Toc238276251"/>
      <w:bookmarkStart w:id="212" w:name="_Toc494665566"/>
      <w:bookmarkStart w:id="213" w:name="_Toc494665013"/>
      <w:bookmarkStart w:id="214" w:name="_Toc494702283"/>
      <w:bookmarkStart w:id="215" w:name="_Toc494665963"/>
      <w:r>
        <w:rPr>
          <w:rFonts w:hint="eastAsia" w:ascii="宋体" w:hAnsi="宋体" w:eastAsia="宋体"/>
        </w:rPr>
        <w:t>项目班子成员情况表</w:t>
      </w:r>
      <w:bookmarkEnd w:id="207"/>
      <w:bookmarkEnd w:id="208"/>
      <w:bookmarkEnd w:id="209"/>
      <w:bookmarkEnd w:id="210"/>
      <w:bookmarkEnd w:id="211"/>
      <w:bookmarkEnd w:id="212"/>
      <w:bookmarkEnd w:id="213"/>
      <w:bookmarkEnd w:id="214"/>
      <w:bookmarkEnd w:id="21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3"/>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24"/>
                <w:szCs w:val="24"/>
              </w:rPr>
            </w:pPr>
            <w:r>
              <w:rPr>
                <w:rFonts w:ascii="宋体" w:hAnsi="宋体" w:eastAsia="宋体" w:cs="Times New Roman"/>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w:t>
      </w:r>
      <w:r>
        <w:rPr>
          <w:rFonts w:hint="eastAsia" w:ascii="宋体" w:hAnsi="宋体" w:eastAsia="宋体" w:cs="Corbel"/>
          <w:sz w:val="24"/>
          <w:szCs w:val="21"/>
          <w:lang w:val="zh-CN"/>
        </w:rPr>
        <w:t>未按照要求详细完整填写此表，</w:t>
      </w:r>
      <w:r>
        <w:rPr>
          <w:rFonts w:hint="eastAsia" w:ascii="宋体" w:hAnsi="宋体" w:eastAsia="宋体" w:cs="Times New Roman"/>
          <w:sz w:val="24"/>
          <w:szCs w:val="21"/>
          <w:lang w:val="zh-CN"/>
        </w:rPr>
        <w:t>导致的后果由投标人自行承担。</w:t>
      </w: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156" w:afterLines="50" w:line="360" w:lineRule="auto"/>
        <w:ind w:left="1610" w:hanging="1610"/>
        <w:rPr>
          <w:rFonts w:ascii="宋体" w:hAnsi="宋体" w:eastAsia="宋体"/>
        </w:rPr>
      </w:pPr>
      <w:bookmarkStart w:id="216" w:name="_Toc494702284"/>
      <w:bookmarkStart w:id="217" w:name="_Toc494665964"/>
      <w:bookmarkStart w:id="218" w:name="_Toc494745331"/>
      <w:bookmarkStart w:id="219" w:name="_Toc238276256"/>
      <w:bookmarkStart w:id="220" w:name="_Toc236473312"/>
      <w:bookmarkStart w:id="221" w:name="_Toc494721114"/>
      <w:bookmarkStart w:id="222" w:name="_Toc495861563"/>
      <w:bookmarkStart w:id="223" w:name="_Toc494665567"/>
      <w:bookmarkStart w:id="224" w:name="_Toc494665014"/>
      <w:r>
        <w:rPr>
          <w:rFonts w:hint="eastAsia" w:ascii="宋体" w:hAnsi="宋体" w:eastAsia="宋体"/>
        </w:rPr>
        <w:t>投标人类似项目业绩表</w:t>
      </w:r>
      <w:bookmarkEnd w:id="216"/>
      <w:bookmarkEnd w:id="217"/>
      <w:bookmarkEnd w:id="218"/>
      <w:bookmarkEnd w:id="219"/>
      <w:bookmarkEnd w:id="220"/>
      <w:bookmarkEnd w:id="221"/>
      <w:bookmarkEnd w:id="222"/>
      <w:bookmarkEnd w:id="223"/>
      <w:bookmarkEnd w:id="224"/>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3"/>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项目单位联系人姓名及联系方式</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项目金额</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项目负责人姓名</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项目时间</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项目内容</w:t>
            </w:r>
          </w:p>
        </w:tc>
        <w:tc>
          <w:tcPr>
            <w:tcW w:w="7200" w:type="dxa"/>
            <w:shd w:val="clear" w:color="auto" w:fill="auto"/>
          </w:tcPr>
          <w:p>
            <w:pPr>
              <w:rPr>
                <w:rFonts w:ascii="宋体" w:hAnsi="宋体" w:eastAsia="宋体" w:cs="Courier New"/>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说明：1．每个合同应单独附表，并附上相关证明材料，</w:t>
      </w:r>
      <w:r>
        <w:rPr>
          <w:rFonts w:hint="eastAsia" w:ascii="宋体" w:hAnsi="宋体" w:eastAsia="宋体" w:cs="Corbel"/>
          <w:sz w:val="24"/>
          <w:szCs w:val="24"/>
        </w:rPr>
        <w:t>未按照要求详细完整填写此表，</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2．项目内容请详细说明所承担的具体工作内容等。</w:t>
      </w:r>
    </w:p>
    <w:p>
      <w:pPr>
        <w:spacing w:line="360" w:lineRule="auto"/>
        <w:ind w:firstLine="720" w:firstLineChars="300"/>
        <w:rPr>
          <w:rFonts w:ascii="宋体" w:hAnsi="宋体" w:eastAsia="宋体" w:cs="Times New Roman"/>
          <w:sz w:val="24"/>
          <w:szCs w:val="24"/>
        </w:rPr>
      </w:pPr>
    </w:p>
    <w:p>
      <w:pPr>
        <w:spacing w:line="360" w:lineRule="auto"/>
        <w:ind w:firstLine="720" w:firstLineChars="300"/>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156" w:afterLines="50" w:line="360" w:lineRule="auto"/>
        <w:ind w:left="1610" w:hanging="1610"/>
        <w:rPr>
          <w:rFonts w:ascii="宋体" w:hAnsi="宋体" w:eastAsia="宋体"/>
        </w:rPr>
      </w:pPr>
      <w:bookmarkStart w:id="225" w:name="_Toc495861564"/>
      <w:bookmarkStart w:id="226" w:name="_Toc494665568"/>
      <w:bookmarkStart w:id="227" w:name="_Toc494745332"/>
      <w:bookmarkStart w:id="228" w:name="_Toc494721115"/>
      <w:bookmarkStart w:id="229" w:name="_Toc494702285"/>
      <w:bookmarkStart w:id="230" w:name="_Toc494665965"/>
      <w:bookmarkStart w:id="231" w:name="_Toc494665015"/>
      <w:r>
        <w:rPr>
          <w:rFonts w:hint="eastAsia" w:ascii="宋体" w:hAnsi="宋体" w:eastAsia="宋体"/>
        </w:rPr>
        <w:t>符合性审查对照表</w:t>
      </w:r>
      <w:bookmarkEnd w:id="225"/>
      <w:bookmarkEnd w:id="226"/>
      <w:bookmarkEnd w:id="227"/>
      <w:bookmarkEnd w:id="228"/>
      <w:bookmarkEnd w:id="229"/>
      <w:bookmarkEnd w:id="230"/>
      <w:bookmarkEnd w:id="231"/>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3"/>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符合性审查条款</w:t>
            </w:r>
          </w:p>
        </w:tc>
        <w:tc>
          <w:tcPr>
            <w:tcW w:w="275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02"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b/>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w:t>
      </w:r>
      <w:r>
        <w:rPr>
          <w:rFonts w:hint="eastAsia" w:ascii="宋体" w:hAnsi="宋体" w:eastAsia="宋体" w:cs="Times New Roman"/>
          <w:sz w:val="24"/>
          <w:szCs w:val="24"/>
        </w:rPr>
        <w:t>．</w:t>
      </w:r>
      <w:r>
        <w:rPr>
          <w:rFonts w:hint="eastAsia" w:ascii="宋体" w:hAnsi="宋体" w:eastAsia="宋体" w:cs="Corbel"/>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Corbel"/>
          <w:sz w:val="24"/>
          <w:szCs w:val="24"/>
        </w:rPr>
        <w:t>2．</w:t>
      </w:r>
      <w:r>
        <w:rPr>
          <w:rFonts w:hint="eastAsia" w:ascii="宋体" w:hAnsi="宋体" w:eastAsia="宋体" w:cs="Times New Roman"/>
          <w:sz w:val="24"/>
          <w:szCs w:val="24"/>
        </w:rPr>
        <w:t>投标人</w:t>
      </w:r>
      <w:r>
        <w:rPr>
          <w:rFonts w:hint="eastAsia" w:ascii="宋体" w:hAnsi="宋体" w:eastAsia="宋体" w:cs="Corbel"/>
          <w:sz w:val="24"/>
          <w:szCs w:val="24"/>
        </w:rPr>
        <w:t>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156" w:afterLines="50" w:line="360" w:lineRule="auto"/>
        <w:ind w:left="1610" w:hanging="1610"/>
        <w:rPr>
          <w:rFonts w:ascii="宋体" w:hAnsi="宋体" w:eastAsia="宋体"/>
        </w:rPr>
      </w:pPr>
      <w:bookmarkStart w:id="232" w:name="_Toc494665569"/>
      <w:bookmarkStart w:id="233" w:name="_Toc494665966"/>
      <w:bookmarkStart w:id="234" w:name="_Toc494702286"/>
      <w:bookmarkStart w:id="235" w:name="_Toc494721116"/>
      <w:bookmarkStart w:id="236" w:name="_Toc494745333"/>
      <w:bookmarkStart w:id="237" w:name="_Toc494665016"/>
      <w:bookmarkStart w:id="238" w:name="_Toc495861565"/>
      <w:r>
        <w:rPr>
          <w:rFonts w:hint="eastAsia" w:ascii="宋体" w:hAnsi="宋体" w:eastAsia="宋体"/>
        </w:rPr>
        <w:t>商务要求响应、偏离说明表</w:t>
      </w:r>
      <w:bookmarkEnd w:id="232"/>
      <w:bookmarkEnd w:id="233"/>
      <w:bookmarkEnd w:id="234"/>
      <w:bookmarkEnd w:id="235"/>
      <w:bookmarkEnd w:id="236"/>
      <w:bookmarkEnd w:id="237"/>
      <w:bookmarkEnd w:id="238"/>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3"/>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招标文件商务要求条款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Corbel"/>
          <w:sz w:val="24"/>
          <w:szCs w:val="24"/>
        </w:rPr>
        <w:t>2．投标人</w:t>
      </w:r>
      <w:r>
        <w:rPr>
          <w:rFonts w:hint="eastAsia" w:ascii="宋体" w:hAnsi="宋体" w:eastAsia="宋体" w:cs="Times New Roman"/>
          <w:sz w:val="24"/>
          <w:szCs w:val="24"/>
        </w:rPr>
        <w:t>提供</w:t>
      </w:r>
      <w:r>
        <w:rPr>
          <w:rFonts w:hint="eastAsia" w:ascii="宋体" w:hAnsi="宋体" w:eastAsia="宋体" w:cs="Corbel"/>
          <w:sz w:val="24"/>
          <w:szCs w:val="24"/>
        </w:rPr>
        <w:t>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60" w:lineRule="auto"/>
        <w:ind w:left="781" w:leftChars="258" w:hanging="240" w:hangingChars="1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156" w:afterLines="50" w:line="360" w:lineRule="auto"/>
        <w:ind w:left="1610" w:hanging="1610"/>
        <w:rPr>
          <w:rFonts w:ascii="宋体" w:hAnsi="宋体" w:eastAsia="宋体"/>
        </w:rPr>
      </w:pPr>
      <w:bookmarkStart w:id="239" w:name="_Toc494745334"/>
      <w:bookmarkStart w:id="240" w:name="_Toc495861566"/>
      <w:bookmarkStart w:id="241" w:name="_Toc494721117"/>
      <w:bookmarkStart w:id="242" w:name="_Toc494702287"/>
      <w:bookmarkStart w:id="243" w:name="_Toc494665570"/>
      <w:bookmarkStart w:id="244" w:name="_Toc494665017"/>
      <w:bookmarkStart w:id="245" w:name="_Toc494665967"/>
      <w:r>
        <w:rPr>
          <w:rFonts w:hint="eastAsia" w:ascii="宋体" w:hAnsi="宋体" w:eastAsia="宋体"/>
        </w:rPr>
        <w:t>商务要求“★”号条款响应、偏离说明表</w:t>
      </w:r>
      <w:bookmarkEnd w:id="239"/>
      <w:bookmarkEnd w:id="240"/>
      <w:bookmarkEnd w:id="241"/>
      <w:bookmarkEnd w:id="242"/>
      <w:bookmarkEnd w:id="243"/>
      <w:bookmarkEnd w:id="244"/>
      <w:bookmarkEnd w:id="24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3"/>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商务要求“★”号条款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156" w:afterLines="50" w:line="360" w:lineRule="auto"/>
        <w:ind w:left="1610" w:hanging="1610"/>
        <w:rPr>
          <w:rFonts w:ascii="宋体" w:hAnsi="宋体" w:eastAsia="宋体"/>
        </w:rPr>
      </w:pPr>
      <w:bookmarkStart w:id="246" w:name="_Toc494665018"/>
      <w:bookmarkStart w:id="247" w:name="_Toc494665571"/>
      <w:bookmarkStart w:id="248" w:name="_Toc494745335"/>
      <w:bookmarkStart w:id="249" w:name="_Toc494702288"/>
      <w:bookmarkStart w:id="250" w:name="_Toc494665968"/>
      <w:bookmarkStart w:id="251" w:name="_Toc495861567"/>
      <w:bookmarkStart w:id="252" w:name="_Toc494721118"/>
      <w:r>
        <w:rPr>
          <w:rFonts w:hint="eastAsia" w:ascii="宋体" w:hAnsi="宋体" w:eastAsia="宋体"/>
        </w:rPr>
        <w:t>商务评议对照表</w:t>
      </w:r>
      <w:bookmarkEnd w:id="246"/>
      <w:bookmarkEnd w:id="247"/>
      <w:bookmarkEnd w:id="248"/>
      <w:bookmarkEnd w:id="249"/>
      <w:bookmarkEnd w:id="250"/>
      <w:bookmarkEnd w:id="251"/>
      <w:bookmarkEnd w:id="252"/>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3"/>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1"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848"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招标文件商务评分标准</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5"/>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5"/>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5"/>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5"/>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5"/>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5"/>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156" w:afterLines="50" w:line="360" w:lineRule="auto"/>
        <w:ind w:left="1610" w:hanging="1610"/>
        <w:rPr>
          <w:rFonts w:ascii="宋体" w:hAnsi="宋体" w:eastAsia="宋体"/>
        </w:rPr>
      </w:pPr>
      <w:bookmarkStart w:id="253" w:name="_Toc494665572"/>
      <w:bookmarkStart w:id="254" w:name="_Toc494745336"/>
      <w:bookmarkStart w:id="255" w:name="_Toc494665019"/>
      <w:bookmarkStart w:id="256" w:name="_Toc494665969"/>
      <w:bookmarkStart w:id="257" w:name="_Toc494702289"/>
      <w:bookmarkStart w:id="258" w:name="_Toc494721119"/>
      <w:bookmarkStart w:id="259" w:name="_Toc495861568"/>
      <w:r>
        <w:rPr>
          <w:rFonts w:hint="eastAsia" w:ascii="宋体" w:hAnsi="宋体" w:eastAsia="宋体"/>
        </w:rPr>
        <w:t>技术、服务要求响应、偏离说明表</w:t>
      </w:r>
      <w:bookmarkEnd w:id="253"/>
      <w:bookmarkEnd w:id="254"/>
      <w:bookmarkEnd w:id="255"/>
      <w:bookmarkEnd w:id="256"/>
      <w:bookmarkEnd w:id="257"/>
      <w:bookmarkEnd w:id="258"/>
      <w:bookmarkEnd w:id="259"/>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3"/>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1"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招标文件技术、服务要求条款</w:t>
            </w:r>
          </w:p>
        </w:tc>
        <w:tc>
          <w:tcPr>
            <w:tcW w:w="275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Corbel"/>
          <w:sz w:val="24"/>
          <w:szCs w:val="24"/>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156" w:afterLines="50" w:line="360" w:lineRule="auto"/>
        <w:ind w:left="1610" w:hanging="1610"/>
        <w:rPr>
          <w:rFonts w:ascii="宋体" w:hAnsi="宋体" w:eastAsia="宋体"/>
        </w:rPr>
      </w:pPr>
      <w:bookmarkStart w:id="260" w:name="_Toc495861569"/>
      <w:bookmarkStart w:id="261" w:name="_Toc494665970"/>
      <w:bookmarkStart w:id="262" w:name="_Toc494665573"/>
      <w:bookmarkStart w:id="263" w:name="_Toc494665020"/>
      <w:bookmarkStart w:id="264" w:name="_Toc494721120"/>
      <w:bookmarkStart w:id="265" w:name="_Toc494745337"/>
      <w:bookmarkStart w:id="266" w:name="_Toc494702290"/>
      <w:bookmarkStart w:id="267" w:name="_Toc329859066"/>
      <w:r>
        <w:rPr>
          <w:rFonts w:hint="eastAsia" w:ascii="宋体" w:hAnsi="宋体" w:eastAsia="宋体"/>
        </w:rPr>
        <w:t>技术、服务要求“★”号条款响应、偏离说明表</w:t>
      </w:r>
      <w:bookmarkEnd w:id="260"/>
      <w:bookmarkEnd w:id="261"/>
      <w:bookmarkEnd w:id="262"/>
      <w:bookmarkEnd w:id="263"/>
      <w:bookmarkEnd w:id="264"/>
      <w:bookmarkEnd w:id="265"/>
      <w:bookmarkEnd w:id="266"/>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3"/>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技术、服务要求“★”号条款</w:t>
            </w:r>
          </w:p>
        </w:tc>
        <w:tc>
          <w:tcPr>
            <w:tcW w:w="287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50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936" w:hanging="936" w:hangingChars="390"/>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说明：1．投标人应按招标文件第三章“项目技术、服务及商务要求”中技术、服务要求</w:t>
      </w:r>
      <w:r>
        <w:rPr>
          <w:rFonts w:hint="eastAsia" w:ascii="Times New Roman" w:hAnsi="宋体" w:eastAsia="宋体" w:cs="Times New Roman"/>
          <w:sz w:val="24"/>
          <w:szCs w:val="24"/>
        </w:rPr>
        <w:t>“★”号</w:t>
      </w:r>
      <w:r>
        <w:rPr>
          <w:rFonts w:hint="eastAsia" w:ascii="宋体" w:hAnsi="宋体" w:eastAsia="宋体" w:cs="Corbel"/>
          <w:sz w:val="24"/>
          <w:szCs w:val="24"/>
        </w:rPr>
        <w:t>条款进行逐项说明是否满足要求，如有偏离,投标人应详细说明。未按照要求填写此表或仅注明“符合”、“满足”的，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bookmarkEnd w:id="267"/>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2"/>
        </w:numPr>
        <w:spacing w:before="100" w:beforeAutospacing="1" w:after="156" w:afterLines="50" w:line="360" w:lineRule="auto"/>
        <w:ind w:left="1610" w:hanging="1610"/>
        <w:rPr>
          <w:rFonts w:ascii="宋体" w:hAnsi="宋体" w:eastAsia="宋体"/>
        </w:rPr>
      </w:pPr>
      <w:bookmarkStart w:id="268" w:name="_Toc494721121"/>
      <w:bookmarkStart w:id="269" w:name="_Toc495861570"/>
      <w:bookmarkStart w:id="270" w:name="_Toc494665574"/>
      <w:bookmarkStart w:id="271" w:name="_Toc494702291"/>
      <w:bookmarkStart w:id="272" w:name="_Toc494745338"/>
      <w:bookmarkStart w:id="273" w:name="_Toc494665021"/>
      <w:bookmarkStart w:id="274" w:name="_Toc494665971"/>
      <w:r>
        <w:rPr>
          <w:rFonts w:hint="eastAsia" w:ascii="宋体" w:hAnsi="宋体" w:eastAsia="宋体"/>
        </w:rPr>
        <w:t>技术、服务评议对照表</w:t>
      </w:r>
      <w:bookmarkEnd w:id="268"/>
      <w:bookmarkEnd w:id="269"/>
      <w:bookmarkEnd w:id="270"/>
      <w:bookmarkEnd w:id="271"/>
      <w:bookmarkEnd w:id="272"/>
      <w:bookmarkEnd w:id="273"/>
      <w:bookmarkEnd w:id="274"/>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3"/>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9"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38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招标文件技术、服务评分标准</w:t>
            </w:r>
          </w:p>
        </w:tc>
        <w:tc>
          <w:tcPr>
            <w:tcW w:w="322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256"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983"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6"/>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6"/>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6"/>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6"/>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6"/>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6"/>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00" w:lineRule="auto"/>
        <w:ind w:left="720" w:hanging="720" w:hangingChars="3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sectPr>
      <w:pgSz w:w="11906" w:h="16838"/>
      <w:pgMar w:top="1134" w:right="1191" w:bottom="1134" w:left="1191"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Theme="minorEastAsia" w:hAnsiTheme="minorEastAsia"/>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 w:val="clear" w:pos="8306"/>
      </w:tabs>
      <w:rPr>
        <w:rFonts w:asciiTheme="minorEastAsia" w:hAnsiTheme="minorEastAsia"/>
        <w:b/>
        <w:bCs/>
      </w:rPr>
    </w:pPr>
    <w:r>
      <w:rPr>
        <w:rFonts w:hint="eastAsia" w:asciiTheme="minorEastAsia" w:hAnsiTheme="minorEastAsia"/>
        <w:bCs/>
      </w:rPr>
      <w:t>湖北省政府采购中心编制</w:t>
    </w:r>
    <w:r>
      <w:rPr>
        <w:rFonts w:asciiTheme="minorEastAsia" w:hAnsiTheme="minorEastAsia"/>
        <w:bCs/>
      </w:rPr>
      <w:t>V3.0.2017.0930</w:t>
    </w:r>
  </w:p>
  <w:p>
    <w:pPr>
      <w:pStyle w:val="14"/>
      <w:tabs>
        <w:tab w:val="clear" w:pos="4153"/>
        <w:tab w:val="clear" w:pos="8306"/>
      </w:tabs>
      <w:jc w:val="center"/>
      <w:rPr>
        <w:rFonts w:asciiTheme="minorEastAsia" w:hAnsiTheme="minorEastAsia"/>
      </w:rP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22</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65</w:t>
    </w:r>
    <w:r>
      <w:rPr>
        <w:rFonts w:asciiTheme="minorEastAsia" w:hAnsiTheme="minorEastAsia"/>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000000" w:themeColor="text1" w:sz="4" w:space="1"/>
      </w:pBdr>
      <w:tabs>
        <w:tab w:val="clear" w:pos="4153"/>
        <w:tab w:val="clear" w:pos="8306"/>
      </w:tabs>
      <w:ind w:right="-9"/>
      <w:jc w:val="right"/>
    </w:pPr>
    <w:r>
      <w:rPr>
        <w:rFonts w:hint="eastAsia" w:asciiTheme="minorEastAsia" w:hAnsiTheme="minorEastAsia"/>
      </w:rPr>
      <w:t xml:space="preserve">                                       </w:t>
    </w:r>
    <w:r>
      <w:rPr>
        <w:rFonts w:hint="eastAsia" w:ascii="宋体" w:hAnsi="宋体" w:eastAsia="宋体" w:cs="宋体"/>
        <w:kern w:val="0"/>
        <w:u w:val="single"/>
      </w:rPr>
      <w:t>湖北顺成建设工程招标代理有限公司制</w:t>
    </w:r>
  </w:p>
  <w:p>
    <w:pPr>
      <w:pStyle w:val="14"/>
      <w:pBdr>
        <w:top w:val="single" w:color="000000" w:themeColor="text1" w:sz="4" w:space="1"/>
      </w:pBdr>
      <w:tabs>
        <w:tab w:val="clear" w:pos="4153"/>
        <w:tab w:val="clear" w:pos="8306"/>
      </w:tabs>
      <w:ind w:right="-9"/>
      <w:jc w:val="center"/>
      <w:rPr>
        <w:rFonts w:asciiTheme="minorEastAsia" w:hAnsiTheme="minorEastAsia"/>
        <w:b/>
      </w:rPr>
    </w:pPr>
    <w:sdt>
      <w:sdtPr>
        <w:id w:val="1717543377"/>
      </w:sdtPr>
      <w:sdtEndPr>
        <w:rPr>
          <w:rFonts w:asciiTheme="minorEastAsia" w:hAnsiTheme="minorEastAsia"/>
          <w:b/>
        </w:rPr>
      </w:sdtEndPr>
      <w:sdtContent>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30</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67</w:t>
        </w:r>
        <w:r>
          <w:rPr>
            <w:rFonts w:asciiTheme="minorEastAsia" w:hAnsiTheme="minorEastAsia"/>
            <w:b/>
            <w:bCs/>
          </w:rP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tabs>
        <w:tab w:val="left" w:pos="675"/>
        <w:tab w:val="center" w:pos="4762"/>
      </w:tabs>
      <w:jc w:val="left"/>
    </w:pPr>
  </w:p>
  <w:p>
    <w:pPr>
      <w:adjustRightInd w:val="0"/>
      <w:snapToGrid w:val="0"/>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s>
      <w:jc w:val="left"/>
      <w:rPr>
        <w:rFonts w:asciiTheme="minorEastAsia" w:hAnsiTheme="minorEastAsia"/>
        <w:b/>
      </w:rPr>
    </w:pPr>
    <w:r>
      <w:rPr>
        <w:rFonts w:hint="eastAsia" w:asciiTheme="minorEastAsia" w:hAnsiTheme="minorEastAsia"/>
        <w:b/>
      </w:rPr>
      <w:t>项目名称：XXXXXXXXXXXX项目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000000" w:themeColor="text1" w:sz="4" w:space="1"/>
      </w:pBdr>
      <w:tabs>
        <w:tab w:val="clear" w:pos="4153"/>
      </w:tabs>
      <w:jc w:val="left"/>
      <w:rPr>
        <w:b/>
      </w:rPr>
    </w:pPr>
    <w:r>
      <w:rPr>
        <w:rFonts w:hint="eastAsia"/>
        <w:b/>
      </w:rPr>
      <w:t>项目名称</w:t>
    </w:r>
    <w:r>
      <w:rPr>
        <w:rFonts w:hint="eastAsia" w:asciiTheme="minorEastAsia" w:hAnsiTheme="minorEastAsia"/>
        <w:b/>
      </w:rPr>
      <w:t>：</w:t>
    </w:r>
    <w:r>
      <w:rPr>
        <w:rFonts w:hint="eastAsia" w:asciiTheme="minorEastAsia" w:hAnsiTheme="minorEastAsia"/>
        <w:b/>
        <w:lang w:val="hr-HR"/>
      </w:rPr>
      <w:t>阳新县水环境综合治理规划</w:t>
    </w:r>
    <w:r>
      <w:rPr>
        <w:rFonts w:hint="eastAsia" w:asciiTheme="minorEastAsia" w:hAnsiTheme="minorEastAsia"/>
        <w:b/>
      </w:rPr>
      <w:t>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66C0E7"/>
    <w:multiLevelType w:val="singleLevel"/>
    <w:tmpl w:val="E066C0E7"/>
    <w:lvl w:ilvl="0" w:tentative="0">
      <w:start w:val="1"/>
      <w:numFmt w:val="decimal"/>
      <w:suff w:val="nothing"/>
      <w:lvlText w:val="（%1）"/>
      <w:lvlJc w:val="left"/>
    </w:lvl>
  </w:abstractNum>
  <w:abstractNum w:abstractNumId="1">
    <w:nsid w:val="E840423E"/>
    <w:multiLevelType w:val="singleLevel"/>
    <w:tmpl w:val="E840423E"/>
    <w:lvl w:ilvl="0" w:tentative="0">
      <w:start w:val="1"/>
      <w:numFmt w:val="decimal"/>
      <w:suff w:val="nothing"/>
      <w:lvlText w:val="%1、"/>
      <w:lvlJc w:val="left"/>
    </w:lvl>
  </w:abstractNum>
  <w:abstractNum w:abstractNumId="2">
    <w:nsid w:val="F21FBBA4"/>
    <w:multiLevelType w:val="singleLevel"/>
    <w:tmpl w:val="F21FBBA4"/>
    <w:lvl w:ilvl="0" w:tentative="0">
      <w:start w:val="6"/>
      <w:numFmt w:val="decimal"/>
      <w:suff w:val="nothing"/>
      <w:lvlText w:val="%1、"/>
      <w:lvlJc w:val="left"/>
    </w:lvl>
  </w:abstractNum>
  <w:abstractNum w:abstractNumId="3">
    <w:nsid w:val="00317788"/>
    <w:multiLevelType w:val="multilevel"/>
    <w:tmpl w:val="00317788"/>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4">
    <w:nsid w:val="0068509E"/>
    <w:multiLevelType w:val="multilevel"/>
    <w:tmpl w:val="0068509E"/>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8">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B600DC"/>
    <w:multiLevelType w:val="multilevel"/>
    <w:tmpl w:val="0EB600DC"/>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F196355"/>
    <w:multiLevelType w:val="multilevel"/>
    <w:tmpl w:val="0F19635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00F5420"/>
    <w:multiLevelType w:val="multilevel"/>
    <w:tmpl w:val="100F5420"/>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2">
    <w:nsid w:val="12F3169F"/>
    <w:multiLevelType w:val="multilevel"/>
    <w:tmpl w:val="12F3169F"/>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5">
    <w:nsid w:val="15F76080"/>
    <w:multiLevelType w:val="multilevel"/>
    <w:tmpl w:val="15F76080"/>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6">
    <w:nsid w:val="1636573F"/>
    <w:multiLevelType w:val="multilevel"/>
    <w:tmpl w:val="1636573F"/>
    <w:lvl w:ilvl="0" w:tentative="0">
      <w:start w:val="1"/>
      <w:numFmt w:val="decimal"/>
      <w:lvlText w:val="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5015415"/>
    <w:multiLevelType w:val="multilevel"/>
    <w:tmpl w:val="25015415"/>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19">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0">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1">
    <w:nsid w:val="27FE7BA7"/>
    <w:multiLevelType w:val="multilevel"/>
    <w:tmpl w:val="27FE7BA7"/>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22">
    <w:nsid w:val="28394228"/>
    <w:multiLevelType w:val="multilevel"/>
    <w:tmpl w:val="2839422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4">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2CC65A04"/>
    <w:multiLevelType w:val="multilevel"/>
    <w:tmpl w:val="2CC65A04"/>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D665F38"/>
    <w:multiLevelType w:val="multilevel"/>
    <w:tmpl w:val="2D665F38"/>
    <w:lvl w:ilvl="0" w:tentative="0">
      <w:start w:val="1"/>
      <w:numFmt w:val="decimal"/>
      <w:lvlText w:val="5.%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8">
    <w:nsid w:val="2D850054"/>
    <w:multiLevelType w:val="multilevel"/>
    <w:tmpl w:val="2D850054"/>
    <w:lvl w:ilvl="0" w:tentative="0">
      <w:start w:val="1"/>
      <w:numFmt w:val="decimal"/>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2E825AFA"/>
    <w:multiLevelType w:val="multilevel"/>
    <w:tmpl w:val="2E825AFA"/>
    <w:lvl w:ilvl="0" w:tentative="0">
      <w:start w:val="1"/>
      <w:numFmt w:val="decimal"/>
      <w:lvlText w:val="2.%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11832AE"/>
    <w:multiLevelType w:val="multilevel"/>
    <w:tmpl w:val="311832A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32">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5442C9F"/>
    <w:multiLevelType w:val="multilevel"/>
    <w:tmpl w:val="35442C9F"/>
    <w:lvl w:ilvl="0" w:tentative="0">
      <w:start w:val="1"/>
      <w:numFmt w:val="decimal"/>
      <w:lvlText w:val="（%1）"/>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4">
    <w:nsid w:val="37C132BF"/>
    <w:multiLevelType w:val="multilevel"/>
    <w:tmpl w:val="37C132BF"/>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3DE06FC6"/>
    <w:multiLevelType w:val="multilevel"/>
    <w:tmpl w:val="3DE06FC6"/>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38">
    <w:nsid w:val="40E6015E"/>
    <w:multiLevelType w:val="multilevel"/>
    <w:tmpl w:val="40E6015E"/>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39">
    <w:nsid w:val="41730A17"/>
    <w:multiLevelType w:val="multilevel"/>
    <w:tmpl w:val="41730A17"/>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40">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445F2796"/>
    <w:multiLevelType w:val="multilevel"/>
    <w:tmpl w:val="445F2796"/>
    <w:lvl w:ilvl="0" w:tentative="0">
      <w:start w:val="1"/>
      <w:numFmt w:val="decimal"/>
      <w:lvlText w:val="2.%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2">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43">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505F200A"/>
    <w:multiLevelType w:val="multilevel"/>
    <w:tmpl w:val="505F200A"/>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5">
    <w:nsid w:val="54AC2495"/>
    <w:multiLevelType w:val="multilevel"/>
    <w:tmpl w:val="54AC2495"/>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6886DD6"/>
    <w:multiLevelType w:val="multilevel"/>
    <w:tmpl w:val="56886DD6"/>
    <w:lvl w:ilvl="0" w:tentative="0">
      <w:start w:val="1"/>
      <w:numFmt w:val="chineseCountingThousand"/>
      <w:lvlText w:val="%1、"/>
      <w:lvlJc w:val="left"/>
      <w:pPr>
        <w:ind w:left="420" w:hanging="420"/>
      </w:pPr>
      <w:rPr>
        <w:rFonts w:hint="default" w:ascii="黑体" w:hAnsi="黑体" w:eastAsia="黑体"/>
        <w:b/>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70117E4"/>
    <w:multiLevelType w:val="multilevel"/>
    <w:tmpl w:val="570117E4"/>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50">
    <w:nsid w:val="5A02CE94"/>
    <w:multiLevelType w:val="multilevel"/>
    <w:tmpl w:val="5A02CE94"/>
    <w:lvl w:ilvl="0" w:tentative="0">
      <w:start w:val="1"/>
      <w:numFmt w:val="decimal"/>
      <w:lvlText w:val="3.2.%1"/>
      <w:lvlJc w:val="left"/>
      <w:pPr>
        <w:ind w:left="987" w:hanging="420"/>
      </w:pPr>
      <w:rPr>
        <w:rFonts w:ascii="楷体" w:hAnsi="楷体" w:eastAsia="楷体"/>
        <w:strike w:val="0"/>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51">
    <w:nsid w:val="5A0B11B2"/>
    <w:multiLevelType w:val="multilevel"/>
    <w:tmpl w:val="5A0B11B2"/>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52">
    <w:nsid w:val="61F95093"/>
    <w:multiLevelType w:val="multilevel"/>
    <w:tmpl w:val="61F95093"/>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54">
    <w:nsid w:val="64E31E93"/>
    <w:multiLevelType w:val="multilevel"/>
    <w:tmpl w:val="64E31E93"/>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69647823"/>
    <w:multiLevelType w:val="multilevel"/>
    <w:tmpl w:val="6964782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57">
    <w:nsid w:val="71581402"/>
    <w:multiLevelType w:val="multilevel"/>
    <w:tmpl w:val="71581402"/>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71731B18"/>
    <w:multiLevelType w:val="multilevel"/>
    <w:tmpl w:val="71731B18"/>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60">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61">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786B7301"/>
    <w:multiLevelType w:val="multilevel"/>
    <w:tmpl w:val="786B7301"/>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64">
    <w:nsid w:val="7A0C6CFB"/>
    <w:multiLevelType w:val="multilevel"/>
    <w:tmpl w:val="7A0C6CFB"/>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ECB03B9"/>
    <w:multiLevelType w:val="multilevel"/>
    <w:tmpl w:val="7ECB03B9"/>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43"/>
  </w:num>
  <w:num w:numId="2">
    <w:abstractNumId w:val="2"/>
  </w:num>
  <w:num w:numId="3">
    <w:abstractNumId w:val="0"/>
  </w:num>
  <w:num w:numId="4">
    <w:abstractNumId w:val="32"/>
  </w:num>
  <w:num w:numId="5">
    <w:abstractNumId w:val="46"/>
  </w:num>
  <w:num w:numId="6">
    <w:abstractNumId w:val="5"/>
  </w:num>
  <w:num w:numId="7">
    <w:abstractNumId w:val="40"/>
  </w:num>
  <w:num w:numId="8">
    <w:abstractNumId w:val="17"/>
  </w:num>
  <w:num w:numId="9">
    <w:abstractNumId w:val="8"/>
  </w:num>
  <w:num w:numId="10">
    <w:abstractNumId w:val="53"/>
  </w:num>
  <w:num w:numId="11">
    <w:abstractNumId w:val="34"/>
  </w:num>
  <w:num w:numId="12">
    <w:abstractNumId w:val="49"/>
  </w:num>
  <w:num w:numId="13">
    <w:abstractNumId w:val="31"/>
  </w:num>
  <w:num w:numId="14">
    <w:abstractNumId w:val="7"/>
  </w:num>
  <w:num w:numId="15">
    <w:abstractNumId w:val="24"/>
  </w:num>
  <w:num w:numId="16">
    <w:abstractNumId w:val="25"/>
  </w:num>
  <w:num w:numId="17">
    <w:abstractNumId w:val="11"/>
  </w:num>
  <w:num w:numId="18">
    <w:abstractNumId w:val="10"/>
  </w:num>
  <w:num w:numId="19">
    <w:abstractNumId w:val="61"/>
  </w:num>
  <w:num w:numId="20">
    <w:abstractNumId w:val="12"/>
  </w:num>
  <w:num w:numId="21">
    <w:abstractNumId w:val="30"/>
  </w:num>
  <w:num w:numId="22">
    <w:abstractNumId w:val="36"/>
  </w:num>
  <w:num w:numId="23">
    <w:abstractNumId w:val="39"/>
  </w:num>
  <w:num w:numId="24">
    <w:abstractNumId w:val="64"/>
  </w:num>
  <w:num w:numId="25">
    <w:abstractNumId w:val="47"/>
  </w:num>
  <w:num w:numId="26">
    <w:abstractNumId w:val="57"/>
  </w:num>
  <w:num w:numId="27">
    <w:abstractNumId w:val="62"/>
  </w:num>
  <w:num w:numId="28">
    <w:abstractNumId w:val="45"/>
  </w:num>
  <w:num w:numId="29">
    <w:abstractNumId w:val="9"/>
  </w:num>
  <w:num w:numId="30">
    <w:abstractNumId w:val="21"/>
  </w:num>
  <w:num w:numId="31">
    <w:abstractNumId w:val="58"/>
  </w:num>
  <w:num w:numId="32">
    <w:abstractNumId w:val="54"/>
  </w:num>
  <w:num w:numId="33">
    <w:abstractNumId w:val="38"/>
  </w:num>
  <w:num w:numId="34">
    <w:abstractNumId w:val="52"/>
  </w:num>
  <w:num w:numId="35">
    <w:abstractNumId w:val="26"/>
  </w:num>
  <w:num w:numId="36">
    <w:abstractNumId w:val="55"/>
  </w:num>
  <w:num w:numId="37">
    <w:abstractNumId w:val="4"/>
  </w:num>
  <w:num w:numId="38">
    <w:abstractNumId w:val="1"/>
  </w:num>
  <w:num w:numId="39">
    <w:abstractNumId w:val="48"/>
  </w:num>
  <w:num w:numId="40">
    <w:abstractNumId w:val="28"/>
  </w:num>
  <w:num w:numId="41">
    <w:abstractNumId w:val="44"/>
  </w:num>
  <w:num w:numId="42">
    <w:abstractNumId w:val="33"/>
  </w:num>
  <w:num w:numId="43">
    <w:abstractNumId w:val="41"/>
  </w:num>
  <w:num w:numId="44">
    <w:abstractNumId w:val="35"/>
  </w:num>
  <w:num w:numId="45">
    <w:abstractNumId w:val="19"/>
  </w:num>
  <w:num w:numId="46">
    <w:abstractNumId w:val="51"/>
  </w:num>
  <w:num w:numId="47">
    <w:abstractNumId w:val="65"/>
  </w:num>
  <w:num w:numId="48">
    <w:abstractNumId w:val="20"/>
  </w:num>
  <w:num w:numId="49">
    <w:abstractNumId w:val="18"/>
  </w:num>
  <w:num w:numId="50">
    <w:abstractNumId w:val="3"/>
  </w:num>
  <w:num w:numId="51">
    <w:abstractNumId w:val="50"/>
    <w:lvlOverride w:ilvl="0">
      <w:startOverride w:val="1"/>
    </w:lvlOverride>
  </w:num>
  <w:num w:numId="52">
    <w:abstractNumId w:val="15"/>
  </w:num>
  <w:num w:numId="53">
    <w:abstractNumId w:val="27"/>
  </w:num>
  <w:num w:numId="54">
    <w:abstractNumId w:val="63"/>
  </w:num>
  <w:num w:numId="55">
    <w:abstractNumId w:val="56"/>
  </w:num>
  <w:num w:numId="56">
    <w:abstractNumId w:val="42"/>
  </w:num>
  <w:num w:numId="57">
    <w:abstractNumId w:val="14"/>
  </w:num>
  <w:num w:numId="58">
    <w:abstractNumId w:val="23"/>
  </w:num>
  <w:num w:numId="59">
    <w:abstractNumId w:val="59"/>
  </w:num>
  <w:num w:numId="60">
    <w:abstractNumId w:val="37"/>
  </w:num>
  <w:num w:numId="61">
    <w:abstractNumId w:val="60"/>
  </w:num>
  <w:num w:numId="62">
    <w:abstractNumId w:val="13"/>
  </w:num>
  <w:num w:numId="63">
    <w:abstractNumId w:val="22"/>
  </w:num>
  <w:num w:numId="64">
    <w:abstractNumId w:val="6"/>
  </w:num>
  <w:num w:numId="65">
    <w:abstractNumId w:val="16"/>
  </w:num>
  <w:num w:numId="6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415"/>
    <w:rsid w:val="00010983"/>
    <w:rsid w:val="00016562"/>
    <w:rsid w:val="00017BE8"/>
    <w:rsid w:val="00020344"/>
    <w:rsid w:val="00040B72"/>
    <w:rsid w:val="00046CAA"/>
    <w:rsid w:val="000658A4"/>
    <w:rsid w:val="00077E85"/>
    <w:rsid w:val="000812D6"/>
    <w:rsid w:val="00081D15"/>
    <w:rsid w:val="00082A9F"/>
    <w:rsid w:val="000855FE"/>
    <w:rsid w:val="00092450"/>
    <w:rsid w:val="00095415"/>
    <w:rsid w:val="000B1EA5"/>
    <w:rsid w:val="000B2732"/>
    <w:rsid w:val="000B3053"/>
    <w:rsid w:val="000B42CE"/>
    <w:rsid w:val="000C1DBB"/>
    <w:rsid w:val="000C2224"/>
    <w:rsid w:val="000C46E9"/>
    <w:rsid w:val="000D274B"/>
    <w:rsid w:val="000E0271"/>
    <w:rsid w:val="000E4686"/>
    <w:rsid w:val="000F23CD"/>
    <w:rsid w:val="000F64E0"/>
    <w:rsid w:val="00100585"/>
    <w:rsid w:val="00122C84"/>
    <w:rsid w:val="00133220"/>
    <w:rsid w:val="001338E8"/>
    <w:rsid w:val="001641C9"/>
    <w:rsid w:val="00177C62"/>
    <w:rsid w:val="00182264"/>
    <w:rsid w:val="00185E9A"/>
    <w:rsid w:val="001A0AB1"/>
    <w:rsid w:val="001A1335"/>
    <w:rsid w:val="001A2B2A"/>
    <w:rsid w:val="001A4EBA"/>
    <w:rsid w:val="001A54E8"/>
    <w:rsid w:val="001B03BB"/>
    <w:rsid w:val="001B38CD"/>
    <w:rsid w:val="001C7B23"/>
    <w:rsid w:val="001D2460"/>
    <w:rsid w:val="001D3EE7"/>
    <w:rsid w:val="001E157C"/>
    <w:rsid w:val="001E19C0"/>
    <w:rsid w:val="001E5D69"/>
    <w:rsid w:val="001E7CEA"/>
    <w:rsid w:val="00200DBC"/>
    <w:rsid w:val="00220470"/>
    <w:rsid w:val="00222B0D"/>
    <w:rsid w:val="00223408"/>
    <w:rsid w:val="002314EF"/>
    <w:rsid w:val="002334D5"/>
    <w:rsid w:val="00236772"/>
    <w:rsid w:val="002426EA"/>
    <w:rsid w:val="002446C6"/>
    <w:rsid w:val="00245792"/>
    <w:rsid w:val="00245EC8"/>
    <w:rsid w:val="0026342E"/>
    <w:rsid w:val="00276CFD"/>
    <w:rsid w:val="00277541"/>
    <w:rsid w:val="00293211"/>
    <w:rsid w:val="00295F64"/>
    <w:rsid w:val="002B7581"/>
    <w:rsid w:val="002C38E4"/>
    <w:rsid w:val="002D07BB"/>
    <w:rsid w:val="002D412B"/>
    <w:rsid w:val="002F4DBD"/>
    <w:rsid w:val="0031094F"/>
    <w:rsid w:val="00310B7E"/>
    <w:rsid w:val="00310F98"/>
    <w:rsid w:val="00314B08"/>
    <w:rsid w:val="00315BC1"/>
    <w:rsid w:val="00316026"/>
    <w:rsid w:val="00320ACF"/>
    <w:rsid w:val="00323F1C"/>
    <w:rsid w:val="00333225"/>
    <w:rsid w:val="0033323B"/>
    <w:rsid w:val="00352AE1"/>
    <w:rsid w:val="00353542"/>
    <w:rsid w:val="003540BC"/>
    <w:rsid w:val="00360712"/>
    <w:rsid w:val="0036309F"/>
    <w:rsid w:val="0036474B"/>
    <w:rsid w:val="003661C8"/>
    <w:rsid w:val="00366E30"/>
    <w:rsid w:val="00377B5F"/>
    <w:rsid w:val="00383221"/>
    <w:rsid w:val="0038707A"/>
    <w:rsid w:val="00393E94"/>
    <w:rsid w:val="003B4F8E"/>
    <w:rsid w:val="003B718F"/>
    <w:rsid w:val="003B7A0D"/>
    <w:rsid w:val="003C2008"/>
    <w:rsid w:val="003C2241"/>
    <w:rsid w:val="003C305C"/>
    <w:rsid w:val="003C6083"/>
    <w:rsid w:val="003D1759"/>
    <w:rsid w:val="003D5E80"/>
    <w:rsid w:val="003E5CA0"/>
    <w:rsid w:val="003F2B92"/>
    <w:rsid w:val="003F3007"/>
    <w:rsid w:val="0040329E"/>
    <w:rsid w:val="0040679C"/>
    <w:rsid w:val="004110F8"/>
    <w:rsid w:val="00414A80"/>
    <w:rsid w:val="004159BD"/>
    <w:rsid w:val="00415F77"/>
    <w:rsid w:val="004161BA"/>
    <w:rsid w:val="0043068D"/>
    <w:rsid w:val="00436CC2"/>
    <w:rsid w:val="00442EA3"/>
    <w:rsid w:val="004475F1"/>
    <w:rsid w:val="00461DFE"/>
    <w:rsid w:val="004651B7"/>
    <w:rsid w:val="00476E59"/>
    <w:rsid w:val="004871A8"/>
    <w:rsid w:val="00495635"/>
    <w:rsid w:val="00497D62"/>
    <w:rsid w:val="004A4F81"/>
    <w:rsid w:val="004B0CC2"/>
    <w:rsid w:val="004B118F"/>
    <w:rsid w:val="004B4BED"/>
    <w:rsid w:val="004C1027"/>
    <w:rsid w:val="004C5C02"/>
    <w:rsid w:val="004C62F7"/>
    <w:rsid w:val="004C750B"/>
    <w:rsid w:val="004D548F"/>
    <w:rsid w:val="004E00F2"/>
    <w:rsid w:val="004E40B4"/>
    <w:rsid w:val="004E48AF"/>
    <w:rsid w:val="004E5A44"/>
    <w:rsid w:val="004F21F4"/>
    <w:rsid w:val="004F3D90"/>
    <w:rsid w:val="004F43AD"/>
    <w:rsid w:val="005025B6"/>
    <w:rsid w:val="0050300A"/>
    <w:rsid w:val="00511E96"/>
    <w:rsid w:val="0051431F"/>
    <w:rsid w:val="0052212F"/>
    <w:rsid w:val="00522D80"/>
    <w:rsid w:val="00525A93"/>
    <w:rsid w:val="005419E9"/>
    <w:rsid w:val="005437D7"/>
    <w:rsid w:val="005445A9"/>
    <w:rsid w:val="00545B0F"/>
    <w:rsid w:val="00545EDA"/>
    <w:rsid w:val="00552BFE"/>
    <w:rsid w:val="00556850"/>
    <w:rsid w:val="00560FA5"/>
    <w:rsid w:val="0056137D"/>
    <w:rsid w:val="0056679F"/>
    <w:rsid w:val="00573437"/>
    <w:rsid w:val="0057573F"/>
    <w:rsid w:val="00580FFF"/>
    <w:rsid w:val="005813AA"/>
    <w:rsid w:val="005967BA"/>
    <w:rsid w:val="005A28F2"/>
    <w:rsid w:val="005A2F1E"/>
    <w:rsid w:val="005A58A0"/>
    <w:rsid w:val="005B12FC"/>
    <w:rsid w:val="005B6D3E"/>
    <w:rsid w:val="005B713A"/>
    <w:rsid w:val="005C31D8"/>
    <w:rsid w:val="005D6632"/>
    <w:rsid w:val="005E3CD4"/>
    <w:rsid w:val="005E43F6"/>
    <w:rsid w:val="005E6BF0"/>
    <w:rsid w:val="005F1588"/>
    <w:rsid w:val="005F3367"/>
    <w:rsid w:val="00601112"/>
    <w:rsid w:val="00601990"/>
    <w:rsid w:val="00605C0D"/>
    <w:rsid w:val="00606E54"/>
    <w:rsid w:val="006227DA"/>
    <w:rsid w:val="00623CBB"/>
    <w:rsid w:val="006302AC"/>
    <w:rsid w:val="0064216A"/>
    <w:rsid w:val="006440C5"/>
    <w:rsid w:val="00663B35"/>
    <w:rsid w:val="006669B4"/>
    <w:rsid w:val="00666B23"/>
    <w:rsid w:val="00671C4A"/>
    <w:rsid w:val="0067786F"/>
    <w:rsid w:val="00680A96"/>
    <w:rsid w:val="00690659"/>
    <w:rsid w:val="00692BEA"/>
    <w:rsid w:val="006A6C1D"/>
    <w:rsid w:val="006A6C51"/>
    <w:rsid w:val="006A7A3D"/>
    <w:rsid w:val="006B01CC"/>
    <w:rsid w:val="006B62FC"/>
    <w:rsid w:val="006C0B5F"/>
    <w:rsid w:val="006C1AF1"/>
    <w:rsid w:val="006C6FDC"/>
    <w:rsid w:val="006C718A"/>
    <w:rsid w:val="006D1D6E"/>
    <w:rsid w:val="006D79E6"/>
    <w:rsid w:val="006F0D07"/>
    <w:rsid w:val="00715E44"/>
    <w:rsid w:val="00722075"/>
    <w:rsid w:val="00723103"/>
    <w:rsid w:val="00725899"/>
    <w:rsid w:val="00725F67"/>
    <w:rsid w:val="00726258"/>
    <w:rsid w:val="007318D6"/>
    <w:rsid w:val="00732E91"/>
    <w:rsid w:val="00737211"/>
    <w:rsid w:val="00744ECC"/>
    <w:rsid w:val="00773A2C"/>
    <w:rsid w:val="00774EB7"/>
    <w:rsid w:val="00775A96"/>
    <w:rsid w:val="00780DBA"/>
    <w:rsid w:val="00784AEB"/>
    <w:rsid w:val="00784ED7"/>
    <w:rsid w:val="00786E84"/>
    <w:rsid w:val="00795F5C"/>
    <w:rsid w:val="007A27DA"/>
    <w:rsid w:val="007A2D91"/>
    <w:rsid w:val="007A427D"/>
    <w:rsid w:val="007B68F2"/>
    <w:rsid w:val="007C0DA7"/>
    <w:rsid w:val="007C132C"/>
    <w:rsid w:val="007C1D03"/>
    <w:rsid w:val="007D0A7D"/>
    <w:rsid w:val="007D72CF"/>
    <w:rsid w:val="007E3D3C"/>
    <w:rsid w:val="007F013A"/>
    <w:rsid w:val="007F07F2"/>
    <w:rsid w:val="007F504A"/>
    <w:rsid w:val="007F6863"/>
    <w:rsid w:val="007F6F97"/>
    <w:rsid w:val="00802536"/>
    <w:rsid w:val="00804419"/>
    <w:rsid w:val="0081114F"/>
    <w:rsid w:val="00812664"/>
    <w:rsid w:val="0081507A"/>
    <w:rsid w:val="00816910"/>
    <w:rsid w:val="00820E08"/>
    <w:rsid w:val="0082486D"/>
    <w:rsid w:val="00826B9A"/>
    <w:rsid w:val="008456E3"/>
    <w:rsid w:val="00863EDD"/>
    <w:rsid w:val="00876E59"/>
    <w:rsid w:val="00877211"/>
    <w:rsid w:val="00880069"/>
    <w:rsid w:val="0088586B"/>
    <w:rsid w:val="008879F9"/>
    <w:rsid w:val="008966BE"/>
    <w:rsid w:val="008A30BA"/>
    <w:rsid w:val="008B5601"/>
    <w:rsid w:val="008B6529"/>
    <w:rsid w:val="008D35F1"/>
    <w:rsid w:val="008D3612"/>
    <w:rsid w:val="008D5777"/>
    <w:rsid w:val="008D7D59"/>
    <w:rsid w:val="008E2203"/>
    <w:rsid w:val="008F1B81"/>
    <w:rsid w:val="008F2A18"/>
    <w:rsid w:val="008F3383"/>
    <w:rsid w:val="009020C7"/>
    <w:rsid w:val="0090240A"/>
    <w:rsid w:val="00903A2D"/>
    <w:rsid w:val="00907388"/>
    <w:rsid w:val="00914F14"/>
    <w:rsid w:val="009309F4"/>
    <w:rsid w:val="0093723A"/>
    <w:rsid w:val="009402E6"/>
    <w:rsid w:val="00943F98"/>
    <w:rsid w:val="00947542"/>
    <w:rsid w:val="00954A2F"/>
    <w:rsid w:val="00956AAC"/>
    <w:rsid w:val="00967D22"/>
    <w:rsid w:val="0097080D"/>
    <w:rsid w:val="009714FE"/>
    <w:rsid w:val="009720F8"/>
    <w:rsid w:val="0097278F"/>
    <w:rsid w:val="00973398"/>
    <w:rsid w:val="00982AD3"/>
    <w:rsid w:val="009849C0"/>
    <w:rsid w:val="0098774A"/>
    <w:rsid w:val="009944A9"/>
    <w:rsid w:val="00996DEE"/>
    <w:rsid w:val="00997631"/>
    <w:rsid w:val="009B11C0"/>
    <w:rsid w:val="009B3048"/>
    <w:rsid w:val="009B3424"/>
    <w:rsid w:val="009C619C"/>
    <w:rsid w:val="009D36C0"/>
    <w:rsid w:val="009D7779"/>
    <w:rsid w:val="009E04AF"/>
    <w:rsid w:val="009F31ED"/>
    <w:rsid w:val="00A04DB5"/>
    <w:rsid w:val="00A05AF5"/>
    <w:rsid w:val="00A0777C"/>
    <w:rsid w:val="00A30AE5"/>
    <w:rsid w:val="00A30DFD"/>
    <w:rsid w:val="00A33A80"/>
    <w:rsid w:val="00A36FFA"/>
    <w:rsid w:val="00A40BC9"/>
    <w:rsid w:val="00A41E96"/>
    <w:rsid w:val="00A46DEF"/>
    <w:rsid w:val="00A51D8F"/>
    <w:rsid w:val="00A5260C"/>
    <w:rsid w:val="00A52A2B"/>
    <w:rsid w:val="00A62860"/>
    <w:rsid w:val="00A813D2"/>
    <w:rsid w:val="00A81577"/>
    <w:rsid w:val="00A81E3B"/>
    <w:rsid w:val="00A87402"/>
    <w:rsid w:val="00A879DB"/>
    <w:rsid w:val="00AB2B17"/>
    <w:rsid w:val="00AB3343"/>
    <w:rsid w:val="00AC14AA"/>
    <w:rsid w:val="00AC399F"/>
    <w:rsid w:val="00AC584B"/>
    <w:rsid w:val="00AD05AC"/>
    <w:rsid w:val="00AD18FC"/>
    <w:rsid w:val="00AD52A3"/>
    <w:rsid w:val="00AD634F"/>
    <w:rsid w:val="00AE02A5"/>
    <w:rsid w:val="00AE6C92"/>
    <w:rsid w:val="00AF18BF"/>
    <w:rsid w:val="00B002B6"/>
    <w:rsid w:val="00B0070A"/>
    <w:rsid w:val="00B154ED"/>
    <w:rsid w:val="00B161F2"/>
    <w:rsid w:val="00B36D9B"/>
    <w:rsid w:val="00B52520"/>
    <w:rsid w:val="00B67CCB"/>
    <w:rsid w:val="00B84A3B"/>
    <w:rsid w:val="00B956F2"/>
    <w:rsid w:val="00B9792D"/>
    <w:rsid w:val="00BA4681"/>
    <w:rsid w:val="00BB78CC"/>
    <w:rsid w:val="00BC0DAD"/>
    <w:rsid w:val="00BC386C"/>
    <w:rsid w:val="00BC3AA1"/>
    <w:rsid w:val="00BD0C54"/>
    <w:rsid w:val="00BD2144"/>
    <w:rsid w:val="00BD62C1"/>
    <w:rsid w:val="00BD681B"/>
    <w:rsid w:val="00BD725F"/>
    <w:rsid w:val="00BE3563"/>
    <w:rsid w:val="00BF5732"/>
    <w:rsid w:val="00C00DFE"/>
    <w:rsid w:val="00C0257A"/>
    <w:rsid w:val="00C040D1"/>
    <w:rsid w:val="00C139A6"/>
    <w:rsid w:val="00C1592E"/>
    <w:rsid w:val="00C37092"/>
    <w:rsid w:val="00C37FEA"/>
    <w:rsid w:val="00C52140"/>
    <w:rsid w:val="00C64D3E"/>
    <w:rsid w:val="00C6680F"/>
    <w:rsid w:val="00C66A06"/>
    <w:rsid w:val="00C66ACC"/>
    <w:rsid w:val="00C72415"/>
    <w:rsid w:val="00C77E82"/>
    <w:rsid w:val="00C8468C"/>
    <w:rsid w:val="00C9289E"/>
    <w:rsid w:val="00C92F51"/>
    <w:rsid w:val="00CA0F95"/>
    <w:rsid w:val="00CB10F9"/>
    <w:rsid w:val="00CB3DF8"/>
    <w:rsid w:val="00CB413B"/>
    <w:rsid w:val="00CF09A9"/>
    <w:rsid w:val="00CF2445"/>
    <w:rsid w:val="00CF76A5"/>
    <w:rsid w:val="00D040E5"/>
    <w:rsid w:val="00D12549"/>
    <w:rsid w:val="00D14E3A"/>
    <w:rsid w:val="00D204F5"/>
    <w:rsid w:val="00D5042D"/>
    <w:rsid w:val="00D64AB9"/>
    <w:rsid w:val="00D7177A"/>
    <w:rsid w:val="00D90694"/>
    <w:rsid w:val="00D94CD4"/>
    <w:rsid w:val="00D95940"/>
    <w:rsid w:val="00DA30A9"/>
    <w:rsid w:val="00DA4143"/>
    <w:rsid w:val="00DB00B6"/>
    <w:rsid w:val="00DB3C8A"/>
    <w:rsid w:val="00DC4938"/>
    <w:rsid w:val="00DD6657"/>
    <w:rsid w:val="00DE492C"/>
    <w:rsid w:val="00DE4A9E"/>
    <w:rsid w:val="00E02B75"/>
    <w:rsid w:val="00E05B42"/>
    <w:rsid w:val="00E14D3C"/>
    <w:rsid w:val="00E15A50"/>
    <w:rsid w:val="00E22388"/>
    <w:rsid w:val="00E2369D"/>
    <w:rsid w:val="00E32C21"/>
    <w:rsid w:val="00E34D2C"/>
    <w:rsid w:val="00E3763E"/>
    <w:rsid w:val="00E41743"/>
    <w:rsid w:val="00E54453"/>
    <w:rsid w:val="00E57570"/>
    <w:rsid w:val="00E922D6"/>
    <w:rsid w:val="00E971BC"/>
    <w:rsid w:val="00EA0C6D"/>
    <w:rsid w:val="00EB1E3A"/>
    <w:rsid w:val="00EB4033"/>
    <w:rsid w:val="00ED0545"/>
    <w:rsid w:val="00EE3C83"/>
    <w:rsid w:val="00EE44CD"/>
    <w:rsid w:val="00EE715C"/>
    <w:rsid w:val="00F04B4C"/>
    <w:rsid w:val="00F05FC4"/>
    <w:rsid w:val="00F152FA"/>
    <w:rsid w:val="00F17360"/>
    <w:rsid w:val="00F23026"/>
    <w:rsid w:val="00F242DA"/>
    <w:rsid w:val="00F24BF3"/>
    <w:rsid w:val="00F42684"/>
    <w:rsid w:val="00F47226"/>
    <w:rsid w:val="00F5567D"/>
    <w:rsid w:val="00F63420"/>
    <w:rsid w:val="00F71D83"/>
    <w:rsid w:val="00FB2B31"/>
    <w:rsid w:val="00FC2E73"/>
    <w:rsid w:val="00FD44A8"/>
    <w:rsid w:val="00FE2024"/>
    <w:rsid w:val="00FE51C1"/>
    <w:rsid w:val="00FF4FBA"/>
    <w:rsid w:val="00FF6E00"/>
    <w:rsid w:val="03981B69"/>
    <w:rsid w:val="04163B9E"/>
    <w:rsid w:val="061658EF"/>
    <w:rsid w:val="062816FB"/>
    <w:rsid w:val="06415E15"/>
    <w:rsid w:val="079C46AD"/>
    <w:rsid w:val="07E310A4"/>
    <w:rsid w:val="081A1DCD"/>
    <w:rsid w:val="084D1815"/>
    <w:rsid w:val="085C4166"/>
    <w:rsid w:val="086E3575"/>
    <w:rsid w:val="09630AAF"/>
    <w:rsid w:val="09804EAF"/>
    <w:rsid w:val="0A25538F"/>
    <w:rsid w:val="0AD54518"/>
    <w:rsid w:val="0C025750"/>
    <w:rsid w:val="0CE17783"/>
    <w:rsid w:val="0CF46A33"/>
    <w:rsid w:val="0D9F4347"/>
    <w:rsid w:val="0DAE3692"/>
    <w:rsid w:val="0DBD7530"/>
    <w:rsid w:val="0DF30880"/>
    <w:rsid w:val="10173D1C"/>
    <w:rsid w:val="111C203E"/>
    <w:rsid w:val="111F676B"/>
    <w:rsid w:val="132B599E"/>
    <w:rsid w:val="133A582D"/>
    <w:rsid w:val="13ED0D71"/>
    <w:rsid w:val="14BA1C99"/>
    <w:rsid w:val="159A33B0"/>
    <w:rsid w:val="17B95E09"/>
    <w:rsid w:val="187B0C9F"/>
    <w:rsid w:val="18C04121"/>
    <w:rsid w:val="194F1748"/>
    <w:rsid w:val="195A7503"/>
    <w:rsid w:val="19B917DA"/>
    <w:rsid w:val="1A6D2A0F"/>
    <w:rsid w:val="1B4E677F"/>
    <w:rsid w:val="1B5213DF"/>
    <w:rsid w:val="1BFE7ED3"/>
    <w:rsid w:val="1C31418F"/>
    <w:rsid w:val="1C5724AD"/>
    <w:rsid w:val="1D282FE0"/>
    <w:rsid w:val="1DDF7196"/>
    <w:rsid w:val="1EA01C06"/>
    <w:rsid w:val="1EA971E2"/>
    <w:rsid w:val="1EB131C4"/>
    <w:rsid w:val="1EED3BE1"/>
    <w:rsid w:val="1F384406"/>
    <w:rsid w:val="1F4B56C9"/>
    <w:rsid w:val="1F9C084C"/>
    <w:rsid w:val="1FED0AB4"/>
    <w:rsid w:val="20003306"/>
    <w:rsid w:val="200516A9"/>
    <w:rsid w:val="20C56652"/>
    <w:rsid w:val="20D00EE1"/>
    <w:rsid w:val="23211F5D"/>
    <w:rsid w:val="237D6847"/>
    <w:rsid w:val="23CC69EA"/>
    <w:rsid w:val="24155753"/>
    <w:rsid w:val="247B4A27"/>
    <w:rsid w:val="24B25760"/>
    <w:rsid w:val="25E907C8"/>
    <w:rsid w:val="26F855C1"/>
    <w:rsid w:val="276B4CEB"/>
    <w:rsid w:val="27BD651C"/>
    <w:rsid w:val="27F116A5"/>
    <w:rsid w:val="287D324C"/>
    <w:rsid w:val="289C2446"/>
    <w:rsid w:val="2A181F4D"/>
    <w:rsid w:val="2AC14CB9"/>
    <w:rsid w:val="2B3D64DA"/>
    <w:rsid w:val="2C0C17C6"/>
    <w:rsid w:val="2C9C46FA"/>
    <w:rsid w:val="2D195513"/>
    <w:rsid w:val="2D7D4D47"/>
    <w:rsid w:val="2DAE6075"/>
    <w:rsid w:val="2E8807BB"/>
    <w:rsid w:val="2EF61FAE"/>
    <w:rsid w:val="30AA67E3"/>
    <w:rsid w:val="31614F93"/>
    <w:rsid w:val="319775BE"/>
    <w:rsid w:val="32302BD5"/>
    <w:rsid w:val="32FC1F89"/>
    <w:rsid w:val="34B306B3"/>
    <w:rsid w:val="34D760DE"/>
    <w:rsid w:val="361463CE"/>
    <w:rsid w:val="36BD5826"/>
    <w:rsid w:val="38170E61"/>
    <w:rsid w:val="38512433"/>
    <w:rsid w:val="39310563"/>
    <w:rsid w:val="3A9D7C3F"/>
    <w:rsid w:val="3AE6651C"/>
    <w:rsid w:val="3BEE5866"/>
    <w:rsid w:val="3D671CE6"/>
    <w:rsid w:val="3DF061C6"/>
    <w:rsid w:val="3E53782C"/>
    <w:rsid w:val="3E591D55"/>
    <w:rsid w:val="3ECC71AB"/>
    <w:rsid w:val="3F187646"/>
    <w:rsid w:val="3F1A3922"/>
    <w:rsid w:val="3F4D40B8"/>
    <w:rsid w:val="409B0C9E"/>
    <w:rsid w:val="40E20C88"/>
    <w:rsid w:val="418D62C3"/>
    <w:rsid w:val="418F7942"/>
    <w:rsid w:val="42975280"/>
    <w:rsid w:val="42F01265"/>
    <w:rsid w:val="432C6DE1"/>
    <w:rsid w:val="434A7445"/>
    <w:rsid w:val="44206DB4"/>
    <w:rsid w:val="44946F91"/>
    <w:rsid w:val="45FC7B94"/>
    <w:rsid w:val="466415DC"/>
    <w:rsid w:val="46F6593F"/>
    <w:rsid w:val="472F0412"/>
    <w:rsid w:val="47D1088B"/>
    <w:rsid w:val="49620705"/>
    <w:rsid w:val="4A6B3743"/>
    <w:rsid w:val="4A72682B"/>
    <w:rsid w:val="4B932EFD"/>
    <w:rsid w:val="4C397729"/>
    <w:rsid w:val="4C8035A6"/>
    <w:rsid w:val="4CA1771E"/>
    <w:rsid w:val="4CA2324F"/>
    <w:rsid w:val="4D0E3969"/>
    <w:rsid w:val="4D3811D6"/>
    <w:rsid w:val="4E1D2F92"/>
    <w:rsid w:val="4EBF3BCA"/>
    <w:rsid w:val="4F5B7ABC"/>
    <w:rsid w:val="50035D02"/>
    <w:rsid w:val="501D7841"/>
    <w:rsid w:val="50A73FFE"/>
    <w:rsid w:val="51D00353"/>
    <w:rsid w:val="51E616F3"/>
    <w:rsid w:val="51EA0AA4"/>
    <w:rsid w:val="520D1026"/>
    <w:rsid w:val="52394ED9"/>
    <w:rsid w:val="52954292"/>
    <w:rsid w:val="549C79A4"/>
    <w:rsid w:val="54B27853"/>
    <w:rsid w:val="581065F1"/>
    <w:rsid w:val="589E556A"/>
    <w:rsid w:val="59196C9E"/>
    <w:rsid w:val="59287DF6"/>
    <w:rsid w:val="5A201009"/>
    <w:rsid w:val="5AAF5FB6"/>
    <w:rsid w:val="5B44145C"/>
    <w:rsid w:val="5BBF5BB4"/>
    <w:rsid w:val="5BDF137D"/>
    <w:rsid w:val="5BF179CD"/>
    <w:rsid w:val="5CDA799A"/>
    <w:rsid w:val="5D0E7285"/>
    <w:rsid w:val="5D2F76C6"/>
    <w:rsid w:val="5E3D3378"/>
    <w:rsid w:val="5EA9184E"/>
    <w:rsid w:val="5F01496B"/>
    <w:rsid w:val="5F770FBA"/>
    <w:rsid w:val="608478B5"/>
    <w:rsid w:val="60860FFC"/>
    <w:rsid w:val="60973BBE"/>
    <w:rsid w:val="609F42CB"/>
    <w:rsid w:val="60B176D4"/>
    <w:rsid w:val="60B27FA5"/>
    <w:rsid w:val="60D033D7"/>
    <w:rsid w:val="61715A57"/>
    <w:rsid w:val="617654B0"/>
    <w:rsid w:val="626F2CAB"/>
    <w:rsid w:val="62955A7C"/>
    <w:rsid w:val="63614605"/>
    <w:rsid w:val="66543303"/>
    <w:rsid w:val="66552041"/>
    <w:rsid w:val="678F4DF7"/>
    <w:rsid w:val="679D645D"/>
    <w:rsid w:val="67A108D0"/>
    <w:rsid w:val="67F6606A"/>
    <w:rsid w:val="692A1A62"/>
    <w:rsid w:val="6A3276B4"/>
    <w:rsid w:val="6AD72BF2"/>
    <w:rsid w:val="6AE21582"/>
    <w:rsid w:val="6AF6570B"/>
    <w:rsid w:val="6B6B5159"/>
    <w:rsid w:val="6BB16890"/>
    <w:rsid w:val="6D1E19C3"/>
    <w:rsid w:val="6ED20539"/>
    <w:rsid w:val="6F61091F"/>
    <w:rsid w:val="6FF15B43"/>
    <w:rsid w:val="70806DD9"/>
    <w:rsid w:val="70CB37C2"/>
    <w:rsid w:val="727F2850"/>
    <w:rsid w:val="737D2AD7"/>
    <w:rsid w:val="73B372B3"/>
    <w:rsid w:val="73B66D90"/>
    <w:rsid w:val="74776DEA"/>
    <w:rsid w:val="74895C10"/>
    <w:rsid w:val="74CD49F8"/>
    <w:rsid w:val="75732CBA"/>
    <w:rsid w:val="77386B5F"/>
    <w:rsid w:val="7802143F"/>
    <w:rsid w:val="781B0807"/>
    <w:rsid w:val="788953C3"/>
    <w:rsid w:val="79604D4C"/>
    <w:rsid w:val="79660698"/>
    <w:rsid w:val="797315A3"/>
    <w:rsid w:val="7B800A2D"/>
    <w:rsid w:val="7BE13941"/>
    <w:rsid w:val="7D883202"/>
    <w:rsid w:val="7E23697B"/>
    <w:rsid w:val="7E475056"/>
    <w:rsid w:val="7EF6437B"/>
    <w:rsid w:val="7F5170A0"/>
    <w:rsid w:val="7F8E5B7C"/>
    <w:rsid w:val="7FA769B0"/>
    <w:rsid w:val="7FCF3C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styleId="6">
    <w:name w:val="Normal Indent"/>
    <w:basedOn w:val="1"/>
    <w:link w:val="42"/>
    <w:qFormat/>
    <w:uiPriority w:val="0"/>
    <w:pPr>
      <w:ind w:firstLine="420"/>
    </w:pPr>
  </w:style>
  <w:style w:type="paragraph" w:styleId="7">
    <w:name w:val="annotation text"/>
    <w:basedOn w:val="1"/>
    <w:link w:val="36"/>
    <w:unhideWhenUsed/>
    <w:qFormat/>
    <w:uiPriority w:val="99"/>
    <w:pPr>
      <w:jc w:val="left"/>
    </w:pPr>
  </w:style>
  <w:style w:type="paragraph" w:styleId="8">
    <w:name w:val="Body Text"/>
    <w:basedOn w:val="1"/>
    <w:qFormat/>
    <w:uiPriority w:val="0"/>
    <w:pPr>
      <w:spacing w:after="120"/>
    </w:pPr>
  </w:style>
  <w:style w:type="paragraph" w:styleId="9">
    <w:name w:val="Body Text Indent"/>
    <w:basedOn w:val="1"/>
    <w:unhideWhenUsed/>
    <w:qFormat/>
    <w:uiPriority w:val="99"/>
    <w:pPr>
      <w:widowControl/>
      <w:spacing w:after="120"/>
      <w:ind w:left="420"/>
    </w:pPr>
    <w:rPr>
      <w:rFonts w:ascii="Times New Roman" w:hAnsi="Times New Roman" w:cs="Times New Roman"/>
      <w:szCs w:val="21"/>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link w:val="39"/>
    <w:qFormat/>
    <w:uiPriority w:val="0"/>
    <w:rPr>
      <w:rFonts w:ascii="宋体" w:hAnsi="Courier New" w:cs="Courier New"/>
      <w:szCs w:val="21"/>
    </w:rPr>
  </w:style>
  <w:style w:type="paragraph" w:styleId="12">
    <w:name w:val="endnote text"/>
    <w:basedOn w:val="1"/>
    <w:link w:val="38"/>
    <w:unhideWhenUsed/>
    <w:qFormat/>
    <w:uiPriority w:val="99"/>
    <w:pPr>
      <w:snapToGrid w:val="0"/>
      <w:jc w:val="left"/>
    </w:pPr>
  </w:style>
  <w:style w:type="paragraph" w:styleId="13">
    <w:name w:val="Balloon Text"/>
    <w:basedOn w:val="1"/>
    <w:link w:val="32"/>
    <w:unhideWhenUsed/>
    <w:qFormat/>
    <w:uiPriority w:val="99"/>
    <w:rPr>
      <w:sz w:val="18"/>
      <w:szCs w:val="18"/>
    </w:rPr>
  </w:style>
  <w:style w:type="paragraph" w:styleId="14">
    <w:name w:val="footer"/>
    <w:basedOn w:val="1"/>
    <w:link w:val="31"/>
    <w:unhideWhenUsed/>
    <w:qFormat/>
    <w:uiPriority w:val="99"/>
    <w:pPr>
      <w:tabs>
        <w:tab w:val="center" w:pos="4153"/>
        <w:tab w:val="right" w:pos="8306"/>
      </w:tabs>
      <w:snapToGrid w:val="0"/>
      <w:jc w:val="left"/>
    </w:pPr>
    <w:rPr>
      <w:sz w:val="18"/>
      <w:szCs w:val="18"/>
    </w:rPr>
  </w:style>
  <w:style w:type="paragraph" w:styleId="15">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line="440" w:lineRule="exact"/>
      <w:jc w:val="left"/>
    </w:pPr>
    <w:rPr>
      <w:rFonts w:eastAsia="黑体"/>
      <w:b/>
      <w:kern w:val="0"/>
      <w:sz w:val="28"/>
    </w:rPr>
  </w:style>
  <w:style w:type="paragraph" w:styleId="17">
    <w:name w:val="toc 2"/>
    <w:basedOn w:val="18"/>
    <w:next w:val="4"/>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customStyle="1" w:styleId="18">
    <w:name w:val="引用1"/>
    <w:basedOn w:val="1"/>
    <w:next w:val="1"/>
    <w:link w:val="41"/>
    <w:qFormat/>
    <w:uiPriority w:val="29"/>
    <w:rPr>
      <w:i/>
      <w:iCs/>
      <w:color w:val="000000" w:themeColor="text1"/>
      <w14:textFill>
        <w14:solidFill>
          <w14:schemeClr w14:val="tx1"/>
        </w14:solidFill>
      </w14:textFill>
    </w:rPr>
  </w:style>
  <w:style w:type="paragraph" w:styleId="19">
    <w:name w:val="Normal (Web)"/>
    <w:basedOn w:val="1"/>
    <w:qFormat/>
    <w:uiPriority w:val="0"/>
    <w:pPr>
      <w:spacing w:beforeAutospacing="1" w:afterAutospacing="1"/>
      <w:jc w:val="left"/>
    </w:pPr>
    <w:rPr>
      <w:rFonts w:cs="Times New Roman"/>
      <w:kern w:val="0"/>
      <w:sz w:val="24"/>
    </w:rPr>
  </w:style>
  <w:style w:type="paragraph" w:styleId="20">
    <w:name w:val="annotation subject"/>
    <w:basedOn w:val="7"/>
    <w:next w:val="7"/>
    <w:link w:val="43"/>
    <w:unhideWhenUsed/>
    <w:qFormat/>
    <w:uiPriority w:val="99"/>
    <w:rPr>
      <w:b/>
      <w:bCs/>
    </w:rPr>
  </w:style>
  <w:style w:type="paragraph" w:styleId="21">
    <w:name w:val="Body Text First Indent"/>
    <w:basedOn w:val="8"/>
    <w:unhideWhenUsed/>
    <w:qFormat/>
    <w:uiPriority w:val="99"/>
    <w:pPr>
      <w:ind w:firstLine="420" w:firstLineChars="100"/>
    </w:pPr>
  </w:style>
  <w:style w:type="paragraph" w:styleId="22">
    <w:name w:val="Body Text First Indent 2"/>
    <w:basedOn w:val="9"/>
    <w:next w:val="21"/>
    <w:qFormat/>
    <w:uiPriority w:val="0"/>
    <w:pPr>
      <w:snapToGrid w:val="0"/>
      <w:spacing w:line="560" w:lineRule="exact"/>
      <w:ind w:firstLine="420"/>
    </w:pPr>
    <w:rPr>
      <w:rFonts w:hint="eastAsia" w:ascii="仿宋_GB2312" w:hAnsi="等线" w:eastAsia="仿宋_GB2312"/>
      <w:sz w:val="28"/>
      <w:szCs w:val="22"/>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b/>
    </w:rPr>
  </w:style>
  <w:style w:type="character" w:styleId="27">
    <w:name w:val="endnote reference"/>
    <w:basedOn w:val="25"/>
    <w:unhideWhenUsed/>
    <w:qFormat/>
    <w:uiPriority w:val="99"/>
    <w:rPr>
      <w:vertAlign w:val="superscript"/>
    </w:rPr>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styleId="29">
    <w:name w:val="annotation reference"/>
    <w:qFormat/>
    <w:uiPriority w:val="99"/>
    <w:rPr>
      <w:sz w:val="21"/>
    </w:rPr>
  </w:style>
  <w:style w:type="character" w:customStyle="1" w:styleId="30">
    <w:name w:val="页眉 字符"/>
    <w:basedOn w:val="25"/>
    <w:link w:val="15"/>
    <w:qFormat/>
    <w:uiPriority w:val="99"/>
    <w:rPr>
      <w:sz w:val="18"/>
      <w:szCs w:val="18"/>
    </w:rPr>
  </w:style>
  <w:style w:type="character" w:customStyle="1" w:styleId="31">
    <w:name w:val="页脚 字符"/>
    <w:basedOn w:val="25"/>
    <w:link w:val="14"/>
    <w:qFormat/>
    <w:uiPriority w:val="99"/>
    <w:rPr>
      <w:sz w:val="18"/>
      <w:szCs w:val="18"/>
    </w:rPr>
  </w:style>
  <w:style w:type="character" w:customStyle="1" w:styleId="32">
    <w:name w:val="批注框文本 字符"/>
    <w:basedOn w:val="25"/>
    <w:link w:val="13"/>
    <w:semiHidden/>
    <w:qFormat/>
    <w:uiPriority w:val="99"/>
    <w:rPr>
      <w:sz w:val="18"/>
      <w:szCs w:val="18"/>
    </w:rPr>
  </w:style>
  <w:style w:type="paragraph" w:customStyle="1" w:styleId="33">
    <w:name w:val="列出段落1"/>
    <w:basedOn w:val="1"/>
    <w:qFormat/>
    <w:uiPriority w:val="34"/>
    <w:pPr>
      <w:ind w:firstLine="420" w:firstLineChars="200"/>
    </w:pPr>
  </w:style>
  <w:style w:type="character" w:customStyle="1" w:styleId="34">
    <w:name w:val="标题 1 字符"/>
    <w:basedOn w:val="25"/>
    <w:link w:val="3"/>
    <w:qFormat/>
    <w:uiPriority w:val="9"/>
    <w:rPr>
      <w:b/>
      <w:bCs/>
      <w:kern w:val="44"/>
      <w:sz w:val="44"/>
      <w:szCs w:val="44"/>
    </w:r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文字 字符"/>
    <w:basedOn w:val="25"/>
    <w:link w:val="7"/>
    <w:qFormat/>
    <w:uiPriority w:val="99"/>
  </w:style>
  <w:style w:type="character" w:customStyle="1" w:styleId="37">
    <w:name w:val="标题 2 字符"/>
    <w:basedOn w:val="25"/>
    <w:link w:val="4"/>
    <w:qFormat/>
    <w:uiPriority w:val="9"/>
    <w:rPr>
      <w:rFonts w:asciiTheme="majorHAnsi" w:hAnsiTheme="majorHAnsi" w:eastAsiaTheme="majorEastAsia" w:cstheme="majorBidi"/>
      <w:b/>
      <w:bCs/>
      <w:sz w:val="32"/>
      <w:szCs w:val="32"/>
    </w:rPr>
  </w:style>
  <w:style w:type="character" w:customStyle="1" w:styleId="38">
    <w:name w:val="尾注文本 字符"/>
    <w:basedOn w:val="25"/>
    <w:link w:val="12"/>
    <w:semiHidden/>
    <w:qFormat/>
    <w:uiPriority w:val="99"/>
  </w:style>
  <w:style w:type="character" w:customStyle="1" w:styleId="39">
    <w:name w:val="纯文本 字符"/>
    <w:link w:val="11"/>
    <w:qFormat/>
    <w:uiPriority w:val="0"/>
    <w:rPr>
      <w:rFonts w:ascii="宋体" w:hAnsi="Courier New" w:cs="Courier New"/>
      <w:szCs w:val="21"/>
    </w:rPr>
  </w:style>
  <w:style w:type="character" w:customStyle="1" w:styleId="40">
    <w:name w:val="纯文本 Char1"/>
    <w:basedOn w:val="25"/>
    <w:semiHidden/>
    <w:qFormat/>
    <w:uiPriority w:val="99"/>
    <w:rPr>
      <w:rFonts w:ascii="宋体" w:hAnsi="Courier New" w:eastAsia="宋体" w:cs="Courier New"/>
      <w:szCs w:val="21"/>
    </w:rPr>
  </w:style>
  <w:style w:type="character" w:customStyle="1" w:styleId="41">
    <w:name w:val="引用 Char"/>
    <w:basedOn w:val="25"/>
    <w:link w:val="18"/>
    <w:qFormat/>
    <w:uiPriority w:val="29"/>
    <w:rPr>
      <w:i/>
      <w:iCs/>
      <w:color w:val="000000" w:themeColor="text1"/>
      <w14:textFill>
        <w14:solidFill>
          <w14:schemeClr w14:val="tx1"/>
        </w14:solidFill>
      </w14:textFill>
    </w:rPr>
  </w:style>
  <w:style w:type="character" w:customStyle="1" w:styleId="42">
    <w:name w:val="正文缩进 字符"/>
    <w:link w:val="6"/>
    <w:qFormat/>
    <w:uiPriority w:val="0"/>
  </w:style>
  <w:style w:type="character" w:customStyle="1" w:styleId="43">
    <w:name w:val="批注主题 字符"/>
    <w:basedOn w:val="36"/>
    <w:link w:val="20"/>
    <w:semiHidden/>
    <w:qFormat/>
    <w:uiPriority w:val="99"/>
    <w:rPr>
      <w:b/>
      <w:bCs/>
    </w:rPr>
  </w:style>
  <w:style w:type="paragraph" w:customStyle="1" w:styleId="44">
    <w:name w:val="列出段落2"/>
    <w:basedOn w:val="1"/>
    <w:unhideWhenUsed/>
    <w:qFormat/>
    <w:uiPriority w:val="99"/>
    <w:pPr>
      <w:ind w:firstLine="420" w:firstLineChars="200"/>
    </w:pPr>
  </w:style>
  <w:style w:type="paragraph" w:customStyle="1" w:styleId="45">
    <w:name w:val="_Style 1"/>
    <w:qFormat/>
    <w:uiPriority w:val="1"/>
    <w:pPr>
      <w:adjustRightInd w:val="0"/>
      <w:snapToGrid w:val="0"/>
    </w:pPr>
    <w:rPr>
      <w:rFonts w:ascii="Tahoma" w:hAnsi="Tahoma" w:eastAsia="宋体" w:cs="Times New Roman"/>
      <w:sz w:val="22"/>
      <w:szCs w:val="22"/>
      <w:lang w:val="en-US" w:eastAsia="zh-CN" w:bidi="ar-SA"/>
    </w:rPr>
  </w:style>
  <w:style w:type="paragraph" w:customStyle="1" w:styleId="46">
    <w:name w:val="Body text|1"/>
    <w:basedOn w:val="1"/>
    <w:qFormat/>
    <w:uiPriority w:val="0"/>
    <w:pPr>
      <w:spacing w:line="403" w:lineRule="auto"/>
      <w:ind w:firstLine="400"/>
    </w:pPr>
    <w:rPr>
      <w:rFonts w:ascii="宋体" w:hAnsi="宋体" w:eastAsia="宋体" w:cs="宋体"/>
      <w:sz w:val="30"/>
      <w:szCs w:val="30"/>
      <w:lang w:val="zh-TW" w:eastAsia="zh-TW" w:bidi="zh-TW"/>
    </w:rPr>
  </w:style>
  <w:style w:type="paragraph" w:customStyle="1" w:styleId="47">
    <w:name w:val="0正文wh"/>
    <w:qFormat/>
    <w:uiPriority w:val="0"/>
    <w:pPr>
      <w:spacing w:line="360" w:lineRule="auto"/>
      <w:ind w:firstLine="200" w:firstLineChars="200"/>
    </w:pPr>
    <w:rPr>
      <w:rFonts w:ascii="Times New Roman" w:hAnsi="Times New Roman" w:eastAsia="方正仿宋简体" w:cs="Times New Roman"/>
      <w:kern w:val="2"/>
      <w:sz w:val="32"/>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11AD74-A983-4220-802E-A1A854AE5913}">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67</Pages>
  <Words>5586</Words>
  <Characters>31843</Characters>
  <Lines>265</Lines>
  <Paragraphs>74</Paragraphs>
  <TotalTime>6</TotalTime>
  <ScaleCrop>false</ScaleCrop>
  <LinksUpToDate>false</LinksUpToDate>
  <CharactersWithSpaces>37355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2022-02-10T08:15:00Z</dcterms:created>
  <dc:creator>502-2</dc:creator>
  <cp:lastModifiedBy>lenovo</cp:lastModifiedBy>
  <cp:lastPrinted>2021-05-06T03:02:00Z</cp:lastPrinted>
  <dcterms:modified xsi:type="dcterms:W3CDTF">2022-02-21T07:25:56Z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8AD9F0BD691D4D6AA33EE349E7D842B5</vt:lpwstr>
  </property>
</Properties>
</file>