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color w:val="000000" w:themeColor="text1"/>
          <w:sz w:val="44"/>
          <w:szCs w:val="48"/>
          <w14:textFill>
            <w14:solidFill>
              <w14:schemeClr w14:val="tx1"/>
            </w14:solidFill>
          </w14:textFill>
        </w:rPr>
      </w:pPr>
    </w:p>
    <w:p>
      <w:pPr>
        <w:pStyle w:val="10"/>
        <w:rPr>
          <w:rFonts w:hint="eastAsia" w:eastAsia="方正小标宋简体"/>
          <w:color w:val="000000" w:themeColor="text1"/>
          <w:sz w:val="40"/>
          <w:szCs w:val="44"/>
          <w:lang w:eastAsia="zh-CN"/>
          <w14:textFill>
            <w14:solidFill>
              <w14:schemeClr w14:val="tx1"/>
            </w14:solidFill>
          </w14:textFill>
        </w:rPr>
      </w:pPr>
      <w:r>
        <w:rPr>
          <w:rFonts w:hint="eastAsia"/>
          <w:color w:val="000000" w:themeColor="text1"/>
          <w:sz w:val="44"/>
          <w:szCs w:val="48"/>
          <w:lang w:eastAsia="zh-CN"/>
          <w14:textFill>
            <w14:solidFill>
              <w14:schemeClr w14:val="tx1"/>
            </w14:solidFill>
          </w14:textFill>
        </w:rPr>
        <w:t>阳新县军垦中学运动场工程</w:t>
      </w:r>
    </w:p>
    <w:p>
      <w:pPr>
        <w:pStyle w:val="10"/>
        <w:rPr>
          <w:color w:val="000000" w:themeColor="text1"/>
          <w:sz w:val="48"/>
          <w:szCs w:val="52"/>
          <w14:textFill>
            <w14:solidFill>
              <w14:schemeClr w14:val="tx1"/>
            </w14:solidFill>
          </w14:textFill>
        </w:rPr>
      </w:pPr>
      <w:r>
        <w:rPr>
          <w:rFonts w:hint="eastAsia"/>
          <w:color w:val="000000" w:themeColor="text1"/>
          <w:sz w:val="48"/>
          <w:szCs w:val="52"/>
          <w14:textFill>
            <w14:solidFill>
              <w14:schemeClr w14:val="tx1"/>
            </w14:solidFill>
          </w14:textFill>
        </w:rPr>
        <w:t>采购需求</w:t>
      </w:r>
    </w:p>
    <w:p>
      <w:pPr>
        <w:jc w:val="left"/>
        <w:rPr>
          <w:rFonts w:ascii="黑体" w:hAnsi="黑体" w:eastAsia="黑体"/>
          <w:b/>
          <w:bCs/>
          <w:sz w:val="28"/>
          <w:szCs w:val="32"/>
        </w:rPr>
      </w:pPr>
    </w:p>
    <w:p>
      <w:pPr>
        <w:jc w:val="left"/>
        <w:rPr>
          <w:rFonts w:ascii="黑体" w:hAnsi="黑体" w:eastAsia="黑体"/>
          <w:b/>
          <w:bCs/>
          <w:sz w:val="28"/>
          <w:szCs w:val="32"/>
        </w:rPr>
      </w:pPr>
    </w:p>
    <w:p>
      <w:pPr>
        <w:jc w:val="left"/>
        <w:rPr>
          <w:rFonts w:hint="eastAsia" w:ascii="黑体" w:hAnsi="黑体" w:eastAsia="黑体"/>
          <w:b/>
          <w:bCs/>
          <w:sz w:val="32"/>
          <w:szCs w:val="36"/>
          <w:lang w:eastAsia="zh-CN"/>
        </w:rPr>
      </w:pPr>
      <w:r>
        <w:rPr>
          <w:rFonts w:hint="eastAsia" w:ascii="黑体" w:hAnsi="黑体" w:eastAsia="黑体"/>
          <w:b/>
          <w:bCs/>
          <w:sz w:val="32"/>
          <w:szCs w:val="36"/>
        </w:rPr>
        <w:t>招 标 人：</w:t>
      </w:r>
      <w:r>
        <w:rPr>
          <w:rFonts w:hint="eastAsia" w:ascii="黑体" w:hAnsi="黑体" w:eastAsia="黑体"/>
          <w:b/>
          <w:bCs/>
          <w:sz w:val="32"/>
          <w:szCs w:val="36"/>
          <w:lang w:eastAsia="zh-CN"/>
        </w:rPr>
        <w:t>阳新县军垦中学</w:t>
      </w:r>
    </w:p>
    <w:p>
      <w:pPr>
        <w:jc w:val="left"/>
        <w:rPr>
          <w:rFonts w:hint="default" w:ascii="黑体" w:hAnsi="黑体" w:eastAsia="黑体"/>
          <w:b/>
          <w:bCs/>
          <w:sz w:val="32"/>
          <w:szCs w:val="36"/>
          <w:lang w:val="en-US" w:eastAsia="zh-CN"/>
        </w:rPr>
      </w:pPr>
      <w:r>
        <w:rPr>
          <w:rFonts w:hint="eastAsia" w:ascii="黑体" w:hAnsi="黑体" w:eastAsia="黑体"/>
          <w:b/>
          <w:bCs/>
          <w:sz w:val="32"/>
          <w:szCs w:val="36"/>
        </w:rPr>
        <w:t>联 系 人：</w:t>
      </w:r>
      <w:r>
        <w:rPr>
          <w:rFonts w:hint="eastAsia" w:ascii="黑体" w:hAnsi="黑体" w:eastAsia="黑体"/>
          <w:b/>
          <w:bCs/>
          <w:sz w:val="32"/>
          <w:szCs w:val="36"/>
          <w:lang w:val="en-US" w:eastAsia="zh-CN"/>
        </w:rPr>
        <w:t>冶铁锁</w:t>
      </w:r>
    </w:p>
    <w:p>
      <w:pPr>
        <w:jc w:val="left"/>
        <w:rPr>
          <w:rFonts w:ascii="黑体" w:hAnsi="黑体" w:eastAsia="黑体"/>
          <w:b/>
          <w:bCs/>
          <w:sz w:val="32"/>
          <w:szCs w:val="36"/>
        </w:rPr>
      </w:pPr>
      <w:r>
        <w:rPr>
          <w:rFonts w:hint="eastAsia" w:ascii="黑体" w:hAnsi="黑体" w:eastAsia="黑体"/>
          <w:b/>
          <w:bCs/>
          <w:sz w:val="32"/>
          <w:szCs w:val="36"/>
        </w:rPr>
        <w:t>联系电话：</w:t>
      </w:r>
      <w:r>
        <w:rPr>
          <w:rFonts w:hint="eastAsia" w:ascii="黑体" w:hAnsi="黑体" w:eastAsia="黑体"/>
          <w:b/>
          <w:bCs/>
          <w:sz w:val="32"/>
          <w:szCs w:val="36"/>
          <w:lang w:val="en-US" w:eastAsia="zh-CN"/>
        </w:rPr>
        <w:t>15972375506</w:t>
      </w:r>
    </w:p>
    <w:p>
      <w:pPr>
        <w:jc w:val="left"/>
        <w:rPr>
          <w:rFonts w:ascii="黑体" w:hAnsi="黑体" w:eastAsia="黑体"/>
          <w:b/>
          <w:bCs/>
          <w:sz w:val="28"/>
          <w:szCs w:val="32"/>
        </w:rPr>
      </w:pPr>
      <w:r>
        <w:rPr>
          <w:rFonts w:hint="eastAsia" w:ascii="黑体" w:hAnsi="黑体" w:eastAsia="黑体"/>
          <w:b/>
          <w:bCs/>
          <w:sz w:val="32"/>
          <w:szCs w:val="36"/>
        </w:rPr>
        <w:t>采购方式：竞争性磋商</w:t>
      </w:r>
    </w:p>
    <w:p>
      <w:pPr>
        <w:jc w:val="left"/>
        <w:rPr>
          <w:rFonts w:ascii="黑体" w:hAnsi="黑体" w:eastAsia="黑体"/>
          <w:b/>
          <w:bCs/>
          <w:sz w:val="28"/>
          <w:szCs w:val="32"/>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rFonts w:hint="eastAsia"/>
          <w:sz w:val="24"/>
          <w:szCs w:val="24"/>
        </w:rPr>
      </w:pPr>
    </w:p>
    <w:p>
      <w:pPr>
        <w:pStyle w:val="2"/>
      </w:pPr>
    </w:p>
    <w:p>
      <w:pPr>
        <w:adjustRightInd w:val="0"/>
        <w:snapToGrid w:val="0"/>
        <w:spacing w:line="360" w:lineRule="auto"/>
        <w:jc w:val="left"/>
        <w:rPr>
          <w:sz w:val="24"/>
          <w:szCs w:val="24"/>
        </w:rPr>
      </w:pPr>
    </w:p>
    <w:p>
      <w:pPr>
        <w:adjustRightInd w:val="0"/>
        <w:snapToGrid w:val="0"/>
        <w:spacing w:line="360" w:lineRule="auto"/>
        <w:jc w:val="left"/>
        <w:rPr>
          <w:sz w:val="24"/>
          <w:szCs w:val="24"/>
        </w:rPr>
      </w:pPr>
      <w:r>
        <w:rPr>
          <w:rFonts w:hint="eastAsia"/>
          <w:sz w:val="24"/>
          <w:szCs w:val="24"/>
        </w:rPr>
        <w:t>附件一：采购需求</w:t>
      </w:r>
    </w:p>
    <w:p>
      <w:pPr>
        <w:pStyle w:val="5"/>
        <w:jc w:val="center"/>
      </w:pPr>
      <w:bookmarkStart w:id="0" w:name="_Toc480553174"/>
      <w:r>
        <w:rPr>
          <w:rFonts w:hint="eastAsia"/>
        </w:rPr>
        <w:t>一、采购项目技术规格、参数及要求</w:t>
      </w:r>
      <w:bookmarkEnd w:id="0"/>
    </w:p>
    <w:p>
      <w:pPr>
        <w:spacing w:line="360" w:lineRule="auto"/>
        <w:rPr>
          <w:rFonts w:hint="eastAsia" w:ascii="宋体" w:hAnsi="宋体" w:eastAsia="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阳新县军垦中学运动场工程</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lang w:val="en-US" w:eastAsia="zh-CN"/>
        </w:rPr>
        <w:t>6</w:t>
      </w:r>
      <w:r>
        <w:rPr>
          <w:rFonts w:hint="eastAsia" w:ascii="宋体" w:hAnsi="宋体"/>
          <w:bCs/>
          <w:kern w:val="44"/>
          <w:sz w:val="24"/>
          <w:u w:val="single"/>
        </w:rPr>
        <w:t>0</w:t>
      </w:r>
      <w:r>
        <w:rPr>
          <w:rFonts w:hint="eastAsia" w:ascii="宋体" w:hAnsi="宋体"/>
          <w:bCs/>
          <w:kern w:val="44"/>
          <w:sz w:val="24"/>
        </w:rPr>
        <w:t>日历天。开工时间以建设单位开工令为准。</w:t>
      </w:r>
    </w:p>
    <w:p>
      <w:pPr>
        <w:spacing w:line="360" w:lineRule="auto"/>
        <w:rPr>
          <w:rFonts w:hint="default" w:ascii="宋体" w:hAnsi="宋体" w:eastAsia="宋体"/>
          <w:bCs/>
          <w:kern w:val="44"/>
          <w:sz w:val="24"/>
          <w:lang w:val="en-US" w:eastAsia="zh-CN"/>
        </w:rPr>
      </w:pPr>
      <w:r>
        <w:rPr>
          <w:rFonts w:hint="eastAsia" w:ascii="宋体" w:hAnsi="宋体"/>
          <w:bCs/>
          <w:kern w:val="44"/>
          <w:sz w:val="24"/>
        </w:rPr>
        <w:t>3、施工地点：阳新县</w:t>
      </w:r>
      <w:r>
        <w:rPr>
          <w:rFonts w:hint="eastAsia" w:ascii="宋体" w:hAnsi="宋体"/>
          <w:bCs/>
          <w:kern w:val="44"/>
          <w:sz w:val="24"/>
          <w:lang w:val="en-US" w:eastAsia="zh-CN"/>
        </w:rPr>
        <w:t>军垦中学</w:t>
      </w:r>
    </w:p>
    <w:p>
      <w:pPr>
        <w:spacing w:line="360" w:lineRule="auto"/>
        <w:rPr>
          <w:rFonts w:ascii="宋体" w:hAnsi="宋体"/>
          <w:bCs/>
          <w:kern w:val="44"/>
          <w:sz w:val="24"/>
        </w:rPr>
      </w:pPr>
      <w:r>
        <w:rPr>
          <w:rFonts w:hint="eastAsia" w:ascii="宋体" w:hAnsi="宋体"/>
          <w:bCs/>
          <w:kern w:val="44"/>
          <w:sz w:val="24"/>
        </w:rPr>
        <w:t>4、采购预算：</w:t>
      </w:r>
      <w:r>
        <w:rPr>
          <w:rFonts w:hint="eastAsia" w:ascii="宋体" w:hAnsi="宋体"/>
          <w:bCs/>
          <w:kern w:val="44"/>
          <w:sz w:val="24"/>
          <w:lang w:val="en-US" w:eastAsia="zh-CN"/>
        </w:rPr>
        <w:t>89.756</w:t>
      </w:r>
      <w:r>
        <w:rPr>
          <w:rFonts w:hint="eastAsia" w:ascii="宋体" w:hAnsi="宋体"/>
          <w:bCs/>
          <w:kern w:val="44"/>
          <w:sz w:val="24"/>
        </w:rPr>
        <w:t>万元，超过预算作无效投标处理。</w:t>
      </w:r>
    </w:p>
    <w:p>
      <w:pPr>
        <w:spacing w:line="360" w:lineRule="auto"/>
        <w:rPr>
          <w:rFonts w:ascii="宋体" w:hAnsi="宋体"/>
          <w:bCs/>
          <w:kern w:val="44"/>
          <w:sz w:val="24"/>
        </w:rPr>
      </w:pPr>
      <w:r>
        <w:rPr>
          <w:rFonts w:hint="eastAsia" w:ascii="宋体" w:hAnsi="宋体"/>
          <w:bCs/>
          <w:kern w:val="44"/>
          <w:sz w:val="24"/>
        </w:rPr>
        <w:t>5、质量目标：达到国家规定的验收合格标准</w:t>
      </w:r>
    </w:p>
    <w:p>
      <w:pPr>
        <w:spacing w:line="360" w:lineRule="auto"/>
        <w:rPr>
          <w:rFonts w:ascii="宋体" w:hAnsi="宋体"/>
          <w:bCs/>
          <w:kern w:val="44"/>
          <w:sz w:val="24"/>
        </w:rPr>
      </w:pPr>
      <w:r>
        <w:rPr>
          <w:rFonts w:hint="eastAsia" w:ascii="宋体" w:hAnsi="宋体"/>
          <w:bCs/>
          <w:kern w:val="44"/>
          <w:sz w:val="24"/>
        </w:rPr>
        <w:t>6、工程量清单见附件。</w:t>
      </w:r>
    </w:p>
    <w:p>
      <w:pPr>
        <w:spacing w:line="360" w:lineRule="auto"/>
        <w:rPr>
          <w:rFonts w:ascii="宋体" w:hAnsi="宋体" w:cs="宋体"/>
          <w:bCs/>
          <w:kern w:val="44"/>
          <w:sz w:val="24"/>
        </w:rPr>
      </w:pPr>
      <w:r>
        <w:rPr>
          <w:rFonts w:hint="eastAsia" w:ascii="宋体" w:hAnsi="宋体"/>
          <w:bCs/>
          <w:kern w:val="44"/>
          <w:sz w:val="24"/>
        </w:rPr>
        <w:t>7、付款方式：</w:t>
      </w:r>
      <w:r>
        <w:rPr>
          <w:rFonts w:hint="eastAsia" w:ascii="宋体" w:hAnsi="宋体"/>
          <w:bCs/>
          <w:color w:val="auto"/>
          <w:kern w:val="44"/>
          <w:sz w:val="24"/>
        </w:rPr>
        <w:t>按进度付款，具体以教育局规定为准。</w:t>
      </w:r>
    </w:p>
    <w:p/>
    <w:p>
      <w:pPr>
        <w:pStyle w:val="2"/>
      </w:pPr>
    </w:p>
    <w:p>
      <w:pPr>
        <w:pStyle w:val="2"/>
        <w:rPr>
          <w:rFonts w:hint="eastAsia"/>
        </w:rPr>
      </w:pPr>
      <w:r>
        <w:rPr>
          <w:rFonts w:hint="eastAsia"/>
        </w:rPr>
        <w:t>工程量清单及图纸：</w:t>
      </w:r>
    </w:p>
    <w:p>
      <w:pPr>
        <w:pStyle w:val="2"/>
        <w:rPr>
          <w:rFonts w:hint="eastAsia"/>
        </w:rPr>
      </w:pPr>
    </w:p>
    <w:p>
      <w:pPr>
        <w:pStyle w:val="2"/>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r>
        <w:rPr>
          <w:rFonts w:hint="eastAsia" w:eastAsia="宋体"/>
          <w:lang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6" DrawAspect="Icon" ObjectID="_1468075726" r:id="rId6">
            <o:LockedField>false</o:LockedField>
          </o:OLEObject>
        </w:object>
      </w:r>
    </w:p>
    <w:p>
      <w:pPr>
        <w:pStyle w:val="2"/>
      </w:pPr>
      <w:r>
        <w:rPr>
          <w:rFonts w:hint="eastAsia"/>
        </w:rPr>
        <w:t xml:space="preserve">  </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rPr>
      </w:pPr>
    </w:p>
    <w:p>
      <w:pPr>
        <w:adjustRightInd w:val="0"/>
        <w:snapToGrid w:val="0"/>
        <w:spacing w:line="360" w:lineRule="exact"/>
        <w:rPr>
          <w:color w:val="000000"/>
          <w:sz w:val="24"/>
          <w:lang w:val="zh-CN"/>
        </w:rPr>
      </w:pPr>
      <w:r>
        <w:rPr>
          <w:rFonts w:hint="eastAsia"/>
          <w:color w:val="000000"/>
          <w:sz w:val="24"/>
          <w:lang w:val="zh-CN"/>
        </w:rPr>
        <w:t>附件</w:t>
      </w:r>
      <w:r>
        <w:rPr>
          <w:rFonts w:hint="eastAsia" w:ascii="宋体" w:hAnsi="宋体" w:cs="宋体"/>
          <w:color w:val="000000"/>
          <w:sz w:val="24"/>
          <w:lang w:val="zh-CN"/>
        </w:rPr>
        <w:t>2</w:t>
      </w:r>
      <w:r>
        <w:rPr>
          <w:rFonts w:hint="eastAsia"/>
          <w:color w:val="000000"/>
          <w:sz w:val="24"/>
          <w:lang w:val="zh-CN"/>
        </w:rPr>
        <w:t>：评审方法及评审标准</w:t>
      </w:r>
    </w:p>
    <w:p>
      <w:pPr>
        <w:jc w:val="center"/>
        <w:rPr>
          <w:b/>
          <w:sz w:val="24"/>
          <w:szCs w:val="20"/>
        </w:rPr>
      </w:pPr>
      <w:r>
        <w:rPr>
          <w:rFonts w:hint="eastAsia"/>
          <w:b/>
          <w:sz w:val="24"/>
          <w:szCs w:val="20"/>
        </w:rPr>
        <w:t>评分标准</w:t>
      </w:r>
    </w:p>
    <w:tbl>
      <w:tblPr>
        <w:tblStyle w:val="11"/>
        <w:tblW w:w="93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1198"/>
        <w:gridCol w:w="558"/>
        <w:gridCol w:w="6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63" w:type="dxa"/>
          </w:tcPr>
          <w:p>
            <w:pPr>
              <w:jc w:val="center"/>
              <w:rPr>
                <w:rFonts w:ascii="宋体" w:hAnsi="宋体" w:cs="宋体"/>
                <w:b/>
                <w:sz w:val="24"/>
                <w:szCs w:val="20"/>
              </w:rPr>
            </w:pPr>
          </w:p>
        </w:tc>
        <w:tc>
          <w:tcPr>
            <w:tcW w:w="1198"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评审因素</w:t>
            </w:r>
          </w:p>
        </w:tc>
        <w:tc>
          <w:tcPr>
            <w:tcW w:w="558" w:type="dxa"/>
            <w:vAlign w:val="center"/>
          </w:tcPr>
          <w:p>
            <w:pPr>
              <w:spacing w:line="360" w:lineRule="auto"/>
              <w:ind w:left="-73" w:leftChars="-35" w:right="-80" w:rightChars="-38"/>
              <w:jc w:val="center"/>
              <w:rPr>
                <w:rFonts w:ascii="宋体" w:hAnsi="宋体" w:cs="宋体"/>
                <w:b/>
                <w:color w:val="000000"/>
                <w:sz w:val="20"/>
                <w:szCs w:val="18"/>
              </w:rPr>
            </w:pPr>
            <w:r>
              <w:rPr>
                <w:rFonts w:hint="eastAsia" w:ascii="宋体" w:hAnsi="宋体" w:cs="宋体"/>
                <w:b/>
                <w:color w:val="000000"/>
                <w:sz w:val="20"/>
                <w:szCs w:val="18"/>
              </w:rPr>
              <w:t>分值</w:t>
            </w:r>
          </w:p>
        </w:tc>
        <w:tc>
          <w:tcPr>
            <w:tcW w:w="6780"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4" w:hRule="atLeast"/>
        </w:trPr>
        <w:tc>
          <w:tcPr>
            <w:tcW w:w="863" w:type="dxa"/>
          </w:tcPr>
          <w:p>
            <w:pPr>
              <w:pStyle w:val="2"/>
              <w:spacing w:line="276" w:lineRule="auto"/>
              <w:jc w:val="center"/>
              <w:rPr>
                <w:rFonts w:ascii="宋体" w:hAnsi="宋体" w:cs="宋体"/>
                <w:b/>
                <w:bCs w:val="0"/>
                <w:color w:val="000000"/>
                <w:spacing w:val="0"/>
              </w:rPr>
            </w:pPr>
            <w:r>
              <w:rPr>
                <w:rFonts w:hint="eastAsia" w:ascii="宋体" w:hAnsi="宋体" w:cs="宋体"/>
                <w:b/>
                <w:bCs w:val="0"/>
                <w:color w:val="000000"/>
                <w:spacing w:val="0"/>
              </w:rPr>
              <w:t>商务</w:t>
            </w:r>
          </w:p>
          <w:p>
            <w:pPr>
              <w:spacing w:line="276" w:lineRule="auto"/>
              <w:jc w:val="center"/>
              <w:rPr>
                <w:rFonts w:ascii="宋体" w:hAnsi="宋体" w:cs="宋体"/>
                <w:b/>
                <w:color w:val="000000"/>
                <w:sz w:val="24"/>
              </w:rPr>
            </w:pPr>
            <w:r>
              <w:rPr>
                <w:rFonts w:hint="eastAsia" w:ascii="宋体" w:hAnsi="宋体" w:cs="宋体"/>
                <w:b/>
                <w:color w:val="000000"/>
                <w:sz w:val="24"/>
              </w:rPr>
              <w:t>报价</w:t>
            </w:r>
          </w:p>
          <w:p>
            <w:pPr>
              <w:spacing w:line="276" w:lineRule="auto"/>
              <w:jc w:val="center"/>
              <w:rPr>
                <w:rFonts w:ascii="宋体" w:hAnsi="宋体" w:cs="宋体"/>
                <w:b/>
                <w:bCs/>
                <w:color w:val="000000"/>
                <w:sz w:val="24"/>
              </w:rPr>
            </w:pPr>
            <w:r>
              <w:rPr>
                <w:rFonts w:hint="eastAsia" w:ascii="宋体" w:hAnsi="宋体" w:cs="宋体"/>
                <w:bCs/>
                <w:color w:val="000000"/>
                <w:sz w:val="22"/>
                <w:szCs w:val="21"/>
              </w:rPr>
              <w:t>（30分）</w:t>
            </w:r>
          </w:p>
        </w:tc>
        <w:tc>
          <w:tcPr>
            <w:tcW w:w="1198" w:type="dxa"/>
          </w:tcPr>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报价得分</w:t>
            </w:r>
          </w:p>
        </w:tc>
        <w:tc>
          <w:tcPr>
            <w:tcW w:w="558" w:type="dxa"/>
            <w:vAlign w:val="center"/>
          </w:tcPr>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30</w:t>
            </w:r>
          </w:p>
        </w:tc>
        <w:tc>
          <w:tcPr>
            <w:tcW w:w="6780" w:type="dxa"/>
          </w:tcPr>
          <w:p>
            <w:pPr>
              <w:spacing w:line="276" w:lineRule="auto"/>
              <w:rPr>
                <w:rFonts w:ascii="宋体" w:hAnsi="宋体" w:cs="宋体"/>
                <w:color w:val="000000"/>
              </w:rPr>
            </w:pPr>
            <w:r>
              <w:rPr>
                <w:rFonts w:hint="eastAsia" w:ascii="宋体" w:hAnsi="宋体" w:cs="宋体"/>
                <w:color w:val="000000"/>
              </w:rPr>
              <w:t>综合评分法中的价格分统一采用低价优先法计算，即满足磋商文件要求且最后报价最低的供应商的价格为磋商基准价，其价格分为满分。其他供应商的价格分统一按照下列公式计算：</w:t>
            </w:r>
          </w:p>
          <w:p>
            <w:pPr>
              <w:spacing w:line="276" w:lineRule="auto"/>
              <w:rPr>
                <w:rFonts w:ascii="宋体" w:hAnsi="宋体" w:cs="宋体"/>
                <w:color w:val="000000"/>
              </w:rPr>
            </w:pPr>
            <w:r>
              <w:rPr>
                <w:rFonts w:hint="eastAsia" w:ascii="宋体" w:hAnsi="宋体" w:cs="宋体"/>
                <w:color w:val="000000"/>
              </w:rPr>
              <w:t>磋商报价得分=（磋商基准价/最后磋商报价）×价格权值×100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63" w:type="dxa"/>
            <w:vMerge w:val="restart"/>
            <w:vAlign w:val="center"/>
          </w:tcPr>
          <w:p>
            <w:pPr>
              <w:spacing w:line="276" w:lineRule="auto"/>
              <w:jc w:val="center"/>
              <w:rPr>
                <w:rFonts w:ascii="宋体" w:hAnsi="宋体" w:cs="宋体"/>
                <w:b/>
                <w:bCs/>
                <w:sz w:val="24"/>
                <w:szCs w:val="28"/>
              </w:rPr>
            </w:pPr>
            <w:r>
              <w:rPr>
                <w:rFonts w:hint="eastAsia" w:ascii="宋体" w:hAnsi="宋体" w:cs="宋体"/>
                <w:b/>
                <w:bCs/>
                <w:sz w:val="24"/>
                <w:szCs w:val="28"/>
              </w:rPr>
              <w:t>技</w:t>
            </w:r>
          </w:p>
          <w:p>
            <w:pPr>
              <w:spacing w:line="276" w:lineRule="auto"/>
              <w:jc w:val="center"/>
              <w:rPr>
                <w:rFonts w:ascii="宋体" w:hAnsi="宋体" w:cs="宋体"/>
                <w:b/>
                <w:bCs/>
                <w:sz w:val="24"/>
                <w:szCs w:val="28"/>
              </w:rPr>
            </w:pPr>
            <w:r>
              <w:rPr>
                <w:rFonts w:hint="eastAsia" w:ascii="宋体" w:hAnsi="宋体" w:cs="宋体"/>
                <w:b/>
                <w:bCs/>
                <w:sz w:val="24"/>
                <w:szCs w:val="28"/>
              </w:rPr>
              <w:t>术</w:t>
            </w:r>
          </w:p>
          <w:p>
            <w:pPr>
              <w:spacing w:line="276" w:lineRule="auto"/>
              <w:jc w:val="center"/>
              <w:rPr>
                <w:rFonts w:ascii="宋体" w:hAnsi="宋体" w:cs="宋体"/>
                <w:b/>
                <w:bCs/>
                <w:sz w:val="24"/>
                <w:szCs w:val="28"/>
              </w:rPr>
            </w:pPr>
            <w:r>
              <w:rPr>
                <w:rFonts w:hint="eastAsia" w:ascii="宋体" w:hAnsi="宋体" w:cs="宋体"/>
                <w:b/>
                <w:bCs/>
                <w:sz w:val="24"/>
                <w:szCs w:val="28"/>
              </w:rPr>
              <w:t>服</w:t>
            </w:r>
          </w:p>
          <w:p>
            <w:pPr>
              <w:spacing w:line="276" w:lineRule="auto"/>
              <w:jc w:val="center"/>
              <w:rPr>
                <w:rFonts w:ascii="宋体" w:hAnsi="宋体" w:cs="宋体"/>
                <w:b/>
                <w:bCs/>
                <w:sz w:val="24"/>
                <w:szCs w:val="28"/>
              </w:rPr>
            </w:pPr>
            <w:r>
              <w:rPr>
                <w:rFonts w:hint="eastAsia" w:ascii="宋体" w:hAnsi="宋体" w:cs="宋体"/>
                <w:b/>
                <w:bCs/>
                <w:sz w:val="24"/>
                <w:szCs w:val="28"/>
              </w:rPr>
              <w:t>务</w:t>
            </w:r>
          </w:p>
          <w:p>
            <w:pPr>
              <w:spacing w:line="276" w:lineRule="auto"/>
              <w:jc w:val="center"/>
              <w:rPr>
                <w:rFonts w:ascii="宋体" w:hAnsi="宋体" w:cs="宋体"/>
                <w:b/>
                <w:bCs/>
                <w:sz w:val="24"/>
                <w:szCs w:val="28"/>
              </w:rPr>
            </w:pPr>
            <w:r>
              <w:rPr>
                <w:rFonts w:hint="eastAsia" w:ascii="宋体" w:hAnsi="宋体" w:cs="宋体"/>
                <w:b/>
                <w:bCs/>
                <w:sz w:val="24"/>
                <w:szCs w:val="28"/>
              </w:rPr>
              <w:t>评</w:t>
            </w:r>
          </w:p>
          <w:p>
            <w:pPr>
              <w:spacing w:line="276" w:lineRule="auto"/>
              <w:jc w:val="center"/>
              <w:rPr>
                <w:rFonts w:ascii="宋体" w:hAnsi="宋体" w:cs="宋体"/>
                <w:b/>
                <w:bCs/>
                <w:sz w:val="24"/>
                <w:szCs w:val="28"/>
              </w:rPr>
            </w:pPr>
            <w:r>
              <w:rPr>
                <w:rFonts w:hint="eastAsia" w:ascii="宋体" w:hAnsi="宋体" w:cs="宋体"/>
                <w:b/>
                <w:bCs/>
                <w:sz w:val="24"/>
                <w:szCs w:val="28"/>
              </w:rPr>
              <w:t>议</w:t>
            </w:r>
          </w:p>
          <w:p>
            <w:pPr>
              <w:pStyle w:val="2"/>
              <w:rPr>
                <w:rFonts w:ascii="宋体" w:hAnsi="宋体" w:cs="宋体"/>
              </w:rPr>
            </w:pPr>
            <w:r>
              <w:rPr>
                <w:rFonts w:hint="eastAsia" w:ascii="宋体" w:hAnsi="宋体" w:cs="宋体"/>
                <w:bCs w:val="0"/>
                <w:color w:val="000000"/>
                <w:sz w:val="21"/>
                <w:szCs w:val="20"/>
              </w:rPr>
              <w:t>（60分）</w:t>
            </w: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施工方案</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施工重点难点分析</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质量保障措施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安全、文明管理体系与措施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9"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施工环保措施计划、减少噪音、降低环境污染</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工程进度保障措施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供应商的工程进度保障措施完善合理，且完全符合项目特点得6分；工程进度保障措施较合理得3-5分；工程进度保障措施基本合理得0-2分。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资源配备计划</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6780" w:type="dxa"/>
          </w:tcPr>
          <w:p>
            <w:pPr>
              <w:spacing w:line="276" w:lineRule="auto"/>
              <w:rPr>
                <w:rFonts w:ascii="宋体" w:hAnsi="宋体" w:cs="宋体"/>
                <w:color w:val="000000"/>
              </w:rPr>
            </w:pPr>
            <w:r>
              <w:rPr>
                <w:rFonts w:hint="eastAsia" w:ascii="宋体" w:hAnsi="宋体" w:cs="宋体"/>
                <w:color w:val="000000"/>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质量服务承诺</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4</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供应商有保证工程质量的承诺且有具体的经济处罚措施的的得4分，没有得0分。（提供承诺书原件并加盖公章）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售后服务承诺</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1.供应商有明确的售后服务措施（包括质保期和故障响应时间），且承诺具体可行，具有一定优势，最高得3分；</w:t>
            </w:r>
          </w:p>
          <w:p>
            <w:pPr>
              <w:spacing w:line="276" w:lineRule="auto"/>
              <w:rPr>
                <w:rFonts w:ascii="宋体" w:hAnsi="宋体" w:cs="宋体"/>
                <w:color w:val="000000"/>
              </w:rPr>
            </w:pPr>
            <w:r>
              <w:rPr>
                <w:rFonts w:hint="eastAsia" w:ascii="宋体" w:hAnsi="宋体" w:cs="宋体"/>
                <w:color w:val="000000"/>
              </w:rPr>
              <w:t>2.供应商有售后质保承诺的得3分，否则不得分。（提供承诺书原件并加盖公章）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技术分合计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60分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restart"/>
            <w:vAlign w:val="center"/>
          </w:tcPr>
          <w:p>
            <w:pPr>
              <w:spacing w:line="276" w:lineRule="auto"/>
              <w:jc w:val="center"/>
              <w:rPr>
                <w:rFonts w:ascii="宋体" w:hAnsi="宋体" w:cs="宋体"/>
              </w:rPr>
            </w:pPr>
            <w:r>
              <w:rPr>
                <w:rFonts w:hint="eastAsia" w:ascii="宋体" w:hAnsi="宋体" w:cs="宋体"/>
              </w:rPr>
              <w:t>综</w:t>
            </w:r>
          </w:p>
          <w:p>
            <w:pPr>
              <w:spacing w:line="276" w:lineRule="auto"/>
              <w:jc w:val="center"/>
              <w:rPr>
                <w:rFonts w:ascii="宋体" w:hAnsi="宋体" w:cs="宋体"/>
              </w:rPr>
            </w:pPr>
            <w:r>
              <w:rPr>
                <w:rFonts w:hint="eastAsia" w:ascii="宋体" w:hAnsi="宋体" w:cs="宋体"/>
              </w:rPr>
              <w:t>合</w:t>
            </w:r>
          </w:p>
          <w:p>
            <w:pPr>
              <w:spacing w:line="276" w:lineRule="auto"/>
              <w:jc w:val="center"/>
              <w:rPr>
                <w:rFonts w:ascii="宋体" w:hAnsi="宋体" w:cs="宋体"/>
              </w:rPr>
            </w:pPr>
            <w:r>
              <w:rPr>
                <w:rFonts w:hint="eastAsia" w:ascii="宋体" w:hAnsi="宋体" w:cs="宋体"/>
              </w:rPr>
              <w:t>评</w:t>
            </w:r>
          </w:p>
          <w:p>
            <w:pPr>
              <w:spacing w:line="276" w:lineRule="auto"/>
              <w:jc w:val="center"/>
              <w:rPr>
                <w:rFonts w:ascii="宋体" w:hAnsi="宋体" w:cs="宋体"/>
              </w:rPr>
            </w:pPr>
            <w:r>
              <w:rPr>
                <w:rFonts w:hint="eastAsia" w:ascii="宋体" w:hAnsi="宋体" w:cs="宋体"/>
              </w:rPr>
              <w:t>议</w:t>
            </w:r>
          </w:p>
          <w:p>
            <w:pPr>
              <w:spacing w:line="276" w:lineRule="auto"/>
              <w:jc w:val="center"/>
              <w:rPr>
                <w:rFonts w:ascii="宋体" w:hAnsi="宋体" w:cs="宋体"/>
                <w:b/>
                <w:sz w:val="24"/>
                <w:szCs w:val="20"/>
              </w:rPr>
            </w:pPr>
            <w:r>
              <w:rPr>
                <w:rFonts w:hint="eastAsia" w:ascii="宋体" w:hAnsi="宋体" w:cs="宋体"/>
              </w:rPr>
              <w:t>（10分）</w:t>
            </w:r>
          </w:p>
        </w:tc>
        <w:tc>
          <w:tcPr>
            <w:tcW w:w="1198" w:type="dxa"/>
            <w:vAlign w:val="center"/>
          </w:tcPr>
          <w:p>
            <w:pPr>
              <w:spacing w:line="300" w:lineRule="auto"/>
              <w:ind w:left="-105" w:leftChars="-50" w:right="-105" w:rightChars="-50"/>
              <w:jc w:val="center"/>
              <w:rPr>
                <w:rFonts w:hint="default" w:ascii="宋体" w:hAnsi="宋体" w:eastAsia="宋体" w:cs="宋体"/>
                <w:color w:val="000000"/>
                <w:lang w:val="en-US" w:eastAsia="zh-CN"/>
              </w:rPr>
            </w:pPr>
            <w:r>
              <w:rPr>
                <w:rFonts w:hint="eastAsia" w:ascii="宋体" w:hAnsi="宋体" w:cs="宋体"/>
                <w:color w:val="000000"/>
                <w:lang w:val="en-US" w:eastAsia="zh-CN"/>
              </w:rPr>
              <w:t>团队实力</w:t>
            </w:r>
          </w:p>
        </w:tc>
        <w:tc>
          <w:tcPr>
            <w:tcW w:w="558" w:type="dxa"/>
            <w:vAlign w:val="center"/>
          </w:tcPr>
          <w:p>
            <w:pPr>
              <w:spacing w:line="240" w:lineRule="exact"/>
              <w:ind w:left="-105" w:leftChars="-50" w:right="-105" w:rightChars="-5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6780" w:type="dxa"/>
            <w:vAlign w:val="center"/>
          </w:tcPr>
          <w:p>
            <w:pPr>
              <w:spacing w:line="276" w:lineRule="auto"/>
              <w:rPr>
                <w:rFonts w:ascii="宋体" w:hAnsi="宋体" w:cs="宋体"/>
                <w:color w:val="000000"/>
              </w:rPr>
            </w:pPr>
            <w:r>
              <w:rPr>
                <w:rFonts w:hint="eastAsia" w:ascii="宋体" w:hAnsi="宋体" w:eastAsia="宋体" w:cs="宋体"/>
              </w:rPr>
              <w:t>供应商拟投入项目经理具有市政工程类专业中级及以上技术职称0.5分，本科及以上学历0.5分；项目技术负责人具有具有市政工程类专业中级及以上技术职称0.5分</w:t>
            </w:r>
            <w:r>
              <w:rPr>
                <w:rFonts w:hint="eastAsia" w:ascii="宋体" w:hAnsi="宋体" w:eastAsia="宋体" w:cs="宋体"/>
                <w:lang w:eastAsia="zh-CN"/>
              </w:rPr>
              <w:t>，</w:t>
            </w:r>
            <w:r>
              <w:rPr>
                <w:rFonts w:hint="eastAsia" w:ascii="宋体" w:hAnsi="宋体" w:eastAsia="宋体" w:cs="宋体"/>
              </w:rPr>
              <w:t>本科及以上学历0.5分；</w:t>
            </w:r>
            <w:r>
              <w:rPr>
                <w:rFonts w:hint="eastAsia" w:ascii="宋体" w:hAnsi="宋体" w:eastAsia="宋体" w:cs="宋体"/>
                <w:lang w:eastAsia="zh-CN"/>
              </w:rPr>
              <w:t>（</w:t>
            </w:r>
            <w:r>
              <w:rPr>
                <w:rFonts w:hint="eastAsia" w:ascii="宋体" w:hAnsi="宋体" w:eastAsia="宋体" w:cs="宋体"/>
              </w:rPr>
              <w:t>提供相关证明文件原件真彩扫描件</w:t>
            </w:r>
            <w:r>
              <w:rPr>
                <w:rFonts w:hint="eastAsia" w:ascii="宋体" w:hAnsi="宋体" w:eastAsia="宋体" w:cs="宋体"/>
                <w:lang w:eastAsia="zh-CN"/>
              </w:rPr>
              <w:t>，</w:t>
            </w:r>
            <w:r>
              <w:rPr>
                <w:rFonts w:hint="eastAsia" w:ascii="宋体" w:hAnsi="宋体" w:eastAsia="宋体" w:cs="宋体"/>
              </w:rPr>
              <w:t>并加盖公章予以证明</w:t>
            </w:r>
            <w:r>
              <w:rPr>
                <w:rFonts w:hint="eastAsia" w:ascii="宋体" w:hAnsi="宋体" w:eastAsia="宋体" w:cs="宋体"/>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hint="eastAsia" w:ascii="宋体" w:hAnsi="宋体" w:eastAsia="宋体" w:cs="宋体"/>
                <w:color w:val="000000"/>
                <w:lang w:eastAsia="zh-CN"/>
              </w:rPr>
            </w:pPr>
            <w:r>
              <w:rPr>
                <w:rFonts w:hint="eastAsia" w:ascii="宋体" w:hAnsi="宋体" w:cs="宋体"/>
                <w:color w:val="000000"/>
                <w:lang w:val="en-US" w:eastAsia="zh-CN"/>
              </w:rPr>
              <w:t>奖项</w:t>
            </w:r>
          </w:p>
        </w:tc>
        <w:tc>
          <w:tcPr>
            <w:tcW w:w="558" w:type="dxa"/>
            <w:vAlign w:val="center"/>
          </w:tcPr>
          <w:p>
            <w:pPr>
              <w:spacing w:line="300" w:lineRule="auto"/>
              <w:ind w:left="-105" w:leftChars="-50" w:right="-105" w:rightChars="-5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6780" w:type="dxa"/>
            <w:vAlign w:val="center"/>
          </w:tcPr>
          <w:p>
            <w:pPr>
              <w:spacing w:line="276" w:lineRule="auto"/>
              <w:rPr>
                <w:rFonts w:hint="eastAsia" w:ascii="宋体" w:hAnsi="宋体" w:eastAsia="宋体" w:cs="宋体"/>
                <w:color w:val="000000"/>
                <w:lang w:eastAsia="zh-CN"/>
              </w:rPr>
            </w:pPr>
            <w:r>
              <w:rPr>
                <w:rFonts w:hint="eastAsia" w:ascii="宋体" w:hAnsi="宋体" w:eastAsia="宋体" w:cs="宋体"/>
              </w:rPr>
              <w:t>投标人近三年获得省级及以上的优质工程奖或安全文明施工现场奖的每项得2分，最高得4分。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相关承诺</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3</w:t>
            </w:r>
          </w:p>
        </w:tc>
        <w:tc>
          <w:tcPr>
            <w:tcW w:w="6780" w:type="dxa"/>
            <w:vAlign w:val="center"/>
          </w:tcPr>
          <w:p>
            <w:pPr>
              <w:spacing w:line="320" w:lineRule="exact"/>
              <w:rPr>
                <w:rFonts w:ascii="宋体" w:hAnsi="宋体" w:cs="宋体"/>
                <w:color w:val="000000"/>
              </w:rPr>
            </w:pPr>
            <w:r>
              <w:rPr>
                <w:rFonts w:hint="eastAsia" w:ascii="宋体" w:hAnsi="宋体" w:cs="宋体"/>
                <w:color w:val="000000"/>
              </w:rPr>
              <w:t>1.供应商承诺施工过程中不随意更换项目经理、技术负责人得1分，否则得 0 分；</w:t>
            </w:r>
          </w:p>
          <w:p>
            <w:pPr>
              <w:spacing w:line="320" w:lineRule="exact"/>
              <w:rPr>
                <w:rFonts w:ascii="宋体" w:hAnsi="宋体" w:cs="宋体"/>
                <w:color w:val="000000"/>
              </w:rPr>
            </w:pPr>
            <w:r>
              <w:rPr>
                <w:rFonts w:hint="eastAsia" w:ascii="宋体" w:hAnsi="宋体" w:cs="宋体"/>
                <w:color w:val="000000"/>
              </w:rPr>
              <w:t>2.供应商承诺创建优质工程并有相应完善的管理措施的得 1分，否则得 0 分；</w:t>
            </w:r>
          </w:p>
          <w:p>
            <w:pPr>
              <w:spacing w:line="320" w:lineRule="exact"/>
              <w:rPr>
                <w:rFonts w:ascii="宋体" w:hAnsi="宋体" w:cs="宋体"/>
                <w:color w:val="000000"/>
              </w:rPr>
            </w:pPr>
            <w:r>
              <w:rPr>
                <w:rFonts w:hint="eastAsia" w:ascii="宋体" w:hAnsi="宋体" w:cs="宋体"/>
                <w:color w:val="000000"/>
              </w:rPr>
              <w:t>3.供应商承诺施工过程中保障施工人员权益（包括但不限于不拖欠施工人员工资、保障施工人员福利等）的得1分，否则得 0 分。</w:t>
            </w:r>
          </w:p>
          <w:p>
            <w:pPr>
              <w:spacing w:line="276" w:lineRule="auto"/>
              <w:rPr>
                <w:rFonts w:ascii="宋体" w:hAnsi="宋体" w:cs="宋体"/>
                <w:color w:val="000000"/>
              </w:rPr>
            </w:pPr>
            <w:r>
              <w:rPr>
                <w:rFonts w:hint="eastAsia" w:ascii="宋体" w:hAnsi="宋体" w:cs="宋体"/>
                <w:color w:val="000000"/>
              </w:rPr>
              <w:t>（提供以上承诺书原件并加盖公章）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磋商响应文件的完整性</w:t>
            </w:r>
          </w:p>
        </w:tc>
        <w:tc>
          <w:tcPr>
            <w:tcW w:w="558" w:type="dxa"/>
            <w:vAlign w:val="center"/>
          </w:tcPr>
          <w:p>
            <w:pPr>
              <w:spacing w:line="300" w:lineRule="auto"/>
              <w:ind w:left="-105" w:leftChars="-50" w:right="-105" w:rightChars="-5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6780" w:type="dxa"/>
            <w:vAlign w:val="center"/>
          </w:tcPr>
          <w:p>
            <w:pPr>
              <w:spacing w:line="276" w:lineRule="auto"/>
              <w:rPr>
                <w:rFonts w:ascii="宋体" w:hAnsi="宋体" w:cs="宋体"/>
                <w:color w:val="000000"/>
              </w:rPr>
            </w:pPr>
            <w:r>
              <w:rPr>
                <w:rFonts w:hint="eastAsia" w:ascii="宋体" w:hAnsi="宋体" w:cs="宋体"/>
                <w:color w:val="000000"/>
              </w:rPr>
              <w:t>磋商响应文件全面响应磋商文件要求，编制完整、非活页装订，且有详细目录、连续页码、目录与有关材料装订顺序对应清晰、查阅方便得</w:t>
            </w:r>
            <w:r>
              <w:rPr>
                <w:rFonts w:hint="eastAsia" w:ascii="宋体" w:hAnsi="宋体" w:cs="宋体"/>
                <w:color w:val="000000"/>
                <w:lang w:val="en-US" w:eastAsia="zh-CN"/>
              </w:rPr>
              <w:t>1</w:t>
            </w:r>
            <w:r>
              <w:rPr>
                <w:rFonts w:hint="eastAsia" w:ascii="宋体" w:hAnsi="宋体" w:cs="宋体"/>
                <w:color w:val="000000"/>
              </w:rPr>
              <w:t>分。编排杂乱无章、叙述答非所问、资料残缺不全、资料模糊不清、前后不一致等，每处扣0.5分，扣完为止，活页装订不得分；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商务分合计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得分总计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100分</w:t>
            </w:r>
          </w:p>
        </w:tc>
      </w:tr>
    </w:tbl>
    <w:p>
      <w:pPr>
        <w:rPr>
          <w:b/>
          <w:color w:val="000000"/>
        </w:rPr>
      </w:pPr>
      <w:r>
        <w:rPr>
          <w:rFonts w:hint="eastAsia"/>
          <w:b/>
          <w:color w:val="000000"/>
        </w:rPr>
        <w:t>备注：</w:t>
      </w:r>
    </w:p>
    <w:p>
      <w:pPr>
        <w:spacing w:line="300" w:lineRule="exact"/>
        <w:rPr>
          <w:rFonts w:ascii="宋体" w:hAnsi="宋体" w:cs="宋体"/>
          <w:bCs/>
          <w:color w:val="000000"/>
        </w:rPr>
      </w:pPr>
      <w:r>
        <w:rPr>
          <w:rFonts w:hint="eastAsia" w:ascii="宋体" w:hAnsi="宋体" w:cs="宋体"/>
          <w:bCs/>
          <w:color w:val="00000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00" w:lineRule="exact"/>
        <w:rPr>
          <w:rFonts w:ascii="宋体" w:hAnsi="宋体" w:cs="宋体"/>
          <w:bCs/>
          <w:color w:val="000000"/>
        </w:rPr>
      </w:pPr>
      <w:r>
        <w:rPr>
          <w:rFonts w:hint="eastAsia" w:ascii="宋体" w:hAnsi="宋体" w:cs="宋体"/>
          <w:bCs/>
          <w:color w:val="000000"/>
        </w:rPr>
        <w:t>2、商务标计算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spacing w:line="300" w:lineRule="exact"/>
        <w:rPr>
          <w:rFonts w:hint="eastAsia" w:ascii="宋体" w:hAnsi="宋体" w:cs="宋体"/>
          <w:bCs/>
          <w:color w:val="000000"/>
        </w:rPr>
      </w:pPr>
      <w:r>
        <w:rPr>
          <w:rFonts w:hint="eastAsia" w:ascii="宋体" w:hAnsi="宋体" w:cs="宋体"/>
          <w:bCs/>
          <w:color w:val="000000"/>
        </w:rPr>
        <w:t>3、如供应商的最终报价低于采购预算的90%，磋商小组可启动磋商报价低于成本问询程序：要求供应商作出书面说明并提供相关证明材料，如供应商在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pStyle w:val="2"/>
        <w:rPr>
          <w:rFonts w:hint="eastAsia" w:ascii="宋体" w:hAnsi="宋体" w:cs="宋体"/>
          <w:bCs/>
          <w:color w:val="000000"/>
        </w:rPr>
      </w:pPr>
    </w:p>
    <w:p>
      <w:pPr>
        <w:pStyle w:val="2"/>
        <w:rPr>
          <w:rFonts w:hint="eastAsia" w:ascii="宋体" w:hAnsi="宋体" w:cs="宋体"/>
          <w:bCs/>
          <w:color w:val="000000"/>
        </w:rPr>
      </w:pPr>
    </w:p>
    <w:p>
      <w:pPr>
        <w:pStyle w:val="2"/>
        <w:rPr>
          <w:rFonts w:hint="eastAsia" w:ascii="宋体" w:hAnsi="宋体" w:cs="宋体"/>
          <w:bCs/>
          <w:color w:val="000000"/>
        </w:rPr>
      </w:pPr>
    </w:p>
    <w:p>
      <w:pPr>
        <w:pStyle w:val="2"/>
        <w:rPr>
          <w:rFonts w:hint="eastAsia" w:ascii="宋体" w:hAnsi="宋体" w:cs="宋体"/>
          <w:bCs/>
          <w:color w:val="000000"/>
        </w:rPr>
      </w:pPr>
    </w:p>
    <w:p>
      <w:pPr>
        <w:pStyle w:val="2"/>
        <w:rPr>
          <w:rFonts w:hint="eastAsia" w:ascii="宋体" w:hAnsi="宋体" w:cs="宋体"/>
          <w:bCs/>
          <w:color w:val="000000"/>
        </w:rPr>
      </w:pPr>
    </w:p>
    <w:p>
      <w:pPr>
        <w:adjustRightInd w:val="0"/>
        <w:snapToGrid w:val="0"/>
        <w:spacing w:line="320" w:lineRule="exact"/>
        <w:jc w:val="left"/>
        <w:rPr>
          <w:sz w:val="24"/>
          <w:szCs w:val="24"/>
          <w:highlight w:val="none"/>
        </w:rPr>
      </w:pPr>
      <w:r>
        <w:rPr>
          <w:sz w:val="24"/>
          <w:szCs w:val="24"/>
          <w:highlight w:val="none"/>
        </w:rPr>
        <w:t>附件</w:t>
      </w:r>
      <w:r>
        <w:rPr>
          <w:rFonts w:hint="eastAsia"/>
          <w:sz w:val="24"/>
          <w:szCs w:val="24"/>
          <w:highlight w:val="none"/>
        </w:rPr>
        <w:t>二</w:t>
      </w:r>
      <w:r>
        <w:rPr>
          <w:sz w:val="24"/>
          <w:szCs w:val="24"/>
          <w:highlight w:val="none"/>
        </w:rPr>
        <w:t>：供应商报名表：</w:t>
      </w:r>
    </w:p>
    <w:p>
      <w:pPr>
        <w:spacing w:line="320" w:lineRule="exact"/>
        <w:jc w:val="center"/>
        <w:rPr>
          <w:sz w:val="32"/>
          <w:szCs w:val="32"/>
          <w:highlight w:val="none"/>
        </w:rPr>
      </w:pPr>
      <w:r>
        <w:rPr>
          <w:rFonts w:hint="eastAsia"/>
          <w:sz w:val="32"/>
          <w:szCs w:val="32"/>
          <w:highlight w:val="none"/>
        </w:rPr>
        <w:t>供应商报名表</w:t>
      </w:r>
    </w:p>
    <w:p>
      <w:pPr>
        <w:spacing w:line="320" w:lineRule="exact"/>
        <w:rPr>
          <w:sz w:val="24"/>
          <w:highlight w:val="none"/>
        </w:rPr>
      </w:pPr>
      <w:r>
        <w:rPr>
          <w:rFonts w:hint="eastAsia"/>
          <w:sz w:val="24"/>
          <w:highlight w:val="none"/>
        </w:rPr>
        <w:t>项目编号：</w:t>
      </w:r>
      <w:r>
        <w:rPr>
          <w:rFonts w:hint="eastAsia"/>
          <w:sz w:val="24"/>
          <w:highlight w:val="none"/>
          <w:u w:val="single"/>
        </w:rPr>
        <w:t xml:space="preserve">                </w:t>
      </w:r>
      <w:r>
        <w:rPr>
          <w:rFonts w:hint="eastAsia"/>
          <w:sz w:val="24"/>
          <w:highlight w:val="none"/>
        </w:rPr>
        <w:t xml:space="preserve">                 项目名称：  </w:t>
      </w:r>
      <w:r>
        <w:rPr>
          <w:rFonts w:hint="eastAsia"/>
          <w:sz w:val="24"/>
          <w:highlight w:val="none"/>
          <w:u w:val="single"/>
        </w:rPr>
        <w:t xml:space="preserve">                </w:t>
      </w:r>
      <w:r>
        <w:rPr>
          <w:rFonts w:hint="eastAsia"/>
          <w:sz w:val="24"/>
          <w:highlight w:val="none"/>
        </w:rPr>
        <w:t xml:space="preserve">                       </w:t>
      </w:r>
    </w:p>
    <w:tbl>
      <w:tblPr>
        <w:tblStyle w:val="11"/>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99" w:type="dxa"/>
            <w:tcBorders>
              <w:top w:val="single" w:color="auto" w:sz="4" w:space="0"/>
              <w:left w:val="single" w:color="auto" w:sz="4" w:space="0"/>
              <w:bottom w:val="single" w:color="auto" w:sz="4" w:space="0"/>
              <w:right w:val="single" w:color="auto" w:sz="4" w:space="0"/>
            </w:tcBorders>
            <w:vAlign w:val="center"/>
          </w:tcPr>
          <w:p>
            <w:pPr>
              <w:spacing w:line="320" w:lineRule="exact"/>
              <w:rPr>
                <w:highlight w:val="none"/>
              </w:rPr>
            </w:pPr>
            <w:r>
              <w:rPr>
                <w:rFonts w:hint="eastAsia"/>
                <w:highlight w:val="none"/>
              </w:rPr>
              <w:t>供应商名称</w:t>
            </w:r>
          </w:p>
          <w:p>
            <w:pPr>
              <w:spacing w:line="320" w:lineRule="exact"/>
              <w:rPr>
                <w:highlight w:val="none"/>
              </w:rPr>
            </w:pPr>
            <w:r>
              <w:rPr>
                <w:rFonts w:hint="eastAsia"/>
                <w:highlight w:val="none"/>
              </w:rPr>
              <w:t>（盖章）</w:t>
            </w:r>
          </w:p>
        </w:tc>
        <w:tc>
          <w:tcPr>
            <w:tcW w:w="85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exact"/>
              <w:jc w:val="left"/>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exact"/>
              <w:jc w:val="left"/>
              <w:rPr>
                <w:rFonts w:ascii="宋体" w:hAnsi="宋体" w:cs="宋体"/>
                <w:kern w:val="0"/>
                <w:szCs w:val="21"/>
                <w:highlight w:val="none"/>
              </w:rPr>
            </w:pPr>
            <w:r>
              <w:rPr>
                <w:rFonts w:hint="eastAsia" w:ascii="宋体" w:hAnsi="宋体" w:cs="宋体"/>
                <w:kern w:val="0"/>
                <w:szCs w:val="21"/>
                <w:highlight w:val="none"/>
              </w:rPr>
              <w:t>联系人姓名</w:t>
            </w:r>
          </w:p>
        </w:tc>
        <w:tc>
          <w:tcPr>
            <w:tcW w:w="85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exact"/>
              <w:jc w:val="left"/>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tcBorders>
              <w:top w:val="single" w:color="auto" w:sz="4" w:space="0"/>
              <w:left w:val="single" w:color="auto" w:sz="4" w:space="0"/>
              <w:bottom w:val="single" w:color="auto" w:sz="4" w:space="0"/>
              <w:right w:val="single" w:color="auto" w:sz="4" w:space="0"/>
            </w:tcBorders>
            <w:vAlign w:val="center"/>
          </w:tcPr>
          <w:p>
            <w:pPr>
              <w:spacing w:line="320" w:lineRule="exact"/>
              <w:rPr>
                <w:highlight w:val="none"/>
              </w:rPr>
            </w:pPr>
            <w:r>
              <w:rPr>
                <w:rFonts w:hint="eastAsia"/>
                <w:highlight w:val="none"/>
              </w:rPr>
              <w:t>联系电话</w:t>
            </w:r>
          </w:p>
        </w:tc>
        <w:tc>
          <w:tcPr>
            <w:tcW w:w="85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exact"/>
              <w:jc w:val="left"/>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exact"/>
              <w:jc w:val="left"/>
              <w:rPr>
                <w:rFonts w:ascii="宋体" w:hAnsi="宋体" w:cs="宋体"/>
                <w:kern w:val="0"/>
                <w:szCs w:val="21"/>
                <w:highlight w:val="none"/>
              </w:rPr>
            </w:pPr>
            <w:r>
              <w:rPr>
                <w:rFonts w:hint="eastAsia" w:ascii="宋体" w:hAnsi="宋体" w:cs="宋体"/>
                <w:kern w:val="0"/>
                <w:szCs w:val="21"/>
                <w:highlight w:val="none"/>
              </w:rPr>
              <w:t>联系人邮箱</w:t>
            </w:r>
          </w:p>
        </w:tc>
        <w:tc>
          <w:tcPr>
            <w:tcW w:w="85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exact"/>
              <w:jc w:val="left"/>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20" w:lineRule="exact"/>
              <w:jc w:val="left"/>
              <w:rPr>
                <w:rFonts w:ascii="宋体" w:hAnsi="宋体" w:cs="宋体"/>
                <w:kern w:val="0"/>
                <w:szCs w:val="21"/>
                <w:highlight w:val="none"/>
              </w:rPr>
            </w:pPr>
            <w:r>
              <w:rPr>
                <w:rFonts w:hint="eastAsia" w:ascii="宋体" w:hAnsi="宋体" w:cs="宋体"/>
                <w:kern w:val="0"/>
                <w:szCs w:val="21"/>
                <w:highlight w:val="none"/>
              </w:rPr>
              <w:t>供应商提供的报名资料</w:t>
            </w:r>
          </w:p>
        </w:tc>
        <w:tc>
          <w:tcPr>
            <w:tcW w:w="8576"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szCs w:val="21"/>
                <w:highlight w:val="none"/>
              </w:rPr>
            </w:pPr>
            <w:r>
              <w:rPr>
                <w:rFonts w:hint="eastAsia" w:ascii="宋体" w:hAnsi="宋体"/>
                <w:szCs w:val="21"/>
                <w:highlight w:val="none"/>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vMerge w:val="continue"/>
            <w:tcBorders>
              <w:left w:val="single" w:color="auto" w:sz="4" w:space="0"/>
              <w:right w:val="single" w:color="auto" w:sz="4" w:space="0"/>
            </w:tcBorders>
            <w:vAlign w:val="center"/>
          </w:tcPr>
          <w:p>
            <w:pPr>
              <w:widowControl/>
              <w:spacing w:line="320" w:lineRule="exact"/>
              <w:jc w:val="left"/>
              <w:rPr>
                <w:rFonts w:ascii="宋体" w:hAnsi="宋体" w:cs="宋体"/>
                <w:kern w:val="0"/>
                <w:szCs w:val="21"/>
                <w:highlight w:val="none"/>
              </w:rPr>
            </w:pPr>
          </w:p>
        </w:tc>
        <w:tc>
          <w:tcPr>
            <w:tcW w:w="8576"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szCs w:val="21"/>
                <w:highlight w:val="none"/>
              </w:rPr>
            </w:pPr>
            <w:r>
              <w:rPr>
                <w:rFonts w:hint="eastAsia" w:ascii="宋体" w:hAnsi="宋体"/>
                <w:szCs w:val="21"/>
                <w:highlight w:val="none"/>
              </w:rPr>
              <w:t>2.财务状况报告，依法缴纳税收和社会保障资金的相关材料。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vMerge w:val="continue"/>
            <w:tcBorders>
              <w:left w:val="single" w:color="auto" w:sz="4" w:space="0"/>
              <w:right w:val="single" w:color="auto" w:sz="4" w:space="0"/>
            </w:tcBorders>
            <w:vAlign w:val="center"/>
          </w:tcPr>
          <w:p>
            <w:pPr>
              <w:widowControl/>
              <w:spacing w:line="320" w:lineRule="exact"/>
              <w:jc w:val="left"/>
              <w:rPr>
                <w:rFonts w:ascii="宋体" w:hAnsi="宋体" w:cs="宋体"/>
                <w:kern w:val="0"/>
                <w:szCs w:val="21"/>
                <w:highlight w:val="none"/>
              </w:rPr>
            </w:pPr>
          </w:p>
        </w:tc>
        <w:tc>
          <w:tcPr>
            <w:tcW w:w="8576"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szCs w:val="21"/>
                <w:highlight w:val="none"/>
              </w:rPr>
            </w:pPr>
            <w:r>
              <w:rPr>
                <w:rFonts w:hint="eastAsia" w:ascii="宋体" w:hAnsi="宋体"/>
                <w:szCs w:val="21"/>
                <w:highlight w:val="none"/>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vMerge w:val="continue"/>
            <w:tcBorders>
              <w:left w:val="single" w:color="auto" w:sz="4" w:space="0"/>
              <w:right w:val="single" w:color="auto" w:sz="4" w:space="0"/>
            </w:tcBorders>
            <w:vAlign w:val="center"/>
          </w:tcPr>
          <w:p>
            <w:pPr>
              <w:widowControl/>
              <w:spacing w:line="320" w:lineRule="exact"/>
              <w:jc w:val="left"/>
              <w:rPr>
                <w:rFonts w:ascii="宋体" w:hAnsi="宋体" w:cs="宋体"/>
                <w:kern w:val="0"/>
                <w:szCs w:val="21"/>
                <w:highlight w:val="none"/>
              </w:rPr>
            </w:pPr>
          </w:p>
        </w:tc>
        <w:tc>
          <w:tcPr>
            <w:tcW w:w="8576"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szCs w:val="21"/>
                <w:highlight w:val="none"/>
              </w:rPr>
            </w:pPr>
            <w:r>
              <w:rPr>
                <w:rFonts w:hint="eastAsia" w:ascii="宋体" w:hAnsi="宋体"/>
                <w:szCs w:val="21"/>
                <w:highlight w:val="none"/>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vMerge w:val="continue"/>
            <w:tcBorders>
              <w:left w:val="single" w:color="auto" w:sz="4" w:space="0"/>
              <w:right w:val="single" w:color="auto" w:sz="4" w:space="0"/>
            </w:tcBorders>
            <w:vAlign w:val="center"/>
          </w:tcPr>
          <w:p>
            <w:pPr>
              <w:widowControl/>
              <w:spacing w:line="320" w:lineRule="exact"/>
              <w:jc w:val="left"/>
              <w:rPr>
                <w:rFonts w:ascii="宋体" w:hAnsi="宋体" w:cs="宋体"/>
                <w:kern w:val="0"/>
                <w:szCs w:val="21"/>
                <w:highlight w:val="none"/>
              </w:rPr>
            </w:pPr>
          </w:p>
        </w:tc>
        <w:tc>
          <w:tcPr>
            <w:tcW w:w="8576"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szCs w:val="21"/>
                <w:highlight w:val="none"/>
              </w:rPr>
            </w:pPr>
            <w:r>
              <w:rPr>
                <w:rFonts w:hint="eastAsia" w:ascii="宋体" w:hAnsi="宋体"/>
                <w:szCs w:val="21"/>
                <w:highlight w:val="none"/>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99" w:type="dxa"/>
            <w:vMerge w:val="continue"/>
            <w:tcBorders>
              <w:left w:val="single" w:color="auto" w:sz="4" w:space="0"/>
              <w:right w:val="single" w:color="auto" w:sz="4" w:space="0"/>
            </w:tcBorders>
            <w:vAlign w:val="center"/>
          </w:tcPr>
          <w:p>
            <w:pPr>
              <w:widowControl/>
              <w:spacing w:line="320" w:lineRule="exact"/>
              <w:jc w:val="left"/>
              <w:rPr>
                <w:rFonts w:ascii="宋体" w:hAnsi="宋体" w:cs="宋体"/>
                <w:kern w:val="0"/>
                <w:szCs w:val="21"/>
                <w:highlight w:val="none"/>
              </w:rPr>
            </w:pPr>
          </w:p>
        </w:tc>
        <w:tc>
          <w:tcPr>
            <w:tcW w:w="8576"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szCs w:val="21"/>
                <w:highlight w:val="none"/>
              </w:rPr>
            </w:pPr>
            <w:r>
              <w:rPr>
                <w:rFonts w:hint="eastAsia" w:ascii="宋体" w:hAnsi="宋体"/>
                <w:szCs w:val="21"/>
                <w:highlight w:val="none"/>
              </w:rPr>
              <w:t>6.未被列入 “信用中国”网站（www.creditchina.gov.cn）失信被执行人、重大税收违法案件当事人名单、政府采购严重违法失信行为记录名单的网页打印件。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5" w:hRule="atLeast"/>
          <w:jc w:val="center"/>
        </w:trPr>
        <w:tc>
          <w:tcPr>
            <w:tcW w:w="1399" w:type="dxa"/>
            <w:vMerge w:val="continue"/>
            <w:tcBorders>
              <w:left w:val="single" w:color="auto" w:sz="4" w:space="0"/>
              <w:right w:val="single" w:color="auto" w:sz="4" w:space="0"/>
            </w:tcBorders>
            <w:vAlign w:val="center"/>
          </w:tcPr>
          <w:p>
            <w:pPr>
              <w:widowControl/>
              <w:spacing w:line="320" w:lineRule="exact"/>
              <w:jc w:val="left"/>
              <w:rPr>
                <w:rFonts w:ascii="宋体" w:hAnsi="宋体" w:cs="宋体"/>
                <w:kern w:val="0"/>
                <w:szCs w:val="21"/>
                <w:highlight w:val="none"/>
              </w:rPr>
            </w:pPr>
          </w:p>
        </w:tc>
        <w:tc>
          <w:tcPr>
            <w:tcW w:w="8576" w:type="dxa"/>
            <w:tcBorders>
              <w:top w:val="single" w:color="auto" w:sz="4" w:space="0"/>
              <w:left w:val="single" w:color="auto" w:sz="4" w:space="0"/>
              <w:bottom w:val="single" w:color="auto" w:sz="4" w:space="0"/>
              <w:right w:val="single" w:color="auto" w:sz="4" w:space="0"/>
            </w:tcBorders>
          </w:tcPr>
          <w:p>
            <w:pPr>
              <w:spacing w:line="320" w:lineRule="exact"/>
              <w:rPr>
                <w:rFonts w:hint="eastAsia" w:ascii="宋体" w:hAnsi="宋体"/>
                <w:szCs w:val="21"/>
                <w:highlight w:val="none"/>
              </w:rPr>
            </w:pPr>
            <w:r>
              <w:rPr>
                <w:rFonts w:hint="eastAsia" w:ascii="宋体" w:hAnsi="宋体"/>
                <w:szCs w:val="21"/>
                <w:highlight w:val="none"/>
              </w:rPr>
              <w:t>7.特定条件</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szCs w:val="21"/>
                <w:highlight w:val="none"/>
                <w:lang w:val="en-US" w:eastAsia="zh-CN"/>
              </w:rPr>
            </w:pPr>
            <w:r>
              <w:rPr>
                <w:rFonts w:hint="eastAsia" w:ascii="宋体" w:hAnsi="宋体"/>
                <w:szCs w:val="21"/>
                <w:highlight w:val="none"/>
                <w:lang w:val="en-US" w:eastAsia="zh-CN"/>
              </w:rPr>
              <w:t>（1）本次招标要求申请人须具备市政公用工程施工总承包叁级及以上资质，近三年（投标截止时间往前推36个月）完成过1项市政工程类似业绩（供应商提供的类似项目信息必须同全国建筑市场监管公共服务平台公开的信息一致，须提供相应网站截图、县级以上公共交易服务平台中标公示截图、施工合同、中标通知书及全国建筑市场监管公共服务平台公开的工程竣工验收证明，以竣工时间为准，否则作无效业绩处理），并在人员、设备、资金等方面具有相应的施工能力。</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宋体" w:hAnsi="宋体"/>
                <w:szCs w:val="21"/>
                <w:highlight w:val="none"/>
                <w:lang w:val="en-US" w:eastAsia="zh-CN"/>
              </w:rPr>
            </w:pPr>
            <w:r>
              <w:rPr>
                <w:rFonts w:hint="eastAsia" w:ascii="宋体" w:hAnsi="宋体"/>
                <w:szCs w:val="21"/>
                <w:highlight w:val="none"/>
                <w:lang w:val="en-US" w:eastAsia="zh-CN"/>
              </w:rPr>
              <w:t>（2）申请人拟派项目经理须具备市政公用工程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工程造价师应持有从业资格证书，项目技术负责人必须具有市政公用工程相关专业中级工程师及以上职称或注册建造师执业资格；提供所在单位为其缴纳的社保部门出具的社保记录证明及有效的劳动合同。</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szCs w:val="21"/>
                <w:highlight w:val="none"/>
                <w:lang w:val="en-US" w:eastAsia="zh-CN"/>
              </w:rPr>
            </w:pPr>
            <w:r>
              <w:rPr>
                <w:rFonts w:hint="eastAsia" w:ascii="宋体" w:hAnsi="宋体"/>
                <w:szCs w:val="21"/>
                <w:highlight w:val="none"/>
                <w:lang w:val="en-US" w:eastAsia="zh-CN"/>
              </w:rPr>
              <w:t>（4）申请人近三年平均利润大于0元。提供近三年（指2018年、2019年、2020年）财务审计报告（如：新成立的公司需提供自成立之日起相应年限的审计报告）</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szCs w:val="21"/>
                <w:highlight w:val="none"/>
                <w:lang w:val="en-US" w:eastAsia="zh-CN"/>
              </w:rPr>
            </w:pPr>
            <w:r>
              <w:rPr>
                <w:rFonts w:hint="eastAsia" w:ascii="宋体" w:hAnsi="宋体"/>
                <w:szCs w:val="21"/>
                <w:highlight w:val="none"/>
                <w:lang w:val="en-US" w:eastAsia="zh-CN"/>
              </w:rPr>
              <w:t>（5）本工程不接受在阳新县公共资源交易监督管理局有不良记录的企业投标。</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szCs w:val="21"/>
                <w:highlight w:val="none"/>
                <w:lang w:val="en-US" w:eastAsia="zh-CN"/>
              </w:rPr>
            </w:pPr>
            <w:r>
              <w:rPr>
                <w:rFonts w:hint="eastAsia" w:ascii="宋体" w:hAnsi="宋体"/>
                <w:szCs w:val="21"/>
                <w:highlight w:val="none"/>
                <w:lang w:val="en-US" w:eastAsia="zh-CN"/>
              </w:rPr>
              <w:t>（6）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sz w:val="18"/>
                <w:szCs w:val="18"/>
                <w:highlight w:val="none"/>
              </w:rPr>
            </w:pPr>
            <w:r>
              <w:rPr>
                <w:rFonts w:hint="eastAsia" w:ascii="宋体" w:hAnsi="宋体"/>
                <w:szCs w:val="21"/>
                <w:highlight w:val="none"/>
                <w:lang w:val="en-US" w:eastAsia="zh-CN"/>
              </w:rPr>
              <w:t>（7）本次招标不接受联合体。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tcBorders>
              <w:left w:val="single" w:color="auto" w:sz="4" w:space="0"/>
              <w:right w:val="single" w:color="auto" w:sz="4" w:space="0"/>
            </w:tcBorders>
            <w:vAlign w:val="center"/>
          </w:tcPr>
          <w:p>
            <w:pPr>
              <w:widowControl/>
              <w:spacing w:line="320" w:lineRule="exact"/>
              <w:jc w:val="left"/>
              <w:rPr>
                <w:rFonts w:ascii="宋体" w:hAnsi="宋体" w:cs="宋体"/>
                <w:kern w:val="0"/>
                <w:sz w:val="15"/>
                <w:szCs w:val="15"/>
                <w:highlight w:val="none"/>
              </w:rPr>
            </w:pPr>
            <w:r>
              <w:rPr>
                <w:rFonts w:hint="eastAsia" w:ascii="宋体" w:hAnsi="宋体"/>
                <w:szCs w:val="21"/>
                <w:highlight w:val="none"/>
              </w:rPr>
              <w:t>中小企业声明函</w:t>
            </w:r>
          </w:p>
        </w:tc>
        <w:tc>
          <w:tcPr>
            <w:tcW w:w="8576" w:type="dxa"/>
            <w:tcBorders>
              <w:top w:val="single" w:color="auto" w:sz="4" w:space="0"/>
              <w:left w:val="single" w:color="auto" w:sz="4" w:space="0"/>
              <w:bottom w:val="single" w:color="auto" w:sz="4" w:space="0"/>
              <w:right w:val="single" w:color="auto" w:sz="4" w:space="0"/>
            </w:tcBorders>
          </w:tcPr>
          <w:p>
            <w:pPr>
              <w:pStyle w:val="9"/>
              <w:widowControl/>
              <w:spacing w:beforeAutospacing="0" w:afterAutospacing="0" w:line="360" w:lineRule="atLeast"/>
              <w:rPr>
                <w:rFonts w:ascii="宋体" w:hAnsi="宋体" w:cs="宋体"/>
                <w:color w:val="333333"/>
                <w:sz w:val="20"/>
                <w:szCs w:val="20"/>
                <w:highlight w:val="none"/>
                <w:shd w:val="clear" w:color="auto" w:fill="FFFFFF"/>
              </w:rPr>
            </w:pPr>
            <w:r>
              <w:rPr>
                <w:rFonts w:hint="eastAsia" w:ascii="宋体" w:hAnsi="宋体" w:cs="宋体"/>
                <w:color w:val="333333"/>
                <w:sz w:val="20"/>
                <w:szCs w:val="20"/>
                <w:highlight w:val="none"/>
                <w:shd w:val="clear" w:color="auto" w:fill="FFFFFF"/>
              </w:rPr>
              <w:t>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399" w:type="dxa"/>
            <w:tcBorders>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b/>
                <w:kern w:val="0"/>
                <w:szCs w:val="21"/>
                <w:highlight w:val="none"/>
              </w:rPr>
            </w:pPr>
            <w:r>
              <w:rPr>
                <w:rFonts w:hint="eastAsia" w:ascii="宋体" w:hAnsi="宋体" w:cs="宋体"/>
                <w:b/>
                <w:kern w:val="0"/>
                <w:szCs w:val="21"/>
                <w:highlight w:val="none"/>
              </w:rPr>
              <w:t>供应商意见</w:t>
            </w:r>
          </w:p>
        </w:tc>
        <w:tc>
          <w:tcPr>
            <w:tcW w:w="8576"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b/>
                <w:szCs w:val="21"/>
                <w:highlight w:val="none"/>
              </w:rPr>
            </w:pPr>
            <w:r>
              <w:rPr>
                <w:rFonts w:hint="eastAsia" w:ascii="宋体" w:hAnsi="宋体"/>
                <w:b/>
                <w:szCs w:val="21"/>
                <w:highlight w:val="none"/>
              </w:rPr>
              <w:t>供应商可对本项目采购需求的公正性、专业性、合理性等提出自己正确的意见、建议等（可另页详细表述）。</w:t>
            </w:r>
          </w:p>
        </w:tc>
      </w:tr>
    </w:tbl>
    <w:p>
      <w:pPr>
        <w:spacing w:line="320" w:lineRule="exact"/>
        <w:rPr>
          <w:highlight w:val="none"/>
        </w:rPr>
      </w:pPr>
      <w:r>
        <w:rPr>
          <w:rFonts w:hint="eastAsia"/>
          <w:highlight w:val="none"/>
        </w:rPr>
        <w:t>注意事项：</w:t>
      </w:r>
    </w:p>
    <w:p>
      <w:pPr>
        <w:rPr>
          <w:highlight w:val="none"/>
        </w:rPr>
      </w:pPr>
      <w:r>
        <w:rPr>
          <w:rFonts w:hint="eastAsia"/>
          <w:highlight w:val="none"/>
        </w:rPr>
        <w:t>1.供应商必须严格按照公告的内容和要求，完整递交有关资料，逾期递交的将予以拒收。</w:t>
      </w:r>
    </w:p>
    <w:p>
      <w:pPr>
        <w:rPr>
          <w:highlight w:val="none"/>
        </w:rPr>
      </w:pPr>
      <w:r>
        <w:rPr>
          <w:rFonts w:hint="eastAsia"/>
          <w:highlight w:val="none"/>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rPr>
          <w:highlight w:val="none"/>
        </w:rPr>
      </w:pPr>
      <w:r>
        <w:rPr>
          <w:rFonts w:hint="eastAsia"/>
          <w:highlight w:val="none"/>
        </w:rPr>
        <w:t>3.须在邮件（附件文件名注明公司全称）注明公司全称、项目名称及项目编号（不注明我单位将拒收报名邮件）。</w:t>
      </w:r>
    </w:p>
    <w:p>
      <w:pPr>
        <w:rPr>
          <w:rFonts w:hint="eastAsia"/>
          <w:sz w:val="24"/>
          <w:szCs w:val="24"/>
          <w:highlight w:val="none"/>
        </w:rPr>
      </w:pPr>
    </w:p>
    <w:p>
      <w:pPr>
        <w:rPr>
          <w:sz w:val="24"/>
          <w:szCs w:val="24"/>
          <w:highlight w:val="none"/>
        </w:rPr>
      </w:pPr>
      <w:r>
        <w:rPr>
          <w:rFonts w:hint="eastAsia"/>
          <w:sz w:val="24"/>
          <w:szCs w:val="24"/>
          <w:highlight w:val="none"/>
        </w:rPr>
        <w:t xml:space="preserve">附件三： </w:t>
      </w:r>
    </w:p>
    <w:p>
      <w:pPr>
        <w:widowControl/>
        <w:jc w:val="center"/>
        <w:rPr>
          <w:highlight w:val="none"/>
        </w:rPr>
      </w:pPr>
      <w:r>
        <w:rPr>
          <w:rFonts w:hint="eastAsia" w:ascii="宋体" w:hAnsi="宋体" w:cs="宋体"/>
          <w:b/>
          <w:bCs/>
          <w:color w:val="000000"/>
          <w:kern w:val="0"/>
          <w:sz w:val="31"/>
          <w:szCs w:val="31"/>
          <w:highlight w:val="none"/>
          <w:lang w:bidi="ar"/>
        </w:rPr>
        <w:t>中小企业声明函（适用于工程类、服务类项目）</w:t>
      </w:r>
    </w:p>
    <w:p>
      <w:pPr>
        <w:widowControl/>
        <w:spacing w:line="360" w:lineRule="auto"/>
        <w:ind w:firstLine="480" w:firstLineChars="200"/>
        <w:jc w:val="left"/>
        <w:rPr>
          <w:rFonts w:ascii="宋体" w:hAnsi="宋体" w:cs="宋体"/>
          <w:color w:val="0D0D0D"/>
          <w:kern w:val="0"/>
          <w:sz w:val="24"/>
          <w:szCs w:val="24"/>
          <w:highlight w:val="none"/>
          <w:lang w:bidi="ar"/>
        </w:rPr>
      </w:pPr>
    </w:p>
    <w:p>
      <w:pPr>
        <w:widowControl/>
        <w:spacing w:line="360" w:lineRule="auto"/>
        <w:ind w:firstLine="480" w:firstLineChars="200"/>
        <w:jc w:val="left"/>
        <w:rPr>
          <w:highlight w:val="none"/>
        </w:rPr>
      </w:pPr>
      <w:r>
        <w:rPr>
          <w:rFonts w:hint="eastAsia" w:ascii="宋体" w:hAnsi="宋体" w:cs="宋体"/>
          <w:color w:val="0D0D0D"/>
          <w:kern w:val="0"/>
          <w:sz w:val="24"/>
          <w:szCs w:val="24"/>
          <w:highlight w:val="none"/>
          <w:lang w:bidi="ar"/>
        </w:rPr>
        <w:t>本公司（联合体）郑重声明，根据《政府采购促进中小企业发展管理办法》（财库﹝</w:t>
      </w:r>
      <w:r>
        <w:rPr>
          <w:rFonts w:cs="Calibri"/>
          <w:color w:val="0D0D0D"/>
          <w:kern w:val="0"/>
          <w:sz w:val="24"/>
          <w:szCs w:val="24"/>
          <w:highlight w:val="none"/>
          <w:lang w:bidi="ar"/>
        </w:rPr>
        <w:t>2020</w:t>
      </w:r>
      <w:r>
        <w:rPr>
          <w:rFonts w:hint="eastAsia" w:ascii="宋体" w:hAnsi="宋体" w:cs="宋体"/>
          <w:color w:val="0D0D0D"/>
          <w:kern w:val="0"/>
          <w:sz w:val="24"/>
          <w:szCs w:val="24"/>
          <w:highlight w:val="none"/>
          <w:lang w:bidi="ar"/>
        </w:rPr>
        <w:t>﹞</w:t>
      </w:r>
      <w:r>
        <w:rPr>
          <w:rFonts w:cs="Calibri"/>
          <w:color w:val="0D0D0D"/>
          <w:kern w:val="0"/>
          <w:sz w:val="24"/>
          <w:szCs w:val="24"/>
          <w:highlight w:val="none"/>
          <w:lang w:bidi="ar"/>
        </w:rPr>
        <w:t xml:space="preserve">46 </w:t>
      </w:r>
      <w:r>
        <w:rPr>
          <w:rFonts w:hint="eastAsia" w:ascii="宋体" w:hAnsi="宋体" w:cs="宋体"/>
          <w:color w:val="0D0D0D"/>
          <w:kern w:val="0"/>
          <w:sz w:val="24"/>
          <w:szCs w:val="24"/>
          <w:highlight w:val="none"/>
          <w:lang w:bidi="ar"/>
        </w:rPr>
        <w:t xml:space="preserve">号）的规定，本公司（联合体）参加 （单位名称） 的 （项目名称） 采购活动，工程 的施工单位全部为符合政策要求的中小企业（或者：服务全部由符合政策要求的中小企业承 接）。相关企业（含联合体中的中小企业、签订分包意向协议的中小企业）的具体情况如下： </w:t>
      </w:r>
    </w:p>
    <w:p>
      <w:pPr>
        <w:widowControl/>
        <w:spacing w:line="360" w:lineRule="auto"/>
        <w:jc w:val="left"/>
        <w:rPr>
          <w:highlight w:val="none"/>
        </w:rPr>
      </w:pPr>
      <w:r>
        <w:rPr>
          <w:rFonts w:cs="Calibri"/>
          <w:color w:val="0D0D0D"/>
          <w:kern w:val="0"/>
          <w:sz w:val="24"/>
          <w:szCs w:val="24"/>
          <w:highlight w:val="none"/>
          <w:lang w:bidi="ar"/>
        </w:rPr>
        <w:t xml:space="preserve">1. </w:t>
      </w:r>
      <w:r>
        <w:rPr>
          <w:rFonts w:hint="eastAsia" w:ascii="宋体" w:hAnsi="宋体" w:cs="宋体"/>
          <w:color w:val="0D0D0D"/>
          <w:kern w:val="0"/>
          <w:sz w:val="24"/>
          <w:szCs w:val="24"/>
          <w:highlight w:val="none"/>
          <w:lang w:bidi="ar"/>
        </w:rPr>
        <w:t xml:space="preserve">（标的名称） ，属于 （采购文件中明确的所属行业）行业 ；承建（承接）企业为 （企业名称） ，从业人员人，营业收入为万元，资产总额为万元（从业人员、营业收入、 资产总额填报上一年度数据，无上一年度数据的新成立企业可不填报） ，属于 （中型企业、 小型企业、微型企业） ； </w:t>
      </w:r>
    </w:p>
    <w:p>
      <w:pPr>
        <w:widowControl/>
        <w:spacing w:line="360" w:lineRule="auto"/>
        <w:jc w:val="left"/>
        <w:rPr>
          <w:rFonts w:ascii="宋体" w:hAnsi="宋体" w:cs="宋体"/>
          <w:color w:val="0D0D0D"/>
          <w:kern w:val="0"/>
          <w:sz w:val="24"/>
          <w:szCs w:val="24"/>
          <w:highlight w:val="none"/>
          <w:lang w:bidi="ar"/>
        </w:rPr>
      </w:pPr>
      <w:r>
        <w:rPr>
          <w:rFonts w:cs="Calibri"/>
          <w:color w:val="0D0D0D"/>
          <w:kern w:val="0"/>
          <w:sz w:val="24"/>
          <w:szCs w:val="24"/>
          <w:highlight w:val="none"/>
          <w:lang w:bidi="ar"/>
        </w:rPr>
        <w:t xml:space="preserve">2. </w:t>
      </w:r>
      <w:r>
        <w:rPr>
          <w:rFonts w:hint="eastAsia" w:ascii="宋体" w:hAnsi="宋体" w:cs="宋体"/>
          <w:color w:val="0D0D0D"/>
          <w:kern w:val="0"/>
          <w:sz w:val="24"/>
          <w:szCs w:val="24"/>
          <w:highlight w:val="none"/>
          <w:lang w:bidi="ar"/>
        </w:rPr>
        <w:t>（标的名称） ，属于 （采购文件中明确的所属行业）行业 ；承建（承接）企业为 （企业名称） ，从业人员人，营业收入为万元，资产总额为万元（从业人员、营业收入、 资产总额填报上一年度数据，无上一年度数据的新成立企业可不填报） ，属于 （中型企业、 小型企业、微型企业）；</w:t>
      </w:r>
    </w:p>
    <w:p>
      <w:pPr>
        <w:widowControl/>
        <w:spacing w:line="360" w:lineRule="auto"/>
        <w:jc w:val="left"/>
        <w:rPr>
          <w:highlight w:val="none"/>
        </w:rPr>
      </w:pPr>
      <w:r>
        <w:rPr>
          <w:rFonts w:hint="eastAsia" w:ascii="宋体" w:hAnsi="宋体" w:cs="宋体"/>
          <w:color w:val="0D0D0D"/>
          <w:kern w:val="0"/>
          <w:sz w:val="24"/>
          <w:szCs w:val="24"/>
          <w:highlight w:val="none"/>
          <w:lang w:bidi="ar"/>
        </w:rPr>
        <w:t xml:space="preserve"> ……</w:t>
      </w:r>
    </w:p>
    <w:p>
      <w:pPr>
        <w:widowControl/>
        <w:spacing w:line="360" w:lineRule="auto"/>
        <w:jc w:val="left"/>
        <w:rPr>
          <w:highlight w:val="none"/>
        </w:rPr>
      </w:pPr>
      <w:r>
        <w:rPr>
          <w:rFonts w:hint="eastAsia" w:ascii="宋体" w:hAnsi="宋体" w:cs="宋体"/>
          <w:color w:val="0D0D0D"/>
          <w:kern w:val="0"/>
          <w:sz w:val="24"/>
          <w:szCs w:val="24"/>
          <w:highlight w:val="none"/>
          <w:lang w:bidi="ar"/>
        </w:rPr>
        <w:t xml:space="preserve">以上企业，不属于大企业的分支机构，不存在控股股东为大企业的情形，也不存在与大 企业的负责人为同一人的情形。 </w:t>
      </w:r>
    </w:p>
    <w:p>
      <w:pPr>
        <w:widowControl/>
        <w:spacing w:line="360" w:lineRule="auto"/>
        <w:jc w:val="left"/>
        <w:rPr>
          <w:highlight w:val="none"/>
        </w:rPr>
      </w:pPr>
      <w:r>
        <w:rPr>
          <w:rFonts w:hint="eastAsia" w:ascii="宋体" w:hAnsi="宋体" w:cs="宋体"/>
          <w:color w:val="0D0D0D"/>
          <w:kern w:val="0"/>
          <w:sz w:val="24"/>
          <w:szCs w:val="24"/>
          <w:highlight w:val="none"/>
          <w:lang w:bidi="ar"/>
        </w:rPr>
        <w:t xml:space="preserve">本企业对上述声明内容的真实性负责。如有虚假，将依法承担相应责任。 </w:t>
      </w:r>
    </w:p>
    <w:p>
      <w:pPr>
        <w:widowControl/>
        <w:spacing w:line="360" w:lineRule="auto"/>
        <w:jc w:val="left"/>
        <w:rPr>
          <w:rFonts w:ascii="宋体" w:hAnsi="宋体" w:cs="宋体"/>
          <w:color w:val="0D0D0D"/>
          <w:kern w:val="0"/>
          <w:sz w:val="24"/>
          <w:szCs w:val="24"/>
          <w:highlight w:val="none"/>
          <w:lang w:bidi="ar"/>
        </w:rPr>
      </w:pPr>
      <w:r>
        <w:rPr>
          <w:rFonts w:hint="eastAsia" w:ascii="宋体" w:hAnsi="宋体" w:cs="宋体"/>
          <w:b/>
          <w:bCs/>
          <w:color w:val="0D0D0D"/>
          <w:kern w:val="0"/>
          <w:sz w:val="24"/>
          <w:szCs w:val="24"/>
          <w:highlight w:val="none"/>
          <w:lang w:bidi="ar"/>
        </w:rPr>
        <w:t>说明：</w:t>
      </w:r>
      <w:r>
        <w:rPr>
          <w:rFonts w:hint="eastAsia" w:ascii="宋体" w:hAnsi="宋体" w:cs="宋体"/>
          <w:color w:val="0D0D0D"/>
          <w:kern w:val="0"/>
          <w:sz w:val="24"/>
          <w:szCs w:val="24"/>
          <w:highlight w:val="none"/>
          <w:lang w:bidi="ar"/>
        </w:rPr>
        <w:t xml:space="preserve">以联合体方式参与项目投标的供应商，应由联合体各方盖章。 </w:t>
      </w:r>
    </w:p>
    <w:p>
      <w:pPr>
        <w:pStyle w:val="8"/>
        <w:rPr>
          <w:highlight w:val="none"/>
          <w:lang w:bidi="ar"/>
        </w:rPr>
      </w:pPr>
    </w:p>
    <w:p>
      <w:pPr>
        <w:widowControl/>
        <w:spacing w:line="360" w:lineRule="auto"/>
        <w:jc w:val="right"/>
        <w:rPr>
          <w:highlight w:val="none"/>
        </w:rPr>
      </w:pPr>
      <w:r>
        <w:rPr>
          <w:rFonts w:hint="eastAsia" w:ascii="宋体" w:hAnsi="宋体" w:cs="宋体"/>
          <w:color w:val="0D0D0D"/>
          <w:kern w:val="0"/>
          <w:sz w:val="24"/>
          <w:szCs w:val="24"/>
          <w:highlight w:val="none"/>
          <w:lang w:bidi="ar"/>
        </w:rPr>
        <w:t xml:space="preserve">投标人（公章）： </w:t>
      </w:r>
    </w:p>
    <w:p>
      <w:pPr>
        <w:widowControl/>
        <w:spacing w:line="360" w:lineRule="auto"/>
        <w:jc w:val="right"/>
        <w:rPr>
          <w:rFonts w:ascii="宋体" w:hAnsi="宋体" w:cs="宋体"/>
          <w:color w:val="0D0D0D"/>
          <w:kern w:val="0"/>
          <w:sz w:val="24"/>
          <w:szCs w:val="24"/>
          <w:highlight w:val="none"/>
          <w:lang w:bidi="ar"/>
        </w:rPr>
      </w:pPr>
      <w:r>
        <w:rPr>
          <w:rFonts w:hint="eastAsia" w:ascii="宋体" w:hAnsi="宋体" w:cs="宋体"/>
          <w:color w:val="0D0D0D"/>
          <w:kern w:val="0"/>
          <w:sz w:val="24"/>
          <w:szCs w:val="24"/>
          <w:highlight w:val="none"/>
          <w:lang w:bidi="ar"/>
        </w:rPr>
        <w:t xml:space="preserve">日 期： </w:t>
      </w:r>
    </w:p>
    <w:p>
      <w:pPr>
        <w:pStyle w:val="8"/>
        <w:spacing w:line="360" w:lineRule="auto"/>
        <w:rPr>
          <w:highlight w:val="none"/>
        </w:rPr>
      </w:pPr>
      <w:bookmarkStart w:id="1" w:name="_GoBack"/>
      <w:bookmarkEnd w:id="1"/>
    </w:p>
    <w:p>
      <w:pPr>
        <w:widowControl/>
        <w:spacing w:line="360" w:lineRule="auto"/>
        <w:jc w:val="left"/>
        <w:rPr>
          <w:highlight w:val="none"/>
        </w:rPr>
      </w:pPr>
      <w:r>
        <w:rPr>
          <w:rFonts w:hint="eastAsia" w:ascii="宋体" w:hAnsi="宋体" w:cs="宋体"/>
          <w:color w:val="0D0D0D"/>
          <w:kern w:val="0"/>
          <w:sz w:val="20"/>
          <w:szCs w:val="20"/>
          <w:highlight w:val="none"/>
          <w:lang w:bidi="ar"/>
        </w:rPr>
        <w:t xml:space="preserve">注：1、从业人员、营业收入、资产总额填报上一年度数据，无上一年度数据的新成立企业可不填报。 </w:t>
      </w:r>
    </w:p>
    <w:p>
      <w:pPr>
        <w:widowControl/>
        <w:spacing w:line="360" w:lineRule="auto"/>
        <w:jc w:val="left"/>
        <w:rPr>
          <w:highlight w:val="none"/>
        </w:rPr>
      </w:pPr>
      <w:r>
        <w:rPr>
          <w:rFonts w:hint="eastAsia" w:ascii="宋体" w:hAnsi="宋体" w:cs="宋体"/>
          <w:color w:val="0D0D0D"/>
          <w:kern w:val="0"/>
          <w:sz w:val="20"/>
          <w:szCs w:val="20"/>
          <w:highlight w:val="none"/>
          <w:lang w:bidi="ar"/>
        </w:rPr>
        <w:t>2、本项目不接受联合体</w:t>
      </w:r>
    </w:p>
    <w:p>
      <w:pPr>
        <w:pStyle w:val="8"/>
        <w:spacing w:line="360" w:lineRule="auto"/>
        <w:rPr>
          <w:highlight w:val="none"/>
        </w:rPr>
      </w:pPr>
    </w:p>
    <w:p>
      <w:pPr>
        <w:spacing w:line="240" w:lineRule="exact"/>
        <w:ind w:firstLine="420" w:firstLineChars="200"/>
      </w:pPr>
    </w:p>
    <w:sectPr>
      <w:pgSz w:w="11906" w:h="16838"/>
      <w:pgMar w:top="1440" w:right="866"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00071281"/>
    <w:rsid w:val="005B18D4"/>
    <w:rsid w:val="072317EE"/>
    <w:rsid w:val="0788433F"/>
    <w:rsid w:val="172779BB"/>
    <w:rsid w:val="21583DEB"/>
    <w:rsid w:val="258B5BE0"/>
    <w:rsid w:val="262061B5"/>
    <w:rsid w:val="29A9640D"/>
    <w:rsid w:val="2A455305"/>
    <w:rsid w:val="2D093AA8"/>
    <w:rsid w:val="2E4A4F90"/>
    <w:rsid w:val="2ECF6D2F"/>
    <w:rsid w:val="30661B2C"/>
    <w:rsid w:val="34A66F7E"/>
    <w:rsid w:val="3D4D42EA"/>
    <w:rsid w:val="404E6159"/>
    <w:rsid w:val="47020699"/>
    <w:rsid w:val="4A5D19E3"/>
    <w:rsid w:val="54D60D88"/>
    <w:rsid w:val="5C814436"/>
    <w:rsid w:val="5D2A050F"/>
    <w:rsid w:val="61B17928"/>
    <w:rsid w:val="67614D1D"/>
    <w:rsid w:val="69ED74D4"/>
    <w:rsid w:val="6ADF09BF"/>
    <w:rsid w:val="6B5C0A25"/>
    <w:rsid w:val="6E5D45C8"/>
    <w:rsid w:val="703F0C88"/>
    <w:rsid w:val="76053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5"/>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line="440" w:lineRule="exact"/>
      <w:jc w:val="left"/>
    </w:pPr>
    <w:rPr>
      <w:rFonts w:eastAsia="黑体"/>
      <w:b/>
      <w:kern w:val="0"/>
      <w:sz w:val="2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paragraph" w:customStyle="1" w:styleId="13">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4">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5">
    <w:name w:val="标题 1 Char"/>
    <w:basedOn w:val="12"/>
    <w:link w:val="3"/>
    <w:qFormat/>
    <w:uiPriority w:val="0"/>
    <w:rPr>
      <w:b/>
      <w:bCs/>
      <w:kern w:val="44"/>
      <w:sz w:val="44"/>
      <w:szCs w:val="44"/>
    </w:rPr>
  </w:style>
  <w:style w:type="character" w:customStyle="1" w:styleId="16">
    <w:name w:val="页眉 Char"/>
    <w:basedOn w:val="12"/>
    <w:link w:val="7"/>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
  <Pages>5</Pages>
  <Words>3553</Words>
  <Characters>454</Characters>
  <Lines>3</Lines>
  <Paragraphs>7</Paragraphs>
  <TotalTime>2</TotalTime>
  <ScaleCrop>false</ScaleCrop>
  <LinksUpToDate>false</LinksUpToDate>
  <CharactersWithSpaces>4000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2020-09-08T06:21:00Z</dcterms:created>
  <dc:creator>糊涂精灵</dc:creator>
  <cp:lastModifiedBy>玉林云弦</cp:lastModifiedBy>
  <cp:lastPrinted>2022-02-21T05:03:00Z</cp:lastPrinted>
  <dcterms:modified xsi:type="dcterms:W3CDTF">2022-02-21T08:29:13Z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0D30AA4C9A734C9FBEF5D789038DCB79</vt:lpwstr>
  </property>
</Properties>
</file>