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黑体" w:hAnsi="宋体" w:eastAsia="黑体" w:cs="黑体"/>
          <w:b/>
          <w:sz w:val="72"/>
          <w:szCs w:val="72"/>
        </w:rPr>
      </w:pPr>
      <w:bookmarkStart w:id="0" w:name="_Toc495861517"/>
      <w:bookmarkStart w:id="268" w:name="_GoBack"/>
      <w:bookmarkEnd w:id="268"/>
      <w:r>
        <w:rPr>
          <w:rFonts w:hint="eastAsia" w:ascii="黑体" w:hAnsi="宋体" w:eastAsia="黑体" w:cs="黑体"/>
          <w:b/>
          <w:sz w:val="72"/>
          <w:szCs w:val="72"/>
        </w:rPr>
        <w:t xml:space="preserve"> 阳新县县级政府采购</w:t>
      </w:r>
    </w:p>
    <w:p>
      <w:pPr>
        <w:pStyle w:val="5"/>
        <w:widowControl/>
        <w:spacing w:line="360" w:lineRule="auto"/>
        <w:rPr>
          <w:rFonts w:ascii="黑体" w:hAnsi="宋体" w:eastAsia="黑体" w:cs="黑体"/>
          <w:sz w:val="72"/>
          <w:szCs w:val="72"/>
        </w:rPr>
      </w:pPr>
    </w:p>
    <w:p>
      <w:pPr>
        <w:spacing w:line="360" w:lineRule="auto"/>
      </w:pPr>
    </w:p>
    <w:p>
      <w:pPr>
        <w:spacing w:line="360" w:lineRule="auto"/>
        <w:jc w:val="center"/>
        <w:rPr>
          <w:rFonts w:ascii="黑体" w:hAnsi="宋体" w:eastAsia="黑体" w:cs="黑体"/>
          <w:b/>
          <w:sz w:val="130"/>
          <w:szCs w:val="130"/>
        </w:rPr>
      </w:pPr>
      <w:r>
        <w:rPr>
          <w:rFonts w:hint="eastAsia" w:ascii="黑体" w:hAnsi="宋体" w:eastAsia="黑体" w:cs="黑体"/>
          <w:b/>
          <w:sz w:val="130"/>
          <w:szCs w:val="130"/>
        </w:rPr>
        <w:t>招 标 文 件</w:t>
      </w:r>
    </w:p>
    <w:p>
      <w:pPr>
        <w:spacing w:line="360" w:lineRule="auto"/>
        <w:ind w:left="1967" w:leftChars="619" w:right="1306" w:rightChars="622" w:hanging="668" w:hangingChars="209"/>
        <w:rPr>
          <w:rFonts w:ascii="黑体" w:hAnsi="宋体" w:eastAsia="黑体" w:cs="Times New Roman"/>
          <w:b/>
          <w:sz w:val="32"/>
          <w:szCs w:val="32"/>
        </w:rPr>
      </w:pPr>
    </w:p>
    <w:p>
      <w:pPr>
        <w:spacing w:line="360" w:lineRule="auto"/>
        <w:ind w:right="1306" w:rightChars="622" w:firstLine="960" w:firstLineChars="300"/>
        <w:rPr>
          <w:rFonts w:ascii="宋体" w:hAnsi="宋体" w:eastAsia="黑体" w:cs="Times New Roman"/>
          <w:sz w:val="32"/>
          <w:szCs w:val="32"/>
        </w:rPr>
      </w:pPr>
      <w:r>
        <w:rPr>
          <w:rFonts w:hint="eastAsia" w:ascii="黑体" w:hAnsi="宋体" w:eastAsia="黑体" w:cs="Times New Roman"/>
          <w:b/>
          <w:sz w:val="32"/>
          <w:szCs w:val="32"/>
        </w:rPr>
        <w:t>项目编号：</w:t>
      </w:r>
      <w:r>
        <w:rPr>
          <w:rFonts w:hint="eastAsia" w:ascii="黑体" w:hAnsi="宋体" w:eastAsia="黑体" w:cs="Times New Roman"/>
          <w:b/>
          <w:sz w:val="32"/>
          <w:szCs w:val="32"/>
          <w:u w:val="single"/>
        </w:rPr>
        <w:t xml:space="preserve">131-2022CG-026 </w:t>
      </w:r>
    </w:p>
    <w:p>
      <w:pPr>
        <w:spacing w:line="360" w:lineRule="auto"/>
        <w:ind w:right="1306" w:rightChars="622" w:firstLine="960" w:firstLineChars="300"/>
        <w:rPr>
          <w:rFonts w:ascii="宋体" w:hAnsi="宋体" w:eastAsia="宋体" w:cs="Times New Roman"/>
          <w:bCs/>
          <w:sz w:val="32"/>
          <w:szCs w:val="32"/>
        </w:rPr>
      </w:pPr>
      <w:r>
        <w:rPr>
          <w:rFonts w:hint="eastAsia" w:ascii="黑体" w:hAnsi="宋体" w:eastAsia="黑体" w:cs="Times New Roman"/>
          <w:b/>
          <w:sz w:val="32"/>
          <w:szCs w:val="32"/>
        </w:rPr>
        <w:t>采 购 人：</w:t>
      </w:r>
      <w:r>
        <w:rPr>
          <w:rFonts w:hint="eastAsia" w:ascii="黑体" w:hAnsi="宋体" w:eastAsia="黑体" w:cs="Times New Roman"/>
          <w:b/>
          <w:sz w:val="32"/>
          <w:szCs w:val="32"/>
          <w:u w:val="single"/>
        </w:rPr>
        <w:t>阳新县教育局</w:t>
      </w:r>
    </w:p>
    <w:p>
      <w:pPr>
        <w:spacing w:line="360" w:lineRule="auto"/>
        <w:ind w:right="170" w:rightChars="81" w:firstLine="960" w:firstLineChars="300"/>
        <w:rPr>
          <w:rFonts w:ascii="黑体" w:hAnsi="宋体" w:eastAsia="黑体" w:cs="Times New Roman"/>
          <w:b/>
          <w:sz w:val="32"/>
          <w:szCs w:val="32"/>
          <w:u w:val="single"/>
        </w:rPr>
      </w:pPr>
      <w:r>
        <w:rPr>
          <w:rFonts w:hint="eastAsia" w:ascii="黑体" w:hAnsi="宋体" w:eastAsia="黑体" w:cs="Times New Roman"/>
          <w:b/>
          <w:sz w:val="32"/>
          <w:szCs w:val="32"/>
        </w:rPr>
        <w:t>项目名称：</w:t>
      </w:r>
      <w:r>
        <w:rPr>
          <w:rFonts w:hint="eastAsia" w:ascii="黑体" w:hAnsi="宋体" w:eastAsia="黑体" w:cs="Times New Roman"/>
          <w:b/>
          <w:sz w:val="32"/>
          <w:szCs w:val="32"/>
          <w:u w:val="single"/>
        </w:rPr>
        <w:t>2021-2022学年度阳新县农村义务教育</w:t>
      </w:r>
    </w:p>
    <w:p>
      <w:pPr>
        <w:spacing w:line="360" w:lineRule="auto"/>
        <w:ind w:right="170" w:rightChars="81" w:firstLine="2560" w:firstLineChars="800"/>
        <w:rPr>
          <w:rFonts w:ascii="黑体" w:hAnsi="宋体" w:eastAsia="黑体" w:cs="Times New Roman"/>
          <w:b/>
          <w:sz w:val="32"/>
          <w:szCs w:val="32"/>
        </w:rPr>
      </w:pPr>
      <w:r>
        <w:rPr>
          <w:rFonts w:hint="eastAsia" w:ascii="黑体" w:hAnsi="宋体" w:eastAsia="黑体" w:cs="Times New Roman"/>
          <w:b/>
          <w:sz w:val="32"/>
          <w:szCs w:val="32"/>
          <w:u w:val="single"/>
        </w:rPr>
        <w:t>学生营养改善计划提标采购项目</w:t>
      </w:r>
    </w:p>
    <w:p>
      <w:pPr>
        <w:spacing w:line="360" w:lineRule="auto"/>
        <w:ind w:right="170" w:rightChars="81" w:firstLine="960" w:firstLineChars="300"/>
        <w:rPr>
          <w:rFonts w:ascii="黑体" w:hAnsi="宋体" w:eastAsia="黑体" w:cs="Times New Roman"/>
          <w:b/>
          <w:sz w:val="32"/>
          <w:szCs w:val="32"/>
          <w:u w:val="single"/>
        </w:rPr>
      </w:pPr>
      <w:r>
        <w:rPr>
          <w:rFonts w:hint="eastAsia" w:ascii="黑体" w:hAnsi="宋体" w:eastAsia="黑体" w:cs="Times New Roman"/>
          <w:b/>
          <w:sz w:val="32"/>
          <w:szCs w:val="32"/>
        </w:rPr>
        <w:t>项目内容：</w:t>
      </w:r>
      <w:r>
        <w:rPr>
          <w:rFonts w:hint="eastAsia" w:ascii="黑体" w:hAnsi="宋体" w:eastAsia="黑体" w:cs="Times New Roman"/>
          <w:b/>
          <w:sz w:val="32"/>
          <w:szCs w:val="32"/>
          <w:u w:val="single"/>
        </w:rPr>
        <w:t>一包：面包和蛋糕</w:t>
      </w:r>
    </w:p>
    <w:p>
      <w:pPr>
        <w:spacing w:line="360" w:lineRule="auto"/>
        <w:ind w:right="170" w:rightChars="81" w:firstLine="2560" w:firstLineChars="800"/>
        <w:rPr>
          <w:rFonts w:ascii="黑体" w:hAnsi="宋体" w:eastAsia="黑体" w:cs="Times New Roman"/>
          <w:b/>
          <w:sz w:val="32"/>
          <w:szCs w:val="32"/>
          <w:u w:val="single"/>
        </w:rPr>
      </w:pPr>
      <w:r>
        <w:rPr>
          <w:rFonts w:hint="eastAsia" w:ascii="黑体" w:hAnsi="宋体" w:eastAsia="黑体" w:cs="Times New Roman"/>
          <w:b/>
          <w:sz w:val="32"/>
          <w:szCs w:val="32"/>
          <w:u w:val="single"/>
        </w:rPr>
        <w:t>二包：食堂大宗食材</w:t>
      </w:r>
    </w:p>
    <w:p>
      <w:pPr>
        <w:spacing w:line="360" w:lineRule="auto"/>
        <w:ind w:right="170" w:rightChars="81" w:firstLine="2560" w:firstLineChars="800"/>
        <w:rPr>
          <w:rFonts w:ascii="黑体" w:hAnsi="宋体" w:eastAsia="黑体" w:cs="Times New Roman"/>
          <w:b/>
          <w:sz w:val="32"/>
          <w:szCs w:val="32"/>
          <w:u w:val="single"/>
        </w:rPr>
      </w:pPr>
      <w:r>
        <w:rPr>
          <w:rFonts w:hint="eastAsia" w:ascii="黑体" w:hAnsi="宋体" w:eastAsia="黑体" w:cs="Times New Roman"/>
          <w:b/>
          <w:sz w:val="32"/>
          <w:szCs w:val="32"/>
          <w:u w:val="single"/>
        </w:rPr>
        <w:t>三包：中央厨房供餐</w:t>
      </w:r>
    </w:p>
    <w:p>
      <w:pPr>
        <w:tabs>
          <w:tab w:val="left" w:pos="2625"/>
          <w:tab w:val="left" w:pos="7939"/>
        </w:tabs>
        <w:spacing w:line="360" w:lineRule="auto"/>
        <w:jc w:val="center"/>
        <w:rPr>
          <w:rFonts w:ascii="宋体" w:hAnsi="宋体" w:eastAsia="宋体" w:cs="宋体"/>
          <w:b/>
          <w:sz w:val="44"/>
        </w:rPr>
      </w:pPr>
    </w:p>
    <w:p>
      <w:pPr>
        <w:pStyle w:val="5"/>
        <w:widowControl/>
        <w:spacing w:line="360" w:lineRule="auto"/>
        <w:rPr>
          <w:rFonts w:ascii="宋体" w:hAnsi="宋体" w:eastAsia="宋体" w:cs="宋体"/>
          <w:sz w:val="44"/>
          <w:szCs w:val="28"/>
        </w:rPr>
      </w:pPr>
    </w:p>
    <w:p/>
    <w:p>
      <w:pPr>
        <w:pStyle w:val="2"/>
      </w:pPr>
    </w:p>
    <w:p>
      <w:pPr>
        <w:tabs>
          <w:tab w:val="left" w:pos="2625"/>
          <w:tab w:val="left" w:pos="7939"/>
        </w:tabs>
        <w:spacing w:line="360" w:lineRule="auto"/>
        <w:jc w:val="center"/>
        <w:rPr>
          <w:rFonts w:ascii="宋体" w:hAnsi="宋体" w:eastAsia="宋体" w:cs="宋体"/>
          <w:b/>
          <w:sz w:val="52"/>
          <w:szCs w:val="52"/>
        </w:rPr>
      </w:pPr>
      <w:r>
        <w:rPr>
          <w:rFonts w:hint="eastAsia" w:ascii="宋体" w:hAnsi="宋体" w:eastAsia="宋体" w:cs="宋体"/>
          <w:b/>
          <w:sz w:val="52"/>
          <w:szCs w:val="52"/>
        </w:rPr>
        <w:t>黄石曼宇工程项目管理有限公司</w:t>
      </w:r>
    </w:p>
    <w:p>
      <w:pPr>
        <w:tabs>
          <w:tab w:val="left" w:pos="2625"/>
          <w:tab w:val="left" w:pos="7939"/>
        </w:tabs>
        <w:spacing w:line="360" w:lineRule="auto"/>
        <w:jc w:val="center"/>
        <w:rPr>
          <w:rFonts w:ascii="宋体" w:hAnsi="宋体" w:eastAsia="宋体" w:cs="宋体"/>
          <w:b/>
          <w:sz w:val="44"/>
        </w:rPr>
      </w:pPr>
      <w:r>
        <w:rPr>
          <w:rFonts w:hint="eastAsia" w:ascii="宋体" w:hAnsi="宋体" w:eastAsia="宋体" w:cs="宋体"/>
          <w:b/>
          <w:sz w:val="36"/>
          <w:szCs w:val="36"/>
        </w:rPr>
        <w:t>二〇二二年三月</w:t>
      </w:r>
    </w:p>
    <w:p>
      <w:pPr>
        <w:spacing w:line="360" w:lineRule="auto"/>
        <w:rPr>
          <w:rFonts w:ascii="宋体" w:hAnsi="宋体" w:eastAsia="宋体" w:cs="Times New Roman"/>
          <w:b/>
          <w:sz w:val="44"/>
        </w:rPr>
        <w:sectPr>
          <w:footerReference r:id="rId3" w:type="default"/>
          <w:pgSz w:w="11920" w:h="16840"/>
          <w:pgMar w:top="1559" w:right="1702" w:bottom="1531" w:left="1680" w:header="720" w:footer="720" w:gutter="0"/>
          <w:pgNumType w:start="1"/>
          <w:cols w:space="0" w:num="1"/>
          <w:docGrid w:type="linesAndChars" w:linePitch="312" w:charSpace="0"/>
        </w:sectPr>
      </w:pPr>
    </w:p>
    <w:p>
      <w:pPr>
        <w:spacing w:line="360" w:lineRule="auto"/>
        <w:jc w:val="center"/>
        <w:rPr>
          <w:rFonts w:ascii="黑体" w:hAnsi="宋体" w:eastAsia="黑体" w:cs="黑体"/>
          <w:sz w:val="44"/>
          <w:szCs w:val="44"/>
        </w:rPr>
      </w:pPr>
      <w:r>
        <w:rPr>
          <w:rFonts w:hint="eastAsia" w:ascii="黑体" w:hAnsi="宋体" w:eastAsia="黑体" w:cs="黑体"/>
          <w:sz w:val="44"/>
          <w:szCs w:val="44"/>
        </w:rPr>
        <w:t>目   录</w:t>
      </w:r>
    </w:p>
    <w:p>
      <w:pPr>
        <w:pStyle w:val="21"/>
        <w:widowControl/>
        <w:tabs>
          <w:tab w:val="left" w:pos="1260"/>
          <w:tab w:val="right" w:leader="dot" w:pos="9514"/>
        </w:tabs>
        <w:spacing w:before="0" w:beforeAutospacing="0" w:after="0" w:afterAutospacing="0" w:line="360" w:lineRule="auto"/>
        <w:rPr>
          <w:rFonts w:eastAsia="宋体"/>
          <w:kern w:val="2"/>
          <w:sz w:val="21"/>
          <w:szCs w:val="22"/>
        </w:rPr>
      </w:pPr>
      <w:r>
        <w:rPr>
          <w:rFonts w:ascii="Calibri" w:hAnsi="Calibri" w:eastAsia="黑体" w:cs="Times New Roman"/>
          <w:b/>
          <w:iCs/>
          <w:sz w:val="28"/>
          <w:szCs w:val="22"/>
        </w:rPr>
        <w:fldChar w:fldCharType="begin"/>
      </w:r>
      <w:r>
        <w:rPr>
          <w:rFonts w:ascii="Calibri" w:hAnsi="Calibri" w:eastAsia="黑体" w:cs="Times New Roman"/>
          <w:b/>
          <w:iCs/>
          <w:sz w:val="28"/>
          <w:szCs w:val="22"/>
        </w:rPr>
        <w:instrText xml:space="preserve"> TOC \o "1-2" \h \z \u </w:instrText>
      </w:r>
      <w:r>
        <w:rPr>
          <w:rFonts w:ascii="Calibri" w:hAnsi="Calibri" w:eastAsia="黑体" w:cs="Times New Roman"/>
          <w:b/>
          <w:iCs/>
          <w:sz w:val="28"/>
          <w:szCs w:val="22"/>
        </w:rPr>
        <w:fldChar w:fldCharType="separate"/>
      </w:r>
      <w:r>
        <w:fldChar w:fldCharType="begin"/>
      </w:r>
      <w:r>
        <w:instrText xml:space="preserve"> HYPERLINK "file:///C:/Users/11388/Desktop/P020200423398436491093%20(1).docx" \l "_Toc495861517" </w:instrText>
      </w:r>
      <w:r>
        <w:fldChar w:fldCharType="separate"/>
      </w:r>
      <w:r>
        <w:rPr>
          <w:rStyle w:val="30"/>
          <w:rFonts w:hint="eastAsia" w:ascii="黑体" w:hAnsi="宋体" w:eastAsia="黑体" w:cs="黑体"/>
          <w:color w:val="auto"/>
        </w:rPr>
        <w:t>第一章</w:t>
      </w:r>
      <w:r>
        <w:rPr>
          <w:rStyle w:val="30"/>
          <w:rFonts w:eastAsia="宋体"/>
          <w:color w:val="auto"/>
          <w:kern w:val="2"/>
          <w:sz w:val="21"/>
          <w:szCs w:val="22"/>
          <w:u w:val="none"/>
        </w:rPr>
        <w:tab/>
      </w:r>
      <w:r>
        <w:rPr>
          <w:rStyle w:val="30"/>
          <w:rFonts w:hint="eastAsia" w:ascii="黑体" w:hAnsi="宋体" w:eastAsia="黑体" w:cs="黑体"/>
          <w:color w:val="auto"/>
        </w:rPr>
        <w:t>投标邀请书</w:t>
      </w:r>
      <w:r>
        <w:rPr>
          <w:rStyle w:val="30"/>
          <w:color w:val="auto"/>
          <w:u w:val="none"/>
        </w:rPr>
        <w:tab/>
      </w:r>
      <w:r>
        <w:rPr>
          <w:rStyle w:val="30"/>
          <w:color w:val="auto"/>
          <w:u w:val="none"/>
        </w:rPr>
        <w:fldChar w:fldCharType="begin"/>
      </w:r>
      <w:r>
        <w:rPr>
          <w:rStyle w:val="30"/>
          <w:color w:val="auto"/>
          <w:u w:val="none"/>
        </w:rPr>
        <w:instrText xml:space="preserve"> PAGEREF _Toc495861517 \h </w:instrText>
      </w:r>
      <w:r>
        <w:rPr>
          <w:rStyle w:val="30"/>
          <w:color w:val="auto"/>
          <w:u w:val="none"/>
        </w:rPr>
        <w:fldChar w:fldCharType="separate"/>
      </w:r>
      <w:r>
        <w:rPr>
          <w:rStyle w:val="30"/>
          <w:color w:val="auto"/>
          <w:u w:val="none"/>
        </w:rPr>
        <w:t>1</w:t>
      </w:r>
      <w:r>
        <w:rPr>
          <w:rStyle w:val="30"/>
          <w:color w:val="auto"/>
          <w:u w:val="none"/>
        </w:rPr>
        <w:fldChar w:fldCharType="end"/>
      </w:r>
      <w:r>
        <w:rPr>
          <w:rStyle w:val="30"/>
          <w:color w:val="auto"/>
          <w:u w:val="none"/>
        </w:rPr>
        <w:fldChar w:fldCharType="end"/>
      </w:r>
    </w:p>
    <w:p>
      <w:pPr>
        <w:pStyle w:val="21"/>
        <w:widowControl/>
        <w:tabs>
          <w:tab w:val="left" w:pos="1260"/>
          <w:tab w:val="right" w:leader="dot" w:pos="9514"/>
        </w:tabs>
        <w:spacing w:before="0" w:beforeAutospacing="0" w:after="0" w:afterAutospacing="0" w:line="360" w:lineRule="auto"/>
        <w:rPr>
          <w:rFonts w:eastAsia="宋体"/>
          <w:kern w:val="2"/>
          <w:sz w:val="21"/>
          <w:szCs w:val="22"/>
        </w:rPr>
      </w:pPr>
      <w:r>
        <w:fldChar w:fldCharType="begin"/>
      </w:r>
      <w:r>
        <w:instrText xml:space="preserve"> HYPERLINK "file:///C:/Users/11388/Desktop/P020200423398436491093%20(1).docx" \l "_Toc495861518" </w:instrText>
      </w:r>
      <w:r>
        <w:fldChar w:fldCharType="separate"/>
      </w:r>
      <w:r>
        <w:rPr>
          <w:rStyle w:val="30"/>
          <w:rFonts w:hint="eastAsia" w:ascii="黑体" w:hAnsi="宋体" w:eastAsia="黑体" w:cs="黑体"/>
          <w:color w:val="auto"/>
        </w:rPr>
        <w:t>第二章</w:t>
      </w:r>
      <w:r>
        <w:rPr>
          <w:rStyle w:val="30"/>
          <w:rFonts w:eastAsia="宋体"/>
          <w:color w:val="auto"/>
          <w:kern w:val="2"/>
          <w:sz w:val="21"/>
          <w:szCs w:val="22"/>
          <w:u w:val="none"/>
        </w:rPr>
        <w:tab/>
      </w:r>
      <w:r>
        <w:rPr>
          <w:rStyle w:val="30"/>
          <w:rFonts w:hint="eastAsia" w:ascii="黑体" w:hAnsi="宋体" w:eastAsia="黑体" w:cs="黑体"/>
          <w:color w:val="auto"/>
        </w:rPr>
        <w:t>投标人须知</w:t>
      </w:r>
      <w:r>
        <w:rPr>
          <w:rStyle w:val="30"/>
          <w:color w:val="auto"/>
          <w:u w:val="none"/>
        </w:rPr>
        <w:tab/>
      </w:r>
      <w:r>
        <w:rPr>
          <w:rStyle w:val="30"/>
          <w:color w:val="auto"/>
          <w:u w:val="none"/>
        </w:rPr>
        <w:fldChar w:fldCharType="begin"/>
      </w:r>
      <w:r>
        <w:rPr>
          <w:rStyle w:val="30"/>
          <w:color w:val="auto"/>
          <w:u w:val="none"/>
        </w:rPr>
        <w:instrText xml:space="preserve"> PAGEREF _Toc495861518 \h </w:instrText>
      </w:r>
      <w:r>
        <w:rPr>
          <w:rStyle w:val="30"/>
          <w:color w:val="auto"/>
          <w:u w:val="none"/>
        </w:rPr>
        <w:fldChar w:fldCharType="separate"/>
      </w:r>
      <w:r>
        <w:rPr>
          <w:rStyle w:val="30"/>
          <w:color w:val="auto"/>
          <w:u w:val="none"/>
        </w:rPr>
        <w:t>1</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"_Toc495861519" </w:instrText>
      </w:r>
      <w:r>
        <w:fldChar w:fldCharType="separate"/>
      </w:r>
      <w:r>
        <w:rPr>
          <w:rStyle w:val="30"/>
          <w:rFonts w:ascii="宋体" w:hAnsi="宋体" w:eastAsia="宋体" w:cs="Times New Roman"/>
          <w:b/>
          <w:color w:val="auto"/>
          <w:lang w:val="zh-CN"/>
        </w:rPr>
        <w:t>投标须知前附表</w:t>
      </w:r>
      <w:r>
        <w:rPr>
          <w:rStyle w:val="30"/>
          <w:color w:val="auto"/>
          <w:u w:val="none"/>
        </w:rPr>
        <w:tab/>
      </w:r>
      <w:r>
        <w:rPr>
          <w:rStyle w:val="30"/>
          <w:color w:val="auto"/>
          <w:u w:val="none"/>
        </w:rPr>
        <w:fldChar w:fldCharType="begin"/>
      </w:r>
      <w:r>
        <w:rPr>
          <w:rStyle w:val="30"/>
          <w:color w:val="auto"/>
          <w:u w:val="none"/>
        </w:rPr>
        <w:instrText xml:space="preserve"> PAGEREF _Toc495861519 \h </w:instrText>
      </w:r>
      <w:r>
        <w:rPr>
          <w:rStyle w:val="30"/>
          <w:color w:val="auto"/>
          <w:u w:val="none"/>
        </w:rPr>
        <w:fldChar w:fldCharType="separate"/>
      </w:r>
      <w:r>
        <w:rPr>
          <w:rStyle w:val="30"/>
          <w:color w:val="auto"/>
          <w:u w:val="none"/>
        </w:rPr>
        <w:t>5</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"_Toc495861520" </w:instrText>
      </w:r>
      <w:r>
        <w:fldChar w:fldCharType="separate"/>
      </w:r>
      <w:r>
        <w:rPr>
          <w:rStyle w:val="30"/>
          <w:rFonts w:ascii="宋体" w:hAnsi="宋体" w:cs="Times New Roman"/>
          <w:color w:val="auto"/>
          <w:lang w:val="zh-CN"/>
        </w:rPr>
        <w:t>一、</w:t>
      </w:r>
      <w:r>
        <w:rPr>
          <w:rStyle w:val="30"/>
          <w:rFonts w:ascii="Calibri" w:hAnsi="Calibri" w:cs="Times New Roman"/>
          <w:color w:val="auto"/>
          <w:kern w:val="2"/>
          <w:sz w:val="21"/>
          <w:szCs w:val="22"/>
          <w:u w:val="none"/>
        </w:rPr>
        <w:tab/>
      </w:r>
      <w:r>
        <w:rPr>
          <w:rStyle w:val="30"/>
          <w:rFonts w:ascii="宋体" w:hAnsi="宋体" w:cs="Times New Roman"/>
          <w:color w:val="auto"/>
          <w:lang w:val="zh-CN"/>
        </w:rPr>
        <w:t>说明</w:t>
      </w:r>
      <w:r>
        <w:rPr>
          <w:rStyle w:val="30"/>
          <w:color w:val="auto"/>
          <w:u w:val="none"/>
        </w:rPr>
        <w:tab/>
      </w:r>
      <w:r>
        <w:rPr>
          <w:rStyle w:val="30"/>
          <w:color w:val="auto"/>
          <w:u w:val="none"/>
        </w:rPr>
        <w:tab/>
      </w:r>
      <w:r>
        <w:rPr>
          <w:rStyle w:val="30"/>
          <w:color w:val="auto"/>
          <w:u w:val="none"/>
        </w:rPr>
        <w:fldChar w:fldCharType="begin"/>
      </w:r>
      <w:r>
        <w:rPr>
          <w:rStyle w:val="30"/>
          <w:color w:val="auto"/>
          <w:u w:val="none"/>
        </w:rPr>
        <w:instrText xml:space="preserve"> PAGEREF _Toc495861520 \h </w:instrText>
      </w:r>
      <w:r>
        <w:rPr>
          <w:rStyle w:val="30"/>
          <w:color w:val="auto"/>
          <w:u w:val="none"/>
        </w:rPr>
        <w:fldChar w:fldCharType="separate"/>
      </w:r>
      <w:r>
        <w:rPr>
          <w:rStyle w:val="30"/>
          <w:color w:val="auto"/>
          <w:u w:val="none"/>
        </w:rPr>
        <w:t>7</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"_Toc495861521" </w:instrText>
      </w:r>
      <w:r>
        <w:fldChar w:fldCharType="separate"/>
      </w:r>
      <w:r>
        <w:rPr>
          <w:rStyle w:val="30"/>
          <w:rFonts w:ascii="宋体" w:hAnsi="宋体" w:cs="Times New Roman"/>
          <w:color w:val="auto"/>
          <w:lang w:val="zh-CN"/>
        </w:rPr>
        <w:t>二、</w:t>
      </w:r>
      <w:r>
        <w:rPr>
          <w:rStyle w:val="30"/>
          <w:rFonts w:ascii="Calibri" w:hAnsi="Calibri" w:cs="Times New Roman"/>
          <w:color w:val="auto"/>
          <w:kern w:val="2"/>
          <w:sz w:val="21"/>
          <w:szCs w:val="22"/>
          <w:u w:val="none"/>
        </w:rPr>
        <w:tab/>
      </w:r>
      <w:r>
        <w:rPr>
          <w:rStyle w:val="30"/>
          <w:rFonts w:ascii="宋体" w:hAnsi="宋体" w:cs="Times New Roman"/>
          <w:color w:val="auto"/>
          <w:lang w:val="zh-CN"/>
        </w:rPr>
        <w:t>招标文件</w:t>
      </w:r>
      <w:r>
        <w:rPr>
          <w:rStyle w:val="30"/>
          <w:color w:val="auto"/>
          <w:u w:val="none"/>
        </w:rPr>
        <w:tab/>
      </w:r>
      <w:r>
        <w:rPr>
          <w:rStyle w:val="30"/>
          <w:color w:val="auto"/>
          <w:u w:val="none"/>
        </w:rPr>
        <w:fldChar w:fldCharType="begin"/>
      </w:r>
      <w:r>
        <w:rPr>
          <w:rStyle w:val="30"/>
          <w:color w:val="auto"/>
          <w:u w:val="none"/>
        </w:rPr>
        <w:instrText xml:space="preserve"> PAGEREF _Toc495861521 \h </w:instrText>
      </w:r>
      <w:r>
        <w:rPr>
          <w:rStyle w:val="30"/>
          <w:color w:val="auto"/>
          <w:u w:val="none"/>
        </w:rPr>
        <w:fldChar w:fldCharType="separate"/>
      </w:r>
      <w:r>
        <w:rPr>
          <w:rStyle w:val="30"/>
          <w:color w:val="auto"/>
          <w:u w:val="none"/>
        </w:rPr>
        <w:t>8</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"_Toc495861522" </w:instrText>
      </w:r>
      <w:r>
        <w:fldChar w:fldCharType="separate"/>
      </w:r>
      <w:r>
        <w:rPr>
          <w:rStyle w:val="30"/>
          <w:rFonts w:ascii="宋体" w:hAnsi="宋体" w:cs="Times New Roman"/>
          <w:color w:val="auto"/>
          <w:lang w:val="zh-CN"/>
        </w:rPr>
        <w:t>三、</w:t>
      </w:r>
      <w:r>
        <w:rPr>
          <w:rStyle w:val="30"/>
          <w:rFonts w:ascii="Calibri" w:hAnsi="Calibri" w:cs="Times New Roman"/>
          <w:color w:val="auto"/>
          <w:kern w:val="2"/>
          <w:sz w:val="21"/>
          <w:szCs w:val="22"/>
          <w:u w:val="none"/>
        </w:rPr>
        <w:tab/>
      </w:r>
      <w:r>
        <w:rPr>
          <w:rStyle w:val="30"/>
          <w:rFonts w:ascii="宋体" w:hAnsi="宋体" w:cs="Times New Roman"/>
          <w:color w:val="auto"/>
          <w:lang w:val="zh-CN"/>
        </w:rPr>
        <w:t>投标文件</w:t>
      </w:r>
      <w:r>
        <w:rPr>
          <w:rStyle w:val="30"/>
          <w:color w:val="auto"/>
          <w:u w:val="none"/>
        </w:rPr>
        <w:tab/>
      </w:r>
      <w:r>
        <w:rPr>
          <w:rStyle w:val="30"/>
          <w:color w:val="auto"/>
          <w:u w:val="none"/>
        </w:rPr>
        <w:fldChar w:fldCharType="begin"/>
      </w:r>
      <w:r>
        <w:rPr>
          <w:rStyle w:val="30"/>
          <w:color w:val="auto"/>
          <w:u w:val="none"/>
        </w:rPr>
        <w:instrText xml:space="preserve"> PAGEREF _Toc495861522 \h </w:instrText>
      </w:r>
      <w:r>
        <w:rPr>
          <w:rStyle w:val="30"/>
          <w:color w:val="auto"/>
          <w:u w:val="none"/>
        </w:rPr>
        <w:fldChar w:fldCharType="separate"/>
      </w:r>
      <w:r>
        <w:rPr>
          <w:rStyle w:val="30"/>
          <w:color w:val="auto"/>
          <w:u w:val="none"/>
        </w:rPr>
        <w:t>9</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"_Toc495861523" </w:instrText>
      </w:r>
      <w:r>
        <w:fldChar w:fldCharType="separate"/>
      </w:r>
      <w:r>
        <w:rPr>
          <w:rStyle w:val="30"/>
          <w:rFonts w:ascii="宋体" w:hAnsi="宋体" w:cs="Times New Roman"/>
          <w:color w:val="auto"/>
          <w:lang w:val="zh-CN"/>
        </w:rPr>
        <w:t>四、</w:t>
      </w:r>
      <w:r>
        <w:rPr>
          <w:rStyle w:val="30"/>
          <w:rFonts w:ascii="Calibri" w:hAnsi="Calibri" w:cs="Times New Roman"/>
          <w:color w:val="auto"/>
          <w:kern w:val="2"/>
          <w:sz w:val="21"/>
          <w:szCs w:val="22"/>
          <w:u w:val="none"/>
        </w:rPr>
        <w:tab/>
      </w:r>
      <w:r>
        <w:rPr>
          <w:rStyle w:val="30"/>
          <w:rFonts w:ascii="宋体" w:hAnsi="宋体" w:cs="Times New Roman"/>
          <w:color w:val="auto"/>
          <w:lang w:val="zh-CN"/>
        </w:rPr>
        <w:t>开标与评标</w:t>
      </w:r>
      <w:r>
        <w:rPr>
          <w:rStyle w:val="30"/>
          <w:color w:val="auto"/>
          <w:u w:val="none"/>
        </w:rPr>
        <w:tab/>
      </w:r>
      <w:r>
        <w:rPr>
          <w:rStyle w:val="30"/>
          <w:color w:val="auto"/>
          <w:u w:val="none"/>
        </w:rPr>
        <w:fldChar w:fldCharType="begin"/>
      </w:r>
      <w:r>
        <w:rPr>
          <w:rStyle w:val="30"/>
          <w:color w:val="auto"/>
          <w:u w:val="none"/>
        </w:rPr>
        <w:instrText xml:space="preserve"> PAGEREF _Toc495861523 \h </w:instrText>
      </w:r>
      <w:r>
        <w:rPr>
          <w:rStyle w:val="30"/>
          <w:color w:val="auto"/>
          <w:u w:val="none"/>
        </w:rPr>
        <w:fldChar w:fldCharType="separate"/>
      </w:r>
      <w:r>
        <w:rPr>
          <w:rStyle w:val="30"/>
          <w:color w:val="auto"/>
          <w:u w:val="none"/>
        </w:rPr>
        <w:t>14</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"_Toc495861524" </w:instrText>
      </w:r>
      <w:r>
        <w:fldChar w:fldCharType="separate"/>
      </w:r>
      <w:r>
        <w:rPr>
          <w:rStyle w:val="30"/>
          <w:rFonts w:ascii="宋体" w:hAnsi="宋体" w:cs="Times New Roman"/>
          <w:color w:val="auto"/>
          <w:lang w:val="zh-CN"/>
        </w:rPr>
        <w:t>五、</w:t>
      </w:r>
      <w:r>
        <w:rPr>
          <w:rStyle w:val="30"/>
          <w:rFonts w:ascii="Calibri" w:hAnsi="Calibri" w:cs="Times New Roman"/>
          <w:color w:val="auto"/>
          <w:kern w:val="2"/>
          <w:sz w:val="21"/>
          <w:szCs w:val="22"/>
          <w:u w:val="none"/>
        </w:rPr>
        <w:tab/>
      </w:r>
      <w:r>
        <w:rPr>
          <w:rStyle w:val="30"/>
          <w:rFonts w:ascii="宋体" w:hAnsi="宋体" w:cs="Times New Roman"/>
          <w:color w:val="auto"/>
          <w:lang w:val="zh-CN"/>
        </w:rPr>
        <w:t>投标人信用信息及查询</w:t>
      </w:r>
      <w:r>
        <w:rPr>
          <w:rStyle w:val="30"/>
          <w:color w:val="auto"/>
          <w:u w:val="none"/>
        </w:rPr>
        <w:tab/>
      </w:r>
      <w:r>
        <w:rPr>
          <w:rStyle w:val="30"/>
          <w:color w:val="auto"/>
          <w:u w:val="none"/>
        </w:rPr>
        <w:fldChar w:fldCharType="begin"/>
      </w:r>
      <w:r>
        <w:rPr>
          <w:rStyle w:val="30"/>
          <w:color w:val="auto"/>
          <w:u w:val="none"/>
        </w:rPr>
        <w:instrText xml:space="preserve"> PAGEREF _Toc495861524 \h </w:instrText>
      </w:r>
      <w:r>
        <w:rPr>
          <w:rStyle w:val="30"/>
          <w:color w:val="auto"/>
          <w:u w:val="none"/>
        </w:rPr>
        <w:fldChar w:fldCharType="separate"/>
      </w:r>
      <w:r>
        <w:rPr>
          <w:rStyle w:val="30"/>
          <w:color w:val="auto"/>
          <w:u w:val="none"/>
        </w:rPr>
        <w:t>15</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"_Toc495861525" </w:instrText>
      </w:r>
      <w:r>
        <w:fldChar w:fldCharType="separate"/>
      </w:r>
      <w:r>
        <w:rPr>
          <w:rStyle w:val="30"/>
          <w:rFonts w:ascii="宋体" w:hAnsi="宋体" w:cs="Times New Roman"/>
          <w:color w:val="auto"/>
          <w:lang w:val="zh-CN"/>
        </w:rPr>
        <w:t>六、</w:t>
      </w:r>
      <w:r>
        <w:rPr>
          <w:rStyle w:val="30"/>
          <w:rFonts w:ascii="Calibri" w:hAnsi="Calibri" w:cs="Times New Roman"/>
          <w:color w:val="auto"/>
          <w:kern w:val="2"/>
          <w:sz w:val="21"/>
          <w:szCs w:val="22"/>
          <w:u w:val="none"/>
        </w:rPr>
        <w:tab/>
      </w:r>
      <w:r>
        <w:rPr>
          <w:rStyle w:val="30"/>
          <w:rFonts w:ascii="宋体" w:hAnsi="宋体" w:cs="Times New Roman"/>
          <w:color w:val="auto"/>
          <w:lang w:val="zh-CN"/>
        </w:rPr>
        <w:t>中标与合同</w:t>
      </w:r>
      <w:r>
        <w:rPr>
          <w:rStyle w:val="30"/>
          <w:color w:val="auto"/>
          <w:u w:val="none"/>
        </w:rPr>
        <w:tab/>
      </w:r>
      <w:r>
        <w:rPr>
          <w:rStyle w:val="30"/>
          <w:color w:val="auto"/>
          <w:u w:val="none"/>
        </w:rPr>
        <w:fldChar w:fldCharType="begin"/>
      </w:r>
      <w:r>
        <w:rPr>
          <w:rStyle w:val="30"/>
          <w:color w:val="auto"/>
          <w:u w:val="none"/>
        </w:rPr>
        <w:instrText xml:space="preserve"> PAGEREF _Toc495861525 \h </w:instrText>
      </w:r>
      <w:r>
        <w:rPr>
          <w:rStyle w:val="30"/>
          <w:color w:val="auto"/>
          <w:u w:val="none"/>
        </w:rPr>
        <w:fldChar w:fldCharType="separate"/>
      </w:r>
      <w:r>
        <w:rPr>
          <w:rStyle w:val="30"/>
          <w:color w:val="auto"/>
          <w:u w:val="none"/>
        </w:rPr>
        <w:t>15</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"_Toc495861526" </w:instrText>
      </w:r>
      <w:r>
        <w:fldChar w:fldCharType="separate"/>
      </w:r>
      <w:r>
        <w:rPr>
          <w:rStyle w:val="30"/>
          <w:rFonts w:ascii="宋体" w:hAnsi="宋体" w:cs="Times New Roman"/>
          <w:color w:val="auto"/>
          <w:lang w:val="zh-CN"/>
        </w:rPr>
        <w:t>七、</w:t>
      </w:r>
      <w:r>
        <w:rPr>
          <w:rStyle w:val="30"/>
          <w:rFonts w:ascii="Calibri" w:hAnsi="Calibri" w:cs="Times New Roman"/>
          <w:color w:val="auto"/>
          <w:kern w:val="2"/>
          <w:sz w:val="21"/>
          <w:szCs w:val="22"/>
          <w:u w:val="none"/>
        </w:rPr>
        <w:tab/>
      </w:r>
      <w:r>
        <w:rPr>
          <w:rStyle w:val="30"/>
          <w:rFonts w:ascii="宋体" w:hAnsi="宋体" w:cs="Times New Roman"/>
          <w:color w:val="auto"/>
          <w:lang w:val="zh-CN"/>
        </w:rPr>
        <w:t>采购信息公告</w:t>
      </w:r>
      <w:r>
        <w:rPr>
          <w:rStyle w:val="30"/>
          <w:color w:val="auto"/>
          <w:u w:val="none"/>
        </w:rPr>
        <w:tab/>
      </w:r>
      <w:r>
        <w:rPr>
          <w:rStyle w:val="30"/>
          <w:color w:val="auto"/>
          <w:u w:val="none"/>
        </w:rPr>
        <w:fldChar w:fldCharType="begin"/>
      </w:r>
      <w:r>
        <w:rPr>
          <w:rStyle w:val="30"/>
          <w:color w:val="auto"/>
          <w:u w:val="none"/>
        </w:rPr>
        <w:instrText xml:space="preserve"> PAGEREF _Toc495861526 \h </w:instrText>
      </w:r>
      <w:r>
        <w:rPr>
          <w:rStyle w:val="30"/>
          <w:color w:val="auto"/>
          <w:u w:val="none"/>
        </w:rPr>
        <w:fldChar w:fldCharType="separate"/>
      </w:r>
      <w:r>
        <w:rPr>
          <w:rStyle w:val="30"/>
          <w:color w:val="auto"/>
          <w:u w:val="none"/>
        </w:rPr>
        <w:t>17</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"_Toc495861527" </w:instrText>
      </w:r>
      <w:r>
        <w:fldChar w:fldCharType="separate"/>
      </w:r>
      <w:r>
        <w:rPr>
          <w:rStyle w:val="30"/>
          <w:rFonts w:ascii="宋体" w:hAnsi="宋体" w:cs="Times New Roman"/>
          <w:color w:val="auto"/>
          <w:lang w:val="zh-CN"/>
        </w:rPr>
        <w:t>八、</w:t>
      </w:r>
      <w:r>
        <w:rPr>
          <w:rStyle w:val="30"/>
          <w:rFonts w:ascii="Calibri" w:hAnsi="Calibri" w:cs="Times New Roman"/>
          <w:color w:val="auto"/>
          <w:kern w:val="2"/>
          <w:sz w:val="21"/>
          <w:szCs w:val="22"/>
          <w:u w:val="none"/>
        </w:rPr>
        <w:tab/>
      </w:r>
      <w:r>
        <w:rPr>
          <w:rStyle w:val="30"/>
          <w:rFonts w:ascii="宋体" w:hAnsi="宋体" w:cs="Times New Roman"/>
          <w:color w:val="auto"/>
          <w:lang w:val="zh-CN"/>
        </w:rPr>
        <w:t>质疑及提交</w:t>
      </w:r>
      <w:r>
        <w:rPr>
          <w:rStyle w:val="30"/>
          <w:color w:val="auto"/>
          <w:u w:val="none"/>
        </w:rPr>
        <w:tab/>
      </w:r>
      <w:r>
        <w:rPr>
          <w:rStyle w:val="30"/>
          <w:color w:val="auto"/>
          <w:u w:val="none"/>
        </w:rPr>
        <w:fldChar w:fldCharType="begin"/>
      </w:r>
      <w:r>
        <w:rPr>
          <w:rStyle w:val="30"/>
          <w:color w:val="auto"/>
          <w:u w:val="none"/>
        </w:rPr>
        <w:instrText xml:space="preserve"> PAGEREF _Toc495861527 \h </w:instrText>
      </w:r>
      <w:r>
        <w:rPr>
          <w:rStyle w:val="30"/>
          <w:color w:val="auto"/>
          <w:u w:val="none"/>
        </w:rPr>
        <w:fldChar w:fldCharType="separate"/>
      </w:r>
      <w:r>
        <w:rPr>
          <w:rStyle w:val="30"/>
          <w:color w:val="auto"/>
          <w:u w:val="none"/>
        </w:rPr>
        <w:t>17</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"_Toc495861528" </w:instrText>
      </w:r>
      <w:r>
        <w:fldChar w:fldCharType="separate"/>
      </w:r>
      <w:r>
        <w:rPr>
          <w:rStyle w:val="30"/>
          <w:rFonts w:ascii="宋体" w:hAnsi="宋体" w:cs="Times New Roman"/>
          <w:color w:val="auto"/>
          <w:lang w:val="zh-CN"/>
        </w:rPr>
        <w:t>九、</w:t>
      </w:r>
      <w:r>
        <w:rPr>
          <w:rStyle w:val="30"/>
          <w:rFonts w:ascii="Calibri" w:hAnsi="Calibri" w:cs="Times New Roman"/>
          <w:color w:val="auto"/>
          <w:kern w:val="2"/>
          <w:sz w:val="21"/>
          <w:szCs w:val="22"/>
          <w:u w:val="none"/>
        </w:rPr>
        <w:tab/>
      </w:r>
      <w:r>
        <w:rPr>
          <w:rStyle w:val="30"/>
          <w:rFonts w:ascii="宋体" w:hAnsi="宋体" w:cs="Times New Roman"/>
          <w:color w:val="auto"/>
          <w:lang w:val="zh-CN"/>
        </w:rPr>
        <w:t>相关条文解读</w:t>
      </w:r>
      <w:r>
        <w:rPr>
          <w:rStyle w:val="30"/>
          <w:color w:val="auto"/>
          <w:u w:val="none"/>
        </w:rPr>
        <w:tab/>
      </w:r>
      <w:r>
        <w:rPr>
          <w:rStyle w:val="30"/>
          <w:color w:val="auto"/>
          <w:u w:val="none"/>
        </w:rPr>
        <w:fldChar w:fldCharType="begin"/>
      </w:r>
      <w:r>
        <w:rPr>
          <w:rStyle w:val="30"/>
          <w:color w:val="auto"/>
          <w:u w:val="none"/>
        </w:rPr>
        <w:instrText xml:space="preserve"> PAGEREF _Toc495861528 \h </w:instrText>
      </w:r>
      <w:r>
        <w:rPr>
          <w:rStyle w:val="30"/>
          <w:color w:val="auto"/>
          <w:u w:val="none"/>
        </w:rPr>
        <w:fldChar w:fldCharType="separate"/>
      </w:r>
      <w:r>
        <w:rPr>
          <w:rStyle w:val="30"/>
          <w:color w:val="auto"/>
          <w:u w:val="none"/>
        </w:rPr>
        <w:t>18</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"_Toc495861529" </w:instrText>
      </w:r>
      <w:r>
        <w:fldChar w:fldCharType="separate"/>
      </w:r>
      <w:r>
        <w:rPr>
          <w:rStyle w:val="30"/>
          <w:rFonts w:ascii="宋体" w:hAnsi="宋体" w:cs="Times New Roman"/>
          <w:color w:val="auto"/>
          <w:lang w:val="zh-CN"/>
        </w:rPr>
        <w:t>十、</w:t>
      </w:r>
      <w:r>
        <w:rPr>
          <w:rStyle w:val="30"/>
          <w:rFonts w:ascii="Calibri" w:hAnsi="Calibri" w:cs="Times New Roman"/>
          <w:color w:val="auto"/>
          <w:kern w:val="2"/>
          <w:sz w:val="21"/>
          <w:szCs w:val="22"/>
          <w:u w:val="none"/>
        </w:rPr>
        <w:tab/>
      </w:r>
      <w:r>
        <w:rPr>
          <w:rStyle w:val="30"/>
          <w:rFonts w:ascii="宋体" w:hAnsi="宋体" w:cs="Times New Roman"/>
          <w:color w:val="auto"/>
          <w:lang w:val="zh-CN"/>
        </w:rPr>
        <w:t>其他注意事项</w:t>
      </w:r>
      <w:r>
        <w:rPr>
          <w:rStyle w:val="30"/>
          <w:color w:val="auto"/>
          <w:u w:val="none"/>
        </w:rPr>
        <w:tab/>
      </w:r>
      <w:r>
        <w:rPr>
          <w:rStyle w:val="30"/>
          <w:color w:val="auto"/>
          <w:u w:val="none"/>
        </w:rPr>
        <w:fldChar w:fldCharType="begin"/>
      </w:r>
      <w:r>
        <w:rPr>
          <w:rStyle w:val="30"/>
          <w:color w:val="auto"/>
          <w:u w:val="none"/>
        </w:rPr>
        <w:instrText xml:space="preserve"> PAGEREF _Toc495861529 \h </w:instrText>
      </w:r>
      <w:r>
        <w:rPr>
          <w:rStyle w:val="30"/>
          <w:color w:val="auto"/>
          <w:u w:val="none"/>
        </w:rPr>
        <w:fldChar w:fldCharType="separate"/>
      </w:r>
      <w:r>
        <w:rPr>
          <w:rStyle w:val="30"/>
          <w:color w:val="auto"/>
          <w:u w:val="none"/>
        </w:rPr>
        <w:t>18</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"_Toc495861530" </w:instrText>
      </w:r>
      <w:r>
        <w:fldChar w:fldCharType="separate"/>
      </w:r>
      <w:r>
        <w:rPr>
          <w:rStyle w:val="30"/>
          <w:rFonts w:ascii="宋体" w:hAnsi="宋体" w:cs="Times New Roman"/>
          <w:color w:val="auto"/>
          <w:lang w:val="zh-CN"/>
        </w:rPr>
        <w:t>十一、</w:t>
      </w:r>
      <w:r>
        <w:rPr>
          <w:rStyle w:val="30"/>
          <w:rFonts w:ascii="Calibri" w:hAnsi="Calibri" w:cs="Times New Roman"/>
          <w:color w:val="auto"/>
          <w:kern w:val="2"/>
          <w:sz w:val="21"/>
          <w:szCs w:val="22"/>
          <w:u w:val="none"/>
        </w:rPr>
        <w:tab/>
      </w:r>
      <w:r>
        <w:rPr>
          <w:rStyle w:val="30"/>
          <w:rFonts w:ascii="宋体" w:hAnsi="宋体" w:cs="Times New Roman"/>
          <w:color w:val="auto"/>
          <w:lang w:val="zh-CN"/>
        </w:rPr>
        <w:t>适用法律</w:t>
      </w:r>
      <w:r>
        <w:rPr>
          <w:rStyle w:val="30"/>
          <w:color w:val="auto"/>
          <w:u w:val="none"/>
        </w:rPr>
        <w:tab/>
      </w:r>
      <w:r>
        <w:rPr>
          <w:rStyle w:val="30"/>
          <w:color w:val="auto"/>
          <w:u w:val="none"/>
        </w:rPr>
        <w:fldChar w:fldCharType="begin"/>
      </w:r>
      <w:r>
        <w:rPr>
          <w:rStyle w:val="30"/>
          <w:color w:val="auto"/>
          <w:u w:val="none"/>
        </w:rPr>
        <w:instrText xml:space="preserve"> PAGEREF _Toc495861530 \h </w:instrText>
      </w:r>
      <w:r>
        <w:rPr>
          <w:rStyle w:val="30"/>
          <w:color w:val="auto"/>
          <w:u w:val="none"/>
        </w:rPr>
        <w:fldChar w:fldCharType="separate"/>
      </w:r>
      <w:r>
        <w:rPr>
          <w:rStyle w:val="30"/>
          <w:color w:val="auto"/>
          <w:u w:val="none"/>
        </w:rPr>
        <w:t>18</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"_Toc495861531" </w:instrText>
      </w:r>
      <w:r>
        <w:fldChar w:fldCharType="separate"/>
      </w:r>
      <w:r>
        <w:rPr>
          <w:rStyle w:val="30"/>
          <w:rFonts w:ascii="宋体" w:hAnsi="宋体" w:cs="Times New Roman"/>
          <w:color w:val="auto"/>
          <w:lang w:val="zh-CN"/>
        </w:rPr>
        <w:t>十二、</w:t>
      </w:r>
      <w:r>
        <w:rPr>
          <w:rStyle w:val="30"/>
          <w:rFonts w:ascii="Calibri" w:hAnsi="Calibri" w:cs="Times New Roman"/>
          <w:color w:val="auto"/>
          <w:kern w:val="2"/>
          <w:sz w:val="21"/>
          <w:szCs w:val="22"/>
          <w:u w:val="none"/>
        </w:rPr>
        <w:tab/>
      </w:r>
      <w:r>
        <w:rPr>
          <w:rStyle w:val="30"/>
          <w:rFonts w:ascii="宋体" w:hAnsi="宋体" w:cs="Times New Roman"/>
          <w:color w:val="auto"/>
          <w:lang w:val="zh-CN"/>
        </w:rPr>
        <w:t>招标文件的解释权</w:t>
      </w:r>
      <w:r>
        <w:rPr>
          <w:rStyle w:val="30"/>
          <w:color w:val="auto"/>
          <w:u w:val="none"/>
        </w:rPr>
        <w:tab/>
      </w:r>
      <w:r>
        <w:rPr>
          <w:rStyle w:val="30"/>
          <w:color w:val="auto"/>
          <w:u w:val="none"/>
        </w:rPr>
        <w:fldChar w:fldCharType="begin"/>
      </w:r>
      <w:r>
        <w:rPr>
          <w:rStyle w:val="30"/>
          <w:color w:val="auto"/>
          <w:u w:val="none"/>
        </w:rPr>
        <w:instrText xml:space="preserve"> PAGEREF _Toc495861531 \h </w:instrText>
      </w:r>
      <w:r>
        <w:rPr>
          <w:rStyle w:val="30"/>
          <w:color w:val="auto"/>
          <w:u w:val="none"/>
        </w:rPr>
        <w:fldChar w:fldCharType="separate"/>
      </w:r>
      <w:r>
        <w:rPr>
          <w:rStyle w:val="30"/>
          <w:color w:val="auto"/>
          <w:u w:val="none"/>
        </w:rPr>
        <w:t>18</w:t>
      </w:r>
      <w:r>
        <w:rPr>
          <w:rStyle w:val="30"/>
          <w:color w:val="auto"/>
          <w:u w:val="none"/>
        </w:rPr>
        <w:fldChar w:fldCharType="end"/>
      </w:r>
      <w:r>
        <w:rPr>
          <w:rStyle w:val="30"/>
          <w:color w:val="auto"/>
          <w:u w:val="none"/>
        </w:rPr>
        <w:fldChar w:fldCharType="end"/>
      </w:r>
    </w:p>
    <w:p>
      <w:pPr>
        <w:pStyle w:val="21"/>
        <w:widowControl/>
        <w:tabs>
          <w:tab w:val="left" w:pos="1260"/>
          <w:tab w:val="right" w:leader="dot" w:pos="9514"/>
        </w:tabs>
        <w:spacing w:before="0" w:beforeAutospacing="0" w:after="0" w:afterAutospacing="0" w:line="360" w:lineRule="auto"/>
        <w:rPr>
          <w:rFonts w:eastAsia="宋体"/>
          <w:kern w:val="2"/>
          <w:sz w:val="21"/>
          <w:szCs w:val="22"/>
        </w:rPr>
      </w:pPr>
      <w:r>
        <w:fldChar w:fldCharType="begin"/>
      </w:r>
      <w:r>
        <w:instrText xml:space="preserve"> HYPERLINK "file:///C:/Users/11388/Desktop/P020200423398436491093%20(1).docx" \l "_Toc495861532" </w:instrText>
      </w:r>
      <w:r>
        <w:fldChar w:fldCharType="separate"/>
      </w:r>
      <w:r>
        <w:rPr>
          <w:rStyle w:val="30"/>
          <w:rFonts w:hint="eastAsia" w:ascii="黑体" w:hAnsi="宋体" w:eastAsia="黑体" w:cs="黑体"/>
          <w:color w:val="auto"/>
        </w:rPr>
        <w:t>第三章</w:t>
      </w:r>
      <w:r>
        <w:rPr>
          <w:rStyle w:val="30"/>
          <w:rFonts w:eastAsia="宋体"/>
          <w:color w:val="auto"/>
          <w:kern w:val="2"/>
          <w:sz w:val="21"/>
          <w:szCs w:val="22"/>
          <w:u w:val="none"/>
        </w:rPr>
        <w:tab/>
      </w:r>
      <w:r>
        <w:rPr>
          <w:rStyle w:val="30"/>
          <w:rFonts w:hint="eastAsia" w:ascii="黑体" w:hAnsi="宋体" w:eastAsia="黑体" w:cs="黑体"/>
          <w:color w:val="auto"/>
        </w:rPr>
        <w:t>项目技术、服务及商务要求</w:t>
      </w:r>
      <w:r>
        <w:rPr>
          <w:rStyle w:val="30"/>
          <w:color w:val="auto"/>
          <w:u w:val="none"/>
        </w:rPr>
        <w:tab/>
      </w:r>
      <w:r>
        <w:rPr>
          <w:rStyle w:val="30"/>
          <w:color w:val="auto"/>
          <w:u w:val="none"/>
        </w:rPr>
        <w:fldChar w:fldCharType="begin"/>
      </w:r>
      <w:r>
        <w:rPr>
          <w:rStyle w:val="30"/>
          <w:color w:val="auto"/>
          <w:u w:val="none"/>
        </w:rPr>
        <w:instrText xml:space="preserve"> PAGEREF _Toc495861532 \h </w:instrText>
      </w:r>
      <w:r>
        <w:rPr>
          <w:rStyle w:val="30"/>
          <w:color w:val="auto"/>
          <w:u w:val="none"/>
        </w:rPr>
        <w:fldChar w:fldCharType="separate"/>
      </w:r>
      <w:r>
        <w:rPr>
          <w:rStyle w:val="30"/>
          <w:color w:val="auto"/>
          <w:u w:val="none"/>
        </w:rPr>
        <w:t>19</w:t>
      </w:r>
      <w:r>
        <w:rPr>
          <w:rStyle w:val="30"/>
          <w:color w:val="auto"/>
          <w:u w:val="none"/>
        </w:rPr>
        <w:fldChar w:fldCharType="end"/>
      </w:r>
      <w:r>
        <w:rPr>
          <w:rStyle w:val="30"/>
          <w:color w:val="auto"/>
          <w:u w:val="none"/>
        </w:rPr>
        <w:fldChar w:fldCharType="end"/>
      </w:r>
    </w:p>
    <w:p>
      <w:pPr>
        <w:pStyle w:val="21"/>
        <w:widowControl/>
        <w:tabs>
          <w:tab w:val="left" w:pos="1260"/>
          <w:tab w:val="right" w:leader="dot" w:pos="9514"/>
        </w:tabs>
        <w:spacing w:before="0" w:beforeAutospacing="0" w:after="0" w:afterAutospacing="0" w:line="360" w:lineRule="auto"/>
        <w:rPr>
          <w:rFonts w:eastAsia="宋体"/>
          <w:kern w:val="2"/>
          <w:sz w:val="21"/>
          <w:szCs w:val="22"/>
        </w:rPr>
      </w:pPr>
      <w:r>
        <w:fldChar w:fldCharType="begin"/>
      </w:r>
      <w:r>
        <w:instrText xml:space="preserve"> HYPERLINK "file:///C:/Users/11388/Desktop/P020200423398436491093%20(1).docx" \l "_Toc495861538" </w:instrText>
      </w:r>
      <w:r>
        <w:fldChar w:fldCharType="separate"/>
      </w:r>
      <w:r>
        <w:rPr>
          <w:rStyle w:val="30"/>
          <w:rFonts w:hint="eastAsia" w:ascii="黑体" w:hAnsi="宋体" w:eastAsia="黑体" w:cs="黑体"/>
          <w:color w:val="auto"/>
        </w:rPr>
        <w:t>第四章</w:t>
      </w:r>
      <w:r>
        <w:rPr>
          <w:rStyle w:val="30"/>
          <w:rFonts w:eastAsia="宋体"/>
          <w:color w:val="auto"/>
          <w:kern w:val="2"/>
          <w:sz w:val="21"/>
          <w:szCs w:val="22"/>
          <w:u w:val="none"/>
        </w:rPr>
        <w:tab/>
      </w:r>
      <w:r>
        <w:rPr>
          <w:rStyle w:val="30"/>
          <w:rFonts w:hint="eastAsia" w:ascii="黑体" w:hAnsi="宋体" w:eastAsia="黑体" w:cs="黑体"/>
          <w:color w:val="auto"/>
        </w:rPr>
        <w:t>资格审查方法及标准</w:t>
      </w:r>
      <w:r>
        <w:rPr>
          <w:rStyle w:val="30"/>
          <w:color w:val="auto"/>
          <w:u w:val="none"/>
        </w:rPr>
        <w:tab/>
      </w:r>
      <w:r>
        <w:rPr>
          <w:rStyle w:val="30"/>
          <w:color w:val="auto"/>
          <w:u w:val="none"/>
        </w:rPr>
        <w:fldChar w:fldCharType="begin"/>
      </w:r>
      <w:r>
        <w:rPr>
          <w:rStyle w:val="30"/>
          <w:color w:val="auto"/>
          <w:u w:val="none"/>
        </w:rPr>
        <w:instrText xml:space="preserve"> PAGEREF _Toc495861538 \h </w:instrText>
      </w:r>
      <w:r>
        <w:rPr>
          <w:rStyle w:val="30"/>
          <w:color w:val="auto"/>
          <w:u w:val="none"/>
        </w:rPr>
        <w:fldChar w:fldCharType="separate"/>
      </w:r>
      <w:r>
        <w:rPr>
          <w:rStyle w:val="30"/>
          <w:color w:val="auto"/>
          <w:u w:val="none"/>
        </w:rPr>
        <w:t>32</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"_Toc495861539" </w:instrText>
      </w:r>
      <w:r>
        <w:fldChar w:fldCharType="separate"/>
      </w:r>
      <w:r>
        <w:rPr>
          <w:rStyle w:val="30"/>
          <w:rFonts w:ascii="宋体" w:hAnsi="宋体" w:cs="Times New Roman"/>
          <w:color w:val="auto"/>
          <w:lang w:val="zh-CN"/>
        </w:rPr>
        <w:t>一、</w:t>
      </w:r>
      <w:r>
        <w:rPr>
          <w:rStyle w:val="30"/>
          <w:rFonts w:ascii="Calibri" w:hAnsi="Calibri" w:cs="Times New Roman"/>
          <w:color w:val="auto"/>
          <w:kern w:val="2"/>
          <w:sz w:val="21"/>
          <w:szCs w:val="22"/>
          <w:u w:val="none"/>
        </w:rPr>
        <w:tab/>
      </w:r>
      <w:r>
        <w:rPr>
          <w:rStyle w:val="30"/>
          <w:rFonts w:ascii="宋体" w:hAnsi="宋体" w:cs="Times New Roman"/>
          <w:color w:val="auto"/>
          <w:lang w:val="zh-CN"/>
        </w:rPr>
        <w:t>资格审查方法</w:t>
      </w:r>
      <w:r>
        <w:rPr>
          <w:rStyle w:val="30"/>
          <w:color w:val="auto"/>
          <w:u w:val="none"/>
        </w:rPr>
        <w:tab/>
      </w:r>
      <w:r>
        <w:rPr>
          <w:rStyle w:val="30"/>
          <w:color w:val="auto"/>
          <w:u w:val="none"/>
        </w:rPr>
        <w:fldChar w:fldCharType="begin"/>
      </w:r>
      <w:r>
        <w:rPr>
          <w:rStyle w:val="30"/>
          <w:color w:val="auto"/>
          <w:u w:val="none"/>
        </w:rPr>
        <w:instrText xml:space="preserve"> PAGEREF _Toc495861539 \h </w:instrText>
      </w:r>
      <w:r>
        <w:rPr>
          <w:rStyle w:val="30"/>
          <w:color w:val="auto"/>
          <w:u w:val="none"/>
        </w:rPr>
        <w:fldChar w:fldCharType="separate"/>
      </w:r>
      <w:r>
        <w:rPr>
          <w:rStyle w:val="30"/>
          <w:color w:val="auto"/>
          <w:u w:val="none"/>
        </w:rPr>
        <w:t>33</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"_Toc495861540" </w:instrText>
      </w:r>
      <w:r>
        <w:fldChar w:fldCharType="separate"/>
      </w:r>
      <w:r>
        <w:rPr>
          <w:rStyle w:val="30"/>
          <w:rFonts w:ascii="宋体" w:hAnsi="宋体" w:cs="Times New Roman"/>
          <w:color w:val="auto"/>
          <w:lang w:val="zh-CN"/>
        </w:rPr>
        <w:t>二、</w:t>
      </w:r>
      <w:r>
        <w:rPr>
          <w:rStyle w:val="30"/>
          <w:rFonts w:ascii="Calibri" w:hAnsi="Calibri" w:cs="Times New Roman"/>
          <w:color w:val="auto"/>
          <w:kern w:val="2"/>
          <w:sz w:val="21"/>
          <w:szCs w:val="22"/>
          <w:u w:val="none"/>
        </w:rPr>
        <w:tab/>
      </w:r>
      <w:r>
        <w:rPr>
          <w:rStyle w:val="30"/>
          <w:rFonts w:ascii="宋体" w:hAnsi="宋体" w:cs="Times New Roman"/>
          <w:color w:val="auto"/>
          <w:lang w:val="zh-CN"/>
        </w:rPr>
        <w:t>资格审查标准</w:t>
      </w:r>
      <w:r>
        <w:rPr>
          <w:rStyle w:val="30"/>
          <w:color w:val="auto"/>
          <w:u w:val="none"/>
        </w:rPr>
        <w:tab/>
      </w:r>
      <w:r>
        <w:rPr>
          <w:rStyle w:val="30"/>
          <w:color w:val="auto"/>
          <w:u w:val="none"/>
        </w:rPr>
        <w:fldChar w:fldCharType="begin"/>
      </w:r>
      <w:r>
        <w:rPr>
          <w:rStyle w:val="30"/>
          <w:color w:val="auto"/>
          <w:u w:val="none"/>
        </w:rPr>
        <w:instrText xml:space="preserve"> PAGEREF _Toc495861540 \h </w:instrText>
      </w:r>
      <w:r>
        <w:rPr>
          <w:rStyle w:val="30"/>
          <w:color w:val="auto"/>
          <w:u w:val="none"/>
        </w:rPr>
        <w:fldChar w:fldCharType="separate"/>
      </w:r>
      <w:r>
        <w:rPr>
          <w:rStyle w:val="30"/>
          <w:color w:val="auto"/>
          <w:u w:val="none"/>
        </w:rPr>
        <w:t>33</w:t>
      </w:r>
      <w:r>
        <w:rPr>
          <w:rStyle w:val="30"/>
          <w:color w:val="auto"/>
          <w:u w:val="none"/>
        </w:rPr>
        <w:fldChar w:fldCharType="end"/>
      </w:r>
      <w:r>
        <w:rPr>
          <w:rStyle w:val="30"/>
          <w:color w:val="auto"/>
          <w:u w:val="none"/>
        </w:rPr>
        <w:fldChar w:fldCharType="end"/>
      </w:r>
    </w:p>
    <w:p>
      <w:pPr>
        <w:pStyle w:val="21"/>
        <w:widowControl/>
        <w:tabs>
          <w:tab w:val="left" w:pos="1260"/>
          <w:tab w:val="right" w:leader="dot" w:pos="9514"/>
        </w:tabs>
        <w:spacing w:before="0" w:beforeAutospacing="0" w:after="0" w:afterAutospacing="0" w:line="360" w:lineRule="auto"/>
        <w:rPr>
          <w:rFonts w:eastAsia="宋体"/>
          <w:kern w:val="2"/>
          <w:sz w:val="21"/>
          <w:szCs w:val="22"/>
        </w:rPr>
      </w:pPr>
      <w:r>
        <w:fldChar w:fldCharType="begin"/>
      </w:r>
      <w:r>
        <w:instrText xml:space="preserve"> HYPERLINK "file:///C:/Users/11388/Desktop/P020200423398436491093%20(1).docx" \l "_Toc495861541" </w:instrText>
      </w:r>
      <w:r>
        <w:fldChar w:fldCharType="separate"/>
      </w:r>
      <w:r>
        <w:rPr>
          <w:rStyle w:val="30"/>
          <w:rFonts w:hint="eastAsia" w:ascii="黑体" w:hAnsi="宋体" w:eastAsia="黑体" w:cs="黑体"/>
          <w:color w:val="auto"/>
        </w:rPr>
        <w:t>第五章</w:t>
      </w:r>
      <w:r>
        <w:rPr>
          <w:rStyle w:val="30"/>
          <w:rFonts w:eastAsia="宋体"/>
          <w:color w:val="auto"/>
          <w:kern w:val="2"/>
          <w:sz w:val="21"/>
          <w:szCs w:val="22"/>
          <w:u w:val="none"/>
        </w:rPr>
        <w:tab/>
      </w:r>
      <w:r>
        <w:rPr>
          <w:rStyle w:val="30"/>
          <w:rFonts w:hint="eastAsia" w:ascii="黑体" w:hAnsi="宋体" w:eastAsia="黑体" w:cs="黑体"/>
          <w:color w:val="auto"/>
        </w:rPr>
        <w:t>评标方法、程序及标准</w:t>
      </w:r>
      <w:r>
        <w:rPr>
          <w:rStyle w:val="30"/>
          <w:color w:val="auto"/>
          <w:u w:val="none"/>
        </w:rPr>
        <w:tab/>
      </w:r>
      <w:r>
        <w:rPr>
          <w:rStyle w:val="30"/>
          <w:color w:val="auto"/>
          <w:u w:val="none"/>
        </w:rPr>
        <w:fldChar w:fldCharType="begin"/>
      </w:r>
      <w:r>
        <w:rPr>
          <w:rStyle w:val="30"/>
          <w:color w:val="auto"/>
          <w:u w:val="none"/>
        </w:rPr>
        <w:instrText xml:space="preserve"> PAGEREF _Toc495861541 \h </w:instrText>
      </w:r>
      <w:r>
        <w:rPr>
          <w:rStyle w:val="30"/>
          <w:color w:val="auto"/>
          <w:u w:val="none"/>
        </w:rPr>
        <w:fldChar w:fldCharType="separate"/>
      </w:r>
      <w:r>
        <w:rPr>
          <w:rStyle w:val="30"/>
          <w:color w:val="auto"/>
          <w:u w:val="none"/>
        </w:rPr>
        <w:t>35</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"_Toc495861542" </w:instrText>
      </w:r>
      <w:r>
        <w:fldChar w:fldCharType="separate"/>
      </w:r>
      <w:r>
        <w:rPr>
          <w:rStyle w:val="30"/>
          <w:rFonts w:ascii="宋体" w:hAnsi="宋体" w:cs="Times New Roman"/>
          <w:color w:val="auto"/>
          <w:lang w:val="zh-CN"/>
        </w:rPr>
        <w:t>一、</w:t>
      </w:r>
      <w:r>
        <w:rPr>
          <w:rStyle w:val="30"/>
          <w:rFonts w:ascii="Calibri" w:hAnsi="Calibri" w:cs="Times New Roman"/>
          <w:color w:val="auto"/>
          <w:kern w:val="2"/>
          <w:sz w:val="21"/>
          <w:szCs w:val="22"/>
          <w:u w:val="none"/>
        </w:rPr>
        <w:tab/>
      </w:r>
      <w:r>
        <w:rPr>
          <w:rStyle w:val="30"/>
          <w:rFonts w:ascii="宋体" w:hAnsi="宋体" w:cs="Times New Roman"/>
          <w:color w:val="auto"/>
          <w:lang w:val="zh-CN"/>
        </w:rPr>
        <w:t>评标方法</w:t>
      </w:r>
      <w:r>
        <w:rPr>
          <w:rStyle w:val="30"/>
          <w:color w:val="auto"/>
          <w:u w:val="none"/>
        </w:rPr>
        <w:tab/>
      </w:r>
      <w:r>
        <w:rPr>
          <w:rStyle w:val="30"/>
          <w:color w:val="auto"/>
          <w:u w:val="none"/>
        </w:rPr>
        <w:fldChar w:fldCharType="begin"/>
      </w:r>
      <w:r>
        <w:rPr>
          <w:rStyle w:val="30"/>
          <w:color w:val="auto"/>
          <w:u w:val="none"/>
        </w:rPr>
        <w:instrText xml:space="preserve"> PAGEREF _Toc495861542 \h </w:instrText>
      </w:r>
      <w:r>
        <w:rPr>
          <w:rStyle w:val="30"/>
          <w:color w:val="auto"/>
          <w:u w:val="none"/>
        </w:rPr>
        <w:fldChar w:fldCharType="separate"/>
      </w:r>
      <w:r>
        <w:rPr>
          <w:rStyle w:val="30"/>
          <w:color w:val="auto"/>
          <w:u w:val="none"/>
        </w:rPr>
        <w:t>35</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"_Toc495861543" </w:instrText>
      </w:r>
      <w:r>
        <w:fldChar w:fldCharType="separate"/>
      </w:r>
      <w:r>
        <w:rPr>
          <w:rStyle w:val="30"/>
          <w:rFonts w:ascii="宋体" w:hAnsi="宋体" w:cs="Times New Roman"/>
          <w:color w:val="auto"/>
          <w:lang w:val="zh-CN"/>
        </w:rPr>
        <w:t>二、</w:t>
      </w:r>
      <w:r>
        <w:rPr>
          <w:rStyle w:val="30"/>
          <w:rFonts w:ascii="Calibri" w:hAnsi="Calibri" w:cs="Times New Roman"/>
          <w:color w:val="auto"/>
          <w:kern w:val="2"/>
          <w:sz w:val="21"/>
          <w:szCs w:val="22"/>
          <w:u w:val="none"/>
        </w:rPr>
        <w:tab/>
      </w:r>
      <w:r>
        <w:rPr>
          <w:rStyle w:val="30"/>
          <w:rFonts w:ascii="宋体" w:hAnsi="宋体" w:cs="Times New Roman"/>
          <w:color w:val="auto"/>
          <w:lang w:val="zh-CN"/>
        </w:rPr>
        <w:t>评标程序及标准</w:t>
      </w:r>
      <w:r>
        <w:rPr>
          <w:rStyle w:val="30"/>
          <w:color w:val="auto"/>
          <w:u w:val="none"/>
        </w:rPr>
        <w:tab/>
      </w:r>
      <w:r>
        <w:rPr>
          <w:rStyle w:val="30"/>
          <w:color w:val="auto"/>
          <w:u w:val="none"/>
        </w:rPr>
        <w:fldChar w:fldCharType="begin"/>
      </w:r>
      <w:r>
        <w:rPr>
          <w:rStyle w:val="30"/>
          <w:color w:val="auto"/>
          <w:u w:val="none"/>
        </w:rPr>
        <w:instrText xml:space="preserve"> PAGEREF _Toc495861543 \h </w:instrText>
      </w:r>
      <w:r>
        <w:rPr>
          <w:rStyle w:val="30"/>
          <w:color w:val="auto"/>
          <w:u w:val="none"/>
        </w:rPr>
        <w:fldChar w:fldCharType="separate"/>
      </w:r>
      <w:r>
        <w:rPr>
          <w:rStyle w:val="30"/>
          <w:color w:val="auto"/>
          <w:u w:val="none"/>
        </w:rPr>
        <w:t>35</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"_Toc495861544" </w:instrText>
      </w:r>
      <w:r>
        <w:fldChar w:fldCharType="separate"/>
      </w:r>
      <w:r>
        <w:rPr>
          <w:rStyle w:val="30"/>
          <w:rFonts w:ascii="宋体" w:hAnsi="宋体" w:cs="Times New Roman"/>
          <w:color w:val="auto"/>
          <w:lang w:val="zh-CN"/>
        </w:rPr>
        <w:t>三、</w:t>
      </w:r>
      <w:r>
        <w:rPr>
          <w:rStyle w:val="30"/>
          <w:rFonts w:ascii="Calibri" w:hAnsi="Calibri" w:cs="Times New Roman"/>
          <w:color w:val="auto"/>
          <w:kern w:val="2"/>
          <w:sz w:val="21"/>
          <w:szCs w:val="22"/>
          <w:u w:val="none"/>
        </w:rPr>
        <w:tab/>
      </w:r>
      <w:r>
        <w:rPr>
          <w:rStyle w:val="30"/>
          <w:rFonts w:ascii="宋体" w:hAnsi="宋体" w:cs="Times New Roman"/>
          <w:color w:val="auto"/>
          <w:lang w:val="zh-CN"/>
        </w:rPr>
        <w:t>评审因素及评分标准</w:t>
      </w:r>
      <w:r>
        <w:rPr>
          <w:rStyle w:val="30"/>
          <w:color w:val="auto"/>
          <w:u w:val="none"/>
        </w:rPr>
        <w:tab/>
      </w:r>
      <w:r>
        <w:rPr>
          <w:rStyle w:val="30"/>
          <w:color w:val="auto"/>
          <w:u w:val="none"/>
        </w:rPr>
        <w:fldChar w:fldCharType="begin"/>
      </w:r>
      <w:r>
        <w:rPr>
          <w:rStyle w:val="30"/>
          <w:color w:val="auto"/>
          <w:u w:val="none"/>
        </w:rPr>
        <w:instrText xml:space="preserve"> PAGEREF _Toc495861544 \h </w:instrText>
      </w:r>
      <w:r>
        <w:rPr>
          <w:rStyle w:val="30"/>
          <w:color w:val="auto"/>
          <w:u w:val="none"/>
        </w:rPr>
        <w:fldChar w:fldCharType="separate"/>
      </w:r>
      <w:r>
        <w:rPr>
          <w:rStyle w:val="30"/>
          <w:color w:val="auto"/>
          <w:u w:val="none"/>
        </w:rPr>
        <w:t>39</w:t>
      </w:r>
      <w:r>
        <w:rPr>
          <w:rStyle w:val="30"/>
          <w:color w:val="auto"/>
          <w:u w:val="none"/>
        </w:rPr>
        <w:fldChar w:fldCharType="end"/>
      </w:r>
      <w:r>
        <w:rPr>
          <w:rStyle w:val="30"/>
          <w:color w:val="auto"/>
          <w:u w:val="none"/>
        </w:rPr>
        <w:fldChar w:fldCharType="end"/>
      </w:r>
    </w:p>
    <w:p>
      <w:pPr>
        <w:pStyle w:val="21"/>
        <w:widowControl/>
        <w:tabs>
          <w:tab w:val="left" w:pos="1260"/>
          <w:tab w:val="right" w:leader="dot" w:pos="9514"/>
        </w:tabs>
        <w:spacing w:before="0" w:beforeAutospacing="0" w:after="0" w:afterAutospacing="0" w:line="360" w:lineRule="auto"/>
        <w:rPr>
          <w:rFonts w:eastAsia="宋体"/>
          <w:kern w:val="2"/>
          <w:sz w:val="21"/>
          <w:szCs w:val="22"/>
        </w:rPr>
      </w:pPr>
      <w:r>
        <w:fldChar w:fldCharType="begin"/>
      </w:r>
      <w:r>
        <w:instrText xml:space="preserve"> HYPERLINK "file:///C:/Users/11388/Desktop/P020200423398436491093%20(1).docx" \l "_Toc495861545" </w:instrText>
      </w:r>
      <w:r>
        <w:fldChar w:fldCharType="separate"/>
      </w:r>
      <w:r>
        <w:rPr>
          <w:rStyle w:val="30"/>
          <w:rFonts w:hint="eastAsia" w:ascii="黑体" w:hAnsi="宋体" w:eastAsia="黑体" w:cs="黑体"/>
          <w:color w:val="auto"/>
        </w:rPr>
        <w:t>第六章</w:t>
      </w:r>
      <w:r>
        <w:rPr>
          <w:rStyle w:val="30"/>
          <w:rFonts w:eastAsia="宋体"/>
          <w:color w:val="auto"/>
          <w:kern w:val="2"/>
          <w:sz w:val="21"/>
          <w:szCs w:val="22"/>
          <w:u w:val="none"/>
        </w:rPr>
        <w:tab/>
      </w:r>
      <w:r>
        <w:rPr>
          <w:rStyle w:val="30"/>
          <w:rFonts w:hint="eastAsia" w:ascii="黑体" w:hAnsi="宋体" w:eastAsia="黑体" w:cs="黑体"/>
          <w:color w:val="auto"/>
        </w:rPr>
        <w:t>合同书格式（参考）</w:t>
      </w:r>
      <w:r>
        <w:rPr>
          <w:rStyle w:val="30"/>
          <w:color w:val="auto"/>
          <w:u w:val="none"/>
        </w:rPr>
        <w:tab/>
      </w:r>
      <w:r>
        <w:rPr>
          <w:rStyle w:val="30"/>
          <w:color w:val="auto"/>
          <w:u w:val="none"/>
        </w:rPr>
        <w:fldChar w:fldCharType="begin"/>
      </w:r>
      <w:r>
        <w:rPr>
          <w:rStyle w:val="30"/>
          <w:color w:val="auto"/>
          <w:u w:val="none"/>
        </w:rPr>
        <w:instrText xml:space="preserve"> PAGEREF _Toc495861545 \h </w:instrText>
      </w:r>
      <w:r>
        <w:rPr>
          <w:rStyle w:val="30"/>
          <w:color w:val="auto"/>
          <w:u w:val="none"/>
        </w:rPr>
        <w:fldChar w:fldCharType="separate"/>
      </w:r>
      <w:r>
        <w:rPr>
          <w:rStyle w:val="30"/>
          <w:color w:val="auto"/>
          <w:u w:val="none"/>
        </w:rPr>
        <w:t>43</w:t>
      </w:r>
      <w:r>
        <w:rPr>
          <w:rStyle w:val="30"/>
          <w:color w:val="auto"/>
          <w:u w:val="none"/>
        </w:rPr>
        <w:fldChar w:fldCharType="end"/>
      </w:r>
      <w:r>
        <w:rPr>
          <w:rStyle w:val="30"/>
          <w:color w:val="auto"/>
          <w:u w:val="none"/>
        </w:rPr>
        <w:fldChar w:fldCharType="end"/>
      </w:r>
    </w:p>
    <w:p>
      <w:pPr>
        <w:pStyle w:val="21"/>
        <w:widowControl/>
        <w:tabs>
          <w:tab w:val="left" w:pos="1260"/>
          <w:tab w:val="right" w:leader="dot" w:pos="9514"/>
        </w:tabs>
        <w:spacing w:before="0" w:beforeAutospacing="0" w:after="0" w:afterAutospacing="0" w:line="360" w:lineRule="auto"/>
        <w:rPr>
          <w:rFonts w:eastAsia="宋体"/>
          <w:kern w:val="2"/>
          <w:sz w:val="21"/>
          <w:szCs w:val="22"/>
        </w:rPr>
      </w:pPr>
      <w:r>
        <w:fldChar w:fldCharType="begin"/>
      </w:r>
      <w:r>
        <w:instrText xml:space="preserve"> HYPERLINK "file:///C:/Users/11388/Desktop/P020200423398436491093%20(1).docx" \l "_Toc495861546" </w:instrText>
      </w:r>
      <w:r>
        <w:fldChar w:fldCharType="separate"/>
      </w:r>
      <w:r>
        <w:rPr>
          <w:rStyle w:val="30"/>
          <w:rFonts w:hint="eastAsia" w:ascii="黑体" w:hAnsi="宋体" w:eastAsia="黑体" w:cs="黑体"/>
          <w:color w:val="auto"/>
        </w:rPr>
        <w:t>第七章</w:t>
      </w:r>
      <w:r>
        <w:rPr>
          <w:rStyle w:val="30"/>
          <w:rFonts w:eastAsia="宋体"/>
          <w:color w:val="auto"/>
          <w:kern w:val="2"/>
          <w:sz w:val="21"/>
          <w:szCs w:val="22"/>
          <w:u w:val="none"/>
        </w:rPr>
        <w:tab/>
      </w:r>
      <w:r>
        <w:rPr>
          <w:rStyle w:val="30"/>
          <w:rFonts w:hint="eastAsia" w:ascii="黑体" w:hAnsi="宋体" w:eastAsia="黑体" w:cs="黑体"/>
          <w:color w:val="auto"/>
        </w:rPr>
        <w:t>投标文件格式（参考）</w:t>
      </w:r>
      <w:r>
        <w:rPr>
          <w:rStyle w:val="30"/>
          <w:color w:val="auto"/>
          <w:u w:val="none"/>
        </w:rPr>
        <w:tab/>
      </w:r>
      <w:r>
        <w:rPr>
          <w:rStyle w:val="30"/>
          <w:color w:val="auto"/>
          <w:u w:val="none"/>
        </w:rPr>
        <w:fldChar w:fldCharType="begin"/>
      </w:r>
      <w:r>
        <w:rPr>
          <w:rStyle w:val="30"/>
          <w:color w:val="auto"/>
          <w:u w:val="none"/>
        </w:rPr>
        <w:instrText xml:space="preserve"> PAGEREF _Toc495861546 \h </w:instrText>
      </w:r>
      <w:r>
        <w:rPr>
          <w:rStyle w:val="30"/>
          <w:color w:val="auto"/>
          <w:u w:val="none"/>
        </w:rPr>
        <w:fldChar w:fldCharType="separate"/>
      </w:r>
      <w:r>
        <w:rPr>
          <w:rStyle w:val="30"/>
          <w:color w:val="auto"/>
          <w:u w:val="none"/>
        </w:rPr>
        <w:t>48</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"_Toc495861547" </w:instrText>
      </w:r>
      <w:r>
        <w:fldChar w:fldCharType="separate"/>
      </w:r>
      <w:r>
        <w:rPr>
          <w:rStyle w:val="30"/>
          <w:rFonts w:ascii="宋体" w:hAnsi="宋体" w:cs="Times New Roman"/>
          <w:color w:val="auto"/>
          <w:lang w:val="zh-CN"/>
        </w:rPr>
        <w:t>第一部分资格证明文件</w:t>
      </w:r>
      <w:r>
        <w:rPr>
          <w:rStyle w:val="30"/>
          <w:color w:val="auto"/>
          <w:u w:val="none"/>
        </w:rPr>
        <w:tab/>
      </w:r>
      <w:r>
        <w:rPr>
          <w:rStyle w:val="30"/>
          <w:color w:val="auto"/>
          <w:u w:val="none"/>
        </w:rPr>
        <w:fldChar w:fldCharType="begin"/>
      </w:r>
      <w:r>
        <w:rPr>
          <w:rStyle w:val="30"/>
          <w:color w:val="auto"/>
          <w:u w:val="none"/>
        </w:rPr>
        <w:instrText xml:space="preserve"> PAGEREF _Toc495861547 \h </w:instrText>
      </w:r>
      <w:r>
        <w:rPr>
          <w:rStyle w:val="30"/>
          <w:color w:val="auto"/>
          <w:u w:val="none"/>
        </w:rPr>
        <w:fldChar w:fldCharType="separate"/>
      </w:r>
      <w:r>
        <w:rPr>
          <w:rStyle w:val="30"/>
          <w:color w:val="auto"/>
          <w:u w:val="none"/>
        </w:rPr>
        <w:t>48</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"_Toc495861548" </w:instrText>
      </w:r>
      <w:r>
        <w:fldChar w:fldCharType="separate"/>
      </w:r>
      <w:r>
        <w:rPr>
          <w:rStyle w:val="30"/>
          <w:rFonts w:ascii="宋体" w:hAnsi="宋体" w:cs="Times New Roman"/>
          <w:color w:val="auto"/>
          <w:lang w:val="zh-CN"/>
        </w:rPr>
        <w:t>第二部分商务文件</w:t>
      </w:r>
      <w:r>
        <w:rPr>
          <w:rStyle w:val="30"/>
          <w:color w:val="auto"/>
          <w:u w:val="none"/>
        </w:rPr>
        <w:tab/>
      </w:r>
      <w:r>
        <w:rPr>
          <w:rStyle w:val="30"/>
          <w:color w:val="auto"/>
          <w:u w:val="none"/>
        </w:rPr>
        <w:fldChar w:fldCharType="begin"/>
      </w:r>
      <w:r>
        <w:rPr>
          <w:rStyle w:val="30"/>
          <w:color w:val="auto"/>
          <w:u w:val="none"/>
        </w:rPr>
        <w:instrText xml:space="preserve"> PAGEREF _Toc495861548 \h </w:instrText>
      </w:r>
      <w:r>
        <w:rPr>
          <w:rStyle w:val="30"/>
          <w:color w:val="auto"/>
          <w:u w:val="none"/>
        </w:rPr>
        <w:fldChar w:fldCharType="separate"/>
      </w:r>
      <w:r>
        <w:rPr>
          <w:rStyle w:val="30"/>
          <w:color w:val="auto"/>
          <w:u w:val="none"/>
        </w:rPr>
        <w:t>50</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"_Toc495861549" </w:instrText>
      </w:r>
      <w:r>
        <w:fldChar w:fldCharType="separate"/>
      </w:r>
      <w:r>
        <w:rPr>
          <w:rStyle w:val="30"/>
          <w:rFonts w:ascii="宋体" w:hAnsi="宋体" w:cs="Times New Roman"/>
          <w:color w:val="auto"/>
          <w:lang w:val="zh-CN"/>
        </w:rPr>
        <w:t>第三部分技术、服务文件</w:t>
      </w:r>
      <w:r>
        <w:rPr>
          <w:rStyle w:val="30"/>
          <w:color w:val="auto"/>
          <w:u w:val="none"/>
        </w:rPr>
        <w:tab/>
      </w:r>
      <w:r>
        <w:rPr>
          <w:rStyle w:val="30"/>
          <w:color w:val="auto"/>
          <w:u w:val="none"/>
        </w:rPr>
        <w:fldChar w:fldCharType="begin"/>
      </w:r>
      <w:r>
        <w:rPr>
          <w:rStyle w:val="30"/>
          <w:color w:val="auto"/>
          <w:u w:val="none"/>
        </w:rPr>
        <w:instrText xml:space="preserve"> PAGEREF _Toc495861549 \h </w:instrText>
      </w:r>
      <w:r>
        <w:rPr>
          <w:rStyle w:val="30"/>
          <w:color w:val="auto"/>
          <w:u w:val="none"/>
        </w:rPr>
        <w:fldChar w:fldCharType="separate"/>
      </w:r>
      <w:r>
        <w:rPr>
          <w:rStyle w:val="30"/>
          <w:color w:val="auto"/>
          <w:u w:val="none"/>
        </w:rPr>
        <w:t>52</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"_Toc495861550" </w:instrText>
      </w:r>
      <w:r>
        <w:fldChar w:fldCharType="separate"/>
      </w:r>
      <w:r>
        <w:rPr>
          <w:rStyle w:val="30"/>
          <w:rFonts w:eastAsia="宋体"/>
          <w:color w:val="auto"/>
        </w:rPr>
        <w:t>附件一、</w:t>
      </w:r>
      <w:r>
        <w:rPr>
          <w:rStyle w:val="30"/>
          <w:rFonts w:ascii="Calibri" w:hAnsi="Calibri" w:cs="Times New Roman"/>
          <w:color w:val="auto"/>
          <w:kern w:val="2"/>
          <w:sz w:val="21"/>
          <w:szCs w:val="22"/>
          <w:u w:val="none"/>
        </w:rPr>
        <w:tab/>
      </w:r>
      <w:r>
        <w:rPr>
          <w:rStyle w:val="30"/>
          <w:rFonts w:eastAsia="宋体"/>
          <w:color w:val="auto"/>
        </w:rPr>
        <w:t>投标书</w:t>
      </w:r>
      <w:r>
        <w:rPr>
          <w:rStyle w:val="30"/>
          <w:color w:val="auto"/>
          <w:u w:val="none"/>
        </w:rPr>
        <w:tab/>
      </w:r>
      <w:r>
        <w:rPr>
          <w:rStyle w:val="30"/>
          <w:color w:val="auto"/>
          <w:u w:val="none"/>
        </w:rPr>
        <w:fldChar w:fldCharType="begin"/>
      </w:r>
      <w:r>
        <w:rPr>
          <w:rStyle w:val="30"/>
          <w:color w:val="auto"/>
          <w:u w:val="none"/>
        </w:rPr>
        <w:instrText xml:space="preserve"> PAGEREF _Toc495861550 \h </w:instrText>
      </w:r>
      <w:r>
        <w:rPr>
          <w:rStyle w:val="30"/>
          <w:color w:val="auto"/>
          <w:u w:val="none"/>
        </w:rPr>
        <w:fldChar w:fldCharType="separate"/>
      </w:r>
      <w:r>
        <w:rPr>
          <w:rStyle w:val="30"/>
          <w:color w:val="auto"/>
          <w:u w:val="none"/>
        </w:rPr>
        <w:t>54</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"_Toc495861551" </w:instrText>
      </w:r>
      <w:r>
        <w:fldChar w:fldCharType="separate"/>
      </w:r>
      <w:r>
        <w:rPr>
          <w:rStyle w:val="30"/>
          <w:rFonts w:eastAsia="宋体"/>
          <w:color w:val="auto"/>
        </w:rPr>
        <w:t>附件二、</w:t>
      </w:r>
      <w:r>
        <w:rPr>
          <w:rStyle w:val="30"/>
          <w:rFonts w:ascii="Calibri" w:hAnsi="Calibri" w:cs="Times New Roman"/>
          <w:color w:val="auto"/>
          <w:kern w:val="2"/>
          <w:sz w:val="21"/>
          <w:szCs w:val="22"/>
          <w:u w:val="none"/>
        </w:rPr>
        <w:tab/>
      </w:r>
      <w:r>
        <w:rPr>
          <w:rStyle w:val="30"/>
          <w:rFonts w:eastAsia="宋体"/>
          <w:color w:val="auto"/>
        </w:rPr>
        <w:t>制造商中小企业声明函</w:t>
      </w:r>
      <w:r>
        <w:rPr>
          <w:rStyle w:val="30"/>
          <w:color w:val="auto"/>
          <w:u w:val="none"/>
        </w:rPr>
        <w:tab/>
      </w:r>
      <w:r>
        <w:rPr>
          <w:rStyle w:val="30"/>
          <w:color w:val="auto"/>
          <w:u w:val="none"/>
        </w:rPr>
        <w:fldChar w:fldCharType="begin"/>
      </w:r>
      <w:r>
        <w:rPr>
          <w:rStyle w:val="30"/>
          <w:color w:val="auto"/>
          <w:u w:val="none"/>
        </w:rPr>
        <w:instrText xml:space="preserve"> PAGEREF _Toc495861551 \h </w:instrText>
      </w:r>
      <w:r>
        <w:rPr>
          <w:rStyle w:val="30"/>
          <w:color w:val="auto"/>
          <w:u w:val="none"/>
        </w:rPr>
        <w:fldChar w:fldCharType="separate"/>
      </w:r>
      <w:r>
        <w:rPr>
          <w:rStyle w:val="30"/>
          <w:color w:val="auto"/>
          <w:u w:val="none"/>
        </w:rPr>
        <w:t>55</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"_Toc495861552" </w:instrText>
      </w:r>
      <w:r>
        <w:fldChar w:fldCharType="separate"/>
      </w:r>
      <w:r>
        <w:rPr>
          <w:rStyle w:val="30"/>
          <w:rFonts w:eastAsia="宋体"/>
          <w:color w:val="auto"/>
        </w:rPr>
        <w:t>附件三、</w:t>
      </w:r>
      <w:r>
        <w:rPr>
          <w:rStyle w:val="30"/>
          <w:rFonts w:ascii="Calibri" w:hAnsi="Calibri" w:cs="Times New Roman"/>
          <w:color w:val="auto"/>
          <w:kern w:val="2"/>
          <w:sz w:val="21"/>
          <w:szCs w:val="22"/>
          <w:u w:val="none"/>
        </w:rPr>
        <w:tab/>
      </w:r>
      <w:r>
        <w:rPr>
          <w:rStyle w:val="30"/>
          <w:rFonts w:eastAsia="宋体"/>
          <w:color w:val="auto"/>
        </w:rPr>
        <w:t>中小企业声明函</w:t>
      </w:r>
      <w:r>
        <w:rPr>
          <w:rStyle w:val="30"/>
          <w:color w:val="auto"/>
          <w:u w:val="none"/>
        </w:rPr>
        <w:tab/>
      </w:r>
      <w:r>
        <w:rPr>
          <w:rStyle w:val="30"/>
          <w:color w:val="auto"/>
          <w:u w:val="none"/>
        </w:rPr>
        <w:fldChar w:fldCharType="begin"/>
      </w:r>
      <w:r>
        <w:rPr>
          <w:rStyle w:val="30"/>
          <w:color w:val="auto"/>
          <w:u w:val="none"/>
        </w:rPr>
        <w:instrText xml:space="preserve"> PAGEREF _Toc495861552 \h </w:instrText>
      </w:r>
      <w:r>
        <w:rPr>
          <w:rStyle w:val="30"/>
          <w:color w:val="auto"/>
          <w:u w:val="none"/>
        </w:rPr>
        <w:fldChar w:fldCharType="separate"/>
      </w:r>
      <w:r>
        <w:rPr>
          <w:rStyle w:val="30"/>
          <w:color w:val="auto"/>
          <w:u w:val="none"/>
        </w:rPr>
        <w:t>56</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"_Toc495861553" </w:instrText>
      </w:r>
      <w:r>
        <w:fldChar w:fldCharType="separate"/>
      </w:r>
      <w:r>
        <w:rPr>
          <w:rStyle w:val="30"/>
          <w:rFonts w:eastAsia="宋体"/>
          <w:color w:val="auto"/>
        </w:rPr>
        <w:t>附件四、</w:t>
      </w:r>
      <w:r>
        <w:rPr>
          <w:rStyle w:val="30"/>
          <w:rFonts w:ascii="Calibri" w:hAnsi="Calibri" w:cs="Times New Roman"/>
          <w:color w:val="auto"/>
          <w:kern w:val="2"/>
          <w:sz w:val="21"/>
          <w:szCs w:val="22"/>
          <w:u w:val="none"/>
        </w:rPr>
        <w:tab/>
      </w:r>
      <w:r>
        <w:rPr>
          <w:rStyle w:val="30"/>
          <w:rFonts w:eastAsia="宋体"/>
          <w:color w:val="auto"/>
        </w:rPr>
        <w:t>残疾人福利性单位声明函</w:t>
      </w:r>
      <w:r>
        <w:rPr>
          <w:rStyle w:val="30"/>
          <w:color w:val="auto"/>
          <w:u w:val="none"/>
        </w:rPr>
        <w:tab/>
      </w:r>
      <w:r>
        <w:rPr>
          <w:rStyle w:val="30"/>
          <w:color w:val="auto"/>
          <w:u w:val="none"/>
        </w:rPr>
        <w:fldChar w:fldCharType="begin"/>
      </w:r>
      <w:r>
        <w:rPr>
          <w:rStyle w:val="30"/>
          <w:color w:val="auto"/>
          <w:u w:val="none"/>
        </w:rPr>
        <w:instrText xml:space="preserve"> PAGEREF _Toc495861553 \h </w:instrText>
      </w:r>
      <w:r>
        <w:rPr>
          <w:rStyle w:val="30"/>
          <w:color w:val="auto"/>
          <w:u w:val="none"/>
        </w:rPr>
        <w:fldChar w:fldCharType="separate"/>
      </w:r>
      <w:r>
        <w:rPr>
          <w:rStyle w:val="30"/>
          <w:color w:val="auto"/>
          <w:u w:val="none"/>
        </w:rPr>
        <w:t>59</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"_Toc495861554" </w:instrText>
      </w:r>
      <w:r>
        <w:fldChar w:fldCharType="separate"/>
      </w:r>
      <w:r>
        <w:rPr>
          <w:rStyle w:val="30"/>
          <w:rFonts w:eastAsia="宋体"/>
          <w:color w:val="auto"/>
        </w:rPr>
        <w:t>附件五、</w:t>
      </w:r>
      <w:r>
        <w:rPr>
          <w:rStyle w:val="30"/>
          <w:rFonts w:ascii="Calibri" w:hAnsi="Calibri" w:cs="Times New Roman"/>
          <w:color w:val="auto"/>
          <w:kern w:val="2"/>
          <w:sz w:val="21"/>
          <w:szCs w:val="22"/>
          <w:u w:val="none"/>
        </w:rPr>
        <w:tab/>
      </w:r>
      <w:r>
        <w:rPr>
          <w:rStyle w:val="30"/>
          <w:rFonts w:eastAsia="宋体"/>
          <w:color w:val="auto"/>
        </w:rPr>
        <w:t>开标一览表</w:t>
      </w:r>
      <w:r>
        <w:rPr>
          <w:rStyle w:val="30"/>
          <w:color w:val="auto"/>
          <w:u w:val="none"/>
        </w:rPr>
        <w:tab/>
      </w:r>
      <w:r>
        <w:rPr>
          <w:rStyle w:val="30"/>
          <w:color w:val="auto"/>
          <w:u w:val="none"/>
        </w:rPr>
        <w:fldChar w:fldCharType="begin"/>
      </w:r>
      <w:r>
        <w:rPr>
          <w:rStyle w:val="30"/>
          <w:color w:val="auto"/>
          <w:u w:val="none"/>
        </w:rPr>
        <w:instrText xml:space="preserve"> PAGEREF _Toc495861554 \h </w:instrText>
      </w:r>
      <w:r>
        <w:rPr>
          <w:rStyle w:val="30"/>
          <w:color w:val="auto"/>
          <w:u w:val="none"/>
        </w:rPr>
        <w:fldChar w:fldCharType="separate"/>
      </w:r>
      <w:r>
        <w:rPr>
          <w:rStyle w:val="30"/>
          <w:color w:val="auto"/>
          <w:u w:val="none"/>
        </w:rPr>
        <w:t>62</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"_Toc495861555" </w:instrText>
      </w:r>
      <w:r>
        <w:fldChar w:fldCharType="separate"/>
      </w:r>
      <w:r>
        <w:rPr>
          <w:rStyle w:val="30"/>
          <w:rFonts w:eastAsia="宋体"/>
          <w:color w:val="auto"/>
        </w:rPr>
        <w:t>附件六、</w:t>
      </w:r>
      <w:r>
        <w:rPr>
          <w:rStyle w:val="30"/>
          <w:rFonts w:ascii="Calibri" w:hAnsi="Calibri" w:cs="Times New Roman"/>
          <w:color w:val="auto"/>
          <w:kern w:val="2"/>
          <w:sz w:val="21"/>
          <w:szCs w:val="22"/>
          <w:u w:val="none"/>
        </w:rPr>
        <w:tab/>
      </w:r>
      <w:r>
        <w:rPr>
          <w:rStyle w:val="30"/>
          <w:rFonts w:eastAsia="宋体"/>
          <w:color w:val="auto"/>
        </w:rPr>
        <w:t>投标报价明细表</w:t>
      </w:r>
      <w:r>
        <w:rPr>
          <w:rStyle w:val="30"/>
          <w:color w:val="auto"/>
          <w:u w:val="none"/>
        </w:rPr>
        <w:tab/>
      </w:r>
      <w:r>
        <w:rPr>
          <w:rStyle w:val="30"/>
          <w:color w:val="auto"/>
          <w:u w:val="none"/>
        </w:rPr>
        <w:fldChar w:fldCharType="begin"/>
      </w:r>
      <w:r>
        <w:rPr>
          <w:rStyle w:val="30"/>
          <w:color w:val="auto"/>
          <w:u w:val="none"/>
        </w:rPr>
        <w:instrText xml:space="preserve"> PAGEREF _Toc495861555 \h </w:instrText>
      </w:r>
      <w:r>
        <w:rPr>
          <w:rStyle w:val="30"/>
          <w:color w:val="auto"/>
          <w:u w:val="none"/>
        </w:rPr>
        <w:fldChar w:fldCharType="separate"/>
      </w:r>
      <w:r>
        <w:rPr>
          <w:rStyle w:val="30"/>
          <w:color w:val="auto"/>
          <w:u w:val="none"/>
        </w:rPr>
        <w:t>64</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"_Toc495861556" </w:instrText>
      </w:r>
      <w:r>
        <w:fldChar w:fldCharType="separate"/>
      </w:r>
      <w:r>
        <w:rPr>
          <w:rStyle w:val="30"/>
          <w:rFonts w:eastAsia="宋体"/>
          <w:color w:val="auto"/>
        </w:rPr>
        <w:t>附件七、</w:t>
      </w:r>
      <w:r>
        <w:rPr>
          <w:rStyle w:val="30"/>
          <w:rFonts w:ascii="Calibri" w:hAnsi="Calibri" w:cs="Times New Roman"/>
          <w:color w:val="auto"/>
          <w:kern w:val="2"/>
          <w:sz w:val="21"/>
          <w:szCs w:val="22"/>
          <w:u w:val="none"/>
        </w:rPr>
        <w:tab/>
      </w:r>
      <w:r>
        <w:rPr>
          <w:rStyle w:val="30"/>
          <w:rFonts w:eastAsia="宋体"/>
          <w:color w:val="auto"/>
        </w:rPr>
        <w:t>小型和微型企业、监狱企业、残疾人福利性单位货物汇总表</w:t>
      </w:r>
      <w:r>
        <w:rPr>
          <w:rStyle w:val="30"/>
          <w:color w:val="auto"/>
          <w:u w:val="none"/>
        </w:rPr>
        <w:tab/>
      </w:r>
      <w:r>
        <w:rPr>
          <w:rStyle w:val="30"/>
          <w:color w:val="auto"/>
          <w:u w:val="none"/>
        </w:rPr>
        <w:fldChar w:fldCharType="begin"/>
      </w:r>
      <w:r>
        <w:rPr>
          <w:rStyle w:val="30"/>
          <w:color w:val="auto"/>
          <w:u w:val="none"/>
        </w:rPr>
        <w:instrText xml:space="preserve"> PAGEREF _Toc495861556 \h </w:instrText>
      </w:r>
      <w:r>
        <w:rPr>
          <w:rStyle w:val="30"/>
          <w:color w:val="auto"/>
          <w:u w:val="none"/>
        </w:rPr>
        <w:fldChar w:fldCharType="separate"/>
      </w:r>
      <w:r>
        <w:rPr>
          <w:rStyle w:val="30"/>
          <w:color w:val="auto"/>
          <w:u w:val="none"/>
        </w:rPr>
        <w:t>66</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"_Toc495861557" </w:instrText>
      </w:r>
      <w:r>
        <w:fldChar w:fldCharType="separate"/>
      </w:r>
      <w:r>
        <w:rPr>
          <w:rStyle w:val="30"/>
          <w:rFonts w:eastAsia="宋体"/>
          <w:color w:val="auto"/>
        </w:rPr>
        <w:t>附件八、</w:t>
      </w:r>
      <w:r>
        <w:rPr>
          <w:rStyle w:val="30"/>
          <w:rFonts w:ascii="Calibri" w:hAnsi="Calibri" w:cs="Times New Roman"/>
          <w:color w:val="auto"/>
          <w:kern w:val="2"/>
          <w:sz w:val="21"/>
          <w:szCs w:val="22"/>
          <w:u w:val="none"/>
        </w:rPr>
        <w:tab/>
      </w:r>
      <w:r>
        <w:rPr>
          <w:rStyle w:val="30"/>
          <w:rFonts w:eastAsia="宋体"/>
          <w:color w:val="auto"/>
        </w:rPr>
        <w:t>投标货物（工程或服务）清单</w:t>
      </w:r>
      <w:r>
        <w:rPr>
          <w:rStyle w:val="30"/>
          <w:color w:val="auto"/>
          <w:u w:val="none"/>
        </w:rPr>
        <w:tab/>
      </w:r>
      <w:r>
        <w:rPr>
          <w:rStyle w:val="30"/>
          <w:color w:val="auto"/>
          <w:u w:val="none"/>
        </w:rPr>
        <w:fldChar w:fldCharType="begin"/>
      </w:r>
      <w:r>
        <w:rPr>
          <w:rStyle w:val="30"/>
          <w:color w:val="auto"/>
          <w:u w:val="none"/>
        </w:rPr>
        <w:instrText xml:space="preserve"> PAGEREF _Toc495861557 \h </w:instrText>
      </w:r>
      <w:r>
        <w:rPr>
          <w:rStyle w:val="30"/>
          <w:color w:val="auto"/>
          <w:u w:val="none"/>
        </w:rPr>
        <w:fldChar w:fldCharType="separate"/>
      </w:r>
      <w:r>
        <w:rPr>
          <w:rStyle w:val="30"/>
          <w:color w:val="auto"/>
          <w:u w:val="none"/>
        </w:rPr>
        <w:t>67</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"_Toc495861559" </w:instrText>
      </w:r>
      <w:r>
        <w:fldChar w:fldCharType="separate"/>
      </w:r>
      <w:r>
        <w:rPr>
          <w:rStyle w:val="30"/>
          <w:rFonts w:eastAsia="宋体"/>
          <w:color w:val="auto"/>
        </w:rPr>
        <w:t>附件九、</w:t>
      </w:r>
      <w:r>
        <w:rPr>
          <w:rStyle w:val="30"/>
          <w:rFonts w:ascii="Calibri" w:hAnsi="Calibri" w:cs="Times New Roman"/>
          <w:color w:val="auto"/>
          <w:kern w:val="2"/>
          <w:sz w:val="21"/>
          <w:szCs w:val="22"/>
          <w:u w:val="none"/>
        </w:rPr>
        <w:tab/>
      </w:r>
      <w:r>
        <w:rPr>
          <w:rStyle w:val="30"/>
          <w:rFonts w:eastAsia="宋体"/>
          <w:color w:val="auto"/>
        </w:rPr>
        <w:t>法定代表人授权书</w:t>
      </w:r>
      <w:r>
        <w:rPr>
          <w:rStyle w:val="30"/>
          <w:color w:val="auto"/>
          <w:u w:val="none"/>
        </w:rPr>
        <w:tab/>
      </w:r>
      <w:r>
        <w:rPr>
          <w:rStyle w:val="30"/>
          <w:color w:val="auto"/>
          <w:u w:val="none"/>
        </w:rPr>
        <w:fldChar w:fldCharType="begin"/>
      </w:r>
      <w:r>
        <w:rPr>
          <w:rStyle w:val="30"/>
          <w:color w:val="auto"/>
          <w:u w:val="none"/>
        </w:rPr>
        <w:instrText xml:space="preserve"> PAGEREF _Toc495861559 \h </w:instrText>
      </w:r>
      <w:r>
        <w:rPr>
          <w:rStyle w:val="30"/>
          <w:color w:val="auto"/>
          <w:u w:val="none"/>
        </w:rPr>
        <w:fldChar w:fldCharType="separate"/>
      </w:r>
      <w:r>
        <w:rPr>
          <w:rStyle w:val="30"/>
          <w:color w:val="auto"/>
          <w:u w:val="none"/>
        </w:rPr>
        <w:t>68</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"_Toc495861560" </w:instrText>
      </w:r>
      <w:r>
        <w:fldChar w:fldCharType="separate"/>
      </w:r>
      <w:r>
        <w:rPr>
          <w:rStyle w:val="30"/>
          <w:rFonts w:eastAsia="宋体"/>
          <w:color w:val="auto"/>
        </w:rPr>
        <w:t>附件十、</w:t>
      </w:r>
      <w:r>
        <w:rPr>
          <w:rStyle w:val="30"/>
          <w:rFonts w:ascii="Calibri" w:hAnsi="Calibri" w:cs="Times New Roman"/>
          <w:color w:val="auto"/>
          <w:kern w:val="2"/>
          <w:sz w:val="21"/>
          <w:szCs w:val="22"/>
          <w:u w:val="none"/>
        </w:rPr>
        <w:tab/>
      </w:r>
      <w:r>
        <w:rPr>
          <w:rStyle w:val="30"/>
          <w:rFonts w:eastAsia="宋体"/>
          <w:color w:val="auto"/>
        </w:rPr>
        <w:t>投标人的资格声明</w:t>
      </w:r>
      <w:r>
        <w:rPr>
          <w:rStyle w:val="30"/>
          <w:color w:val="auto"/>
          <w:u w:val="none"/>
        </w:rPr>
        <w:tab/>
      </w:r>
      <w:r>
        <w:rPr>
          <w:rStyle w:val="30"/>
          <w:color w:val="auto"/>
          <w:u w:val="none"/>
        </w:rPr>
        <w:fldChar w:fldCharType="begin"/>
      </w:r>
      <w:r>
        <w:rPr>
          <w:rStyle w:val="30"/>
          <w:color w:val="auto"/>
          <w:u w:val="none"/>
        </w:rPr>
        <w:instrText xml:space="preserve"> PAGEREF _Toc495861560 \h </w:instrText>
      </w:r>
      <w:r>
        <w:rPr>
          <w:rStyle w:val="30"/>
          <w:color w:val="auto"/>
          <w:u w:val="none"/>
        </w:rPr>
        <w:fldChar w:fldCharType="separate"/>
      </w:r>
      <w:r>
        <w:rPr>
          <w:rStyle w:val="30"/>
          <w:color w:val="auto"/>
          <w:u w:val="none"/>
        </w:rPr>
        <w:t>69</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"_Toc495861561" </w:instrText>
      </w:r>
      <w:r>
        <w:fldChar w:fldCharType="separate"/>
      </w:r>
      <w:r>
        <w:rPr>
          <w:rStyle w:val="30"/>
          <w:rFonts w:eastAsia="宋体"/>
          <w:color w:val="auto"/>
        </w:rPr>
        <w:t>附件十一、</w:t>
      </w:r>
      <w:r>
        <w:rPr>
          <w:rStyle w:val="30"/>
          <w:rFonts w:ascii="Calibri" w:hAnsi="Calibri" w:cs="Times New Roman"/>
          <w:color w:val="auto"/>
          <w:kern w:val="2"/>
          <w:sz w:val="21"/>
          <w:szCs w:val="22"/>
          <w:u w:val="none"/>
        </w:rPr>
        <w:tab/>
      </w:r>
      <w:r>
        <w:rPr>
          <w:rStyle w:val="30"/>
          <w:rFonts w:eastAsia="宋体"/>
          <w:color w:val="auto"/>
        </w:rPr>
        <w:t>项目负责人、技术负责人简历表</w:t>
      </w:r>
      <w:r>
        <w:rPr>
          <w:rStyle w:val="30"/>
          <w:color w:val="auto"/>
          <w:u w:val="none"/>
        </w:rPr>
        <w:tab/>
      </w:r>
      <w:r>
        <w:rPr>
          <w:rStyle w:val="30"/>
          <w:color w:val="auto"/>
          <w:u w:val="none"/>
        </w:rPr>
        <w:fldChar w:fldCharType="begin"/>
      </w:r>
      <w:r>
        <w:rPr>
          <w:rStyle w:val="30"/>
          <w:color w:val="auto"/>
          <w:u w:val="none"/>
        </w:rPr>
        <w:instrText xml:space="preserve"> PAGEREF _Toc495861561 \h </w:instrText>
      </w:r>
      <w:r>
        <w:rPr>
          <w:rStyle w:val="30"/>
          <w:color w:val="auto"/>
          <w:u w:val="none"/>
        </w:rPr>
        <w:fldChar w:fldCharType="separate"/>
      </w:r>
      <w:r>
        <w:rPr>
          <w:rStyle w:val="30"/>
          <w:color w:val="auto"/>
          <w:u w:val="none"/>
        </w:rPr>
        <w:t>70</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"_Toc495861562" </w:instrText>
      </w:r>
      <w:r>
        <w:fldChar w:fldCharType="separate"/>
      </w:r>
      <w:r>
        <w:rPr>
          <w:rStyle w:val="30"/>
          <w:rFonts w:eastAsia="宋体"/>
          <w:color w:val="auto"/>
        </w:rPr>
        <w:t>附件十一、</w:t>
      </w:r>
      <w:r>
        <w:rPr>
          <w:rStyle w:val="30"/>
          <w:rFonts w:ascii="Calibri" w:hAnsi="Calibri" w:cs="Times New Roman"/>
          <w:color w:val="auto"/>
          <w:kern w:val="2"/>
          <w:sz w:val="21"/>
          <w:szCs w:val="22"/>
          <w:u w:val="none"/>
        </w:rPr>
        <w:tab/>
      </w:r>
      <w:r>
        <w:rPr>
          <w:rStyle w:val="30"/>
          <w:rFonts w:eastAsia="宋体"/>
          <w:color w:val="auto"/>
        </w:rPr>
        <w:t>项目班子成员情况表</w:t>
      </w:r>
      <w:r>
        <w:rPr>
          <w:rStyle w:val="30"/>
          <w:color w:val="auto"/>
          <w:u w:val="none"/>
        </w:rPr>
        <w:tab/>
      </w:r>
      <w:r>
        <w:rPr>
          <w:rStyle w:val="30"/>
          <w:color w:val="auto"/>
          <w:u w:val="none"/>
        </w:rPr>
        <w:fldChar w:fldCharType="begin"/>
      </w:r>
      <w:r>
        <w:rPr>
          <w:rStyle w:val="30"/>
          <w:color w:val="auto"/>
          <w:u w:val="none"/>
        </w:rPr>
        <w:instrText xml:space="preserve"> PAGEREF _Toc495861562 \h </w:instrText>
      </w:r>
      <w:r>
        <w:rPr>
          <w:rStyle w:val="30"/>
          <w:color w:val="auto"/>
          <w:u w:val="none"/>
        </w:rPr>
        <w:fldChar w:fldCharType="separate"/>
      </w:r>
      <w:r>
        <w:rPr>
          <w:rStyle w:val="30"/>
          <w:color w:val="auto"/>
          <w:u w:val="none"/>
        </w:rPr>
        <w:t>71</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"_Toc495861563" </w:instrText>
      </w:r>
      <w:r>
        <w:fldChar w:fldCharType="separate"/>
      </w:r>
      <w:r>
        <w:rPr>
          <w:rStyle w:val="30"/>
          <w:rFonts w:eastAsia="宋体"/>
          <w:color w:val="auto"/>
        </w:rPr>
        <w:t>附件十三、</w:t>
      </w:r>
      <w:r>
        <w:rPr>
          <w:rStyle w:val="30"/>
          <w:rFonts w:ascii="Calibri" w:hAnsi="Calibri" w:cs="Times New Roman"/>
          <w:color w:val="auto"/>
          <w:kern w:val="2"/>
          <w:sz w:val="21"/>
          <w:szCs w:val="22"/>
          <w:u w:val="none"/>
        </w:rPr>
        <w:tab/>
      </w:r>
      <w:r>
        <w:rPr>
          <w:rStyle w:val="30"/>
          <w:rFonts w:eastAsia="宋体"/>
          <w:color w:val="auto"/>
        </w:rPr>
        <w:t>投标人类似项目业绩表</w:t>
      </w:r>
      <w:r>
        <w:rPr>
          <w:rStyle w:val="30"/>
          <w:color w:val="auto"/>
          <w:u w:val="none"/>
        </w:rPr>
        <w:tab/>
      </w:r>
      <w:r>
        <w:rPr>
          <w:rStyle w:val="30"/>
          <w:color w:val="auto"/>
          <w:u w:val="none"/>
        </w:rPr>
        <w:fldChar w:fldCharType="begin"/>
      </w:r>
      <w:r>
        <w:rPr>
          <w:rStyle w:val="30"/>
          <w:color w:val="auto"/>
          <w:u w:val="none"/>
        </w:rPr>
        <w:instrText xml:space="preserve"> PAGEREF _Toc495861563 \h </w:instrText>
      </w:r>
      <w:r>
        <w:rPr>
          <w:rStyle w:val="30"/>
          <w:color w:val="auto"/>
          <w:u w:val="none"/>
        </w:rPr>
        <w:fldChar w:fldCharType="separate"/>
      </w:r>
      <w:r>
        <w:rPr>
          <w:rStyle w:val="30"/>
          <w:color w:val="auto"/>
          <w:u w:val="none"/>
        </w:rPr>
        <w:t>72</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"_Toc495861564" </w:instrText>
      </w:r>
      <w:r>
        <w:fldChar w:fldCharType="separate"/>
      </w:r>
      <w:r>
        <w:rPr>
          <w:rStyle w:val="30"/>
          <w:rFonts w:eastAsia="宋体"/>
          <w:color w:val="auto"/>
        </w:rPr>
        <w:t>附件十四、</w:t>
      </w:r>
      <w:r>
        <w:rPr>
          <w:rStyle w:val="30"/>
          <w:rFonts w:ascii="Calibri" w:hAnsi="Calibri" w:cs="Times New Roman"/>
          <w:color w:val="auto"/>
          <w:kern w:val="2"/>
          <w:sz w:val="21"/>
          <w:szCs w:val="22"/>
          <w:u w:val="none"/>
        </w:rPr>
        <w:tab/>
      </w:r>
      <w:r>
        <w:rPr>
          <w:rStyle w:val="30"/>
          <w:rFonts w:eastAsia="宋体"/>
          <w:color w:val="auto"/>
        </w:rPr>
        <w:t>符合性审查对照表</w:t>
      </w:r>
      <w:r>
        <w:rPr>
          <w:rStyle w:val="30"/>
          <w:color w:val="auto"/>
          <w:u w:val="none"/>
        </w:rPr>
        <w:tab/>
      </w:r>
      <w:r>
        <w:rPr>
          <w:rStyle w:val="30"/>
          <w:color w:val="auto"/>
          <w:u w:val="none"/>
        </w:rPr>
        <w:fldChar w:fldCharType="begin"/>
      </w:r>
      <w:r>
        <w:rPr>
          <w:rStyle w:val="30"/>
          <w:color w:val="auto"/>
          <w:u w:val="none"/>
        </w:rPr>
        <w:instrText xml:space="preserve"> PAGEREF _Toc495861564 \h </w:instrText>
      </w:r>
      <w:r>
        <w:rPr>
          <w:rStyle w:val="30"/>
          <w:color w:val="auto"/>
          <w:u w:val="none"/>
        </w:rPr>
        <w:fldChar w:fldCharType="separate"/>
      </w:r>
      <w:r>
        <w:rPr>
          <w:rStyle w:val="30"/>
          <w:color w:val="auto"/>
          <w:u w:val="none"/>
        </w:rPr>
        <w:t>73</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"_Toc495861565" </w:instrText>
      </w:r>
      <w:r>
        <w:fldChar w:fldCharType="separate"/>
      </w:r>
      <w:r>
        <w:rPr>
          <w:rStyle w:val="30"/>
          <w:rFonts w:eastAsia="宋体"/>
          <w:color w:val="auto"/>
        </w:rPr>
        <w:t>附件十五、</w:t>
      </w:r>
      <w:r>
        <w:rPr>
          <w:rStyle w:val="30"/>
          <w:rFonts w:ascii="Calibri" w:hAnsi="Calibri" w:cs="Times New Roman"/>
          <w:color w:val="auto"/>
          <w:kern w:val="2"/>
          <w:sz w:val="21"/>
          <w:szCs w:val="22"/>
          <w:u w:val="none"/>
        </w:rPr>
        <w:tab/>
      </w:r>
      <w:r>
        <w:rPr>
          <w:rStyle w:val="30"/>
          <w:rFonts w:eastAsia="宋体"/>
          <w:color w:val="auto"/>
        </w:rPr>
        <w:t>商务要求响应、偏离说明表</w:t>
      </w:r>
      <w:r>
        <w:rPr>
          <w:rStyle w:val="30"/>
          <w:color w:val="auto"/>
          <w:u w:val="none"/>
        </w:rPr>
        <w:tab/>
      </w:r>
      <w:r>
        <w:rPr>
          <w:rStyle w:val="30"/>
          <w:color w:val="auto"/>
          <w:u w:val="none"/>
        </w:rPr>
        <w:fldChar w:fldCharType="begin"/>
      </w:r>
      <w:r>
        <w:rPr>
          <w:rStyle w:val="30"/>
          <w:color w:val="auto"/>
          <w:u w:val="none"/>
        </w:rPr>
        <w:instrText xml:space="preserve"> PAGEREF _Toc495861565 \h </w:instrText>
      </w:r>
      <w:r>
        <w:rPr>
          <w:rStyle w:val="30"/>
          <w:color w:val="auto"/>
          <w:u w:val="none"/>
        </w:rPr>
        <w:fldChar w:fldCharType="separate"/>
      </w:r>
      <w:r>
        <w:rPr>
          <w:rStyle w:val="30"/>
          <w:color w:val="auto"/>
          <w:u w:val="none"/>
        </w:rPr>
        <w:t>74</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"_Toc495861566" </w:instrText>
      </w:r>
      <w:r>
        <w:fldChar w:fldCharType="separate"/>
      </w:r>
      <w:r>
        <w:rPr>
          <w:rStyle w:val="30"/>
          <w:rFonts w:eastAsia="宋体"/>
          <w:color w:val="auto"/>
        </w:rPr>
        <w:t>附件十六、</w:t>
      </w:r>
      <w:r>
        <w:rPr>
          <w:rStyle w:val="30"/>
          <w:rFonts w:ascii="Calibri" w:hAnsi="Calibri" w:cs="Times New Roman"/>
          <w:color w:val="auto"/>
          <w:kern w:val="2"/>
          <w:sz w:val="21"/>
          <w:szCs w:val="22"/>
          <w:u w:val="none"/>
        </w:rPr>
        <w:tab/>
      </w:r>
      <w:r>
        <w:rPr>
          <w:rStyle w:val="30"/>
          <w:rFonts w:eastAsia="宋体"/>
          <w:color w:val="auto"/>
        </w:rPr>
        <w:t>商务要求“★”号条款响应、偏离说明表</w:t>
      </w:r>
      <w:r>
        <w:rPr>
          <w:rStyle w:val="30"/>
          <w:color w:val="auto"/>
          <w:u w:val="none"/>
        </w:rPr>
        <w:tab/>
      </w:r>
      <w:r>
        <w:rPr>
          <w:rStyle w:val="30"/>
          <w:color w:val="auto"/>
          <w:u w:val="none"/>
        </w:rPr>
        <w:fldChar w:fldCharType="begin"/>
      </w:r>
      <w:r>
        <w:rPr>
          <w:rStyle w:val="30"/>
          <w:color w:val="auto"/>
          <w:u w:val="none"/>
        </w:rPr>
        <w:instrText xml:space="preserve"> PAGEREF _Toc495861566 \h </w:instrText>
      </w:r>
      <w:r>
        <w:rPr>
          <w:rStyle w:val="30"/>
          <w:color w:val="auto"/>
          <w:u w:val="none"/>
        </w:rPr>
        <w:fldChar w:fldCharType="separate"/>
      </w:r>
      <w:r>
        <w:rPr>
          <w:rStyle w:val="30"/>
          <w:color w:val="auto"/>
          <w:u w:val="none"/>
        </w:rPr>
        <w:t>75</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"_Toc495861567" </w:instrText>
      </w:r>
      <w:r>
        <w:fldChar w:fldCharType="separate"/>
      </w:r>
      <w:r>
        <w:rPr>
          <w:rStyle w:val="30"/>
          <w:rFonts w:eastAsia="宋体"/>
          <w:color w:val="auto"/>
        </w:rPr>
        <w:t>附件十七、</w:t>
      </w:r>
      <w:r>
        <w:rPr>
          <w:rStyle w:val="30"/>
          <w:rFonts w:ascii="Calibri" w:hAnsi="Calibri" w:cs="Times New Roman"/>
          <w:color w:val="auto"/>
          <w:kern w:val="2"/>
          <w:sz w:val="21"/>
          <w:szCs w:val="22"/>
          <w:u w:val="none"/>
        </w:rPr>
        <w:tab/>
      </w:r>
      <w:r>
        <w:rPr>
          <w:rStyle w:val="30"/>
          <w:rFonts w:eastAsia="宋体"/>
          <w:color w:val="auto"/>
        </w:rPr>
        <w:t>商务评议对照表</w:t>
      </w:r>
      <w:r>
        <w:rPr>
          <w:rStyle w:val="30"/>
          <w:color w:val="auto"/>
          <w:u w:val="none"/>
        </w:rPr>
        <w:tab/>
      </w:r>
      <w:r>
        <w:rPr>
          <w:rStyle w:val="30"/>
          <w:color w:val="auto"/>
          <w:u w:val="none"/>
        </w:rPr>
        <w:fldChar w:fldCharType="begin"/>
      </w:r>
      <w:r>
        <w:rPr>
          <w:rStyle w:val="30"/>
          <w:color w:val="auto"/>
          <w:u w:val="none"/>
        </w:rPr>
        <w:instrText xml:space="preserve"> PAGEREF _Toc495861567 \h </w:instrText>
      </w:r>
      <w:r>
        <w:rPr>
          <w:rStyle w:val="30"/>
          <w:color w:val="auto"/>
          <w:u w:val="none"/>
        </w:rPr>
        <w:fldChar w:fldCharType="separate"/>
      </w:r>
      <w:r>
        <w:rPr>
          <w:rStyle w:val="30"/>
          <w:color w:val="auto"/>
          <w:u w:val="none"/>
        </w:rPr>
        <w:t>76</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"_Toc495861568" </w:instrText>
      </w:r>
      <w:r>
        <w:fldChar w:fldCharType="separate"/>
      </w:r>
      <w:r>
        <w:rPr>
          <w:rStyle w:val="30"/>
          <w:rFonts w:eastAsia="宋体"/>
          <w:color w:val="auto"/>
        </w:rPr>
        <w:t>附件十八、</w:t>
      </w:r>
      <w:r>
        <w:rPr>
          <w:rStyle w:val="30"/>
          <w:rFonts w:ascii="Calibri" w:hAnsi="Calibri" w:cs="Times New Roman"/>
          <w:color w:val="auto"/>
          <w:kern w:val="2"/>
          <w:sz w:val="21"/>
          <w:szCs w:val="22"/>
          <w:u w:val="none"/>
        </w:rPr>
        <w:tab/>
      </w:r>
      <w:r>
        <w:rPr>
          <w:rStyle w:val="30"/>
          <w:rFonts w:eastAsia="宋体"/>
          <w:color w:val="auto"/>
        </w:rPr>
        <w:t>技术、服务要求响应、偏离说明表</w:t>
      </w:r>
      <w:r>
        <w:rPr>
          <w:rStyle w:val="30"/>
          <w:color w:val="auto"/>
          <w:u w:val="none"/>
        </w:rPr>
        <w:tab/>
      </w:r>
      <w:r>
        <w:rPr>
          <w:rStyle w:val="30"/>
          <w:color w:val="auto"/>
          <w:u w:val="none"/>
        </w:rPr>
        <w:fldChar w:fldCharType="begin"/>
      </w:r>
      <w:r>
        <w:rPr>
          <w:rStyle w:val="30"/>
          <w:color w:val="auto"/>
          <w:u w:val="none"/>
        </w:rPr>
        <w:instrText xml:space="preserve"> PAGEREF _Toc495861568 \h </w:instrText>
      </w:r>
      <w:r>
        <w:rPr>
          <w:rStyle w:val="30"/>
          <w:color w:val="auto"/>
          <w:u w:val="none"/>
        </w:rPr>
        <w:fldChar w:fldCharType="separate"/>
      </w:r>
      <w:r>
        <w:rPr>
          <w:rStyle w:val="30"/>
          <w:color w:val="auto"/>
          <w:u w:val="none"/>
        </w:rPr>
        <w:t>77</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"_Toc495861569" </w:instrText>
      </w:r>
      <w:r>
        <w:fldChar w:fldCharType="separate"/>
      </w:r>
      <w:r>
        <w:rPr>
          <w:rStyle w:val="30"/>
          <w:rFonts w:eastAsia="宋体"/>
          <w:color w:val="auto"/>
        </w:rPr>
        <w:t>附件十九、</w:t>
      </w:r>
      <w:r>
        <w:rPr>
          <w:rStyle w:val="30"/>
          <w:rFonts w:ascii="Calibri" w:hAnsi="Calibri" w:cs="Times New Roman"/>
          <w:color w:val="auto"/>
          <w:kern w:val="2"/>
          <w:sz w:val="21"/>
          <w:szCs w:val="22"/>
          <w:u w:val="none"/>
        </w:rPr>
        <w:tab/>
      </w:r>
      <w:r>
        <w:rPr>
          <w:rStyle w:val="30"/>
          <w:rFonts w:eastAsia="宋体"/>
          <w:color w:val="auto"/>
        </w:rPr>
        <w:t>技术、服务要求“★”号条款响应、偏离说明表</w:t>
      </w:r>
      <w:r>
        <w:rPr>
          <w:rStyle w:val="30"/>
          <w:color w:val="auto"/>
          <w:u w:val="none"/>
        </w:rPr>
        <w:tab/>
      </w:r>
      <w:r>
        <w:rPr>
          <w:rStyle w:val="30"/>
          <w:color w:val="auto"/>
          <w:u w:val="none"/>
        </w:rPr>
        <w:fldChar w:fldCharType="begin"/>
      </w:r>
      <w:r>
        <w:rPr>
          <w:rStyle w:val="30"/>
          <w:color w:val="auto"/>
          <w:u w:val="none"/>
        </w:rPr>
        <w:instrText xml:space="preserve"> PAGEREF _Toc495861569 \h </w:instrText>
      </w:r>
      <w:r>
        <w:rPr>
          <w:rStyle w:val="30"/>
          <w:color w:val="auto"/>
          <w:u w:val="none"/>
        </w:rPr>
        <w:fldChar w:fldCharType="separate"/>
      </w:r>
      <w:r>
        <w:rPr>
          <w:rStyle w:val="30"/>
          <w:color w:val="auto"/>
          <w:u w:val="none"/>
        </w:rPr>
        <w:t>78</w:t>
      </w:r>
      <w:r>
        <w:rPr>
          <w:rStyle w:val="30"/>
          <w:color w:val="auto"/>
          <w:u w:val="none"/>
        </w:rPr>
        <w:fldChar w:fldCharType="end"/>
      </w:r>
      <w:r>
        <w:rPr>
          <w:rStyle w:val="30"/>
          <w:color w:val="auto"/>
          <w:u w:val="none"/>
        </w:rPr>
        <w:fldChar w:fldCharType="end"/>
      </w:r>
    </w:p>
    <w:p>
      <w:pPr>
        <w:pStyle w:val="21"/>
        <w:widowControl/>
        <w:tabs>
          <w:tab w:val="left" w:pos="756"/>
          <w:tab w:val="left" w:pos="966"/>
          <w:tab w:val="left" w:pos="1204"/>
          <w:tab w:val="left" w:pos="1442"/>
          <w:tab w:val="left" w:pos="1870"/>
          <w:tab w:val="right" w:leader="dot" w:pos="9514"/>
        </w:tabs>
        <w:spacing w:before="0" w:beforeAutospacing="0" w:after="0" w:afterAutospacing="0" w:line="360" w:lineRule="auto"/>
        <w:ind w:left="220"/>
        <w:rPr>
          <w:rFonts w:ascii="Calibri" w:hAnsi="Calibri" w:cs="Times New Roman"/>
          <w:kern w:val="2"/>
          <w:sz w:val="21"/>
          <w:szCs w:val="22"/>
        </w:rPr>
      </w:pPr>
      <w:r>
        <w:fldChar w:fldCharType="begin"/>
      </w:r>
      <w:r>
        <w:instrText xml:space="preserve"> HYPERLINK "file:///C:/Users/11388/Desktop/P020200423398436491093%20(1).docx" \l "_Toc495861570" </w:instrText>
      </w:r>
      <w:r>
        <w:fldChar w:fldCharType="separate"/>
      </w:r>
      <w:r>
        <w:rPr>
          <w:rStyle w:val="30"/>
          <w:rFonts w:eastAsia="宋体"/>
          <w:color w:val="auto"/>
        </w:rPr>
        <w:t>附件二十、</w:t>
      </w:r>
      <w:r>
        <w:rPr>
          <w:rStyle w:val="30"/>
          <w:rFonts w:ascii="Calibri" w:hAnsi="Calibri" w:cs="Times New Roman"/>
          <w:color w:val="auto"/>
          <w:kern w:val="2"/>
          <w:sz w:val="21"/>
          <w:szCs w:val="22"/>
          <w:u w:val="none"/>
        </w:rPr>
        <w:tab/>
      </w:r>
      <w:r>
        <w:rPr>
          <w:rStyle w:val="30"/>
          <w:rFonts w:eastAsia="宋体"/>
          <w:color w:val="auto"/>
        </w:rPr>
        <w:t>技术、服务评议对照表</w:t>
      </w:r>
      <w:r>
        <w:rPr>
          <w:rStyle w:val="30"/>
          <w:color w:val="auto"/>
          <w:u w:val="none"/>
        </w:rPr>
        <w:tab/>
      </w:r>
      <w:r>
        <w:rPr>
          <w:rStyle w:val="30"/>
          <w:color w:val="auto"/>
          <w:u w:val="none"/>
        </w:rPr>
        <w:fldChar w:fldCharType="begin"/>
      </w:r>
      <w:r>
        <w:rPr>
          <w:rStyle w:val="30"/>
          <w:color w:val="auto"/>
          <w:u w:val="none"/>
        </w:rPr>
        <w:instrText xml:space="preserve"> PAGEREF _Toc495861570 \h </w:instrText>
      </w:r>
      <w:r>
        <w:rPr>
          <w:rStyle w:val="30"/>
          <w:color w:val="auto"/>
          <w:u w:val="none"/>
        </w:rPr>
        <w:fldChar w:fldCharType="separate"/>
      </w:r>
      <w:r>
        <w:rPr>
          <w:rStyle w:val="30"/>
          <w:color w:val="auto"/>
          <w:u w:val="none"/>
        </w:rPr>
        <w:t>79</w:t>
      </w:r>
      <w:r>
        <w:rPr>
          <w:rStyle w:val="30"/>
          <w:color w:val="auto"/>
          <w:u w:val="none"/>
        </w:rPr>
        <w:fldChar w:fldCharType="end"/>
      </w:r>
      <w:r>
        <w:rPr>
          <w:rStyle w:val="30"/>
          <w:color w:val="auto"/>
          <w:u w:val="none"/>
        </w:rPr>
        <w:fldChar w:fldCharType="end"/>
      </w:r>
    </w:p>
    <w:p>
      <w:pPr>
        <w:pStyle w:val="21"/>
        <w:widowControl/>
        <w:tabs>
          <w:tab w:val="left" w:pos="1260"/>
          <w:tab w:val="right" w:leader="dot" w:pos="9514"/>
        </w:tabs>
        <w:spacing w:before="0" w:beforeAutospacing="0" w:after="0" w:afterAutospacing="0" w:line="360" w:lineRule="auto"/>
        <w:sectPr>
          <w:footerReference r:id="rId4" w:type="default"/>
          <w:pgSz w:w="11906" w:h="16838"/>
          <w:pgMar w:top="1134" w:right="1417" w:bottom="1134" w:left="1417" w:header="851" w:footer="624" w:gutter="0"/>
          <w:pgNumType w:start="1"/>
          <w:cols w:space="0" w:num="1"/>
          <w:docGrid w:type="linesAndChars" w:linePitch="312" w:charSpace="0"/>
        </w:sectPr>
      </w:pPr>
      <w:r>
        <w:rPr>
          <w:rFonts w:ascii="Calibri" w:hAnsi="Calibri" w:eastAsia="黑体" w:cs="Times New Roman"/>
          <w:b/>
          <w:iCs/>
          <w:sz w:val="28"/>
          <w:szCs w:val="22"/>
        </w:rPr>
        <w:fldChar w:fldCharType="end"/>
      </w:r>
    </w:p>
    <w:p>
      <w:pPr>
        <w:spacing w:line="360" w:lineRule="auto"/>
      </w:pPr>
    </w:p>
    <w:p>
      <w:pPr>
        <w:pStyle w:val="3"/>
        <w:numPr>
          <w:ilvl w:val="0"/>
          <w:numId w:val="1"/>
        </w:numPr>
        <w:spacing w:before="0" w:after="0" w:line="360" w:lineRule="auto"/>
        <w:ind w:left="880" w:hanging="880" w:hangingChars="200"/>
        <w:jc w:val="center"/>
        <w:rPr>
          <w:rFonts w:ascii="黑体" w:hAnsi="黑体" w:eastAsia="黑体"/>
        </w:rPr>
      </w:pPr>
      <w:r>
        <w:rPr>
          <w:rFonts w:hint="eastAsia" w:ascii="黑体" w:hAnsi="黑体" w:eastAsia="黑体"/>
        </w:rPr>
        <w:t>投标邀请书</w:t>
      </w:r>
      <w:bookmarkEnd w:id="0"/>
    </w:p>
    <w:p>
      <w:pPr>
        <w:spacing w:line="360" w:lineRule="auto"/>
        <w:ind w:firstLine="480" w:firstLineChars="200"/>
        <w:rPr>
          <w:rFonts w:ascii="宋体" w:hAnsi="宋体" w:eastAsia="宋体" w:cs="Times New Roman"/>
          <w:color w:val="000000" w:themeColor="text1"/>
          <w:sz w:val="24"/>
          <w:szCs w:val="24"/>
        </w:rPr>
      </w:pPr>
      <w:bookmarkStart w:id="1" w:name="_Toc495861518"/>
    </w:p>
    <w:p>
      <w:pPr>
        <w:pStyle w:val="21"/>
        <w:widowControl/>
        <w:pBdr>
          <w:top w:val="single" w:color="auto" w:sz="4" w:space="0"/>
          <w:left w:val="single" w:color="auto" w:sz="4" w:space="0"/>
          <w:bottom w:val="single" w:color="auto" w:sz="4" w:space="0"/>
          <w:right w:val="single" w:color="auto" w:sz="4" w:space="2"/>
        </w:pBdr>
        <w:spacing w:before="0" w:beforeAutospacing="0" w:after="0" w:afterAutospacing="0" w:line="360" w:lineRule="auto"/>
        <w:ind w:firstLine="480"/>
        <w:rPr>
          <w:color w:val="000000" w:themeColor="text1"/>
        </w:rPr>
      </w:pPr>
      <w:r>
        <w:rPr>
          <w:rFonts w:hint="eastAsia" w:ascii="宋体" w:hAnsi="宋体" w:eastAsia="宋体" w:cs="宋体"/>
          <w:color w:val="000000" w:themeColor="text1"/>
          <w:shd w:val="clear" w:color="auto" w:fill="FFFFFF"/>
        </w:rPr>
        <w:t>2021-2022学年度阳新县农村义务教育学生营养改善计划提标采购项目的潜在投标人应在“湖北省政府采购网”、“黄石市公共资源交易信息网”及“阳新县人民政府网”获取招标文件，并于2022年 3 月28日9时00分(北京时间）前递交投标文件。</w:t>
      </w:r>
    </w:p>
    <w:p>
      <w:pPr>
        <w:pStyle w:val="21"/>
        <w:widowControl/>
        <w:spacing w:before="0" w:beforeAutospacing="0" w:after="0" w:afterAutospacing="0" w:line="360" w:lineRule="auto"/>
        <w:ind w:firstLine="320"/>
        <w:rPr>
          <w:color w:val="000000" w:themeColor="text1"/>
        </w:rPr>
      </w:pPr>
      <w:r>
        <w:rPr>
          <w:rStyle w:val="26"/>
          <w:rFonts w:hint="eastAsia" w:ascii="宋体" w:hAnsi="宋体" w:eastAsia="宋体" w:cs="宋体"/>
          <w:color w:val="000000" w:themeColor="text1"/>
          <w:shd w:val="clear" w:color="auto" w:fill="FFFFFF"/>
        </w:rPr>
        <w:t>一、项目基本情况</w:t>
      </w:r>
    </w:p>
    <w:p>
      <w:pPr>
        <w:pStyle w:val="21"/>
        <w:widowControl/>
        <w:spacing w:before="0" w:beforeAutospacing="0" w:after="0" w:afterAutospacing="0" w:line="360" w:lineRule="auto"/>
        <w:ind w:firstLine="320"/>
        <w:rPr>
          <w:rFonts w:ascii="宋体" w:hAnsi="宋体" w:eastAsia="宋体" w:cs="宋体"/>
          <w:color w:val="000000" w:themeColor="text1"/>
          <w:shd w:val="clear" w:color="auto" w:fill="FFFFFF"/>
        </w:rPr>
      </w:pPr>
      <w:r>
        <w:rPr>
          <w:rFonts w:hint="eastAsia" w:ascii="宋体" w:hAnsi="宋体" w:eastAsia="宋体" w:cs="宋体"/>
          <w:color w:val="000000" w:themeColor="text1"/>
          <w:shd w:val="clear" w:color="auto" w:fill="FFFFFF"/>
        </w:rPr>
        <w:t>项目编号：131-2022CG-026  （政府采购备案号：阳财采计备[2022]A0202号）</w:t>
      </w:r>
    </w:p>
    <w:p>
      <w:pPr>
        <w:pStyle w:val="21"/>
        <w:widowControl/>
        <w:spacing w:before="0" w:beforeAutospacing="0" w:after="0" w:afterAutospacing="0" w:line="360" w:lineRule="auto"/>
        <w:ind w:firstLine="320"/>
        <w:rPr>
          <w:rFonts w:ascii="宋体" w:hAnsi="宋体" w:eastAsia="宋体" w:cs="宋体"/>
          <w:color w:val="000000" w:themeColor="text1"/>
          <w:shd w:val="clear" w:color="auto" w:fill="FFFFFF"/>
        </w:rPr>
      </w:pPr>
      <w:r>
        <w:rPr>
          <w:rFonts w:hint="eastAsia" w:ascii="宋体" w:hAnsi="宋体" w:eastAsia="宋体" w:cs="宋体"/>
          <w:color w:val="000000" w:themeColor="text1"/>
          <w:shd w:val="clear" w:color="auto" w:fill="FFFFFF"/>
        </w:rPr>
        <w:t>项目名称：2021-2022学年度阳新县农村义务教育学生营养改善计划提标采购项目</w:t>
      </w:r>
    </w:p>
    <w:p>
      <w:pPr>
        <w:pStyle w:val="21"/>
        <w:widowControl/>
        <w:spacing w:before="0" w:beforeAutospacing="0" w:after="0" w:afterAutospacing="0" w:line="360" w:lineRule="auto"/>
        <w:ind w:firstLine="320"/>
        <w:rPr>
          <w:rFonts w:ascii="宋体" w:hAnsi="宋体" w:eastAsia="宋体" w:cs="宋体"/>
          <w:color w:val="000000" w:themeColor="text1"/>
          <w:shd w:val="clear" w:color="auto" w:fill="FFFFFF"/>
        </w:rPr>
      </w:pPr>
      <w:r>
        <w:rPr>
          <w:rFonts w:hint="eastAsia" w:ascii="宋体" w:hAnsi="宋体" w:eastAsia="宋体" w:cs="宋体"/>
          <w:color w:val="000000" w:themeColor="text1"/>
          <w:shd w:val="clear" w:color="auto" w:fill="FFFFFF"/>
        </w:rPr>
        <w:t>项目内容：</w:t>
      </w:r>
    </w:p>
    <w:p>
      <w:pPr>
        <w:spacing w:line="360" w:lineRule="auto"/>
        <w:ind w:firstLine="420" w:firstLineChars="175"/>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一包：面包和蛋糕</w:t>
      </w:r>
      <w:r>
        <w:rPr>
          <w:rFonts w:hint="eastAsia" w:ascii="宋体" w:hAnsi="宋体" w:eastAsia="宋体" w:cs="Times New Roman"/>
          <w:color w:val="000000" w:themeColor="text1"/>
          <w:sz w:val="24"/>
          <w:szCs w:val="24"/>
        </w:rPr>
        <w:t>（供应给课间餐模式及其他供餐模式不在校就餐的学生食用），</w:t>
      </w:r>
      <w:r>
        <w:rPr>
          <w:rFonts w:hint="eastAsia" w:ascii="宋体" w:hAnsi="宋体" w:eastAsia="宋体" w:cs="宋体"/>
          <w:color w:val="000000" w:themeColor="text1"/>
          <w:sz w:val="24"/>
          <w:szCs w:val="24"/>
          <w:shd w:val="clear" w:color="auto" w:fill="FFFFFF"/>
        </w:rPr>
        <w:t>采购预算价570万元，服务学生人数约3万人，按2元/生/天的标准合理搭配提供优质面包和蛋糕按周进行配送（实际供货量以2022年春季学期实际核定的学生数及实际供货天数来确定）。</w:t>
      </w:r>
    </w:p>
    <w:p>
      <w:pPr>
        <w:spacing w:line="360" w:lineRule="auto"/>
        <w:ind w:firstLine="480" w:firstLineChars="200"/>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二包：食堂大宗食材</w:t>
      </w:r>
      <w:r>
        <w:rPr>
          <w:rFonts w:hint="eastAsia" w:ascii="宋体" w:hAnsi="宋体" w:eastAsia="宋体" w:cs="Times New Roman"/>
          <w:color w:val="000000" w:themeColor="text1"/>
          <w:sz w:val="24"/>
          <w:szCs w:val="24"/>
        </w:rPr>
        <w:t>(供应生鲜黄牛肉、生鲜猪肋排、冷冻鸡肉给食堂供餐模式在校就餐的学生食用）</w:t>
      </w:r>
      <w:r>
        <w:rPr>
          <w:rFonts w:hint="eastAsia" w:ascii="宋体" w:hAnsi="宋体" w:eastAsia="宋体" w:cs="宋体"/>
          <w:color w:val="000000" w:themeColor="text1"/>
          <w:sz w:val="24"/>
          <w:szCs w:val="24"/>
          <w:shd w:val="clear" w:color="auto" w:fill="FFFFFF"/>
        </w:rPr>
        <w:t>，采购预算价1900万元，服务学生人数约10万人，按2元/生/天的标准合理搭配上述3种食材按周进行配送（实际供货量以2022年春季学期实际核定的学生数及实际供货天数来确定）。</w:t>
      </w:r>
    </w:p>
    <w:p>
      <w:pPr>
        <w:spacing w:line="360" w:lineRule="auto"/>
        <w:ind w:left="18" w:leftChars="9" w:firstLine="458" w:firstLineChars="191"/>
        <w:rPr>
          <w:rFonts w:ascii="宋体" w:hAnsi="宋体" w:eastAsia="宋体" w:cs="宋体"/>
          <w:color w:val="000000" w:themeColor="text1"/>
          <w:shd w:val="clear" w:color="auto" w:fill="FFFFFF"/>
        </w:rPr>
      </w:pPr>
      <w:r>
        <w:rPr>
          <w:rFonts w:hint="eastAsia" w:ascii="宋体" w:hAnsi="宋体" w:eastAsia="宋体" w:cs="宋体"/>
          <w:color w:val="000000" w:themeColor="text1"/>
          <w:sz w:val="24"/>
          <w:szCs w:val="24"/>
          <w:shd w:val="clear" w:color="auto" w:fill="FFFFFF"/>
        </w:rPr>
        <w:t>三包：</w:t>
      </w:r>
      <w:r>
        <w:rPr>
          <w:rFonts w:hint="eastAsia" w:ascii="宋体" w:hAnsi="宋体" w:eastAsia="宋体" w:cs="Times New Roman"/>
          <w:color w:val="000000" w:themeColor="text1"/>
          <w:sz w:val="24"/>
          <w:szCs w:val="24"/>
        </w:rPr>
        <w:t>中央厨房供餐（城区及城郊大规模学校部分年级实施中央厨房集中供餐），</w:t>
      </w:r>
      <w:r>
        <w:rPr>
          <w:rFonts w:hint="eastAsia" w:ascii="宋体" w:hAnsi="宋体" w:eastAsia="宋体" w:cs="宋体"/>
          <w:color w:val="000000" w:themeColor="text1"/>
          <w:sz w:val="24"/>
          <w:szCs w:val="24"/>
          <w:shd w:val="clear" w:color="auto" w:fill="FFFFFF"/>
        </w:rPr>
        <w:t>采购预算价190万元。在校学生人数约1万人，每餐固定单价按5.0元/生/餐的标准合理搭配加餐菜肴按周进行配送。（实际供货量以2022年春季学期实际核定的学生数及实际供餐次数来确定）。</w:t>
      </w:r>
    </w:p>
    <w:p>
      <w:pPr>
        <w:spacing w:line="360" w:lineRule="auto"/>
        <w:ind w:firstLine="420" w:firstLineChars="175"/>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shd w:val="clear" w:color="auto" w:fill="FFFFFF"/>
        </w:rPr>
        <w:t xml:space="preserve">预算金额： </w:t>
      </w:r>
      <w:r>
        <w:rPr>
          <w:rFonts w:hint="eastAsia" w:ascii="宋体" w:hAnsi="宋体" w:eastAsia="宋体" w:cs="Times New Roman"/>
          <w:color w:val="000000" w:themeColor="text1"/>
          <w:sz w:val="24"/>
          <w:szCs w:val="24"/>
        </w:rPr>
        <w:t>一包:  面包和蛋糕   约570万元</w:t>
      </w:r>
    </w:p>
    <w:p>
      <w:pPr>
        <w:spacing w:line="360" w:lineRule="auto"/>
        <w:ind w:firstLine="1716" w:firstLineChars="715"/>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二包： 食堂大宗食材（生鲜黄牛肉、生鲜猪肋排、冷冻鸡肉）   约1900万元</w:t>
      </w:r>
    </w:p>
    <w:p>
      <w:pPr>
        <w:pStyle w:val="5"/>
        <w:rPr>
          <w:rFonts w:ascii="宋体" w:hAnsi="宋体" w:eastAsia="宋体" w:cs="Times New Roman"/>
          <w:b w:val="0"/>
          <w:bCs w:val="0"/>
          <w:color w:val="000000" w:themeColor="text1"/>
          <w:sz w:val="24"/>
          <w:szCs w:val="24"/>
        </w:rPr>
      </w:pPr>
      <w:r>
        <w:rPr>
          <w:rFonts w:hint="eastAsia" w:ascii="宋体" w:hAnsi="宋体" w:eastAsia="宋体" w:cs="Times New Roman"/>
          <w:color w:val="000000" w:themeColor="text1"/>
          <w:sz w:val="24"/>
          <w:szCs w:val="24"/>
        </w:rPr>
        <w:t xml:space="preserve">   </w:t>
      </w:r>
      <w:r>
        <w:rPr>
          <w:rFonts w:hint="eastAsia" w:ascii="宋体" w:hAnsi="宋体" w:eastAsia="宋体" w:cs="Times New Roman"/>
          <w:b w:val="0"/>
          <w:bCs w:val="0"/>
          <w:color w:val="000000" w:themeColor="text1"/>
          <w:sz w:val="24"/>
          <w:szCs w:val="24"/>
        </w:rPr>
        <w:t xml:space="preserve">    三包</w:t>
      </w:r>
      <w:r>
        <w:rPr>
          <w:rFonts w:hint="eastAsia" w:ascii="宋体" w:hAnsi="宋体" w:eastAsia="宋体" w:cs="Times New Roman"/>
          <w:color w:val="000000" w:themeColor="text1"/>
          <w:sz w:val="24"/>
          <w:szCs w:val="24"/>
        </w:rPr>
        <w:t xml:space="preserve">： </w:t>
      </w:r>
      <w:r>
        <w:rPr>
          <w:rFonts w:hint="eastAsia" w:ascii="宋体" w:hAnsi="宋体" w:eastAsia="宋体" w:cs="Times New Roman"/>
          <w:b w:val="0"/>
          <w:bCs w:val="0"/>
          <w:color w:val="000000" w:themeColor="text1"/>
          <w:sz w:val="24"/>
          <w:szCs w:val="24"/>
        </w:rPr>
        <w:t>中央厨房供餐  约190万元</w:t>
      </w:r>
    </w:p>
    <w:p>
      <w:pPr>
        <w:spacing w:line="360" w:lineRule="auto"/>
        <w:ind w:firstLine="480" w:firstLineChars="200"/>
        <w:rPr>
          <w:rFonts w:eastAsia="宋体"/>
          <w:color w:val="000000" w:themeColor="text1"/>
          <w:sz w:val="24"/>
          <w:szCs w:val="24"/>
        </w:rPr>
      </w:pPr>
      <w:r>
        <w:rPr>
          <w:rFonts w:hint="eastAsia" w:ascii="宋体" w:hAnsi="宋体" w:eastAsia="宋体" w:cs="宋体"/>
          <w:color w:val="000000" w:themeColor="text1"/>
          <w:sz w:val="24"/>
          <w:szCs w:val="24"/>
          <w:shd w:val="clear" w:color="auto" w:fill="FFFFFF"/>
        </w:rPr>
        <w:t>采购需求： 具体详见招标文件第三章</w:t>
      </w:r>
    </w:p>
    <w:p>
      <w:pPr>
        <w:pStyle w:val="21"/>
        <w:widowControl/>
        <w:spacing w:before="0" w:beforeAutospacing="0" w:after="0" w:afterAutospacing="0" w:line="360" w:lineRule="auto"/>
        <w:ind w:firstLine="240" w:firstLineChars="100"/>
        <w:rPr>
          <w:rFonts w:eastAsia="宋体"/>
          <w:color w:val="000000" w:themeColor="text1"/>
        </w:rPr>
      </w:pPr>
      <w:r>
        <w:rPr>
          <w:rFonts w:hint="eastAsia" w:ascii="宋体" w:hAnsi="宋体" w:eastAsia="宋体" w:cs="宋体"/>
          <w:color w:val="000000" w:themeColor="text1"/>
          <w:shd w:val="clear" w:color="auto" w:fill="FFFFFF"/>
        </w:rPr>
        <w:t>合同履行期限：合同签订日开始—2022年春季学期结束</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b/>
          <w:bCs/>
          <w:color w:val="000000" w:themeColor="text1"/>
          <w:sz w:val="24"/>
          <w:szCs w:val="24"/>
        </w:rPr>
        <w:t>二、投标人资格要求</w:t>
      </w:r>
      <w:r>
        <w:rPr>
          <w:rFonts w:hint="eastAsia" w:ascii="宋体" w:hAnsi="宋体" w:eastAsia="宋体" w:cs="Times New Roman"/>
          <w:color w:val="000000" w:themeColor="text1"/>
          <w:sz w:val="24"/>
          <w:szCs w:val="24"/>
        </w:rPr>
        <w:t>：</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（一）具有独立承担民事责任的能力；</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（二）具有良好的商业信誉和健全的财务会计制度；</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三）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w:t>
      </w:r>
      <w:bookmarkStart w:id="2" w:name="_Hlk39701455"/>
      <w:r>
        <w:rPr>
          <w:rFonts w:hint="eastAsia" w:ascii="宋体" w:hAnsi="宋体" w:eastAsia="宋体" w:cs="Times New Roman"/>
          <w:color w:val="000000" w:themeColor="text1"/>
          <w:sz w:val="24"/>
          <w:szCs w:val="24"/>
        </w:rPr>
        <w:t>“中国政府采购网”（www.ccgp.gov.cn）政府采购严重违法失信行为记录名单。（以公告挂网之日起至投标截止之日止，此期间查询结果为准）</w:t>
      </w:r>
    </w:p>
    <w:bookmarkEnd w:id="2"/>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（四）依法缴纳税收和社会保障资金的相关材料。</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（五）特定条件</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（1）一包投标人提供生产厂家的《全国工业产品生产许可证》或 《食品生产许可证》。 </w:t>
      </w:r>
    </w:p>
    <w:p>
      <w:pPr>
        <w:spacing w:line="360" w:lineRule="auto"/>
        <w:ind w:firstLine="360" w:firstLineChars="15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（2）投标人具有并提供《食品流通许可证》或《食品经营许可证》。</w:t>
      </w:r>
    </w:p>
    <w:p>
      <w:pPr>
        <w:spacing w:line="360" w:lineRule="auto"/>
        <w:ind w:firstLine="360" w:firstLineChars="15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（3）要求投标人提供近两年（2020年 3月 1 日-2022 年 3月1 日）没有出现质量安全事故的承诺书。 </w:t>
      </w:r>
    </w:p>
    <w:p>
      <w:pPr>
        <w:spacing w:line="360" w:lineRule="auto"/>
        <w:ind w:firstLine="360" w:firstLineChars="15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（4）要求投标人应具有履行合同的专业、技术资格能力，并保证在资金、仓储、运输设施状况、配送能力、管理能力、经验、信誉等能满足本采购项目的供货和服务的要求，并提供上述要求的承诺书。 </w:t>
      </w:r>
    </w:p>
    <w:p>
      <w:pPr>
        <w:spacing w:line="360" w:lineRule="auto"/>
        <w:ind w:firstLine="360" w:firstLineChars="15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要求投标人提供投标截止时间前连续三个月纳税证明。（缴纳税收的证明文件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w:t>
      </w:r>
      <w:r>
        <w:rPr>
          <w:rFonts w:ascii="宋体" w:hAnsi="宋体" w:eastAsia="宋体" w:cs="Times New Roman"/>
          <w:color w:val="000000" w:themeColor="text1"/>
          <w:sz w:val="24"/>
          <w:szCs w:val="24"/>
        </w:rPr>
        <w:t>）</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（6）二包投标人需具有食堂大宗食材（生鲜黄牛肉、生鲜猪肋排、冷冻鸡肉）正规渠道供货来源，并与正规厂家的签订合同或者授权书，提供厂家的营业执照、食品经营许可证等证明材料；</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（7）三包中央厨房供餐：投标人需具备营业执照、食品经营许可证（主体业务范围须有集体用餐配送资质）；</w:t>
      </w:r>
    </w:p>
    <w:p>
      <w:pPr>
        <w:spacing w:line="360" w:lineRule="auto"/>
        <w:ind w:firstLine="360" w:firstLineChars="15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（8）不接受联合体形式的投标。</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注：（1）投标人可对本标三个包进行同时投标，但是同一投标人只能中标其中的一个包；对多个包同时投标时须分别制作投标文件并注明投标包号；</w:t>
      </w:r>
    </w:p>
    <w:p>
      <w:pPr>
        <w:numPr>
          <w:ilvl w:val="0"/>
          <w:numId w:val="2"/>
        </w:num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如投标人在</w:t>
      </w:r>
      <w:r>
        <w:rPr>
          <w:rFonts w:ascii="宋体" w:hAnsi="宋体" w:eastAsia="宋体" w:cs="Times New Roman"/>
          <w:color w:val="000000" w:themeColor="text1"/>
          <w:sz w:val="24"/>
          <w:szCs w:val="24"/>
        </w:rPr>
        <w:t>多个</w:t>
      </w:r>
      <w:r>
        <w:rPr>
          <w:rFonts w:hint="eastAsia" w:ascii="宋体" w:hAnsi="宋体" w:eastAsia="宋体" w:cs="Times New Roman"/>
          <w:color w:val="000000" w:themeColor="text1"/>
          <w:sz w:val="24"/>
          <w:szCs w:val="24"/>
        </w:rPr>
        <w:t>包</w:t>
      </w:r>
      <w:r>
        <w:rPr>
          <w:rFonts w:ascii="宋体" w:hAnsi="宋体" w:eastAsia="宋体" w:cs="Times New Roman"/>
          <w:color w:val="000000" w:themeColor="text1"/>
          <w:sz w:val="24"/>
          <w:szCs w:val="24"/>
        </w:rPr>
        <w:t>中成为第一中标候选人，则获得</w:t>
      </w:r>
      <w:r>
        <w:rPr>
          <w:rFonts w:hint="eastAsia" w:ascii="宋体" w:hAnsi="宋体" w:eastAsia="宋体" w:cs="Times New Roman"/>
          <w:color w:val="000000" w:themeColor="text1"/>
          <w:sz w:val="24"/>
          <w:szCs w:val="24"/>
        </w:rPr>
        <w:t>包号靠前</w:t>
      </w:r>
      <w:r>
        <w:rPr>
          <w:rFonts w:ascii="宋体" w:hAnsi="宋体" w:eastAsia="宋体" w:cs="Times New Roman"/>
          <w:color w:val="000000" w:themeColor="text1"/>
          <w:sz w:val="24"/>
          <w:szCs w:val="24"/>
        </w:rPr>
        <w:t>的那个</w:t>
      </w:r>
      <w:r>
        <w:rPr>
          <w:rFonts w:hint="eastAsia" w:ascii="宋体" w:hAnsi="宋体" w:eastAsia="宋体" w:cs="Times New Roman"/>
          <w:color w:val="000000" w:themeColor="text1"/>
          <w:sz w:val="24"/>
          <w:szCs w:val="24"/>
        </w:rPr>
        <w:t>包</w:t>
      </w:r>
      <w:r>
        <w:rPr>
          <w:rFonts w:ascii="宋体" w:hAnsi="宋体" w:eastAsia="宋体" w:cs="Times New Roman"/>
          <w:color w:val="000000" w:themeColor="text1"/>
          <w:sz w:val="24"/>
          <w:szCs w:val="24"/>
        </w:rPr>
        <w:t>的中标人资格，其它</w:t>
      </w:r>
      <w:r>
        <w:rPr>
          <w:rFonts w:hint="eastAsia" w:ascii="宋体" w:hAnsi="宋体" w:eastAsia="宋体" w:cs="Times New Roman"/>
          <w:color w:val="000000" w:themeColor="text1"/>
          <w:sz w:val="24"/>
          <w:szCs w:val="24"/>
        </w:rPr>
        <w:t>包</w:t>
      </w:r>
      <w:r>
        <w:rPr>
          <w:rFonts w:ascii="宋体" w:hAnsi="宋体" w:eastAsia="宋体" w:cs="Times New Roman"/>
          <w:color w:val="000000" w:themeColor="text1"/>
          <w:sz w:val="24"/>
          <w:szCs w:val="24"/>
        </w:rPr>
        <w:t>自动放弃其中标资格，并在其它</w:t>
      </w:r>
      <w:r>
        <w:rPr>
          <w:rFonts w:hint="eastAsia" w:ascii="宋体" w:hAnsi="宋体" w:eastAsia="宋体" w:cs="Times New Roman"/>
          <w:color w:val="000000" w:themeColor="text1"/>
          <w:sz w:val="24"/>
          <w:szCs w:val="24"/>
        </w:rPr>
        <w:t>包</w:t>
      </w:r>
      <w:r>
        <w:rPr>
          <w:rFonts w:ascii="宋体" w:hAnsi="宋体" w:eastAsia="宋体" w:cs="Times New Roman"/>
          <w:color w:val="000000" w:themeColor="text1"/>
          <w:sz w:val="24"/>
          <w:szCs w:val="24"/>
        </w:rPr>
        <w:t>中根据评标结果顺序顺延中标人资格</w:t>
      </w:r>
      <w:r>
        <w:rPr>
          <w:rFonts w:hint="eastAsia" w:ascii="宋体" w:hAnsi="宋体" w:eastAsia="宋体" w:cs="Times New Roman"/>
          <w:color w:val="000000" w:themeColor="text1"/>
          <w:sz w:val="24"/>
          <w:szCs w:val="24"/>
        </w:rPr>
        <w:t>。</w:t>
      </w:r>
    </w:p>
    <w:p>
      <w:pPr>
        <w:pStyle w:val="21"/>
        <w:widowControl/>
        <w:spacing w:before="0" w:beforeAutospacing="0" w:after="0" w:afterAutospacing="0" w:line="360" w:lineRule="auto"/>
        <w:ind w:firstLine="280"/>
        <w:rPr>
          <w:rFonts w:ascii="宋体" w:hAnsi="宋体" w:eastAsia="宋体" w:cs="Times New Roman"/>
          <w:color w:val="000000" w:themeColor="text1"/>
          <w:kern w:val="2"/>
        </w:rPr>
      </w:pPr>
      <w:r>
        <w:rPr>
          <w:rFonts w:hint="eastAsia" w:ascii="宋体" w:hAnsi="宋体" w:eastAsia="宋体" w:cs="Times New Roman"/>
          <w:color w:val="000000" w:themeColor="text1"/>
          <w:kern w:val="2"/>
        </w:rPr>
        <w:t>三、获取招标文件</w:t>
      </w:r>
    </w:p>
    <w:p>
      <w:pPr>
        <w:pStyle w:val="21"/>
        <w:widowControl/>
        <w:spacing w:before="0" w:beforeAutospacing="0" w:after="0" w:afterAutospacing="0" w:line="360" w:lineRule="auto"/>
        <w:ind w:firstLine="320"/>
        <w:rPr>
          <w:rFonts w:ascii="宋体" w:hAnsi="宋体" w:eastAsia="宋体" w:cs="Times New Roman"/>
          <w:color w:val="000000" w:themeColor="text1"/>
          <w:kern w:val="2"/>
        </w:rPr>
      </w:pPr>
      <w:r>
        <w:rPr>
          <w:rFonts w:hint="eastAsia" w:ascii="宋体" w:hAnsi="宋体" w:eastAsia="宋体" w:cs="Times New Roman"/>
          <w:color w:val="000000" w:themeColor="text1"/>
          <w:kern w:val="2"/>
        </w:rPr>
        <w:t>时间：2022年3月4日至2022年3月11日17:30(北京时间)</w:t>
      </w:r>
    </w:p>
    <w:p>
      <w:pPr>
        <w:pStyle w:val="21"/>
        <w:widowControl/>
        <w:spacing w:before="0" w:beforeAutospacing="0" w:after="0" w:afterAutospacing="0" w:line="360" w:lineRule="auto"/>
        <w:ind w:firstLine="320"/>
        <w:rPr>
          <w:rFonts w:ascii="宋体" w:hAnsi="宋体" w:eastAsia="宋体" w:cs="Times New Roman"/>
          <w:color w:val="000000" w:themeColor="text1"/>
          <w:kern w:val="2"/>
        </w:rPr>
      </w:pPr>
      <w:r>
        <w:rPr>
          <w:rFonts w:hint="eastAsia" w:ascii="宋体" w:hAnsi="宋体" w:eastAsia="宋体" w:cs="Times New Roman"/>
          <w:color w:val="000000" w:themeColor="text1"/>
          <w:kern w:val="2"/>
        </w:rPr>
        <w:t>招标文件下载：见附件</w:t>
      </w:r>
    </w:p>
    <w:p>
      <w:pPr>
        <w:pStyle w:val="21"/>
        <w:widowControl/>
        <w:spacing w:before="0" w:beforeAutospacing="0" w:after="0" w:afterAutospacing="0" w:line="360" w:lineRule="auto"/>
        <w:ind w:firstLine="280"/>
        <w:rPr>
          <w:rFonts w:ascii="宋体" w:hAnsi="宋体" w:eastAsia="宋体" w:cs="Times New Roman"/>
          <w:color w:val="000000" w:themeColor="text1"/>
          <w:kern w:val="2"/>
        </w:rPr>
      </w:pPr>
      <w:r>
        <w:rPr>
          <w:rFonts w:hint="eastAsia" w:ascii="宋体" w:hAnsi="宋体" w:eastAsia="宋体" w:cs="Times New Roman"/>
          <w:color w:val="000000" w:themeColor="text1"/>
          <w:kern w:val="2"/>
        </w:rPr>
        <w:t>四、提交投标文件截止时间、开标时间和地点</w:t>
      </w:r>
    </w:p>
    <w:p>
      <w:pPr>
        <w:pStyle w:val="21"/>
        <w:widowControl/>
        <w:spacing w:before="0" w:beforeAutospacing="0" w:after="0" w:afterAutospacing="0" w:line="360" w:lineRule="auto"/>
        <w:ind w:firstLine="320"/>
        <w:rPr>
          <w:rFonts w:ascii="宋体" w:hAnsi="宋体" w:eastAsia="宋体" w:cs="Times New Roman"/>
          <w:color w:val="000000" w:themeColor="text1"/>
          <w:kern w:val="2"/>
        </w:rPr>
      </w:pPr>
      <w:r>
        <w:rPr>
          <w:rFonts w:hint="eastAsia" w:ascii="宋体" w:hAnsi="宋体" w:eastAsia="宋体" w:cs="Times New Roman"/>
          <w:color w:val="000000" w:themeColor="text1"/>
          <w:kern w:val="2"/>
        </w:rPr>
        <w:t>提交投标文件截止时间、开标时间：2022年3月28日9时00分（8时30分开始接收投标文件，拒收逾期送达或者未按招标文件要求密封的投标文件）</w:t>
      </w:r>
    </w:p>
    <w:p>
      <w:pPr>
        <w:pStyle w:val="21"/>
        <w:widowControl/>
        <w:spacing w:before="0" w:beforeAutospacing="0" w:after="0" w:afterAutospacing="0" w:line="360" w:lineRule="auto"/>
        <w:ind w:firstLine="320"/>
        <w:rPr>
          <w:color w:val="000000" w:themeColor="text1"/>
        </w:rPr>
      </w:pPr>
      <w:r>
        <w:rPr>
          <w:rFonts w:hint="eastAsia" w:ascii="宋体" w:hAnsi="宋体" w:eastAsia="宋体" w:cs="Times New Roman"/>
          <w:color w:val="000000" w:themeColor="text1"/>
          <w:kern w:val="2"/>
        </w:rPr>
        <w:t>提交投标文件地点：阳新县公共资源交易中心一楼开标大厅（阳新县熊家垴安置小</w:t>
      </w:r>
      <w:r>
        <w:rPr>
          <w:rFonts w:hint="eastAsia" w:ascii="宋体" w:hAnsi="宋体" w:eastAsia="宋体" w:cs="宋体"/>
          <w:color w:val="000000" w:themeColor="text1"/>
          <w:shd w:val="clear" w:color="auto" w:fill="FFFFFF"/>
        </w:rPr>
        <w:t>区东侧）</w:t>
      </w:r>
    </w:p>
    <w:p>
      <w:pPr>
        <w:pStyle w:val="21"/>
        <w:widowControl/>
        <w:spacing w:before="0" w:beforeAutospacing="0" w:after="0" w:afterAutospacing="0" w:line="360" w:lineRule="auto"/>
        <w:ind w:firstLine="280"/>
        <w:rPr>
          <w:color w:val="000000" w:themeColor="text1"/>
        </w:rPr>
      </w:pPr>
      <w:r>
        <w:rPr>
          <w:rStyle w:val="26"/>
          <w:rFonts w:hint="eastAsia" w:ascii="宋体" w:hAnsi="宋体" w:eastAsia="宋体" w:cs="宋体"/>
          <w:color w:val="000000" w:themeColor="text1"/>
          <w:shd w:val="clear" w:color="auto" w:fill="FFFFFF"/>
        </w:rPr>
        <w:t>五、公告期限</w:t>
      </w:r>
    </w:p>
    <w:p>
      <w:pPr>
        <w:pStyle w:val="21"/>
        <w:widowControl/>
        <w:spacing w:before="0" w:beforeAutospacing="0" w:after="0" w:afterAutospacing="0" w:line="360" w:lineRule="auto"/>
        <w:ind w:firstLine="320"/>
        <w:rPr>
          <w:color w:val="000000" w:themeColor="text1"/>
        </w:rPr>
      </w:pPr>
      <w:r>
        <w:rPr>
          <w:rFonts w:hint="eastAsia" w:ascii="宋体" w:hAnsi="宋体" w:eastAsia="宋体" w:cs="宋体"/>
          <w:color w:val="000000" w:themeColor="text1"/>
          <w:shd w:val="clear" w:color="auto" w:fill="FFFFFF"/>
        </w:rPr>
        <w:t>自本公告发布之日起5个工作日。</w:t>
      </w:r>
    </w:p>
    <w:p>
      <w:pPr>
        <w:pStyle w:val="21"/>
        <w:widowControl/>
        <w:spacing w:before="0" w:beforeAutospacing="0" w:after="0" w:afterAutospacing="0" w:line="360" w:lineRule="auto"/>
        <w:ind w:firstLine="280"/>
        <w:rPr>
          <w:color w:val="000000" w:themeColor="text1"/>
        </w:rPr>
      </w:pPr>
      <w:r>
        <w:rPr>
          <w:rStyle w:val="26"/>
          <w:rFonts w:hint="eastAsia" w:ascii="宋体" w:hAnsi="宋体" w:eastAsia="宋体" w:cs="宋体"/>
          <w:color w:val="000000" w:themeColor="text1"/>
          <w:shd w:val="clear" w:color="auto" w:fill="FFFFFF"/>
        </w:rPr>
        <w:t>六、其他补充事宜</w:t>
      </w:r>
    </w:p>
    <w:p>
      <w:pPr>
        <w:pStyle w:val="21"/>
        <w:widowControl/>
        <w:spacing w:before="0" w:beforeAutospacing="0" w:after="0" w:afterAutospacing="0" w:line="360" w:lineRule="auto"/>
        <w:ind w:firstLine="320"/>
        <w:rPr>
          <w:color w:val="000000" w:themeColor="text1"/>
        </w:rPr>
      </w:pPr>
      <w:r>
        <w:rPr>
          <w:rFonts w:hint="eastAsia" w:ascii="宋体" w:hAnsi="宋体" w:eastAsia="宋体" w:cs="宋体"/>
          <w:color w:val="000000" w:themeColor="text1"/>
          <w:shd w:val="clear" w:color="auto" w:fill="FFFFFF"/>
        </w:rPr>
        <w:t>1、落实政府采购强制、优先采购节能产品政策；政府采购优先采购环保产品政策；政府采购促进中小企业发展（监狱企业、残疾人福利性单位视同小微企业）等政策。</w:t>
      </w:r>
    </w:p>
    <w:p>
      <w:pPr>
        <w:pStyle w:val="21"/>
        <w:widowControl/>
        <w:spacing w:before="0" w:beforeAutospacing="0" w:after="0" w:afterAutospacing="0" w:line="360" w:lineRule="auto"/>
        <w:ind w:firstLine="320"/>
        <w:rPr>
          <w:color w:val="000000" w:themeColor="text1"/>
        </w:rPr>
      </w:pPr>
      <w:r>
        <w:rPr>
          <w:rFonts w:hint="eastAsia" w:ascii="宋体" w:hAnsi="宋体" w:eastAsia="宋体" w:cs="宋体"/>
          <w:color w:val="000000" w:themeColor="text1"/>
          <w:shd w:val="clear" w:color="auto" w:fill="FFFFFF"/>
        </w:rPr>
        <w:t>2、是否专门面向中小企业、监狱企业、残疾人福利性单位：否。</w:t>
      </w:r>
    </w:p>
    <w:p>
      <w:pPr>
        <w:pStyle w:val="21"/>
        <w:widowControl/>
        <w:spacing w:before="0" w:beforeAutospacing="0" w:after="0" w:afterAutospacing="0" w:line="360" w:lineRule="auto"/>
        <w:ind w:firstLine="320"/>
        <w:rPr>
          <w:color w:val="000000" w:themeColor="text1"/>
        </w:rPr>
      </w:pPr>
      <w:r>
        <w:rPr>
          <w:rFonts w:hint="eastAsia" w:ascii="宋体" w:hAnsi="宋体" w:eastAsia="宋体" w:cs="宋体"/>
          <w:color w:val="000000" w:themeColor="text1"/>
          <w:shd w:val="clear" w:color="auto" w:fill="FFFFFF"/>
        </w:rPr>
        <w:t>3、投标人认为招标文件、招标过程和中标结果使自己的权益受到损害的，可以在知道或者应知其权益受到损害之日起7个工作日内，向采购人或代理公司提出质疑。质疑时请提交书面质疑函一份（法人代表签字、加盖单位公章。具体要求详见本招标文件“第二章 投标人须知”中的第八条之规定），并附相关证据材料。</w:t>
      </w:r>
    </w:p>
    <w:p>
      <w:pPr>
        <w:pStyle w:val="21"/>
        <w:widowControl/>
        <w:spacing w:before="0" w:beforeAutospacing="0" w:after="0" w:afterAutospacing="0" w:line="360" w:lineRule="auto"/>
        <w:ind w:firstLine="280"/>
        <w:rPr>
          <w:rStyle w:val="26"/>
          <w:rFonts w:ascii="宋体" w:hAnsi="宋体" w:eastAsia="宋体" w:cs="宋体"/>
          <w:color w:val="000000" w:themeColor="text1"/>
          <w:shd w:val="clear" w:color="auto" w:fill="FFFFFF"/>
        </w:rPr>
      </w:pPr>
      <w:r>
        <w:rPr>
          <w:rStyle w:val="26"/>
          <w:rFonts w:hint="eastAsia" w:ascii="宋体" w:hAnsi="宋体" w:eastAsia="宋体" w:cs="宋体"/>
          <w:color w:val="000000" w:themeColor="text1"/>
          <w:shd w:val="clear" w:color="auto" w:fill="FFFFFF"/>
        </w:rPr>
        <w:t>七、对本次招标提出询问，请按以下方式联系。</w:t>
      </w:r>
    </w:p>
    <w:p>
      <w:pPr>
        <w:pStyle w:val="21"/>
        <w:widowControl/>
        <w:spacing w:before="0" w:beforeAutospacing="0" w:after="0" w:afterAutospacing="0" w:line="360" w:lineRule="auto"/>
        <w:ind w:firstLine="320"/>
        <w:rPr>
          <w:color w:val="000000" w:themeColor="text1"/>
        </w:rPr>
      </w:pPr>
      <w:r>
        <w:rPr>
          <w:rFonts w:hint="eastAsia" w:ascii="宋体" w:hAnsi="宋体" w:eastAsia="宋体" w:cs="宋体"/>
          <w:color w:val="000000" w:themeColor="text1"/>
          <w:shd w:val="clear" w:color="auto" w:fill="FFFFFF"/>
        </w:rPr>
        <w:t>1.采购人信息</w:t>
      </w:r>
    </w:p>
    <w:p>
      <w:pPr>
        <w:widowControl/>
        <w:spacing w:line="360" w:lineRule="auto"/>
        <w:ind w:firstLine="420" w:firstLineChars="175"/>
        <w:rPr>
          <w:rFonts w:ascii="宋体" w:hAnsi="宋体" w:cs="宋体"/>
          <w:color w:val="000000" w:themeColor="text1"/>
          <w:sz w:val="24"/>
          <w:szCs w:val="24"/>
        </w:rPr>
      </w:pPr>
      <w:r>
        <w:rPr>
          <w:rFonts w:hint="eastAsia" w:ascii="宋体" w:hAnsi="宋体" w:eastAsia="宋体" w:cs="宋体"/>
          <w:color w:val="000000" w:themeColor="text1"/>
          <w:sz w:val="24"/>
          <w:szCs w:val="24"/>
          <w:shd w:val="clear" w:color="auto" w:fill="FFFFFF"/>
        </w:rPr>
        <w:t>名   称：</w:t>
      </w:r>
      <w:r>
        <w:rPr>
          <w:rFonts w:hint="eastAsia" w:ascii="宋体" w:hAnsi="宋体" w:cs="宋体"/>
          <w:color w:val="000000" w:themeColor="text1"/>
          <w:sz w:val="24"/>
          <w:szCs w:val="24"/>
        </w:rPr>
        <w:t>阳新县教育局</w:t>
      </w:r>
    </w:p>
    <w:p>
      <w:pPr>
        <w:pStyle w:val="21"/>
        <w:widowControl/>
        <w:spacing w:before="0" w:beforeAutospacing="0" w:after="0" w:afterAutospacing="0" w:line="360" w:lineRule="auto"/>
        <w:ind w:firstLine="320"/>
        <w:rPr>
          <w:color w:val="000000" w:themeColor="text1"/>
        </w:rPr>
      </w:pPr>
      <w:r>
        <w:rPr>
          <w:rFonts w:hint="eastAsia" w:ascii="宋体" w:hAnsi="宋体" w:eastAsia="宋体" w:cs="宋体"/>
          <w:color w:val="000000" w:themeColor="text1"/>
          <w:shd w:val="clear" w:color="auto" w:fill="FFFFFF"/>
        </w:rPr>
        <w:t>地   址：</w:t>
      </w:r>
      <w:r>
        <w:rPr>
          <w:rStyle w:val="26"/>
          <w:rFonts w:hint="eastAsia" w:ascii="宋体" w:hAnsi="宋体" w:eastAsia="宋体" w:cs="宋体"/>
          <w:b w:val="0"/>
          <w:color w:val="000000" w:themeColor="text1"/>
          <w:shd w:val="clear" w:color="auto" w:fill="FFFFFF"/>
        </w:rPr>
        <w:t>阳新县城东新区综合大道</w:t>
      </w:r>
    </w:p>
    <w:p>
      <w:pPr>
        <w:pStyle w:val="21"/>
        <w:widowControl/>
        <w:spacing w:before="0" w:beforeAutospacing="0" w:after="0" w:afterAutospacing="0" w:line="360" w:lineRule="auto"/>
        <w:ind w:firstLine="320"/>
        <w:rPr>
          <w:rFonts w:eastAsia="宋体"/>
          <w:color w:val="000000" w:themeColor="text1"/>
        </w:rPr>
      </w:pPr>
      <w:r>
        <w:rPr>
          <w:rFonts w:hint="eastAsia" w:ascii="宋体" w:hAnsi="宋体" w:eastAsia="宋体" w:cs="宋体"/>
          <w:color w:val="000000" w:themeColor="text1"/>
          <w:shd w:val="clear" w:color="auto" w:fill="FFFFFF"/>
        </w:rPr>
        <w:t>联系方式：</w:t>
      </w:r>
      <w:r>
        <w:rPr>
          <w:rFonts w:hint="eastAsia" w:ascii="宋体" w:hAnsi="宋体" w:eastAsia="宋体" w:cs="宋体"/>
          <w:color w:val="000000" w:themeColor="text1"/>
        </w:rPr>
        <w:t>0714-7596446</w:t>
      </w:r>
    </w:p>
    <w:p>
      <w:pPr>
        <w:pStyle w:val="21"/>
        <w:widowControl/>
        <w:spacing w:before="0" w:beforeAutospacing="0" w:after="0" w:afterAutospacing="0" w:line="360" w:lineRule="auto"/>
        <w:ind w:firstLine="320"/>
        <w:rPr>
          <w:color w:val="000000" w:themeColor="text1"/>
        </w:rPr>
      </w:pPr>
      <w:r>
        <w:rPr>
          <w:rFonts w:hint="eastAsia" w:ascii="宋体" w:hAnsi="宋体" w:eastAsia="宋体" w:cs="宋体"/>
          <w:color w:val="000000" w:themeColor="text1"/>
          <w:shd w:val="clear" w:color="auto" w:fill="FFFFFF"/>
        </w:rPr>
        <w:t>2.采购代理机构信息</w:t>
      </w:r>
    </w:p>
    <w:p>
      <w:pPr>
        <w:pStyle w:val="21"/>
        <w:widowControl/>
        <w:spacing w:before="0" w:beforeAutospacing="0" w:after="0" w:afterAutospacing="0" w:line="360" w:lineRule="auto"/>
        <w:ind w:firstLine="320"/>
        <w:rPr>
          <w:rFonts w:ascii="宋体" w:hAnsi="宋体" w:eastAsia="宋体" w:cs="宋体"/>
          <w:color w:val="000000" w:themeColor="text1"/>
        </w:rPr>
      </w:pPr>
      <w:r>
        <w:rPr>
          <w:rFonts w:hint="eastAsia" w:ascii="宋体" w:hAnsi="宋体" w:eastAsia="宋体" w:cs="宋体"/>
          <w:color w:val="000000" w:themeColor="text1"/>
          <w:shd w:val="clear" w:color="auto" w:fill="FFFFFF"/>
        </w:rPr>
        <w:t>名   称：</w:t>
      </w:r>
      <w:r>
        <w:rPr>
          <w:rFonts w:hint="eastAsia" w:ascii="宋体" w:hAnsi="宋体" w:eastAsia="宋体" w:cs="宋体"/>
          <w:color w:val="000000" w:themeColor="text1"/>
        </w:rPr>
        <w:t>黄石曼宇工程项目管理有限公司</w:t>
      </w:r>
    </w:p>
    <w:p>
      <w:pPr>
        <w:pStyle w:val="21"/>
        <w:widowControl/>
        <w:spacing w:before="0" w:beforeAutospacing="0" w:after="0" w:afterAutospacing="0" w:line="360" w:lineRule="auto"/>
        <w:ind w:firstLine="320"/>
        <w:rPr>
          <w:rStyle w:val="26"/>
          <w:rFonts w:ascii="宋体" w:hAnsi="宋体" w:eastAsia="宋体" w:cs="宋体"/>
          <w:b w:val="0"/>
          <w:color w:val="000000" w:themeColor="text1"/>
          <w:shd w:val="clear" w:color="auto" w:fill="FFFFFF"/>
        </w:rPr>
      </w:pPr>
      <w:r>
        <w:rPr>
          <w:rFonts w:hint="eastAsia" w:ascii="宋体" w:hAnsi="宋体" w:eastAsia="宋体" w:cs="宋体"/>
          <w:color w:val="000000" w:themeColor="text1"/>
          <w:shd w:val="clear" w:color="auto" w:fill="FFFFFF"/>
        </w:rPr>
        <w:t>地   址：</w:t>
      </w:r>
      <w:r>
        <w:rPr>
          <w:rFonts w:hint="eastAsia"/>
          <w:color w:val="000000" w:themeColor="text1"/>
          <w:szCs w:val="21"/>
          <w:lang w:val="zh-CN"/>
        </w:rPr>
        <w:t>阳新县兴国镇兴国大道118号兴国供电所营业大楼302室</w:t>
      </w:r>
    </w:p>
    <w:p>
      <w:pPr>
        <w:pStyle w:val="21"/>
        <w:widowControl/>
        <w:spacing w:before="0" w:beforeAutospacing="0" w:after="0" w:afterAutospacing="0" w:line="360" w:lineRule="auto"/>
        <w:ind w:firstLine="320"/>
        <w:rPr>
          <w:rFonts w:ascii="宋体" w:hAnsi="宋体" w:cs="宋体"/>
          <w:color w:val="000000" w:themeColor="text1"/>
        </w:rPr>
      </w:pPr>
      <w:r>
        <w:rPr>
          <w:rFonts w:hint="eastAsia" w:ascii="宋体" w:hAnsi="宋体" w:eastAsia="宋体" w:cs="宋体"/>
          <w:color w:val="000000" w:themeColor="text1"/>
          <w:shd w:val="clear" w:color="auto" w:fill="FFFFFF"/>
        </w:rPr>
        <w:t>联系方式：</w:t>
      </w:r>
      <w:r>
        <w:rPr>
          <w:rFonts w:hint="eastAsia" w:ascii="宋体" w:hAnsi="宋体" w:cs="宋体"/>
          <w:color w:val="000000" w:themeColor="text1"/>
        </w:rPr>
        <w:t>18162911188</w:t>
      </w:r>
    </w:p>
    <w:p>
      <w:pPr>
        <w:pStyle w:val="21"/>
        <w:widowControl/>
        <w:spacing w:before="0" w:beforeAutospacing="0" w:after="0" w:afterAutospacing="0" w:line="360" w:lineRule="auto"/>
        <w:ind w:firstLine="320"/>
        <w:rPr>
          <w:rFonts w:ascii="宋体" w:hAnsi="宋体" w:cs="宋体"/>
          <w:color w:val="000000" w:themeColor="text1"/>
        </w:rPr>
      </w:pPr>
    </w:p>
    <w:p>
      <w:pPr>
        <w:widowControl/>
        <w:spacing w:line="360" w:lineRule="auto"/>
        <w:jc w:val="left"/>
        <w:rPr>
          <w:rFonts w:ascii="黑体" w:hAnsi="黑体" w:eastAsia="黑体"/>
          <w:b/>
          <w:bCs/>
          <w:color w:val="000000" w:themeColor="text1"/>
          <w:kern w:val="44"/>
          <w:sz w:val="44"/>
          <w:szCs w:val="44"/>
        </w:rPr>
      </w:pPr>
      <w:r>
        <w:rPr>
          <w:rFonts w:hint="eastAsia" w:ascii="宋体" w:hAnsi="宋体" w:eastAsia="宋体" w:cs="Times New Roman"/>
          <w:b/>
          <w:color w:val="000000" w:themeColor="text1"/>
          <w:sz w:val="28"/>
          <w:szCs w:val="28"/>
          <w:lang w:val="zh-CN"/>
        </w:rPr>
        <w:t xml:space="preserve">                                             </w:t>
      </w:r>
      <w:r>
        <w:rPr>
          <w:rFonts w:hint="eastAsia" w:ascii="宋体" w:hAnsi="宋体" w:cs="宋体"/>
          <w:color w:val="000000" w:themeColor="text1"/>
          <w:sz w:val="24"/>
          <w:szCs w:val="24"/>
        </w:rPr>
        <w:t xml:space="preserve">   2022年3月4日</w:t>
      </w:r>
    </w:p>
    <w:p>
      <w:pPr>
        <w:spacing w:line="360" w:lineRule="auto"/>
        <w:rPr>
          <w:rFonts w:ascii="黑体" w:hAnsi="黑体" w:eastAsia="黑体"/>
          <w:color w:val="000000" w:themeColor="text1"/>
        </w:rPr>
      </w:pPr>
      <w:r>
        <w:rPr>
          <w:rFonts w:hint="eastAsia" w:ascii="黑体" w:hAnsi="黑体" w:eastAsia="黑体"/>
          <w:color w:val="000000" w:themeColor="text1"/>
        </w:rPr>
        <w:br w:type="page"/>
      </w:r>
    </w:p>
    <w:p>
      <w:pPr>
        <w:pStyle w:val="3"/>
        <w:numPr>
          <w:ilvl w:val="0"/>
          <w:numId w:val="1"/>
        </w:numPr>
        <w:spacing w:before="0" w:after="0" w:line="360" w:lineRule="auto"/>
        <w:ind w:left="880" w:hanging="880" w:hangingChars="200"/>
        <w:jc w:val="center"/>
        <w:rPr>
          <w:rFonts w:ascii="黑体" w:hAnsi="黑体" w:eastAsia="黑体"/>
          <w:color w:val="000000" w:themeColor="text1"/>
        </w:rPr>
      </w:pPr>
      <w:r>
        <w:rPr>
          <w:rFonts w:hint="eastAsia" w:ascii="黑体" w:hAnsi="黑体" w:eastAsia="黑体"/>
          <w:color w:val="000000" w:themeColor="text1"/>
        </w:rPr>
        <w:t>投标人须知</w:t>
      </w:r>
      <w:bookmarkEnd w:id="1"/>
    </w:p>
    <w:p>
      <w:pPr>
        <w:spacing w:line="360" w:lineRule="auto"/>
        <w:jc w:val="center"/>
        <w:rPr>
          <w:rFonts w:ascii="宋体" w:hAnsi="宋体"/>
          <w:color w:val="000000" w:themeColor="text1"/>
        </w:rPr>
      </w:pPr>
      <w:bookmarkStart w:id="3" w:name="_Toc495861519"/>
      <w:bookmarkStart w:id="4" w:name="_Toc494561937"/>
      <w:r>
        <w:rPr>
          <w:rFonts w:cs="Times New Roman" w:asciiTheme="majorEastAsia" w:hAnsiTheme="majorEastAsia" w:eastAsiaTheme="majorEastAsia"/>
          <w:b/>
          <w:bCs/>
          <w:color w:val="000000" w:themeColor="text1"/>
          <w:sz w:val="32"/>
          <w:szCs w:val="32"/>
          <w:lang w:val="zh-CN"/>
        </w:rPr>
        <w:t>投标须知前附表</w:t>
      </w:r>
      <w:bookmarkEnd w:id="3"/>
      <w:bookmarkEnd w:id="4"/>
    </w:p>
    <w:tbl>
      <w:tblPr>
        <w:tblStyle w:val="23"/>
        <w:tblpPr w:leftFromText="180" w:rightFromText="180" w:vertAnchor="text" w:horzAnchor="page" w:tblpX="1629" w:tblpY="29"/>
        <w:tblOverlap w:val="never"/>
        <w:tblW w:w="9285" w:type="dxa"/>
        <w:tblInd w:w="0" w:type="dxa"/>
        <w:tblLayout w:type="fixed"/>
        <w:tblCellMar>
          <w:top w:w="0" w:type="dxa"/>
          <w:left w:w="108" w:type="dxa"/>
          <w:bottom w:w="0" w:type="dxa"/>
          <w:right w:w="108" w:type="dxa"/>
        </w:tblCellMar>
      </w:tblPr>
      <w:tblGrid>
        <w:gridCol w:w="1005"/>
        <w:gridCol w:w="8280"/>
      </w:tblGrid>
      <w:tr>
        <w:tblPrEx>
          <w:tblCellMar>
            <w:top w:w="0" w:type="dxa"/>
            <w:left w:w="108" w:type="dxa"/>
            <w:bottom w:w="0" w:type="dxa"/>
            <w:right w:w="108" w:type="dxa"/>
          </w:tblCellMar>
        </w:tblPrEx>
        <w:trPr>
          <w:trHeight w:val="90"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rPr>
            </w:pPr>
            <w:r>
              <w:rPr>
                <w:rFonts w:hint="eastAsia" w:ascii="宋体" w:hAnsi="宋体"/>
                <w:color w:val="000000" w:themeColor="text1"/>
              </w:rPr>
              <w:t>条款号</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rPr>
            </w:pPr>
            <w:r>
              <w:rPr>
                <w:rFonts w:hint="eastAsia" w:ascii="宋体" w:hAnsi="宋体"/>
                <w:color w:val="000000" w:themeColor="text1"/>
              </w:rPr>
              <w:t>编  列  内  容</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rPr>
            </w:pPr>
            <w:r>
              <w:rPr>
                <w:rFonts w:hint="eastAsia" w:ascii="宋体" w:hAnsi="宋体"/>
                <w:color w:val="000000" w:themeColor="text1"/>
              </w:rPr>
              <w:t>1</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招标人名称：阳新县教育局</w:t>
            </w:r>
          </w:p>
        </w:tc>
      </w:tr>
      <w:t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rPr>
            </w:pPr>
            <w:r>
              <w:rPr>
                <w:rFonts w:hint="eastAsia" w:ascii="宋体" w:hAnsi="宋体"/>
                <w:color w:val="000000" w:themeColor="text1"/>
              </w:rPr>
              <w:t>2</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项目名称：2021-2022学年度阳新县农村义务教育学生营养改善计划提标采购项目</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rPr>
            </w:pPr>
            <w:r>
              <w:rPr>
                <w:rFonts w:hint="eastAsia" w:ascii="宋体" w:hAnsi="宋体"/>
                <w:color w:val="000000" w:themeColor="text1"/>
              </w:rPr>
              <w:t>3</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lang w:val="zh-CN"/>
              </w:rPr>
              <w:t>资格审查方式：资格后审</w:t>
            </w:r>
          </w:p>
        </w:tc>
      </w:tr>
      <w:tr>
        <w:trPr>
          <w:trHeight w:val="90"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rPr>
            </w:pPr>
            <w:r>
              <w:rPr>
                <w:rFonts w:hint="eastAsia" w:ascii="宋体" w:hAnsi="宋体"/>
                <w:color w:val="000000" w:themeColor="text1"/>
              </w:rPr>
              <w:t>4</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招标代理单位名称：黄石曼宇工程项目管理有限公司</w:t>
            </w:r>
          </w:p>
          <w:p>
            <w:pPr>
              <w:pStyle w:val="21"/>
              <w:widowControl/>
              <w:spacing w:before="0" w:beforeAutospacing="0" w:after="0" w:afterAutospacing="0" w:line="360" w:lineRule="auto"/>
              <w:rPr>
                <w:rFonts w:ascii="宋体" w:hAnsi="宋体"/>
                <w:color w:val="000000" w:themeColor="text1"/>
                <w:kern w:val="2"/>
                <w:sz w:val="21"/>
                <w:szCs w:val="21"/>
              </w:rPr>
            </w:pPr>
            <w:r>
              <w:rPr>
                <w:rFonts w:hint="eastAsia" w:ascii="宋体" w:hAnsi="宋体"/>
                <w:color w:val="000000" w:themeColor="text1"/>
                <w:sz w:val="21"/>
                <w:szCs w:val="21"/>
              </w:rPr>
              <w:t>地址</w:t>
            </w:r>
            <w:r>
              <w:rPr>
                <w:rFonts w:hint="eastAsia" w:ascii="宋体" w:hAnsi="宋体"/>
                <w:color w:val="000000" w:themeColor="text1"/>
                <w:kern w:val="2"/>
                <w:sz w:val="21"/>
                <w:szCs w:val="21"/>
              </w:rPr>
              <w:t>：</w:t>
            </w:r>
            <w:r>
              <w:rPr>
                <w:rFonts w:hint="eastAsia" w:ascii="宋体" w:hAnsi="宋体"/>
                <w:color w:val="000000" w:themeColor="text1"/>
                <w:kern w:val="2"/>
                <w:sz w:val="21"/>
                <w:szCs w:val="21"/>
                <w:lang w:val="zh-CN"/>
              </w:rPr>
              <w:t>阳新县兴国镇兴国大道118号兴国供电所营业大楼302室</w:t>
            </w:r>
          </w:p>
          <w:p>
            <w:pPr>
              <w:spacing w:line="360" w:lineRule="auto"/>
              <w:rPr>
                <w:rFonts w:ascii="宋体" w:hAnsi="宋体"/>
                <w:color w:val="000000" w:themeColor="text1"/>
                <w:szCs w:val="21"/>
              </w:rPr>
            </w:pPr>
            <w:r>
              <w:rPr>
                <w:rFonts w:hint="eastAsia" w:ascii="宋体" w:hAnsi="宋体"/>
                <w:color w:val="000000" w:themeColor="text1"/>
                <w:szCs w:val="21"/>
              </w:rPr>
              <w:t>联 系 人：伍齐华</w:t>
            </w:r>
          </w:p>
          <w:p>
            <w:pPr>
              <w:spacing w:line="360" w:lineRule="auto"/>
              <w:rPr>
                <w:rFonts w:ascii="宋体" w:hAnsi="宋体"/>
                <w:color w:val="000000" w:themeColor="text1"/>
                <w:szCs w:val="21"/>
              </w:rPr>
            </w:pPr>
            <w:r>
              <w:rPr>
                <w:rFonts w:hint="eastAsia" w:ascii="宋体" w:hAnsi="宋体"/>
                <w:color w:val="000000" w:themeColor="text1"/>
                <w:szCs w:val="21"/>
              </w:rPr>
              <w:t>联系电话：18162911188</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5</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themeColor="text1"/>
                <w:szCs w:val="21"/>
              </w:rPr>
            </w:pPr>
            <w:r>
              <w:rPr>
                <w:rFonts w:hint="eastAsia"/>
                <w:color w:val="000000" w:themeColor="text1"/>
                <w:szCs w:val="21"/>
              </w:rPr>
              <w:t>合格投标人应具备以下条件：</w:t>
            </w:r>
          </w:p>
          <w:p>
            <w:pPr>
              <w:spacing w:line="440" w:lineRule="exact"/>
              <w:ind w:firstLine="420" w:firstLineChars="200"/>
              <w:rPr>
                <w:color w:val="000000" w:themeColor="text1"/>
                <w:szCs w:val="21"/>
              </w:rPr>
            </w:pPr>
            <w:r>
              <w:rPr>
                <w:rFonts w:hint="eastAsia"/>
                <w:color w:val="000000" w:themeColor="text1"/>
                <w:szCs w:val="21"/>
              </w:rPr>
              <w:t>（一）具有独立承担民事责任的能力；</w:t>
            </w:r>
          </w:p>
          <w:p>
            <w:pPr>
              <w:spacing w:line="440" w:lineRule="exact"/>
              <w:ind w:firstLine="420" w:firstLineChars="200"/>
              <w:rPr>
                <w:color w:val="000000" w:themeColor="text1"/>
                <w:szCs w:val="21"/>
              </w:rPr>
            </w:pPr>
            <w:r>
              <w:rPr>
                <w:rFonts w:hint="eastAsia"/>
                <w:color w:val="000000" w:themeColor="text1"/>
                <w:szCs w:val="21"/>
              </w:rPr>
              <w:t>（二）具有良好的商业信誉和健全的财务会计制度；</w:t>
            </w:r>
          </w:p>
          <w:p>
            <w:pPr>
              <w:spacing w:line="440" w:lineRule="exact"/>
              <w:ind w:firstLine="420" w:firstLineChars="200"/>
              <w:rPr>
                <w:color w:val="000000" w:themeColor="text1"/>
                <w:szCs w:val="21"/>
              </w:rPr>
            </w:pPr>
            <w:r>
              <w:rPr>
                <w:rFonts w:hint="eastAsia"/>
                <w:color w:val="000000" w:themeColor="text1"/>
                <w:szCs w:val="21"/>
              </w:rPr>
              <w:t>（三）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中国政府采购网”（www.ccgp.gov.cn）政府采购严重违法失信行为记录名单。（以公告挂网之日起至投标截止之日止，此期间查询结果为准）</w:t>
            </w:r>
          </w:p>
          <w:p>
            <w:pPr>
              <w:spacing w:line="440" w:lineRule="exact"/>
              <w:ind w:firstLine="420" w:firstLineChars="200"/>
              <w:rPr>
                <w:color w:val="000000" w:themeColor="text1"/>
                <w:szCs w:val="21"/>
              </w:rPr>
            </w:pPr>
            <w:r>
              <w:rPr>
                <w:rFonts w:hint="eastAsia"/>
                <w:color w:val="000000" w:themeColor="text1"/>
                <w:szCs w:val="21"/>
              </w:rPr>
              <w:t>（四）依法缴纳税收和社会保障资金的相关材料。</w:t>
            </w:r>
          </w:p>
          <w:p>
            <w:pPr>
              <w:spacing w:line="440" w:lineRule="exact"/>
              <w:ind w:firstLine="420" w:firstLineChars="200"/>
              <w:rPr>
                <w:b/>
                <w:bCs/>
                <w:color w:val="000000" w:themeColor="text1"/>
                <w:szCs w:val="21"/>
              </w:rPr>
            </w:pPr>
            <w:r>
              <w:rPr>
                <w:rFonts w:hint="eastAsia"/>
                <w:b/>
                <w:bCs/>
                <w:color w:val="000000" w:themeColor="text1"/>
                <w:szCs w:val="21"/>
              </w:rPr>
              <w:t>（五）特定条件</w:t>
            </w:r>
          </w:p>
          <w:p>
            <w:pPr>
              <w:spacing w:line="440" w:lineRule="exact"/>
              <w:rPr>
                <w:color w:val="000000" w:themeColor="text1"/>
              </w:rPr>
            </w:pPr>
            <w:r>
              <w:rPr>
                <w:rFonts w:hint="eastAsia"/>
                <w:color w:val="000000" w:themeColor="text1"/>
              </w:rPr>
              <w:t xml:space="preserve">（1）一包投标人提供生产厂家的《全国工业产品生产许可证》或 《食品生产许可证》。 </w:t>
            </w:r>
          </w:p>
          <w:p>
            <w:pPr>
              <w:spacing w:line="440" w:lineRule="exact"/>
              <w:rPr>
                <w:color w:val="000000" w:themeColor="text1"/>
              </w:rPr>
            </w:pPr>
            <w:r>
              <w:rPr>
                <w:rFonts w:hint="eastAsia"/>
                <w:color w:val="000000" w:themeColor="text1"/>
              </w:rPr>
              <w:t>（2）投标人具有并提供《食品流通许可证》或《食品经营许可证》。</w:t>
            </w:r>
          </w:p>
          <w:p>
            <w:pPr>
              <w:spacing w:line="440" w:lineRule="exact"/>
              <w:rPr>
                <w:color w:val="000000" w:themeColor="text1"/>
              </w:rPr>
            </w:pPr>
            <w:r>
              <w:rPr>
                <w:rFonts w:hint="eastAsia"/>
                <w:color w:val="000000" w:themeColor="text1"/>
              </w:rPr>
              <w:t xml:space="preserve">（3）要求投标人提供近两年（2020年 3月 1 日-2022 年 3月1 日）没有出现质量安全事故的承诺书。 </w:t>
            </w:r>
          </w:p>
          <w:p>
            <w:pPr>
              <w:spacing w:line="440" w:lineRule="exact"/>
              <w:rPr>
                <w:color w:val="000000" w:themeColor="text1"/>
              </w:rPr>
            </w:pPr>
            <w:r>
              <w:rPr>
                <w:rFonts w:hint="eastAsia"/>
                <w:color w:val="000000" w:themeColor="text1"/>
              </w:rPr>
              <w:t xml:space="preserve">（4）要求投标人应具有履行合同的专业、技术资格能力，并保证在资金、仓储、运输设施状况、配送能力、管理能力、经验、信誉等能满足本采购项目的供货和服务的要求，并提供上述要求的承诺书。 </w:t>
            </w:r>
          </w:p>
          <w:p>
            <w:pPr>
              <w:spacing w:line="440" w:lineRule="exact"/>
              <w:rPr>
                <w:color w:val="000000" w:themeColor="text1"/>
              </w:rPr>
            </w:pPr>
            <w:r>
              <w:rPr>
                <w:rFonts w:hint="eastAsia"/>
                <w:color w:val="000000" w:themeColor="text1"/>
              </w:rPr>
              <w:t>（5）要求投标人提供投标截止时间前连续三个月纳税证明。（缴纳税收的证明文件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w:t>
            </w:r>
          </w:p>
          <w:p>
            <w:pPr>
              <w:spacing w:line="440" w:lineRule="exact"/>
              <w:rPr>
                <w:color w:val="000000" w:themeColor="text1"/>
              </w:rPr>
            </w:pPr>
            <w:r>
              <w:rPr>
                <w:rFonts w:hint="eastAsia"/>
                <w:color w:val="000000" w:themeColor="text1"/>
              </w:rPr>
              <w:t>（6）二包投标人需具有食堂大宗食材（鲜黄牛肉、鲜猪瘦肉、鸡蛋）正规渠道供货来源，并与正规厂家的签订合同或者授权书，提供厂家的营业执照、食品经营许可证等证明材料；</w:t>
            </w:r>
          </w:p>
          <w:p>
            <w:pPr>
              <w:spacing w:line="440" w:lineRule="exact"/>
              <w:rPr>
                <w:color w:val="000000" w:themeColor="text1"/>
              </w:rPr>
            </w:pPr>
            <w:r>
              <w:rPr>
                <w:rFonts w:hint="eastAsia"/>
                <w:color w:val="000000" w:themeColor="text1"/>
              </w:rPr>
              <w:t>（7）三包中央厨房供餐：投标人需具备营业执照、食品经营许可证（主体业务范围须有集体用餐配送资质）；</w:t>
            </w:r>
          </w:p>
          <w:p>
            <w:pPr>
              <w:spacing w:line="440" w:lineRule="exact"/>
              <w:rPr>
                <w:color w:val="000000" w:themeColor="text1"/>
              </w:rPr>
            </w:pPr>
            <w:r>
              <w:rPr>
                <w:rFonts w:hint="eastAsia"/>
                <w:color w:val="000000" w:themeColor="text1"/>
              </w:rPr>
              <w:t>（8）不接受联合体形式的投标。</w:t>
            </w:r>
          </w:p>
          <w:p>
            <w:pPr>
              <w:spacing w:line="440" w:lineRule="exact"/>
              <w:rPr>
                <w:color w:val="000000" w:themeColor="text1"/>
              </w:rPr>
            </w:pPr>
            <w:r>
              <w:rPr>
                <w:rFonts w:hint="eastAsia"/>
                <w:color w:val="000000" w:themeColor="text1"/>
              </w:rPr>
              <w:t>注：（1）投标人可对本标三个包进行同时投标，但是同一投标人只能中标其中的一个包；对多个包同时投标时须分别制作投标文件并注明投标包号；</w:t>
            </w:r>
          </w:p>
          <w:p>
            <w:pPr>
              <w:spacing w:line="440" w:lineRule="exact"/>
              <w:rPr>
                <w:rFonts w:ascii="宋体" w:hAnsi="宋体" w:eastAsia="宋体" w:cs="Times New Roman"/>
                <w:color w:val="000000" w:themeColor="text1"/>
                <w:szCs w:val="21"/>
              </w:rPr>
            </w:pPr>
            <w:r>
              <w:rPr>
                <w:rFonts w:hint="eastAsia"/>
                <w:color w:val="000000" w:themeColor="text1"/>
              </w:rPr>
              <w:t>如投标人在多个包中成为第一中标候选人，则获得包号靠前的那个包的中标人资格，其它包自动放弃其中标资格，并在其它包中根据评标结果顺序顺延中标人资格。</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Cs w:val="21"/>
              </w:rPr>
            </w:pPr>
            <w:r>
              <w:rPr>
                <w:rFonts w:hint="eastAsia" w:ascii="宋体" w:hAnsi="宋体"/>
                <w:color w:val="000000" w:themeColor="text1"/>
                <w:szCs w:val="21"/>
              </w:rPr>
              <w:t>6</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themeColor="text1"/>
              </w:rPr>
            </w:pPr>
            <w:r>
              <w:rPr>
                <w:rFonts w:hint="eastAsia"/>
                <w:color w:val="000000" w:themeColor="text1"/>
              </w:rPr>
              <w:t>供货期：</w:t>
            </w:r>
            <w:r>
              <w:rPr>
                <w:rFonts w:hint="eastAsia" w:ascii="宋体" w:hAnsi="宋体" w:eastAsia="宋体" w:cs="宋体"/>
                <w:color w:val="000000" w:themeColor="text1"/>
                <w:shd w:val="clear" w:color="auto" w:fill="FFFFFF"/>
              </w:rPr>
              <w:t>合同签订日开始—2022年春季学期结束,以实际供货天数为准。</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Cs w:val="21"/>
              </w:rPr>
            </w:pPr>
            <w:r>
              <w:rPr>
                <w:rFonts w:hint="eastAsia" w:ascii="宋体" w:hAnsi="宋体"/>
                <w:color w:val="000000" w:themeColor="text1"/>
                <w:szCs w:val="21"/>
              </w:rPr>
              <w:t>7</w:t>
            </w:r>
          </w:p>
        </w:tc>
        <w:tc>
          <w:tcPr>
            <w:tcW w:w="828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rPr>
            </w:pPr>
            <w:r>
              <w:rPr>
                <w:rFonts w:hint="eastAsia" w:ascii="宋体" w:hAnsi="宋体" w:eastAsia="宋体" w:cs="Times New Roman"/>
                <w:color w:val="000000" w:themeColor="text1"/>
                <w:szCs w:val="21"/>
              </w:rPr>
              <w:t>付款方法：每学期按实际供应学生数和供应天数据实结算付款，（如上级专项资金有变化，甲方有权根据资金情况作相应的供餐调整）</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Cs w:val="21"/>
              </w:rPr>
            </w:pPr>
            <w:r>
              <w:rPr>
                <w:rFonts w:hint="eastAsia" w:ascii="宋体" w:hAnsi="宋体" w:eastAsia="宋体"/>
                <w:color w:val="000000" w:themeColor="text1"/>
                <w:szCs w:val="21"/>
              </w:rPr>
              <w:t>8</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themeColor="text1"/>
                <w:szCs w:val="21"/>
              </w:rPr>
            </w:pPr>
            <w:r>
              <w:rPr>
                <w:rFonts w:hint="eastAsia" w:ascii="宋体" w:hAnsi="宋体" w:cs="宋体"/>
                <w:color w:val="000000" w:themeColor="text1"/>
                <w:szCs w:val="21"/>
              </w:rPr>
              <w:t>投标有效期：从投标截止日起60日历日。</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Cs w:val="21"/>
              </w:rPr>
            </w:pPr>
            <w:r>
              <w:rPr>
                <w:rFonts w:hint="eastAsia" w:ascii="宋体" w:hAnsi="宋体" w:eastAsia="宋体"/>
                <w:color w:val="000000" w:themeColor="text1"/>
                <w:szCs w:val="21"/>
              </w:rPr>
              <w:t>9</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themeColor="text1"/>
                <w:szCs w:val="21"/>
              </w:rPr>
            </w:pPr>
            <w:r>
              <w:rPr>
                <w:rFonts w:hint="eastAsia" w:ascii="宋体" w:hAnsi="宋体" w:cs="宋体"/>
                <w:color w:val="000000" w:themeColor="text1"/>
                <w:szCs w:val="21"/>
              </w:rPr>
              <w:t>投标文件递交：正本一份，与正本内容一致的副本六份，所递交的证明材料必须符合招标文件要求，并与招标文件一并胶装成册。如不一致，投标人需承担因此带来的风险。</w:t>
            </w:r>
          </w:p>
        </w:tc>
      </w:tr>
      <w:tr>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Cs w:val="21"/>
              </w:rPr>
            </w:pPr>
            <w:r>
              <w:rPr>
                <w:rFonts w:hint="eastAsia" w:ascii="宋体" w:hAnsi="宋体" w:eastAsia="宋体"/>
                <w:color w:val="000000" w:themeColor="text1"/>
                <w:szCs w:val="21"/>
              </w:rPr>
              <w:t>10</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themeColor="text1"/>
                <w:szCs w:val="21"/>
              </w:rPr>
            </w:pPr>
            <w:r>
              <w:rPr>
                <w:rFonts w:hint="eastAsia" w:ascii="宋体" w:hAnsi="宋体" w:cs="宋体"/>
                <w:color w:val="000000" w:themeColor="text1"/>
                <w:szCs w:val="21"/>
              </w:rPr>
              <w:t>投标截止日期：2022年3月28日  9 时（北京时间）</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Cs w:val="21"/>
              </w:rPr>
            </w:pPr>
            <w:r>
              <w:rPr>
                <w:rFonts w:hint="eastAsia" w:ascii="宋体" w:hAnsi="宋体" w:eastAsia="宋体"/>
                <w:color w:val="000000" w:themeColor="text1"/>
                <w:szCs w:val="21"/>
              </w:rPr>
              <w:t>11</w:t>
            </w:r>
          </w:p>
        </w:tc>
        <w:tc>
          <w:tcPr>
            <w:tcW w:w="82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themeColor="text1"/>
                <w:szCs w:val="21"/>
              </w:rPr>
            </w:pPr>
            <w:r>
              <w:rPr>
                <w:rFonts w:hint="eastAsia" w:ascii="宋体" w:hAnsi="宋体" w:cs="宋体"/>
                <w:color w:val="000000" w:themeColor="text1"/>
                <w:szCs w:val="21"/>
              </w:rPr>
              <w:t>开标日期：2022年3月28日 9  时（北京时间）</w:t>
            </w:r>
          </w:p>
          <w:p>
            <w:pPr>
              <w:spacing w:line="440" w:lineRule="exact"/>
              <w:rPr>
                <w:rFonts w:ascii="宋体" w:hAnsi="宋体" w:cs="宋体"/>
                <w:color w:val="000000" w:themeColor="text1"/>
                <w:szCs w:val="21"/>
              </w:rPr>
            </w:pPr>
            <w:r>
              <w:rPr>
                <w:rFonts w:hint="eastAsia" w:ascii="宋体" w:hAnsi="宋体" w:cs="宋体"/>
                <w:color w:val="000000" w:themeColor="text1"/>
                <w:szCs w:val="21"/>
              </w:rPr>
              <w:t>开标地点：阳新县公共资源交易中心开标一厅</w:t>
            </w:r>
          </w:p>
        </w:tc>
      </w:tr>
      <w:tr>
        <w:tblPrEx>
          <w:tblCellMar>
            <w:top w:w="0" w:type="dxa"/>
            <w:left w:w="108" w:type="dxa"/>
            <w:bottom w:w="0" w:type="dxa"/>
            <w:right w:w="108" w:type="dxa"/>
          </w:tblCellMar>
        </w:tblPrEx>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olor w:val="000000" w:themeColor="text1"/>
                <w:szCs w:val="21"/>
              </w:rPr>
            </w:pPr>
            <w:r>
              <w:rPr>
                <w:rFonts w:hint="eastAsia" w:ascii="宋体" w:hAnsi="宋体" w:eastAsia="宋体"/>
                <w:color w:val="000000" w:themeColor="text1"/>
                <w:szCs w:val="21"/>
              </w:rPr>
              <w:t>12</w:t>
            </w:r>
          </w:p>
        </w:tc>
        <w:tc>
          <w:tcPr>
            <w:tcW w:w="8280" w:type="dxa"/>
            <w:tcBorders>
              <w:top w:val="single" w:color="auto" w:sz="4" w:space="0"/>
              <w:left w:val="single" w:color="auto" w:sz="4" w:space="0"/>
              <w:bottom w:val="single" w:color="auto" w:sz="4" w:space="0"/>
              <w:right w:val="single" w:color="auto" w:sz="4" w:space="0"/>
            </w:tcBorders>
            <w:vAlign w:val="center"/>
          </w:tcPr>
          <w:p>
            <w:pPr>
              <w:pStyle w:val="11"/>
              <w:topLinePunct/>
              <w:spacing w:line="440" w:lineRule="exact"/>
              <w:rPr>
                <w:rFonts w:ascii="宋体" w:hAnsi="宋体" w:cs="宋体"/>
                <w:color w:val="000000" w:themeColor="text1"/>
                <w:sz w:val="21"/>
                <w:szCs w:val="21"/>
              </w:rPr>
            </w:pPr>
            <w:r>
              <w:rPr>
                <w:rFonts w:hint="eastAsia" w:ascii="宋体" w:hAnsi="宋体" w:cs="宋体"/>
                <w:color w:val="000000" w:themeColor="text1"/>
                <w:sz w:val="21"/>
                <w:szCs w:val="21"/>
              </w:rPr>
              <w:t>招标代理费服务费由中标供应商支付。</w:t>
            </w:r>
          </w:p>
        </w:tc>
      </w:tr>
    </w:tbl>
    <w:p>
      <w:pPr>
        <w:spacing w:line="440" w:lineRule="exact"/>
        <w:ind w:firstLine="210" w:firstLineChars="100"/>
        <w:rPr>
          <w:rFonts w:ascii="宋体" w:hAnsi="宋体"/>
          <w:color w:val="000000" w:themeColor="text1"/>
          <w:szCs w:val="21"/>
        </w:rPr>
      </w:pPr>
      <w:r>
        <w:rPr>
          <w:rFonts w:hint="eastAsia" w:ascii="宋体" w:hAnsi="宋体"/>
          <w:color w:val="000000" w:themeColor="text1"/>
          <w:szCs w:val="21"/>
        </w:rPr>
        <w:t xml:space="preserve">（注：招标文件中相关内容和投标人须知前附表中内容有矛盾的，以投标人须知前附表为准） </w:t>
      </w:r>
    </w:p>
    <w:p>
      <w:pPr>
        <w:pStyle w:val="2"/>
        <w:rPr>
          <w:color w:val="000000" w:themeColor="text1"/>
        </w:rPr>
      </w:pPr>
    </w:p>
    <w:p>
      <w:pPr>
        <w:rPr>
          <w:rFonts w:ascii="宋体" w:hAnsi="宋体"/>
          <w:color w:val="000000" w:themeColor="text1"/>
        </w:rPr>
      </w:pPr>
    </w:p>
    <w:p>
      <w:pPr>
        <w:spacing w:line="360" w:lineRule="auto"/>
        <w:ind w:firstLine="240" w:firstLineChars="100"/>
        <w:rPr>
          <w:rFonts w:ascii="宋体" w:hAnsi="宋体"/>
          <w:color w:val="000000" w:themeColor="text1"/>
          <w:sz w:val="24"/>
          <w:szCs w:val="24"/>
        </w:rPr>
      </w:pPr>
    </w:p>
    <w:p>
      <w:pPr>
        <w:rPr>
          <w:rFonts w:cs="Times New Roman" w:asciiTheme="majorEastAsia" w:hAnsiTheme="majorEastAsia"/>
          <w:color w:val="000000" w:themeColor="text1"/>
          <w:lang w:val="zh-CN"/>
        </w:rPr>
      </w:pPr>
      <w:bookmarkStart w:id="5" w:name="_Toc495861520"/>
      <w:bookmarkStart w:id="6" w:name="_Toc494561938"/>
      <w:r>
        <w:rPr>
          <w:rFonts w:hint="eastAsia" w:cs="Times New Roman" w:asciiTheme="majorEastAsia" w:hAnsiTheme="majorEastAsia"/>
          <w:color w:val="000000" w:themeColor="text1"/>
          <w:lang w:val="zh-CN"/>
        </w:rPr>
        <w:br w:type="page"/>
      </w:r>
    </w:p>
    <w:p>
      <w:pPr>
        <w:pStyle w:val="4"/>
        <w:numPr>
          <w:ilvl w:val="0"/>
          <w:numId w:val="3"/>
        </w:numPr>
        <w:spacing w:before="0" w:after="0" w:line="360" w:lineRule="auto"/>
        <w:ind w:left="658" w:hanging="658"/>
        <w:jc w:val="left"/>
        <w:rPr>
          <w:rFonts w:cs="Times New Roman" w:asciiTheme="majorEastAsia" w:hAnsiTheme="majorEastAsia"/>
          <w:bCs w:val="0"/>
          <w:color w:val="000000" w:themeColor="text1"/>
          <w:lang w:val="zh-CN"/>
        </w:rPr>
      </w:pPr>
      <w:r>
        <w:rPr>
          <w:rFonts w:hint="eastAsia" w:cs="Times New Roman" w:asciiTheme="majorEastAsia" w:hAnsiTheme="majorEastAsia"/>
          <w:bCs w:val="0"/>
          <w:color w:val="000000" w:themeColor="text1"/>
          <w:lang w:val="zh-CN"/>
        </w:rPr>
        <w:t>说  明</w:t>
      </w:r>
      <w:bookmarkEnd w:id="5"/>
      <w:bookmarkEnd w:id="6"/>
    </w:p>
    <w:p>
      <w:pPr>
        <w:numPr>
          <w:ilvl w:val="0"/>
          <w:numId w:val="4"/>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适用范围</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招标文件仅适用于第一章“投标邀请书”中所述项目的货物、工程及服务的采购。</w:t>
      </w:r>
    </w:p>
    <w:p>
      <w:pPr>
        <w:numPr>
          <w:ilvl w:val="0"/>
          <w:numId w:val="4"/>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当事人定义</w:t>
      </w:r>
    </w:p>
    <w:p>
      <w:pPr>
        <w:numPr>
          <w:ilvl w:val="0"/>
          <w:numId w:val="5"/>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“采购人”是指：</w:t>
      </w:r>
      <w:r>
        <w:rPr>
          <w:rFonts w:hint="eastAsia" w:cs="Times New Roman" w:asciiTheme="minorEastAsia" w:hAnsiTheme="minorEastAsia"/>
          <w:color w:val="000000" w:themeColor="text1"/>
          <w:sz w:val="24"/>
          <w:szCs w:val="24"/>
          <w:lang w:val="zh-CN"/>
        </w:rPr>
        <w:t>详见第一章“投标邀请书”。</w:t>
      </w:r>
    </w:p>
    <w:p>
      <w:pPr>
        <w:numPr>
          <w:ilvl w:val="0"/>
          <w:numId w:val="5"/>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“监管部门”是指：</w:t>
      </w:r>
      <w:r>
        <w:rPr>
          <w:rFonts w:hint="eastAsia" w:cs="Times New Roman" w:asciiTheme="minorEastAsia" w:hAnsiTheme="minorEastAsia"/>
          <w:color w:val="000000" w:themeColor="text1"/>
          <w:sz w:val="24"/>
          <w:szCs w:val="24"/>
          <w:lang w:val="zh-CN"/>
        </w:rPr>
        <w:t>阳新县政府采购办公室、阳新县公共资源交易监督管理局。</w:t>
      </w:r>
    </w:p>
    <w:p>
      <w:pPr>
        <w:numPr>
          <w:ilvl w:val="0"/>
          <w:numId w:val="5"/>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“采购代理机构”是指：</w:t>
      </w:r>
      <w:r>
        <w:rPr>
          <w:rFonts w:hint="eastAsia" w:cs="Times New Roman" w:asciiTheme="minorEastAsia" w:hAnsiTheme="minorEastAsia"/>
          <w:color w:val="000000" w:themeColor="text1"/>
          <w:sz w:val="24"/>
          <w:szCs w:val="24"/>
          <w:u w:val="single"/>
          <w:lang w:val="zh-CN"/>
        </w:rPr>
        <w:t>黄石曼宇工程项目管理有限公司</w:t>
      </w:r>
      <w:r>
        <w:rPr>
          <w:rFonts w:hint="eastAsia" w:cs="Times New Roman" w:asciiTheme="minorEastAsia" w:hAnsiTheme="minorEastAsia"/>
          <w:color w:val="000000" w:themeColor="text1"/>
          <w:sz w:val="24"/>
          <w:szCs w:val="24"/>
          <w:lang w:val="zh-CN"/>
        </w:rPr>
        <w:t>。</w:t>
      </w:r>
    </w:p>
    <w:p>
      <w:pPr>
        <w:numPr>
          <w:ilvl w:val="0"/>
          <w:numId w:val="5"/>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“投标人”是指：</w:t>
      </w:r>
      <w:r>
        <w:rPr>
          <w:rFonts w:cs="Helvetica" w:asciiTheme="minorEastAsia" w:hAnsiTheme="minorEastAsia"/>
          <w:color w:val="000000" w:themeColor="text1"/>
          <w:kern w:val="0"/>
          <w:sz w:val="24"/>
          <w:szCs w:val="24"/>
          <w:lang w:val="zh-CN"/>
        </w:rPr>
        <w:t>响应招标、参加投标竞争的法人、其他组织或者自然人。</w:t>
      </w:r>
    </w:p>
    <w:p>
      <w:pPr>
        <w:numPr>
          <w:ilvl w:val="0"/>
          <w:numId w:val="5"/>
        </w:numPr>
        <w:spacing w:line="360" w:lineRule="auto"/>
        <w:ind w:left="476" w:hanging="476"/>
        <w:rPr>
          <w:rFonts w:cs="Helvetica" w:asciiTheme="minorEastAsia" w:hAnsiTheme="minorEastAsia"/>
          <w:color w:val="000000" w:themeColor="text1"/>
          <w:kern w:val="0"/>
          <w:sz w:val="24"/>
          <w:szCs w:val="24"/>
          <w:lang w:val="zh-CN"/>
        </w:rPr>
      </w:pPr>
      <w:r>
        <w:rPr>
          <w:rFonts w:hint="eastAsia" w:cs="Times New Roman" w:asciiTheme="minorEastAsia" w:hAnsiTheme="minorEastAsia"/>
          <w:b/>
          <w:color w:val="000000" w:themeColor="text1"/>
          <w:sz w:val="24"/>
          <w:szCs w:val="24"/>
          <w:lang w:val="zh-CN"/>
        </w:rPr>
        <w:t>“合格的投标人”是指：</w:t>
      </w:r>
      <w:r>
        <w:rPr>
          <w:rFonts w:hint="eastAsia" w:cs="Helvetica" w:asciiTheme="minorEastAsia" w:hAnsiTheme="minorEastAsia"/>
          <w:color w:val="000000" w:themeColor="text1"/>
          <w:kern w:val="0"/>
          <w:sz w:val="24"/>
          <w:szCs w:val="24"/>
          <w:lang w:val="zh-CN"/>
        </w:rPr>
        <w:t>资格审查和符合性审查合格的投标人。</w:t>
      </w:r>
    </w:p>
    <w:p>
      <w:pPr>
        <w:numPr>
          <w:ilvl w:val="0"/>
          <w:numId w:val="5"/>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“中标人”是指：</w:t>
      </w:r>
      <w:r>
        <w:rPr>
          <w:rFonts w:hint="eastAsia" w:cs="Times New Roman" w:asciiTheme="minorEastAsia" w:hAnsiTheme="minorEastAsia"/>
          <w:color w:val="000000" w:themeColor="text1"/>
          <w:sz w:val="24"/>
          <w:szCs w:val="24"/>
          <w:lang w:val="zh-CN"/>
        </w:rPr>
        <w:t>经评标委员会评审，授予合同的投标人。</w:t>
      </w:r>
    </w:p>
    <w:p>
      <w:pPr>
        <w:numPr>
          <w:ilvl w:val="0"/>
          <w:numId w:val="4"/>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项目属性及定义</w:t>
      </w:r>
    </w:p>
    <w:p>
      <w:pPr>
        <w:numPr>
          <w:ilvl w:val="0"/>
          <w:numId w:val="6"/>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“货物”是指</w:t>
      </w:r>
      <w:r>
        <w:rPr>
          <w:rFonts w:hint="eastAsia" w:cs="Times New Roman" w:asciiTheme="minorEastAsia" w:hAnsiTheme="minorEastAsia"/>
          <w:color w:val="000000" w:themeColor="text1"/>
          <w:sz w:val="24"/>
          <w:szCs w:val="24"/>
          <w:lang w:val="zh-CN"/>
        </w:rPr>
        <w:t>：各种形态和种类的物品，包括原材料、燃料、设备、产品等。</w:t>
      </w:r>
    </w:p>
    <w:p>
      <w:pPr>
        <w:numPr>
          <w:ilvl w:val="0"/>
          <w:numId w:val="7"/>
        </w:numPr>
        <w:spacing w:line="360" w:lineRule="auto"/>
        <w:ind w:left="854" w:hanging="728"/>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招标文件中没有提及招标货物来源地的，根据《政府采购法》及相关规定均应是本国货物，另有规定的除外。</w:t>
      </w:r>
    </w:p>
    <w:p>
      <w:pPr>
        <w:numPr>
          <w:ilvl w:val="0"/>
          <w:numId w:val="7"/>
        </w:numPr>
        <w:spacing w:line="360" w:lineRule="auto"/>
        <w:ind w:left="854" w:hanging="728"/>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投标的货物应是合法生产的符合国家有关标准要求的货物，并能够按照合同规定的品牌、产地、质量、价格和有效期等履约。</w:t>
      </w:r>
    </w:p>
    <w:p>
      <w:pPr>
        <w:numPr>
          <w:ilvl w:val="0"/>
          <w:numId w:val="6"/>
        </w:numPr>
        <w:spacing w:line="360" w:lineRule="auto"/>
        <w:ind w:left="476" w:hanging="476"/>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“工程”是指</w:t>
      </w:r>
      <w:r>
        <w:rPr>
          <w:rFonts w:hint="eastAsia" w:cs="Times New Roman" w:asciiTheme="minorEastAsia" w:hAnsiTheme="minorEastAsia"/>
          <w:color w:val="000000" w:themeColor="text1"/>
          <w:sz w:val="24"/>
          <w:szCs w:val="24"/>
          <w:lang w:val="zh-CN"/>
        </w:rPr>
        <w:t>：与建筑物和构筑物的新建、改建、扩建及其相关的装修、拆除、修缮无关的工程。</w:t>
      </w:r>
    </w:p>
    <w:p>
      <w:pPr>
        <w:numPr>
          <w:ilvl w:val="0"/>
          <w:numId w:val="6"/>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b/>
          <w:color w:val="000000" w:themeColor="text1"/>
          <w:sz w:val="24"/>
          <w:szCs w:val="24"/>
          <w:lang w:val="zh-CN"/>
        </w:rPr>
        <w:t>“服务”是指：</w:t>
      </w:r>
      <w:r>
        <w:rPr>
          <w:rFonts w:hint="eastAsia" w:cs="Times New Roman" w:asciiTheme="minorEastAsia" w:hAnsiTheme="minorEastAsia"/>
          <w:color w:val="000000" w:themeColor="text1"/>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6"/>
        </w:numPr>
        <w:spacing w:line="360" w:lineRule="auto"/>
        <w:ind w:left="476" w:hanging="476"/>
        <w:rPr>
          <w:rFonts w:cs="Times New Roman" w:asciiTheme="minorEastAsia" w:hAnsiTheme="minorEastAsia"/>
          <w:color w:val="000000" w:themeColor="text1"/>
          <w:sz w:val="24"/>
          <w:szCs w:val="24"/>
          <w:lang w:val="zh-CN"/>
        </w:rPr>
      </w:pPr>
      <w:r>
        <w:rPr>
          <w:rFonts w:cs="Times New Roman" w:asciiTheme="minorEastAsia" w:hAnsiTheme="minorEastAsia"/>
          <w:color w:val="000000" w:themeColor="text1"/>
          <w:sz w:val="24"/>
          <w:szCs w:val="24"/>
          <w:lang w:val="zh-CN"/>
        </w:rPr>
        <w:t>采购人应当按照财政部制定的《政府采购品目分类目录》确定采购项目属性</w:t>
      </w:r>
      <w:r>
        <w:rPr>
          <w:rFonts w:hint="eastAsia" w:cs="Times New Roman" w:asciiTheme="minorEastAsia" w:hAnsiTheme="minorEastAsia"/>
          <w:color w:val="000000" w:themeColor="text1"/>
          <w:sz w:val="24"/>
          <w:szCs w:val="24"/>
          <w:lang w:val="zh-CN"/>
        </w:rPr>
        <w:t>。</w:t>
      </w:r>
      <w:r>
        <w:rPr>
          <w:rFonts w:cs="Times New Roman" w:asciiTheme="minorEastAsia" w:hAnsiTheme="minorEastAsia"/>
          <w:color w:val="000000" w:themeColor="text1"/>
          <w:sz w:val="24"/>
          <w:szCs w:val="24"/>
          <w:lang w:val="zh-CN"/>
        </w:rPr>
        <w:t>按照《政府采购品目分类目录》无法确定的，按照有利于采购项目实施的原则确定。</w:t>
      </w:r>
    </w:p>
    <w:p>
      <w:pPr>
        <w:numPr>
          <w:ilvl w:val="0"/>
          <w:numId w:val="4"/>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投标费用</w:t>
      </w:r>
    </w:p>
    <w:p>
      <w:pPr>
        <w:numPr>
          <w:ilvl w:val="0"/>
          <w:numId w:val="8"/>
        </w:numPr>
        <w:spacing w:line="360" w:lineRule="auto"/>
        <w:ind w:left="476" w:hanging="47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投标人应承担所有与准备和参加投标有关的费用。不论投标的结果如何，采购代理机构和采购人均无义务和责任承担这些费用。</w:t>
      </w:r>
    </w:p>
    <w:p>
      <w:pPr>
        <w:pStyle w:val="47"/>
        <w:numPr>
          <w:ilvl w:val="0"/>
          <w:numId w:val="8"/>
        </w:numPr>
        <w:adjustRightInd w:val="0"/>
        <w:snapToGrid w:val="0"/>
        <w:spacing w:line="360" w:lineRule="auto"/>
        <w:ind w:firstLineChars="0"/>
        <w:rPr>
          <w:rFonts w:ascii="宋体" w:hAnsi="宋体"/>
          <w:bCs/>
          <w:color w:val="000000" w:themeColor="text1"/>
          <w:sz w:val="24"/>
          <w:szCs w:val="24"/>
        </w:rPr>
      </w:pPr>
      <w:r>
        <w:rPr>
          <w:rFonts w:hint="eastAsia" w:ascii="宋体" w:hAnsi="宋体"/>
          <w:color w:val="000000" w:themeColor="text1"/>
          <w:sz w:val="24"/>
          <w:szCs w:val="24"/>
        </w:rPr>
        <w:t>采购代理服务费</w:t>
      </w:r>
    </w:p>
    <w:p>
      <w:pPr>
        <w:spacing w:line="360" w:lineRule="auto"/>
        <w:ind w:firstLine="480" w:firstLineChars="200"/>
        <w:rPr>
          <w:rFonts w:ascii="宋体" w:hAnsi="宋体" w:eastAsia="宋体" w:cs="宋体"/>
          <w:b/>
          <w:color w:val="000000" w:themeColor="text1"/>
          <w:sz w:val="24"/>
          <w:szCs w:val="24"/>
          <w:lang w:val="zh-CN"/>
        </w:rPr>
      </w:pPr>
      <w:r>
        <w:rPr>
          <w:rFonts w:hint="eastAsia" w:ascii="宋体" w:hAnsi="宋体"/>
          <w:b/>
          <w:bCs/>
          <w:color w:val="000000" w:themeColor="text1"/>
          <w:sz w:val="24"/>
          <w:szCs w:val="24"/>
        </w:rPr>
        <w:t>经过采购代理机构与采购人协议，规定由中标单位支付。</w:t>
      </w:r>
      <w:r>
        <w:rPr>
          <w:rFonts w:hint="eastAsia" w:ascii="宋体" w:hAnsi="宋体" w:eastAsia="宋体" w:cs="宋体"/>
          <w:b/>
          <w:bCs/>
          <w:color w:val="000000" w:themeColor="text1"/>
          <w:sz w:val="24"/>
          <w:szCs w:val="24"/>
          <w:lang w:val="zh-CN"/>
        </w:rPr>
        <w:t>采购</w:t>
      </w:r>
      <w:r>
        <w:rPr>
          <w:rFonts w:hint="eastAsia" w:ascii="宋体" w:hAnsi="宋体" w:eastAsia="宋体" w:cs="宋体"/>
          <w:b/>
          <w:color w:val="000000" w:themeColor="text1"/>
          <w:sz w:val="24"/>
          <w:szCs w:val="24"/>
          <w:lang w:val="zh-CN"/>
        </w:rPr>
        <w:t>代理服务费收费标准如下：</w:t>
      </w:r>
    </w:p>
    <w:p>
      <w:pPr>
        <w:pStyle w:val="47"/>
        <w:spacing w:line="360" w:lineRule="auto"/>
        <w:ind w:left="420" w:firstLine="0" w:firstLineChars="0"/>
        <w:rPr>
          <w:rFonts w:ascii="宋体" w:hAnsi="宋体"/>
          <w:color w:val="000000" w:themeColor="text1"/>
          <w:sz w:val="24"/>
          <w:szCs w:val="24"/>
        </w:rPr>
      </w:pPr>
    </w:p>
    <w:tbl>
      <w:tblPr>
        <w:tblStyle w:val="23"/>
        <w:tblW w:w="857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985"/>
        <w:gridCol w:w="198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ind w:firstLine="873" w:firstLineChars="416"/>
              <w:rPr>
                <w:rFonts w:ascii="宋体" w:hAnsi="宋体" w:eastAsia="宋体" w:cs="宋体"/>
                <w:color w:val="000000" w:themeColor="text1"/>
                <w:sz w:val="24"/>
                <w:szCs w:val="24"/>
              </w:rPr>
            </w:pPr>
            <w:r>
              <w:rPr>
                <w:rFonts w:ascii="Times New Roman" w:hAnsi="Times New Roman" w:eastAsia="宋体" w:cs="黑体"/>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3" name="直接连接符 3"/>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EZzrNEAAAAJAQAADwAAAAAAAAABACAAAAAiAAAAZHJzL2Rvd25y&#10;ZXYueG1sUEsBAhQAFAAAAAgAh07iQILz98YFAgAA/wMAAA4AAAAAAAAAAQAgAAAAIAEAAGRycy9l&#10;Mm9Eb2MueG1sUEsFBgAAAAAGAAYAWQEAAJcFAAAAAA==&#10;">
                      <v:fill on="f" focussize="0,0"/>
                      <v:stroke color="#000000" joinstyle="round"/>
                      <v:imagedata o:title=""/>
                      <o:lock v:ext="edit" aspectratio="f"/>
                    </v:line>
                  </w:pict>
                </mc:Fallback>
              </mc:AlternateContent>
            </w:r>
            <w:r>
              <w:rPr>
                <w:rFonts w:ascii="Times New Roman" w:hAnsi="Times New Roman" w:eastAsia="宋体" w:cs="黑体"/>
                <w:color w:val="000000" w:themeColor="text1"/>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4" name="直接连接符 4"/>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LgKG1QAAAAgBAAAPAAAAAAAAAAEAIAAAACIAAABkcnMvZG93bnJl&#10;di54bWxQSwECFAAUAAAACACHTuJA9Px/6gACAAD/AwAADgAAAAAAAAABACAAAAAkAQAAZHJzL2Uy&#10;b0RvYy54bWxQSwUGAAAAAAYABgBZAQAAlgUAAAAA&#10;">
                      <v:fill on="f" focussize="0,0"/>
                      <v:stroke color="#000000" joinstyle="round"/>
                      <v:imagedata o:title=""/>
                      <o:lock v:ext="edit" aspectratio="f"/>
                    </v:line>
                  </w:pict>
                </mc:Fallback>
              </mc:AlternateContent>
            </w:r>
            <w:r>
              <w:rPr>
                <w:rFonts w:ascii="Times New Roman" w:hAnsi="Times New Roman" w:eastAsia="宋体" w:cs="黑体"/>
                <w:color w:val="000000" w:themeColor="text1"/>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AvhuTo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4"/>
                <w:szCs w:val="24"/>
              </w:rPr>
              <w:t>招标类型　　　</w:t>
            </w:r>
          </w:p>
          <w:p>
            <w:pPr>
              <w:spacing w:line="360" w:lineRule="auto"/>
              <w:ind w:firstLine="998" w:firstLineChars="416"/>
              <w:rPr>
                <w:rFonts w:ascii="宋体" w:hAnsi="宋体" w:eastAsia="宋体" w:cs="宋体"/>
                <w:color w:val="000000" w:themeColor="text1"/>
                <w:sz w:val="24"/>
                <w:szCs w:val="24"/>
              </w:rPr>
            </w:pPr>
            <w:r>
              <w:rPr>
                <w:rFonts w:hint="eastAsia" w:ascii="宋体" w:hAnsi="宋体" w:eastAsia="宋体" w:cs="宋体"/>
                <w:bCs/>
                <w:color w:val="000000" w:themeColor="text1"/>
                <w:sz w:val="24"/>
                <w:szCs w:val="24"/>
              </w:rPr>
              <w:t>中标</w:t>
            </w:r>
            <w:r>
              <w:rPr>
                <w:rFonts w:hint="eastAsia" w:ascii="宋体" w:hAnsi="宋体" w:eastAsia="宋体" w:cs="宋体"/>
                <w:color w:val="000000" w:themeColor="text1"/>
                <w:sz w:val="24"/>
                <w:szCs w:val="24"/>
              </w:rPr>
              <w:t xml:space="preserve">　　　 </w:t>
            </w:r>
          </w:p>
          <w:p>
            <w:pPr>
              <w:spacing w:line="360" w:lineRule="auto"/>
              <w:ind w:firstLine="1504" w:firstLineChars="627"/>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费率</w:t>
            </w: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金额（万元）</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货物招标</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服务招标</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100以下</w:t>
            </w: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100-500</w:t>
            </w: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0.8%</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500-1000</w:t>
            </w: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0.8%</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0.45%</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1000-5000</w:t>
            </w: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0.5%</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0.25%</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5000-1亿</w:t>
            </w: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0.25%</w:t>
            </w:r>
          </w:p>
        </w:tc>
        <w:tc>
          <w:tcPr>
            <w:tcW w:w="19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0.1%</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0.2%</w:t>
            </w:r>
          </w:p>
        </w:tc>
      </w:tr>
    </w:tbl>
    <w:p>
      <w:pPr>
        <w:pStyle w:val="47"/>
        <w:spacing w:line="360" w:lineRule="auto"/>
        <w:ind w:left="420" w:firstLine="0" w:firstLineChars="0"/>
        <w:rPr>
          <w:rFonts w:ascii="宋体" w:hAnsi="宋体"/>
          <w:color w:val="000000" w:themeColor="text1"/>
          <w:sz w:val="24"/>
          <w:szCs w:val="24"/>
        </w:rPr>
      </w:pPr>
    </w:p>
    <w:p>
      <w:pPr>
        <w:pStyle w:val="4"/>
        <w:numPr>
          <w:ilvl w:val="0"/>
          <w:numId w:val="3"/>
        </w:numPr>
        <w:spacing w:before="0" w:after="0" w:line="360" w:lineRule="auto"/>
        <w:ind w:left="658" w:hanging="658"/>
        <w:jc w:val="left"/>
        <w:rPr>
          <w:rFonts w:cs="Times New Roman" w:asciiTheme="majorEastAsia" w:hAnsiTheme="majorEastAsia"/>
          <w:bCs w:val="0"/>
          <w:color w:val="000000" w:themeColor="text1"/>
          <w:lang w:val="zh-CN"/>
        </w:rPr>
      </w:pPr>
      <w:bookmarkStart w:id="7" w:name="_Toc494561939"/>
      <w:bookmarkStart w:id="8" w:name="_Toc495861521"/>
      <w:bookmarkStart w:id="9" w:name="_Toc278891592"/>
      <w:bookmarkStart w:id="10" w:name="_Toc272247695"/>
      <w:r>
        <w:rPr>
          <w:rFonts w:hint="eastAsia" w:cs="Times New Roman" w:asciiTheme="majorEastAsia" w:hAnsiTheme="majorEastAsia"/>
          <w:bCs w:val="0"/>
          <w:color w:val="000000" w:themeColor="text1"/>
          <w:lang w:val="zh-CN"/>
        </w:rPr>
        <w:t>招标文件</w:t>
      </w:r>
      <w:bookmarkEnd w:id="7"/>
      <w:bookmarkEnd w:id="8"/>
      <w:bookmarkEnd w:id="9"/>
      <w:bookmarkEnd w:id="10"/>
    </w:p>
    <w:p>
      <w:pPr>
        <w:numPr>
          <w:ilvl w:val="0"/>
          <w:numId w:val="4"/>
        </w:numPr>
        <w:spacing w:line="360" w:lineRule="auto"/>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招标文件的构成</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第一章 投标邀请书</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第二章 投标人须知</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第三章 项目技术、服务及商务要求</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第四章 资格审查方法及标准</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第五章 评标方法、程序及标准</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第六章 合同书格式（参考）</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第七章 投标文件格式（参考）</w:t>
      </w:r>
    </w:p>
    <w:p>
      <w:pPr>
        <w:tabs>
          <w:tab w:val="left" w:pos="476"/>
        </w:tabs>
        <w:spacing w:line="360" w:lineRule="auto"/>
        <w:ind w:left="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其 他  在招标过程中由集中采购机构发出的修正和补充文件等</w:t>
      </w:r>
    </w:p>
    <w:p>
      <w:pPr>
        <w:numPr>
          <w:ilvl w:val="0"/>
          <w:numId w:val="4"/>
        </w:numPr>
        <w:spacing w:line="360" w:lineRule="auto"/>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招标文件疑问的提交</w:t>
      </w:r>
    </w:p>
    <w:p>
      <w:pPr>
        <w:numPr>
          <w:ilvl w:val="0"/>
          <w:numId w:val="9"/>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潜在投标人对招标文件有疑问的，可以向采购代理机构提出询问，或在6.2规定的时间前以书面的形式向采购代理机构提交疑问函。</w:t>
      </w:r>
    </w:p>
    <w:p>
      <w:pPr>
        <w:numPr>
          <w:ilvl w:val="0"/>
          <w:numId w:val="9"/>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9"/>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4"/>
        </w:numPr>
        <w:spacing w:line="360" w:lineRule="auto"/>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招标文件的澄清、修改</w:t>
      </w:r>
    </w:p>
    <w:p>
      <w:pPr>
        <w:numPr>
          <w:ilvl w:val="0"/>
          <w:numId w:val="10"/>
        </w:numPr>
        <w:spacing w:line="360" w:lineRule="auto"/>
        <w:ind w:left="476" w:hanging="476"/>
        <w:rPr>
          <w:rFonts w:ascii="Helvetica" w:hAnsi="Helvetica" w:eastAsia="宋体" w:cs="Helvetica"/>
          <w:color w:val="000000" w:themeColor="text1"/>
          <w:kern w:val="0"/>
          <w:sz w:val="24"/>
          <w:szCs w:val="24"/>
          <w:lang w:val="zh-CN"/>
        </w:rPr>
      </w:pPr>
      <w:r>
        <w:rPr>
          <w:rFonts w:hint="eastAsia" w:ascii="宋体" w:hAnsi="宋体" w:eastAsia="宋体" w:cs="Times New Roman"/>
          <w:color w:val="000000" w:themeColor="text1"/>
          <w:sz w:val="24"/>
          <w:szCs w:val="20"/>
          <w:lang w:val="zh-CN"/>
        </w:rPr>
        <w:t>采购代理机构和采购人可以对已发出的招标文件进行必要的澄清或者修改。</w:t>
      </w:r>
      <w:r>
        <w:rPr>
          <w:rFonts w:hint="eastAsia" w:ascii="Helvetica" w:hAnsi="Helvetica" w:eastAsia="宋体" w:cs="Helvetica"/>
          <w:color w:val="000000" w:themeColor="text1"/>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color w:val="000000" w:themeColor="text1"/>
          <w:sz w:val="24"/>
          <w:szCs w:val="20"/>
          <w:lang w:val="zh-CN"/>
        </w:rPr>
        <w:t>采购代理机构</w:t>
      </w:r>
      <w:r>
        <w:rPr>
          <w:rFonts w:hint="eastAsia" w:ascii="Helvetica" w:hAnsi="Helvetica" w:eastAsia="宋体" w:cs="Helvetica"/>
          <w:color w:val="000000" w:themeColor="text1"/>
          <w:kern w:val="0"/>
          <w:sz w:val="24"/>
          <w:szCs w:val="24"/>
          <w:lang w:val="zh-CN"/>
        </w:rPr>
        <w:t>和采购人将在投标截止时间至少</w:t>
      </w:r>
      <w:r>
        <w:rPr>
          <w:rFonts w:hint="eastAsia" w:ascii="宋体" w:hAnsi="宋体" w:eastAsia="宋体" w:cs="Times New Roman"/>
          <w:color w:val="000000" w:themeColor="text1"/>
          <w:sz w:val="24"/>
          <w:szCs w:val="20"/>
          <w:lang w:val="zh-CN"/>
        </w:rPr>
        <w:t>15</w:t>
      </w:r>
      <w:r>
        <w:rPr>
          <w:rFonts w:hint="eastAsia" w:ascii="Helvetica" w:hAnsi="Helvetica" w:eastAsia="宋体" w:cs="Helvetica"/>
          <w:color w:val="000000" w:themeColor="text1"/>
          <w:kern w:val="0"/>
          <w:sz w:val="24"/>
          <w:szCs w:val="24"/>
          <w:lang w:val="zh-CN"/>
        </w:rPr>
        <w:t>日前，以书面</w:t>
      </w:r>
      <w:r>
        <w:rPr>
          <w:rFonts w:hint="eastAsia" w:ascii="宋体" w:hAnsi="宋体" w:eastAsia="宋体" w:cs="Times New Roman"/>
          <w:color w:val="000000" w:themeColor="text1"/>
          <w:sz w:val="24"/>
          <w:szCs w:val="20"/>
          <w:lang w:val="zh-CN"/>
        </w:rPr>
        <w:t>（或网上公告）</w:t>
      </w:r>
      <w:r>
        <w:rPr>
          <w:rFonts w:hint="eastAsia" w:ascii="Helvetica" w:hAnsi="Helvetica" w:eastAsia="宋体" w:cs="Helvetica"/>
          <w:color w:val="000000" w:themeColor="text1"/>
          <w:kern w:val="0"/>
          <w:sz w:val="24"/>
          <w:szCs w:val="24"/>
          <w:lang w:val="zh-CN"/>
        </w:rPr>
        <w:t>形式通知所有获取招标文件的潜在投标人。</w:t>
      </w:r>
    </w:p>
    <w:p>
      <w:pPr>
        <w:numPr>
          <w:ilvl w:val="0"/>
          <w:numId w:val="10"/>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0"/>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澄清或者修改的内容为招标文件的组成部分，并对潜在投标人具有约束力。</w:t>
      </w:r>
    </w:p>
    <w:p>
      <w:pPr>
        <w:numPr>
          <w:ilvl w:val="0"/>
          <w:numId w:val="4"/>
        </w:numPr>
        <w:spacing w:line="360" w:lineRule="auto"/>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现场考察</w:t>
      </w:r>
    </w:p>
    <w:p>
      <w:pPr>
        <w:numPr>
          <w:ilvl w:val="0"/>
          <w:numId w:val="11"/>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1"/>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1"/>
        </w:numPr>
        <w:spacing w:line="360" w:lineRule="auto"/>
        <w:ind w:left="476" w:hanging="47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3"/>
        </w:numPr>
        <w:spacing w:before="0" w:after="0" w:line="360" w:lineRule="auto"/>
        <w:ind w:left="658" w:hanging="658"/>
        <w:jc w:val="left"/>
        <w:rPr>
          <w:rFonts w:cs="Times New Roman" w:asciiTheme="majorEastAsia" w:hAnsiTheme="majorEastAsia"/>
          <w:bCs w:val="0"/>
          <w:color w:val="000000" w:themeColor="text1"/>
          <w:lang w:val="zh-CN"/>
        </w:rPr>
      </w:pPr>
      <w:bookmarkStart w:id="11" w:name="_Toc278891593"/>
      <w:bookmarkStart w:id="12" w:name="_Toc495861522"/>
      <w:bookmarkStart w:id="13" w:name="_Toc494561940"/>
      <w:bookmarkStart w:id="14" w:name="_Toc272247696"/>
      <w:r>
        <w:rPr>
          <w:rFonts w:hint="eastAsia" w:cs="Times New Roman" w:asciiTheme="majorEastAsia" w:hAnsiTheme="majorEastAsia"/>
          <w:bCs w:val="0"/>
          <w:color w:val="000000" w:themeColor="text1"/>
          <w:lang w:val="zh-CN"/>
        </w:rPr>
        <w:t>投标文件</w:t>
      </w:r>
      <w:bookmarkEnd w:id="11"/>
      <w:bookmarkEnd w:id="12"/>
      <w:bookmarkEnd w:id="13"/>
      <w:bookmarkEnd w:id="14"/>
    </w:p>
    <w:p>
      <w:pPr>
        <w:numPr>
          <w:ilvl w:val="0"/>
          <w:numId w:val="4"/>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投标的语言</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投标人提交的投标文件以及投标人与</w:t>
      </w:r>
      <w:r>
        <w:rPr>
          <w:rFonts w:hint="eastAsia" w:ascii="宋体" w:hAnsi="宋体" w:eastAsia="宋体" w:cs="Times New Roman"/>
          <w:color w:val="000000" w:themeColor="text1"/>
          <w:sz w:val="24"/>
          <w:szCs w:val="20"/>
          <w:lang w:val="zh-CN"/>
        </w:rPr>
        <w:t>采购代理机构</w:t>
      </w:r>
      <w:r>
        <w:rPr>
          <w:rFonts w:hint="eastAsia" w:cs="Times New Roman" w:asciiTheme="minorEastAsia" w:hAnsiTheme="minorEastAsia"/>
          <w:color w:val="000000" w:themeColor="text1"/>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4"/>
        </w:numPr>
        <w:spacing w:line="360" w:lineRule="auto"/>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投标文件的构成</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第三部分  技术、服务文件（详见第七章“投标文件格式”中技术、服务文件组成）</w:t>
      </w:r>
    </w:p>
    <w:p>
      <w:pPr>
        <w:numPr>
          <w:ilvl w:val="0"/>
          <w:numId w:val="4"/>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投标文件编制</w:t>
      </w:r>
    </w:p>
    <w:p>
      <w:pPr>
        <w:numPr>
          <w:ilvl w:val="0"/>
          <w:numId w:val="12"/>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如招标文件有分包要求，投标人对招标文件中多个包进行投标的，其投标文件的编制应按每包要求分别装订和封装，并注明对应包号。</w:t>
      </w:r>
    </w:p>
    <w:p>
      <w:pPr>
        <w:numPr>
          <w:ilvl w:val="0"/>
          <w:numId w:val="12"/>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投标人应当对投标文件进行装订，对未经装订的投标书可能发生的文件散落或缺损，由此产生的后果及责任由投标人自行承担。</w:t>
      </w:r>
    </w:p>
    <w:p>
      <w:pPr>
        <w:numPr>
          <w:ilvl w:val="0"/>
          <w:numId w:val="12"/>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投标人应按照招标文件第七章“投标文件格式”提供的《投标书》、《开标一览表》、《投标报价明细表》、《法定代表人授权书》等格式、要求、规定来编制投标文件。</w:t>
      </w:r>
    </w:p>
    <w:p>
      <w:pPr>
        <w:numPr>
          <w:ilvl w:val="0"/>
          <w:numId w:val="12"/>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2"/>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因投标人投标文件填报的内容不详，或没有提供招标文件中所要求的全部资料及数据等，由此产生的后果及责任由投标人自行承担。</w:t>
      </w:r>
    </w:p>
    <w:p>
      <w:pPr>
        <w:numPr>
          <w:ilvl w:val="0"/>
          <w:numId w:val="12"/>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投标文件用纸应统一为A4规格（图纸除外）。</w:t>
      </w:r>
    </w:p>
    <w:p>
      <w:pPr>
        <w:numPr>
          <w:ilvl w:val="0"/>
          <w:numId w:val="12"/>
        </w:numPr>
        <w:spacing w:line="360" w:lineRule="auto"/>
        <w:ind w:left="616" w:hanging="616"/>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000000" w:themeColor="text1"/>
          <w:sz w:val="24"/>
          <w:szCs w:val="20"/>
          <w:lang w:val="zh-CN"/>
        </w:rPr>
        <w:t>各部分文件及内容详见第七章“投标文件格式”要求。</w:t>
      </w:r>
    </w:p>
    <w:p>
      <w:pPr>
        <w:numPr>
          <w:ilvl w:val="0"/>
          <w:numId w:val="12"/>
        </w:numPr>
        <w:spacing w:line="360" w:lineRule="auto"/>
        <w:ind w:left="616" w:hanging="616"/>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w:t>
      </w:r>
      <w:r>
        <w:rPr>
          <w:rFonts w:hint="eastAsia" w:cs="Times New Roman" w:asciiTheme="minorEastAsia" w:hAnsiTheme="minorEastAsia"/>
          <w:b/>
          <w:color w:val="000000" w:themeColor="text1"/>
          <w:sz w:val="24"/>
          <w:szCs w:val="24"/>
        </w:rPr>
        <w:t>1份</w:t>
      </w:r>
      <w:r>
        <w:rPr>
          <w:rFonts w:hint="eastAsia" w:cs="Times New Roman" w:asciiTheme="minorEastAsia" w:hAnsiTheme="minorEastAsia"/>
          <w:b/>
          <w:color w:val="000000" w:themeColor="text1"/>
          <w:sz w:val="24"/>
          <w:szCs w:val="24"/>
          <w:lang w:val="zh-CN"/>
        </w:rPr>
        <w:t>、"副本"</w:t>
      </w:r>
      <w:r>
        <w:rPr>
          <w:rFonts w:hint="eastAsia" w:cs="Times New Roman" w:asciiTheme="minorEastAsia" w:hAnsiTheme="minorEastAsia"/>
          <w:b/>
          <w:color w:val="000000" w:themeColor="text1"/>
          <w:sz w:val="24"/>
          <w:szCs w:val="24"/>
        </w:rPr>
        <w:t>6份</w:t>
      </w:r>
      <w:r>
        <w:rPr>
          <w:rFonts w:hint="eastAsia" w:cs="Times New Roman" w:asciiTheme="minorEastAsia" w:hAnsiTheme="minorEastAsia"/>
          <w:b/>
          <w:color w:val="000000" w:themeColor="text1"/>
          <w:sz w:val="24"/>
          <w:szCs w:val="24"/>
          <w:lang w:val="zh-CN"/>
        </w:rPr>
        <w:t>字样。未单独提交或单独提交的上述资料未按照招标文件规定的要求填写完整并签字、盖章的</w:t>
      </w:r>
      <w:r>
        <w:rPr>
          <w:rFonts w:hint="eastAsia" w:cs="Times New Roman" w:asciiTheme="minorEastAsia" w:hAnsiTheme="minorEastAsia"/>
          <w:b/>
          <w:color w:val="000000" w:themeColor="text1"/>
          <w:sz w:val="24"/>
          <w:szCs w:val="24"/>
        </w:rPr>
        <w:t>,</w:t>
      </w:r>
      <w:r>
        <w:rPr>
          <w:rFonts w:hint="eastAsia" w:cs="Times New Roman" w:asciiTheme="minorEastAsia" w:hAnsiTheme="minorEastAsia"/>
          <w:b/>
          <w:color w:val="000000" w:themeColor="text1"/>
          <w:sz w:val="24"/>
          <w:szCs w:val="24"/>
          <w:lang w:val="zh-CN"/>
        </w:rPr>
        <w:t>其投标将有可能被拒绝。开标一览表必须按要求由投标人法定代表人或法定代表人授权代表签字，并加盖投标单位公章，单独密封提交，否则将被视为非响应性投标，将按照无效投标处理。</w:t>
      </w:r>
    </w:p>
    <w:p>
      <w:pPr>
        <w:numPr>
          <w:ilvl w:val="0"/>
          <w:numId w:val="4"/>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投标报价</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投标人所提供的货物（工程或服务）均以人民币计价。</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《投标报价明细表》填写时应响应下列要求：</w:t>
      </w:r>
    </w:p>
    <w:p>
      <w:pPr>
        <w:numPr>
          <w:ilvl w:val="0"/>
          <w:numId w:val="14"/>
        </w:numPr>
        <w:spacing w:line="360" w:lineRule="auto"/>
        <w:ind w:left="980" w:hanging="854"/>
        <w:rPr>
          <w:rFonts w:cs="Times New Roman" w:asciiTheme="minorEastAsia" w:hAnsiTheme="minorEastAsia"/>
          <w:color w:val="000000" w:themeColor="text1"/>
          <w:sz w:val="24"/>
          <w:szCs w:val="24"/>
          <w:lang w:val="zh-CN"/>
        </w:rPr>
      </w:pPr>
      <w:r>
        <w:rPr>
          <w:rFonts w:hint="eastAsia" w:ascii="宋体" w:hAnsi="宋体"/>
          <w:color w:val="000000" w:themeColor="text1"/>
          <w:sz w:val="24"/>
        </w:rPr>
        <w:t>应包括所有根据合同或其他原因由投标人支付的款项、费用</w:t>
      </w:r>
      <w:r>
        <w:rPr>
          <w:rFonts w:hint="eastAsia" w:cs="Times New Roman" w:asciiTheme="minorEastAsia" w:hAnsiTheme="minorEastAsia"/>
          <w:color w:val="000000" w:themeColor="text1"/>
          <w:sz w:val="24"/>
          <w:szCs w:val="24"/>
          <w:lang w:val="zh-CN"/>
        </w:rPr>
        <w:t>；</w:t>
      </w:r>
    </w:p>
    <w:p>
      <w:pPr>
        <w:numPr>
          <w:ilvl w:val="0"/>
          <w:numId w:val="14"/>
        </w:numPr>
        <w:spacing w:line="360" w:lineRule="auto"/>
        <w:ind w:left="980" w:hanging="854"/>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应包含货物运至最终目的地的运输、保险和伴随货物（工程或服务）的有关费用；</w:t>
      </w:r>
    </w:p>
    <w:p>
      <w:pPr>
        <w:numPr>
          <w:ilvl w:val="0"/>
          <w:numId w:val="14"/>
        </w:numPr>
        <w:spacing w:line="360" w:lineRule="auto"/>
        <w:ind w:left="980" w:hanging="854"/>
        <w:rPr>
          <w:rFonts w:cs="Courier New"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应详细提供《投标报价明细表》和《投标货物、服务清单》等内容，否则按照</w:t>
      </w:r>
      <w:r>
        <w:rPr>
          <w:rFonts w:hint="eastAsia" w:cs="Times New Roman" w:asciiTheme="minorEastAsia" w:hAnsiTheme="minorEastAsia"/>
          <w:b/>
          <w:color w:val="000000" w:themeColor="text1"/>
          <w:sz w:val="24"/>
          <w:szCs w:val="24"/>
          <w:lang w:val="zh-CN"/>
        </w:rPr>
        <w:t>无效投标处理。</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每一种规格的货物（工程或服务）只允许有一个报价，否则按照</w:t>
      </w:r>
      <w:r>
        <w:rPr>
          <w:rFonts w:hint="eastAsia" w:cs="Times New Roman" w:asciiTheme="minorEastAsia" w:hAnsiTheme="minorEastAsia"/>
          <w:b/>
          <w:color w:val="000000" w:themeColor="text1"/>
          <w:sz w:val="24"/>
          <w:szCs w:val="24"/>
          <w:lang w:val="zh-CN"/>
        </w:rPr>
        <w:t>无效投标处理</w:t>
      </w:r>
      <w:r>
        <w:rPr>
          <w:rFonts w:hint="eastAsia" w:cs="Times New Roman" w:asciiTheme="minorEastAsia" w:hAnsiTheme="minorEastAsia"/>
          <w:color w:val="000000" w:themeColor="text1"/>
          <w:sz w:val="24"/>
          <w:szCs w:val="24"/>
          <w:lang w:val="zh-CN"/>
        </w:rPr>
        <w:t>。</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3"/>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投标人应对项目招标范围内的全部内容进行报价，不得缺、漏项或只投其中的部分内容的，否则按照</w:t>
      </w:r>
      <w:r>
        <w:rPr>
          <w:rFonts w:hint="eastAsia" w:cs="Times New Roman" w:asciiTheme="minorEastAsia" w:hAnsiTheme="minorEastAsia"/>
          <w:b/>
          <w:color w:val="000000" w:themeColor="text1"/>
          <w:sz w:val="24"/>
          <w:szCs w:val="24"/>
          <w:lang w:val="zh-CN"/>
        </w:rPr>
        <w:t>无效投标处理</w:t>
      </w:r>
      <w:r>
        <w:rPr>
          <w:rFonts w:hint="eastAsia" w:cs="Times New Roman" w:asciiTheme="minorEastAsia" w:hAnsiTheme="minorEastAsia"/>
          <w:color w:val="000000" w:themeColor="text1"/>
          <w:sz w:val="24"/>
          <w:szCs w:val="24"/>
          <w:lang w:val="zh-CN"/>
        </w:rPr>
        <w:t>。</w:t>
      </w:r>
    </w:p>
    <w:p>
      <w:pPr>
        <w:numPr>
          <w:ilvl w:val="0"/>
          <w:numId w:val="4"/>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备选方案</w:t>
      </w:r>
    </w:p>
    <w:p>
      <w:pPr>
        <w:spacing w:line="360" w:lineRule="auto"/>
        <w:ind w:firstLine="480" w:firstLine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只允许投标人提供一个投标方案（招标文件中要求提供备选方案的除外），否则按照</w:t>
      </w:r>
      <w:r>
        <w:rPr>
          <w:rFonts w:hint="eastAsia" w:cs="Times New Roman" w:asciiTheme="minorEastAsia" w:hAnsiTheme="minorEastAsia"/>
          <w:b/>
          <w:color w:val="000000" w:themeColor="text1"/>
          <w:sz w:val="24"/>
          <w:szCs w:val="24"/>
          <w:lang w:val="zh-CN"/>
        </w:rPr>
        <w:t>无效投标处理</w:t>
      </w:r>
      <w:r>
        <w:rPr>
          <w:rFonts w:hint="eastAsia" w:cs="Times New Roman" w:asciiTheme="minorEastAsia" w:hAnsiTheme="minorEastAsia"/>
          <w:color w:val="000000" w:themeColor="text1"/>
          <w:sz w:val="24"/>
          <w:szCs w:val="24"/>
          <w:lang w:val="zh-CN"/>
        </w:rPr>
        <w:t>。</w:t>
      </w:r>
    </w:p>
    <w:p>
      <w:pPr>
        <w:numPr>
          <w:ilvl w:val="0"/>
          <w:numId w:val="4"/>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中标后分包</w:t>
      </w:r>
    </w:p>
    <w:p>
      <w:pPr>
        <w:spacing w:line="360" w:lineRule="auto"/>
        <w:ind w:firstLine="480" w:firstLineChars="200"/>
        <w:rPr>
          <w:rFonts w:cs="Times New Roman" w:asciiTheme="minorEastAsia" w:hAnsiTheme="minorEastAsia"/>
          <w:color w:val="000000" w:themeColor="text1"/>
          <w:sz w:val="24"/>
          <w:szCs w:val="24"/>
          <w:lang w:val="zh-CN"/>
        </w:rPr>
      </w:pPr>
      <w:r>
        <w:rPr>
          <w:rFonts w:cs="Times New Roman" w:asciiTheme="minorEastAsia" w:hAnsiTheme="minorEastAsia"/>
          <w:color w:val="000000" w:themeColor="text1"/>
          <w:sz w:val="24"/>
          <w:szCs w:val="24"/>
          <w:lang w:val="zh-CN"/>
        </w:rPr>
        <w:t>招标文件规定</w:t>
      </w:r>
      <w:r>
        <w:rPr>
          <w:rFonts w:hint="eastAsia" w:cs="Times New Roman" w:asciiTheme="minorEastAsia" w:hAnsiTheme="minorEastAsia"/>
          <w:color w:val="000000" w:themeColor="text1"/>
          <w:sz w:val="24"/>
          <w:szCs w:val="24"/>
          <w:lang w:val="zh-CN"/>
        </w:rPr>
        <w:t>项目非主体、非关键性工作中标后可以分包</w:t>
      </w:r>
      <w:r>
        <w:rPr>
          <w:rFonts w:cs="Times New Roman" w:asciiTheme="minorEastAsia" w:hAnsiTheme="minorEastAsia"/>
          <w:color w:val="000000" w:themeColor="text1"/>
          <w:sz w:val="24"/>
          <w:szCs w:val="24"/>
          <w:lang w:val="zh-CN"/>
        </w:rPr>
        <w:t>的，投标人拟在中标后将项目的非主体、非关键性工作分包，应当在投标文件中载明</w:t>
      </w:r>
      <w:r>
        <w:rPr>
          <w:rFonts w:hint="eastAsia" w:cs="Times New Roman" w:asciiTheme="minorEastAsia" w:hAnsiTheme="minorEastAsia"/>
          <w:color w:val="000000" w:themeColor="text1"/>
          <w:sz w:val="24"/>
          <w:szCs w:val="24"/>
          <w:lang w:val="zh-CN"/>
        </w:rPr>
        <w:t>具备相应资质条件的</w:t>
      </w:r>
      <w:r>
        <w:rPr>
          <w:rFonts w:cs="Times New Roman" w:asciiTheme="minorEastAsia" w:hAnsiTheme="minorEastAsia"/>
          <w:color w:val="000000" w:themeColor="text1"/>
          <w:sz w:val="24"/>
          <w:szCs w:val="24"/>
          <w:lang w:val="zh-CN"/>
        </w:rPr>
        <w:t>分包承担主体，分包承担主体不得再次分包。</w:t>
      </w:r>
      <w:r>
        <w:rPr>
          <w:rFonts w:hint="eastAsia" w:cs="Times New Roman" w:asciiTheme="minorEastAsia" w:hAnsiTheme="minorEastAsia"/>
          <w:color w:val="000000" w:themeColor="text1"/>
          <w:sz w:val="24"/>
          <w:szCs w:val="24"/>
          <w:lang w:val="zh-CN"/>
        </w:rPr>
        <w:t>否则中标后不允许分包。</w:t>
      </w:r>
    </w:p>
    <w:p>
      <w:pPr>
        <w:numPr>
          <w:ilvl w:val="0"/>
          <w:numId w:val="4"/>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联合体投标</w:t>
      </w:r>
    </w:p>
    <w:p>
      <w:pPr>
        <w:numPr>
          <w:ilvl w:val="0"/>
          <w:numId w:val="15"/>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两个及以上供应商可以组成一个联合体，以一个投标人的身份共同参与投标。</w:t>
      </w:r>
    </w:p>
    <w:p>
      <w:pPr>
        <w:numPr>
          <w:ilvl w:val="0"/>
          <w:numId w:val="15"/>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采取联合体形式投标的，联合体各方均应当符合政府采购法第二十二条第一款规定的条件。联合体的主体应完全满足项目投标人资格要求。</w:t>
      </w:r>
    </w:p>
    <w:p>
      <w:pPr>
        <w:numPr>
          <w:ilvl w:val="0"/>
          <w:numId w:val="15"/>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联合体各方之间应签订联合投标协议，明确约定联合体主体及各方承担的工作和相应的责任，其投标文件中应提供联合投标协议。</w:t>
      </w:r>
    </w:p>
    <w:p>
      <w:pPr>
        <w:numPr>
          <w:ilvl w:val="0"/>
          <w:numId w:val="15"/>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以联合体形式参加政府采购活动的，联合体各方不得再单独参加或者与其他供应商另外组成联合体参加同一合同项下的政府采购活动。</w:t>
      </w:r>
    </w:p>
    <w:p>
      <w:pPr>
        <w:numPr>
          <w:ilvl w:val="0"/>
          <w:numId w:val="15"/>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5"/>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采取联合体形式投标的，项目评审时只对联合体主体进行评议。</w:t>
      </w:r>
    </w:p>
    <w:p>
      <w:pPr>
        <w:numPr>
          <w:ilvl w:val="0"/>
          <w:numId w:val="15"/>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联合体中标的，联合体各方应当共同与采购人签订采购合同，</w:t>
      </w:r>
      <w:r>
        <w:rPr>
          <w:rFonts w:hint="eastAsia" w:ascii="宋体" w:hAnsi="宋体"/>
          <w:color w:val="000000" w:themeColor="text1"/>
          <w:sz w:val="24"/>
        </w:rPr>
        <w:t>就采购合同约定的事项对采购人承担连带责任，</w:t>
      </w:r>
      <w:r>
        <w:rPr>
          <w:rFonts w:hint="eastAsia" w:cs="Times New Roman" w:asciiTheme="minorEastAsia" w:hAnsiTheme="minorEastAsia"/>
          <w:color w:val="000000" w:themeColor="text1"/>
          <w:sz w:val="24"/>
          <w:szCs w:val="24"/>
          <w:lang w:val="zh-CN"/>
        </w:rPr>
        <w:t>联合体主体单位负主要责任。</w:t>
      </w:r>
    </w:p>
    <w:p>
      <w:pPr>
        <w:numPr>
          <w:ilvl w:val="0"/>
          <w:numId w:val="15"/>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联合体中有同类资质的供应商按照联合体分工承担相同工作的，应当按照资质等级较低的供应商确定资质等级。</w:t>
      </w:r>
    </w:p>
    <w:p>
      <w:pPr>
        <w:numPr>
          <w:ilvl w:val="0"/>
          <w:numId w:val="15"/>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招标文件第一章“投标人资格要求”中</w:t>
      </w:r>
      <w:r>
        <w:rPr>
          <w:rFonts w:cs="Times New Roman" w:asciiTheme="minorEastAsia" w:hAnsiTheme="minorEastAsia"/>
          <w:color w:val="000000" w:themeColor="text1"/>
          <w:sz w:val="24"/>
          <w:szCs w:val="24"/>
          <w:lang w:val="zh-CN"/>
        </w:rPr>
        <w:t>未载明</w:t>
      </w:r>
      <w:r>
        <w:rPr>
          <w:rFonts w:hint="eastAsia" w:cs="Times New Roman" w:asciiTheme="minorEastAsia" w:hAnsiTheme="minorEastAsia"/>
          <w:color w:val="000000" w:themeColor="text1"/>
          <w:sz w:val="24"/>
          <w:szCs w:val="24"/>
          <w:lang w:val="zh-CN"/>
        </w:rPr>
        <w:t>是否接受联合体投标的</w:t>
      </w:r>
      <w:r>
        <w:rPr>
          <w:rFonts w:cs="Times New Roman" w:asciiTheme="minorEastAsia" w:hAnsiTheme="minorEastAsia"/>
          <w:color w:val="000000" w:themeColor="text1"/>
          <w:sz w:val="24"/>
          <w:szCs w:val="24"/>
          <w:lang w:val="zh-CN"/>
        </w:rPr>
        <w:t>，</w:t>
      </w:r>
      <w:r>
        <w:rPr>
          <w:rFonts w:hint="eastAsia" w:cs="Times New Roman" w:asciiTheme="minorEastAsia" w:hAnsiTheme="minorEastAsia"/>
          <w:color w:val="000000" w:themeColor="text1"/>
          <w:sz w:val="24"/>
          <w:szCs w:val="24"/>
          <w:lang w:val="zh-CN"/>
        </w:rPr>
        <w:t>视同接受</w:t>
      </w:r>
      <w:r>
        <w:rPr>
          <w:rFonts w:cs="Times New Roman" w:asciiTheme="minorEastAsia" w:hAnsiTheme="minorEastAsia"/>
          <w:color w:val="000000" w:themeColor="text1"/>
          <w:sz w:val="24"/>
          <w:szCs w:val="24"/>
          <w:lang w:val="zh-CN"/>
        </w:rPr>
        <w:t>。</w:t>
      </w:r>
    </w:p>
    <w:p>
      <w:pPr>
        <w:numPr>
          <w:ilvl w:val="0"/>
          <w:numId w:val="15"/>
        </w:numPr>
        <w:spacing w:line="360" w:lineRule="auto"/>
        <w:ind w:left="728" w:hanging="728"/>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以联合体形式参与投标的，其价格扣除相关规定详见第五章“评标方法、程序及标准”。</w:t>
      </w:r>
    </w:p>
    <w:p>
      <w:pPr>
        <w:numPr>
          <w:ilvl w:val="0"/>
          <w:numId w:val="4"/>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资格证明文件</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lang w:val="zh-CN"/>
        </w:rPr>
        <w:t>资格证明文件应真实、合法，并就此承担相应法律责任。</w:t>
      </w:r>
    </w:p>
    <w:p>
      <w:pPr>
        <w:numPr>
          <w:ilvl w:val="0"/>
          <w:numId w:val="16"/>
        </w:numPr>
        <w:spacing w:line="360" w:lineRule="auto"/>
        <w:ind w:left="616" w:hanging="616"/>
        <w:rPr>
          <w:rFonts w:cs="Helvetica" w:asciiTheme="minorEastAsia" w:hAnsiTheme="minorEastAsia"/>
          <w:color w:val="000000" w:themeColor="text1"/>
          <w:kern w:val="0"/>
          <w:sz w:val="24"/>
          <w:szCs w:val="24"/>
          <w:lang w:val="zh-CN"/>
        </w:rPr>
      </w:pPr>
      <w:r>
        <w:rPr>
          <w:rFonts w:hint="eastAsia" w:cs="Times New Roman" w:asciiTheme="minorEastAsia" w:hAnsiTheme="minorEastAsia"/>
          <w:color w:val="000000" w:themeColor="text1"/>
          <w:sz w:val="24"/>
          <w:szCs w:val="24"/>
          <w:lang w:val="zh-CN"/>
        </w:rPr>
        <w:t>资格证明文件正本应为清晰彩色影印件且加盖单位公章，否则按照</w:t>
      </w:r>
      <w:r>
        <w:rPr>
          <w:rFonts w:hint="eastAsia" w:cs="Times New Roman" w:asciiTheme="minorEastAsia" w:hAnsiTheme="minorEastAsia"/>
          <w:b/>
          <w:color w:val="000000" w:themeColor="text1"/>
          <w:sz w:val="24"/>
          <w:szCs w:val="24"/>
          <w:lang w:val="zh-CN"/>
        </w:rPr>
        <w:t>无效投标处理</w:t>
      </w:r>
      <w:r>
        <w:rPr>
          <w:rFonts w:hint="eastAsia" w:cs="Times New Roman" w:asciiTheme="minorEastAsia" w:hAnsiTheme="minorEastAsia"/>
          <w:color w:val="000000" w:themeColor="text1"/>
          <w:sz w:val="24"/>
          <w:szCs w:val="24"/>
          <w:lang w:val="zh-CN"/>
        </w:rPr>
        <w:t>。</w:t>
      </w:r>
    </w:p>
    <w:p>
      <w:pPr>
        <w:numPr>
          <w:ilvl w:val="0"/>
          <w:numId w:val="16"/>
        </w:numPr>
        <w:spacing w:line="360" w:lineRule="auto"/>
        <w:ind w:left="616" w:hanging="616"/>
        <w:rPr>
          <w:rFonts w:cs="Times New Roman" w:asciiTheme="minorEastAsia" w:hAnsiTheme="minorEastAsia"/>
          <w:color w:val="000000" w:themeColor="text1"/>
          <w:sz w:val="24"/>
          <w:szCs w:val="24"/>
          <w:lang w:val="zh-CN"/>
        </w:rPr>
      </w:pPr>
      <w:r>
        <w:rPr>
          <w:rFonts w:hint="eastAsia" w:cs="Helvetica" w:asciiTheme="minorEastAsia" w:hAnsiTheme="minorEastAsia"/>
          <w:color w:val="000000" w:themeColor="text1"/>
          <w:kern w:val="0"/>
          <w:sz w:val="24"/>
          <w:szCs w:val="24"/>
          <w:lang w:val="zh-CN"/>
        </w:rPr>
        <w:t>资格证明文件内容详</w:t>
      </w:r>
      <w:r>
        <w:rPr>
          <w:rFonts w:hint="eastAsia" w:cs="Times New Roman" w:asciiTheme="minorEastAsia" w:hAnsiTheme="minorEastAsia"/>
          <w:color w:val="000000" w:themeColor="text1"/>
          <w:kern w:val="0"/>
          <w:sz w:val="24"/>
          <w:szCs w:val="24"/>
          <w:lang w:val="zh-CN"/>
        </w:rPr>
        <w:t>见</w:t>
      </w:r>
      <w:r>
        <w:rPr>
          <w:rFonts w:hint="eastAsia" w:cs="Times New Roman" w:asciiTheme="minorEastAsia" w:hAnsiTheme="minorEastAsia"/>
          <w:color w:val="000000" w:themeColor="text1"/>
          <w:sz w:val="24"/>
          <w:szCs w:val="24"/>
          <w:lang w:val="zh-CN"/>
        </w:rPr>
        <w:t>第四章“资格审查方法及标准”中资格审查内</w:t>
      </w:r>
      <w:r>
        <w:rPr>
          <w:rFonts w:hint="eastAsia" w:cs="Helvetica" w:asciiTheme="minorEastAsia" w:hAnsiTheme="minorEastAsia"/>
          <w:color w:val="000000" w:themeColor="text1"/>
          <w:kern w:val="0"/>
          <w:sz w:val="24"/>
          <w:szCs w:val="24"/>
          <w:lang w:val="zh-CN"/>
        </w:rPr>
        <w:t>容</w:t>
      </w:r>
      <w:r>
        <w:rPr>
          <w:rFonts w:hint="eastAsia" w:cs="Times New Roman" w:asciiTheme="minorEastAsia" w:hAnsiTheme="minorEastAsia"/>
          <w:color w:val="000000" w:themeColor="text1"/>
          <w:kern w:val="0"/>
          <w:sz w:val="24"/>
          <w:szCs w:val="24"/>
          <w:lang w:val="zh-CN"/>
        </w:rPr>
        <w:t>。</w:t>
      </w:r>
    </w:p>
    <w:p>
      <w:pPr>
        <w:numPr>
          <w:ilvl w:val="0"/>
          <w:numId w:val="4"/>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投标有效期</w:t>
      </w:r>
    </w:p>
    <w:p>
      <w:pPr>
        <w:spacing w:line="360" w:lineRule="auto"/>
        <w:ind w:left="480" w:hanging="480" w:hanging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rPr>
        <w:t>17.1</w:t>
      </w:r>
      <w:r>
        <w:rPr>
          <w:rFonts w:hint="eastAsia" w:cs="Times New Roman" w:asciiTheme="minorEastAsia" w:hAnsiTheme="minorEastAsia"/>
          <w:color w:val="000000" w:themeColor="text1"/>
          <w:sz w:val="24"/>
          <w:szCs w:val="24"/>
          <w:lang w:val="zh-CN"/>
        </w:rPr>
        <w:t>投标有效期详见本章“投标须知前附表”中规定。</w:t>
      </w:r>
      <w:r>
        <w:rPr>
          <w:rFonts w:cs="Helvetica" w:asciiTheme="minorEastAsia" w:hAnsiTheme="minorEastAsia"/>
          <w:color w:val="000000" w:themeColor="text1"/>
          <w:kern w:val="0"/>
          <w:sz w:val="24"/>
          <w:szCs w:val="24"/>
          <w:lang w:val="zh-CN"/>
        </w:rPr>
        <w:t>投标文件中承诺的投标有效期应当不少于招标文件中载明的投标有效期</w:t>
      </w:r>
      <w:r>
        <w:rPr>
          <w:rFonts w:hint="eastAsia" w:cs="Helvetica" w:asciiTheme="minorEastAsia" w:hAnsiTheme="minorEastAsia"/>
          <w:color w:val="000000" w:themeColor="text1"/>
          <w:kern w:val="0"/>
          <w:sz w:val="24"/>
          <w:szCs w:val="24"/>
          <w:lang w:val="zh-CN"/>
        </w:rPr>
        <w:t>。投标有效期不足的，</w:t>
      </w:r>
      <w:r>
        <w:rPr>
          <w:rFonts w:hint="eastAsia" w:cs="Times New Roman" w:asciiTheme="minorEastAsia" w:hAnsiTheme="minorEastAsia"/>
          <w:color w:val="000000" w:themeColor="text1"/>
          <w:sz w:val="24"/>
          <w:szCs w:val="24"/>
          <w:lang w:val="zh-CN"/>
        </w:rPr>
        <w:t>按照</w:t>
      </w:r>
      <w:r>
        <w:rPr>
          <w:rFonts w:hint="eastAsia" w:cs="Times New Roman" w:asciiTheme="minorEastAsia" w:hAnsiTheme="minorEastAsia"/>
          <w:b/>
          <w:color w:val="000000" w:themeColor="text1"/>
          <w:sz w:val="24"/>
          <w:szCs w:val="24"/>
          <w:lang w:val="zh-CN"/>
        </w:rPr>
        <w:t>无效投标处理。</w:t>
      </w:r>
    </w:p>
    <w:p>
      <w:pPr>
        <w:spacing w:line="360" w:lineRule="auto"/>
        <w:ind w:left="480" w:hanging="480" w:hanging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rPr>
        <w:t>17.2</w:t>
      </w:r>
      <w:r>
        <w:rPr>
          <w:rFonts w:hint="eastAsia" w:cs="Times New Roman" w:asciiTheme="minorEastAsia" w:hAnsiTheme="minorEastAsia"/>
          <w:color w:val="000000" w:themeColor="text1"/>
          <w:sz w:val="24"/>
          <w:szCs w:val="24"/>
          <w:lang w:val="zh-CN"/>
        </w:rPr>
        <w:t>特殊情况下，在原投标有效期截止之前，</w:t>
      </w:r>
      <w:r>
        <w:rPr>
          <w:rFonts w:hint="eastAsia" w:ascii="宋体" w:hAnsi="宋体" w:eastAsia="宋体" w:cs="Times New Roman"/>
          <w:color w:val="000000" w:themeColor="text1"/>
          <w:sz w:val="24"/>
          <w:szCs w:val="20"/>
          <w:lang w:val="zh-CN"/>
        </w:rPr>
        <w:t>采购代理机构</w:t>
      </w:r>
      <w:r>
        <w:rPr>
          <w:rFonts w:hint="eastAsia" w:cs="Times New Roman" w:asciiTheme="minorEastAsia" w:hAnsiTheme="minorEastAsia"/>
          <w:color w:val="000000" w:themeColor="text1"/>
          <w:sz w:val="24"/>
          <w:szCs w:val="24"/>
          <w:lang w:val="zh-CN"/>
        </w:rPr>
        <w:t>或采购人可要求投标人延长投标有效期。这种要求与答复均应以书面形式提交。投标人可拒绝</w:t>
      </w:r>
      <w:r>
        <w:rPr>
          <w:rFonts w:hint="eastAsia" w:ascii="宋体" w:hAnsi="宋体" w:eastAsia="宋体" w:cs="Times New Roman"/>
          <w:color w:val="000000" w:themeColor="text1"/>
          <w:sz w:val="24"/>
          <w:szCs w:val="20"/>
          <w:lang w:val="zh-CN"/>
        </w:rPr>
        <w:t>采购代理机构</w:t>
      </w:r>
      <w:r>
        <w:rPr>
          <w:rFonts w:hint="eastAsia" w:cs="Times New Roman" w:asciiTheme="minorEastAsia" w:hAnsiTheme="minorEastAsia"/>
          <w:color w:val="000000" w:themeColor="text1"/>
          <w:sz w:val="24"/>
          <w:szCs w:val="24"/>
          <w:lang w:val="zh-CN"/>
        </w:rPr>
        <w:t>或采购人的这种要求，但其投标在原投标有效期期满后将不再有效。同意延长投标有效期的投标人不会被要求和允许修正其投标内容。</w:t>
      </w:r>
    </w:p>
    <w:p>
      <w:pPr>
        <w:numPr>
          <w:ilvl w:val="0"/>
          <w:numId w:val="4"/>
        </w:numPr>
        <w:spacing w:line="360" w:lineRule="auto"/>
        <w:ind w:left="560" w:hanging="560"/>
        <w:rPr>
          <w:rFonts w:cs="Times New Roman" w:asciiTheme="minorEastAsia" w:hAnsiTheme="minorEastAsia"/>
          <w:b/>
          <w:color w:val="000000" w:themeColor="text1"/>
          <w:sz w:val="24"/>
          <w:szCs w:val="24"/>
          <w:lang w:val="zh-CN"/>
        </w:rPr>
      </w:pPr>
      <w:r>
        <w:rPr>
          <w:rFonts w:hint="eastAsia" w:cs="Times New Roman" w:asciiTheme="minorEastAsia" w:hAnsiTheme="minorEastAsia"/>
          <w:b/>
          <w:color w:val="000000" w:themeColor="text1"/>
          <w:sz w:val="24"/>
          <w:szCs w:val="24"/>
          <w:lang w:val="zh-CN"/>
        </w:rPr>
        <w:t>投标文件的数量和签署</w:t>
      </w:r>
    </w:p>
    <w:p>
      <w:pPr>
        <w:spacing w:line="360" w:lineRule="auto"/>
        <w:ind w:left="480" w:hanging="480" w:hanging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rPr>
        <w:t>18.1</w:t>
      </w:r>
      <w:r>
        <w:rPr>
          <w:rFonts w:hint="eastAsia" w:cs="Times New Roman" w:asciiTheme="minorEastAsia" w:hAnsiTheme="minorEastAsia"/>
          <w:color w:val="000000" w:themeColor="text1"/>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spacing w:line="360" w:lineRule="auto"/>
        <w:ind w:left="480" w:hanging="480" w:hanging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rPr>
        <w:t>18.2</w:t>
      </w:r>
      <w:r>
        <w:rPr>
          <w:rFonts w:hint="eastAsia" w:cs="Times New Roman" w:asciiTheme="minorEastAsia" w:hAnsiTheme="minorEastAsia"/>
          <w:color w:val="000000" w:themeColor="text1"/>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spacing w:line="360" w:lineRule="auto"/>
        <w:ind w:left="480" w:hanging="480" w:hanging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rPr>
        <w:t>18.3</w:t>
      </w:r>
      <w:r>
        <w:rPr>
          <w:rFonts w:hint="eastAsia" w:cs="Times New Roman" w:asciiTheme="minorEastAsia" w:hAnsiTheme="minorEastAsia"/>
          <w:color w:val="000000" w:themeColor="text1"/>
          <w:sz w:val="24"/>
          <w:szCs w:val="24"/>
          <w:lang w:val="zh-CN"/>
        </w:rPr>
        <w:t>投标文件中任何涂改和增删，应由法定代表人或经其正式授权的代表在旁边签字后方为有效。</w:t>
      </w:r>
    </w:p>
    <w:p>
      <w:pPr>
        <w:spacing w:line="360" w:lineRule="auto"/>
        <w:ind w:left="480" w:hanging="480" w:hangingChars="200"/>
        <w:rPr>
          <w:rFonts w:cs="Times New Roman" w:asciiTheme="minorEastAsia" w:hAnsiTheme="minorEastAsia"/>
          <w:color w:val="000000" w:themeColor="text1"/>
          <w:sz w:val="24"/>
          <w:szCs w:val="24"/>
          <w:lang w:val="zh-CN"/>
        </w:rPr>
      </w:pPr>
      <w:r>
        <w:rPr>
          <w:rFonts w:hint="eastAsia" w:cs="Times New Roman" w:asciiTheme="minorEastAsia" w:hAnsiTheme="minorEastAsia"/>
          <w:color w:val="000000" w:themeColor="text1"/>
          <w:sz w:val="24"/>
          <w:szCs w:val="24"/>
        </w:rPr>
        <w:t>18.4</w:t>
      </w:r>
      <w:r>
        <w:rPr>
          <w:rFonts w:hint="eastAsia" w:cs="Times New Roman" w:asciiTheme="minorEastAsia" w:hAnsiTheme="minorEastAsia"/>
          <w:color w:val="000000" w:themeColor="text1"/>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color w:val="000000" w:themeColor="text1"/>
          <w:sz w:val="24"/>
          <w:szCs w:val="24"/>
          <w:lang w:val="zh-CN"/>
        </w:rPr>
        <w:t>无效投标处理。</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投标文件的密封和标记</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 xml:space="preserve">19.1 </w:t>
      </w:r>
      <w:r>
        <w:rPr>
          <w:rFonts w:hint="eastAsia" w:ascii="宋体" w:hAnsi="宋体" w:eastAsia="宋体" w:cs="Times New Roman"/>
          <w:color w:val="000000" w:themeColor="text1"/>
          <w:sz w:val="24"/>
          <w:szCs w:val="20"/>
          <w:lang w:val="zh-CN"/>
        </w:rPr>
        <w:t>投标人应将投标文件第一部分资格证明文件、第二部分商务文件、第三部分技术、服务文件</w:t>
      </w:r>
      <w:r>
        <w:rPr>
          <w:rFonts w:hint="eastAsia" w:ascii="宋体" w:hAnsi="宋体" w:eastAsia="宋体" w:cs="Times New Roman"/>
          <w:b/>
          <w:color w:val="000000" w:themeColor="text1"/>
          <w:sz w:val="24"/>
          <w:szCs w:val="20"/>
          <w:lang w:val="zh-CN"/>
        </w:rPr>
        <w:t>一起合并装订成一本投标文件，一起封装。</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 xml:space="preserve">19.2 </w:t>
      </w:r>
      <w:r>
        <w:rPr>
          <w:rFonts w:hint="eastAsia" w:ascii="宋体" w:hAnsi="宋体" w:eastAsia="宋体" w:cs="Times New Roman"/>
          <w:color w:val="000000" w:themeColor="text1"/>
          <w:sz w:val="24"/>
          <w:szCs w:val="20"/>
          <w:lang w:val="zh-CN"/>
        </w:rPr>
        <w:t>投标人应将投标文件正本和所有的副本一起密封装在文件袋（或封装袋）中，并在封包上标明“正本”</w:t>
      </w:r>
      <w:r>
        <w:rPr>
          <w:rFonts w:hint="eastAsia" w:ascii="宋体" w:hAnsi="宋体" w:eastAsia="宋体" w:cs="Times New Roman"/>
          <w:color w:val="000000" w:themeColor="text1"/>
          <w:sz w:val="24"/>
          <w:szCs w:val="20"/>
        </w:rPr>
        <w:t>1份</w:t>
      </w:r>
      <w:r>
        <w:rPr>
          <w:rFonts w:hint="eastAsia" w:ascii="宋体" w:hAnsi="宋体" w:eastAsia="宋体" w:cs="Times New Roman"/>
          <w:color w:val="000000" w:themeColor="text1"/>
          <w:sz w:val="24"/>
          <w:szCs w:val="20"/>
          <w:lang w:val="zh-CN"/>
        </w:rPr>
        <w:t>、“副本”</w:t>
      </w:r>
      <w:r>
        <w:rPr>
          <w:rFonts w:hint="eastAsia" w:ascii="宋体" w:hAnsi="宋体" w:eastAsia="宋体" w:cs="Times New Roman"/>
          <w:color w:val="000000" w:themeColor="text1"/>
          <w:sz w:val="24"/>
          <w:szCs w:val="20"/>
        </w:rPr>
        <w:t>6份</w:t>
      </w:r>
      <w:r>
        <w:rPr>
          <w:rFonts w:hint="eastAsia" w:ascii="宋体" w:hAnsi="宋体" w:eastAsia="宋体" w:cs="Times New Roman"/>
          <w:color w:val="000000" w:themeColor="text1"/>
          <w:sz w:val="24"/>
          <w:szCs w:val="20"/>
          <w:lang w:val="zh-CN"/>
        </w:rPr>
        <w:t>字样。</w:t>
      </w:r>
    </w:p>
    <w:p>
      <w:pPr>
        <w:spacing w:line="360" w:lineRule="auto"/>
        <w:ind w:left="720" w:hanging="720" w:hangingChars="3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 xml:space="preserve">19.3 </w:t>
      </w:r>
      <w:r>
        <w:rPr>
          <w:rFonts w:hint="eastAsia" w:ascii="宋体" w:hAnsi="宋体" w:eastAsia="宋体" w:cs="Times New Roman"/>
          <w:color w:val="000000" w:themeColor="text1"/>
          <w:sz w:val="24"/>
          <w:szCs w:val="20"/>
          <w:lang w:val="zh-CN"/>
        </w:rPr>
        <w:t>如果未按要求加写密封、标记或存在错误，集中采购机构对其误投或提前启封概不负责。</w:t>
      </w:r>
    </w:p>
    <w:p>
      <w:pPr>
        <w:spacing w:line="360" w:lineRule="auto"/>
        <w:ind w:left="480" w:hanging="480" w:hangingChars="200"/>
        <w:rPr>
          <w:rFonts w:ascii="宋体" w:hAnsi="宋体" w:eastAsia="宋体" w:cs="Times New Roman"/>
          <w:b/>
          <w:color w:val="000000" w:themeColor="text1"/>
          <w:sz w:val="24"/>
          <w:szCs w:val="20"/>
          <w:lang w:val="zh-CN"/>
        </w:rPr>
      </w:pPr>
      <w:r>
        <w:rPr>
          <w:rFonts w:hint="eastAsia" w:ascii="宋体" w:hAnsi="宋体" w:eastAsia="宋体" w:cs="Times New Roman"/>
          <w:color w:val="000000" w:themeColor="text1"/>
          <w:sz w:val="24"/>
          <w:szCs w:val="20"/>
        </w:rPr>
        <w:t xml:space="preserve">19.4 </w:t>
      </w:r>
      <w:r>
        <w:rPr>
          <w:rFonts w:hint="eastAsia" w:ascii="宋体" w:hAnsi="宋体" w:eastAsia="宋体" w:cs="Times New Roman"/>
          <w:color w:val="000000" w:themeColor="text1"/>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color w:val="000000" w:themeColor="text1"/>
          <w:spacing w:val="-6"/>
          <w:kern w:val="0"/>
          <w:sz w:val="24"/>
          <w:szCs w:val="20"/>
          <w:lang w:val="zh-CN"/>
        </w:rPr>
        <w:t>装入一个信封，单独密封提交</w:t>
      </w:r>
      <w:r>
        <w:rPr>
          <w:rFonts w:hint="eastAsia" w:ascii="宋体" w:hAnsi="宋体" w:eastAsia="宋体" w:cs="Times New Roman"/>
          <w:color w:val="000000" w:themeColor="text1"/>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000000" w:themeColor="text1"/>
          <w:sz w:val="24"/>
          <w:szCs w:val="20"/>
          <w:lang w:val="zh-CN"/>
        </w:rPr>
        <w:t>拒绝</w:t>
      </w:r>
      <w:r>
        <w:rPr>
          <w:rFonts w:hint="eastAsia" w:ascii="宋体" w:hAnsi="宋体" w:eastAsia="宋体" w:cs="Times New Roman"/>
          <w:color w:val="000000" w:themeColor="text1"/>
          <w:sz w:val="24"/>
          <w:szCs w:val="20"/>
          <w:lang w:val="zh-CN"/>
        </w:rPr>
        <w:t>其投标。</w:t>
      </w:r>
    </w:p>
    <w:p>
      <w:pPr>
        <w:spacing w:line="360" w:lineRule="auto"/>
        <w:ind w:left="720" w:hanging="720" w:hangingChars="3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19.5</w:t>
      </w:r>
      <w:r>
        <w:rPr>
          <w:rFonts w:hint="eastAsia" w:ascii="宋体" w:hAnsi="宋体" w:eastAsia="宋体" w:cs="Times New Roman"/>
          <w:color w:val="000000" w:themeColor="text1"/>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投标文件递交</w:t>
      </w:r>
    </w:p>
    <w:p>
      <w:pPr>
        <w:spacing w:line="360" w:lineRule="auto"/>
        <w:ind w:left="480" w:hanging="480" w:hangingChars="200"/>
        <w:rPr>
          <w:rFonts w:ascii="Helvetica" w:hAnsi="Helvetica" w:eastAsia="宋体" w:cs="Helvetica"/>
          <w:color w:val="000000" w:themeColor="text1"/>
          <w:kern w:val="0"/>
          <w:sz w:val="24"/>
          <w:szCs w:val="24"/>
          <w:lang w:val="zh-CN"/>
        </w:rPr>
      </w:pPr>
      <w:r>
        <w:rPr>
          <w:rFonts w:hint="eastAsia" w:asciiTheme="majorEastAsia" w:hAnsiTheme="majorEastAsia" w:eastAsiaTheme="majorEastAsia" w:cstheme="majorEastAsia"/>
          <w:color w:val="000000" w:themeColor="text1"/>
          <w:kern w:val="0"/>
          <w:sz w:val="24"/>
          <w:szCs w:val="24"/>
        </w:rPr>
        <w:t>20.1</w:t>
      </w:r>
      <w:r>
        <w:rPr>
          <w:rFonts w:hint="eastAsia" w:ascii="Helvetica" w:hAnsi="Helvetica" w:eastAsia="宋体" w:cs="Helvetica"/>
          <w:color w:val="000000" w:themeColor="text1"/>
          <w:kern w:val="0"/>
          <w:sz w:val="24"/>
          <w:szCs w:val="24"/>
          <w:lang w:val="zh-CN"/>
        </w:rPr>
        <w:t>投标人应在不迟于投标邀请书中规定的投标截止日期和时间将投标文件密封递交至</w:t>
      </w:r>
      <w:r>
        <w:rPr>
          <w:rFonts w:hint="eastAsia" w:asciiTheme="majorEastAsia" w:hAnsiTheme="majorEastAsia" w:eastAsiaTheme="majorEastAsia" w:cstheme="majorEastAsia"/>
          <w:color w:val="000000" w:themeColor="text1"/>
          <w:kern w:val="0"/>
          <w:sz w:val="24"/>
          <w:szCs w:val="24"/>
          <w:lang w:val="zh-CN"/>
        </w:rPr>
        <w:t>采购人（或代理公司）</w:t>
      </w:r>
      <w:r>
        <w:rPr>
          <w:rFonts w:hint="eastAsia" w:ascii="Helvetica" w:hAnsi="Helvetica" w:eastAsia="宋体" w:cs="Helvetica"/>
          <w:color w:val="000000" w:themeColor="text1"/>
          <w:kern w:val="0"/>
          <w:sz w:val="24"/>
          <w:szCs w:val="24"/>
          <w:lang w:val="zh-CN"/>
        </w:rPr>
        <w:t>规定的投标地点。</w:t>
      </w:r>
    </w:p>
    <w:p>
      <w:pPr>
        <w:spacing w:line="360" w:lineRule="auto"/>
        <w:rPr>
          <w:rFonts w:asciiTheme="majorEastAsia" w:hAnsiTheme="majorEastAsia" w:eastAsiaTheme="majorEastAsia" w:cstheme="majorEastAsia"/>
          <w:color w:val="000000" w:themeColor="text1"/>
          <w:kern w:val="0"/>
          <w:sz w:val="24"/>
          <w:szCs w:val="24"/>
          <w:lang w:val="zh-CN"/>
        </w:rPr>
      </w:pPr>
      <w:r>
        <w:rPr>
          <w:rFonts w:hint="eastAsia" w:asciiTheme="majorEastAsia" w:hAnsiTheme="majorEastAsia" w:eastAsiaTheme="majorEastAsia" w:cstheme="majorEastAsia"/>
          <w:color w:val="000000" w:themeColor="text1"/>
          <w:kern w:val="0"/>
          <w:sz w:val="24"/>
          <w:szCs w:val="24"/>
        </w:rPr>
        <w:t xml:space="preserve">20.2 </w:t>
      </w:r>
      <w:r>
        <w:rPr>
          <w:rFonts w:hint="eastAsia" w:asciiTheme="majorEastAsia" w:hAnsiTheme="majorEastAsia" w:eastAsiaTheme="majorEastAsia" w:cstheme="majorEastAsia"/>
          <w:color w:val="000000" w:themeColor="text1"/>
          <w:kern w:val="0"/>
          <w:sz w:val="24"/>
          <w:szCs w:val="24"/>
          <w:lang w:val="zh-CN"/>
        </w:rPr>
        <w:t>采购人（或代理公司）拒收逾期送达或者未按招标文件要求密封的投标文件。</w:t>
      </w:r>
    </w:p>
    <w:p>
      <w:pPr>
        <w:spacing w:line="360" w:lineRule="auto"/>
        <w:rPr>
          <w:rFonts w:ascii="Helvetica" w:hAnsi="Helvetica" w:eastAsia="宋体" w:cs="Helvetica"/>
          <w:color w:val="000000" w:themeColor="text1"/>
          <w:kern w:val="0"/>
          <w:sz w:val="24"/>
          <w:szCs w:val="24"/>
          <w:lang w:val="zh-CN"/>
        </w:rPr>
      </w:pPr>
      <w:r>
        <w:rPr>
          <w:rFonts w:hint="eastAsia" w:asciiTheme="majorEastAsia" w:hAnsiTheme="majorEastAsia" w:eastAsiaTheme="majorEastAsia" w:cstheme="majorEastAsia"/>
          <w:color w:val="000000" w:themeColor="text1"/>
          <w:kern w:val="0"/>
          <w:sz w:val="24"/>
          <w:szCs w:val="24"/>
        </w:rPr>
        <w:t xml:space="preserve">20.3 </w:t>
      </w:r>
      <w:r>
        <w:rPr>
          <w:rFonts w:hint="eastAsia" w:asciiTheme="majorEastAsia" w:hAnsiTheme="majorEastAsia" w:eastAsiaTheme="majorEastAsia" w:cstheme="majorEastAsia"/>
          <w:color w:val="000000" w:themeColor="text1"/>
          <w:kern w:val="0"/>
          <w:sz w:val="24"/>
          <w:szCs w:val="24"/>
          <w:lang w:val="zh-CN"/>
        </w:rPr>
        <w:t>采购人（或代理公司）</w:t>
      </w:r>
      <w:r>
        <w:rPr>
          <w:rFonts w:ascii="Helvetica" w:hAnsi="Helvetica" w:eastAsia="宋体" w:cs="Helvetica"/>
          <w:color w:val="000000" w:themeColor="text1"/>
          <w:kern w:val="0"/>
          <w:sz w:val="24"/>
          <w:szCs w:val="24"/>
          <w:lang w:val="zh-CN"/>
        </w:rPr>
        <w:t>收到投标文件后，应当如实记载投标文件的送达时间和密封情况，签收保存，并向投标人出具签收回执。</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投标文件的修改和撤回</w:t>
      </w:r>
    </w:p>
    <w:p>
      <w:pPr>
        <w:spacing w:line="360" w:lineRule="auto"/>
        <w:ind w:left="480" w:hanging="480" w:hangingChars="200"/>
        <w:rPr>
          <w:rFonts w:ascii="宋体" w:hAnsi="宋体" w:eastAsia="宋体" w:cs="Times New Roman"/>
          <w:strike/>
          <w:color w:val="000000" w:themeColor="text1"/>
          <w:sz w:val="24"/>
          <w:szCs w:val="20"/>
          <w:lang w:val="zh-CN"/>
        </w:rPr>
      </w:pPr>
      <w:r>
        <w:rPr>
          <w:rFonts w:hint="eastAsia" w:ascii="宋体" w:hAnsi="宋体" w:eastAsia="宋体" w:cs="Times New Roman"/>
          <w:color w:val="000000" w:themeColor="text1"/>
          <w:sz w:val="24"/>
          <w:szCs w:val="20"/>
        </w:rPr>
        <w:t>21.1</w:t>
      </w:r>
      <w:r>
        <w:rPr>
          <w:rFonts w:ascii="宋体" w:hAnsi="宋体" w:eastAsia="宋体" w:cs="Times New Roman"/>
          <w:color w:val="000000" w:themeColor="text1"/>
          <w:sz w:val="24"/>
          <w:szCs w:val="20"/>
          <w:lang w:val="zh-CN"/>
        </w:rPr>
        <w:t>投标人在投标截止时间前，可以对所递交的投标文件进行补充、修改或者撤回，并书面通知</w:t>
      </w:r>
      <w:r>
        <w:rPr>
          <w:rFonts w:hint="eastAsia" w:ascii="宋体" w:hAnsi="宋体" w:eastAsia="宋体" w:cs="Times New Roman"/>
          <w:color w:val="000000" w:themeColor="text1"/>
          <w:sz w:val="24"/>
          <w:szCs w:val="20"/>
          <w:lang w:val="zh-CN"/>
        </w:rPr>
        <w:t>采购代理机构</w:t>
      </w:r>
      <w:r>
        <w:rPr>
          <w:rFonts w:ascii="宋体" w:hAnsi="宋体" w:eastAsia="宋体" w:cs="Times New Roman"/>
          <w:color w:val="000000" w:themeColor="text1"/>
          <w:sz w:val="24"/>
          <w:szCs w:val="20"/>
          <w:lang w:val="zh-CN"/>
        </w:rPr>
        <w:t>。补充、修改的内容应当按照招标文件要求签署、盖章、密封后，作为投标文件的组成部分。</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21.2</w:t>
      </w:r>
      <w:r>
        <w:rPr>
          <w:rFonts w:hint="eastAsia" w:ascii="宋体" w:hAnsi="宋体" w:eastAsia="宋体" w:cs="Times New Roman"/>
          <w:color w:val="000000" w:themeColor="text1"/>
          <w:sz w:val="24"/>
          <w:szCs w:val="20"/>
          <w:lang w:val="zh-CN"/>
        </w:rPr>
        <w:t>投标有效期内投标人不得撤销其投标文件。</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21.3</w:t>
      </w:r>
      <w:r>
        <w:rPr>
          <w:rFonts w:hint="eastAsia" w:ascii="宋体" w:hAnsi="宋体" w:eastAsia="宋体" w:cs="Times New Roman"/>
          <w:color w:val="000000" w:themeColor="text1"/>
          <w:sz w:val="24"/>
          <w:szCs w:val="20"/>
          <w:lang w:val="zh-CN"/>
        </w:rPr>
        <w:t>投标人所递交的投标文件无论中标与否不予退还。</w:t>
      </w:r>
    </w:p>
    <w:p>
      <w:pPr>
        <w:pStyle w:val="4"/>
        <w:numPr>
          <w:ilvl w:val="0"/>
          <w:numId w:val="3"/>
        </w:numPr>
        <w:spacing w:before="0" w:after="0" w:line="360" w:lineRule="auto"/>
        <w:ind w:left="658" w:hanging="658"/>
        <w:jc w:val="left"/>
        <w:rPr>
          <w:rFonts w:cs="Times New Roman" w:asciiTheme="majorEastAsia" w:hAnsiTheme="majorEastAsia"/>
          <w:bCs w:val="0"/>
          <w:color w:val="000000" w:themeColor="text1"/>
          <w:lang w:val="zh-CN"/>
        </w:rPr>
      </w:pPr>
      <w:bookmarkStart w:id="15" w:name="_Toc272247698"/>
      <w:bookmarkStart w:id="16" w:name="_Toc278891595"/>
      <w:bookmarkStart w:id="17" w:name="_Toc495861523"/>
      <w:bookmarkStart w:id="18" w:name="_Toc494561942"/>
      <w:r>
        <w:rPr>
          <w:rFonts w:hint="eastAsia" w:cs="Times New Roman" w:asciiTheme="majorEastAsia" w:hAnsiTheme="majorEastAsia"/>
          <w:bCs w:val="0"/>
          <w:color w:val="000000" w:themeColor="text1"/>
          <w:lang w:val="zh-CN"/>
        </w:rPr>
        <w:t>开标与评标</w:t>
      </w:r>
      <w:bookmarkEnd w:id="15"/>
      <w:bookmarkEnd w:id="16"/>
      <w:bookmarkEnd w:id="17"/>
      <w:bookmarkEnd w:id="18"/>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开标</w:t>
      </w:r>
    </w:p>
    <w:p>
      <w:pPr>
        <w:spacing w:line="360" w:lineRule="auto"/>
        <w:ind w:left="480" w:hanging="480" w:hangingChars="200"/>
        <w:rPr>
          <w:rFonts w:ascii="宋体" w:hAnsi="宋体" w:eastAsia="宋体" w:cs="Times New Roman"/>
          <w:b/>
          <w:color w:val="000000" w:themeColor="text1"/>
          <w:sz w:val="24"/>
          <w:szCs w:val="20"/>
          <w:lang w:val="zh-CN"/>
        </w:rPr>
      </w:pPr>
      <w:r>
        <w:rPr>
          <w:rFonts w:hint="eastAsia" w:ascii="宋体" w:hAnsi="宋体" w:eastAsia="宋体" w:cs="Times New Roman"/>
          <w:color w:val="000000" w:themeColor="text1"/>
          <w:sz w:val="24"/>
          <w:szCs w:val="20"/>
        </w:rPr>
        <w:t>22.1</w:t>
      </w:r>
      <w:r>
        <w:rPr>
          <w:rFonts w:hint="eastAsia" w:ascii="宋体" w:hAnsi="宋体" w:eastAsia="宋体" w:cs="Times New Roman"/>
          <w:color w:val="000000" w:themeColor="text1"/>
          <w:sz w:val="24"/>
          <w:szCs w:val="20"/>
          <w:lang w:val="zh-CN"/>
        </w:rPr>
        <w:t>采购人（或代理公司）在第一章“投标邀请书”中约定的日期、时间和地点组织公开开标。开标时采购人和投标人代表（投标人法定代表人或其授权代表）参加,参加开标的代表应签到以证明其出席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000000" w:themeColor="text1"/>
          <w:sz w:val="24"/>
          <w:szCs w:val="20"/>
          <w:lang w:val="zh-CN"/>
        </w:rPr>
        <w:t>，否则视同认可开标结果。</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22.2</w:t>
      </w:r>
      <w:r>
        <w:rPr>
          <w:rFonts w:hint="eastAsia" w:ascii="宋体" w:hAnsi="宋体" w:eastAsia="宋体" w:cs="Times New Roman"/>
          <w:color w:val="000000" w:themeColor="text1"/>
          <w:sz w:val="24"/>
          <w:szCs w:val="20"/>
          <w:lang w:val="zh-CN"/>
        </w:rPr>
        <w:t>投标人法定代表人或其授权代表应携带有效身份证明参加项目开标会，</w:t>
      </w:r>
      <w:r>
        <w:rPr>
          <w:rFonts w:ascii="宋体" w:hAnsi="宋体" w:eastAsia="宋体" w:cs="Times New Roman"/>
          <w:color w:val="000000" w:themeColor="text1"/>
          <w:sz w:val="24"/>
          <w:szCs w:val="20"/>
          <w:lang w:val="zh-CN"/>
        </w:rPr>
        <w:t>投标人未参加开标的，视同认可开标结果。</w:t>
      </w:r>
      <w:r>
        <w:rPr>
          <w:rFonts w:hint="eastAsia" w:ascii="宋体" w:hAnsi="宋体" w:eastAsia="宋体" w:cs="Times New Roman"/>
          <w:color w:val="000000" w:themeColor="text1"/>
          <w:sz w:val="24"/>
          <w:szCs w:val="20"/>
          <w:lang w:val="zh-CN"/>
        </w:rPr>
        <w:t>截止</w:t>
      </w:r>
      <w:r>
        <w:rPr>
          <w:rFonts w:hint="eastAsia" w:ascii="宋体" w:hAnsi="宋体" w:eastAsia="宋体" w:cs="宋体"/>
          <w:color w:val="000000" w:themeColor="text1"/>
          <w:kern w:val="0"/>
          <w:sz w:val="24"/>
          <w:szCs w:val="24"/>
        </w:rPr>
        <w:t>投标文件</w:t>
      </w:r>
      <w:r>
        <w:rPr>
          <w:rFonts w:hint="eastAsia" w:ascii="宋体" w:hAnsi="宋体" w:eastAsia="宋体" w:cs="Times New Roman"/>
          <w:color w:val="000000" w:themeColor="text1"/>
          <w:sz w:val="24"/>
          <w:szCs w:val="20"/>
          <w:lang w:val="zh-CN"/>
        </w:rPr>
        <w:t>递交时间，投标人不足3家的，不进行开标</w:t>
      </w:r>
      <w:r>
        <w:rPr>
          <w:rFonts w:hint="eastAsia" w:ascii="Helvetica" w:hAnsi="Helvetica" w:eastAsia="宋体" w:cs="Helvetica"/>
          <w:color w:val="000000" w:themeColor="text1"/>
          <w:kern w:val="0"/>
          <w:sz w:val="24"/>
          <w:szCs w:val="24"/>
          <w:lang w:val="zh-CN"/>
        </w:rPr>
        <w:t>。</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22.3</w:t>
      </w:r>
      <w:r>
        <w:rPr>
          <w:rFonts w:hint="eastAsia" w:ascii="宋体" w:hAnsi="宋体" w:eastAsia="宋体" w:cs="Times New Roman"/>
          <w:color w:val="000000" w:themeColor="text1"/>
          <w:sz w:val="24"/>
          <w:szCs w:val="20"/>
          <w:lang w:val="zh-CN"/>
        </w:rPr>
        <w:t>开标时，由投标人或其推选的代表检查投标文件的密封情况，经确认无误后由</w:t>
      </w:r>
      <w:r>
        <w:rPr>
          <w:rFonts w:hint="eastAsia" w:asciiTheme="majorEastAsia" w:hAnsiTheme="majorEastAsia" w:eastAsiaTheme="majorEastAsia" w:cstheme="majorEastAsia"/>
          <w:color w:val="000000" w:themeColor="text1"/>
          <w:kern w:val="0"/>
          <w:sz w:val="24"/>
          <w:szCs w:val="24"/>
          <w:lang w:val="zh-CN"/>
        </w:rPr>
        <w:t>采购人（或代理公司）</w:t>
      </w:r>
      <w:r>
        <w:rPr>
          <w:rFonts w:hint="eastAsia" w:ascii="宋体" w:hAnsi="宋体" w:eastAsia="宋体" w:cs="Times New Roman"/>
          <w:color w:val="000000" w:themeColor="text1"/>
          <w:sz w:val="24"/>
          <w:szCs w:val="20"/>
          <w:lang w:val="zh-CN"/>
        </w:rPr>
        <w:t>工作人员当众拆封，</w:t>
      </w:r>
      <w:r>
        <w:rPr>
          <w:rFonts w:ascii="宋体" w:hAnsi="宋体" w:eastAsia="宋体" w:cs="Times New Roman"/>
          <w:color w:val="000000" w:themeColor="text1"/>
          <w:sz w:val="24"/>
          <w:szCs w:val="20"/>
          <w:lang w:val="zh-CN"/>
        </w:rPr>
        <w:t>宣布投标人名称、投标价格和招标文件规定的需要宣布的其他内容。</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22.4</w:t>
      </w:r>
      <w:r>
        <w:rPr>
          <w:rFonts w:hint="eastAsia" w:ascii="宋体" w:hAnsi="宋体" w:eastAsia="宋体" w:cs="Times New Roman"/>
          <w:color w:val="000000" w:themeColor="text1"/>
          <w:sz w:val="24"/>
          <w:szCs w:val="20"/>
          <w:lang w:val="zh-CN"/>
        </w:rPr>
        <w:t>采购人（或代理公司）</w:t>
      </w:r>
      <w:r>
        <w:rPr>
          <w:rFonts w:ascii="宋体" w:hAnsi="宋体" w:eastAsia="宋体" w:cs="Times New Roman"/>
          <w:color w:val="000000" w:themeColor="text1"/>
          <w:sz w:val="24"/>
          <w:szCs w:val="20"/>
          <w:lang w:val="zh-CN"/>
        </w:rPr>
        <w:t>负责</w:t>
      </w:r>
      <w:r>
        <w:rPr>
          <w:rFonts w:hint="eastAsia" w:ascii="宋体" w:hAnsi="宋体" w:eastAsia="宋体" w:cs="Times New Roman"/>
          <w:color w:val="000000" w:themeColor="text1"/>
          <w:sz w:val="24"/>
          <w:szCs w:val="20"/>
          <w:lang w:val="zh-CN"/>
        </w:rPr>
        <w:t>对</w:t>
      </w:r>
      <w:r>
        <w:rPr>
          <w:rFonts w:ascii="宋体" w:hAnsi="宋体" w:eastAsia="宋体" w:cs="Times New Roman"/>
          <w:color w:val="000000" w:themeColor="text1"/>
          <w:sz w:val="24"/>
          <w:szCs w:val="20"/>
          <w:lang w:val="zh-CN"/>
        </w:rPr>
        <w:t>开标过程</w:t>
      </w:r>
      <w:r>
        <w:rPr>
          <w:rFonts w:hint="eastAsia" w:ascii="宋体" w:hAnsi="宋体" w:eastAsia="宋体" w:cs="Times New Roman"/>
          <w:color w:val="000000" w:themeColor="text1"/>
          <w:sz w:val="24"/>
          <w:szCs w:val="20"/>
          <w:lang w:val="zh-CN"/>
        </w:rPr>
        <w:t>进行</w:t>
      </w:r>
      <w:r>
        <w:rPr>
          <w:rFonts w:ascii="宋体" w:hAnsi="宋体" w:eastAsia="宋体" w:cs="Times New Roman"/>
          <w:color w:val="000000" w:themeColor="text1"/>
          <w:sz w:val="24"/>
          <w:szCs w:val="20"/>
          <w:lang w:val="zh-CN"/>
        </w:rPr>
        <w:t>记录，由参加开标的各投标人代表和相关工作人员</w:t>
      </w:r>
      <w:r>
        <w:rPr>
          <w:rFonts w:hint="eastAsia" w:ascii="宋体" w:hAnsi="宋体" w:eastAsia="宋体" w:cs="Times New Roman"/>
          <w:color w:val="000000" w:themeColor="text1"/>
          <w:sz w:val="24"/>
          <w:szCs w:val="20"/>
          <w:lang w:val="zh-CN"/>
        </w:rPr>
        <w:t>对开标记录进行</w:t>
      </w:r>
      <w:r>
        <w:rPr>
          <w:rFonts w:ascii="宋体" w:hAnsi="宋体" w:eastAsia="宋体" w:cs="Times New Roman"/>
          <w:color w:val="000000" w:themeColor="text1"/>
          <w:sz w:val="24"/>
          <w:szCs w:val="20"/>
          <w:lang w:val="zh-CN"/>
        </w:rPr>
        <w:t>签字确认。</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22.5</w:t>
      </w:r>
      <w:r>
        <w:rPr>
          <w:rFonts w:ascii="宋体" w:hAnsi="宋体" w:eastAsia="宋体" w:cs="Times New Roman"/>
          <w:color w:val="000000" w:themeColor="text1"/>
          <w:sz w:val="24"/>
          <w:szCs w:val="20"/>
          <w:lang w:val="zh-CN"/>
        </w:rPr>
        <w:t>投标人代表对开标过程和开标记录有疑义，以及认为采购人、</w:t>
      </w:r>
      <w:r>
        <w:rPr>
          <w:rFonts w:hint="eastAsia" w:ascii="宋体" w:hAnsi="宋体" w:eastAsia="宋体" w:cs="Times New Roman"/>
          <w:color w:val="000000" w:themeColor="text1"/>
          <w:sz w:val="24"/>
          <w:szCs w:val="20"/>
          <w:lang w:val="zh-CN"/>
        </w:rPr>
        <w:t>采购人（或代理公司）</w:t>
      </w:r>
      <w:r>
        <w:rPr>
          <w:rFonts w:ascii="宋体" w:hAnsi="宋体" w:eastAsia="宋体" w:cs="Times New Roman"/>
          <w:color w:val="000000" w:themeColor="text1"/>
          <w:sz w:val="24"/>
          <w:szCs w:val="20"/>
          <w:lang w:val="zh-CN"/>
        </w:rPr>
        <w:t>相关工作人员有需要回避的情形的，应当场提出询问或者回避申请。采购人、</w:t>
      </w:r>
      <w:r>
        <w:rPr>
          <w:rFonts w:hint="eastAsia" w:ascii="宋体" w:hAnsi="宋体" w:eastAsia="宋体" w:cs="Times New Roman"/>
          <w:color w:val="000000" w:themeColor="text1"/>
          <w:sz w:val="24"/>
          <w:szCs w:val="20"/>
          <w:lang w:val="zh-CN"/>
        </w:rPr>
        <w:t>代理公司将</w:t>
      </w:r>
      <w:r>
        <w:rPr>
          <w:rFonts w:ascii="宋体" w:hAnsi="宋体" w:eastAsia="宋体" w:cs="Times New Roman"/>
          <w:color w:val="000000" w:themeColor="text1"/>
          <w:sz w:val="24"/>
          <w:szCs w:val="20"/>
          <w:lang w:val="zh-CN"/>
        </w:rPr>
        <w:t>及时处理投标人代表提出的询问或者回避申请。</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资格审查</w:t>
      </w:r>
    </w:p>
    <w:p>
      <w:pPr>
        <w:spacing w:line="360" w:lineRule="auto"/>
        <w:ind w:left="480" w:hanging="480" w:hangingChars="200"/>
        <w:rPr>
          <w:rFonts w:ascii="Helvetica" w:hAnsi="Helvetica" w:eastAsia="宋体" w:cs="Helvetica"/>
          <w:color w:val="000000" w:themeColor="text1"/>
          <w:kern w:val="0"/>
          <w:sz w:val="24"/>
          <w:szCs w:val="24"/>
          <w:lang w:val="zh-CN"/>
        </w:rPr>
      </w:pPr>
      <w:r>
        <w:rPr>
          <w:rFonts w:hint="eastAsia" w:ascii="宋体" w:hAnsi="宋体" w:eastAsia="宋体" w:cs="Times New Roman"/>
          <w:bCs/>
          <w:color w:val="000000" w:themeColor="text1"/>
          <w:sz w:val="24"/>
          <w:szCs w:val="20"/>
        </w:rPr>
        <w:t>23.1</w:t>
      </w:r>
      <w:r>
        <w:rPr>
          <w:rFonts w:hint="eastAsia" w:ascii="宋体" w:hAnsi="宋体" w:eastAsia="宋体" w:cs="Times New Roman"/>
          <w:bCs/>
          <w:color w:val="000000" w:themeColor="text1"/>
          <w:sz w:val="24"/>
          <w:szCs w:val="20"/>
          <w:lang w:val="zh-CN"/>
        </w:rPr>
        <w:t>公开招标采购项目开标结束后，</w:t>
      </w:r>
      <w:r>
        <w:rPr>
          <w:rFonts w:hint="eastAsia" w:asciiTheme="majorEastAsia" w:hAnsiTheme="majorEastAsia" w:eastAsiaTheme="majorEastAsia" w:cstheme="majorEastAsia"/>
          <w:color w:val="000000" w:themeColor="text1"/>
          <w:kern w:val="0"/>
          <w:sz w:val="24"/>
          <w:szCs w:val="24"/>
          <w:lang w:val="zh-CN"/>
        </w:rPr>
        <w:t>采购人和代理公司</w:t>
      </w:r>
      <w:r>
        <w:rPr>
          <w:rFonts w:hint="eastAsia" w:ascii="宋体" w:hAnsi="宋体" w:eastAsia="宋体" w:cs="Times New Roman"/>
          <w:bCs/>
          <w:color w:val="000000" w:themeColor="text1"/>
          <w:sz w:val="24"/>
          <w:szCs w:val="20"/>
          <w:lang w:val="zh-CN"/>
        </w:rPr>
        <w:t>依据法律、法规及招标文件的规定，对投标人的资格进行审查，以确定投标人资格是否合格。</w:t>
      </w:r>
      <w:r>
        <w:rPr>
          <w:rFonts w:ascii="Helvetica" w:hAnsi="Helvetica" w:eastAsia="宋体" w:cs="Helvetica"/>
          <w:color w:val="000000" w:themeColor="text1"/>
          <w:kern w:val="0"/>
          <w:sz w:val="24"/>
          <w:szCs w:val="24"/>
          <w:lang w:val="zh-CN"/>
        </w:rPr>
        <w:t>合格投标人不足</w:t>
      </w:r>
      <w:r>
        <w:rPr>
          <w:rFonts w:ascii="宋体" w:hAnsi="宋体" w:eastAsia="宋体" w:cs="Helvetica"/>
          <w:color w:val="000000" w:themeColor="text1"/>
          <w:kern w:val="0"/>
          <w:sz w:val="24"/>
          <w:szCs w:val="24"/>
          <w:lang w:val="zh-CN"/>
        </w:rPr>
        <w:t>3</w:t>
      </w:r>
      <w:r>
        <w:rPr>
          <w:rFonts w:ascii="Helvetica" w:hAnsi="Helvetica" w:eastAsia="宋体" w:cs="Helvetica"/>
          <w:color w:val="000000" w:themeColor="text1"/>
          <w:kern w:val="0"/>
          <w:sz w:val="24"/>
          <w:szCs w:val="24"/>
          <w:lang w:val="zh-CN"/>
        </w:rPr>
        <w:t>家的，不</w:t>
      </w:r>
      <w:r>
        <w:rPr>
          <w:rFonts w:hint="eastAsia" w:ascii="Helvetica" w:hAnsi="Helvetica" w:eastAsia="宋体" w:cs="Helvetica"/>
          <w:color w:val="000000" w:themeColor="text1"/>
          <w:kern w:val="0"/>
          <w:sz w:val="24"/>
          <w:szCs w:val="24"/>
          <w:lang w:val="zh-CN"/>
        </w:rPr>
        <w:t>进行</w:t>
      </w:r>
      <w:r>
        <w:rPr>
          <w:rFonts w:ascii="Helvetica" w:hAnsi="Helvetica" w:eastAsia="宋体" w:cs="Helvetica"/>
          <w:color w:val="000000" w:themeColor="text1"/>
          <w:kern w:val="0"/>
          <w:sz w:val="24"/>
          <w:szCs w:val="24"/>
          <w:lang w:val="zh-CN"/>
        </w:rPr>
        <w:t>评标</w:t>
      </w:r>
      <w:r>
        <w:rPr>
          <w:rFonts w:hint="eastAsia" w:ascii="Helvetica" w:hAnsi="Helvetica" w:eastAsia="宋体" w:cs="Helvetica"/>
          <w:color w:val="000000" w:themeColor="text1"/>
          <w:kern w:val="0"/>
          <w:sz w:val="24"/>
          <w:szCs w:val="24"/>
          <w:lang w:val="zh-CN"/>
        </w:rPr>
        <w:t>。</w:t>
      </w:r>
    </w:p>
    <w:p>
      <w:pPr>
        <w:spacing w:line="360" w:lineRule="auto"/>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rPr>
        <w:t>23.2</w:t>
      </w:r>
      <w:r>
        <w:rPr>
          <w:rFonts w:hint="eastAsia" w:ascii="宋体" w:hAnsi="宋体" w:eastAsia="宋体" w:cs="Times New Roman"/>
          <w:bCs/>
          <w:color w:val="000000" w:themeColor="text1"/>
          <w:sz w:val="24"/>
          <w:szCs w:val="20"/>
          <w:lang w:val="zh-CN"/>
        </w:rPr>
        <w:t>资格审查详见第四章“资格审查方法及标准”。</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评标方法</w:t>
      </w:r>
    </w:p>
    <w:p>
      <w:pPr>
        <w:spacing w:line="360" w:lineRule="auto"/>
        <w:ind w:left="480" w:hanging="480" w:hangingChars="20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rPr>
        <w:t>24.1</w:t>
      </w:r>
      <w:r>
        <w:rPr>
          <w:rFonts w:hint="eastAsia" w:ascii="宋体" w:hAnsi="宋体" w:eastAsia="宋体" w:cs="Times New Roman"/>
          <w:bCs/>
          <w:color w:val="000000" w:themeColor="text1"/>
          <w:sz w:val="24"/>
          <w:szCs w:val="20"/>
          <w:lang w:val="zh-CN"/>
        </w:rPr>
        <w:t>最低评标价法。最低评标价法是指投标文件满足招标文件全部实质性要求，且投标报价最低的投标人为中标候选人的评标方法。</w:t>
      </w:r>
    </w:p>
    <w:p>
      <w:pPr>
        <w:spacing w:line="360" w:lineRule="auto"/>
        <w:ind w:left="480" w:hanging="480" w:hangingChars="20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rPr>
        <w:t>24.2</w:t>
      </w:r>
      <w:r>
        <w:rPr>
          <w:rFonts w:hint="eastAsia" w:ascii="宋体" w:hAnsi="宋体" w:eastAsia="宋体" w:cs="Times New Roman"/>
          <w:bCs/>
          <w:color w:val="000000" w:themeColor="text1"/>
          <w:sz w:val="24"/>
          <w:szCs w:val="20"/>
          <w:lang w:val="zh-CN"/>
        </w:rPr>
        <w:t>综合评分法。</w:t>
      </w:r>
      <w:r>
        <w:rPr>
          <w:rFonts w:ascii="宋体" w:hAnsi="宋体" w:eastAsia="宋体" w:cs="Times New Roman"/>
          <w:bCs/>
          <w:color w:val="000000" w:themeColor="text1"/>
          <w:sz w:val="24"/>
          <w:szCs w:val="20"/>
          <w:lang w:val="zh-CN"/>
        </w:rPr>
        <w:t>综合评分法是指投标文件满足招标文件全部实质性要求，且按照评审因素的量化指标评审得分最高的投标人为中标候选人的评标方法。</w:t>
      </w:r>
    </w:p>
    <w:p>
      <w:pPr>
        <w:spacing w:line="360" w:lineRule="auto"/>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rPr>
        <w:t>24.3</w:t>
      </w:r>
      <w:r>
        <w:rPr>
          <w:rFonts w:hint="eastAsia" w:ascii="Helvetica" w:hAnsi="Helvetica" w:eastAsia="宋体" w:cs="Helvetica"/>
          <w:color w:val="000000" w:themeColor="text1"/>
          <w:kern w:val="0"/>
          <w:sz w:val="24"/>
          <w:szCs w:val="24"/>
          <w:lang w:val="zh-CN"/>
        </w:rPr>
        <w:t>评标方法详见第五章“评标方法、程序及标准”</w:t>
      </w:r>
      <w:r>
        <w:rPr>
          <w:rFonts w:hint="eastAsia" w:ascii="宋体" w:hAnsi="宋体" w:eastAsia="宋体" w:cs="Times New Roman"/>
          <w:bCs/>
          <w:color w:val="000000" w:themeColor="text1"/>
          <w:sz w:val="24"/>
          <w:szCs w:val="20"/>
          <w:lang w:val="zh-CN"/>
        </w:rPr>
        <w:t>。</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评标委员会的组成</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Helvetica"/>
          <w:color w:val="000000" w:themeColor="text1"/>
          <w:kern w:val="0"/>
          <w:sz w:val="24"/>
          <w:szCs w:val="24"/>
        </w:rPr>
        <w:t>25.1</w:t>
      </w:r>
      <w:r>
        <w:rPr>
          <w:rFonts w:ascii="宋体" w:hAnsi="宋体" w:eastAsia="宋体" w:cs="Helvetica"/>
          <w:color w:val="000000" w:themeColor="text1"/>
          <w:kern w:val="0"/>
          <w:sz w:val="24"/>
          <w:szCs w:val="24"/>
          <w:lang w:val="zh-CN"/>
        </w:rPr>
        <w:t>评标委员会由评审专家组成，成员人数应当为5人</w:t>
      </w:r>
      <w:r>
        <w:rPr>
          <w:rFonts w:hint="eastAsia" w:ascii="宋体" w:hAnsi="宋体" w:eastAsia="宋体" w:cs="Helvetica"/>
          <w:color w:val="000000" w:themeColor="text1"/>
          <w:kern w:val="0"/>
          <w:sz w:val="24"/>
          <w:szCs w:val="24"/>
          <w:lang w:val="zh-CN"/>
        </w:rPr>
        <w:t>及</w:t>
      </w:r>
      <w:r>
        <w:rPr>
          <w:rFonts w:ascii="宋体" w:hAnsi="宋体" w:eastAsia="宋体" w:cs="Helvetica"/>
          <w:color w:val="000000" w:themeColor="text1"/>
          <w:kern w:val="0"/>
          <w:sz w:val="24"/>
          <w:szCs w:val="24"/>
          <w:lang w:val="zh-CN"/>
        </w:rPr>
        <w:t>以上单数，其中评审专家不得少于成员总数的三分之二</w:t>
      </w:r>
      <w:r>
        <w:rPr>
          <w:rFonts w:hint="eastAsia" w:ascii="宋体" w:hAnsi="宋体" w:eastAsia="宋体" w:cs="Helvetica"/>
          <w:color w:val="000000" w:themeColor="text1"/>
          <w:kern w:val="0"/>
          <w:sz w:val="24"/>
          <w:szCs w:val="24"/>
          <w:lang w:val="zh-CN"/>
        </w:rPr>
        <w:t>；</w:t>
      </w:r>
      <w:r>
        <w:rPr>
          <w:rFonts w:ascii="宋体" w:hAnsi="宋体" w:eastAsia="宋体" w:cs="Times New Roman"/>
          <w:color w:val="000000" w:themeColor="text1"/>
          <w:sz w:val="24"/>
          <w:szCs w:val="20"/>
          <w:lang w:val="zh-CN"/>
        </w:rPr>
        <w:t>采购预算金额在1000万元</w:t>
      </w:r>
      <w:r>
        <w:rPr>
          <w:rFonts w:hint="eastAsia" w:ascii="宋体" w:hAnsi="宋体" w:eastAsia="宋体" w:cs="Times New Roman"/>
          <w:color w:val="000000" w:themeColor="text1"/>
          <w:sz w:val="24"/>
          <w:szCs w:val="20"/>
          <w:lang w:val="zh-CN"/>
        </w:rPr>
        <w:t>及</w:t>
      </w:r>
      <w:r>
        <w:rPr>
          <w:rFonts w:ascii="宋体" w:hAnsi="宋体" w:eastAsia="宋体" w:cs="Times New Roman"/>
          <w:color w:val="000000" w:themeColor="text1"/>
          <w:sz w:val="24"/>
          <w:szCs w:val="20"/>
          <w:lang w:val="zh-CN"/>
        </w:rPr>
        <w:t>以上</w:t>
      </w:r>
      <w:r>
        <w:rPr>
          <w:rFonts w:hint="eastAsia" w:ascii="宋体" w:hAnsi="宋体" w:eastAsia="宋体" w:cs="Times New Roman"/>
          <w:color w:val="000000" w:themeColor="text1"/>
          <w:sz w:val="24"/>
          <w:szCs w:val="20"/>
          <w:lang w:val="zh-CN"/>
        </w:rPr>
        <w:t>、</w:t>
      </w:r>
      <w:r>
        <w:rPr>
          <w:rFonts w:ascii="宋体" w:hAnsi="宋体" w:eastAsia="宋体" w:cs="Times New Roman"/>
          <w:color w:val="000000" w:themeColor="text1"/>
          <w:sz w:val="24"/>
          <w:szCs w:val="20"/>
          <w:lang w:val="zh-CN"/>
        </w:rPr>
        <w:t>技术复杂</w:t>
      </w:r>
      <w:r>
        <w:rPr>
          <w:rFonts w:hint="eastAsia" w:ascii="宋体" w:hAnsi="宋体" w:eastAsia="宋体" w:cs="Times New Roman"/>
          <w:color w:val="000000" w:themeColor="text1"/>
          <w:sz w:val="24"/>
          <w:szCs w:val="20"/>
          <w:lang w:val="zh-CN"/>
        </w:rPr>
        <w:t>或</w:t>
      </w:r>
      <w:r>
        <w:rPr>
          <w:rFonts w:ascii="宋体" w:hAnsi="宋体" w:eastAsia="宋体" w:cs="Times New Roman"/>
          <w:color w:val="000000" w:themeColor="text1"/>
          <w:sz w:val="24"/>
          <w:szCs w:val="20"/>
          <w:lang w:val="zh-CN"/>
        </w:rPr>
        <w:t>社会影响较大</w:t>
      </w:r>
      <w:r>
        <w:rPr>
          <w:rFonts w:hint="eastAsia" w:ascii="宋体" w:hAnsi="宋体" w:eastAsia="宋体" w:cs="Times New Roman"/>
          <w:color w:val="000000" w:themeColor="text1"/>
          <w:sz w:val="24"/>
          <w:szCs w:val="20"/>
          <w:lang w:val="zh-CN"/>
        </w:rPr>
        <w:t>的项目，</w:t>
      </w:r>
      <w:r>
        <w:rPr>
          <w:rFonts w:ascii="宋体" w:hAnsi="宋体" w:eastAsia="宋体" w:cs="Times New Roman"/>
          <w:color w:val="000000" w:themeColor="text1"/>
          <w:sz w:val="24"/>
          <w:szCs w:val="20"/>
          <w:lang w:val="zh-CN"/>
        </w:rPr>
        <w:t>评标委员会成员人数应当为7人</w:t>
      </w:r>
      <w:r>
        <w:rPr>
          <w:rFonts w:hint="eastAsia" w:ascii="宋体" w:hAnsi="宋体" w:eastAsia="宋体" w:cs="Times New Roman"/>
          <w:color w:val="000000" w:themeColor="text1"/>
          <w:sz w:val="24"/>
          <w:szCs w:val="20"/>
          <w:lang w:val="zh-CN"/>
        </w:rPr>
        <w:t>及</w:t>
      </w:r>
      <w:r>
        <w:rPr>
          <w:rFonts w:ascii="宋体" w:hAnsi="宋体" w:eastAsia="宋体" w:cs="Times New Roman"/>
          <w:color w:val="000000" w:themeColor="text1"/>
          <w:sz w:val="24"/>
          <w:szCs w:val="20"/>
          <w:lang w:val="zh-CN"/>
        </w:rPr>
        <w:t>以上单数</w:t>
      </w:r>
      <w:r>
        <w:rPr>
          <w:rFonts w:hint="eastAsia" w:ascii="宋体" w:hAnsi="宋体" w:eastAsia="宋体" w:cs="Times New Roman"/>
          <w:color w:val="000000" w:themeColor="text1"/>
          <w:sz w:val="24"/>
          <w:szCs w:val="20"/>
          <w:lang w:val="zh-CN"/>
        </w:rPr>
        <w:t>。</w:t>
      </w:r>
    </w:p>
    <w:p>
      <w:pPr>
        <w:spacing w:line="360" w:lineRule="auto"/>
        <w:ind w:left="482" w:hanging="480" w:hangingChars="20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rPr>
        <w:t>25.2</w:t>
      </w:r>
      <w:r>
        <w:rPr>
          <w:rFonts w:hint="eastAsia" w:ascii="宋体" w:hAnsi="宋体" w:eastAsia="宋体" w:cs="Times New Roman"/>
          <w:b/>
          <w:color w:val="000000" w:themeColor="text1"/>
          <w:sz w:val="24"/>
          <w:szCs w:val="20"/>
          <w:lang w:val="zh-CN"/>
        </w:rPr>
        <w:t>评标委员会成员依法从政府采购专家库中随机抽取。</w:t>
      </w:r>
      <w:r>
        <w:rPr>
          <w:rFonts w:ascii="宋体" w:hAnsi="宋体" w:eastAsia="宋体" w:cs="Times New Roman"/>
          <w:b/>
          <w:color w:val="000000" w:themeColor="text1"/>
          <w:sz w:val="24"/>
          <w:szCs w:val="20"/>
          <w:lang w:val="zh-CN"/>
        </w:rPr>
        <w:t>对技术复杂、专业性强的采购项目，通过随机方式难以确定合适评审专家的，经主管预算单位同意，采购人可以自行选定相应专业领域的评审专家。</w:t>
      </w:r>
    </w:p>
    <w:p>
      <w:pPr>
        <w:numPr>
          <w:ilvl w:val="0"/>
          <w:numId w:val="4"/>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b/>
          <w:color w:val="000000" w:themeColor="text1"/>
          <w:sz w:val="24"/>
          <w:szCs w:val="20"/>
          <w:lang w:val="zh-CN"/>
        </w:rPr>
        <w:t>评标程序</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26.1</w:t>
      </w:r>
      <w:r>
        <w:rPr>
          <w:rFonts w:ascii="Helvetica" w:hAnsi="Helvetica" w:eastAsia="宋体" w:cs="Helvetica"/>
          <w:color w:val="000000" w:themeColor="text1"/>
          <w:kern w:val="0"/>
          <w:sz w:val="24"/>
          <w:szCs w:val="24"/>
          <w:lang w:val="zh-CN"/>
        </w:rPr>
        <w:t>评标委员会负责具体评标事务，并独立履行下列职责：</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26.1.1</w:t>
      </w:r>
      <w:r>
        <w:rPr>
          <w:rFonts w:ascii="宋体" w:hAnsi="宋体" w:eastAsia="宋体" w:cs="Times New Roman"/>
          <w:color w:val="000000" w:themeColor="text1"/>
          <w:sz w:val="24"/>
          <w:szCs w:val="20"/>
          <w:lang w:val="zh-CN"/>
        </w:rPr>
        <w:t>审查、评价投标文件是否符合招标文件的商务、技术等实质性要求；</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26.1.2</w:t>
      </w:r>
      <w:r>
        <w:rPr>
          <w:rFonts w:ascii="宋体" w:hAnsi="宋体" w:eastAsia="宋体" w:cs="Times New Roman"/>
          <w:color w:val="000000" w:themeColor="text1"/>
          <w:sz w:val="24"/>
          <w:szCs w:val="20"/>
          <w:lang w:val="zh-CN"/>
        </w:rPr>
        <w:t>要求投标人对投标文件有关事项作出澄清或者说明；</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26.1.3</w:t>
      </w:r>
      <w:r>
        <w:rPr>
          <w:rFonts w:ascii="宋体" w:hAnsi="宋体" w:eastAsia="宋体" w:cs="Times New Roman"/>
          <w:color w:val="000000" w:themeColor="text1"/>
          <w:sz w:val="24"/>
          <w:szCs w:val="20"/>
          <w:lang w:val="zh-CN"/>
        </w:rPr>
        <w:t>对投标文件进行</w:t>
      </w:r>
      <w:r>
        <w:rPr>
          <w:rFonts w:hint="eastAsia" w:ascii="宋体" w:hAnsi="宋体" w:eastAsia="宋体" w:cs="Times New Roman"/>
          <w:color w:val="000000" w:themeColor="text1"/>
          <w:sz w:val="24"/>
          <w:szCs w:val="20"/>
          <w:lang w:val="zh-CN"/>
        </w:rPr>
        <w:t>综合</w:t>
      </w:r>
      <w:r>
        <w:rPr>
          <w:rFonts w:ascii="宋体" w:hAnsi="宋体" w:eastAsia="宋体" w:cs="Times New Roman"/>
          <w:color w:val="000000" w:themeColor="text1"/>
          <w:sz w:val="24"/>
          <w:szCs w:val="20"/>
          <w:lang w:val="zh-CN"/>
        </w:rPr>
        <w:t>比较和评价；</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26.1.4</w:t>
      </w:r>
      <w:r>
        <w:rPr>
          <w:rFonts w:hint="eastAsia" w:ascii="宋体" w:hAnsi="宋体" w:eastAsia="宋体" w:cs="Times New Roman"/>
          <w:color w:val="000000" w:themeColor="text1"/>
          <w:sz w:val="24"/>
          <w:szCs w:val="20"/>
          <w:lang w:val="zh-CN"/>
        </w:rPr>
        <w:t>确定中标候选人名单或中标人；</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26.1.5</w:t>
      </w:r>
      <w:r>
        <w:rPr>
          <w:rFonts w:ascii="宋体" w:hAnsi="宋体" w:eastAsia="宋体" w:cs="Times New Roman"/>
          <w:color w:val="000000" w:themeColor="text1"/>
          <w:sz w:val="24"/>
          <w:szCs w:val="20"/>
          <w:lang w:val="zh-CN"/>
        </w:rPr>
        <w:t>向采购人、</w:t>
      </w:r>
      <w:r>
        <w:rPr>
          <w:rFonts w:hint="eastAsia" w:ascii="宋体" w:hAnsi="宋体" w:eastAsia="宋体" w:cs="Times New Roman"/>
          <w:color w:val="000000" w:themeColor="text1"/>
          <w:sz w:val="24"/>
          <w:szCs w:val="20"/>
          <w:lang w:val="zh-CN"/>
        </w:rPr>
        <w:t>集中采购</w:t>
      </w:r>
      <w:r>
        <w:rPr>
          <w:rFonts w:ascii="宋体" w:hAnsi="宋体" w:eastAsia="宋体" w:cs="Times New Roman"/>
          <w:color w:val="000000" w:themeColor="text1"/>
          <w:sz w:val="24"/>
          <w:szCs w:val="20"/>
          <w:lang w:val="zh-CN"/>
        </w:rPr>
        <w:t>机构或者有关部门报告评标中发现的违法行为。</w:t>
      </w:r>
    </w:p>
    <w:p>
      <w:pPr>
        <w:spacing w:line="360" w:lineRule="auto"/>
        <w:rPr>
          <w:rFonts w:ascii="Helvetica" w:hAnsi="Helvetica" w:eastAsia="宋体" w:cs="Helvetica"/>
          <w:color w:val="000000" w:themeColor="text1"/>
          <w:kern w:val="0"/>
          <w:sz w:val="24"/>
          <w:szCs w:val="24"/>
          <w:lang w:val="zh-CN"/>
        </w:rPr>
      </w:pPr>
      <w:r>
        <w:rPr>
          <w:rFonts w:hint="eastAsia" w:ascii="宋体" w:hAnsi="宋体" w:eastAsia="宋体" w:cs="Times New Roman"/>
          <w:color w:val="000000" w:themeColor="text1"/>
          <w:sz w:val="24"/>
          <w:szCs w:val="20"/>
        </w:rPr>
        <w:t>26.2</w:t>
      </w:r>
      <w:r>
        <w:rPr>
          <w:rFonts w:hint="eastAsia" w:ascii="Helvetica" w:hAnsi="Helvetica" w:eastAsia="宋体" w:cs="Helvetica"/>
          <w:color w:val="000000" w:themeColor="text1"/>
          <w:kern w:val="0"/>
          <w:sz w:val="24"/>
          <w:szCs w:val="24"/>
          <w:lang w:val="zh-CN"/>
        </w:rPr>
        <w:t>评标程序详见第五章“评标方法、程序及标准”。</w:t>
      </w:r>
    </w:p>
    <w:p>
      <w:pPr>
        <w:pStyle w:val="4"/>
        <w:numPr>
          <w:ilvl w:val="0"/>
          <w:numId w:val="3"/>
        </w:numPr>
        <w:spacing w:before="0" w:after="0" w:line="360" w:lineRule="auto"/>
        <w:ind w:left="658" w:hanging="658"/>
        <w:jc w:val="left"/>
        <w:rPr>
          <w:rFonts w:cs="Times New Roman" w:asciiTheme="majorEastAsia" w:hAnsiTheme="majorEastAsia"/>
          <w:bCs w:val="0"/>
          <w:color w:val="000000" w:themeColor="text1"/>
          <w:lang w:val="zh-CN"/>
        </w:rPr>
      </w:pPr>
      <w:bookmarkStart w:id="19" w:name="_Toc495861524"/>
      <w:bookmarkStart w:id="20" w:name="_Toc494561943"/>
      <w:r>
        <w:rPr>
          <w:rFonts w:hint="eastAsia" w:cs="Times New Roman" w:asciiTheme="majorEastAsia" w:hAnsiTheme="majorEastAsia"/>
          <w:bCs w:val="0"/>
          <w:color w:val="000000" w:themeColor="text1"/>
          <w:lang w:val="zh-CN"/>
        </w:rPr>
        <w:t>投标人信用信息及查询</w:t>
      </w:r>
      <w:bookmarkEnd w:id="19"/>
      <w:bookmarkEnd w:id="20"/>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信用信息查询渠道及使用规则</w:t>
      </w:r>
    </w:p>
    <w:p>
      <w:pPr>
        <w:spacing w:line="360" w:lineRule="auto"/>
        <w:ind w:left="480" w:hanging="480" w:hangingChars="200"/>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rPr>
        <w:t>27.1</w:t>
      </w:r>
      <w:r>
        <w:rPr>
          <w:rFonts w:hint="eastAsia" w:cs="Helvetica" w:asciiTheme="minorEastAsia" w:hAnsiTheme="minorEastAsia"/>
          <w:color w:val="000000" w:themeColor="text1"/>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color w:val="000000" w:themeColor="text1"/>
          <w:kern w:val="0"/>
          <w:sz w:val="24"/>
          <w:szCs w:val="24"/>
          <w:lang w:val="zh-CN"/>
        </w:rPr>
        <w:t>www.ccgp.gov.cn</w:t>
      </w:r>
      <w:r>
        <w:rPr>
          <w:rFonts w:hint="eastAsia" w:cs="Helvetica" w:asciiTheme="minorEastAsia" w:hAnsiTheme="minorEastAsia"/>
          <w:color w:val="000000" w:themeColor="text1"/>
          <w:kern w:val="0"/>
          <w:sz w:val="24"/>
          <w:szCs w:val="24"/>
          <w:lang w:val="zh-CN"/>
        </w:rPr>
        <w:fldChar w:fldCharType="end"/>
      </w:r>
      <w:r>
        <w:rPr>
          <w:rFonts w:hint="eastAsia" w:cs="Helvetica" w:asciiTheme="minorEastAsia" w:hAnsiTheme="minorEastAsia"/>
          <w:color w:val="000000" w:themeColor="text1"/>
          <w:kern w:val="0"/>
          <w:sz w:val="24"/>
          <w:szCs w:val="24"/>
          <w:lang w:val="zh-CN"/>
        </w:rPr>
        <w:t>)。</w:t>
      </w:r>
    </w:p>
    <w:p>
      <w:pPr>
        <w:spacing w:line="360" w:lineRule="auto"/>
        <w:ind w:left="480" w:hanging="480" w:hangingChars="200"/>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rPr>
        <w:t>27.2</w:t>
      </w:r>
      <w:r>
        <w:rPr>
          <w:rFonts w:hint="eastAsia" w:cs="Helvetica" w:asciiTheme="minorEastAsia" w:hAnsiTheme="minorEastAsia"/>
          <w:color w:val="000000" w:themeColor="text1"/>
          <w:kern w:val="0"/>
          <w:sz w:val="24"/>
          <w:szCs w:val="24"/>
          <w:lang w:val="zh-CN"/>
        </w:rPr>
        <w:t>列入失信被执行人、重大税收违法案件当事人名单、</w:t>
      </w:r>
      <w:r>
        <w:rPr>
          <w:rFonts w:hint="eastAsia" w:ascii="宋体" w:hAnsi="宋体" w:eastAsia="宋体" w:cs="Times New Roman"/>
          <w:color w:val="000000" w:themeColor="text1"/>
          <w:sz w:val="24"/>
          <w:szCs w:val="24"/>
        </w:rPr>
        <w:t>“中国政府采购网”（www.ccgp.gov.cn）</w:t>
      </w:r>
      <w:r>
        <w:rPr>
          <w:rFonts w:hint="eastAsia" w:cs="Helvetica" w:asciiTheme="minorEastAsia" w:hAnsiTheme="minorEastAsia"/>
          <w:color w:val="000000" w:themeColor="text1"/>
          <w:kern w:val="0"/>
          <w:sz w:val="24"/>
          <w:szCs w:val="24"/>
          <w:lang w:val="zh-CN"/>
        </w:rPr>
        <w:t>政府采购严重违法失信行为记录名单的供应商，采购人、采购代理机构</w:t>
      </w:r>
      <w:r>
        <w:rPr>
          <w:rFonts w:hint="eastAsia" w:cs="Helvetica" w:asciiTheme="minorEastAsia" w:hAnsiTheme="minorEastAsia"/>
          <w:b/>
          <w:color w:val="000000" w:themeColor="text1"/>
          <w:kern w:val="0"/>
          <w:sz w:val="24"/>
          <w:szCs w:val="24"/>
          <w:lang w:val="zh-CN"/>
        </w:rPr>
        <w:t>拒绝</w:t>
      </w:r>
      <w:r>
        <w:rPr>
          <w:rFonts w:hint="eastAsia" w:cs="Helvetica" w:asciiTheme="minorEastAsia" w:hAnsiTheme="minorEastAsia"/>
          <w:color w:val="000000" w:themeColor="text1"/>
          <w:kern w:val="0"/>
          <w:sz w:val="24"/>
          <w:szCs w:val="24"/>
          <w:lang w:val="zh-CN"/>
        </w:rPr>
        <w:t>其参与政府采购活动。</w:t>
      </w:r>
    </w:p>
    <w:p>
      <w:pPr>
        <w:spacing w:line="360" w:lineRule="auto"/>
        <w:ind w:left="480" w:hanging="480" w:hangingChars="200"/>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rPr>
        <w:t>27.3</w:t>
      </w:r>
      <w:r>
        <w:rPr>
          <w:rFonts w:hint="eastAsia" w:cs="Helvetica" w:asciiTheme="minorEastAsia" w:hAnsiTheme="minorEastAsia"/>
          <w:color w:val="000000" w:themeColor="text1"/>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360" w:lineRule="auto"/>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rPr>
        <w:t>27.4</w:t>
      </w:r>
      <w:r>
        <w:rPr>
          <w:rFonts w:hint="eastAsia" w:cs="Helvetica" w:asciiTheme="minorEastAsia" w:hAnsiTheme="minorEastAsia"/>
          <w:color w:val="000000" w:themeColor="text1"/>
          <w:kern w:val="0"/>
          <w:sz w:val="24"/>
          <w:szCs w:val="24"/>
          <w:lang w:val="zh-CN"/>
        </w:rPr>
        <w:t>投标人的信用记录，最终以评标时的“信用中国”网站发布的信息为准。</w:t>
      </w:r>
    </w:p>
    <w:p>
      <w:pPr>
        <w:spacing w:line="360" w:lineRule="auto"/>
        <w:ind w:left="480" w:hanging="480" w:hangingChars="200"/>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rPr>
        <w:t>27.5</w:t>
      </w:r>
      <w:r>
        <w:rPr>
          <w:rFonts w:hint="eastAsia" w:cs="Helvetica" w:asciiTheme="minorEastAsia" w:hAnsiTheme="minorEastAsia"/>
          <w:color w:val="000000" w:themeColor="text1"/>
          <w:kern w:val="0"/>
          <w:sz w:val="24"/>
          <w:szCs w:val="24"/>
          <w:lang w:val="zh-CN"/>
        </w:rPr>
        <w:t>在资格审查与评标工作未同日进行的特殊情形下，</w:t>
      </w:r>
      <w:r>
        <w:rPr>
          <w:rFonts w:hint="eastAsia" w:asciiTheme="majorEastAsia" w:hAnsiTheme="majorEastAsia" w:eastAsiaTheme="majorEastAsia" w:cstheme="majorEastAsia"/>
          <w:color w:val="000000" w:themeColor="text1"/>
          <w:kern w:val="0"/>
          <w:sz w:val="24"/>
          <w:szCs w:val="24"/>
          <w:lang w:val="zh-CN"/>
        </w:rPr>
        <w:t>采购人（或代理公司）</w:t>
      </w:r>
      <w:r>
        <w:rPr>
          <w:rFonts w:hint="eastAsia" w:cs="Helvetica" w:asciiTheme="minorEastAsia" w:hAnsiTheme="minorEastAsia"/>
          <w:color w:val="000000" w:themeColor="text1"/>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000000" w:themeColor="text1"/>
          <w:kern w:val="0"/>
          <w:sz w:val="24"/>
          <w:szCs w:val="24"/>
          <w:lang w:val="zh-CN"/>
        </w:rPr>
        <w:t>无效投标处理</w:t>
      </w:r>
      <w:r>
        <w:rPr>
          <w:rFonts w:hint="eastAsia" w:cs="Helvetica" w:asciiTheme="minorEastAsia" w:hAnsiTheme="minorEastAsia"/>
          <w:color w:val="000000" w:themeColor="text1"/>
          <w:kern w:val="0"/>
          <w:sz w:val="24"/>
          <w:szCs w:val="24"/>
          <w:lang w:val="zh-CN"/>
        </w:rPr>
        <w:t>。</w:t>
      </w:r>
    </w:p>
    <w:p>
      <w:pPr>
        <w:pStyle w:val="4"/>
        <w:numPr>
          <w:ilvl w:val="0"/>
          <w:numId w:val="3"/>
        </w:numPr>
        <w:spacing w:before="0" w:after="0" w:line="360" w:lineRule="auto"/>
        <w:ind w:left="658" w:hanging="658"/>
        <w:jc w:val="left"/>
        <w:rPr>
          <w:rFonts w:cs="Times New Roman" w:asciiTheme="majorEastAsia" w:hAnsiTheme="majorEastAsia"/>
          <w:bCs w:val="0"/>
          <w:color w:val="000000" w:themeColor="text1"/>
          <w:lang w:val="zh-CN"/>
        </w:rPr>
      </w:pPr>
      <w:bookmarkStart w:id="21" w:name="_Toc495861525"/>
      <w:bookmarkStart w:id="22" w:name="_Toc494561944"/>
      <w:r>
        <w:rPr>
          <w:rFonts w:cs="Times New Roman" w:asciiTheme="majorEastAsia" w:hAnsiTheme="majorEastAsia"/>
          <w:bCs w:val="0"/>
          <w:color w:val="000000" w:themeColor="text1"/>
          <w:lang w:val="zh-CN"/>
        </w:rPr>
        <w:t>中标</w:t>
      </w:r>
      <w:r>
        <w:rPr>
          <w:rFonts w:hint="eastAsia" w:cs="Times New Roman" w:asciiTheme="majorEastAsia" w:hAnsiTheme="majorEastAsia"/>
          <w:bCs w:val="0"/>
          <w:color w:val="000000" w:themeColor="text1"/>
          <w:lang w:val="zh-CN"/>
        </w:rPr>
        <w:t>与</w:t>
      </w:r>
      <w:r>
        <w:rPr>
          <w:rFonts w:cs="Times New Roman" w:asciiTheme="majorEastAsia" w:hAnsiTheme="majorEastAsia"/>
          <w:bCs w:val="0"/>
          <w:color w:val="000000" w:themeColor="text1"/>
          <w:lang w:val="zh-CN"/>
        </w:rPr>
        <w:t>合同</w:t>
      </w:r>
      <w:bookmarkEnd w:id="21"/>
      <w:bookmarkEnd w:id="22"/>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确定中标人</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28.1</w:t>
      </w:r>
      <w:r>
        <w:rPr>
          <w:rFonts w:ascii="Helvetica" w:hAnsi="Helvetica" w:eastAsia="宋体" w:cs="Helvetica"/>
          <w:color w:val="000000" w:themeColor="text1"/>
          <w:kern w:val="0"/>
          <w:sz w:val="24"/>
          <w:szCs w:val="24"/>
          <w:lang w:val="zh-CN"/>
        </w:rPr>
        <w:t>采购人收到评标报告</w:t>
      </w:r>
      <w:r>
        <w:rPr>
          <w:rFonts w:ascii="宋体" w:hAnsi="宋体" w:eastAsia="宋体" w:cs="Helvetica"/>
          <w:color w:val="000000" w:themeColor="text1"/>
          <w:kern w:val="0"/>
          <w:sz w:val="24"/>
          <w:szCs w:val="24"/>
          <w:lang w:val="zh-CN"/>
        </w:rPr>
        <w:t>5个工作日内，</w:t>
      </w:r>
      <w:r>
        <w:rPr>
          <w:rFonts w:hint="eastAsia" w:ascii="宋体" w:hAnsi="宋体" w:eastAsia="宋体" w:cs="Helvetica"/>
          <w:color w:val="000000" w:themeColor="text1"/>
          <w:kern w:val="0"/>
          <w:sz w:val="24"/>
          <w:szCs w:val="24"/>
          <w:lang w:val="zh-CN"/>
        </w:rPr>
        <w:t>按</w:t>
      </w:r>
      <w:r>
        <w:rPr>
          <w:rFonts w:ascii="宋体" w:hAnsi="宋体" w:eastAsia="宋体" w:cs="Helvetica"/>
          <w:color w:val="000000" w:themeColor="text1"/>
          <w:kern w:val="0"/>
          <w:sz w:val="24"/>
          <w:szCs w:val="24"/>
          <w:lang w:val="zh-CN"/>
        </w:rPr>
        <w:t>评标报告推荐的中标候选人顺序确定中标人。</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28.2</w:t>
      </w:r>
      <w:r>
        <w:rPr>
          <w:rFonts w:ascii="Helvetica" w:hAnsi="Helvetica" w:eastAsia="宋体" w:cs="Helvetica"/>
          <w:color w:val="000000" w:themeColor="text1"/>
          <w:kern w:val="0"/>
          <w:sz w:val="24"/>
          <w:szCs w:val="24"/>
          <w:lang w:val="zh-CN"/>
        </w:rPr>
        <w:t>中标候选人并列的</w:t>
      </w:r>
      <w:r>
        <w:rPr>
          <w:rFonts w:hint="eastAsia" w:ascii="Helvetica" w:hAnsi="Helvetica" w:eastAsia="宋体" w:cs="Helvetica"/>
          <w:color w:val="000000" w:themeColor="text1"/>
          <w:kern w:val="0"/>
          <w:sz w:val="24"/>
          <w:szCs w:val="24"/>
          <w:lang w:val="zh-CN"/>
        </w:rPr>
        <w:t>：</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28.2.1</w:t>
      </w:r>
      <w:r>
        <w:rPr>
          <w:rFonts w:hint="eastAsia" w:ascii="宋体" w:hAnsi="宋体" w:eastAsia="宋体" w:cs="Times New Roman"/>
          <w:color w:val="000000" w:themeColor="text1"/>
          <w:sz w:val="24"/>
          <w:szCs w:val="20"/>
          <w:lang w:val="zh-CN"/>
        </w:rPr>
        <w:t>采用最低评标价法的，评标结果按投标报价由低到高顺序排列。投标报价相同的，按技术部分由高到低顺序排列。</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28.2.2</w:t>
      </w:r>
      <w:r>
        <w:rPr>
          <w:rFonts w:hint="eastAsia" w:ascii="宋体" w:hAnsi="宋体" w:eastAsia="宋体" w:cs="Times New Roman"/>
          <w:color w:val="000000" w:themeColor="text1"/>
          <w:sz w:val="24"/>
          <w:szCs w:val="20"/>
          <w:lang w:val="zh-CN"/>
        </w:rPr>
        <w:t>采用综合评分法的，评标结果按评审后得分由高到低顺序排列。得分相同的，按投标报价由低到高顺序排列。得分且投标报价相同的，按技术部分由高到低顺序排列。</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28.3</w:t>
      </w:r>
      <w:r>
        <w:rPr>
          <w:rFonts w:hint="eastAsia" w:ascii="宋体" w:hAnsi="宋体" w:eastAsia="宋体" w:cs="Times New Roman"/>
          <w:color w:val="000000" w:themeColor="text1"/>
          <w:sz w:val="24"/>
          <w:szCs w:val="20"/>
          <w:lang w:val="zh-CN"/>
        </w:rPr>
        <w:t>中标人的数量有其他规定的，按招标文件相关规定执行。</w:t>
      </w:r>
    </w:p>
    <w:p>
      <w:pPr>
        <w:spacing w:line="360" w:lineRule="auto"/>
        <w:ind w:left="480" w:hanging="480" w:hangingChars="200"/>
        <w:rPr>
          <w:rFonts w:ascii="宋体" w:hAnsi="宋体" w:eastAsia="宋体" w:cs="Times New Roman"/>
          <w:strike/>
          <w:color w:val="000000" w:themeColor="text1"/>
          <w:sz w:val="24"/>
          <w:szCs w:val="20"/>
          <w:lang w:val="zh-CN"/>
        </w:rPr>
      </w:pPr>
      <w:r>
        <w:rPr>
          <w:rFonts w:hint="eastAsia" w:ascii="宋体" w:hAnsi="宋体" w:eastAsia="宋体" w:cs="Times New Roman"/>
          <w:color w:val="000000" w:themeColor="text1"/>
          <w:sz w:val="24"/>
          <w:szCs w:val="20"/>
        </w:rPr>
        <w:t>28.4</w:t>
      </w:r>
      <w:r>
        <w:rPr>
          <w:rFonts w:hint="eastAsia" w:ascii="宋体" w:hAnsi="宋体" w:eastAsia="宋体" w:cs="Times New Roman"/>
          <w:color w:val="000000" w:themeColor="text1"/>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spacing w:line="360" w:lineRule="auto"/>
        <w:rPr>
          <w:rFonts w:ascii="宋体" w:hAnsi="宋体" w:eastAsia="宋体" w:cs="Times New Roman"/>
          <w:strike/>
          <w:color w:val="000000" w:themeColor="text1"/>
          <w:sz w:val="24"/>
          <w:szCs w:val="20"/>
          <w:lang w:val="zh-CN"/>
        </w:rPr>
      </w:pPr>
      <w:r>
        <w:rPr>
          <w:rFonts w:hint="eastAsia" w:asciiTheme="majorEastAsia" w:hAnsiTheme="majorEastAsia" w:eastAsiaTheme="majorEastAsia" w:cstheme="majorEastAsia"/>
          <w:color w:val="000000" w:themeColor="text1"/>
          <w:kern w:val="0"/>
          <w:sz w:val="24"/>
          <w:szCs w:val="24"/>
        </w:rPr>
        <w:t>28.5</w:t>
      </w:r>
      <w:r>
        <w:rPr>
          <w:rFonts w:ascii="Helvetica" w:hAnsi="Helvetica" w:eastAsia="宋体" w:cs="Helvetica"/>
          <w:color w:val="000000" w:themeColor="text1"/>
          <w:kern w:val="0"/>
          <w:sz w:val="24"/>
          <w:szCs w:val="24"/>
          <w:lang w:val="zh-CN"/>
        </w:rPr>
        <w:t>中标通知书发出后，采购人不得违法改变中标结果，中标人无正当理由不得放弃中标。</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28.6</w:t>
      </w:r>
      <w:r>
        <w:rPr>
          <w:rFonts w:hint="eastAsia" w:ascii="宋体" w:hAnsi="宋体" w:eastAsia="宋体" w:cs="Times New Roman"/>
          <w:color w:val="000000" w:themeColor="text1"/>
          <w:sz w:val="24"/>
          <w:szCs w:val="20"/>
          <w:lang w:val="zh-CN"/>
        </w:rPr>
        <w:t>中标人拒绝与采购人签订合同的，采购人可以按照评标报告推荐的中标候选人名单排序，确定下一候选人为中标人，也可以重新开展政府采购活动。</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合同授予</w:t>
      </w:r>
    </w:p>
    <w:p>
      <w:pPr>
        <w:spacing w:line="360" w:lineRule="auto"/>
        <w:ind w:firstLine="480" w:firstLine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除本章“确定中标人”规定及其他法律规定的情形外，采购人把合同授予被确定为实质上响应招标文件要求且排名第一的中标人。</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合同签订</w:t>
      </w:r>
    </w:p>
    <w:p>
      <w:pPr>
        <w:spacing w:line="360" w:lineRule="auto"/>
        <w:rPr>
          <w:rFonts w:ascii="宋体" w:hAnsi="宋体" w:eastAsia="宋体" w:cs="Times New Roman"/>
          <w:color w:val="000000" w:themeColor="text1"/>
          <w:sz w:val="24"/>
          <w:szCs w:val="20"/>
          <w:lang w:val="zh-CN"/>
        </w:rPr>
      </w:pPr>
      <w:bookmarkStart w:id="23" w:name="_Toc272247700"/>
      <w:bookmarkStart w:id="24" w:name="_Toc278891597"/>
      <w:r>
        <w:rPr>
          <w:rFonts w:hint="eastAsia" w:ascii="宋体" w:hAnsi="宋体" w:eastAsia="宋体" w:cs="Times New Roman"/>
          <w:color w:val="000000" w:themeColor="text1"/>
          <w:sz w:val="24"/>
          <w:szCs w:val="20"/>
        </w:rPr>
        <w:t>30.1</w:t>
      </w:r>
      <w:r>
        <w:rPr>
          <w:rFonts w:ascii="宋体" w:hAnsi="宋体" w:eastAsia="宋体" w:cs="Times New Roman"/>
          <w:color w:val="000000" w:themeColor="text1"/>
          <w:sz w:val="24"/>
          <w:szCs w:val="20"/>
          <w:lang w:val="zh-CN"/>
        </w:rPr>
        <w:t>采购人应当自中标通知书发出之日起30日内，按照招标文件</w:t>
      </w:r>
      <w:r>
        <w:rPr>
          <w:rFonts w:hint="eastAsia" w:ascii="宋体" w:hAnsi="宋体" w:eastAsia="宋体" w:cs="Times New Roman"/>
          <w:color w:val="000000" w:themeColor="text1"/>
          <w:sz w:val="24"/>
          <w:szCs w:val="20"/>
          <w:lang w:val="zh-CN"/>
        </w:rPr>
        <w:t>规定</w:t>
      </w:r>
      <w:r>
        <w:rPr>
          <w:rFonts w:ascii="宋体" w:hAnsi="宋体" w:eastAsia="宋体" w:cs="Times New Roman"/>
          <w:color w:val="000000" w:themeColor="text1"/>
          <w:sz w:val="24"/>
          <w:szCs w:val="20"/>
          <w:lang w:val="zh-CN"/>
        </w:rPr>
        <w:t>和中标人投标文件的</w:t>
      </w:r>
      <w:r>
        <w:rPr>
          <w:rFonts w:hint="eastAsia" w:ascii="宋体" w:hAnsi="宋体" w:eastAsia="宋体" w:cs="Times New Roman"/>
          <w:color w:val="000000" w:themeColor="text1"/>
          <w:sz w:val="24"/>
          <w:szCs w:val="20"/>
          <w:lang w:val="zh-CN"/>
        </w:rPr>
        <w:t>承诺</w:t>
      </w:r>
      <w:r>
        <w:rPr>
          <w:rFonts w:ascii="宋体" w:hAnsi="宋体" w:eastAsia="宋体" w:cs="Times New Roman"/>
          <w:color w:val="000000" w:themeColor="text1"/>
          <w:sz w:val="24"/>
          <w:szCs w:val="20"/>
          <w:lang w:val="zh-CN"/>
        </w:rPr>
        <w:t>，与中标人签订书面合同。所签订的合同不得对招标文件确定的事项和中标人投标文件作实质性修改。</w:t>
      </w:r>
    </w:p>
    <w:p>
      <w:pPr>
        <w:tabs>
          <w:tab w:val="left" w:pos="616"/>
        </w:tabs>
        <w:spacing w:line="360" w:lineRule="auto"/>
        <w:rPr>
          <w:rFonts w:asciiTheme="majorEastAsia" w:hAnsiTheme="majorEastAsia" w:eastAsiaTheme="majorEastAsia" w:cstheme="majorEastAsia"/>
          <w:color w:val="000000" w:themeColor="text1"/>
          <w:sz w:val="24"/>
          <w:szCs w:val="20"/>
          <w:lang w:val="zh-CN"/>
        </w:rPr>
      </w:pPr>
      <w:r>
        <w:rPr>
          <w:rFonts w:hint="eastAsia" w:asciiTheme="majorEastAsia" w:hAnsiTheme="majorEastAsia" w:eastAsiaTheme="majorEastAsia" w:cstheme="majorEastAsia"/>
          <w:color w:val="000000" w:themeColor="text1"/>
          <w:kern w:val="0"/>
          <w:sz w:val="24"/>
          <w:szCs w:val="24"/>
        </w:rPr>
        <w:t>30.2</w:t>
      </w:r>
      <w:r>
        <w:rPr>
          <w:rFonts w:hint="eastAsia" w:asciiTheme="majorEastAsia" w:hAnsiTheme="majorEastAsia" w:eastAsiaTheme="majorEastAsia" w:cstheme="majorEastAsia"/>
          <w:color w:val="000000" w:themeColor="text1"/>
          <w:kern w:val="0"/>
          <w:sz w:val="24"/>
          <w:szCs w:val="24"/>
          <w:lang w:val="zh-CN"/>
        </w:rPr>
        <w:t>采购人不得向中标人提出任何不合理的要求作为签订合同的条件。</w:t>
      </w:r>
    </w:p>
    <w:p>
      <w:pPr>
        <w:tabs>
          <w:tab w:val="left" w:pos="616"/>
        </w:tabs>
        <w:spacing w:line="360" w:lineRule="auto"/>
        <w:rPr>
          <w:rFonts w:asciiTheme="majorEastAsia" w:hAnsiTheme="majorEastAsia" w:eastAsiaTheme="majorEastAsia" w:cstheme="majorEastAsia"/>
          <w:color w:val="000000" w:themeColor="text1"/>
          <w:sz w:val="24"/>
          <w:szCs w:val="20"/>
          <w:lang w:val="zh-CN"/>
        </w:rPr>
      </w:pPr>
      <w:r>
        <w:rPr>
          <w:rFonts w:hint="eastAsia" w:asciiTheme="majorEastAsia" w:hAnsiTheme="majorEastAsia" w:eastAsiaTheme="majorEastAsia" w:cstheme="majorEastAsia"/>
          <w:color w:val="000000" w:themeColor="text1"/>
          <w:sz w:val="24"/>
          <w:szCs w:val="20"/>
        </w:rPr>
        <w:t>30.3</w:t>
      </w:r>
      <w:r>
        <w:rPr>
          <w:rFonts w:hint="eastAsia" w:asciiTheme="majorEastAsia" w:hAnsiTheme="majorEastAsia" w:eastAsiaTheme="majorEastAsia" w:cstheme="majorEastAsia"/>
          <w:color w:val="000000" w:themeColor="text1"/>
          <w:sz w:val="24"/>
          <w:szCs w:val="20"/>
          <w:lang w:val="zh-CN"/>
        </w:rPr>
        <w:t>政府采购合同应当包括采购人与中标人的名称和住所、标的、数量、质量、价款或者报酬、履行期限及地点和方式、验收要求、违约责任、解决争议的方法等内容。</w:t>
      </w:r>
    </w:p>
    <w:p>
      <w:pPr>
        <w:tabs>
          <w:tab w:val="left" w:pos="616"/>
        </w:tabs>
        <w:spacing w:line="360" w:lineRule="auto"/>
        <w:rPr>
          <w:rFonts w:asciiTheme="majorEastAsia" w:hAnsiTheme="majorEastAsia" w:eastAsiaTheme="majorEastAsia" w:cstheme="majorEastAsia"/>
          <w:color w:val="000000" w:themeColor="text1"/>
          <w:sz w:val="24"/>
          <w:szCs w:val="20"/>
          <w:lang w:val="zh-CN"/>
        </w:rPr>
      </w:pPr>
      <w:r>
        <w:rPr>
          <w:rFonts w:hint="eastAsia" w:asciiTheme="majorEastAsia" w:hAnsiTheme="majorEastAsia" w:eastAsiaTheme="majorEastAsia" w:cstheme="majorEastAsia"/>
          <w:color w:val="000000" w:themeColor="text1"/>
          <w:kern w:val="0"/>
          <w:sz w:val="24"/>
          <w:szCs w:val="24"/>
        </w:rPr>
        <w:t>30.4</w:t>
      </w:r>
      <w:r>
        <w:rPr>
          <w:rFonts w:hint="eastAsia" w:asciiTheme="majorEastAsia" w:hAnsiTheme="majorEastAsia" w:eastAsiaTheme="majorEastAsia" w:cstheme="majorEastAsia"/>
          <w:color w:val="000000" w:themeColor="text1"/>
          <w:kern w:val="0"/>
          <w:sz w:val="24"/>
          <w:szCs w:val="24"/>
          <w:lang w:val="zh-CN"/>
        </w:rPr>
        <w:t>采购人与中标人应当根据合同的约定依法履行合同义务。政府采购合同的履行、违约责任和解决争议的方法等适用《中华人民共和国合同法》。</w:t>
      </w:r>
    </w:p>
    <w:p>
      <w:pPr>
        <w:tabs>
          <w:tab w:val="left" w:pos="616"/>
        </w:tabs>
        <w:spacing w:line="360" w:lineRule="auto"/>
        <w:rPr>
          <w:rFonts w:asciiTheme="majorEastAsia" w:hAnsiTheme="majorEastAsia" w:eastAsiaTheme="majorEastAsia" w:cstheme="majorEastAsia"/>
          <w:color w:val="000000" w:themeColor="text1"/>
          <w:sz w:val="24"/>
          <w:szCs w:val="20"/>
          <w:lang w:val="zh-CN"/>
        </w:rPr>
      </w:pPr>
      <w:r>
        <w:rPr>
          <w:rFonts w:hint="eastAsia" w:asciiTheme="majorEastAsia" w:hAnsiTheme="majorEastAsia" w:eastAsiaTheme="majorEastAsia" w:cstheme="majorEastAsia"/>
          <w:color w:val="000000" w:themeColor="text1"/>
          <w:sz w:val="24"/>
          <w:szCs w:val="20"/>
        </w:rPr>
        <w:t>30.5采购人应当自政府采购合同签订之日起2个工作日内，将政府采购合同在省级以上人民政府财政部门指定的媒体上公告，但政府采购合同中涉及国家秘密、商业秘密的内容除外。</w:t>
      </w:r>
    </w:p>
    <w:p>
      <w:pPr>
        <w:tabs>
          <w:tab w:val="left" w:pos="616"/>
        </w:tabs>
        <w:spacing w:line="360" w:lineRule="auto"/>
        <w:rPr>
          <w:rFonts w:ascii="宋体" w:hAnsi="宋体" w:eastAsia="宋体" w:cs="Times New Roman"/>
          <w:color w:val="000000" w:themeColor="text1"/>
          <w:sz w:val="24"/>
          <w:szCs w:val="20"/>
          <w:lang w:val="zh-CN"/>
        </w:rPr>
      </w:pPr>
      <w:r>
        <w:rPr>
          <w:rFonts w:hint="eastAsia" w:asciiTheme="majorEastAsia" w:hAnsiTheme="majorEastAsia" w:eastAsiaTheme="majorEastAsia" w:cstheme="majorEastAsia"/>
          <w:color w:val="000000" w:themeColor="text1"/>
          <w:kern w:val="0"/>
          <w:sz w:val="24"/>
          <w:szCs w:val="24"/>
        </w:rPr>
        <w:t>30.6</w:t>
      </w:r>
      <w:r>
        <w:rPr>
          <w:rFonts w:hint="eastAsia" w:asciiTheme="majorEastAsia" w:hAnsiTheme="majorEastAsia" w:eastAsiaTheme="majorEastAsia" w:cstheme="majorEastAsia"/>
          <w:color w:val="000000" w:themeColor="text1"/>
          <w:kern w:val="0"/>
          <w:sz w:val="24"/>
          <w:szCs w:val="24"/>
          <w:lang w:val="zh-CN"/>
        </w:rPr>
        <w:t>采购人应当加强对中标人的履约管理，并按照采购合同约定，及时向中标人支付采购</w:t>
      </w:r>
      <w:r>
        <w:rPr>
          <w:rFonts w:ascii="Helvetica" w:hAnsi="Helvetica" w:eastAsia="宋体" w:cs="Helvetica"/>
          <w:color w:val="000000" w:themeColor="text1"/>
          <w:kern w:val="0"/>
          <w:sz w:val="24"/>
          <w:szCs w:val="24"/>
          <w:lang w:val="zh-CN"/>
        </w:rPr>
        <w:t>资金。对于中标人违反采购合同约定的行为，采购人应当及时处理，依法追究其违约责任。</w:t>
      </w:r>
    </w:p>
    <w:p>
      <w:pPr>
        <w:pStyle w:val="4"/>
        <w:numPr>
          <w:ilvl w:val="0"/>
          <w:numId w:val="3"/>
        </w:numPr>
        <w:spacing w:before="0" w:after="0" w:line="360" w:lineRule="auto"/>
        <w:ind w:left="658" w:hanging="658"/>
        <w:jc w:val="left"/>
        <w:rPr>
          <w:rFonts w:cs="Times New Roman" w:asciiTheme="majorEastAsia" w:hAnsiTheme="majorEastAsia"/>
          <w:bCs w:val="0"/>
          <w:color w:val="000000" w:themeColor="text1"/>
          <w:lang w:val="zh-CN"/>
        </w:rPr>
      </w:pPr>
      <w:bookmarkStart w:id="25" w:name="_Toc495861526"/>
      <w:bookmarkStart w:id="26" w:name="_Toc494561945"/>
      <w:r>
        <w:rPr>
          <w:rFonts w:hint="eastAsia" w:cs="Times New Roman" w:asciiTheme="majorEastAsia" w:hAnsiTheme="majorEastAsia"/>
          <w:bCs w:val="0"/>
          <w:color w:val="000000" w:themeColor="text1"/>
          <w:lang w:val="zh-CN"/>
        </w:rPr>
        <w:t>采购信息公告</w:t>
      </w:r>
      <w:bookmarkEnd w:id="25"/>
      <w:bookmarkEnd w:id="26"/>
    </w:p>
    <w:p>
      <w:pPr>
        <w:numPr>
          <w:ilvl w:val="0"/>
          <w:numId w:val="4"/>
        </w:numPr>
        <w:spacing w:line="360" w:lineRule="auto"/>
        <w:ind w:left="560" w:hanging="560"/>
        <w:rPr>
          <w:rFonts w:ascii="宋体" w:hAnsi="宋体" w:eastAsia="宋体" w:cs="Helvetica"/>
          <w:b/>
          <w:color w:val="000000" w:themeColor="text1"/>
          <w:kern w:val="0"/>
          <w:sz w:val="24"/>
          <w:szCs w:val="24"/>
          <w:lang w:val="zh-CN"/>
        </w:rPr>
      </w:pPr>
      <w:r>
        <w:rPr>
          <w:rFonts w:hint="eastAsia" w:ascii="宋体" w:hAnsi="宋体" w:eastAsia="宋体" w:cs="Helvetica"/>
          <w:b/>
          <w:color w:val="000000" w:themeColor="text1"/>
          <w:kern w:val="0"/>
          <w:sz w:val="24"/>
          <w:szCs w:val="24"/>
          <w:lang w:val="zh-CN"/>
        </w:rPr>
        <w:t>公告的媒体及规定</w:t>
      </w:r>
    </w:p>
    <w:p>
      <w:pPr>
        <w:tabs>
          <w:tab w:val="left" w:pos="616"/>
        </w:tabs>
        <w:spacing w:line="360" w:lineRule="auto"/>
        <w:ind w:left="480" w:hanging="480" w:hangingChars="200"/>
        <w:rPr>
          <w:rFonts w:cs="Helvetica" w:asciiTheme="minorEastAsia" w:hAnsiTheme="minorEastAsia"/>
          <w:color w:val="000000" w:themeColor="text1"/>
          <w:kern w:val="0"/>
          <w:sz w:val="24"/>
          <w:szCs w:val="24"/>
          <w:lang w:val="zh-CN"/>
        </w:rPr>
      </w:pPr>
      <w:r>
        <w:rPr>
          <w:rFonts w:hint="eastAsia" w:ascii="宋体" w:hAnsi="宋体" w:eastAsia="宋体" w:cs="Times New Roman"/>
          <w:color w:val="000000" w:themeColor="text1"/>
          <w:sz w:val="24"/>
          <w:szCs w:val="20"/>
        </w:rPr>
        <w:t>31.1</w:t>
      </w:r>
      <w:r>
        <w:rPr>
          <w:rFonts w:hint="eastAsia" w:ascii="宋体" w:hAnsi="宋体" w:eastAsia="宋体" w:cs="Times New Roman"/>
          <w:color w:val="000000" w:themeColor="text1"/>
          <w:sz w:val="24"/>
          <w:szCs w:val="20"/>
          <w:lang w:val="zh-CN"/>
        </w:rPr>
        <w:t>采购代理机构</w:t>
      </w:r>
      <w:r>
        <w:rPr>
          <w:rFonts w:hint="eastAsia" w:cs="Helvetica" w:asciiTheme="minorEastAsia" w:hAnsiTheme="minorEastAsia"/>
          <w:color w:val="000000" w:themeColor="text1"/>
          <w:kern w:val="0"/>
          <w:sz w:val="24"/>
          <w:szCs w:val="24"/>
          <w:lang w:val="zh-CN"/>
        </w:rPr>
        <w:t>在招标活动中的公告、补充、更正、结果等采购信息均依法在政府采购监管部门指定媒体上（中国湖北政府采购网http://www.ccgp-hubei.gov.cn/）发布。</w:t>
      </w:r>
    </w:p>
    <w:p>
      <w:pPr>
        <w:tabs>
          <w:tab w:val="left" w:pos="616"/>
        </w:tabs>
        <w:spacing w:line="360" w:lineRule="auto"/>
        <w:ind w:left="480" w:hanging="480" w:hangingChars="200"/>
        <w:rPr>
          <w:rFonts w:cs="Helvetica" w:asciiTheme="minorEastAsia" w:hAnsiTheme="minorEastAsia"/>
          <w:b/>
          <w:color w:val="000000" w:themeColor="text1"/>
          <w:kern w:val="0"/>
          <w:sz w:val="24"/>
          <w:szCs w:val="24"/>
          <w:lang w:val="zh-CN"/>
        </w:rPr>
      </w:pPr>
      <w:r>
        <w:rPr>
          <w:rFonts w:hint="eastAsia" w:ascii="宋体" w:hAnsi="宋体" w:eastAsia="宋体" w:cs="Times New Roman"/>
          <w:color w:val="000000" w:themeColor="text1"/>
          <w:sz w:val="24"/>
          <w:szCs w:val="20"/>
        </w:rPr>
        <w:t>31.2</w:t>
      </w:r>
      <w:r>
        <w:rPr>
          <w:rFonts w:hint="eastAsia" w:ascii="宋体" w:hAnsi="宋体" w:eastAsia="宋体" w:cs="Times New Roman"/>
          <w:color w:val="000000" w:themeColor="text1"/>
          <w:sz w:val="24"/>
          <w:szCs w:val="20"/>
          <w:lang w:val="zh-CN"/>
        </w:rPr>
        <w:t>采购代理机构</w:t>
      </w:r>
      <w:r>
        <w:rPr>
          <w:rFonts w:hint="eastAsia" w:cs="Helvetica" w:asciiTheme="minorEastAsia" w:hAnsiTheme="minorEastAsia"/>
          <w:color w:val="000000" w:themeColor="text1"/>
          <w:kern w:val="0"/>
          <w:sz w:val="24"/>
          <w:szCs w:val="24"/>
          <w:lang w:val="zh-CN"/>
        </w:rPr>
        <w:t>在自</w:t>
      </w:r>
      <w:r>
        <w:rPr>
          <w:rFonts w:cs="Helvetica" w:asciiTheme="minorEastAsia" w:hAnsiTheme="minorEastAsia"/>
          <w:color w:val="000000" w:themeColor="text1"/>
          <w:kern w:val="0"/>
          <w:sz w:val="24"/>
          <w:szCs w:val="24"/>
          <w:lang w:val="zh-CN"/>
        </w:rPr>
        <w:t>中标人确定之日起2个工作日内，</w:t>
      </w:r>
      <w:r>
        <w:rPr>
          <w:rFonts w:hint="eastAsia" w:cs="Helvetica" w:asciiTheme="minorEastAsia" w:hAnsiTheme="minorEastAsia"/>
          <w:color w:val="000000" w:themeColor="text1"/>
          <w:kern w:val="0"/>
          <w:sz w:val="24"/>
          <w:szCs w:val="24"/>
          <w:lang w:val="zh-CN"/>
        </w:rPr>
        <w:t>在政府采购监管部门指定媒体上</w:t>
      </w:r>
      <w:r>
        <w:rPr>
          <w:rFonts w:cs="Helvetica" w:asciiTheme="minorEastAsia" w:hAnsiTheme="minorEastAsia"/>
          <w:color w:val="000000" w:themeColor="text1"/>
          <w:kern w:val="0"/>
          <w:sz w:val="24"/>
          <w:szCs w:val="24"/>
          <w:lang w:val="zh-CN"/>
        </w:rPr>
        <w:t>公告中标结果</w:t>
      </w:r>
      <w:r>
        <w:rPr>
          <w:rFonts w:hint="eastAsia" w:cs="Helvetica" w:asciiTheme="minorEastAsia" w:hAnsiTheme="minorEastAsia"/>
          <w:color w:val="000000" w:themeColor="text1"/>
          <w:kern w:val="0"/>
          <w:sz w:val="24"/>
          <w:szCs w:val="24"/>
          <w:lang w:val="zh-CN"/>
        </w:rPr>
        <w:t>，</w:t>
      </w:r>
      <w:r>
        <w:rPr>
          <w:rFonts w:hint="eastAsia" w:cs="Helvetica" w:asciiTheme="minorEastAsia" w:hAnsiTheme="minorEastAsia"/>
          <w:b/>
          <w:color w:val="000000" w:themeColor="text1"/>
          <w:kern w:val="0"/>
          <w:sz w:val="24"/>
          <w:szCs w:val="24"/>
          <w:lang w:val="zh-CN"/>
        </w:rPr>
        <w:t>中标公告的公示期为1个工作日。</w:t>
      </w:r>
    </w:p>
    <w:p>
      <w:pPr>
        <w:tabs>
          <w:tab w:val="left" w:pos="616"/>
        </w:tabs>
        <w:spacing w:line="360" w:lineRule="auto"/>
        <w:ind w:left="480" w:hanging="480" w:hangingChars="200"/>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rPr>
        <w:t>31.3</w:t>
      </w:r>
      <w:r>
        <w:rPr>
          <w:rFonts w:hint="eastAsia" w:cs="Helvetica" w:asciiTheme="minorEastAsia" w:hAnsiTheme="minorEastAsia"/>
          <w:color w:val="000000" w:themeColor="text1"/>
          <w:kern w:val="0"/>
          <w:sz w:val="24"/>
          <w:szCs w:val="24"/>
          <w:lang w:val="zh-CN"/>
        </w:rPr>
        <w:t>资格审查未通过的投标人可在结果公告质疑有效期内按公告中的联系方式获知</w:t>
      </w:r>
      <w:r>
        <w:rPr>
          <w:rFonts w:cs="Helvetica" w:asciiTheme="minorEastAsia" w:hAnsiTheme="minorEastAsia"/>
          <w:color w:val="000000" w:themeColor="text1"/>
          <w:kern w:val="0"/>
          <w:sz w:val="24"/>
          <w:szCs w:val="24"/>
          <w:lang w:val="zh-CN"/>
        </w:rPr>
        <w:t>本</w:t>
      </w:r>
      <w:r>
        <w:rPr>
          <w:rFonts w:hint="eastAsia" w:cs="Helvetica" w:asciiTheme="minorEastAsia" w:hAnsiTheme="minorEastAsia"/>
          <w:color w:val="000000" w:themeColor="text1"/>
          <w:kern w:val="0"/>
          <w:sz w:val="24"/>
          <w:szCs w:val="24"/>
          <w:lang w:val="zh-CN"/>
        </w:rPr>
        <w:t>单位</w:t>
      </w:r>
      <w:r>
        <w:rPr>
          <w:rFonts w:cs="Helvetica" w:asciiTheme="minorEastAsia" w:hAnsiTheme="minorEastAsia"/>
          <w:color w:val="000000" w:themeColor="text1"/>
          <w:kern w:val="0"/>
          <w:sz w:val="24"/>
          <w:szCs w:val="24"/>
          <w:lang w:val="zh-CN"/>
        </w:rPr>
        <w:t>的</w:t>
      </w:r>
      <w:r>
        <w:rPr>
          <w:rFonts w:hint="eastAsia" w:cs="Helvetica" w:asciiTheme="minorEastAsia" w:hAnsiTheme="minorEastAsia"/>
          <w:color w:val="000000" w:themeColor="text1"/>
          <w:kern w:val="0"/>
          <w:sz w:val="24"/>
          <w:szCs w:val="24"/>
          <w:lang w:val="zh-CN"/>
        </w:rPr>
        <w:t>资格审查情况</w:t>
      </w:r>
      <w:r>
        <w:rPr>
          <w:rFonts w:cs="Helvetica" w:asciiTheme="minorEastAsia" w:hAnsiTheme="minorEastAsia"/>
          <w:color w:val="000000" w:themeColor="text1"/>
          <w:kern w:val="0"/>
          <w:sz w:val="24"/>
          <w:szCs w:val="24"/>
          <w:lang w:val="zh-CN"/>
        </w:rPr>
        <w:t>。</w:t>
      </w:r>
    </w:p>
    <w:p>
      <w:pPr>
        <w:tabs>
          <w:tab w:val="left" w:pos="616"/>
        </w:tabs>
        <w:spacing w:line="360" w:lineRule="auto"/>
        <w:ind w:left="480" w:hanging="480" w:hangingChars="200"/>
        <w:rPr>
          <w:rFonts w:cs="Helvetica" w:asciiTheme="minorEastAsia" w:hAnsiTheme="minorEastAsia"/>
          <w:color w:val="000000" w:themeColor="text1"/>
          <w:kern w:val="0"/>
          <w:sz w:val="24"/>
          <w:szCs w:val="24"/>
          <w:lang w:val="zh-CN"/>
        </w:rPr>
      </w:pPr>
      <w:r>
        <w:rPr>
          <w:rFonts w:hint="eastAsia" w:cs="Helvetica" w:asciiTheme="minorEastAsia" w:hAnsiTheme="minorEastAsia"/>
          <w:color w:val="000000" w:themeColor="text1"/>
          <w:kern w:val="0"/>
          <w:sz w:val="24"/>
          <w:szCs w:val="24"/>
        </w:rPr>
        <w:t>31.4</w:t>
      </w:r>
      <w:r>
        <w:rPr>
          <w:rFonts w:cs="Helvetica" w:asciiTheme="minorEastAsia" w:hAnsiTheme="minorEastAsia"/>
          <w:color w:val="000000" w:themeColor="text1"/>
          <w:kern w:val="0"/>
          <w:sz w:val="24"/>
          <w:szCs w:val="24"/>
          <w:lang w:val="zh-CN"/>
        </w:rPr>
        <w:t>采用综合评分法评审的</w:t>
      </w:r>
      <w:r>
        <w:rPr>
          <w:rFonts w:hint="eastAsia" w:cs="Helvetica" w:asciiTheme="minorEastAsia" w:hAnsiTheme="minorEastAsia"/>
          <w:color w:val="000000" w:themeColor="text1"/>
          <w:kern w:val="0"/>
          <w:sz w:val="24"/>
          <w:szCs w:val="24"/>
          <w:lang w:val="zh-CN"/>
        </w:rPr>
        <w:t>项目</w:t>
      </w:r>
      <w:r>
        <w:rPr>
          <w:rFonts w:cs="Helvetica" w:asciiTheme="minorEastAsia" w:hAnsiTheme="minorEastAsia"/>
          <w:color w:val="000000" w:themeColor="text1"/>
          <w:kern w:val="0"/>
          <w:sz w:val="24"/>
          <w:szCs w:val="24"/>
          <w:lang w:val="zh-CN"/>
        </w:rPr>
        <w:t>，</w:t>
      </w:r>
      <w:r>
        <w:rPr>
          <w:rFonts w:hint="eastAsia" w:cs="Helvetica" w:asciiTheme="minorEastAsia" w:hAnsiTheme="minorEastAsia"/>
          <w:color w:val="000000" w:themeColor="text1"/>
          <w:kern w:val="0"/>
          <w:sz w:val="24"/>
          <w:szCs w:val="24"/>
          <w:lang w:val="zh-CN"/>
        </w:rPr>
        <w:t>未中标人可在结果公告质疑有效期内按公告中的联系方式获知</w:t>
      </w:r>
      <w:r>
        <w:rPr>
          <w:rFonts w:cs="Helvetica" w:asciiTheme="minorEastAsia" w:hAnsiTheme="minorEastAsia"/>
          <w:color w:val="000000" w:themeColor="text1"/>
          <w:kern w:val="0"/>
          <w:sz w:val="24"/>
          <w:szCs w:val="24"/>
          <w:lang w:val="zh-CN"/>
        </w:rPr>
        <w:t>本</w:t>
      </w:r>
      <w:r>
        <w:rPr>
          <w:rFonts w:hint="eastAsia" w:cs="Helvetica" w:asciiTheme="minorEastAsia" w:hAnsiTheme="minorEastAsia"/>
          <w:color w:val="000000" w:themeColor="text1"/>
          <w:kern w:val="0"/>
          <w:sz w:val="24"/>
          <w:szCs w:val="24"/>
          <w:lang w:val="zh-CN"/>
        </w:rPr>
        <w:t>单位</w:t>
      </w:r>
      <w:r>
        <w:rPr>
          <w:rFonts w:cs="Helvetica" w:asciiTheme="minorEastAsia" w:hAnsiTheme="minorEastAsia"/>
          <w:color w:val="000000" w:themeColor="text1"/>
          <w:kern w:val="0"/>
          <w:sz w:val="24"/>
          <w:szCs w:val="24"/>
          <w:lang w:val="zh-CN"/>
        </w:rPr>
        <w:t>的评审得分与排序。</w:t>
      </w:r>
    </w:p>
    <w:p>
      <w:pPr>
        <w:pStyle w:val="4"/>
        <w:numPr>
          <w:ilvl w:val="0"/>
          <w:numId w:val="3"/>
        </w:numPr>
        <w:spacing w:before="0" w:after="0" w:line="360" w:lineRule="auto"/>
        <w:ind w:left="658" w:hanging="658"/>
        <w:jc w:val="left"/>
        <w:rPr>
          <w:rFonts w:cs="Times New Roman" w:asciiTheme="majorEastAsia" w:hAnsiTheme="majorEastAsia"/>
          <w:bCs w:val="0"/>
          <w:color w:val="000000" w:themeColor="text1"/>
          <w:lang w:val="zh-CN"/>
        </w:rPr>
      </w:pPr>
      <w:bookmarkStart w:id="27" w:name="_Toc494561946"/>
      <w:bookmarkStart w:id="28" w:name="_Toc495861527"/>
      <w:r>
        <w:rPr>
          <w:rFonts w:hint="eastAsia" w:cs="Times New Roman" w:asciiTheme="majorEastAsia" w:hAnsiTheme="majorEastAsia"/>
          <w:bCs w:val="0"/>
          <w:color w:val="000000" w:themeColor="text1"/>
          <w:lang w:val="zh-CN"/>
        </w:rPr>
        <w:t>质疑</w:t>
      </w:r>
      <w:bookmarkEnd w:id="23"/>
      <w:bookmarkEnd w:id="24"/>
      <w:r>
        <w:rPr>
          <w:rFonts w:hint="eastAsia" w:cs="Times New Roman" w:asciiTheme="majorEastAsia" w:hAnsiTheme="majorEastAsia"/>
          <w:bCs w:val="0"/>
          <w:color w:val="000000" w:themeColor="text1"/>
          <w:lang w:val="zh-CN"/>
        </w:rPr>
        <w:t>及提交</w:t>
      </w:r>
      <w:bookmarkEnd w:id="27"/>
      <w:bookmarkEnd w:id="28"/>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质疑提交</w:t>
      </w:r>
    </w:p>
    <w:p>
      <w:pPr>
        <w:autoSpaceDE w:val="0"/>
        <w:autoSpaceDN w:val="0"/>
        <w:adjustRightInd w:val="0"/>
        <w:snapToGrid w:val="0"/>
        <w:spacing w:line="360" w:lineRule="auto"/>
        <w:ind w:left="420" w:right="32" w:firstLine="6"/>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color w:val="000000" w:themeColor="text1"/>
          <w:sz w:val="24"/>
          <w:szCs w:val="20"/>
          <w:lang w:val="zh-CN"/>
        </w:rPr>
        <w:t>向</w:t>
      </w:r>
      <w:r>
        <w:rPr>
          <w:rFonts w:hint="eastAsia" w:ascii="宋体" w:hAnsi="宋体" w:eastAsia="宋体" w:cs="Times New Roman"/>
          <w:color w:val="000000" w:themeColor="text1"/>
          <w:sz w:val="24"/>
          <w:szCs w:val="20"/>
          <w:lang w:val="zh-CN"/>
        </w:rPr>
        <w:t>代理公司</w:t>
      </w:r>
      <w:r>
        <w:rPr>
          <w:rFonts w:ascii="宋体" w:hAnsi="宋体" w:eastAsia="宋体" w:cs="Times New Roman"/>
          <w:color w:val="000000" w:themeColor="text1"/>
          <w:sz w:val="24"/>
          <w:szCs w:val="20"/>
          <w:lang w:val="zh-CN"/>
        </w:rPr>
        <w:t>提出</w:t>
      </w:r>
      <w:r>
        <w:rPr>
          <w:rFonts w:hint="eastAsia" w:ascii="宋体" w:hAnsi="宋体" w:eastAsia="宋体" w:cs="Times New Roman"/>
          <w:color w:val="000000" w:themeColor="text1"/>
          <w:sz w:val="24"/>
          <w:szCs w:val="20"/>
          <w:lang w:val="zh-CN"/>
        </w:rPr>
        <w:t>书面</w:t>
      </w:r>
      <w:r>
        <w:rPr>
          <w:rFonts w:ascii="宋体" w:hAnsi="宋体" w:eastAsia="宋体" w:cs="Times New Roman"/>
          <w:color w:val="000000" w:themeColor="text1"/>
          <w:sz w:val="24"/>
          <w:szCs w:val="20"/>
          <w:lang w:val="zh-CN"/>
        </w:rPr>
        <w:t>质疑</w:t>
      </w:r>
      <w:r>
        <w:rPr>
          <w:rFonts w:hint="eastAsia" w:ascii="宋体" w:hAnsi="宋体" w:eastAsia="宋体" w:cs="Times New Roman"/>
          <w:color w:val="000000" w:themeColor="text1"/>
          <w:sz w:val="24"/>
          <w:szCs w:val="20"/>
          <w:lang w:val="zh-CN"/>
        </w:rPr>
        <w:t>，质疑提出时间以收到之日为准。</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投标人</w:t>
      </w:r>
      <w:r>
        <w:rPr>
          <w:rFonts w:ascii="宋体" w:hAnsi="宋体" w:eastAsia="宋体" w:cs="Times New Roman"/>
          <w:b/>
          <w:color w:val="000000" w:themeColor="text1"/>
          <w:sz w:val="24"/>
          <w:szCs w:val="20"/>
          <w:lang w:val="zh-CN"/>
        </w:rPr>
        <w:t>应知其权益受到损害之日是指：</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 xml:space="preserve">33.1 </w:t>
      </w:r>
      <w:r>
        <w:rPr>
          <w:rFonts w:ascii="宋体" w:hAnsi="宋体" w:eastAsia="宋体" w:cs="Times New Roman"/>
          <w:color w:val="000000" w:themeColor="text1"/>
          <w:sz w:val="24"/>
          <w:szCs w:val="20"/>
          <w:lang w:val="zh-CN"/>
        </w:rPr>
        <w:t>对可以质疑的</w:t>
      </w:r>
      <w:r>
        <w:rPr>
          <w:rFonts w:hint="eastAsia" w:ascii="宋体" w:hAnsi="宋体" w:eastAsia="宋体" w:cs="Times New Roman"/>
          <w:color w:val="000000" w:themeColor="text1"/>
          <w:sz w:val="24"/>
          <w:szCs w:val="20"/>
          <w:lang w:val="zh-CN"/>
        </w:rPr>
        <w:t>招标</w:t>
      </w:r>
      <w:r>
        <w:rPr>
          <w:rFonts w:ascii="宋体" w:hAnsi="宋体" w:eastAsia="宋体" w:cs="Times New Roman"/>
          <w:color w:val="000000" w:themeColor="text1"/>
          <w:sz w:val="24"/>
          <w:szCs w:val="20"/>
          <w:lang w:val="zh-CN"/>
        </w:rPr>
        <w:t>文件提出质疑的，为收到</w:t>
      </w:r>
      <w:r>
        <w:rPr>
          <w:rFonts w:hint="eastAsia" w:ascii="宋体" w:hAnsi="宋体" w:eastAsia="宋体" w:cs="Times New Roman"/>
          <w:color w:val="000000" w:themeColor="text1"/>
          <w:sz w:val="24"/>
          <w:szCs w:val="20"/>
          <w:lang w:val="zh-CN"/>
        </w:rPr>
        <w:t>招标</w:t>
      </w:r>
      <w:r>
        <w:rPr>
          <w:rFonts w:ascii="宋体" w:hAnsi="宋体" w:eastAsia="宋体" w:cs="Times New Roman"/>
          <w:color w:val="000000" w:themeColor="text1"/>
          <w:sz w:val="24"/>
          <w:szCs w:val="20"/>
          <w:lang w:val="zh-CN"/>
        </w:rPr>
        <w:t>文件之日或者</w:t>
      </w:r>
      <w:r>
        <w:rPr>
          <w:rFonts w:hint="eastAsia" w:ascii="宋体" w:hAnsi="宋体" w:eastAsia="宋体" w:cs="Times New Roman"/>
          <w:color w:val="000000" w:themeColor="text1"/>
          <w:sz w:val="24"/>
          <w:szCs w:val="20"/>
          <w:lang w:val="zh-CN"/>
        </w:rPr>
        <w:t>招标</w:t>
      </w:r>
      <w:r>
        <w:rPr>
          <w:rFonts w:ascii="宋体" w:hAnsi="宋体" w:eastAsia="宋体" w:cs="Times New Roman"/>
          <w:color w:val="000000" w:themeColor="text1"/>
          <w:sz w:val="24"/>
          <w:szCs w:val="20"/>
          <w:lang w:val="zh-CN"/>
        </w:rPr>
        <w:t>文件公告期限届满之日</w:t>
      </w:r>
      <w:r>
        <w:rPr>
          <w:rFonts w:hint="eastAsia" w:ascii="宋体" w:hAnsi="宋体" w:eastAsia="宋体" w:cs="Times New Roman"/>
          <w:color w:val="000000" w:themeColor="text1"/>
          <w:sz w:val="24"/>
          <w:szCs w:val="20"/>
          <w:lang w:val="zh-CN"/>
        </w:rPr>
        <w:t>；</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33.2</w:t>
      </w:r>
      <w:r>
        <w:rPr>
          <w:rFonts w:ascii="宋体" w:hAnsi="宋体" w:eastAsia="宋体" w:cs="Times New Roman"/>
          <w:color w:val="000000" w:themeColor="text1"/>
          <w:sz w:val="24"/>
          <w:szCs w:val="20"/>
          <w:lang w:val="zh-CN"/>
        </w:rPr>
        <w:t>对</w:t>
      </w:r>
      <w:r>
        <w:rPr>
          <w:rFonts w:hint="eastAsia" w:ascii="宋体" w:hAnsi="宋体" w:eastAsia="宋体" w:cs="Times New Roman"/>
          <w:color w:val="000000" w:themeColor="text1"/>
          <w:sz w:val="24"/>
          <w:szCs w:val="20"/>
          <w:lang w:val="zh-CN"/>
        </w:rPr>
        <w:t>招标</w:t>
      </w:r>
      <w:r>
        <w:rPr>
          <w:rFonts w:ascii="宋体" w:hAnsi="宋体" w:eastAsia="宋体" w:cs="Times New Roman"/>
          <w:color w:val="000000" w:themeColor="text1"/>
          <w:sz w:val="24"/>
          <w:szCs w:val="20"/>
          <w:lang w:val="zh-CN"/>
        </w:rPr>
        <w:t>过程提出质疑的，为各</w:t>
      </w:r>
      <w:r>
        <w:rPr>
          <w:rFonts w:hint="eastAsia" w:ascii="宋体" w:hAnsi="宋体" w:eastAsia="宋体" w:cs="Times New Roman"/>
          <w:color w:val="000000" w:themeColor="text1"/>
          <w:sz w:val="24"/>
          <w:szCs w:val="20"/>
          <w:lang w:val="zh-CN"/>
        </w:rPr>
        <w:t>招标</w:t>
      </w:r>
      <w:r>
        <w:rPr>
          <w:rFonts w:ascii="宋体" w:hAnsi="宋体" w:eastAsia="宋体" w:cs="Times New Roman"/>
          <w:color w:val="000000" w:themeColor="text1"/>
          <w:sz w:val="24"/>
          <w:szCs w:val="20"/>
          <w:lang w:val="zh-CN"/>
        </w:rPr>
        <w:t>程序环节结束之日</w:t>
      </w:r>
      <w:r>
        <w:rPr>
          <w:rFonts w:hint="eastAsia" w:ascii="宋体" w:hAnsi="宋体" w:eastAsia="宋体" w:cs="Times New Roman"/>
          <w:color w:val="000000" w:themeColor="text1"/>
          <w:sz w:val="24"/>
          <w:szCs w:val="20"/>
          <w:lang w:val="zh-CN"/>
        </w:rPr>
        <w:t>；</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33.3</w:t>
      </w:r>
      <w:r>
        <w:rPr>
          <w:rFonts w:ascii="宋体" w:hAnsi="宋体" w:eastAsia="宋体" w:cs="Times New Roman"/>
          <w:color w:val="000000" w:themeColor="text1"/>
          <w:sz w:val="24"/>
          <w:szCs w:val="20"/>
          <w:lang w:val="zh-CN"/>
        </w:rPr>
        <w:t>对中标结果提出质疑的，为中标公告期限届满之日。</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质疑书应当包括下列主要内容：</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34.1</w:t>
      </w:r>
      <w:r>
        <w:rPr>
          <w:rFonts w:hint="eastAsia" w:ascii="宋体" w:hAnsi="宋体" w:eastAsia="宋体" w:cs="Times New Roman"/>
          <w:color w:val="000000" w:themeColor="text1"/>
          <w:sz w:val="24"/>
          <w:szCs w:val="20"/>
          <w:lang w:val="zh-CN"/>
        </w:rPr>
        <w:t>质疑人的名称、地址、联系人及联系电话等；</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34.2</w:t>
      </w:r>
      <w:r>
        <w:rPr>
          <w:rFonts w:hint="eastAsia" w:ascii="宋体" w:hAnsi="宋体" w:eastAsia="宋体" w:cs="Times New Roman"/>
          <w:color w:val="000000" w:themeColor="text1"/>
          <w:sz w:val="24"/>
          <w:szCs w:val="20"/>
          <w:lang w:val="zh-CN"/>
        </w:rPr>
        <w:t>被质疑人的名称、地址、联系人及联系电话等；</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34.3</w:t>
      </w:r>
      <w:r>
        <w:rPr>
          <w:rFonts w:hint="eastAsia" w:ascii="宋体" w:hAnsi="宋体" w:eastAsia="宋体" w:cs="Times New Roman"/>
          <w:color w:val="000000" w:themeColor="text1"/>
          <w:sz w:val="24"/>
          <w:szCs w:val="20"/>
          <w:lang w:val="zh-CN"/>
        </w:rPr>
        <w:t>质疑项目名称及编号、质疑事项和明确的请求；</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34.4</w:t>
      </w:r>
      <w:r>
        <w:rPr>
          <w:rFonts w:hint="eastAsia" w:ascii="宋体" w:hAnsi="宋体" w:eastAsia="宋体" w:cs="Times New Roman"/>
          <w:color w:val="000000" w:themeColor="text1"/>
          <w:sz w:val="24"/>
          <w:szCs w:val="20"/>
          <w:lang w:val="zh-CN"/>
        </w:rPr>
        <w:t>质疑事项的事实根据、法律依据及其他必要的证明材料；</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34.5</w:t>
      </w:r>
      <w:r>
        <w:rPr>
          <w:rFonts w:hint="eastAsia" w:ascii="宋体" w:hAnsi="宋体" w:eastAsia="宋体" w:cs="Times New Roman"/>
          <w:color w:val="000000" w:themeColor="text1"/>
          <w:sz w:val="24"/>
          <w:szCs w:val="20"/>
          <w:lang w:val="zh-CN"/>
        </w:rPr>
        <w:t>提出质疑的日期；</w:t>
      </w:r>
    </w:p>
    <w:p>
      <w:pPr>
        <w:spacing w:line="360" w:lineRule="auto"/>
        <w:ind w:left="480" w:hanging="480" w:hanging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34.6</w:t>
      </w:r>
      <w:r>
        <w:rPr>
          <w:rFonts w:hint="eastAsia" w:ascii="宋体" w:hAnsi="宋体" w:eastAsia="宋体" w:cs="Times New Roman"/>
          <w:color w:val="000000" w:themeColor="text1"/>
          <w:sz w:val="24"/>
          <w:szCs w:val="20"/>
          <w:lang w:val="zh-CN"/>
        </w:rPr>
        <w:t>质疑人的署名及签章（质疑人为自然人的，应当由本人签字；质疑人为法人或者其他组织的，应当由法定代表人或者主要负责人签字盖章并加盖公章）；</w:t>
      </w:r>
    </w:p>
    <w:p>
      <w:pPr>
        <w:spacing w:line="360" w:lineRule="auto"/>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rPr>
        <w:t xml:space="preserve">34.7 </w:t>
      </w:r>
      <w:r>
        <w:rPr>
          <w:rFonts w:hint="eastAsia" w:ascii="宋体" w:hAnsi="宋体" w:eastAsia="宋体" w:cs="Times New Roman"/>
          <w:color w:val="000000" w:themeColor="text1"/>
          <w:sz w:val="24"/>
          <w:szCs w:val="20"/>
          <w:lang w:val="zh-CN"/>
        </w:rPr>
        <w:t>法人授权委托书（质疑人或法人委托代理人办理质疑事务的，应当提供授权委托书，授权委托书应当载明委托代理的具体权限和事项）。</w:t>
      </w:r>
    </w:p>
    <w:p>
      <w:pPr>
        <w:numPr>
          <w:ilvl w:val="0"/>
          <w:numId w:val="4"/>
        </w:numPr>
        <w:spacing w:line="360" w:lineRule="auto"/>
        <w:ind w:left="560" w:hanging="560"/>
        <w:rPr>
          <w:rFonts w:ascii="宋体" w:hAnsi="宋体" w:eastAsia="宋体" w:cs="Times New Roman"/>
          <w:b/>
          <w:color w:val="000000" w:themeColor="text1"/>
          <w:sz w:val="24"/>
          <w:szCs w:val="20"/>
          <w:lang w:val="zh-CN"/>
        </w:rPr>
      </w:pPr>
      <w:r>
        <w:rPr>
          <w:rFonts w:hint="eastAsia" w:ascii="宋体" w:hAnsi="宋体" w:eastAsia="宋体" w:cs="Times New Roman"/>
          <w:b/>
          <w:color w:val="000000" w:themeColor="text1"/>
          <w:sz w:val="24"/>
          <w:szCs w:val="20"/>
          <w:lang w:val="zh-CN"/>
        </w:rPr>
        <w:t>不予受理的情形</w:t>
      </w:r>
    </w:p>
    <w:p>
      <w:pPr>
        <w:spacing w:line="360" w:lineRule="auto"/>
        <w:ind w:firstLine="480" w:firstLineChars="20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投标人未按本章“质疑及提交”规定的时限、内容及方式进行质疑的，代理公司不予受理。</w:t>
      </w:r>
    </w:p>
    <w:p>
      <w:pPr>
        <w:pStyle w:val="4"/>
        <w:numPr>
          <w:ilvl w:val="0"/>
          <w:numId w:val="3"/>
        </w:numPr>
        <w:spacing w:before="0" w:after="0" w:line="360" w:lineRule="auto"/>
        <w:ind w:left="658" w:hanging="658"/>
        <w:jc w:val="left"/>
        <w:rPr>
          <w:rFonts w:cs="Times New Roman" w:asciiTheme="majorEastAsia" w:hAnsiTheme="majorEastAsia"/>
          <w:bCs w:val="0"/>
          <w:color w:val="000000" w:themeColor="text1"/>
          <w:lang w:val="zh-CN"/>
        </w:rPr>
      </w:pPr>
      <w:bookmarkStart w:id="29" w:name="_Toc495861528"/>
      <w:bookmarkStart w:id="30" w:name="_Toc494561947"/>
      <w:r>
        <w:rPr>
          <w:rFonts w:hint="eastAsia" w:cs="Times New Roman" w:asciiTheme="majorEastAsia" w:hAnsiTheme="majorEastAsia"/>
          <w:bCs w:val="0"/>
          <w:color w:val="000000" w:themeColor="text1"/>
          <w:lang w:val="zh-CN"/>
        </w:rPr>
        <w:t>相关条文解读</w:t>
      </w:r>
      <w:bookmarkEnd w:id="29"/>
      <w:bookmarkEnd w:id="30"/>
    </w:p>
    <w:p>
      <w:pPr>
        <w:numPr>
          <w:ilvl w:val="0"/>
          <w:numId w:val="4"/>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4"/>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按照财政部《关于规范政府采购行政处罚有关问题的通知》的规定，</w:t>
      </w:r>
      <w:r>
        <w:rPr>
          <w:rFonts w:ascii="宋体" w:hAnsi="宋体" w:eastAsia="宋体" w:cs="Times New Roman"/>
          <w:color w:val="000000" w:themeColor="text1"/>
          <w:sz w:val="24"/>
          <w:szCs w:val="20"/>
          <w:lang w:val="zh-CN"/>
        </w:rPr>
        <w:t>各级人民政府财政部门依法对参加政府采购活动的供应商作出的禁止参加政府采购活动等行政处罚决定在全国范围内生效。</w:t>
      </w:r>
    </w:p>
    <w:p>
      <w:pPr>
        <w:numPr>
          <w:ilvl w:val="0"/>
          <w:numId w:val="4"/>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供应商在参加政府采购活动前3年内因违法经营被禁止在一定期限内参加政府采购活动，期限届满的，可以参加政府采购活动。</w:t>
      </w:r>
    </w:p>
    <w:p>
      <w:pPr>
        <w:numPr>
          <w:ilvl w:val="0"/>
          <w:numId w:val="4"/>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3"/>
        </w:numPr>
        <w:spacing w:before="0" w:after="0" w:line="360" w:lineRule="auto"/>
        <w:ind w:left="658" w:hanging="658"/>
        <w:jc w:val="left"/>
        <w:rPr>
          <w:rFonts w:cs="Times New Roman" w:asciiTheme="majorEastAsia" w:hAnsiTheme="majorEastAsia"/>
          <w:bCs w:val="0"/>
          <w:color w:val="000000" w:themeColor="text1"/>
          <w:lang w:val="zh-CN"/>
        </w:rPr>
      </w:pPr>
      <w:bookmarkStart w:id="31" w:name="_Toc495861529"/>
      <w:bookmarkStart w:id="32" w:name="_Toc494561948"/>
      <w:r>
        <w:rPr>
          <w:rFonts w:hint="eastAsia" w:cs="Times New Roman" w:asciiTheme="majorEastAsia" w:hAnsiTheme="majorEastAsia"/>
          <w:bCs w:val="0"/>
          <w:color w:val="000000" w:themeColor="text1"/>
          <w:lang w:val="zh-CN"/>
        </w:rPr>
        <w:t>其他注意事项</w:t>
      </w:r>
      <w:bookmarkEnd w:id="31"/>
      <w:bookmarkEnd w:id="32"/>
    </w:p>
    <w:p>
      <w:pPr>
        <w:numPr>
          <w:ilvl w:val="0"/>
          <w:numId w:val="4"/>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单位负责人为同一人或者存在直接控股、管理关系的不同供应商，不得参加同一合同项下的政府采购活动。</w:t>
      </w:r>
    </w:p>
    <w:p>
      <w:pPr>
        <w:numPr>
          <w:ilvl w:val="0"/>
          <w:numId w:val="4"/>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3"/>
        </w:numPr>
        <w:spacing w:before="0" w:after="0" w:line="360" w:lineRule="auto"/>
        <w:ind w:left="966" w:hanging="966"/>
        <w:jc w:val="left"/>
        <w:rPr>
          <w:rFonts w:cs="Times New Roman" w:asciiTheme="majorEastAsia" w:hAnsiTheme="majorEastAsia"/>
          <w:bCs w:val="0"/>
          <w:color w:val="000000" w:themeColor="text1"/>
          <w:lang w:val="zh-CN"/>
        </w:rPr>
      </w:pPr>
      <w:bookmarkStart w:id="33" w:name="_Toc272247701"/>
      <w:bookmarkStart w:id="34" w:name="_Toc495861530"/>
      <w:bookmarkStart w:id="35" w:name="_Toc494561949"/>
      <w:bookmarkStart w:id="36" w:name="_Toc278891598"/>
      <w:r>
        <w:rPr>
          <w:rFonts w:hint="eastAsia" w:cs="Times New Roman" w:asciiTheme="majorEastAsia" w:hAnsiTheme="majorEastAsia"/>
          <w:bCs w:val="0"/>
          <w:color w:val="000000" w:themeColor="text1"/>
          <w:lang w:val="zh-CN"/>
        </w:rPr>
        <w:t>适用法律</w:t>
      </w:r>
      <w:bookmarkEnd w:id="33"/>
      <w:bookmarkEnd w:id="34"/>
      <w:bookmarkEnd w:id="35"/>
      <w:bookmarkEnd w:id="36"/>
    </w:p>
    <w:p>
      <w:pPr>
        <w:numPr>
          <w:ilvl w:val="0"/>
          <w:numId w:val="4"/>
        </w:numPr>
        <w:spacing w:line="360" w:lineRule="auto"/>
        <w:ind w:left="560" w:hanging="560"/>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采购人、采购代理机构及投标人的一切招标投标活动均适用《政府采购法》、《政府采购法实施条例》、</w:t>
      </w:r>
      <w:r>
        <w:rPr>
          <w:rFonts w:ascii="宋体" w:hAnsi="宋体" w:eastAsia="宋体" w:cs="Times New Roman"/>
          <w:color w:val="000000" w:themeColor="text1"/>
          <w:sz w:val="24"/>
          <w:szCs w:val="20"/>
          <w:lang w:val="zh-CN"/>
        </w:rPr>
        <w:t>《政府采购货物和服务招标投标管理办法》</w:t>
      </w:r>
      <w:r>
        <w:rPr>
          <w:rFonts w:hint="eastAsia" w:ascii="宋体" w:hAnsi="宋体" w:eastAsia="宋体" w:cs="Times New Roman"/>
          <w:color w:val="000000" w:themeColor="text1"/>
          <w:sz w:val="24"/>
          <w:szCs w:val="20"/>
          <w:lang w:val="zh-CN"/>
        </w:rPr>
        <w:t>及相关法律法规。</w:t>
      </w:r>
    </w:p>
    <w:p>
      <w:pPr>
        <w:numPr>
          <w:ilvl w:val="0"/>
          <w:numId w:val="4"/>
        </w:numPr>
        <w:spacing w:line="360" w:lineRule="auto"/>
        <w:ind w:left="560" w:hanging="560"/>
        <w:rPr>
          <w:rFonts w:ascii="宋体" w:hAnsi="宋体" w:eastAsia="宋体" w:cs="Times New Roman"/>
          <w:color w:val="000000" w:themeColor="text1"/>
          <w:sz w:val="24"/>
          <w:szCs w:val="20"/>
          <w:lang w:val="zh-CN"/>
        </w:rPr>
      </w:pPr>
      <w:r>
        <w:rPr>
          <w:rFonts w:ascii="Helvetica" w:hAnsi="Helvetica" w:eastAsia="宋体" w:cs="Helvetica"/>
          <w:color w:val="000000" w:themeColor="text1"/>
          <w:kern w:val="0"/>
          <w:sz w:val="24"/>
          <w:szCs w:val="24"/>
          <w:lang w:val="zh-CN"/>
        </w:rPr>
        <w:t>政府采购合同的履行、违约责任和解决争议的方法等适用《合同法》。</w:t>
      </w:r>
    </w:p>
    <w:p>
      <w:pPr>
        <w:pStyle w:val="4"/>
        <w:numPr>
          <w:ilvl w:val="0"/>
          <w:numId w:val="3"/>
        </w:numPr>
        <w:spacing w:before="0" w:after="0" w:line="360" w:lineRule="auto"/>
        <w:ind w:left="966" w:hanging="966"/>
        <w:jc w:val="left"/>
        <w:rPr>
          <w:rFonts w:cs="Times New Roman" w:asciiTheme="majorEastAsia" w:hAnsiTheme="majorEastAsia"/>
          <w:bCs w:val="0"/>
          <w:color w:val="000000" w:themeColor="text1"/>
          <w:lang w:val="zh-CN"/>
        </w:rPr>
      </w:pPr>
      <w:bookmarkStart w:id="37" w:name="_Toc278891599"/>
      <w:bookmarkStart w:id="38" w:name="_Toc272247702"/>
      <w:bookmarkStart w:id="39" w:name="_Toc494561950"/>
      <w:bookmarkStart w:id="40" w:name="_Toc495861531"/>
      <w:r>
        <w:rPr>
          <w:rFonts w:hint="eastAsia" w:cs="Times New Roman" w:asciiTheme="majorEastAsia" w:hAnsiTheme="majorEastAsia"/>
          <w:bCs w:val="0"/>
          <w:color w:val="000000" w:themeColor="text1"/>
          <w:lang w:val="zh-CN"/>
        </w:rPr>
        <w:t>招标文件的解释权</w:t>
      </w:r>
      <w:bookmarkEnd w:id="37"/>
      <w:bookmarkEnd w:id="38"/>
      <w:bookmarkEnd w:id="39"/>
      <w:bookmarkEnd w:id="40"/>
    </w:p>
    <w:p>
      <w:pPr>
        <w:numPr>
          <w:ilvl w:val="0"/>
          <w:numId w:val="4"/>
        </w:numPr>
        <w:spacing w:line="360" w:lineRule="auto"/>
        <w:ind w:left="560" w:hanging="560"/>
        <w:rPr>
          <w:color w:val="000000" w:themeColor="text1"/>
        </w:rPr>
      </w:pPr>
      <w:r>
        <w:rPr>
          <w:rFonts w:hint="eastAsia" w:ascii="宋体" w:hAnsi="宋体" w:eastAsia="宋体" w:cs="Times New Roman"/>
          <w:color w:val="000000" w:themeColor="text1"/>
          <w:sz w:val="24"/>
          <w:szCs w:val="20"/>
          <w:lang w:val="zh-CN"/>
        </w:rPr>
        <w:t>招标文件的最终解释权为采购人、采购代理机构所有。</w:t>
      </w:r>
      <w:r>
        <w:rPr>
          <w:color w:val="000000" w:themeColor="text1"/>
        </w:rPr>
        <w:br w:type="page"/>
      </w:r>
    </w:p>
    <w:p>
      <w:pPr>
        <w:pStyle w:val="3"/>
        <w:numPr>
          <w:ilvl w:val="0"/>
          <w:numId w:val="1"/>
        </w:numPr>
        <w:spacing w:before="0" w:after="0" w:line="360" w:lineRule="auto"/>
        <w:jc w:val="center"/>
        <w:rPr>
          <w:rFonts w:ascii="黑体" w:hAnsi="黑体" w:eastAsia="黑体"/>
          <w:color w:val="000000" w:themeColor="text1"/>
        </w:rPr>
      </w:pPr>
      <w:bookmarkStart w:id="41" w:name="_Toc495861532"/>
      <w:r>
        <w:rPr>
          <w:rFonts w:hint="eastAsia" w:ascii="黑体" w:hAnsi="黑体" w:eastAsia="黑体"/>
          <w:color w:val="000000" w:themeColor="text1"/>
        </w:rPr>
        <w:t>项目技术、服务及商务要求</w:t>
      </w:r>
      <w:bookmarkEnd w:id="41"/>
    </w:p>
    <w:p>
      <w:pPr>
        <w:pStyle w:val="21"/>
        <w:widowControl/>
        <w:spacing w:before="0" w:beforeAutospacing="0" w:after="0" w:afterAutospacing="0" w:line="360" w:lineRule="auto"/>
        <w:ind w:firstLine="320"/>
        <w:rPr>
          <w:color w:val="000000" w:themeColor="text1"/>
        </w:rPr>
      </w:pPr>
      <w:bookmarkStart w:id="42" w:name="_Toc495861538"/>
      <w:r>
        <w:rPr>
          <w:rStyle w:val="26"/>
          <w:rFonts w:hint="eastAsia" w:ascii="宋体" w:hAnsi="宋体" w:eastAsia="宋体" w:cs="宋体"/>
          <w:color w:val="000000" w:themeColor="text1"/>
          <w:shd w:val="clear" w:color="auto" w:fill="FFFFFF"/>
        </w:rPr>
        <w:t>一、项目基本情况</w:t>
      </w:r>
    </w:p>
    <w:p>
      <w:pPr>
        <w:pStyle w:val="21"/>
        <w:widowControl/>
        <w:spacing w:before="0" w:beforeAutospacing="0" w:after="0" w:afterAutospacing="0" w:line="360" w:lineRule="auto"/>
        <w:ind w:firstLine="320"/>
        <w:rPr>
          <w:rFonts w:ascii="宋体" w:hAnsi="宋体" w:eastAsia="宋体" w:cs="宋体"/>
          <w:color w:val="000000" w:themeColor="text1"/>
          <w:shd w:val="clear" w:color="auto" w:fill="FFFFFF"/>
        </w:rPr>
      </w:pPr>
      <w:r>
        <w:rPr>
          <w:rFonts w:hint="eastAsia" w:ascii="宋体" w:hAnsi="宋体" w:eastAsia="宋体" w:cs="宋体"/>
          <w:color w:val="000000" w:themeColor="text1"/>
          <w:shd w:val="clear" w:color="auto" w:fill="FFFFFF"/>
        </w:rPr>
        <w:t>项目名称：2021-2022学年度阳新县义务教育学生营养改善计划提标采购项目</w:t>
      </w:r>
    </w:p>
    <w:p>
      <w:pPr>
        <w:pStyle w:val="21"/>
        <w:widowControl/>
        <w:spacing w:before="0" w:beforeAutospacing="0" w:after="0" w:afterAutospacing="0" w:line="360" w:lineRule="auto"/>
        <w:ind w:firstLine="320"/>
        <w:rPr>
          <w:rFonts w:ascii="宋体" w:hAnsi="宋体" w:eastAsia="宋体" w:cs="宋体"/>
          <w:color w:val="000000" w:themeColor="text1"/>
          <w:shd w:val="clear" w:color="auto" w:fill="FFFFFF"/>
        </w:rPr>
      </w:pPr>
      <w:r>
        <w:rPr>
          <w:rFonts w:hint="eastAsia" w:ascii="宋体" w:hAnsi="宋体" w:eastAsia="宋体" w:cs="宋体"/>
          <w:color w:val="000000" w:themeColor="text1"/>
          <w:shd w:val="clear" w:color="auto" w:fill="FFFFFF"/>
        </w:rPr>
        <w:t>项目内容：</w:t>
      </w:r>
    </w:p>
    <w:p>
      <w:pPr>
        <w:spacing w:line="360" w:lineRule="auto"/>
        <w:ind w:firstLine="420" w:firstLineChars="175"/>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一包：面包和蛋糕</w:t>
      </w:r>
      <w:r>
        <w:rPr>
          <w:rFonts w:hint="eastAsia" w:ascii="宋体" w:hAnsi="宋体" w:eastAsia="宋体" w:cs="Times New Roman"/>
          <w:color w:val="000000" w:themeColor="text1"/>
          <w:sz w:val="24"/>
          <w:szCs w:val="24"/>
        </w:rPr>
        <w:t>（供应给课间餐模式及其他供餐模式不在校就餐的学生食用），</w:t>
      </w:r>
      <w:r>
        <w:rPr>
          <w:rFonts w:hint="eastAsia" w:ascii="宋体" w:hAnsi="宋体" w:eastAsia="宋体" w:cs="宋体"/>
          <w:color w:val="000000" w:themeColor="text1"/>
          <w:sz w:val="24"/>
          <w:szCs w:val="24"/>
          <w:shd w:val="clear" w:color="auto" w:fill="FFFFFF"/>
        </w:rPr>
        <w:t>采购预算价570万元，服务学生人数约3万人，按2元/生/天的标准合理搭配提供优质面包和蛋糕按周进行配送（实际供货量以2022年春季学期实际核定的学生数及实际供货天数来确定）。</w:t>
      </w:r>
    </w:p>
    <w:p>
      <w:pPr>
        <w:spacing w:line="360" w:lineRule="auto"/>
        <w:ind w:firstLine="480" w:firstLineChars="200"/>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二包：食堂大宗食材</w:t>
      </w:r>
      <w:r>
        <w:rPr>
          <w:rFonts w:hint="eastAsia" w:ascii="宋体" w:hAnsi="宋体" w:eastAsia="宋体" w:cs="Times New Roman"/>
          <w:color w:val="000000" w:themeColor="text1"/>
          <w:sz w:val="24"/>
          <w:szCs w:val="24"/>
        </w:rPr>
        <w:t>(供应生鲜黄牛肉、生鲜猪肋排、冷冻鸡肉给食堂供餐模式在校就餐的学生食用）</w:t>
      </w:r>
      <w:r>
        <w:rPr>
          <w:rFonts w:hint="eastAsia" w:ascii="宋体" w:hAnsi="宋体" w:eastAsia="宋体" w:cs="宋体"/>
          <w:color w:val="000000" w:themeColor="text1"/>
          <w:sz w:val="24"/>
          <w:szCs w:val="24"/>
          <w:shd w:val="clear" w:color="auto" w:fill="FFFFFF"/>
        </w:rPr>
        <w:t>，采购预算价1900万元，服务学生人数约10万人，按2元/生/天的标准合理搭配上述3种食材按周进行配送（实际供货量以2022年春季学期实际核定的学生数及实际供货天数来确定）。</w:t>
      </w:r>
    </w:p>
    <w:p>
      <w:pPr>
        <w:spacing w:line="360" w:lineRule="auto"/>
        <w:ind w:left="18" w:leftChars="9" w:firstLine="458" w:firstLineChars="191"/>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三包：</w:t>
      </w:r>
      <w:r>
        <w:rPr>
          <w:rFonts w:hint="eastAsia" w:ascii="宋体" w:hAnsi="宋体" w:eastAsia="宋体" w:cs="Times New Roman"/>
          <w:color w:val="000000" w:themeColor="text1"/>
          <w:sz w:val="24"/>
          <w:szCs w:val="24"/>
        </w:rPr>
        <w:t>中央厨房供餐（城区及城郊大规模学校部分年级实施中央厨房集中供餐），</w:t>
      </w:r>
      <w:r>
        <w:rPr>
          <w:rFonts w:hint="eastAsia" w:ascii="宋体" w:hAnsi="宋体" w:eastAsia="宋体" w:cs="宋体"/>
          <w:color w:val="000000" w:themeColor="text1"/>
          <w:sz w:val="24"/>
          <w:szCs w:val="24"/>
          <w:shd w:val="clear" w:color="auto" w:fill="FFFFFF"/>
        </w:rPr>
        <w:t>采购预算价190万元。在校学生人数约1万人，每餐固定单价按5.0元/生/餐的标准合理搭配加餐菜肴按周进行配送。（实际供货量以2022年春季学期实际核定的学生数及实际供餐次数来确定）。</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shd w:val="clear" w:color="auto" w:fill="FFFFFF"/>
        </w:rPr>
        <w:t>项目预算总金额： 2660万元</w:t>
      </w:r>
    </w:p>
    <w:p>
      <w:pPr>
        <w:spacing w:line="360" w:lineRule="auto"/>
        <w:ind w:firstLine="480" w:firstLineChars="200"/>
        <w:rPr>
          <w:rFonts w:ascii="宋体" w:hAnsi="宋体"/>
          <w:b/>
          <w:color w:val="000000" w:themeColor="text1"/>
          <w:sz w:val="24"/>
          <w:szCs w:val="24"/>
        </w:rPr>
      </w:pPr>
      <w:r>
        <w:rPr>
          <w:rFonts w:hint="eastAsia" w:ascii="宋体" w:hAnsi="宋体"/>
          <w:b/>
          <w:color w:val="000000" w:themeColor="text1"/>
          <w:sz w:val="24"/>
          <w:szCs w:val="24"/>
        </w:rPr>
        <w:t>二、项目需求</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1.本次招标是为阳新县义务教育学校营养改善计划选择有资质、有经验且有实力的食品生产厂家或配送企业；</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2.投标人所服务的学生为2022年春季学期全县义务教育学校实际在校生（各包供应商实际服务总人数以阳新县学生营养办实际核定的实名制学生数为准）；</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3.投标人具体供应时间及供应数量应按严格照采购人结合实际需求制定的配送安排表执行；</w:t>
      </w:r>
    </w:p>
    <w:p>
      <w:pPr>
        <w:pStyle w:val="17"/>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4.投标人所报的面包和蛋糕、食堂大宗食材及中央厨房供餐综合单价应包含物料、生产、包装、运输、装卸、税费、检验、售后服务等一切费用；</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5.面包和蛋糕、食堂大宗食材及中央厨房供餐的各项营养指标不得低于《湖北省中小学校校园食品用品安全管理办法》中规定的要求。采购人每学期不定期进行两次产品质量抽检。</w:t>
      </w:r>
    </w:p>
    <w:p>
      <w:pPr>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6</w:t>
      </w:r>
      <w:r>
        <w:rPr>
          <w:rFonts w:hint="eastAsia" w:ascii="宋体" w:hAnsi="宋体"/>
          <w:color w:val="000000" w:themeColor="text1"/>
          <w:sz w:val="24"/>
          <w:szCs w:val="24"/>
        </w:rPr>
        <w:t>.投标人所投产品的制造商生产和销售的产品应符合国家和行业标准，产品必须是全新的且外观及内在品质良好，必须是正规渠道全新的原装产品。</w:t>
      </w:r>
    </w:p>
    <w:p>
      <w:pPr>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7</w:t>
      </w:r>
      <w:r>
        <w:rPr>
          <w:rFonts w:hint="eastAsia" w:ascii="宋体" w:hAnsi="宋体"/>
          <w:color w:val="000000" w:themeColor="text1"/>
          <w:sz w:val="24"/>
          <w:szCs w:val="24"/>
        </w:rPr>
        <w:t>.投标人必须严格依照相关法律、法规、食品安全标准及有关要求对所投产品进行储存与配送。</w:t>
      </w:r>
    </w:p>
    <w:p>
      <w:pPr>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8</w:t>
      </w:r>
      <w:r>
        <w:rPr>
          <w:rFonts w:hint="eastAsia" w:ascii="宋体" w:hAnsi="宋体"/>
          <w:color w:val="000000" w:themeColor="text1"/>
          <w:sz w:val="24"/>
          <w:szCs w:val="24"/>
        </w:rPr>
        <w:t>.鉴于学生营养改善计划资金是国家扶贫专项资金，是国</w:t>
      </w:r>
      <w:r>
        <w:rPr>
          <w:rFonts w:ascii="宋体" w:hAnsi="宋体"/>
          <w:color w:val="000000" w:themeColor="text1"/>
          <w:sz w:val="24"/>
          <w:szCs w:val="24"/>
        </w:rPr>
        <w:t>家关爱贫困地区学生成长的重大举措，</w:t>
      </w:r>
      <w:r>
        <w:rPr>
          <w:rFonts w:hint="eastAsia" w:ascii="宋体" w:hAnsi="宋体"/>
          <w:color w:val="000000" w:themeColor="text1"/>
          <w:sz w:val="24"/>
          <w:szCs w:val="24"/>
        </w:rPr>
        <w:t>投标人</w:t>
      </w:r>
      <w:r>
        <w:rPr>
          <w:rFonts w:ascii="宋体" w:hAnsi="宋体"/>
          <w:color w:val="000000" w:themeColor="text1"/>
          <w:sz w:val="24"/>
          <w:szCs w:val="24"/>
        </w:rPr>
        <w:t>必须让学生受到真正的实惠</w:t>
      </w:r>
      <w:r>
        <w:rPr>
          <w:rFonts w:hint="eastAsia" w:ascii="宋体" w:hAnsi="宋体"/>
          <w:color w:val="000000" w:themeColor="text1"/>
          <w:sz w:val="24"/>
          <w:szCs w:val="24"/>
        </w:rPr>
        <w:t>。</w:t>
      </w:r>
    </w:p>
    <w:p>
      <w:pPr>
        <w:pStyle w:val="32"/>
        <w:spacing w:line="360" w:lineRule="auto"/>
        <w:rPr>
          <w:color w:val="000000" w:themeColor="text1"/>
        </w:rPr>
      </w:pPr>
    </w:p>
    <w:p>
      <w:pPr>
        <w:numPr>
          <w:ilvl w:val="0"/>
          <w:numId w:val="17"/>
        </w:numPr>
        <w:spacing w:line="360" w:lineRule="auto"/>
        <w:ind w:left="210"/>
        <w:jc w:val="left"/>
        <w:rPr>
          <w:b/>
          <w:color w:val="000000" w:themeColor="text1"/>
          <w:sz w:val="24"/>
          <w:szCs w:val="24"/>
        </w:rPr>
      </w:pPr>
      <w:r>
        <w:rPr>
          <w:rFonts w:hint="eastAsia"/>
          <w:b/>
          <w:color w:val="000000" w:themeColor="text1"/>
          <w:sz w:val="24"/>
          <w:szCs w:val="24"/>
        </w:rPr>
        <w:t>技术参数及服务要求</w:t>
      </w:r>
    </w:p>
    <w:p>
      <w:pPr>
        <w:spacing w:line="360" w:lineRule="auto"/>
        <w:rPr>
          <w:rFonts w:ascii="宋体" w:hAnsi="宋体" w:cs="宋体"/>
          <w:b/>
          <w:bCs/>
          <w:color w:val="000000" w:themeColor="text1"/>
          <w:sz w:val="24"/>
          <w:szCs w:val="24"/>
        </w:rPr>
      </w:pPr>
      <w:r>
        <w:rPr>
          <w:rFonts w:hint="eastAsia" w:ascii="宋体" w:hAnsi="宋体" w:cs="宋体"/>
          <w:b/>
          <w:bCs/>
          <w:color w:val="000000" w:themeColor="text1"/>
          <w:sz w:val="24"/>
          <w:szCs w:val="24"/>
        </w:rPr>
        <w:t>一包：面包和蛋糕：</w:t>
      </w:r>
    </w:p>
    <w:p>
      <w:pPr>
        <w:pStyle w:val="8"/>
        <w:spacing w:line="360" w:lineRule="auto"/>
        <w:ind w:left="118" w:right="-168" w:firstLine="480" w:firstLineChars="200"/>
        <w:rPr>
          <w:color w:val="000000" w:themeColor="text1"/>
          <w:sz w:val="24"/>
          <w:szCs w:val="24"/>
          <w:lang w:val="en-US"/>
        </w:rPr>
      </w:pPr>
      <w:r>
        <w:rPr>
          <w:rFonts w:hint="eastAsia"/>
          <w:color w:val="000000" w:themeColor="text1"/>
          <w:sz w:val="24"/>
          <w:szCs w:val="24"/>
        </w:rPr>
        <w:t>所采购的</w:t>
      </w:r>
      <w:r>
        <w:rPr>
          <w:rFonts w:hint="eastAsia"/>
          <w:color w:val="000000" w:themeColor="text1"/>
          <w:sz w:val="24"/>
          <w:szCs w:val="24"/>
          <w:lang w:val="en-US"/>
        </w:rPr>
        <w:t>面包规格：</w:t>
      </w:r>
      <w:r>
        <w:rPr>
          <w:color w:val="000000" w:themeColor="text1"/>
          <w:sz w:val="24"/>
          <w:szCs w:val="24"/>
        </w:rPr>
        <w:t>每份≧</w:t>
      </w:r>
      <w:r>
        <w:rPr>
          <w:rFonts w:hint="eastAsia"/>
          <w:color w:val="000000" w:themeColor="text1"/>
          <w:sz w:val="24"/>
          <w:szCs w:val="24"/>
          <w:lang w:val="en-US"/>
        </w:rPr>
        <w:t>40</w:t>
      </w:r>
      <w:r>
        <w:rPr>
          <w:color w:val="000000" w:themeColor="text1"/>
          <w:sz w:val="24"/>
          <w:szCs w:val="24"/>
        </w:rPr>
        <w:t>g</w:t>
      </w:r>
      <w:r>
        <w:rPr>
          <w:rFonts w:hint="eastAsia"/>
          <w:color w:val="000000" w:themeColor="text1"/>
          <w:sz w:val="24"/>
          <w:szCs w:val="24"/>
        </w:rPr>
        <w:t>；蛋糕</w:t>
      </w:r>
      <w:r>
        <w:rPr>
          <w:rFonts w:hint="eastAsia"/>
          <w:color w:val="000000" w:themeColor="text1"/>
          <w:sz w:val="24"/>
          <w:szCs w:val="24"/>
          <w:lang w:val="en-US"/>
        </w:rPr>
        <w:t>规格：每份</w:t>
      </w:r>
      <w:r>
        <w:rPr>
          <w:color w:val="000000" w:themeColor="text1"/>
          <w:sz w:val="24"/>
          <w:szCs w:val="24"/>
        </w:rPr>
        <w:t>≧</w:t>
      </w:r>
      <w:r>
        <w:rPr>
          <w:rFonts w:hint="eastAsia"/>
          <w:color w:val="000000" w:themeColor="text1"/>
          <w:sz w:val="24"/>
          <w:szCs w:val="24"/>
          <w:lang w:val="en-US"/>
        </w:rPr>
        <w:t>25</w:t>
      </w:r>
      <w:r>
        <w:rPr>
          <w:color w:val="000000" w:themeColor="text1"/>
          <w:sz w:val="24"/>
          <w:szCs w:val="24"/>
        </w:rPr>
        <w:t>g</w:t>
      </w:r>
      <w:r>
        <w:rPr>
          <w:rFonts w:hint="eastAsia"/>
          <w:color w:val="000000" w:themeColor="text1"/>
          <w:sz w:val="24"/>
          <w:szCs w:val="24"/>
        </w:rPr>
        <w:t>。（</w:t>
      </w:r>
      <w:r>
        <w:rPr>
          <w:rFonts w:hint="eastAsia"/>
          <w:color w:val="000000" w:themeColor="text1"/>
          <w:sz w:val="24"/>
          <w:szCs w:val="24"/>
          <w:lang w:val="en-US"/>
        </w:rPr>
        <w:t>所投产品</w:t>
      </w:r>
      <w:r>
        <w:rPr>
          <w:rFonts w:hint="eastAsia"/>
          <w:color w:val="000000" w:themeColor="text1"/>
          <w:sz w:val="24"/>
          <w:szCs w:val="24"/>
        </w:rPr>
        <w:t>必须提供半年内省级</w:t>
      </w:r>
      <w:r>
        <w:rPr>
          <w:rFonts w:hint="eastAsia"/>
          <w:color w:val="000000" w:themeColor="text1"/>
          <w:sz w:val="24"/>
          <w:szCs w:val="24"/>
          <w:lang w:val="en-US"/>
        </w:rPr>
        <w:t>以上</w:t>
      </w:r>
      <w:r>
        <w:rPr>
          <w:rFonts w:hint="eastAsia"/>
          <w:color w:val="000000" w:themeColor="text1"/>
          <w:sz w:val="24"/>
          <w:szCs w:val="24"/>
        </w:rPr>
        <w:t>的第三方质检报告）</w:t>
      </w:r>
    </w:p>
    <w:p>
      <w:pPr>
        <w:pStyle w:val="12"/>
        <w:autoSpaceDE w:val="0"/>
        <w:autoSpaceDN w:val="0"/>
        <w:spacing w:line="520" w:lineRule="exact"/>
        <w:ind w:firstLine="480" w:firstLineChars="200"/>
        <w:rPr>
          <w:rFonts w:asciiTheme="majorEastAsia" w:hAnsiTheme="majorEastAsia" w:eastAsiaTheme="majorEastAsia" w:cstheme="majorEastAsia"/>
          <w:b/>
          <w:bCs/>
          <w:color w:val="000000" w:themeColor="text1"/>
          <w:sz w:val="24"/>
          <w:szCs w:val="24"/>
          <w:lang w:val="en-US"/>
        </w:rPr>
      </w:pPr>
      <w:r>
        <w:rPr>
          <w:rFonts w:hint="eastAsia" w:asciiTheme="majorEastAsia" w:hAnsiTheme="majorEastAsia" w:eastAsiaTheme="majorEastAsia" w:cstheme="majorEastAsia"/>
          <w:b/>
          <w:bCs/>
          <w:color w:val="000000" w:themeColor="text1"/>
          <w:sz w:val="24"/>
          <w:szCs w:val="24"/>
          <w:lang w:val="en-US"/>
        </w:rPr>
        <w:t>1、配送方案</w:t>
      </w:r>
    </w:p>
    <w:p>
      <w:pPr>
        <w:pStyle w:val="12"/>
        <w:autoSpaceDE w:val="0"/>
        <w:autoSpaceDN w:val="0"/>
        <w:spacing w:line="520" w:lineRule="exact"/>
        <w:ind w:firstLine="480" w:firstLineChars="200"/>
        <w:rPr>
          <w:rFonts w:asciiTheme="majorEastAsia" w:hAnsiTheme="majorEastAsia" w:eastAsiaTheme="majorEastAsia" w:cstheme="majorEastAsia"/>
          <w:color w:val="000000" w:themeColor="text1"/>
          <w:sz w:val="24"/>
          <w:szCs w:val="24"/>
          <w:lang w:val="en-US"/>
        </w:rPr>
      </w:pPr>
      <w:r>
        <w:rPr>
          <w:rFonts w:hint="eastAsia" w:asciiTheme="majorEastAsia" w:hAnsiTheme="majorEastAsia" w:eastAsiaTheme="majorEastAsia" w:cstheme="majorEastAsia"/>
          <w:color w:val="000000" w:themeColor="text1"/>
          <w:sz w:val="24"/>
          <w:szCs w:val="24"/>
          <w:lang w:val="en-US"/>
        </w:rPr>
        <w:t>本项目所采购的面包和蛋糕按2元/生/天的标准由投标人自行制定科学、合理的搭配方案按周进行配送，投标人所投的面包、蛋糕必须是符合国家质量标准的中国一线品牌产品，并提供相关证明材料。</w:t>
      </w:r>
    </w:p>
    <w:p>
      <w:pPr>
        <w:tabs>
          <w:tab w:val="left" w:pos="254"/>
        </w:tabs>
        <w:autoSpaceDE w:val="0"/>
        <w:autoSpaceDN w:val="0"/>
        <w:spacing w:line="520" w:lineRule="exact"/>
        <w:ind w:firstLine="480" w:firstLineChars="200"/>
        <w:rPr>
          <w:color w:val="000000" w:themeColor="text1"/>
          <w:sz w:val="24"/>
          <w:szCs w:val="24"/>
        </w:rPr>
      </w:pPr>
      <w:r>
        <w:rPr>
          <w:rFonts w:hint="eastAsia"/>
          <w:b/>
          <w:bCs/>
          <w:color w:val="000000" w:themeColor="text1"/>
          <w:sz w:val="24"/>
          <w:szCs w:val="24"/>
        </w:rPr>
        <w:t>2、配送要求</w:t>
      </w:r>
    </w:p>
    <w:p>
      <w:pPr>
        <w:autoSpaceDE w:val="0"/>
        <w:autoSpaceDN w:val="0"/>
        <w:spacing w:line="520" w:lineRule="exact"/>
        <w:ind w:firstLine="480" w:firstLineChars="200"/>
        <w:rPr>
          <w:color w:val="000000" w:themeColor="text1"/>
          <w:sz w:val="24"/>
          <w:szCs w:val="24"/>
        </w:rPr>
      </w:pPr>
      <w:r>
        <w:rPr>
          <w:rFonts w:hint="eastAsia"/>
          <w:color w:val="000000" w:themeColor="text1"/>
          <w:sz w:val="24"/>
          <w:szCs w:val="24"/>
        </w:rPr>
        <w:t>2.1提供给学校的面包、蛋糕须经过相关检验部门的抽样检查，检查合格后方可供应给学生食用，抽样的时间由采购人根据每批次的货品的送货情况而定，具体签订合同时约定。所有品种保质时间在有效期的三分之二范围以上。</w:t>
      </w:r>
    </w:p>
    <w:p>
      <w:pPr>
        <w:autoSpaceDE w:val="0"/>
        <w:autoSpaceDN w:val="0"/>
        <w:spacing w:line="520" w:lineRule="exact"/>
        <w:ind w:firstLine="480" w:firstLineChars="200"/>
        <w:rPr>
          <w:color w:val="000000" w:themeColor="text1"/>
          <w:sz w:val="24"/>
          <w:szCs w:val="24"/>
        </w:rPr>
      </w:pPr>
      <w:r>
        <w:rPr>
          <w:rFonts w:hint="eastAsia"/>
          <w:color w:val="000000" w:themeColor="text1"/>
          <w:sz w:val="24"/>
          <w:szCs w:val="24"/>
        </w:rPr>
        <w:t>2.2投标人必须提供每批次生产厂家自检检测报告。</w:t>
      </w:r>
    </w:p>
    <w:p>
      <w:pPr>
        <w:autoSpaceDE w:val="0"/>
        <w:autoSpaceDN w:val="0"/>
        <w:spacing w:line="520" w:lineRule="exact"/>
        <w:ind w:firstLine="480" w:firstLineChars="200"/>
        <w:rPr>
          <w:color w:val="000000" w:themeColor="text1"/>
          <w:sz w:val="24"/>
          <w:szCs w:val="24"/>
        </w:rPr>
      </w:pPr>
      <w:r>
        <w:rPr>
          <w:rFonts w:hint="eastAsia"/>
          <w:color w:val="000000" w:themeColor="text1"/>
          <w:sz w:val="24"/>
          <w:szCs w:val="24"/>
        </w:rPr>
        <w:t>2.3投标人须对所投标产品投保食品质量或安全责任保险。</w:t>
      </w:r>
    </w:p>
    <w:p>
      <w:pPr>
        <w:autoSpaceDE w:val="0"/>
        <w:autoSpaceDN w:val="0"/>
        <w:spacing w:line="520" w:lineRule="exact"/>
        <w:ind w:firstLine="480" w:firstLineChars="200"/>
        <w:rPr>
          <w:color w:val="000000" w:themeColor="text1"/>
          <w:sz w:val="24"/>
          <w:szCs w:val="24"/>
        </w:rPr>
      </w:pPr>
      <w:r>
        <w:rPr>
          <w:rFonts w:hint="eastAsia"/>
          <w:color w:val="000000" w:themeColor="text1"/>
          <w:sz w:val="24"/>
          <w:szCs w:val="24"/>
        </w:rPr>
        <w:t>2.4投标人所提供的货物必须是合格产品，通过合法渠道获得。</w:t>
      </w:r>
    </w:p>
    <w:p>
      <w:pPr>
        <w:autoSpaceDE w:val="0"/>
        <w:autoSpaceDN w:val="0"/>
        <w:spacing w:line="520" w:lineRule="exact"/>
        <w:ind w:firstLine="480" w:firstLineChars="200"/>
        <w:rPr>
          <w:color w:val="000000" w:themeColor="text1"/>
          <w:sz w:val="24"/>
          <w:szCs w:val="24"/>
        </w:rPr>
      </w:pPr>
      <w:r>
        <w:rPr>
          <w:rFonts w:hint="eastAsia"/>
          <w:color w:val="000000" w:themeColor="text1"/>
          <w:sz w:val="24"/>
          <w:szCs w:val="24"/>
        </w:rPr>
        <w:t>2.5投标人所提供给学校的面包、蛋糕外包装箱必须有明确标识学生营养餐等字样，与市场产品适当的区分。</w:t>
      </w:r>
    </w:p>
    <w:p>
      <w:pPr>
        <w:autoSpaceDE w:val="0"/>
        <w:autoSpaceDN w:val="0"/>
        <w:spacing w:line="520" w:lineRule="exact"/>
        <w:ind w:firstLine="480" w:firstLineChars="200"/>
        <w:rPr>
          <w:color w:val="000000" w:themeColor="text1"/>
          <w:sz w:val="24"/>
          <w:szCs w:val="24"/>
        </w:rPr>
      </w:pPr>
      <w:r>
        <w:rPr>
          <w:rFonts w:hint="eastAsia"/>
          <w:color w:val="000000" w:themeColor="text1"/>
          <w:sz w:val="24"/>
          <w:szCs w:val="24"/>
        </w:rPr>
        <w:t>2.6安全责任：中标人在本项目实施过程中发生的所有安全事故由中标人自行负责。</w:t>
      </w:r>
    </w:p>
    <w:p>
      <w:pPr>
        <w:autoSpaceDE w:val="0"/>
        <w:autoSpaceDN w:val="0"/>
        <w:spacing w:line="520" w:lineRule="exact"/>
        <w:ind w:firstLine="480" w:firstLineChars="200"/>
        <w:rPr>
          <w:color w:val="000000" w:themeColor="text1"/>
          <w:sz w:val="24"/>
          <w:szCs w:val="24"/>
        </w:rPr>
      </w:pPr>
      <w:r>
        <w:rPr>
          <w:rFonts w:hint="eastAsia"/>
          <w:color w:val="000000" w:themeColor="text1"/>
          <w:sz w:val="24"/>
          <w:szCs w:val="24"/>
        </w:rPr>
        <w:t>2.7投标人的报价应包含产品制造、人工、包装、仓储、运输（含保险、卸车费）、税金、售后及相关的全部费用。投标人的报价应充分考虑到产品、人工、运输条件增长的市场风险和国家政策性调价的风险系数，投标人中标后，其所报的价格不能作任何调整。</w:t>
      </w:r>
    </w:p>
    <w:p>
      <w:pPr>
        <w:pStyle w:val="12"/>
        <w:autoSpaceDE w:val="0"/>
        <w:autoSpaceDN w:val="0"/>
        <w:spacing w:line="520" w:lineRule="exact"/>
        <w:ind w:firstLine="480" w:firstLineChars="200"/>
        <w:rPr>
          <w:rFonts w:asciiTheme="majorEastAsia" w:hAnsiTheme="majorEastAsia" w:eastAsiaTheme="majorEastAsia" w:cstheme="majorEastAsia"/>
          <w:color w:val="000000" w:themeColor="text1"/>
          <w:sz w:val="24"/>
          <w:szCs w:val="24"/>
          <w:lang w:val="en-US"/>
        </w:rPr>
      </w:pPr>
      <w:r>
        <w:rPr>
          <w:rFonts w:hint="eastAsia" w:asciiTheme="majorEastAsia" w:hAnsiTheme="majorEastAsia" w:eastAsiaTheme="majorEastAsia" w:cstheme="majorEastAsia"/>
          <w:b/>
          <w:bCs/>
          <w:color w:val="000000" w:themeColor="text1"/>
          <w:sz w:val="24"/>
          <w:szCs w:val="24"/>
          <w:lang w:val="en-US"/>
        </w:rPr>
        <w:t>3、 面包技术参数：</w:t>
      </w:r>
    </w:p>
    <w:p>
      <w:pPr>
        <w:pStyle w:val="12"/>
        <w:autoSpaceDE w:val="0"/>
        <w:autoSpaceDN w:val="0"/>
        <w:spacing w:line="520" w:lineRule="exact"/>
        <w:ind w:firstLine="480" w:firstLineChars="200"/>
        <w:rPr>
          <w:rFonts w:asciiTheme="majorEastAsia" w:hAnsiTheme="majorEastAsia" w:eastAsiaTheme="majorEastAsia" w:cstheme="majorEastAsia"/>
          <w:color w:val="000000" w:themeColor="text1"/>
          <w:sz w:val="24"/>
          <w:szCs w:val="24"/>
          <w:lang w:val="en-US"/>
        </w:rPr>
      </w:pPr>
      <w:r>
        <w:rPr>
          <w:rFonts w:hint="eastAsia" w:asciiTheme="majorEastAsia" w:hAnsiTheme="majorEastAsia" w:eastAsiaTheme="majorEastAsia" w:cstheme="majorEastAsia"/>
          <w:color w:val="000000" w:themeColor="text1"/>
          <w:sz w:val="24"/>
          <w:szCs w:val="24"/>
          <w:lang w:val="en-US"/>
        </w:rPr>
        <w:t>*3</w:t>
      </w:r>
      <w:r>
        <w:rPr>
          <w:rFonts w:hint="eastAsia" w:asciiTheme="majorEastAsia" w:hAnsiTheme="majorEastAsia" w:eastAsiaTheme="majorEastAsia" w:cstheme="majorEastAsia"/>
          <w:color w:val="000000" w:themeColor="text1"/>
          <w:sz w:val="24"/>
          <w:szCs w:val="24"/>
        </w:rPr>
        <w:t>.1 本品以精制</w:t>
      </w:r>
      <w:r>
        <w:rPr>
          <w:rFonts w:hint="eastAsia" w:asciiTheme="majorEastAsia" w:hAnsiTheme="majorEastAsia" w:eastAsiaTheme="majorEastAsia" w:cstheme="majorEastAsia"/>
          <w:color w:val="000000" w:themeColor="text1"/>
          <w:sz w:val="24"/>
          <w:szCs w:val="24"/>
          <w:lang w:val="en-US"/>
        </w:rPr>
        <w:t>小麦粉</w:t>
      </w:r>
      <w:r>
        <w:rPr>
          <w:rFonts w:hint="eastAsia" w:asciiTheme="majorEastAsia" w:hAnsiTheme="majorEastAsia" w:eastAsiaTheme="majorEastAsia" w:cstheme="majorEastAsia"/>
          <w:color w:val="000000" w:themeColor="text1"/>
          <w:sz w:val="24"/>
          <w:szCs w:val="24"/>
        </w:rPr>
        <w:t>、白砂糖、</w:t>
      </w:r>
      <w:r>
        <w:rPr>
          <w:rFonts w:hint="eastAsia" w:asciiTheme="majorEastAsia" w:hAnsiTheme="majorEastAsia" w:eastAsiaTheme="majorEastAsia" w:cstheme="majorEastAsia"/>
          <w:color w:val="000000" w:themeColor="text1"/>
          <w:sz w:val="24"/>
          <w:szCs w:val="24"/>
          <w:lang w:val="en-US"/>
        </w:rPr>
        <w:t>麦芽糖浆、</w:t>
      </w:r>
      <w:r>
        <w:rPr>
          <w:rFonts w:hint="eastAsia" w:asciiTheme="majorEastAsia" w:hAnsiTheme="majorEastAsia" w:eastAsiaTheme="majorEastAsia" w:cstheme="majorEastAsia"/>
          <w:color w:val="000000" w:themeColor="text1"/>
          <w:sz w:val="24"/>
          <w:szCs w:val="24"/>
        </w:rPr>
        <w:t>鸡蛋、酥油、</w:t>
      </w:r>
      <w:r>
        <w:rPr>
          <w:rFonts w:hint="eastAsia" w:asciiTheme="majorEastAsia" w:hAnsiTheme="majorEastAsia" w:eastAsiaTheme="majorEastAsia" w:cstheme="majorEastAsia"/>
          <w:color w:val="000000" w:themeColor="text1"/>
          <w:sz w:val="24"/>
          <w:szCs w:val="24"/>
          <w:lang w:val="en-US"/>
        </w:rPr>
        <w:t>全脂乳粉</w:t>
      </w:r>
      <w:r>
        <w:rPr>
          <w:rFonts w:hint="eastAsia" w:asciiTheme="majorEastAsia" w:hAnsiTheme="majorEastAsia" w:eastAsiaTheme="majorEastAsia" w:cstheme="majorEastAsia"/>
          <w:color w:val="000000" w:themeColor="text1"/>
          <w:sz w:val="24"/>
          <w:szCs w:val="24"/>
        </w:rPr>
        <w:t>为主要原料，以酵母为主要疏松剂，适量加入辅料，经发酵、烘烤而制成的糕点食品。</w:t>
      </w:r>
    </w:p>
    <w:p>
      <w:pPr>
        <w:pStyle w:val="12"/>
        <w:autoSpaceDE w:val="0"/>
        <w:autoSpaceDN w:val="0"/>
        <w:spacing w:line="52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lang w:val="en-US"/>
        </w:rPr>
        <w:t>*3</w:t>
      </w:r>
      <w:r>
        <w:rPr>
          <w:rFonts w:hint="eastAsia" w:asciiTheme="majorEastAsia" w:hAnsiTheme="majorEastAsia" w:eastAsiaTheme="majorEastAsia" w:cstheme="majorEastAsia"/>
          <w:color w:val="000000" w:themeColor="text1"/>
          <w:sz w:val="24"/>
          <w:szCs w:val="24"/>
        </w:rPr>
        <w:t xml:space="preserve">.2 </w:t>
      </w:r>
      <w:r>
        <w:rPr>
          <w:rFonts w:hint="eastAsia" w:asciiTheme="majorEastAsia" w:hAnsiTheme="majorEastAsia" w:eastAsiaTheme="majorEastAsia" w:cstheme="majorEastAsia"/>
          <w:color w:val="000000" w:themeColor="text1"/>
          <w:sz w:val="24"/>
          <w:szCs w:val="24"/>
          <w:lang w:val="en-US"/>
        </w:rPr>
        <w:t>面包</w:t>
      </w:r>
      <w:r>
        <w:rPr>
          <w:rFonts w:hint="eastAsia" w:asciiTheme="majorEastAsia" w:hAnsiTheme="majorEastAsia" w:eastAsiaTheme="majorEastAsia" w:cstheme="majorEastAsia"/>
          <w:color w:val="000000" w:themeColor="text1"/>
          <w:sz w:val="24"/>
          <w:szCs w:val="24"/>
        </w:rPr>
        <w:t>其营养成分含量和主要原料鲜鸡蛋、小麦粉符合《</w:t>
      </w:r>
      <w:r>
        <w:rPr>
          <w:rFonts w:hint="eastAsia" w:asciiTheme="majorEastAsia" w:hAnsiTheme="majorEastAsia" w:eastAsiaTheme="majorEastAsia" w:cstheme="majorEastAsia"/>
          <w:color w:val="000000" w:themeColor="text1"/>
          <w:sz w:val="24"/>
          <w:szCs w:val="24"/>
          <w:lang w:val="en-US"/>
        </w:rPr>
        <w:t>LS/T 3201-3208 -1993专用小麦粉</w:t>
      </w:r>
      <w:r>
        <w:rPr>
          <w:rFonts w:hint="eastAsia" w:asciiTheme="majorEastAsia" w:hAnsiTheme="majorEastAsia" w:eastAsiaTheme="majorEastAsia" w:cstheme="majorEastAsia"/>
          <w:color w:val="000000" w:themeColor="text1"/>
          <w:sz w:val="24"/>
          <w:szCs w:val="24"/>
        </w:rPr>
        <w:t>》和《GB/T24303-2009粮油检验、小麦粉蛋糕烘焙品质试验、海绵蛋糕法》，</w:t>
      </w:r>
      <w:r>
        <w:rPr>
          <w:rFonts w:hint="eastAsia" w:asciiTheme="majorEastAsia" w:hAnsiTheme="majorEastAsia" w:eastAsiaTheme="majorEastAsia" w:cstheme="majorEastAsia"/>
          <w:color w:val="000000" w:themeColor="text1"/>
          <w:sz w:val="24"/>
          <w:szCs w:val="24"/>
          <w:lang w:val="en-US"/>
        </w:rPr>
        <w:t>白砂糖符合《GB/T 317-2018白砂糖》标准要求，麦芽糖浆符合《</w:t>
      </w:r>
      <w:r>
        <w:rPr>
          <w:rFonts w:hint="eastAsia" w:asciiTheme="majorEastAsia" w:hAnsiTheme="majorEastAsia" w:eastAsiaTheme="majorEastAsia" w:cstheme="majorEastAsia"/>
          <w:color w:val="000000" w:themeColor="text1"/>
          <w:sz w:val="24"/>
          <w:szCs w:val="24"/>
        </w:rPr>
        <w:t>GB/T</w:t>
      </w:r>
      <w:r>
        <w:rPr>
          <w:rFonts w:hint="eastAsia" w:asciiTheme="majorEastAsia" w:hAnsiTheme="majorEastAsia" w:eastAsiaTheme="majorEastAsia" w:cstheme="majorEastAsia"/>
          <w:color w:val="000000" w:themeColor="text1"/>
          <w:sz w:val="24"/>
          <w:szCs w:val="24"/>
          <w:lang w:val="en-US"/>
        </w:rPr>
        <w:t xml:space="preserve"> </w:t>
      </w:r>
      <w:r>
        <w:rPr>
          <w:rFonts w:hint="eastAsia" w:asciiTheme="majorEastAsia" w:hAnsiTheme="majorEastAsia" w:eastAsiaTheme="majorEastAsia" w:cstheme="majorEastAsia"/>
          <w:color w:val="000000" w:themeColor="text1"/>
          <w:sz w:val="24"/>
          <w:szCs w:val="24"/>
        </w:rPr>
        <w:t>20883</w:t>
      </w:r>
      <w:r>
        <w:rPr>
          <w:rFonts w:hint="eastAsia" w:asciiTheme="majorEastAsia" w:hAnsiTheme="majorEastAsia" w:eastAsiaTheme="majorEastAsia" w:cstheme="majorEastAsia"/>
          <w:color w:val="000000" w:themeColor="text1"/>
          <w:sz w:val="24"/>
          <w:szCs w:val="24"/>
          <w:lang w:val="en-US"/>
        </w:rPr>
        <w:t>-2017麦芽糖</w:t>
      </w:r>
      <w:r>
        <w:rPr>
          <w:rFonts w:hint="eastAsia" w:asciiTheme="majorEastAsia" w:hAnsiTheme="majorEastAsia" w:eastAsiaTheme="majorEastAsia" w:cstheme="majorEastAsia"/>
          <w:color w:val="000000" w:themeColor="text1"/>
          <w:sz w:val="24"/>
          <w:szCs w:val="24"/>
        </w:rPr>
        <w:t>》</w:t>
      </w:r>
      <w:r>
        <w:rPr>
          <w:rFonts w:hint="eastAsia" w:asciiTheme="majorEastAsia" w:hAnsiTheme="majorEastAsia" w:eastAsiaTheme="majorEastAsia" w:cstheme="majorEastAsia"/>
          <w:color w:val="000000" w:themeColor="text1"/>
          <w:sz w:val="24"/>
          <w:szCs w:val="24"/>
          <w:lang w:val="en-US"/>
        </w:rPr>
        <w:t>标准要求，全脂乳粉为进口产品，</w:t>
      </w:r>
      <w:r>
        <w:rPr>
          <w:rFonts w:hint="eastAsia" w:asciiTheme="majorEastAsia" w:hAnsiTheme="majorEastAsia" w:eastAsiaTheme="majorEastAsia" w:cstheme="majorEastAsia"/>
          <w:color w:val="000000" w:themeColor="text1"/>
          <w:sz w:val="24"/>
          <w:szCs w:val="24"/>
        </w:rPr>
        <w:t>食品添加剂符合《GB2760-201</w:t>
      </w:r>
      <w:r>
        <w:rPr>
          <w:rFonts w:hint="eastAsia" w:asciiTheme="majorEastAsia" w:hAnsiTheme="majorEastAsia" w:eastAsiaTheme="majorEastAsia" w:cstheme="majorEastAsia"/>
          <w:color w:val="000000" w:themeColor="text1"/>
          <w:sz w:val="24"/>
          <w:szCs w:val="24"/>
          <w:lang w:val="en-US"/>
        </w:rPr>
        <w:t>4</w:t>
      </w:r>
      <w:r>
        <w:rPr>
          <w:rFonts w:hint="eastAsia" w:asciiTheme="majorEastAsia" w:hAnsiTheme="majorEastAsia" w:eastAsiaTheme="majorEastAsia" w:cstheme="majorEastAsia"/>
          <w:color w:val="000000" w:themeColor="text1"/>
          <w:sz w:val="24"/>
          <w:szCs w:val="24"/>
        </w:rPr>
        <w:t>食品安全国家标准、食品添加剂使用标准》，</w:t>
      </w:r>
      <w:r>
        <w:rPr>
          <w:rFonts w:hint="eastAsia" w:asciiTheme="majorEastAsia" w:hAnsiTheme="majorEastAsia" w:eastAsiaTheme="majorEastAsia" w:cstheme="majorEastAsia"/>
          <w:color w:val="000000" w:themeColor="text1"/>
          <w:sz w:val="24"/>
          <w:szCs w:val="24"/>
          <w:lang w:val="en-US"/>
        </w:rPr>
        <w:t>未</w:t>
      </w:r>
      <w:r>
        <w:rPr>
          <w:rFonts w:hint="eastAsia" w:asciiTheme="majorEastAsia" w:hAnsiTheme="majorEastAsia" w:eastAsiaTheme="majorEastAsia" w:cstheme="majorEastAsia"/>
          <w:color w:val="000000" w:themeColor="text1"/>
          <w:sz w:val="24"/>
          <w:szCs w:val="24"/>
        </w:rPr>
        <w:t>使用蛋白粉等物质提高蛋白质含量。</w:t>
      </w:r>
    </w:p>
    <w:p>
      <w:pPr>
        <w:pStyle w:val="12"/>
        <w:autoSpaceDE w:val="0"/>
        <w:autoSpaceDN w:val="0"/>
        <w:spacing w:line="52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lang w:val="en-US"/>
        </w:rPr>
        <w:t>*3</w:t>
      </w:r>
      <w:r>
        <w:rPr>
          <w:rFonts w:hint="eastAsia" w:asciiTheme="majorEastAsia" w:hAnsiTheme="majorEastAsia" w:eastAsiaTheme="majorEastAsia" w:cstheme="majorEastAsia"/>
          <w:color w:val="000000" w:themeColor="text1"/>
          <w:sz w:val="24"/>
          <w:szCs w:val="24"/>
        </w:rPr>
        <w:t xml:space="preserve">.3 </w:t>
      </w:r>
      <w:r>
        <w:rPr>
          <w:rFonts w:hint="eastAsia" w:asciiTheme="majorEastAsia" w:hAnsiTheme="majorEastAsia" w:eastAsiaTheme="majorEastAsia" w:cstheme="majorEastAsia"/>
          <w:color w:val="000000" w:themeColor="text1"/>
          <w:sz w:val="24"/>
          <w:szCs w:val="24"/>
          <w:lang w:val="en-US"/>
        </w:rPr>
        <w:t>面包</w:t>
      </w:r>
      <w:r>
        <w:rPr>
          <w:rFonts w:hint="eastAsia" w:asciiTheme="majorEastAsia" w:hAnsiTheme="majorEastAsia" w:eastAsiaTheme="majorEastAsia" w:cstheme="majorEastAsia"/>
          <w:color w:val="000000" w:themeColor="text1"/>
          <w:sz w:val="24"/>
          <w:szCs w:val="24"/>
        </w:rPr>
        <w:t>包装材料、标签、方法、卫生等符合国家和行业标准。</w:t>
      </w:r>
      <w:r>
        <w:rPr>
          <w:rFonts w:hint="eastAsia" w:asciiTheme="majorEastAsia" w:hAnsiTheme="majorEastAsia" w:eastAsiaTheme="majorEastAsia" w:cstheme="majorEastAsia"/>
          <w:color w:val="000000" w:themeColor="text1"/>
          <w:sz w:val="24"/>
          <w:szCs w:val="24"/>
          <w:lang w:val="en-US"/>
        </w:rPr>
        <w:t>包膜符合《GB/T 10004-2008包装用塑料复合膜、袋干法复合、挤出复合》，外包装用纸箱符合《GB/T 6543-2008 运输包装单瓦楞纸箱和双瓦楞纸箱》，产品</w:t>
      </w:r>
      <w:r>
        <w:rPr>
          <w:rFonts w:hint="eastAsia" w:asciiTheme="majorEastAsia" w:hAnsiTheme="majorEastAsia" w:eastAsiaTheme="majorEastAsia" w:cstheme="majorEastAsia"/>
          <w:color w:val="000000" w:themeColor="text1"/>
          <w:sz w:val="24"/>
          <w:szCs w:val="24"/>
        </w:rPr>
        <w:t>包装符合《GB</w:t>
      </w:r>
      <w:r>
        <w:rPr>
          <w:rFonts w:hint="eastAsia" w:asciiTheme="majorEastAsia" w:hAnsiTheme="majorEastAsia" w:eastAsiaTheme="majorEastAsia" w:cstheme="majorEastAsia"/>
          <w:color w:val="000000" w:themeColor="text1"/>
          <w:sz w:val="24"/>
          <w:szCs w:val="24"/>
          <w:lang w:val="en-US"/>
        </w:rPr>
        <w:t xml:space="preserve"> </w:t>
      </w:r>
      <w:r>
        <w:rPr>
          <w:rFonts w:hint="eastAsia" w:asciiTheme="majorEastAsia" w:hAnsiTheme="majorEastAsia" w:eastAsiaTheme="majorEastAsia" w:cstheme="majorEastAsia"/>
          <w:color w:val="000000" w:themeColor="text1"/>
          <w:sz w:val="24"/>
          <w:szCs w:val="24"/>
        </w:rPr>
        <w:t>7718-2011预包装食品标签通则》、《GB</w:t>
      </w:r>
      <w:r>
        <w:rPr>
          <w:rFonts w:hint="eastAsia" w:asciiTheme="majorEastAsia" w:hAnsiTheme="majorEastAsia" w:eastAsiaTheme="majorEastAsia" w:cstheme="majorEastAsia"/>
          <w:color w:val="000000" w:themeColor="text1"/>
          <w:sz w:val="24"/>
          <w:szCs w:val="24"/>
          <w:lang w:val="en-US"/>
        </w:rPr>
        <w:t xml:space="preserve"> </w:t>
      </w:r>
      <w:r>
        <w:rPr>
          <w:rFonts w:hint="eastAsia" w:asciiTheme="majorEastAsia" w:hAnsiTheme="majorEastAsia" w:eastAsiaTheme="majorEastAsia" w:cstheme="majorEastAsia"/>
          <w:color w:val="000000" w:themeColor="text1"/>
          <w:sz w:val="24"/>
          <w:szCs w:val="24"/>
        </w:rPr>
        <w:t>28050-2011预包装食品营养标签通则》、《NY/T658-2002</w:t>
      </w:r>
      <w:r>
        <w:rPr>
          <w:rFonts w:hint="eastAsia" w:asciiTheme="majorEastAsia" w:hAnsiTheme="majorEastAsia" w:eastAsiaTheme="majorEastAsia" w:cstheme="majorEastAsia"/>
          <w:color w:val="000000" w:themeColor="text1"/>
          <w:sz w:val="24"/>
          <w:szCs w:val="24"/>
          <w:lang w:val="en-US"/>
        </w:rPr>
        <w:t>绿色食品包装通用准则》</w:t>
      </w:r>
      <w:r>
        <w:rPr>
          <w:rFonts w:hint="eastAsia" w:asciiTheme="majorEastAsia" w:hAnsiTheme="majorEastAsia" w:eastAsiaTheme="majorEastAsia" w:cstheme="majorEastAsia"/>
          <w:color w:val="000000" w:themeColor="text1"/>
          <w:sz w:val="24"/>
          <w:szCs w:val="24"/>
        </w:rPr>
        <w:t>的规定及相关技术规范。</w:t>
      </w:r>
    </w:p>
    <w:p>
      <w:pPr>
        <w:pStyle w:val="12"/>
        <w:autoSpaceDE w:val="0"/>
        <w:autoSpaceDN w:val="0"/>
        <w:spacing w:line="520" w:lineRule="exact"/>
        <w:ind w:firstLine="480" w:firstLineChars="200"/>
        <w:rPr>
          <w:rFonts w:asciiTheme="majorEastAsia" w:hAnsiTheme="majorEastAsia" w:eastAsiaTheme="majorEastAsia" w:cstheme="majorEastAsia"/>
          <w:b/>
          <w:bCs/>
          <w:color w:val="000000" w:themeColor="text1"/>
          <w:sz w:val="24"/>
          <w:szCs w:val="24"/>
          <w:lang w:val="en-US"/>
        </w:rPr>
      </w:pPr>
      <w:r>
        <w:rPr>
          <w:rFonts w:hint="eastAsia" w:asciiTheme="majorEastAsia" w:hAnsiTheme="majorEastAsia" w:eastAsiaTheme="majorEastAsia" w:cstheme="majorEastAsia"/>
          <w:b/>
          <w:bCs/>
          <w:color w:val="000000" w:themeColor="text1"/>
          <w:sz w:val="24"/>
          <w:szCs w:val="24"/>
          <w:lang w:val="en-US"/>
        </w:rPr>
        <w:t>4、蛋糕技术参数：</w:t>
      </w:r>
    </w:p>
    <w:p>
      <w:pPr>
        <w:pStyle w:val="12"/>
        <w:autoSpaceDE w:val="0"/>
        <w:autoSpaceDN w:val="0"/>
        <w:spacing w:line="52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lang w:val="en-US"/>
        </w:rPr>
        <w:t xml:space="preserve">*4.1 </w:t>
      </w:r>
      <w:r>
        <w:rPr>
          <w:rFonts w:hint="eastAsia" w:asciiTheme="majorEastAsia" w:hAnsiTheme="majorEastAsia" w:eastAsiaTheme="majorEastAsia" w:cstheme="majorEastAsia"/>
          <w:color w:val="000000" w:themeColor="text1"/>
          <w:sz w:val="24"/>
          <w:szCs w:val="24"/>
        </w:rPr>
        <w:t>本品是以鸡蛋、小麦粉、</w:t>
      </w:r>
      <w:r>
        <w:rPr>
          <w:rFonts w:hint="eastAsia" w:asciiTheme="majorEastAsia" w:hAnsiTheme="majorEastAsia" w:eastAsiaTheme="majorEastAsia" w:cstheme="majorEastAsia"/>
          <w:color w:val="000000" w:themeColor="text1"/>
          <w:sz w:val="24"/>
          <w:szCs w:val="24"/>
          <w:lang w:val="en-US"/>
        </w:rPr>
        <w:t>白砂</w:t>
      </w:r>
      <w:r>
        <w:rPr>
          <w:rFonts w:hint="eastAsia" w:asciiTheme="majorEastAsia" w:hAnsiTheme="majorEastAsia" w:eastAsiaTheme="majorEastAsia" w:cstheme="majorEastAsia"/>
          <w:color w:val="000000" w:themeColor="text1"/>
          <w:sz w:val="24"/>
          <w:szCs w:val="24"/>
        </w:rPr>
        <w:t>糖为主要原料，加入油脂、乳化剂、</w:t>
      </w:r>
      <w:r>
        <w:rPr>
          <w:rFonts w:hint="eastAsia" w:asciiTheme="majorEastAsia" w:hAnsiTheme="majorEastAsia" w:eastAsiaTheme="majorEastAsia" w:cstheme="majorEastAsia"/>
          <w:color w:val="000000" w:themeColor="text1"/>
          <w:sz w:val="24"/>
          <w:szCs w:val="24"/>
          <w:lang w:val="en-US"/>
        </w:rPr>
        <w:t>全脂乳粉</w:t>
      </w:r>
      <w:r>
        <w:rPr>
          <w:rFonts w:hint="eastAsia" w:asciiTheme="majorEastAsia" w:hAnsiTheme="majorEastAsia" w:eastAsiaTheme="majorEastAsia" w:cstheme="majorEastAsia"/>
          <w:color w:val="000000" w:themeColor="text1"/>
          <w:sz w:val="24"/>
          <w:szCs w:val="24"/>
        </w:rPr>
        <w:t>及其它辅料，经搅打、注面、烘烤、冷却、注奶油后，卷制而成，最后经包装工艺加工处理而成的烘烤类糕点。</w:t>
      </w:r>
    </w:p>
    <w:p>
      <w:pPr>
        <w:pStyle w:val="12"/>
        <w:autoSpaceDE w:val="0"/>
        <w:autoSpaceDN w:val="0"/>
        <w:spacing w:line="520" w:lineRule="exact"/>
        <w:ind w:firstLine="480" w:firstLineChars="200"/>
        <w:rPr>
          <w:rFonts w:asciiTheme="majorEastAsia" w:hAnsiTheme="majorEastAsia" w:eastAsiaTheme="majorEastAsia" w:cstheme="majorEastAsia"/>
          <w:color w:val="000000" w:themeColor="text1"/>
          <w:sz w:val="24"/>
          <w:szCs w:val="24"/>
          <w:lang w:val="en-US"/>
        </w:rPr>
      </w:pPr>
      <w:r>
        <w:rPr>
          <w:rFonts w:hint="eastAsia" w:asciiTheme="majorEastAsia" w:hAnsiTheme="majorEastAsia" w:eastAsiaTheme="majorEastAsia" w:cstheme="majorEastAsia"/>
          <w:color w:val="000000" w:themeColor="text1"/>
          <w:sz w:val="24"/>
          <w:szCs w:val="24"/>
          <w:lang w:val="en-US"/>
        </w:rPr>
        <w:t>*4.2 糕点其营养成分含量和主要原料鲜鸡蛋、小麦粉符合《LS/T 3201-3208 -1993专用小麦粉》和《GB/T24303-2009粮油检验、小麦粉蛋糕烘焙品质试验、海绵蛋糕法》，白砂糖符合《GB/T 317-2018白砂糖》标准要求，果葡糖浆符合《GB/T 20882-2007果葡糖浆》标准要求，全脂乳粉为进口产品，食品添加剂符合《GB2760-2014食品安全国家标准、食品添加剂使用标准》。未使用蛋白粉等物质提高蛋白质含量。</w:t>
      </w:r>
    </w:p>
    <w:p>
      <w:pPr>
        <w:pStyle w:val="12"/>
        <w:autoSpaceDE w:val="0"/>
        <w:autoSpaceDN w:val="0"/>
        <w:spacing w:line="520" w:lineRule="exact"/>
        <w:ind w:firstLine="480" w:firstLineChars="200"/>
        <w:rPr>
          <w:rFonts w:asciiTheme="majorEastAsia" w:hAnsiTheme="majorEastAsia" w:eastAsiaTheme="majorEastAsia" w:cstheme="majorEastAsia"/>
          <w:color w:val="000000" w:themeColor="text1"/>
          <w:sz w:val="24"/>
          <w:szCs w:val="24"/>
          <w:lang w:val="en-US"/>
        </w:rPr>
      </w:pPr>
      <w:r>
        <w:rPr>
          <w:rFonts w:hint="eastAsia" w:asciiTheme="majorEastAsia" w:hAnsiTheme="majorEastAsia" w:eastAsiaTheme="majorEastAsia" w:cstheme="majorEastAsia"/>
          <w:color w:val="000000" w:themeColor="text1"/>
          <w:sz w:val="24"/>
          <w:szCs w:val="24"/>
          <w:lang w:val="en-US"/>
        </w:rPr>
        <w:t>*4.3 蛋糕包装材料、标签、方法、卫生等符合国家和行业标准。包膜符合《GB/T 10004-2008包装用塑料复合膜、袋干法复合、挤出复合》，外包装用纸箱符合《GB/T 6543-2008 运输包装单瓦楞纸箱和双瓦楞纸箱》，包装符合《GB 7718-2011预包装食品标签通则》、《GB 28050-2011预包装食品营养标签通则》、《NY/T658-2002绿色食品包装通用准则》的规定及相关技术规范。</w:t>
      </w:r>
    </w:p>
    <w:p>
      <w:pPr>
        <w:pStyle w:val="12"/>
        <w:autoSpaceDE w:val="0"/>
        <w:autoSpaceDN w:val="0"/>
        <w:spacing w:line="360" w:lineRule="auto"/>
        <w:ind w:firstLine="480" w:firstLineChars="200"/>
        <w:rPr>
          <w:rFonts w:asciiTheme="majorEastAsia" w:hAnsiTheme="majorEastAsia" w:eastAsiaTheme="majorEastAsia" w:cstheme="majorEastAsia"/>
          <w:color w:val="000000" w:themeColor="text1"/>
          <w:sz w:val="24"/>
          <w:szCs w:val="24"/>
          <w:lang w:val="en-US"/>
        </w:rPr>
      </w:pPr>
    </w:p>
    <w:p>
      <w:pPr>
        <w:jc w:val="center"/>
        <w:rPr>
          <w:rFonts w:asciiTheme="majorEastAsia" w:hAnsiTheme="majorEastAsia" w:eastAsiaTheme="majorEastAsia" w:cstheme="majorEastAsia"/>
          <w:b/>
          <w:bCs/>
          <w:color w:val="000000" w:themeColor="text1"/>
          <w:sz w:val="24"/>
          <w:szCs w:val="24"/>
        </w:rPr>
      </w:pPr>
    </w:p>
    <w:p>
      <w:pPr>
        <w:jc w:val="center"/>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食品安全国家标准</w:t>
      </w:r>
    </w:p>
    <w:p>
      <w:pPr>
        <w:spacing w:line="360" w:lineRule="auto"/>
        <w:jc w:val="center"/>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糕点、面包</w:t>
      </w:r>
    </w:p>
    <w:p>
      <w:pPr>
        <w:numPr>
          <w:ilvl w:val="0"/>
          <w:numId w:val="18"/>
        </w:numPr>
        <w:spacing w:line="520" w:lineRule="exact"/>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范围</w:t>
      </w:r>
    </w:p>
    <w:p>
      <w:pPr>
        <w:spacing w:line="520" w:lineRule="exact"/>
        <w:ind w:firstLine="240" w:firstLineChars="1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本标准适用于糕点和面包</w:t>
      </w:r>
    </w:p>
    <w:p>
      <w:pPr>
        <w:pStyle w:val="5"/>
        <w:numPr>
          <w:ilvl w:val="0"/>
          <w:numId w:val="18"/>
        </w:numPr>
        <w:spacing w:line="520" w:lineRule="exact"/>
        <w:ind w:left="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术语和定义</w:t>
      </w:r>
    </w:p>
    <w:p>
      <w:pPr>
        <w:spacing w:line="520" w:lineRule="exact"/>
        <w:rPr>
          <w:color w:val="000000" w:themeColor="text1"/>
          <w:sz w:val="24"/>
          <w:szCs w:val="24"/>
        </w:rPr>
      </w:pPr>
      <w:r>
        <w:rPr>
          <w:rFonts w:hint="eastAsia"/>
          <w:color w:val="000000" w:themeColor="text1"/>
          <w:sz w:val="24"/>
          <w:szCs w:val="24"/>
        </w:rPr>
        <w:t xml:space="preserve"> 2.1 糕点</w:t>
      </w:r>
    </w:p>
    <w:p>
      <w:pPr>
        <w:pStyle w:val="5"/>
        <w:spacing w:line="520" w:lineRule="exact"/>
        <w:ind w:left="0"/>
        <w:rPr>
          <w:b w:val="0"/>
          <w:bCs w:val="0"/>
          <w:color w:val="000000" w:themeColor="text1"/>
          <w:sz w:val="24"/>
          <w:szCs w:val="24"/>
        </w:rPr>
      </w:pPr>
      <w:r>
        <w:rPr>
          <w:rFonts w:hint="eastAsia"/>
          <w:b w:val="0"/>
          <w:bCs w:val="0"/>
          <w:color w:val="000000" w:themeColor="text1"/>
          <w:sz w:val="24"/>
          <w:szCs w:val="24"/>
        </w:rPr>
        <w:t xml:space="preserve">   以谷类、豆类、薯类、油脂、糖、蛋等的一种或几种为主要原料，添加或不添加其他原料，经调制、成型、熟制等工序制成的食品，以及熟制前或熟制后在产品表面或熟制后内部添加奶油、蛋白、可可、果酱等的食品。</w:t>
      </w:r>
    </w:p>
    <w:p>
      <w:pPr>
        <w:spacing w:line="520" w:lineRule="exact"/>
        <w:rPr>
          <w:b/>
          <w:bCs/>
          <w:color w:val="000000" w:themeColor="text1"/>
          <w:sz w:val="24"/>
          <w:szCs w:val="24"/>
        </w:rPr>
      </w:pPr>
      <w:r>
        <w:rPr>
          <w:rFonts w:hint="eastAsia"/>
          <w:b/>
          <w:bCs/>
          <w:color w:val="000000" w:themeColor="text1"/>
          <w:sz w:val="24"/>
          <w:szCs w:val="24"/>
        </w:rPr>
        <w:t>2.2 面包</w:t>
      </w:r>
    </w:p>
    <w:p>
      <w:pPr>
        <w:pStyle w:val="5"/>
        <w:spacing w:line="520" w:lineRule="exact"/>
        <w:ind w:left="0"/>
        <w:rPr>
          <w:b w:val="0"/>
          <w:bCs w:val="0"/>
          <w:color w:val="000000" w:themeColor="text1"/>
          <w:sz w:val="24"/>
          <w:szCs w:val="24"/>
        </w:rPr>
      </w:pPr>
      <w:r>
        <w:rPr>
          <w:rFonts w:hint="eastAsia"/>
          <w:b w:val="0"/>
          <w:bCs w:val="0"/>
          <w:color w:val="000000" w:themeColor="text1"/>
          <w:sz w:val="24"/>
          <w:szCs w:val="24"/>
        </w:rPr>
        <w:t xml:space="preserve">   以小麦粉、酵母、水等为主要原料，添加或不添加其他原料，经搅拌、发酵、整形、醒发、熟制等工艺制成的食品，以及熟制前或熟制后在产品表面或内部添加奶油、蛋白、可可、果酱等的食品。</w:t>
      </w:r>
    </w:p>
    <w:p>
      <w:pPr>
        <w:numPr>
          <w:ilvl w:val="0"/>
          <w:numId w:val="18"/>
        </w:numPr>
        <w:spacing w:line="520" w:lineRule="exact"/>
        <w:rPr>
          <w:b/>
          <w:bCs/>
          <w:color w:val="000000" w:themeColor="text1"/>
          <w:sz w:val="24"/>
          <w:szCs w:val="24"/>
        </w:rPr>
      </w:pPr>
      <w:r>
        <w:rPr>
          <w:rFonts w:hint="eastAsia"/>
          <w:b/>
          <w:bCs/>
          <w:color w:val="000000" w:themeColor="text1"/>
          <w:sz w:val="24"/>
          <w:szCs w:val="24"/>
        </w:rPr>
        <w:t>技术要求</w:t>
      </w:r>
    </w:p>
    <w:p>
      <w:pPr>
        <w:pStyle w:val="5"/>
        <w:spacing w:line="520" w:lineRule="exact"/>
        <w:ind w:left="0"/>
        <w:rPr>
          <w:color w:val="000000" w:themeColor="text1"/>
          <w:sz w:val="24"/>
          <w:szCs w:val="24"/>
        </w:rPr>
      </w:pPr>
      <w:r>
        <w:rPr>
          <w:rFonts w:hint="eastAsia"/>
          <w:color w:val="000000" w:themeColor="text1"/>
          <w:sz w:val="24"/>
          <w:szCs w:val="24"/>
        </w:rPr>
        <w:t>3.1原料要求</w:t>
      </w:r>
    </w:p>
    <w:p>
      <w:pPr>
        <w:spacing w:line="520" w:lineRule="exact"/>
        <w:rPr>
          <w:color w:val="000000" w:themeColor="text1"/>
          <w:sz w:val="24"/>
          <w:szCs w:val="24"/>
        </w:rPr>
      </w:pPr>
      <w:r>
        <w:rPr>
          <w:rFonts w:hint="eastAsia"/>
          <w:color w:val="000000" w:themeColor="text1"/>
          <w:sz w:val="24"/>
          <w:szCs w:val="24"/>
        </w:rPr>
        <w:t xml:space="preserve">  原料应符合相应的食品标准和有关规定。</w:t>
      </w:r>
    </w:p>
    <w:p>
      <w:pPr>
        <w:pStyle w:val="5"/>
        <w:spacing w:line="520" w:lineRule="exact"/>
        <w:ind w:left="0"/>
        <w:rPr>
          <w:color w:val="000000" w:themeColor="text1"/>
          <w:sz w:val="24"/>
          <w:szCs w:val="24"/>
        </w:rPr>
      </w:pPr>
      <w:r>
        <w:rPr>
          <w:rFonts w:hint="eastAsia"/>
          <w:color w:val="000000" w:themeColor="text1"/>
          <w:sz w:val="24"/>
          <w:szCs w:val="24"/>
        </w:rPr>
        <w:t>3.2 感官要求</w:t>
      </w:r>
    </w:p>
    <w:p>
      <w:pPr>
        <w:spacing w:line="520" w:lineRule="exact"/>
        <w:ind w:firstLine="480" w:firstLineChars="200"/>
        <w:rPr>
          <w:color w:val="000000" w:themeColor="text1"/>
          <w:sz w:val="24"/>
          <w:szCs w:val="24"/>
        </w:rPr>
      </w:pPr>
      <w:r>
        <w:rPr>
          <w:rFonts w:hint="eastAsia"/>
          <w:color w:val="000000" w:themeColor="text1"/>
          <w:sz w:val="24"/>
          <w:szCs w:val="24"/>
        </w:rPr>
        <w:t>感官要求应符合表1的规定</w:t>
      </w:r>
    </w:p>
    <w:p>
      <w:pPr>
        <w:pStyle w:val="5"/>
        <w:spacing w:line="360" w:lineRule="auto"/>
        <w:ind w:left="0"/>
        <w:jc w:val="center"/>
        <w:rPr>
          <w:color w:val="000000" w:themeColor="text1"/>
          <w:sz w:val="24"/>
          <w:szCs w:val="24"/>
        </w:rPr>
      </w:pPr>
      <w:r>
        <w:rPr>
          <w:rFonts w:hint="eastAsia"/>
          <w:color w:val="000000" w:themeColor="text1"/>
          <w:sz w:val="24"/>
          <w:szCs w:val="24"/>
        </w:rPr>
        <w:t>表1 感官要求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78"/>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eastAsia="Times New Roman"/>
                <w:color w:val="000000" w:themeColor="text1"/>
                <w:sz w:val="24"/>
                <w:szCs w:val="24"/>
              </w:rPr>
            </w:pPr>
            <w:r>
              <w:rPr>
                <w:rFonts w:hint="eastAsia" w:eastAsia="Times New Roman"/>
                <w:color w:val="000000" w:themeColor="text1"/>
                <w:sz w:val="24"/>
                <w:szCs w:val="24"/>
              </w:rPr>
              <w:t>项目</w:t>
            </w:r>
          </w:p>
        </w:tc>
        <w:tc>
          <w:tcPr>
            <w:tcW w:w="2978" w:type="dxa"/>
          </w:tcPr>
          <w:p>
            <w:pPr>
              <w:spacing w:line="360" w:lineRule="auto"/>
              <w:jc w:val="center"/>
              <w:rPr>
                <w:rFonts w:eastAsia="Times New Roman"/>
                <w:color w:val="000000" w:themeColor="text1"/>
                <w:sz w:val="24"/>
                <w:szCs w:val="24"/>
              </w:rPr>
            </w:pPr>
            <w:r>
              <w:rPr>
                <w:rFonts w:hint="eastAsia" w:eastAsia="Times New Roman"/>
                <w:color w:val="000000" w:themeColor="text1"/>
                <w:sz w:val="24"/>
                <w:szCs w:val="24"/>
              </w:rPr>
              <w:t>要求</w:t>
            </w:r>
          </w:p>
        </w:tc>
        <w:tc>
          <w:tcPr>
            <w:tcW w:w="5494" w:type="dxa"/>
          </w:tcPr>
          <w:p>
            <w:pPr>
              <w:spacing w:line="360" w:lineRule="auto"/>
              <w:jc w:val="center"/>
              <w:rPr>
                <w:rFonts w:eastAsia="Times New Roman"/>
                <w:color w:val="000000" w:themeColor="text1"/>
                <w:sz w:val="24"/>
                <w:szCs w:val="24"/>
              </w:rPr>
            </w:pPr>
            <w:r>
              <w:rPr>
                <w:rFonts w:hint="eastAsia" w:eastAsia="Times New Roman"/>
                <w:color w:val="000000" w:themeColor="text1"/>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360" w:lineRule="auto"/>
              <w:jc w:val="center"/>
              <w:rPr>
                <w:rFonts w:eastAsia="Times New Roman"/>
                <w:color w:val="000000" w:themeColor="text1"/>
                <w:sz w:val="24"/>
                <w:szCs w:val="24"/>
              </w:rPr>
            </w:pPr>
            <w:r>
              <w:rPr>
                <w:rFonts w:hint="eastAsia" w:eastAsia="Times New Roman"/>
                <w:color w:val="000000" w:themeColor="text1"/>
                <w:sz w:val="24"/>
                <w:szCs w:val="24"/>
              </w:rPr>
              <w:t>色泽</w:t>
            </w:r>
          </w:p>
        </w:tc>
        <w:tc>
          <w:tcPr>
            <w:tcW w:w="2978" w:type="dxa"/>
          </w:tcPr>
          <w:p>
            <w:pPr>
              <w:spacing w:line="360" w:lineRule="auto"/>
              <w:rPr>
                <w:rFonts w:eastAsia="Times New Roman"/>
                <w:color w:val="000000" w:themeColor="text1"/>
                <w:sz w:val="24"/>
                <w:szCs w:val="24"/>
              </w:rPr>
            </w:pPr>
            <w:r>
              <w:rPr>
                <w:rFonts w:hint="eastAsia" w:eastAsia="Times New Roman"/>
                <w:color w:val="000000" w:themeColor="text1"/>
                <w:sz w:val="24"/>
                <w:szCs w:val="24"/>
              </w:rPr>
              <w:t>具有产品应有的正常色泽</w:t>
            </w:r>
          </w:p>
        </w:tc>
        <w:tc>
          <w:tcPr>
            <w:tcW w:w="5494" w:type="dxa"/>
            <w:vMerge w:val="restart"/>
            <w:vAlign w:val="center"/>
          </w:tcPr>
          <w:p>
            <w:pPr>
              <w:spacing w:line="360" w:lineRule="auto"/>
              <w:jc w:val="left"/>
              <w:rPr>
                <w:rFonts w:eastAsia="Times New Roman"/>
                <w:color w:val="000000" w:themeColor="text1"/>
                <w:sz w:val="24"/>
                <w:szCs w:val="24"/>
              </w:rPr>
            </w:pPr>
            <w:r>
              <w:rPr>
                <w:rFonts w:hint="eastAsia" w:eastAsia="Times New Roman"/>
                <w:color w:val="000000" w:themeColor="text1"/>
                <w:sz w:val="24"/>
                <w:szCs w:val="24"/>
              </w:rPr>
              <w:t>将样品置于白瓷盘中，在自然光下观察色泽和状态，检查有无异物闻其气味，用温开水漱口后品其滋味。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16" w:type="dxa"/>
            <w:vAlign w:val="center"/>
          </w:tcPr>
          <w:p>
            <w:pPr>
              <w:spacing w:line="360" w:lineRule="auto"/>
              <w:jc w:val="center"/>
              <w:rPr>
                <w:rFonts w:eastAsia="Times New Roman"/>
                <w:color w:val="000000" w:themeColor="text1"/>
                <w:sz w:val="24"/>
                <w:szCs w:val="24"/>
              </w:rPr>
            </w:pPr>
            <w:r>
              <w:rPr>
                <w:rFonts w:hint="eastAsia" w:eastAsia="Times New Roman"/>
                <w:color w:val="000000" w:themeColor="text1"/>
                <w:sz w:val="24"/>
                <w:szCs w:val="24"/>
              </w:rPr>
              <w:t>滋味、气味</w:t>
            </w:r>
          </w:p>
        </w:tc>
        <w:tc>
          <w:tcPr>
            <w:tcW w:w="2978" w:type="dxa"/>
          </w:tcPr>
          <w:p>
            <w:pPr>
              <w:spacing w:line="360" w:lineRule="auto"/>
              <w:rPr>
                <w:rFonts w:eastAsia="Times New Roman"/>
                <w:color w:val="000000" w:themeColor="text1"/>
                <w:sz w:val="24"/>
                <w:szCs w:val="24"/>
              </w:rPr>
            </w:pPr>
            <w:r>
              <w:rPr>
                <w:rFonts w:hint="eastAsia" w:eastAsia="Times New Roman"/>
                <w:color w:val="000000" w:themeColor="text1"/>
                <w:sz w:val="24"/>
                <w:szCs w:val="24"/>
              </w:rPr>
              <w:t>具有产品应有的气味和滋味，无异味</w:t>
            </w:r>
          </w:p>
        </w:tc>
        <w:tc>
          <w:tcPr>
            <w:tcW w:w="5494" w:type="dxa"/>
            <w:vMerge w:val="continue"/>
          </w:tcPr>
          <w:p>
            <w:pPr>
              <w:spacing w:line="360" w:lineRule="auto"/>
              <w:rPr>
                <w:rFonts w:eastAsia="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360" w:lineRule="auto"/>
              <w:jc w:val="center"/>
              <w:rPr>
                <w:rFonts w:eastAsia="Times New Roman"/>
                <w:color w:val="000000" w:themeColor="text1"/>
                <w:sz w:val="24"/>
                <w:szCs w:val="24"/>
              </w:rPr>
            </w:pPr>
            <w:r>
              <w:rPr>
                <w:rFonts w:hint="eastAsia" w:eastAsia="Times New Roman"/>
                <w:color w:val="000000" w:themeColor="text1"/>
                <w:sz w:val="24"/>
                <w:szCs w:val="24"/>
              </w:rPr>
              <w:t>状态</w:t>
            </w:r>
          </w:p>
        </w:tc>
        <w:tc>
          <w:tcPr>
            <w:tcW w:w="2978" w:type="dxa"/>
          </w:tcPr>
          <w:p>
            <w:pPr>
              <w:spacing w:line="360" w:lineRule="auto"/>
              <w:rPr>
                <w:rFonts w:eastAsia="Times New Roman"/>
                <w:color w:val="000000" w:themeColor="text1"/>
                <w:sz w:val="24"/>
                <w:szCs w:val="24"/>
              </w:rPr>
            </w:pPr>
            <w:r>
              <w:rPr>
                <w:rFonts w:hint="eastAsia" w:eastAsia="Times New Roman"/>
                <w:color w:val="000000" w:themeColor="text1"/>
                <w:sz w:val="24"/>
                <w:szCs w:val="24"/>
              </w:rPr>
              <w:t>无霉变，无生虫及其他正常视力可见的外来异物</w:t>
            </w:r>
          </w:p>
        </w:tc>
        <w:tc>
          <w:tcPr>
            <w:tcW w:w="5494" w:type="dxa"/>
            <w:vMerge w:val="continue"/>
          </w:tcPr>
          <w:p>
            <w:pPr>
              <w:spacing w:line="360" w:lineRule="auto"/>
              <w:rPr>
                <w:rFonts w:eastAsia="Times New Roman"/>
                <w:color w:val="000000" w:themeColor="text1"/>
                <w:sz w:val="24"/>
                <w:szCs w:val="24"/>
              </w:rPr>
            </w:pPr>
          </w:p>
        </w:tc>
      </w:tr>
    </w:tbl>
    <w:p>
      <w:pPr>
        <w:spacing w:line="360" w:lineRule="auto"/>
        <w:rPr>
          <w:rFonts w:asciiTheme="majorEastAsia" w:hAnsiTheme="majorEastAsia" w:eastAsiaTheme="majorEastAsia" w:cstheme="majorEastAsia"/>
          <w:b/>
          <w:bCs/>
          <w:color w:val="000000" w:themeColor="text1"/>
          <w:sz w:val="24"/>
          <w:szCs w:val="24"/>
        </w:rPr>
      </w:pPr>
    </w:p>
    <w:p>
      <w:pPr>
        <w:spacing w:line="360" w:lineRule="auto"/>
        <w:rPr>
          <w:rFonts w:asciiTheme="majorEastAsia" w:hAnsiTheme="majorEastAsia" w:eastAsiaTheme="majorEastAsia" w:cstheme="majorEastAsia"/>
          <w:b/>
          <w:bCs/>
          <w:color w:val="000000" w:themeColor="text1"/>
          <w:sz w:val="24"/>
          <w:szCs w:val="24"/>
        </w:rPr>
      </w:pPr>
    </w:p>
    <w:p>
      <w:pPr>
        <w:spacing w:line="360" w:lineRule="auto"/>
        <w:rPr>
          <w:rFonts w:asciiTheme="majorEastAsia" w:hAnsiTheme="majorEastAsia" w:eastAsiaTheme="majorEastAsia" w:cstheme="majorEastAsia"/>
          <w:b/>
          <w:bCs/>
          <w:color w:val="000000" w:themeColor="text1"/>
          <w:sz w:val="24"/>
          <w:szCs w:val="24"/>
        </w:rPr>
      </w:pPr>
    </w:p>
    <w:p>
      <w:pPr>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3.3 理化指标</w:t>
      </w:r>
    </w:p>
    <w:p>
      <w:pPr>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理化指标应符合表2的规定</w:t>
      </w:r>
    </w:p>
    <w:p>
      <w:pPr>
        <w:spacing w:line="360" w:lineRule="auto"/>
        <w:jc w:val="center"/>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表2 理化指标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172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spacing w:line="360" w:lineRule="auto"/>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项目</w:t>
            </w:r>
          </w:p>
        </w:tc>
        <w:tc>
          <w:tcPr>
            <w:tcW w:w="1725" w:type="dxa"/>
            <w:vAlign w:val="center"/>
          </w:tcPr>
          <w:p>
            <w:pPr>
              <w:spacing w:line="360" w:lineRule="auto"/>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指标</w:t>
            </w:r>
          </w:p>
        </w:tc>
        <w:tc>
          <w:tcPr>
            <w:tcW w:w="2550" w:type="dxa"/>
            <w:vAlign w:val="center"/>
          </w:tcPr>
          <w:p>
            <w:pPr>
              <w:spacing w:line="360" w:lineRule="auto"/>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酸价（以脂肪计）（KOH）/(mg/g)     ≤</w:t>
            </w:r>
          </w:p>
        </w:tc>
        <w:tc>
          <w:tcPr>
            <w:tcW w:w="1725" w:type="dxa"/>
            <w:vAlign w:val="center"/>
          </w:tcPr>
          <w:p>
            <w:pPr>
              <w:spacing w:line="360" w:lineRule="auto"/>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w:t>
            </w:r>
          </w:p>
        </w:tc>
        <w:tc>
          <w:tcPr>
            <w:tcW w:w="2550" w:type="dxa"/>
            <w:vAlign w:val="center"/>
          </w:tcPr>
          <w:p>
            <w:pPr>
              <w:spacing w:line="360" w:lineRule="auto"/>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过氧化值（以脂肪计）/(g/100g)      ≤</w:t>
            </w:r>
          </w:p>
        </w:tc>
        <w:tc>
          <w:tcPr>
            <w:tcW w:w="1725" w:type="dxa"/>
            <w:vAlign w:val="center"/>
          </w:tcPr>
          <w:p>
            <w:pPr>
              <w:spacing w:line="360" w:lineRule="auto"/>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0.25</w:t>
            </w:r>
          </w:p>
        </w:tc>
        <w:tc>
          <w:tcPr>
            <w:tcW w:w="2550" w:type="dxa"/>
            <w:vAlign w:val="center"/>
          </w:tcPr>
          <w:p>
            <w:pPr>
              <w:spacing w:line="360" w:lineRule="auto"/>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3" w:type="dxa"/>
            <w:gridSpan w:val="3"/>
          </w:tcPr>
          <w:p>
            <w:pPr>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注：酸价和过氧化值指标仅适用于配料中添加油脂的产品。</w:t>
            </w:r>
          </w:p>
        </w:tc>
      </w:tr>
    </w:tbl>
    <w:p>
      <w:pPr>
        <w:spacing w:line="360" w:lineRule="auto"/>
        <w:rPr>
          <w:rFonts w:asciiTheme="majorEastAsia" w:hAnsiTheme="majorEastAsia" w:eastAsiaTheme="majorEastAsia" w:cstheme="majorEastAsia"/>
          <w:b/>
          <w:bCs/>
          <w:color w:val="000000" w:themeColor="text1"/>
          <w:sz w:val="24"/>
          <w:szCs w:val="24"/>
        </w:rPr>
      </w:pPr>
    </w:p>
    <w:p>
      <w:pPr>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3.4 污染物限量</w:t>
      </w:r>
    </w:p>
    <w:p>
      <w:pPr>
        <w:spacing w:line="360" w:lineRule="auto"/>
        <w:ind w:firstLine="240" w:firstLineChars="1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污染物限量应符合GB 2762的规定。</w:t>
      </w:r>
    </w:p>
    <w:p>
      <w:pPr>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3.5 微生物限量</w:t>
      </w:r>
    </w:p>
    <w:p>
      <w:pPr>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3.5.1 致病菌限量应符合GB 29921中熟制粮食制品（含焙烤类）的规定。</w:t>
      </w:r>
    </w:p>
    <w:p>
      <w:pPr>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3.5.2 微生物限量还应符合表3的规定。</w:t>
      </w:r>
    </w:p>
    <w:p>
      <w:pPr>
        <w:pStyle w:val="2"/>
        <w:rPr>
          <w:color w:val="000000" w:themeColor="text1"/>
        </w:rPr>
      </w:pPr>
    </w:p>
    <w:p>
      <w:pPr>
        <w:pStyle w:val="5"/>
        <w:spacing w:line="440" w:lineRule="exact"/>
        <w:ind w:left="0" w:firstLine="240" w:firstLineChars="100"/>
        <w:rPr>
          <w:rFonts w:ascii="宋体" w:hAnsi="宋体" w:eastAsia="宋体" w:cs="宋体"/>
          <w:color w:val="000000" w:themeColor="text1"/>
          <w:kern w:val="0"/>
          <w:sz w:val="24"/>
          <w:szCs w:val="24"/>
        </w:rPr>
      </w:pPr>
      <w:r>
        <w:rPr>
          <w:rFonts w:hint="eastAsia"/>
          <w:color w:val="000000" w:themeColor="text1"/>
          <w:sz w:val="24"/>
          <w:szCs w:val="24"/>
        </w:rPr>
        <w:t>二包：食堂大宗食材（生</w:t>
      </w:r>
      <w:r>
        <w:rPr>
          <w:rFonts w:hint="eastAsia" w:ascii="宋体" w:hAnsi="宋体" w:eastAsia="宋体" w:cs="宋体"/>
          <w:color w:val="000000" w:themeColor="text1"/>
          <w:kern w:val="0"/>
          <w:sz w:val="24"/>
          <w:szCs w:val="24"/>
        </w:rPr>
        <w:t>鲜黄牛肉、生鲜猪肋排和</w:t>
      </w:r>
      <w:r>
        <w:rPr>
          <w:rFonts w:hint="eastAsia" w:cs="宋体" w:asciiTheme="minorEastAsia" w:hAnsiTheme="minorEastAsia"/>
          <w:bCs w:val="0"/>
          <w:color w:val="000000" w:themeColor="text1"/>
          <w:kern w:val="0"/>
          <w:sz w:val="24"/>
          <w:szCs w:val="24"/>
        </w:rPr>
        <w:t>冷冻</w:t>
      </w:r>
      <w:r>
        <w:rPr>
          <w:rFonts w:hint="eastAsia" w:ascii="宋体" w:hAnsi="宋体" w:eastAsia="宋体" w:cs="宋体"/>
          <w:color w:val="000000" w:themeColor="text1"/>
          <w:kern w:val="0"/>
          <w:sz w:val="24"/>
          <w:szCs w:val="24"/>
        </w:rPr>
        <w:t>鸡肉）</w:t>
      </w:r>
    </w:p>
    <w:p>
      <w:pPr>
        <w:pStyle w:val="12"/>
        <w:autoSpaceDE w:val="0"/>
        <w:autoSpaceDN w:val="0"/>
        <w:spacing w:line="520" w:lineRule="exact"/>
        <w:ind w:firstLine="480" w:firstLineChars="200"/>
        <w:rPr>
          <w:rFonts w:asciiTheme="majorEastAsia" w:hAnsiTheme="majorEastAsia" w:eastAsiaTheme="majorEastAsia" w:cstheme="majorEastAsia"/>
          <w:b/>
          <w:bCs/>
          <w:color w:val="000000" w:themeColor="text1"/>
          <w:sz w:val="24"/>
          <w:szCs w:val="24"/>
          <w:lang w:val="en-US"/>
        </w:rPr>
      </w:pPr>
      <w:r>
        <w:rPr>
          <w:rFonts w:hint="eastAsia" w:asciiTheme="majorEastAsia" w:hAnsiTheme="majorEastAsia" w:eastAsiaTheme="majorEastAsia" w:cstheme="majorEastAsia"/>
          <w:b/>
          <w:bCs/>
          <w:color w:val="000000" w:themeColor="text1"/>
          <w:sz w:val="24"/>
          <w:szCs w:val="24"/>
          <w:lang w:val="en-US"/>
        </w:rPr>
        <w:t>1、配送方案</w:t>
      </w:r>
    </w:p>
    <w:p>
      <w:pPr>
        <w:pStyle w:val="12"/>
        <w:autoSpaceDE w:val="0"/>
        <w:autoSpaceDN w:val="0"/>
        <w:spacing w:line="520" w:lineRule="exact"/>
        <w:ind w:firstLine="480" w:firstLineChars="200"/>
        <w:rPr>
          <w:rFonts w:asciiTheme="majorEastAsia" w:hAnsiTheme="majorEastAsia" w:eastAsiaTheme="majorEastAsia" w:cstheme="majorEastAsia"/>
          <w:color w:val="000000" w:themeColor="text1"/>
          <w:sz w:val="24"/>
          <w:szCs w:val="24"/>
          <w:lang w:val="en-US"/>
        </w:rPr>
      </w:pPr>
      <w:r>
        <w:rPr>
          <w:rFonts w:hint="eastAsia" w:asciiTheme="majorEastAsia" w:hAnsiTheme="majorEastAsia" w:eastAsiaTheme="majorEastAsia" w:cstheme="majorEastAsia"/>
          <w:color w:val="000000" w:themeColor="text1"/>
          <w:sz w:val="24"/>
          <w:szCs w:val="24"/>
          <w:lang w:val="en-US"/>
        </w:rPr>
        <w:t>本项目按2元/生/天的标准采购三类食堂大宗食材</w:t>
      </w:r>
      <w:r>
        <w:rPr>
          <w:rFonts w:hint="eastAsia"/>
          <w:b/>
          <w:bCs/>
          <w:color w:val="000000" w:themeColor="text1"/>
          <w:sz w:val="24"/>
          <w:szCs w:val="24"/>
        </w:rPr>
        <w:t>（</w:t>
      </w:r>
      <w:r>
        <w:rPr>
          <w:rFonts w:hint="eastAsia"/>
          <w:color w:val="000000" w:themeColor="text1"/>
          <w:sz w:val="24"/>
          <w:szCs w:val="24"/>
        </w:rPr>
        <w:t>生</w:t>
      </w:r>
      <w:r>
        <w:rPr>
          <w:rFonts w:hint="eastAsia"/>
          <w:color w:val="000000" w:themeColor="text1"/>
          <w:kern w:val="0"/>
          <w:sz w:val="24"/>
          <w:szCs w:val="24"/>
        </w:rPr>
        <w:t>鲜黄牛肉、生鲜猪肋排（不含脊骨）和</w:t>
      </w:r>
      <w:r>
        <w:rPr>
          <w:rFonts w:hint="eastAsia" w:asciiTheme="minorEastAsia" w:hAnsiTheme="minorEastAsia"/>
          <w:color w:val="000000" w:themeColor="text1"/>
          <w:kern w:val="0"/>
          <w:sz w:val="24"/>
          <w:szCs w:val="24"/>
        </w:rPr>
        <w:t>冷冻</w:t>
      </w:r>
      <w:r>
        <w:rPr>
          <w:rFonts w:hint="eastAsia"/>
          <w:color w:val="000000" w:themeColor="text1"/>
          <w:kern w:val="0"/>
          <w:sz w:val="24"/>
          <w:szCs w:val="24"/>
        </w:rPr>
        <w:t>鸡胸肉）</w:t>
      </w:r>
      <w:r>
        <w:rPr>
          <w:rFonts w:hint="eastAsia" w:asciiTheme="majorEastAsia" w:hAnsiTheme="majorEastAsia" w:eastAsiaTheme="majorEastAsia" w:cstheme="majorEastAsia"/>
          <w:color w:val="000000" w:themeColor="text1"/>
          <w:sz w:val="24"/>
          <w:szCs w:val="24"/>
          <w:lang w:val="en-US"/>
        </w:rPr>
        <w:t>，</w:t>
      </w:r>
      <w:r>
        <w:rPr>
          <w:rFonts w:hint="eastAsia"/>
          <w:color w:val="000000" w:themeColor="text1"/>
          <w:sz w:val="24"/>
          <w:szCs w:val="24"/>
        </w:rPr>
        <w:t>投标人应在保证服务质量的前提下，根据湖北省发改委价格监测中心上月已公布的食品价格监测表中同类食品的均价作为基准价并合理下浮一定幅度（以%记）来定价，</w:t>
      </w:r>
      <w:r>
        <w:rPr>
          <w:rFonts w:hint="eastAsia" w:asciiTheme="majorEastAsia" w:hAnsiTheme="majorEastAsia" w:eastAsiaTheme="majorEastAsia" w:cstheme="majorEastAsia"/>
          <w:color w:val="000000" w:themeColor="text1"/>
          <w:sz w:val="24"/>
          <w:szCs w:val="24"/>
          <w:lang w:val="en-US"/>
        </w:rPr>
        <w:t>由采购人根据当月定价并结合实际需求制定合理的配送方案按周进行配送，投标人所投的三类食堂大宗食材必须是符合国家质量标准的合格产品，并提供相关证明材料。（检疫、检测报告）</w:t>
      </w:r>
    </w:p>
    <w:p>
      <w:pPr>
        <w:pStyle w:val="12"/>
        <w:autoSpaceDE w:val="0"/>
        <w:autoSpaceDN w:val="0"/>
        <w:spacing w:line="520" w:lineRule="exact"/>
        <w:ind w:firstLine="480" w:firstLineChars="200"/>
        <w:rPr>
          <w:rFonts w:asciiTheme="majorEastAsia" w:hAnsiTheme="majorEastAsia" w:eastAsiaTheme="majorEastAsia" w:cstheme="majorEastAsia"/>
          <w:b/>
          <w:bCs/>
          <w:color w:val="000000" w:themeColor="text1"/>
          <w:sz w:val="24"/>
          <w:szCs w:val="24"/>
          <w:lang w:val="en-US"/>
        </w:rPr>
      </w:pPr>
      <w:r>
        <w:rPr>
          <w:rFonts w:hint="eastAsia" w:asciiTheme="majorEastAsia" w:hAnsiTheme="majorEastAsia" w:eastAsiaTheme="majorEastAsia" w:cstheme="majorEastAsia"/>
          <w:b/>
          <w:bCs/>
          <w:color w:val="000000" w:themeColor="text1"/>
          <w:sz w:val="24"/>
          <w:szCs w:val="24"/>
          <w:lang w:val="en-US"/>
        </w:rPr>
        <w:t>*2、配送要求</w:t>
      </w:r>
    </w:p>
    <w:p>
      <w:pPr>
        <w:pStyle w:val="12"/>
        <w:autoSpaceDE w:val="0"/>
        <w:autoSpaceDN w:val="0"/>
        <w:spacing w:line="360" w:lineRule="auto"/>
        <w:ind w:firstLine="480" w:firstLineChars="200"/>
        <w:rPr>
          <w:rFonts w:asciiTheme="majorEastAsia" w:hAnsiTheme="majorEastAsia" w:eastAsiaTheme="majorEastAsia" w:cstheme="majorEastAsia"/>
          <w:color w:val="000000" w:themeColor="text1"/>
          <w:sz w:val="24"/>
          <w:szCs w:val="24"/>
          <w:lang w:val="en-US"/>
        </w:rPr>
      </w:pPr>
      <w:r>
        <w:rPr>
          <w:rFonts w:hint="eastAsia" w:asciiTheme="majorEastAsia" w:hAnsiTheme="majorEastAsia" w:eastAsiaTheme="majorEastAsia" w:cstheme="majorEastAsia"/>
          <w:color w:val="000000" w:themeColor="text1"/>
          <w:sz w:val="24"/>
          <w:szCs w:val="24"/>
          <w:lang w:val="en-US"/>
        </w:rPr>
        <w:t>2.1投标人所投产品必须</w:t>
      </w:r>
      <w:r>
        <w:rPr>
          <w:rFonts w:hint="eastAsia" w:asciiTheme="minorHAnsi" w:hAnsiTheme="minorHAnsi" w:eastAsiaTheme="minorEastAsia" w:cstheme="minorBidi"/>
          <w:color w:val="000000" w:themeColor="text1"/>
          <w:sz w:val="24"/>
          <w:szCs w:val="24"/>
          <w:lang w:val="en-US" w:bidi="ar-SA"/>
        </w:rPr>
        <w:t>符合国家食品部门的有关标准，保证来源于正规渠道，</w:t>
      </w:r>
      <w:r>
        <w:rPr>
          <w:rFonts w:hint="eastAsia" w:asciiTheme="majorEastAsia" w:hAnsiTheme="majorEastAsia" w:eastAsiaTheme="majorEastAsia" w:cstheme="majorEastAsia"/>
          <w:color w:val="000000" w:themeColor="text1"/>
          <w:sz w:val="24"/>
          <w:szCs w:val="24"/>
          <w:lang w:val="en-US"/>
        </w:rPr>
        <w:t>（提供相关证明材料），</w:t>
      </w:r>
      <w:r>
        <w:rPr>
          <w:rFonts w:hint="eastAsia" w:asciiTheme="minorHAnsi" w:hAnsiTheme="minorHAnsi" w:eastAsiaTheme="minorEastAsia" w:cstheme="minorBidi"/>
          <w:color w:val="000000" w:themeColor="text1"/>
          <w:sz w:val="24"/>
          <w:szCs w:val="24"/>
          <w:lang w:val="en-US" w:bidi="ar-SA"/>
        </w:rPr>
        <w:t>供货时须提交购货凭证、检验合格证，生鲜黄牛肉、生鲜猪肋排还需提供检疫合格证、检验合格章、检疫合格章。</w:t>
      </w:r>
    </w:p>
    <w:p>
      <w:pPr>
        <w:autoSpaceDE w:val="0"/>
        <w:autoSpaceDN w:val="0"/>
        <w:spacing w:line="360" w:lineRule="auto"/>
        <w:ind w:firstLine="480" w:firstLineChars="200"/>
        <w:rPr>
          <w:color w:val="000000" w:themeColor="text1"/>
          <w:sz w:val="24"/>
          <w:szCs w:val="24"/>
        </w:rPr>
      </w:pPr>
      <w:r>
        <w:rPr>
          <w:rFonts w:hint="eastAsia"/>
          <w:color w:val="000000" w:themeColor="text1"/>
          <w:sz w:val="24"/>
          <w:szCs w:val="24"/>
        </w:rPr>
        <w:t>2.2采购人在供货期内不定期抽检产品的“营养含量”及“检验检疫质量”，抽检产生的费用由供应商承担；抽检过程中发现两次以次充好、导致降低营养含量以及造成食品安全问题的情形，立即终止合同，所有损失由中标人承担并追究其法律责任。</w:t>
      </w:r>
    </w:p>
    <w:p>
      <w:pPr>
        <w:autoSpaceDE w:val="0"/>
        <w:autoSpaceDN w:val="0"/>
        <w:spacing w:line="360" w:lineRule="auto"/>
        <w:ind w:firstLine="480" w:firstLineChars="200"/>
        <w:rPr>
          <w:color w:val="000000" w:themeColor="text1"/>
          <w:sz w:val="24"/>
          <w:szCs w:val="24"/>
        </w:rPr>
      </w:pPr>
      <w:r>
        <w:rPr>
          <w:rFonts w:hint="eastAsia"/>
          <w:color w:val="000000" w:themeColor="text1"/>
          <w:sz w:val="24"/>
          <w:szCs w:val="24"/>
        </w:rPr>
        <w:t>2.3投标人须对所投标产品投保食品质量或安全责任保险。</w:t>
      </w:r>
    </w:p>
    <w:p>
      <w:pPr>
        <w:autoSpaceDE w:val="0"/>
        <w:autoSpaceDN w:val="0"/>
        <w:spacing w:line="360" w:lineRule="auto"/>
        <w:ind w:firstLine="480" w:firstLineChars="200"/>
        <w:rPr>
          <w:color w:val="000000" w:themeColor="text1"/>
          <w:sz w:val="24"/>
          <w:szCs w:val="24"/>
        </w:rPr>
      </w:pPr>
      <w:r>
        <w:rPr>
          <w:rFonts w:hint="eastAsia"/>
          <w:color w:val="000000" w:themeColor="text1"/>
          <w:sz w:val="24"/>
          <w:szCs w:val="24"/>
        </w:rPr>
        <w:t>2.4中标人不得转包、分包。若发现转包、分包，采购人有权终止协议，并追究中标人相关责任。</w:t>
      </w:r>
    </w:p>
    <w:p>
      <w:pPr>
        <w:autoSpaceDE w:val="0"/>
        <w:autoSpaceDN w:val="0"/>
        <w:spacing w:line="360" w:lineRule="auto"/>
        <w:ind w:firstLine="480" w:firstLineChars="200"/>
        <w:rPr>
          <w:color w:val="000000" w:themeColor="text1"/>
          <w:sz w:val="24"/>
          <w:szCs w:val="24"/>
        </w:rPr>
      </w:pPr>
      <w:r>
        <w:rPr>
          <w:rFonts w:hint="eastAsia"/>
          <w:color w:val="000000" w:themeColor="text1"/>
          <w:sz w:val="24"/>
          <w:szCs w:val="24"/>
        </w:rPr>
        <w:t>2.5安全责任：中标人在本项目实施过程中发生的所有安全事故由中标人自行负责。</w:t>
      </w:r>
    </w:p>
    <w:p>
      <w:pPr>
        <w:pStyle w:val="2"/>
        <w:ind w:firstLine="480" w:firstLineChars="200"/>
        <w:rPr>
          <w:rFonts w:eastAsiaTheme="minorEastAsia"/>
          <w:b w:val="0"/>
          <w:color w:val="000000" w:themeColor="text1"/>
          <w:kern w:val="2"/>
          <w:sz w:val="24"/>
          <w:szCs w:val="24"/>
        </w:rPr>
      </w:pPr>
      <w:r>
        <w:rPr>
          <w:rFonts w:hint="eastAsia" w:eastAsiaTheme="minorEastAsia"/>
          <w:b w:val="0"/>
          <w:color w:val="000000" w:themeColor="text1"/>
          <w:kern w:val="2"/>
          <w:sz w:val="24"/>
          <w:szCs w:val="24"/>
        </w:rPr>
        <w:t>2.6配送的包装规格按各个学校的实际需求进行分装。</w:t>
      </w:r>
    </w:p>
    <w:p>
      <w:pPr>
        <w:pStyle w:val="12"/>
        <w:autoSpaceDE w:val="0"/>
        <w:autoSpaceDN w:val="0"/>
        <w:spacing w:line="520" w:lineRule="exact"/>
        <w:ind w:firstLine="480" w:firstLineChars="200"/>
        <w:rPr>
          <w:rFonts w:asciiTheme="majorEastAsia" w:hAnsiTheme="majorEastAsia" w:eastAsiaTheme="majorEastAsia" w:cstheme="majorEastAsia"/>
          <w:b/>
          <w:bCs/>
          <w:color w:val="000000" w:themeColor="text1"/>
          <w:sz w:val="24"/>
          <w:szCs w:val="24"/>
          <w:lang w:val="en-US"/>
        </w:rPr>
      </w:pPr>
      <w:r>
        <w:rPr>
          <w:rFonts w:hint="eastAsia" w:asciiTheme="majorEastAsia" w:hAnsiTheme="majorEastAsia" w:eastAsiaTheme="majorEastAsia" w:cstheme="majorEastAsia"/>
          <w:b/>
          <w:bCs/>
          <w:color w:val="000000" w:themeColor="text1"/>
          <w:sz w:val="24"/>
          <w:szCs w:val="24"/>
          <w:lang w:val="en-US"/>
        </w:rPr>
        <w:t>3、</w:t>
      </w:r>
      <w:r>
        <w:rPr>
          <w:rFonts w:hint="eastAsia"/>
          <w:color w:val="000000" w:themeColor="text1"/>
          <w:sz w:val="24"/>
          <w:szCs w:val="24"/>
        </w:rPr>
        <w:t>生</w:t>
      </w:r>
      <w:r>
        <w:rPr>
          <w:rFonts w:hint="eastAsia"/>
          <w:color w:val="000000" w:themeColor="text1"/>
          <w:kern w:val="0"/>
          <w:sz w:val="24"/>
          <w:szCs w:val="24"/>
        </w:rPr>
        <w:t>鲜黄牛肉、生鲜猪肋排和</w:t>
      </w:r>
      <w:r>
        <w:rPr>
          <w:rFonts w:hint="eastAsia" w:asciiTheme="minorEastAsia" w:hAnsiTheme="minorEastAsia"/>
          <w:color w:val="000000" w:themeColor="text1"/>
          <w:kern w:val="0"/>
          <w:sz w:val="24"/>
          <w:szCs w:val="24"/>
        </w:rPr>
        <w:t>冷冻</w:t>
      </w:r>
      <w:r>
        <w:rPr>
          <w:rFonts w:hint="eastAsia"/>
          <w:color w:val="000000" w:themeColor="text1"/>
          <w:kern w:val="0"/>
          <w:sz w:val="24"/>
          <w:szCs w:val="24"/>
        </w:rPr>
        <w:t>鸡胸肉</w:t>
      </w:r>
      <w:r>
        <w:rPr>
          <w:rFonts w:hint="eastAsia" w:asciiTheme="majorEastAsia" w:hAnsiTheme="majorEastAsia" w:eastAsiaTheme="majorEastAsia" w:cstheme="majorEastAsia"/>
          <w:b/>
          <w:bCs/>
          <w:color w:val="000000" w:themeColor="text1"/>
          <w:sz w:val="24"/>
          <w:szCs w:val="24"/>
          <w:lang w:val="en-US"/>
        </w:rPr>
        <w:t>技术参数</w:t>
      </w:r>
    </w:p>
    <w:p>
      <w:pPr>
        <w:spacing w:line="440" w:lineRule="exact"/>
        <w:ind w:firstLine="475" w:firstLineChars="198"/>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3.1生鲜黄牛肉要求：</w:t>
      </w:r>
      <w:r>
        <w:rPr>
          <w:rFonts w:hint="eastAsia" w:ascii="宋体" w:hAnsi="宋体" w:eastAsia="宋体" w:cs="宋体"/>
          <w:color w:val="000000" w:themeColor="text1"/>
          <w:kern w:val="0"/>
          <w:sz w:val="24"/>
          <w:szCs w:val="24"/>
        </w:rPr>
        <w:t>符合国家食品部门的有关标准，保证来源于正规渠道，供货时须提交每批次的</w:t>
      </w:r>
      <w:r>
        <w:rPr>
          <w:rFonts w:hint="eastAsia" w:ascii="宋体" w:hAnsi="宋体" w:eastAsia="宋体" w:cs="宋体"/>
          <w:b/>
          <w:color w:val="000000" w:themeColor="text1"/>
          <w:kern w:val="0"/>
          <w:sz w:val="24"/>
          <w:szCs w:val="24"/>
        </w:rPr>
        <w:t>肉类购货凭证、</w:t>
      </w:r>
      <w:r>
        <w:rPr>
          <w:rFonts w:hint="eastAsia" w:ascii="宋体" w:hAnsi="宋体" w:eastAsia="宋体" w:cs="宋体"/>
          <w:color w:val="000000" w:themeColor="text1"/>
          <w:kern w:val="0"/>
          <w:sz w:val="24"/>
          <w:szCs w:val="24"/>
        </w:rPr>
        <w:t>肉品品质检验合格证</w:t>
      </w:r>
      <w:r>
        <w:rPr>
          <w:rFonts w:hint="eastAsia" w:ascii="宋体" w:hAnsi="宋体" w:eastAsia="宋体" w:cs="宋体"/>
          <w:b/>
          <w:color w:val="000000" w:themeColor="text1"/>
          <w:kern w:val="0"/>
          <w:sz w:val="24"/>
          <w:szCs w:val="24"/>
        </w:rPr>
        <w:t>、</w:t>
      </w:r>
      <w:r>
        <w:rPr>
          <w:rFonts w:hint="eastAsia" w:ascii="宋体" w:hAnsi="宋体" w:eastAsia="宋体" w:cs="宋体"/>
          <w:color w:val="000000" w:themeColor="text1"/>
          <w:kern w:val="0"/>
          <w:sz w:val="24"/>
          <w:szCs w:val="24"/>
        </w:rPr>
        <w:t>动物检疫合格证</w:t>
      </w:r>
      <w:r>
        <w:rPr>
          <w:rFonts w:hint="eastAsia" w:ascii="宋体" w:hAnsi="宋体" w:eastAsia="宋体" w:cs="宋体"/>
          <w:b/>
          <w:color w:val="000000" w:themeColor="text1"/>
          <w:kern w:val="0"/>
          <w:sz w:val="24"/>
          <w:szCs w:val="24"/>
        </w:rPr>
        <w:t>、检验合格章、检疫合格章</w:t>
      </w:r>
      <w:r>
        <w:rPr>
          <w:rFonts w:hint="eastAsia" w:ascii="宋体" w:hAnsi="宋体" w:eastAsia="宋体" w:cs="宋体"/>
          <w:color w:val="000000" w:themeColor="text1"/>
          <w:kern w:val="0"/>
          <w:sz w:val="24"/>
          <w:szCs w:val="24"/>
        </w:rPr>
        <w:t>。</w:t>
      </w:r>
    </w:p>
    <w:p>
      <w:pPr>
        <w:spacing w:line="440" w:lineRule="exact"/>
        <w:ind w:firstLine="480" w:firstLineChars="200"/>
        <w:rPr>
          <w:color w:val="000000" w:themeColor="text1"/>
          <w:sz w:val="24"/>
          <w:szCs w:val="24"/>
        </w:rPr>
      </w:pPr>
      <w:r>
        <w:rPr>
          <w:rFonts w:hint="eastAsia"/>
          <w:color w:val="000000" w:themeColor="text1"/>
          <w:sz w:val="24"/>
          <w:szCs w:val="24"/>
        </w:rPr>
        <w:t>3.1.1原料要求：屠宰前的活牛来自非疫区，并经动物卫生监督机构检疫、检验合格。</w:t>
      </w:r>
    </w:p>
    <w:p>
      <w:pPr>
        <w:spacing w:line="420" w:lineRule="exact"/>
        <w:ind w:firstLine="480" w:firstLineChars="200"/>
        <w:rPr>
          <w:color w:val="000000" w:themeColor="text1"/>
          <w:sz w:val="24"/>
          <w:szCs w:val="24"/>
        </w:rPr>
      </w:pPr>
      <w:r>
        <w:rPr>
          <w:rFonts w:hint="eastAsia"/>
          <w:color w:val="000000" w:themeColor="text1"/>
          <w:sz w:val="24"/>
          <w:szCs w:val="24"/>
        </w:rPr>
        <w:t>3..1.2感官要求：色泽：肌肉有光泽，红色均匀，脂肪洁白，具有牛肉固有的色泽。气味：具有牛肉固有的气味、无异味。状态：肉质紧密、有弹性，表面微干或微湿润，不粘手，具有牛肉固有的状态，无正常视力可见外来异物。</w:t>
      </w:r>
    </w:p>
    <w:p>
      <w:pPr>
        <w:spacing w:line="420" w:lineRule="exact"/>
        <w:ind w:firstLine="480" w:firstLineChars="200"/>
        <w:rPr>
          <w:color w:val="000000" w:themeColor="text1"/>
          <w:sz w:val="24"/>
          <w:szCs w:val="24"/>
        </w:rPr>
      </w:pPr>
      <w:r>
        <w:rPr>
          <w:rFonts w:hint="eastAsia"/>
          <w:color w:val="000000" w:themeColor="text1"/>
          <w:sz w:val="24"/>
          <w:szCs w:val="24"/>
        </w:rPr>
        <w:t>3..1.3牛肉的技术要求、卫生指标、检验方法、生产加工过程、标识、包装、贮存和运输的卫生要求等按 GB /2707-2016和国家有关标准、规定执行。</w:t>
      </w:r>
    </w:p>
    <w:p>
      <w:pPr>
        <w:spacing w:line="360" w:lineRule="auto"/>
        <w:ind w:firstLine="480" w:firstLineChars="200"/>
        <w:rPr>
          <w:color w:val="000000" w:themeColor="text1"/>
          <w:sz w:val="24"/>
          <w:szCs w:val="24"/>
        </w:rPr>
      </w:pPr>
      <w:r>
        <w:rPr>
          <w:rFonts w:hint="eastAsia"/>
          <w:color w:val="000000" w:themeColor="text1"/>
          <w:sz w:val="24"/>
          <w:szCs w:val="24"/>
        </w:rPr>
        <w:t>3.1.4规格：牛肉（牛肉修除血管、骨头、淋巴等后，剩下的部分）。</w:t>
      </w:r>
    </w:p>
    <w:p>
      <w:pPr>
        <w:widowControl/>
        <w:spacing w:line="360" w:lineRule="auto"/>
        <w:ind w:firstLine="480" w:firstLineChars="200"/>
        <w:jc w:val="left"/>
        <w:rPr>
          <w:rFonts w:ascii="宋体" w:hAnsi="宋体" w:eastAsia="宋体" w:cs="宋体"/>
          <w:b/>
          <w:bCs/>
          <w:color w:val="000000" w:themeColor="text1"/>
          <w:kern w:val="0"/>
          <w:sz w:val="24"/>
          <w:szCs w:val="24"/>
        </w:rPr>
      </w:pPr>
      <w:r>
        <w:rPr>
          <w:rFonts w:hint="eastAsia"/>
          <w:color w:val="000000" w:themeColor="text1"/>
          <w:sz w:val="24"/>
          <w:szCs w:val="24"/>
        </w:rPr>
        <w:t>3.1.5供货时提供动物检疫合格证明和肉品质合格证明。</w:t>
      </w:r>
    </w:p>
    <w:p>
      <w:pPr>
        <w:widowControl/>
        <w:spacing w:line="360" w:lineRule="auto"/>
        <w:ind w:firstLine="480" w:firstLineChars="200"/>
        <w:jc w:val="left"/>
        <w:rPr>
          <w:rFonts w:ascii="宋体" w:hAnsi="宋体" w:eastAsia="宋体" w:cs="宋体"/>
          <w:color w:val="000000" w:themeColor="text1"/>
          <w:kern w:val="0"/>
          <w:sz w:val="24"/>
          <w:szCs w:val="24"/>
        </w:rPr>
      </w:pPr>
      <w:r>
        <w:rPr>
          <w:rFonts w:hint="eastAsia" w:cs="宋体" w:asciiTheme="minorEastAsia" w:hAnsiTheme="minorEastAsia"/>
          <w:b/>
          <w:bCs/>
          <w:color w:val="000000" w:themeColor="text1"/>
          <w:kern w:val="0"/>
          <w:sz w:val="24"/>
          <w:szCs w:val="24"/>
        </w:rPr>
        <w:t>3.2生鲜猪肋排要求</w:t>
      </w:r>
      <w:r>
        <w:rPr>
          <w:rFonts w:hint="eastAsia" w:cs="宋体" w:asciiTheme="minorEastAsia" w:hAnsiTheme="minorEastAsia"/>
          <w:color w:val="000000" w:themeColor="text1"/>
          <w:kern w:val="0"/>
          <w:sz w:val="24"/>
          <w:szCs w:val="24"/>
        </w:rPr>
        <w:t>：符合国家食品部门的有关标准，</w:t>
      </w:r>
      <w:r>
        <w:rPr>
          <w:rFonts w:hint="eastAsia" w:cs="宋体" w:asciiTheme="minorEastAsia" w:hAnsiTheme="minorEastAsia"/>
          <w:b/>
          <w:bCs/>
          <w:color w:val="000000" w:themeColor="text1"/>
          <w:kern w:val="0"/>
          <w:sz w:val="24"/>
          <w:szCs w:val="24"/>
        </w:rPr>
        <w:t>鲜猪</w:t>
      </w:r>
      <w:r>
        <w:rPr>
          <w:rFonts w:hint="eastAsia" w:cs="宋体" w:asciiTheme="minorEastAsia" w:hAnsiTheme="minorEastAsia"/>
          <w:color w:val="000000" w:themeColor="text1"/>
          <w:kern w:val="0"/>
          <w:sz w:val="24"/>
          <w:szCs w:val="24"/>
        </w:rPr>
        <w:t>保证来</w:t>
      </w:r>
      <w:r>
        <w:rPr>
          <w:rFonts w:hint="eastAsia" w:asciiTheme="minorEastAsia" w:hAnsiTheme="minorEastAsia"/>
          <w:color w:val="000000" w:themeColor="text1"/>
          <w:sz w:val="24"/>
          <w:szCs w:val="24"/>
        </w:rPr>
        <w:t>自非疫区的健康牲畜，并持有产地兽医检疫证明。</w:t>
      </w:r>
      <w:r>
        <w:rPr>
          <w:rFonts w:hint="eastAsia" w:cs="宋体" w:asciiTheme="minorEastAsia" w:hAnsiTheme="minorEastAsia"/>
          <w:color w:val="000000" w:themeColor="text1"/>
          <w:kern w:val="0"/>
          <w:sz w:val="24"/>
          <w:szCs w:val="24"/>
        </w:rPr>
        <w:t>供货时须提交每批次</w:t>
      </w:r>
      <w:r>
        <w:rPr>
          <w:rFonts w:hint="eastAsia" w:cs="宋体" w:asciiTheme="minorEastAsia" w:hAnsiTheme="minorEastAsia"/>
          <w:b/>
          <w:color w:val="000000" w:themeColor="text1"/>
          <w:kern w:val="0"/>
          <w:sz w:val="24"/>
          <w:szCs w:val="24"/>
        </w:rPr>
        <w:t>肉类购货凭证、</w:t>
      </w:r>
      <w:r>
        <w:rPr>
          <w:rFonts w:hint="eastAsia" w:cs="宋体" w:asciiTheme="minorEastAsia" w:hAnsiTheme="minorEastAsia"/>
          <w:color w:val="000000" w:themeColor="text1"/>
          <w:kern w:val="0"/>
          <w:sz w:val="24"/>
          <w:szCs w:val="24"/>
        </w:rPr>
        <w:t>肉品品质检验合格证</w:t>
      </w:r>
      <w:r>
        <w:rPr>
          <w:rFonts w:hint="eastAsia" w:cs="宋体" w:asciiTheme="minorEastAsia" w:hAnsiTheme="minorEastAsia"/>
          <w:b/>
          <w:color w:val="000000" w:themeColor="text1"/>
          <w:kern w:val="0"/>
          <w:sz w:val="24"/>
          <w:szCs w:val="24"/>
        </w:rPr>
        <w:t>、</w:t>
      </w:r>
      <w:r>
        <w:rPr>
          <w:rFonts w:hint="eastAsia" w:cs="宋体" w:asciiTheme="minorEastAsia" w:hAnsiTheme="minorEastAsia"/>
          <w:color w:val="000000" w:themeColor="text1"/>
          <w:kern w:val="0"/>
          <w:sz w:val="24"/>
          <w:szCs w:val="24"/>
        </w:rPr>
        <w:t>动物检疫合格证</w:t>
      </w:r>
      <w:r>
        <w:rPr>
          <w:rFonts w:hint="eastAsia" w:cs="宋体" w:asciiTheme="minorEastAsia" w:hAnsiTheme="minorEastAsia"/>
          <w:b/>
          <w:color w:val="000000" w:themeColor="text1"/>
          <w:kern w:val="0"/>
          <w:sz w:val="24"/>
          <w:szCs w:val="24"/>
        </w:rPr>
        <w:t>、检验合格</w:t>
      </w:r>
      <w:r>
        <w:rPr>
          <w:rFonts w:hint="eastAsia" w:ascii="宋体" w:hAnsi="宋体" w:eastAsia="宋体" w:cs="宋体"/>
          <w:b/>
          <w:color w:val="000000" w:themeColor="text1"/>
          <w:kern w:val="0"/>
          <w:sz w:val="24"/>
          <w:szCs w:val="24"/>
        </w:rPr>
        <w:t>章、检疫合格章</w:t>
      </w:r>
      <w:r>
        <w:rPr>
          <w:rFonts w:hint="eastAsia" w:ascii="宋体" w:hAnsi="宋体" w:eastAsia="宋体" w:cs="宋体"/>
          <w:color w:val="000000" w:themeColor="text1"/>
          <w:kern w:val="0"/>
          <w:sz w:val="24"/>
          <w:szCs w:val="24"/>
        </w:rPr>
        <w:t>。</w:t>
      </w:r>
    </w:p>
    <w:p>
      <w:pPr>
        <w:widowControl/>
        <w:spacing w:line="360" w:lineRule="auto"/>
        <w:ind w:firstLine="840" w:firstLineChars="350"/>
        <w:jc w:val="left"/>
        <w:rPr>
          <w:rFonts w:ascii="宋体" w:hAnsi="宋体" w:eastAsia="宋体" w:cs="宋体"/>
          <w:color w:val="000000" w:themeColor="text1"/>
          <w:kern w:val="0"/>
          <w:sz w:val="24"/>
          <w:szCs w:val="24"/>
        </w:rPr>
      </w:pPr>
      <w:r>
        <w:rPr>
          <w:rFonts w:hint="eastAsia" w:ascii="宋体" w:hAnsi="宋体" w:eastAsia="宋体" w:cs="宋体"/>
          <w:bCs/>
          <w:color w:val="000000" w:themeColor="text1"/>
          <w:kern w:val="0"/>
          <w:sz w:val="24"/>
          <w:szCs w:val="24"/>
        </w:rPr>
        <w:t>3.2.1品相: 猪肋</w:t>
      </w:r>
      <w:r>
        <w:rPr>
          <w:rFonts w:hint="eastAsia" w:ascii="宋体" w:hAnsi="宋体" w:eastAsia="宋体" w:cs="宋体"/>
          <w:color w:val="000000" w:themeColor="text1"/>
          <w:kern w:val="0"/>
          <w:sz w:val="24"/>
          <w:szCs w:val="24"/>
        </w:rPr>
        <w:t>排骨肉均匀(不含脊骨)（GB/T9959.4-2019），不带肥油，无杂物，无脏污，厚实，完整，</w:t>
      </w:r>
      <w:r>
        <w:rPr>
          <w:rFonts w:hint="eastAsia"/>
          <w:color w:val="000000" w:themeColor="text1"/>
        </w:rPr>
        <w:t xml:space="preserve"> </w:t>
      </w:r>
      <w:r>
        <w:rPr>
          <w:rFonts w:hint="eastAsia" w:ascii="宋体" w:hAnsi="宋体" w:eastAsia="宋体" w:cs="宋体"/>
          <w:color w:val="000000" w:themeColor="text1"/>
          <w:kern w:val="0"/>
          <w:sz w:val="24"/>
          <w:szCs w:val="24"/>
        </w:rPr>
        <w:t>骨肉不分离,肥瘦相间。猪肋排颜色呈鲜红色，有光泽，脂肪洁白或淡黄色；肉质纤维细腻、紧实；弹性好，指压后凹陷能立即恢复；表面微干或略显湿润且不黏手；具有生鲜猪肋排的特有正常气味，不得出现氨味或酸败味</w:t>
      </w:r>
      <w:r>
        <w:rPr>
          <w:rFonts w:hint="eastAsia"/>
          <w:color w:val="000000" w:themeColor="text1"/>
          <w:sz w:val="24"/>
          <w:szCs w:val="24"/>
        </w:rPr>
        <w:t>；</w:t>
      </w:r>
    </w:p>
    <w:p>
      <w:pPr>
        <w:widowControl/>
        <w:spacing w:line="360" w:lineRule="auto"/>
        <w:ind w:firstLine="832" w:firstLineChars="347"/>
        <w:jc w:val="left"/>
        <w:rPr>
          <w:rFonts w:ascii="宋体" w:hAnsi="宋体" w:eastAsia="宋体" w:cs="宋体"/>
          <w:color w:val="000000" w:themeColor="text1"/>
          <w:kern w:val="0"/>
          <w:sz w:val="24"/>
          <w:szCs w:val="24"/>
        </w:rPr>
      </w:pPr>
      <w:r>
        <w:rPr>
          <w:rFonts w:hint="eastAsia" w:ascii="宋体" w:hAnsi="宋体" w:eastAsia="宋体" w:cs="宋体"/>
          <w:bCs/>
          <w:color w:val="000000" w:themeColor="text1"/>
          <w:kern w:val="0"/>
          <w:sz w:val="24"/>
          <w:szCs w:val="24"/>
        </w:rPr>
        <w:t>3.2.2新鲜度:</w:t>
      </w:r>
      <w:r>
        <w:rPr>
          <w:rFonts w:hint="eastAsia" w:ascii="宋体" w:hAnsi="宋体" w:eastAsia="宋体" w:cs="宋体"/>
          <w:color w:val="000000" w:themeColor="text1"/>
          <w:kern w:val="0"/>
          <w:sz w:val="24"/>
          <w:szCs w:val="24"/>
        </w:rPr>
        <w:t>屠宰24h之内，宰前&gt;12h禁食。</w:t>
      </w:r>
    </w:p>
    <w:p>
      <w:pPr>
        <w:widowControl/>
        <w:spacing w:line="360" w:lineRule="auto"/>
        <w:ind w:firstLine="352" w:firstLineChars="147"/>
        <w:jc w:val="left"/>
        <w:rPr>
          <w:rFonts w:cs="宋体" w:asciiTheme="minorEastAsia" w:hAnsiTheme="minorEastAsia"/>
          <w:color w:val="000000" w:themeColor="text1"/>
          <w:kern w:val="0"/>
          <w:sz w:val="24"/>
          <w:szCs w:val="24"/>
        </w:rPr>
      </w:pPr>
      <w:r>
        <w:rPr>
          <w:rFonts w:hint="eastAsia" w:cs="宋体" w:asciiTheme="minorEastAsia" w:hAnsiTheme="minorEastAsia"/>
          <w:b/>
          <w:bCs/>
          <w:color w:val="000000" w:themeColor="text1"/>
          <w:kern w:val="0"/>
          <w:sz w:val="24"/>
          <w:szCs w:val="24"/>
        </w:rPr>
        <w:t>3.3冷冻鸡胸肉要求</w:t>
      </w:r>
      <w:r>
        <w:rPr>
          <w:rFonts w:hint="eastAsia" w:cs="宋体" w:asciiTheme="minorEastAsia" w:hAnsiTheme="minorEastAsia"/>
          <w:b/>
          <w:color w:val="000000" w:themeColor="text1"/>
          <w:kern w:val="0"/>
          <w:sz w:val="24"/>
          <w:szCs w:val="24"/>
        </w:rPr>
        <w:t>：</w:t>
      </w:r>
      <w:r>
        <w:rPr>
          <w:rFonts w:hint="eastAsia" w:cs="宋体" w:asciiTheme="minorEastAsia" w:hAnsiTheme="minorEastAsia"/>
          <w:color w:val="000000" w:themeColor="text1"/>
          <w:kern w:val="0"/>
          <w:sz w:val="24"/>
          <w:szCs w:val="24"/>
        </w:rPr>
        <w:t>符合国家食品部门的有关标准（GB16869-2000），保证来</w:t>
      </w:r>
      <w:r>
        <w:rPr>
          <w:rFonts w:hint="eastAsia" w:asciiTheme="minorEastAsia" w:hAnsiTheme="minorEastAsia"/>
          <w:color w:val="000000" w:themeColor="text1"/>
          <w:sz w:val="24"/>
          <w:szCs w:val="24"/>
        </w:rPr>
        <w:t>自非疫区的健康家禽，并持有产地兽医检疫证明</w:t>
      </w:r>
      <w:r>
        <w:rPr>
          <w:rFonts w:hint="eastAsia" w:cs="宋体" w:asciiTheme="minorEastAsia" w:hAnsiTheme="minorEastAsia"/>
          <w:color w:val="000000" w:themeColor="text1"/>
          <w:kern w:val="0"/>
          <w:sz w:val="24"/>
          <w:szCs w:val="24"/>
        </w:rPr>
        <w:t>，供货时须提交每批次的检验报告。</w:t>
      </w:r>
    </w:p>
    <w:p>
      <w:pPr>
        <w:widowControl/>
        <w:spacing w:line="360" w:lineRule="auto"/>
        <w:ind w:firstLine="840" w:firstLineChars="350"/>
        <w:jc w:val="left"/>
        <w:rPr>
          <w:rFonts w:cs="宋体" w:asciiTheme="minorEastAsia" w:hAnsiTheme="minorEastAsia"/>
          <w:color w:val="000000" w:themeColor="text1"/>
          <w:kern w:val="0"/>
          <w:sz w:val="24"/>
          <w:szCs w:val="24"/>
        </w:rPr>
      </w:pPr>
      <w:r>
        <w:rPr>
          <w:rFonts w:hint="eastAsia" w:asciiTheme="minorEastAsia" w:hAnsiTheme="minorEastAsia"/>
          <w:color w:val="000000" w:themeColor="text1"/>
          <w:sz w:val="24"/>
          <w:szCs w:val="24"/>
          <w:shd w:val="clear" w:color="auto" w:fill="FFFFFF"/>
        </w:rPr>
        <w:t>3.3.1</w:t>
      </w:r>
      <w:r>
        <w:rPr>
          <w:rFonts w:hint="eastAsia" w:ascii="宋体" w:hAnsi="宋体" w:eastAsia="宋体" w:cs="宋体"/>
          <w:color w:val="000000" w:themeColor="text1"/>
          <w:kern w:val="0"/>
          <w:sz w:val="24"/>
          <w:szCs w:val="24"/>
        </w:rPr>
        <w:t>冷冻鸡胸肉，肉质饱满，不粘手，具有鸡的正常气味。包装、运输和贮存符合</w:t>
      </w:r>
      <w:r>
        <w:rPr>
          <w:rFonts w:hint="eastAsia" w:ascii="宋体" w:hAnsi="宋体"/>
          <w:color w:val="000000" w:themeColor="text1"/>
          <w:sz w:val="24"/>
          <w:szCs w:val="24"/>
        </w:rPr>
        <w:t>《肉和肉制品经营卫生规范》GB20799-2016要求，到校时鸡肉新鲜。冷鲜鸡每批次提供《动物检疫合格证明》，标明产品名称、净含量、生产者名称和地址、生产日期、保质期（要求保质期在三分之二以上范围）、产品批号等内容。</w:t>
      </w:r>
    </w:p>
    <w:p>
      <w:pPr>
        <w:pStyle w:val="2"/>
        <w:ind w:firstLine="840" w:firstLineChars="350"/>
        <w:rPr>
          <w:rFonts w:cs="Helvetica" w:asciiTheme="minorEastAsia" w:hAnsiTheme="minorEastAsia" w:eastAsiaTheme="minorEastAsia"/>
          <w:b w:val="0"/>
          <w:color w:val="000000" w:themeColor="text1"/>
          <w:sz w:val="24"/>
          <w:szCs w:val="24"/>
          <w:shd w:val="clear" w:color="auto" w:fill="FFFFFF"/>
        </w:rPr>
      </w:pPr>
      <w:r>
        <w:rPr>
          <w:rFonts w:hint="eastAsia" w:asciiTheme="minorEastAsia" w:hAnsiTheme="minorEastAsia" w:eastAsiaTheme="minorEastAsia"/>
          <w:b w:val="0"/>
          <w:color w:val="000000" w:themeColor="text1"/>
          <w:sz w:val="24"/>
          <w:szCs w:val="24"/>
          <w:shd w:val="clear" w:color="auto" w:fill="FFFFFF"/>
        </w:rPr>
        <w:t>3.3.2理化指标</w:t>
      </w:r>
      <w:r>
        <w:rPr>
          <w:rFonts w:hint="eastAsia" w:cs="宋体" w:asciiTheme="minorEastAsia" w:hAnsiTheme="minorEastAsia" w:eastAsiaTheme="minorEastAsia"/>
          <w:b w:val="0"/>
          <w:bCs/>
          <w:color w:val="000000" w:themeColor="text1"/>
          <w:sz w:val="24"/>
          <w:szCs w:val="24"/>
        </w:rPr>
        <w:t>:</w:t>
      </w:r>
      <w:r>
        <w:rPr>
          <w:rFonts w:cs="Helvetica" w:asciiTheme="minorEastAsia" w:hAnsiTheme="minorEastAsia" w:eastAsiaTheme="minorEastAsia"/>
          <w:b w:val="0"/>
          <w:color w:val="000000" w:themeColor="text1"/>
          <w:sz w:val="24"/>
          <w:szCs w:val="24"/>
          <w:shd w:val="clear" w:color="auto" w:fill="FFFFFF"/>
        </w:rPr>
        <w:t xml:space="preserve"> </w:t>
      </w:r>
      <w:r>
        <w:rPr>
          <w:rFonts w:hint="eastAsia" w:cs="Helvetica" w:asciiTheme="minorEastAsia" w:hAnsiTheme="minorEastAsia" w:eastAsiaTheme="minorEastAsia"/>
          <w:b w:val="0"/>
          <w:color w:val="000000" w:themeColor="text1"/>
          <w:sz w:val="24"/>
          <w:szCs w:val="24"/>
          <w:shd w:val="clear" w:color="auto" w:fill="FFFFFF"/>
        </w:rPr>
        <w:t>符合国家标准要求。</w:t>
      </w:r>
    </w:p>
    <w:p>
      <w:pPr>
        <w:pStyle w:val="2"/>
        <w:ind w:firstLine="840" w:firstLineChars="350"/>
        <w:rPr>
          <w:rFonts w:cs="Helvetica" w:asciiTheme="minorEastAsia" w:hAnsiTheme="minorEastAsia" w:eastAsiaTheme="minorEastAsia"/>
          <w:b w:val="0"/>
          <w:color w:val="000000" w:themeColor="text1"/>
          <w:sz w:val="24"/>
          <w:szCs w:val="24"/>
          <w:shd w:val="clear" w:color="auto" w:fill="FFFFFF"/>
        </w:rPr>
      </w:pPr>
      <w:r>
        <w:rPr>
          <w:rFonts w:hint="eastAsia" w:cs="Helvetica" w:asciiTheme="minorEastAsia" w:hAnsiTheme="minorEastAsia" w:eastAsiaTheme="minorEastAsia"/>
          <w:b w:val="0"/>
          <w:color w:val="000000" w:themeColor="text1"/>
          <w:sz w:val="24"/>
          <w:szCs w:val="24"/>
          <w:shd w:val="clear" w:color="auto" w:fill="FFFFFF"/>
        </w:rPr>
        <w:t>3.3.33</w:t>
      </w:r>
      <w:r>
        <w:rPr>
          <w:rFonts w:cs="Helvetica" w:asciiTheme="minorEastAsia" w:hAnsiTheme="minorEastAsia" w:eastAsiaTheme="minorEastAsia"/>
          <w:b w:val="0"/>
          <w:color w:val="000000" w:themeColor="text1"/>
          <w:sz w:val="24"/>
          <w:szCs w:val="24"/>
          <w:shd w:val="clear" w:color="auto" w:fill="FFFFFF"/>
        </w:rPr>
        <w:t>兽药残留指标</w:t>
      </w:r>
      <w:r>
        <w:rPr>
          <w:rFonts w:hint="eastAsia" w:cs="宋体" w:asciiTheme="minorEastAsia" w:hAnsiTheme="minorEastAsia" w:eastAsiaTheme="minorEastAsia"/>
          <w:b w:val="0"/>
          <w:bCs/>
          <w:color w:val="000000" w:themeColor="text1"/>
          <w:sz w:val="24"/>
          <w:szCs w:val="24"/>
        </w:rPr>
        <w:t>:</w:t>
      </w:r>
      <w:r>
        <w:rPr>
          <w:rFonts w:hint="eastAsia" w:cs="Helvetica" w:asciiTheme="minorEastAsia" w:hAnsiTheme="minorEastAsia" w:eastAsiaTheme="minorEastAsia"/>
          <w:b w:val="0"/>
          <w:color w:val="000000" w:themeColor="text1"/>
          <w:sz w:val="24"/>
          <w:szCs w:val="24"/>
          <w:shd w:val="clear" w:color="auto" w:fill="FFFFFF"/>
        </w:rPr>
        <w:t>符合国家标准要求</w:t>
      </w:r>
      <w:r>
        <w:rPr>
          <w:rFonts w:hint="eastAsia" w:ascii="宋体" w:hAnsi="宋体" w:eastAsia="宋体" w:cs="宋体"/>
          <w:color w:val="000000" w:themeColor="text1"/>
          <w:sz w:val="24"/>
          <w:szCs w:val="24"/>
        </w:rPr>
        <w:t>。</w:t>
      </w:r>
    </w:p>
    <w:p>
      <w:pPr>
        <w:pStyle w:val="2"/>
        <w:ind w:firstLine="840" w:firstLineChars="350"/>
        <w:rPr>
          <w:color w:val="000000" w:themeColor="text1"/>
          <w:sz w:val="24"/>
          <w:szCs w:val="24"/>
        </w:rPr>
      </w:pPr>
      <w:r>
        <w:rPr>
          <w:rFonts w:hint="eastAsia"/>
          <w:color w:val="000000" w:themeColor="text1"/>
          <w:sz w:val="24"/>
          <w:szCs w:val="24"/>
        </w:rPr>
        <w:t>三包：中央厨房供餐</w:t>
      </w:r>
    </w:p>
    <w:p>
      <w:pPr>
        <w:pStyle w:val="5"/>
        <w:rPr>
          <w:color w:val="000000" w:themeColor="text1"/>
        </w:rPr>
      </w:pPr>
    </w:p>
    <w:p>
      <w:pPr>
        <w:autoSpaceDE w:val="0"/>
        <w:autoSpaceDN w:val="0"/>
        <w:spacing w:line="460" w:lineRule="exact"/>
        <w:rPr>
          <w:rFonts w:asciiTheme="majorEastAsia" w:hAnsiTheme="majorEastAsia" w:eastAsiaTheme="majorEastAsia" w:cstheme="majorEastAsia"/>
          <w:color w:val="000000" w:themeColor="text1"/>
          <w:sz w:val="24"/>
          <w:szCs w:val="24"/>
        </w:rPr>
      </w:pPr>
      <w:r>
        <w:rPr>
          <w:rFonts w:hint="eastAsia"/>
          <w:color w:val="000000" w:themeColor="text1"/>
          <w:sz w:val="24"/>
          <w:szCs w:val="24"/>
        </w:rPr>
        <w:t>*1、中央厨房供餐方案：</w:t>
      </w:r>
      <w:r>
        <w:rPr>
          <w:rFonts w:hint="eastAsia" w:asciiTheme="majorEastAsia" w:hAnsiTheme="majorEastAsia" w:eastAsiaTheme="majorEastAsia" w:cstheme="majorEastAsia"/>
          <w:color w:val="000000" w:themeColor="text1"/>
          <w:sz w:val="24"/>
          <w:szCs w:val="24"/>
        </w:rPr>
        <w:t>本项目所供餐的主食材为牛肉类、猪肉类、鸡肉类、鸭肉类四种，按5元/生/餐的供餐标准由投标人自行制定科学、合理的食谱方案，要求提供八种定量的带荤素搭配比例的食谱安排表。</w:t>
      </w:r>
      <w:r>
        <w:rPr>
          <w:rFonts w:hint="eastAsia" w:ascii="宋体" w:hAnsi="宋体" w:cs="宋体"/>
          <w:color w:val="000000" w:themeColor="text1"/>
          <w:sz w:val="24"/>
          <w:szCs w:val="24"/>
        </w:rPr>
        <w:t>每周为本项目实际在校就餐的学生供餐两次，</w:t>
      </w:r>
      <w:r>
        <w:rPr>
          <w:rFonts w:hint="eastAsia" w:asciiTheme="majorEastAsia" w:hAnsiTheme="majorEastAsia" w:eastAsiaTheme="majorEastAsia" w:cstheme="majorEastAsia"/>
          <w:color w:val="000000" w:themeColor="text1"/>
          <w:sz w:val="24"/>
          <w:szCs w:val="24"/>
        </w:rPr>
        <w:t>按照制定的食谱安排表进行轮换供餐。要求将实际供餐的带价带量周食谱提前告知供餐学校并上报阳新县学生营养办备案。</w:t>
      </w:r>
    </w:p>
    <w:p>
      <w:pPr>
        <w:pStyle w:val="5"/>
        <w:spacing w:line="460" w:lineRule="exact"/>
        <w:ind w:left="0"/>
        <w:rPr>
          <w:rFonts w:ascii="宋体" w:hAnsi="宋体" w:cs="宋体"/>
          <w:b w:val="0"/>
          <w:color w:val="000000" w:themeColor="text1"/>
          <w:sz w:val="24"/>
          <w:szCs w:val="24"/>
        </w:rPr>
      </w:pPr>
      <w:r>
        <w:rPr>
          <w:rFonts w:hint="eastAsia" w:ascii="宋体" w:hAnsi="宋体" w:cs="宋体"/>
          <w:b w:val="0"/>
          <w:color w:val="000000" w:themeColor="text1"/>
          <w:sz w:val="24"/>
          <w:szCs w:val="24"/>
        </w:rPr>
        <w:t>*2、供餐要求：</w:t>
      </w:r>
    </w:p>
    <w:p>
      <w:pPr>
        <w:pStyle w:val="12"/>
        <w:autoSpaceDE w:val="0"/>
        <w:autoSpaceDN w:val="0"/>
        <w:spacing w:line="460" w:lineRule="exact"/>
        <w:ind w:firstLine="480" w:firstLineChars="200"/>
        <w:rPr>
          <w:rFonts w:asciiTheme="majorEastAsia" w:hAnsiTheme="majorEastAsia" w:eastAsiaTheme="majorEastAsia" w:cstheme="majorEastAsia"/>
          <w:color w:val="000000" w:themeColor="text1"/>
          <w:sz w:val="24"/>
          <w:szCs w:val="24"/>
          <w:lang w:val="en-US"/>
        </w:rPr>
      </w:pPr>
      <w:r>
        <w:rPr>
          <w:rFonts w:hint="eastAsia"/>
          <w:color w:val="000000" w:themeColor="text1"/>
          <w:sz w:val="24"/>
          <w:szCs w:val="24"/>
        </w:rPr>
        <w:t>2.1</w:t>
      </w:r>
      <w:r>
        <w:rPr>
          <w:rFonts w:hint="eastAsia" w:asciiTheme="majorEastAsia" w:hAnsiTheme="majorEastAsia" w:eastAsiaTheme="majorEastAsia" w:cstheme="majorEastAsia"/>
          <w:color w:val="000000" w:themeColor="text1"/>
          <w:sz w:val="24"/>
          <w:szCs w:val="24"/>
          <w:lang w:val="en-US"/>
        </w:rPr>
        <w:t>投标人所供菜肴的食材必须</w:t>
      </w:r>
      <w:r>
        <w:rPr>
          <w:rFonts w:hint="eastAsia" w:asciiTheme="minorHAnsi" w:hAnsiTheme="minorHAnsi" w:eastAsiaTheme="minorEastAsia" w:cstheme="minorBidi"/>
          <w:color w:val="000000" w:themeColor="text1"/>
          <w:sz w:val="24"/>
          <w:szCs w:val="24"/>
          <w:lang w:val="en-US" w:bidi="ar-SA"/>
        </w:rPr>
        <w:t>符合国家食品部门的有关标准，保证来源于正规渠道。</w:t>
      </w:r>
      <w:r>
        <w:rPr>
          <w:rFonts w:hint="eastAsia" w:asciiTheme="majorEastAsia" w:hAnsiTheme="majorEastAsia" w:eastAsiaTheme="majorEastAsia" w:cstheme="majorEastAsia"/>
          <w:color w:val="000000" w:themeColor="text1"/>
          <w:sz w:val="24"/>
          <w:szCs w:val="24"/>
          <w:lang w:val="en-US"/>
        </w:rPr>
        <w:t>（提供相关证明材料）</w:t>
      </w:r>
    </w:p>
    <w:p>
      <w:pPr>
        <w:autoSpaceDE w:val="0"/>
        <w:autoSpaceDN w:val="0"/>
        <w:spacing w:line="460" w:lineRule="exact"/>
        <w:ind w:firstLine="480" w:firstLineChars="200"/>
        <w:rPr>
          <w:color w:val="000000" w:themeColor="text1"/>
          <w:sz w:val="24"/>
          <w:szCs w:val="24"/>
        </w:rPr>
      </w:pPr>
      <w:r>
        <w:rPr>
          <w:rFonts w:hint="eastAsia"/>
          <w:color w:val="000000" w:themeColor="text1"/>
          <w:sz w:val="24"/>
          <w:szCs w:val="24"/>
        </w:rPr>
        <w:t>2.2采购人在供餐期内不定期抽检菜肴的质量和数量，抽检产生的费用由供应商承担。抽检过程中发现两次数量不足、以次充好、导致降低营养含量以及造成食品安全问题的情形，立即终止合同，所有损失由中标人承担并追究其法律责任。</w:t>
      </w:r>
    </w:p>
    <w:p>
      <w:pPr>
        <w:autoSpaceDE w:val="0"/>
        <w:autoSpaceDN w:val="0"/>
        <w:spacing w:line="460" w:lineRule="exact"/>
        <w:ind w:firstLine="480" w:firstLineChars="200"/>
        <w:rPr>
          <w:color w:val="000000" w:themeColor="text1"/>
          <w:sz w:val="24"/>
          <w:szCs w:val="24"/>
        </w:rPr>
      </w:pPr>
      <w:r>
        <w:rPr>
          <w:rFonts w:hint="eastAsia"/>
          <w:color w:val="000000" w:themeColor="text1"/>
          <w:sz w:val="24"/>
          <w:szCs w:val="24"/>
        </w:rPr>
        <w:t>2.3投标人须对所投标产品投保食品质量或安全责任保险。</w:t>
      </w:r>
    </w:p>
    <w:p>
      <w:pPr>
        <w:autoSpaceDE w:val="0"/>
        <w:autoSpaceDN w:val="0"/>
        <w:spacing w:line="460" w:lineRule="exact"/>
        <w:ind w:firstLine="480" w:firstLineChars="200"/>
        <w:rPr>
          <w:color w:val="000000" w:themeColor="text1"/>
          <w:sz w:val="24"/>
          <w:szCs w:val="24"/>
        </w:rPr>
      </w:pPr>
      <w:r>
        <w:rPr>
          <w:rFonts w:hint="eastAsia"/>
          <w:color w:val="000000" w:themeColor="text1"/>
          <w:sz w:val="24"/>
          <w:szCs w:val="24"/>
        </w:rPr>
        <w:t>2.4中标人不得转包、分包。若发现转包、分包，采购人有权终止协议，并追究中标人相关责任。</w:t>
      </w:r>
    </w:p>
    <w:p>
      <w:pPr>
        <w:autoSpaceDE w:val="0"/>
        <w:autoSpaceDN w:val="0"/>
        <w:spacing w:line="460" w:lineRule="exact"/>
        <w:ind w:firstLine="480" w:firstLineChars="200"/>
        <w:rPr>
          <w:color w:val="000000" w:themeColor="text1"/>
          <w:sz w:val="24"/>
          <w:szCs w:val="24"/>
        </w:rPr>
      </w:pPr>
      <w:r>
        <w:rPr>
          <w:rFonts w:hint="eastAsia"/>
          <w:color w:val="000000" w:themeColor="text1"/>
          <w:sz w:val="24"/>
          <w:szCs w:val="24"/>
        </w:rPr>
        <w:t>2.5安全责任：中标人在本项目实施过程中发生的所有安全事故由中标人自行负责。</w:t>
      </w:r>
    </w:p>
    <w:p>
      <w:pPr>
        <w:pStyle w:val="2"/>
        <w:rPr>
          <w:color w:val="000000" w:themeColor="text1"/>
          <w:sz w:val="24"/>
          <w:szCs w:val="24"/>
        </w:rPr>
      </w:pPr>
    </w:p>
    <w:p>
      <w:pPr>
        <w:rPr>
          <w:color w:val="000000" w:themeColor="text1"/>
          <w:sz w:val="24"/>
          <w:szCs w:val="24"/>
        </w:rPr>
      </w:pPr>
    </w:p>
    <w:p>
      <w:pPr>
        <w:spacing w:line="360" w:lineRule="auto"/>
        <w:rPr>
          <w:color w:val="000000" w:themeColor="text1"/>
        </w:rPr>
      </w:pPr>
      <w:r>
        <w:rPr>
          <w:rFonts w:hint="eastAsia"/>
          <w:color w:val="000000" w:themeColor="text1"/>
          <w:sz w:val="24"/>
          <w:szCs w:val="24"/>
        </w:rPr>
        <w:t>*3、 配餐方案带量食谱安排表（样表）</w:t>
      </w:r>
    </w:p>
    <w:tbl>
      <w:tblPr>
        <w:tblStyle w:val="23"/>
        <w:tblpPr w:leftFromText="180" w:rightFromText="180" w:vertAnchor="text" w:horzAnchor="page" w:tblpX="1427" w:tblpY="103"/>
        <w:tblOverlap w:val="never"/>
        <w:tblW w:w="8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540"/>
        <w:gridCol w:w="1380"/>
        <w:gridCol w:w="1701"/>
        <w:gridCol w:w="156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054" w:type="dxa"/>
            <w:vAlign w:val="center"/>
          </w:tcPr>
          <w:p>
            <w:pPr>
              <w:pStyle w:val="48"/>
              <w:spacing w:line="360" w:lineRule="auto"/>
              <w:ind w:left="133" w:right="124"/>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种类</w:t>
            </w:r>
          </w:p>
        </w:tc>
        <w:tc>
          <w:tcPr>
            <w:tcW w:w="1540" w:type="dxa"/>
            <w:vAlign w:val="center"/>
          </w:tcPr>
          <w:p>
            <w:pPr>
              <w:pStyle w:val="48"/>
              <w:spacing w:line="360" w:lineRule="auto"/>
              <w:ind w:left="133" w:right="124"/>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 xml:space="preserve">荤素搭配比例   </w:t>
            </w:r>
          </w:p>
        </w:tc>
        <w:tc>
          <w:tcPr>
            <w:tcW w:w="1380" w:type="dxa"/>
            <w:vAlign w:val="center"/>
          </w:tcPr>
          <w:p>
            <w:pPr>
              <w:pStyle w:val="48"/>
              <w:spacing w:line="360" w:lineRule="auto"/>
              <w:ind w:left="430" w:right="198" w:hanging="430" w:hangingChars="205"/>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食谱</w:t>
            </w:r>
          </w:p>
        </w:tc>
        <w:tc>
          <w:tcPr>
            <w:tcW w:w="1701" w:type="dxa"/>
            <w:vAlign w:val="center"/>
          </w:tcPr>
          <w:p>
            <w:pPr>
              <w:pStyle w:val="48"/>
              <w:spacing w:line="360" w:lineRule="auto"/>
              <w:ind w:left="455" w:leftChars="113" w:right="198" w:hanging="218" w:hangingChars="104"/>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主食材数量及单价  （克/餐）</w:t>
            </w:r>
          </w:p>
        </w:tc>
        <w:tc>
          <w:tcPr>
            <w:tcW w:w="1560" w:type="dxa"/>
            <w:vAlign w:val="center"/>
          </w:tcPr>
          <w:p>
            <w:pPr>
              <w:pStyle w:val="48"/>
              <w:spacing w:line="360" w:lineRule="auto"/>
              <w:ind w:left="455" w:leftChars="113" w:right="198" w:hanging="218" w:hangingChars="104"/>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辅食材数量及单价 （克/餐）</w:t>
            </w:r>
          </w:p>
        </w:tc>
        <w:tc>
          <w:tcPr>
            <w:tcW w:w="1701" w:type="dxa"/>
            <w:vAlign w:val="center"/>
          </w:tcPr>
          <w:p>
            <w:pPr>
              <w:pStyle w:val="48"/>
              <w:tabs>
                <w:tab w:val="left" w:pos="595"/>
              </w:tabs>
              <w:spacing w:line="360" w:lineRule="auto"/>
              <w:ind w:right="1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供餐标准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5"/>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牛肉类</w:t>
            </w:r>
          </w:p>
        </w:tc>
        <w:tc>
          <w:tcPr>
            <w:tcW w:w="1540" w:type="dxa"/>
            <w:vMerge w:val="restart"/>
            <w:vAlign w:val="center"/>
          </w:tcPr>
          <w:p>
            <w:pPr>
              <w:pStyle w:val="48"/>
              <w:spacing w:line="360" w:lineRule="auto"/>
              <w:ind w:left="15"/>
              <w:jc w:val="center"/>
              <w:rPr>
                <w:rFonts w:asciiTheme="minorHAnsi" w:hAnsiTheme="minorHAnsi" w:eastAsiaTheme="minorEastAsia" w:cstheme="minorBidi"/>
                <w:color w:val="000000" w:themeColor="text1"/>
                <w:kern w:val="2"/>
                <w:sz w:val="21"/>
                <w:szCs w:val="21"/>
              </w:rPr>
            </w:pPr>
          </w:p>
        </w:tc>
        <w:tc>
          <w:tcPr>
            <w:tcW w:w="1380" w:type="dxa"/>
            <w:vAlign w:val="center"/>
          </w:tcPr>
          <w:p>
            <w:pPr>
              <w:pStyle w:val="48"/>
              <w:spacing w:line="360" w:lineRule="auto"/>
              <w:ind w:right="470"/>
              <w:jc w:val="both"/>
              <w:rPr>
                <w:rFonts w:asciiTheme="minorHAnsi" w:hAnsiTheme="minorHAnsi" w:eastAsiaTheme="minorEastAsia" w:cstheme="minorBidi"/>
                <w:color w:val="000000" w:themeColor="text1"/>
                <w:kern w:val="2"/>
                <w:sz w:val="21"/>
                <w:szCs w:val="21"/>
              </w:rPr>
            </w:pPr>
          </w:p>
        </w:tc>
        <w:tc>
          <w:tcPr>
            <w:tcW w:w="1701" w:type="dxa"/>
            <w:vAlign w:val="center"/>
          </w:tcPr>
          <w:p>
            <w:pPr>
              <w:pStyle w:val="48"/>
              <w:spacing w:line="360" w:lineRule="auto"/>
              <w:ind w:right="470"/>
              <w:jc w:val="center"/>
              <w:rPr>
                <w:rFonts w:asciiTheme="minorHAnsi" w:hAnsiTheme="minorHAnsi" w:eastAsiaTheme="minorEastAsia" w:cstheme="minorBidi"/>
                <w:color w:val="000000" w:themeColor="text1"/>
                <w:kern w:val="2"/>
                <w:sz w:val="21"/>
                <w:szCs w:val="21"/>
              </w:rPr>
            </w:pPr>
          </w:p>
        </w:tc>
        <w:tc>
          <w:tcPr>
            <w:tcW w:w="1560" w:type="dxa"/>
            <w:vAlign w:val="center"/>
          </w:tcPr>
          <w:p>
            <w:pPr>
              <w:pStyle w:val="48"/>
              <w:spacing w:line="360" w:lineRule="auto"/>
              <w:ind w:right="470"/>
              <w:jc w:val="center"/>
              <w:rPr>
                <w:rFonts w:asciiTheme="minorHAnsi" w:hAnsiTheme="minorHAnsi" w:eastAsiaTheme="minorEastAsia" w:cstheme="minorBidi"/>
                <w:color w:val="000000" w:themeColor="text1"/>
                <w:kern w:val="2"/>
                <w:sz w:val="21"/>
                <w:szCs w:val="21"/>
              </w:rPr>
            </w:pPr>
          </w:p>
        </w:tc>
        <w:tc>
          <w:tcPr>
            <w:tcW w:w="1701" w:type="dxa"/>
            <w:vMerge w:val="restart"/>
            <w:vAlign w:val="center"/>
          </w:tcPr>
          <w:p>
            <w:pPr>
              <w:pStyle w:val="48"/>
              <w:spacing w:line="360" w:lineRule="auto"/>
              <w:ind w:right="2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b/>
                <w:bCs/>
                <w:color w:val="000000" w:themeColor="text1"/>
                <w:kern w:val="2"/>
                <w:sz w:val="21"/>
                <w:szCs w:val="21"/>
              </w:rPr>
              <w:t>5.0元/生/餐     （每周供餐2次</w:t>
            </w:r>
            <w:r>
              <w:rPr>
                <w:rFonts w:hint="eastAsia" w:asciiTheme="minorHAnsi" w:hAnsiTheme="minorHAnsi" w:eastAsiaTheme="minorEastAsia" w:cstheme="minorBidi"/>
                <w:color w:val="000000" w:themeColor="text1"/>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vAlign w:val="center"/>
          </w:tcPr>
          <w:p>
            <w:pPr>
              <w:pStyle w:val="48"/>
              <w:spacing w:line="360" w:lineRule="auto"/>
              <w:ind w:left="15"/>
              <w:jc w:val="center"/>
              <w:rPr>
                <w:rFonts w:asciiTheme="minorHAnsi" w:hAnsiTheme="minorHAnsi" w:eastAsiaTheme="minorEastAsia" w:cstheme="minorBidi"/>
                <w:color w:val="000000" w:themeColor="text1"/>
                <w:kern w:val="2"/>
                <w:sz w:val="21"/>
                <w:szCs w:val="21"/>
              </w:rPr>
            </w:pPr>
          </w:p>
        </w:tc>
        <w:tc>
          <w:tcPr>
            <w:tcW w:w="1540" w:type="dxa"/>
            <w:vMerge w:val="continue"/>
            <w:vAlign w:val="center"/>
          </w:tcPr>
          <w:p>
            <w:pPr>
              <w:pStyle w:val="48"/>
              <w:spacing w:line="360" w:lineRule="auto"/>
              <w:ind w:left="15"/>
              <w:jc w:val="center"/>
              <w:rPr>
                <w:rFonts w:asciiTheme="minorHAnsi" w:hAnsiTheme="minorHAnsi" w:eastAsiaTheme="minorEastAsia" w:cstheme="minorBidi"/>
                <w:color w:val="000000" w:themeColor="text1"/>
                <w:kern w:val="2"/>
                <w:sz w:val="21"/>
                <w:szCs w:val="21"/>
              </w:rPr>
            </w:pPr>
          </w:p>
        </w:tc>
        <w:tc>
          <w:tcPr>
            <w:tcW w:w="1380" w:type="dxa"/>
            <w:vAlign w:val="center"/>
          </w:tcPr>
          <w:p>
            <w:pPr>
              <w:pStyle w:val="48"/>
              <w:spacing w:line="360" w:lineRule="auto"/>
              <w:ind w:right="470"/>
              <w:jc w:val="both"/>
              <w:rPr>
                <w:rFonts w:asciiTheme="minorHAnsi" w:hAnsiTheme="minorHAnsi" w:eastAsiaTheme="minorEastAsia" w:cstheme="minorBidi"/>
                <w:color w:val="000000" w:themeColor="text1"/>
                <w:kern w:val="2"/>
                <w:sz w:val="21"/>
                <w:szCs w:val="21"/>
              </w:rPr>
            </w:pPr>
          </w:p>
        </w:tc>
        <w:tc>
          <w:tcPr>
            <w:tcW w:w="1701" w:type="dxa"/>
            <w:vAlign w:val="center"/>
          </w:tcPr>
          <w:p>
            <w:pPr>
              <w:pStyle w:val="48"/>
              <w:spacing w:line="360" w:lineRule="auto"/>
              <w:ind w:right="470"/>
              <w:jc w:val="center"/>
              <w:rPr>
                <w:rFonts w:asciiTheme="minorHAnsi" w:hAnsiTheme="minorHAnsi" w:eastAsiaTheme="minorEastAsia" w:cstheme="minorBidi"/>
                <w:color w:val="000000" w:themeColor="text1"/>
                <w:kern w:val="2"/>
                <w:sz w:val="21"/>
                <w:szCs w:val="21"/>
              </w:rPr>
            </w:pPr>
          </w:p>
        </w:tc>
        <w:tc>
          <w:tcPr>
            <w:tcW w:w="1560" w:type="dxa"/>
            <w:vAlign w:val="center"/>
          </w:tcPr>
          <w:p>
            <w:pPr>
              <w:pStyle w:val="48"/>
              <w:spacing w:line="360" w:lineRule="auto"/>
              <w:ind w:right="470"/>
              <w:jc w:val="center"/>
              <w:rPr>
                <w:rFonts w:asciiTheme="minorHAnsi" w:hAnsiTheme="minorHAnsi" w:eastAsiaTheme="minorEastAsia" w:cstheme="minorBidi"/>
                <w:color w:val="000000" w:themeColor="text1"/>
                <w:kern w:val="2"/>
                <w:sz w:val="21"/>
                <w:szCs w:val="21"/>
              </w:rPr>
            </w:pPr>
          </w:p>
        </w:tc>
        <w:tc>
          <w:tcPr>
            <w:tcW w:w="1701" w:type="dxa"/>
            <w:vMerge w:val="continue"/>
            <w:vAlign w:val="center"/>
          </w:tcPr>
          <w:p>
            <w:pPr>
              <w:pStyle w:val="48"/>
              <w:spacing w:line="360" w:lineRule="auto"/>
              <w:ind w:right="298"/>
              <w:jc w:val="center"/>
              <w:rPr>
                <w:rFonts w:asciiTheme="minorHAnsi" w:hAnsiTheme="minorHAnsi" w:eastAsiaTheme="minorEastAsia" w:cstheme="minorBidi"/>
                <w:b/>
                <w:bCs/>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color w:val="000000" w:themeColor="text1"/>
                <w:sz w:val="21"/>
                <w:szCs w:val="21"/>
              </w:rPr>
            </w:pPr>
            <w:r>
              <w:rPr>
                <w:rFonts w:hint="eastAsia" w:ascii="宋体" w:hAnsi="宋体" w:eastAsia="宋体"/>
                <w:color w:val="000000" w:themeColor="text1"/>
                <w:sz w:val="21"/>
                <w:szCs w:val="21"/>
              </w:rPr>
              <w:t>猪肉类</w:t>
            </w:r>
          </w:p>
        </w:tc>
        <w:tc>
          <w:tcPr>
            <w:tcW w:w="1540" w:type="dxa"/>
            <w:vMerge w:val="restart"/>
            <w:vAlign w:val="center"/>
          </w:tcPr>
          <w:p>
            <w:pPr>
              <w:pStyle w:val="48"/>
              <w:spacing w:line="360" w:lineRule="auto"/>
              <w:ind w:left="133" w:right="116"/>
              <w:jc w:val="center"/>
              <w:rPr>
                <w:rFonts w:ascii="宋体" w:hAnsi="宋体" w:eastAsia="宋体"/>
                <w:color w:val="000000" w:themeColor="text1"/>
                <w:sz w:val="21"/>
                <w:szCs w:val="21"/>
              </w:rPr>
            </w:pPr>
          </w:p>
        </w:tc>
        <w:tc>
          <w:tcPr>
            <w:tcW w:w="1380" w:type="dxa"/>
            <w:vAlign w:val="center"/>
          </w:tcPr>
          <w:p>
            <w:pPr>
              <w:pStyle w:val="48"/>
              <w:spacing w:line="360" w:lineRule="auto"/>
              <w:ind w:right="953"/>
              <w:jc w:val="center"/>
              <w:rPr>
                <w:rFonts w:ascii="宋体" w:hAnsi="宋体" w:eastAsia="宋体"/>
                <w:b/>
                <w:color w:val="000000" w:themeColor="text1"/>
                <w:sz w:val="21"/>
                <w:szCs w:val="21"/>
              </w:rPr>
            </w:pPr>
          </w:p>
        </w:tc>
        <w:tc>
          <w:tcPr>
            <w:tcW w:w="1701" w:type="dxa"/>
            <w:vAlign w:val="center"/>
          </w:tcPr>
          <w:p>
            <w:pPr>
              <w:pStyle w:val="48"/>
              <w:spacing w:line="360" w:lineRule="auto"/>
              <w:ind w:right="953"/>
              <w:jc w:val="center"/>
              <w:rPr>
                <w:rFonts w:ascii="宋体" w:hAnsi="宋体" w:eastAsia="宋体"/>
                <w:bCs/>
                <w:color w:val="000000" w:themeColor="text1"/>
                <w:sz w:val="21"/>
                <w:szCs w:val="21"/>
              </w:rPr>
            </w:pPr>
          </w:p>
        </w:tc>
        <w:tc>
          <w:tcPr>
            <w:tcW w:w="1560" w:type="dxa"/>
            <w:vAlign w:val="center"/>
          </w:tcPr>
          <w:p>
            <w:pPr>
              <w:pStyle w:val="48"/>
              <w:spacing w:line="360" w:lineRule="auto"/>
              <w:ind w:right="953"/>
              <w:jc w:val="center"/>
              <w:rPr>
                <w:rFonts w:ascii="宋体" w:hAnsi="宋体" w:eastAsia="宋体"/>
                <w:bCs/>
                <w:color w:val="000000" w:themeColor="text1"/>
                <w:sz w:val="21"/>
                <w:szCs w:val="21"/>
              </w:rPr>
            </w:pPr>
          </w:p>
        </w:tc>
        <w:tc>
          <w:tcPr>
            <w:tcW w:w="1701"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054" w:type="dxa"/>
            <w:vMerge w:val="continue"/>
          </w:tcPr>
          <w:p>
            <w:pPr>
              <w:pStyle w:val="48"/>
              <w:spacing w:line="360" w:lineRule="auto"/>
              <w:ind w:left="133" w:right="116"/>
              <w:jc w:val="center"/>
              <w:rPr>
                <w:rFonts w:ascii="宋体" w:hAnsi="宋体" w:eastAsia="宋体"/>
                <w:color w:val="000000" w:themeColor="text1"/>
                <w:sz w:val="21"/>
                <w:szCs w:val="21"/>
              </w:rPr>
            </w:pPr>
          </w:p>
        </w:tc>
        <w:tc>
          <w:tcPr>
            <w:tcW w:w="1540" w:type="dxa"/>
            <w:vMerge w:val="continue"/>
            <w:vAlign w:val="center"/>
          </w:tcPr>
          <w:p>
            <w:pPr>
              <w:pStyle w:val="48"/>
              <w:spacing w:line="360" w:lineRule="auto"/>
              <w:ind w:left="133" w:right="116"/>
              <w:jc w:val="center"/>
              <w:rPr>
                <w:rFonts w:ascii="宋体" w:hAnsi="宋体" w:eastAsia="宋体"/>
                <w:color w:val="000000" w:themeColor="text1"/>
                <w:sz w:val="21"/>
                <w:szCs w:val="21"/>
              </w:rPr>
            </w:pPr>
          </w:p>
        </w:tc>
        <w:tc>
          <w:tcPr>
            <w:tcW w:w="1380" w:type="dxa"/>
            <w:vAlign w:val="center"/>
          </w:tcPr>
          <w:p>
            <w:pPr>
              <w:pStyle w:val="48"/>
              <w:spacing w:line="360" w:lineRule="auto"/>
              <w:ind w:right="953"/>
              <w:jc w:val="center"/>
              <w:rPr>
                <w:rFonts w:ascii="宋体" w:hAnsi="宋体" w:eastAsia="宋体"/>
                <w:b/>
                <w:color w:val="000000" w:themeColor="text1"/>
                <w:sz w:val="21"/>
                <w:szCs w:val="21"/>
              </w:rPr>
            </w:pPr>
          </w:p>
        </w:tc>
        <w:tc>
          <w:tcPr>
            <w:tcW w:w="1701" w:type="dxa"/>
            <w:vAlign w:val="center"/>
          </w:tcPr>
          <w:p>
            <w:pPr>
              <w:pStyle w:val="48"/>
              <w:spacing w:line="360" w:lineRule="auto"/>
              <w:ind w:right="953"/>
              <w:jc w:val="center"/>
              <w:rPr>
                <w:rFonts w:ascii="宋体" w:hAnsi="宋体" w:eastAsia="宋体"/>
                <w:bCs/>
                <w:color w:val="000000" w:themeColor="text1"/>
                <w:sz w:val="21"/>
                <w:szCs w:val="21"/>
              </w:rPr>
            </w:pPr>
          </w:p>
        </w:tc>
        <w:tc>
          <w:tcPr>
            <w:tcW w:w="1560" w:type="dxa"/>
            <w:vAlign w:val="center"/>
          </w:tcPr>
          <w:p>
            <w:pPr>
              <w:pStyle w:val="48"/>
              <w:spacing w:line="360" w:lineRule="auto"/>
              <w:ind w:right="953"/>
              <w:jc w:val="center"/>
              <w:rPr>
                <w:rFonts w:ascii="宋体" w:hAnsi="宋体" w:eastAsia="宋体"/>
                <w:bCs/>
                <w:color w:val="000000" w:themeColor="text1"/>
                <w:sz w:val="21"/>
                <w:szCs w:val="21"/>
              </w:rPr>
            </w:pPr>
          </w:p>
        </w:tc>
        <w:tc>
          <w:tcPr>
            <w:tcW w:w="1701"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color w:val="000000" w:themeColor="text1"/>
                <w:sz w:val="21"/>
                <w:szCs w:val="21"/>
              </w:rPr>
            </w:pPr>
            <w:r>
              <w:rPr>
                <w:rFonts w:hint="eastAsia" w:ascii="宋体" w:hAnsi="宋体" w:eastAsia="宋体"/>
                <w:color w:val="000000" w:themeColor="text1"/>
                <w:sz w:val="21"/>
                <w:szCs w:val="21"/>
              </w:rPr>
              <w:t>鸡肉类</w:t>
            </w:r>
          </w:p>
        </w:tc>
        <w:tc>
          <w:tcPr>
            <w:tcW w:w="1540" w:type="dxa"/>
            <w:vMerge w:val="restart"/>
            <w:vAlign w:val="center"/>
          </w:tcPr>
          <w:p>
            <w:pPr>
              <w:pStyle w:val="48"/>
              <w:spacing w:line="360" w:lineRule="auto"/>
              <w:ind w:left="133" w:right="116"/>
              <w:jc w:val="center"/>
              <w:rPr>
                <w:rFonts w:ascii="宋体" w:hAnsi="宋体" w:eastAsia="宋体"/>
                <w:color w:val="000000" w:themeColor="text1"/>
                <w:sz w:val="21"/>
                <w:szCs w:val="21"/>
              </w:rPr>
            </w:pPr>
          </w:p>
        </w:tc>
        <w:tc>
          <w:tcPr>
            <w:tcW w:w="1380" w:type="dxa"/>
            <w:vAlign w:val="center"/>
          </w:tcPr>
          <w:p>
            <w:pPr>
              <w:pStyle w:val="48"/>
              <w:spacing w:line="360" w:lineRule="auto"/>
              <w:ind w:right="953"/>
              <w:jc w:val="center"/>
              <w:rPr>
                <w:rFonts w:ascii="宋体" w:hAnsi="宋体" w:eastAsia="宋体"/>
                <w:b/>
                <w:color w:val="000000" w:themeColor="text1"/>
                <w:sz w:val="21"/>
                <w:szCs w:val="21"/>
              </w:rPr>
            </w:pPr>
          </w:p>
        </w:tc>
        <w:tc>
          <w:tcPr>
            <w:tcW w:w="1701" w:type="dxa"/>
            <w:vAlign w:val="center"/>
          </w:tcPr>
          <w:p>
            <w:pPr>
              <w:pStyle w:val="48"/>
              <w:spacing w:line="360" w:lineRule="auto"/>
              <w:ind w:right="953"/>
              <w:jc w:val="center"/>
              <w:rPr>
                <w:rFonts w:ascii="宋体" w:hAnsi="宋体" w:eastAsia="宋体"/>
                <w:bCs/>
                <w:color w:val="000000" w:themeColor="text1"/>
                <w:sz w:val="21"/>
                <w:szCs w:val="21"/>
              </w:rPr>
            </w:pPr>
          </w:p>
        </w:tc>
        <w:tc>
          <w:tcPr>
            <w:tcW w:w="1560" w:type="dxa"/>
            <w:vAlign w:val="center"/>
          </w:tcPr>
          <w:p>
            <w:pPr>
              <w:pStyle w:val="48"/>
              <w:spacing w:line="360" w:lineRule="auto"/>
              <w:ind w:right="953"/>
              <w:jc w:val="center"/>
              <w:rPr>
                <w:rFonts w:ascii="宋体" w:hAnsi="宋体" w:eastAsia="宋体"/>
                <w:bCs/>
                <w:color w:val="000000" w:themeColor="text1"/>
                <w:sz w:val="21"/>
                <w:szCs w:val="21"/>
              </w:rPr>
            </w:pPr>
          </w:p>
        </w:tc>
        <w:tc>
          <w:tcPr>
            <w:tcW w:w="1701"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tcPr>
          <w:p>
            <w:pPr>
              <w:pStyle w:val="48"/>
              <w:spacing w:line="360" w:lineRule="auto"/>
              <w:ind w:left="133" w:right="116"/>
              <w:jc w:val="center"/>
              <w:rPr>
                <w:rFonts w:ascii="宋体" w:hAnsi="宋体" w:eastAsia="宋体"/>
                <w:color w:val="000000" w:themeColor="text1"/>
                <w:sz w:val="21"/>
                <w:szCs w:val="21"/>
              </w:rPr>
            </w:pPr>
          </w:p>
        </w:tc>
        <w:tc>
          <w:tcPr>
            <w:tcW w:w="1540" w:type="dxa"/>
            <w:vMerge w:val="continue"/>
            <w:vAlign w:val="center"/>
          </w:tcPr>
          <w:p>
            <w:pPr>
              <w:pStyle w:val="48"/>
              <w:spacing w:line="360" w:lineRule="auto"/>
              <w:ind w:left="133" w:right="116"/>
              <w:jc w:val="center"/>
              <w:rPr>
                <w:rFonts w:ascii="宋体" w:hAnsi="宋体" w:eastAsia="宋体"/>
                <w:color w:val="000000" w:themeColor="text1"/>
                <w:sz w:val="21"/>
                <w:szCs w:val="21"/>
              </w:rPr>
            </w:pPr>
          </w:p>
        </w:tc>
        <w:tc>
          <w:tcPr>
            <w:tcW w:w="1380" w:type="dxa"/>
            <w:vAlign w:val="center"/>
          </w:tcPr>
          <w:p>
            <w:pPr>
              <w:pStyle w:val="48"/>
              <w:spacing w:line="360" w:lineRule="auto"/>
              <w:ind w:right="953"/>
              <w:jc w:val="center"/>
              <w:rPr>
                <w:rFonts w:ascii="宋体" w:hAnsi="宋体" w:eastAsia="宋体"/>
                <w:b/>
                <w:color w:val="000000" w:themeColor="text1"/>
                <w:sz w:val="21"/>
                <w:szCs w:val="21"/>
              </w:rPr>
            </w:pPr>
          </w:p>
        </w:tc>
        <w:tc>
          <w:tcPr>
            <w:tcW w:w="1701" w:type="dxa"/>
            <w:vAlign w:val="center"/>
          </w:tcPr>
          <w:p>
            <w:pPr>
              <w:pStyle w:val="48"/>
              <w:spacing w:line="360" w:lineRule="auto"/>
              <w:ind w:right="953"/>
              <w:jc w:val="center"/>
              <w:rPr>
                <w:rFonts w:ascii="宋体" w:hAnsi="宋体" w:eastAsia="宋体"/>
                <w:bCs/>
                <w:color w:val="000000" w:themeColor="text1"/>
                <w:sz w:val="21"/>
                <w:szCs w:val="21"/>
              </w:rPr>
            </w:pPr>
          </w:p>
        </w:tc>
        <w:tc>
          <w:tcPr>
            <w:tcW w:w="1560" w:type="dxa"/>
            <w:vAlign w:val="center"/>
          </w:tcPr>
          <w:p>
            <w:pPr>
              <w:pStyle w:val="48"/>
              <w:spacing w:line="360" w:lineRule="auto"/>
              <w:ind w:right="953"/>
              <w:jc w:val="center"/>
              <w:rPr>
                <w:rFonts w:ascii="宋体" w:hAnsi="宋体" w:eastAsia="宋体"/>
                <w:bCs/>
                <w:color w:val="000000" w:themeColor="text1"/>
                <w:sz w:val="21"/>
                <w:szCs w:val="21"/>
              </w:rPr>
            </w:pPr>
          </w:p>
        </w:tc>
        <w:tc>
          <w:tcPr>
            <w:tcW w:w="1701"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color w:val="000000" w:themeColor="text1"/>
                <w:sz w:val="21"/>
                <w:szCs w:val="21"/>
              </w:rPr>
            </w:pPr>
            <w:r>
              <w:rPr>
                <w:rFonts w:hint="eastAsia" w:ascii="宋体" w:hAnsi="宋体" w:eastAsia="宋体"/>
                <w:color w:val="000000" w:themeColor="text1"/>
                <w:sz w:val="21"/>
                <w:szCs w:val="21"/>
              </w:rPr>
              <w:t>鸭肉类</w:t>
            </w:r>
          </w:p>
        </w:tc>
        <w:tc>
          <w:tcPr>
            <w:tcW w:w="1540" w:type="dxa"/>
            <w:vMerge w:val="restart"/>
            <w:vAlign w:val="center"/>
          </w:tcPr>
          <w:p>
            <w:pPr>
              <w:pStyle w:val="48"/>
              <w:spacing w:line="360" w:lineRule="auto"/>
              <w:ind w:left="133" w:right="116"/>
              <w:jc w:val="center"/>
              <w:rPr>
                <w:rFonts w:ascii="宋体" w:hAnsi="宋体" w:eastAsia="宋体"/>
                <w:color w:val="000000" w:themeColor="text1"/>
                <w:sz w:val="21"/>
                <w:szCs w:val="21"/>
              </w:rPr>
            </w:pPr>
          </w:p>
        </w:tc>
        <w:tc>
          <w:tcPr>
            <w:tcW w:w="1380" w:type="dxa"/>
            <w:vAlign w:val="center"/>
          </w:tcPr>
          <w:p>
            <w:pPr>
              <w:pStyle w:val="48"/>
              <w:spacing w:line="360" w:lineRule="auto"/>
              <w:ind w:right="953"/>
              <w:jc w:val="center"/>
              <w:rPr>
                <w:rFonts w:ascii="宋体" w:hAnsi="宋体" w:eastAsia="宋体"/>
                <w:b/>
                <w:color w:val="000000" w:themeColor="text1"/>
                <w:sz w:val="21"/>
                <w:szCs w:val="21"/>
              </w:rPr>
            </w:pPr>
          </w:p>
        </w:tc>
        <w:tc>
          <w:tcPr>
            <w:tcW w:w="1701" w:type="dxa"/>
            <w:vAlign w:val="center"/>
          </w:tcPr>
          <w:p>
            <w:pPr>
              <w:pStyle w:val="48"/>
              <w:spacing w:line="360" w:lineRule="auto"/>
              <w:ind w:right="953"/>
              <w:jc w:val="center"/>
              <w:rPr>
                <w:rFonts w:ascii="宋体" w:hAnsi="宋体" w:eastAsia="宋体"/>
                <w:bCs/>
                <w:color w:val="000000" w:themeColor="text1"/>
                <w:sz w:val="21"/>
                <w:szCs w:val="21"/>
              </w:rPr>
            </w:pPr>
          </w:p>
        </w:tc>
        <w:tc>
          <w:tcPr>
            <w:tcW w:w="1560" w:type="dxa"/>
            <w:vAlign w:val="center"/>
          </w:tcPr>
          <w:p>
            <w:pPr>
              <w:pStyle w:val="48"/>
              <w:spacing w:line="360" w:lineRule="auto"/>
              <w:ind w:right="953"/>
              <w:jc w:val="center"/>
              <w:rPr>
                <w:rFonts w:ascii="宋体" w:hAnsi="宋体" w:eastAsia="宋体"/>
                <w:bCs/>
                <w:color w:val="000000" w:themeColor="text1"/>
                <w:sz w:val="21"/>
                <w:szCs w:val="21"/>
              </w:rPr>
            </w:pPr>
          </w:p>
        </w:tc>
        <w:tc>
          <w:tcPr>
            <w:tcW w:w="1701"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054" w:type="dxa"/>
            <w:vMerge w:val="continue"/>
            <w:vAlign w:val="center"/>
          </w:tcPr>
          <w:p>
            <w:pPr>
              <w:pStyle w:val="48"/>
              <w:spacing w:line="360" w:lineRule="auto"/>
              <w:ind w:left="133" w:right="116"/>
              <w:jc w:val="center"/>
              <w:rPr>
                <w:rFonts w:ascii="宋体" w:hAnsi="宋体" w:eastAsia="宋体"/>
                <w:color w:val="000000" w:themeColor="text1"/>
                <w:sz w:val="21"/>
                <w:szCs w:val="21"/>
              </w:rPr>
            </w:pPr>
          </w:p>
        </w:tc>
        <w:tc>
          <w:tcPr>
            <w:tcW w:w="1540" w:type="dxa"/>
            <w:vMerge w:val="continue"/>
            <w:vAlign w:val="center"/>
          </w:tcPr>
          <w:p>
            <w:pPr>
              <w:pStyle w:val="48"/>
              <w:spacing w:line="360" w:lineRule="auto"/>
              <w:ind w:left="133" w:right="116"/>
              <w:jc w:val="center"/>
              <w:rPr>
                <w:rFonts w:ascii="宋体" w:hAnsi="宋体" w:eastAsia="宋体"/>
                <w:color w:val="000000" w:themeColor="text1"/>
                <w:sz w:val="21"/>
                <w:szCs w:val="21"/>
              </w:rPr>
            </w:pPr>
          </w:p>
        </w:tc>
        <w:tc>
          <w:tcPr>
            <w:tcW w:w="1380" w:type="dxa"/>
            <w:vAlign w:val="center"/>
          </w:tcPr>
          <w:p>
            <w:pPr>
              <w:pStyle w:val="48"/>
              <w:spacing w:line="360" w:lineRule="auto"/>
              <w:ind w:right="953"/>
              <w:jc w:val="center"/>
              <w:rPr>
                <w:rFonts w:ascii="宋体" w:hAnsi="宋体" w:eastAsia="宋体"/>
                <w:b/>
                <w:color w:val="000000" w:themeColor="text1"/>
                <w:sz w:val="21"/>
                <w:szCs w:val="21"/>
              </w:rPr>
            </w:pPr>
          </w:p>
        </w:tc>
        <w:tc>
          <w:tcPr>
            <w:tcW w:w="1701" w:type="dxa"/>
            <w:vAlign w:val="center"/>
          </w:tcPr>
          <w:p>
            <w:pPr>
              <w:pStyle w:val="48"/>
              <w:spacing w:line="360" w:lineRule="auto"/>
              <w:ind w:right="953"/>
              <w:jc w:val="center"/>
              <w:rPr>
                <w:rFonts w:ascii="宋体" w:hAnsi="宋体" w:eastAsia="宋体"/>
                <w:bCs/>
                <w:color w:val="000000" w:themeColor="text1"/>
                <w:sz w:val="21"/>
                <w:szCs w:val="21"/>
              </w:rPr>
            </w:pPr>
          </w:p>
        </w:tc>
        <w:tc>
          <w:tcPr>
            <w:tcW w:w="1560" w:type="dxa"/>
            <w:vAlign w:val="center"/>
          </w:tcPr>
          <w:p>
            <w:pPr>
              <w:pStyle w:val="48"/>
              <w:spacing w:line="360" w:lineRule="auto"/>
              <w:ind w:right="953"/>
              <w:jc w:val="center"/>
              <w:rPr>
                <w:rFonts w:ascii="宋体" w:hAnsi="宋体" w:eastAsia="宋体"/>
                <w:bCs/>
                <w:color w:val="000000" w:themeColor="text1"/>
                <w:sz w:val="21"/>
                <w:szCs w:val="21"/>
              </w:rPr>
            </w:pPr>
          </w:p>
        </w:tc>
        <w:tc>
          <w:tcPr>
            <w:tcW w:w="1701"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bl>
    <w:p>
      <w:pPr>
        <w:pStyle w:val="2"/>
        <w:rPr>
          <w:color w:val="000000" w:themeColor="text1"/>
        </w:rPr>
      </w:pPr>
    </w:p>
    <w:p>
      <w:pPr>
        <w:spacing w:line="460" w:lineRule="exact"/>
        <w:ind w:firstLine="480" w:firstLineChars="20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备注：标注*条款必须满足，不得负偏离。</w:t>
      </w:r>
    </w:p>
    <w:p>
      <w:pPr>
        <w:pStyle w:val="6"/>
        <w:spacing w:line="460" w:lineRule="exact"/>
        <w:ind w:left="0" w:firstLine="0"/>
        <w:rPr>
          <w:color w:val="000000" w:themeColor="text1"/>
        </w:rPr>
      </w:pPr>
    </w:p>
    <w:p>
      <w:pPr>
        <w:pStyle w:val="6"/>
        <w:spacing w:line="460" w:lineRule="exact"/>
        <w:ind w:left="399" w:firstLine="0"/>
        <w:rPr>
          <w:rFonts w:asciiTheme="minorHAnsi" w:hAnsiTheme="minorHAnsi" w:eastAsiaTheme="minorEastAsia" w:cstheme="minorBidi"/>
          <w:bCs w:val="0"/>
          <w:color w:val="000000" w:themeColor="text1"/>
          <w:lang w:val="en-US" w:bidi="ar-SA"/>
        </w:rPr>
      </w:pPr>
      <w:r>
        <w:rPr>
          <w:rFonts w:hint="eastAsia" w:asciiTheme="minorHAnsi" w:hAnsiTheme="minorHAnsi" w:eastAsiaTheme="minorEastAsia" w:cstheme="minorBidi"/>
          <w:bCs w:val="0"/>
          <w:color w:val="000000" w:themeColor="text1"/>
          <w:lang w:val="en-US" w:bidi="ar-SA"/>
        </w:rPr>
        <w:t>四</w:t>
      </w:r>
      <w:r>
        <w:rPr>
          <w:rFonts w:asciiTheme="minorHAnsi" w:hAnsiTheme="minorHAnsi" w:eastAsiaTheme="minorEastAsia" w:cstheme="minorBidi"/>
          <w:bCs w:val="0"/>
          <w:color w:val="000000" w:themeColor="text1"/>
          <w:lang w:val="en-US" w:bidi="ar-SA"/>
        </w:rPr>
        <w:t>、相关要求</w:t>
      </w:r>
    </w:p>
    <w:p>
      <w:pPr>
        <w:spacing w:line="460" w:lineRule="exact"/>
        <w:jc w:val="left"/>
        <w:rPr>
          <w:b/>
          <w:color w:val="000000" w:themeColor="text1"/>
          <w:sz w:val="24"/>
          <w:szCs w:val="24"/>
        </w:rPr>
      </w:pPr>
      <w:r>
        <w:rPr>
          <w:b/>
          <w:color w:val="000000" w:themeColor="text1"/>
          <w:sz w:val="24"/>
          <w:szCs w:val="24"/>
        </w:rPr>
        <w:t>（一）质量要求及管理</w:t>
      </w:r>
    </w:p>
    <w:p>
      <w:pPr>
        <w:pStyle w:val="12"/>
        <w:spacing w:line="460" w:lineRule="exact"/>
        <w:ind w:firstLine="480" w:firstLineChars="200"/>
        <w:rPr>
          <w:color w:val="000000" w:themeColor="text1"/>
          <w:sz w:val="24"/>
          <w:szCs w:val="24"/>
        </w:rPr>
      </w:pPr>
      <w:r>
        <w:rPr>
          <w:color w:val="000000" w:themeColor="text1"/>
          <w:sz w:val="24"/>
          <w:szCs w:val="24"/>
        </w:rPr>
        <w:t>1、供应商所投</w:t>
      </w:r>
      <w:r>
        <w:rPr>
          <w:rFonts w:hint="eastAsia"/>
          <w:color w:val="000000" w:themeColor="text1"/>
          <w:sz w:val="24"/>
          <w:szCs w:val="24"/>
          <w:lang w:val="en-US"/>
        </w:rPr>
        <w:t>产品</w:t>
      </w:r>
      <w:r>
        <w:rPr>
          <w:color w:val="000000" w:themeColor="text1"/>
          <w:sz w:val="24"/>
          <w:szCs w:val="24"/>
        </w:rPr>
        <w:t>必须符合《中华人民共和国食品安全法》、《中华人民共和国产品质量法》、《中华人民共和国消费者权益保护法》以及相关法律法规的规定，必须符合国家标准或行业标准的要求</w:t>
      </w:r>
      <w:r>
        <w:rPr>
          <w:rFonts w:hint="eastAsia"/>
          <w:color w:val="000000" w:themeColor="text1"/>
          <w:sz w:val="24"/>
          <w:szCs w:val="24"/>
        </w:rPr>
        <w:t>；</w:t>
      </w:r>
    </w:p>
    <w:p>
      <w:pPr>
        <w:pStyle w:val="12"/>
        <w:spacing w:line="360" w:lineRule="auto"/>
        <w:ind w:firstLine="480" w:firstLineChars="200"/>
        <w:rPr>
          <w:color w:val="000000" w:themeColor="text1"/>
          <w:sz w:val="24"/>
          <w:szCs w:val="24"/>
          <w:lang w:val="en-US"/>
        </w:rPr>
      </w:pPr>
      <w:r>
        <w:rPr>
          <w:color w:val="000000" w:themeColor="text1"/>
          <w:sz w:val="24"/>
          <w:szCs w:val="24"/>
        </w:rPr>
        <w:t>2、</w:t>
      </w:r>
      <w:r>
        <w:rPr>
          <w:rFonts w:hint="eastAsia"/>
          <w:color w:val="000000" w:themeColor="text1"/>
          <w:sz w:val="24"/>
          <w:szCs w:val="24"/>
          <w:lang w:val="en-US"/>
        </w:rPr>
        <w:t>肉类</w:t>
      </w:r>
      <w:r>
        <w:rPr>
          <w:color w:val="000000" w:themeColor="text1"/>
          <w:sz w:val="24"/>
          <w:szCs w:val="24"/>
        </w:rPr>
        <w:t>产品生产企业应满足</w:t>
      </w:r>
      <w:r>
        <w:rPr>
          <w:rFonts w:hint="eastAsia"/>
          <w:color w:val="000000" w:themeColor="text1"/>
          <w:sz w:val="24"/>
          <w:szCs w:val="24"/>
        </w:rPr>
        <w:t>质量管理体系ISO9001</w:t>
      </w:r>
      <w:r>
        <w:rPr>
          <w:color w:val="000000" w:themeColor="text1"/>
          <w:sz w:val="24"/>
          <w:szCs w:val="24"/>
        </w:rPr>
        <w:t>国家标准</w:t>
      </w:r>
      <w:r>
        <w:rPr>
          <w:rFonts w:hint="eastAsia"/>
          <w:color w:val="000000" w:themeColor="text1"/>
          <w:sz w:val="24"/>
          <w:szCs w:val="24"/>
        </w:rPr>
        <w:t>；</w:t>
      </w:r>
      <w:r>
        <w:rPr>
          <w:rFonts w:hint="eastAsia"/>
          <w:color w:val="000000" w:themeColor="text1"/>
          <w:sz w:val="24"/>
          <w:szCs w:val="24"/>
          <w:lang w:val="en-US"/>
        </w:rPr>
        <w:t xml:space="preserve"> </w:t>
      </w:r>
    </w:p>
    <w:p>
      <w:pPr>
        <w:pStyle w:val="12"/>
        <w:spacing w:line="360" w:lineRule="auto"/>
        <w:ind w:firstLine="480" w:firstLineChars="200"/>
        <w:rPr>
          <w:color w:val="000000" w:themeColor="text1"/>
          <w:sz w:val="24"/>
          <w:szCs w:val="24"/>
        </w:rPr>
      </w:pPr>
      <w:r>
        <w:rPr>
          <w:color w:val="000000" w:themeColor="text1"/>
          <w:sz w:val="24"/>
          <w:szCs w:val="24"/>
        </w:rPr>
        <w:t>3、中标人所供应的肉类食品必须符合国家标准的生产企业所生产</w:t>
      </w:r>
      <w:r>
        <w:rPr>
          <w:rFonts w:hint="eastAsia"/>
          <w:color w:val="000000" w:themeColor="text1"/>
          <w:sz w:val="24"/>
          <w:szCs w:val="24"/>
        </w:rPr>
        <w:t>；</w:t>
      </w:r>
    </w:p>
    <w:p>
      <w:pPr>
        <w:pStyle w:val="12"/>
        <w:spacing w:line="360" w:lineRule="auto"/>
        <w:ind w:firstLine="480" w:firstLineChars="200"/>
        <w:rPr>
          <w:color w:val="000000" w:themeColor="text1"/>
          <w:sz w:val="24"/>
          <w:szCs w:val="24"/>
        </w:rPr>
      </w:pPr>
      <w:r>
        <w:rPr>
          <w:color w:val="000000" w:themeColor="text1"/>
          <w:sz w:val="24"/>
          <w:szCs w:val="24"/>
        </w:rPr>
        <w:t>4、中标人向学校供应的肉类食品由学校和中标人共同分批抽样封存，时间不低于一周，以便有关部门随时抽检</w:t>
      </w:r>
      <w:r>
        <w:rPr>
          <w:rFonts w:hint="eastAsia"/>
          <w:color w:val="000000" w:themeColor="text1"/>
          <w:sz w:val="24"/>
          <w:szCs w:val="24"/>
        </w:rPr>
        <w:t>；</w:t>
      </w:r>
    </w:p>
    <w:p>
      <w:pPr>
        <w:pStyle w:val="12"/>
        <w:spacing w:line="360" w:lineRule="auto"/>
        <w:ind w:firstLine="480" w:firstLineChars="200"/>
        <w:rPr>
          <w:color w:val="000000" w:themeColor="text1"/>
          <w:sz w:val="24"/>
          <w:szCs w:val="24"/>
        </w:rPr>
      </w:pPr>
      <w:r>
        <w:rPr>
          <w:rFonts w:hint="eastAsia"/>
          <w:color w:val="000000" w:themeColor="text1"/>
          <w:sz w:val="24"/>
          <w:szCs w:val="24"/>
          <w:lang w:val="en-US"/>
        </w:rPr>
        <w:t>5</w:t>
      </w:r>
      <w:r>
        <w:rPr>
          <w:color w:val="000000" w:themeColor="text1"/>
          <w:sz w:val="24"/>
          <w:szCs w:val="24"/>
        </w:rPr>
        <w:t>、相关职能部门可根据需要随时抽样送检，对供应给学校的肉类食品经检验不合格或因运输原因造成污染，</w:t>
      </w:r>
      <w:r>
        <w:rPr>
          <w:rFonts w:hint="eastAsia"/>
          <w:color w:val="000000" w:themeColor="text1"/>
          <w:sz w:val="24"/>
          <w:szCs w:val="24"/>
        </w:rPr>
        <w:t>必须由中标人负责召回和赔偿损失并承担相应法律责任，并根据情况可以终止合同。检验费用由中标人负担。若因学校保管不善等原因造成的损失由学校自行负责。具有固定的经营场所、良好的贮存条件。提供本次投标前固有的生产/服务/销售场所相关文件及照片资料。具有较强的配送能力，必须配备专用的配送车辆和专业的配送队伍，配送过程符合食品卫生安全要求，提供能证明其自有（或租赁）供货车辆（至少一台）的相关文件及照片资料；</w:t>
      </w:r>
    </w:p>
    <w:p>
      <w:pPr>
        <w:pStyle w:val="12"/>
        <w:spacing w:line="360" w:lineRule="auto"/>
        <w:ind w:firstLine="480" w:firstLineChars="200"/>
        <w:rPr>
          <w:color w:val="000000" w:themeColor="text1"/>
          <w:sz w:val="24"/>
          <w:szCs w:val="24"/>
        </w:rPr>
      </w:pPr>
      <w:r>
        <w:rPr>
          <w:rFonts w:hint="eastAsia"/>
          <w:color w:val="000000" w:themeColor="text1"/>
          <w:sz w:val="24"/>
          <w:szCs w:val="24"/>
          <w:lang w:val="en-US"/>
        </w:rPr>
        <w:t>6</w:t>
      </w:r>
      <w:r>
        <w:rPr>
          <w:rFonts w:hint="eastAsia"/>
          <w:color w:val="000000" w:themeColor="text1"/>
          <w:sz w:val="24"/>
          <w:szCs w:val="24"/>
        </w:rPr>
        <w:t>、所投货物必须符合国家(行业)相关标准，货物的标识、标签必须</w:t>
      </w:r>
      <w:r>
        <w:rPr>
          <w:rFonts w:hint="eastAsia"/>
          <w:color w:val="000000" w:themeColor="text1"/>
          <w:sz w:val="24"/>
          <w:szCs w:val="24"/>
          <w:lang w:val="en-US"/>
        </w:rPr>
        <w:t>符合</w:t>
      </w:r>
      <w:r>
        <w:rPr>
          <w:rFonts w:hint="eastAsia"/>
          <w:color w:val="000000" w:themeColor="text1"/>
          <w:sz w:val="24"/>
          <w:szCs w:val="24"/>
        </w:rPr>
        <w:t>《中华人民共和国食品卫生安全法》等法律法规和规章的规定。</w:t>
      </w:r>
    </w:p>
    <w:p>
      <w:pPr>
        <w:pStyle w:val="12"/>
        <w:spacing w:line="360" w:lineRule="auto"/>
        <w:rPr>
          <w:rFonts w:asciiTheme="minorHAnsi" w:hAnsiTheme="minorHAnsi" w:eastAsiaTheme="minorEastAsia" w:cstheme="minorBidi"/>
          <w:b/>
          <w:color w:val="000000" w:themeColor="text1"/>
          <w:sz w:val="24"/>
          <w:szCs w:val="24"/>
          <w:lang w:val="en-US" w:bidi="ar-SA"/>
        </w:rPr>
      </w:pPr>
      <w:r>
        <w:rPr>
          <w:rFonts w:hint="eastAsia" w:asciiTheme="minorHAnsi" w:hAnsiTheme="minorHAnsi" w:eastAsiaTheme="minorEastAsia" w:cstheme="minorBidi"/>
          <w:b/>
          <w:color w:val="000000" w:themeColor="text1"/>
          <w:sz w:val="24"/>
          <w:szCs w:val="24"/>
          <w:lang w:val="en-US" w:bidi="ar-SA"/>
        </w:rPr>
        <w:t>（二）食品安全保证</w:t>
      </w:r>
    </w:p>
    <w:p>
      <w:pPr>
        <w:pStyle w:val="12"/>
        <w:spacing w:line="360" w:lineRule="auto"/>
        <w:ind w:firstLine="480" w:firstLineChars="200"/>
        <w:rPr>
          <w:color w:val="000000" w:themeColor="text1"/>
          <w:sz w:val="24"/>
          <w:szCs w:val="24"/>
        </w:rPr>
      </w:pPr>
      <w:r>
        <w:rPr>
          <w:rFonts w:hint="eastAsia"/>
          <w:color w:val="000000" w:themeColor="text1"/>
          <w:sz w:val="24"/>
          <w:szCs w:val="24"/>
        </w:rPr>
        <w:t>1、供应商应遵守《中华人民共和国食品安全法》等相关法律、法规，确保食品安全。若出现食品安全责任事故，责任由供应商承担。</w:t>
      </w:r>
    </w:p>
    <w:p>
      <w:pPr>
        <w:pStyle w:val="12"/>
        <w:spacing w:line="360" w:lineRule="auto"/>
        <w:ind w:firstLine="480" w:firstLineChars="200"/>
        <w:rPr>
          <w:color w:val="000000" w:themeColor="text1"/>
          <w:sz w:val="24"/>
          <w:szCs w:val="24"/>
        </w:rPr>
      </w:pPr>
      <w:r>
        <w:rPr>
          <w:rFonts w:hint="eastAsia"/>
          <w:color w:val="000000" w:themeColor="text1"/>
          <w:sz w:val="24"/>
          <w:szCs w:val="24"/>
        </w:rPr>
        <w:t>2、供应商在投标文件中必须提交食品安全与质量保证承诺书，对食品安全进行明确承诺。</w:t>
      </w:r>
    </w:p>
    <w:p>
      <w:pPr>
        <w:pStyle w:val="12"/>
        <w:spacing w:line="360" w:lineRule="auto"/>
        <w:ind w:firstLine="480" w:firstLineChars="200"/>
        <w:rPr>
          <w:color w:val="000000" w:themeColor="text1"/>
          <w:sz w:val="24"/>
          <w:szCs w:val="24"/>
        </w:rPr>
      </w:pPr>
      <w:r>
        <w:rPr>
          <w:rFonts w:hint="eastAsia"/>
          <w:color w:val="000000" w:themeColor="text1"/>
          <w:sz w:val="24"/>
          <w:szCs w:val="24"/>
        </w:rPr>
        <w:t>3、供应商应在投标文件中必须提供配送、储藏、延误、危情处理等工作方案或预案。</w:t>
      </w:r>
    </w:p>
    <w:p>
      <w:pPr>
        <w:pStyle w:val="12"/>
        <w:spacing w:line="360" w:lineRule="auto"/>
        <w:ind w:firstLine="480" w:firstLineChars="200"/>
        <w:rPr>
          <w:color w:val="000000" w:themeColor="text1"/>
          <w:sz w:val="24"/>
          <w:szCs w:val="24"/>
        </w:rPr>
      </w:pPr>
      <w:r>
        <w:rPr>
          <w:rFonts w:hint="eastAsia"/>
          <w:color w:val="000000" w:themeColor="text1"/>
          <w:sz w:val="24"/>
          <w:szCs w:val="24"/>
        </w:rPr>
        <w:t>4、中标人必须严格执行肉类食品的生产检验、留样、放行等程序，将每批次配送的检验报告报送县教育局及配送学校，对每批次出厂的产品留样备查。</w:t>
      </w:r>
    </w:p>
    <w:p>
      <w:pPr>
        <w:pStyle w:val="12"/>
        <w:spacing w:line="360" w:lineRule="auto"/>
        <w:ind w:firstLine="480" w:firstLineChars="200"/>
        <w:rPr>
          <w:color w:val="000000" w:themeColor="text1"/>
          <w:sz w:val="24"/>
          <w:szCs w:val="24"/>
        </w:rPr>
      </w:pPr>
      <w:r>
        <w:rPr>
          <w:rFonts w:hint="eastAsia"/>
          <w:color w:val="000000" w:themeColor="text1"/>
          <w:sz w:val="24"/>
          <w:szCs w:val="24"/>
        </w:rPr>
        <w:t>5、在签订合同前，中标人必须按招标文件要求向采购人提交食品安全履约保证金。</w:t>
      </w:r>
    </w:p>
    <w:p>
      <w:pPr>
        <w:pStyle w:val="12"/>
        <w:spacing w:line="360" w:lineRule="auto"/>
        <w:rPr>
          <w:rFonts w:asciiTheme="minorHAnsi" w:hAnsiTheme="minorHAnsi" w:eastAsiaTheme="minorEastAsia" w:cstheme="minorBidi"/>
          <w:b/>
          <w:color w:val="000000" w:themeColor="text1"/>
          <w:sz w:val="24"/>
          <w:szCs w:val="24"/>
          <w:lang w:val="en-US" w:bidi="ar-SA"/>
        </w:rPr>
      </w:pPr>
      <w:r>
        <w:rPr>
          <w:rFonts w:hint="eastAsia" w:asciiTheme="minorHAnsi" w:hAnsiTheme="minorHAnsi" w:eastAsiaTheme="minorEastAsia" w:cstheme="minorBidi"/>
          <w:b/>
          <w:color w:val="000000" w:themeColor="text1"/>
          <w:sz w:val="24"/>
          <w:szCs w:val="24"/>
          <w:lang w:val="en-US" w:bidi="ar-SA"/>
        </w:rPr>
        <w:t>（三）运输配送要求</w:t>
      </w:r>
    </w:p>
    <w:p>
      <w:pPr>
        <w:pStyle w:val="12"/>
        <w:spacing w:line="360" w:lineRule="auto"/>
        <w:ind w:firstLine="720" w:firstLineChars="300"/>
        <w:rPr>
          <w:color w:val="000000" w:themeColor="text1"/>
          <w:sz w:val="24"/>
          <w:szCs w:val="24"/>
        </w:rPr>
      </w:pPr>
      <w:r>
        <w:rPr>
          <w:rFonts w:hint="eastAsia"/>
          <w:color w:val="000000" w:themeColor="text1"/>
          <w:sz w:val="24"/>
          <w:szCs w:val="24"/>
        </w:rPr>
        <w:t>1、总体要求</w:t>
      </w:r>
    </w:p>
    <w:p>
      <w:pPr>
        <w:pStyle w:val="12"/>
        <w:spacing w:line="360" w:lineRule="auto"/>
        <w:ind w:firstLine="720" w:firstLineChars="300"/>
        <w:rPr>
          <w:color w:val="000000" w:themeColor="text1"/>
          <w:sz w:val="24"/>
          <w:szCs w:val="24"/>
        </w:rPr>
      </w:pPr>
      <w:r>
        <w:rPr>
          <w:rFonts w:hint="eastAsia"/>
          <w:color w:val="000000" w:themeColor="text1"/>
          <w:sz w:val="24"/>
          <w:szCs w:val="24"/>
        </w:rPr>
        <w:t>肉类食品配送由中标人确定专人专车负责，按照</w:t>
      </w:r>
      <w:r>
        <w:rPr>
          <w:rFonts w:hint="eastAsia"/>
          <w:color w:val="000000" w:themeColor="text1"/>
          <w:sz w:val="24"/>
          <w:szCs w:val="24"/>
          <w:lang w:val="en-US"/>
        </w:rPr>
        <w:t>采购人</w:t>
      </w:r>
      <w:r>
        <w:rPr>
          <w:rFonts w:hint="eastAsia"/>
          <w:color w:val="000000" w:themeColor="text1"/>
          <w:sz w:val="24"/>
          <w:szCs w:val="24"/>
        </w:rPr>
        <w:t>提供的</w:t>
      </w:r>
      <w:r>
        <w:rPr>
          <w:rFonts w:hint="eastAsia"/>
          <w:color w:val="000000" w:themeColor="text1"/>
          <w:sz w:val="24"/>
          <w:szCs w:val="24"/>
          <w:lang w:val="en-US"/>
        </w:rPr>
        <w:t>配送安排表、</w:t>
      </w:r>
      <w:r>
        <w:rPr>
          <w:rFonts w:hint="eastAsia"/>
          <w:color w:val="000000" w:themeColor="text1"/>
          <w:sz w:val="24"/>
          <w:szCs w:val="24"/>
        </w:rPr>
        <w:t>学校地点、学生人数，按合同要求进行配送，并建立台账，专人配送，配送员要经过培训。</w:t>
      </w:r>
    </w:p>
    <w:p>
      <w:pPr>
        <w:pStyle w:val="12"/>
        <w:spacing w:line="360" w:lineRule="auto"/>
        <w:ind w:firstLine="720" w:firstLineChars="300"/>
        <w:rPr>
          <w:color w:val="000000" w:themeColor="text1"/>
          <w:sz w:val="24"/>
          <w:szCs w:val="24"/>
        </w:rPr>
      </w:pPr>
      <w:r>
        <w:rPr>
          <w:rFonts w:hint="eastAsia"/>
          <w:color w:val="000000" w:themeColor="text1"/>
          <w:sz w:val="24"/>
          <w:szCs w:val="24"/>
        </w:rPr>
        <w:t>2、配送工具要求</w:t>
      </w:r>
    </w:p>
    <w:p>
      <w:pPr>
        <w:pStyle w:val="12"/>
        <w:spacing w:line="360" w:lineRule="auto"/>
        <w:ind w:firstLine="720" w:firstLineChars="300"/>
        <w:rPr>
          <w:color w:val="000000" w:themeColor="text1"/>
          <w:sz w:val="24"/>
          <w:szCs w:val="24"/>
        </w:rPr>
      </w:pPr>
      <w:r>
        <w:rPr>
          <w:rFonts w:hint="eastAsia"/>
          <w:color w:val="000000" w:themeColor="text1"/>
          <w:sz w:val="24"/>
          <w:szCs w:val="24"/>
        </w:rPr>
        <w:t>配送运输车辆全程冷链运输，配备有符合冷藏、保鲜卫生条件的专用运输配送车辆及工具，专车专用；在运输过程中严禁与非食品混装，更不允许与有毒有害物品混装和接触。所有货柜在装货和卸货时必须保持干净，无异味。</w:t>
      </w:r>
    </w:p>
    <w:p>
      <w:pPr>
        <w:pStyle w:val="12"/>
        <w:spacing w:line="360" w:lineRule="auto"/>
        <w:ind w:firstLine="720" w:firstLineChars="300"/>
        <w:rPr>
          <w:color w:val="000000" w:themeColor="text1"/>
          <w:sz w:val="24"/>
          <w:szCs w:val="24"/>
        </w:rPr>
      </w:pPr>
      <w:r>
        <w:rPr>
          <w:rFonts w:hint="eastAsia"/>
          <w:color w:val="000000" w:themeColor="text1"/>
          <w:sz w:val="24"/>
          <w:szCs w:val="24"/>
        </w:rPr>
        <w:t>3、包装要求：</w:t>
      </w:r>
    </w:p>
    <w:p>
      <w:pPr>
        <w:pStyle w:val="12"/>
        <w:spacing w:line="360" w:lineRule="auto"/>
        <w:ind w:firstLine="720" w:firstLineChars="300"/>
        <w:rPr>
          <w:color w:val="000000" w:themeColor="text1"/>
          <w:sz w:val="24"/>
          <w:szCs w:val="24"/>
        </w:rPr>
      </w:pPr>
      <w:r>
        <w:rPr>
          <w:rFonts w:hint="eastAsia"/>
          <w:color w:val="000000" w:themeColor="text1"/>
          <w:sz w:val="24"/>
          <w:szCs w:val="24"/>
        </w:rPr>
        <w:t>符合《鲜(冻)畜禽肉卫生标准》（GB2707-2005）国家标准，货物必须放于没有铁钉、铁丝和铁扣等金属的包装箱内。</w:t>
      </w:r>
    </w:p>
    <w:p>
      <w:pPr>
        <w:pStyle w:val="12"/>
        <w:spacing w:line="360" w:lineRule="auto"/>
        <w:ind w:firstLine="720" w:firstLineChars="300"/>
        <w:rPr>
          <w:color w:val="000000" w:themeColor="text1"/>
          <w:sz w:val="24"/>
          <w:szCs w:val="24"/>
        </w:rPr>
      </w:pPr>
      <w:r>
        <w:rPr>
          <w:rFonts w:hint="eastAsia"/>
          <w:color w:val="000000" w:themeColor="text1"/>
          <w:sz w:val="24"/>
          <w:szCs w:val="24"/>
        </w:rPr>
        <w:t>4、配送人员要求</w:t>
      </w:r>
    </w:p>
    <w:p>
      <w:pPr>
        <w:pStyle w:val="12"/>
        <w:spacing w:line="360" w:lineRule="auto"/>
        <w:ind w:firstLine="480" w:firstLineChars="200"/>
        <w:rPr>
          <w:color w:val="000000" w:themeColor="text1"/>
          <w:sz w:val="24"/>
          <w:szCs w:val="24"/>
        </w:rPr>
      </w:pPr>
      <w:r>
        <w:rPr>
          <w:rFonts w:hint="eastAsia"/>
          <w:color w:val="000000" w:themeColor="text1"/>
          <w:sz w:val="24"/>
          <w:szCs w:val="24"/>
        </w:rPr>
        <w:t>实行专人送货制；配送人员应身体健康、工作认真负责，遵纪守法、无违法犯罪行为记录，并具备相关部门出具的有效的健康证。在配送过程中，若出现安全事故，责任由中标人承担。配送车辆在通过校园时，应服从学校管理，保持低速行驶，不得超速行驶，不得鸣笛等影响教育教学秩序及危害师生安全的行为。</w:t>
      </w:r>
    </w:p>
    <w:p>
      <w:pPr>
        <w:pStyle w:val="12"/>
        <w:spacing w:line="360" w:lineRule="auto"/>
        <w:ind w:firstLine="480" w:firstLineChars="200"/>
        <w:rPr>
          <w:color w:val="000000" w:themeColor="text1"/>
          <w:sz w:val="24"/>
          <w:szCs w:val="24"/>
          <w:lang w:val="en-US"/>
        </w:rPr>
      </w:pPr>
      <w:r>
        <w:rPr>
          <w:rFonts w:hint="eastAsia"/>
          <w:color w:val="000000" w:themeColor="text1"/>
          <w:sz w:val="24"/>
          <w:szCs w:val="24"/>
          <w:lang w:val="en-US"/>
        </w:rPr>
        <w:t>5、根据疫情需要，做好疫情防控。</w:t>
      </w:r>
    </w:p>
    <w:p>
      <w:pPr>
        <w:pStyle w:val="12"/>
        <w:spacing w:line="360" w:lineRule="auto"/>
        <w:rPr>
          <w:rFonts w:asciiTheme="minorHAnsi" w:hAnsiTheme="minorHAnsi" w:eastAsiaTheme="minorEastAsia" w:cstheme="minorBidi"/>
          <w:b/>
          <w:color w:val="000000" w:themeColor="text1"/>
          <w:sz w:val="24"/>
          <w:szCs w:val="24"/>
          <w:lang w:val="en-US" w:bidi="ar-SA"/>
        </w:rPr>
      </w:pPr>
      <w:r>
        <w:rPr>
          <w:rFonts w:hint="eastAsia" w:asciiTheme="minorHAnsi" w:hAnsiTheme="minorHAnsi" w:eastAsiaTheme="minorEastAsia" w:cstheme="minorBidi"/>
          <w:b/>
          <w:color w:val="000000" w:themeColor="text1"/>
          <w:sz w:val="24"/>
          <w:szCs w:val="24"/>
          <w:lang w:val="en-US" w:bidi="ar-SA"/>
        </w:rPr>
        <w:t>（四）交货要求：</w:t>
      </w:r>
    </w:p>
    <w:p>
      <w:pPr>
        <w:pStyle w:val="12"/>
        <w:spacing w:line="360" w:lineRule="auto"/>
        <w:ind w:firstLine="480" w:firstLineChars="200"/>
        <w:rPr>
          <w:color w:val="000000" w:themeColor="text1"/>
          <w:sz w:val="24"/>
          <w:szCs w:val="24"/>
        </w:rPr>
      </w:pPr>
      <w:r>
        <w:rPr>
          <w:rFonts w:hint="eastAsia"/>
          <w:color w:val="000000" w:themeColor="text1"/>
          <w:sz w:val="24"/>
          <w:szCs w:val="24"/>
        </w:rPr>
        <w:t>1、肉类食品应经检疫合格，具有肉品品质检验合格验讫印章或者附具肉品品质检验合格标志。</w:t>
      </w:r>
    </w:p>
    <w:p>
      <w:pPr>
        <w:pStyle w:val="12"/>
        <w:spacing w:line="360" w:lineRule="auto"/>
        <w:ind w:firstLine="480" w:firstLineChars="200"/>
        <w:rPr>
          <w:color w:val="000000" w:themeColor="text1"/>
          <w:sz w:val="24"/>
          <w:szCs w:val="24"/>
        </w:rPr>
      </w:pPr>
      <w:r>
        <w:rPr>
          <w:rFonts w:hint="eastAsia"/>
          <w:color w:val="000000" w:themeColor="text1"/>
          <w:sz w:val="24"/>
          <w:szCs w:val="24"/>
        </w:rPr>
        <w:t>2、供应的肉类食品必须干净、新鲜、无异味。</w:t>
      </w:r>
    </w:p>
    <w:p>
      <w:pPr>
        <w:pStyle w:val="12"/>
        <w:spacing w:line="360" w:lineRule="auto"/>
        <w:ind w:firstLine="480" w:firstLineChars="200"/>
        <w:rPr>
          <w:color w:val="000000" w:themeColor="text1"/>
          <w:sz w:val="24"/>
          <w:szCs w:val="24"/>
        </w:rPr>
      </w:pPr>
      <w:r>
        <w:rPr>
          <w:rFonts w:hint="eastAsia"/>
          <w:color w:val="000000" w:themeColor="text1"/>
          <w:sz w:val="24"/>
          <w:szCs w:val="24"/>
        </w:rPr>
        <w:t>3、异物控制要求：无外源异物，无金属、沙粒、木屑、软硬塑料、各种纤维线、纸屑、毛发、玻璃、虫害、饲料粒等非原料猪肉成分。</w:t>
      </w:r>
    </w:p>
    <w:p>
      <w:pPr>
        <w:pStyle w:val="12"/>
        <w:spacing w:line="360" w:lineRule="auto"/>
        <w:ind w:firstLine="480" w:firstLineChars="200"/>
        <w:rPr>
          <w:color w:val="000000" w:themeColor="text1"/>
          <w:sz w:val="24"/>
          <w:szCs w:val="24"/>
        </w:rPr>
      </w:pPr>
      <w:r>
        <w:rPr>
          <w:rFonts w:hint="eastAsia"/>
          <w:color w:val="000000" w:themeColor="text1"/>
          <w:sz w:val="24"/>
          <w:szCs w:val="24"/>
        </w:rPr>
        <w:t>4、如肉类食品受到温度虐待、风干、过长的排酸时间、没有适当冷冻（冷藏）措施，如表现为细菌滋生、发霉或证明该原料不能使用时，采购人将拒收。</w:t>
      </w:r>
    </w:p>
    <w:p>
      <w:pPr>
        <w:pStyle w:val="12"/>
        <w:spacing w:line="360" w:lineRule="auto"/>
        <w:ind w:firstLine="480" w:firstLineChars="200"/>
        <w:rPr>
          <w:color w:val="000000" w:themeColor="text1"/>
          <w:sz w:val="24"/>
          <w:szCs w:val="24"/>
        </w:rPr>
      </w:pPr>
      <w:r>
        <w:rPr>
          <w:rFonts w:hint="eastAsia"/>
          <w:color w:val="000000" w:themeColor="text1"/>
          <w:sz w:val="24"/>
          <w:szCs w:val="24"/>
        </w:rPr>
        <w:t>5、中标人每次送货时，必须向采购人提供该货物同一批次的检疫检验合格证2份，并随货同行送各学校1份。配送无检验报告的，采购人将拒绝接收。</w:t>
      </w:r>
    </w:p>
    <w:p>
      <w:pPr>
        <w:pStyle w:val="12"/>
        <w:spacing w:line="360" w:lineRule="auto"/>
        <w:ind w:firstLine="720" w:firstLineChars="300"/>
        <w:rPr>
          <w:color w:val="000000" w:themeColor="text1"/>
          <w:sz w:val="24"/>
          <w:szCs w:val="24"/>
        </w:rPr>
      </w:pPr>
    </w:p>
    <w:p>
      <w:pPr>
        <w:pStyle w:val="12"/>
        <w:spacing w:line="360" w:lineRule="auto"/>
        <w:rPr>
          <w:rFonts w:asciiTheme="minorHAnsi" w:hAnsiTheme="minorHAnsi" w:eastAsiaTheme="minorEastAsia" w:cstheme="minorBidi"/>
          <w:b/>
          <w:color w:val="000000" w:themeColor="text1"/>
          <w:sz w:val="24"/>
          <w:szCs w:val="24"/>
          <w:lang w:val="en-US" w:bidi="ar-SA"/>
        </w:rPr>
      </w:pPr>
      <w:r>
        <w:rPr>
          <w:rFonts w:hint="eastAsia" w:asciiTheme="minorHAnsi" w:hAnsiTheme="minorHAnsi" w:eastAsiaTheme="minorEastAsia" w:cstheme="minorBidi"/>
          <w:b/>
          <w:color w:val="000000" w:themeColor="text1"/>
          <w:sz w:val="24"/>
          <w:szCs w:val="24"/>
          <w:lang w:val="en-US" w:bidi="ar-SA"/>
        </w:rPr>
        <w:t>五、商务要求</w:t>
      </w:r>
    </w:p>
    <w:p>
      <w:pPr>
        <w:pStyle w:val="12"/>
        <w:spacing w:line="360" w:lineRule="auto"/>
        <w:rPr>
          <w:rFonts w:asciiTheme="minorHAnsi" w:hAnsiTheme="minorHAnsi" w:eastAsiaTheme="minorEastAsia" w:cstheme="minorBidi"/>
          <w:b/>
          <w:color w:val="000000" w:themeColor="text1"/>
          <w:sz w:val="24"/>
          <w:szCs w:val="24"/>
          <w:lang w:val="en-US" w:bidi="ar-SA"/>
        </w:rPr>
      </w:pPr>
      <w:r>
        <w:rPr>
          <w:rFonts w:hint="eastAsia" w:asciiTheme="minorHAnsi" w:hAnsiTheme="minorHAnsi" w:eastAsiaTheme="minorEastAsia" w:cstheme="minorBidi"/>
          <w:b/>
          <w:color w:val="000000" w:themeColor="text1"/>
          <w:sz w:val="24"/>
          <w:szCs w:val="24"/>
          <w:lang w:val="en-US" w:bidi="ar-SA"/>
        </w:rPr>
        <w:t>（一）供货期限、交货时间与地点、售后服务</w:t>
      </w:r>
    </w:p>
    <w:p>
      <w:pPr>
        <w:spacing w:line="360" w:lineRule="auto"/>
        <w:ind w:left="118" w:firstLine="240" w:firstLineChars="100"/>
        <w:rPr>
          <w:rFonts w:ascii="宋体" w:hAnsi="宋体" w:eastAsia="宋体" w:cs="宋体"/>
          <w:color w:val="000000" w:themeColor="text1"/>
          <w:sz w:val="24"/>
          <w:szCs w:val="24"/>
          <w:lang w:val="zh-CN" w:bidi="zh-CN"/>
        </w:rPr>
      </w:pPr>
      <w:r>
        <w:rPr>
          <w:rFonts w:hint="eastAsia" w:ascii="宋体" w:hAnsi="宋体" w:eastAsia="宋体" w:cs="宋体"/>
          <w:color w:val="000000" w:themeColor="text1"/>
          <w:sz w:val="24"/>
          <w:szCs w:val="24"/>
          <w:lang w:val="zh-CN" w:bidi="zh-CN"/>
        </w:rPr>
        <w:t>1、供货期限：具体供货数量以</w:t>
      </w:r>
      <w:r>
        <w:rPr>
          <w:rFonts w:hint="eastAsia" w:ascii="宋体" w:hAnsi="宋体" w:eastAsia="宋体" w:cs="宋体"/>
          <w:color w:val="000000" w:themeColor="text1"/>
          <w:sz w:val="24"/>
          <w:szCs w:val="24"/>
          <w:lang w:bidi="zh-CN"/>
        </w:rPr>
        <w:t>阳新县学生营养办核实的学生实名制信息</w:t>
      </w:r>
      <w:r>
        <w:rPr>
          <w:rFonts w:hint="eastAsia" w:ascii="宋体" w:hAnsi="宋体" w:eastAsia="宋体" w:cs="宋体"/>
          <w:color w:val="000000" w:themeColor="text1"/>
          <w:sz w:val="24"/>
          <w:szCs w:val="24"/>
          <w:lang w:val="zh-CN" w:bidi="zh-CN"/>
        </w:rPr>
        <w:t>人数为准。若在供货期限内，中标人存在食品质量不合格、服务质量差、有欺诈</w:t>
      </w:r>
      <w:r>
        <w:rPr>
          <w:rFonts w:hint="eastAsia" w:ascii="宋体" w:hAnsi="宋体" w:eastAsia="宋体" w:cs="宋体"/>
          <w:color w:val="000000" w:themeColor="text1"/>
          <w:sz w:val="24"/>
          <w:szCs w:val="24"/>
          <w:lang w:bidi="zh-CN"/>
        </w:rPr>
        <w:t>蒙骗</w:t>
      </w:r>
      <w:r>
        <w:rPr>
          <w:rFonts w:hint="eastAsia" w:ascii="宋体" w:hAnsi="宋体" w:eastAsia="宋体" w:cs="宋体"/>
          <w:color w:val="000000" w:themeColor="text1"/>
          <w:sz w:val="24"/>
          <w:szCs w:val="24"/>
          <w:lang w:val="zh-CN" w:bidi="zh-CN"/>
        </w:rPr>
        <w:t>行为等违背合同的现象或出现安全事故，可随时取消其供货资格，终止合同并追究其法律责任。</w:t>
      </w:r>
    </w:p>
    <w:p>
      <w:pPr>
        <w:spacing w:line="360" w:lineRule="auto"/>
        <w:ind w:firstLine="480" w:firstLineChars="200"/>
        <w:jc w:val="left"/>
        <w:rPr>
          <w:rFonts w:ascii="宋体" w:hAnsi="宋体" w:eastAsia="宋体" w:cs="宋体"/>
          <w:color w:val="000000" w:themeColor="text1"/>
          <w:sz w:val="24"/>
          <w:szCs w:val="24"/>
          <w:lang w:val="zh-CN" w:bidi="zh-CN"/>
        </w:rPr>
      </w:pPr>
      <w:r>
        <w:rPr>
          <w:rFonts w:hint="eastAsia" w:ascii="宋体" w:hAnsi="宋体" w:eastAsia="宋体" w:cs="宋体"/>
          <w:color w:val="000000" w:themeColor="text1"/>
          <w:sz w:val="24"/>
          <w:szCs w:val="24"/>
          <w:lang w:val="zh-CN" w:bidi="zh-CN"/>
        </w:rPr>
        <w:t>2、交货时间：学校工作日。</w:t>
      </w:r>
    </w:p>
    <w:p>
      <w:pPr>
        <w:pStyle w:val="12"/>
        <w:spacing w:line="360" w:lineRule="auto"/>
        <w:ind w:firstLine="480" w:firstLineChars="200"/>
        <w:rPr>
          <w:color w:val="000000" w:themeColor="text1"/>
          <w:sz w:val="24"/>
          <w:szCs w:val="24"/>
          <w:lang w:val="en-US"/>
        </w:rPr>
      </w:pPr>
      <w:r>
        <w:rPr>
          <w:rFonts w:hint="eastAsia"/>
          <w:color w:val="000000" w:themeColor="text1"/>
          <w:sz w:val="24"/>
          <w:szCs w:val="24"/>
        </w:rPr>
        <w:t>3、交货地点：实行专人专车持证配送至采购人指定地点。</w:t>
      </w:r>
    </w:p>
    <w:p>
      <w:pPr>
        <w:spacing w:line="360" w:lineRule="auto"/>
        <w:ind w:firstLine="480" w:firstLineChars="200"/>
        <w:rPr>
          <w:rFonts w:ascii="宋体" w:hAnsi="宋体" w:eastAsia="宋体" w:cs="宋体"/>
          <w:color w:val="000000" w:themeColor="text1"/>
          <w:sz w:val="24"/>
          <w:szCs w:val="24"/>
          <w:lang w:val="zh-CN" w:bidi="zh-CN"/>
        </w:rPr>
      </w:pPr>
      <w:r>
        <w:rPr>
          <w:rFonts w:hint="eastAsia" w:ascii="宋体" w:hAnsi="宋体" w:eastAsia="宋体" w:cs="宋体"/>
          <w:color w:val="000000" w:themeColor="text1"/>
          <w:sz w:val="24"/>
          <w:szCs w:val="24"/>
          <w:lang w:bidi="zh-CN"/>
        </w:rPr>
        <w:t>4、</w:t>
      </w:r>
      <w:r>
        <w:rPr>
          <w:rFonts w:hint="eastAsia" w:ascii="宋体" w:hAnsi="宋体" w:eastAsia="宋体" w:cs="宋体"/>
          <w:color w:val="000000" w:themeColor="text1"/>
          <w:sz w:val="24"/>
          <w:szCs w:val="24"/>
          <w:lang w:val="zh-CN" w:bidi="zh-CN"/>
        </w:rPr>
        <w:t>供货要求:</w:t>
      </w:r>
      <w:r>
        <w:rPr>
          <w:rFonts w:hint="eastAsia" w:ascii="宋体" w:hAnsi="宋体" w:eastAsia="宋体" w:cs="宋体"/>
          <w:color w:val="000000" w:themeColor="text1"/>
          <w:sz w:val="24"/>
          <w:szCs w:val="24"/>
          <w:lang w:bidi="zh-CN"/>
        </w:rPr>
        <w:t>一包、二包按配送安排表</w:t>
      </w:r>
      <w:r>
        <w:rPr>
          <w:rFonts w:hint="eastAsia" w:ascii="宋体" w:hAnsi="宋体" w:eastAsia="宋体" w:cs="宋体"/>
          <w:color w:val="000000" w:themeColor="text1"/>
          <w:sz w:val="24"/>
          <w:szCs w:val="24"/>
          <w:lang w:val="zh-CN" w:bidi="zh-CN"/>
        </w:rPr>
        <w:t>每周</w:t>
      </w:r>
      <w:r>
        <w:rPr>
          <w:rFonts w:hint="eastAsia" w:ascii="宋体" w:hAnsi="宋体" w:eastAsia="宋体" w:cs="宋体"/>
          <w:color w:val="000000" w:themeColor="text1"/>
          <w:sz w:val="24"/>
          <w:szCs w:val="24"/>
          <w:lang w:bidi="zh-CN"/>
        </w:rPr>
        <w:t>至少</w:t>
      </w:r>
      <w:r>
        <w:rPr>
          <w:rFonts w:hint="eastAsia" w:ascii="宋体" w:hAnsi="宋体" w:eastAsia="宋体" w:cs="宋体"/>
          <w:color w:val="000000" w:themeColor="text1"/>
          <w:sz w:val="24"/>
          <w:szCs w:val="24"/>
          <w:lang w:val="zh-CN" w:bidi="zh-CN"/>
        </w:rPr>
        <w:t>配送一次；</w:t>
      </w:r>
      <w:r>
        <w:rPr>
          <w:rFonts w:hint="eastAsia" w:ascii="宋体" w:hAnsi="宋体" w:eastAsia="宋体" w:cs="宋体"/>
          <w:color w:val="000000" w:themeColor="text1"/>
          <w:sz w:val="24"/>
          <w:szCs w:val="24"/>
          <w:lang w:bidi="zh-CN"/>
        </w:rPr>
        <w:t>三包</w:t>
      </w:r>
      <w:r>
        <w:rPr>
          <w:rFonts w:hint="eastAsia" w:ascii="宋体" w:hAnsi="宋体" w:eastAsia="宋体" w:cs="宋体"/>
          <w:color w:val="000000" w:themeColor="text1"/>
          <w:sz w:val="24"/>
          <w:szCs w:val="24"/>
          <w:lang w:val="zh-CN" w:bidi="zh-CN"/>
        </w:rPr>
        <w:t>每周</w:t>
      </w:r>
      <w:r>
        <w:rPr>
          <w:rFonts w:hint="eastAsia" w:ascii="宋体" w:hAnsi="宋体" w:eastAsia="宋体" w:cs="宋体"/>
          <w:color w:val="000000" w:themeColor="text1"/>
          <w:sz w:val="24"/>
          <w:szCs w:val="24"/>
          <w:lang w:bidi="zh-CN"/>
        </w:rPr>
        <w:t>配</w:t>
      </w:r>
      <w:r>
        <w:rPr>
          <w:rFonts w:hint="eastAsia" w:ascii="宋体" w:hAnsi="宋体" w:eastAsia="宋体" w:cs="宋体"/>
          <w:color w:val="000000" w:themeColor="text1"/>
          <w:sz w:val="24"/>
          <w:szCs w:val="24"/>
          <w:lang w:val="zh-CN" w:bidi="zh-CN"/>
        </w:rPr>
        <w:t>送两次</w:t>
      </w:r>
      <w:r>
        <w:rPr>
          <w:rFonts w:hint="eastAsia" w:ascii="宋体" w:hAnsi="宋体" w:eastAsia="宋体" w:cs="宋体"/>
          <w:color w:val="000000" w:themeColor="text1"/>
          <w:sz w:val="24"/>
          <w:szCs w:val="24"/>
          <w:lang w:bidi="zh-CN"/>
        </w:rPr>
        <w:t>中餐</w:t>
      </w:r>
      <w:r>
        <w:rPr>
          <w:rFonts w:hint="eastAsia" w:ascii="宋体" w:hAnsi="宋体" w:eastAsia="宋体" w:cs="宋体"/>
          <w:color w:val="000000" w:themeColor="text1"/>
          <w:sz w:val="24"/>
          <w:szCs w:val="24"/>
          <w:lang w:val="zh-CN" w:bidi="zh-CN"/>
        </w:rPr>
        <w:t>，送达每个学校。</w:t>
      </w:r>
    </w:p>
    <w:p>
      <w:pPr>
        <w:spacing w:line="360" w:lineRule="auto"/>
        <w:ind w:firstLine="480" w:firstLineChars="200"/>
        <w:rPr>
          <w:rFonts w:ascii="宋体" w:hAnsi="宋体" w:eastAsia="宋体" w:cs="宋体"/>
          <w:color w:val="000000" w:themeColor="text1"/>
          <w:sz w:val="24"/>
          <w:szCs w:val="24"/>
          <w:lang w:val="zh-CN" w:bidi="zh-CN"/>
        </w:rPr>
      </w:pPr>
      <w:r>
        <w:rPr>
          <w:rFonts w:hint="eastAsia" w:ascii="宋体" w:hAnsi="宋体" w:eastAsia="宋体" w:cs="宋体"/>
          <w:color w:val="000000" w:themeColor="text1"/>
          <w:sz w:val="24"/>
          <w:szCs w:val="24"/>
          <w:lang w:bidi="zh-CN"/>
        </w:rPr>
        <w:t>5、</w:t>
      </w:r>
      <w:r>
        <w:rPr>
          <w:rFonts w:hint="eastAsia" w:ascii="宋体" w:hAnsi="宋体" w:eastAsia="宋体" w:cs="宋体"/>
          <w:color w:val="000000" w:themeColor="text1"/>
          <w:sz w:val="24"/>
          <w:szCs w:val="24"/>
          <w:lang w:val="zh-CN" w:bidi="zh-CN"/>
        </w:rPr>
        <w:t>售后服务：使用中出现问题中标人应在1小时内响应并到达现场，</w:t>
      </w:r>
      <w:r>
        <w:rPr>
          <w:rFonts w:hint="eastAsia" w:ascii="宋体" w:hAnsi="宋体" w:eastAsia="宋体" w:cs="宋体"/>
          <w:color w:val="000000" w:themeColor="text1"/>
          <w:sz w:val="24"/>
          <w:szCs w:val="24"/>
          <w:lang w:bidi="zh-CN"/>
        </w:rPr>
        <w:t>4</w:t>
      </w:r>
      <w:r>
        <w:rPr>
          <w:rFonts w:hint="eastAsia" w:ascii="宋体" w:hAnsi="宋体" w:eastAsia="宋体" w:cs="宋体"/>
          <w:color w:val="000000" w:themeColor="text1"/>
          <w:sz w:val="24"/>
          <w:szCs w:val="24"/>
          <w:lang w:val="zh-CN" w:bidi="zh-CN"/>
        </w:rPr>
        <w:t>小时之内解决问题。如不能解决，应提供用户可以接受的解决方案。</w:t>
      </w:r>
    </w:p>
    <w:p>
      <w:pPr>
        <w:spacing w:line="360" w:lineRule="auto"/>
        <w:ind w:firstLine="480" w:firstLineChars="200"/>
        <w:rPr>
          <w:rFonts w:ascii="宋体" w:hAnsi="宋体" w:eastAsia="宋体" w:cs="宋体"/>
          <w:color w:val="000000" w:themeColor="text1"/>
          <w:sz w:val="24"/>
          <w:szCs w:val="24"/>
          <w:lang w:val="zh-CN" w:bidi="zh-CN"/>
        </w:rPr>
      </w:pPr>
      <w:r>
        <w:rPr>
          <w:rFonts w:hint="eastAsia" w:ascii="宋体" w:hAnsi="宋体" w:eastAsia="宋体" w:cs="宋体"/>
          <w:color w:val="000000" w:themeColor="text1"/>
          <w:sz w:val="24"/>
          <w:szCs w:val="24"/>
          <w:lang w:bidi="zh-CN"/>
        </w:rPr>
        <w:t>6、</w:t>
      </w:r>
      <w:r>
        <w:rPr>
          <w:rFonts w:hint="eastAsia" w:ascii="宋体" w:hAnsi="宋体" w:eastAsia="宋体" w:cs="宋体"/>
          <w:color w:val="000000" w:themeColor="text1"/>
          <w:sz w:val="24"/>
          <w:szCs w:val="24"/>
          <w:lang w:val="zh-CN" w:bidi="zh-CN"/>
        </w:rPr>
        <w:t>交货方式：</w:t>
      </w:r>
      <w:r>
        <w:rPr>
          <w:rFonts w:hint="eastAsia" w:ascii="宋体" w:hAnsi="宋体" w:eastAsia="宋体" w:cs="宋体"/>
          <w:color w:val="000000" w:themeColor="text1"/>
          <w:sz w:val="24"/>
          <w:szCs w:val="24"/>
          <w:lang w:bidi="zh-CN"/>
        </w:rPr>
        <w:t>一包、二包</w:t>
      </w:r>
      <w:r>
        <w:rPr>
          <w:rFonts w:hint="eastAsia" w:ascii="宋体" w:hAnsi="宋体" w:eastAsia="宋体" w:cs="宋体"/>
          <w:color w:val="000000" w:themeColor="text1"/>
          <w:sz w:val="24"/>
          <w:szCs w:val="24"/>
          <w:lang w:val="zh-CN" w:bidi="zh-CN"/>
        </w:rPr>
        <w:t>配送周期不大于7天，特殊情况不大于15天；</w:t>
      </w:r>
      <w:r>
        <w:rPr>
          <w:rFonts w:hint="eastAsia" w:ascii="宋体" w:hAnsi="宋体" w:eastAsia="宋体" w:cs="宋体"/>
          <w:color w:val="000000" w:themeColor="text1"/>
          <w:sz w:val="24"/>
          <w:szCs w:val="24"/>
          <w:lang w:bidi="zh-CN"/>
        </w:rPr>
        <w:t>三包</w:t>
      </w:r>
      <w:r>
        <w:rPr>
          <w:rFonts w:hint="eastAsia" w:ascii="宋体" w:hAnsi="宋体" w:eastAsia="宋体" w:cs="宋体"/>
          <w:color w:val="000000" w:themeColor="text1"/>
          <w:sz w:val="24"/>
          <w:szCs w:val="24"/>
          <w:lang w:val="zh-CN" w:bidi="zh-CN"/>
        </w:rPr>
        <w:t>每周送两次，具体配送时间与各个学校商议情况决定。</w:t>
      </w:r>
    </w:p>
    <w:p>
      <w:pPr>
        <w:spacing w:line="360" w:lineRule="auto"/>
        <w:ind w:left="426"/>
        <w:rPr>
          <w:rFonts w:ascii="宋体" w:hAnsi="宋体" w:eastAsia="宋体" w:cs="宋体"/>
          <w:color w:val="000000" w:themeColor="text1"/>
          <w:sz w:val="24"/>
          <w:szCs w:val="24"/>
          <w:lang w:val="zh-CN" w:bidi="zh-CN"/>
        </w:rPr>
      </w:pPr>
      <w:r>
        <w:rPr>
          <w:rFonts w:hint="eastAsia" w:ascii="宋体" w:hAnsi="宋体" w:eastAsia="宋体" w:cs="宋体"/>
          <w:color w:val="000000" w:themeColor="text1"/>
          <w:sz w:val="24"/>
          <w:szCs w:val="24"/>
          <w:lang w:bidi="zh-CN"/>
        </w:rPr>
        <w:t>7、</w:t>
      </w:r>
      <w:r>
        <w:rPr>
          <w:rFonts w:hint="eastAsia" w:ascii="宋体" w:hAnsi="宋体" w:eastAsia="宋体" w:cs="宋体"/>
          <w:color w:val="000000" w:themeColor="text1"/>
          <w:sz w:val="24"/>
          <w:szCs w:val="24"/>
          <w:lang w:val="zh-CN" w:bidi="zh-CN"/>
        </w:rPr>
        <w:t>货物质量要求：投标产品质量等同或等效国家现行行业标准。</w:t>
      </w:r>
    </w:p>
    <w:p>
      <w:pPr>
        <w:pStyle w:val="6"/>
        <w:spacing w:line="360" w:lineRule="auto"/>
        <w:ind w:left="0" w:firstLine="0"/>
        <w:rPr>
          <w:color w:val="000000" w:themeColor="text1"/>
        </w:rPr>
      </w:pPr>
      <w:r>
        <w:rPr>
          <w:rFonts w:hint="eastAsia"/>
          <w:color w:val="000000" w:themeColor="text1"/>
        </w:rPr>
        <w:t>（二）履约验收与监督管理</w:t>
      </w:r>
    </w:p>
    <w:p>
      <w:pPr>
        <w:pStyle w:val="12"/>
        <w:spacing w:line="360" w:lineRule="auto"/>
        <w:rPr>
          <w:color w:val="000000" w:themeColor="text1"/>
          <w:sz w:val="24"/>
          <w:szCs w:val="24"/>
        </w:rPr>
      </w:pPr>
      <w:r>
        <w:rPr>
          <w:rFonts w:hint="eastAsia"/>
          <w:color w:val="000000" w:themeColor="text1"/>
          <w:sz w:val="24"/>
          <w:szCs w:val="24"/>
        </w:rPr>
        <w:t>　1、中标人应当依法履行合同；采购人应依法组成验收小组对货物组织验收。</w:t>
      </w:r>
    </w:p>
    <w:p>
      <w:pPr>
        <w:pStyle w:val="47"/>
        <w:tabs>
          <w:tab w:val="left" w:pos="1608"/>
        </w:tabs>
        <w:spacing w:line="360" w:lineRule="auto"/>
        <w:ind w:right="-168" w:firstLineChars="0"/>
        <w:jc w:val="left"/>
        <w:rPr>
          <w:rFonts w:ascii="宋体" w:hAnsi="宋体" w:eastAsia="宋体" w:cs="宋体"/>
          <w:color w:val="000000" w:themeColor="text1"/>
          <w:sz w:val="24"/>
          <w:szCs w:val="24"/>
          <w:lang w:val="zh-CN" w:bidi="zh-CN"/>
        </w:rPr>
      </w:pPr>
      <w:r>
        <w:rPr>
          <w:rFonts w:hint="eastAsia" w:ascii="宋体" w:hAnsi="宋体" w:eastAsia="宋体" w:cs="宋体"/>
          <w:color w:val="000000" w:themeColor="text1"/>
          <w:sz w:val="24"/>
          <w:szCs w:val="24"/>
          <w:lang w:val="zh-CN" w:bidi="zh-CN"/>
        </w:rPr>
        <w:t>（</w:t>
      </w:r>
      <w:r>
        <w:rPr>
          <w:rFonts w:hint="eastAsia" w:ascii="宋体" w:hAnsi="宋体" w:eastAsia="宋体" w:cs="宋体"/>
          <w:color w:val="000000" w:themeColor="text1"/>
          <w:sz w:val="24"/>
          <w:szCs w:val="24"/>
          <w:lang w:bidi="zh-CN"/>
        </w:rPr>
        <w:t>1）</w:t>
      </w:r>
      <w:r>
        <w:rPr>
          <w:rFonts w:hint="eastAsia" w:ascii="宋体" w:hAnsi="宋体" w:eastAsia="宋体" w:cs="宋体"/>
          <w:color w:val="000000" w:themeColor="text1"/>
          <w:sz w:val="24"/>
          <w:szCs w:val="24"/>
          <w:lang w:val="zh-CN" w:bidi="zh-CN"/>
        </w:rPr>
        <w:t>货物到达现场后，供应商应在使用单位</w:t>
      </w:r>
      <w:r>
        <w:rPr>
          <w:rFonts w:hint="eastAsia" w:ascii="宋体" w:hAnsi="宋体" w:eastAsia="宋体" w:cs="宋体"/>
          <w:color w:val="000000" w:themeColor="text1"/>
          <w:sz w:val="24"/>
          <w:szCs w:val="24"/>
          <w:lang w:bidi="zh-CN"/>
        </w:rPr>
        <w:t>管理</w:t>
      </w:r>
      <w:r>
        <w:rPr>
          <w:rFonts w:hint="eastAsia" w:ascii="宋体" w:hAnsi="宋体" w:eastAsia="宋体" w:cs="宋体"/>
          <w:color w:val="000000" w:themeColor="text1"/>
          <w:sz w:val="24"/>
          <w:szCs w:val="24"/>
          <w:lang w:val="zh-CN" w:bidi="zh-CN"/>
        </w:rPr>
        <w:t>人员在场情况下共同</w:t>
      </w:r>
      <w:r>
        <w:rPr>
          <w:rFonts w:hint="eastAsia" w:ascii="宋体" w:hAnsi="宋体" w:eastAsia="宋体" w:cs="宋体"/>
          <w:color w:val="000000" w:themeColor="text1"/>
          <w:sz w:val="24"/>
          <w:szCs w:val="24"/>
          <w:lang w:bidi="zh-CN"/>
        </w:rPr>
        <w:t>核对数量</w:t>
      </w:r>
      <w:r>
        <w:rPr>
          <w:rFonts w:hint="eastAsia" w:ascii="宋体" w:hAnsi="宋体" w:eastAsia="宋体" w:cs="宋体"/>
          <w:color w:val="000000" w:themeColor="text1"/>
          <w:sz w:val="24"/>
          <w:szCs w:val="24"/>
          <w:lang w:val="zh-CN" w:bidi="zh-CN"/>
        </w:rPr>
        <w:t>、检查质量，做好收货台账，双方签字确认。</w:t>
      </w:r>
    </w:p>
    <w:p>
      <w:pPr>
        <w:pStyle w:val="47"/>
        <w:tabs>
          <w:tab w:val="left" w:pos="1608"/>
        </w:tabs>
        <w:spacing w:line="360" w:lineRule="auto"/>
        <w:ind w:right="32" w:firstLine="480"/>
        <w:jc w:val="left"/>
        <w:rPr>
          <w:rFonts w:ascii="宋体" w:hAnsi="宋体" w:eastAsia="宋体" w:cs="宋体"/>
          <w:color w:val="000000" w:themeColor="text1"/>
          <w:sz w:val="24"/>
          <w:szCs w:val="24"/>
          <w:lang w:val="zh-CN" w:bidi="zh-CN"/>
        </w:rPr>
      </w:pPr>
      <w:r>
        <w:rPr>
          <w:rFonts w:hint="eastAsia" w:ascii="宋体" w:hAnsi="宋体" w:eastAsia="宋体" w:cs="宋体"/>
          <w:color w:val="000000" w:themeColor="text1"/>
          <w:sz w:val="24"/>
          <w:szCs w:val="24"/>
          <w:lang w:val="zh-CN" w:bidi="zh-CN"/>
        </w:rPr>
        <w:t>（</w:t>
      </w:r>
      <w:r>
        <w:rPr>
          <w:rFonts w:hint="eastAsia" w:ascii="宋体" w:hAnsi="宋体" w:eastAsia="宋体" w:cs="宋体"/>
          <w:color w:val="000000" w:themeColor="text1"/>
          <w:sz w:val="24"/>
          <w:szCs w:val="24"/>
          <w:lang w:bidi="zh-CN"/>
        </w:rPr>
        <w:t>2）</w:t>
      </w:r>
      <w:r>
        <w:rPr>
          <w:rFonts w:hint="eastAsia" w:ascii="宋体" w:hAnsi="宋体" w:eastAsia="宋体" w:cs="宋体"/>
          <w:color w:val="000000" w:themeColor="text1"/>
          <w:sz w:val="24"/>
          <w:szCs w:val="24"/>
          <w:lang w:val="zh-CN" w:bidi="zh-CN"/>
        </w:rPr>
        <w:t>供应商应保证货物到达用户所在地完好无损，如有缺漏、损坏，由供应商负责调换、补齐或赔偿。若中标人延迟一天不供货，学校立即向县教育局报告经同意后到市场上采购对应品牌的产品，其高于市场价的差价由中标人承担。</w:t>
      </w:r>
    </w:p>
    <w:p>
      <w:pPr>
        <w:pStyle w:val="12"/>
        <w:spacing w:line="360" w:lineRule="auto"/>
        <w:ind w:firstLine="120" w:firstLineChars="50"/>
        <w:rPr>
          <w:color w:val="000000" w:themeColor="text1"/>
          <w:sz w:val="24"/>
          <w:szCs w:val="24"/>
        </w:rPr>
      </w:pPr>
      <w:r>
        <w:rPr>
          <w:rFonts w:hint="eastAsia"/>
          <w:color w:val="000000" w:themeColor="text1"/>
          <w:sz w:val="24"/>
          <w:szCs w:val="24"/>
        </w:rPr>
        <w:t>　2、相关职能部门依法履行食品安全的监督管理工作，中标人应主动接受和配合相关职能部门的监督管理。</w:t>
      </w:r>
    </w:p>
    <w:p>
      <w:pPr>
        <w:pStyle w:val="12"/>
        <w:spacing w:line="360" w:lineRule="auto"/>
        <w:ind w:firstLine="360" w:firstLineChars="150"/>
        <w:rPr>
          <w:color w:val="000000" w:themeColor="text1"/>
          <w:sz w:val="24"/>
          <w:szCs w:val="24"/>
        </w:rPr>
      </w:pPr>
      <w:r>
        <w:rPr>
          <w:rFonts w:hint="eastAsia"/>
          <w:color w:val="000000" w:themeColor="text1"/>
          <w:sz w:val="24"/>
          <w:szCs w:val="24"/>
          <w:lang w:val="en-US"/>
        </w:rPr>
        <w:t>3、</w:t>
      </w:r>
      <w:r>
        <w:rPr>
          <w:rFonts w:hint="eastAsia"/>
          <w:color w:val="000000" w:themeColor="text1"/>
          <w:sz w:val="24"/>
          <w:szCs w:val="24"/>
        </w:rPr>
        <w:t>相关职能部门对中标人提供的货物采取随机抽查方式进行检测检验，每年抽检次数不得少于4次，检验费用由中标人承担。</w:t>
      </w:r>
    </w:p>
    <w:p>
      <w:pPr>
        <w:pStyle w:val="6"/>
        <w:spacing w:line="360" w:lineRule="auto"/>
        <w:ind w:left="0" w:firstLine="0"/>
        <w:rPr>
          <w:color w:val="000000" w:themeColor="text1"/>
        </w:rPr>
      </w:pPr>
      <w:r>
        <w:rPr>
          <w:rFonts w:hint="eastAsia"/>
          <w:color w:val="000000" w:themeColor="text1"/>
        </w:rPr>
        <w:t>（三）支付条件和支付方式</w:t>
      </w:r>
    </w:p>
    <w:p>
      <w:pPr>
        <w:pStyle w:val="12"/>
        <w:spacing w:line="360" w:lineRule="auto"/>
        <w:ind w:right="32" w:firstLine="480" w:firstLineChars="200"/>
        <w:rPr>
          <w:color w:val="000000" w:themeColor="text1"/>
          <w:sz w:val="24"/>
          <w:szCs w:val="24"/>
        </w:rPr>
      </w:pPr>
      <w:r>
        <w:rPr>
          <w:rFonts w:hint="eastAsia"/>
          <w:color w:val="000000" w:themeColor="text1"/>
          <w:sz w:val="24"/>
          <w:szCs w:val="24"/>
          <w:lang w:val="en-US"/>
        </w:rPr>
        <w:t>供应商按要求将食品送达指定学校并</w:t>
      </w:r>
      <w:r>
        <w:rPr>
          <w:rFonts w:hint="eastAsia"/>
          <w:color w:val="000000" w:themeColor="text1"/>
          <w:sz w:val="24"/>
          <w:szCs w:val="24"/>
        </w:rPr>
        <w:t>验收合格后，提供完税发票及相关资料，</w:t>
      </w:r>
      <w:r>
        <w:rPr>
          <w:rFonts w:hint="eastAsia"/>
          <w:color w:val="000000" w:themeColor="text1"/>
          <w:sz w:val="24"/>
          <w:szCs w:val="24"/>
          <w:lang w:val="en-US"/>
        </w:rPr>
        <w:t>以供应商实际的供应数量为准，据实核算。支付方式和时间以甲、乙双方签订的合同为准</w:t>
      </w:r>
      <w:r>
        <w:rPr>
          <w:rFonts w:hint="eastAsia"/>
          <w:b/>
          <w:bCs/>
          <w:color w:val="000000" w:themeColor="text1"/>
          <w:sz w:val="24"/>
          <w:szCs w:val="24"/>
        </w:rPr>
        <w:t>（如上级专项资金有变化，甲方有权增减供货资金）。</w:t>
      </w:r>
    </w:p>
    <w:p>
      <w:pPr>
        <w:numPr>
          <w:ilvl w:val="0"/>
          <w:numId w:val="19"/>
        </w:numPr>
        <w:spacing w:line="360" w:lineRule="auto"/>
        <w:ind w:left="420"/>
        <w:rPr>
          <w:rFonts w:ascii="宋体" w:hAnsi="宋体"/>
          <w:b/>
          <w:color w:val="000000" w:themeColor="text1"/>
          <w:sz w:val="24"/>
          <w:szCs w:val="24"/>
        </w:rPr>
      </w:pPr>
      <w:r>
        <w:rPr>
          <w:rFonts w:hint="eastAsia" w:ascii="宋体" w:hAnsi="宋体"/>
          <w:b/>
          <w:color w:val="000000" w:themeColor="text1"/>
          <w:sz w:val="24"/>
          <w:szCs w:val="24"/>
        </w:rPr>
        <w:t>其它要求</w:t>
      </w:r>
    </w:p>
    <w:p>
      <w:pPr>
        <w:spacing w:line="360" w:lineRule="auto"/>
        <w:ind w:firstLine="480" w:firstLineChars="200"/>
        <w:rPr>
          <w:rFonts w:ascii="宋体" w:hAnsi="宋体"/>
          <w:color w:val="000000" w:themeColor="text1"/>
          <w:sz w:val="24"/>
          <w:szCs w:val="24"/>
        </w:rPr>
      </w:pPr>
      <w:r>
        <w:rPr>
          <w:rFonts w:hint="eastAsia" w:ascii="宋体" w:hAnsi="宋体" w:eastAsia="宋体"/>
          <w:color w:val="000000" w:themeColor="text1"/>
          <w:sz w:val="24"/>
          <w:szCs w:val="24"/>
        </w:rPr>
        <w:t>1、食品</w:t>
      </w:r>
      <w:r>
        <w:rPr>
          <w:rFonts w:hint="eastAsia" w:ascii="宋体" w:hAnsi="宋体"/>
          <w:color w:val="000000" w:themeColor="text1"/>
          <w:sz w:val="24"/>
          <w:szCs w:val="24"/>
        </w:rPr>
        <w:t>质量合格，符合国家及行业相关食品卫生安全要求。</w:t>
      </w:r>
    </w:p>
    <w:p>
      <w:pPr>
        <w:spacing w:line="360" w:lineRule="auto"/>
        <w:ind w:firstLine="480" w:firstLineChars="200"/>
        <w:rPr>
          <w:rFonts w:ascii="宋体" w:hAnsi="宋体"/>
          <w:color w:val="000000" w:themeColor="text1"/>
          <w:sz w:val="24"/>
          <w:szCs w:val="24"/>
        </w:rPr>
      </w:pPr>
      <w:r>
        <w:rPr>
          <w:rFonts w:hint="eastAsia" w:ascii="宋体" w:hAnsi="宋体" w:eastAsia="宋体"/>
          <w:color w:val="000000" w:themeColor="text1"/>
          <w:sz w:val="24"/>
          <w:szCs w:val="24"/>
        </w:rPr>
        <w:t>2、</w:t>
      </w:r>
      <w:r>
        <w:rPr>
          <w:rFonts w:hint="eastAsia" w:ascii="宋体" w:hAnsi="宋体"/>
          <w:color w:val="000000" w:themeColor="text1"/>
          <w:sz w:val="24"/>
          <w:szCs w:val="24"/>
        </w:rPr>
        <w:t>每批次提供生产厂家自检检测报告。</w:t>
      </w:r>
    </w:p>
    <w:p>
      <w:pPr>
        <w:spacing w:line="360" w:lineRule="auto"/>
        <w:ind w:firstLine="480" w:firstLineChars="200"/>
        <w:rPr>
          <w:rFonts w:ascii="宋体" w:hAnsi="宋体"/>
          <w:color w:val="000000" w:themeColor="text1"/>
          <w:sz w:val="24"/>
          <w:szCs w:val="24"/>
        </w:rPr>
      </w:pPr>
      <w:r>
        <w:rPr>
          <w:rFonts w:hint="eastAsia" w:ascii="宋体" w:hAnsi="宋体" w:eastAsia="宋体"/>
          <w:color w:val="000000" w:themeColor="text1"/>
          <w:sz w:val="24"/>
          <w:szCs w:val="24"/>
        </w:rPr>
        <w:t>3、</w:t>
      </w:r>
      <w:r>
        <w:rPr>
          <w:rFonts w:hint="eastAsia" w:ascii="宋体" w:hAnsi="宋体"/>
          <w:color w:val="000000" w:themeColor="text1"/>
          <w:sz w:val="24"/>
          <w:szCs w:val="24"/>
        </w:rPr>
        <w:t>投标人须对所投标产品投保食品质量或安全责任保险。</w:t>
      </w:r>
    </w:p>
    <w:p>
      <w:pPr>
        <w:spacing w:line="360" w:lineRule="auto"/>
        <w:ind w:firstLine="480" w:firstLineChars="200"/>
        <w:rPr>
          <w:rFonts w:ascii="宋体" w:hAnsi="宋体"/>
          <w:color w:val="000000" w:themeColor="text1"/>
          <w:sz w:val="24"/>
          <w:szCs w:val="24"/>
        </w:rPr>
      </w:pPr>
      <w:r>
        <w:rPr>
          <w:rFonts w:hint="eastAsia" w:ascii="宋体" w:hAnsi="宋体" w:eastAsia="宋体"/>
          <w:color w:val="000000" w:themeColor="text1"/>
          <w:sz w:val="24"/>
          <w:szCs w:val="24"/>
        </w:rPr>
        <w:t>4、</w:t>
      </w:r>
      <w:r>
        <w:rPr>
          <w:rFonts w:hint="eastAsia" w:ascii="宋体" w:hAnsi="宋体"/>
          <w:color w:val="000000" w:themeColor="text1"/>
          <w:sz w:val="24"/>
          <w:szCs w:val="24"/>
        </w:rPr>
        <w:t>投标人所提供必须是质量合格的食品，通过合法渠道获得。</w:t>
      </w:r>
    </w:p>
    <w:p>
      <w:pPr>
        <w:spacing w:line="360" w:lineRule="auto"/>
        <w:ind w:firstLine="480" w:firstLineChars="200"/>
        <w:rPr>
          <w:rFonts w:ascii="宋体" w:hAnsi="宋体"/>
          <w:color w:val="000000" w:themeColor="text1"/>
          <w:sz w:val="24"/>
          <w:szCs w:val="24"/>
        </w:rPr>
      </w:pPr>
      <w:r>
        <w:rPr>
          <w:rFonts w:hint="eastAsia" w:ascii="宋体" w:hAnsi="宋体" w:eastAsia="宋体"/>
          <w:color w:val="000000" w:themeColor="text1"/>
          <w:sz w:val="24"/>
          <w:szCs w:val="24"/>
        </w:rPr>
        <w:t>5、</w:t>
      </w:r>
      <w:r>
        <w:rPr>
          <w:rFonts w:hint="eastAsia" w:ascii="宋体" w:hAnsi="宋体"/>
          <w:color w:val="000000" w:themeColor="text1"/>
          <w:sz w:val="24"/>
          <w:szCs w:val="24"/>
        </w:rPr>
        <w:t>安全责任：中标人在本项目实施过程中发生的所有安全事故由中标人自行负责。</w:t>
      </w:r>
    </w:p>
    <w:p>
      <w:pPr>
        <w:spacing w:line="360" w:lineRule="auto"/>
        <w:ind w:left="426" w:leftChars="203" w:firstLine="120" w:firstLineChars="50"/>
        <w:rPr>
          <w:rFonts w:ascii="宋体" w:hAnsi="宋体" w:eastAsia="宋体" w:cs="宋体"/>
          <w:color w:val="000000" w:themeColor="text1"/>
          <w:sz w:val="24"/>
          <w:szCs w:val="24"/>
          <w:lang w:bidi="zh-CN"/>
        </w:rPr>
      </w:pPr>
      <w:r>
        <w:rPr>
          <w:rFonts w:hint="eastAsia" w:ascii="宋体" w:hAnsi="宋体" w:eastAsia="宋体" w:cs="宋体"/>
          <w:color w:val="000000" w:themeColor="text1"/>
          <w:sz w:val="24"/>
          <w:szCs w:val="24"/>
          <w:lang w:bidi="zh-CN"/>
        </w:rPr>
        <w:t>6、中标人应根据招标人的实际需要尽快与招标人签订合同；</w:t>
      </w:r>
    </w:p>
    <w:p>
      <w:pPr>
        <w:spacing w:line="360" w:lineRule="auto"/>
        <w:ind w:firstLine="480" w:firstLineChars="200"/>
        <w:rPr>
          <w:rFonts w:ascii="宋体" w:hAnsi="宋体" w:eastAsia="宋体" w:cs="宋体"/>
          <w:color w:val="000000" w:themeColor="text1"/>
          <w:sz w:val="24"/>
          <w:szCs w:val="24"/>
          <w:lang w:bidi="zh-CN"/>
        </w:rPr>
      </w:pPr>
      <w:r>
        <w:rPr>
          <w:rFonts w:hint="eastAsia" w:ascii="宋体" w:hAnsi="宋体" w:eastAsia="宋体" w:cs="宋体"/>
          <w:color w:val="000000" w:themeColor="text1"/>
          <w:sz w:val="24"/>
          <w:szCs w:val="24"/>
          <w:lang w:bidi="zh-CN"/>
        </w:rPr>
        <w:t>7、中标人需按阳新县营养改善计划领导小组办公室制定的配餐计划配送，如果遇到特殊情况，需提前一个月把下一个月的配餐计划上报到县营养办，经同意后方可实施；</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8、各标投标人的报价应包含产品制造、人工、包装、仓储、运输（含保险、卸车费）、税金、售后及相关的全部费用。投标人的报价应充分考虑到产品、人工、运输条件增长的市场风险和国家政策性调价的风险系数，投标人中标后，投标所报的方案不能作任何调整。</w:t>
      </w:r>
      <w:bookmarkStart w:id="43" w:name="（10）项目实施期间，如国家营养餐政策有变化，按国家新政策要求实施，中标人必须完"/>
      <w:bookmarkEnd w:id="43"/>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9、一包、二包投标人非所投产品生产厂家的，须提供由生产厂家出具的《供应授权书》和《供货渠道矛盾调解承诺书》， 负责协调好与当地品牌供应商的市场经营等方面的矛盾，以保证供货渠道的畅通。</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10、中标单位在同等条件下必须优先采购扶贫产品。</w:t>
      </w:r>
    </w:p>
    <w:p>
      <w:pPr>
        <w:spacing w:line="360" w:lineRule="auto"/>
        <w:jc w:val="center"/>
        <w:rPr>
          <w:rFonts w:ascii="宋体" w:hAnsi="宋体" w:eastAsia="宋体" w:cs="Times New Roman"/>
          <w:b/>
          <w:bCs/>
          <w:color w:val="000000" w:themeColor="text1"/>
          <w:sz w:val="28"/>
          <w:szCs w:val="28"/>
        </w:rPr>
      </w:pPr>
      <w:r>
        <w:rPr>
          <w:rFonts w:hint="eastAsia" w:ascii="宋体" w:hAnsi="宋体"/>
          <w:b/>
          <w:color w:val="000000" w:themeColor="text1"/>
          <w:sz w:val="24"/>
          <w:szCs w:val="24"/>
        </w:rPr>
        <w:br w:type="page"/>
      </w:r>
      <w:r>
        <w:rPr>
          <w:rFonts w:hint="eastAsia" w:ascii="宋体" w:hAnsi="宋体" w:eastAsia="宋体" w:cs="Times New Roman"/>
          <w:b/>
          <w:bCs/>
          <w:color w:val="000000" w:themeColor="text1"/>
          <w:sz w:val="28"/>
          <w:szCs w:val="28"/>
        </w:rPr>
        <w:t xml:space="preserve">2021-2022学年度阳新县农村义务教育学生营养改善计划   </w:t>
      </w:r>
    </w:p>
    <w:p>
      <w:pPr>
        <w:spacing w:line="360" w:lineRule="auto"/>
        <w:jc w:val="center"/>
        <w:rPr>
          <w:rFonts w:ascii="宋体" w:hAnsi="宋体" w:eastAsia="宋体" w:cs="Times New Roman"/>
          <w:b/>
          <w:bCs/>
          <w:color w:val="000000" w:themeColor="text1"/>
          <w:sz w:val="28"/>
          <w:szCs w:val="28"/>
        </w:rPr>
      </w:pPr>
      <w:r>
        <w:rPr>
          <w:rFonts w:hint="eastAsia" w:ascii="宋体" w:hAnsi="宋体" w:eastAsia="宋体" w:cs="Times New Roman"/>
          <w:b/>
          <w:bCs/>
          <w:color w:val="000000" w:themeColor="text1"/>
          <w:sz w:val="28"/>
          <w:szCs w:val="28"/>
        </w:rPr>
        <w:t xml:space="preserve">     提标采购项目分包配送情况</w:t>
      </w:r>
    </w:p>
    <w:p>
      <w:pPr>
        <w:pStyle w:val="17"/>
        <w:spacing w:line="360" w:lineRule="auto"/>
        <w:rPr>
          <w:rFonts w:ascii="宋体" w:hAnsi="宋体" w:eastAsia="宋体" w:cs="Times New Roman"/>
          <w:color w:val="000000" w:themeColor="text1"/>
          <w:sz w:val="24"/>
          <w:szCs w:val="24"/>
        </w:rPr>
      </w:pPr>
    </w:p>
    <w:p>
      <w:pPr>
        <w:pStyle w:val="17"/>
        <w:numPr>
          <w:ilvl w:val="0"/>
          <w:numId w:val="20"/>
        </w:numPr>
        <w:spacing w:line="360" w:lineRule="auto"/>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面包和蛋糕(一包）</w:t>
      </w:r>
    </w:p>
    <w:p>
      <w:pPr>
        <w:spacing w:line="360" w:lineRule="auto"/>
        <w:ind w:firstLine="480" w:firstLineChars="200"/>
        <w:rPr>
          <w:rFonts w:ascii="宋体" w:hAnsi="宋体"/>
          <w:b/>
          <w:bCs/>
          <w:color w:val="000000" w:themeColor="text1"/>
          <w:sz w:val="24"/>
          <w:szCs w:val="24"/>
        </w:rPr>
      </w:pPr>
      <w:r>
        <w:rPr>
          <w:rFonts w:hint="eastAsia" w:ascii="宋体" w:hAnsi="宋体"/>
          <w:color w:val="000000" w:themeColor="text1"/>
          <w:sz w:val="24"/>
          <w:szCs w:val="24"/>
        </w:rPr>
        <w:t>配送学校为实施课间供餐模式的学校约88所；食堂供餐模式(有不在校就餐学生）的学校约76所；中央厨房供餐模式（有不在学校就餐学生）的学校约5所，共计约169所学校。</w:t>
      </w:r>
      <w:r>
        <w:rPr>
          <w:rFonts w:hint="eastAsia" w:ascii="宋体" w:hAnsi="宋体"/>
          <w:b/>
          <w:bCs/>
          <w:color w:val="000000" w:themeColor="text1"/>
          <w:sz w:val="24"/>
          <w:szCs w:val="24"/>
        </w:rPr>
        <w:t>具体配送学校和配送人数按阳新县学生营养办核定后下达的配送明细表执行。</w:t>
      </w:r>
    </w:p>
    <w:p>
      <w:pPr>
        <w:pStyle w:val="17"/>
        <w:spacing w:line="360" w:lineRule="auto"/>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二、食堂大宗食材（二包）</w:t>
      </w:r>
    </w:p>
    <w:p>
      <w:pPr>
        <w:widowControl/>
        <w:spacing w:line="360" w:lineRule="auto"/>
        <w:ind w:firstLine="480" w:firstLineChars="200"/>
        <w:textAlignment w:val="center"/>
        <w:rPr>
          <w:rFonts w:ascii="宋体" w:hAnsi="宋体" w:eastAsia="宋体" w:cs="宋体"/>
          <w:b/>
          <w:bCs/>
          <w:color w:val="000000" w:themeColor="text1"/>
          <w:sz w:val="24"/>
          <w:szCs w:val="24"/>
          <w:lang w:bidi="zh-CN"/>
        </w:rPr>
      </w:pPr>
      <w:r>
        <w:rPr>
          <w:rFonts w:hint="eastAsia" w:ascii="宋体" w:hAnsi="宋体" w:eastAsia="宋体" w:cs="宋体"/>
          <w:color w:val="000000" w:themeColor="text1"/>
          <w:sz w:val="24"/>
          <w:szCs w:val="24"/>
          <w:lang w:bidi="zh-CN"/>
        </w:rPr>
        <w:t>配送学校为实施食堂供餐模式的学校约138所。</w:t>
      </w:r>
      <w:r>
        <w:rPr>
          <w:rFonts w:hint="eastAsia" w:ascii="宋体" w:hAnsi="宋体" w:eastAsia="宋体" w:cs="宋体"/>
          <w:b/>
          <w:bCs/>
          <w:color w:val="000000" w:themeColor="text1"/>
          <w:sz w:val="24"/>
          <w:szCs w:val="24"/>
          <w:lang w:bidi="zh-CN"/>
        </w:rPr>
        <w:t>具体配送学校和配送人数按阳新县学生营养办核定后下达的配送明细表执行。</w:t>
      </w:r>
    </w:p>
    <w:p>
      <w:pPr>
        <w:spacing w:line="360" w:lineRule="auto"/>
        <w:rPr>
          <w:rFonts w:ascii="黑体" w:hAnsi="黑体" w:eastAsia="黑体"/>
          <w:b/>
          <w:bCs/>
          <w:color w:val="000000" w:themeColor="text1"/>
          <w:sz w:val="28"/>
          <w:szCs w:val="28"/>
        </w:rPr>
      </w:pPr>
      <w:r>
        <w:rPr>
          <w:rFonts w:hint="eastAsia" w:ascii="宋体" w:hAnsi="宋体" w:eastAsia="宋体" w:cs="宋体"/>
          <w:b/>
          <w:bCs/>
          <w:color w:val="000000" w:themeColor="text1"/>
          <w:sz w:val="28"/>
          <w:szCs w:val="28"/>
        </w:rPr>
        <w:t>三、中央厨房供餐（三包）</w:t>
      </w:r>
    </w:p>
    <w:p>
      <w:pPr>
        <w:pStyle w:val="32"/>
        <w:spacing w:line="360" w:lineRule="auto"/>
        <w:rPr>
          <w:rFonts w:hAnsi="宋体"/>
          <w:b/>
          <w:bCs/>
          <w:color w:val="000000" w:themeColor="text1"/>
          <w:lang w:bidi="zh-CN"/>
        </w:rPr>
      </w:pPr>
      <w:r>
        <w:rPr>
          <w:rFonts w:hint="eastAsia" w:hAnsi="宋体"/>
          <w:b/>
          <w:bCs/>
          <w:color w:val="000000" w:themeColor="text1"/>
        </w:rPr>
        <w:t xml:space="preserve">  </w:t>
      </w:r>
      <w:r>
        <w:rPr>
          <w:rFonts w:hint="eastAsia" w:hAnsi="宋体"/>
          <w:color w:val="000000" w:themeColor="text1"/>
          <w:lang w:bidi="zh-CN"/>
        </w:rPr>
        <w:t xml:space="preserve"> 配送学校为城区及城郊实施中央厨房集中供餐的学校约5所。</w:t>
      </w:r>
      <w:r>
        <w:rPr>
          <w:rFonts w:hint="eastAsia" w:hAnsi="宋体"/>
          <w:b/>
          <w:bCs/>
          <w:color w:val="000000" w:themeColor="text1"/>
          <w:lang w:bidi="zh-CN"/>
        </w:rPr>
        <w:t>各校具体配送人数以阳新县学生营养办核定的实际供餐学生人数为准。</w:t>
      </w:r>
    </w:p>
    <w:p>
      <w:pPr>
        <w:widowControl/>
        <w:spacing w:line="360" w:lineRule="auto"/>
        <w:jc w:val="left"/>
        <w:textAlignment w:val="center"/>
        <w:rPr>
          <w:rFonts w:ascii="黑体" w:hAnsi="黑体" w:eastAsia="黑体"/>
          <w:b/>
          <w:bCs/>
          <w:color w:val="000000" w:themeColor="text1"/>
        </w:rPr>
      </w:pPr>
      <w:r>
        <w:rPr>
          <w:rFonts w:hint="eastAsia" w:ascii="宋体" w:hAnsi="宋体" w:eastAsia="宋体" w:cs="宋体"/>
          <w:b/>
          <w:bCs/>
          <w:color w:val="000000" w:themeColor="text1"/>
          <w:sz w:val="24"/>
          <w:szCs w:val="24"/>
          <w:lang w:bidi="zh-CN"/>
        </w:rPr>
        <w:br w:type="page"/>
      </w:r>
    </w:p>
    <w:p>
      <w:pPr>
        <w:pStyle w:val="3"/>
        <w:numPr>
          <w:ilvl w:val="0"/>
          <w:numId w:val="1"/>
        </w:numPr>
        <w:tabs>
          <w:tab w:val="left" w:pos="1680"/>
        </w:tabs>
        <w:spacing w:before="0" w:after="0" w:line="360" w:lineRule="auto"/>
        <w:jc w:val="center"/>
        <w:rPr>
          <w:rFonts w:ascii="黑体" w:hAnsi="黑体" w:eastAsia="黑体"/>
          <w:color w:val="000000" w:themeColor="text1"/>
        </w:rPr>
      </w:pPr>
      <w:r>
        <w:rPr>
          <w:rFonts w:hint="eastAsia" w:ascii="黑体" w:hAnsi="黑体" w:eastAsia="黑体"/>
          <w:color w:val="000000" w:themeColor="text1"/>
        </w:rPr>
        <w:t>资格审查方法及标准</w:t>
      </w:r>
      <w:bookmarkEnd w:id="42"/>
    </w:p>
    <w:p>
      <w:pPr>
        <w:spacing w:line="360" w:lineRule="auto"/>
        <w:ind w:firstLine="42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根据《政府采购法》、《政府采购法实施条例》、《政府采购货物和服务招标投标管理办法》等相关法律法规确定以下资格审查方法及标准。</w:t>
      </w:r>
    </w:p>
    <w:p>
      <w:pPr>
        <w:pStyle w:val="4"/>
        <w:numPr>
          <w:ilvl w:val="0"/>
          <w:numId w:val="21"/>
        </w:numPr>
        <w:spacing w:before="0" w:after="0" w:line="360" w:lineRule="auto"/>
        <w:ind w:left="616" w:hanging="616"/>
        <w:jc w:val="left"/>
        <w:rPr>
          <w:rFonts w:cs="Times New Roman" w:asciiTheme="majorEastAsia" w:hAnsiTheme="majorEastAsia"/>
          <w:bCs w:val="0"/>
          <w:color w:val="000000" w:themeColor="text1"/>
          <w:sz w:val="30"/>
          <w:szCs w:val="30"/>
          <w:lang w:val="zh-CN"/>
        </w:rPr>
      </w:pPr>
      <w:bookmarkStart w:id="44" w:name="_Toc494561958"/>
      <w:bookmarkStart w:id="45" w:name="_Toc495861539"/>
      <w:r>
        <w:rPr>
          <w:rFonts w:hint="eastAsia" w:cs="Times New Roman" w:asciiTheme="majorEastAsia" w:hAnsiTheme="majorEastAsia"/>
          <w:bCs w:val="0"/>
          <w:color w:val="000000" w:themeColor="text1"/>
          <w:sz w:val="30"/>
          <w:szCs w:val="30"/>
          <w:lang w:val="zh-CN"/>
        </w:rPr>
        <w:t>资格审查方法</w:t>
      </w:r>
      <w:bookmarkEnd w:id="44"/>
      <w:bookmarkEnd w:id="45"/>
    </w:p>
    <w:p>
      <w:pPr>
        <w:spacing w:line="360" w:lineRule="auto"/>
        <w:ind w:firstLine="42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21"/>
        </w:numPr>
        <w:spacing w:before="0" w:after="0" w:line="360" w:lineRule="auto"/>
        <w:ind w:left="616" w:hanging="616"/>
        <w:jc w:val="left"/>
        <w:rPr>
          <w:rFonts w:cs="Times New Roman" w:asciiTheme="majorEastAsia" w:hAnsiTheme="majorEastAsia"/>
          <w:bCs w:val="0"/>
          <w:color w:val="000000" w:themeColor="text1"/>
          <w:sz w:val="30"/>
          <w:szCs w:val="30"/>
          <w:lang w:val="zh-CN"/>
        </w:rPr>
      </w:pPr>
      <w:bookmarkStart w:id="46" w:name="_Toc495861540"/>
      <w:bookmarkStart w:id="47" w:name="_Toc494561959"/>
      <w:r>
        <w:rPr>
          <w:rFonts w:hint="eastAsia" w:cs="Times New Roman" w:asciiTheme="majorEastAsia" w:hAnsiTheme="majorEastAsia"/>
          <w:bCs w:val="0"/>
          <w:color w:val="000000" w:themeColor="text1"/>
          <w:sz w:val="30"/>
          <w:szCs w:val="30"/>
          <w:lang w:val="zh-CN"/>
        </w:rPr>
        <w:t>资格审查标准</w:t>
      </w:r>
      <w:bookmarkEnd w:id="46"/>
      <w:bookmarkEnd w:id="47"/>
    </w:p>
    <w:p>
      <w:pPr>
        <w:numPr>
          <w:ilvl w:val="0"/>
          <w:numId w:val="22"/>
        </w:numPr>
        <w:tabs>
          <w:tab w:val="left" w:pos="616"/>
        </w:tabs>
        <w:spacing w:line="360" w:lineRule="auto"/>
        <w:ind w:left="14" w:firstLine="238"/>
        <w:rPr>
          <w:rFonts w:ascii="宋体" w:hAnsi="宋体" w:eastAsia="宋体" w:cs="Times New Roman"/>
          <w:b/>
          <w:color w:val="000000" w:themeColor="text1"/>
          <w:sz w:val="24"/>
          <w:szCs w:val="24"/>
          <w:lang w:val="zh-CN"/>
        </w:rPr>
      </w:pPr>
      <w:r>
        <w:rPr>
          <w:rFonts w:hint="eastAsia" w:ascii="宋体" w:hAnsi="宋体" w:eastAsia="宋体" w:cs="Times New Roman"/>
          <w:b/>
          <w:color w:val="000000" w:themeColor="text1"/>
          <w:sz w:val="24"/>
          <w:szCs w:val="24"/>
          <w:lang w:val="zh-CN"/>
        </w:rPr>
        <w:t>资格证明文件审查</w:t>
      </w:r>
    </w:p>
    <w:p>
      <w:pPr>
        <w:tabs>
          <w:tab w:val="left" w:pos="616"/>
        </w:tabs>
        <w:spacing w:line="360" w:lineRule="auto"/>
        <w:ind w:firstLine="420"/>
        <w:rPr>
          <w:rFonts w:ascii="Helvetica" w:hAnsi="Helvetica" w:eastAsia="宋体" w:cs="Helvetica"/>
          <w:b/>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00000" w:themeColor="text1"/>
          <w:kern w:val="0"/>
          <w:sz w:val="24"/>
          <w:szCs w:val="24"/>
          <w:lang w:val="zh-CN"/>
        </w:rPr>
        <w:t>无效投标处理：</w:t>
      </w:r>
    </w:p>
    <w:p>
      <w:pPr>
        <w:pStyle w:val="36"/>
        <w:numPr>
          <w:ilvl w:val="0"/>
          <w:numId w:val="23"/>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就具备</w:t>
      </w:r>
      <w:r>
        <w:rPr>
          <w:rFonts w:hint="eastAsia" w:hAnsi="宋体"/>
          <w:color w:val="000000" w:themeColor="text1"/>
          <w:sz w:val="24"/>
          <w:szCs w:val="24"/>
        </w:rPr>
        <w:t>下列材料</w:t>
      </w:r>
      <w:r>
        <w:rPr>
          <w:rFonts w:hint="eastAsia" w:ascii="宋体" w:hAnsi="宋体" w:eastAsia="宋体" w:cs="Times New Roman"/>
          <w:color w:val="000000" w:themeColor="text1"/>
          <w:sz w:val="24"/>
          <w:szCs w:val="24"/>
          <w:lang w:val="zh-CN"/>
        </w:rPr>
        <w:t>：</w:t>
      </w:r>
    </w:p>
    <w:p>
      <w:pPr>
        <w:pStyle w:val="36"/>
        <w:numPr>
          <w:ilvl w:val="0"/>
          <w:numId w:val="24"/>
        </w:numPr>
        <w:tabs>
          <w:tab w:val="left" w:pos="1036"/>
        </w:tabs>
        <w:spacing w:line="360" w:lineRule="auto"/>
        <w:ind w:left="1036" w:hanging="616"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法人或者其他组织的营业执照等证明文件，自然人的身份证明；</w:t>
      </w:r>
    </w:p>
    <w:p>
      <w:pPr>
        <w:pStyle w:val="36"/>
        <w:numPr>
          <w:ilvl w:val="0"/>
          <w:numId w:val="24"/>
        </w:numPr>
        <w:tabs>
          <w:tab w:val="left" w:pos="1036"/>
        </w:tabs>
        <w:spacing w:line="360" w:lineRule="auto"/>
        <w:ind w:left="1036" w:hanging="616"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近两年经审计的财务报告或基本开户银行出具的资信证明文件；</w:t>
      </w:r>
    </w:p>
    <w:p>
      <w:pPr>
        <w:pStyle w:val="36"/>
        <w:numPr>
          <w:ilvl w:val="0"/>
          <w:numId w:val="24"/>
        </w:numPr>
        <w:tabs>
          <w:tab w:val="left" w:pos="1036"/>
        </w:tabs>
        <w:spacing w:line="360" w:lineRule="auto"/>
        <w:ind w:left="1036" w:hanging="616"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具备履行合同所必需的设备和专业技术能力的证明材料；</w:t>
      </w:r>
    </w:p>
    <w:p>
      <w:pPr>
        <w:pStyle w:val="36"/>
        <w:numPr>
          <w:ilvl w:val="0"/>
          <w:numId w:val="24"/>
        </w:numPr>
        <w:tabs>
          <w:tab w:val="left" w:pos="1036"/>
        </w:tabs>
        <w:spacing w:line="360" w:lineRule="auto"/>
        <w:ind w:left="1036" w:hanging="616"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参加政府采购活动前3年内在经营活动中没有重大违法记录的书面声明；</w:t>
      </w:r>
    </w:p>
    <w:p>
      <w:pPr>
        <w:pStyle w:val="36"/>
        <w:numPr>
          <w:ilvl w:val="0"/>
          <w:numId w:val="24"/>
        </w:numPr>
        <w:tabs>
          <w:tab w:val="left" w:pos="1036"/>
        </w:tabs>
        <w:spacing w:line="360" w:lineRule="auto"/>
        <w:ind w:left="1036" w:hanging="616"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具备法律、行政法规规定的其他条件的证明材料。</w:t>
      </w:r>
    </w:p>
    <w:p>
      <w:pPr>
        <w:pStyle w:val="36"/>
        <w:numPr>
          <w:ilvl w:val="0"/>
          <w:numId w:val="23"/>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未被“信用中国”网站(www.creditchina.gov.cn)列入失信被执行人、重大税收违法案件当事人名单、</w:t>
      </w:r>
      <w:r>
        <w:rPr>
          <w:rFonts w:hint="eastAsia" w:ascii="宋体" w:hAnsi="宋体" w:eastAsia="宋体" w:cs="Times New Roman"/>
          <w:color w:val="000000" w:themeColor="text1"/>
          <w:sz w:val="24"/>
          <w:szCs w:val="24"/>
        </w:rPr>
        <w:t>“中国政府采购网”（www.ccgp.gov.cn）</w:t>
      </w:r>
      <w:r>
        <w:rPr>
          <w:rFonts w:hint="eastAsia" w:ascii="宋体" w:hAnsi="宋体" w:eastAsia="宋体" w:cs="Times New Roman"/>
          <w:color w:val="000000" w:themeColor="text1"/>
          <w:sz w:val="24"/>
          <w:szCs w:val="24"/>
          <w:lang w:val="zh-CN"/>
        </w:rPr>
        <w:t>政府采购严重违法失信行为记录名单的书面申明及该网站查询结果页面截图；</w:t>
      </w:r>
    </w:p>
    <w:p>
      <w:pPr>
        <w:pStyle w:val="36"/>
        <w:numPr>
          <w:ilvl w:val="0"/>
          <w:numId w:val="23"/>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招标文件第一章“投标人资格要求”中有特殊要求的，投标人应提供其符合特殊要求的证明材料或者情况说明；</w:t>
      </w:r>
    </w:p>
    <w:p>
      <w:pPr>
        <w:pStyle w:val="36"/>
        <w:numPr>
          <w:ilvl w:val="0"/>
          <w:numId w:val="23"/>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不符合联合体投标相关规定和要求的；</w:t>
      </w:r>
    </w:p>
    <w:p>
      <w:pPr>
        <w:pStyle w:val="36"/>
        <w:numPr>
          <w:ilvl w:val="0"/>
          <w:numId w:val="23"/>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投标人认为需提供的其它相关资格证明材料；</w:t>
      </w:r>
    </w:p>
    <w:p>
      <w:pPr>
        <w:pStyle w:val="36"/>
        <w:numPr>
          <w:ilvl w:val="0"/>
          <w:numId w:val="23"/>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资格证明文件正本应为清晰彩色影印件且加盖单位公章。</w:t>
      </w:r>
    </w:p>
    <w:p>
      <w:pPr>
        <w:numPr>
          <w:ilvl w:val="0"/>
          <w:numId w:val="22"/>
        </w:numPr>
        <w:tabs>
          <w:tab w:val="left" w:pos="616"/>
        </w:tabs>
        <w:spacing w:line="360" w:lineRule="auto"/>
        <w:ind w:left="14" w:firstLine="238"/>
        <w:rPr>
          <w:rFonts w:ascii="宋体" w:hAnsi="宋体" w:eastAsia="宋体" w:cs="Times New Roman"/>
          <w:b/>
          <w:color w:val="000000" w:themeColor="text1"/>
          <w:sz w:val="24"/>
          <w:szCs w:val="24"/>
          <w:lang w:val="zh-CN"/>
        </w:rPr>
      </w:pPr>
      <w:r>
        <w:rPr>
          <w:rFonts w:hint="eastAsia" w:ascii="宋体" w:hAnsi="宋体" w:eastAsia="宋体" w:cs="Times New Roman"/>
          <w:b/>
          <w:color w:val="000000" w:themeColor="text1"/>
          <w:sz w:val="24"/>
          <w:szCs w:val="24"/>
          <w:lang w:val="zh-CN"/>
        </w:rPr>
        <w:t>确定资格审查合格投标人</w:t>
      </w:r>
    </w:p>
    <w:p>
      <w:pPr>
        <w:pStyle w:val="36"/>
        <w:numPr>
          <w:ilvl w:val="0"/>
          <w:numId w:val="25"/>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000000" w:themeColor="text1"/>
          <w:sz w:val="24"/>
          <w:szCs w:val="24"/>
          <w:lang w:val="zh-CN"/>
        </w:rPr>
        <w:t>形成书面的资格审查报告。</w:t>
      </w:r>
    </w:p>
    <w:p>
      <w:pPr>
        <w:pStyle w:val="36"/>
        <w:numPr>
          <w:ilvl w:val="0"/>
          <w:numId w:val="25"/>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资格审查合格投标人不足3家的，不进行评标。</w:t>
      </w:r>
    </w:p>
    <w:p>
      <w:pPr>
        <w:pStyle w:val="36"/>
        <w:numPr>
          <w:ilvl w:val="0"/>
          <w:numId w:val="25"/>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资格审查未通过的投标人可在结果公告质疑有效期内按公告中的联系方式获知</w:t>
      </w:r>
      <w:r>
        <w:rPr>
          <w:rFonts w:ascii="宋体" w:hAnsi="宋体" w:eastAsia="宋体" w:cs="Times New Roman"/>
          <w:color w:val="000000" w:themeColor="text1"/>
          <w:sz w:val="24"/>
          <w:szCs w:val="24"/>
          <w:lang w:val="zh-CN"/>
        </w:rPr>
        <w:t>本</w:t>
      </w:r>
      <w:r>
        <w:rPr>
          <w:rFonts w:hint="eastAsia" w:ascii="宋体" w:hAnsi="宋体" w:eastAsia="宋体" w:cs="Times New Roman"/>
          <w:color w:val="000000" w:themeColor="text1"/>
          <w:sz w:val="24"/>
          <w:szCs w:val="24"/>
          <w:lang w:val="zh-CN"/>
        </w:rPr>
        <w:t>单位</w:t>
      </w:r>
      <w:r>
        <w:rPr>
          <w:rFonts w:ascii="宋体" w:hAnsi="宋体" w:eastAsia="宋体" w:cs="Times New Roman"/>
          <w:color w:val="000000" w:themeColor="text1"/>
          <w:sz w:val="24"/>
          <w:szCs w:val="24"/>
          <w:lang w:val="zh-CN"/>
        </w:rPr>
        <w:t>的</w:t>
      </w:r>
      <w:r>
        <w:rPr>
          <w:rFonts w:hint="eastAsia" w:ascii="宋体" w:hAnsi="宋体" w:eastAsia="宋体" w:cs="Times New Roman"/>
          <w:color w:val="000000" w:themeColor="text1"/>
          <w:sz w:val="24"/>
          <w:szCs w:val="24"/>
          <w:lang w:val="zh-CN"/>
        </w:rPr>
        <w:t>资格审查情况。</w:t>
      </w:r>
    </w:p>
    <w:p>
      <w:pPr>
        <w:pStyle w:val="36"/>
        <w:numPr>
          <w:ilvl w:val="0"/>
          <w:numId w:val="25"/>
        </w:numPr>
        <w:tabs>
          <w:tab w:val="left" w:pos="840"/>
        </w:tabs>
        <w:spacing w:line="360" w:lineRule="auto"/>
        <w:ind w:hanging="602" w:firstLineChars="0"/>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采购人已进行资格预审的，不再进行资格审查。未通过资格预审的投标人，采购人、采购代理机构</w:t>
      </w:r>
      <w:r>
        <w:rPr>
          <w:rFonts w:hint="eastAsia" w:ascii="宋体" w:hAnsi="宋体" w:eastAsia="宋体" w:cs="Times New Roman"/>
          <w:b/>
          <w:color w:val="000000" w:themeColor="text1"/>
          <w:sz w:val="24"/>
          <w:szCs w:val="24"/>
          <w:lang w:val="zh-CN"/>
        </w:rPr>
        <w:t>拒绝</w:t>
      </w:r>
      <w:r>
        <w:rPr>
          <w:rFonts w:hint="eastAsia" w:ascii="宋体" w:hAnsi="宋体" w:eastAsia="宋体" w:cs="Times New Roman"/>
          <w:color w:val="000000" w:themeColor="text1"/>
          <w:sz w:val="24"/>
          <w:szCs w:val="24"/>
          <w:lang w:val="zh-CN"/>
        </w:rPr>
        <w:t>其投标。</w:t>
      </w:r>
    </w:p>
    <w:p>
      <w:pPr>
        <w:spacing w:line="360" w:lineRule="auto"/>
        <w:rPr>
          <w:color w:val="000000" w:themeColor="text1"/>
        </w:rPr>
      </w:pPr>
      <w:r>
        <w:rPr>
          <w:color w:val="000000" w:themeColor="text1"/>
        </w:rPr>
        <w:br w:type="page"/>
      </w:r>
    </w:p>
    <w:p>
      <w:pPr>
        <w:pStyle w:val="3"/>
        <w:numPr>
          <w:ilvl w:val="0"/>
          <w:numId w:val="1"/>
        </w:numPr>
        <w:spacing w:before="0" w:after="0" w:line="360" w:lineRule="auto"/>
        <w:jc w:val="center"/>
        <w:rPr>
          <w:rFonts w:ascii="黑体" w:hAnsi="黑体" w:eastAsia="黑体"/>
          <w:color w:val="000000" w:themeColor="text1"/>
        </w:rPr>
      </w:pPr>
      <w:bookmarkStart w:id="48" w:name="_Toc495861541"/>
      <w:r>
        <w:rPr>
          <w:rFonts w:hint="eastAsia" w:ascii="黑体" w:hAnsi="黑体" w:eastAsia="黑体"/>
          <w:color w:val="000000" w:themeColor="text1"/>
        </w:rPr>
        <w:t>评标方法、程序及标准</w:t>
      </w:r>
      <w:bookmarkEnd w:id="48"/>
    </w:p>
    <w:p>
      <w:pPr>
        <w:spacing w:line="360" w:lineRule="auto"/>
        <w:ind w:firstLine="480" w:firstLineChars="20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根据《政府采购法》、《政府采购法实施条例》、《政府采购货物和服务招标投标管理办法》等相关法律法规确定以下评标办法、程序及标准。</w:t>
      </w:r>
    </w:p>
    <w:p>
      <w:pPr>
        <w:pStyle w:val="4"/>
        <w:numPr>
          <w:ilvl w:val="0"/>
          <w:numId w:val="26"/>
        </w:numPr>
        <w:spacing w:before="0" w:after="0" w:line="360" w:lineRule="auto"/>
        <w:ind w:left="616" w:hanging="616"/>
        <w:jc w:val="left"/>
        <w:rPr>
          <w:rFonts w:cs="Times New Roman" w:asciiTheme="majorEastAsia" w:hAnsiTheme="majorEastAsia"/>
          <w:bCs w:val="0"/>
          <w:color w:val="000000" w:themeColor="text1"/>
          <w:sz w:val="30"/>
          <w:szCs w:val="30"/>
          <w:lang w:val="zh-CN"/>
        </w:rPr>
      </w:pPr>
      <w:bookmarkStart w:id="49" w:name="_Toc278891605"/>
      <w:bookmarkStart w:id="50" w:name="_Toc272247708"/>
      <w:bookmarkStart w:id="51" w:name="_Toc495861542"/>
      <w:bookmarkStart w:id="52" w:name="_Toc494561961"/>
      <w:r>
        <w:rPr>
          <w:rFonts w:hint="eastAsia" w:cs="Times New Roman" w:asciiTheme="majorEastAsia" w:hAnsiTheme="majorEastAsia"/>
          <w:bCs w:val="0"/>
          <w:color w:val="000000" w:themeColor="text1"/>
          <w:sz w:val="30"/>
          <w:szCs w:val="30"/>
          <w:lang w:val="zh-CN"/>
        </w:rPr>
        <w:t>评标</w:t>
      </w:r>
      <w:bookmarkEnd w:id="49"/>
      <w:bookmarkEnd w:id="50"/>
      <w:r>
        <w:rPr>
          <w:rFonts w:hint="eastAsia" w:cs="Times New Roman" w:asciiTheme="majorEastAsia" w:hAnsiTheme="majorEastAsia"/>
          <w:bCs w:val="0"/>
          <w:color w:val="000000" w:themeColor="text1"/>
          <w:sz w:val="30"/>
          <w:szCs w:val="30"/>
          <w:lang w:val="zh-CN"/>
        </w:rPr>
        <w:t>方法</w:t>
      </w:r>
      <w:bookmarkEnd w:id="51"/>
      <w:bookmarkEnd w:id="52"/>
    </w:p>
    <w:p>
      <w:pPr>
        <w:spacing w:line="360" w:lineRule="auto"/>
        <w:ind w:firstLine="480" w:firstLineChars="20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本项目评标采用综合评分法，</w:t>
      </w:r>
      <w:r>
        <w:rPr>
          <w:rFonts w:ascii="宋体" w:hAnsi="宋体" w:eastAsia="宋体" w:cs="Times New Roman"/>
          <w:bCs/>
          <w:color w:val="000000" w:themeColor="text1"/>
          <w:sz w:val="24"/>
          <w:szCs w:val="20"/>
          <w:lang w:val="zh-CN"/>
        </w:rPr>
        <w:t>是指投标文件满足招标文件全部实质性要求，且按照评审因素的量化指标评审得分最高的投标人为中标候选人的评标方法。</w:t>
      </w:r>
    </w:p>
    <w:p>
      <w:pPr>
        <w:pStyle w:val="4"/>
        <w:numPr>
          <w:ilvl w:val="0"/>
          <w:numId w:val="26"/>
        </w:numPr>
        <w:spacing w:before="0" w:after="0" w:line="360" w:lineRule="auto"/>
        <w:ind w:left="616" w:hanging="616"/>
        <w:jc w:val="left"/>
        <w:rPr>
          <w:rFonts w:cs="Times New Roman" w:asciiTheme="majorEastAsia" w:hAnsiTheme="majorEastAsia"/>
          <w:bCs w:val="0"/>
          <w:color w:val="000000" w:themeColor="text1"/>
          <w:sz w:val="30"/>
          <w:szCs w:val="30"/>
          <w:lang w:val="zh-CN"/>
        </w:rPr>
      </w:pPr>
      <w:bookmarkStart w:id="53" w:name="_Toc272247709"/>
      <w:bookmarkStart w:id="54" w:name="_Toc278891606"/>
      <w:bookmarkStart w:id="55" w:name="_Toc495861543"/>
      <w:bookmarkStart w:id="56" w:name="_Toc494561962"/>
      <w:r>
        <w:rPr>
          <w:rFonts w:hint="eastAsia" w:cs="Times New Roman" w:asciiTheme="majorEastAsia" w:hAnsiTheme="majorEastAsia"/>
          <w:bCs w:val="0"/>
          <w:color w:val="000000" w:themeColor="text1"/>
          <w:sz w:val="30"/>
          <w:szCs w:val="30"/>
          <w:lang w:val="zh-CN"/>
        </w:rPr>
        <w:t>评标程序</w:t>
      </w:r>
      <w:bookmarkEnd w:id="53"/>
      <w:bookmarkEnd w:id="54"/>
      <w:r>
        <w:rPr>
          <w:rFonts w:hint="eastAsia" w:cs="Times New Roman" w:asciiTheme="majorEastAsia" w:hAnsiTheme="majorEastAsia"/>
          <w:bCs w:val="0"/>
          <w:color w:val="000000" w:themeColor="text1"/>
          <w:sz w:val="30"/>
          <w:szCs w:val="30"/>
          <w:lang w:val="zh-CN"/>
        </w:rPr>
        <w:t>及标准</w:t>
      </w:r>
      <w:bookmarkEnd w:id="55"/>
      <w:bookmarkEnd w:id="56"/>
    </w:p>
    <w:p>
      <w:pPr>
        <w:spacing w:line="360" w:lineRule="auto"/>
        <w:ind w:firstLine="480" w:firstLineChars="20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评标委员会按以下工作程序进行评标：</w:t>
      </w:r>
      <w:r>
        <w:rPr>
          <w:rFonts w:hint="eastAsia" w:ascii="宋体" w:hAnsi="宋体" w:eastAsia="宋体" w:cs="Times New Roman"/>
          <w:color w:val="000000" w:themeColor="text1"/>
          <w:sz w:val="24"/>
          <w:szCs w:val="20"/>
          <w:lang w:val="zh-CN"/>
        </w:rPr>
        <w:t>符合性审查、澄清有关问题、综合比较和评价、确定中标候选人名单。</w:t>
      </w:r>
    </w:p>
    <w:p>
      <w:pPr>
        <w:numPr>
          <w:ilvl w:val="0"/>
          <w:numId w:val="27"/>
        </w:numPr>
        <w:spacing w:line="360" w:lineRule="auto"/>
        <w:ind w:left="1311" w:leftChars="154" w:hanging="988" w:hangingChars="353"/>
        <w:rPr>
          <w:rFonts w:ascii="宋体" w:hAnsi="宋体" w:eastAsia="宋体" w:cs="Times New Roman"/>
          <w:strike/>
          <w:color w:val="000000" w:themeColor="text1"/>
          <w:sz w:val="28"/>
          <w:szCs w:val="28"/>
          <w:lang w:val="zh-CN"/>
        </w:rPr>
      </w:pPr>
      <w:r>
        <w:rPr>
          <w:rFonts w:hint="eastAsia" w:ascii="宋体" w:hAnsi="宋体" w:eastAsia="宋体" w:cs="Times New Roman"/>
          <w:b/>
          <w:color w:val="000000" w:themeColor="text1"/>
          <w:sz w:val="28"/>
          <w:szCs w:val="28"/>
          <w:lang w:val="zh-CN"/>
        </w:rPr>
        <w:t>符合性审查</w:t>
      </w:r>
    </w:p>
    <w:p>
      <w:pPr>
        <w:spacing w:line="360" w:lineRule="auto"/>
        <w:ind w:firstLine="470" w:firstLineChars="196"/>
        <w:rPr>
          <w:rFonts w:ascii="宋体" w:hAnsi="宋体" w:eastAsia="宋体" w:cs="Times New Roman"/>
          <w:bCs/>
          <w:color w:val="000000" w:themeColor="text1"/>
          <w:sz w:val="24"/>
          <w:szCs w:val="20"/>
          <w:lang w:val="zh-CN"/>
        </w:rPr>
      </w:pPr>
      <w:r>
        <w:rPr>
          <w:rFonts w:ascii="Helvetica" w:hAnsi="Helvetica" w:eastAsia="宋体" w:cs="Helvetica"/>
          <w:color w:val="000000" w:themeColor="text1"/>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color w:val="000000" w:themeColor="text1"/>
          <w:sz w:val="24"/>
          <w:szCs w:val="20"/>
          <w:lang w:val="zh-CN"/>
        </w:rPr>
        <w:t>符合性审查出现下列情形之一的投标按照</w:t>
      </w:r>
      <w:r>
        <w:rPr>
          <w:rFonts w:hint="eastAsia" w:ascii="宋体" w:hAnsi="宋体" w:eastAsia="宋体" w:cs="Times New Roman"/>
          <w:b/>
          <w:bCs/>
          <w:color w:val="000000" w:themeColor="text1"/>
          <w:sz w:val="24"/>
          <w:szCs w:val="20"/>
          <w:lang w:val="zh-CN"/>
        </w:rPr>
        <w:t>无效投标处理</w:t>
      </w:r>
      <w:r>
        <w:rPr>
          <w:rFonts w:hint="eastAsia" w:ascii="宋体" w:hAnsi="宋体" w:eastAsia="宋体" w:cs="Times New Roman"/>
          <w:bCs/>
          <w:color w:val="000000" w:themeColor="text1"/>
          <w:sz w:val="24"/>
          <w:szCs w:val="20"/>
          <w:lang w:val="zh-CN"/>
        </w:rPr>
        <w:t>：</w:t>
      </w:r>
    </w:p>
    <w:p>
      <w:pPr>
        <w:numPr>
          <w:ilvl w:val="0"/>
          <w:numId w:val="28"/>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投标总报价超过项目（分包）预算金额或最高限价的；</w:t>
      </w:r>
    </w:p>
    <w:p>
      <w:pPr>
        <w:numPr>
          <w:ilvl w:val="0"/>
          <w:numId w:val="28"/>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《投标书》、《法定代表人授权书》、《开标一览表》、《投标报价明细表》未提供或不符合招标文件要求的；</w:t>
      </w:r>
    </w:p>
    <w:p>
      <w:pPr>
        <w:numPr>
          <w:ilvl w:val="0"/>
          <w:numId w:val="28"/>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工期（服务期限）、质保期不符合招标文件要求的；</w:t>
      </w:r>
    </w:p>
    <w:p>
      <w:pPr>
        <w:numPr>
          <w:ilvl w:val="0"/>
          <w:numId w:val="28"/>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投标保证金的交纳不符合招标文件要求的；</w:t>
      </w:r>
    </w:p>
    <w:p>
      <w:pPr>
        <w:numPr>
          <w:ilvl w:val="0"/>
          <w:numId w:val="28"/>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出现两个或两个以上不同报价的；</w:t>
      </w:r>
    </w:p>
    <w:p>
      <w:pPr>
        <w:numPr>
          <w:ilvl w:val="0"/>
          <w:numId w:val="28"/>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出现两个或两个以上投标方案的（招标文件中要求提供备选方案的除外）；</w:t>
      </w:r>
    </w:p>
    <w:p>
      <w:pPr>
        <w:numPr>
          <w:ilvl w:val="0"/>
          <w:numId w:val="28"/>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投标报价存在缺项、漏项的；</w:t>
      </w:r>
    </w:p>
    <w:p>
      <w:pPr>
        <w:numPr>
          <w:ilvl w:val="0"/>
          <w:numId w:val="28"/>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投标有效期不足的；</w:t>
      </w:r>
    </w:p>
    <w:p>
      <w:pPr>
        <w:numPr>
          <w:ilvl w:val="0"/>
          <w:numId w:val="28"/>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无法定代表人签字（签章）或签字（签章）人无法定代表人有效授权的；</w:t>
      </w:r>
    </w:p>
    <w:p>
      <w:pPr>
        <w:numPr>
          <w:ilvl w:val="0"/>
          <w:numId w:val="28"/>
        </w:numPr>
        <w:tabs>
          <w:tab w:val="left" w:pos="756"/>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正本未按要求提供加盖公章及签字（签章）原件的；</w:t>
      </w:r>
    </w:p>
    <w:p>
      <w:pPr>
        <w:numPr>
          <w:ilvl w:val="0"/>
          <w:numId w:val="28"/>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符合招标文件第二章“投标人须知”中40条中规定情形，以分公司形式参与投标的，法定代表人授权书未由总公司法定代表人签字（盖章）并加盖公章的；</w:t>
      </w:r>
    </w:p>
    <w:p>
      <w:pPr>
        <w:numPr>
          <w:ilvl w:val="0"/>
          <w:numId w:val="28"/>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未按要求提供招标文件第二章“十一其他注意事项”中规定的书面声明的；</w:t>
      </w:r>
    </w:p>
    <w:p>
      <w:pPr>
        <w:numPr>
          <w:ilvl w:val="0"/>
          <w:numId w:val="28"/>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28"/>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所投货物是通过中国海关报关验放进入中国境内且产自关境外的（招标文件中注明已办理进口产品核准的除外）；</w:t>
      </w:r>
    </w:p>
    <w:p>
      <w:pPr>
        <w:numPr>
          <w:ilvl w:val="0"/>
          <w:numId w:val="28"/>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未提供所投货物（工程或服务）的具体参数值或功能表述，或原文复制招标文件的技术规格相关部分内容作为其投标文件的一部分的；</w:t>
      </w:r>
    </w:p>
    <w:p>
      <w:pPr>
        <w:numPr>
          <w:ilvl w:val="0"/>
          <w:numId w:val="28"/>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不满足招标文件第三章“项目技术、服务和商务要求”的；</w:t>
      </w:r>
    </w:p>
    <w:p>
      <w:pPr>
        <w:numPr>
          <w:ilvl w:val="0"/>
          <w:numId w:val="28"/>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ascii="Times New Roman" w:hAnsi="宋体" w:eastAsia="宋体" w:cs="Times New Roman"/>
          <w:color w:val="000000" w:themeColor="text1"/>
          <w:sz w:val="24"/>
          <w:szCs w:val="24"/>
          <w:lang w:val="zh-CN"/>
        </w:rPr>
        <w:t>含有采购人不能接受的附加条件的</w:t>
      </w:r>
      <w:r>
        <w:rPr>
          <w:rFonts w:hint="eastAsia" w:ascii="Times New Roman" w:hAnsi="宋体" w:eastAsia="宋体" w:cs="Times New Roman"/>
          <w:color w:val="000000" w:themeColor="text1"/>
          <w:sz w:val="24"/>
          <w:szCs w:val="24"/>
          <w:lang w:val="zh-CN"/>
        </w:rPr>
        <w:t>；</w:t>
      </w:r>
    </w:p>
    <w:p>
      <w:pPr>
        <w:numPr>
          <w:ilvl w:val="0"/>
          <w:numId w:val="28"/>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未按要求提供《符合性审查对照表》、《商务要求响应、偏离说明表》；</w:t>
      </w:r>
    </w:p>
    <w:p>
      <w:pPr>
        <w:numPr>
          <w:ilvl w:val="0"/>
          <w:numId w:val="28"/>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ascii="Times New Roman" w:hAnsi="宋体" w:eastAsia="宋体" w:cs="Times New Roman"/>
          <w:color w:val="000000" w:themeColor="text1"/>
          <w:sz w:val="24"/>
          <w:szCs w:val="24"/>
          <w:lang w:val="zh-CN"/>
        </w:rPr>
        <w:t>法律、法规</w:t>
      </w:r>
      <w:r>
        <w:rPr>
          <w:rFonts w:hint="eastAsia" w:ascii="Times New Roman" w:hAnsi="宋体" w:eastAsia="宋体" w:cs="Times New Roman"/>
          <w:color w:val="000000" w:themeColor="text1"/>
          <w:sz w:val="24"/>
          <w:szCs w:val="24"/>
          <w:lang w:val="zh-CN"/>
        </w:rPr>
        <w:t>和招标文件</w:t>
      </w:r>
      <w:r>
        <w:rPr>
          <w:rFonts w:ascii="Times New Roman" w:hAnsi="宋体" w:eastAsia="宋体" w:cs="Times New Roman"/>
          <w:color w:val="000000" w:themeColor="text1"/>
          <w:sz w:val="24"/>
          <w:szCs w:val="24"/>
          <w:lang w:val="zh-CN"/>
        </w:rPr>
        <w:t>规定的其他</w:t>
      </w:r>
      <w:r>
        <w:rPr>
          <w:rFonts w:hint="eastAsia" w:ascii="Times New Roman" w:hAnsi="宋体" w:eastAsia="宋体" w:cs="Times New Roman"/>
          <w:color w:val="000000" w:themeColor="text1"/>
          <w:sz w:val="24"/>
          <w:szCs w:val="24"/>
          <w:lang w:val="zh-CN"/>
        </w:rPr>
        <w:t>无效投标</w:t>
      </w:r>
      <w:r>
        <w:rPr>
          <w:rFonts w:ascii="Times New Roman" w:hAnsi="宋体" w:eastAsia="宋体" w:cs="Times New Roman"/>
          <w:color w:val="000000" w:themeColor="text1"/>
          <w:sz w:val="24"/>
          <w:szCs w:val="24"/>
          <w:lang w:val="zh-CN"/>
        </w:rPr>
        <w:t>情形。</w:t>
      </w:r>
    </w:p>
    <w:p>
      <w:pPr>
        <w:numPr>
          <w:ilvl w:val="0"/>
          <w:numId w:val="27"/>
        </w:numPr>
        <w:spacing w:line="360" w:lineRule="auto"/>
        <w:ind w:left="1311" w:leftChars="154" w:hanging="988" w:hangingChars="353"/>
        <w:rPr>
          <w:rFonts w:ascii="宋体" w:hAnsi="宋体" w:eastAsia="宋体" w:cs="Times New Roman"/>
          <w:b/>
          <w:color w:val="000000" w:themeColor="text1"/>
          <w:sz w:val="28"/>
          <w:szCs w:val="28"/>
          <w:lang w:val="zh-CN"/>
        </w:rPr>
      </w:pPr>
      <w:r>
        <w:rPr>
          <w:rFonts w:hint="eastAsia" w:ascii="宋体" w:hAnsi="宋体" w:eastAsia="宋体" w:cs="Times New Roman"/>
          <w:b/>
          <w:color w:val="000000" w:themeColor="text1"/>
          <w:sz w:val="28"/>
          <w:szCs w:val="28"/>
          <w:lang w:val="zh-CN"/>
        </w:rPr>
        <w:t>澄清有关问题</w:t>
      </w:r>
    </w:p>
    <w:p>
      <w:pPr>
        <w:numPr>
          <w:ilvl w:val="0"/>
          <w:numId w:val="29"/>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评标期间，</w:t>
      </w:r>
      <w:r>
        <w:rPr>
          <w:rFonts w:ascii="Helvetica" w:hAnsi="Helvetica" w:eastAsia="宋体" w:cs="Helvetica"/>
          <w:color w:val="000000" w:themeColor="text1"/>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29"/>
        </w:numPr>
        <w:tabs>
          <w:tab w:val="left" w:pos="616"/>
        </w:tabs>
        <w:spacing w:line="360" w:lineRule="auto"/>
        <w:ind w:left="10" w:leftChars="5" w:firstLine="237" w:firstLineChars="99"/>
        <w:rPr>
          <w:rFonts w:ascii="宋体" w:hAnsi="宋体" w:eastAsia="宋体" w:cs="Times New Roman"/>
          <w:bCs/>
          <w:strike/>
          <w:color w:val="000000" w:themeColor="text1"/>
          <w:sz w:val="24"/>
          <w:szCs w:val="20"/>
          <w:lang w:val="zh-CN"/>
        </w:rPr>
      </w:pPr>
      <w:r>
        <w:rPr>
          <w:rFonts w:hint="eastAsia" w:ascii="宋体" w:hAnsi="宋体" w:eastAsia="宋体" w:cs="Times New Roman"/>
          <w:bCs/>
          <w:color w:val="000000" w:themeColor="text1"/>
          <w:sz w:val="24"/>
          <w:szCs w:val="20"/>
          <w:lang w:val="zh-CN"/>
        </w:rPr>
        <w:t>投标人应按照评标委员会要求的澄清内容在规定时间内做出澄清。</w:t>
      </w:r>
      <w:r>
        <w:rPr>
          <w:rFonts w:ascii="宋体" w:hAnsi="宋体" w:eastAsia="宋体" w:cs="Times New Roman"/>
          <w:color w:val="000000" w:themeColor="text1"/>
          <w:sz w:val="24"/>
          <w:szCs w:val="20"/>
          <w:lang w:val="zh-CN"/>
        </w:rPr>
        <w:t>投标文件报价出现前后不一致的</w:t>
      </w:r>
      <w:r>
        <w:rPr>
          <w:rFonts w:hint="eastAsia" w:ascii="宋体" w:hAnsi="宋体" w:eastAsia="宋体" w:cs="Times New Roman"/>
          <w:color w:val="000000" w:themeColor="text1"/>
          <w:sz w:val="24"/>
          <w:szCs w:val="20"/>
          <w:lang w:val="zh-CN"/>
        </w:rPr>
        <w:t>，按照本节第3</w:t>
      </w:r>
      <w:r>
        <w:rPr>
          <w:rFonts w:hint="eastAsia" w:ascii="宋体" w:hAnsi="宋体" w:eastAsia="宋体" w:cs="Times New Roman"/>
          <w:bCs/>
          <w:color w:val="000000" w:themeColor="text1"/>
          <w:sz w:val="24"/>
          <w:szCs w:val="20"/>
          <w:lang w:val="zh-CN"/>
        </w:rPr>
        <w:t>条规定进行修正，</w:t>
      </w:r>
      <w:r>
        <w:rPr>
          <w:rFonts w:ascii="Helvetica" w:hAnsi="Helvetica" w:eastAsia="宋体" w:cs="Helvetica"/>
          <w:color w:val="000000" w:themeColor="text1"/>
          <w:kern w:val="0"/>
          <w:sz w:val="24"/>
          <w:szCs w:val="24"/>
          <w:lang w:val="zh-CN"/>
        </w:rPr>
        <w:t>投标人的澄清、说明或者补正不得超出投标文件的范围或者改变投标文件的实质性内容。</w:t>
      </w:r>
    </w:p>
    <w:p>
      <w:pPr>
        <w:numPr>
          <w:ilvl w:val="0"/>
          <w:numId w:val="29"/>
        </w:numPr>
        <w:tabs>
          <w:tab w:val="left" w:pos="616"/>
        </w:tabs>
        <w:spacing w:line="360" w:lineRule="auto"/>
        <w:ind w:left="10" w:leftChars="5" w:firstLine="237" w:firstLineChars="99"/>
        <w:rPr>
          <w:rFonts w:ascii="宋体" w:hAnsi="宋体" w:eastAsia="宋体" w:cs="Times New Roman"/>
          <w:bCs/>
          <w:color w:val="000000" w:themeColor="text1"/>
          <w:sz w:val="24"/>
          <w:szCs w:val="20"/>
          <w:lang w:val="zh-CN"/>
        </w:rPr>
      </w:pPr>
      <w:r>
        <w:rPr>
          <w:rFonts w:ascii="宋体" w:hAnsi="宋体" w:eastAsia="宋体" w:cs="Times New Roman"/>
          <w:bCs/>
          <w:color w:val="000000" w:themeColor="text1"/>
          <w:sz w:val="24"/>
          <w:szCs w:val="20"/>
          <w:lang w:val="zh-CN"/>
        </w:rPr>
        <w:t>投标文件报价出现前后不一致的，按照下列规定修正：</w:t>
      </w:r>
    </w:p>
    <w:p>
      <w:pPr>
        <w:numPr>
          <w:ilvl w:val="0"/>
          <w:numId w:val="30"/>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投标文件中开标一览表内容与投标文件中相应内容不一致的，以开标一览表为准</w:t>
      </w:r>
      <w:r>
        <w:rPr>
          <w:rFonts w:hint="eastAsia" w:ascii="宋体" w:hAnsi="宋体" w:eastAsia="宋体" w:cs="Times New Roman"/>
          <w:color w:val="000000" w:themeColor="text1"/>
          <w:sz w:val="24"/>
          <w:szCs w:val="24"/>
          <w:lang w:val="zh-CN"/>
        </w:rPr>
        <w:t>。</w:t>
      </w:r>
    </w:p>
    <w:p>
      <w:pPr>
        <w:numPr>
          <w:ilvl w:val="0"/>
          <w:numId w:val="30"/>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大写金额和小写金额不一致的，以大写金额为准</w:t>
      </w:r>
      <w:r>
        <w:rPr>
          <w:rFonts w:hint="eastAsia" w:ascii="宋体" w:hAnsi="宋体" w:eastAsia="宋体" w:cs="Times New Roman"/>
          <w:color w:val="000000" w:themeColor="text1"/>
          <w:sz w:val="24"/>
          <w:szCs w:val="24"/>
          <w:lang w:val="zh-CN"/>
        </w:rPr>
        <w:t>。</w:t>
      </w:r>
    </w:p>
    <w:p>
      <w:pPr>
        <w:numPr>
          <w:ilvl w:val="0"/>
          <w:numId w:val="30"/>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单价金额小数点或者百分比有明显错位的，以开标一览表的总价为准，并修改单价</w:t>
      </w:r>
      <w:r>
        <w:rPr>
          <w:rFonts w:hint="eastAsia" w:ascii="宋体" w:hAnsi="宋体" w:eastAsia="宋体" w:cs="Times New Roman"/>
          <w:color w:val="000000" w:themeColor="text1"/>
          <w:sz w:val="24"/>
          <w:szCs w:val="24"/>
          <w:lang w:val="zh-CN"/>
        </w:rPr>
        <w:t>。</w:t>
      </w:r>
    </w:p>
    <w:p>
      <w:pPr>
        <w:numPr>
          <w:ilvl w:val="0"/>
          <w:numId w:val="30"/>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总价金额与按单价汇总金额不一致的，以单价金额计算结果为准</w:t>
      </w:r>
      <w:r>
        <w:rPr>
          <w:rFonts w:hint="eastAsia" w:ascii="宋体" w:hAnsi="宋体" w:eastAsia="宋体" w:cs="Times New Roman"/>
          <w:color w:val="000000" w:themeColor="text1"/>
          <w:sz w:val="24"/>
          <w:szCs w:val="24"/>
          <w:lang w:val="zh-CN"/>
        </w:rPr>
        <w:t>。</w:t>
      </w:r>
    </w:p>
    <w:p>
      <w:pPr>
        <w:numPr>
          <w:ilvl w:val="0"/>
          <w:numId w:val="30"/>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同时出现两种以上不一致的，按照前款规定的顺序修正</w:t>
      </w:r>
      <w:r>
        <w:rPr>
          <w:rFonts w:hint="eastAsia" w:ascii="宋体" w:hAnsi="宋体" w:eastAsia="宋体" w:cs="Times New Roman"/>
          <w:color w:val="000000" w:themeColor="text1"/>
          <w:sz w:val="24"/>
          <w:szCs w:val="24"/>
          <w:lang w:val="zh-CN"/>
        </w:rPr>
        <w:t>。</w:t>
      </w:r>
    </w:p>
    <w:p>
      <w:pPr>
        <w:numPr>
          <w:ilvl w:val="0"/>
          <w:numId w:val="30"/>
        </w:numPr>
        <w:adjustRightInd w:val="0"/>
        <w:spacing w:line="360" w:lineRule="auto"/>
        <w:ind w:left="742" w:hanging="493"/>
        <w:rPr>
          <w:rFonts w:ascii="宋体" w:hAnsi="宋体" w:eastAsia="宋体" w:cs="Times New Roman"/>
          <w:color w:val="000000" w:themeColor="text1"/>
          <w:sz w:val="24"/>
          <w:szCs w:val="24"/>
          <w:lang w:val="zh-CN"/>
        </w:rPr>
      </w:pPr>
      <w:r>
        <w:rPr>
          <w:rFonts w:ascii="宋体" w:hAnsi="宋体" w:eastAsia="宋体" w:cs="Times New Roman"/>
          <w:color w:val="000000" w:themeColor="text1"/>
          <w:sz w:val="24"/>
          <w:szCs w:val="24"/>
          <w:lang w:val="zh-CN"/>
        </w:rPr>
        <w:t>修正后的报价按照</w:t>
      </w:r>
      <w:r>
        <w:rPr>
          <w:rFonts w:hint="eastAsia" w:ascii="宋体" w:hAnsi="宋体" w:eastAsia="宋体" w:cs="Times New Roman"/>
          <w:color w:val="000000" w:themeColor="text1"/>
          <w:sz w:val="24"/>
          <w:szCs w:val="24"/>
          <w:lang w:val="zh-CN"/>
        </w:rPr>
        <w:t>本节第4条规定</w:t>
      </w:r>
      <w:r>
        <w:rPr>
          <w:rFonts w:ascii="宋体" w:hAnsi="宋体" w:eastAsia="宋体" w:cs="Times New Roman"/>
          <w:color w:val="000000" w:themeColor="text1"/>
          <w:sz w:val="24"/>
          <w:szCs w:val="24"/>
          <w:lang w:val="zh-CN"/>
        </w:rPr>
        <w:t>经投标人确认后产生约束力，投标人不确认的，</w:t>
      </w:r>
      <w:r>
        <w:rPr>
          <w:rFonts w:hint="eastAsia" w:ascii="宋体" w:hAnsi="宋体" w:eastAsia="宋体" w:cs="Times New Roman"/>
          <w:color w:val="000000" w:themeColor="text1"/>
          <w:sz w:val="24"/>
          <w:szCs w:val="24"/>
          <w:lang w:val="zh-CN"/>
        </w:rPr>
        <w:t>按照</w:t>
      </w:r>
      <w:r>
        <w:rPr>
          <w:rFonts w:ascii="宋体" w:hAnsi="宋体" w:eastAsia="宋体" w:cs="Times New Roman"/>
          <w:b/>
          <w:color w:val="000000" w:themeColor="text1"/>
          <w:sz w:val="24"/>
          <w:szCs w:val="24"/>
          <w:lang w:val="zh-CN"/>
        </w:rPr>
        <w:t>无效</w:t>
      </w:r>
      <w:r>
        <w:rPr>
          <w:rFonts w:hint="eastAsia" w:ascii="宋体" w:hAnsi="宋体" w:eastAsia="宋体" w:cs="Times New Roman"/>
          <w:b/>
          <w:color w:val="000000" w:themeColor="text1"/>
          <w:sz w:val="24"/>
          <w:szCs w:val="24"/>
          <w:lang w:val="zh-CN"/>
        </w:rPr>
        <w:t>投标处理</w:t>
      </w:r>
      <w:r>
        <w:rPr>
          <w:rFonts w:ascii="宋体" w:hAnsi="宋体" w:eastAsia="宋体" w:cs="Times New Roman"/>
          <w:color w:val="000000" w:themeColor="text1"/>
          <w:sz w:val="24"/>
          <w:szCs w:val="24"/>
          <w:lang w:val="zh-CN"/>
        </w:rPr>
        <w:t>。</w:t>
      </w:r>
    </w:p>
    <w:p>
      <w:pPr>
        <w:numPr>
          <w:ilvl w:val="0"/>
          <w:numId w:val="29"/>
        </w:numPr>
        <w:tabs>
          <w:tab w:val="left" w:pos="616"/>
        </w:tabs>
        <w:spacing w:line="360" w:lineRule="auto"/>
        <w:ind w:left="10" w:leftChars="5" w:firstLine="237" w:firstLineChars="99"/>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sz w:val="24"/>
          <w:szCs w:val="20"/>
          <w:lang w:val="zh-CN"/>
        </w:rPr>
        <w:t>投标人的</w:t>
      </w:r>
      <w:r>
        <w:rPr>
          <w:rFonts w:ascii="Helvetica" w:hAnsi="Helvetica" w:eastAsia="宋体" w:cs="Helvetica"/>
          <w:color w:val="000000" w:themeColor="text1"/>
          <w:kern w:val="0"/>
          <w:sz w:val="24"/>
          <w:szCs w:val="24"/>
          <w:lang w:val="zh-CN"/>
        </w:rPr>
        <w:t>澄清、说明或者补正</w:t>
      </w:r>
      <w:r>
        <w:rPr>
          <w:rFonts w:hint="eastAsia" w:ascii="宋体" w:hAnsi="宋体" w:eastAsia="宋体" w:cs="Times New Roman"/>
          <w:color w:val="000000" w:themeColor="text1"/>
          <w:sz w:val="24"/>
          <w:szCs w:val="20"/>
          <w:lang w:val="zh-CN"/>
        </w:rPr>
        <w:t>是其投标文件的有效组成部分。</w:t>
      </w:r>
      <w:r>
        <w:rPr>
          <w:rFonts w:ascii="Helvetica" w:hAnsi="Helvetica" w:eastAsia="宋体" w:cs="Helvetica"/>
          <w:color w:val="000000" w:themeColor="text1"/>
          <w:kern w:val="0"/>
          <w:sz w:val="24"/>
          <w:szCs w:val="24"/>
          <w:lang w:val="zh-CN"/>
        </w:rPr>
        <w:t>投标人的澄清、说明或者补正应当采用书面形式，并加盖公章，或者由法定代表人或其授权的代表签字。</w:t>
      </w:r>
    </w:p>
    <w:p>
      <w:pPr>
        <w:numPr>
          <w:ilvl w:val="0"/>
          <w:numId w:val="27"/>
        </w:numPr>
        <w:spacing w:line="360" w:lineRule="auto"/>
        <w:ind w:left="1311" w:leftChars="154" w:hanging="988" w:hangingChars="353"/>
        <w:rPr>
          <w:rFonts w:ascii="宋体" w:hAnsi="宋体" w:eastAsia="宋体" w:cs="Times New Roman"/>
          <w:b/>
          <w:color w:val="000000" w:themeColor="text1"/>
          <w:sz w:val="28"/>
          <w:szCs w:val="28"/>
          <w:lang w:val="zh-CN"/>
        </w:rPr>
      </w:pPr>
      <w:r>
        <w:rPr>
          <w:rFonts w:hint="eastAsia" w:ascii="宋体" w:hAnsi="宋体" w:eastAsia="宋体" w:cs="Times New Roman"/>
          <w:b/>
          <w:color w:val="000000" w:themeColor="text1"/>
          <w:sz w:val="28"/>
          <w:szCs w:val="28"/>
          <w:lang w:val="zh-CN"/>
        </w:rPr>
        <w:t>综合比较与评价</w:t>
      </w:r>
    </w:p>
    <w:p>
      <w:pPr>
        <w:spacing w:line="360" w:lineRule="auto"/>
        <w:ind w:firstLine="480" w:firstLineChars="200"/>
        <w:rPr>
          <w:rFonts w:ascii="宋体" w:hAnsi="宋体" w:eastAsia="宋体" w:cs="Times New Roman"/>
          <w:bCs/>
          <w:color w:val="000000" w:themeColor="text1"/>
          <w:sz w:val="24"/>
          <w:szCs w:val="20"/>
          <w:lang w:val="zh-CN"/>
        </w:rPr>
      </w:pPr>
      <w:r>
        <w:rPr>
          <w:rFonts w:ascii="宋体" w:hAnsi="宋体" w:eastAsia="宋体" w:cs="Times New Roman"/>
          <w:bCs/>
          <w:color w:val="000000" w:themeColor="text1"/>
          <w:sz w:val="24"/>
          <w:szCs w:val="20"/>
          <w:lang w:val="zh-CN"/>
        </w:rPr>
        <w:t>评标委员会应当按照</w:t>
      </w:r>
      <w:r>
        <w:rPr>
          <w:rFonts w:hint="eastAsia" w:ascii="宋体" w:hAnsi="宋体" w:eastAsia="宋体" w:cs="Times New Roman"/>
          <w:bCs/>
          <w:color w:val="000000" w:themeColor="text1"/>
          <w:sz w:val="24"/>
          <w:szCs w:val="20"/>
          <w:lang w:val="zh-CN"/>
        </w:rPr>
        <w:t>本章</w:t>
      </w:r>
      <w:r>
        <w:rPr>
          <w:rFonts w:ascii="宋体" w:hAnsi="宋体" w:eastAsia="宋体" w:cs="Times New Roman"/>
          <w:bCs/>
          <w:color w:val="000000" w:themeColor="text1"/>
          <w:sz w:val="24"/>
          <w:szCs w:val="20"/>
          <w:lang w:val="zh-CN"/>
        </w:rPr>
        <w:t>中规定的</w:t>
      </w:r>
      <w:r>
        <w:rPr>
          <w:rFonts w:hint="eastAsia" w:ascii="宋体" w:hAnsi="宋体" w:eastAsia="宋体" w:cs="Times New Roman"/>
          <w:bCs/>
          <w:color w:val="000000" w:themeColor="text1"/>
          <w:sz w:val="24"/>
          <w:szCs w:val="20"/>
          <w:lang w:val="zh-CN"/>
        </w:rPr>
        <w:t>评标方法和标准</w:t>
      </w:r>
      <w:r>
        <w:rPr>
          <w:rFonts w:ascii="宋体" w:hAnsi="宋体" w:eastAsia="宋体" w:cs="Times New Roman"/>
          <w:bCs/>
          <w:color w:val="000000" w:themeColor="text1"/>
          <w:sz w:val="24"/>
          <w:szCs w:val="20"/>
          <w:lang w:val="zh-CN"/>
        </w:rPr>
        <w:t>，对符合性审查合格的投标文件进行商务和技术</w:t>
      </w:r>
      <w:r>
        <w:rPr>
          <w:rFonts w:hint="eastAsia" w:ascii="宋体" w:hAnsi="宋体" w:eastAsia="宋体" w:cs="Times New Roman"/>
          <w:bCs/>
          <w:color w:val="000000" w:themeColor="text1"/>
          <w:sz w:val="24"/>
          <w:szCs w:val="20"/>
          <w:lang w:val="zh-CN"/>
        </w:rPr>
        <w:t>、服务</w:t>
      </w:r>
      <w:r>
        <w:rPr>
          <w:rFonts w:ascii="宋体" w:hAnsi="宋体" w:eastAsia="宋体" w:cs="Times New Roman"/>
          <w:bCs/>
          <w:color w:val="000000" w:themeColor="text1"/>
          <w:sz w:val="24"/>
          <w:szCs w:val="20"/>
          <w:lang w:val="zh-CN"/>
        </w:rPr>
        <w:t>评估，综合比较与评价。</w:t>
      </w:r>
    </w:p>
    <w:p>
      <w:pPr>
        <w:numPr>
          <w:ilvl w:val="0"/>
          <w:numId w:val="31"/>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rPr>
      </w:pPr>
      <w:r>
        <w:rPr>
          <w:rFonts w:hint="eastAsia" w:ascii="宋体" w:hAnsi="宋体" w:eastAsia="宋体" w:cs="Times New Roman"/>
          <w:b/>
          <w:bCs/>
          <w:color w:val="000000" w:themeColor="text1"/>
          <w:sz w:val="24"/>
          <w:szCs w:val="20"/>
          <w:lang w:val="zh-CN"/>
        </w:rPr>
        <w:t>商务评议</w:t>
      </w:r>
    </w:p>
    <w:p>
      <w:pPr>
        <w:spacing w:line="360" w:lineRule="auto"/>
        <w:ind w:firstLine="480" w:firstLineChars="200"/>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评标委员会对符合性审查合格的投标文件进行评议，并依据本章“评审因素及评分标准”中的商务评议进行综合比较和评分。</w:t>
      </w:r>
    </w:p>
    <w:p>
      <w:pPr>
        <w:numPr>
          <w:ilvl w:val="0"/>
          <w:numId w:val="31"/>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rPr>
      </w:pPr>
      <w:r>
        <w:rPr>
          <w:rFonts w:hint="eastAsia" w:ascii="宋体" w:hAnsi="宋体" w:eastAsia="宋体" w:cs="Times New Roman"/>
          <w:b/>
          <w:bCs/>
          <w:color w:val="000000" w:themeColor="text1"/>
          <w:sz w:val="24"/>
          <w:szCs w:val="20"/>
          <w:lang w:val="zh-CN"/>
        </w:rPr>
        <w:t>技术、服务评议</w:t>
      </w:r>
    </w:p>
    <w:p>
      <w:pPr>
        <w:spacing w:line="360" w:lineRule="auto"/>
        <w:ind w:firstLine="480" w:firstLineChars="200"/>
        <w:rPr>
          <w:rFonts w:ascii="宋体" w:hAnsi="宋体" w:eastAsia="宋体" w:cs="Times New Roman"/>
          <w:color w:val="000000" w:themeColor="text1"/>
          <w:kern w:val="0"/>
          <w:sz w:val="24"/>
          <w:szCs w:val="20"/>
          <w:lang w:val="zh-CN"/>
        </w:rPr>
      </w:pPr>
      <w:r>
        <w:rPr>
          <w:rFonts w:hint="eastAsia" w:ascii="宋体" w:hAnsi="宋体" w:eastAsia="宋体" w:cs="Times New Roman"/>
          <w:bCs/>
          <w:color w:val="000000" w:themeColor="text1"/>
          <w:sz w:val="24"/>
          <w:szCs w:val="20"/>
          <w:lang w:val="zh-CN"/>
        </w:rPr>
        <w:t>评标委员会对符合性审查合格的投标文件进行评议，并依据本章“评审因素及评分标准”中的技术、服务评议进行综合比较和评分。</w:t>
      </w:r>
    </w:p>
    <w:p>
      <w:pPr>
        <w:numPr>
          <w:ilvl w:val="0"/>
          <w:numId w:val="31"/>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rPr>
      </w:pPr>
      <w:r>
        <w:rPr>
          <w:rFonts w:hint="eastAsia" w:ascii="宋体" w:hAnsi="宋体" w:eastAsia="宋体" w:cs="Times New Roman"/>
          <w:b/>
          <w:bCs/>
          <w:color w:val="000000" w:themeColor="text1"/>
          <w:sz w:val="24"/>
          <w:szCs w:val="20"/>
          <w:lang w:val="zh-CN"/>
        </w:rPr>
        <w:t>价格评议</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评标委员会对符合性审查合格的投标文件进行价格评议（</w:t>
      </w:r>
      <w:r>
        <w:rPr>
          <w:rFonts w:hint="eastAsia" w:ascii="宋体" w:hAnsi="宋体" w:eastAsia="宋体" w:cs="Times New Roman"/>
          <w:bCs/>
          <w:color w:val="000000" w:themeColor="text1"/>
          <w:sz w:val="24"/>
          <w:szCs w:val="21"/>
          <w:lang w:val="zh-CN"/>
        </w:rPr>
        <w:t>执行国家统一定价标准和采用固定价格采购的项目，其价格不列为评审因素</w:t>
      </w:r>
      <w:r>
        <w:rPr>
          <w:rFonts w:hint="eastAsia" w:ascii="宋体" w:hAnsi="宋体" w:eastAsia="宋体" w:cs="Times New Roman"/>
          <w:bCs/>
          <w:color w:val="000000" w:themeColor="text1"/>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32"/>
        </w:numPr>
        <w:adjustRightInd w:val="0"/>
        <w:spacing w:line="360" w:lineRule="auto"/>
        <w:ind w:left="742" w:hanging="493"/>
        <w:rPr>
          <w:rFonts w:ascii="宋体" w:hAnsi="宋体" w:eastAsia="宋体" w:cs="Times New Roman"/>
          <w:bCs/>
          <w:color w:val="000000" w:themeColor="text1"/>
          <w:sz w:val="24"/>
          <w:szCs w:val="21"/>
          <w:lang w:val="zh-CN"/>
        </w:rPr>
      </w:pPr>
      <w:r>
        <w:rPr>
          <w:rFonts w:hint="eastAsia" w:ascii="宋体" w:hAnsi="宋体" w:eastAsia="宋体" w:cs="Times New Roman"/>
          <w:b/>
          <w:color w:val="000000" w:themeColor="text1"/>
          <w:sz w:val="24"/>
          <w:szCs w:val="24"/>
          <w:lang w:val="zh-CN"/>
        </w:rPr>
        <w:t>报价合理性说明：</w:t>
      </w:r>
      <w:r>
        <w:rPr>
          <w:rFonts w:ascii="宋体" w:hAnsi="宋体" w:eastAsia="宋体" w:cs="Helvetica"/>
          <w:color w:val="000000" w:themeColor="text1"/>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000000" w:themeColor="text1"/>
          <w:kern w:val="0"/>
          <w:sz w:val="24"/>
          <w:szCs w:val="24"/>
          <w:lang w:val="zh-CN"/>
        </w:rPr>
        <w:t>应当将其作为</w:t>
      </w:r>
      <w:r>
        <w:rPr>
          <w:rFonts w:ascii="宋体" w:hAnsi="宋体" w:eastAsia="宋体" w:cs="Helvetica"/>
          <w:b/>
          <w:color w:val="000000" w:themeColor="text1"/>
          <w:kern w:val="0"/>
          <w:sz w:val="24"/>
          <w:szCs w:val="24"/>
          <w:lang w:val="zh-CN"/>
        </w:rPr>
        <w:t>无效投标处理</w:t>
      </w:r>
      <w:r>
        <w:rPr>
          <w:rFonts w:ascii="宋体" w:hAnsi="宋体" w:eastAsia="宋体" w:cs="Helvetica"/>
          <w:color w:val="000000" w:themeColor="text1"/>
          <w:kern w:val="0"/>
          <w:sz w:val="24"/>
          <w:szCs w:val="24"/>
          <w:lang w:val="zh-CN"/>
        </w:rPr>
        <w:t>。</w:t>
      </w:r>
    </w:p>
    <w:p>
      <w:pPr>
        <w:numPr>
          <w:ilvl w:val="0"/>
          <w:numId w:val="32"/>
        </w:numPr>
        <w:adjustRightInd w:val="0"/>
        <w:spacing w:line="360" w:lineRule="auto"/>
        <w:ind w:left="742" w:hanging="493"/>
        <w:rPr>
          <w:rFonts w:ascii="宋体" w:hAnsi="宋体" w:eastAsia="宋体" w:cs="Times New Roman"/>
          <w:b/>
          <w:color w:val="000000" w:themeColor="text1"/>
          <w:sz w:val="24"/>
          <w:szCs w:val="24"/>
          <w:lang w:val="zh-CN"/>
        </w:rPr>
      </w:pPr>
      <w:r>
        <w:rPr>
          <w:rFonts w:hint="eastAsia" w:ascii="宋体" w:hAnsi="宋体" w:eastAsia="宋体" w:cs="Times New Roman"/>
          <w:b/>
          <w:color w:val="000000" w:themeColor="text1"/>
          <w:sz w:val="24"/>
          <w:szCs w:val="24"/>
          <w:lang w:val="zh-CN"/>
        </w:rPr>
        <w:t>小型和微型企业、监狱企业、残疾人福利性单位价格扣除：</w:t>
      </w:r>
    </w:p>
    <w:p>
      <w:pPr>
        <w:numPr>
          <w:ilvl w:val="0"/>
          <w:numId w:val="33"/>
        </w:numPr>
        <w:spacing w:line="360" w:lineRule="auto"/>
        <w:ind w:left="1134" w:hanging="756"/>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color w:val="000000" w:themeColor="text1"/>
          <w:sz w:val="24"/>
          <w:szCs w:val="20"/>
          <w:lang w:val="zh-CN"/>
        </w:rPr>
        <w:t>6%</w:t>
      </w:r>
      <w:r>
        <w:rPr>
          <w:rFonts w:hint="eastAsia" w:ascii="宋体" w:hAnsi="宋体" w:eastAsia="宋体" w:cs="Times New Roman"/>
          <w:bCs/>
          <w:color w:val="000000" w:themeColor="text1"/>
          <w:sz w:val="24"/>
          <w:szCs w:val="20"/>
          <w:lang w:val="zh-CN"/>
        </w:rPr>
        <w:t>的扣除，用扣除后的价格参与评审。</w:t>
      </w:r>
    </w:p>
    <w:p>
      <w:pPr>
        <w:numPr>
          <w:ilvl w:val="0"/>
          <w:numId w:val="33"/>
        </w:numPr>
        <w:spacing w:line="360" w:lineRule="auto"/>
        <w:ind w:left="1134" w:hanging="756"/>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非专门面向中小企业的工程、服务类采购项目，投标人是小型和微型企业的价格给予</w:t>
      </w:r>
      <w:r>
        <w:rPr>
          <w:rFonts w:hint="eastAsia" w:ascii="宋体" w:hAnsi="宋体" w:eastAsia="宋体" w:cs="Times New Roman"/>
          <w:b/>
          <w:bCs/>
          <w:color w:val="000000" w:themeColor="text1"/>
          <w:sz w:val="24"/>
          <w:szCs w:val="20"/>
          <w:lang w:val="zh-CN"/>
        </w:rPr>
        <w:t>6%</w:t>
      </w:r>
      <w:r>
        <w:rPr>
          <w:rFonts w:hint="eastAsia" w:ascii="宋体" w:hAnsi="宋体" w:eastAsia="宋体" w:cs="Times New Roman"/>
          <w:bCs/>
          <w:color w:val="000000" w:themeColor="text1"/>
          <w:sz w:val="24"/>
          <w:szCs w:val="20"/>
          <w:lang w:val="zh-CN"/>
        </w:rPr>
        <w:t>的扣除，用扣除后的价格参与评审。</w:t>
      </w:r>
    </w:p>
    <w:p>
      <w:pPr>
        <w:numPr>
          <w:ilvl w:val="0"/>
          <w:numId w:val="33"/>
        </w:numPr>
        <w:spacing w:line="360" w:lineRule="auto"/>
        <w:ind w:left="1134" w:hanging="756"/>
        <w:rPr>
          <w:rFonts w:ascii="宋体" w:hAnsi="宋体" w:eastAsia="宋体" w:cs="Times New Roman"/>
          <w:bCs/>
          <w:color w:val="000000" w:themeColor="text1"/>
          <w:sz w:val="24"/>
          <w:szCs w:val="20"/>
          <w:lang w:val="zh-CN"/>
        </w:rPr>
      </w:pPr>
      <w:r>
        <w:rPr>
          <w:rFonts w:ascii="宋体" w:hAnsi="宋体" w:eastAsia="宋体" w:cs="Times New Roman"/>
          <w:bCs/>
          <w:color w:val="000000" w:themeColor="text1"/>
          <w:sz w:val="24"/>
          <w:szCs w:val="20"/>
          <w:lang w:val="zh-CN"/>
        </w:rPr>
        <w:t>鼓励大中型企业和其他自然人</w:t>
      </w:r>
      <w:r>
        <w:rPr>
          <w:rFonts w:ascii="宋体" w:hAnsi="宋体" w:eastAsia="宋体" w:cs="Times New Roman"/>
          <w:bCs/>
          <w:color w:val="000000" w:themeColor="text1"/>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000000" w:themeColor="text1"/>
          <w:sz w:val="24"/>
          <w:szCs w:val="20"/>
        </w:rPr>
        <w:t>30%</w:t>
      </w:r>
      <w:r>
        <w:rPr>
          <w:rFonts w:ascii="宋体" w:hAnsi="宋体" w:eastAsia="宋体" w:cs="Times New Roman"/>
          <w:bCs/>
          <w:color w:val="000000" w:themeColor="text1"/>
          <w:sz w:val="24"/>
          <w:szCs w:val="20"/>
        </w:rPr>
        <w:t>以上的，可给予联合体</w:t>
      </w:r>
      <w:r>
        <w:rPr>
          <w:rFonts w:ascii="宋体" w:hAnsi="宋体" w:eastAsia="宋体" w:cs="Times New Roman"/>
          <w:b/>
          <w:bCs/>
          <w:color w:val="000000" w:themeColor="text1"/>
          <w:sz w:val="24"/>
          <w:szCs w:val="20"/>
          <w:lang w:val="zh-CN"/>
        </w:rPr>
        <w:t>3%</w:t>
      </w:r>
      <w:r>
        <w:rPr>
          <w:rFonts w:ascii="宋体" w:hAnsi="宋体" w:eastAsia="宋体" w:cs="Times New Roman"/>
          <w:bCs/>
          <w:color w:val="000000" w:themeColor="text1"/>
          <w:sz w:val="24"/>
          <w:szCs w:val="20"/>
        </w:rPr>
        <w:t>的价格扣除</w:t>
      </w:r>
      <w:r>
        <w:rPr>
          <w:rFonts w:hint="eastAsia" w:ascii="宋体" w:hAnsi="宋体" w:eastAsia="宋体" w:cs="Times New Roman"/>
          <w:bCs/>
          <w:color w:val="000000" w:themeColor="text1"/>
          <w:sz w:val="24"/>
          <w:szCs w:val="20"/>
        </w:rPr>
        <w:t>，</w:t>
      </w:r>
      <w:r>
        <w:rPr>
          <w:rFonts w:hint="eastAsia" w:ascii="宋体" w:hAnsi="宋体" w:eastAsia="宋体" w:cs="Times New Roman"/>
          <w:bCs/>
          <w:color w:val="000000" w:themeColor="text1"/>
          <w:sz w:val="24"/>
          <w:szCs w:val="20"/>
          <w:lang w:val="zh-CN"/>
        </w:rPr>
        <w:t>不重复享受政策。</w:t>
      </w:r>
    </w:p>
    <w:p>
      <w:pPr>
        <w:numPr>
          <w:ilvl w:val="0"/>
          <w:numId w:val="33"/>
        </w:numPr>
        <w:spacing w:line="360" w:lineRule="auto"/>
        <w:ind w:left="1134" w:hanging="756"/>
        <w:rPr>
          <w:rFonts w:ascii="宋体" w:hAnsi="宋体" w:eastAsia="宋体" w:cs="Times New Roman"/>
          <w:bCs/>
          <w:color w:val="000000" w:themeColor="text1"/>
          <w:sz w:val="24"/>
          <w:szCs w:val="20"/>
          <w:lang w:val="zh-CN"/>
        </w:rPr>
      </w:pPr>
      <w:r>
        <w:rPr>
          <w:rFonts w:ascii="宋体" w:hAnsi="宋体" w:eastAsia="宋体" w:cs="Times New Roman"/>
          <w:bCs/>
          <w:color w:val="000000" w:themeColor="text1"/>
          <w:sz w:val="24"/>
          <w:szCs w:val="20"/>
          <w:lang w:val="zh-CN"/>
        </w:rPr>
        <w:t>监狱企业</w:t>
      </w:r>
      <w:r>
        <w:rPr>
          <w:rFonts w:hint="eastAsia" w:ascii="宋体" w:hAnsi="宋体" w:eastAsia="宋体" w:cs="Times New Roman"/>
          <w:bCs/>
          <w:color w:val="000000" w:themeColor="text1"/>
          <w:sz w:val="24"/>
          <w:szCs w:val="20"/>
          <w:lang w:val="zh-CN"/>
        </w:rPr>
        <w:t>、残疾人福利性单位</w:t>
      </w:r>
      <w:r>
        <w:rPr>
          <w:rFonts w:ascii="宋体" w:hAnsi="宋体" w:eastAsia="宋体" w:cs="Times New Roman"/>
          <w:bCs/>
          <w:color w:val="000000" w:themeColor="text1"/>
          <w:sz w:val="24"/>
          <w:szCs w:val="20"/>
          <w:lang w:val="zh-CN"/>
        </w:rPr>
        <w:t>视同小型、微型企业，享受预留份额、评审中价格扣除等政府采购促进中小企业发展的政府采购政策</w:t>
      </w:r>
      <w:r>
        <w:rPr>
          <w:rFonts w:hint="eastAsia" w:ascii="宋体" w:hAnsi="宋体" w:eastAsia="宋体" w:cs="Times New Roman"/>
          <w:bCs/>
          <w:color w:val="000000" w:themeColor="text1"/>
          <w:sz w:val="24"/>
          <w:szCs w:val="20"/>
          <w:lang w:val="zh-CN"/>
        </w:rPr>
        <w:t>，残疾人福利性单位属于小型、微型企业的，不重复享受政策。</w:t>
      </w:r>
    </w:p>
    <w:p>
      <w:pPr>
        <w:numPr>
          <w:ilvl w:val="0"/>
          <w:numId w:val="33"/>
        </w:numPr>
        <w:spacing w:line="360" w:lineRule="auto"/>
        <w:ind w:left="1134" w:hanging="756"/>
        <w:rPr>
          <w:rFonts w:ascii="宋体" w:hAnsi="宋体" w:eastAsia="宋体" w:cs="Times New Roman"/>
          <w:bCs/>
          <w:color w:val="000000" w:themeColor="text1"/>
          <w:sz w:val="24"/>
          <w:szCs w:val="20"/>
          <w:lang w:val="zh-CN"/>
        </w:rPr>
      </w:pPr>
      <w:r>
        <w:rPr>
          <w:rFonts w:hint="eastAsia" w:ascii="宋体" w:hAnsi="宋体" w:eastAsia="宋体" w:cs="Times New Roman"/>
          <w:bCs/>
          <w:color w:val="000000" w:themeColor="text1"/>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31"/>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rPr>
      </w:pPr>
      <w:r>
        <w:rPr>
          <w:rFonts w:hint="eastAsia" w:ascii="宋体" w:hAnsi="宋体" w:eastAsia="宋体" w:cs="Times New Roman"/>
          <w:b/>
          <w:bCs/>
          <w:color w:val="000000" w:themeColor="text1"/>
          <w:sz w:val="24"/>
          <w:szCs w:val="20"/>
          <w:lang w:val="zh-CN"/>
        </w:rPr>
        <w:t>相同品牌处理原则</w:t>
      </w:r>
    </w:p>
    <w:p>
      <w:pPr>
        <w:numPr>
          <w:ilvl w:val="0"/>
          <w:numId w:val="34"/>
        </w:numPr>
        <w:adjustRightInd w:val="0"/>
        <w:spacing w:line="360" w:lineRule="auto"/>
        <w:ind w:left="756" w:hanging="507"/>
        <w:rPr>
          <w:rFonts w:ascii="Helvetica" w:hAnsi="Helvetica" w:eastAsia="宋体" w:cs="Helvetica"/>
          <w:color w:val="000000" w:themeColor="text1"/>
          <w:kern w:val="0"/>
          <w:sz w:val="24"/>
          <w:szCs w:val="24"/>
          <w:lang w:val="zh-CN"/>
        </w:rPr>
      </w:pPr>
      <w:r>
        <w:rPr>
          <w:rFonts w:ascii="Helvetica" w:hAnsi="Helvetica" w:eastAsia="宋体" w:cs="Helvetica"/>
          <w:color w:val="000000" w:themeColor="text1"/>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00000" w:themeColor="text1"/>
          <w:kern w:val="0"/>
          <w:sz w:val="24"/>
          <w:szCs w:val="24"/>
          <w:lang w:val="zh-CN"/>
        </w:rPr>
        <w:t>确定</w:t>
      </w:r>
      <w:r>
        <w:rPr>
          <w:rFonts w:ascii="Helvetica" w:hAnsi="Helvetica" w:eastAsia="宋体" w:cs="Helvetica"/>
          <w:color w:val="000000" w:themeColor="text1"/>
          <w:kern w:val="0"/>
          <w:sz w:val="24"/>
          <w:szCs w:val="24"/>
          <w:lang w:val="zh-CN"/>
        </w:rPr>
        <w:t>或者采购人委托评标委员会</w:t>
      </w:r>
      <w:r>
        <w:rPr>
          <w:rFonts w:hint="eastAsia" w:ascii="Helvetica" w:hAnsi="Helvetica" w:eastAsia="宋体" w:cs="Helvetica"/>
          <w:color w:val="000000" w:themeColor="text1"/>
          <w:kern w:val="0"/>
          <w:sz w:val="24"/>
          <w:szCs w:val="24"/>
          <w:lang w:val="zh-CN"/>
        </w:rPr>
        <w:t>以投票方式</w:t>
      </w:r>
      <w:r>
        <w:rPr>
          <w:rFonts w:ascii="Helvetica" w:hAnsi="Helvetica" w:eastAsia="宋体" w:cs="Helvetica"/>
          <w:color w:val="000000" w:themeColor="text1"/>
          <w:kern w:val="0"/>
          <w:sz w:val="24"/>
          <w:szCs w:val="24"/>
          <w:lang w:val="zh-CN"/>
        </w:rPr>
        <w:t>确定一个投标人获得中标人推荐资格，其他同品牌投标人不作为中标候选人。</w:t>
      </w:r>
    </w:p>
    <w:p>
      <w:pPr>
        <w:numPr>
          <w:ilvl w:val="0"/>
          <w:numId w:val="34"/>
        </w:numPr>
        <w:adjustRightInd w:val="0"/>
        <w:spacing w:line="360" w:lineRule="auto"/>
        <w:ind w:left="756" w:hanging="507"/>
        <w:rPr>
          <w:rFonts w:ascii="Helvetica" w:hAnsi="Helvetica" w:eastAsia="宋体" w:cs="Helvetica"/>
          <w:color w:val="000000" w:themeColor="text1"/>
          <w:kern w:val="0"/>
          <w:sz w:val="24"/>
          <w:szCs w:val="24"/>
          <w:lang w:val="zh-CN"/>
        </w:rPr>
      </w:pPr>
      <w:r>
        <w:rPr>
          <w:rFonts w:ascii="Helvetica" w:hAnsi="Helvetica" w:eastAsia="宋体" w:cs="Helvetica"/>
          <w:color w:val="000000" w:themeColor="text1"/>
          <w:kern w:val="0"/>
          <w:sz w:val="24"/>
          <w:szCs w:val="24"/>
          <w:lang w:val="zh-CN"/>
        </w:rPr>
        <w:t>非单一产品采购项目，采购人应当根据采购项目技术构成、产品价格比重等合理确定</w:t>
      </w:r>
      <w:r>
        <w:rPr>
          <w:rFonts w:hint="eastAsia" w:ascii="Helvetica" w:hAnsi="Helvetica" w:eastAsia="宋体" w:cs="Helvetica"/>
          <w:b/>
          <w:color w:val="000000" w:themeColor="text1"/>
          <w:kern w:val="0"/>
          <w:sz w:val="24"/>
          <w:szCs w:val="24"/>
          <w:lang w:val="zh-CN"/>
        </w:rPr>
        <w:t>一个</w:t>
      </w:r>
      <w:r>
        <w:rPr>
          <w:rFonts w:ascii="Helvetica" w:hAnsi="Helvetica" w:eastAsia="宋体" w:cs="Helvetica"/>
          <w:b/>
          <w:color w:val="000000" w:themeColor="text1"/>
          <w:kern w:val="0"/>
          <w:sz w:val="24"/>
          <w:szCs w:val="24"/>
          <w:lang w:val="zh-CN"/>
        </w:rPr>
        <w:t>核心产品</w:t>
      </w:r>
      <w:r>
        <w:rPr>
          <w:rFonts w:hint="eastAsia" w:ascii="Helvetica" w:hAnsi="Helvetica" w:eastAsia="宋体" w:cs="Helvetica"/>
          <w:color w:val="000000" w:themeColor="text1"/>
          <w:kern w:val="0"/>
          <w:sz w:val="24"/>
          <w:szCs w:val="24"/>
          <w:lang w:val="zh-CN"/>
        </w:rPr>
        <w:t>（采购清单中作“相同〈或同一〉品牌”实质性要求的产品，视为一个核心产品），</w:t>
      </w:r>
      <w:r>
        <w:rPr>
          <w:rFonts w:ascii="Helvetica" w:hAnsi="Helvetica" w:eastAsia="宋体" w:cs="Helvetica"/>
          <w:color w:val="000000" w:themeColor="text1"/>
          <w:kern w:val="0"/>
          <w:sz w:val="24"/>
          <w:szCs w:val="24"/>
          <w:lang w:val="zh-CN"/>
        </w:rPr>
        <w:t>并</w:t>
      </w:r>
      <w:r>
        <w:rPr>
          <w:rFonts w:hint="eastAsia" w:ascii="Helvetica" w:hAnsi="Helvetica" w:eastAsia="宋体" w:cs="Helvetica"/>
          <w:color w:val="000000" w:themeColor="text1"/>
          <w:kern w:val="0"/>
          <w:sz w:val="24"/>
          <w:szCs w:val="24"/>
          <w:lang w:val="zh-CN"/>
        </w:rPr>
        <w:t>以</w:t>
      </w:r>
      <w:r>
        <w:rPr>
          <w:rFonts w:hint="eastAsia" w:ascii="Helvetica" w:hAnsi="Helvetica" w:eastAsia="宋体" w:cs="Helvetica"/>
          <w:b/>
          <w:color w:val="000000" w:themeColor="text1"/>
          <w:kern w:val="0"/>
          <w:sz w:val="24"/>
          <w:szCs w:val="24"/>
          <w:lang w:val="zh-CN"/>
        </w:rPr>
        <w:t>“</w:t>
      </w:r>
      <w:r>
        <w:rPr>
          <w:rFonts w:hint="eastAsia" w:ascii="MS Gothic" w:hAnsi="MS Gothic" w:eastAsia="宋体" w:cs="MS Gothic"/>
          <w:b/>
          <w:color w:val="000000" w:themeColor="text1"/>
          <w:kern w:val="0"/>
          <w:sz w:val="24"/>
          <w:szCs w:val="24"/>
          <w:lang w:val="zh-CN"/>
        </w:rPr>
        <w:t>核心产品</w:t>
      </w:r>
      <w:r>
        <w:rPr>
          <w:rFonts w:hint="eastAsia" w:ascii="Helvetica" w:hAnsi="Helvetica" w:eastAsia="宋体" w:cs="Helvetica"/>
          <w:b/>
          <w:color w:val="000000" w:themeColor="text1"/>
          <w:kern w:val="0"/>
          <w:sz w:val="24"/>
          <w:szCs w:val="24"/>
          <w:lang w:val="zh-CN"/>
        </w:rPr>
        <w:t>”</w:t>
      </w:r>
      <w:r>
        <w:rPr>
          <w:rFonts w:ascii="Helvetica" w:hAnsi="Helvetica" w:eastAsia="宋体" w:cs="Helvetica"/>
          <w:color w:val="000000" w:themeColor="text1"/>
          <w:kern w:val="0"/>
          <w:sz w:val="24"/>
          <w:szCs w:val="24"/>
          <w:lang w:val="zh-CN"/>
        </w:rPr>
        <w:t>在招标文件中</w:t>
      </w:r>
      <w:r>
        <w:rPr>
          <w:rFonts w:hint="eastAsia" w:ascii="Helvetica" w:hAnsi="Helvetica" w:eastAsia="宋体" w:cs="Helvetica"/>
          <w:color w:val="000000" w:themeColor="text1"/>
          <w:kern w:val="0"/>
          <w:sz w:val="24"/>
          <w:szCs w:val="24"/>
          <w:lang w:val="zh-CN"/>
        </w:rPr>
        <w:t>标注</w:t>
      </w:r>
      <w:r>
        <w:rPr>
          <w:rFonts w:ascii="Helvetica" w:hAnsi="Helvetica" w:eastAsia="宋体" w:cs="Helvetica"/>
          <w:color w:val="000000" w:themeColor="text1"/>
          <w:kern w:val="0"/>
          <w:sz w:val="24"/>
          <w:szCs w:val="24"/>
          <w:lang w:val="zh-CN"/>
        </w:rPr>
        <w:t>。</w:t>
      </w:r>
    </w:p>
    <w:p>
      <w:pPr>
        <w:numPr>
          <w:ilvl w:val="0"/>
          <w:numId w:val="31"/>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rPr>
      </w:pPr>
      <w:r>
        <w:rPr>
          <w:rFonts w:hint="eastAsia" w:ascii="宋体" w:hAnsi="宋体" w:eastAsia="宋体" w:cs="Times New Roman"/>
          <w:b/>
          <w:bCs/>
          <w:color w:val="000000" w:themeColor="text1"/>
          <w:sz w:val="24"/>
          <w:szCs w:val="20"/>
          <w:lang w:val="zh-CN"/>
        </w:rPr>
        <w:t>计分办法</w:t>
      </w:r>
    </w:p>
    <w:p>
      <w:pPr>
        <w:numPr>
          <w:ilvl w:val="0"/>
          <w:numId w:val="35"/>
        </w:numPr>
        <w:adjustRightInd w:val="0"/>
        <w:spacing w:line="360" w:lineRule="auto"/>
        <w:ind w:left="756" w:hanging="507"/>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集中采购机构对各评委的总分进行复核。各项统计结果均精确到小数点后两位。</w:t>
      </w:r>
    </w:p>
    <w:p>
      <w:pPr>
        <w:numPr>
          <w:ilvl w:val="0"/>
          <w:numId w:val="35"/>
        </w:numPr>
        <w:adjustRightInd w:val="0"/>
        <w:spacing w:line="360" w:lineRule="auto"/>
        <w:ind w:left="756" w:hanging="507"/>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各投标人的最终得分为评委所评定分数的算术平均值。</w:t>
      </w:r>
    </w:p>
    <w:p>
      <w:pPr>
        <w:numPr>
          <w:ilvl w:val="0"/>
          <w:numId w:val="27"/>
        </w:numPr>
        <w:spacing w:line="360" w:lineRule="auto"/>
        <w:ind w:left="1311" w:leftChars="154" w:hanging="988" w:hangingChars="353"/>
        <w:rPr>
          <w:rFonts w:ascii="宋体" w:hAnsi="宋体" w:eastAsia="宋体" w:cs="Times New Roman"/>
          <w:b/>
          <w:color w:val="000000" w:themeColor="text1"/>
          <w:sz w:val="28"/>
          <w:szCs w:val="28"/>
          <w:lang w:val="zh-CN"/>
        </w:rPr>
      </w:pPr>
      <w:r>
        <w:rPr>
          <w:rFonts w:hint="eastAsia" w:ascii="宋体" w:hAnsi="宋体" w:eastAsia="宋体" w:cs="Times New Roman"/>
          <w:b/>
          <w:color w:val="000000" w:themeColor="text1"/>
          <w:sz w:val="28"/>
          <w:szCs w:val="28"/>
          <w:lang w:val="zh-CN"/>
        </w:rPr>
        <w:t>推荐中标候选人名单或确定中标人</w:t>
      </w:r>
    </w:p>
    <w:p>
      <w:pPr>
        <w:numPr>
          <w:ilvl w:val="0"/>
          <w:numId w:val="36"/>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评标委员会按照招标文件确定的评标方法、程序及标准，对投标文件进行评审。</w:t>
      </w:r>
      <w:r>
        <w:rPr>
          <w:rFonts w:ascii="Helvetica" w:hAnsi="Helvetica" w:eastAsia="宋体" w:cs="Helvetica"/>
          <w:color w:val="000000" w:themeColor="text1"/>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36"/>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36"/>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中标候选人并列的，</w:t>
      </w:r>
      <w:r>
        <w:rPr>
          <w:rFonts w:ascii="Helvetica" w:hAnsi="Helvetica" w:eastAsia="宋体" w:cs="Helvetica"/>
          <w:color w:val="000000" w:themeColor="text1"/>
          <w:kern w:val="0"/>
          <w:sz w:val="24"/>
          <w:szCs w:val="24"/>
          <w:lang w:val="zh-CN"/>
        </w:rPr>
        <w:t>由采购人</w:t>
      </w:r>
      <w:r>
        <w:rPr>
          <w:rFonts w:hint="eastAsia" w:ascii="Helvetica" w:hAnsi="Helvetica" w:eastAsia="宋体" w:cs="Helvetica"/>
          <w:color w:val="000000" w:themeColor="text1"/>
          <w:kern w:val="0"/>
          <w:sz w:val="24"/>
          <w:szCs w:val="24"/>
          <w:lang w:val="zh-CN"/>
        </w:rPr>
        <w:t>确定</w:t>
      </w:r>
      <w:r>
        <w:rPr>
          <w:rFonts w:ascii="Helvetica" w:hAnsi="Helvetica" w:eastAsia="宋体" w:cs="Helvetica"/>
          <w:color w:val="000000" w:themeColor="text1"/>
          <w:kern w:val="0"/>
          <w:sz w:val="24"/>
          <w:szCs w:val="24"/>
          <w:lang w:val="zh-CN"/>
        </w:rPr>
        <w:t>或者采购人委托评标委员会</w:t>
      </w:r>
      <w:r>
        <w:rPr>
          <w:rFonts w:hint="eastAsia" w:ascii="Helvetica" w:hAnsi="Helvetica" w:eastAsia="宋体" w:cs="Helvetica"/>
          <w:color w:val="000000" w:themeColor="text1"/>
          <w:kern w:val="0"/>
          <w:sz w:val="24"/>
          <w:szCs w:val="24"/>
          <w:lang w:val="zh-CN"/>
        </w:rPr>
        <w:t>以投票方式</w:t>
      </w:r>
      <w:r>
        <w:rPr>
          <w:rFonts w:ascii="Helvetica" w:hAnsi="Helvetica" w:eastAsia="宋体" w:cs="Helvetica"/>
          <w:color w:val="000000" w:themeColor="text1"/>
          <w:kern w:val="0"/>
          <w:sz w:val="24"/>
          <w:szCs w:val="24"/>
          <w:lang w:val="zh-CN"/>
        </w:rPr>
        <w:t>确定中标人。</w:t>
      </w:r>
    </w:p>
    <w:p>
      <w:pPr>
        <w:numPr>
          <w:ilvl w:val="0"/>
          <w:numId w:val="36"/>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36"/>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中标人的数量有其他规定的，应在此处明确方法、中标比例等。</w:t>
      </w:r>
    </w:p>
    <w:p>
      <w:pPr>
        <w:spacing w:line="360" w:lineRule="auto"/>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br w:type="page"/>
      </w:r>
    </w:p>
    <w:p>
      <w:pPr>
        <w:pStyle w:val="4"/>
        <w:numPr>
          <w:ilvl w:val="0"/>
          <w:numId w:val="26"/>
        </w:numPr>
        <w:spacing w:before="0" w:after="0" w:line="360" w:lineRule="auto"/>
        <w:ind w:left="616" w:hanging="616"/>
        <w:jc w:val="left"/>
        <w:rPr>
          <w:rFonts w:eastAsia="宋体"/>
          <w:color w:val="000000" w:themeColor="text1"/>
          <w:sz w:val="36"/>
          <w:szCs w:val="36"/>
        </w:rPr>
      </w:pPr>
      <w:bookmarkStart w:id="57" w:name="_Toc495861544"/>
      <w:bookmarkStart w:id="58" w:name="_Toc494561963"/>
      <w:r>
        <w:rPr>
          <w:rFonts w:hint="eastAsia" w:cs="Times New Roman" w:asciiTheme="majorEastAsia" w:hAnsiTheme="majorEastAsia"/>
          <w:bCs w:val="0"/>
          <w:color w:val="000000" w:themeColor="text1"/>
          <w:sz w:val="30"/>
          <w:szCs w:val="30"/>
          <w:lang w:val="zh-CN"/>
        </w:rPr>
        <w:t>评审因素及评分标准</w:t>
      </w:r>
      <w:bookmarkEnd w:id="57"/>
      <w:bookmarkEnd w:id="58"/>
    </w:p>
    <w:p>
      <w:pPr>
        <w:pStyle w:val="17"/>
        <w:spacing w:line="360" w:lineRule="auto"/>
        <w:rPr>
          <w:color w:val="000000" w:themeColor="text1"/>
        </w:rPr>
      </w:pPr>
      <w:bookmarkStart w:id="59" w:name="_Toc494745310"/>
      <w:bookmarkStart w:id="60" w:name="_Toc494702263"/>
      <w:bookmarkStart w:id="61" w:name="_Toc494665943"/>
      <w:bookmarkStart w:id="62" w:name="_Toc495861545"/>
      <w:bookmarkStart w:id="63" w:name="_Toc494664993"/>
      <w:bookmarkStart w:id="64" w:name="_Toc494665546"/>
      <w:bookmarkStart w:id="65" w:name="_Toc494721093"/>
    </w:p>
    <w:p>
      <w:pPr>
        <w:spacing w:line="360" w:lineRule="auto"/>
        <w:jc w:val="center"/>
        <w:rPr>
          <w:rFonts w:cs="宋体" w:asciiTheme="minorEastAsia" w:hAnsiTheme="minorEastAsia"/>
          <w:b/>
          <w:color w:val="000000" w:themeColor="text1"/>
          <w:sz w:val="36"/>
          <w:szCs w:val="36"/>
        </w:rPr>
      </w:pPr>
      <w:r>
        <w:rPr>
          <w:rFonts w:hint="eastAsia" w:cs="宋体" w:asciiTheme="minorEastAsia" w:hAnsiTheme="minorEastAsia"/>
          <w:b/>
          <w:color w:val="000000" w:themeColor="text1"/>
          <w:sz w:val="36"/>
          <w:szCs w:val="36"/>
        </w:rPr>
        <w:t>一包：面包、蛋糕评分表</w:t>
      </w:r>
    </w:p>
    <w:tbl>
      <w:tblPr>
        <w:tblStyle w:val="23"/>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160"/>
        <w:gridCol w:w="850"/>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jc w:val="center"/>
        </w:trPr>
        <w:tc>
          <w:tcPr>
            <w:tcW w:w="1726" w:type="dxa"/>
            <w:vAlign w:val="center"/>
          </w:tcPr>
          <w:p>
            <w:pPr>
              <w:widowControl/>
              <w:adjustRightInd w:val="0"/>
              <w:snapToGrid w:val="0"/>
              <w:spacing w:line="400" w:lineRule="exact"/>
              <w:jc w:val="center"/>
              <w:rPr>
                <w:rFonts w:ascii="宋体" w:hAnsi="宋体"/>
                <w:b/>
                <w:color w:val="000000" w:themeColor="text1"/>
                <w:szCs w:val="21"/>
              </w:rPr>
            </w:pPr>
            <w:r>
              <w:rPr>
                <w:rFonts w:hint="eastAsia" w:ascii="宋体" w:hAnsi="宋体" w:eastAsia="宋体" w:cs="宋体"/>
                <w:bCs/>
                <w:color w:val="000000" w:themeColor="text1"/>
                <w:szCs w:val="21"/>
              </w:rPr>
              <w:t>类别</w:t>
            </w:r>
          </w:p>
        </w:tc>
        <w:tc>
          <w:tcPr>
            <w:tcW w:w="1160" w:type="dxa"/>
            <w:vAlign w:val="center"/>
          </w:tcPr>
          <w:p>
            <w:pPr>
              <w:widowControl/>
              <w:adjustRightInd w:val="0"/>
              <w:snapToGrid w:val="0"/>
              <w:spacing w:line="400" w:lineRule="exact"/>
              <w:jc w:val="center"/>
              <w:rPr>
                <w:rFonts w:ascii="宋体" w:hAnsi="宋体"/>
                <w:b/>
                <w:color w:val="000000" w:themeColor="text1"/>
                <w:szCs w:val="21"/>
              </w:rPr>
            </w:pPr>
            <w:r>
              <w:rPr>
                <w:rFonts w:hint="eastAsia" w:ascii="宋体" w:hAnsi="宋体" w:eastAsia="宋体" w:cs="宋体"/>
                <w:bCs/>
                <w:color w:val="000000" w:themeColor="text1"/>
                <w:szCs w:val="21"/>
              </w:rPr>
              <w:t>评分项目</w:t>
            </w:r>
          </w:p>
        </w:tc>
        <w:tc>
          <w:tcPr>
            <w:tcW w:w="850" w:type="dxa"/>
            <w:vAlign w:val="center"/>
          </w:tcPr>
          <w:p>
            <w:pPr>
              <w:widowControl/>
              <w:adjustRightInd w:val="0"/>
              <w:snapToGrid w:val="0"/>
              <w:spacing w:line="400" w:lineRule="exact"/>
              <w:jc w:val="center"/>
              <w:rPr>
                <w:rFonts w:ascii="宋体" w:hAnsi="宋体"/>
                <w:b/>
                <w:color w:val="000000" w:themeColor="text1"/>
                <w:szCs w:val="21"/>
              </w:rPr>
            </w:pPr>
            <w:r>
              <w:rPr>
                <w:rFonts w:hint="eastAsia" w:ascii="宋体" w:hAnsi="宋体" w:eastAsia="宋体" w:cs="宋体"/>
                <w:bCs/>
                <w:color w:val="000000" w:themeColor="text1"/>
                <w:szCs w:val="21"/>
              </w:rPr>
              <w:t>分值</w:t>
            </w:r>
          </w:p>
        </w:tc>
        <w:tc>
          <w:tcPr>
            <w:tcW w:w="6294" w:type="dxa"/>
            <w:vAlign w:val="center"/>
          </w:tcPr>
          <w:p>
            <w:pPr>
              <w:widowControl/>
              <w:adjustRightInd w:val="0"/>
              <w:snapToGrid w:val="0"/>
              <w:spacing w:line="400" w:lineRule="exact"/>
              <w:jc w:val="center"/>
              <w:rPr>
                <w:rFonts w:ascii="宋体" w:hAnsi="宋体"/>
                <w:b/>
                <w:color w:val="000000" w:themeColor="text1"/>
                <w:szCs w:val="21"/>
              </w:rPr>
            </w:pPr>
            <w:r>
              <w:rPr>
                <w:rFonts w:hint="eastAsia" w:ascii="宋体" w:hAnsi="宋体" w:eastAsia="宋体" w:cs="宋体"/>
                <w:bCs/>
                <w:color w:val="000000" w:themeColor="text1"/>
                <w:szCs w:val="21"/>
              </w:rPr>
              <w:t>评分参考及范围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blHeader/>
          <w:jc w:val="center"/>
        </w:trPr>
        <w:tc>
          <w:tcPr>
            <w:tcW w:w="1726" w:type="dxa"/>
            <w:vAlign w:val="center"/>
          </w:tcPr>
          <w:p>
            <w:pPr>
              <w:widowControl/>
              <w:adjustRightInd w:val="0"/>
              <w:snapToGrid w:val="0"/>
              <w:spacing w:line="400" w:lineRule="exact"/>
              <w:ind w:right="63" w:firstLine="210" w:firstLineChars="100"/>
              <w:jc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报价部分</w:t>
            </w:r>
          </w:p>
          <w:p>
            <w:pPr>
              <w:widowControl/>
              <w:adjustRightInd w:val="0"/>
              <w:snapToGrid w:val="0"/>
              <w:spacing w:line="400" w:lineRule="exact"/>
              <w:ind w:right="63"/>
              <w:jc w:val="center"/>
              <w:rPr>
                <w:rFonts w:ascii="宋体" w:hAnsi="宋体" w:cs="宋体"/>
                <w:color w:val="000000" w:themeColor="text1"/>
                <w:szCs w:val="21"/>
              </w:rPr>
            </w:pPr>
            <w:r>
              <w:rPr>
                <w:rFonts w:hint="eastAsia" w:ascii="宋体" w:hAnsi="宋体" w:eastAsia="宋体" w:cs="宋体"/>
                <w:bCs/>
                <w:color w:val="000000" w:themeColor="text1"/>
                <w:szCs w:val="21"/>
              </w:rPr>
              <w:t>5分</w:t>
            </w:r>
          </w:p>
        </w:tc>
        <w:tc>
          <w:tcPr>
            <w:tcW w:w="1160" w:type="dxa"/>
            <w:vAlign w:val="center"/>
          </w:tcPr>
          <w:p>
            <w:pPr>
              <w:widowControl/>
              <w:adjustRightInd w:val="0"/>
              <w:snapToGrid w:val="0"/>
              <w:spacing w:line="400" w:lineRule="exact"/>
              <w:ind w:right="63"/>
              <w:rPr>
                <w:rFonts w:ascii="宋体" w:hAnsi="宋体" w:cs="宋体"/>
                <w:color w:val="000000" w:themeColor="text1"/>
                <w:szCs w:val="21"/>
              </w:rPr>
            </w:pPr>
          </w:p>
        </w:tc>
        <w:tc>
          <w:tcPr>
            <w:tcW w:w="850" w:type="dxa"/>
            <w:vAlign w:val="center"/>
          </w:tcPr>
          <w:p>
            <w:pPr>
              <w:widowControl/>
              <w:adjustRightInd w:val="0"/>
              <w:snapToGrid w:val="0"/>
              <w:spacing w:line="400" w:lineRule="exact"/>
              <w:ind w:right="63"/>
              <w:jc w:val="center"/>
              <w:rPr>
                <w:rFonts w:ascii="宋体" w:hAnsi="宋体" w:cs="宋体"/>
                <w:color w:val="000000" w:themeColor="text1"/>
                <w:szCs w:val="21"/>
              </w:rPr>
            </w:pPr>
            <w:r>
              <w:rPr>
                <w:rFonts w:hint="eastAsia" w:ascii="宋体" w:hAnsi="宋体" w:eastAsia="宋体" w:cs="宋体"/>
                <w:bCs/>
                <w:color w:val="000000" w:themeColor="text1"/>
                <w:szCs w:val="21"/>
              </w:rPr>
              <w:t>5分</w:t>
            </w:r>
          </w:p>
        </w:tc>
        <w:tc>
          <w:tcPr>
            <w:tcW w:w="6294" w:type="dxa"/>
            <w:vAlign w:val="center"/>
          </w:tcPr>
          <w:p>
            <w:pPr>
              <w:widowControl/>
              <w:adjustRightInd w:val="0"/>
              <w:snapToGrid w:val="0"/>
              <w:spacing w:line="400" w:lineRule="exact"/>
              <w:rPr>
                <w:rFonts w:ascii="宋体" w:hAnsi="宋体" w:cs="宋体"/>
                <w:color w:val="000000" w:themeColor="text1"/>
                <w:szCs w:val="21"/>
              </w:rPr>
            </w:pPr>
            <w:r>
              <w:rPr>
                <w:rFonts w:hint="eastAsia" w:ascii="宋体" w:hAnsi="宋体" w:eastAsia="宋体" w:cs="宋体"/>
                <w:bCs/>
                <w:color w:val="000000" w:themeColor="text1"/>
                <w:szCs w:val="21"/>
              </w:rPr>
              <w:t>本项目报价不得高于或低于2.0元/生/天标准的固定价，否则作废标处理。（5分）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blHeader/>
          <w:jc w:val="center"/>
        </w:trPr>
        <w:tc>
          <w:tcPr>
            <w:tcW w:w="1726" w:type="dxa"/>
            <w:vMerge w:val="restart"/>
            <w:vAlign w:val="center"/>
          </w:tcPr>
          <w:p>
            <w:pPr>
              <w:widowControl/>
              <w:adjustRightInd w:val="0"/>
              <w:snapToGrid w:val="0"/>
              <w:spacing w:line="400" w:lineRule="exact"/>
              <w:jc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商务部分</w:t>
            </w:r>
          </w:p>
          <w:p>
            <w:pPr>
              <w:widowControl/>
              <w:adjustRightInd w:val="0"/>
              <w:snapToGrid w:val="0"/>
              <w:spacing w:line="400" w:lineRule="exact"/>
              <w:jc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30分</w:t>
            </w:r>
          </w:p>
          <w:p>
            <w:pPr>
              <w:widowControl/>
              <w:adjustRightInd w:val="0"/>
              <w:snapToGrid w:val="0"/>
              <w:spacing w:line="400" w:lineRule="exact"/>
              <w:jc w:val="center"/>
              <w:rPr>
                <w:rFonts w:ascii="宋体" w:hAnsi="宋体" w:cs="宋体"/>
                <w:color w:val="000000" w:themeColor="text1"/>
                <w:szCs w:val="21"/>
              </w:rPr>
            </w:pPr>
          </w:p>
        </w:tc>
        <w:tc>
          <w:tcPr>
            <w:tcW w:w="1160" w:type="dxa"/>
            <w:vAlign w:val="center"/>
          </w:tcPr>
          <w:p>
            <w:pPr>
              <w:widowControl/>
              <w:adjustRightInd w:val="0"/>
              <w:snapToGrid w:val="0"/>
              <w:spacing w:line="400" w:lineRule="exact"/>
              <w:jc w:val="center"/>
              <w:rPr>
                <w:rFonts w:ascii="宋体" w:hAnsi="宋体" w:cs="宋体"/>
                <w:color w:val="000000" w:themeColor="text1"/>
                <w:szCs w:val="21"/>
              </w:rPr>
            </w:pPr>
            <w:r>
              <w:rPr>
                <w:rFonts w:hint="eastAsia" w:ascii="宋体" w:hAnsi="宋体" w:eastAsia="宋体" w:cs="宋体"/>
                <w:bCs/>
                <w:color w:val="000000" w:themeColor="text1"/>
                <w:szCs w:val="21"/>
              </w:rPr>
              <w:t>投标文件的规范性</w:t>
            </w:r>
          </w:p>
        </w:tc>
        <w:tc>
          <w:tcPr>
            <w:tcW w:w="850" w:type="dxa"/>
            <w:vAlign w:val="center"/>
          </w:tcPr>
          <w:p>
            <w:pPr>
              <w:widowControl/>
              <w:adjustRightInd w:val="0"/>
              <w:snapToGrid w:val="0"/>
              <w:spacing w:line="400" w:lineRule="exact"/>
              <w:jc w:val="center"/>
              <w:rPr>
                <w:rFonts w:ascii="宋体" w:hAnsi="宋体"/>
                <w:color w:val="000000" w:themeColor="text1"/>
                <w:sz w:val="18"/>
                <w:szCs w:val="18"/>
              </w:rPr>
            </w:pPr>
            <w:r>
              <w:rPr>
                <w:rFonts w:hint="eastAsia" w:ascii="宋体" w:hAnsi="宋体" w:eastAsia="宋体" w:cs="宋体"/>
                <w:bCs/>
                <w:color w:val="000000" w:themeColor="text1"/>
                <w:szCs w:val="21"/>
              </w:rPr>
              <w:t>2分</w:t>
            </w:r>
          </w:p>
        </w:tc>
        <w:tc>
          <w:tcPr>
            <w:tcW w:w="6294" w:type="dxa"/>
            <w:vAlign w:val="center"/>
          </w:tcPr>
          <w:p>
            <w:pPr>
              <w:widowControl/>
              <w:adjustRightInd w:val="0"/>
              <w:snapToGrid w:val="0"/>
              <w:spacing w:line="400" w:lineRule="exact"/>
              <w:rPr>
                <w:rFonts w:ascii="宋体" w:hAnsi="宋体" w:cs="宋体"/>
                <w:color w:val="000000" w:themeColor="text1"/>
                <w:szCs w:val="21"/>
              </w:rPr>
            </w:pPr>
            <w:r>
              <w:rPr>
                <w:rFonts w:hint="eastAsia" w:ascii="宋体" w:hAnsi="宋体" w:eastAsia="宋体" w:cs="宋体"/>
                <w:bCs/>
                <w:color w:val="000000" w:themeColor="text1"/>
                <w:szCs w:val="21"/>
              </w:rPr>
              <w:t>投标文件全面响应招标文件要求，编制完整、美观，非活页装订，且有详细目录、连续页码、目录与有关材料装订顺序对应清晰、查阅方便。不符合要求的，每处扣0.5分，扣完为止。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blHeader/>
          <w:jc w:val="center"/>
        </w:trPr>
        <w:tc>
          <w:tcPr>
            <w:tcW w:w="1726" w:type="dxa"/>
            <w:vMerge w:val="continue"/>
            <w:vAlign w:val="center"/>
          </w:tcPr>
          <w:p>
            <w:pPr>
              <w:widowControl/>
              <w:adjustRightInd w:val="0"/>
              <w:snapToGrid w:val="0"/>
              <w:spacing w:line="400" w:lineRule="exact"/>
              <w:ind w:right="63"/>
              <w:jc w:val="center"/>
              <w:rPr>
                <w:rFonts w:ascii="宋体" w:hAnsi="宋体" w:cs="宋体"/>
                <w:color w:val="000000" w:themeColor="text1"/>
                <w:szCs w:val="21"/>
              </w:rPr>
            </w:pPr>
          </w:p>
        </w:tc>
        <w:tc>
          <w:tcPr>
            <w:tcW w:w="1160" w:type="dxa"/>
            <w:vAlign w:val="center"/>
          </w:tcPr>
          <w:p>
            <w:pPr>
              <w:widowControl/>
              <w:adjustRightInd w:val="0"/>
              <w:snapToGrid w:val="0"/>
              <w:spacing w:line="400" w:lineRule="exact"/>
              <w:ind w:right="63"/>
              <w:jc w:val="center"/>
              <w:rPr>
                <w:rFonts w:ascii="宋体" w:hAnsi="宋体" w:cs="宋体"/>
                <w:color w:val="000000" w:themeColor="text1"/>
                <w:szCs w:val="21"/>
              </w:rPr>
            </w:pPr>
            <w:r>
              <w:rPr>
                <w:rFonts w:hint="eastAsia" w:ascii="宋体" w:hAnsi="宋体" w:eastAsia="宋体" w:cs="宋体"/>
                <w:color w:val="000000" w:themeColor="text1"/>
                <w:szCs w:val="21"/>
              </w:rPr>
              <w:t>投标人的资信等级</w:t>
            </w:r>
          </w:p>
        </w:tc>
        <w:tc>
          <w:tcPr>
            <w:tcW w:w="850" w:type="dxa"/>
            <w:vAlign w:val="center"/>
          </w:tcPr>
          <w:p>
            <w:pPr>
              <w:widowControl/>
              <w:adjustRightInd w:val="0"/>
              <w:snapToGrid w:val="0"/>
              <w:spacing w:line="400" w:lineRule="exact"/>
              <w:ind w:right="63"/>
              <w:jc w:val="center"/>
              <w:rPr>
                <w:rFonts w:ascii="宋体" w:hAnsi="宋体"/>
                <w:color w:val="000000" w:themeColor="text1"/>
                <w:szCs w:val="21"/>
              </w:rPr>
            </w:pPr>
            <w:r>
              <w:rPr>
                <w:rFonts w:hint="eastAsia" w:ascii="宋体" w:hAnsi="宋体" w:eastAsia="宋体" w:cs="宋体"/>
                <w:bCs/>
                <w:color w:val="000000" w:themeColor="text1"/>
                <w:szCs w:val="21"/>
              </w:rPr>
              <w:t>5分</w:t>
            </w:r>
          </w:p>
        </w:tc>
        <w:tc>
          <w:tcPr>
            <w:tcW w:w="6294" w:type="dxa"/>
            <w:vAlign w:val="center"/>
          </w:tcPr>
          <w:p>
            <w:pPr>
              <w:widowControl/>
              <w:adjustRightInd w:val="0"/>
              <w:snapToGrid w:val="0"/>
              <w:spacing w:line="40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投标人的资信等级为3A的得5分；资信等级为2A的得3分；资信等级为A的得1分。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blHeader/>
          <w:jc w:val="center"/>
        </w:trPr>
        <w:tc>
          <w:tcPr>
            <w:tcW w:w="1726" w:type="dxa"/>
            <w:vMerge w:val="continue"/>
            <w:vAlign w:val="center"/>
          </w:tcPr>
          <w:p>
            <w:pPr>
              <w:widowControl/>
              <w:adjustRightInd w:val="0"/>
              <w:snapToGrid w:val="0"/>
              <w:spacing w:line="400" w:lineRule="exact"/>
              <w:ind w:right="63"/>
              <w:jc w:val="center"/>
              <w:rPr>
                <w:rFonts w:ascii="宋体" w:hAnsi="宋体" w:cs="宋体"/>
                <w:color w:val="000000" w:themeColor="text1"/>
                <w:szCs w:val="21"/>
              </w:rPr>
            </w:pPr>
          </w:p>
        </w:tc>
        <w:tc>
          <w:tcPr>
            <w:tcW w:w="1160" w:type="dxa"/>
            <w:vAlign w:val="center"/>
          </w:tcPr>
          <w:p>
            <w:pPr>
              <w:widowControl/>
              <w:adjustRightInd w:val="0"/>
              <w:snapToGrid w:val="0"/>
              <w:spacing w:line="400" w:lineRule="exact"/>
              <w:ind w:right="63"/>
              <w:jc w:val="center"/>
              <w:rPr>
                <w:rFonts w:ascii="宋体" w:hAnsi="宋体" w:eastAsia="宋体" w:cs="宋体"/>
                <w:color w:val="000000" w:themeColor="text1"/>
                <w:szCs w:val="21"/>
              </w:rPr>
            </w:pPr>
            <w:r>
              <w:rPr>
                <w:rFonts w:hint="eastAsia" w:ascii="宋体" w:hAnsi="宋体" w:eastAsia="宋体" w:cs="宋体"/>
                <w:color w:val="000000" w:themeColor="text1"/>
                <w:szCs w:val="21"/>
              </w:rPr>
              <w:t>投标人</w:t>
            </w:r>
          </w:p>
          <w:p>
            <w:pPr>
              <w:widowControl/>
              <w:adjustRightInd w:val="0"/>
              <w:snapToGrid w:val="0"/>
              <w:spacing w:line="400" w:lineRule="exact"/>
              <w:ind w:right="63"/>
              <w:jc w:val="center"/>
              <w:rPr>
                <w:rFonts w:ascii="宋体" w:hAnsi="宋体" w:eastAsia="宋体" w:cs="宋体"/>
                <w:color w:val="000000" w:themeColor="text1"/>
                <w:szCs w:val="21"/>
              </w:rPr>
            </w:pPr>
            <w:r>
              <w:rPr>
                <w:rFonts w:hint="eastAsia" w:ascii="宋体" w:hAnsi="宋体" w:eastAsia="宋体" w:cs="宋体"/>
                <w:color w:val="000000" w:themeColor="text1"/>
                <w:szCs w:val="21"/>
              </w:rPr>
              <w:t>实力</w:t>
            </w:r>
          </w:p>
        </w:tc>
        <w:tc>
          <w:tcPr>
            <w:tcW w:w="850" w:type="dxa"/>
            <w:vAlign w:val="center"/>
          </w:tcPr>
          <w:p>
            <w:pPr>
              <w:widowControl/>
              <w:adjustRightInd w:val="0"/>
              <w:snapToGrid w:val="0"/>
              <w:spacing w:line="400" w:lineRule="exact"/>
              <w:ind w:right="63"/>
              <w:jc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7分</w:t>
            </w:r>
          </w:p>
        </w:tc>
        <w:tc>
          <w:tcPr>
            <w:tcW w:w="6294" w:type="dxa"/>
          </w:tcPr>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投标人近三年社会贡献度、企业技术实力度、行业评价美誉度，三项综合评价高的得5-7分，其他的得1-4分。</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r>
              <w:rPr>
                <w:rFonts w:hint="eastAsia" w:ascii="宋体" w:hAnsi="宋体" w:eastAsia="宋体" w:cs="宋体"/>
                <w:color w:val="000000" w:themeColor="text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blHeader/>
          <w:jc w:val="center"/>
        </w:trPr>
        <w:tc>
          <w:tcPr>
            <w:tcW w:w="1726" w:type="dxa"/>
            <w:vMerge w:val="continue"/>
            <w:vAlign w:val="center"/>
          </w:tcPr>
          <w:p>
            <w:pPr>
              <w:widowControl/>
              <w:adjustRightInd w:val="0"/>
              <w:snapToGrid w:val="0"/>
              <w:spacing w:line="400" w:lineRule="exact"/>
              <w:ind w:right="63"/>
              <w:jc w:val="center"/>
              <w:rPr>
                <w:rFonts w:ascii="宋体" w:hAnsi="宋体" w:cs="宋体"/>
                <w:color w:val="000000" w:themeColor="text1"/>
                <w:szCs w:val="21"/>
              </w:rPr>
            </w:pPr>
          </w:p>
        </w:tc>
        <w:tc>
          <w:tcPr>
            <w:tcW w:w="1160" w:type="dxa"/>
            <w:vAlign w:val="center"/>
          </w:tcPr>
          <w:p>
            <w:pPr>
              <w:widowControl/>
              <w:adjustRightInd w:val="0"/>
              <w:snapToGrid w:val="0"/>
              <w:spacing w:line="400" w:lineRule="exact"/>
              <w:ind w:right="63"/>
              <w:jc w:val="center"/>
              <w:rPr>
                <w:rFonts w:ascii="宋体" w:hAnsi="宋体" w:cs="宋体"/>
                <w:color w:val="000000" w:themeColor="text1"/>
                <w:szCs w:val="21"/>
              </w:rPr>
            </w:pPr>
            <w:r>
              <w:rPr>
                <w:rFonts w:hint="eastAsia" w:ascii="宋体" w:hAnsi="宋体" w:eastAsia="宋体" w:cs="宋体"/>
                <w:bCs/>
                <w:color w:val="000000" w:themeColor="text1"/>
                <w:szCs w:val="21"/>
              </w:rPr>
              <w:t>业绩</w:t>
            </w:r>
          </w:p>
        </w:tc>
        <w:tc>
          <w:tcPr>
            <w:tcW w:w="850" w:type="dxa"/>
            <w:vAlign w:val="center"/>
          </w:tcPr>
          <w:p>
            <w:pPr>
              <w:widowControl/>
              <w:adjustRightInd w:val="0"/>
              <w:snapToGrid w:val="0"/>
              <w:spacing w:line="400" w:lineRule="exact"/>
              <w:ind w:right="63"/>
              <w:jc w:val="center"/>
              <w:rPr>
                <w:rFonts w:ascii="宋体" w:hAnsi="宋体"/>
                <w:color w:val="000000" w:themeColor="text1"/>
                <w:szCs w:val="21"/>
              </w:rPr>
            </w:pPr>
            <w:r>
              <w:rPr>
                <w:rFonts w:hint="eastAsia" w:ascii="宋体" w:hAnsi="宋体" w:eastAsia="宋体" w:cs="宋体"/>
                <w:bCs/>
                <w:color w:val="000000" w:themeColor="text1"/>
                <w:szCs w:val="21"/>
              </w:rPr>
              <w:t>8分</w:t>
            </w:r>
          </w:p>
        </w:tc>
        <w:tc>
          <w:tcPr>
            <w:tcW w:w="6294" w:type="dxa"/>
          </w:tcPr>
          <w:p>
            <w:pPr>
              <w:widowControl/>
              <w:adjustRightInd w:val="0"/>
              <w:snapToGrid w:val="0"/>
              <w:spacing w:line="400" w:lineRule="exact"/>
              <w:ind w:right="-288"/>
              <w:rPr>
                <w:rFonts w:ascii="宋体" w:hAnsi="宋体" w:eastAsia="宋体" w:cs="宋体"/>
                <w:bCs/>
                <w:color w:val="000000" w:themeColor="text1"/>
                <w:szCs w:val="21"/>
              </w:rPr>
            </w:pPr>
            <w:r>
              <w:rPr>
                <w:rFonts w:hint="eastAsia" w:ascii="宋体" w:hAnsi="宋体" w:eastAsia="宋体" w:cs="宋体"/>
                <w:bCs/>
                <w:color w:val="000000" w:themeColor="text1"/>
                <w:szCs w:val="21"/>
              </w:rPr>
              <w:t>投标人所投产品从2019年1月1日以来具有学生营养餐供货</w:t>
            </w:r>
          </w:p>
          <w:p>
            <w:pPr>
              <w:widowControl/>
              <w:adjustRightInd w:val="0"/>
              <w:snapToGrid w:val="0"/>
              <w:spacing w:line="400" w:lineRule="exact"/>
              <w:ind w:right="-288"/>
              <w:rPr>
                <w:rFonts w:ascii="宋体" w:hAnsi="宋体" w:eastAsia="宋体" w:cs="宋体"/>
                <w:bCs/>
                <w:color w:val="000000" w:themeColor="text1"/>
                <w:szCs w:val="21"/>
              </w:rPr>
            </w:pPr>
            <w:r>
              <w:rPr>
                <w:rFonts w:hint="eastAsia" w:ascii="宋体" w:hAnsi="宋体" w:eastAsia="宋体" w:cs="宋体"/>
                <w:bCs/>
                <w:color w:val="000000" w:themeColor="text1"/>
                <w:szCs w:val="21"/>
              </w:rPr>
              <w:t>业绩的，每提供一项得2分，本项最高得8分。</w:t>
            </w:r>
          </w:p>
          <w:p>
            <w:pPr>
              <w:widowControl/>
              <w:adjustRightInd w:val="0"/>
              <w:snapToGrid w:val="0"/>
              <w:spacing w:line="400" w:lineRule="exact"/>
              <w:rPr>
                <w:b/>
                <w:color w:val="000000" w:themeColor="text1"/>
              </w:rPr>
            </w:pPr>
            <w:r>
              <w:rPr>
                <w:rFonts w:hint="eastAsia" w:ascii="宋体" w:hAnsi="宋体" w:eastAsia="宋体" w:cs="宋体"/>
                <w:bCs/>
                <w:color w:val="000000" w:themeColor="text1"/>
                <w:szCs w:val="21"/>
              </w:rPr>
              <w:t>（需提供中标通知书、中标结果网上公示截图、采购合同中必须体现投标产品品牌名称,以上要求必须同时满足，缺一项作无效业绩，不符合要求的不得分，</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r>
              <w:rPr>
                <w:rFonts w:hint="eastAsia" w:ascii="宋体" w:hAnsi="宋体" w:eastAsia="宋体" w:cs="宋体"/>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blHeader/>
          <w:jc w:val="center"/>
        </w:trPr>
        <w:tc>
          <w:tcPr>
            <w:tcW w:w="1726" w:type="dxa"/>
            <w:vMerge w:val="continue"/>
            <w:vAlign w:val="center"/>
          </w:tcPr>
          <w:p>
            <w:pPr>
              <w:widowControl/>
              <w:adjustRightInd w:val="0"/>
              <w:snapToGrid w:val="0"/>
              <w:spacing w:line="400" w:lineRule="exact"/>
              <w:ind w:right="63"/>
              <w:jc w:val="center"/>
              <w:rPr>
                <w:rFonts w:ascii="宋体" w:hAnsi="宋体" w:cs="宋体"/>
                <w:color w:val="000000" w:themeColor="text1"/>
                <w:szCs w:val="21"/>
              </w:rPr>
            </w:pPr>
          </w:p>
        </w:tc>
        <w:tc>
          <w:tcPr>
            <w:tcW w:w="1160" w:type="dxa"/>
            <w:vAlign w:val="center"/>
          </w:tcPr>
          <w:p>
            <w:pPr>
              <w:widowControl/>
              <w:adjustRightInd w:val="0"/>
              <w:snapToGrid w:val="0"/>
              <w:spacing w:line="400" w:lineRule="exact"/>
              <w:rPr>
                <w:rFonts w:ascii="宋体" w:hAnsi="宋体" w:eastAsia="宋体" w:cs="宋体"/>
                <w:bCs/>
                <w:color w:val="000000" w:themeColor="text1"/>
                <w:szCs w:val="21"/>
              </w:rPr>
            </w:pPr>
          </w:p>
          <w:p>
            <w:pPr>
              <w:widowControl/>
              <w:adjustRightInd w:val="0"/>
              <w:snapToGrid w:val="0"/>
              <w:spacing w:line="400" w:lineRule="exact"/>
              <w:jc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社会责任</w:t>
            </w:r>
          </w:p>
          <w:p>
            <w:pPr>
              <w:widowControl/>
              <w:adjustRightInd w:val="0"/>
              <w:snapToGrid w:val="0"/>
              <w:spacing w:line="400" w:lineRule="exact"/>
              <w:ind w:right="63"/>
              <w:rPr>
                <w:rFonts w:ascii="宋体" w:hAnsi="宋体"/>
                <w:color w:val="000000" w:themeColor="text1"/>
                <w:szCs w:val="21"/>
              </w:rPr>
            </w:pPr>
          </w:p>
        </w:tc>
        <w:tc>
          <w:tcPr>
            <w:tcW w:w="850" w:type="dxa"/>
            <w:vAlign w:val="center"/>
          </w:tcPr>
          <w:p>
            <w:pPr>
              <w:widowControl/>
              <w:adjustRightInd w:val="0"/>
              <w:snapToGrid w:val="0"/>
              <w:spacing w:line="400" w:lineRule="exact"/>
              <w:ind w:right="63"/>
              <w:jc w:val="center"/>
              <w:rPr>
                <w:rFonts w:ascii="宋体" w:hAnsi="宋体"/>
                <w:color w:val="000000" w:themeColor="text1"/>
                <w:szCs w:val="21"/>
              </w:rPr>
            </w:pPr>
            <w:r>
              <w:rPr>
                <w:rFonts w:hint="eastAsia" w:ascii="宋体" w:hAnsi="宋体" w:eastAsia="宋体" w:cs="宋体"/>
                <w:bCs/>
                <w:color w:val="000000" w:themeColor="text1"/>
                <w:szCs w:val="21"/>
              </w:rPr>
              <w:t>3分</w:t>
            </w:r>
          </w:p>
        </w:tc>
        <w:tc>
          <w:tcPr>
            <w:tcW w:w="6294" w:type="dxa"/>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bCs/>
                <w:color w:val="000000" w:themeColor="text1"/>
                <w:szCs w:val="21"/>
              </w:rPr>
              <w:t>供应商提供的产品是来自原贫困地区的农副产品得3分（提供采购产品所在地是原国家级贫困县的证明，</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r>
              <w:rPr>
                <w:rFonts w:hint="eastAsia" w:ascii="宋体" w:hAnsi="宋体" w:eastAsia="宋体" w:cs="宋体"/>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blHeader/>
          <w:jc w:val="center"/>
        </w:trPr>
        <w:tc>
          <w:tcPr>
            <w:tcW w:w="1726" w:type="dxa"/>
            <w:vMerge w:val="continue"/>
            <w:vAlign w:val="center"/>
          </w:tcPr>
          <w:p>
            <w:pPr>
              <w:widowControl/>
              <w:adjustRightInd w:val="0"/>
              <w:snapToGrid w:val="0"/>
              <w:spacing w:line="400" w:lineRule="exact"/>
              <w:ind w:right="63"/>
              <w:jc w:val="center"/>
              <w:rPr>
                <w:rFonts w:ascii="宋体" w:hAnsi="宋体" w:cs="宋体"/>
                <w:color w:val="000000" w:themeColor="text1"/>
                <w:szCs w:val="21"/>
              </w:rPr>
            </w:pPr>
          </w:p>
        </w:tc>
        <w:tc>
          <w:tcPr>
            <w:tcW w:w="1160" w:type="dxa"/>
            <w:vAlign w:val="center"/>
          </w:tcPr>
          <w:p>
            <w:pPr>
              <w:widowControl/>
              <w:adjustRightInd w:val="0"/>
              <w:snapToGrid w:val="0"/>
              <w:spacing w:line="400" w:lineRule="exact"/>
              <w:jc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荣誉证书</w:t>
            </w:r>
          </w:p>
        </w:tc>
        <w:tc>
          <w:tcPr>
            <w:tcW w:w="850" w:type="dxa"/>
            <w:vAlign w:val="center"/>
          </w:tcPr>
          <w:p>
            <w:pPr>
              <w:widowControl/>
              <w:adjustRightInd w:val="0"/>
              <w:snapToGrid w:val="0"/>
              <w:spacing w:line="400" w:lineRule="exact"/>
              <w:jc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5分</w:t>
            </w:r>
          </w:p>
        </w:tc>
        <w:tc>
          <w:tcPr>
            <w:tcW w:w="6294" w:type="dxa"/>
            <w:vAlign w:val="center"/>
          </w:tcPr>
          <w:p>
            <w:pPr>
              <w:widowControl/>
              <w:shd w:val="clear" w:color="auto" w:fill="FFFFFF"/>
              <w:adjustRightInd w:val="0"/>
              <w:snapToGrid w:val="0"/>
              <w:spacing w:line="400" w:lineRule="exact"/>
              <w:jc w:val="left"/>
              <w:rPr>
                <w:rFonts w:ascii="宋体" w:hAnsi="宋体" w:cs="宋体"/>
                <w:color w:val="000000" w:themeColor="text1"/>
                <w:szCs w:val="21"/>
              </w:rPr>
            </w:pPr>
            <w:r>
              <w:rPr>
                <w:rFonts w:hint="eastAsia" w:ascii="宋体" w:hAnsi="宋体" w:eastAsia="宋体" w:cs="宋体"/>
                <w:bCs/>
                <w:color w:val="000000" w:themeColor="text1"/>
                <w:szCs w:val="21"/>
              </w:rPr>
              <w:t>投标人所投产品品牌</w:t>
            </w:r>
            <w:r>
              <w:rPr>
                <w:rFonts w:hint="eastAsia" w:ascii="宋体" w:hAnsi="宋体" w:eastAsia="宋体" w:cs="宋体"/>
                <w:color w:val="000000" w:themeColor="text1"/>
                <w:szCs w:val="21"/>
              </w:rPr>
              <w:t>获得</w:t>
            </w:r>
            <w:r>
              <w:rPr>
                <w:rFonts w:hint="eastAsia" w:ascii="宋体" w:hAnsi="宋体" w:eastAsia="宋体" w:cs="宋体"/>
                <w:bCs/>
                <w:color w:val="000000" w:themeColor="text1"/>
                <w:szCs w:val="21"/>
              </w:rPr>
              <w:t>获得国家级获奖证书（官方机构）每个得1分；获得省级荣誉证书每个得0.5分，最高得5分。</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blHeader/>
          <w:jc w:val="center"/>
        </w:trPr>
        <w:tc>
          <w:tcPr>
            <w:tcW w:w="1726" w:type="dxa"/>
            <w:vMerge w:val="restart"/>
            <w:vAlign w:val="center"/>
          </w:tcPr>
          <w:p>
            <w:pPr>
              <w:widowControl/>
              <w:adjustRightInd w:val="0"/>
              <w:snapToGrid w:val="0"/>
              <w:spacing w:line="400" w:lineRule="exact"/>
              <w:ind w:right="63"/>
              <w:jc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技术部分</w:t>
            </w:r>
          </w:p>
          <w:p>
            <w:pPr>
              <w:widowControl/>
              <w:adjustRightInd w:val="0"/>
              <w:snapToGrid w:val="0"/>
              <w:spacing w:line="400" w:lineRule="exact"/>
              <w:rPr>
                <w:rFonts w:ascii="宋体" w:hAnsi="宋体" w:cs="宋体"/>
                <w:color w:val="000000" w:themeColor="text1"/>
                <w:szCs w:val="21"/>
              </w:rPr>
            </w:pPr>
            <w:r>
              <w:rPr>
                <w:rFonts w:hint="eastAsia" w:ascii="宋体" w:hAnsi="宋体" w:eastAsia="宋体" w:cs="宋体"/>
                <w:bCs/>
                <w:color w:val="000000" w:themeColor="text1"/>
                <w:szCs w:val="21"/>
              </w:rPr>
              <w:t>（产品质量及安全管理、售后服务）65分</w:t>
            </w:r>
          </w:p>
        </w:tc>
        <w:tc>
          <w:tcPr>
            <w:tcW w:w="1160" w:type="dxa"/>
            <w:vAlign w:val="center"/>
          </w:tcPr>
          <w:p>
            <w:pPr>
              <w:spacing w:line="460" w:lineRule="exact"/>
              <w:ind w:right="63"/>
              <w:jc w:val="center"/>
              <w:rPr>
                <w:rFonts w:ascii="宋体" w:hAnsi="宋体" w:cs="宋体"/>
                <w:color w:val="000000" w:themeColor="text1"/>
                <w:szCs w:val="21"/>
              </w:rPr>
            </w:pPr>
            <w:r>
              <w:rPr>
                <w:color w:val="000000" w:themeColor="text1"/>
                <w:kern w:val="1"/>
                <w:szCs w:val="21"/>
              </w:rPr>
              <w:t>技术响应</w:t>
            </w:r>
          </w:p>
        </w:tc>
        <w:tc>
          <w:tcPr>
            <w:tcW w:w="850" w:type="dxa"/>
            <w:vAlign w:val="center"/>
          </w:tcPr>
          <w:p>
            <w:pPr>
              <w:spacing w:line="460" w:lineRule="exact"/>
              <w:ind w:right="63"/>
              <w:jc w:val="center"/>
              <w:rPr>
                <w:rFonts w:ascii="宋体" w:hAnsi="宋体" w:cs="宋体"/>
                <w:color w:val="000000" w:themeColor="text1"/>
                <w:szCs w:val="21"/>
              </w:rPr>
            </w:pPr>
            <w:r>
              <w:rPr>
                <w:rFonts w:hint="eastAsia" w:ascii="宋体" w:hAnsi="宋体" w:eastAsia="宋体" w:cs="宋体"/>
                <w:color w:val="000000" w:themeColor="text1"/>
                <w:szCs w:val="21"/>
              </w:rPr>
              <w:t>8分</w:t>
            </w:r>
          </w:p>
        </w:tc>
        <w:tc>
          <w:tcPr>
            <w:tcW w:w="6294" w:type="dxa"/>
            <w:vAlign w:val="center"/>
          </w:tcPr>
          <w:p>
            <w:pPr>
              <w:tabs>
                <w:tab w:val="left" w:pos="4995"/>
              </w:tabs>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根据供货产品的质量、规格、营养指标和营养成分完全响应项目参数要求的得8分，一项不满足的扣2分，扣完为止；带*号参数不得负偏离否则作废标处理。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blHeader/>
          <w:jc w:val="center"/>
        </w:trPr>
        <w:tc>
          <w:tcPr>
            <w:tcW w:w="1726" w:type="dxa"/>
            <w:vMerge w:val="continue"/>
            <w:vAlign w:val="center"/>
          </w:tcPr>
          <w:p>
            <w:pPr>
              <w:widowControl/>
              <w:adjustRightInd w:val="0"/>
              <w:snapToGrid w:val="0"/>
              <w:spacing w:line="400" w:lineRule="exact"/>
              <w:rPr>
                <w:rFonts w:ascii="宋体" w:hAnsi="宋体" w:eastAsia="宋体" w:cs="宋体"/>
                <w:bCs/>
                <w:color w:val="000000" w:themeColor="text1"/>
                <w:szCs w:val="21"/>
              </w:rPr>
            </w:pPr>
          </w:p>
        </w:tc>
        <w:tc>
          <w:tcPr>
            <w:tcW w:w="1160" w:type="dxa"/>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bCs/>
                <w:color w:val="000000" w:themeColor="text1"/>
                <w:szCs w:val="21"/>
              </w:rPr>
              <w:t>企业声誉</w:t>
            </w:r>
          </w:p>
        </w:tc>
        <w:tc>
          <w:tcPr>
            <w:tcW w:w="850" w:type="dxa"/>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bCs/>
                <w:color w:val="000000" w:themeColor="text1"/>
                <w:szCs w:val="21"/>
              </w:rPr>
              <w:t>15分</w:t>
            </w:r>
          </w:p>
        </w:tc>
        <w:tc>
          <w:tcPr>
            <w:tcW w:w="6294" w:type="dxa"/>
            <w:vAlign w:val="center"/>
          </w:tcPr>
          <w:p>
            <w:pPr>
              <w:widowControl/>
              <w:adjustRightInd w:val="0"/>
              <w:snapToGrid w:val="0"/>
              <w:spacing w:line="400" w:lineRule="exact"/>
              <w:rPr>
                <w:rFonts w:ascii="宋体" w:hAnsi="宋体" w:eastAsia="宋体" w:cs="宋体"/>
                <w:bCs/>
                <w:color w:val="000000" w:themeColor="text1"/>
                <w:szCs w:val="21"/>
              </w:rPr>
            </w:pPr>
            <w:r>
              <w:rPr>
                <w:rFonts w:hint="eastAsia" w:ascii="宋体" w:hAnsi="宋体" w:eastAsia="宋体" w:cs="宋体"/>
                <w:bCs/>
                <w:color w:val="000000" w:themeColor="text1"/>
                <w:szCs w:val="21"/>
              </w:rPr>
              <w:t>1、生产蛋糕、面包品牌所属企业获得农业部颁发的农业产业化国家重点龙头企业得 5 分；获得省级的得3分；市级的得1分；（按最高级计分，没有不得分）；</w:t>
            </w:r>
          </w:p>
          <w:p>
            <w:pPr>
              <w:widowControl/>
              <w:adjustRightInd w:val="0"/>
              <w:snapToGrid w:val="0"/>
              <w:spacing w:line="400" w:lineRule="exact"/>
              <w:rPr>
                <w:rFonts w:ascii="宋体" w:hAnsi="宋体" w:eastAsia="宋体" w:cs="宋体"/>
                <w:bCs/>
                <w:color w:val="000000" w:themeColor="text1"/>
                <w:szCs w:val="21"/>
              </w:rPr>
            </w:pPr>
            <w:r>
              <w:rPr>
                <w:rFonts w:hint="eastAsia" w:ascii="宋体" w:hAnsi="宋体" w:eastAsia="宋体" w:cs="宋体"/>
                <w:bCs/>
                <w:color w:val="000000" w:themeColor="text1"/>
                <w:szCs w:val="21"/>
              </w:rPr>
              <w:t>2、生产蛋糕、面包品牌所属企业获得农业部颁发的全国主食加工示范企业得 5 分；(提供证书原件备查和网址查询，否则不得分)；</w:t>
            </w:r>
          </w:p>
          <w:p>
            <w:pPr>
              <w:widowControl/>
              <w:adjustRightInd w:val="0"/>
              <w:snapToGrid w:val="0"/>
              <w:spacing w:line="400" w:lineRule="exact"/>
              <w:rPr>
                <w:rFonts w:ascii="宋体" w:hAnsi="宋体" w:eastAsia="宋体" w:cs="宋体"/>
                <w:bCs/>
                <w:color w:val="000000" w:themeColor="text1"/>
                <w:szCs w:val="21"/>
              </w:rPr>
            </w:pPr>
            <w:r>
              <w:rPr>
                <w:rFonts w:hint="eastAsia" w:ascii="宋体" w:hAnsi="宋体" w:eastAsia="宋体" w:cs="宋体"/>
                <w:bCs/>
                <w:color w:val="000000" w:themeColor="text1"/>
                <w:szCs w:val="21"/>
              </w:rPr>
              <w:t>3、生产蛋糕、面包品牌所属企业获得国家级驰名商标称号的得 5分，获得省级的得3分；（国家级和省级不重复计分,按最高级计分，没有不得分）；</w:t>
            </w:r>
          </w:p>
          <w:p>
            <w:pPr>
              <w:widowControl/>
              <w:shd w:val="clear" w:color="auto" w:fill="FFFFFF"/>
              <w:adjustRightInd w:val="0"/>
              <w:snapToGrid w:val="0"/>
              <w:spacing w:line="400" w:lineRule="exact"/>
              <w:rPr>
                <w:rFonts w:ascii="宋体" w:hAnsi="宋体"/>
                <w:color w:val="000000" w:themeColor="text1"/>
                <w:szCs w:val="21"/>
              </w:rPr>
            </w:pPr>
            <w:r>
              <w:rPr>
                <w:rFonts w:hint="eastAsia" w:ascii="宋体" w:hAnsi="宋体" w:eastAsia="宋体" w:cs="宋体"/>
                <w:bCs/>
                <w:color w:val="000000" w:themeColor="text1"/>
                <w:szCs w:val="21"/>
              </w:rPr>
              <w:t>（</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r>
              <w:rPr>
                <w:rFonts w:hint="eastAsia" w:ascii="宋体" w:hAnsi="宋体" w:eastAsia="宋体" w:cs="宋体"/>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tblHeader/>
          <w:jc w:val="center"/>
        </w:trPr>
        <w:tc>
          <w:tcPr>
            <w:tcW w:w="1726" w:type="dxa"/>
            <w:vMerge w:val="continue"/>
            <w:vAlign w:val="center"/>
          </w:tcPr>
          <w:p>
            <w:pPr>
              <w:widowControl/>
              <w:adjustRightInd w:val="0"/>
              <w:snapToGrid w:val="0"/>
              <w:spacing w:line="400" w:lineRule="exact"/>
              <w:ind w:right="63"/>
              <w:rPr>
                <w:color w:val="000000" w:themeColor="text1"/>
                <w:szCs w:val="21"/>
              </w:rPr>
            </w:pPr>
          </w:p>
        </w:tc>
        <w:tc>
          <w:tcPr>
            <w:tcW w:w="1160" w:type="dxa"/>
            <w:vAlign w:val="center"/>
          </w:tcPr>
          <w:p>
            <w:pPr>
              <w:widowControl/>
              <w:adjustRightInd w:val="0"/>
              <w:snapToGrid w:val="0"/>
              <w:spacing w:line="400" w:lineRule="exact"/>
              <w:jc w:val="center"/>
              <w:rPr>
                <w:color w:val="000000" w:themeColor="text1"/>
                <w:szCs w:val="21"/>
              </w:rPr>
            </w:pPr>
            <w:r>
              <w:rPr>
                <w:rFonts w:hint="eastAsia" w:ascii="宋体" w:hAnsi="宋体" w:eastAsia="宋体" w:cs="宋体"/>
                <w:bCs/>
                <w:color w:val="000000" w:themeColor="text1"/>
                <w:szCs w:val="21"/>
              </w:rPr>
              <w:t>生产企业相关认证</w:t>
            </w:r>
          </w:p>
        </w:tc>
        <w:tc>
          <w:tcPr>
            <w:tcW w:w="850" w:type="dxa"/>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bCs/>
                <w:color w:val="000000" w:themeColor="text1"/>
                <w:szCs w:val="21"/>
              </w:rPr>
              <w:t>10分</w:t>
            </w:r>
          </w:p>
        </w:tc>
        <w:tc>
          <w:tcPr>
            <w:tcW w:w="6294" w:type="dxa"/>
            <w:vAlign w:val="center"/>
          </w:tcPr>
          <w:p>
            <w:pPr>
              <w:widowControl/>
              <w:adjustRightInd w:val="0"/>
              <w:snapToGrid w:val="0"/>
              <w:spacing w:line="400" w:lineRule="exact"/>
              <w:ind w:right="63"/>
              <w:rPr>
                <w:rFonts w:ascii="宋体" w:hAnsi="宋体" w:eastAsia="宋体" w:cs="宋体"/>
                <w:bCs/>
                <w:color w:val="000000" w:themeColor="text1"/>
                <w:szCs w:val="21"/>
              </w:rPr>
            </w:pPr>
            <w:r>
              <w:rPr>
                <w:rFonts w:hint="eastAsia" w:ascii="宋体" w:hAnsi="宋体" w:eastAsia="宋体" w:cs="宋体"/>
                <w:bCs/>
                <w:color w:val="000000" w:themeColor="text1"/>
                <w:szCs w:val="21"/>
              </w:rPr>
              <w:t>1、通过ISO9001质量管理体系认证的得1.5分；</w:t>
            </w:r>
          </w:p>
          <w:p>
            <w:pPr>
              <w:widowControl/>
              <w:adjustRightInd w:val="0"/>
              <w:snapToGrid w:val="0"/>
              <w:spacing w:line="400" w:lineRule="exact"/>
              <w:ind w:right="63"/>
              <w:rPr>
                <w:rFonts w:ascii="宋体" w:hAnsi="宋体" w:eastAsia="宋体" w:cs="宋体"/>
                <w:bCs/>
                <w:color w:val="000000" w:themeColor="text1"/>
                <w:szCs w:val="21"/>
              </w:rPr>
            </w:pPr>
            <w:r>
              <w:rPr>
                <w:rFonts w:hint="eastAsia" w:ascii="宋体" w:hAnsi="宋体" w:eastAsia="宋体" w:cs="宋体"/>
                <w:bCs/>
                <w:color w:val="000000" w:themeColor="text1"/>
                <w:szCs w:val="21"/>
              </w:rPr>
              <w:t>2、通过ISO14001环境管理体系认证的得1.5分；</w:t>
            </w:r>
          </w:p>
          <w:p>
            <w:pPr>
              <w:widowControl/>
              <w:adjustRightInd w:val="0"/>
              <w:snapToGrid w:val="0"/>
              <w:spacing w:line="400" w:lineRule="exact"/>
              <w:ind w:right="63"/>
              <w:rPr>
                <w:rFonts w:ascii="宋体" w:hAnsi="宋体" w:eastAsia="宋体" w:cs="宋体"/>
                <w:bCs/>
                <w:color w:val="000000" w:themeColor="text1"/>
                <w:szCs w:val="21"/>
              </w:rPr>
            </w:pPr>
            <w:r>
              <w:rPr>
                <w:rFonts w:hint="eastAsia" w:ascii="宋体" w:hAnsi="宋体" w:eastAsia="宋体" w:cs="宋体"/>
                <w:bCs/>
                <w:color w:val="000000" w:themeColor="text1"/>
                <w:szCs w:val="21"/>
              </w:rPr>
              <w:t>3、通过OHSAS18001职业健康及安全管理体系认证的得1.5分；</w:t>
            </w:r>
          </w:p>
          <w:p>
            <w:pPr>
              <w:widowControl/>
              <w:adjustRightInd w:val="0"/>
              <w:snapToGrid w:val="0"/>
              <w:spacing w:line="400" w:lineRule="exact"/>
              <w:ind w:right="63"/>
              <w:rPr>
                <w:rFonts w:ascii="宋体" w:hAnsi="宋体" w:eastAsia="宋体" w:cs="宋体"/>
                <w:bCs/>
                <w:color w:val="000000" w:themeColor="text1"/>
                <w:szCs w:val="21"/>
              </w:rPr>
            </w:pPr>
            <w:r>
              <w:rPr>
                <w:rFonts w:hint="eastAsia" w:ascii="宋体" w:hAnsi="宋体" w:eastAsia="宋体" w:cs="宋体"/>
                <w:bCs/>
                <w:color w:val="000000" w:themeColor="text1"/>
                <w:szCs w:val="21"/>
              </w:rPr>
              <w:t>4、通过HACCP危害分析及关键点的控制体系认证的得1.5分；</w:t>
            </w:r>
          </w:p>
          <w:p>
            <w:pPr>
              <w:widowControl/>
              <w:adjustRightInd w:val="0"/>
              <w:snapToGrid w:val="0"/>
              <w:spacing w:line="400" w:lineRule="exact"/>
              <w:ind w:right="63"/>
              <w:rPr>
                <w:rFonts w:ascii="宋体" w:hAnsi="宋体" w:eastAsia="宋体" w:cs="宋体"/>
                <w:bCs/>
                <w:color w:val="000000" w:themeColor="text1"/>
                <w:szCs w:val="21"/>
              </w:rPr>
            </w:pPr>
            <w:r>
              <w:rPr>
                <w:rFonts w:hint="eastAsia" w:ascii="宋体" w:hAnsi="宋体" w:eastAsia="宋体" w:cs="宋体"/>
                <w:bCs/>
                <w:color w:val="000000" w:themeColor="text1"/>
                <w:szCs w:val="21"/>
              </w:rPr>
              <w:t>5、通过GB/T33300或QB-T4111 食品工业企业诚信管理体系认证证书的得2 分；</w:t>
            </w:r>
          </w:p>
          <w:p>
            <w:pPr>
              <w:widowControl/>
              <w:adjustRightInd w:val="0"/>
              <w:snapToGrid w:val="0"/>
              <w:spacing w:line="400" w:lineRule="exact"/>
              <w:ind w:right="63"/>
              <w:rPr>
                <w:rFonts w:ascii="宋体" w:hAnsi="宋体" w:eastAsia="宋体" w:cs="宋体"/>
                <w:bCs/>
                <w:color w:val="000000" w:themeColor="text1"/>
                <w:szCs w:val="21"/>
              </w:rPr>
            </w:pPr>
            <w:r>
              <w:rPr>
                <w:rFonts w:hint="eastAsia" w:ascii="宋体" w:hAnsi="宋体" w:eastAsia="宋体" w:cs="宋体"/>
                <w:bCs/>
                <w:color w:val="000000" w:themeColor="text1"/>
                <w:szCs w:val="21"/>
              </w:rPr>
              <w:t>6、通过ISO22000食品安全管理体系认证的得2分；</w:t>
            </w:r>
          </w:p>
          <w:p>
            <w:pPr>
              <w:widowControl/>
              <w:adjustRightInd w:val="0"/>
              <w:snapToGrid w:val="0"/>
              <w:spacing w:line="400" w:lineRule="exact"/>
              <w:ind w:right="63"/>
              <w:rPr>
                <w:rFonts w:ascii="宋体" w:hAnsi="宋体"/>
                <w:color w:val="000000" w:themeColor="text1"/>
                <w:szCs w:val="21"/>
              </w:rPr>
            </w:pPr>
            <w:r>
              <w:rPr>
                <w:rFonts w:hint="eastAsia" w:ascii="宋体" w:hAnsi="宋体" w:eastAsia="宋体" w:cs="宋体"/>
                <w:bCs/>
                <w:color w:val="000000" w:themeColor="text1"/>
                <w:szCs w:val="21"/>
              </w:rPr>
              <w:t>（提供网上公示信息网上截屏或发证单位联系方式，并提供原件扫描件备查）；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blHeader/>
          <w:jc w:val="center"/>
        </w:trPr>
        <w:tc>
          <w:tcPr>
            <w:tcW w:w="1726" w:type="dxa"/>
            <w:vMerge w:val="continue"/>
            <w:vAlign w:val="center"/>
          </w:tcPr>
          <w:p>
            <w:pPr>
              <w:widowControl/>
              <w:adjustRightInd w:val="0"/>
              <w:snapToGrid w:val="0"/>
              <w:spacing w:line="400" w:lineRule="exact"/>
              <w:ind w:right="63"/>
              <w:rPr>
                <w:color w:val="000000" w:themeColor="text1"/>
                <w:szCs w:val="21"/>
              </w:rPr>
            </w:pPr>
          </w:p>
        </w:tc>
        <w:tc>
          <w:tcPr>
            <w:tcW w:w="1160" w:type="dxa"/>
            <w:vAlign w:val="center"/>
          </w:tcPr>
          <w:p>
            <w:pPr>
              <w:widowControl/>
              <w:adjustRightInd w:val="0"/>
              <w:snapToGrid w:val="0"/>
              <w:spacing w:line="400" w:lineRule="exact"/>
              <w:jc w:val="center"/>
              <w:rPr>
                <w:color w:val="000000" w:themeColor="text1"/>
                <w:szCs w:val="21"/>
              </w:rPr>
            </w:pPr>
            <w:r>
              <w:rPr>
                <w:rFonts w:hint="eastAsia" w:ascii="宋体" w:hAnsi="宋体" w:eastAsia="宋体" w:cs="宋体"/>
                <w:bCs/>
                <w:color w:val="000000" w:themeColor="text1"/>
                <w:szCs w:val="21"/>
              </w:rPr>
              <w:t>产品信誉</w:t>
            </w:r>
          </w:p>
        </w:tc>
        <w:tc>
          <w:tcPr>
            <w:tcW w:w="850" w:type="dxa"/>
            <w:vAlign w:val="center"/>
          </w:tcPr>
          <w:p>
            <w:pPr>
              <w:widowControl/>
              <w:adjustRightInd w:val="0"/>
              <w:snapToGrid w:val="0"/>
              <w:spacing w:line="400" w:lineRule="exact"/>
              <w:jc w:val="center"/>
              <w:rPr>
                <w:color w:val="000000" w:themeColor="text1"/>
                <w:szCs w:val="21"/>
              </w:rPr>
            </w:pPr>
            <w:r>
              <w:rPr>
                <w:rFonts w:hint="eastAsia" w:ascii="宋体" w:hAnsi="宋体" w:eastAsia="宋体" w:cs="宋体"/>
                <w:bCs/>
                <w:color w:val="000000" w:themeColor="text1"/>
                <w:szCs w:val="21"/>
              </w:rPr>
              <w:t>6分</w:t>
            </w:r>
          </w:p>
        </w:tc>
        <w:tc>
          <w:tcPr>
            <w:tcW w:w="6294" w:type="dxa"/>
            <w:vAlign w:val="center"/>
          </w:tcPr>
          <w:p>
            <w:pPr>
              <w:widowControl/>
              <w:adjustRightInd w:val="0"/>
              <w:snapToGrid w:val="0"/>
              <w:spacing w:line="400" w:lineRule="exact"/>
              <w:ind w:right="63"/>
              <w:rPr>
                <w:rFonts w:ascii="宋体" w:hAnsi="宋体"/>
                <w:color w:val="000000" w:themeColor="text1"/>
                <w:szCs w:val="21"/>
              </w:rPr>
            </w:pPr>
            <w:r>
              <w:rPr>
                <w:rFonts w:hint="eastAsia" w:ascii="宋体" w:hAnsi="宋体" w:eastAsia="宋体" w:cs="宋体"/>
                <w:bCs/>
                <w:color w:val="000000" w:themeColor="text1"/>
                <w:szCs w:val="21"/>
              </w:rPr>
              <w:t>投标人所投产品</w:t>
            </w:r>
            <w:r>
              <w:rPr>
                <w:rFonts w:hint="eastAsia" w:ascii="宋体" w:hAnsi="宋体" w:eastAsia="宋体" w:cs="宋体"/>
                <w:color w:val="000000" w:themeColor="text1"/>
                <w:szCs w:val="21"/>
              </w:rPr>
              <w:t>获得过国家级以上赛事指定用品或活动指定用品的，每一项得2分，获得省级以上赛事指定用品或活动指定用品的，一项得1分，本项最高得6分。（</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r>
              <w:rPr>
                <w:rFonts w:hint="eastAsia" w:ascii="宋体" w:hAnsi="宋体" w:eastAsia="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blHeader/>
          <w:jc w:val="center"/>
        </w:trPr>
        <w:tc>
          <w:tcPr>
            <w:tcW w:w="1726" w:type="dxa"/>
            <w:vMerge w:val="continue"/>
            <w:vAlign w:val="center"/>
          </w:tcPr>
          <w:p>
            <w:pPr>
              <w:widowControl/>
              <w:adjustRightInd w:val="0"/>
              <w:snapToGrid w:val="0"/>
              <w:spacing w:line="400" w:lineRule="exact"/>
              <w:ind w:right="63"/>
              <w:rPr>
                <w:color w:val="000000" w:themeColor="text1"/>
                <w:szCs w:val="21"/>
              </w:rPr>
            </w:pPr>
          </w:p>
        </w:tc>
        <w:tc>
          <w:tcPr>
            <w:tcW w:w="1160" w:type="dxa"/>
            <w:vAlign w:val="center"/>
          </w:tcPr>
          <w:p>
            <w:pPr>
              <w:widowControl/>
              <w:adjustRightInd w:val="0"/>
              <w:snapToGrid w:val="0"/>
              <w:spacing w:line="400" w:lineRule="exact"/>
              <w:jc w:val="center"/>
              <w:rPr>
                <w:color w:val="000000" w:themeColor="text1"/>
                <w:szCs w:val="21"/>
              </w:rPr>
            </w:pPr>
            <w:r>
              <w:rPr>
                <w:rFonts w:hint="eastAsia" w:ascii="宋体" w:hAnsi="宋体" w:eastAsia="宋体" w:cs="宋体"/>
                <w:bCs/>
                <w:color w:val="000000" w:themeColor="text1"/>
                <w:szCs w:val="21"/>
              </w:rPr>
              <w:t>食品安全责任保险</w:t>
            </w:r>
          </w:p>
        </w:tc>
        <w:tc>
          <w:tcPr>
            <w:tcW w:w="850" w:type="dxa"/>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bCs/>
                <w:color w:val="000000" w:themeColor="text1"/>
                <w:szCs w:val="21"/>
              </w:rPr>
              <w:t>8分</w:t>
            </w:r>
          </w:p>
        </w:tc>
        <w:tc>
          <w:tcPr>
            <w:tcW w:w="6294" w:type="dxa"/>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bCs/>
                <w:color w:val="000000" w:themeColor="text1"/>
                <w:szCs w:val="21"/>
              </w:rPr>
              <w:t>本项目必须提供蛋糕、面包生产企业针对本次所投产品的《产品责任保险》，6000万元至8000万元保额得8分（含6000万），4000万元至5000万元保额（含4000万）得4分，4000万元以下保额得1分，不提供不得分。（</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r>
              <w:rPr>
                <w:rFonts w:hint="eastAsia" w:ascii="宋体" w:hAnsi="宋体" w:eastAsia="宋体" w:cs="宋体"/>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blHeader/>
          <w:jc w:val="center"/>
        </w:trPr>
        <w:tc>
          <w:tcPr>
            <w:tcW w:w="1726" w:type="dxa"/>
            <w:vMerge w:val="continue"/>
            <w:vAlign w:val="center"/>
          </w:tcPr>
          <w:p>
            <w:pPr>
              <w:widowControl/>
              <w:adjustRightInd w:val="0"/>
              <w:snapToGrid w:val="0"/>
              <w:spacing w:line="400" w:lineRule="exact"/>
              <w:ind w:right="63"/>
              <w:rPr>
                <w:color w:val="000000" w:themeColor="text1"/>
                <w:szCs w:val="21"/>
              </w:rPr>
            </w:pPr>
          </w:p>
        </w:tc>
        <w:tc>
          <w:tcPr>
            <w:tcW w:w="1160" w:type="dxa"/>
            <w:vAlign w:val="center"/>
          </w:tcPr>
          <w:p>
            <w:pPr>
              <w:widowControl/>
              <w:adjustRightInd w:val="0"/>
              <w:snapToGrid w:val="0"/>
              <w:spacing w:line="400" w:lineRule="exact"/>
              <w:jc w:val="center"/>
              <w:rPr>
                <w:color w:val="000000" w:themeColor="text1"/>
                <w:szCs w:val="21"/>
                <w:shd w:val="clear" w:color="auto" w:fill="auto"/>
              </w:rPr>
            </w:pPr>
            <w:r>
              <w:rPr>
                <w:rFonts w:hint="eastAsia" w:ascii="宋体" w:hAnsi="宋体" w:eastAsia="宋体" w:cs="宋体"/>
                <w:bCs/>
                <w:color w:val="000000" w:themeColor="text1"/>
                <w:szCs w:val="21"/>
                <w:shd w:val="clear" w:color="auto" w:fill="auto"/>
              </w:rPr>
              <w:t>样品品质</w:t>
            </w:r>
          </w:p>
        </w:tc>
        <w:tc>
          <w:tcPr>
            <w:tcW w:w="850" w:type="dxa"/>
            <w:vAlign w:val="center"/>
          </w:tcPr>
          <w:p>
            <w:pPr>
              <w:widowControl/>
              <w:adjustRightInd w:val="0"/>
              <w:snapToGrid w:val="0"/>
              <w:spacing w:line="400" w:lineRule="exact"/>
              <w:jc w:val="center"/>
              <w:rPr>
                <w:color w:val="000000" w:themeColor="text1"/>
                <w:szCs w:val="21"/>
                <w:shd w:val="clear" w:color="auto" w:fill="auto"/>
              </w:rPr>
            </w:pPr>
            <w:r>
              <w:rPr>
                <w:rFonts w:hint="eastAsia" w:ascii="宋体" w:hAnsi="宋体" w:eastAsia="宋体" w:cs="宋体"/>
                <w:bCs/>
                <w:color w:val="000000" w:themeColor="text1"/>
                <w:szCs w:val="21"/>
                <w:shd w:val="clear" w:color="auto" w:fill="auto"/>
              </w:rPr>
              <w:t>5分</w:t>
            </w:r>
          </w:p>
        </w:tc>
        <w:tc>
          <w:tcPr>
            <w:tcW w:w="6294" w:type="dxa"/>
            <w:vAlign w:val="center"/>
          </w:tcPr>
          <w:p>
            <w:pPr>
              <w:widowControl/>
              <w:adjustRightInd w:val="0"/>
              <w:snapToGrid w:val="0"/>
              <w:spacing w:line="400" w:lineRule="exact"/>
              <w:rPr>
                <w:color w:val="000000" w:themeColor="text1"/>
                <w:szCs w:val="21"/>
                <w:shd w:val="clear" w:color="auto" w:fill="auto"/>
              </w:rPr>
            </w:pPr>
            <w:r>
              <w:rPr>
                <w:rFonts w:hint="eastAsia" w:ascii="宋体" w:hAnsi="宋体" w:eastAsia="宋体" w:cs="宋体"/>
                <w:bCs/>
                <w:color w:val="000000" w:themeColor="text1"/>
                <w:szCs w:val="21"/>
                <w:shd w:val="clear" w:color="auto" w:fill="auto"/>
              </w:rPr>
              <w:t>评委品尝样品，依据样品的包装材料、包装上的营养成分及检测报告；结合形态，色泽，滋味与口感，综合评价优的得4-5分，综合评价良好的得2-3分，综合评价一般的得1分。（样品必须与配送至学校的产品一致，未提供样品不得分）；（最高</w:t>
            </w:r>
            <w:r>
              <w:rPr>
                <w:rFonts w:hint="eastAsia" w:ascii="宋体" w:hAnsi="宋体" w:eastAsia="宋体" w:cs="宋体"/>
                <w:bCs/>
                <w:color w:val="000000" w:themeColor="text1"/>
                <w:szCs w:val="21"/>
                <w:shd w:val="clear" w:color="auto" w:fill="auto"/>
                <w:lang w:val="en-US" w:eastAsia="zh-CN"/>
              </w:rPr>
              <w:t>5</w:t>
            </w:r>
            <w:r>
              <w:rPr>
                <w:rFonts w:hint="eastAsia" w:ascii="宋体" w:hAnsi="宋体" w:eastAsia="宋体" w:cs="宋体"/>
                <w:bCs/>
                <w:color w:val="000000" w:themeColor="text1"/>
                <w:szCs w:val="21"/>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blHeader/>
          <w:jc w:val="center"/>
        </w:trPr>
        <w:tc>
          <w:tcPr>
            <w:tcW w:w="1726" w:type="dxa"/>
            <w:vMerge w:val="continue"/>
            <w:vAlign w:val="center"/>
          </w:tcPr>
          <w:p>
            <w:pPr>
              <w:widowControl/>
              <w:adjustRightInd w:val="0"/>
              <w:snapToGrid w:val="0"/>
              <w:spacing w:line="400" w:lineRule="exact"/>
              <w:ind w:right="63"/>
              <w:rPr>
                <w:color w:val="000000" w:themeColor="text1"/>
                <w:szCs w:val="21"/>
              </w:rPr>
            </w:pPr>
          </w:p>
        </w:tc>
        <w:tc>
          <w:tcPr>
            <w:tcW w:w="1160" w:type="dxa"/>
            <w:vAlign w:val="center"/>
          </w:tcPr>
          <w:p>
            <w:pPr>
              <w:widowControl/>
              <w:adjustRightInd w:val="0"/>
              <w:snapToGrid w:val="0"/>
              <w:spacing w:line="400" w:lineRule="exact"/>
              <w:jc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服务方案</w:t>
            </w:r>
          </w:p>
        </w:tc>
        <w:tc>
          <w:tcPr>
            <w:tcW w:w="850" w:type="dxa"/>
            <w:vAlign w:val="center"/>
          </w:tcPr>
          <w:p>
            <w:pPr>
              <w:widowControl/>
              <w:adjustRightInd w:val="0"/>
              <w:snapToGrid w:val="0"/>
              <w:spacing w:line="400" w:lineRule="exact"/>
              <w:jc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13分</w:t>
            </w:r>
          </w:p>
        </w:tc>
        <w:tc>
          <w:tcPr>
            <w:tcW w:w="6294" w:type="dxa"/>
            <w:vAlign w:val="center"/>
          </w:tcPr>
          <w:p>
            <w:pPr>
              <w:widowControl/>
              <w:adjustRightInd w:val="0"/>
              <w:snapToGrid w:val="0"/>
              <w:spacing w:line="400" w:lineRule="exact"/>
              <w:rPr>
                <w:rFonts w:ascii="宋体" w:hAnsi="宋体" w:eastAsia="宋体" w:cs="宋体"/>
                <w:bCs/>
                <w:color w:val="000000" w:themeColor="text1"/>
                <w:szCs w:val="21"/>
              </w:rPr>
            </w:pPr>
            <w:r>
              <w:rPr>
                <w:rFonts w:hint="eastAsia" w:ascii="宋体" w:hAnsi="宋体" w:eastAsia="宋体" w:cs="宋体"/>
                <w:bCs/>
                <w:color w:val="000000" w:themeColor="text1"/>
                <w:szCs w:val="21"/>
              </w:rPr>
              <w:t>1、供应商根据本项目要求与实际情况制定全面详细、切实可行的：产品仓储、配送、交货方案（包含产品出厂后的仓储安排环境条件）、配送计划安排、配送机构设置等指标），由评标委员会根据以上三个方面对每个方案综合评价后打分。全面详细、切实可行、科学合理得3分，全面详细、切实可行得1分；（最高3分）</w:t>
            </w:r>
          </w:p>
          <w:p>
            <w:pPr>
              <w:widowControl/>
              <w:adjustRightInd w:val="0"/>
              <w:snapToGrid w:val="0"/>
              <w:spacing w:line="400" w:lineRule="exact"/>
              <w:rPr>
                <w:rFonts w:ascii="宋体" w:hAnsi="宋体" w:eastAsia="宋体" w:cs="宋体"/>
                <w:bCs/>
                <w:color w:val="000000" w:themeColor="text1"/>
                <w:szCs w:val="21"/>
              </w:rPr>
            </w:pPr>
          </w:p>
          <w:p>
            <w:pPr>
              <w:widowControl/>
              <w:adjustRightInd w:val="0"/>
              <w:snapToGrid w:val="0"/>
              <w:spacing w:line="400" w:lineRule="exact"/>
              <w:rPr>
                <w:rFonts w:ascii="宋体" w:hAnsi="宋体" w:eastAsia="宋体" w:cs="宋体"/>
                <w:bCs/>
                <w:color w:val="000000" w:themeColor="text1"/>
                <w:szCs w:val="21"/>
              </w:rPr>
            </w:pPr>
            <w:r>
              <w:rPr>
                <w:rFonts w:hint="eastAsia" w:ascii="宋体" w:hAnsi="宋体" w:eastAsia="宋体" w:cs="宋体"/>
                <w:bCs/>
                <w:color w:val="000000" w:themeColor="text1"/>
                <w:szCs w:val="21"/>
              </w:rPr>
              <w:t>2、供应商针对本项目提出切实可行的售后服务方案与承诺，制定有效的：跟踪服务计划、人员培训方案及定期回访制度，售后服务的可行性、便捷性，质量承诺及其他更优的售后服务承诺，由评标委员会综合评价后酌情打分，计划方案及承诺全面详细、切实可行、科学合理得3分，全面详细、切实可行得1分；（最高3分）</w:t>
            </w:r>
          </w:p>
          <w:p>
            <w:pPr>
              <w:pStyle w:val="5"/>
              <w:rPr>
                <w:color w:val="000000" w:themeColor="text1"/>
              </w:rPr>
            </w:pPr>
          </w:p>
          <w:p>
            <w:pPr>
              <w:widowControl/>
              <w:adjustRightInd w:val="0"/>
              <w:snapToGrid w:val="0"/>
              <w:spacing w:line="400" w:lineRule="exact"/>
              <w:rPr>
                <w:rFonts w:ascii="宋体" w:hAnsi="宋体" w:eastAsia="宋体" w:cs="宋体"/>
                <w:bCs/>
                <w:color w:val="000000" w:themeColor="text1"/>
                <w:szCs w:val="21"/>
              </w:rPr>
            </w:pPr>
            <w:r>
              <w:rPr>
                <w:rFonts w:hint="eastAsia" w:ascii="宋体" w:hAnsi="宋体" w:eastAsia="宋体" w:cs="宋体"/>
                <w:bCs/>
                <w:color w:val="000000" w:themeColor="text1"/>
                <w:szCs w:val="21"/>
              </w:rPr>
              <w:t>3、供应商制定完善的食品安全事故应急处理方案，包括：组织机构、应急措施、人员救治、危害控制、事故调查、善后处理、舆情应对等方面，由评标委员会进行评定，计划方案全面详细、切实可行、科学合理得3分,全面详细、切实可行得1分；（最高3分）</w:t>
            </w:r>
          </w:p>
          <w:p>
            <w:pPr>
              <w:widowControl/>
              <w:adjustRightInd w:val="0"/>
              <w:snapToGrid w:val="0"/>
              <w:spacing w:line="400" w:lineRule="exact"/>
              <w:rPr>
                <w:rFonts w:ascii="宋体" w:hAnsi="宋体" w:eastAsia="宋体" w:cs="宋体"/>
                <w:bCs/>
                <w:color w:val="000000" w:themeColor="text1"/>
                <w:szCs w:val="21"/>
              </w:rPr>
            </w:pPr>
          </w:p>
          <w:p>
            <w:pPr>
              <w:widowControl/>
              <w:adjustRightInd w:val="0"/>
              <w:snapToGrid w:val="0"/>
              <w:spacing w:line="400" w:lineRule="exact"/>
              <w:rPr>
                <w:rFonts w:ascii="宋体" w:hAnsi="宋体" w:eastAsia="宋体" w:cs="宋体"/>
                <w:bCs/>
                <w:color w:val="000000" w:themeColor="text1"/>
                <w:szCs w:val="21"/>
              </w:rPr>
            </w:pPr>
            <w:r>
              <w:rPr>
                <w:rFonts w:hint="eastAsia" w:ascii="宋体" w:hAnsi="宋体" w:eastAsia="宋体" w:cs="宋体"/>
                <w:bCs/>
                <w:color w:val="000000" w:themeColor="text1"/>
                <w:szCs w:val="21"/>
              </w:rPr>
              <w:t>4、供应商在生产、配送、库存、食用环节上的安全管理制度和承诺（须提供加盖供应商公章的承诺函）进行评价，完善、合理、可行得4分，完善、合理得2分；（最高4分）</w:t>
            </w:r>
          </w:p>
          <w:p>
            <w:pPr>
              <w:spacing w:line="360" w:lineRule="exact"/>
              <w:ind w:right="63"/>
              <w:jc w:val="left"/>
              <w:rPr>
                <w:rFonts w:ascii="宋体" w:hAnsi="宋体"/>
                <w:color w:val="000000" w:themeColor="text1"/>
                <w:szCs w:val="21"/>
              </w:rPr>
            </w:pPr>
          </w:p>
        </w:tc>
      </w:tr>
    </w:tbl>
    <w:p>
      <w:pPr>
        <w:pStyle w:val="2"/>
        <w:rPr>
          <w:rFonts w:hint="eastAsia" w:eastAsiaTheme="minorEastAsia"/>
          <w:color w:val="000000" w:themeColor="text1"/>
          <w:kern w:val="2"/>
          <w:sz w:val="21"/>
          <w:szCs w:val="21"/>
        </w:rPr>
      </w:pPr>
      <w:r>
        <w:rPr>
          <w:rFonts w:hint="eastAsia" w:eastAsiaTheme="minorEastAsia"/>
          <w:color w:val="000000" w:themeColor="text1"/>
          <w:kern w:val="2"/>
          <w:sz w:val="21"/>
          <w:szCs w:val="21"/>
        </w:rPr>
        <w:t>以上所有须提供的证件、证书、有关资料等，投标人都必须提供真实、有效的资料</w:t>
      </w:r>
      <w:r>
        <w:rPr>
          <w:rFonts w:hint="eastAsia" w:eastAsiaTheme="minorEastAsia"/>
          <w:color w:val="000000" w:themeColor="text1"/>
          <w:kern w:val="2"/>
          <w:sz w:val="21"/>
          <w:szCs w:val="21"/>
          <w:lang w:val="zh-CN"/>
        </w:rPr>
        <w:t>原件真彩扫描打印件（加盖公章）</w:t>
      </w:r>
      <w:r>
        <w:rPr>
          <w:rFonts w:hint="eastAsia" w:eastAsiaTheme="minorEastAsia"/>
          <w:color w:val="000000" w:themeColor="text1"/>
          <w:kern w:val="2"/>
          <w:sz w:val="21"/>
          <w:szCs w:val="21"/>
        </w:rPr>
        <w:t>供专家评委评审，否则不得分。投标人投标时须认真对待、如实应标。凡提供虚假材料谋取中标的，一经查实，根据《政府采购法》第七十七条之规定，将对供应商处以罚款、列入不良行为记录名单、依法追究刑事责任等。</w:t>
      </w:r>
    </w:p>
    <w:p>
      <w:pPr>
        <w:rPr>
          <w:rFonts w:hint="eastAsia" w:eastAsiaTheme="minorEastAsia"/>
          <w:color w:val="000000" w:themeColor="text1"/>
          <w:kern w:val="2"/>
          <w:sz w:val="21"/>
          <w:szCs w:val="21"/>
        </w:rPr>
      </w:pPr>
    </w:p>
    <w:p>
      <w:pPr>
        <w:pStyle w:val="2"/>
        <w:rPr>
          <w:rFonts w:hint="eastAsia" w:eastAsiaTheme="minorEastAsia"/>
          <w:color w:val="000000" w:themeColor="text1"/>
          <w:kern w:val="2"/>
          <w:sz w:val="21"/>
          <w:szCs w:val="21"/>
        </w:rPr>
      </w:pPr>
    </w:p>
    <w:p>
      <w:pPr>
        <w:rPr>
          <w:rFonts w:hint="eastAsia" w:eastAsiaTheme="minorEastAsia"/>
          <w:color w:val="000000" w:themeColor="text1"/>
          <w:kern w:val="2"/>
          <w:sz w:val="21"/>
          <w:szCs w:val="21"/>
        </w:rPr>
      </w:pPr>
    </w:p>
    <w:p>
      <w:pPr>
        <w:pStyle w:val="2"/>
        <w:rPr>
          <w:rFonts w:hint="eastAsia" w:eastAsiaTheme="minorEastAsia"/>
          <w:color w:val="000000" w:themeColor="text1"/>
          <w:kern w:val="2"/>
          <w:sz w:val="21"/>
          <w:szCs w:val="21"/>
        </w:rPr>
      </w:pPr>
    </w:p>
    <w:p>
      <w:pPr>
        <w:rPr>
          <w:rFonts w:hint="eastAsia" w:eastAsiaTheme="minorEastAsia"/>
          <w:color w:val="000000" w:themeColor="text1"/>
          <w:kern w:val="2"/>
          <w:sz w:val="21"/>
          <w:szCs w:val="21"/>
        </w:rPr>
      </w:pPr>
    </w:p>
    <w:p>
      <w:pPr>
        <w:pStyle w:val="2"/>
        <w:rPr>
          <w:rFonts w:hint="eastAsia" w:eastAsiaTheme="minorEastAsia"/>
          <w:color w:val="000000" w:themeColor="text1"/>
          <w:kern w:val="2"/>
          <w:sz w:val="21"/>
          <w:szCs w:val="21"/>
        </w:rPr>
      </w:pPr>
    </w:p>
    <w:p>
      <w:pPr>
        <w:rPr>
          <w:rFonts w:hint="eastAsia" w:eastAsiaTheme="minorEastAsia"/>
          <w:color w:val="000000" w:themeColor="text1"/>
          <w:kern w:val="2"/>
          <w:sz w:val="21"/>
          <w:szCs w:val="21"/>
        </w:rPr>
      </w:pPr>
    </w:p>
    <w:p>
      <w:pPr>
        <w:pStyle w:val="2"/>
        <w:rPr>
          <w:rFonts w:hint="eastAsia" w:eastAsiaTheme="minorEastAsia"/>
          <w:color w:val="000000" w:themeColor="text1"/>
          <w:kern w:val="2"/>
          <w:sz w:val="21"/>
          <w:szCs w:val="21"/>
        </w:rPr>
      </w:pPr>
    </w:p>
    <w:p>
      <w:pPr>
        <w:rPr>
          <w:rFonts w:hint="eastAsia" w:eastAsiaTheme="minorEastAsia"/>
          <w:color w:val="000000" w:themeColor="text1"/>
          <w:kern w:val="2"/>
          <w:sz w:val="21"/>
          <w:szCs w:val="21"/>
        </w:rPr>
      </w:pPr>
    </w:p>
    <w:p>
      <w:pPr>
        <w:pStyle w:val="2"/>
        <w:rPr>
          <w:rFonts w:hint="eastAsia" w:eastAsiaTheme="minorEastAsia"/>
          <w:color w:val="000000" w:themeColor="text1"/>
          <w:kern w:val="2"/>
          <w:sz w:val="21"/>
          <w:szCs w:val="21"/>
        </w:rPr>
      </w:pPr>
    </w:p>
    <w:p/>
    <w:p>
      <w:pPr>
        <w:pStyle w:val="5"/>
        <w:jc w:val="center"/>
        <w:rPr>
          <w:color w:val="000000" w:themeColor="text1"/>
        </w:rPr>
      </w:pPr>
      <w:r>
        <w:rPr>
          <w:rFonts w:hint="eastAsia" w:ascii="宋体" w:hAnsi="宋体" w:eastAsia="宋体" w:cs="宋体"/>
          <w:color w:val="000000" w:themeColor="text1"/>
          <w:sz w:val="32"/>
          <w:szCs w:val="32"/>
        </w:rPr>
        <w:t>二包：食堂大宗食材评分表</w:t>
      </w:r>
    </w:p>
    <w:tbl>
      <w:tblPr>
        <w:tblStyle w:val="23"/>
        <w:tblW w:w="10158" w:type="dxa"/>
        <w:jc w:val="center"/>
        <w:tblLayout w:type="fixed"/>
        <w:tblCellMar>
          <w:top w:w="0" w:type="dxa"/>
          <w:left w:w="108" w:type="dxa"/>
          <w:bottom w:w="0" w:type="dxa"/>
          <w:right w:w="108" w:type="dxa"/>
        </w:tblCellMar>
      </w:tblPr>
      <w:tblGrid>
        <w:gridCol w:w="765"/>
        <w:gridCol w:w="909"/>
        <w:gridCol w:w="705"/>
        <w:gridCol w:w="7779"/>
      </w:tblGrid>
      <w:tr>
        <w:tblPrEx>
          <w:tblCellMar>
            <w:top w:w="0" w:type="dxa"/>
            <w:left w:w="108" w:type="dxa"/>
            <w:bottom w:w="0" w:type="dxa"/>
            <w:right w:w="108" w:type="dxa"/>
          </w:tblCellMar>
        </w:tblPrEx>
        <w:trPr>
          <w:trHeight w:val="281" w:hRule="atLeast"/>
          <w:jc w:val="center"/>
        </w:trPr>
        <w:tc>
          <w:tcPr>
            <w:tcW w:w="16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color w:val="000000" w:themeColor="text1"/>
                <w:szCs w:val="21"/>
              </w:rPr>
            </w:pPr>
            <w:r>
              <w:rPr>
                <w:rFonts w:hint="eastAsia" w:ascii="宋体" w:hAnsi="宋体" w:eastAsia="宋体" w:cs="宋体"/>
                <w:color w:val="000000" w:themeColor="text1"/>
                <w:szCs w:val="21"/>
              </w:rPr>
              <w:t>评分项目</w:t>
            </w:r>
          </w:p>
        </w:tc>
        <w:tc>
          <w:tcPr>
            <w:tcW w:w="705" w:type="dxa"/>
            <w:tcBorders>
              <w:top w:val="single" w:color="auto" w:sz="4" w:space="0"/>
              <w:left w:val="nil"/>
              <w:bottom w:val="single" w:color="auto" w:sz="4" w:space="0"/>
              <w:right w:val="nil"/>
            </w:tcBorders>
            <w:vAlign w:val="center"/>
          </w:tcPr>
          <w:p>
            <w:pPr>
              <w:widowControl/>
              <w:adjustRightInd w:val="0"/>
              <w:snapToGrid w:val="0"/>
              <w:spacing w:line="360" w:lineRule="auto"/>
              <w:jc w:val="center"/>
              <w:rPr>
                <w:rFonts w:ascii="宋体" w:hAnsi="宋体"/>
                <w:color w:val="000000" w:themeColor="text1"/>
                <w:szCs w:val="21"/>
              </w:rPr>
            </w:pPr>
            <w:r>
              <w:rPr>
                <w:rFonts w:hint="eastAsia" w:ascii="宋体" w:hAnsi="宋体" w:eastAsia="宋体" w:cs="宋体"/>
                <w:color w:val="000000" w:themeColor="text1"/>
                <w:szCs w:val="21"/>
              </w:rPr>
              <w:t>分数</w:t>
            </w:r>
          </w:p>
        </w:tc>
        <w:tc>
          <w:tcPr>
            <w:tcW w:w="7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zCs w:val="21"/>
              </w:rPr>
            </w:pPr>
            <w:r>
              <w:rPr>
                <w:rFonts w:hint="eastAsia" w:ascii="宋体" w:hAnsi="宋体" w:eastAsia="宋体" w:cs="宋体"/>
                <w:color w:val="000000" w:themeColor="text1"/>
                <w:szCs w:val="21"/>
              </w:rPr>
              <w:t>评  分  标  准</w:t>
            </w:r>
          </w:p>
        </w:tc>
      </w:tr>
      <w:tr>
        <w:tblPrEx>
          <w:tblCellMar>
            <w:top w:w="0" w:type="dxa"/>
            <w:left w:w="108" w:type="dxa"/>
            <w:bottom w:w="0" w:type="dxa"/>
            <w:right w:w="108" w:type="dxa"/>
          </w:tblCellMar>
        </w:tblPrEx>
        <w:trPr>
          <w:trHeight w:val="2184" w:hRule="atLeast"/>
          <w:jc w:val="center"/>
        </w:trPr>
        <w:tc>
          <w:tcPr>
            <w:tcW w:w="765" w:type="dxa"/>
            <w:vMerge w:val="restart"/>
            <w:tcBorders>
              <w:top w:val="nil"/>
              <w:left w:val="single" w:color="auto" w:sz="4" w:space="0"/>
              <w:right w:val="single" w:color="auto" w:sz="4" w:space="0"/>
            </w:tcBorders>
            <w:vAlign w:val="center"/>
          </w:tcPr>
          <w:p>
            <w:pPr>
              <w:widowControl/>
              <w:adjustRightInd w:val="0"/>
              <w:snapToGrid w:val="0"/>
              <w:spacing w:line="360" w:lineRule="auto"/>
              <w:jc w:val="center"/>
              <w:rPr>
                <w:color w:val="000000" w:themeColor="text1"/>
                <w:szCs w:val="21"/>
              </w:rPr>
            </w:pPr>
            <w:r>
              <w:rPr>
                <w:rFonts w:hint="eastAsia"/>
                <w:color w:val="000000" w:themeColor="text1"/>
                <w:szCs w:val="21"/>
              </w:rPr>
              <w:t>报价部分</w:t>
            </w:r>
          </w:p>
          <w:p>
            <w:pPr>
              <w:pStyle w:val="5"/>
              <w:ind w:left="0"/>
              <w:rPr>
                <w:rFonts w:eastAsia="宋体"/>
                <w:color w:val="000000" w:themeColor="text1"/>
              </w:rPr>
            </w:pPr>
            <w:r>
              <w:rPr>
                <w:rFonts w:hint="eastAsia"/>
                <w:b w:val="0"/>
                <w:bCs w:val="0"/>
                <w:color w:val="000000" w:themeColor="text1"/>
              </w:rPr>
              <w:t>30分</w:t>
            </w:r>
          </w:p>
        </w:tc>
        <w:tc>
          <w:tcPr>
            <w:tcW w:w="909"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生鲜黄牛肉</w:t>
            </w:r>
          </w:p>
        </w:tc>
        <w:tc>
          <w:tcPr>
            <w:tcW w:w="705"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color w:val="000000" w:themeColor="text1"/>
                <w:szCs w:val="21"/>
              </w:rPr>
              <w:t>10分</w:t>
            </w:r>
          </w:p>
        </w:tc>
        <w:tc>
          <w:tcPr>
            <w:tcW w:w="7779"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themeColor="text1"/>
                <w:szCs w:val="21"/>
              </w:rPr>
            </w:pPr>
            <w:r>
              <w:rPr>
                <w:rFonts w:hint="eastAsia" w:ascii="宋体" w:hAnsi="宋体" w:eastAsia="宋体" w:cs="宋体"/>
                <w:color w:val="000000" w:themeColor="text1"/>
                <w:szCs w:val="21"/>
              </w:rPr>
              <w:t>1、供应商在保证服务质量的前提下，在湖北省发展和改革委员会-价格监测中心上月已发布的生鲜牛肉均价基础上合理下浮一定幅度（下浮最低限制8%）；</w:t>
            </w:r>
          </w:p>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（网址：</w:t>
            </w:r>
            <w:r>
              <w:fldChar w:fldCharType="begin"/>
            </w:r>
            <w:r>
              <w:instrText xml:space="preserve"> HYPERLINK "http://fgw.hubei.gov.cn/fbjd/xxgkml/jgzn/zsdw/jgjczx/zfspjg/" </w:instrText>
            </w:r>
            <w:r>
              <w:fldChar w:fldCharType="separate"/>
            </w:r>
            <w:r>
              <w:rPr>
                <w:rStyle w:val="28"/>
                <w:rFonts w:hint="eastAsia" w:ascii="宋体" w:hAnsi="宋体" w:eastAsia="宋体" w:cs="宋体"/>
                <w:color w:val="000000" w:themeColor="text1"/>
                <w:szCs w:val="21"/>
              </w:rPr>
              <w:t>http://fgw.hubei.gov.cn/fbjd/xxgkml/jgzn/zsdw/jgjczx/zfspjg/</w:t>
            </w:r>
            <w:r>
              <w:rPr>
                <w:rStyle w:val="28"/>
                <w:rFonts w:hint="eastAsia" w:ascii="宋体" w:hAnsi="宋体" w:eastAsia="宋体" w:cs="宋体"/>
                <w:color w:val="000000" w:themeColor="text1"/>
                <w:szCs w:val="21"/>
              </w:rPr>
              <w:fldChar w:fldCharType="end"/>
            </w:r>
            <w:r>
              <w:rPr>
                <w:rFonts w:hint="eastAsia" w:ascii="宋体" w:hAnsi="宋体" w:eastAsia="宋体" w:cs="宋体"/>
                <w:color w:val="000000" w:themeColor="text1"/>
                <w:szCs w:val="21"/>
              </w:rPr>
              <w:t xml:space="preserve">） </w:t>
            </w:r>
          </w:p>
          <w:p>
            <w:pPr>
              <w:widowControl/>
              <w:adjustRightInd w:val="0"/>
              <w:snapToGrid w:val="0"/>
              <w:spacing w:line="400" w:lineRule="exact"/>
              <w:rPr>
                <w:rFonts w:eastAsia="宋体"/>
                <w:color w:val="000000" w:themeColor="text1"/>
                <w:szCs w:val="21"/>
              </w:rPr>
            </w:pPr>
            <w:r>
              <w:rPr>
                <w:rFonts w:hint="eastAsia" w:ascii="宋体" w:hAnsi="宋体" w:eastAsia="宋体" w:cs="宋体"/>
                <w:color w:val="000000" w:themeColor="text1"/>
                <w:szCs w:val="21"/>
              </w:rPr>
              <w:t>2、采用“低价优先法计算”价格分，投标下浮率最高（价格最低）的投标报价</w:t>
            </w:r>
          </w:p>
          <w:p>
            <w:pPr>
              <w:widowControl/>
              <w:adjustRightInd w:val="0"/>
              <w:snapToGrid w:val="0"/>
              <w:spacing w:line="400" w:lineRule="exact"/>
              <w:rPr>
                <w:rFonts w:eastAsia="宋体"/>
                <w:color w:val="000000" w:themeColor="text1"/>
                <w:szCs w:val="21"/>
              </w:rPr>
            </w:pPr>
            <w:r>
              <w:rPr>
                <w:rFonts w:hint="eastAsia" w:ascii="宋体" w:hAnsi="宋体" w:eastAsia="宋体" w:cs="宋体"/>
                <w:color w:val="000000" w:themeColor="text1"/>
                <w:szCs w:val="21"/>
              </w:rPr>
              <w:t>为评标基准下浮率，其价格分为满分；其他合格供应商报价得分的计算公式为：投标报价得分=（1-评标基准下浮率）÷（1-投标下浮率）×10；</w:t>
            </w:r>
          </w:p>
        </w:tc>
      </w:tr>
      <w:tr>
        <w:tblPrEx>
          <w:tblCellMar>
            <w:top w:w="0" w:type="dxa"/>
            <w:left w:w="108" w:type="dxa"/>
            <w:bottom w:w="0" w:type="dxa"/>
            <w:right w:w="108" w:type="dxa"/>
          </w:tblCellMar>
        </w:tblPrEx>
        <w:trPr>
          <w:trHeight w:val="2356" w:hRule="atLeast"/>
          <w:jc w:val="center"/>
        </w:trPr>
        <w:tc>
          <w:tcPr>
            <w:tcW w:w="765"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909"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生鲜猪肋排</w:t>
            </w:r>
          </w:p>
        </w:tc>
        <w:tc>
          <w:tcPr>
            <w:tcW w:w="705"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c>
          <w:tcPr>
            <w:tcW w:w="7779" w:type="dxa"/>
            <w:tcBorders>
              <w:top w:val="single" w:color="auto" w:sz="4" w:space="0"/>
              <w:left w:val="nil"/>
              <w:bottom w:val="single" w:color="auto" w:sz="4" w:space="0"/>
              <w:right w:val="single" w:color="auto" w:sz="4" w:space="0"/>
            </w:tcBorders>
            <w:vAlign w:val="center"/>
          </w:tcPr>
          <w:p>
            <w:pPr>
              <w:widowControl/>
              <w:numPr>
                <w:ilvl w:val="0"/>
                <w:numId w:val="37"/>
              </w:numPr>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供应商在保证服务质量的前提下，在湖北省发展和改革委员会-价格监测中心上月已发布的</w:t>
            </w:r>
            <w:r>
              <w:rPr>
                <w:rFonts w:hint="eastAsia" w:ascii="宋体" w:hAnsi="宋体" w:eastAsia="宋体" w:cs="宋体"/>
                <w:color w:val="000000" w:themeColor="text1"/>
                <w:kern w:val="0"/>
                <w:szCs w:val="21"/>
              </w:rPr>
              <w:t>生鲜猪肋排</w:t>
            </w:r>
            <w:r>
              <w:rPr>
                <w:rFonts w:hint="eastAsia" w:ascii="宋体" w:hAnsi="宋体" w:eastAsia="宋体" w:cs="宋体"/>
                <w:color w:val="000000" w:themeColor="text1"/>
                <w:szCs w:val="21"/>
              </w:rPr>
              <w:t xml:space="preserve">均价基础上合理下浮一定幅度（下浮最低限制8%）； </w:t>
            </w:r>
          </w:p>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 xml:space="preserve">（网址：http://fgw.hubei.gov.cn/fbjd/xxgkml/jgzn/zsdw/jgjczx/zfspjg/） </w:t>
            </w:r>
          </w:p>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2、采用“低价优先法计算”价格分，投标下浮率最高（价格最低）的投标报价为评标基准下浮率， 其价格分为满分；其他合格供应商报价得分的计算公式为：投标报价得分=（1-评标基准下浮率）÷（1-投标下浮率）×10；</w:t>
            </w:r>
          </w:p>
        </w:tc>
      </w:tr>
      <w:tr>
        <w:tblPrEx>
          <w:tblCellMar>
            <w:top w:w="0" w:type="dxa"/>
            <w:left w:w="108" w:type="dxa"/>
            <w:bottom w:w="0" w:type="dxa"/>
            <w:right w:w="108" w:type="dxa"/>
          </w:tblCellMar>
        </w:tblPrEx>
        <w:trPr>
          <w:trHeight w:val="2356" w:hRule="atLeast"/>
          <w:jc w:val="center"/>
        </w:trPr>
        <w:tc>
          <w:tcPr>
            <w:tcW w:w="76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909"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000000" w:themeColor="text1"/>
                <w:szCs w:val="21"/>
              </w:rPr>
            </w:pPr>
            <w:r>
              <w:rPr>
                <w:rFonts w:hint="eastAsia" w:cs="宋体" w:asciiTheme="minorEastAsia" w:hAnsiTheme="minorEastAsia"/>
                <w:b/>
                <w:bCs/>
                <w:color w:val="000000" w:themeColor="text1"/>
                <w:kern w:val="0"/>
                <w:szCs w:val="21"/>
              </w:rPr>
              <w:t>冷冻鸡胸肉</w:t>
            </w:r>
          </w:p>
        </w:tc>
        <w:tc>
          <w:tcPr>
            <w:tcW w:w="705"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c>
          <w:tcPr>
            <w:tcW w:w="777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1、供应商在保证服务质量的前提下，在湖北省发展和改革委员会-价格监测中心上月已发布的</w:t>
            </w:r>
            <w:r>
              <w:rPr>
                <w:rFonts w:hint="eastAsia" w:cs="宋体" w:asciiTheme="minorEastAsia" w:hAnsiTheme="minorEastAsia"/>
                <w:b/>
                <w:bCs/>
                <w:color w:val="000000" w:themeColor="text1"/>
                <w:kern w:val="0"/>
                <w:szCs w:val="21"/>
              </w:rPr>
              <w:t>冷冻鸡肉</w:t>
            </w:r>
            <w:r>
              <w:rPr>
                <w:rFonts w:hint="eastAsia" w:ascii="宋体" w:hAnsi="宋体" w:eastAsia="宋体" w:cs="宋体"/>
                <w:color w:val="000000" w:themeColor="text1"/>
                <w:szCs w:val="21"/>
              </w:rPr>
              <w:t xml:space="preserve">均价基础上合理下浮一定幅度（下浮最低限制20%）； </w:t>
            </w:r>
          </w:p>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 xml:space="preserve">（网址：http://fgw.hubei.gov.cn/fbjd/xxgkml/jgzn/zsdw/jgjczx/zfspjg/） </w:t>
            </w:r>
          </w:p>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2、采用“低价优先法计算”价格分，投标下浮率最高（价格最低）的投标报价为评标基准下浮率，其价格分为满分；其他合格供应商报价得分的计算公式为：投标报价得分=（1-评标基准下浮率）÷（1-投标下浮率）×10；</w:t>
            </w:r>
          </w:p>
        </w:tc>
      </w:tr>
      <w:tr>
        <w:tblPrEx>
          <w:tblCellMar>
            <w:top w:w="0" w:type="dxa"/>
            <w:left w:w="108" w:type="dxa"/>
            <w:bottom w:w="0" w:type="dxa"/>
            <w:right w:w="108" w:type="dxa"/>
          </w:tblCellMar>
        </w:tblPrEx>
        <w:trPr>
          <w:trHeight w:val="1183" w:hRule="atLeast"/>
          <w:jc w:val="center"/>
        </w:trPr>
        <w:tc>
          <w:tcPr>
            <w:tcW w:w="765"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商务部分</w:t>
            </w:r>
          </w:p>
          <w:p>
            <w:pPr>
              <w:widowControl/>
              <w:adjustRightInd w:val="0"/>
              <w:snapToGrid w:val="0"/>
              <w:spacing w:line="360" w:lineRule="auto"/>
              <w:rPr>
                <w:color w:val="000000" w:themeColor="text1"/>
                <w:szCs w:val="21"/>
              </w:rPr>
            </w:pPr>
            <w:r>
              <w:rPr>
                <w:rFonts w:hint="eastAsia" w:ascii="宋体" w:hAnsi="宋体" w:eastAsia="宋体" w:cs="宋体"/>
                <w:color w:val="000000" w:themeColor="text1"/>
                <w:szCs w:val="21"/>
              </w:rPr>
              <w:t>30分</w:t>
            </w:r>
          </w:p>
        </w:tc>
        <w:tc>
          <w:tcPr>
            <w:tcW w:w="909"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eastAsia="宋体"/>
                <w:color w:val="000000" w:themeColor="text1"/>
                <w:szCs w:val="21"/>
              </w:rPr>
            </w:pPr>
            <w:r>
              <w:rPr>
                <w:rFonts w:hint="eastAsia" w:ascii="宋体" w:hAnsi="宋体" w:eastAsia="宋体" w:cs="宋体"/>
                <w:color w:val="000000" w:themeColor="text1"/>
                <w:szCs w:val="21"/>
              </w:rPr>
              <w:t>食品安全检测</w:t>
            </w:r>
          </w:p>
        </w:tc>
        <w:tc>
          <w:tcPr>
            <w:tcW w:w="705"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color w:val="000000" w:themeColor="text1"/>
                <w:szCs w:val="21"/>
              </w:rPr>
              <w:t>8分</w:t>
            </w:r>
          </w:p>
        </w:tc>
        <w:tc>
          <w:tcPr>
            <w:tcW w:w="77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olor w:val="000000" w:themeColor="text1"/>
                <w:szCs w:val="21"/>
              </w:rPr>
            </w:pPr>
            <w:r>
              <w:rPr>
                <w:rFonts w:hint="eastAsia" w:ascii="宋体" w:hAnsi="宋体" w:eastAsia="宋体" w:cs="宋体"/>
                <w:color w:val="000000" w:themeColor="text1"/>
                <w:szCs w:val="21"/>
              </w:rPr>
              <w:t>1、投标人自有检测蔬菜、肉类、微生物仪器的，检测仪器须包含涡旋仪、超声波清洗机、多功能食品安全检测仪、菌落计数器、恒温培养箱、蒸汽灭菌器(锅)、万用电炉、组织捣碎匀浆机，每提供一类设备的得1分,最高得8分。(提供以表格的形式列出所投设备清单，清单至少包含设备名称、用途、品牌型号、购买价格等主要内容，并提供设备购买发票</w:t>
            </w:r>
            <w:r>
              <w:rPr>
                <w:rFonts w:ascii="Helvetica" w:hAnsi="Helvetica" w:cs="Helvetica"/>
                <w:color w:val="000000" w:themeColor="text1"/>
                <w:szCs w:val="21"/>
                <w:lang w:val="zh-CN"/>
              </w:rPr>
              <w:t>原件真彩扫描打印件</w:t>
            </w:r>
            <w:r>
              <w:rPr>
                <w:rFonts w:hint="eastAsia" w:ascii="宋体" w:hAnsi="宋体" w:eastAsia="宋体" w:cs="宋体"/>
                <w:color w:val="000000" w:themeColor="text1"/>
                <w:szCs w:val="21"/>
              </w:rPr>
              <w:t>加盖公章，未提供或提供无效者得不得分)</w:t>
            </w:r>
          </w:p>
        </w:tc>
      </w:tr>
      <w:tr>
        <w:tblPrEx>
          <w:tblCellMar>
            <w:top w:w="0" w:type="dxa"/>
            <w:left w:w="108" w:type="dxa"/>
            <w:bottom w:w="0" w:type="dxa"/>
            <w:right w:w="108" w:type="dxa"/>
          </w:tblCellMar>
        </w:tblPrEx>
        <w:trPr>
          <w:trHeight w:val="1183" w:hRule="atLeast"/>
          <w:jc w:val="center"/>
        </w:trPr>
        <w:tc>
          <w:tcPr>
            <w:tcW w:w="765" w:type="dxa"/>
            <w:vMerge w:val="continue"/>
            <w:tcBorders>
              <w:top w:val="single" w:color="auto" w:sz="4" w:space="0"/>
              <w:left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生产保障</w:t>
            </w:r>
          </w:p>
        </w:tc>
        <w:tc>
          <w:tcPr>
            <w:tcW w:w="705"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color w:val="000000" w:themeColor="text1"/>
                <w:szCs w:val="21"/>
              </w:rPr>
              <w:t>8分</w:t>
            </w:r>
          </w:p>
        </w:tc>
        <w:tc>
          <w:tcPr>
            <w:tcW w:w="7779" w:type="dxa"/>
            <w:tcBorders>
              <w:top w:val="single" w:color="auto" w:sz="4" w:space="0"/>
              <w:left w:val="nil"/>
              <w:bottom w:val="single" w:color="auto" w:sz="4" w:space="0"/>
              <w:right w:val="single" w:color="auto" w:sz="4" w:space="0"/>
            </w:tcBorders>
            <w:vAlign w:val="center"/>
          </w:tcPr>
          <w:p>
            <w:pPr>
              <w:widowControl/>
              <w:numPr>
                <w:ilvl w:val="0"/>
                <w:numId w:val="38"/>
              </w:numPr>
              <w:adjustRightInd w:val="0"/>
              <w:snapToGrid w:val="0"/>
              <w:spacing w:line="400" w:lineRule="exact"/>
              <w:rPr>
                <w:color w:val="000000" w:themeColor="text1"/>
              </w:rPr>
            </w:pPr>
            <w:r>
              <w:rPr>
                <w:rFonts w:hint="eastAsia"/>
                <w:color w:val="000000" w:themeColor="text1"/>
              </w:rPr>
              <w:t>投标人具有服务本项目的生产车间、场地，达2000平方米的得3分，每增加500平方米加1分，最高得5分；未达到2000平方米不得分（提供产权证明或租赁合同、场景影像等证明材料）</w:t>
            </w:r>
          </w:p>
          <w:p>
            <w:pPr>
              <w:widowControl/>
              <w:adjustRightInd w:val="0"/>
              <w:snapToGrid w:val="0"/>
              <w:spacing w:line="400" w:lineRule="exact"/>
              <w:rPr>
                <w:color w:val="000000" w:themeColor="text1"/>
              </w:rPr>
            </w:pPr>
            <w:r>
              <w:rPr>
                <w:rFonts w:hint="eastAsia"/>
                <w:color w:val="000000" w:themeColor="text1"/>
              </w:rPr>
              <w:t>2、投标人具有整套的肉类加工生产设备(包含但不限于肉丝肉片机(或切肉机)、真空滚揉机、锯骨机(或切骨机)等)，每提供一类设备得1分，最高得3分。(提供以表格的形式列出设备清单，清单至少包含设备名称、用途、品牌型号、购买价格等主要内容，并提供设备购买发票</w:t>
            </w:r>
            <w:r>
              <w:rPr>
                <w:rFonts w:ascii="Helvetica" w:hAnsi="Helvetica" w:cs="Helvetica"/>
                <w:color w:val="000000" w:themeColor="text1"/>
                <w:szCs w:val="21"/>
                <w:lang w:val="zh-CN"/>
              </w:rPr>
              <w:t>原件真彩扫描打印件</w:t>
            </w:r>
            <w:r>
              <w:rPr>
                <w:rFonts w:hint="eastAsia"/>
                <w:color w:val="000000" w:themeColor="text1"/>
              </w:rPr>
              <w:t>加盖公章，未提供或提供无效者得0分。)</w:t>
            </w:r>
          </w:p>
          <w:p>
            <w:pPr>
              <w:pStyle w:val="5"/>
              <w:widowControl/>
              <w:adjustRightInd w:val="0"/>
              <w:snapToGrid w:val="0"/>
              <w:spacing w:line="400" w:lineRule="exact"/>
              <w:ind w:left="0"/>
              <w:rPr>
                <w:rFonts w:ascii="宋体" w:hAnsi="宋体"/>
                <w:color w:val="000000" w:themeColor="text1"/>
              </w:rPr>
            </w:pPr>
          </w:p>
        </w:tc>
      </w:tr>
      <w:tr>
        <w:tblPrEx>
          <w:tblCellMar>
            <w:top w:w="0" w:type="dxa"/>
            <w:left w:w="108" w:type="dxa"/>
            <w:bottom w:w="0" w:type="dxa"/>
            <w:right w:w="108" w:type="dxa"/>
          </w:tblCellMar>
        </w:tblPrEx>
        <w:trPr>
          <w:trHeight w:val="1183" w:hRule="atLeast"/>
          <w:jc w:val="center"/>
        </w:trPr>
        <w:tc>
          <w:tcPr>
            <w:tcW w:w="765" w:type="dxa"/>
            <w:vMerge w:val="continue"/>
            <w:tcBorders>
              <w:top w:val="single" w:color="auto" w:sz="4" w:space="0"/>
              <w:left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业绩</w:t>
            </w:r>
          </w:p>
        </w:tc>
        <w:tc>
          <w:tcPr>
            <w:tcW w:w="705"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8分</w:t>
            </w:r>
          </w:p>
        </w:tc>
        <w:tc>
          <w:tcPr>
            <w:tcW w:w="777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000000" w:themeColor="text1"/>
                <w:szCs w:val="21"/>
              </w:rPr>
            </w:pPr>
            <w:r>
              <w:rPr>
                <w:rFonts w:hint="eastAsia" w:ascii="Calibri" w:hAnsi="Calibri" w:eastAsia="宋体" w:cs="宋体"/>
                <w:color w:val="000000" w:themeColor="text1"/>
              </w:rPr>
              <w:t>投标人2019年1月1日以来类似项目，单个项目服务人数达到1万人的得1分，每增加1万人加1分，最高得8分。（要求提供相关供货凭证、发票、结算凭证等</w:t>
            </w:r>
            <w:r>
              <w:rPr>
                <w:rFonts w:ascii="Helvetica" w:hAnsi="Helvetica" w:cs="Helvetica"/>
                <w:color w:val="000000" w:themeColor="text1"/>
                <w:szCs w:val="21"/>
                <w:lang w:val="zh-CN"/>
              </w:rPr>
              <w:t>原件真彩扫描打印件</w:t>
            </w:r>
            <w:r>
              <w:rPr>
                <w:rFonts w:hint="eastAsia" w:ascii="Calibri" w:hAnsi="Calibri" w:eastAsia="宋体" w:cs="宋体"/>
                <w:color w:val="000000" w:themeColor="text1"/>
              </w:rPr>
              <w:t>）。</w:t>
            </w:r>
          </w:p>
        </w:tc>
      </w:tr>
      <w:tr>
        <w:tblPrEx>
          <w:tblCellMar>
            <w:top w:w="0" w:type="dxa"/>
            <w:left w:w="108" w:type="dxa"/>
            <w:bottom w:w="0" w:type="dxa"/>
            <w:right w:w="108" w:type="dxa"/>
          </w:tblCellMar>
        </w:tblPrEx>
        <w:trPr>
          <w:trHeight w:val="536" w:hRule="atLeast"/>
          <w:jc w:val="center"/>
        </w:trPr>
        <w:tc>
          <w:tcPr>
            <w:tcW w:w="76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社会责任</w:t>
            </w: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color w:val="000000" w:themeColor="text1"/>
                <w:szCs w:val="21"/>
              </w:rPr>
              <w:t>6分</w:t>
            </w:r>
          </w:p>
        </w:tc>
        <w:tc>
          <w:tcPr>
            <w:tcW w:w="7779" w:type="dxa"/>
            <w:tcBorders>
              <w:top w:val="single" w:color="auto" w:sz="4" w:space="0"/>
              <w:left w:val="nil"/>
              <w:bottom w:val="single" w:color="auto" w:sz="4" w:space="0"/>
              <w:right w:val="single" w:color="auto" w:sz="4" w:space="0"/>
            </w:tcBorders>
            <w:vAlign w:val="center"/>
          </w:tcPr>
          <w:p>
            <w:pPr>
              <w:pStyle w:val="21"/>
              <w:widowControl/>
              <w:adjustRightInd w:val="0"/>
              <w:snapToGrid w:val="0"/>
              <w:spacing w:before="0" w:beforeAutospacing="0" w:after="0" w:afterAutospacing="0" w:line="400" w:lineRule="exact"/>
              <w:jc w:val="both"/>
              <w:rPr>
                <w:rFonts w:ascii="Calibri" w:hAnsi="Calibri" w:eastAsia="宋体" w:cs="宋体"/>
                <w:color w:val="000000" w:themeColor="text1"/>
                <w:kern w:val="2"/>
                <w:sz w:val="21"/>
                <w:szCs w:val="22"/>
              </w:rPr>
            </w:pPr>
            <w:r>
              <w:rPr>
                <w:rFonts w:hint="eastAsia" w:ascii="Calibri" w:hAnsi="Calibri" w:eastAsia="宋体" w:cs="宋体"/>
                <w:color w:val="000000" w:themeColor="text1"/>
                <w:kern w:val="2"/>
                <w:sz w:val="21"/>
                <w:szCs w:val="22"/>
              </w:rPr>
              <w:t>1、投标人每参与社会爱心公益活动一次得2分，最高得4分（提供相关证明和捐赠凭证）。</w:t>
            </w:r>
          </w:p>
          <w:p>
            <w:pPr>
              <w:widowControl/>
              <w:adjustRightInd w:val="0"/>
              <w:snapToGrid w:val="0"/>
              <w:spacing w:line="400" w:lineRule="exact"/>
              <w:rPr>
                <w:rFonts w:ascii="宋体" w:hAnsi="宋体"/>
                <w:color w:val="000000" w:themeColor="text1"/>
                <w:szCs w:val="21"/>
              </w:rPr>
            </w:pPr>
            <w:r>
              <w:rPr>
                <w:rFonts w:hint="eastAsia" w:ascii="Calibri" w:hAnsi="Calibri" w:eastAsia="宋体" w:cs="宋体"/>
                <w:color w:val="000000" w:themeColor="text1"/>
              </w:rPr>
              <w:t>2、投标人积极履行社会责任、支持教育公益事业发展，累计捐赠金额在100万元以上的得2分（提供相关证明及捐赠凭证</w:t>
            </w:r>
            <w:r>
              <w:rPr>
                <w:rFonts w:ascii="Helvetica" w:hAnsi="Helvetica" w:cs="Helvetica"/>
                <w:color w:val="000000" w:themeColor="text1"/>
                <w:szCs w:val="21"/>
                <w:lang w:val="zh-CN"/>
              </w:rPr>
              <w:t>原件真彩扫描打印件</w:t>
            </w:r>
            <w:r>
              <w:rPr>
                <w:rFonts w:hint="eastAsia" w:ascii="Calibri" w:hAnsi="Calibri" w:eastAsia="宋体" w:cs="宋体"/>
                <w:color w:val="000000" w:themeColor="text1"/>
              </w:rPr>
              <w:t>）。</w:t>
            </w:r>
          </w:p>
        </w:tc>
      </w:tr>
      <w:tr>
        <w:tblPrEx>
          <w:tblCellMar>
            <w:top w:w="0" w:type="dxa"/>
            <w:left w:w="108" w:type="dxa"/>
            <w:bottom w:w="0" w:type="dxa"/>
            <w:right w:w="108" w:type="dxa"/>
          </w:tblCellMar>
        </w:tblPrEx>
        <w:trPr>
          <w:trHeight w:val="1183" w:hRule="atLeast"/>
          <w:jc w:val="center"/>
        </w:trPr>
        <w:tc>
          <w:tcPr>
            <w:tcW w:w="765"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rPr>
                <w:color w:val="000000" w:themeColor="text1"/>
                <w:szCs w:val="21"/>
              </w:rPr>
            </w:pPr>
          </w:p>
          <w:p>
            <w:pPr>
              <w:widowControl/>
              <w:adjustRightInd w:val="0"/>
              <w:snapToGrid w:val="0"/>
              <w:spacing w:line="360" w:lineRule="auto"/>
              <w:rPr>
                <w:color w:val="000000" w:themeColor="text1"/>
                <w:szCs w:val="21"/>
              </w:rPr>
            </w:pPr>
          </w:p>
          <w:p>
            <w:pPr>
              <w:widowControl/>
              <w:adjustRightInd w:val="0"/>
              <w:snapToGrid w:val="0"/>
              <w:spacing w:line="360" w:lineRule="auto"/>
              <w:rPr>
                <w:color w:val="000000" w:themeColor="text1"/>
                <w:szCs w:val="21"/>
              </w:rPr>
            </w:pPr>
          </w:p>
          <w:p>
            <w:pPr>
              <w:widowControl/>
              <w:adjustRightInd w:val="0"/>
              <w:snapToGrid w:val="0"/>
              <w:spacing w:line="360" w:lineRule="auto"/>
              <w:rPr>
                <w:color w:val="000000" w:themeColor="text1"/>
                <w:szCs w:val="21"/>
              </w:rPr>
            </w:pPr>
            <w:r>
              <w:rPr>
                <w:rFonts w:hint="eastAsia"/>
                <w:color w:val="000000" w:themeColor="text1"/>
                <w:szCs w:val="21"/>
              </w:rPr>
              <w:t>技术部分40分</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总体服务方案</w:t>
            </w: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77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ind w:right="-117" w:rightChars="-56"/>
              <w:rPr>
                <w:rFonts w:ascii="宋体" w:hAnsi="宋体"/>
                <w:color w:val="000000" w:themeColor="text1"/>
                <w:szCs w:val="21"/>
              </w:rPr>
            </w:pPr>
            <w:r>
              <w:rPr>
                <w:rFonts w:hint="eastAsia" w:ascii="宋体" w:hAnsi="宋体" w:eastAsia="宋体" w:cs="宋体"/>
                <w:color w:val="000000" w:themeColor="text1"/>
                <w:szCs w:val="21"/>
              </w:rPr>
              <w:t>根据投标人制定的整体管理制度（配送管理制度；仓库管理制度；成本控制措施；食品安全管理制度；疫情防护措施；服务投诉处理机制或流程；）制度健全、详细、科学合理可行4-6分；制度健全、合理可行1-3分。</w:t>
            </w:r>
          </w:p>
        </w:tc>
      </w:tr>
      <w:tr>
        <w:tblPrEx>
          <w:tblCellMar>
            <w:top w:w="0" w:type="dxa"/>
            <w:left w:w="108" w:type="dxa"/>
            <w:bottom w:w="0" w:type="dxa"/>
            <w:right w:w="108" w:type="dxa"/>
          </w:tblCellMar>
        </w:tblPrEx>
        <w:trPr>
          <w:trHeight w:val="1965" w:hRule="atLeast"/>
          <w:jc w:val="center"/>
        </w:trPr>
        <w:tc>
          <w:tcPr>
            <w:tcW w:w="765" w:type="dxa"/>
            <w:vMerge w:val="continue"/>
            <w:tcBorders>
              <w:left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vMerge w:val="continue"/>
            <w:tcBorders>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color w:val="000000" w:themeColor="text1"/>
                <w:szCs w:val="21"/>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8分</w:t>
            </w:r>
          </w:p>
        </w:tc>
        <w:tc>
          <w:tcPr>
            <w:tcW w:w="777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color w:val="000000" w:themeColor="text1"/>
                <w:szCs w:val="21"/>
              </w:rPr>
            </w:pPr>
            <w:r>
              <w:rPr>
                <w:rFonts w:hint="eastAsia"/>
                <w:color w:val="000000" w:themeColor="text1"/>
                <w:szCs w:val="21"/>
              </w:rPr>
              <w:t>1、投标人制定专业的服务团队方案：有专职业务人员，培训人员，营养师，配送人员（提供从业人员社保证明、健康证、司机驾驶证、营养师技术职称证</w:t>
            </w:r>
            <w:r>
              <w:rPr>
                <w:rFonts w:ascii="Helvetica" w:hAnsi="Helvetica" w:cs="Helvetica"/>
                <w:color w:val="000000" w:themeColor="text1"/>
                <w:szCs w:val="21"/>
                <w:lang w:val="zh-CN"/>
              </w:rPr>
              <w:t>原件真彩扫描打印件</w:t>
            </w:r>
            <w:r>
              <w:rPr>
                <w:rFonts w:hint="eastAsia"/>
                <w:color w:val="000000" w:themeColor="text1"/>
                <w:szCs w:val="21"/>
              </w:rPr>
              <w:t>）。服务团队方案</w:t>
            </w:r>
            <w:r>
              <w:rPr>
                <w:rFonts w:hint="eastAsia" w:ascii="宋体" w:hAnsi="宋体" w:eastAsia="宋体" w:cs="宋体"/>
                <w:color w:val="000000" w:themeColor="text1"/>
                <w:szCs w:val="21"/>
              </w:rPr>
              <w:t>科学合理</w:t>
            </w:r>
            <w:r>
              <w:rPr>
                <w:rFonts w:hint="eastAsia" w:ascii="宋体" w:hAnsi="宋体" w:eastAsia="宋体" w:cs="宋体"/>
                <w:bCs/>
                <w:color w:val="000000" w:themeColor="text1"/>
                <w:szCs w:val="21"/>
              </w:rPr>
              <w:t>全面</w:t>
            </w:r>
            <w:r>
              <w:rPr>
                <w:rFonts w:hint="eastAsia" w:ascii="宋体" w:hAnsi="宋体" w:eastAsia="宋体" w:cs="宋体"/>
                <w:color w:val="000000" w:themeColor="text1"/>
                <w:szCs w:val="21"/>
              </w:rPr>
              <w:t>可行</w:t>
            </w:r>
            <w:r>
              <w:rPr>
                <w:rFonts w:hint="eastAsia"/>
                <w:color w:val="000000" w:themeColor="text1"/>
                <w:szCs w:val="21"/>
              </w:rPr>
              <w:t>的得4分，</w:t>
            </w:r>
            <w:r>
              <w:rPr>
                <w:rFonts w:hint="eastAsia" w:ascii="宋体" w:hAnsi="宋体" w:eastAsia="宋体" w:cs="宋体"/>
                <w:color w:val="000000" w:themeColor="text1"/>
                <w:szCs w:val="21"/>
              </w:rPr>
              <w:t>科学合理可行</w:t>
            </w:r>
            <w:r>
              <w:rPr>
                <w:rFonts w:hint="eastAsia"/>
                <w:color w:val="000000" w:themeColor="text1"/>
                <w:szCs w:val="21"/>
              </w:rPr>
              <w:t>的得3分，</w:t>
            </w:r>
            <w:r>
              <w:rPr>
                <w:rFonts w:hint="eastAsia" w:ascii="宋体" w:hAnsi="宋体" w:eastAsia="宋体" w:cs="宋体"/>
                <w:color w:val="000000" w:themeColor="text1"/>
                <w:szCs w:val="21"/>
              </w:rPr>
              <w:t>合理可行</w:t>
            </w:r>
            <w:r>
              <w:rPr>
                <w:rFonts w:hint="eastAsia"/>
                <w:color w:val="000000" w:themeColor="text1"/>
                <w:szCs w:val="21"/>
              </w:rPr>
              <w:t>得1分。</w:t>
            </w:r>
          </w:p>
          <w:p>
            <w:pPr>
              <w:widowControl/>
              <w:numPr>
                <w:ilvl w:val="0"/>
                <w:numId w:val="0"/>
              </w:numPr>
              <w:adjustRightInd w:val="0"/>
              <w:snapToGrid w:val="0"/>
              <w:spacing w:line="400" w:lineRule="exact"/>
              <w:ind w:leftChars="0"/>
              <w:rPr>
                <w:color w:val="000000" w:themeColor="text1"/>
                <w:szCs w:val="21"/>
              </w:rPr>
            </w:pPr>
            <w:r>
              <w:rPr>
                <w:rFonts w:hint="eastAsia"/>
                <w:color w:val="000000" w:themeColor="text1"/>
                <w:szCs w:val="21"/>
                <w:lang w:val="en-US" w:eastAsia="zh-CN"/>
              </w:rPr>
              <w:t>2、</w:t>
            </w:r>
            <w:r>
              <w:rPr>
                <w:rFonts w:hint="eastAsia"/>
                <w:color w:val="000000" w:themeColor="text1"/>
                <w:szCs w:val="21"/>
              </w:rPr>
              <w:t>投标人对食材能按时按量配送到位，具有合理的保障措施，</w:t>
            </w:r>
            <w:r>
              <w:rPr>
                <w:rFonts w:hint="eastAsia" w:ascii="宋体" w:hAnsi="宋体" w:eastAsia="宋体" w:cs="宋体"/>
                <w:color w:val="000000" w:themeColor="text1"/>
                <w:szCs w:val="21"/>
              </w:rPr>
              <w:t>科学</w:t>
            </w:r>
            <w:r>
              <w:rPr>
                <w:rFonts w:hint="eastAsia"/>
                <w:color w:val="000000" w:themeColor="text1"/>
                <w:szCs w:val="21"/>
              </w:rPr>
              <w:t>合理完善得4分，合理完善得3分，完善得1分。</w:t>
            </w:r>
          </w:p>
        </w:tc>
      </w:tr>
      <w:tr>
        <w:tblPrEx>
          <w:tblCellMar>
            <w:top w:w="0" w:type="dxa"/>
            <w:left w:w="108" w:type="dxa"/>
            <w:bottom w:w="0" w:type="dxa"/>
            <w:right w:w="108" w:type="dxa"/>
          </w:tblCellMar>
        </w:tblPrEx>
        <w:trPr>
          <w:trHeight w:val="476" w:hRule="atLeast"/>
          <w:jc w:val="center"/>
        </w:trPr>
        <w:tc>
          <w:tcPr>
            <w:tcW w:w="765" w:type="dxa"/>
            <w:vMerge w:val="continue"/>
            <w:tcBorders>
              <w:left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应急方案</w:t>
            </w:r>
          </w:p>
        </w:tc>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color w:val="000000" w:themeColor="text1"/>
                <w:szCs w:val="21"/>
              </w:rPr>
              <w:t>2分</w:t>
            </w:r>
          </w:p>
        </w:tc>
        <w:tc>
          <w:tcPr>
            <w:tcW w:w="777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食品安全应急方案科学合理实用得2分，合理实用1分，否则不得分。</w:t>
            </w:r>
          </w:p>
        </w:tc>
      </w:tr>
      <w:tr>
        <w:tblPrEx>
          <w:tblCellMar>
            <w:top w:w="0" w:type="dxa"/>
            <w:left w:w="108" w:type="dxa"/>
            <w:bottom w:w="0" w:type="dxa"/>
            <w:right w:w="108" w:type="dxa"/>
          </w:tblCellMar>
        </w:tblPrEx>
        <w:trPr>
          <w:trHeight w:val="476" w:hRule="atLeast"/>
          <w:jc w:val="center"/>
        </w:trPr>
        <w:tc>
          <w:tcPr>
            <w:tcW w:w="765" w:type="dxa"/>
            <w:vMerge w:val="continue"/>
            <w:tcBorders>
              <w:left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vMerge w:val="continue"/>
            <w:tcBorders>
              <w:left w:val="single" w:color="auto" w:sz="4" w:space="0"/>
              <w:right w:val="single" w:color="auto" w:sz="4" w:space="0"/>
            </w:tcBorders>
            <w:vAlign w:val="center"/>
          </w:tcPr>
          <w:p>
            <w:pPr>
              <w:widowControl/>
              <w:spacing w:line="400" w:lineRule="exact"/>
              <w:rPr>
                <w:rFonts w:ascii="宋体" w:hAnsi="宋体" w:eastAsia="宋体" w:cs="宋体"/>
                <w:color w:val="000000" w:themeColor="text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2分</w:t>
            </w:r>
          </w:p>
        </w:tc>
        <w:tc>
          <w:tcPr>
            <w:tcW w:w="777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配送车辆故障应急方案科学合理实用2分，合理实用1分，否则不得分。</w:t>
            </w:r>
          </w:p>
        </w:tc>
      </w:tr>
      <w:tr>
        <w:tblPrEx>
          <w:tblCellMar>
            <w:top w:w="0" w:type="dxa"/>
            <w:left w:w="108" w:type="dxa"/>
            <w:bottom w:w="0" w:type="dxa"/>
            <w:right w:w="108" w:type="dxa"/>
          </w:tblCellMar>
        </w:tblPrEx>
        <w:trPr>
          <w:trHeight w:val="476" w:hRule="atLeast"/>
          <w:jc w:val="center"/>
        </w:trPr>
        <w:tc>
          <w:tcPr>
            <w:tcW w:w="76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vMerge w:val="continue"/>
            <w:tcBorders>
              <w:left w:val="single" w:color="auto" w:sz="4" w:space="0"/>
              <w:right w:val="single" w:color="auto" w:sz="4" w:space="0"/>
            </w:tcBorders>
            <w:vAlign w:val="center"/>
          </w:tcPr>
          <w:p>
            <w:pPr>
              <w:widowControl/>
              <w:spacing w:line="400" w:lineRule="exact"/>
              <w:rPr>
                <w:rFonts w:ascii="宋体" w:hAnsi="宋体"/>
                <w:color w:val="000000" w:themeColor="text1"/>
                <w:szCs w:val="21"/>
              </w:rPr>
            </w:pPr>
          </w:p>
        </w:tc>
        <w:tc>
          <w:tcPr>
            <w:tcW w:w="705"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color w:val="000000" w:themeColor="text1"/>
                <w:szCs w:val="21"/>
              </w:rPr>
              <w:t>2分</w:t>
            </w:r>
          </w:p>
        </w:tc>
        <w:tc>
          <w:tcPr>
            <w:tcW w:w="777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缺货补货应急方案科学合理实用2分，合理实用1分，否则不得分。</w:t>
            </w:r>
          </w:p>
        </w:tc>
      </w:tr>
      <w:tr>
        <w:tblPrEx>
          <w:tblCellMar>
            <w:top w:w="0" w:type="dxa"/>
            <w:left w:w="108" w:type="dxa"/>
            <w:bottom w:w="0" w:type="dxa"/>
            <w:right w:w="108" w:type="dxa"/>
          </w:tblCellMar>
        </w:tblPrEx>
        <w:trPr>
          <w:trHeight w:val="512" w:hRule="atLeast"/>
          <w:jc w:val="center"/>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vMerge w:val="continue"/>
            <w:tcBorders>
              <w:left w:val="single" w:color="auto" w:sz="4" w:space="0"/>
              <w:bottom w:val="single" w:color="auto" w:sz="4" w:space="0"/>
              <w:right w:val="single" w:color="auto" w:sz="4" w:space="0"/>
            </w:tcBorders>
            <w:vAlign w:val="center"/>
          </w:tcPr>
          <w:p>
            <w:pPr>
              <w:widowControl/>
              <w:spacing w:line="400" w:lineRule="exact"/>
              <w:rPr>
                <w:rFonts w:ascii="宋体" w:hAnsi="宋体"/>
                <w:color w:val="000000" w:themeColor="text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color w:val="000000" w:themeColor="text1"/>
                <w:szCs w:val="21"/>
              </w:rPr>
              <w:t>2分</w:t>
            </w:r>
          </w:p>
        </w:tc>
        <w:tc>
          <w:tcPr>
            <w:tcW w:w="77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大型活动、接待保障与服务方案科学合理实用2分，合理实用1分，否则不得分。</w:t>
            </w:r>
          </w:p>
        </w:tc>
      </w:tr>
      <w:tr>
        <w:tblPrEx>
          <w:tblCellMar>
            <w:top w:w="0" w:type="dxa"/>
            <w:left w:w="108" w:type="dxa"/>
            <w:bottom w:w="0" w:type="dxa"/>
            <w:right w:w="108" w:type="dxa"/>
          </w:tblCellMar>
        </w:tblPrEx>
        <w:trPr>
          <w:trHeight w:val="1574" w:hRule="atLeast"/>
          <w:jc w:val="center"/>
        </w:trPr>
        <w:tc>
          <w:tcPr>
            <w:tcW w:w="765" w:type="dxa"/>
            <w:vMerge w:val="continue"/>
            <w:tcBorders>
              <w:left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货源渠道</w:t>
            </w:r>
          </w:p>
        </w:tc>
        <w:tc>
          <w:tcPr>
            <w:tcW w:w="705"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color w:val="000000" w:themeColor="text1"/>
                <w:szCs w:val="21"/>
              </w:rPr>
              <w:t>6分</w:t>
            </w:r>
          </w:p>
        </w:tc>
        <w:tc>
          <w:tcPr>
            <w:tcW w:w="777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投标人具有长期稳定的货源渠道，须详细描述本项目食材的供货渠道（生产厂家），并提供有效的证明文件（提供渠道供应商的营业执照及供货合同或协议），生鲜猪肋排、鸡肉、生鲜黄牛肉三类产品每满足1项得1分，最高得3分；</w:t>
            </w:r>
          </w:p>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生鲜猪肋排、鸡胸肉、生鲜黄牛肉三类产品货源渠道通过(GB/T22000 或 ISO 22000)食品安全管理体系或 HACCP体系认证的，每满足1项得1分，最高得3分（以上所有必须提供有效证件、证书、等资料）。</w:t>
            </w:r>
          </w:p>
        </w:tc>
      </w:tr>
      <w:tr>
        <w:tblPrEx>
          <w:tblCellMar>
            <w:top w:w="0" w:type="dxa"/>
            <w:left w:w="108" w:type="dxa"/>
            <w:bottom w:w="0" w:type="dxa"/>
            <w:right w:w="108" w:type="dxa"/>
          </w:tblCellMar>
        </w:tblPrEx>
        <w:trPr>
          <w:trHeight w:val="993" w:hRule="atLeast"/>
          <w:jc w:val="center"/>
        </w:trPr>
        <w:tc>
          <w:tcPr>
            <w:tcW w:w="765" w:type="dxa"/>
            <w:vMerge w:val="continue"/>
            <w:tcBorders>
              <w:left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运输保障方案</w:t>
            </w:r>
          </w:p>
        </w:tc>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color w:val="000000" w:themeColor="text1"/>
                <w:szCs w:val="21"/>
              </w:rPr>
              <w:t>6分</w:t>
            </w:r>
          </w:p>
        </w:tc>
        <w:tc>
          <w:tcPr>
            <w:tcW w:w="777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olor w:val="000000" w:themeColor="text1"/>
                <w:szCs w:val="21"/>
              </w:rPr>
            </w:pPr>
            <w:r>
              <w:rPr>
                <w:rFonts w:hint="eastAsia" w:ascii="宋体" w:hAnsi="宋体" w:eastAsia="宋体" w:cs="宋体"/>
                <w:color w:val="000000" w:themeColor="text1"/>
                <w:szCs w:val="21"/>
              </w:rPr>
              <w:t>投标人自有运输冷藏车且安装车辆实时监控系统至少4台，得4分，每增加一台得1分；此项最高6分。（提供车辆行驶证、保险单，购车发票</w:t>
            </w:r>
            <w:r>
              <w:rPr>
                <w:rFonts w:ascii="Helvetica" w:hAnsi="Helvetica" w:cs="Helvetica"/>
                <w:color w:val="000000" w:themeColor="text1"/>
                <w:szCs w:val="21"/>
                <w:lang w:val="zh-CN"/>
              </w:rPr>
              <w:t>原件真彩扫描打印件</w:t>
            </w:r>
            <w:r>
              <w:rPr>
                <w:rFonts w:cs="宋体"/>
                <w:color w:val="000000" w:themeColor="text1"/>
                <w:szCs w:val="21"/>
              </w:rPr>
              <w:t>加盖公章</w:t>
            </w:r>
            <w:r>
              <w:rPr>
                <w:rFonts w:hint="eastAsia" w:ascii="宋体" w:hAnsi="宋体" w:eastAsia="宋体" w:cs="宋体"/>
                <w:color w:val="000000" w:themeColor="text1"/>
                <w:szCs w:val="21"/>
              </w:rPr>
              <w:t>，材料不全不得分）。</w:t>
            </w:r>
          </w:p>
        </w:tc>
      </w:tr>
      <w:tr>
        <w:tblPrEx>
          <w:tblCellMar>
            <w:top w:w="0" w:type="dxa"/>
            <w:left w:w="108" w:type="dxa"/>
            <w:bottom w:w="0" w:type="dxa"/>
            <w:right w:w="108" w:type="dxa"/>
          </w:tblCellMar>
        </w:tblPrEx>
        <w:trPr>
          <w:trHeight w:val="1183" w:hRule="atLeast"/>
          <w:jc w:val="center"/>
        </w:trPr>
        <w:tc>
          <w:tcPr>
            <w:tcW w:w="76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rPr>
                <w:color w:val="000000" w:themeColor="text1"/>
                <w:szCs w:val="21"/>
              </w:rPr>
            </w:pPr>
          </w:p>
        </w:tc>
        <w:tc>
          <w:tcPr>
            <w:tcW w:w="909" w:type="dxa"/>
            <w:tcBorders>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仓储能力</w:t>
            </w:r>
          </w:p>
        </w:tc>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olor w:val="000000" w:themeColor="text1"/>
                <w:szCs w:val="21"/>
              </w:rPr>
            </w:pPr>
            <w:r>
              <w:rPr>
                <w:rFonts w:hint="eastAsia" w:ascii="宋体" w:hAnsi="宋体" w:eastAsia="宋体" w:cs="宋体"/>
                <w:color w:val="000000" w:themeColor="text1"/>
                <w:szCs w:val="21"/>
              </w:rPr>
              <w:t>6分</w:t>
            </w:r>
          </w:p>
        </w:tc>
        <w:tc>
          <w:tcPr>
            <w:tcW w:w="777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color w:val="000000" w:themeColor="text1"/>
                <w:szCs w:val="21"/>
              </w:rPr>
            </w:pPr>
            <w:r>
              <w:rPr>
                <w:rFonts w:hint="eastAsia" w:ascii="宋体" w:hAnsi="宋体" w:eastAsia="宋体" w:cs="宋体"/>
                <w:color w:val="000000" w:themeColor="text1"/>
                <w:szCs w:val="21"/>
              </w:rPr>
              <w:t>为保证学生食品安全，企业必须自有或租赁分类冻库、冷藏库，冷库容积达到500平方米（含）得4分，每增加100平方米加1分，最多得6分，500平方米以下不得分。提供冷库合法使用证明材料（</w:t>
            </w:r>
            <w:r>
              <w:rPr>
                <w:rFonts w:ascii="Helvetica" w:hAnsi="Helvetica" w:cs="Helvetica"/>
                <w:color w:val="000000" w:themeColor="text1"/>
                <w:szCs w:val="21"/>
                <w:lang w:val="zh-CN"/>
              </w:rPr>
              <w:t>原件真彩扫描打印件</w:t>
            </w:r>
            <w:r>
              <w:rPr>
                <w:rFonts w:cs="宋体"/>
                <w:color w:val="000000" w:themeColor="text1"/>
                <w:szCs w:val="21"/>
              </w:rPr>
              <w:t>加盖公章证明材料</w:t>
            </w:r>
            <w:r>
              <w:rPr>
                <w:rFonts w:hint="eastAsia" w:cs="宋体"/>
                <w:color w:val="000000" w:themeColor="text1"/>
                <w:szCs w:val="21"/>
              </w:rPr>
              <w:t>）。</w:t>
            </w:r>
          </w:p>
        </w:tc>
      </w:tr>
      <w:tr>
        <w:tblPrEx>
          <w:tblCellMar>
            <w:top w:w="0" w:type="dxa"/>
            <w:left w:w="108" w:type="dxa"/>
            <w:bottom w:w="0" w:type="dxa"/>
            <w:right w:w="108" w:type="dxa"/>
          </w:tblCellMar>
        </w:tblPrEx>
        <w:trPr>
          <w:trHeight w:val="282" w:hRule="atLeast"/>
          <w:jc w:val="center"/>
        </w:trPr>
        <w:tc>
          <w:tcPr>
            <w:tcW w:w="16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color w:val="000000" w:themeColor="text1"/>
                <w:szCs w:val="21"/>
              </w:rPr>
            </w:pPr>
            <w:r>
              <w:rPr>
                <w:rFonts w:hint="eastAsia" w:ascii="宋体" w:hAnsi="宋体" w:eastAsia="宋体" w:cs="宋体"/>
                <w:color w:val="000000" w:themeColor="text1"/>
                <w:szCs w:val="21"/>
              </w:rPr>
              <w:t>合计得分</w:t>
            </w:r>
          </w:p>
        </w:tc>
        <w:tc>
          <w:tcPr>
            <w:tcW w:w="705"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olor w:val="000000" w:themeColor="text1"/>
                <w:szCs w:val="21"/>
              </w:rPr>
            </w:pPr>
            <w:r>
              <w:rPr>
                <w:rFonts w:hint="eastAsia" w:ascii="宋体" w:hAnsi="宋体" w:eastAsia="宋体" w:cs="宋体"/>
                <w:color w:val="000000" w:themeColor="text1"/>
                <w:szCs w:val="21"/>
              </w:rPr>
              <w:t>100</w:t>
            </w:r>
          </w:p>
        </w:tc>
        <w:tc>
          <w:tcPr>
            <w:tcW w:w="7779" w:type="dxa"/>
            <w:tcBorders>
              <w:top w:val="nil"/>
              <w:left w:val="nil"/>
              <w:bottom w:val="single" w:color="auto" w:sz="4" w:space="0"/>
              <w:right w:val="single" w:color="000000" w:sz="4" w:space="0"/>
            </w:tcBorders>
            <w:vAlign w:val="center"/>
          </w:tcPr>
          <w:p>
            <w:pPr>
              <w:widowControl/>
              <w:adjustRightInd w:val="0"/>
              <w:snapToGrid w:val="0"/>
              <w:spacing w:line="360" w:lineRule="auto"/>
              <w:rPr>
                <w:rFonts w:ascii="宋体" w:hAnsi="宋体"/>
                <w:color w:val="000000" w:themeColor="text1"/>
                <w:szCs w:val="21"/>
              </w:rPr>
            </w:pPr>
            <w:r>
              <w:rPr>
                <w:rFonts w:hint="eastAsia" w:ascii="宋体" w:hAnsi="宋体" w:eastAsia="宋体" w:cs="宋体"/>
                <w:color w:val="000000" w:themeColor="text1"/>
                <w:szCs w:val="21"/>
              </w:rPr>
              <w:t>　</w:t>
            </w:r>
          </w:p>
        </w:tc>
      </w:tr>
    </w:tbl>
    <w:p>
      <w:pPr>
        <w:spacing w:line="360" w:lineRule="auto"/>
        <w:jc w:val="left"/>
        <w:rPr>
          <w:rFonts w:ascii="宋体" w:hAnsi="宋体" w:eastAsia="宋体" w:cs="宋体"/>
          <w:color w:val="000000" w:themeColor="text1"/>
          <w:sz w:val="32"/>
          <w:szCs w:val="32"/>
        </w:rPr>
      </w:pPr>
      <w:r>
        <w:rPr>
          <w:rFonts w:hint="eastAsia"/>
          <w:b/>
          <w:color w:val="000000" w:themeColor="text1"/>
          <w:szCs w:val="21"/>
        </w:rPr>
        <w:t>以上所有须提供的证件、证书、有关资料等，投标人都必须提供真实、有效的资料</w:t>
      </w:r>
      <w:r>
        <w:rPr>
          <w:rFonts w:hint="eastAsia"/>
          <w:b/>
          <w:color w:val="000000" w:themeColor="text1"/>
          <w:szCs w:val="21"/>
          <w:lang w:val="zh-CN"/>
        </w:rPr>
        <w:t>原件真彩扫描打印件（加盖公章）</w:t>
      </w:r>
      <w:r>
        <w:rPr>
          <w:rFonts w:hint="eastAsia"/>
          <w:b/>
          <w:color w:val="000000" w:themeColor="text1"/>
          <w:szCs w:val="21"/>
        </w:rPr>
        <w:t>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hint="eastAsia" w:ascii="宋体" w:hAnsi="宋体" w:eastAsia="宋体" w:cs="宋体"/>
          <w:b/>
          <w:bCs/>
          <w:color w:val="000000" w:themeColor="text1"/>
          <w:sz w:val="32"/>
          <w:szCs w:val="32"/>
        </w:rPr>
        <w:br w:type="page"/>
      </w:r>
      <w:r>
        <w:rPr>
          <w:rFonts w:hint="eastAsia" w:ascii="宋体" w:hAnsi="宋体" w:eastAsia="宋体" w:cs="宋体"/>
          <w:b/>
          <w:bCs/>
          <w:color w:val="000000" w:themeColor="text1"/>
          <w:sz w:val="32"/>
          <w:szCs w:val="32"/>
        </w:rPr>
        <w:t>三包：中央厨房供餐评分标准</w:t>
      </w:r>
    </w:p>
    <w:tbl>
      <w:tblPr>
        <w:tblStyle w:val="24"/>
        <w:tblW w:w="10447"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7"/>
        <w:gridCol w:w="1027"/>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类别</w:t>
            </w: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w:t>
            </w:r>
          </w:p>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项目</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权重</w:t>
            </w:r>
          </w:p>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（分数）</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评分参考及范围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8" w:type="dxa"/>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报价部分</w:t>
            </w:r>
          </w:p>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（5分）</w:t>
            </w: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5分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投标报价：本项目报价不得高于或低于招标的固定价：按5.0元/生/餐的标准合理搭配加餐菜肴，否则作废标处理。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108" w:type="dxa"/>
            <w:vMerge w:val="restart"/>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商务部分（30分）</w:t>
            </w: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冷库规模</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冷库面积150㎡（含）以上得6分；</w:t>
            </w:r>
          </w:p>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100㎡—140㎡得4分；</w:t>
            </w:r>
          </w:p>
          <w:p>
            <w:pPr>
              <w:pStyle w:val="5"/>
              <w:widowControl/>
              <w:spacing w:line="360" w:lineRule="exact"/>
              <w:ind w:left="0"/>
              <w:outlineLvl w:val="4"/>
              <w:rPr>
                <w:rFonts w:ascii="宋体" w:hAnsi="宋体" w:eastAsia="宋体" w:cs="宋体"/>
                <w:b w:val="0"/>
                <w:bCs w:val="0"/>
                <w:color w:val="000000" w:themeColor="text1"/>
              </w:rPr>
            </w:pPr>
            <w:r>
              <w:rPr>
                <w:rFonts w:hint="eastAsia" w:ascii="宋体" w:hAnsi="宋体" w:eastAsia="宋体" w:cs="宋体"/>
                <w:b w:val="0"/>
                <w:bCs w:val="0"/>
                <w:color w:val="000000" w:themeColor="text1"/>
              </w:rPr>
              <w:t xml:space="preserve">100㎡以下得2分  </w:t>
            </w:r>
          </w:p>
          <w:p>
            <w:pPr>
              <w:pStyle w:val="5"/>
              <w:widowControl/>
              <w:spacing w:line="360" w:lineRule="exact"/>
              <w:ind w:left="0"/>
              <w:outlineLvl w:val="4"/>
              <w:rPr>
                <w:rFonts w:ascii="宋体" w:hAnsi="宋体" w:eastAsia="宋体" w:cs="宋体"/>
                <w:b w:val="0"/>
                <w:bCs w:val="0"/>
                <w:color w:val="000000" w:themeColor="text1"/>
              </w:rPr>
            </w:pPr>
            <w:r>
              <w:rPr>
                <w:rFonts w:hint="eastAsia" w:ascii="宋体" w:hAnsi="宋体" w:eastAsia="宋体" w:cs="宋体"/>
                <w:b w:val="0"/>
                <w:bCs w:val="0"/>
                <w:color w:val="000000" w:themeColor="text1"/>
              </w:rPr>
              <w:t xml:space="preserve">没有不得分                                                                                                                                                                                                                                                                                                                                                                                                                                                                                                                                                                                                                                                                                                                                                                                                          </w:t>
            </w:r>
          </w:p>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（提供冷库建造合同或租赁合同等证明原件真彩扫描件及发票复印件备查）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体系认证</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投标人获得质量管理体系认证ISO9001；</w:t>
            </w:r>
          </w:p>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环境管理体系认证ISO14001</w:t>
            </w:r>
          </w:p>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职业健康安全管理体系认证OHSAS18001(ISO45001)</w:t>
            </w:r>
          </w:p>
          <w:p>
            <w:pPr>
              <w:spacing w:line="360" w:lineRule="auto"/>
              <w:ind w:right="63"/>
              <w:rPr>
                <w:rFonts w:ascii="宋体" w:hAnsi="宋体" w:eastAsia="宋体" w:cs="宋体"/>
                <w:color w:val="000000" w:themeColor="text1"/>
                <w:szCs w:val="21"/>
              </w:rPr>
            </w:pPr>
            <w:r>
              <w:rPr>
                <w:rFonts w:hint="eastAsia" w:ascii="宋体" w:hAnsi="宋体" w:eastAsia="宋体" w:cs="宋体"/>
                <w:color w:val="000000" w:themeColor="text1"/>
                <w:szCs w:val="21"/>
              </w:rPr>
              <w:t>食品安全管理体系认证ISO22000，每提供一个得1分，共4分。(提供原件真彩扫描件备查)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信用能力</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投标人获得质量、服务、诚信AAA企业的荣誉得6分；AA得3分， A得1分（提供相关荣誉证书真彩扫描件）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0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类似业绩</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14分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提供2019年1月1日以来类似项目配送业绩，每提供一个得2分，最高得14分。（以合同复印件和中标通知书为准，不提供不得分）同类采购项目指：学校集体用餐配送。</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08"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rPr>
                <w:rFonts w:ascii="宋体" w:hAnsi="宋体" w:eastAsia="宋体" w:cs="宋体"/>
                <w:color w:val="000000" w:themeColor="text1"/>
                <w:szCs w:val="21"/>
              </w:rPr>
            </w:pPr>
          </w:p>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 xml:space="preserve">     </w:t>
            </w:r>
          </w:p>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技术部分（65分）</w:t>
            </w: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安全保障措施方案</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根据货物的来源、加工、包装、保存、运输、留样等各环节的质量保证制定安全保障措施方案，方案科学合理可行4-6分，合理可行1-3分，否则不得分。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服务团队保障方案</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5分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投标人有专职业务人员，培训人员，营养师，配送人员（提供从业人员社保证明、健康证、司机驾驶证、营养师技术职称证），确保配送及时准确安全。具有合理的保障方案，方案科学合理完善得5分，合理完善得3-4分，完善得1-2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配送服务方案</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8分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集体配餐单位提供配送服务方案，包括但不限于货源、采购渠道、供货保障、品质监控、日常管理组织、应急预案、疫情防护措施、物流配送。方案科学合理、全面6-8分，合理全面3-5分，全面1-2分。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中餐配餐方案</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15分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根据采购人的需求制定科学、合理中餐菜肴搭配方案。对提供荤素搭配比例的带量食谱方案进行综合评价，方案科学合理全面11-15分，合理全面6-10分，全面1-5分。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安全责任</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3分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企业办理有效期内食品安全责任险100万以上（含）得1分，办理有效期内食品安全责任险300万（含）以上得2分，办理有效期内食品安全责任险500万（含）以上得3分。</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r>
              <w:rPr>
                <w:rFonts w:hint="eastAsia" w:ascii="宋体" w:hAnsi="宋体" w:eastAsia="宋体" w:cs="宋体"/>
                <w:color w:val="000000" w:themeColor="text1"/>
                <w:szCs w:val="21"/>
              </w:rPr>
              <w:t>提供相关真实材料，未提供不得分。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安全检测</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5分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投标人委托第三方权威检测机构检测配送盒饭菜品（含水质检测）及餐具的合格报告，菜品及餐具检测种类达到6种或以上得5分，达到3-5种得3分，其他不得分（须提供近两年第三方权威检测机构出具报告，</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r>
              <w:rPr>
                <w:rFonts w:hint="eastAsia" w:ascii="宋体" w:hAnsi="宋体" w:eastAsia="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加工生产能力</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10分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具有充足完善的米饭生产线、果蔬清洗、加工、装箱设施设备及肉类初加工设备，生产加工管理制度完善、科学规范得6-10分；具有一定数量的自动化加工设备，部分产品加工需要机械和人工相结合，管理制度相对完善、规范，得3-5 分.其他不得分（提供加工设备采购合同真彩扫描件及购买发票，</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r>
              <w:rPr>
                <w:rFonts w:hint="eastAsia" w:ascii="宋体" w:hAnsi="宋体" w:eastAsia="宋体" w:cs="宋体"/>
                <w:color w:val="000000" w:themeColor="text1"/>
                <w:szCs w:val="21"/>
              </w:rPr>
              <w:t>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运输保障能力</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8分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满足项目要求，司机队伍经验丰富，车辆运输管理科学规范、制度完善，车辆干净卫生得 5-8分，管理规范、制度完善得3-4分，制度完善得1-2分。（提供配送车辆的购买或租赁合同及购买或租凭发票，</w:t>
            </w:r>
            <w:r>
              <w:rPr>
                <w:rFonts w:cs="宋体"/>
                <w:color w:val="000000" w:themeColor="text1"/>
                <w:szCs w:val="24"/>
              </w:rPr>
              <w:t>需提供</w:t>
            </w:r>
            <w:r>
              <w:rPr>
                <w:rFonts w:ascii="Helvetica" w:hAnsi="Helvetica" w:cs="Helvetica"/>
                <w:color w:val="000000" w:themeColor="text1"/>
                <w:szCs w:val="24"/>
                <w:lang w:val="zh-CN"/>
              </w:rPr>
              <w:t>原件真彩扫描打印件</w:t>
            </w:r>
            <w:r>
              <w:rPr>
                <w:rFonts w:cs="宋体"/>
                <w:color w:val="000000" w:themeColor="text1"/>
                <w:szCs w:val="24"/>
              </w:rPr>
              <w:t>加盖公章证明材料</w:t>
            </w:r>
            <w:r>
              <w:rPr>
                <w:rFonts w:hint="eastAsia" w:ascii="宋体" w:hAnsi="宋体" w:eastAsia="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p>
        </w:tc>
        <w:tc>
          <w:tcPr>
            <w:tcW w:w="85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改进机制</w:t>
            </w:r>
          </w:p>
        </w:tc>
        <w:tc>
          <w:tcPr>
            <w:tcW w:w="10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5分</w:t>
            </w:r>
          </w:p>
        </w:tc>
        <w:tc>
          <w:tcPr>
            <w:tcW w:w="745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提供可以接受家长监督和检查的方案，介绍自身分析改进机制和收到家长改进意见建议后的改进机制。全面合理可行3-5分，合理可行1-2分。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总分</w:t>
            </w:r>
          </w:p>
        </w:tc>
        <w:tc>
          <w:tcPr>
            <w:tcW w:w="8482"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100分</w:t>
            </w:r>
          </w:p>
        </w:tc>
      </w:tr>
    </w:tbl>
    <w:p>
      <w:pPr>
        <w:spacing w:line="360" w:lineRule="auto"/>
        <w:rPr>
          <w:b/>
          <w:color w:val="000000" w:themeColor="text1"/>
          <w:szCs w:val="21"/>
        </w:rPr>
      </w:pPr>
      <w:r>
        <w:rPr>
          <w:rFonts w:hint="eastAsia"/>
          <w:b/>
          <w:color w:val="000000" w:themeColor="text1"/>
          <w:szCs w:val="21"/>
        </w:rPr>
        <w:t>以上所有须提供的证件、证书、有关资料等，投标人都必须提供真实、有效的资料</w:t>
      </w:r>
      <w:r>
        <w:rPr>
          <w:rFonts w:hint="eastAsia"/>
          <w:b/>
          <w:color w:val="000000" w:themeColor="text1"/>
          <w:szCs w:val="21"/>
          <w:lang w:val="zh-CN"/>
        </w:rPr>
        <w:t>原件真彩扫描打印件（加盖公章）</w:t>
      </w:r>
      <w:r>
        <w:rPr>
          <w:rFonts w:hint="eastAsia"/>
          <w:b/>
          <w:color w:val="000000" w:themeColor="text1"/>
          <w:szCs w:val="21"/>
        </w:rPr>
        <w:t>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3"/>
        <w:numPr>
          <w:ilvl w:val="0"/>
          <w:numId w:val="1"/>
        </w:numPr>
        <w:spacing w:before="0" w:after="0" w:line="360" w:lineRule="auto"/>
        <w:jc w:val="center"/>
        <w:rPr>
          <w:rFonts w:ascii="黑体" w:hAnsi="黑体" w:eastAsia="黑体"/>
          <w:color w:val="000000" w:themeColor="text1"/>
        </w:rPr>
      </w:pPr>
      <w:r>
        <w:rPr>
          <w:rFonts w:hint="eastAsia" w:ascii="黑体" w:hAnsi="黑体" w:eastAsia="黑体"/>
          <w:color w:val="000000" w:themeColor="text1"/>
        </w:rPr>
        <w:t>合同书格式（参考）</w:t>
      </w:r>
      <w:bookmarkEnd w:id="59"/>
      <w:bookmarkEnd w:id="60"/>
      <w:bookmarkEnd w:id="61"/>
      <w:bookmarkEnd w:id="62"/>
      <w:bookmarkEnd w:id="63"/>
      <w:bookmarkEnd w:id="64"/>
      <w:bookmarkEnd w:id="65"/>
    </w:p>
    <w:p>
      <w:pPr>
        <w:spacing w:line="360" w:lineRule="auto"/>
        <w:ind w:firstLine="480" w:firstLineChars="200"/>
        <w:rPr>
          <w:color w:val="000000" w:themeColor="text1"/>
          <w:sz w:val="24"/>
          <w:szCs w:val="24"/>
        </w:rPr>
      </w:pPr>
      <w:r>
        <w:rPr>
          <w:rFonts w:hint="eastAsia"/>
          <w:color w:val="000000" w:themeColor="text1"/>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spacing w:line="360" w:lineRule="auto"/>
        <w:jc w:val="center"/>
        <w:rPr>
          <w:rFonts w:ascii="宋体" w:hAnsi="宋体" w:eastAsia="宋体" w:cs="Times New Roman"/>
          <w:b/>
          <w:color w:val="000000" w:themeColor="text1"/>
          <w:kern w:val="0"/>
          <w:sz w:val="36"/>
          <w:szCs w:val="36"/>
        </w:rPr>
      </w:pPr>
      <w:r>
        <w:rPr>
          <w:rFonts w:hint="eastAsia" w:ascii="宋体" w:hAnsi="宋体" w:eastAsia="宋体" w:cs="Times New Roman"/>
          <w:b/>
          <w:color w:val="000000" w:themeColor="text1"/>
          <w:kern w:val="0"/>
          <w:sz w:val="36"/>
          <w:szCs w:val="36"/>
        </w:rPr>
        <w:t>合   同   书</w:t>
      </w:r>
    </w:p>
    <w:p>
      <w:pPr>
        <w:spacing w:line="360" w:lineRule="auto"/>
        <w:ind w:firstLine="480" w:firstLineChars="200"/>
        <w:rPr>
          <w:rFonts w:ascii="Helvetica" w:hAnsi="Helvetica" w:eastAsia="宋体" w:cs="Helvetica"/>
          <w:b/>
          <w:color w:val="000000" w:themeColor="text1"/>
          <w:kern w:val="0"/>
          <w:sz w:val="24"/>
          <w:szCs w:val="24"/>
          <w:lang w:val="zh-CN"/>
        </w:rPr>
      </w:pPr>
      <w:r>
        <w:rPr>
          <w:rFonts w:hint="eastAsia" w:ascii="Helvetica" w:hAnsi="Helvetica" w:eastAsia="宋体" w:cs="Helvetica"/>
          <w:b/>
          <w:color w:val="000000" w:themeColor="text1"/>
          <w:kern w:val="0"/>
          <w:sz w:val="24"/>
          <w:szCs w:val="24"/>
          <w:lang w:val="zh-CN"/>
        </w:rPr>
        <w:t>项目名称：</w:t>
      </w:r>
    </w:p>
    <w:p>
      <w:pPr>
        <w:spacing w:line="360" w:lineRule="auto"/>
        <w:ind w:firstLine="480" w:firstLineChars="200"/>
        <w:rPr>
          <w:rFonts w:ascii="Helvetica" w:hAnsi="Helvetica" w:eastAsia="宋体" w:cs="Helvetica"/>
          <w:b/>
          <w:color w:val="000000" w:themeColor="text1"/>
          <w:kern w:val="0"/>
          <w:sz w:val="24"/>
          <w:szCs w:val="24"/>
          <w:lang w:val="zh-CN"/>
        </w:rPr>
      </w:pPr>
      <w:r>
        <w:rPr>
          <w:rFonts w:hint="eastAsia" w:ascii="Helvetica" w:hAnsi="Helvetica" w:eastAsia="宋体" w:cs="Helvetica"/>
          <w:b/>
          <w:color w:val="000000" w:themeColor="text1"/>
          <w:kern w:val="0"/>
          <w:sz w:val="24"/>
          <w:szCs w:val="24"/>
          <w:lang w:val="zh-CN"/>
        </w:rPr>
        <w:t>合同编号：</w:t>
      </w:r>
    </w:p>
    <w:p>
      <w:pPr>
        <w:spacing w:line="360" w:lineRule="auto"/>
        <w:ind w:firstLine="480" w:firstLineChars="200"/>
        <w:rPr>
          <w:rFonts w:ascii="Helvetica" w:hAnsi="Helvetica" w:eastAsia="宋体" w:cs="Helvetica"/>
          <w:b/>
          <w:color w:val="000000" w:themeColor="text1"/>
          <w:kern w:val="0"/>
          <w:sz w:val="24"/>
          <w:szCs w:val="24"/>
          <w:lang w:val="zh-CN"/>
        </w:rPr>
      </w:pPr>
      <w:r>
        <w:rPr>
          <w:rFonts w:hint="eastAsia" w:ascii="Helvetica" w:hAnsi="Helvetica" w:eastAsia="宋体" w:cs="Helvetica"/>
          <w:b/>
          <w:color w:val="000000" w:themeColor="text1"/>
          <w:kern w:val="0"/>
          <w:sz w:val="24"/>
          <w:szCs w:val="24"/>
          <w:lang w:val="zh-CN"/>
        </w:rPr>
        <w:t>签订日期：</w:t>
      </w:r>
    </w:p>
    <w:p>
      <w:pPr>
        <w:spacing w:line="360" w:lineRule="auto"/>
        <w:ind w:firstLine="480" w:firstLineChars="200"/>
        <w:rPr>
          <w:rFonts w:ascii="Helvetica" w:hAnsi="Helvetica" w:eastAsia="宋体" w:cs="Helvetica"/>
          <w:b/>
          <w:color w:val="000000" w:themeColor="text1"/>
          <w:kern w:val="0"/>
          <w:sz w:val="24"/>
          <w:szCs w:val="24"/>
          <w:lang w:val="zh-CN"/>
        </w:rPr>
      </w:pPr>
      <w:r>
        <w:rPr>
          <w:rFonts w:hint="eastAsia" w:ascii="Helvetica" w:hAnsi="Helvetica" w:eastAsia="宋体" w:cs="Helvetica"/>
          <w:b/>
          <w:color w:val="000000" w:themeColor="text1"/>
          <w:kern w:val="0"/>
          <w:sz w:val="24"/>
          <w:szCs w:val="24"/>
          <w:lang w:val="zh-CN"/>
        </w:rPr>
        <w:t>签订合同地点：</w:t>
      </w:r>
    </w:p>
    <w:p>
      <w:pPr>
        <w:spacing w:line="360" w:lineRule="auto"/>
        <w:ind w:firstLine="480" w:firstLineChars="200"/>
        <w:rPr>
          <w:rFonts w:ascii="Helvetica" w:hAnsi="Helvetica" w:eastAsia="宋体" w:cs="Helvetica"/>
          <w:color w:val="000000" w:themeColor="text1"/>
          <w:kern w:val="0"/>
          <w:sz w:val="24"/>
          <w:szCs w:val="24"/>
          <w:lang w:val="zh-CN"/>
        </w:rPr>
      </w:pPr>
      <w:r>
        <w:rPr>
          <w:rFonts w:hint="eastAsia" w:ascii="Helvetica" w:hAnsi="Helvetica" w:eastAsia="宋体" w:cs="Helvetica"/>
          <w:color w:val="000000" w:themeColor="text1"/>
          <w:kern w:val="0"/>
          <w:sz w:val="24"/>
          <w:szCs w:val="24"/>
          <w:lang w:val="zh-CN"/>
        </w:rPr>
        <w:t>本合同由</w:t>
      </w:r>
      <w:r>
        <w:rPr>
          <w:rFonts w:hint="eastAsia" w:ascii="Helvetica" w:hAnsi="Helvetica" w:eastAsia="宋体" w:cs="Helvetica"/>
          <w:color w:val="000000" w:themeColor="text1"/>
          <w:kern w:val="0"/>
          <w:sz w:val="24"/>
          <w:szCs w:val="24"/>
          <w:u w:val="single"/>
          <w:lang w:val="zh-CN"/>
        </w:rPr>
        <w:t>（采购人）</w:t>
      </w:r>
      <w:r>
        <w:rPr>
          <w:rFonts w:hint="eastAsia" w:ascii="Helvetica" w:hAnsi="Helvetica" w:eastAsia="宋体" w:cs="Helvetica"/>
          <w:color w:val="000000" w:themeColor="text1"/>
          <w:kern w:val="0"/>
          <w:sz w:val="24"/>
          <w:szCs w:val="24"/>
          <w:lang w:val="zh-CN"/>
        </w:rPr>
        <w:t>（以下简称“甲方”）与</w:t>
      </w:r>
      <w:r>
        <w:rPr>
          <w:rFonts w:hint="eastAsia" w:ascii="Helvetica" w:hAnsi="Helvetica" w:eastAsia="宋体" w:cs="Helvetica"/>
          <w:color w:val="000000" w:themeColor="text1"/>
          <w:kern w:val="0"/>
          <w:sz w:val="24"/>
          <w:szCs w:val="24"/>
          <w:u w:val="single"/>
          <w:lang w:val="zh-CN"/>
        </w:rPr>
        <w:t>（中标人）</w:t>
      </w:r>
      <w:r>
        <w:rPr>
          <w:rFonts w:hint="eastAsia" w:ascii="Helvetica" w:hAnsi="Helvetica" w:eastAsia="宋体" w:cs="Helvetica"/>
          <w:color w:val="000000" w:themeColor="text1"/>
          <w:kern w:val="0"/>
          <w:sz w:val="24"/>
          <w:szCs w:val="24"/>
          <w:lang w:val="zh-CN"/>
        </w:rPr>
        <w:t>（以下简称“乙方”）签订。乙方以总金额万元人民币（用大写数字书写）向甲方提供如下货物（工程或服务）：</w:t>
      </w:r>
    </w:p>
    <w:p>
      <w:pPr>
        <w:spacing w:line="360" w:lineRule="auto"/>
        <w:ind w:firstLine="489" w:firstLineChars="204"/>
        <w:contextualSpacing/>
        <w:rPr>
          <w:rFonts w:ascii="宋体" w:hAnsi="宋体" w:eastAsia="宋体" w:cs="Times New Roman"/>
          <w:b/>
          <w:color w:val="000000" w:themeColor="text1"/>
          <w:kern w:val="0"/>
          <w:sz w:val="24"/>
          <w:szCs w:val="20"/>
        </w:rPr>
      </w:pPr>
      <w:r>
        <w:rPr>
          <w:rFonts w:hint="eastAsia" w:ascii="Helvetica" w:hAnsi="Helvetica" w:eastAsia="宋体" w:cs="Helvetica"/>
          <w:b/>
          <w:color w:val="000000" w:themeColor="text1"/>
          <w:kern w:val="0"/>
          <w:sz w:val="24"/>
          <w:szCs w:val="24"/>
          <w:lang w:val="zh-CN"/>
        </w:rPr>
        <w:t>经双方协商，同意按下列条文执行：</w:t>
      </w:r>
    </w:p>
    <w:p>
      <w:pPr>
        <w:numPr>
          <w:ilvl w:val="3"/>
          <w:numId w:val="39"/>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本合同甲、乙双方应遵守国家颁布的《中华人民共和国合同法》、《中华人民共和国政府采购法》，并各自履行应负的全部责任和义务。</w:t>
      </w:r>
    </w:p>
    <w:p>
      <w:pPr>
        <w:numPr>
          <w:ilvl w:val="3"/>
          <w:numId w:val="39"/>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甲方保证按合同条款规定的时间和方式付给乙方到期应付的合同款，并承担应负的责任和义务。</w:t>
      </w:r>
    </w:p>
    <w:p>
      <w:pPr>
        <w:numPr>
          <w:ilvl w:val="3"/>
          <w:numId w:val="39"/>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乙方保证按合同条款规定的内容和工期（服务期限）向甲方提供合格的货物（工程或服务），并承担应负的责任和义务。</w:t>
      </w:r>
    </w:p>
    <w:p>
      <w:pPr>
        <w:numPr>
          <w:ilvl w:val="3"/>
          <w:numId w:val="39"/>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合同文件。下列文件为本合同不可分割的部分：</w:t>
      </w:r>
    </w:p>
    <w:p>
      <w:pPr>
        <w:numPr>
          <w:ilvl w:val="0"/>
          <w:numId w:val="40"/>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rPr>
      </w:pPr>
      <w:r>
        <w:rPr>
          <w:rFonts w:hint="eastAsia" w:ascii="宋体" w:hAnsi="宋体" w:eastAsia="宋体" w:cs="Times New Roman"/>
          <w:color w:val="000000" w:themeColor="text1"/>
          <w:kern w:val="0"/>
          <w:sz w:val="24"/>
          <w:szCs w:val="20"/>
          <w:lang w:val="zh-CN"/>
        </w:rPr>
        <w:t>招标文件（项目编号：</w:t>
      </w:r>
      <w:r>
        <w:rPr>
          <w:rFonts w:hint="eastAsia" w:ascii="宋体" w:hAnsi="宋体" w:eastAsia="宋体" w:cs="Times New Roman"/>
          <w:color w:val="000000" w:themeColor="text1"/>
          <w:kern w:val="0"/>
          <w:sz w:val="24"/>
          <w:szCs w:val="20"/>
          <w:u w:val="single"/>
          <w:lang w:val="zh-CN"/>
        </w:rPr>
        <w:t>　　            　</w:t>
      </w:r>
      <w:r>
        <w:rPr>
          <w:rFonts w:hint="eastAsia" w:ascii="宋体" w:hAnsi="宋体" w:eastAsia="宋体" w:cs="Times New Roman"/>
          <w:color w:val="000000" w:themeColor="text1"/>
          <w:kern w:val="0"/>
          <w:sz w:val="24"/>
          <w:szCs w:val="20"/>
          <w:lang w:val="zh-CN"/>
        </w:rPr>
        <w:t>）；</w:t>
      </w:r>
    </w:p>
    <w:p>
      <w:pPr>
        <w:numPr>
          <w:ilvl w:val="0"/>
          <w:numId w:val="40"/>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rPr>
      </w:pPr>
      <w:r>
        <w:rPr>
          <w:rFonts w:hint="eastAsia" w:ascii="宋体" w:hAnsi="宋体" w:eastAsia="宋体" w:cs="Times New Roman"/>
          <w:color w:val="000000" w:themeColor="text1"/>
          <w:kern w:val="0"/>
          <w:sz w:val="24"/>
          <w:szCs w:val="20"/>
          <w:lang w:val="zh-CN"/>
        </w:rPr>
        <w:t>中标的投标文件；</w:t>
      </w:r>
    </w:p>
    <w:p>
      <w:pPr>
        <w:numPr>
          <w:ilvl w:val="0"/>
          <w:numId w:val="40"/>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rPr>
      </w:pPr>
      <w:r>
        <w:rPr>
          <w:rFonts w:hint="eastAsia" w:ascii="宋体" w:hAnsi="宋体" w:eastAsia="宋体" w:cs="Times New Roman"/>
          <w:color w:val="000000" w:themeColor="text1"/>
          <w:kern w:val="0"/>
          <w:sz w:val="24"/>
          <w:szCs w:val="20"/>
          <w:lang w:val="zh-CN"/>
        </w:rPr>
        <w:t>合同书；</w:t>
      </w:r>
    </w:p>
    <w:p>
      <w:pPr>
        <w:numPr>
          <w:ilvl w:val="0"/>
          <w:numId w:val="40"/>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rPr>
      </w:pPr>
      <w:r>
        <w:rPr>
          <w:rFonts w:hint="eastAsia" w:ascii="宋体" w:hAnsi="宋体" w:eastAsia="宋体" w:cs="Times New Roman"/>
          <w:color w:val="000000" w:themeColor="text1"/>
          <w:kern w:val="0"/>
          <w:sz w:val="24"/>
          <w:szCs w:val="20"/>
          <w:lang w:val="zh-CN"/>
        </w:rPr>
        <w:t>合同条款；</w:t>
      </w:r>
    </w:p>
    <w:p>
      <w:pPr>
        <w:numPr>
          <w:ilvl w:val="0"/>
          <w:numId w:val="40"/>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rPr>
      </w:pPr>
      <w:r>
        <w:rPr>
          <w:rFonts w:hint="eastAsia" w:ascii="宋体" w:hAnsi="宋体" w:eastAsia="宋体" w:cs="Times New Roman"/>
          <w:color w:val="000000" w:themeColor="text1"/>
          <w:kern w:val="0"/>
          <w:sz w:val="24"/>
          <w:szCs w:val="20"/>
          <w:lang w:val="zh-CN"/>
        </w:rPr>
        <w:t>集中采购机构发出的中标通知书；</w:t>
      </w:r>
    </w:p>
    <w:p>
      <w:pPr>
        <w:numPr>
          <w:ilvl w:val="0"/>
          <w:numId w:val="40"/>
        </w:numPr>
        <w:adjustRightInd w:val="0"/>
        <w:spacing w:line="360" w:lineRule="auto"/>
        <w:ind w:left="1090" w:leftChars="227" w:hanging="614" w:hangingChars="256"/>
        <w:rPr>
          <w:rFonts w:ascii="宋体" w:hAnsi="宋体" w:eastAsia="宋体" w:cs="Times New Roman"/>
          <w:color w:val="000000" w:themeColor="text1"/>
          <w:kern w:val="0"/>
          <w:sz w:val="24"/>
          <w:szCs w:val="20"/>
          <w:lang w:val="zh-CN"/>
        </w:rPr>
      </w:pPr>
      <w:r>
        <w:rPr>
          <w:rFonts w:hint="eastAsia" w:ascii="宋体" w:hAnsi="宋体" w:eastAsia="宋体" w:cs="Times New Roman"/>
          <w:color w:val="000000" w:themeColor="text1"/>
          <w:kern w:val="0"/>
          <w:sz w:val="24"/>
          <w:szCs w:val="20"/>
          <w:lang w:val="zh-CN"/>
        </w:rPr>
        <w:t>附件；</w:t>
      </w:r>
    </w:p>
    <w:p>
      <w:pPr>
        <w:numPr>
          <w:ilvl w:val="0"/>
          <w:numId w:val="41"/>
        </w:numPr>
        <w:spacing w:line="360" w:lineRule="auto"/>
        <w:ind w:left="1358" w:hanging="724"/>
        <w:rPr>
          <w:rFonts w:ascii="宋体" w:hAnsi="宋体" w:eastAsia="宋体" w:cs="Times New Roman"/>
          <w:color w:val="000000" w:themeColor="text1"/>
          <w:sz w:val="24"/>
          <w:szCs w:val="20"/>
          <w:lang w:val="zh-CN"/>
        </w:rPr>
      </w:pPr>
      <w:r>
        <w:rPr>
          <w:rFonts w:hint="eastAsia" w:ascii="宋体" w:hAnsi="宋体" w:eastAsia="宋体" w:cs="Times New Roman"/>
          <w:color w:val="000000" w:themeColor="text1"/>
          <w:kern w:val="0"/>
          <w:sz w:val="24"/>
          <w:szCs w:val="20"/>
          <w:lang w:val="zh-CN"/>
        </w:rPr>
        <w:t>甲方</w:t>
      </w:r>
      <w:r>
        <w:rPr>
          <w:rFonts w:hint="eastAsia" w:ascii="宋体" w:hAnsi="宋体" w:eastAsia="宋体" w:cs="Times New Roman"/>
          <w:color w:val="000000" w:themeColor="text1"/>
          <w:sz w:val="24"/>
          <w:szCs w:val="20"/>
          <w:lang w:val="zh-CN"/>
        </w:rPr>
        <w:t>在招标期间发布的所有补充通知；</w:t>
      </w:r>
    </w:p>
    <w:p>
      <w:pPr>
        <w:numPr>
          <w:ilvl w:val="0"/>
          <w:numId w:val="41"/>
        </w:numPr>
        <w:spacing w:line="360" w:lineRule="auto"/>
        <w:ind w:left="1358" w:hanging="724"/>
        <w:rPr>
          <w:rFonts w:ascii="宋体" w:hAnsi="宋体" w:eastAsia="宋体" w:cs="Times New Roman"/>
          <w:color w:val="000000" w:themeColor="text1"/>
          <w:kern w:val="0"/>
          <w:sz w:val="24"/>
          <w:szCs w:val="20"/>
          <w:lang w:val="zh-CN"/>
        </w:rPr>
      </w:pPr>
      <w:r>
        <w:rPr>
          <w:rFonts w:hint="eastAsia" w:ascii="宋体" w:hAnsi="宋体" w:eastAsia="宋体" w:cs="Times New Roman"/>
          <w:color w:val="000000" w:themeColor="text1"/>
          <w:kern w:val="0"/>
          <w:sz w:val="24"/>
          <w:szCs w:val="20"/>
          <w:lang w:val="zh-CN"/>
        </w:rPr>
        <w:t>乙方在投标期内补充的所有书面文件；</w:t>
      </w:r>
    </w:p>
    <w:p>
      <w:pPr>
        <w:numPr>
          <w:ilvl w:val="0"/>
          <w:numId w:val="41"/>
        </w:numPr>
        <w:spacing w:line="360" w:lineRule="auto"/>
        <w:ind w:left="1358" w:hanging="724"/>
        <w:rPr>
          <w:rFonts w:ascii="宋体" w:hAnsi="宋体" w:eastAsia="宋体" w:cs="Times New Roman"/>
          <w:color w:val="000000" w:themeColor="text1"/>
          <w:kern w:val="0"/>
          <w:sz w:val="24"/>
          <w:szCs w:val="20"/>
          <w:lang w:val="zh-CN"/>
        </w:rPr>
      </w:pPr>
      <w:r>
        <w:rPr>
          <w:rFonts w:hint="eastAsia" w:ascii="宋体" w:hAnsi="宋体" w:eastAsia="宋体" w:cs="Times New Roman"/>
          <w:color w:val="000000" w:themeColor="text1"/>
          <w:kern w:val="0"/>
          <w:sz w:val="24"/>
          <w:szCs w:val="20"/>
          <w:lang w:val="zh-CN"/>
        </w:rPr>
        <w:t>乙方在投标时随同投标文件一起递送的资料及附图；</w:t>
      </w:r>
    </w:p>
    <w:p>
      <w:pPr>
        <w:numPr>
          <w:ilvl w:val="0"/>
          <w:numId w:val="41"/>
        </w:numPr>
        <w:spacing w:line="360" w:lineRule="auto"/>
        <w:ind w:left="1358" w:hanging="724"/>
        <w:rPr>
          <w:rFonts w:ascii="宋体" w:hAnsi="宋体" w:eastAsia="宋体" w:cs="Times New Roman"/>
          <w:color w:val="000000" w:themeColor="text1"/>
          <w:kern w:val="0"/>
          <w:sz w:val="24"/>
          <w:szCs w:val="20"/>
          <w:lang w:val="zh-CN"/>
        </w:rPr>
      </w:pPr>
      <w:r>
        <w:rPr>
          <w:rFonts w:hint="eastAsia" w:ascii="宋体" w:hAnsi="宋体" w:eastAsia="宋体" w:cs="Times New Roman"/>
          <w:color w:val="000000" w:themeColor="text1"/>
          <w:kern w:val="0"/>
          <w:sz w:val="24"/>
          <w:szCs w:val="20"/>
          <w:lang w:val="zh-CN"/>
        </w:rPr>
        <w:t>在商洽本合同时，双方澄清、确认并共同签字的补充文件、技术协议。</w:t>
      </w:r>
    </w:p>
    <w:p>
      <w:pPr>
        <w:numPr>
          <w:ilvl w:val="3"/>
          <w:numId w:val="39"/>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合同范围和条件。本合同的范围和条件应与上述规定的合同文件内容相一致。</w:t>
      </w:r>
    </w:p>
    <w:p>
      <w:pPr>
        <w:numPr>
          <w:ilvl w:val="3"/>
          <w:numId w:val="39"/>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货物（工程或服务）及数量。本合同所提供的货物（工程或服务）及数量详见招标文件的要求及乙方投标文件中的承诺。</w:t>
      </w:r>
    </w:p>
    <w:p>
      <w:pPr>
        <w:numPr>
          <w:ilvl w:val="3"/>
          <w:numId w:val="39"/>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付款条件。本合同的付款条件按招标文件规定执行。</w:t>
      </w:r>
    </w:p>
    <w:p>
      <w:pPr>
        <w:numPr>
          <w:ilvl w:val="3"/>
          <w:numId w:val="39"/>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合同金额。合同总金额见合同书，分项价格在乙方的投标报价表中有明确规定。</w:t>
      </w:r>
    </w:p>
    <w:p>
      <w:pPr>
        <w:numPr>
          <w:ilvl w:val="3"/>
          <w:numId w:val="39"/>
        </w:numPr>
        <w:tabs>
          <w:tab w:val="left" w:pos="854"/>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工期和交货（服务）地点。本合同中货物（工程或服务）的工期、交货（服务）地点在招标文件中有明确规定。</w:t>
      </w:r>
    </w:p>
    <w:p>
      <w:pPr>
        <w:numPr>
          <w:ilvl w:val="3"/>
          <w:numId w:val="39"/>
        </w:numPr>
        <w:tabs>
          <w:tab w:val="left" w:pos="980"/>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合同生效。本合同经甲、乙双方授权代表签字和加盖公章（或合同专用章）后生效。如招标申请公证的，合同需经公证机构公证后生效。</w:t>
      </w:r>
    </w:p>
    <w:p>
      <w:pPr>
        <w:numPr>
          <w:ilvl w:val="3"/>
          <w:numId w:val="39"/>
        </w:numPr>
        <w:tabs>
          <w:tab w:val="left" w:pos="980"/>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合同的份数。本合同正本一式</w:t>
      </w:r>
      <w:r>
        <w:rPr>
          <w:rFonts w:hint="eastAsia" w:ascii="宋体" w:hAnsi="宋体" w:eastAsia="宋体" w:cs="Times New Roman"/>
          <w:color w:val="000000" w:themeColor="text1"/>
          <w:kern w:val="0"/>
          <w:sz w:val="24"/>
          <w:szCs w:val="20"/>
          <w:u w:val="single"/>
        </w:rPr>
        <w:t>　</w:t>
      </w:r>
      <w:r>
        <w:rPr>
          <w:rFonts w:hint="eastAsia" w:ascii="宋体" w:hAnsi="宋体" w:eastAsia="宋体" w:cs="Times New Roman"/>
          <w:color w:val="000000" w:themeColor="text1"/>
          <w:kern w:val="0"/>
          <w:sz w:val="24"/>
          <w:szCs w:val="20"/>
        </w:rPr>
        <w:t>份，甲方执</w:t>
      </w:r>
      <w:r>
        <w:rPr>
          <w:rFonts w:hint="eastAsia" w:ascii="宋体" w:hAnsi="宋体" w:eastAsia="宋体" w:cs="Times New Roman"/>
          <w:color w:val="000000" w:themeColor="text1"/>
          <w:kern w:val="0"/>
          <w:sz w:val="24"/>
          <w:szCs w:val="20"/>
          <w:u w:val="single"/>
        </w:rPr>
        <w:t>　</w:t>
      </w:r>
      <w:r>
        <w:rPr>
          <w:rFonts w:hint="eastAsia" w:ascii="宋体" w:hAnsi="宋体" w:eastAsia="宋体" w:cs="Times New Roman"/>
          <w:color w:val="000000" w:themeColor="text1"/>
          <w:kern w:val="0"/>
          <w:sz w:val="24"/>
          <w:szCs w:val="20"/>
        </w:rPr>
        <w:t>份，乙方执</w:t>
      </w:r>
      <w:r>
        <w:rPr>
          <w:rFonts w:hint="eastAsia" w:ascii="宋体" w:hAnsi="宋体" w:eastAsia="宋体" w:cs="Times New Roman"/>
          <w:color w:val="000000" w:themeColor="text1"/>
          <w:kern w:val="0"/>
          <w:sz w:val="24"/>
          <w:szCs w:val="20"/>
          <w:u w:val="single"/>
        </w:rPr>
        <w:t>　</w:t>
      </w:r>
      <w:r>
        <w:rPr>
          <w:rFonts w:hint="eastAsia" w:ascii="宋体" w:hAnsi="宋体" w:eastAsia="宋体" w:cs="Times New Roman"/>
          <w:color w:val="000000" w:themeColor="text1"/>
          <w:kern w:val="0"/>
          <w:sz w:val="24"/>
          <w:szCs w:val="20"/>
        </w:rPr>
        <w:t>份；副本一式</w:t>
      </w:r>
      <w:r>
        <w:rPr>
          <w:rFonts w:hint="eastAsia" w:ascii="宋体" w:hAnsi="宋体" w:eastAsia="宋体" w:cs="Times New Roman"/>
          <w:color w:val="000000" w:themeColor="text1"/>
          <w:kern w:val="0"/>
          <w:sz w:val="24"/>
          <w:szCs w:val="20"/>
          <w:u w:val="single"/>
        </w:rPr>
        <w:t>　</w:t>
      </w:r>
      <w:r>
        <w:rPr>
          <w:rFonts w:hint="eastAsia" w:ascii="宋体" w:hAnsi="宋体" w:eastAsia="宋体" w:cs="Times New Roman"/>
          <w:color w:val="000000" w:themeColor="text1"/>
          <w:kern w:val="0"/>
          <w:sz w:val="24"/>
          <w:szCs w:val="20"/>
        </w:rPr>
        <w:t>份，甲方执</w:t>
      </w:r>
      <w:r>
        <w:rPr>
          <w:rFonts w:hint="eastAsia" w:ascii="宋体" w:hAnsi="宋体" w:eastAsia="宋体" w:cs="Times New Roman"/>
          <w:color w:val="000000" w:themeColor="text1"/>
          <w:kern w:val="0"/>
          <w:sz w:val="24"/>
          <w:szCs w:val="20"/>
          <w:u w:val="single"/>
        </w:rPr>
        <w:t>　</w:t>
      </w:r>
      <w:r>
        <w:rPr>
          <w:rFonts w:hint="eastAsia" w:ascii="宋体" w:hAnsi="宋体" w:eastAsia="宋体" w:cs="Times New Roman"/>
          <w:color w:val="000000" w:themeColor="text1"/>
          <w:kern w:val="0"/>
          <w:sz w:val="24"/>
          <w:szCs w:val="20"/>
        </w:rPr>
        <w:t>份，乙方执</w:t>
      </w:r>
      <w:r>
        <w:rPr>
          <w:rFonts w:hint="eastAsia" w:ascii="宋体" w:hAnsi="宋体" w:eastAsia="宋体" w:cs="Times New Roman"/>
          <w:color w:val="000000" w:themeColor="text1"/>
          <w:kern w:val="0"/>
          <w:sz w:val="24"/>
          <w:szCs w:val="20"/>
          <w:u w:val="single"/>
        </w:rPr>
        <w:t>　</w:t>
      </w:r>
      <w:r>
        <w:rPr>
          <w:rFonts w:hint="eastAsia" w:ascii="宋体" w:hAnsi="宋体" w:eastAsia="宋体" w:cs="Times New Roman"/>
          <w:color w:val="000000" w:themeColor="text1"/>
          <w:kern w:val="0"/>
          <w:sz w:val="24"/>
          <w:szCs w:val="20"/>
        </w:rPr>
        <w:t>份。</w:t>
      </w:r>
    </w:p>
    <w:p>
      <w:pPr>
        <w:numPr>
          <w:ilvl w:val="3"/>
          <w:numId w:val="39"/>
        </w:numPr>
        <w:tabs>
          <w:tab w:val="left" w:pos="980"/>
        </w:tabs>
        <w:autoSpaceDE w:val="0"/>
        <w:autoSpaceDN w:val="0"/>
        <w:spacing w:line="360" w:lineRule="auto"/>
        <w:ind w:left="11" w:firstLine="477" w:firstLineChars="199"/>
        <w:contextualSpacing/>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合同的失效。本合同在合同价款全部结清后失效。</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甲　　方：</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 xml:space="preserve">                         乙　　方：</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单位名称（盖章）：</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 xml:space="preserve">                  单位名称（盖章）：</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单位地址：</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 xml:space="preserve">                         单位地址：</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 xml:space="preserve">法人代表授权人(签字)：             </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法人代表授权人(签字)：</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联 系 人：</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 xml:space="preserve">                         联 系 人：</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 xml:space="preserve">电　　话：                         </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电　　话：</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 xml:space="preserve">传　　真：                         </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传　　真：</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 xml:space="preserve">邮政编码：                         </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邮政编码：</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 xml:space="preserve">开户银行：                         </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开户银行：</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 xml:space="preserve">帐　　号：                         </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帐　　号：</w:t>
      </w:r>
    </w:p>
    <w:p>
      <w:pPr>
        <w:spacing w:line="360" w:lineRule="auto"/>
        <w:ind w:firstLine="489" w:firstLineChars="204"/>
        <w:contextualSpacing/>
        <w:jc w:val="left"/>
        <w:rPr>
          <w:rFonts w:ascii="宋体" w:hAnsi="宋体" w:eastAsia="宋体" w:cs="Times New Roman"/>
          <w:color w:val="000000" w:themeColor="text1"/>
          <w:kern w:val="0"/>
          <w:sz w:val="24"/>
          <w:szCs w:val="20"/>
        </w:rPr>
      </w:pPr>
      <w:r>
        <w:rPr>
          <w:rFonts w:hint="eastAsia" w:ascii="宋体" w:hAnsi="宋体" w:eastAsia="宋体" w:cs="Times New Roman"/>
          <w:color w:val="000000" w:themeColor="text1"/>
          <w:kern w:val="0"/>
          <w:sz w:val="24"/>
          <w:szCs w:val="20"/>
        </w:rPr>
        <w:t xml:space="preserve">税　　号：                         </w:t>
      </w:r>
      <w:r>
        <w:rPr>
          <w:rFonts w:hint="eastAsia" w:ascii="宋体" w:hAnsi="宋体" w:eastAsia="宋体" w:cs="Times New Roman"/>
          <w:color w:val="000000" w:themeColor="text1"/>
          <w:kern w:val="0"/>
          <w:sz w:val="24"/>
          <w:szCs w:val="20"/>
        </w:rPr>
        <w:tab/>
      </w:r>
      <w:r>
        <w:rPr>
          <w:rFonts w:hint="eastAsia" w:ascii="宋体" w:hAnsi="宋体" w:eastAsia="宋体" w:cs="Times New Roman"/>
          <w:color w:val="000000" w:themeColor="text1"/>
          <w:kern w:val="0"/>
          <w:sz w:val="24"/>
          <w:szCs w:val="20"/>
        </w:rPr>
        <w:t>税　　号：</w:t>
      </w:r>
    </w:p>
    <w:p>
      <w:pPr>
        <w:spacing w:line="360" w:lineRule="auto"/>
        <w:rPr>
          <w:color w:val="000000" w:themeColor="text1"/>
        </w:rPr>
      </w:pPr>
      <w:r>
        <w:rPr>
          <w:color w:val="000000" w:themeColor="text1"/>
        </w:rPr>
        <w:br w:type="page"/>
      </w:r>
    </w:p>
    <w:p>
      <w:pPr>
        <w:pStyle w:val="3"/>
        <w:numPr>
          <w:ilvl w:val="0"/>
          <w:numId w:val="1"/>
        </w:numPr>
        <w:spacing w:before="0" w:after="0" w:line="360" w:lineRule="auto"/>
        <w:jc w:val="center"/>
        <w:rPr>
          <w:rFonts w:ascii="黑体" w:hAnsi="黑体" w:eastAsia="黑体"/>
          <w:color w:val="000000" w:themeColor="text1"/>
        </w:rPr>
      </w:pPr>
      <w:bookmarkStart w:id="66" w:name="_Toc494745311"/>
      <w:bookmarkStart w:id="67" w:name="_Toc494702264"/>
      <w:bookmarkStart w:id="68" w:name="_Toc494721094"/>
      <w:bookmarkStart w:id="69" w:name="_Toc494665944"/>
      <w:bookmarkStart w:id="70" w:name="_Toc495861546"/>
      <w:bookmarkStart w:id="71" w:name="_Toc494665547"/>
      <w:bookmarkStart w:id="72" w:name="_Toc494664994"/>
      <w:r>
        <w:rPr>
          <w:rFonts w:hint="eastAsia" w:ascii="黑体" w:hAnsi="黑体" w:eastAsia="黑体"/>
          <w:color w:val="000000" w:themeColor="text1"/>
        </w:rPr>
        <w:t>投标文件格式（参考）</w:t>
      </w:r>
      <w:bookmarkEnd w:id="66"/>
      <w:bookmarkEnd w:id="67"/>
      <w:bookmarkEnd w:id="68"/>
      <w:bookmarkEnd w:id="69"/>
      <w:bookmarkEnd w:id="70"/>
      <w:bookmarkEnd w:id="71"/>
      <w:bookmarkEnd w:id="72"/>
    </w:p>
    <w:p>
      <w:pPr>
        <w:spacing w:line="360" w:lineRule="auto"/>
        <w:jc w:val="center"/>
        <w:rPr>
          <w:rFonts w:ascii="黑体" w:hAnsi="黑体" w:eastAsia="黑体"/>
          <w:b/>
          <w:color w:val="000000" w:themeColor="text1"/>
          <w:sz w:val="56"/>
          <w:szCs w:val="56"/>
        </w:rPr>
      </w:pPr>
      <w:r>
        <w:rPr>
          <w:rFonts w:hint="eastAsia" w:ascii="黑体" w:hAnsi="黑体" w:eastAsia="黑体"/>
          <w:b/>
          <w:color w:val="000000" w:themeColor="text1"/>
          <w:sz w:val="56"/>
          <w:szCs w:val="56"/>
        </w:rPr>
        <w:t>阳新县县级政府采购</w:t>
      </w:r>
    </w:p>
    <w:p>
      <w:pPr>
        <w:spacing w:line="360" w:lineRule="auto"/>
        <w:jc w:val="center"/>
        <w:rPr>
          <w:rFonts w:ascii="黑体" w:hAnsi="黑体" w:eastAsia="黑体"/>
          <w:b/>
          <w:color w:val="000000" w:themeColor="text1"/>
          <w:sz w:val="144"/>
          <w:szCs w:val="144"/>
        </w:rPr>
      </w:pPr>
      <w:r>
        <w:rPr>
          <w:rFonts w:hint="eastAsia" w:ascii="黑体" w:hAnsi="黑体" w:eastAsia="黑体"/>
          <w:b/>
          <w:color w:val="000000" w:themeColor="text1"/>
          <w:sz w:val="144"/>
          <w:szCs w:val="144"/>
        </w:rPr>
        <w:t>投 标 文 件</w:t>
      </w:r>
    </w:p>
    <w:p>
      <w:pPr>
        <w:spacing w:line="360" w:lineRule="auto"/>
        <w:jc w:val="center"/>
        <w:rPr>
          <w:rFonts w:ascii="黑体" w:hAnsi="黑体" w:eastAsia="黑体"/>
          <w:b/>
          <w:color w:val="000000" w:themeColor="text1"/>
          <w:sz w:val="144"/>
          <w:szCs w:val="144"/>
        </w:rPr>
      </w:pPr>
    </w:p>
    <w:p>
      <w:pPr>
        <w:pStyle w:val="4"/>
        <w:spacing w:before="0" w:after="0" w:line="360" w:lineRule="auto"/>
        <w:jc w:val="center"/>
        <w:rPr>
          <w:rFonts w:cs="Times New Roman" w:asciiTheme="majorEastAsia" w:hAnsiTheme="majorEastAsia"/>
          <w:bCs w:val="0"/>
          <w:color w:val="000000" w:themeColor="text1"/>
          <w:sz w:val="44"/>
          <w:szCs w:val="44"/>
          <w:lang w:val="zh-CN"/>
        </w:rPr>
      </w:pPr>
      <w:bookmarkStart w:id="73" w:name="_Toc495861547"/>
      <w:bookmarkStart w:id="74" w:name="_Toc494665945"/>
      <w:bookmarkStart w:id="75" w:name="_Toc494721095"/>
      <w:bookmarkStart w:id="76" w:name="_Toc494664995"/>
      <w:bookmarkStart w:id="77" w:name="_Toc494665548"/>
      <w:bookmarkStart w:id="78" w:name="_Toc494745312"/>
      <w:bookmarkStart w:id="79" w:name="_Toc494702265"/>
    </w:p>
    <w:p>
      <w:pPr>
        <w:pStyle w:val="4"/>
        <w:numPr>
          <w:ilvl w:val="0"/>
          <w:numId w:val="42"/>
        </w:numPr>
        <w:spacing w:before="0" w:after="0" w:line="360" w:lineRule="auto"/>
        <w:jc w:val="center"/>
        <w:rPr>
          <w:rFonts w:cs="Times New Roman" w:asciiTheme="majorEastAsia" w:hAnsiTheme="majorEastAsia"/>
          <w:bCs w:val="0"/>
          <w:color w:val="000000" w:themeColor="text1"/>
          <w:sz w:val="44"/>
          <w:szCs w:val="44"/>
          <w:lang w:val="zh-CN"/>
        </w:rPr>
      </w:pPr>
      <w:r>
        <w:rPr>
          <w:rFonts w:hint="eastAsia" w:cs="Times New Roman" w:asciiTheme="majorEastAsia" w:hAnsiTheme="majorEastAsia"/>
          <w:bCs w:val="0"/>
          <w:color w:val="000000" w:themeColor="text1"/>
          <w:sz w:val="44"/>
          <w:szCs w:val="44"/>
          <w:lang w:val="zh-CN"/>
        </w:rPr>
        <w:t>资格证明文件</w:t>
      </w:r>
      <w:bookmarkEnd w:id="73"/>
      <w:bookmarkEnd w:id="74"/>
      <w:bookmarkEnd w:id="75"/>
      <w:bookmarkEnd w:id="76"/>
      <w:bookmarkEnd w:id="77"/>
      <w:bookmarkEnd w:id="78"/>
      <w:bookmarkEnd w:id="79"/>
    </w:p>
    <w:p>
      <w:pPr>
        <w:spacing w:line="360" w:lineRule="auto"/>
        <w:rPr>
          <w:color w:val="000000" w:themeColor="text1"/>
          <w:lang w:val="zh-CN"/>
        </w:rPr>
      </w:pPr>
    </w:p>
    <w:p>
      <w:pPr>
        <w:spacing w:line="360" w:lineRule="auto"/>
        <w:ind w:left="2051" w:leftChars="619" w:right="1299" w:rightChars="619" w:hanging="752" w:hangingChars="209"/>
        <w:rPr>
          <w:rFonts w:cs="Times New Roman" w:asciiTheme="minorEastAsia" w:hAnsiTheme="minorEastAsia"/>
          <w:bCs/>
          <w:color w:val="000000" w:themeColor="text1"/>
          <w:sz w:val="36"/>
          <w:szCs w:val="24"/>
        </w:rPr>
      </w:pPr>
      <w:r>
        <w:rPr>
          <w:rFonts w:hint="eastAsia" w:cs="Times New Roman" w:asciiTheme="minorEastAsia" w:hAnsiTheme="minorEastAsia"/>
          <w:b/>
          <w:bCs/>
          <w:color w:val="000000" w:themeColor="text1"/>
          <w:sz w:val="36"/>
          <w:szCs w:val="24"/>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rPr>
      </w:pPr>
      <w:r>
        <w:rPr>
          <w:rFonts w:hint="eastAsia" w:cs="Times New Roman" w:asciiTheme="minorEastAsia" w:hAnsiTheme="minorEastAsia"/>
          <w:b/>
          <w:bCs/>
          <w:color w:val="000000" w:themeColor="text1"/>
          <w:sz w:val="36"/>
          <w:szCs w:val="24"/>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rPr>
      </w:pPr>
      <w:r>
        <w:rPr>
          <w:rFonts w:hint="eastAsia" w:cs="Times New Roman" w:asciiTheme="minorEastAsia" w:hAnsiTheme="minorEastAsia"/>
          <w:b/>
          <w:bCs/>
          <w:color w:val="000000" w:themeColor="text1"/>
          <w:sz w:val="36"/>
          <w:szCs w:val="24"/>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rPr>
      </w:pPr>
      <w:r>
        <w:rPr>
          <w:rFonts w:hint="eastAsia" w:cs="Times New Roman" w:asciiTheme="minorEastAsia" w:hAnsiTheme="minorEastAsia"/>
          <w:b/>
          <w:bCs/>
          <w:color w:val="000000" w:themeColor="text1"/>
          <w:sz w:val="36"/>
          <w:szCs w:val="24"/>
        </w:rPr>
        <w:t>采购内容：</w:t>
      </w:r>
    </w:p>
    <w:p>
      <w:pPr>
        <w:spacing w:line="360" w:lineRule="auto"/>
        <w:ind w:right="1287" w:rightChars="613"/>
        <w:jc w:val="center"/>
        <w:rPr>
          <w:rFonts w:cs="Times New Roman" w:asciiTheme="minorEastAsia" w:hAnsiTheme="minorEastAsia"/>
          <w:b/>
          <w:bCs/>
          <w:color w:val="000000" w:themeColor="text1"/>
          <w:sz w:val="96"/>
          <w:szCs w:val="96"/>
        </w:rPr>
      </w:pPr>
      <w:r>
        <w:rPr>
          <w:rFonts w:hint="eastAsia" w:cs="Times New Roman" w:asciiTheme="minorEastAsia" w:hAnsiTheme="minorEastAsia"/>
          <w:b/>
          <w:bCs/>
          <w:color w:val="000000" w:themeColor="text1"/>
          <w:sz w:val="96"/>
          <w:szCs w:val="96"/>
        </w:rPr>
        <w:t xml:space="preserve">   </w:t>
      </w:r>
    </w:p>
    <w:p>
      <w:pPr>
        <w:spacing w:line="360" w:lineRule="auto"/>
        <w:ind w:right="1287" w:rightChars="613"/>
        <w:jc w:val="center"/>
        <w:rPr>
          <w:rFonts w:cs="Times New Roman" w:asciiTheme="minorEastAsia" w:hAnsiTheme="minorEastAsia"/>
          <w:b/>
          <w:bCs/>
          <w:color w:val="000000" w:themeColor="text1"/>
          <w:sz w:val="96"/>
          <w:szCs w:val="96"/>
        </w:rPr>
      </w:pPr>
      <w:r>
        <w:rPr>
          <w:rFonts w:hint="eastAsia" w:cs="Times New Roman" w:asciiTheme="minorEastAsia" w:hAnsiTheme="minorEastAsia"/>
          <w:b/>
          <w:bCs/>
          <w:color w:val="000000" w:themeColor="text1"/>
          <w:sz w:val="96"/>
          <w:szCs w:val="96"/>
        </w:rPr>
        <w:t>投标人（盖章）</w:t>
      </w:r>
    </w:p>
    <w:p>
      <w:pPr>
        <w:spacing w:line="360" w:lineRule="auto"/>
        <w:ind w:left="1971" w:leftChars="939" w:right="1287" w:rightChars="613" w:firstLine="1104" w:firstLineChars="345"/>
        <w:rPr>
          <w:rFonts w:cs="Times New Roman" w:asciiTheme="minorEastAsia" w:hAnsiTheme="minorEastAsia"/>
          <w:b/>
          <w:bCs/>
          <w:color w:val="000000" w:themeColor="text1"/>
          <w:sz w:val="32"/>
          <w:szCs w:val="32"/>
        </w:rPr>
      </w:pPr>
      <w:r>
        <w:rPr>
          <w:rFonts w:hint="eastAsia" w:cs="Times New Roman" w:asciiTheme="minorEastAsia" w:hAnsiTheme="minorEastAsia"/>
          <w:b/>
          <w:bCs/>
          <w:color w:val="000000" w:themeColor="text1"/>
          <w:sz w:val="32"/>
          <w:szCs w:val="32"/>
        </w:rPr>
        <w:t>投标人授权代表（签字）：</w:t>
      </w:r>
    </w:p>
    <w:p>
      <w:pPr>
        <w:spacing w:line="360" w:lineRule="auto"/>
        <w:ind w:left="2256" w:leftChars="466" w:right="466" w:hanging="1278" w:hangingChars="355"/>
        <w:jc w:val="center"/>
        <w:rPr>
          <w:rFonts w:ascii="宋体" w:hAnsi="宋体"/>
          <w:b/>
          <w:color w:val="000000" w:themeColor="text1"/>
          <w:sz w:val="36"/>
          <w:szCs w:val="36"/>
        </w:rPr>
      </w:pPr>
      <w:r>
        <w:rPr>
          <w:rFonts w:hint="eastAsia" w:ascii="宋体" w:hAnsi="宋体" w:eastAsia="宋体" w:cs="Times New Roman"/>
          <w:b/>
          <w:bCs/>
          <w:color w:val="000000" w:themeColor="text1"/>
          <w:sz w:val="36"/>
          <w:szCs w:val="36"/>
        </w:rPr>
        <w:t>二0二</w:t>
      </w:r>
      <w:r>
        <w:rPr>
          <w:rFonts w:hint="eastAsia" w:ascii="宋体" w:hAnsi="宋体" w:eastAsia="宋体" w:cs="宋体"/>
          <w:b/>
          <w:color w:val="000000" w:themeColor="text1"/>
          <w:sz w:val="36"/>
          <w:szCs w:val="36"/>
        </w:rPr>
        <w:t>二</w:t>
      </w:r>
      <w:r>
        <w:rPr>
          <w:rFonts w:hint="eastAsia" w:ascii="宋体" w:hAnsi="宋体"/>
          <w:b/>
          <w:color w:val="000000" w:themeColor="text1"/>
          <w:sz w:val="36"/>
          <w:szCs w:val="36"/>
        </w:rPr>
        <w:t>年 月</w:t>
      </w:r>
    </w:p>
    <w:p>
      <w:pPr>
        <w:spacing w:line="360" w:lineRule="auto"/>
        <w:jc w:val="left"/>
        <w:rPr>
          <w:rFonts w:ascii="宋体" w:hAnsi="宋体" w:eastAsia="宋体" w:cs="Times New Roman"/>
          <w:b/>
          <w:bCs/>
          <w:color w:val="000000" w:themeColor="text1"/>
          <w:sz w:val="30"/>
          <w:szCs w:val="30"/>
        </w:rPr>
      </w:pPr>
    </w:p>
    <w:p>
      <w:pPr>
        <w:pStyle w:val="2"/>
        <w:rPr>
          <w:color w:val="000000" w:themeColor="text1"/>
        </w:rPr>
      </w:pPr>
    </w:p>
    <w:p>
      <w:pPr>
        <w:spacing w:line="360" w:lineRule="auto"/>
        <w:rPr>
          <w:rFonts w:ascii="宋体" w:hAnsi="宋体" w:eastAsia="宋体" w:cs="Times New Roman"/>
          <w:b/>
          <w:bCs/>
          <w:color w:val="000000" w:themeColor="text1"/>
          <w:sz w:val="30"/>
          <w:szCs w:val="30"/>
          <w:lang w:val="zh-CN"/>
        </w:rPr>
      </w:pPr>
    </w:p>
    <w:p>
      <w:pPr>
        <w:spacing w:line="360" w:lineRule="auto"/>
        <w:jc w:val="left"/>
        <w:rPr>
          <w:rFonts w:ascii="宋体" w:hAnsi="宋体" w:eastAsia="宋体" w:cs="Times New Roman"/>
          <w:b/>
          <w:bCs/>
          <w:color w:val="000000" w:themeColor="text1"/>
          <w:sz w:val="30"/>
          <w:szCs w:val="30"/>
          <w:lang w:val="zh-CN"/>
        </w:rPr>
      </w:pPr>
      <w:r>
        <w:rPr>
          <w:rFonts w:hint="eastAsia" w:ascii="宋体" w:hAnsi="宋体" w:eastAsia="宋体" w:cs="Times New Roman"/>
          <w:b/>
          <w:bCs/>
          <w:color w:val="000000" w:themeColor="text1"/>
          <w:sz w:val="30"/>
          <w:szCs w:val="30"/>
          <w:lang w:val="zh-CN"/>
        </w:rPr>
        <w:t>格式（参考）说明：</w:t>
      </w:r>
    </w:p>
    <w:p>
      <w:pPr>
        <w:spacing w:line="360" w:lineRule="auto"/>
        <w:jc w:val="center"/>
        <w:rPr>
          <w:rFonts w:ascii="黑体" w:hAnsi="黑体" w:eastAsia="黑体" w:cs="Times New Roman"/>
          <w:b/>
          <w:color w:val="000000" w:themeColor="text1"/>
          <w:sz w:val="36"/>
          <w:szCs w:val="36"/>
        </w:rPr>
      </w:pPr>
      <w:bookmarkStart w:id="80" w:name="_Toc494664996"/>
      <w:bookmarkStart w:id="81" w:name="_Toc494665946"/>
      <w:bookmarkStart w:id="82" w:name="_Toc494702266"/>
      <w:bookmarkStart w:id="83" w:name="_Toc494745313"/>
      <w:bookmarkStart w:id="84" w:name="_Toc494721096"/>
      <w:bookmarkStart w:id="85" w:name="_Toc494665549"/>
      <w:r>
        <w:rPr>
          <w:rFonts w:hint="eastAsia" w:ascii="黑体" w:hAnsi="黑体" w:eastAsia="黑体" w:cs="Times New Roman"/>
          <w:b/>
          <w:color w:val="000000" w:themeColor="text1"/>
          <w:sz w:val="36"/>
          <w:szCs w:val="36"/>
        </w:rPr>
        <w:t>资格证明文件组成</w:t>
      </w:r>
      <w:bookmarkEnd w:id="80"/>
      <w:bookmarkEnd w:id="81"/>
      <w:bookmarkEnd w:id="82"/>
      <w:bookmarkEnd w:id="83"/>
      <w:bookmarkEnd w:id="84"/>
      <w:bookmarkEnd w:id="85"/>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由各投标人根据参考格式要求自行编写。目录清晰、内容详尽、易于理解和审查。具体内容应包括但不限于以下内容：</w:t>
      </w:r>
    </w:p>
    <w:p>
      <w:pPr>
        <w:numPr>
          <w:ilvl w:val="0"/>
          <w:numId w:val="43"/>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资格证明文件目录</w:t>
      </w:r>
      <w:r>
        <w:rPr>
          <w:rFonts w:hint="eastAsia" w:ascii="宋体" w:hAnsi="宋体" w:eastAsia="宋体" w:cs="Times New Roman"/>
          <w:b/>
          <w:color w:val="000000" w:themeColor="text1"/>
          <w:kern w:val="0"/>
          <w:sz w:val="24"/>
          <w:szCs w:val="32"/>
        </w:rPr>
        <w:t>（目录应涵盖下述所有资料，页码清晰以便查阅）</w:t>
      </w:r>
      <w:r>
        <w:rPr>
          <w:rFonts w:hint="eastAsia" w:ascii="宋体" w:hAnsi="宋体" w:eastAsia="宋体" w:cs="Times New Roman"/>
          <w:color w:val="000000" w:themeColor="text1"/>
          <w:kern w:val="0"/>
          <w:sz w:val="24"/>
          <w:szCs w:val="32"/>
        </w:rPr>
        <w:t>；</w:t>
      </w:r>
    </w:p>
    <w:p>
      <w:pPr>
        <w:numPr>
          <w:ilvl w:val="0"/>
          <w:numId w:val="43"/>
        </w:numPr>
        <w:autoSpaceDE w:val="0"/>
        <w:autoSpaceDN w:val="0"/>
        <w:adjustRightInd w:val="0"/>
        <w:spacing w:line="360" w:lineRule="auto"/>
        <w:ind w:left="490" w:hanging="370"/>
        <w:rPr>
          <w:rFonts w:ascii="宋体" w:hAnsi="宋体" w:eastAsia="宋体" w:cs="Times New Roman"/>
          <w:b/>
          <w:color w:val="000000" w:themeColor="text1"/>
          <w:kern w:val="0"/>
          <w:sz w:val="24"/>
          <w:szCs w:val="32"/>
        </w:rPr>
      </w:pPr>
      <w:r>
        <w:rPr>
          <w:rFonts w:hint="eastAsia" w:ascii="宋体" w:hAnsi="宋体"/>
          <w:color w:val="000000" w:themeColor="text1"/>
          <w:kern w:val="0"/>
          <w:sz w:val="24"/>
          <w:szCs w:val="32"/>
        </w:rPr>
        <w:t>应具备《政府采购法》第二十二条第一款规定的条件，提供下列材料：</w:t>
      </w:r>
    </w:p>
    <w:p>
      <w:pPr>
        <w:pStyle w:val="36"/>
        <w:numPr>
          <w:ilvl w:val="0"/>
          <w:numId w:val="44"/>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法人或者其他组织的营业执照等证明文件，自然人的身份证明；</w:t>
      </w:r>
    </w:p>
    <w:p>
      <w:pPr>
        <w:pStyle w:val="36"/>
        <w:numPr>
          <w:ilvl w:val="0"/>
          <w:numId w:val="44"/>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财务状况报告，依法缴纳税收和社会保障资金的相关材料；</w:t>
      </w:r>
    </w:p>
    <w:p>
      <w:pPr>
        <w:pStyle w:val="36"/>
        <w:numPr>
          <w:ilvl w:val="0"/>
          <w:numId w:val="44"/>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具备履行合同所必需的设备和专业技术能力的证明材料；</w:t>
      </w:r>
    </w:p>
    <w:p>
      <w:pPr>
        <w:pStyle w:val="36"/>
        <w:numPr>
          <w:ilvl w:val="0"/>
          <w:numId w:val="44"/>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参加政府采购活动前3年内在经营活动中没有重大违法记录的书面声明；</w:t>
      </w:r>
    </w:p>
    <w:p>
      <w:pPr>
        <w:pStyle w:val="36"/>
        <w:numPr>
          <w:ilvl w:val="0"/>
          <w:numId w:val="44"/>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具备法律、行政法规规定的其他条件的证明材料；</w:t>
      </w:r>
    </w:p>
    <w:p>
      <w:pPr>
        <w:numPr>
          <w:ilvl w:val="0"/>
          <w:numId w:val="43"/>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未被“信用中国”网站(www.creditchina.gov.cn)列入失信被执行人、重大税收违法案件当事人名单、</w:t>
      </w:r>
      <w:r>
        <w:rPr>
          <w:rFonts w:hint="eastAsia" w:ascii="宋体" w:hAnsi="宋体" w:eastAsia="宋体" w:cs="Times New Roman"/>
          <w:color w:val="000000" w:themeColor="text1"/>
          <w:sz w:val="24"/>
          <w:szCs w:val="24"/>
        </w:rPr>
        <w:t>“中国政府采购网”（www.ccgp.gov.cn）</w:t>
      </w:r>
      <w:r>
        <w:rPr>
          <w:rFonts w:hint="eastAsia" w:ascii="宋体" w:hAnsi="宋体" w:eastAsia="宋体" w:cs="Courier New"/>
          <w:color w:val="000000" w:themeColor="text1"/>
          <w:sz w:val="24"/>
          <w:szCs w:val="24"/>
        </w:rPr>
        <w:t>政府采购严重违法失信行为记录名单的书面申明及该网站查询结果页面截图；</w:t>
      </w:r>
    </w:p>
    <w:p>
      <w:pPr>
        <w:numPr>
          <w:ilvl w:val="0"/>
          <w:numId w:val="43"/>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招标文件第一章“投标人资格要求”中有特殊要求的，投标人应提供其符合特殊要求的证明材料或者情况说明；</w:t>
      </w:r>
    </w:p>
    <w:p>
      <w:pPr>
        <w:numPr>
          <w:ilvl w:val="0"/>
          <w:numId w:val="43"/>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不符合联合体投标相关规定和要求的（适用于接受联合体投标的项目）；</w:t>
      </w:r>
    </w:p>
    <w:p>
      <w:pPr>
        <w:numPr>
          <w:ilvl w:val="0"/>
          <w:numId w:val="43"/>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投标人认为需提供的其它相关资格证明材料。</w:t>
      </w:r>
    </w:p>
    <w:p>
      <w:pPr>
        <w:autoSpaceDE w:val="0"/>
        <w:autoSpaceDN w:val="0"/>
        <w:adjustRightInd w:val="0"/>
        <w:spacing w:line="360" w:lineRule="auto"/>
        <w:ind w:left="490"/>
        <w:rPr>
          <w:rFonts w:ascii="Calibri" w:hAnsi="宋体" w:eastAsia="宋体" w:cs="Times New Roman"/>
          <w:color w:val="000000" w:themeColor="text1"/>
          <w:sz w:val="24"/>
          <w:szCs w:val="24"/>
        </w:rPr>
      </w:pPr>
    </w:p>
    <w:p>
      <w:pPr>
        <w:autoSpaceDE w:val="0"/>
        <w:autoSpaceDN w:val="0"/>
        <w:adjustRightInd w:val="0"/>
        <w:spacing w:line="360" w:lineRule="auto"/>
        <w:ind w:left="490"/>
        <w:rPr>
          <w:rFonts w:ascii="Calibri" w:hAnsi="宋体" w:eastAsia="宋体" w:cs="Times New Roman"/>
          <w:color w:val="000000" w:themeColor="text1"/>
          <w:sz w:val="24"/>
          <w:szCs w:val="24"/>
        </w:rPr>
      </w:pPr>
    </w:p>
    <w:p>
      <w:pPr>
        <w:spacing w:line="360" w:lineRule="auto"/>
        <w:rPr>
          <w:color w:val="000000" w:themeColor="text1"/>
        </w:rPr>
      </w:pPr>
      <w:r>
        <w:rPr>
          <w:rFonts w:hint="eastAsia" w:ascii="宋体" w:hAnsi="宋体" w:eastAsia="宋体" w:cs="Times New Roman"/>
          <w:color w:val="000000" w:themeColor="text1"/>
          <w:sz w:val="24"/>
          <w:szCs w:val="24"/>
        </w:rPr>
        <w:t>说明：资格证明文件正本应为清晰彩色影印件且加盖单位公章，否则</w:t>
      </w:r>
      <w:r>
        <w:rPr>
          <w:rFonts w:hint="eastAsia" w:ascii="Helvetica" w:hAnsi="Helvetica" w:eastAsia="宋体" w:cs="Helvetica"/>
          <w:color w:val="000000" w:themeColor="text1"/>
          <w:kern w:val="0"/>
          <w:sz w:val="24"/>
          <w:szCs w:val="24"/>
        </w:rPr>
        <w:t>按照</w:t>
      </w:r>
      <w:r>
        <w:rPr>
          <w:rFonts w:hint="eastAsia" w:ascii="Helvetica" w:hAnsi="Helvetica" w:eastAsia="宋体" w:cs="Helvetica"/>
          <w:b/>
          <w:color w:val="000000" w:themeColor="text1"/>
          <w:kern w:val="0"/>
          <w:sz w:val="24"/>
          <w:szCs w:val="24"/>
        </w:rPr>
        <w:t>无效投标处理</w:t>
      </w:r>
      <w:r>
        <w:rPr>
          <w:rFonts w:hint="eastAsia" w:ascii="宋体" w:hAnsi="宋体" w:eastAsia="宋体" w:cs="Times New Roman"/>
          <w:b/>
          <w:color w:val="000000" w:themeColor="text1"/>
          <w:sz w:val="24"/>
          <w:szCs w:val="24"/>
        </w:rPr>
        <w:t>。</w:t>
      </w:r>
    </w:p>
    <w:p>
      <w:pPr>
        <w:spacing w:line="360" w:lineRule="auto"/>
        <w:rPr>
          <w:color w:val="000000" w:themeColor="text1"/>
        </w:rPr>
      </w:pPr>
      <w:r>
        <w:rPr>
          <w:color w:val="000000" w:themeColor="text1"/>
        </w:rPr>
        <w:br w:type="page"/>
      </w:r>
    </w:p>
    <w:p>
      <w:pPr>
        <w:spacing w:line="360" w:lineRule="auto"/>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阳新县县级政府采购</w:t>
      </w:r>
    </w:p>
    <w:p>
      <w:pPr>
        <w:spacing w:line="360" w:lineRule="auto"/>
        <w:jc w:val="center"/>
        <w:rPr>
          <w:rFonts w:ascii="黑体" w:hAnsi="黑体" w:eastAsia="黑体"/>
          <w:b/>
          <w:color w:val="000000" w:themeColor="text1"/>
          <w:sz w:val="144"/>
          <w:szCs w:val="144"/>
        </w:rPr>
      </w:pPr>
      <w:r>
        <w:rPr>
          <w:rFonts w:hint="eastAsia" w:ascii="黑体" w:hAnsi="黑体" w:eastAsia="黑体"/>
          <w:b/>
          <w:color w:val="000000" w:themeColor="text1"/>
          <w:sz w:val="144"/>
          <w:szCs w:val="144"/>
        </w:rPr>
        <w:t>投 标 文 件</w:t>
      </w:r>
    </w:p>
    <w:p>
      <w:pPr>
        <w:pStyle w:val="4"/>
        <w:spacing w:before="0" w:after="0" w:line="360" w:lineRule="auto"/>
        <w:jc w:val="center"/>
        <w:rPr>
          <w:rFonts w:cs="Times New Roman" w:asciiTheme="majorEastAsia" w:hAnsiTheme="majorEastAsia"/>
          <w:bCs w:val="0"/>
          <w:color w:val="000000" w:themeColor="text1"/>
          <w:sz w:val="44"/>
          <w:szCs w:val="44"/>
          <w:lang w:val="zh-CN"/>
        </w:rPr>
      </w:pPr>
      <w:bookmarkStart w:id="86" w:name="_Toc494665947"/>
      <w:bookmarkStart w:id="87" w:name="_Toc494664997"/>
      <w:bookmarkStart w:id="88" w:name="_Toc495861548"/>
      <w:bookmarkStart w:id="89" w:name="_Toc494665550"/>
      <w:bookmarkStart w:id="90" w:name="_Toc494745314"/>
      <w:bookmarkStart w:id="91" w:name="_Toc494721097"/>
      <w:bookmarkStart w:id="92" w:name="_Toc494702267"/>
    </w:p>
    <w:p>
      <w:pPr>
        <w:pStyle w:val="4"/>
        <w:numPr>
          <w:ilvl w:val="0"/>
          <w:numId w:val="45"/>
        </w:numPr>
        <w:spacing w:before="0" w:after="0" w:line="360" w:lineRule="auto"/>
        <w:jc w:val="center"/>
        <w:rPr>
          <w:rFonts w:cs="Times New Roman" w:asciiTheme="majorEastAsia" w:hAnsiTheme="majorEastAsia"/>
          <w:bCs w:val="0"/>
          <w:color w:val="000000" w:themeColor="text1"/>
          <w:sz w:val="44"/>
          <w:szCs w:val="44"/>
          <w:lang w:val="zh-CN"/>
        </w:rPr>
      </w:pPr>
      <w:r>
        <w:rPr>
          <w:rFonts w:hint="eastAsia" w:cs="Times New Roman" w:asciiTheme="majorEastAsia" w:hAnsiTheme="majorEastAsia"/>
          <w:bCs w:val="0"/>
          <w:color w:val="000000" w:themeColor="text1"/>
          <w:sz w:val="44"/>
          <w:szCs w:val="44"/>
          <w:lang w:val="zh-CN"/>
        </w:rPr>
        <w:t>商务文件</w:t>
      </w:r>
      <w:bookmarkEnd w:id="86"/>
      <w:bookmarkEnd w:id="87"/>
      <w:bookmarkEnd w:id="88"/>
      <w:bookmarkEnd w:id="89"/>
      <w:bookmarkEnd w:id="90"/>
      <w:bookmarkEnd w:id="91"/>
      <w:bookmarkEnd w:id="92"/>
    </w:p>
    <w:p>
      <w:pPr>
        <w:spacing w:line="360" w:lineRule="auto"/>
        <w:rPr>
          <w:color w:val="000000" w:themeColor="text1"/>
          <w:lang w:val="zh-CN"/>
        </w:rPr>
      </w:pPr>
    </w:p>
    <w:p>
      <w:pPr>
        <w:spacing w:line="360" w:lineRule="auto"/>
        <w:ind w:left="2051" w:leftChars="619" w:right="1299" w:rightChars="619" w:hanging="752" w:hangingChars="209"/>
        <w:rPr>
          <w:rFonts w:cs="Times New Roman" w:asciiTheme="minorEastAsia" w:hAnsiTheme="minorEastAsia"/>
          <w:bCs/>
          <w:color w:val="000000" w:themeColor="text1"/>
          <w:sz w:val="36"/>
          <w:szCs w:val="24"/>
        </w:rPr>
      </w:pPr>
      <w:r>
        <w:rPr>
          <w:rFonts w:hint="eastAsia" w:cs="Times New Roman" w:asciiTheme="minorEastAsia" w:hAnsiTheme="minorEastAsia"/>
          <w:b/>
          <w:bCs/>
          <w:color w:val="000000" w:themeColor="text1"/>
          <w:sz w:val="36"/>
          <w:szCs w:val="24"/>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rPr>
      </w:pPr>
      <w:r>
        <w:rPr>
          <w:rFonts w:hint="eastAsia" w:cs="Times New Roman" w:asciiTheme="minorEastAsia" w:hAnsiTheme="minorEastAsia"/>
          <w:b/>
          <w:bCs/>
          <w:color w:val="000000" w:themeColor="text1"/>
          <w:sz w:val="36"/>
          <w:szCs w:val="24"/>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rPr>
      </w:pPr>
      <w:r>
        <w:rPr>
          <w:rFonts w:hint="eastAsia" w:cs="Times New Roman" w:asciiTheme="minorEastAsia" w:hAnsiTheme="minorEastAsia"/>
          <w:b/>
          <w:bCs/>
          <w:color w:val="000000" w:themeColor="text1"/>
          <w:sz w:val="36"/>
          <w:szCs w:val="24"/>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rPr>
      </w:pPr>
      <w:r>
        <w:rPr>
          <w:rFonts w:hint="eastAsia" w:cs="Times New Roman" w:asciiTheme="minorEastAsia" w:hAnsiTheme="minorEastAsia"/>
          <w:b/>
          <w:bCs/>
          <w:color w:val="000000" w:themeColor="text1"/>
          <w:sz w:val="36"/>
          <w:szCs w:val="24"/>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rPr>
      </w:pPr>
      <w:r>
        <w:rPr>
          <w:rFonts w:hint="eastAsia" w:cs="Times New Roman" w:asciiTheme="minorEastAsia" w:hAnsiTheme="minorEastAsia"/>
          <w:b/>
          <w:bCs/>
          <w:color w:val="000000" w:themeColor="text1"/>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rPr>
      </w:pPr>
      <w:r>
        <w:rPr>
          <w:rFonts w:hint="eastAsia" w:cs="Times New Roman" w:asciiTheme="minorEastAsia" w:hAnsiTheme="minorEastAsia"/>
          <w:b/>
          <w:bCs/>
          <w:color w:val="000000" w:themeColor="text1"/>
          <w:sz w:val="32"/>
          <w:szCs w:val="32"/>
        </w:rPr>
        <w:t>投标人授权代表（签字）：</w:t>
      </w:r>
    </w:p>
    <w:p>
      <w:pPr>
        <w:spacing w:line="360" w:lineRule="auto"/>
        <w:ind w:left="2256" w:leftChars="466" w:right="466" w:hanging="1278" w:hangingChars="355"/>
        <w:jc w:val="center"/>
        <w:rPr>
          <w:rFonts w:ascii="宋体" w:hAnsi="宋体"/>
          <w:b/>
          <w:color w:val="000000" w:themeColor="text1"/>
          <w:sz w:val="36"/>
          <w:szCs w:val="36"/>
        </w:rPr>
      </w:pPr>
      <w:r>
        <w:rPr>
          <w:rFonts w:hint="eastAsia" w:ascii="宋体" w:hAnsi="宋体" w:eastAsia="宋体" w:cs="Times New Roman"/>
          <w:b/>
          <w:bCs/>
          <w:color w:val="000000" w:themeColor="text1"/>
          <w:sz w:val="36"/>
          <w:szCs w:val="36"/>
        </w:rPr>
        <w:t>二0二</w:t>
      </w:r>
      <w:r>
        <w:rPr>
          <w:rFonts w:hint="eastAsia" w:ascii="宋体" w:hAnsi="宋体" w:eastAsia="宋体" w:cs="宋体"/>
          <w:b/>
          <w:color w:val="000000" w:themeColor="text1"/>
          <w:sz w:val="36"/>
          <w:szCs w:val="36"/>
        </w:rPr>
        <w:t>二</w:t>
      </w:r>
      <w:r>
        <w:rPr>
          <w:rFonts w:hint="eastAsia" w:ascii="宋体" w:hAnsi="宋体"/>
          <w:b/>
          <w:color w:val="000000" w:themeColor="text1"/>
          <w:sz w:val="36"/>
          <w:szCs w:val="36"/>
        </w:rPr>
        <w:t xml:space="preserve"> 年 月</w:t>
      </w:r>
    </w:p>
    <w:p>
      <w:pPr>
        <w:spacing w:line="360" w:lineRule="auto"/>
        <w:rPr>
          <w:rFonts w:ascii="宋体" w:hAnsi="宋体" w:eastAsia="宋体" w:cs="Times New Roman"/>
          <w:b/>
          <w:bCs/>
          <w:color w:val="000000" w:themeColor="text1"/>
          <w:sz w:val="30"/>
          <w:szCs w:val="30"/>
          <w:lang w:val="zh-CN"/>
        </w:rPr>
      </w:pPr>
      <w:r>
        <w:rPr>
          <w:rFonts w:hint="eastAsia" w:ascii="宋体" w:hAnsi="宋体" w:eastAsia="宋体" w:cs="Times New Roman"/>
          <w:b/>
          <w:bCs/>
          <w:color w:val="000000" w:themeColor="text1"/>
          <w:sz w:val="30"/>
          <w:szCs w:val="30"/>
          <w:lang w:val="zh-CN"/>
        </w:rPr>
        <w:br w:type="page"/>
      </w:r>
    </w:p>
    <w:p>
      <w:pPr>
        <w:spacing w:line="360" w:lineRule="auto"/>
        <w:jc w:val="left"/>
        <w:rPr>
          <w:rFonts w:ascii="宋体" w:hAnsi="宋体" w:eastAsia="宋体" w:cs="Times New Roman"/>
          <w:b/>
          <w:bCs/>
          <w:color w:val="000000" w:themeColor="text1"/>
          <w:sz w:val="30"/>
          <w:szCs w:val="30"/>
          <w:lang w:val="zh-CN"/>
        </w:rPr>
      </w:pPr>
      <w:r>
        <w:rPr>
          <w:rFonts w:hint="eastAsia" w:ascii="宋体" w:hAnsi="宋体" w:eastAsia="宋体" w:cs="Times New Roman"/>
          <w:b/>
          <w:bCs/>
          <w:color w:val="000000" w:themeColor="text1"/>
          <w:sz w:val="30"/>
          <w:szCs w:val="30"/>
          <w:lang w:val="zh-CN"/>
        </w:rPr>
        <w:t>格式（参考）说明：</w:t>
      </w:r>
    </w:p>
    <w:p>
      <w:pPr>
        <w:spacing w:line="360" w:lineRule="auto"/>
        <w:jc w:val="center"/>
        <w:rPr>
          <w:rFonts w:ascii="黑体" w:hAnsi="黑体" w:eastAsia="黑体" w:cs="Times New Roman"/>
          <w:b/>
          <w:color w:val="000000" w:themeColor="text1"/>
          <w:sz w:val="36"/>
          <w:szCs w:val="36"/>
        </w:rPr>
      </w:pPr>
      <w:bookmarkStart w:id="93" w:name="_Toc494702268"/>
      <w:bookmarkStart w:id="94" w:name="_Toc494745315"/>
      <w:bookmarkStart w:id="95" w:name="_Toc494721098"/>
      <w:bookmarkStart w:id="96" w:name="_Toc494665948"/>
      <w:bookmarkStart w:id="97" w:name="_Toc494665551"/>
      <w:bookmarkStart w:id="98" w:name="_Toc494664998"/>
      <w:r>
        <w:rPr>
          <w:rFonts w:hint="eastAsia" w:ascii="黑体" w:hAnsi="黑体" w:eastAsia="黑体" w:cs="Times New Roman"/>
          <w:b/>
          <w:color w:val="000000" w:themeColor="text1"/>
          <w:sz w:val="36"/>
          <w:szCs w:val="36"/>
        </w:rPr>
        <w:t>商务文件组成</w:t>
      </w:r>
      <w:bookmarkEnd w:id="93"/>
      <w:bookmarkEnd w:id="94"/>
      <w:bookmarkEnd w:id="95"/>
      <w:bookmarkEnd w:id="96"/>
      <w:bookmarkEnd w:id="97"/>
      <w:bookmarkEnd w:id="98"/>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46"/>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商务文件目录</w:t>
      </w:r>
      <w:r>
        <w:rPr>
          <w:rFonts w:hint="eastAsia" w:ascii="宋体" w:hAnsi="宋体" w:eastAsia="宋体" w:cs="Times New Roman"/>
          <w:b/>
          <w:color w:val="000000" w:themeColor="text1"/>
          <w:kern w:val="0"/>
          <w:sz w:val="24"/>
          <w:szCs w:val="32"/>
        </w:rPr>
        <w:t>（目录应涵盖下述所有资料，页码清晰以便查阅）</w:t>
      </w:r>
      <w:r>
        <w:rPr>
          <w:rFonts w:hint="eastAsia" w:ascii="宋体" w:hAnsi="宋体" w:eastAsia="宋体" w:cs="Times New Roman"/>
          <w:color w:val="000000" w:themeColor="text1"/>
          <w:kern w:val="0"/>
          <w:sz w:val="24"/>
          <w:szCs w:val="32"/>
        </w:rPr>
        <w:t>；</w:t>
      </w:r>
    </w:p>
    <w:p>
      <w:pPr>
        <w:numPr>
          <w:ilvl w:val="0"/>
          <w:numId w:val="46"/>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投标书（附件一）；</w:t>
      </w:r>
    </w:p>
    <w:p>
      <w:pPr>
        <w:numPr>
          <w:ilvl w:val="0"/>
          <w:numId w:val="46"/>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制造商中小企业声明函（附件二）；</w:t>
      </w:r>
    </w:p>
    <w:p>
      <w:pPr>
        <w:numPr>
          <w:ilvl w:val="0"/>
          <w:numId w:val="46"/>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中小企业声明函（附件三）；</w:t>
      </w:r>
    </w:p>
    <w:p>
      <w:pPr>
        <w:numPr>
          <w:ilvl w:val="0"/>
          <w:numId w:val="46"/>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残疾人福利性单位声明函（附件四）</w:t>
      </w:r>
    </w:p>
    <w:p>
      <w:pPr>
        <w:numPr>
          <w:ilvl w:val="0"/>
          <w:numId w:val="46"/>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开标一览表（附件五）；</w:t>
      </w:r>
    </w:p>
    <w:p>
      <w:pPr>
        <w:numPr>
          <w:ilvl w:val="0"/>
          <w:numId w:val="46"/>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投标报价明细表（附件六）；</w:t>
      </w:r>
    </w:p>
    <w:p>
      <w:pPr>
        <w:numPr>
          <w:ilvl w:val="0"/>
          <w:numId w:val="46"/>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小型和微型企业、监狱企业、残疾人福利性单位货物汇总表（附件七）；</w:t>
      </w:r>
    </w:p>
    <w:p>
      <w:pPr>
        <w:numPr>
          <w:ilvl w:val="0"/>
          <w:numId w:val="46"/>
        </w:numPr>
        <w:autoSpaceDE w:val="0"/>
        <w:autoSpaceDN w:val="0"/>
        <w:adjustRightInd w:val="0"/>
        <w:spacing w:line="360" w:lineRule="auto"/>
        <w:ind w:left="490" w:hanging="37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投标货物、服务清单（附件八）；</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法定代表人授权书（附件九）；</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关于不存在招标文件第二章“十一 其他注意事项”中规定禁止情形的书面声明；</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投标人的资格声明（附件十）；</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项目负责人、技术负责人简历表（附件十一）；</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项目班子成员情况表（附件十二）；</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投标人类似项目业绩表（附件十三）；</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招标文件要求提供或投标人认为需提供的其它资料；</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符合性审查对照表（附件十四）；</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商务要求响应、偏离说明表（附件十五）；</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商务要求“★”号条款响应、偏离说明表（附件十六）；</w:t>
      </w:r>
    </w:p>
    <w:p>
      <w:pPr>
        <w:numPr>
          <w:ilvl w:val="0"/>
          <w:numId w:val="46"/>
        </w:numPr>
        <w:autoSpaceDE w:val="0"/>
        <w:autoSpaceDN w:val="0"/>
        <w:adjustRightInd w:val="0"/>
        <w:spacing w:line="360" w:lineRule="auto"/>
        <w:ind w:left="616" w:hanging="496"/>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商务评议对照表（附件十七）；</w:t>
      </w:r>
    </w:p>
    <w:p>
      <w:pPr>
        <w:spacing w:line="360" w:lineRule="auto"/>
        <w:rPr>
          <w:rFonts w:eastAsia="宋体"/>
          <w:color w:val="000000" w:themeColor="text1"/>
        </w:rPr>
      </w:pPr>
    </w:p>
    <w:p>
      <w:pPr>
        <w:spacing w:line="360" w:lineRule="auto"/>
        <w:rPr>
          <w:color w:val="000000" w:themeColor="text1"/>
        </w:rPr>
      </w:pPr>
      <w:r>
        <w:rPr>
          <w:color w:val="000000" w:themeColor="text1"/>
        </w:rPr>
        <w:br w:type="page"/>
      </w:r>
    </w:p>
    <w:p>
      <w:pPr>
        <w:spacing w:line="360" w:lineRule="auto"/>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阳新县县级政府采购</w:t>
      </w:r>
    </w:p>
    <w:p>
      <w:pPr>
        <w:spacing w:line="360" w:lineRule="auto"/>
        <w:jc w:val="center"/>
        <w:rPr>
          <w:rFonts w:ascii="黑体" w:hAnsi="黑体" w:eastAsia="黑体"/>
          <w:b/>
          <w:color w:val="000000" w:themeColor="text1"/>
          <w:sz w:val="144"/>
          <w:szCs w:val="144"/>
        </w:rPr>
      </w:pPr>
      <w:r>
        <w:rPr>
          <w:rFonts w:hint="eastAsia" w:ascii="黑体" w:hAnsi="黑体" w:eastAsia="黑体"/>
          <w:b/>
          <w:color w:val="000000" w:themeColor="text1"/>
          <w:sz w:val="144"/>
          <w:szCs w:val="144"/>
        </w:rPr>
        <w:t>投 标 文 件</w:t>
      </w:r>
    </w:p>
    <w:p>
      <w:pPr>
        <w:pStyle w:val="4"/>
        <w:spacing w:before="0" w:after="0" w:line="360" w:lineRule="auto"/>
        <w:jc w:val="center"/>
        <w:rPr>
          <w:rFonts w:cs="Times New Roman" w:asciiTheme="majorEastAsia" w:hAnsiTheme="majorEastAsia"/>
          <w:bCs w:val="0"/>
          <w:color w:val="000000" w:themeColor="text1"/>
          <w:sz w:val="44"/>
          <w:szCs w:val="44"/>
          <w:lang w:val="zh-CN"/>
        </w:rPr>
      </w:pPr>
      <w:bookmarkStart w:id="99" w:name="_Toc494665949"/>
      <w:bookmarkStart w:id="100" w:name="_Toc494665552"/>
      <w:bookmarkStart w:id="101" w:name="_Toc494664999"/>
      <w:bookmarkStart w:id="102" w:name="_Toc495861549"/>
      <w:bookmarkStart w:id="103" w:name="_Toc494721099"/>
      <w:bookmarkStart w:id="104" w:name="_Toc494745316"/>
      <w:bookmarkStart w:id="105" w:name="_Toc494702269"/>
    </w:p>
    <w:p>
      <w:pPr>
        <w:pStyle w:val="4"/>
        <w:spacing w:before="0" w:after="0" w:line="360" w:lineRule="auto"/>
        <w:jc w:val="center"/>
        <w:rPr>
          <w:rFonts w:cs="Times New Roman" w:asciiTheme="majorEastAsia" w:hAnsiTheme="majorEastAsia"/>
          <w:bCs w:val="0"/>
          <w:color w:val="000000" w:themeColor="text1"/>
          <w:sz w:val="44"/>
          <w:szCs w:val="44"/>
          <w:lang w:val="zh-CN"/>
        </w:rPr>
      </w:pPr>
    </w:p>
    <w:p>
      <w:pPr>
        <w:spacing w:line="360" w:lineRule="auto"/>
        <w:rPr>
          <w:color w:val="000000" w:themeColor="text1"/>
          <w:lang w:val="zh-CN"/>
        </w:rPr>
      </w:pPr>
    </w:p>
    <w:p>
      <w:pPr>
        <w:pStyle w:val="4"/>
        <w:spacing w:before="0" w:after="0" w:line="360" w:lineRule="auto"/>
        <w:jc w:val="center"/>
        <w:rPr>
          <w:rFonts w:cs="Times New Roman" w:asciiTheme="majorEastAsia" w:hAnsiTheme="majorEastAsia"/>
          <w:bCs w:val="0"/>
          <w:color w:val="000000" w:themeColor="text1"/>
          <w:sz w:val="44"/>
          <w:szCs w:val="44"/>
          <w:lang w:val="zh-CN"/>
        </w:rPr>
      </w:pPr>
      <w:r>
        <w:rPr>
          <w:rFonts w:hint="eastAsia" w:cs="Times New Roman" w:asciiTheme="majorEastAsia" w:hAnsiTheme="majorEastAsia"/>
          <w:bCs w:val="0"/>
          <w:color w:val="000000" w:themeColor="text1"/>
          <w:sz w:val="44"/>
          <w:szCs w:val="44"/>
          <w:lang w:val="zh-CN"/>
        </w:rPr>
        <w:t>第三部分 技术、服务文件</w:t>
      </w:r>
      <w:bookmarkEnd w:id="99"/>
      <w:bookmarkEnd w:id="100"/>
      <w:bookmarkEnd w:id="101"/>
      <w:bookmarkEnd w:id="102"/>
      <w:bookmarkEnd w:id="103"/>
      <w:bookmarkEnd w:id="104"/>
      <w:bookmarkEnd w:id="105"/>
    </w:p>
    <w:p>
      <w:pPr>
        <w:spacing w:line="360" w:lineRule="auto"/>
        <w:ind w:left="2051" w:leftChars="619" w:right="1299" w:rightChars="619" w:hanging="752" w:hangingChars="209"/>
        <w:rPr>
          <w:rFonts w:cs="Times New Roman" w:asciiTheme="minorEastAsia" w:hAnsiTheme="minorEastAsia"/>
          <w:bCs/>
          <w:color w:val="000000" w:themeColor="text1"/>
          <w:sz w:val="36"/>
          <w:szCs w:val="24"/>
        </w:rPr>
      </w:pPr>
      <w:r>
        <w:rPr>
          <w:rFonts w:hint="eastAsia" w:cs="Times New Roman" w:asciiTheme="minorEastAsia" w:hAnsiTheme="minorEastAsia"/>
          <w:b/>
          <w:bCs/>
          <w:color w:val="000000" w:themeColor="text1"/>
          <w:sz w:val="36"/>
          <w:szCs w:val="24"/>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rPr>
      </w:pPr>
      <w:r>
        <w:rPr>
          <w:rFonts w:hint="eastAsia" w:cs="Times New Roman" w:asciiTheme="minorEastAsia" w:hAnsiTheme="minorEastAsia"/>
          <w:b/>
          <w:bCs/>
          <w:color w:val="000000" w:themeColor="text1"/>
          <w:sz w:val="36"/>
          <w:szCs w:val="24"/>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rPr>
      </w:pPr>
      <w:r>
        <w:rPr>
          <w:rFonts w:hint="eastAsia" w:cs="Times New Roman" w:asciiTheme="minorEastAsia" w:hAnsiTheme="minorEastAsia"/>
          <w:b/>
          <w:bCs/>
          <w:color w:val="000000" w:themeColor="text1"/>
          <w:sz w:val="36"/>
          <w:szCs w:val="24"/>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rPr>
      </w:pPr>
      <w:r>
        <w:rPr>
          <w:rFonts w:hint="eastAsia" w:cs="Times New Roman" w:asciiTheme="minorEastAsia" w:hAnsiTheme="minorEastAsia"/>
          <w:b/>
          <w:bCs/>
          <w:color w:val="000000" w:themeColor="text1"/>
          <w:sz w:val="36"/>
          <w:szCs w:val="24"/>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rPr>
      </w:pPr>
    </w:p>
    <w:p>
      <w:pPr>
        <w:pStyle w:val="5"/>
        <w:spacing w:line="360" w:lineRule="auto"/>
        <w:rPr>
          <w:rFonts w:ascii="宋体" w:hAnsi="宋体" w:eastAsia="宋体" w:cs="Times New Roman"/>
          <w:color w:val="000000" w:themeColor="text1"/>
          <w:sz w:val="36"/>
          <w:szCs w:val="36"/>
        </w:rPr>
      </w:pPr>
    </w:p>
    <w:p>
      <w:pPr>
        <w:spacing w:line="360" w:lineRule="auto"/>
        <w:rPr>
          <w:color w:val="000000" w:themeColor="text1"/>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rPr>
      </w:pPr>
      <w:r>
        <w:rPr>
          <w:rFonts w:hint="eastAsia" w:cs="Times New Roman" w:asciiTheme="minorEastAsia" w:hAnsiTheme="minorEastAsia"/>
          <w:b/>
          <w:bCs/>
          <w:color w:val="000000" w:themeColor="text1"/>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rPr>
      </w:pPr>
      <w:r>
        <w:rPr>
          <w:rFonts w:hint="eastAsia" w:cs="Times New Roman" w:asciiTheme="minorEastAsia" w:hAnsiTheme="minorEastAsia"/>
          <w:b/>
          <w:bCs/>
          <w:color w:val="000000" w:themeColor="text1"/>
          <w:sz w:val="32"/>
          <w:szCs w:val="32"/>
        </w:rPr>
        <w:t>投标人授权代表（签字）：</w:t>
      </w:r>
    </w:p>
    <w:p>
      <w:pPr>
        <w:spacing w:line="360" w:lineRule="auto"/>
        <w:ind w:left="2256" w:leftChars="466" w:right="466" w:hanging="1278" w:hangingChars="355"/>
        <w:jc w:val="center"/>
        <w:rPr>
          <w:rFonts w:ascii="宋体" w:hAnsi="宋体"/>
          <w:b/>
          <w:color w:val="000000" w:themeColor="text1"/>
          <w:sz w:val="36"/>
          <w:szCs w:val="36"/>
        </w:rPr>
      </w:pPr>
      <w:r>
        <w:rPr>
          <w:rFonts w:hint="eastAsia" w:ascii="宋体" w:hAnsi="宋体" w:eastAsia="宋体" w:cs="Times New Roman"/>
          <w:b/>
          <w:bCs/>
          <w:color w:val="000000" w:themeColor="text1"/>
          <w:sz w:val="36"/>
          <w:szCs w:val="36"/>
        </w:rPr>
        <w:t>二0二</w:t>
      </w:r>
      <w:r>
        <w:rPr>
          <w:rFonts w:hint="eastAsia" w:ascii="宋体" w:hAnsi="宋体" w:eastAsia="宋体" w:cs="宋体"/>
          <w:b/>
          <w:color w:val="000000" w:themeColor="text1"/>
          <w:sz w:val="36"/>
          <w:szCs w:val="36"/>
        </w:rPr>
        <w:t>二</w:t>
      </w:r>
      <w:r>
        <w:rPr>
          <w:rFonts w:hint="eastAsia" w:ascii="宋体" w:hAnsi="宋体"/>
          <w:b/>
          <w:color w:val="000000" w:themeColor="text1"/>
          <w:sz w:val="36"/>
          <w:szCs w:val="36"/>
        </w:rPr>
        <w:t>年 月</w:t>
      </w:r>
    </w:p>
    <w:p>
      <w:pPr>
        <w:spacing w:line="360" w:lineRule="auto"/>
        <w:rPr>
          <w:color w:val="000000" w:themeColor="text1"/>
        </w:rPr>
      </w:pPr>
      <w:r>
        <w:rPr>
          <w:color w:val="000000" w:themeColor="text1"/>
        </w:rPr>
        <w:br w:type="page"/>
      </w:r>
    </w:p>
    <w:p>
      <w:pPr>
        <w:spacing w:line="360" w:lineRule="auto"/>
        <w:jc w:val="left"/>
        <w:rPr>
          <w:rFonts w:ascii="宋体" w:hAnsi="宋体" w:eastAsia="宋体" w:cs="Times New Roman"/>
          <w:b/>
          <w:bCs/>
          <w:color w:val="000000" w:themeColor="text1"/>
          <w:sz w:val="30"/>
          <w:szCs w:val="30"/>
          <w:lang w:val="zh-CN"/>
        </w:rPr>
      </w:pPr>
      <w:r>
        <w:rPr>
          <w:rFonts w:hint="eastAsia" w:ascii="宋体" w:hAnsi="宋体" w:eastAsia="宋体" w:cs="Times New Roman"/>
          <w:b/>
          <w:bCs/>
          <w:color w:val="000000" w:themeColor="text1"/>
          <w:sz w:val="30"/>
          <w:szCs w:val="30"/>
          <w:lang w:val="zh-CN"/>
        </w:rPr>
        <w:t>格式（参考）说明：</w:t>
      </w:r>
    </w:p>
    <w:p>
      <w:pPr>
        <w:spacing w:line="360" w:lineRule="auto"/>
        <w:jc w:val="center"/>
        <w:rPr>
          <w:rFonts w:ascii="黑体" w:hAnsi="黑体" w:eastAsia="黑体" w:cs="Times New Roman"/>
          <w:b/>
          <w:color w:val="000000" w:themeColor="text1"/>
          <w:sz w:val="36"/>
          <w:szCs w:val="36"/>
        </w:rPr>
      </w:pPr>
      <w:bookmarkStart w:id="106" w:name="_Toc494665000"/>
      <w:bookmarkStart w:id="107" w:name="_Toc494745317"/>
      <w:bookmarkStart w:id="108" w:name="_Toc494665950"/>
      <w:bookmarkStart w:id="109" w:name="_Toc494721100"/>
      <w:bookmarkStart w:id="110" w:name="_Toc494702270"/>
      <w:bookmarkStart w:id="111" w:name="_Toc494665553"/>
      <w:r>
        <w:rPr>
          <w:rFonts w:hint="eastAsia" w:ascii="黑体" w:hAnsi="黑体" w:eastAsia="黑体" w:cs="Times New Roman"/>
          <w:b/>
          <w:bCs/>
          <w:color w:val="000000" w:themeColor="text1"/>
          <w:sz w:val="36"/>
          <w:szCs w:val="36"/>
          <w:lang w:val="zh-CN"/>
        </w:rPr>
        <w:t>技术</w:t>
      </w:r>
      <w:r>
        <w:rPr>
          <w:rFonts w:hint="eastAsia" w:ascii="黑体" w:hAnsi="黑体" w:eastAsia="黑体" w:cs="Times New Roman"/>
          <w:b/>
          <w:color w:val="000000" w:themeColor="text1"/>
          <w:sz w:val="36"/>
          <w:szCs w:val="36"/>
        </w:rPr>
        <w:t>、服务文件组成</w:t>
      </w:r>
      <w:bookmarkEnd w:id="106"/>
      <w:bookmarkEnd w:id="107"/>
      <w:bookmarkEnd w:id="108"/>
      <w:bookmarkEnd w:id="109"/>
      <w:bookmarkEnd w:id="110"/>
      <w:bookmarkEnd w:id="111"/>
    </w:p>
    <w:p>
      <w:pPr>
        <w:autoSpaceDE w:val="0"/>
        <w:autoSpaceDN w:val="0"/>
        <w:adjustRightInd w:val="0"/>
        <w:spacing w:line="360" w:lineRule="auto"/>
        <w:ind w:firstLine="480" w:firstLineChars="20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47"/>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技术、服务文件目录（目录应涵盖下述所有资料，页码清晰以便查阅）；</w:t>
      </w:r>
    </w:p>
    <w:p>
      <w:pPr>
        <w:numPr>
          <w:ilvl w:val="0"/>
          <w:numId w:val="47"/>
        </w:numPr>
        <w:autoSpaceDE w:val="0"/>
        <w:autoSpaceDN w:val="0"/>
        <w:adjustRightInd w:val="0"/>
        <w:spacing w:line="360" w:lineRule="auto"/>
        <w:ind w:left="488" w:hanging="369"/>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投标货物（工程或服务）介绍，项目建设（服务）方案；</w:t>
      </w:r>
    </w:p>
    <w:p>
      <w:pPr>
        <w:numPr>
          <w:ilvl w:val="0"/>
          <w:numId w:val="47"/>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技术、服务要求响应、偏离说明表（附件十九）；</w:t>
      </w:r>
    </w:p>
    <w:p>
      <w:pPr>
        <w:numPr>
          <w:ilvl w:val="0"/>
          <w:numId w:val="47"/>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技术、服务要求“★”号条款响应、偏离说明表（附件二十）；</w:t>
      </w:r>
    </w:p>
    <w:p>
      <w:pPr>
        <w:numPr>
          <w:ilvl w:val="0"/>
          <w:numId w:val="47"/>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技术、服务评议对照表（附件二十一）；</w:t>
      </w:r>
    </w:p>
    <w:p>
      <w:pPr>
        <w:numPr>
          <w:ilvl w:val="0"/>
          <w:numId w:val="47"/>
        </w:numPr>
        <w:autoSpaceDE w:val="0"/>
        <w:autoSpaceDN w:val="0"/>
        <w:adjustRightInd w:val="0"/>
        <w:spacing w:line="360" w:lineRule="auto"/>
        <w:ind w:left="490" w:hanging="370"/>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color w:val="000000" w:themeColor="text1"/>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00000" w:themeColor="text1"/>
          <w:kern w:val="0"/>
          <w:sz w:val="24"/>
          <w:szCs w:val="32"/>
        </w:rPr>
      </w:pPr>
      <w:r>
        <w:rPr>
          <w:rFonts w:hint="eastAsia" w:ascii="宋体" w:hAnsi="宋体" w:eastAsia="宋体" w:cs="Times New Roman"/>
          <w:color w:val="000000" w:themeColor="text1"/>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288" w:hanging="1288"/>
        <w:rPr>
          <w:rFonts w:ascii="宋体" w:hAnsi="宋体" w:eastAsia="宋体"/>
          <w:color w:val="000000" w:themeColor="text1"/>
        </w:rPr>
      </w:pPr>
      <w:bookmarkStart w:id="112" w:name="_Toc494665951"/>
      <w:bookmarkStart w:id="113" w:name="_Toc494721101"/>
      <w:bookmarkStart w:id="114" w:name="_Toc494665554"/>
      <w:bookmarkStart w:id="115" w:name="_Toc236473298"/>
      <w:bookmarkStart w:id="116" w:name="_Toc494702271"/>
      <w:bookmarkStart w:id="117" w:name="_Toc494665001"/>
      <w:bookmarkStart w:id="118" w:name="_Toc238276242"/>
      <w:bookmarkStart w:id="119" w:name="_Toc495861550"/>
      <w:bookmarkStart w:id="120" w:name="_Toc494745318"/>
      <w:r>
        <w:rPr>
          <w:rFonts w:hint="eastAsia" w:ascii="宋体" w:hAnsi="宋体" w:eastAsia="宋体"/>
          <w:color w:val="000000" w:themeColor="text1"/>
        </w:rPr>
        <w:t>投标书</w:t>
      </w:r>
      <w:bookmarkEnd w:id="112"/>
      <w:bookmarkEnd w:id="113"/>
      <w:bookmarkEnd w:id="114"/>
      <w:bookmarkEnd w:id="115"/>
      <w:bookmarkEnd w:id="116"/>
      <w:bookmarkEnd w:id="117"/>
      <w:bookmarkEnd w:id="118"/>
      <w:bookmarkEnd w:id="119"/>
      <w:bookmarkEnd w:id="120"/>
    </w:p>
    <w:p>
      <w:pPr>
        <w:spacing w:line="360" w:lineRule="auto"/>
        <w:rPr>
          <w:bCs/>
          <w:color w:val="000000" w:themeColor="text1"/>
          <w:sz w:val="24"/>
          <w:szCs w:val="24"/>
        </w:rPr>
      </w:pPr>
      <w:r>
        <w:rPr>
          <w:rFonts w:hint="eastAsia"/>
          <w:bCs/>
          <w:color w:val="000000" w:themeColor="text1"/>
          <w:sz w:val="24"/>
          <w:szCs w:val="24"/>
        </w:rPr>
        <w:t>采购人（或采购代理公司）：</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依据贵方___</w:t>
      </w:r>
      <w:r>
        <w:rPr>
          <w:rFonts w:hint="eastAsia" w:asciiTheme="minorEastAsia" w:hAnsiTheme="minorEastAsia"/>
          <w:color w:val="000000" w:themeColor="text1"/>
          <w:sz w:val="24"/>
          <w:szCs w:val="24"/>
          <w:u w:val="single"/>
        </w:rPr>
        <w:t xml:space="preserve">  _</w:t>
      </w:r>
      <w:r>
        <w:rPr>
          <w:rFonts w:hint="eastAsia" w:asciiTheme="minorEastAsia" w:hAnsiTheme="minorEastAsia"/>
          <w:color w:val="000000" w:themeColor="text1"/>
          <w:sz w:val="24"/>
          <w:szCs w:val="24"/>
        </w:rPr>
        <w:t>项目（项目编号：_____）招标的投标邀请，我方代表</w:t>
      </w:r>
      <w:r>
        <w:rPr>
          <w:rFonts w:hint="eastAsia" w:asciiTheme="minorEastAsia" w:hAnsiTheme="minorEastAsia"/>
          <w:color w:val="000000" w:themeColor="text1"/>
          <w:sz w:val="24"/>
          <w:szCs w:val="24"/>
          <w:u w:val="single"/>
        </w:rPr>
        <w:t>（姓名、职务）</w:t>
      </w:r>
      <w:r>
        <w:rPr>
          <w:rFonts w:hint="eastAsia" w:asciiTheme="minorEastAsia" w:hAnsiTheme="minorEastAsia"/>
          <w:color w:val="000000" w:themeColor="text1"/>
          <w:sz w:val="24"/>
          <w:szCs w:val="24"/>
        </w:rPr>
        <w:t>经正式授权并代表投标人</w:t>
      </w:r>
      <w:r>
        <w:rPr>
          <w:rFonts w:hint="eastAsia" w:asciiTheme="minorEastAsia" w:hAnsiTheme="minorEastAsia"/>
          <w:color w:val="000000" w:themeColor="text1"/>
          <w:sz w:val="24"/>
          <w:szCs w:val="24"/>
          <w:u w:val="single"/>
        </w:rPr>
        <w:t>（投标人全称 ）</w:t>
      </w:r>
      <w:r>
        <w:rPr>
          <w:rFonts w:hint="eastAsia" w:asciiTheme="minorEastAsia" w:hAnsiTheme="minorEastAsia"/>
          <w:color w:val="000000" w:themeColor="text1"/>
          <w:sz w:val="24"/>
          <w:szCs w:val="24"/>
        </w:rPr>
        <w:t>提交</w:t>
      </w:r>
      <w:r>
        <w:rPr>
          <w:rFonts w:hint="eastAsia" w:ascii="宋体" w:hAnsi="宋体"/>
          <w:color w:val="000000" w:themeColor="text1"/>
          <w:kern w:val="0"/>
          <w:sz w:val="24"/>
        </w:rPr>
        <w:t>“开标一览表”信封和下述文件正本份，副本份。</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1.资格证明文件； </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2.商务文件；</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3.技术、服务文件。</w:t>
      </w:r>
    </w:p>
    <w:p>
      <w:pPr>
        <w:spacing w:line="360" w:lineRule="auto"/>
        <w:rPr>
          <w:rFonts w:ascii="宋体" w:hAnsi="宋体" w:eastAsia="宋体" w:cs="Times New Roman"/>
          <w:b/>
          <w:color w:val="000000" w:themeColor="text1"/>
          <w:kern w:val="0"/>
          <w:sz w:val="24"/>
          <w:szCs w:val="24"/>
        </w:rPr>
      </w:pPr>
      <w:r>
        <w:rPr>
          <w:rFonts w:hint="eastAsia" w:ascii="宋体" w:hAnsi="宋体" w:eastAsia="宋体" w:cs="Times New Roman"/>
          <w:b/>
          <w:color w:val="000000" w:themeColor="text1"/>
          <w:kern w:val="0"/>
          <w:sz w:val="24"/>
          <w:szCs w:val="24"/>
        </w:rPr>
        <w:t>在此，我方宣布同意如下：</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1．《开标一览表》中规定的应提交和交付的</w:t>
      </w:r>
      <w:r>
        <w:rPr>
          <w:rFonts w:hint="eastAsia" w:asciiTheme="minorEastAsia" w:hAnsiTheme="minorEastAsia"/>
          <w:color w:val="000000" w:themeColor="text1"/>
          <w:sz w:val="24"/>
          <w:szCs w:val="24"/>
          <w:u w:val="single"/>
        </w:rPr>
        <w:t xml:space="preserve">  （包号）  </w:t>
      </w:r>
      <w:r>
        <w:rPr>
          <w:rFonts w:hint="eastAsia" w:asciiTheme="minorEastAsia" w:hAnsiTheme="minorEastAsia"/>
          <w:color w:val="000000" w:themeColor="text1"/>
          <w:sz w:val="24"/>
          <w:szCs w:val="24"/>
        </w:rPr>
        <w:t>货物（工程或服务）投标总价为</w:t>
      </w:r>
      <w:r>
        <w:rPr>
          <w:rFonts w:hint="eastAsia" w:asciiTheme="minorEastAsia" w:hAnsiTheme="minorEastAsia"/>
          <w:color w:val="000000" w:themeColor="text1"/>
          <w:sz w:val="24"/>
          <w:szCs w:val="24"/>
          <w:u w:val="single"/>
        </w:rPr>
        <w:t>（注明币种，并用大写和小写表述投标总价）</w:t>
      </w:r>
      <w:r>
        <w:rPr>
          <w:rFonts w:hint="eastAsia" w:asciiTheme="minorEastAsia" w:hAnsiTheme="minorEastAsia"/>
          <w:color w:val="000000" w:themeColor="text1"/>
          <w:sz w:val="24"/>
          <w:szCs w:val="24"/>
        </w:rPr>
        <w:t>；</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2．按招标文件的约定履行合同责任和义务；</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3．已详细审查全部招标文件，包括</w:t>
      </w:r>
      <w:r>
        <w:rPr>
          <w:rFonts w:hint="eastAsia" w:asciiTheme="minorEastAsia" w:hAnsiTheme="minorEastAsia"/>
          <w:color w:val="000000" w:themeColor="text1"/>
          <w:sz w:val="24"/>
          <w:szCs w:val="24"/>
          <w:u w:val="single"/>
        </w:rPr>
        <w:t>（修正或补充文件）（如果有的话）</w:t>
      </w:r>
      <w:r>
        <w:rPr>
          <w:rFonts w:hint="eastAsia" w:asciiTheme="minorEastAsia" w:hAnsiTheme="minorEastAsia"/>
          <w:color w:val="000000" w:themeColor="text1"/>
          <w:sz w:val="24"/>
          <w:szCs w:val="24"/>
        </w:rPr>
        <w:t>，对此无异议；</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4．投标有效期为自</w:t>
      </w:r>
      <w:r>
        <w:rPr>
          <w:rFonts w:hint="eastAsia" w:ascii="宋体" w:hAnsi="宋体"/>
          <w:color w:val="000000" w:themeColor="text1"/>
          <w:kern w:val="0"/>
          <w:sz w:val="24"/>
        </w:rPr>
        <w:t>递交投标文件截止之日</w:t>
      </w:r>
      <w:r>
        <w:rPr>
          <w:rFonts w:hint="eastAsia" w:asciiTheme="minorEastAsia" w:hAnsiTheme="minorEastAsia"/>
          <w:color w:val="000000" w:themeColor="text1"/>
          <w:sz w:val="24"/>
          <w:szCs w:val="24"/>
        </w:rPr>
        <w:t>起，共个日历日；</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5．接受招标文件关于不予退还投标保证金的约定；</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6．提供按照贵方可能要求的与投标有关的一切数据或资料；</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7．与投标有关的一切正式往来信函请寄：。</w:t>
      </w:r>
    </w:p>
    <w:p>
      <w:pPr>
        <w:autoSpaceDE w:val="0"/>
        <w:autoSpaceDN w:val="0"/>
        <w:adjustRightInd w:val="0"/>
        <w:spacing w:line="360" w:lineRule="auto"/>
        <w:ind w:right="246" w:firstLine="480" w:firstLineChars="200"/>
        <w:rPr>
          <w:rFonts w:ascii="宋体" w:hAnsi="宋体" w:eastAsia="宋体" w:cs="Times New Roman"/>
          <w:color w:val="000000" w:themeColor="text1"/>
          <w:kern w:val="0"/>
          <w:sz w:val="24"/>
          <w:szCs w:val="24"/>
        </w:rPr>
      </w:pP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投标人：</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地  址：</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电话/传真：</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电子邮件：</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投标人(公章)：</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投标人授权代表（签字）：</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日    期：</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开户银行：</w:t>
      </w:r>
    </w:p>
    <w:p>
      <w:pPr>
        <w:spacing w:line="360" w:lineRule="auto"/>
        <w:ind w:left="12" w:leftChars="6" w:firstLine="472" w:firstLineChars="1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帐号/行号：</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288" w:hanging="1288"/>
        <w:rPr>
          <w:rFonts w:ascii="宋体" w:hAnsi="宋体" w:eastAsia="宋体"/>
          <w:color w:val="000000" w:themeColor="text1"/>
        </w:rPr>
      </w:pPr>
      <w:bookmarkStart w:id="121" w:name="_Toc494702272"/>
      <w:bookmarkStart w:id="122" w:name="_Toc494745319"/>
      <w:bookmarkStart w:id="123" w:name="_Toc495861551"/>
      <w:bookmarkStart w:id="124" w:name="_Toc494665002"/>
      <w:bookmarkStart w:id="125" w:name="_Toc494665952"/>
      <w:bookmarkStart w:id="126" w:name="_Toc494665555"/>
      <w:bookmarkStart w:id="127" w:name="_Toc494721102"/>
      <w:r>
        <w:rPr>
          <w:rFonts w:hint="eastAsia" w:ascii="宋体" w:hAnsi="宋体" w:eastAsia="宋体"/>
          <w:color w:val="000000" w:themeColor="text1"/>
        </w:rPr>
        <w:t>制造商中小企业声明函</w:t>
      </w:r>
      <w:bookmarkEnd w:id="121"/>
      <w:bookmarkEnd w:id="122"/>
      <w:bookmarkEnd w:id="123"/>
      <w:bookmarkEnd w:id="124"/>
      <w:bookmarkEnd w:id="125"/>
      <w:bookmarkEnd w:id="126"/>
      <w:bookmarkEnd w:id="127"/>
    </w:p>
    <w:p>
      <w:pPr>
        <w:adjustRightInd w:val="0"/>
        <w:snapToGrid w:val="0"/>
        <w:spacing w:line="360" w:lineRule="auto"/>
        <w:jc w:val="center"/>
        <w:rPr>
          <w:rFonts w:ascii="宋体" w:hAnsi="宋体" w:eastAsia="宋体" w:cs="Times New Roman"/>
          <w:b/>
          <w:color w:val="000000" w:themeColor="text1"/>
          <w:sz w:val="30"/>
          <w:szCs w:val="30"/>
          <w:lang w:val="zh-CN"/>
        </w:rPr>
      </w:pPr>
      <w:r>
        <w:rPr>
          <w:rFonts w:hint="eastAsia" w:ascii="宋体" w:hAnsi="宋体" w:eastAsia="宋体" w:cs="Times New Roman"/>
          <w:b/>
          <w:color w:val="000000" w:themeColor="text1"/>
          <w:sz w:val="30"/>
          <w:szCs w:val="30"/>
          <w:lang w:val="zh-CN"/>
        </w:rPr>
        <w:t>制造商中小企业声明函</w:t>
      </w:r>
    </w:p>
    <w:p>
      <w:pPr>
        <w:adjustRightInd w:val="0"/>
        <w:snapToGrid w:val="0"/>
        <w:spacing w:line="360" w:lineRule="auto"/>
        <w:jc w:val="center"/>
        <w:rPr>
          <w:rFonts w:ascii="宋体" w:hAnsi="Courier New" w:eastAsia="宋体" w:cs="Times New Roman"/>
          <w:color w:val="000000" w:themeColor="text1"/>
          <w:sz w:val="24"/>
          <w:szCs w:val="21"/>
          <w:lang w:val="zh-CN"/>
        </w:rPr>
      </w:pPr>
      <w:r>
        <w:rPr>
          <w:rFonts w:hint="eastAsia" w:ascii="宋体" w:hAnsi="Courier New" w:eastAsia="宋体" w:cs="Times New Roman"/>
          <w:color w:val="000000" w:themeColor="text1"/>
          <w:sz w:val="24"/>
          <w:szCs w:val="21"/>
          <w:lang w:val="zh-CN"/>
        </w:rPr>
        <w:t>（适用于货物类项目）</w:t>
      </w:r>
    </w:p>
    <w:p>
      <w:pPr>
        <w:spacing w:line="360" w:lineRule="auto"/>
        <w:rPr>
          <w:bCs/>
          <w:color w:val="000000" w:themeColor="text1"/>
          <w:sz w:val="24"/>
          <w:szCs w:val="24"/>
        </w:rPr>
      </w:pPr>
      <w:r>
        <w:rPr>
          <w:rFonts w:hint="eastAsia"/>
          <w:bCs/>
          <w:color w:val="000000" w:themeColor="text1"/>
          <w:sz w:val="24"/>
          <w:szCs w:val="24"/>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rPr>
        <w:t>（详见《中小企业划型标准》）</w:t>
      </w:r>
      <w:r>
        <w:rPr>
          <w:rFonts w:hint="eastAsia" w:ascii="宋体" w:hAnsi="宋体" w:eastAsia="宋体" w:cs="Times New Roman"/>
          <w:color w:val="000000" w:themeColor="text1"/>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2.本公司授权</w:t>
      </w:r>
      <w:r>
        <w:rPr>
          <w:rFonts w:hint="eastAsia" w:ascii="宋体" w:hAnsi="宋体" w:eastAsia="宋体" w:cs="Times New Roman"/>
          <w:color w:val="000000" w:themeColor="text1"/>
          <w:sz w:val="24"/>
          <w:szCs w:val="21"/>
          <w:u w:val="single"/>
          <w:lang w:val="zh-CN"/>
        </w:rPr>
        <w:t xml:space="preserve">  （投标人）  </w:t>
      </w:r>
      <w:r>
        <w:rPr>
          <w:rFonts w:hint="eastAsia" w:ascii="宋体" w:hAnsi="宋体" w:eastAsia="宋体" w:cs="Times New Roman"/>
          <w:color w:val="000000" w:themeColor="text1"/>
          <w:sz w:val="24"/>
          <w:szCs w:val="21"/>
          <w:lang w:val="zh-CN"/>
        </w:rPr>
        <w:t>参加_</w:t>
      </w:r>
      <w:r>
        <w:rPr>
          <w:rFonts w:hint="eastAsia" w:ascii="宋体" w:hAnsi="宋体" w:eastAsia="宋体" w:cs="Times New Roman"/>
          <w:color w:val="000000" w:themeColor="text1"/>
          <w:sz w:val="24"/>
          <w:szCs w:val="21"/>
          <w:u w:val="single"/>
          <w:lang w:val="zh-CN"/>
        </w:rPr>
        <w:t>_（采购人）_</w:t>
      </w:r>
      <w:r>
        <w:rPr>
          <w:rFonts w:hint="eastAsia" w:ascii="宋体" w:hAnsi="宋体" w:eastAsia="宋体" w:cs="Times New Roman"/>
          <w:color w:val="000000" w:themeColor="text1"/>
          <w:sz w:val="24"/>
          <w:szCs w:val="21"/>
          <w:lang w:val="zh-CN"/>
        </w:rPr>
        <w:t>的__</w:t>
      </w:r>
      <w:r>
        <w:rPr>
          <w:rFonts w:hint="eastAsia" w:ascii="宋体" w:hAnsi="宋体" w:eastAsia="宋体" w:cs="Times New Roman"/>
          <w:color w:val="000000" w:themeColor="text1"/>
          <w:sz w:val="24"/>
          <w:szCs w:val="21"/>
          <w:u w:val="single"/>
          <w:lang w:val="zh-CN"/>
        </w:rPr>
        <w:t>__</w:t>
      </w:r>
      <w:r>
        <w:rPr>
          <w:rFonts w:hint="eastAsia" w:ascii="宋体" w:hAnsi="宋体" w:eastAsia="宋体" w:cs="Times New Roman"/>
          <w:color w:val="000000" w:themeColor="text1"/>
          <w:sz w:val="24"/>
          <w:szCs w:val="21"/>
          <w:lang w:val="zh-CN"/>
        </w:rPr>
        <w:t>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lang w:val="zh-CN"/>
        </w:rPr>
        <w:t>3</w:t>
      </w:r>
      <w:r>
        <w:rPr>
          <w:rFonts w:hint="eastAsia" w:ascii="宋体" w:hAnsi="宋体" w:eastAsia="宋体" w:cs="Times New Roman"/>
          <w:bCs/>
          <w:color w:val="000000" w:themeColor="text1"/>
          <w:sz w:val="24"/>
          <w:szCs w:val="24"/>
        </w:rPr>
        <w:t>.由本公司制造的货物清单见下表：</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9"/>
              </w:numPr>
              <w:tabs>
                <w:tab w:val="left" w:pos="82"/>
              </w:tabs>
              <w:adjustRightInd w:val="0"/>
              <w:snapToGrid w:val="0"/>
              <w:spacing w:line="360" w:lineRule="auto"/>
              <w:ind w:left="-2" w:firstLine="2"/>
              <w:jc w:val="center"/>
              <w:rPr>
                <w:rFonts w:ascii="宋体" w:hAnsi="宋体"/>
                <w:color w:val="000000" w:themeColor="text1"/>
                <w:sz w:val="24"/>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360" w:lineRule="auto"/>
              <w:ind w:left="-48" w:leftChars="-23" w:right="-375" w:rightChars="-179"/>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49"/>
              </w:numPr>
              <w:tabs>
                <w:tab w:val="left" w:pos="82"/>
              </w:tabs>
              <w:adjustRightInd w:val="0"/>
              <w:snapToGrid w:val="0"/>
              <w:spacing w:line="360" w:lineRule="auto"/>
              <w:ind w:left="-2" w:firstLine="2"/>
              <w:jc w:val="center"/>
              <w:rPr>
                <w:rFonts w:ascii="宋体" w:hAnsi="宋体"/>
                <w:color w:val="000000" w:themeColor="text1"/>
                <w:sz w:val="24"/>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spacing w:line="360" w:lineRule="auto"/>
              <w:jc w:val="center"/>
              <w:rPr>
                <w:rFonts w:ascii="宋体" w:hAnsi="宋体"/>
                <w:color w:val="000000" w:themeColor="text1"/>
                <w:sz w:val="24"/>
              </w:rPr>
            </w:pPr>
            <w:r>
              <w:rPr>
                <w:rFonts w:hint="eastAsia" w:ascii="宋体" w:hAnsi="宋体"/>
                <w:color w:val="000000" w:themeColor="text1"/>
                <w:sz w:val="24"/>
              </w:rPr>
              <w:t>…</w:t>
            </w: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合计</w:t>
            </w:r>
          </w:p>
        </w:tc>
        <w:tc>
          <w:tcPr>
            <w:tcW w:w="3071" w:type="dxa"/>
            <w:gridSpan w:val="2"/>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r>
    </w:tbl>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本公司对上述声明的真实性负责。如有虚假，将依法承担相应责任。</w:t>
      </w:r>
    </w:p>
    <w:p>
      <w:pPr>
        <w:spacing w:line="360" w:lineRule="auto"/>
        <w:rPr>
          <w:rFonts w:ascii="宋体" w:hAnsi="宋体" w:eastAsia="宋体" w:cs="Times New Roman"/>
          <w:bCs/>
          <w:color w:val="000000" w:themeColor="text1"/>
          <w:sz w:val="24"/>
          <w:szCs w:val="24"/>
        </w:rPr>
      </w:pPr>
    </w:p>
    <w:p>
      <w:pPr>
        <w:pStyle w:val="14"/>
        <w:spacing w:line="360" w:lineRule="auto"/>
        <w:ind w:left="960" w:hanging="960" w:hangingChars="400"/>
        <w:jc w:val="left"/>
        <w:rPr>
          <w:rFonts w:hAnsi="宋体" w:cs="Corbel"/>
          <w:color w:val="000000" w:themeColor="text1"/>
          <w:sz w:val="24"/>
        </w:rPr>
      </w:pPr>
      <w:r>
        <w:rPr>
          <w:rFonts w:hint="eastAsia" w:hAnsi="宋体" w:eastAsia="宋体" w:cs="Times New Roman"/>
          <w:bCs/>
          <w:color w:val="000000" w:themeColor="text1"/>
          <w:sz w:val="24"/>
          <w:szCs w:val="24"/>
        </w:rPr>
        <w:t>说明：</w:t>
      </w:r>
      <w:r>
        <w:rPr>
          <w:rFonts w:hint="eastAsia" w:hAnsi="宋体" w:cs="Corbel"/>
          <w:color w:val="000000" w:themeColor="text1"/>
          <w:sz w:val="24"/>
        </w:rPr>
        <w:t>1、投标人所投货物为自己制造的，也应按本声明函格式填写。</w:t>
      </w:r>
    </w:p>
    <w:p>
      <w:pPr>
        <w:pStyle w:val="14"/>
        <w:spacing w:line="360" w:lineRule="auto"/>
        <w:ind w:left="958" w:leftChars="342" w:hanging="240" w:hangingChars="100"/>
        <w:jc w:val="left"/>
        <w:rPr>
          <w:rFonts w:hAnsi="宋体"/>
          <w:color w:val="000000" w:themeColor="text1"/>
          <w:sz w:val="24"/>
        </w:rPr>
      </w:pPr>
      <w:r>
        <w:rPr>
          <w:rFonts w:hint="eastAsia" w:hAnsi="宋体"/>
          <w:color w:val="000000" w:themeColor="text1"/>
          <w:sz w:val="24"/>
        </w:rPr>
        <w:t>2、组成联合体的大中型企业和其他自然人、法人或者其他组织，与小型、微型企业之间不得存在投资关系。</w:t>
      </w:r>
    </w:p>
    <w:p>
      <w:pPr>
        <w:pStyle w:val="14"/>
        <w:spacing w:line="360" w:lineRule="auto"/>
        <w:ind w:left="958" w:leftChars="342" w:hanging="240" w:hangingChars="100"/>
        <w:jc w:val="left"/>
        <w:rPr>
          <w:rFonts w:hAnsi="宋体" w:eastAsia="宋体" w:cs="Times New Roman"/>
          <w:bCs/>
          <w:color w:val="000000" w:themeColor="text1"/>
          <w:sz w:val="24"/>
          <w:szCs w:val="24"/>
        </w:rPr>
      </w:pPr>
      <w:r>
        <w:rPr>
          <w:rFonts w:hint="eastAsia" w:hAnsi="宋体"/>
          <w:color w:val="000000" w:themeColor="text1"/>
          <w:sz w:val="24"/>
        </w:rPr>
        <w:t>3、如以联合体方式参与本项目投标的供应商，则应由联合体双方签字盖章。</w:t>
      </w:r>
    </w:p>
    <w:p>
      <w:pPr>
        <w:spacing w:line="360" w:lineRule="auto"/>
        <w:ind w:firstLine="3316" w:firstLineChars="1382"/>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制造商（公章）：</w:t>
      </w:r>
    </w:p>
    <w:p>
      <w:pPr>
        <w:spacing w:line="360" w:lineRule="auto"/>
        <w:ind w:firstLine="3316" w:firstLineChars="1382"/>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制造商法定代表人（签字或盖章）：</w:t>
      </w:r>
    </w:p>
    <w:p>
      <w:pPr>
        <w:spacing w:line="360" w:lineRule="auto"/>
        <w:ind w:firstLine="3316" w:firstLineChars="1382"/>
        <w:rPr>
          <w:color w:val="000000" w:themeColor="text1"/>
        </w:rPr>
      </w:pPr>
      <w:r>
        <w:rPr>
          <w:rFonts w:hint="eastAsia" w:ascii="Times New Roman" w:hAnsi="宋体" w:eastAsia="宋体" w:cs="Times New Roman"/>
          <w:color w:val="000000" w:themeColor="text1"/>
          <w:sz w:val="24"/>
          <w:szCs w:val="24"/>
        </w:rPr>
        <w:t>日  期：</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288" w:hanging="1288"/>
        <w:rPr>
          <w:rFonts w:ascii="宋体" w:hAnsi="宋体" w:eastAsia="宋体"/>
          <w:color w:val="000000" w:themeColor="text1"/>
        </w:rPr>
      </w:pPr>
      <w:bookmarkStart w:id="128" w:name="_Toc495861552"/>
      <w:bookmarkStart w:id="129" w:name="_Toc494665953"/>
      <w:bookmarkStart w:id="130" w:name="_Toc494665556"/>
      <w:bookmarkStart w:id="131" w:name="_Toc456264006"/>
      <w:bookmarkStart w:id="132" w:name="_Toc494702273"/>
      <w:bookmarkStart w:id="133" w:name="_Toc494721103"/>
      <w:bookmarkStart w:id="134" w:name="_Toc494665003"/>
      <w:bookmarkStart w:id="135" w:name="_Toc494745320"/>
      <w:r>
        <w:rPr>
          <w:rFonts w:hint="eastAsia" w:ascii="宋体" w:hAnsi="宋体" w:eastAsia="宋体"/>
          <w:color w:val="000000" w:themeColor="text1"/>
        </w:rPr>
        <w:t>中小企业声明函</w:t>
      </w:r>
      <w:bookmarkEnd w:id="128"/>
      <w:bookmarkEnd w:id="129"/>
      <w:bookmarkEnd w:id="130"/>
      <w:bookmarkEnd w:id="131"/>
      <w:bookmarkEnd w:id="132"/>
      <w:bookmarkEnd w:id="133"/>
      <w:bookmarkEnd w:id="134"/>
      <w:bookmarkEnd w:id="135"/>
    </w:p>
    <w:p>
      <w:pPr>
        <w:adjustRightInd w:val="0"/>
        <w:snapToGrid w:val="0"/>
        <w:spacing w:line="360" w:lineRule="auto"/>
        <w:jc w:val="center"/>
        <w:rPr>
          <w:rFonts w:ascii="宋体" w:hAnsi="宋体" w:eastAsia="宋体" w:cs="Times New Roman"/>
          <w:b/>
          <w:color w:val="000000" w:themeColor="text1"/>
          <w:sz w:val="30"/>
          <w:szCs w:val="30"/>
          <w:lang w:val="zh-CN"/>
        </w:rPr>
      </w:pPr>
      <w:r>
        <w:rPr>
          <w:rFonts w:hint="eastAsia" w:ascii="宋体" w:hAnsi="宋体" w:eastAsia="宋体" w:cs="Times New Roman"/>
          <w:b/>
          <w:color w:val="000000" w:themeColor="text1"/>
          <w:sz w:val="30"/>
          <w:szCs w:val="30"/>
          <w:lang w:val="zh-CN"/>
        </w:rPr>
        <w:t>中小企业声明函</w:t>
      </w:r>
    </w:p>
    <w:p>
      <w:pPr>
        <w:adjustRightInd w:val="0"/>
        <w:snapToGrid w:val="0"/>
        <w:spacing w:line="360" w:lineRule="auto"/>
        <w:jc w:val="center"/>
        <w:rPr>
          <w:rFonts w:ascii="宋体" w:hAnsi="Courier New" w:eastAsia="宋体" w:cs="Times New Roman"/>
          <w:color w:val="000000" w:themeColor="text1"/>
          <w:sz w:val="24"/>
          <w:szCs w:val="21"/>
          <w:lang w:val="zh-CN"/>
        </w:rPr>
      </w:pPr>
      <w:r>
        <w:rPr>
          <w:rFonts w:hint="eastAsia" w:ascii="宋体" w:hAnsi="Courier New" w:eastAsia="宋体" w:cs="Times New Roman"/>
          <w:color w:val="000000" w:themeColor="text1"/>
          <w:sz w:val="24"/>
          <w:szCs w:val="21"/>
          <w:lang w:val="zh-CN"/>
        </w:rPr>
        <w:t>（适用于工程类、服务类项目）</w:t>
      </w:r>
    </w:p>
    <w:p>
      <w:pPr>
        <w:spacing w:line="360" w:lineRule="auto"/>
        <w:rPr>
          <w:bCs/>
          <w:color w:val="000000" w:themeColor="text1"/>
          <w:sz w:val="24"/>
          <w:szCs w:val="24"/>
        </w:rPr>
      </w:pPr>
      <w:r>
        <w:rPr>
          <w:rFonts w:hint="eastAsia"/>
          <w:bCs/>
          <w:color w:val="000000" w:themeColor="text1"/>
          <w:sz w:val="24"/>
          <w:szCs w:val="24"/>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rPr>
        <w:t>（详见《中小企业划型标准》）</w:t>
      </w:r>
      <w:r>
        <w:rPr>
          <w:rFonts w:hint="eastAsia" w:ascii="宋体" w:hAnsi="宋体" w:eastAsia="宋体" w:cs="Times New Roman"/>
          <w:color w:val="000000" w:themeColor="text1"/>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2.本公司参加_</w:t>
      </w:r>
      <w:r>
        <w:rPr>
          <w:rFonts w:hint="eastAsia" w:ascii="宋体" w:hAnsi="宋体" w:eastAsia="宋体" w:cs="Times New Roman"/>
          <w:color w:val="000000" w:themeColor="text1"/>
          <w:sz w:val="24"/>
          <w:szCs w:val="21"/>
          <w:u w:val="single"/>
          <w:lang w:val="zh-CN"/>
        </w:rPr>
        <w:t>_（采购人）</w:t>
      </w:r>
      <w:r>
        <w:rPr>
          <w:rFonts w:hint="eastAsia" w:ascii="宋体" w:hAnsi="宋体" w:eastAsia="宋体" w:cs="Times New Roman"/>
          <w:color w:val="000000" w:themeColor="text1"/>
          <w:sz w:val="24"/>
          <w:szCs w:val="21"/>
          <w:lang w:val="zh-CN"/>
        </w:rPr>
        <w:t>的__</w:t>
      </w:r>
      <w:r>
        <w:rPr>
          <w:rFonts w:hint="eastAsia" w:ascii="宋体" w:hAnsi="宋体" w:eastAsia="宋体" w:cs="Times New Roman"/>
          <w:color w:val="000000" w:themeColor="text1"/>
          <w:sz w:val="24"/>
          <w:szCs w:val="21"/>
          <w:u w:val="single"/>
          <w:lang w:val="zh-CN"/>
        </w:rPr>
        <w:t>__</w:t>
      </w:r>
      <w:r>
        <w:rPr>
          <w:rFonts w:hint="eastAsia" w:ascii="宋体" w:hAnsi="宋体" w:eastAsia="宋体" w:cs="Times New Roman"/>
          <w:color w:val="000000" w:themeColor="text1"/>
          <w:sz w:val="24"/>
          <w:szCs w:val="21"/>
          <w:lang w:val="zh-CN"/>
        </w:rPr>
        <w:t>项目（项目编号：______）采购活动由本企业承担工程（或提供服务）。</w:t>
      </w:r>
    </w:p>
    <w:p>
      <w:pPr>
        <w:spacing w:line="360" w:lineRule="auto"/>
        <w:ind w:firstLine="475" w:firstLineChars="198"/>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color w:val="000000" w:themeColor="text1"/>
          <w:sz w:val="28"/>
          <w:szCs w:val="24"/>
        </w:rPr>
      </w:pPr>
    </w:p>
    <w:p>
      <w:pPr>
        <w:adjustRightInd w:val="0"/>
        <w:snapToGrid w:val="0"/>
        <w:spacing w:line="360" w:lineRule="auto"/>
        <w:rPr>
          <w:rFonts w:ascii="宋体" w:hAnsi="宋体" w:eastAsia="宋体" w:cs="Times New Roman"/>
          <w:color w:val="000000" w:themeColor="text1"/>
          <w:sz w:val="28"/>
          <w:szCs w:val="24"/>
        </w:rPr>
      </w:pPr>
    </w:p>
    <w:p>
      <w:pPr>
        <w:spacing w:line="360" w:lineRule="auto"/>
        <w:ind w:left="950" w:hanging="950" w:hangingChars="396"/>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color w:val="000000" w:themeColor="text1"/>
          <w:sz w:val="24"/>
          <w:szCs w:val="21"/>
          <w:lang w:val="zh-CN"/>
        </w:rPr>
      </w:pPr>
    </w:p>
    <w:p>
      <w:pPr>
        <w:spacing w:line="360" w:lineRule="auto"/>
        <w:ind w:firstLine="480" w:firstLineChars="200"/>
        <w:jc w:val="left"/>
        <w:rPr>
          <w:rFonts w:ascii="宋体" w:hAnsi="宋体" w:eastAsia="宋体" w:cs="Times New Roman"/>
          <w:color w:val="000000" w:themeColor="text1"/>
          <w:sz w:val="24"/>
          <w:szCs w:val="21"/>
          <w:lang w:val="zh-CN"/>
        </w:rPr>
      </w:pPr>
    </w:p>
    <w:p>
      <w:pPr>
        <w:spacing w:line="360" w:lineRule="auto"/>
        <w:ind w:firstLine="480" w:firstLineChars="200"/>
        <w:jc w:val="left"/>
        <w:rPr>
          <w:rFonts w:ascii="宋体" w:hAnsi="宋体" w:eastAsia="宋体" w:cs="Times New Roman"/>
          <w:color w:val="000000" w:themeColor="text1"/>
          <w:sz w:val="24"/>
          <w:szCs w:val="21"/>
          <w:lang w:val="zh-CN"/>
        </w:rPr>
      </w:pPr>
    </w:p>
    <w:p>
      <w:pPr>
        <w:spacing w:line="360" w:lineRule="auto"/>
        <w:ind w:firstLine="3316" w:firstLineChars="1382"/>
        <w:rPr>
          <w:rFonts w:ascii="宋体" w:hAnsi="宋体" w:eastAsia="宋体" w:cs="Times New Roman"/>
          <w:color w:val="000000" w:themeColor="text1"/>
          <w:sz w:val="24"/>
          <w:szCs w:val="21"/>
          <w:u w:val="single"/>
          <w:lang w:val="zh-CN"/>
        </w:rPr>
      </w:pPr>
      <w:r>
        <w:rPr>
          <w:rFonts w:hint="eastAsia" w:ascii="宋体" w:hAnsi="宋体" w:eastAsia="宋体" w:cs="Times New Roman"/>
          <w:color w:val="000000" w:themeColor="text1"/>
          <w:sz w:val="24"/>
          <w:szCs w:val="21"/>
          <w:lang w:val="zh-CN"/>
        </w:rPr>
        <w:t>投标人（公章）：</w:t>
      </w:r>
    </w:p>
    <w:p>
      <w:pPr>
        <w:spacing w:line="360" w:lineRule="auto"/>
        <w:ind w:firstLine="3316" w:firstLineChars="1382"/>
        <w:rPr>
          <w:rFonts w:ascii="宋体" w:hAnsi="宋体" w:eastAsia="宋体" w:cs="Times New Roman"/>
          <w:color w:val="000000" w:themeColor="text1"/>
          <w:sz w:val="24"/>
          <w:szCs w:val="21"/>
          <w:u w:val="single"/>
          <w:lang w:val="zh-CN"/>
        </w:rPr>
      </w:pPr>
      <w:r>
        <w:rPr>
          <w:rFonts w:hint="eastAsia" w:ascii="宋体" w:hAnsi="宋体" w:eastAsia="宋体" w:cs="Times New Roman"/>
          <w:color w:val="000000" w:themeColor="text1"/>
          <w:sz w:val="24"/>
          <w:szCs w:val="21"/>
          <w:lang w:val="zh-CN"/>
        </w:rPr>
        <w:t>投标人授权代表（签字）：</w:t>
      </w:r>
    </w:p>
    <w:p>
      <w:pPr>
        <w:spacing w:line="360" w:lineRule="auto"/>
        <w:ind w:firstLine="3316" w:firstLineChars="1382"/>
        <w:rPr>
          <w:color w:val="000000" w:themeColor="text1"/>
        </w:rPr>
      </w:pPr>
      <w:r>
        <w:rPr>
          <w:rFonts w:hint="eastAsia" w:ascii="宋体" w:hAnsi="宋体" w:eastAsia="宋体" w:cs="Times New Roman"/>
          <w:color w:val="000000" w:themeColor="text1"/>
          <w:sz w:val="24"/>
          <w:szCs w:val="21"/>
          <w:lang w:val="zh-CN"/>
        </w:rPr>
        <w:t>投标时间：</w:t>
      </w:r>
    </w:p>
    <w:p>
      <w:pPr>
        <w:spacing w:line="360" w:lineRule="auto"/>
        <w:rPr>
          <w:color w:val="000000" w:themeColor="text1"/>
        </w:rPr>
        <w:sectPr>
          <w:footerReference r:id="rId5" w:type="default"/>
          <w:pgSz w:w="11906" w:h="16838"/>
          <w:pgMar w:top="1134" w:right="1417" w:bottom="1134" w:left="1417" w:header="851" w:footer="624" w:gutter="0"/>
          <w:pgNumType w:start="1"/>
          <w:cols w:space="0" w:num="1"/>
          <w:docGrid w:type="linesAndChars" w:linePitch="312" w:charSpace="0"/>
        </w:sectPr>
      </w:pPr>
    </w:p>
    <w:p>
      <w:pPr>
        <w:spacing w:line="360" w:lineRule="auto"/>
        <w:ind w:left="-48" w:leftChars="-23" w:right="-65" w:rightChars="-31"/>
        <w:jc w:val="center"/>
        <w:rPr>
          <w:rFonts w:ascii="宋体" w:hAnsi="宋体" w:eastAsia="宋体" w:cs="Times New Roman"/>
          <w:b/>
          <w:color w:val="000000" w:themeColor="text1"/>
          <w:sz w:val="30"/>
          <w:szCs w:val="30"/>
          <w:lang w:val="zh-CN"/>
        </w:rPr>
      </w:pPr>
      <w:bookmarkStart w:id="136" w:name="_Toc476153619"/>
      <w:r>
        <w:rPr>
          <w:rFonts w:hint="eastAsia" w:ascii="宋体" w:hAnsi="宋体" w:eastAsia="宋体" w:cs="Times New Roman"/>
          <w:b/>
          <w:color w:val="000000" w:themeColor="text1"/>
          <w:sz w:val="30"/>
          <w:szCs w:val="30"/>
          <w:lang w:val="zh-CN"/>
        </w:rPr>
        <w:t>中小企业划型标准</w:t>
      </w:r>
      <w:bookmarkEnd w:id="136"/>
    </w:p>
    <w:tbl>
      <w:tblPr>
        <w:tblStyle w:val="23"/>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360" w:lineRule="auto"/>
              <w:ind w:left="-48" w:leftChars="-23" w:right="-65" w:rightChars="-31"/>
              <w:jc w:val="left"/>
              <w:rPr>
                <w:rFonts w:ascii="宋体" w:hAnsi="宋体" w:eastAsia="宋体" w:cs="宋体"/>
                <w:b/>
                <w:color w:val="000000" w:themeColor="text1"/>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营业收入</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从业人员</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总资产</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营业收入</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从业人员</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总资产</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营业收入</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360" w:lineRule="auto"/>
              <w:ind w:left="119" w:leftChars="-23" w:right="-65" w:rightChars="-31" w:hanging="167" w:hangingChars="79"/>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从业人员</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总资产</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营业收入</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从业人员</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总资产</w:t>
            </w:r>
          </w:p>
          <w:p>
            <w:pPr>
              <w:spacing w:line="360" w:lineRule="auto"/>
              <w:ind w:left="-48" w:leftChars="-23" w:right="-65" w:rightChars="-3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360" w:lineRule="auto"/>
              <w:ind w:left="-27" w:leftChars="-13" w:right="-65" w:rightChars="-31"/>
              <w:jc w:val="left"/>
              <w:rPr>
                <w:rFonts w:ascii="宋体" w:hAnsi="宋体" w:eastAsia="宋体" w:cs="宋体"/>
                <w:b/>
                <w:color w:val="000000" w:themeColor="text1"/>
                <w:kern w:val="0"/>
                <w:szCs w:val="21"/>
              </w:rPr>
            </w:pPr>
            <w:r>
              <w:rPr>
                <w:rFonts w:hint="eastAsia" w:ascii="宋体" w:hAnsi="宋体" w:eastAsia="宋体" w:cs="宋体"/>
                <w:b/>
                <w:color w:val="000000" w:themeColor="text1"/>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360" w:lineRule="auto"/>
              <w:ind w:left="-107" w:leftChars="-51" w:right="-107" w:rightChars="-51"/>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w:t>
            </w:r>
          </w:p>
        </w:tc>
      </w:tr>
    </w:tbl>
    <w:p>
      <w:pPr>
        <w:spacing w:line="360" w:lineRule="auto"/>
        <w:rPr>
          <w:color w:val="000000" w:themeColor="text1"/>
        </w:rPr>
        <w:sectPr>
          <w:pgSz w:w="16838" w:h="11906" w:orient="landscape"/>
          <w:pgMar w:top="1191" w:right="1134" w:bottom="1191" w:left="1134" w:header="851" w:footer="851" w:gutter="0"/>
          <w:cols w:space="425" w:num="1"/>
          <w:docGrid w:type="lines" w:linePitch="312" w:charSpace="0"/>
        </w:sectPr>
      </w:pPr>
      <w:r>
        <w:rPr>
          <w:color w:val="000000" w:themeColor="text1"/>
        </w:rPr>
        <w:br w:type="page"/>
      </w:r>
    </w:p>
    <w:p>
      <w:pPr>
        <w:pStyle w:val="4"/>
        <w:numPr>
          <w:ilvl w:val="0"/>
          <w:numId w:val="48"/>
        </w:numPr>
        <w:spacing w:before="0" w:after="0" w:line="360" w:lineRule="auto"/>
        <w:ind w:left="1288" w:hanging="1288"/>
        <w:rPr>
          <w:rFonts w:ascii="宋体" w:hAnsi="宋体" w:eastAsia="宋体"/>
          <w:color w:val="000000" w:themeColor="text1"/>
        </w:rPr>
      </w:pPr>
      <w:bookmarkStart w:id="137" w:name="_Toc494665954"/>
      <w:bookmarkStart w:id="138" w:name="_Toc495861553"/>
      <w:bookmarkStart w:id="139" w:name="_Toc494745321"/>
      <w:bookmarkStart w:id="140" w:name="_Toc494702274"/>
      <w:bookmarkStart w:id="141" w:name="_Toc494665557"/>
      <w:bookmarkStart w:id="142" w:name="_Toc494665004"/>
      <w:bookmarkStart w:id="143" w:name="_Toc494721104"/>
      <w:r>
        <w:rPr>
          <w:rFonts w:hint="eastAsia" w:ascii="宋体" w:hAnsi="宋体" w:eastAsia="宋体"/>
          <w:color w:val="000000" w:themeColor="text1"/>
        </w:rPr>
        <w:t>残疾人福利性单位声明函</w:t>
      </w:r>
      <w:bookmarkEnd w:id="137"/>
      <w:bookmarkEnd w:id="138"/>
      <w:bookmarkEnd w:id="139"/>
      <w:bookmarkEnd w:id="140"/>
      <w:bookmarkEnd w:id="141"/>
      <w:bookmarkEnd w:id="142"/>
      <w:bookmarkEnd w:id="143"/>
    </w:p>
    <w:p>
      <w:pPr>
        <w:adjustRightInd w:val="0"/>
        <w:snapToGrid w:val="0"/>
        <w:spacing w:line="360" w:lineRule="auto"/>
        <w:jc w:val="center"/>
        <w:rPr>
          <w:rFonts w:ascii="宋体" w:hAnsi="宋体" w:eastAsia="宋体" w:cs="Times New Roman"/>
          <w:b/>
          <w:color w:val="000000" w:themeColor="text1"/>
          <w:sz w:val="30"/>
          <w:szCs w:val="30"/>
          <w:lang w:val="zh-CN"/>
        </w:rPr>
      </w:pPr>
      <w:r>
        <w:rPr>
          <w:rFonts w:hint="eastAsia" w:ascii="宋体" w:hAnsi="宋体" w:eastAsia="宋体" w:cs="Times New Roman"/>
          <w:b/>
          <w:color w:val="000000" w:themeColor="text1"/>
          <w:sz w:val="30"/>
          <w:szCs w:val="30"/>
          <w:lang w:val="zh-CN"/>
        </w:rPr>
        <w:t>残疾人福利性单位声明函</w:t>
      </w:r>
    </w:p>
    <w:p>
      <w:pPr>
        <w:adjustRightInd w:val="0"/>
        <w:snapToGrid w:val="0"/>
        <w:spacing w:line="360" w:lineRule="auto"/>
        <w:jc w:val="center"/>
        <w:rPr>
          <w:rFonts w:ascii="宋体" w:hAnsi="Courier New" w:eastAsia="宋体" w:cs="Times New Roman"/>
          <w:color w:val="000000" w:themeColor="text1"/>
          <w:sz w:val="24"/>
          <w:szCs w:val="21"/>
          <w:lang w:val="zh-CN"/>
        </w:rPr>
      </w:pPr>
      <w:r>
        <w:rPr>
          <w:rFonts w:hint="eastAsia" w:ascii="宋体" w:hAnsi="Courier New" w:eastAsia="宋体" w:cs="Times New Roman"/>
          <w:color w:val="000000" w:themeColor="text1"/>
          <w:sz w:val="24"/>
          <w:szCs w:val="21"/>
          <w:lang w:val="zh-CN"/>
        </w:rPr>
        <w:t>（适用于货物类项目）</w:t>
      </w:r>
    </w:p>
    <w:p>
      <w:pPr>
        <w:spacing w:line="360" w:lineRule="auto"/>
        <w:rPr>
          <w:b/>
          <w:color w:val="000000" w:themeColor="text1"/>
          <w:sz w:val="28"/>
          <w:szCs w:val="28"/>
        </w:rPr>
      </w:pPr>
      <w:r>
        <w:rPr>
          <w:rFonts w:hint="eastAsia"/>
          <w:bCs/>
          <w:color w:val="000000" w:themeColor="text1"/>
          <w:sz w:val="24"/>
          <w:szCs w:val="24"/>
        </w:rPr>
        <w:t>采购人（或采购代理公司）</w:t>
      </w:r>
      <w:r>
        <w:rPr>
          <w:rFonts w:hint="eastAsia"/>
          <w:bCs/>
          <w:color w:val="000000" w:themeColor="text1"/>
          <w:sz w:val="28"/>
          <w:szCs w:val="28"/>
        </w:rPr>
        <w:t>：</w:t>
      </w:r>
    </w:p>
    <w:p>
      <w:pPr>
        <w:pStyle w:val="14"/>
        <w:spacing w:line="360" w:lineRule="auto"/>
        <w:ind w:firstLine="475" w:firstLineChars="198"/>
        <w:jc w:val="left"/>
        <w:rPr>
          <w:rFonts w:hAnsi="宋体"/>
          <w:color w:val="000000" w:themeColor="text1"/>
          <w:sz w:val="24"/>
        </w:rPr>
      </w:pPr>
      <w:r>
        <w:rPr>
          <w:rFonts w:hint="eastAsia" w:hAnsi="宋体"/>
          <w:color w:val="000000" w:themeColor="text1"/>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75" w:firstLineChars="198"/>
        <w:jc w:val="left"/>
        <w:rPr>
          <w:rFonts w:hAnsi="宋体"/>
          <w:color w:val="000000" w:themeColor="text1"/>
          <w:sz w:val="24"/>
        </w:rPr>
      </w:pPr>
      <w:r>
        <w:rPr>
          <w:rFonts w:hint="eastAsia" w:hAnsi="宋体"/>
          <w:color w:val="000000" w:themeColor="text1"/>
          <w:sz w:val="24"/>
        </w:rPr>
        <w:t>1.本单位授权</w:t>
      </w:r>
      <w:r>
        <w:rPr>
          <w:rFonts w:hint="eastAsia" w:hAnsi="宋体"/>
          <w:color w:val="000000" w:themeColor="text1"/>
          <w:sz w:val="24"/>
          <w:u w:val="single"/>
        </w:rPr>
        <w:t xml:space="preserve"> （投标人） </w:t>
      </w:r>
      <w:r>
        <w:rPr>
          <w:rFonts w:hint="eastAsia" w:hAnsi="宋体"/>
          <w:color w:val="000000" w:themeColor="text1"/>
          <w:sz w:val="24"/>
        </w:rPr>
        <w:t>参加_</w:t>
      </w:r>
      <w:r>
        <w:rPr>
          <w:rFonts w:hint="eastAsia" w:hAnsi="宋体"/>
          <w:color w:val="000000" w:themeColor="text1"/>
          <w:sz w:val="24"/>
          <w:u w:val="single"/>
        </w:rPr>
        <w:t>（采购人）</w:t>
      </w:r>
      <w:r>
        <w:rPr>
          <w:rFonts w:hint="eastAsia" w:hAnsi="宋体"/>
          <w:color w:val="000000" w:themeColor="text1"/>
          <w:sz w:val="24"/>
        </w:rPr>
        <w:t>的__</w:t>
      </w:r>
      <w:r>
        <w:rPr>
          <w:rFonts w:hint="eastAsia" w:hAnsi="宋体"/>
          <w:color w:val="000000" w:themeColor="text1"/>
          <w:sz w:val="24"/>
          <w:u w:val="single"/>
        </w:rPr>
        <w:t>_ _</w:t>
      </w:r>
      <w:r>
        <w:rPr>
          <w:rFonts w:hint="eastAsia" w:hAnsi="宋体"/>
          <w:color w:val="000000" w:themeColor="text1"/>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lang w:val="zh-CN"/>
        </w:rPr>
        <w:t>2</w:t>
      </w:r>
      <w:r>
        <w:rPr>
          <w:rFonts w:hint="eastAsia" w:ascii="宋体" w:hAnsi="宋体"/>
          <w:bCs/>
          <w:color w:val="000000" w:themeColor="text1"/>
          <w:sz w:val="24"/>
        </w:rPr>
        <w:t>.由本单位制造的货物清单见下表：</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0"/>
              </w:numPr>
              <w:tabs>
                <w:tab w:val="left" w:pos="82"/>
              </w:tabs>
              <w:adjustRightInd w:val="0"/>
              <w:snapToGrid w:val="0"/>
              <w:spacing w:line="360" w:lineRule="auto"/>
              <w:jc w:val="center"/>
              <w:rPr>
                <w:rFonts w:ascii="宋体" w:hAnsi="宋体"/>
                <w:color w:val="000000" w:themeColor="text1"/>
                <w:sz w:val="24"/>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360" w:lineRule="auto"/>
              <w:ind w:left="-48" w:leftChars="-23" w:right="-375" w:rightChars="-179"/>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0"/>
              </w:numPr>
              <w:tabs>
                <w:tab w:val="left" w:pos="82"/>
              </w:tabs>
              <w:adjustRightInd w:val="0"/>
              <w:snapToGrid w:val="0"/>
              <w:spacing w:line="360" w:lineRule="auto"/>
              <w:ind w:left="-2" w:firstLine="2"/>
              <w:jc w:val="center"/>
              <w:rPr>
                <w:rFonts w:ascii="宋体" w:hAnsi="宋体"/>
                <w:color w:val="000000" w:themeColor="text1"/>
                <w:sz w:val="24"/>
              </w:rPr>
            </w:pP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spacing w:line="360" w:lineRule="auto"/>
              <w:jc w:val="center"/>
              <w:rPr>
                <w:rFonts w:ascii="宋体" w:hAnsi="宋体"/>
                <w:color w:val="000000" w:themeColor="text1"/>
                <w:sz w:val="24"/>
              </w:rPr>
            </w:pPr>
            <w:r>
              <w:rPr>
                <w:rFonts w:hint="eastAsia" w:ascii="宋体" w:hAnsi="宋体"/>
                <w:color w:val="000000" w:themeColor="text1"/>
                <w:sz w:val="24"/>
              </w:rPr>
              <w:t>…</w:t>
            </w:r>
          </w:p>
        </w:tc>
        <w:tc>
          <w:tcPr>
            <w:tcW w:w="241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4"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907"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c>
          <w:tcPr>
            <w:tcW w:w="127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c>
          <w:tcPr>
            <w:tcW w:w="1843" w:type="dxa"/>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c>
          <w:tcPr>
            <w:tcW w:w="1228" w:type="dxa"/>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360" w:lineRule="auto"/>
              <w:ind w:left="-48" w:leftChars="-23" w:right="-65" w:rightChars="-31"/>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合计</w:t>
            </w:r>
          </w:p>
        </w:tc>
        <w:tc>
          <w:tcPr>
            <w:tcW w:w="3071" w:type="dxa"/>
            <w:gridSpan w:val="2"/>
            <w:shd w:val="clear" w:color="auto" w:fill="auto"/>
            <w:vAlign w:val="center"/>
          </w:tcPr>
          <w:p>
            <w:pPr>
              <w:spacing w:line="360" w:lineRule="auto"/>
              <w:ind w:left="-48" w:leftChars="-23" w:right="-65" w:rightChars="-31"/>
              <w:jc w:val="left"/>
              <w:rPr>
                <w:rFonts w:ascii="宋体" w:hAnsi="宋体" w:eastAsia="宋体" w:cs="宋体"/>
                <w:color w:val="000000" w:themeColor="text1"/>
                <w:kern w:val="0"/>
                <w:sz w:val="24"/>
                <w:szCs w:val="24"/>
              </w:rPr>
            </w:pPr>
          </w:p>
        </w:tc>
      </w:tr>
    </w:tbl>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本单位对上述声明的真实性负责。如有虚假，将依法承担相应责任。</w:t>
      </w:r>
    </w:p>
    <w:p>
      <w:pPr>
        <w:spacing w:line="360" w:lineRule="auto"/>
        <w:rPr>
          <w:rFonts w:ascii="宋体" w:hAnsi="宋体" w:eastAsia="宋体" w:cs="Times New Roman"/>
          <w:bCs/>
          <w:color w:val="000000" w:themeColor="text1"/>
          <w:sz w:val="24"/>
          <w:szCs w:val="24"/>
        </w:rPr>
      </w:pPr>
    </w:p>
    <w:p>
      <w:pPr>
        <w:pStyle w:val="14"/>
        <w:spacing w:line="360" w:lineRule="auto"/>
        <w:jc w:val="left"/>
        <w:rPr>
          <w:rFonts w:hAnsi="宋体" w:cs="Corbel"/>
          <w:color w:val="000000" w:themeColor="text1"/>
          <w:sz w:val="24"/>
        </w:rPr>
      </w:pPr>
      <w:r>
        <w:rPr>
          <w:rFonts w:hint="eastAsia" w:hAnsi="宋体" w:eastAsia="宋体" w:cs="Times New Roman"/>
          <w:bCs/>
          <w:color w:val="000000" w:themeColor="text1"/>
          <w:sz w:val="24"/>
          <w:szCs w:val="24"/>
        </w:rPr>
        <w:t>说明：</w:t>
      </w:r>
      <w:r>
        <w:rPr>
          <w:rFonts w:hint="eastAsia" w:hAnsi="宋体" w:cs="Corbel"/>
          <w:color w:val="000000" w:themeColor="text1"/>
          <w:sz w:val="24"/>
        </w:rPr>
        <w:t>1、投标人所投货物为自己制造的，也应按本声明函格式填写。</w:t>
      </w:r>
    </w:p>
    <w:p>
      <w:pPr>
        <w:pStyle w:val="14"/>
        <w:spacing w:line="360" w:lineRule="auto"/>
        <w:ind w:left="1078" w:leftChars="342" w:hanging="360" w:hangingChars="150"/>
        <w:jc w:val="left"/>
        <w:rPr>
          <w:rFonts w:hAnsi="宋体"/>
          <w:color w:val="000000" w:themeColor="text1"/>
          <w:sz w:val="24"/>
        </w:rPr>
      </w:pPr>
      <w:r>
        <w:rPr>
          <w:rFonts w:hint="eastAsia" w:hAnsi="宋体"/>
          <w:color w:val="000000" w:themeColor="text1"/>
          <w:sz w:val="24"/>
        </w:rPr>
        <w:t>2、组成联合体的大中型企业和其他自然人、法人或者其他组织，与残疾人福利性单位之间不得存在投资关系。</w:t>
      </w:r>
    </w:p>
    <w:p>
      <w:pPr>
        <w:pStyle w:val="14"/>
        <w:spacing w:line="360" w:lineRule="auto"/>
        <w:ind w:left="1078" w:leftChars="342" w:hanging="360" w:hangingChars="150"/>
        <w:jc w:val="left"/>
        <w:rPr>
          <w:rFonts w:hAnsi="宋体"/>
          <w:color w:val="000000" w:themeColor="text1"/>
          <w:sz w:val="24"/>
        </w:rPr>
      </w:pPr>
      <w:r>
        <w:rPr>
          <w:rFonts w:hint="eastAsia" w:hAnsi="宋体"/>
          <w:color w:val="000000" w:themeColor="text1"/>
          <w:sz w:val="24"/>
        </w:rPr>
        <w:t>3、以联合体方式参与本项目投标的供应商，应由联合体双方签字盖章。</w:t>
      </w:r>
    </w:p>
    <w:p>
      <w:pPr>
        <w:spacing w:line="360" w:lineRule="auto"/>
        <w:rPr>
          <w:rFonts w:ascii="宋体" w:hAnsi="宋体"/>
          <w:color w:val="000000" w:themeColor="text1"/>
          <w:sz w:val="24"/>
        </w:rPr>
      </w:pPr>
    </w:p>
    <w:p>
      <w:pPr>
        <w:spacing w:line="360" w:lineRule="auto"/>
        <w:ind w:firstLine="3316" w:firstLineChars="1382"/>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制造商（公章）：</w:t>
      </w:r>
    </w:p>
    <w:p>
      <w:pPr>
        <w:spacing w:line="360" w:lineRule="auto"/>
        <w:ind w:firstLine="3316" w:firstLineChars="1382"/>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制造商法定代表人（签字或盖章）：</w:t>
      </w:r>
    </w:p>
    <w:p>
      <w:pPr>
        <w:spacing w:line="360" w:lineRule="auto"/>
        <w:ind w:firstLine="3316" w:firstLineChars="1382"/>
        <w:rPr>
          <w:color w:val="000000" w:themeColor="text1"/>
        </w:rPr>
      </w:pPr>
      <w:r>
        <w:rPr>
          <w:rFonts w:hint="eastAsia" w:ascii="Times New Roman" w:hAnsi="宋体" w:eastAsia="宋体" w:cs="Times New Roman"/>
          <w:color w:val="000000" w:themeColor="text1"/>
          <w:sz w:val="24"/>
          <w:szCs w:val="24"/>
        </w:rPr>
        <w:t>日  期：</w:t>
      </w:r>
    </w:p>
    <w:p>
      <w:pPr>
        <w:spacing w:line="360" w:lineRule="auto"/>
        <w:rPr>
          <w:color w:val="000000" w:themeColor="text1"/>
        </w:rPr>
      </w:pPr>
      <w:r>
        <w:rPr>
          <w:color w:val="000000" w:themeColor="text1"/>
        </w:rPr>
        <w:br w:type="page"/>
      </w:r>
    </w:p>
    <w:p>
      <w:pPr>
        <w:adjustRightInd w:val="0"/>
        <w:snapToGrid w:val="0"/>
        <w:spacing w:line="360" w:lineRule="auto"/>
        <w:jc w:val="center"/>
        <w:rPr>
          <w:rFonts w:ascii="宋体" w:hAnsi="宋体" w:eastAsia="宋体" w:cs="Times New Roman"/>
          <w:b/>
          <w:color w:val="000000" w:themeColor="text1"/>
          <w:sz w:val="30"/>
          <w:szCs w:val="30"/>
          <w:lang w:val="zh-CN"/>
        </w:rPr>
      </w:pPr>
    </w:p>
    <w:p>
      <w:pPr>
        <w:adjustRightInd w:val="0"/>
        <w:snapToGrid w:val="0"/>
        <w:spacing w:line="360" w:lineRule="auto"/>
        <w:jc w:val="center"/>
        <w:rPr>
          <w:rFonts w:ascii="宋体" w:hAnsi="宋体" w:eastAsia="宋体" w:cs="Times New Roman"/>
          <w:b/>
          <w:color w:val="000000" w:themeColor="text1"/>
          <w:sz w:val="30"/>
          <w:szCs w:val="30"/>
          <w:lang w:val="zh-CN"/>
        </w:rPr>
      </w:pPr>
      <w:r>
        <w:rPr>
          <w:rFonts w:hint="eastAsia" w:ascii="宋体" w:hAnsi="宋体" w:eastAsia="宋体" w:cs="Times New Roman"/>
          <w:b/>
          <w:color w:val="000000" w:themeColor="text1"/>
          <w:sz w:val="30"/>
          <w:szCs w:val="30"/>
          <w:lang w:val="zh-CN"/>
        </w:rPr>
        <w:t>残疾人福利性单位声明函</w:t>
      </w:r>
    </w:p>
    <w:p>
      <w:pPr>
        <w:adjustRightInd w:val="0"/>
        <w:snapToGrid w:val="0"/>
        <w:spacing w:line="360" w:lineRule="auto"/>
        <w:jc w:val="center"/>
        <w:rPr>
          <w:rFonts w:ascii="宋体" w:hAnsi="Courier New" w:eastAsia="宋体" w:cs="Times New Roman"/>
          <w:color w:val="000000" w:themeColor="text1"/>
          <w:sz w:val="24"/>
          <w:szCs w:val="21"/>
          <w:lang w:val="zh-CN"/>
        </w:rPr>
      </w:pPr>
      <w:r>
        <w:rPr>
          <w:rFonts w:hint="eastAsia" w:ascii="宋体" w:hAnsi="Courier New" w:eastAsia="宋体" w:cs="Times New Roman"/>
          <w:color w:val="000000" w:themeColor="text1"/>
          <w:sz w:val="24"/>
          <w:szCs w:val="21"/>
          <w:lang w:val="zh-CN"/>
        </w:rPr>
        <w:t>（适用于工程类、服务类项目）</w:t>
      </w:r>
    </w:p>
    <w:p>
      <w:pPr>
        <w:spacing w:line="360" w:lineRule="auto"/>
        <w:rPr>
          <w:bCs/>
          <w:color w:val="000000" w:themeColor="text1"/>
          <w:sz w:val="28"/>
          <w:szCs w:val="28"/>
        </w:rPr>
      </w:pPr>
      <w:r>
        <w:rPr>
          <w:rFonts w:hint="eastAsia"/>
          <w:bCs/>
          <w:color w:val="000000" w:themeColor="text1"/>
          <w:sz w:val="24"/>
          <w:szCs w:val="24"/>
        </w:rPr>
        <w:t>采购人（或采购代理公司）：</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color w:val="000000" w:themeColor="text1"/>
          <w:sz w:val="24"/>
        </w:rPr>
        <w:t>（详见“残疾人福利性单位应当满足的条件”）</w:t>
      </w:r>
      <w:r>
        <w:rPr>
          <w:rFonts w:hint="eastAsia" w:ascii="宋体" w:hAnsi="宋体" w:eastAsia="宋体" w:cs="Times New Roman"/>
          <w:color w:val="000000" w:themeColor="text1"/>
          <w:sz w:val="24"/>
          <w:szCs w:val="24"/>
        </w:rPr>
        <w:t>，且本单位参加</w:t>
      </w:r>
      <w:r>
        <w:rPr>
          <w:rFonts w:hint="eastAsia" w:ascii="宋体" w:hAnsi="宋体" w:eastAsia="宋体" w:cs="Times New Roman"/>
          <w:color w:val="000000" w:themeColor="text1"/>
          <w:sz w:val="24"/>
          <w:szCs w:val="24"/>
          <w:u w:val="single"/>
        </w:rPr>
        <w:t xml:space="preserve">  （</w:t>
      </w:r>
      <w:r>
        <w:rPr>
          <w:rFonts w:hint="eastAsia" w:ascii="Times New Roman" w:hAnsi="宋体" w:eastAsia="宋体" w:cs="Times New Roman"/>
          <w:color w:val="000000" w:themeColor="text1"/>
          <w:sz w:val="24"/>
          <w:szCs w:val="24"/>
          <w:u w:val="single"/>
        </w:rPr>
        <w:t>采购</w:t>
      </w:r>
      <w:r>
        <w:rPr>
          <w:rFonts w:hint="eastAsia" w:ascii="宋体" w:hAnsi="宋体" w:eastAsia="宋体" w:cs="Times New Roman"/>
          <w:color w:val="000000" w:themeColor="text1"/>
          <w:sz w:val="24"/>
          <w:szCs w:val="24"/>
          <w:u w:val="single"/>
        </w:rPr>
        <w:t>人）</w:t>
      </w:r>
      <w:r>
        <w:rPr>
          <w:rFonts w:hint="eastAsia" w:ascii="Times New Roman" w:hAnsi="宋体" w:eastAsia="宋体" w:cs="Times New Roman"/>
          <w:color w:val="000000" w:themeColor="text1"/>
          <w:sz w:val="24"/>
          <w:szCs w:val="24"/>
        </w:rPr>
        <w:t>的</w:t>
      </w:r>
      <w:r>
        <w:rPr>
          <w:rFonts w:hint="eastAsia" w:cs="Times New Roman" w:asciiTheme="minorEastAsia" w:hAnsiTheme="minorEastAsia"/>
          <w:color w:val="000000" w:themeColor="text1"/>
          <w:sz w:val="24"/>
          <w:szCs w:val="24"/>
          <w:u w:val="single"/>
        </w:rPr>
        <w:t>__   _</w:t>
      </w:r>
      <w:r>
        <w:rPr>
          <w:rFonts w:hint="eastAsia" w:ascii="Times New Roman" w:hAnsi="宋体" w:eastAsia="宋体" w:cs="Times New Roman"/>
          <w:color w:val="000000" w:themeColor="text1"/>
          <w:sz w:val="24"/>
          <w:szCs w:val="24"/>
        </w:rPr>
        <w:t>项目（项目编号：______）</w:t>
      </w:r>
      <w:r>
        <w:rPr>
          <w:rFonts w:hint="eastAsia" w:ascii="宋体" w:hAnsi="宋体" w:eastAsia="宋体" w:cs="Times New Roman"/>
          <w:color w:val="000000" w:themeColor="text1"/>
          <w:sz w:val="24"/>
          <w:szCs w:val="24"/>
        </w:rPr>
        <w:t>采购活动由本单位承担工程（或提供服务）。</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本单位对上述声明的真实性负责。如有虚假，将依法承担相应责任。</w:t>
      </w:r>
    </w:p>
    <w:p>
      <w:pPr>
        <w:spacing w:line="360" w:lineRule="auto"/>
        <w:rPr>
          <w:rFonts w:ascii="宋体" w:hAnsi="宋体" w:eastAsia="宋体" w:cs="Times New Roman"/>
          <w:color w:val="000000" w:themeColor="text1"/>
          <w:sz w:val="24"/>
          <w:szCs w:val="24"/>
        </w:rPr>
      </w:pPr>
    </w:p>
    <w:p>
      <w:pPr>
        <w:spacing w:line="360" w:lineRule="auto"/>
        <w:rPr>
          <w:rFonts w:ascii="宋体" w:hAnsi="宋体" w:eastAsia="宋体" w:cs="Times New Roman"/>
          <w:color w:val="000000" w:themeColor="text1"/>
          <w:sz w:val="24"/>
          <w:szCs w:val="24"/>
        </w:rPr>
      </w:pPr>
    </w:p>
    <w:p>
      <w:pPr>
        <w:spacing w:line="360" w:lineRule="auto"/>
        <w:ind w:left="1080" w:hanging="1080" w:hangingChars="450"/>
        <w:jc w:val="left"/>
        <w:rPr>
          <w:rFonts w:ascii="宋体" w:hAnsi="宋体" w:cs="Courier New"/>
          <w:color w:val="000000" w:themeColor="text1"/>
          <w:sz w:val="24"/>
          <w:szCs w:val="21"/>
        </w:rPr>
      </w:pPr>
      <w:r>
        <w:rPr>
          <w:rFonts w:hint="eastAsia" w:ascii="宋体" w:hAnsi="宋体" w:cs="Courier New"/>
          <w:color w:val="000000" w:themeColor="text1"/>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00000" w:themeColor="text1"/>
          <w:sz w:val="24"/>
          <w:szCs w:val="24"/>
        </w:rPr>
      </w:pPr>
      <w:r>
        <w:rPr>
          <w:rFonts w:hint="eastAsia" w:ascii="宋体" w:hAnsi="宋体" w:cs="Courier New"/>
          <w:color w:val="000000" w:themeColor="text1"/>
          <w:sz w:val="24"/>
          <w:szCs w:val="21"/>
        </w:rPr>
        <w:t>2、以联合体方式参与本项目投标的供应商，应由联合体双方签字盖章。</w:t>
      </w:r>
    </w:p>
    <w:p>
      <w:pPr>
        <w:spacing w:line="360" w:lineRule="auto"/>
        <w:rPr>
          <w:rFonts w:ascii="宋体" w:hAnsi="宋体" w:eastAsia="宋体" w:cs="Times New Roman"/>
          <w:color w:val="000000" w:themeColor="text1"/>
          <w:sz w:val="24"/>
          <w:szCs w:val="24"/>
        </w:rPr>
      </w:pPr>
    </w:p>
    <w:p>
      <w:pPr>
        <w:spacing w:line="360" w:lineRule="auto"/>
        <w:rPr>
          <w:rFonts w:ascii="宋体" w:hAnsi="宋体" w:eastAsia="宋体" w:cs="Times New Roman"/>
          <w:color w:val="000000" w:themeColor="text1"/>
          <w:sz w:val="24"/>
          <w:szCs w:val="24"/>
        </w:rPr>
      </w:pPr>
    </w:p>
    <w:p>
      <w:pPr>
        <w:spacing w:line="360" w:lineRule="auto"/>
        <w:ind w:firstLine="3316" w:firstLineChars="1382"/>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制造商（公章）：</w:t>
      </w:r>
    </w:p>
    <w:p>
      <w:pPr>
        <w:spacing w:line="360" w:lineRule="auto"/>
        <w:ind w:firstLine="3316" w:firstLineChars="1382"/>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投标人授权代表（签字）：</w:t>
      </w:r>
    </w:p>
    <w:p>
      <w:pPr>
        <w:spacing w:line="360" w:lineRule="auto"/>
        <w:ind w:firstLine="3316" w:firstLineChars="1382"/>
        <w:rPr>
          <w:rFonts w:ascii="Times New Roman" w:hAnsi="宋体" w:eastAsia="宋体" w:cs="Times New Roman"/>
          <w:color w:val="000000" w:themeColor="text1"/>
          <w:sz w:val="24"/>
          <w:szCs w:val="24"/>
          <w:u w:val="single"/>
        </w:rPr>
      </w:pPr>
      <w:r>
        <w:rPr>
          <w:rFonts w:hint="eastAsia" w:ascii="Times New Roman" w:hAnsi="宋体" w:eastAsia="宋体" w:cs="Times New Roman"/>
          <w:color w:val="000000" w:themeColor="text1"/>
          <w:sz w:val="24"/>
          <w:szCs w:val="24"/>
        </w:rPr>
        <w:t>日  期：</w:t>
      </w:r>
    </w:p>
    <w:p>
      <w:pPr>
        <w:spacing w:line="360" w:lineRule="auto"/>
        <w:rPr>
          <w:color w:val="000000" w:themeColor="text1"/>
        </w:rPr>
      </w:pPr>
      <w:r>
        <w:rPr>
          <w:color w:val="000000" w:themeColor="text1"/>
        </w:rPr>
        <w:br w:type="page"/>
      </w:r>
    </w:p>
    <w:p>
      <w:pPr>
        <w:spacing w:line="360" w:lineRule="auto"/>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享受政府采购支持政策的残疾人福利性单位应当同时满足以下条件：</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（一）安置的残疾人占本单位在职职工人数的比例不低于25%（含25%），并且安置的残疾人人数不少于10人（含10人）；</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（二）依法与安置的每位残疾人签订了一年以上（含一年）的劳动合同或服务协议；</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（三）为安置的每位残疾人按月足额缴纳了基本养老保险、基本医疗保险、失业保险、工伤保险和生育保险等社会保险费；</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（四）通过银行等金融机构向安置的每位残疾人，按月支付了不低于单位所在区县适用的经省级人民政府批准的月最低工资标准的工资；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color w:val="000000" w:themeColor="text1"/>
        </w:rPr>
      </w:pP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288" w:hanging="1288"/>
        <w:rPr>
          <w:rFonts w:ascii="宋体" w:hAnsi="宋体" w:eastAsia="宋体"/>
          <w:color w:val="000000" w:themeColor="text1"/>
        </w:rPr>
      </w:pPr>
      <w:bookmarkStart w:id="144" w:name="_Toc494577410"/>
      <w:bookmarkStart w:id="145" w:name="_Toc494665005"/>
      <w:bookmarkStart w:id="146" w:name="_Toc494721105"/>
      <w:bookmarkStart w:id="147" w:name="_Toc494665955"/>
      <w:bookmarkStart w:id="148" w:name="_Toc495861554"/>
      <w:bookmarkStart w:id="149" w:name="_Toc494665558"/>
      <w:bookmarkStart w:id="150" w:name="_Toc494745322"/>
      <w:bookmarkStart w:id="151" w:name="_Toc494702275"/>
      <w:r>
        <w:rPr>
          <w:rFonts w:hint="eastAsia" w:ascii="宋体" w:hAnsi="宋体" w:eastAsia="宋体"/>
          <w:color w:val="000000" w:themeColor="text1"/>
        </w:rPr>
        <w:t>开标一览表</w:t>
      </w:r>
      <w:bookmarkEnd w:id="144"/>
      <w:bookmarkEnd w:id="145"/>
      <w:bookmarkEnd w:id="146"/>
      <w:bookmarkEnd w:id="147"/>
      <w:bookmarkEnd w:id="148"/>
      <w:bookmarkEnd w:id="149"/>
      <w:bookmarkEnd w:id="150"/>
      <w:bookmarkEnd w:id="151"/>
      <w:r>
        <w:rPr>
          <w:rFonts w:hint="eastAsia" w:ascii="宋体" w:hAnsi="宋体" w:eastAsia="宋体"/>
          <w:color w:val="000000" w:themeColor="text1"/>
        </w:rPr>
        <w:t>（一包）</w:t>
      </w:r>
    </w:p>
    <w:p>
      <w:pPr>
        <w:spacing w:line="360" w:lineRule="auto"/>
        <w:jc w:val="left"/>
        <w:rPr>
          <w:rFonts w:ascii="宋体" w:hAnsi="宋体" w:eastAsia="宋体" w:cs="Times New Roman"/>
          <w:bCs/>
          <w:color w:val="000000" w:themeColor="text1"/>
          <w:sz w:val="24"/>
          <w:szCs w:val="21"/>
          <w:u w:val="single"/>
          <w:lang w:val="zh-CN"/>
        </w:rPr>
      </w:pPr>
      <w:r>
        <w:rPr>
          <w:rFonts w:hint="eastAsia" w:ascii="宋体" w:hAnsi="宋体" w:eastAsia="宋体" w:cs="Times New Roman"/>
          <w:bCs/>
          <w:color w:val="000000" w:themeColor="text1"/>
          <w:sz w:val="24"/>
          <w:szCs w:val="21"/>
          <w:lang w:val="zh-CN"/>
        </w:rPr>
        <w:t>投 标 人：</w:t>
      </w:r>
    </w:p>
    <w:p>
      <w:pPr>
        <w:spacing w:line="360" w:lineRule="auto"/>
        <w:jc w:val="left"/>
        <w:rPr>
          <w:rFonts w:ascii="宋体" w:hAnsi="宋体" w:eastAsia="宋体" w:cs="Times New Roman"/>
          <w:bCs/>
          <w:color w:val="000000" w:themeColor="text1"/>
          <w:sz w:val="24"/>
          <w:szCs w:val="21"/>
          <w:lang w:val="zh-CN"/>
        </w:rPr>
      </w:pPr>
      <w:r>
        <w:rPr>
          <w:rFonts w:hint="eastAsia" w:ascii="宋体" w:hAnsi="宋体" w:eastAsia="宋体" w:cs="Times New Roman"/>
          <w:bCs/>
          <w:color w:val="000000" w:themeColor="text1"/>
          <w:sz w:val="24"/>
          <w:szCs w:val="21"/>
          <w:lang w:val="zh-CN"/>
        </w:rPr>
        <w:t>项目名称：</w:t>
      </w:r>
    </w:p>
    <w:p>
      <w:pPr>
        <w:spacing w:line="360" w:lineRule="auto"/>
        <w:jc w:val="left"/>
        <w:rPr>
          <w:rFonts w:ascii="宋体" w:hAnsi="宋体" w:eastAsia="宋体" w:cs="Times New Roman"/>
          <w:bCs/>
          <w:color w:val="000000" w:themeColor="text1"/>
          <w:sz w:val="24"/>
          <w:szCs w:val="21"/>
          <w:u w:val="single"/>
          <w:lang w:val="zh-CN"/>
        </w:rPr>
      </w:pPr>
      <w:r>
        <w:rPr>
          <w:rFonts w:hint="eastAsia" w:ascii="宋体" w:hAnsi="宋体" w:eastAsia="宋体" w:cs="Times New Roman"/>
          <w:bCs/>
          <w:color w:val="000000" w:themeColor="text1"/>
          <w:sz w:val="24"/>
          <w:szCs w:val="21"/>
          <w:lang w:val="zh-CN"/>
        </w:rPr>
        <w:t>项目编号：                所投包号：</w:t>
      </w:r>
    </w:p>
    <w:tbl>
      <w:tblPr>
        <w:tblStyle w:val="23"/>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1348"/>
        <w:gridCol w:w="1606"/>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bCs/>
                <w:color w:val="000000" w:themeColor="text1"/>
                <w:kern w:val="0"/>
                <w:sz w:val="24"/>
              </w:rPr>
            </w:pPr>
            <w:r>
              <w:rPr>
                <w:rFonts w:hint="eastAsia" w:ascii="宋体" w:hAnsi="宋体" w:cs="宋体"/>
                <w:bCs/>
                <w:color w:val="000000" w:themeColor="text1"/>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bCs/>
                <w:color w:val="000000" w:themeColor="text1"/>
                <w:kern w:val="0"/>
                <w:sz w:val="24"/>
              </w:rPr>
            </w:pPr>
            <w:r>
              <w:rPr>
                <w:rFonts w:hint="eastAsia" w:ascii="宋体" w:hAnsi="宋体" w:cs="宋体"/>
                <w:bCs/>
                <w:color w:val="000000" w:themeColor="text1"/>
                <w:kern w:val="0"/>
                <w:sz w:val="24"/>
              </w:rPr>
              <w:t>名称</w:t>
            </w:r>
          </w:p>
        </w:tc>
        <w:tc>
          <w:tcPr>
            <w:tcW w:w="1348"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 xml:space="preserve">品 牌       </w:t>
            </w:r>
          </w:p>
        </w:tc>
        <w:tc>
          <w:tcPr>
            <w:tcW w:w="1606"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型 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bCs/>
                <w:color w:val="000000" w:themeColor="text1"/>
                <w:kern w:val="0"/>
                <w:sz w:val="24"/>
              </w:rPr>
            </w:pPr>
            <w:r>
              <w:rPr>
                <w:rFonts w:hint="eastAsia" w:ascii="宋体" w:hAnsi="宋体" w:cs="宋体"/>
                <w:bCs/>
                <w:color w:val="000000" w:themeColor="text1"/>
                <w:kern w:val="0"/>
                <w:sz w:val="24"/>
              </w:rPr>
              <w:t>数 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bCs/>
                <w:color w:val="000000" w:themeColor="text1"/>
                <w:kern w:val="0"/>
                <w:sz w:val="24"/>
              </w:rPr>
            </w:pPr>
            <w:r>
              <w:rPr>
                <w:rFonts w:hint="eastAsia" w:ascii="宋体" w:hAnsi="宋体" w:cs="宋体"/>
                <w:bCs/>
                <w:color w:val="000000" w:themeColor="text1"/>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bCs/>
                <w:color w:val="000000" w:themeColor="text1"/>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面包</w:t>
            </w:r>
          </w:p>
        </w:tc>
        <w:tc>
          <w:tcPr>
            <w:tcW w:w="1348"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firstLine="1440" w:firstLineChars="600"/>
              <w:rPr>
                <w:rFonts w:ascii="宋体" w:hAnsi="宋体" w:eastAsia="宋体" w:cs="宋体"/>
                <w:bCs/>
                <w:color w:val="000000" w:themeColor="text1"/>
                <w:kern w:val="0"/>
                <w:sz w:val="24"/>
                <w:szCs w:val="24"/>
              </w:rPr>
            </w:pPr>
            <w:r>
              <w:rPr>
                <w:bCs/>
                <w:color w:val="000000" w:themeColor="text1"/>
                <w:sz w:val="24"/>
                <w:szCs w:val="24"/>
              </w:rPr>
              <w:t>每</w:t>
            </w:r>
          </w:p>
        </w:tc>
        <w:tc>
          <w:tcPr>
            <w:tcW w:w="1606" w:type="dxa"/>
            <w:tcBorders>
              <w:top w:val="single" w:color="auto" w:sz="4" w:space="0"/>
              <w:left w:val="single" w:color="auto" w:sz="4" w:space="0"/>
              <w:bottom w:val="single" w:color="auto" w:sz="4" w:space="0"/>
              <w:right w:val="single" w:color="auto" w:sz="4" w:space="0"/>
            </w:tcBorders>
            <w:vAlign w:val="center"/>
          </w:tcPr>
          <w:p>
            <w:pPr>
              <w:spacing w:line="360" w:lineRule="auto"/>
              <w:ind w:right="-65" w:rightChars="-31" w:firstLine="240" w:firstLineChars="100"/>
              <w:rPr>
                <w:bCs/>
                <w:color w:val="000000" w:themeColor="text1"/>
                <w:sz w:val="24"/>
                <w:szCs w:val="24"/>
              </w:rPr>
            </w:pPr>
            <w:r>
              <w:rPr>
                <w:rFonts w:hint="eastAsia"/>
                <w:bCs/>
                <w:color w:val="000000" w:themeColor="text1"/>
                <w:sz w:val="24"/>
                <w:szCs w:val="24"/>
              </w:rPr>
              <w:t>每</w:t>
            </w:r>
            <w:r>
              <w:rPr>
                <w:bCs/>
                <w:color w:val="000000" w:themeColor="text1"/>
                <w:sz w:val="24"/>
                <w:szCs w:val="24"/>
              </w:rPr>
              <w:t>份≧</w:t>
            </w:r>
            <w:r>
              <w:rPr>
                <w:rFonts w:hint="eastAsia"/>
                <w:bCs/>
                <w:color w:val="000000" w:themeColor="text1"/>
                <w:sz w:val="24"/>
                <w:szCs w:val="24"/>
              </w:rPr>
              <w:t>40</w:t>
            </w:r>
            <w:r>
              <w:rPr>
                <w:bCs/>
                <w:color w:val="000000" w:themeColor="text1"/>
                <w:sz w:val="24"/>
                <w:szCs w:val="24"/>
              </w:rPr>
              <w:t>g</w:t>
            </w:r>
            <w:r>
              <w:rPr>
                <w:rFonts w:hint="eastAsia"/>
                <w:bCs/>
                <w:color w:val="000000" w:themeColor="text1"/>
                <w:sz w:val="24"/>
                <w:szCs w:val="24"/>
              </w:rPr>
              <w:t>；</w:t>
            </w: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2</w:t>
            </w: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bCs/>
                <w:color w:val="000000" w:themeColor="text1"/>
                <w:sz w:val="24"/>
                <w:szCs w:val="24"/>
              </w:rPr>
              <w:t>蛋糕</w:t>
            </w:r>
          </w:p>
        </w:tc>
        <w:tc>
          <w:tcPr>
            <w:tcW w:w="1348"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bCs/>
                <w:color w:val="000000" w:themeColor="text1"/>
                <w:sz w:val="24"/>
                <w:szCs w:val="24"/>
              </w:rPr>
              <w:t xml:space="preserve">         </w:t>
            </w:r>
          </w:p>
        </w:tc>
        <w:tc>
          <w:tcPr>
            <w:tcW w:w="1606"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bCs/>
                <w:color w:val="000000" w:themeColor="text1"/>
                <w:sz w:val="24"/>
                <w:szCs w:val="24"/>
              </w:rPr>
            </w:pPr>
            <w:r>
              <w:rPr>
                <w:rFonts w:hint="eastAsia"/>
                <w:bCs/>
                <w:color w:val="000000" w:themeColor="text1"/>
                <w:sz w:val="24"/>
                <w:szCs w:val="24"/>
              </w:rPr>
              <w:t xml:space="preserve"> 每份</w:t>
            </w:r>
            <w:r>
              <w:rPr>
                <w:bCs/>
                <w:color w:val="000000" w:themeColor="text1"/>
                <w:sz w:val="24"/>
                <w:szCs w:val="24"/>
              </w:rPr>
              <w:t>≧</w:t>
            </w:r>
            <w:r>
              <w:rPr>
                <w:rFonts w:hint="eastAsia"/>
                <w:bCs/>
                <w:color w:val="000000" w:themeColor="text1"/>
                <w:sz w:val="24"/>
                <w:szCs w:val="24"/>
              </w:rPr>
              <w:t>25</w:t>
            </w:r>
            <w:r>
              <w:rPr>
                <w:bCs/>
                <w:color w:val="000000" w:themeColor="text1"/>
                <w:sz w:val="24"/>
                <w:szCs w:val="24"/>
              </w:rPr>
              <w:t>g</w:t>
            </w: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投标单价</w:t>
            </w:r>
          </w:p>
        </w:tc>
        <w:tc>
          <w:tcPr>
            <w:tcW w:w="7839" w:type="dxa"/>
            <w:gridSpan w:val="6"/>
            <w:tcBorders>
              <w:top w:val="single" w:color="auto" w:sz="4" w:space="0"/>
              <w:left w:val="single" w:color="auto" w:sz="4" w:space="0"/>
              <w:bottom w:val="single" w:color="auto" w:sz="4" w:space="0"/>
              <w:right w:val="double" w:color="auto" w:sz="4" w:space="0"/>
            </w:tcBorders>
            <w:vAlign w:val="center"/>
          </w:tcPr>
          <w:p>
            <w:pPr>
              <w:spacing w:line="360" w:lineRule="auto"/>
              <w:ind w:left="205" w:leftChars="98" w:right="-65" w:rightChars="-31"/>
              <w:jc w:val="left"/>
              <w:rPr>
                <w:rFonts w:ascii="宋体" w:hAnsi="宋体" w:eastAsia="宋体" w:cs="宋体"/>
                <w:bCs/>
                <w:color w:val="000000" w:themeColor="text1"/>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（服务期限）</w:t>
            </w:r>
          </w:p>
        </w:tc>
        <w:tc>
          <w:tcPr>
            <w:tcW w:w="7839" w:type="dxa"/>
            <w:gridSpan w:val="6"/>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质保期</w:t>
            </w:r>
          </w:p>
        </w:tc>
        <w:tc>
          <w:tcPr>
            <w:tcW w:w="7839" w:type="dxa"/>
            <w:gridSpan w:val="6"/>
            <w:tcBorders>
              <w:top w:val="single" w:color="auto" w:sz="4" w:space="0"/>
              <w:left w:val="single" w:color="auto" w:sz="4" w:space="0"/>
              <w:bottom w:val="single" w:color="auto" w:sz="4" w:space="0"/>
              <w:right w:val="double" w:color="auto" w:sz="4" w:space="0"/>
            </w:tcBorders>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备注</w:t>
            </w:r>
          </w:p>
        </w:tc>
        <w:tc>
          <w:tcPr>
            <w:tcW w:w="7839" w:type="dxa"/>
            <w:gridSpan w:val="6"/>
            <w:tcBorders>
              <w:top w:val="single" w:color="auto" w:sz="4" w:space="0"/>
              <w:left w:val="single" w:color="auto" w:sz="4" w:space="0"/>
              <w:bottom w:val="double" w:color="auto" w:sz="4" w:space="0"/>
              <w:right w:val="double" w:color="auto" w:sz="4" w:space="0"/>
            </w:tcBorders>
            <w:vAlign w:val="center"/>
          </w:tcPr>
          <w:p>
            <w:pPr>
              <w:spacing w:line="360" w:lineRule="auto"/>
              <w:ind w:left="-48" w:leftChars="-23" w:right="-65" w:rightChars="-31"/>
              <w:jc w:val="left"/>
              <w:rPr>
                <w:rFonts w:ascii="宋体" w:hAnsi="宋体" w:eastAsia="宋体" w:cs="Times New Roman"/>
                <w:bCs/>
                <w:color w:val="000000" w:themeColor="text1"/>
                <w:sz w:val="24"/>
              </w:rPr>
            </w:pPr>
            <w:r>
              <w:rPr>
                <w:rFonts w:ascii="宋体" w:hAnsi="宋体"/>
                <w:bCs/>
                <w:color w:val="000000" w:themeColor="text1"/>
                <w:sz w:val="24"/>
              </w:rPr>
              <w:t>中小</w:t>
            </w:r>
            <w:r>
              <w:rPr>
                <w:rFonts w:hint="eastAsia" w:ascii="Times New Roman" w:hAnsi="宋体" w:eastAsia="宋体" w:cs="Times New Roman"/>
                <w:bCs/>
                <w:color w:val="000000" w:themeColor="text1"/>
                <w:sz w:val="24"/>
                <w:szCs w:val="24"/>
              </w:rPr>
              <w:t>型和微型企业、监狱企业、残疾人福利性单位价格扣除</w:t>
            </w:r>
            <w:r>
              <w:rPr>
                <w:rFonts w:hint="eastAsia" w:ascii="宋体" w:hAnsi="宋体" w:eastAsia="宋体" w:cs="Times New Roman"/>
                <w:bCs/>
                <w:color w:val="000000" w:themeColor="text1"/>
                <w:sz w:val="24"/>
              </w:rPr>
              <w:t>合计（</w:t>
            </w:r>
            <w:r>
              <w:rPr>
                <w:rFonts w:hint="eastAsia" w:ascii="宋体" w:hAnsi="宋体" w:eastAsia="宋体" w:cs="宋体"/>
                <w:bCs/>
                <w:color w:val="000000" w:themeColor="text1"/>
                <w:kern w:val="0"/>
                <w:sz w:val="24"/>
                <w:szCs w:val="24"/>
              </w:rPr>
              <w:t>大写</w:t>
            </w:r>
            <w:r>
              <w:rPr>
                <w:rFonts w:hint="eastAsia" w:ascii="宋体" w:hAnsi="宋体" w:eastAsia="宋体" w:cs="Times New Roman"/>
                <w:bCs/>
                <w:color w:val="000000" w:themeColor="text1"/>
                <w:sz w:val="24"/>
              </w:rPr>
              <w:t>）：</w:t>
            </w:r>
          </w:p>
          <w:p>
            <w:pPr>
              <w:spacing w:line="360" w:lineRule="auto"/>
              <w:ind w:left="-48" w:leftChars="-23" w:right="-65" w:rightChars="-31"/>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rPr>
              <w:t>万仟佰拾元整</w:t>
            </w:r>
            <w:r>
              <w:rPr>
                <w:rFonts w:hint="eastAsia" w:ascii="宋体" w:hAnsi="宋体" w:cs="宋体"/>
                <w:bCs/>
                <w:color w:val="000000" w:themeColor="text1"/>
                <w:kern w:val="0"/>
                <w:sz w:val="24"/>
              </w:rPr>
              <w:t>（或以联合体投标的，</w:t>
            </w:r>
            <w:r>
              <w:rPr>
                <w:rFonts w:ascii="宋体" w:hAnsi="宋体"/>
                <w:bCs/>
                <w:color w:val="000000" w:themeColor="text1"/>
                <w:sz w:val="24"/>
              </w:rPr>
              <w:t>联合协议中约定中小型、微型企业的协议合同金额占到联合体协议合同总金额的</w:t>
            </w:r>
            <w:r>
              <w:rPr>
                <w:rFonts w:hint="eastAsia" w:ascii="宋体" w:hAnsi="宋体"/>
                <w:bCs/>
                <w:color w:val="000000" w:themeColor="text1"/>
                <w:sz w:val="24"/>
              </w:rPr>
              <w:t>%）</w:t>
            </w:r>
          </w:p>
        </w:tc>
      </w:tr>
    </w:tbl>
    <w:p>
      <w:pPr>
        <w:spacing w:line="360" w:lineRule="auto"/>
        <w:ind w:left="1049" w:hanging="1048" w:hangingChars="437"/>
        <w:jc w:val="left"/>
        <w:rPr>
          <w:rFonts w:ascii="宋体" w:hAnsi="宋体"/>
          <w:bCs/>
          <w:color w:val="000000" w:themeColor="text1"/>
          <w:sz w:val="24"/>
        </w:rPr>
      </w:pPr>
      <w:r>
        <w:rPr>
          <w:rFonts w:hint="eastAsia" w:ascii="宋体" w:hAnsi="宋体"/>
          <w:bCs/>
          <w:color w:val="000000" w:themeColor="text1"/>
          <w:sz w:val="24"/>
        </w:rPr>
        <w:t>说明：1．所有价格均用人民币表示，单位为元。</w:t>
      </w:r>
    </w:p>
    <w:p>
      <w:pPr>
        <w:spacing w:line="360" w:lineRule="auto"/>
        <w:ind w:left="1061" w:leftChars="339" w:hanging="350" w:hangingChars="146"/>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3．为方便开标时唱标，投标人应另附《开标一览表》及《交纳投标保证金的银行凭证》（如有交纳保证金要求的）各一份一并</w:t>
      </w:r>
      <w:r>
        <w:rPr>
          <w:rFonts w:hint="eastAsia" w:ascii="宋体" w:hAnsi="宋体" w:eastAsia="宋体" w:cs="Times New Roman"/>
          <w:bCs/>
          <w:color w:val="000000" w:themeColor="text1"/>
          <w:spacing w:val="-6"/>
          <w:kern w:val="0"/>
          <w:sz w:val="24"/>
          <w:szCs w:val="24"/>
        </w:rPr>
        <w:t>装入一个信封，单独密封提交</w:t>
      </w:r>
      <w:r>
        <w:rPr>
          <w:rFonts w:hint="eastAsia" w:ascii="宋体" w:hAnsi="宋体" w:eastAsia="宋体" w:cs="Times New Roman"/>
          <w:bCs/>
          <w:color w:val="000000" w:themeColor="text1"/>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bCs/>
          <w:color w:val="000000" w:themeColor="text1"/>
          <w:sz w:val="24"/>
          <w:szCs w:val="20"/>
          <w:lang w:val="zh-CN"/>
        </w:rPr>
        <w:t>的采购机构拒绝其投标。</w:t>
      </w:r>
    </w:p>
    <w:p>
      <w:pPr>
        <w:spacing w:line="360" w:lineRule="auto"/>
        <w:ind w:left="1061" w:leftChars="339" w:hanging="350" w:hangingChars="146"/>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4. 本表应按要求由投标人法人授权代表签字，并加盖投标单位公章，否则将被视为非响应性投标，将按照无效投标处理。</w:t>
      </w:r>
    </w:p>
    <w:p>
      <w:pPr>
        <w:spacing w:line="360" w:lineRule="auto"/>
        <w:ind w:firstLine="3316" w:firstLineChars="1382"/>
        <w:rPr>
          <w:rFonts w:ascii="宋体" w:hAnsi="宋体" w:eastAsia="宋体" w:cs="Times New Roman"/>
          <w:bCs/>
          <w:color w:val="000000" w:themeColor="text1"/>
          <w:sz w:val="24"/>
          <w:szCs w:val="21"/>
          <w:u w:val="single"/>
          <w:lang w:val="zh-CN"/>
        </w:rPr>
      </w:pPr>
      <w:r>
        <w:rPr>
          <w:rFonts w:hint="eastAsia" w:ascii="宋体" w:hAnsi="宋体" w:eastAsia="宋体" w:cs="Times New Roman"/>
          <w:bCs/>
          <w:color w:val="000000" w:themeColor="text1"/>
          <w:sz w:val="24"/>
          <w:szCs w:val="21"/>
          <w:lang w:val="zh-CN"/>
        </w:rPr>
        <w:t>投标人（公章）：</w:t>
      </w:r>
    </w:p>
    <w:p>
      <w:pPr>
        <w:spacing w:line="360" w:lineRule="auto"/>
        <w:ind w:firstLine="3316" w:firstLineChars="1382"/>
        <w:rPr>
          <w:rFonts w:ascii="宋体" w:hAnsi="宋体" w:eastAsia="宋体" w:cs="Times New Roman"/>
          <w:bCs/>
          <w:color w:val="000000" w:themeColor="text1"/>
          <w:sz w:val="24"/>
          <w:szCs w:val="21"/>
          <w:u w:val="single"/>
          <w:lang w:val="zh-CN"/>
        </w:rPr>
      </w:pPr>
      <w:r>
        <w:rPr>
          <w:rFonts w:hint="eastAsia" w:ascii="宋体" w:hAnsi="宋体" w:eastAsia="宋体" w:cs="Times New Roman"/>
          <w:bCs/>
          <w:color w:val="000000" w:themeColor="text1"/>
          <w:sz w:val="24"/>
          <w:szCs w:val="21"/>
          <w:lang w:val="zh-CN"/>
        </w:rPr>
        <w:t>投标人授权代表（签字）：</w:t>
      </w:r>
    </w:p>
    <w:p>
      <w:pPr>
        <w:spacing w:line="360" w:lineRule="auto"/>
        <w:ind w:firstLine="3316" w:firstLineChars="1382"/>
        <w:rPr>
          <w:rFonts w:ascii="宋体" w:hAnsi="宋体" w:eastAsia="宋体" w:cs="Times New Roman"/>
          <w:bCs/>
          <w:color w:val="000000" w:themeColor="text1"/>
          <w:sz w:val="24"/>
          <w:szCs w:val="21"/>
          <w:lang w:val="zh-CN"/>
        </w:rPr>
      </w:pPr>
      <w:r>
        <w:rPr>
          <w:rFonts w:hint="eastAsia" w:ascii="宋体" w:hAnsi="宋体" w:eastAsia="宋体" w:cs="Times New Roman"/>
          <w:bCs/>
          <w:color w:val="000000" w:themeColor="text1"/>
          <w:sz w:val="24"/>
          <w:szCs w:val="21"/>
          <w:lang w:val="zh-CN"/>
        </w:rPr>
        <w:t>投标时间：</w:t>
      </w:r>
    </w:p>
    <w:p>
      <w:pPr>
        <w:pStyle w:val="5"/>
        <w:spacing w:line="360" w:lineRule="auto"/>
        <w:rPr>
          <w:rFonts w:ascii="宋体" w:hAnsi="宋体" w:eastAsia="宋体" w:cs="Times New Roman"/>
          <w:b w:val="0"/>
          <w:color w:val="000000" w:themeColor="text1"/>
          <w:sz w:val="24"/>
          <w:lang w:val="zh-CN"/>
        </w:rPr>
      </w:pPr>
    </w:p>
    <w:p>
      <w:pPr>
        <w:spacing w:line="360" w:lineRule="auto"/>
        <w:rPr>
          <w:rFonts w:ascii="宋体" w:hAnsi="宋体" w:eastAsia="宋体" w:cs="Times New Roman"/>
          <w:bCs/>
          <w:color w:val="000000" w:themeColor="text1"/>
          <w:sz w:val="24"/>
          <w:szCs w:val="21"/>
          <w:lang w:val="zh-CN"/>
        </w:rPr>
      </w:pPr>
    </w:p>
    <w:p>
      <w:pPr>
        <w:pStyle w:val="5"/>
        <w:spacing w:line="360" w:lineRule="auto"/>
        <w:rPr>
          <w:rFonts w:ascii="宋体" w:hAnsi="宋体" w:eastAsia="宋体" w:cs="Times New Roman"/>
          <w:color w:val="000000" w:themeColor="text1"/>
          <w:sz w:val="24"/>
          <w:lang w:val="zh-CN"/>
        </w:rPr>
      </w:pPr>
    </w:p>
    <w:p>
      <w:pPr>
        <w:spacing w:line="360" w:lineRule="auto"/>
        <w:rPr>
          <w:rFonts w:ascii="宋体" w:hAnsi="宋体" w:eastAsia="宋体" w:cs="Times New Roman"/>
          <w:b/>
          <w:bCs/>
          <w:color w:val="000000" w:themeColor="text1"/>
          <w:sz w:val="24"/>
          <w:szCs w:val="21"/>
          <w:lang w:val="zh-CN"/>
        </w:rPr>
      </w:pPr>
    </w:p>
    <w:p>
      <w:pPr>
        <w:spacing w:line="360" w:lineRule="auto"/>
        <w:rPr>
          <w:rFonts w:ascii="宋体" w:hAnsi="宋体" w:eastAsia="宋体"/>
          <w:color w:val="000000" w:themeColor="text1"/>
        </w:rPr>
      </w:pPr>
      <w:r>
        <w:rPr>
          <w:rFonts w:hint="eastAsia" w:ascii="宋体" w:hAnsi="宋体" w:eastAsia="宋体"/>
          <w:color w:val="000000" w:themeColor="text1"/>
        </w:rPr>
        <w:br w:type="page"/>
      </w:r>
    </w:p>
    <w:p>
      <w:pPr>
        <w:pStyle w:val="4"/>
        <w:spacing w:before="0" w:after="0" w:line="360" w:lineRule="auto"/>
        <w:rPr>
          <w:rFonts w:ascii="宋体" w:hAnsi="宋体" w:eastAsia="宋体"/>
          <w:color w:val="000000" w:themeColor="text1"/>
        </w:rPr>
      </w:pPr>
      <w:r>
        <w:rPr>
          <w:rFonts w:hint="eastAsia" w:ascii="宋体" w:hAnsi="宋体" w:eastAsia="宋体"/>
          <w:color w:val="000000" w:themeColor="text1"/>
        </w:rPr>
        <w:t>开标一览表（二包）</w:t>
      </w:r>
    </w:p>
    <w:p>
      <w:pPr>
        <w:pStyle w:val="4"/>
        <w:spacing w:before="0" w:after="0" w:line="360" w:lineRule="auto"/>
        <w:rPr>
          <w:rFonts w:ascii="宋体" w:hAnsi="宋体" w:eastAsia="宋体" w:cs="Times New Roman"/>
          <w:b w:val="0"/>
          <w:bCs w:val="0"/>
          <w:color w:val="000000" w:themeColor="text1"/>
          <w:sz w:val="24"/>
          <w:szCs w:val="21"/>
          <w:u w:val="single"/>
          <w:lang w:val="zh-CN"/>
        </w:rPr>
      </w:pPr>
      <w:r>
        <w:rPr>
          <w:rFonts w:hint="eastAsia" w:ascii="宋体" w:hAnsi="宋体" w:eastAsia="宋体" w:cs="Times New Roman"/>
          <w:b w:val="0"/>
          <w:bCs w:val="0"/>
          <w:color w:val="000000" w:themeColor="text1"/>
          <w:sz w:val="24"/>
          <w:szCs w:val="21"/>
          <w:lang w:val="zh-CN"/>
        </w:rPr>
        <w:t>投 标 人：</w:t>
      </w:r>
    </w:p>
    <w:p>
      <w:pPr>
        <w:spacing w:line="360" w:lineRule="auto"/>
        <w:jc w:val="left"/>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项目名称：</w:t>
      </w:r>
    </w:p>
    <w:p>
      <w:pPr>
        <w:spacing w:line="420" w:lineRule="exact"/>
        <w:rPr>
          <w:color w:val="000000" w:themeColor="text1"/>
          <w:sz w:val="24"/>
          <w:szCs w:val="24"/>
        </w:rPr>
      </w:pPr>
      <w:r>
        <w:rPr>
          <w:rFonts w:hint="eastAsia" w:ascii="宋体" w:hAnsi="宋体" w:eastAsia="宋体" w:cs="Times New Roman"/>
          <w:color w:val="000000" w:themeColor="text1"/>
          <w:sz w:val="24"/>
          <w:szCs w:val="21"/>
          <w:lang w:val="zh-CN"/>
        </w:rPr>
        <w:t>项目编号：                所投包号：</w:t>
      </w:r>
      <w:r>
        <w:rPr>
          <w:rFonts w:hint="eastAsia"/>
          <w:color w:val="000000" w:themeColor="text1"/>
          <w:sz w:val="24"/>
          <w:szCs w:val="24"/>
        </w:rPr>
        <w:t xml:space="preserve">  </w:t>
      </w:r>
    </w:p>
    <w:tbl>
      <w:tblPr>
        <w:tblStyle w:val="23"/>
        <w:tblpPr w:leftFromText="180" w:rightFromText="180" w:vertAnchor="text" w:horzAnchor="page" w:tblpX="941" w:tblpY="200"/>
        <w:tblOverlap w:val="never"/>
        <w:tblW w:w="97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315"/>
        <w:gridCol w:w="1485"/>
        <w:gridCol w:w="1425"/>
        <w:gridCol w:w="1665"/>
        <w:gridCol w:w="3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31" w:type="dxa"/>
            <w:tcBorders>
              <w:tl2br w:val="nil"/>
              <w:tr2bl w:val="nil"/>
            </w:tcBorders>
            <w:vAlign w:val="center"/>
          </w:tcPr>
          <w:p>
            <w:pPr>
              <w:pStyle w:val="48"/>
              <w:ind w:left="133" w:right="124"/>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序号</w:t>
            </w:r>
          </w:p>
        </w:tc>
        <w:tc>
          <w:tcPr>
            <w:tcW w:w="1315" w:type="dxa"/>
            <w:tcBorders>
              <w:tl2br w:val="nil"/>
              <w:tr2bl w:val="nil"/>
            </w:tcBorders>
            <w:vAlign w:val="center"/>
          </w:tcPr>
          <w:p>
            <w:pPr>
              <w:pStyle w:val="48"/>
              <w:ind w:right="1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品种</w:t>
            </w:r>
          </w:p>
        </w:tc>
        <w:tc>
          <w:tcPr>
            <w:tcW w:w="1485" w:type="dxa"/>
            <w:tcBorders>
              <w:tl2br w:val="nil"/>
              <w:tr2bl w:val="nil"/>
            </w:tcBorders>
            <w:vAlign w:val="center"/>
          </w:tcPr>
          <w:p>
            <w:pPr>
              <w:pStyle w:val="48"/>
              <w:ind w:right="198"/>
              <w:jc w:val="center"/>
              <w:rPr>
                <w:rFonts w:asciiTheme="minorHAnsi" w:hAnsiTheme="minorHAnsi" w:eastAsiaTheme="minorEastAsia" w:cstheme="minorBidi"/>
                <w:color w:val="000000" w:themeColor="text1"/>
                <w:kern w:val="2"/>
                <w:sz w:val="21"/>
                <w:szCs w:val="21"/>
                <w:u w:val="single"/>
              </w:rPr>
            </w:pPr>
            <w:r>
              <w:rPr>
                <w:rFonts w:hint="eastAsia" w:asciiTheme="minorHAnsi" w:hAnsiTheme="minorHAnsi" w:eastAsiaTheme="minorEastAsia" w:cstheme="minorBidi"/>
                <w:color w:val="000000" w:themeColor="text1"/>
                <w:kern w:val="2"/>
                <w:sz w:val="21"/>
                <w:szCs w:val="21"/>
              </w:rPr>
              <w:t>品牌 规格</w:t>
            </w:r>
          </w:p>
        </w:tc>
        <w:tc>
          <w:tcPr>
            <w:tcW w:w="1425" w:type="dxa"/>
            <w:tcBorders>
              <w:tl2br w:val="nil"/>
              <w:tr2bl w:val="nil"/>
            </w:tcBorders>
            <w:vAlign w:val="center"/>
          </w:tcPr>
          <w:p>
            <w:pPr>
              <w:pStyle w:val="48"/>
              <w:ind w:right="1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产地</w:t>
            </w:r>
          </w:p>
        </w:tc>
        <w:tc>
          <w:tcPr>
            <w:tcW w:w="1665" w:type="dxa"/>
            <w:tcBorders>
              <w:tl2br w:val="nil"/>
              <w:tr2bl w:val="nil"/>
            </w:tcBorders>
            <w:vAlign w:val="center"/>
          </w:tcPr>
          <w:p>
            <w:pPr>
              <w:pStyle w:val="48"/>
              <w:ind w:right="1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投标报价    下浮率</w:t>
            </w:r>
          </w:p>
        </w:tc>
        <w:tc>
          <w:tcPr>
            <w:tcW w:w="3195" w:type="dxa"/>
            <w:tcBorders>
              <w:tl2br w:val="nil"/>
              <w:tr2bl w:val="nil"/>
            </w:tcBorders>
            <w:vAlign w:val="center"/>
          </w:tcPr>
          <w:p>
            <w:pPr>
              <w:pStyle w:val="48"/>
              <w:tabs>
                <w:tab w:val="left" w:pos="595"/>
              </w:tabs>
              <w:ind w:right="1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31" w:type="dxa"/>
            <w:tcBorders>
              <w:tl2br w:val="nil"/>
              <w:tr2bl w:val="nil"/>
            </w:tcBorders>
            <w:vAlign w:val="center"/>
          </w:tcPr>
          <w:p>
            <w:pPr>
              <w:pStyle w:val="48"/>
              <w:spacing w:line="360" w:lineRule="auto"/>
              <w:ind w:right="1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1</w:t>
            </w:r>
          </w:p>
        </w:tc>
        <w:tc>
          <w:tcPr>
            <w:tcW w:w="1315" w:type="dxa"/>
            <w:tcBorders>
              <w:tl2br w:val="nil"/>
              <w:tr2bl w:val="nil"/>
            </w:tcBorders>
            <w:vAlign w:val="center"/>
          </w:tcPr>
          <w:p>
            <w:pPr>
              <w:pStyle w:val="48"/>
              <w:spacing w:line="360" w:lineRule="auto"/>
              <w:ind w:right="1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生鲜黄牛肉</w:t>
            </w:r>
          </w:p>
        </w:tc>
        <w:tc>
          <w:tcPr>
            <w:tcW w:w="1485" w:type="dxa"/>
            <w:tcBorders>
              <w:tl2br w:val="nil"/>
              <w:tr2bl w:val="nil"/>
            </w:tcBorders>
            <w:vAlign w:val="center"/>
          </w:tcPr>
          <w:p>
            <w:pPr>
              <w:pStyle w:val="48"/>
              <w:spacing w:line="360" w:lineRule="auto"/>
              <w:ind w:right="198"/>
              <w:jc w:val="center"/>
              <w:rPr>
                <w:rFonts w:asciiTheme="minorHAnsi" w:hAnsiTheme="minorHAnsi" w:eastAsiaTheme="minorEastAsia" w:cstheme="minorBidi"/>
                <w:color w:val="000000" w:themeColor="text1"/>
                <w:kern w:val="2"/>
                <w:sz w:val="21"/>
                <w:szCs w:val="21"/>
              </w:rPr>
            </w:pPr>
          </w:p>
        </w:tc>
        <w:tc>
          <w:tcPr>
            <w:tcW w:w="1425" w:type="dxa"/>
            <w:tcBorders>
              <w:tl2br w:val="nil"/>
              <w:tr2bl w:val="nil"/>
            </w:tcBorders>
            <w:vAlign w:val="center"/>
          </w:tcPr>
          <w:p>
            <w:pPr>
              <w:pStyle w:val="48"/>
              <w:spacing w:line="360" w:lineRule="auto"/>
              <w:ind w:right="198"/>
              <w:jc w:val="center"/>
              <w:rPr>
                <w:rFonts w:asciiTheme="minorHAnsi" w:hAnsiTheme="minorHAnsi" w:eastAsiaTheme="minorEastAsia" w:cstheme="minorBidi"/>
                <w:color w:val="000000" w:themeColor="text1"/>
                <w:kern w:val="2"/>
                <w:sz w:val="21"/>
                <w:szCs w:val="21"/>
              </w:rPr>
            </w:pPr>
          </w:p>
        </w:tc>
        <w:tc>
          <w:tcPr>
            <w:tcW w:w="1665" w:type="dxa"/>
            <w:tcBorders>
              <w:tl2br w:val="nil"/>
              <w:tr2bl w:val="nil"/>
            </w:tcBorders>
            <w:vAlign w:val="center"/>
          </w:tcPr>
          <w:p>
            <w:pPr>
              <w:pStyle w:val="48"/>
              <w:spacing w:line="360" w:lineRule="auto"/>
              <w:ind w:right="198"/>
              <w:jc w:val="center"/>
              <w:rPr>
                <w:rFonts w:asciiTheme="minorHAnsi" w:hAnsiTheme="minorHAnsi" w:eastAsiaTheme="minorEastAsia" w:cstheme="minorBidi"/>
                <w:color w:val="000000" w:themeColor="text1"/>
                <w:kern w:val="2"/>
                <w:sz w:val="21"/>
                <w:szCs w:val="21"/>
              </w:rPr>
            </w:pPr>
          </w:p>
        </w:tc>
        <w:tc>
          <w:tcPr>
            <w:tcW w:w="3195" w:type="dxa"/>
            <w:vMerge w:val="restart"/>
            <w:tcBorders>
              <w:tl2br w:val="nil"/>
              <w:tr2bl w:val="nil"/>
            </w:tcBorders>
            <w:vAlign w:val="center"/>
          </w:tcPr>
          <w:p>
            <w:pPr>
              <w:pStyle w:val="48"/>
              <w:spacing w:line="360" w:lineRule="auto"/>
              <w:ind w:right="1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三种食材按2元/生/天标准进行合理搭配供货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trPr>
        <w:tc>
          <w:tcPr>
            <w:tcW w:w="631" w:type="dxa"/>
            <w:tcBorders>
              <w:tl2br w:val="nil"/>
              <w:tr2bl w:val="nil"/>
            </w:tcBorders>
            <w:vAlign w:val="center"/>
          </w:tcPr>
          <w:p>
            <w:pPr>
              <w:pStyle w:val="48"/>
              <w:spacing w:line="360" w:lineRule="auto"/>
              <w:ind w:right="198"/>
              <w:jc w:val="both"/>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 xml:space="preserve"> 2</w:t>
            </w:r>
          </w:p>
        </w:tc>
        <w:tc>
          <w:tcPr>
            <w:tcW w:w="1315" w:type="dxa"/>
            <w:tcBorders>
              <w:tl2br w:val="nil"/>
              <w:tr2bl w:val="nil"/>
            </w:tcBorders>
            <w:vAlign w:val="center"/>
          </w:tcPr>
          <w:p>
            <w:pPr>
              <w:pStyle w:val="48"/>
              <w:spacing w:line="360" w:lineRule="auto"/>
              <w:ind w:right="198"/>
              <w:jc w:val="both"/>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生鲜猪肋骨</w:t>
            </w:r>
          </w:p>
        </w:tc>
        <w:tc>
          <w:tcPr>
            <w:tcW w:w="1485" w:type="dxa"/>
            <w:tcBorders>
              <w:tl2br w:val="nil"/>
              <w:tr2bl w:val="nil"/>
            </w:tcBorders>
            <w:vAlign w:val="center"/>
          </w:tcPr>
          <w:p>
            <w:pPr>
              <w:pStyle w:val="48"/>
              <w:spacing w:line="360" w:lineRule="auto"/>
              <w:ind w:right="953"/>
              <w:jc w:val="both"/>
              <w:rPr>
                <w:rFonts w:asciiTheme="minorHAnsi" w:hAnsiTheme="minorHAnsi" w:eastAsiaTheme="minorEastAsia" w:cstheme="minorBidi"/>
                <w:color w:val="000000" w:themeColor="text1"/>
                <w:kern w:val="2"/>
                <w:sz w:val="21"/>
                <w:szCs w:val="21"/>
              </w:rPr>
            </w:pPr>
          </w:p>
        </w:tc>
        <w:tc>
          <w:tcPr>
            <w:tcW w:w="1425" w:type="dxa"/>
            <w:tcBorders>
              <w:tl2br w:val="nil"/>
              <w:tr2bl w:val="nil"/>
            </w:tcBorders>
            <w:vAlign w:val="center"/>
          </w:tcPr>
          <w:p>
            <w:pPr>
              <w:pStyle w:val="48"/>
              <w:spacing w:line="360" w:lineRule="auto"/>
              <w:ind w:right="205"/>
              <w:jc w:val="center"/>
              <w:rPr>
                <w:rFonts w:asciiTheme="minorHAnsi" w:hAnsiTheme="minorHAnsi" w:eastAsiaTheme="minorEastAsia" w:cstheme="minorBidi"/>
                <w:color w:val="000000" w:themeColor="text1"/>
                <w:kern w:val="2"/>
                <w:sz w:val="21"/>
                <w:szCs w:val="21"/>
              </w:rPr>
            </w:pPr>
          </w:p>
        </w:tc>
        <w:tc>
          <w:tcPr>
            <w:tcW w:w="1665" w:type="dxa"/>
            <w:tcBorders>
              <w:tl2br w:val="nil"/>
              <w:tr2bl w:val="nil"/>
            </w:tcBorders>
            <w:vAlign w:val="center"/>
          </w:tcPr>
          <w:p>
            <w:pPr>
              <w:pStyle w:val="48"/>
              <w:spacing w:line="360" w:lineRule="auto"/>
              <w:ind w:right="953"/>
              <w:jc w:val="both"/>
              <w:rPr>
                <w:rFonts w:asciiTheme="minorHAnsi" w:hAnsiTheme="minorHAnsi" w:eastAsiaTheme="minorEastAsia" w:cstheme="minorBidi"/>
                <w:color w:val="000000" w:themeColor="text1"/>
                <w:kern w:val="2"/>
                <w:sz w:val="21"/>
                <w:szCs w:val="21"/>
              </w:rPr>
            </w:pPr>
          </w:p>
        </w:tc>
        <w:tc>
          <w:tcPr>
            <w:tcW w:w="3195" w:type="dxa"/>
            <w:vMerge w:val="continue"/>
            <w:tcBorders>
              <w:tl2br w:val="nil"/>
              <w:tr2bl w:val="nil"/>
            </w:tcBorders>
            <w:vAlign w:val="center"/>
          </w:tcPr>
          <w:p>
            <w:pPr>
              <w:pStyle w:val="48"/>
              <w:spacing w:line="360" w:lineRule="auto"/>
              <w:ind w:right="953"/>
              <w:jc w:val="center"/>
              <w:rPr>
                <w:rFonts w:asciiTheme="minorHAnsi" w:hAnsiTheme="minorHAnsi" w:eastAsiaTheme="minorEastAsia" w:cstheme="minorBidi"/>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31" w:type="dxa"/>
            <w:tcBorders>
              <w:tl2br w:val="nil"/>
              <w:tr2bl w:val="nil"/>
            </w:tcBorders>
          </w:tcPr>
          <w:p>
            <w:pPr>
              <w:pStyle w:val="48"/>
              <w:spacing w:line="360" w:lineRule="auto"/>
              <w:ind w:right="1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3</w:t>
            </w:r>
          </w:p>
        </w:tc>
        <w:tc>
          <w:tcPr>
            <w:tcW w:w="1315" w:type="dxa"/>
            <w:tcBorders>
              <w:tl2br w:val="nil"/>
              <w:tr2bl w:val="nil"/>
            </w:tcBorders>
            <w:vAlign w:val="center"/>
          </w:tcPr>
          <w:p>
            <w:pPr>
              <w:pStyle w:val="48"/>
              <w:spacing w:line="360" w:lineRule="auto"/>
              <w:ind w:right="198"/>
              <w:jc w:val="center"/>
              <w:rPr>
                <w:rFonts w:asciiTheme="minorHAnsi" w:hAnsiTheme="minorHAnsi" w:eastAsiaTheme="minorEastAsia" w:cstheme="minorBidi"/>
                <w:color w:val="000000" w:themeColor="text1"/>
                <w:kern w:val="2"/>
                <w:sz w:val="21"/>
                <w:szCs w:val="21"/>
              </w:rPr>
            </w:pPr>
            <w:r>
              <w:rPr>
                <w:rFonts w:hint="eastAsia" w:asciiTheme="minorHAnsi" w:hAnsiTheme="minorHAnsi" w:eastAsiaTheme="minorEastAsia" w:cstheme="minorBidi"/>
                <w:color w:val="000000" w:themeColor="text1"/>
                <w:kern w:val="2"/>
                <w:sz w:val="21"/>
                <w:szCs w:val="21"/>
              </w:rPr>
              <w:t>冷冻鸡肉</w:t>
            </w:r>
          </w:p>
        </w:tc>
        <w:tc>
          <w:tcPr>
            <w:tcW w:w="1485" w:type="dxa"/>
            <w:tcBorders>
              <w:tl2br w:val="nil"/>
              <w:tr2bl w:val="nil"/>
            </w:tcBorders>
            <w:vAlign w:val="center"/>
          </w:tcPr>
          <w:p>
            <w:pPr>
              <w:pStyle w:val="48"/>
              <w:spacing w:line="360" w:lineRule="auto"/>
              <w:ind w:right="470"/>
              <w:jc w:val="center"/>
              <w:rPr>
                <w:rFonts w:asciiTheme="minorHAnsi" w:hAnsiTheme="minorHAnsi" w:eastAsiaTheme="minorEastAsia" w:cstheme="minorBidi"/>
                <w:color w:val="000000" w:themeColor="text1"/>
                <w:kern w:val="2"/>
                <w:sz w:val="21"/>
                <w:szCs w:val="21"/>
              </w:rPr>
            </w:pPr>
          </w:p>
        </w:tc>
        <w:tc>
          <w:tcPr>
            <w:tcW w:w="1425" w:type="dxa"/>
            <w:tcBorders>
              <w:tl2br w:val="nil"/>
              <w:tr2bl w:val="nil"/>
            </w:tcBorders>
            <w:vAlign w:val="center"/>
          </w:tcPr>
          <w:p>
            <w:pPr>
              <w:pStyle w:val="48"/>
              <w:spacing w:line="360" w:lineRule="auto"/>
              <w:ind w:right="205"/>
              <w:jc w:val="center"/>
              <w:rPr>
                <w:rFonts w:asciiTheme="minorHAnsi" w:hAnsiTheme="minorHAnsi" w:eastAsiaTheme="minorEastAsia" w:cstheme="minorBidi"/>
                <w:color w:val="000000" w:themeColor="text1"/>
                <w:kern w:val="2"/>
                <w:sz w:val="21"/>
                <w:szCs w:val="21"/>
              </w:rPr>
            </w:pPr>
          </w:p>
        </w:tc>
        <w:tc>
          <w:tcPr>
            <w:tcW w:w="1665" w:type="dxa"/>
            <w:tcBorders>
              <w:tl2br w:val="nil"/>
              <w:tr2bl w:val="nil"/>
            </w:tcBorders>
            <w:vAlign w:val="center"/>
          </w:tcPr>
          <w:p>
            <w:pPr>
              <w:pStyle w:val="48"/>
              <w:spacing w:line="360" w:lineRule="auto"/>
              <w:ind w:right="470"/>
              <w:jc w:val="center"/>
              <w:rPr>
                <w:rFonts w:asciiTheme="minorHAnsi" w:hAnsiTheme="minorHAnsi" w:eastAsiaTheme="minorEastAsia" w:cstheme="minorBidi"/>
                <w:color w:val="000000" w:themeColor="text1"/>
                <w:kern w:val="2"/>
                <w:sz w:val="21"/>
                <w:szCs w:val="21"/>
              </w:rPr>
            </w:pPr>
          </w:p>
        </w:tc>
        <w:tc>
          <w:tcPr>
            <w:tcW w:w="3195" w:type="dxa"/>
            <w:vMerge w:val="continue"/>
            <w:tcBorders>
              <w:tl2br w:val="nil"/>
              <w:tr2bl w:val="nil"/>
            </w:tcBorders>
            <w:vAlign w:val="center"/>
          </w:tcPr>
          <w:p>
            <w:pPr>
              <w:pStyle w:val="48"/>
              <w:spacing w:line="360" w:lineRule="auto"/>
              <w:ind w:right="953"/>
              <w:jc w:val="center"/>
              <w:rPr>
                <w:rFonts w:asciiTheme="minorHAnsi" w:hAnsiTheme="minorHAnsi" w:eastAsiaTheme="minorEastAsia" w:cstheme="minorBidi"/>
                <w:color w:val="000000" w:themeColor="text1"/>
                <w:kern w:val="2"/>
                <w:sz w:val="21"/>
                <w:szCs w:val="21"/>
              </w:rPr>
            </w:pPr>
          </w:p>
        </w:tc>
      </w:tr>
    </w:tbl>
    <w:p>
      <w:pPr>
        <w:spacing w:line="360" w:lineRule="auto"/>
        <w:ind w:firstLine="480" w:firstLineChars="200"/>
        <w:jc w:val="left"/>
        <w:rPr>
          <w:rFonts w:ascii="宋体" w:hAnsi="宋体" w:eastAsia="宋体" w:cs="Times New Roman"/>
          <w:b/>
          <w:bCs/>
          <w:color w:val="000000" w:themeColor="text1"/>
          <w:sz w:val="24"/>
          <w:szCs w:val="21"/>
          <w:lang w:val="zh-CN"/>
        </w:rPr>
      </w:pPr>
    </w:p>
    <w:p>
      <w:pPr>
        <w:spacing w:line="360" w:lineRule="auto"/>
        <w:rPr>
          <w:color w:val="000000" w:themeColor="text1"/>
          <w:sz w:val="24"/>
          <w:szCs w:val="24"/>
        </w:rPr>
      </w:pPr>
    </w:p>
    <w:p>
      <w:pPr>
        <w:spacing w:line="360" w:lineRule="auto"/>
        <w:ind w:left="1049" w:hanging="1048" w:hangingChars="437"/>
        <w:jc w:val="left"/>
        <w:rPr>
          <w:rFonts w:ascii="宋体" w:hAnsi="宋体"/>
          <w:color w:val="000000" w:themeColor="text1"/>
          <w:sz w:val="24"/>
        </w:rPr>
      </w:pPr>
      <w:r>
        <w:rPr>
          <w:rFonts w:hint="eastAsia" w:ascii="宋体" w:hAnsi="宋体"/>
          <w:color w:val="000000" w:themeColor="text1"/>
          <w:sz w:val="24"/>
        </w:rPr>
        <w:t>说明：1．所有价格均用人民币表示，单位为元。</w:t>
      </w:r>
    </w:p>
    <w:p>
      <w:pPr>
        <w:spacing w:line="360" w:lineRule="auto"/>
        <w:ind w:left="1061" w:leftChars="339" w:hanging="350" w:hangingChars="146"/>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000000" w:themeColor="text1"/>
          <w:sz w:val="24"/>
          <w:szCs w:val="24"/>
        </w:rPr>
      </w:pPr>
      <w:r>
        <w:rPr>
          <w:rFonts w:hint="eastAsia" w:ascii="宋体" w:hAnsi="宋体" w:eastAsia="宋体" w:cs="Times New Roman"/>
          <w:color w:val="000000" w:themeColor="text1"/>
          <w:sz w:val="24"/>
          <w:szCs w:val="24"/>
        </w:rPr>
        <w:t>3．为方便开标时唱标，投标人应另附《开标一览表》及《交纳投标保证金的银行凭证》（如有交纳保证金要求的）各一份一并</w:t>
      </w:r>
      <w:r>
        <w:rPr>
          <w:rFonts w:hint="eastAsia" w:ascii="宋体" w:hAnsi="宋体" w:eastAsia="宋体" w:cs="Times New Roman"/>
          <w:color w:val="000000" w:themeColor="text1"/>
          <w:spacing w:val="-6"/>
          <w:kern w:val="0"/>
          <w:sz w:val="24"/>
          <w:szCs w:val="24"/>
        </w:rPr>
        <w:t>装入一个信封，单独密封提交</w:t>
      </w:r>
      <w:r>
        <w:rPr>
          <w:rFonts w:hint="eastAsia" w:ascii="宋体" w:hAnsi="宋体" w:eastAsia="宋体" w:cs="Times New Roman"/>
          <w:color w:val="000000" w:themeColor="text1"/>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color w:val="000000" w:themeColor="text1"/>
          <w:sz w:val="24"/>
          <w:szCs w:val="20"/>
          <w:lang w:val="zh-CN"/>
        </w:rPr>
        <w:t>的采购机构</w:t>
      </w:r>
      <w:r>
        <w:rPr>
          <w:rFonts w:hint="eastAsia" w:ascii="宋体" w:hAnsi="宋体" w:eastAsia="宋体" w:cs="Times New Roman"/>
          <w:b/>
          <w:color w:val="000000" w:themeColor="text1"/>
          <w:sz w:val="24"/>
          <w:szCs w:val="20"/>
          <w:lang w:val="zh-CN"/>
        </w:rPr>
        <w:t>拒绝</w:t>
      </w:r>
      <w:r>
        <w:rPr>
          <w:rFonts w:hint="eastAsia" w:ascii="宋体" w:hAnsi="宋体" w:eastAsia="宋体" w:cs="Times New Roman"/>
          <w:color w:val="000000" w:themeColor="text1"/>
          <w:sz w:val="24"/>
          <w:szCs w:val="20"/>
          <w:lang w:val="zh-CN"/>
        </w:rPr>
        <w:t>其投标。</w:t>
      </w:r>
    </w:p>
    <w:p>
      <w:pPr>
        <w:spacing w:line="360" w:lineRule="auto"/>
        <w:ind w:left="1061" w:leftChars="339" w:hanging="350" w:hangingChars="146"/>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 本表应按要求由投标人法人授权代表签字，并加盖投标单位公章，否则将被视为非响应性投标，将按照</w:t>
      </w:r>
      <w:r>
        <w:rPr>
          <w:rFonts w:hint="eastAsia" w:ascii="宋体" w:hAnsi="宋体" w:eastAsia="宋体" w:cs="Times New Roman"/>
          <w:b/>
          <w:color w:val="000000" w:themeColor="text1"/>
          <w:sz w:val="24"/>
          <w:szCs w:val="24"/>
        </w:rPr>
        <w:t>无效投标处理</w:t>
      </w:r>
      <w:r>
        <w:rPr>
          <w:rFonts w:hint="eastAsia" w:ascii="宋体" w:hAnsi="宋体" w:eastAsia="宋体" w:cs="Times New Roman"/>
          <w:color w:val="000000" w:themeColor="text1"/>
          <w:sz w:val="24"/>
          <w:szCs w:val="24"/>
        </w:rPr>
        <w:t>。</w:t>
      </w:r>
    </w:p>
    <w:p>
      <w:pPr>
        <w:spacing w:line="360" w:lineRule="auto"/>
        <w:ind w:firstLine="3316" w:firstLineChars="1382"/>
        <w:rPr>
          <w:rFonts w:ascii="宋体" w:hAnsi="宋体" w:eastAsia="宋体" w:cs="Times New Roman"/>
          <w:b/>
          <w:bCs/>
          <w:color w:val="000000" w:themeColor="text1"/>
          <w:sz w:val="24"/>
          <w:szCs w:val="21"/>
          <w:lang w:val="zh-CN"/>
        </w:rPr>
      </w:pPr>
    </w:p>
    <w:p>
      <w:pPr>
        <w:spacing w:line="360" w:lineRule="auto"/>
        <w:ind w:firstLine="3316" w:firstLineChars="1382"/>
        <w:rPr>
          <w:rFonts w:ascii="宋体" w:hAnsi="宋体" w:eastAsia="宋体" w:cs="Times New Roman"/>
          <w:b/>
          <w:bCs/>
          <w:color w:val="000000" w:themeColor="text1"/>
          <w:sz w:val="24"/>
          <w:szCs w:val="21"/>
          <w:lang w:val="zh-CN"/>
        </w:rPr>
      </w:pPr>
    </w:p>
    <w:p>
      <w:pPr>
        <w:spacing w:line="360" w:lineRule="auto"/>
        <w:ind w:firstLine="3316" w:firstLineChars="1382"/>
        <w:rPr>
          <w:rFonts w:ascii="宋体" w:hAnsi="宋体" w:eastAsia="宋体" w:cs="Times New Roman"/>
          <w:color w:val="000000" w:themeColor="text1"/>
          <w:sz w:val="24"/>
          <w:szCs w:val="21"/>
          <w:u w:val="single"/>
          <w:lang w:val="zh-CN"/>
        </w:rPr>
      </w:pPr>
      <w:r>
        <w:rPr>
          <w:rFonts w:hint="eastAsia" w:ascii="宋体" w:hAnsi="宋体" w:eastAsia="宋体" w:cs="Times New Roman"/>
          <w:color w:val="000000" w:themeColor="text1"/>
          <w:sz w:val="24"/>
          <w:szCs w:val="21"/>
          <w:lang w:val="zh-CN"/>
        </w:rPr>
        <w:t>投标人（公章）：</w:t>
      </w:r>
    </w:p>
    <w:p>
      <w:pPr>
        <w:spacing w:line="360" w:lineRule="auto"/>
        <w:ind w:firstLine="3316" w:firstLineChars="1382"/>
        <w:rPr>
          <w:rFonts w:ascii="宋体" w:hAnsi="宋体" w:eastAsia="宋体" w:cs="Times New Roman"/>
          <w:color w:val="000000" w:themeColor="text1"/>
          <w:sz w:val="24"/>
          <w:szCs w:val="21"/>
          <w:u w:val="single"/>
          <w:lang w:val="zh-CN"/>
        </w:rPr>
      </w:pPr>
      <w:r>
        <w:rPr>
          <w:rFonts w:hint="eastAsia" w:ascii="宋体" w:hAnsi="宋体" w:eastAsia="宋体" w:cs="Times New Roman"/>
          <w:color w:val="000000" w:themeColor="text1"/>
          <w:sz w:val="24"/>
          <w:szCs w:val="21"/>
          <w:lang w:val="zh-CN"/>
        </w:rPr>
        <w:t>投标人授权代表（签字）：</w:t>
      </w:r>
    </w:p>
    <w:p>
      <w:pPr>
        <w:spacing w:line="360" w:lineRule="auto"/>
        <w:ind w:firstLine="3316" w:firstLineChars="1382"/>
        <w:rPr>
          <w:rFonts w:ascii="宋体" w:hAnsi="宋体" w:eastAsia="宋体" w:cs="Times New Roman"/>
          <w:color w:val="000000" w:themeColor="text1"/>
          <w:sz w:val="24"/>
          <w:szCs w:val="21"/>
          <w:lang w:val="zh-CN"/>
        </w:rPr>
      </w:pPr>
      <w:r>
        <w:rPr>
          <w:rFonts w:hint="eastAsia" w:ascii="宋体" w:hAnsi="宋体" w:eastAsia="宋体" w:cs="Times New Roman"/>
          <w:color w:val="000000" w:themeColor="text1"/>
          <w:sz w:val="24"/>
          <w:szCs w:val="21"/>
          <w:lang w:val="zh-CN"/>
        </w:rPr>
        <w:t>投标时间：</w:t>
      </w:r>
    </w:p>
    <w:p>
      <w:pPr>
        <w:spacing w:line="360" w:lineRule="auto"/>
        <w:rPr>
          <w:color w:val="000000" w:themeColor="text1"/>
        </w:rPr>
      </w:pPr>
      <w:r>
        <w:rPr>
          <w:color w:val="000000" w:themeColor="text1"/>
        </w:rPr>
        <w:br w:type="page"/>
      </w:r>
    </w:p>
    <w:p>
      <w:pPr>
        <w:pStyle w:val="4"/>
        <w:spacing w:before="0" w:after="0" w:line="360" w:lineRule="auto"/>
        <w:rPr>
          <w:rFonts w:ascii="宋体" w:hAnsi="宋体" w:eastAsia="宋体"/>
          <w:color w:val="000000" w:themeColor="text1"/>
        </w:rPr>
      </w:pPr>
      <w:bookmarkStart w:id="152" w:name="_Toc494665956"/>
      <w:bookmarkStart w:id="153" w:name="_Toc494577411"/>
      <w:bookmarkStart w:id="154" w:name="_Toc494702276"/>
      <w:bookmarkStart w:id="155" w:name="_Toc494665006"/>
      <w:bookmarkStart w:id="156" w:name="_Toc495861555"/>
      <w:bookmarkStart w:id="157" w:name="_Toc494745323"/>
      <w:bookmarkStart w:id="158" w:name="_Toc494665559"/>
      <w:bookmarkStart w:id="159" w:name="_Toc494721106"/>
      <w:r>
        <w:rPr>
          <w:rFonts w:hint="eastAsia" w:ascii="宋体" w:hAnsi="宋体" w:eastAsia="宋体"/>
          <w:color w:val="000000" w:themeColor="text1"/>
        </w:rPr>
        <w:t>开标一览表（三包）</w:t>
      </w:r>
    </w:p>
    <w:p>
      <w:pPr>
        <w:spacing w:line="360" w:lineRule="auto"/>
        <w:jc w:val="left"/>
        <w:rPr>
          <w:rFonts w:ascii="宋体" w:hAnsi="宋体" w:eastAsia="宋体" w:cs="Times New Roman"/>
          <w:bCs/>
          <w:color w:val="000000" w:themeColor="text1"/>
          <w:sz w:val="24"/>
          <w:szCs w:val="21"/>
          <w:u w:val="single"/>
          <w:lang w:val="zh-CN"/>
        </w:rPr>
      </w:pPr>
      <w:r>
        <w:rPr>
          <w:rFonts w:hint="eastAsia" w:ascii="宋体" w:hAnsi="宋体" w:eastAsia="宋体" w:cs="Times New Roman"/>
          <w:b/>
          <w:bCs/>
          <w:color w:val="000000" w:themeColor="text1"/>
          <w:sz w:val="24"/>
          <w:szCs w:val="21"/>
        </w:rPr>
        <w:t xml:space="preserve">  </w:t>
      </w:r>
      <w:r>
        <w:rPr>
          <w:rFonts w:hint="eastAsia" w:ascii="宋体" w:hAnsi="宋体" w:eastAsia="宋体" w:cs="Times New Roman"/>
          <w:bCs/>
          <w:color w:val="000000" w:themeColor="text1"/>
          <w:sz w:val="24"/>
          <w:szCs w:val="21"/>
          <w:lang w:val="zh-CN"/>
        </w:rPr>
        <w:t>投 标 人：</w:t>
      </w:r>
    </w:p>
    <w:p>
      <w:pPr>
        <w:spacing w:line="360" w:lineRule="auto"/>
        <w:ind w:firstLine="240" w:firstLineChars="100"/>
        <w:jc w:val="left"/>
        <w:rPr>
          <w:rFonts w:ascii="宋体" w:hAnsi="宋体" w:eastAsia="宋体" w:cs="Times New Roman"/>
          <w:bCs/>
          <w:color w:val="000000" w:themeColor="text1"/>
          <w:sz w:val="24"/>
          <w:szCs w:val="21"/>
          <w:lang w:val="zh-CN"/>
        </w:rPr>
      </w:pPr>
      <w:r>
        <w:rPr>
          <w:rFonts w:hint="eastAsia" w:ascii="宋体" w:hAnsi="宋体" w:eastAsia="宋体" w:cs="Times New Roman"/>
          <w:bCs/>
          <w:color w:val="000000" w:themeColor="text1"/>
          <w:sz w:val="24"/>
          <w:szCs w:val="21"/>
          <w:lang w:val="zh-CN"/>
        </w:rPr>
        <w:t>项目名称：</w:t>
      </w:r>
    </w:p>
    <w:p>
      <w:pPr>
        <w:spacing w:line="360" w:lineRule="auto"/>
        <w:ind w:firstLine="240" w:firstLineChars="100"/>
        <w:jc w:val="left"/>
        <w:rPr>
          <w:rFonts w:ascii="宋体" w:hAnsi="宋体" w:eastAsia="宋体" w:cs="Times New Roman"/>
          <w:bCs/>
          <w:color w:val="000000" w:themeColor="text1"/>
          <w:sz w:val="24"/>
          <w:szCs w:val="21"/>
          <w:lang w:val="zh-CN"/>
        </w:rPr>
      </w:pPr>
      <w:r>
        <w:rPr>
          <w:rFonts w:hint="eastAsia" w:ascii="宋体" w:hAnsi="宋体" w:eastAsia="宋体" w:cs="Times New Roman"/>
          <w:bCs/>
          <w:color w:val="000000" w:themeColor="text1"/>
          <w:sz w:val="24"/>
          <w:szCs w:val="21"/>
          <w:lang w:val="zh-CN"/>
        </w:rPr>
        <w:t>项目编号：                所投包号：</w:t>
      </w:r>
    </w:p>
    <w:tbl>
      <w:tblPr>
        <w:tblStyle w:val="23"/>
        <w:tblpPr w:leftFromText="180" w:rightFromText="180" w:vertAnchor="text" w:horzAnchor="page" w:tblpX="1427" w:tblpY="103"/>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540"/>
        <w:gridCol w:w="1938"/>
        <w:gridCol w:w="1503"/>
        <w:gridCol w:w="1500"/>
        <w:gridCol w:w="1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054" w:type="dxa"/>
            <w:vAlign w:val="center"/>
          </w:tcPr>
          <w:p>
            <w:pPr>
              <w:pStyle w:val="48"/>
              <w:spacing w:line="360" w:lineRule="auto"/>
              <w:ind w:left="133" w:right="124"/>
              <w:jc w:val="center"/>
              <w:rPr>
                <w:rFonts w:asciiTheme="minorHAnsi" w:hAnsiTheme="minorHAnsi" w:eastAsiaTheme="minorEastAsia" w:cstheme="minorBidi"/>
                <w:bCs/>
                <w:color w:val="000000" w:themeColor="text1"/>
                <w:kern w:val="2"/>
                <w:sz w:val="21"/>
                <w:szCs w:val="21"/>
              </w:rPr>
            </w:pPr>
            <w:r>
              <w:rPr>
                <w:rFonts w:hint="eastAsia" w:asciiTheme="minorHAnsi" w:hAnsiTheme="minorHAnsi" w:eastAsiaTheme="minorEastAsia" w:cstheme="minorBidi"/>
                <w:bCs/>
                <w:color w:val="000000" w:themeColor="text1"/>
                <w:kern w:val="2"/>
                <w:sz w:val="21"/>
                <w:szCs w:val="21"/>
              </w:rPr>
              <w:t>种类</w:t>
            </w:r>
          </w:p>
        </w:tc>
        <w:tc>
          <w:tcPr>
            <w:tcW w:w="1540" w:type="dxa"/>
            <w:vAlign w:val="center"/>
          </w:tcPr>
          <w:p>
            <w:pPr>
              <w:pStyle w:val="48"/>
              <w:spacing w:line="360" w:lineRule="auto"/>
              <w:ind w:left="133" w:right="124"/>
              <w:jc w:val="center"/>
              <w:rPr>
                <w:rFonts w:asciiTheme="minorHAnsi" w:hAnsiTheme="minorHAnsi" w:eastAsiaTheme="minorEastAsia" w:cstheme="minorBidi"/>
                <w:bCs/>
                <w:color w:val="000000" w:themeColor="text1"/>
                <w:kern w:val="2"/>
                <w:sz w:val="21"/>
                <w:szCs w:val="21"/>
              </w:rPr>
            </w:pPr>
            <w:r>
              <w:rPr>
                <w:rFonts w:hint="eastAsia" w:asciiTheme="minorHAnsi" w:hAnsiTheme="minorHAnsi" w:eastAsiaTheme="minorEastAsia" w:cstheme="minorBidi"/>
                <w:bCs/>
                <w:color w:val="000000" w:themeColor="text1"/>
                <w:kern w:val="2"/>
                <w:sz w:val="21"/>
                <w:szCs w:val="21"/>
              </w:rPr>
              <w:t xml:space="preserve">荤素搭配比例   </w:t>
            </w:r>
          </w:p>
        </w:tc>
        <w:tc>
          <w:tcPr>
            <w:tcW w:w="1938" w:type="dxa"/>
            <w:vAlign w:val="center"/>
          </w:tcPr>
          <w:p>
            <w:pPr>
              <w:pStyle w:val="48"/>
              <w:spacing w:line="360" w:lineRule="auto"/>
              <w:ind w:left="430" w:right="198" w:hanging="430" w:hangingChars="205"/>
              <w:jc w:val="center"/>
              <w:rPr>
                <w:rFonts w:asciiTheme="minorHAnsi" w:hAnsiTheme="minorHAnsi" w:eastAsiaTheme="minorEastAsia" w:cstheme="minorBidi"/>
                <w:bCs/>
                <w:color w:val="000000" w:themeColor="text1"/>
                <w:kern w:val="2"/>
                <w:sz w:val="21"/>
                <w:szCs w:val="21"/>
              </w:rPr>
            </w:pPr>
            <w:r>
              <w:rPr>
                <w:rFonts w:hint="eastAsia" w:asciiTheme="minorHAnsi" w:hAnsiTheme="minorHAnsi" w:eastAsiaTheme="minorEastAsia" w:cstheme="minorBidi"/>
                <w:bCs/>
                <w:color w:val="000000" w:themeColor="text1"/>
                <w:kern w:val="2"/>
                <w:sz w:val="21"/>
                <w:szCs w:val="21"/>
              </w:rPr>
              <w:t>食谱</w:t>
            </w:r>
          </w:p>
        </w:tc>
        <w:tc>
          <w:tcPr>
            <w:tcW w:w="1503" w:type="dxa"/>
            <w:vAlign w:val="center"/>
          </w:tcPr>
          <w:p>
            <w:pPr>
              <w:pStyle w:val="48"/>
              <w:spacing w:line="360" w:lineRule="auto"/>
              <w:ind w:left="455" w:leftChars="113" w:right="198" w:hanging="218" w:hangingChars="104"/>
              <w:jc w:val="center"/>
              <w:rPr>
                <w:rFonts w:asciiTheme="minorHAnsi" w:hAnsiTheme="minorHAnsi" w:eastAsiaTheme="minorEastAsia" w:cstheme="minorBidi"/>
                <w:bCs/>
                <w:color w:val="000000" w:themeColor="text1"/>
                <w:kern w:val="2"/>
                <w:sz w:val="21"/>
                <w:szCs w:val="21"/>
              </w:rPr>
            </w:pPr>
            <w:r>
              <w:rPr>
                <w:rFonts w:hint="eastAsia" w:asciiTheme="minorHAnsi" w:hAnsiTheme="minorHAnsi" w:eastAsiaTheme="minorEastAsia" w:cstheme="minorBidi"/>
                <w:bCs/>
                <w:color w:val="000000" w:themeColor="text1"/>
                <w:kern w:val="2"/>
                <w:sz w:val="21"/>
                <w:szCs w:val="21"/>
              </w:rPr>
              <w:t>主食材数量  （克/餐）</w:t>
            </w:r>
          </w:p>
        </w:tc>
        <w:tc>
          <w:tcPr>
            <w:tcW w:w="1500" w:type="dxa"/>
            <w:vAlign w:val="center"/>
          </w:tcPr>
          <w:p>
            <w:pPr>
              <w:pStyle w:val="48"/>
              <w:spacing w:line="360" w:lineRule="auto"/>
              <w:ind w:left="455" w:leftChars="113" w:right="198" w:hanging="218" w:hangingChars="104"/>
              <w:jc w:val="center"/>
              <w:rPr>
                <w:rFonts w:asciiTheme="minorHAnsi" w:hAnsiTheme="minorHAnsi" w:eastAsiaTheme="minorEastAsia" w:cstheme="minorBidi"/>
                <w:bCs/>
                <w:color w:val="000000" w:themeColor="text1"/>
                <w:kern w:val="2"/>
                <w:sz w:val="21"/>
                <w:szCs w:val="21"/>
              </w:rPr>
            </w:pPr>
            <w:r>
              <w:rPr>
                <w:rFonts w:hint="eastAsia" w:asciiTheme="minorHAnsi" w:hAnsiTheme="minorHAnsi" w:eastAsiaTheme="minorEastAsia" w:cstheme="minorBidi"/>
                <w:bCs/>
                <w:color w:val="000000" w:themeColor="text1"/>
                <w:kern w:val="2"/>
                <w:sz w:val="21"/>
                <w:szCs w:val="21"/>
              </w:rPr>
              <w:t>辅食材数量 （克/餐）</w:t>
            </w:r>
          </w:p>
        </w:tc>
        <w:tc>
          <w:tcPr>
            <w:tcW w:w="1542" w:type="dxa"/>
            <w:vAlign w:val="center"/>
          </w:tcPr>
          <w:p>
            <w:pPr>
              <w:pStyle w:val="48"/>
              <w:tabs>
                <w:tab w:val="left" w:pos="595"/>
              </w:tabs>
              <w:spacing w:line="360" w:lineRule="auto"/>
              <w:ind w:right="198"/>
              <w:jc w:val="center"/>
              <w:rPr>
                <w:rFonts w:asciiTheme="minorHAnsi" w:hAnsiTheme="minorHAnsi" w:eastAsiaTheme="minorEastAsia" w:cstheme="minorBidi"/>
                <w:bCs/>
                <w:color w:val="000000" w:themeColor="text1"/>
                <w:kern w:val="2"/>
                <w:sz w:val="21"/>
                <w:szCs w:val="21"/>
              </w:rPr>
            </w:pPr>
            <w:r>
              <w:rPr>
                <w:rFonts w:hint="eastAsia" w:asciiTheme="minorHAnsi" w:hAnsiTheme="minorHAnsi" w:eastAsiaTheme="minorEastAsia" w:cstheme="minorBidi"/>
                <w:bCs/>
                <w:color w:val="000000" w:themeColor="text1"/>
                <w:kern w:val="2"/>
                <w:sz w:val="21"/>
                <w:szCs w:val="21"/>
              </w:rPr>
              <w:t>供餐标准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5"/>
              <w:jc w:val="center"/>
              <w:rPr>
                <w:rFonts w:asciiTheme="minorHAnsi" w:hAnsiTheme="minorHAnsi" w:eastAsiaTheme="minorEastAsia" w:cstheme="minorBidi"/>
                <w:bCs/>
                <w:color w:val="000000" w:themeColor="text1"/>
                <w:kern w:val="2"/>
                <w:sz w:val="21"/>
                <w:szCs w:val="21"/>
              </w:rPr>
            </w:pPr>
            <w:r>
              <w:rPr>
                <w:rFonts w:hint="eastAsia" w:asciiTheme="minorHAnsi" w:hAnsiTheme="minorHAnsi" w:eastAsiaTheme="minorEastAsia" w:cstheme="minorBidi"/>
                <w:bCs/>
                <w:color w:val="000000" w:themeColor="text1"/>
                <w:kern w:val="2"/>
                <w:sz w:val="21"/>
                <w:szCs w:val="21"/>
              </w:rPr>
              <w:t>牛肉类</w:t>
            </w:r>
          </w:p>
        </w:tc>
        <w:tc>
          <w:tcPr>
            <w:tcW w:w="1540" w:type="dxa"/>
            <w:vMerge w:val="restart"/>
            <w:vAlign w:val="center"/>
          </w:tcPr>
          <w:p>
            <w:pPr>
              <w:pStyle w:val="48"/>
              <w:spacing w:line="360" w:lineRule="auto"/>
              <w:ind w:left="15"/>
              <w:jc w:val="center"/>
              <w:rPr>
                <w:rFonts w:asciiTheme="minorHAnsi" w:hAnsiTheme="minorHAnsi" w:eastAsiaTheme="minorEastAsia" w:cstheme="minorBidi"/>
                <w:bCs/>
                <w:color w:val="000000" w:themeColor="text1"/>
                <w:kern w:val="2"/>
                <w:sz w:val="21"/>
                <w:szCs w:val="21"/>
              </w:rPr>
            </w:pPr>
          </w:p>
        </w:tc>
        <w:tc>
          <w:tcPr>
            <w:tcW w:w="1938" w:type="dxa"/>
            <w:vAlign w:val="center"/>
          </w:tcPr>
          <w:p>
            <w:pPr>
              <w:pStyle w:val="48"/>
              <w:spacing w:line="360" w:lineRule="auto"/>
              <w:ind w:right="470"/>
              <w:jc w:val="both"/>
              <w:rPr>
                <w:rFonts w:asciiTheme="minorHAnsi" w:hAnsiTheme="minorHAnsi" w:eastAsiaTheme="minorEastAsia" w:cstheme="minorBidi"/>
                <w:bCs/>
                <w:color w:val="000000" w:themeColor="text1"/>
                <w:kern w:val="2"/>
                <w:sz w:val="21"/>
                <w:szCs w:val="21"/>
              </w:rPr>
            </w:pPr>
          </w:p>
        </w:tc>
        <w:tc>
          <w:tcPr>
            <w:tcW w:w="1503" w:type="dxa"/>
            <w:vAlign w:val="center"/>
          </w:tcPr>
          <w:p>
            <w:pPr>
              <w:pStyle w:val="48"/>
              <w:spacing w:line="360" w:lineRule="auto"/>
              <w:ind w:right="470"/>
              <w:jc w:val="center"/>
              <w:rPr>
                <w:rFonts w:asciiTheme="minorHAnsi" w:hAnsiTheme="minorHAnsi" w:eastAsiaTheme="minorEastAsia" w:cstheme="minorBidi"/>
                <w:bCs/>
                <w:color w:val="000000" w:themeColor="text1"/>
                <w:kern w:val="2"/>
                <w:sz w:val="21"/>
                <w:szCs w:val="21"/>
              </w:rPr>
            </w:pPr>
          </w:p>
        </w:tc>
        <w:tc>
          <w:tcPr>
            <w:tcW w:w="1500" w:type="dxa"/>
            <w:vAlign w:val="center"/>
          </w:tcPr>
          <w:p>
            <w:pPr>
              <w:pStyle w:val="48"/>
              <w:spacing w:line="360" w:lineRule="auto"/>
              <w:ind w:right="470"/>
              <w:jc w:val="center"/>
              <w:rPr>
                <w:rFonts w:asciiTheme="minorHAnsi" w:hAnsiTheme="minorHAnsi" w:eastAsiaTheme="minorEastAsia" w:cstheme="minorBidi"/>
                <w:bCs/>
                <w:color w:val="000000" w:themeColor="text1"/>
                <w:kern w:val="2"/>
                <w:sz w:val="21"/>
                <w:szCs w:val="21"/>
              </w:rPr>
            </w:pPr>
          </w:p>
        </w:tc>
        <w:tc>
          <w:tcPr>
            <w:tcW w:w="1542" w:type="dxa"/>
            <w:vMerge w:val="restart"/>
            <w:vAlign w:val="center"/>
          </w:tcPr>
          <w:p>
            <w:pPr>
              <w:pStyle w:val="48"/>
              <w:spacing w:line="360" w:lineRule="auto"/>
              <w:ind w:right="298"/>
              <w:jc w:val="center"/>
              <w:rPr>
                <w:rFonts w:asciiTheme="minorHAnsi" w:hAnsiTheme="minorHAnsi" w:eastAsiaTheme="minorEastAsia" w:cstheme="minorBidi"/>
                <w:bCs/>
                <w:color w:val="000000" w:themeColor="text1"/>
                <w:kern w:val="2"/>
                <w:sz w:val="21"/>
                <w:szCs w:val="21"/>
              </w:rPr>
            </w:pPr>
            <w:r>
              <w:rPr>
                <w:rFonts w:hint="eastAsia" w:asciiTheme="minorHAnsi" w:hAnsiTheme="minorHAnsi" w:eastAsiaTheme="minorEastAsia" w:cstheme="minorBidi"/>
                <w:bCs/>
                <w:color w:val="000000" w:themeColor="text1"/>
                <w:kern w:val="2"/>
                <w:sz w:val="21"/>
                <w:szCs w:val="21"/>
              </w:rPr>
              <w:t>5.00元/生/餐     （每周供餐2次）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vAlign w:val="center"/>
          </w:tcPr>
          <w:p>
            <w:pPr>
              <w:pStyle w:val="48"/>
              <w:spacing w:line="360" w:lineRule="auto"/>
              <w:ind w:left="15"/>
              <w:jc w:val="center"/>
              <w:rPr>
                <w:rFonts w:asciiTheme="minorHAnsi" w:hAnsiTheme="minorHAnsi" w:eastAsiaTheme="minorEastAsia" w:cstheme="minorBidi"/>
                <w:bCs/>
                <w:color w:val="000000" w:themeColor="text1"/>
                <w:kern w:val="2"/>
                <w:sz w:val="21"/>
                <w:szCs w:val="21"/>
              </w:rPr>
            </w:pPr>
          </w:p>
        </w:tc>
        <w:tc>
          <w:tcPr>
            <w:tcW w:w="1540" w:type="dxa"/>
            <w:vMerge w:val="continue"/>
            <w:vAlign w:val="center"/>
          </w:tcPr>
          <w:p>
            <w:pPr>
              <w:pStyle w:val="48"/>
              <w:spacing w:line="360" w:lineRule="auto"/>
              <w:ind w:left="15"/>
              <w:jc w:val="center"/>
              <w:rPr>
                <w:rFonts w:asciiTheme="minorHAnsi" w:hAnsiTheme="minorHAnsi" w:eastAsiaTheme="minorEastAsia" w:cstheme="minorBidi"/>
                <w:bCs/>
                <w:color w:val="000000" w:themeColor="text1"/>
                <w:kern w:val="2"/>
                <w:sz w:val="21"/>
                <w:szCs w:val="21"/>
              </w:rPr>
            </w:pPr>
          </w:p>
        </w:tc>
        <w:tc>
          <w:tcPr>
            <w:tcW w:w="1938" w:type="dxa"/>
            <w:vAlign w:val="center"/>
          </w:tcPr>
          <w:p>
            <w:pPr>
              <w:pStyle w:val="48"/>
              <w:spacing w:line="360" w:lineRule="auto"/>
              <w:ind w:right="470"/>
              <w:jc w:val="both"/>
              <w:rPr>
                <w:rFonts w:asciiTheme="minorHAnsi" w:hAnsiTheme="minorHAnsi" w:eastAsiaTheme="minorEastAsia" w:cstheme="minorBidi"/>
                <w:bCs/>
                <w:color w:val="000000" w:themeColor="text1"/>
                <w:kern w:val="2"/>
                <w:sz w:val="21"/>
                <w:szCs w:val="21"/>
              </w:rPr>
            </w:pPr>
          </w:p>
        </w:tc>
        <w:tc>
          <w:tcPr>
            <w:tcW w:w="1503" w:type="dxa"/>
            <w:vAlign w:val="center"/>
          </w:tcPr>
          <w:p>
            <w:pPr>
              <w:pStyle w:val="48"/>
              <w:spacing w:line="360" w:lineRule="auto"/>
              <w:ind w:right="470"/>
              <w:jc w:val="center"/>
              <w:rPr>
                <w:rFonts w:asciiTheme="minorHAnsi" w:hAnsiTheme="minorHAnsi" w:eastAsiaTheme="minorEastAsia" w:cstheme="minorBidi"/>
                <w:bCs/>
                <w:color w:val="000000" w:themeColor="text1"/>
                <w:kern w:val="2"/>
                <w:sz w:val="21"/>
                <w:szCs w:val="21"/>
              </w:rPr>
            </w:pPr>
          </w:p>
        </w:tc>
        <w:tc>
          <w:tcPr>
            <w:tcW w:w="1500" w:type="dxa"/>
            <w:vAlign w:val="center"/>
          </w:tcPr>
          <w:p>
            <w:pPr>
              <w:pStyle w:val="48"/>
              <w:spacing w:line="360" w:lineRule="auto"/>
              <w:ind w:right="470"/>
              <w:jc w:val="center"/>
              <w:rPr>
                <w:rFonts w:asciiTheme="minorHAnsi" w:hAnsiTheme="minorHAnsi" w:eastAsiaTheme="minorEastAsia" w:cstheme="minorBidi"/>
                <w:bCs/>
                <w:color w:val="000000" w:themeColor="text1"/>
                <w:kern w:val="2"/>
                <w:sz w:val="21"/>
                <w:szCs w:val="21"/>
              </w:rPr>
            </w:pPr>
          </w:p>
        </w:tc>
        <w:tc>
          <w:tcPr>
            <w:tcW w:w="1542" w:type="dxa"/>
            <w:vMerge w:val="continue"/>
            <w:vAlign w:val="center"/>
          </w:tcPr>
          <w:p>
            <w:pPr>
              <w:pStyle w:val="48"/>
              <w:spacing w:line="360" w:lineRule="auto"/>
              <w:ind w:right="298"/>
              <w:jc w:val="center"/>
              <w:rPr>
                <w:rFonts w:asciiTheme="minorHAnsi" w:hAnsiTheme="minorHAnsi" w:eastAsiaTheme="minorEastAsia" w:cstheme="minorBidi"/>
                <w:bCs/>
                <w:color w:val="000000" w:themeColor="text1"/>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bCs/>
                <w:color w:val="000000" w:themeColor="text1"/>
                <w:sz w:val="21"/>
                <w:szCs w:val="21"/>
              </w:rPr>
            </w:pPr>
            <w:r>
              <w:rPr>
                <w:rFonts w:hint="eastAsia" w:ascii="宋体" w:hAnsi="宋体" w:eastAsia="宋体"/>
                <w:bCs/>
                <w:color w:val="000000" w:themeColor="text1"/>
                <w:sz w:val="21"/>
                <w:szCs w:val="21"/>
              </w:rPr>
              <w:t>猪肉类</w:t>
            </w:r>
          </w:p>
        </w:tc>
        <w:tc>
          <w:tcPr>
            <w:tcW w:w="1540" w:type="dxa"/>
            <w:vMerge w:val="restart"/>
            <w:vAlign w:val="center"/>
          </w:tcPr>
          <w:p>
            <w:pPr>
              <w:pStyle w:val="48"/>
              <w:spacing w:line="360" w:lineRule="auto"/>
              <w:ind w:left="133" w:right="116"/>
              <w:jc w:val="center"/>
              <w:rPr>
                <w:rFonts w:ascii="宋体" w:hAnsi="宋体" w:eastAsia="宋体"/>
                <w:bCs/>
                <w:color w:val="000000" w:themeColor="text1"/>
                <w:sz w:val="21"/>
                <w:szCs w:val="21"/>
              </w:rPr>
            </w:pPr>
          </w:p>
        </w:tc>
        <w:tc>
          <w:tcPr>
            <w:tcW w:w="1938" w:type="dxa"/>
            <w:vAlign w:val="center"/>
          </w:tcPr>
          <w:p>
            <w:pPr>
              <w:pStyle w:val="48"/>
              <w:spacing w:line="360" w:lineRule="auto"/>
              <w:ind w:right="953"/>
              <w:jc w:val="center"/>
              <w:rPr>
                <w:rFonts w:ascii="宋体" w:hAnsi="宋体" w:eastAsia="宋体"/>
                <w:bCs/>
                <w:color w:val="000000" w:themeColor="text1"/>
                <w:sz w:val="21"/>
                <w:szCs w:val="21"/>
              </w:rPr>
            </w:pPr>
          </w:p>
        </w:tc>
        <w:tc>
          <w:tcPr>
            <w:tcW w:w="1503" w:type="dxa"/>
            <w:vAlign w:val="center"/>
          </w:tcPr>
          <w:p>
            <w:pPr>
              <w:pStyle w:val="48"/>
              <w:spacing w:line="360" w:lineRule="auto"/>
              <w:ind w:right="953"/>
              <w:jc w:val="center"/>
              <w:rPr>
                <w:rFonts w:ascii="宋体" w:hAnsi="宋体" w:eastAsia="宋体"/>
                <w:bCs/>
                <w:color w:val="000000" w:themeColor="text1"/>
                <w:sz w:val="21"/>
                <w:szCs w:val="21"/>
              </w:rPr>
            </w:pPr>
          </w:p>
        </w:tc>
        <w:tc>
          <w:tcPr>
            <w:tcW w:w="1500" w:type="dxa"/>
            <w:vAlign w:val="center"/>
          </w:tcPr>
          <w:p>
            <w:pPr>
              <w:pStyle w:val="48"/>
              <w:spacing w:line="360" w:lineRule="auto"/>
              <w:ind w:right="953"/>
              <w:jc w:val="center"/>
              <w:rPr>
                <w:rFonts w:ascii="宋体" w:hAnsi="宋体" w:eastAsia="宋体"/>
                <w:bCs/>
                <w:color w:val="000000" w:themeColor="text1"/>
                <w:sz w:val="21"/>
                <w:szCs w:val="21"/>
              </w:rPr>
            </w:pPr>
          </w:p>
        </w:tc>
        <w:tc>
          <w:tcPr>
            <w:tcW w:w="1542"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tcPr>
          <w:p>
            <w:pPr>
              <w:pStyle w:val="48"/>
              <w:spacing w:line="360" w:lineRule="auto"/>
              <w:ind w:left="133" w:right="116"/>
              <w:jc w:val="center"/>
              <w:rPr>
                <w:rFonts w:ascii="宋体" w:hAnsi="宋体" w:eastAsia="宋体"/>
                <w:bCs/>
                <w:color w:val="000000" w:themeColor="text1"/>
                <w:sz w:val="21"/>
                <w:szCs w:val="21"/>
              </w:rPr>
            </w:pPr>
          </w:p>
        </w:tc>
        <w:tc>
          <w:tcPr>
            <w:tcW w:w="1540" w:type="dxa"/>
            <w:vMerge w:val="continue"/>
            <w:vAlign w:val="center"/>
          </w:tcPr>
          <w:p>
            <w:pPr>
              <w:pStyle w:val="48"/>
              <w:spacing w:line="360" w:lineRule="auto"/>
              <w:ind w:left="133" w:right="116"/>
              <w:jc w:val="center"/>
              <w:rPr>
                <w:rFonts w:ascii="宋体" w:hAnsi="宋体" w:eastAsia="宋体"/>
                <w:bCs/>
                <w:color w:val="000000" w:themeColor="text1"/>
                <w:sz w:val="21"/>
                <w:szCs w:val="21"/>
              </w:rPr>
            </w:pPr>
          </w:p>
        </w:tc>
        <w:tc>
          <w:tcPr>
            <w:tcW w:w="1938" w:type="dxa"/>
            <w:vAlign w:val="center"/>
          </w:tcPr>
          <w:p>
            <w:pPr>
              <w:pStyle w:val="48"/>
              <w:spacing w:line="360" w:lineRule="auto"/>
              <w:ind w:right="953"/>
              <w:jc w:val="center"/>
              <w:rPr>
                <w:rFonts w:ascii="宋体" w:hAnsi="宋体" w:eastAsia="宋体"/>
                <w:bCs/>
                <w:color w:val="000000" w:themeColor="text1"/>
                <w:sz w:val="21"/>
                <w:szCs w:val="21"/>
              </w:rPr>
            </w:pPr>
          </w:p>
        </w:tc>
        <w:tc>
          <w:tcPr>
            <w:tcW w:w="1503" w:type="dxa"/>
            <w:vAlign w:val="center"/>
          </w:tcPr>
          <w:p>
            <w:pPr>
              <w:pStyle w:val="48"/>
              <w:spacing w:line="360" w:lineRule="auto"/>
              <w:ind w:right="953"/>
              <w:jc w:val="center"/>
              <w:rPr>
                <w:rFonts w:ascii="宋体" w:hAnsi="宋体" w:eastAsia="宋体"/>
                <w:bCs/>
                <w:color w:val="000000" w:themeColor="text1"/>
                <w:sz w:val="21"/>
                <w:szCs w:val="21"/>
              </w:rPr>
            </w:pPr>
          </w:p>
        </w:tc>
        <w:tc>
          <w:tcPr>
            <w:tcW w:w="1500" w:type="dxa"/>
            <w:vAlign w:val="center"/>
          </w:tcPr>
          <w:p>
            <w:pPr>
              <w:pStyle w:val="48"/>
              <w:spacing w:line="360" w:lineRule="auto"/>
              <w:ind w:right="953"/>
              <w:jc w:val="center"/>
              <w:rPr>
                <w:rFonts w:ascii="宋体" w:hAnsi="宋体" w:eastAsia="宋体"/>
                <w:bCs/>
                <w:color w:val="000000" w:themeColor="text1"/>
                <w:sz w:val="21"/>
                <w:szCs w:val="21"/>
              </w:rPr>
            </w:pPr>
          </w:p>
        </w:tc>
        <w:tc>
          <w:tcPr>
            <w:tcW w:w="1542"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bCs/>
                <w:color w:val="000000" w:themeColor="text1"/>
                <w:sz w:val="21"/>
                <w:szCs w:val="21"/>
              </w:rPr>
            </w:pPr>
            <w:r>
              <w:rPr>
                <w:rFonts w:hint="eastAsia" w:ascii="宋体" w:hAnsi="宋体" w:eastAsia="宋体"/>
                <w:bCs/>
                <w:color w:val="000000" w:themeColor="text1"/>
                <w:sz w:val="21"/>
                <w:szCs w:val="21"/>
              </w:rPr>
              <w:t>鸡肉类</w:t>
            </w:r>
          </w:p>
        </w:tc>
        <w:tc>
          <w:tcPr>
            <w:tcW w:w="1540" w:type="dxa"/>
            <w:vMerge w:val="restart"/>
            <w:vAlign w:val="center"/>
          </w:tcPr>
          <w:p>
            <w:pPr>
              <w:pStyle w:val="48"/>
              <w:spacing w:line="360" w:lineRule="auto"/>
              <w:ind w:left="133" w:right="116"/>
              <w:jc w:val="center"/>
              <w:rPr>
                <w:rFonts w:ascii="宋体" w:hAnsi="宋体" w:eastAsia="宋体"/>
                <w:bCs/>
                <w:color w:val="000000" w:themeColor="text1"/>
                <w:sz w:val="21"/>
                <w:szCs w:val="21"/>
              </w:rPr>
            </w:pPr>
          </w:p>
        </w:tc>
        <w:tc>
          <w:tcPr>
            <w:tcW w:w="1938" w:type="dxa"/>
            <w:vAlign w:val="center"/>
          </w:tcPr>
          <w:p>
            <w:pPr>
              <w:pStyle w:val="48"/>
              <w:spacing w:line="360" w:lineRule="auto"/>
              <w:ind w:right="953"/>
              <w:jc w:val="center"/>
              <w:rPr>
                <w:rFonts w:ascii="宋体" w:hAnsi="宋体" w:eastAsia="宋体"/>
                <w:bCs/>
                <w:color w:val="000000" w:themeColor="text1"/>
                <w:sz w:val="21"/>
                <w:szCs w:val="21"/>
              </w:rPr>
            </w:pPr>
          </w:p>
        </w:tc>
        <w:tc>
          <w:tcPr>
            <w:tcW w:w="1503" w:type="dxa"/>
            <w:vAlign w:val="center"/>
          </w:tcPr>
          <w:p>
            <w:pPr>
              <w:pStyle w:val="48"/>
              <w:spacing w:line="360" w:lineRule="auto"/>
              <w:ind w:right="953"/>
              <w:jc w:val="center"/>
              <w:rPr>
                <w:rFonts w:ascii="宋体" w:hAnsi="宋体" w:eastAsia="宋体"/>
                <w:bCs/>
                <w:color w:val="000000" w:themeColor="text1"/>
                <w:sz w:val="21"/>
                <w:szCs w:val="21"/>
              </w:rPr>
            </w:pPr>
          </w:p>
        </w:tc>
        <w:tc>
          <w:tcPr>
            <w:tcW w:w="1500" w:type="dxa"/>
            <w:vAlign w:val="center"/>
          </w:tcPr>
          <w:p>
            <w:pPr>
              <w:pStyle w:val="48"/>
              <w:spacing w:line="360" w:lineRule="auto"/>
              <w:ind w:right="953"/>
              <w:jc w:val="center"/>
              <w:rPr>
                <w:rFonts w:ascii="宋体" w:hAnsi="宋体" w:eastAsia="宋体"/>
                <w:bCs/>
                <w:color w:val="000000" w:themeColor="text1"/>
                <w:sz w:val="21"/>
                <w:szCs w:val="21"/>
              </w:rPr>
            </w:pPr>
          </w:p>
        </w:tc>
        <w:tc>
          <w:tcPr>
            <w:tcW w:w="1542"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continue"/>
          </w:tcPr>
          <w:p>
            <w:pPr>
              <w:pStyle w:val="48"/>
              <w:spacing w:line="360" w:lineRule="auto"/>
              <w:ind w:left="133" w:right="116"/>
              <w:jc w:val="center"/>
              <w:rPr>
                <w:rFonts w:ascii="宋体" w:hAnsi="宋体" w:eastAsia="宋体"/>
                <w:bCs/>
                <w:color w:val="000000" w:themeColor="text1"/>
                <w:sz w:val="21"/>
                <w:szCs w:val="21"/>
              </w:rPr>
            </w:pPr>
          </w:p>
        </w:tc>
        <w:tc>
          <w:tcPr>
            <w:tcW w:w="1540" w:type="dxa"/>
            <w:vMerge w:val="continue"/>
            <w:vAlign w:val="center"/>
          </w:tcPr>
          <w:p>
            <w:pPr>
              <w:pStyle w:val="48"/>
              <w:spacing w:line="360" w:lineRule="auto"/>
              <w:ind w:left="133" w:right="116"/>
              <w:jc w:val="center"/>
              <w:rPr>
                <w:rFonts w:ascii="宋体" w:hAnsi="宋体" w:eastAsia="宋体"/>
                <w:bCs/>
                <w:color w:val="000000" w:themeColor="text1"/>
                <w:sz w:val="21"/>
                <w:szCs w:val="21"/>
              </w:rPr>
            </w:pPr>
          </w:p>
        </w:tc>
        <w:tc>
          <w:tcPr>
            <w:tcW w:w="1938" w:type="dxa"/>
            <w:vAlign w:val="center"/>
          </w:tcPr>
          <w:p>
            <w:pPr>
              <w:pStyle w:val="48"/>
              <w:spacing w:line="360" w:lineRule="auto"/>
              <w:ind w:right="953"/>
              <w:jc w:val="center"/>
              <w:rPr>
                <w:rFonts w:ascii="宋体" w:hAnsi="宋体" w:eastAsia="宋体"/>
                <w:bCs/>
                <w:color w:val="000000" w:themeColor="text1"/>
                <w:sz w:val="21"/>
                <w:szCs w:val="21"/>
              </w:rPr>
            </w:pPr>
          </w:p>
        </w:tc>
        <w:tc>
          <w:tcPr>
            <w:tcW w:w="1503" w:type="dxa"/>
            <w:vAlign w:val="center"/>
          </w:tcPr>
          <w:p>
            <w:pPr>
              <w:pStyle w:val="48"/>
              <w:spacing w:line="360" w:lineRule="auto"/>
              <w:ind w:right="953"/>
              <w:jc w:val="center"/>
              <w:rPr>
                <w:rFonts w:ascii="宋体" w:hAnsi="宋体" w:eastAsia="宋体"/>
                <w:bCs/>
                <w:color w:val="000000" w:themeColor="text1"/>
                <w:sz w:val="21"/>
                <w:szCs w:val="21"/>
              </w:rPr>
            </w:pPr>
          </w:p>
        </w:tc>
        <w:tc>
          <w:tcPr>
            <w:tcW w:w="1500" w:type="dxa"/>
            <w:vAlign w:val="center"/>
          </w:tcPr>
          <w:p>
            <w:pPr>
              <w:pStyle w:val="48"/>
              <w:spacing w:line="360" w:lineRule="auto"/>
              <w:ind w:right="953"/>
              <w:jc w:val="center"/>
              <w:rPr>
                <w:rFonts w:ascii="宋体" w:hAnsi="宋体" w:eastAsia="宋体"/>
                <w:bCs/>
                <w:color w:val="000000" w:themeColor="text1"/>
                <w:sz w:val="21"/>
                <w:szCs w:val="21"/>
              </w:rPr>
            </w:pPr>
          </w:p>
        </w:tc>
        <w:tc>
          <w:tcPr>
            <w:tcW w:w="1542"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54" w:type="dxa"/>
            <w:vMerge w:val="restart"/>
            <w:vAlign w:val="center"/>
          </w:tcPr>
          <w:p>
            <w:pPr>
              <w:pStyle w:val="48"/>
              <w:spacing w:line="360" w:lineRule="auto"/>
              <w:ind w:left="133" w:right="116"/>
              <w:jc w:val="center"/>
              <w:rPr>
                <w:rFonts w:ascii="宋体" w:hAnsi="宋体" w:eastAsia="宋体"/>
                <w:bCs/>
                <w:color w:val="000000" w:themeColor="text1"/>
                <w:sz w:val="21"/>
                <w:szCs w:val="21"/>
              </w:rPr>
            </w:pPr>
            <w:r>
              <w:rPr>
                <w:rFonts w:hint="eastAsia" w:ascii="宋体" w:hAnsi="宋体" w:eastAsia="宋体"/>
                <w:bCs/>
                <w:color w:val="000000" w:themeColor="text1"/>
                <w:sz w:val="21"/>
                <w:szCs w:val="21"/>
              </w:rPr>
              <w:t>鸭肉类</w:t>
            </w:r>
          </w:p>
        </w:tc>
        <w:tc>
          <w:tcPr>
            <w:tcW w:w="1540" w:type="dxa"/>
            <w:vMerge w:val="restart"/>
            <w:vAlign w:val="center"/>
          </w:tcPr>
          <w:p>
            <w:pPr>
              <w:pStyle w:val="48"/>
              <w:spacing w:line="360" w:lineRule="auto"/>
              <w:ind w:left="133" w:right="116"/>
              <w:jc w:val="center"/>
              <w:rPr>
                <w:rFonts w:ascii="宋体" w:hAnsi="宋体" w:eastAsia="宋体"/>
                <w:bCs/>
                <w:color w:val="000000" w:themeColor="text1"/>
                <w:sz w:val="21"/>
                <w:szCs w:val="21"/>
              </w:rPr>
            </w:pPr>
          </w:p>
        </w:tc>
        <w:tc>
          <w:tcPr>
            <w:tcW w:w="1938" w:type="dxa"/>
            <w:vAlign w:val="center"/>
          </w:tcPr>
          <w:p>
            <w:pPr>
              <w:pStyle w:val="48"/>
              <w:spacing w:line="360" w:lineRule="auto"/>
              <w:ind w:right="953"/>
              <w:jc w:val="center"/>
              <w:rPr>
                <w:rFonts w:ascii="宋体" w:hAnsi="宋体" w:eastAsia="宋体"/>
                <w:bCs/>
                <w:color w:val="000000" w:themeColor="text1"/>
                <w:sz w:val="21"/>
                <w:szCs w:val="21"/>
              </w:rPr>
            </w:pPr>
          </w:p>
        </w:tc>
        <w:tc>
          <w:tcPr>
            <w:tcW w:w="1503" w:type="dxa"/>
            <w:vAlign w:val="center"/>
          </w:tcPr>
          <w:p>
            <w:pPr>
              <w:pStyle w:val="48"/>
              <w:spacing w:line="360" w:lineRule="auto"/>
              <w:ind w:right="953"/>
              <w:jc w:val="center"/>
              <w:rPr>
                <w:rFonts w:ascii="宋体" w:hAnsi="宋体" w:eastAsia="宋体"/>
                <w:bCs/>
                <w:color w:val="000000" w:themeColor="text1"/>
                <w:sz w:val="21"/>
                <w:szCs w:val="21"/>
              </w:rPr>
            </w:pPr>
          </w:p>
        </w:tc>
        <w:tc>
          <w:tcPr>
            <w:tcW w:w="1500" w:type="dxa"/>
            <w:vAlign w:val="center"/>
          </w:tcPr>
          <w:p>
            <w:pPr>
              <w:pStyle w:val="48"/>
              <w:spacing w:line="360" w:lineRule="auto"/>
              <w:ind w:right="953"/>
              <w:jc w:val="center"/>
              <w:rPr>
                <w:rFonts w:ascii="宋体" w:hAnsi="宋体" w:eastAsia="宋体"/>
                <w:bCs/>
                <w:color w:val="000000" w:themeColor="text1"/>
                <w:sz w:val="21"/>
                <w:szCs w:val="21"/>
              </w:rPr>
            </w:pPr>
          </w:p>
        </w:tc>
        <w:tc>
          <w:tcPr>
            <w:tcW w:w="1542"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4" w:type="dxa"/>
            <w:vMerge w:val="continue"/>
            <w:vAlign w:val="center"/>
          </w:tcPr>
          <w:p>
            <w:pPr>
              <w:pStyle w:val="48"/>
              <w:spacing w:line="360" w:lineRule="auto"/>
              <w:ind w:left="133" w:right="116"/>
              <w:jc w:val="center"/>
              <w:rPr>
                <w:rFonts w:ascii="宋体" w:hAnsi="宋体" w:eastAsia="宋体"/>
                <w:bCs/>
                <w:color w:val="000000" w:themeColor="text1"/>
                <w:sz w:val="21"/>
                <w:szCs w:val="21"/>
              </w:rPr>
            </w:pPr>
          </w:p>
        </w:tc>
        <w:tc>
          <w:tcPr>
            <w:tcW w:w="1540" w:type="dxa"/>
            <w:vMerge w:val="continue"/>
            <w:vAlign w:val="center"/>
          </w:tcPr>
          <w:p>
            <w:pPr>
              <w:pStyle w:val="48"/>
              <w:spacing w:line="360" w:lineRule="auto"/>
              <w:ind w:left="133" w:right="116"/>
              <w:jc w:val="center"/>
              <w:rPr>
                <w:rFonts w:ascii="宋体" w:hAnsi="宋体" w:eastAsia="宋体"/>
                <w:bCs/>
                <w:color w:val="000000" w:themeColor="text1"/>
                <w:sz w:val="21"/>
                <w:szCs w:val="21"/>
              </w:rPr>
            </w:pPr>
          </w:p>
        </w:tc>
        <w:tc>
          <w:tcPr>
            <w:tcW w:w="1938" w:type="dxa"/>
            <w:vAlign w:val="center"/>
          </w:tcPr>
          <w:p>
            <w:pPr>
              <w:pStyle w:val="48"/>
              <w:spacing w:line="360" w:lineRule="auto"/>
              <w:ind w:right="953"/>
              <w:jc w:val="center"/>
              <w:rPr>
                <w:rFonts w:ascii="宋体" w:hAnsi="宋体" w:eastAsia="宋体"/>
                <w:bCs/>
                <w:color w:val="000000" w:themeColor="text1"/>
                <w:sz w:val="21"/>
                <w:szCs w:val="21"/>
              </w:rPr>
            </w:pPr>
          </w:p>
        </w:tc>
        <w:tc>
          <w:tcPr>
            <w:tcW w:w="1503" w:type="dxa"/>
            <w:vAlign w:val="center"/>
          </w:tcPr>
          <w:p>
            <w:pPr>
              <w:pStyle w:val="48"/>
              <w:spacing w:line="360" w:lineRule="auto"/>
              <w:ind w:right="953"/>
              <w:jc w:val="center"/>
              <w:rPr>
                <w:rFonts w:ascii="宋体" w:hAnsi="宋体" w:eastAsia="宋体"/>
                <w:bCs/>
                <w:color w:val="000000" w:themeColor="text1"/>
                <w:sz w:val="21"/>
                <w:szCs w:val="21"/>
              </w:rPr>
            </w:pPr>
          </w:p>
        </w:tc>
        <w:tc>
          <w:tcPr>
            <w:tcW w:w="1500" w:type="dxa"/>
            <w:vAlign w:val="center"/>
          </w:tcPr>
          <w:p>
            <w:pPr>
              <w:pStyle w:val="48"/>
              <w:spacing w:line="360" w:lineRule="auto"/>
              <w:ind w:right="953"/>
              <w:jc w:val="center"/>
              <w:rPr>
                <w:rFonts w:ascii="宋体" w:hAnsi="宋体" w:eastAsia="宋体"/>
                <w:bCs/>
                <w:color w:val="000000" w:themeColor="text1"/>
                <w:sz w:val="21"/>
                <w:szCs w:val="21"/>
              </w:rPr>
            </w:pPr>
          </w:p>
        </w:tc>
        <w:tc>
          <w:tcPr>
            <w:tcW w:w="1542" w:type="dxa"/>
            <w:vMerge w:val="continue"/>
            <w:vAlign w:val="center"/>
          </w:tcPr>
          <w:p>
            <w:pPr>
              <w:pStyle w:val="48"/>
              <w:spacing w:line="360" w:lineRule="auto"/>
              <w:ind w:right="953"/>
              <w:jc w:val="center"/>
              <w:rPr>
                <w:rFonts w:ascii="宋体" w:hAnsi="宋体" w:eastAsia="宋体"/>
                <w:bCs/>
                <w:color w:val="000000" w:themeColor="text1"/>
                <w:sz w:val="21"/>
                <w:szCs w:val="21"/>
              </w:rPr>
            </w:pPr>
          </w:p>
        </w:tc>
      </w:tr>
    </w:tbl>
    <w:p>
      <w:pPr>
        <w:rPr>
          <w:bCs/>
          <w:color w:val="000000" w:themeColor="text1"/>
        </w:rPr>
      </w:pPr>
    </w:p>
    <w:p>
      <w:pPr>
        <w:pStyle w:val="12"/>
        <w:spacing w:line="360" w:lineRule="auto"/>
        <w:rPr>
          <w:rFonts w:asciiTheme="minorHAnsi" w:hAnsiTheme="minorHAnsi" w:eastAsiaTheme="minorEastAsia" w:cstheme="minorBidi"/>
          <w:bCs/>
          <w:color w:val="000000" w:themeColor="text1"/>
          <w:sz w:val="24"/>
          <w:szCs w:val="24"/>
          <w:lang w:val="en-US" w:bidi="ar-SA"/>
        </w:rPr>
      </w:pPr>
      <w:r>
        <w:rPr>
          <w:rFonts w:hint="eastAsia" w:asciiTheme="minorHAnsi" w:hAnsiTheme="minorHAnsi" w:eastAsiaTheme="minorEastAsia" w:cstheme="minorBidi"/>
          <w:bCs/>
          <w:color w:val="000000" w:themeColor="text1"/>
          <w:sz w:val="24"/>
          <w:szCs w:val="24"/>
          <w:lang w:val="en-US" w:bidi="ar-SA"/>
        </w:rPr>
        <w:t>提供4种荤素搭配的菜肴清单，主食材应为牛肉类、猪肉类、鸡肉类、鸭肉类等。</w:t>
      </w:r>
    </w:p>
    <w:p>
      <w:pPr>
        <w:spacing w:line="360" w:lineRule="auto"/>
        <w:ind w:left="1049" w:hanging="1048" w:hangingChars="437"/>
        <w:jc w:val="left"/>
        <w:rPr>
          <w:rFonts w:ascii="宋体" w:hAnsi="宋体"/>
          <w:bCs/>
          <w:color w:val="000000" w:themeColor="text1"/>
          <w:sz w:val="24"/>
        </w:rPr>
      </w:pPr>
      <w:r>
        <w:rPr>
          <w:rFonts w:hint="eastAsia" w:ascii="宋体" w:hAnsi="宋体"/>
          <w:bCs/>
          <w:color w:val="000000" w:themeColor="text1"/>
          <w:sz w:val="24"/>
        </w:rPr>
        <w:t>说明：1．所有价格均用人民币表示，单位为元。</w:t>
      </w:r>
    </w:p>
    <w:p>
      <w:pPr>
        <w:spacing w:line="360" w:lineRule="auto"/>
        <w:ind w:left="1061" w:leftChars="339" w:hanging="350" w:hangingChars="146"/>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3．为方便开标时唱标，投标人应另附《开标一览表》及《交纳投标保证金的银行凭证》（如有交纳保证金要求的）各一份一并</w:t>
      </w:r>
      <w:r>
        <w:rPr>
          <w:rFonts w:hint="eastAsia" w:ascii="宋体" w:hAnsi="宋体" w:eastAsia="宋体" w:cs="Times New Roman"/>
          <w:bCs/>
          <w:color w:val="000000" w:themeColor="text1"/>
          <w:spacing w:val="-6"/>
          <w:kern w:val="0"/>
          <w:sz w:val="24"/>
          <w:szCs w:val="24"/>
        </w:rPr>
        <w:t>装入一个信封，单独密封提交</w:t>
      </w:r>
      <w:r>
        <w:rPr>
          <w:rFonts w:hint="eastAsia" w:ascii="宋体" w:hAnsi="宋体" w:eastAsia="宋体" w:cs="Times New Roman"/>
          <w:bCs/>
          <w:color w:val="000000" w:themeColor="text1"/>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bCs/>
          <w:color w:val="000000" w:themeColor="text1"/>
          <w:sz w:val="24"/>
          <w:szCs w:val="20"/>
          <w:lang w:val="zh-CN"/>
        </w:rPr>
        <w:t>的采购机构拒绝其投标。</w:t>
      </w:r>
    </w:p>
    <w:p>
      <w:pPr>
        <w:spacing w:line="360" w:lineRule="auto"/>
        <w:ind w:left="1061" w:leftChars="339" w:hanging="350" w:hangingChars="146"/>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4. 本表应按要求由投标人法人授权代表签字，并加盖投标单位公章，否则将被视为非响应性投标，将按照无效投标处理。</w:t>
      </w:r>
    </w:p>
    <w:p>
      <w:pPr>
        <w:pStyle w:val="5"/>
        <w:spacing w:line="360" w:lineRule="auto"/>
        <w:rPr>
          <w:b w:val="0"/>
          <w:color w:val="000000" w:themeColor="text1"/>
        </w:rPr>
      </w:pPr>
    </w:p>
    <w:p>
      <w:pPr>
        <w:spacing w:line="360" w:lineRule="auto"/>
        <w:ind w:firstLine="3316" w:firstLineChars="1382"/>
        <w:rPr>
          <w:rFonts w:ascii="宋体" w:hAnsi="宋体" w:eastAsia="宋体" w:cs="Times New Roman"/>
          <w:bCs/>
          <w:color w:val="000000" w:themeColor="text1"/>
          <w:sz w:val="24"/>
          <w:szCs w:val="21"/>
          <w:u w:val="single"/>
          <w:lang w:val="zh-CN"/>
        </w:rPr>
      </w:pPr>
      <w:r>
        <w:rPr>
          <w:rFonts w:hint="eastAsia" w:ascii="宋体" w:hAnsi="宋体" w:eastAsia="宋体" w:cs="Times New Roman"/>
          <w:bCs/>
          <w:color w:val="000000" w:themeColor="text1"/>
          <w:sz w:val="24"/>
          <w:szCs w:val="21"/>
          <w:lang w:val="zh-CN"/>
        </w:rPr>
        <w:t>投标人（公章）：</w:t>
      </w:r>
    </w:p>
    <w:p>
      <w:pPr>
        <w:spacing w:line="360" w:lineRule="auto"/>
        <w:ind w:firstLine="3316" w:firstLineChars="1382"/>
        <w:rPr>
          <w:rFonts w:ascii="宋体" w:hAnsi="宋体" w:eastAsia="宋体" w:cs="Times New Roman"/>
          <w:bCs/>
          <w:color w:val="000000" w:themeColor="text1"/>
          <w:sz w:val="24"/>
          <w:szCs w:val="21"/>
          <w:u w:val="single"/>
          <w:lang w:val="zh-CN"/>
        </w:rPr>
      </w:pPr>
      <w:r>
        <w:rPr>
          <w:rFonts w:hint="eastAsia" w:ascii="宋体" w:hAnsi="宋体" w:eastAsia="宋体" w:cs="Times New Roman"/>
          <w:bCs/>
          <w:color w:val="000000" w:themeColor="text1"/>
          <w:sz w:val="24"/>
          <w:szCs w:val="21"/>
          <w:lang w:val="zh-CN"/>
        </w:rPr>
        <w:t>投标人授权代表（签字）：</w:t>
      </w:r>
    </w:p>
    <w:p>
      <w:pPr>
        <w:spacing w:line="360" w:lineRule="auto"/>
        <w:ind w:firstLine="3316" w:firstLineChars="1382"/>
        <w:rPr>
          <w:rFonts w:ascii="宋体" w:hAnsi="宋体" w:eastAsia="宋体" w:cs="Times New Roman"/>
          <w:bCs/>
          <w:color w:val="000000" w:themeColor="text1"/>
          <w:sz w:val="24"/>
          <w:szCs w:val="21"/>
          <w:lang w:val="zh-CN"/>
        </w:rPr>
      </w:pPr>
      <w:r>
        <w:rPr>
          <w:rFonts w:hint="eastAsia" w:ascii="宋体" w:hAnsi="宋体" w:eastAsia="宋体" w:cs="Times New Roman"/>
          <w:bCs/>
          <w:color w:val="000000" w:themeColor="text1"/>
          <w:sz w:val="24"/>
          <w:szCs w:val="21"/>
          <w:lang w:val="zh-CN"/>
        </w:rPr>
        <w:t>投标时间：</w:t>
      </w:r>
    </w:p>
    <w:p>
      <w:pPr>
        <w:spacing w:line="360" w:lineRule="auto"/>
        <w:rPr>
          <w:rFonts w:ascii="宋体" w:hAnsi="宋体" w:eastAsia="宋体" w:cs="Times New Roman"/>
          <w:bCs/>
          <w:color w:val="000000" w:themeColor="text1"/>
          <w:sz w:val="24"/>
          <w:szCs w:val="21"/>
          <w:lang w:val="zh-CN"/>
        </w:rPr>
      </w:pPr>
      <w:r>
        <w:rPr>
          <w:rFonts w:hint="eastAsia" w:ascii="宋体" w:hAnsi="宋体" w:eastAsia="宋体" w:cs="Times New Roman"/>
          <w:bCs/>
          <w:color w:val="000000" w:themeColor="text1"/>
          <w:sz w:val="24"/>
          <w:szCs w:val="21"/>
          <w:lang w:val="zh-CN"/>
        </w:rPr>
        <w:br w:type="page"/>
      </w:r>
    </w:p>
    <w:p>
      <w:pPr>
        <w:pStyle w:val="4"/>
        <w:numPr>
          <w:ilvl w:val="0"/>
          <w:numId w:val="48"/>
        </w:numPr>
        <w:spacing w:before="0" w:after="0" w:line="360" w:lineRule="auto"/>
        <w:ind w:left="1288" w:hanging="1288"/>
        <w:rPr>
          <w:rFonts w:ascii="宋体" w:hAnsi="宋体" w:eastAsia="宋体"/>
          <w:color w:val="000000" w:themeColor="text1"/>
        </w:rPr>
      </w:pPr>
      <w:r>
        <w:rPr>
          <w:rFonts w:hint="eastAsia" w:ascii="宋体" w:hAnsi="宋体" w:eastAsia="宋体"/>
          <w:color w:val="000000" w:themeColor="text1"/>
        </w:rPr>
        <w:t>投标报价明细表</w:t>
      </w:r>
      <w:bookmarkEnd w:id="152"/>
      <w:bookmarkEnd w:id="153"/>
      <w:bookmarkEnd w:id="154"/>
      <w:bookmarkEnd w:id="155"/>
      <w:bookmarkEnd w:id="156"/>
      <w:bookmarkEnd w:id="157"/>
      <w:bookmarkEnd w:id="158"/>
      <w:bookmarkEnd w:id="159"/>
    </w:p>
    <w:p>
      <w:pPr>
        <w:spacing w:line="360" w:lineRule="auto"/>
        <w:jc w:val="left"/>
        <w:rPr>
          <w:rFonts w:ascii="宋体" w:hAnsi="宋体" w:eastAsia="宋体" w:cs="Times New Roman"/>
          <w:bCs/>
          <w:color w:val="000000" w:themeColor="text1"/>
          <w:sz w:val="24"/>
          <w:szCs w:val="21"/>
          <w:u w:val="single"/>
          <w:lang w:val="zh-CN"/>
        </w:rPr>
      </w:pPr>
      <w:r>
        <w:rPr>
          <w:rFonts w:hint="eastAsia" w:ascii="宋体" w:hAnsi="宋体" w:eastAsia="宋体" w:cs="Times New Roman"/>
          <w:bCs/>
          <w:color w:val="000000" w:themeColor="text1"/>
          <w:sz w:val="24"/>
          <w:szCs w:val="21"/>
          <w:lang w:val="zh-CN"/>
        </w:rPr>
        <w:t>投 标 人：</w:t>
      </w:r>
    </w:p>
    <w:p>
      <w:pPr>
        <w:spacing w:line="360" w:lineRule="auto"/>
        <w:jc w:val="left"/>
        <w:rPr>
          <w:rFonts w:ascii="宋体" w:hAnsi="宋体" w:eastAsia="宋体" w:cs="Times New Roman"/>
          <w:bCs/>
          <w:color w:val="000000" w:themeColor="text1"/>
          <w:sz w:val="24"/>
          <w:szCs w:val="21"/>
          <w:lang w:val="zh-CN"/>
        </w:rPr>
      </w:pPr>
      <w:r>
        <w:rPr>
          <w:rFonts w:hint="eastAsia" w:ascii="宋体" w:hAnsi="宋体" w:eastAsia="宋体" w:cs="Times New Roman"/>
          <w:bCs/>
          <w:color w:val="000000" w:themeColor="text1"/>
          <w:sz w:val="24"/>
          <w:szCs w:val="21"/>
          <w:lang w:val="zh-CN"/>
        </w:rPr>
        <w:t>项目名称：</w:t>
      </w:r>
    </w:p>
    <w:p>
      <w:pPr>
        <w:spacing w:line="360" w:lineRule="auto"/>
        <w:jc w:val="left"/>
        <w:rPr>
          <w:rFonts w:ascii="宋体" w:hAnsi="宋体" w:eastAsia="宋体" w:cs="Times New Roman"/>
          <w:bCs/>
          <w:color w:val="000000" w:themeColor="text1"/>
          <w:sz w:val="24"/>
          <w:szCs w:val="21"/>
          <w:u w:val="single"/>
          <w:lang w:val="zh-CN"/>
        </w:rPr>
      </w:pPr>
      <w:r>
        <w:rPr>
          <w:rFonts w:hint="eastAsia" w:ascii="宋体" w:hAnsi="宋体" w:eastAsia="宋体" w:cs="Times New Roman"/>
          <w:bCs/>
          <w:color w:val="000000" w:themeColor="text1"/>
          <w:sz w:val="24"/>
          <w:szCs w:val="21"/>
          <w:lang w:val="zh-CN"/>
        </w:rPr>
        <w:t>项目编号：                所投包号：</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bCs/>
                <w:color w:val="000000" w:themeColor="text1"/>
                <w:kern w:val="0"/>
                <w:sz w:val="24"/>
              </w:rPr>
            </w:pPr>
            <w:r>
              <w:rPr>
                <w:rFonts w:hint="eastAsia" w:ascii="宋体" w:hAnsi="宋体" w:cs="宋体"/>
                <w:bCs/>
                <w:color w:val="000000" w:themeColor="text1"/>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bCs/>
                <w:color w:val="000000" w:themeColor="text1"/>
                <w:kern w:val="0"/>
                <w:sz w:val="24"/>
              </w:rPr>
            </w:pPr>
            <w:r>
              <w:rPr>
                <w:rFonts w:hint="eastAsia" w:ascii="宋体" w:hAnsi="宋体" w:cs="宋体"/>
                <w:bCs/>
                <w:color w:val="000000" w:themeColor="text1"/>
                <w:kern w:val="0"/>
                <w:sz w:val="24"/>
              </w:rPr>
              <w:t>名称</w:t>
            </w:r>
          </w:p>
        </w:tc>
        <w:tc>
          <w:tcPr>
            <w:tcW w:w="1134" w:type="dxa"/>
            <w:shd w:val="clear" w:color="auto" w:fill="D8D8D8" w:themeFill="background1" w:themeFillShade="D9"/>
            <w:vAlign w:val="center"/>
          </w:tcPr>
          <w:p>
            <w:pPr>
              <w:spacing w:line="360" w:lineRule="auto"/>
              <w:ind w:left="-48" w:leftChars="-23" w:right="-65" w:rightChars="-31"/>
              <w:jc w:val="center"/>
              <w:rPr>
                <w:rFonts w:ascii="宋体" w:hAnsi="宋体" w:cs="宋体"/>
                <w:bCs/>
                <w:color w:val="000000" w:themeColor="text1"/>
                <w:kern w:val="0"/>
                <w:sz w:val="24"/>
              </w:rPr>
            </w:pPr>
            <w:r>
              <w:rPr>
                <w:rFonts w:hint="eastAsia" w:ascii="宋体" w:hAnsi="宋体"/>
                <w:bCs/>
                <w:color w:val="000000" w:themeColor="text1"/>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bCs/>
                <w:color w:val="000000" w:themeColor="text1"/>
                <w:kern w:val="0"/>
                <w:sz w:val="24"/>
              </w:rPr>
            </w:pPr>
            <w:r>
              <w:rPr>
                <w:rFonts w:hint="eastAsia" w:ascii="宋体" w:hAnsi="宋体" w:cs="宋体"/>
                <w:bCs/>
                <w:color w:val="000000" w:themeColor="text1"/>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bCs/>
                <w:color w:val="000000" w:themeColor="text1"/>
                <w:kern w:val="0"/>
                <w:sz w:val="24"/>
              </w:rPr>
            </w:pPr>
            <w:r>
              <w:rPr>
                <w:rFonts w:hint="eastAsia" w:ascii="宋体" w:hAnsi="宋体" w:cs="宋体"/>
                <w:bCs/>
                <w:color w:val="000000" w:themeColor="text1"/>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bCs/>
                <w:color w:val="000000" w:themeColor="text1"/>
                <w:kern w:val="0"/>
                <w:sz w:val="24"/>
              </w:rPr>
            </w:pPr>
            <w:r>
              <w:rPr>
                <w:rFonts w:hint="eastAsia" w:ascii="宋体" w:hAnsi="宋体" w:cs="宋体"/>
                <w:bCs/>
                <w:color w:val="000000" w:themeColor="text1"/>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bCs/>
                <w:color w:val="000000" w:themeColor="text1"/>
                <w:kern w:val="0"/>
                <w:sz w:val="24"/>
              </w:rPr>
            </w:pPr>
            <w:r>
              <w:rPr>
                <w:rFonts w:hint="eastAsia" w:ascii="宋体" w:hAnsi="宋体" w:cs="宋体"/>
                <w:bCs/>
                <w:color w:val="000000" w:themeColor="text1"/>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1"/>
              </w:numPr>
              <w:tabs>
                <w:tab w:val="left" w:pos="82"/>
              </w:tabs>
              <w:adjustRightInd w:val="0"/>
              <w:snapToGrid w:val="0"/>
              <w:spacing w:line="360" w:lineRule="auto"/>
              <w:jc w:val="center"/>
              <w:rPr>
                <w:rFonts w:ascii="宋体" w:hAnsi="宋体"/>
                <w:bCs/>
                <w:color w:val="000000" w:themeColor="text1"/>
                <w:sz w:val="24"/>
              </w:rPr>
            </w:pPr>
          </w:p>
        </w:tc>
        <w:tc>
          <w:tcPr>
            <w:tcW w:w="2611" w:type="dxa"/>
            <w:shd w:val="clear" w:color="auto" w:fill="auto"/>
            <w:vAlign w:val="center"/>
          </w:tcPr>
          <w:p>
            <w:pPr>
              <w:tabs>
                <w:tab w:val="left" w:pos="0"/>
                <w:tab w:val="left" w:pos="56"/>
              </w:tabs>
              <w:adjustRightInd w:val="0"/>
              <w:snapToGrid w:val="0"/>
              <w:spacing w:line="360" w:lineRule="auto"/>
              <w:ind w:left="547" w:hanging="547" w:hangingChars="228"/>
              <w:jc w:val="center"/>
              <w:rPr>
                <w:rFonts w:ascii="宋体" w:hAnsi="宋体"/>
                <w:bCs/>
                <w:color w:val="000000" w:themeColor="text1"/>
                <w:sz w:val="24"/>
              </w:rPr>
            </w:pPr>
            <w:r>
              <w:rPr>
                <w:rFonts w:hint="eastAsia" w:ascii="宋体" w:hAnsi="宋体"/>
                <w:bCs/>
                <w:color w:val="000000" w:themeColor="text1"/>
                <w:sz w:val="24"/>
              </w:rPr>
              <w:t>货物1（工程或服务）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800" w:type="dxa"/>
            <w:shd w:val="clear" w:color="auto" w:fill="auto"/>
            <w:vAlign w:val="center"/>
          </w:tcPr>
          <w:p>
            <w:pPr>
              <w:spacing w:line="360" w:lineRule="auto"/>
              <w:ind w:left="-48" w:leftChars="-23" w:right="-375" w:rightChars="-179"/>
              <w:jc w:val="center"/>
              <w:rPr>
                <w:rFonts w:ascii="宋体" w:hAnsi="宋体" w:eastAsia="宋体" w:cs="宋体"/>
                <w:bCs/>
                <w:color w:val="000000" w:themeColor="text1"/>
                <w:kern w:val="0"/>
                <w:sz w:val="24"/>
                <w:szCs w:val="24"/>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1"/>
              </w:numPr>
              <w:tabs>
                <w:tab w:val="left" w:pos="82"/>
              </w:tabs>
              <w:adjustRightInd w:val="0"/>
              <w:snapToGrid w:val="0"/>
              <w:spacing w:line="360" w:lineRule="auto"/>
              <w:jc w:val="center"/>
              <w:rPr>
                <w:rFonts w:ascii="宋体" w:hAnsi="宋体"/>
                <w:bCs/>
                <w:color w:val="000000" w:themeColor="text1"/>
                <w:sz w:val="24"/>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rPr>
            </w:pPr>
            <w:r>
              <w:rPr>
                <w:rFonts w:hint="eastAsia" w:ascii="宋体" w:hAnsi="宋体"/>
                <w:bCs/>
                <w:color w:val="000000" w:themeColor="text1"/>
                <w:sz w:val="24"/>
              </w:rPr>
              <w:t>货物2（工程或服务）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1"/>
              </w:numPr>
              <w:tabs>
                <w:tab w:val="left" w:pos="82"/>
              </w:tabs>
              <w:adjustRightInd w:val="0"/>
              <w:snapToGrid w:val="0"/>
              <w:spacing w:line="360" w:lineRule="auto"/>
              <w:jc w:val="center"/>
              <w:rPr>
                <w:rFonts w:ascii="宋体" w:hAnsi="宋体"/>
                <w:bCs/>
                <w:color w:val="000000" w:themeColor="text1"/>
                <w:sz w:val="24"/>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rPr>
            </w:pPr>
            <w:r>
              <w:rPr>
                <w:rFonts w:hint="eastAsia" w:ascii="宋体" w:hAnsi="宋体"/>
                <w:bCs/>
                <w:color w:val="000000" w:themeColor="text1"/>
                <w:sz w:val="24"/>
              </w:rPr>
              <w:t>货物3（工程或服务）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1"/>
              </w:numPr>
              <w:tabs>
                <w:tab w:val="left" w:pos="82"/>
              </w:tabs>
              <w:adjustRightInd w:val="0"/>
              <w:snapToGrid w:val="0"/>
              <w:spacing w:line="360" w:lineRule="auto"/>
              <w:jc w:val="center"/>
              <w:rPr>
                <w:rFonts w:ascii="宋体" w:hAnsi="宋体"/>
                <w:bCs/>
                <w:color w:val="000000" w:themeColor="text1"/>
                <w:sz w:val="24"/>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rPr>
            </w:pPr>
            <w:r>
              <w:rPr>
                <w:rFonts w:hint="eastAsia" w:ascii="宋体" w:hAnsi="宋体"/>
                <w:bCs/>
                <w:color w:val="000000" w:themeColor="text1"/>
                <w:sz w:val="24"/>
              </w:rPr>
              <w:t>货物4（工程或服务）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1"/>
              </w:numPr>
              <w:tabs>
                <w:tab w:val="left" w:pos="82"/>
              </w:tabs>
              <w:adjustRightInd w:val="0"/>
              <w:snapToGrid w:val="0"/>
              <w:spacing w:line="360" w:lineRule="auto"/>
              <w:jc w:val="center"/>
              <w:rPr>
                <w:rFonts w:ascii="宋体" w:hAnsi="宋体"/>
                <w:bCs/>
                <w:color w:val="000000" w:themeColor="text1"/>
                <w:sz w:val="24"/>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rPr>
            </w:pPr>
            <w:r>
              <w:rPr>
                <w:rFonts w:hint="eastAsia" w:ascii="宋体" w:hAnsi="宋体"/>
                <w:bCs/>
                <w:color w:val="000000" w:themeColor="text1"/>
                <w:sz w:val="24"/>
              </w:rPr>
              <w:t>货物5（工程或服务）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1"/>
              </w:numPr>
              <w:tabs>
                <w:tab w:val="left" w:pos="82"/>
              </w:tabs>
              <w:adjustRightInd w:val="0"/>
              <w:snapToGrid w:val="0"/>
              <w:spacing w:line="360" w:lineRule="auto"/>
              <w:jc w:val="center"/>
              <w:rPr>
                <w:rFonts w:ascii="宋体" w:hAnsi="宋体"/>
                <w:bCs/>
                <w:color w:val="000000" w:themeColor="text1"/>
                <w:sz w:val="24"/>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rPr>
            </w:pPr>
            <w:r>
              <w:rPr>
                <w:rFonts w:hint="eastAsia" w:ascii="宋体" w:hAnsi="宋体"/>
                <w:bCs/>
                <w:color w:val="000000" w:themeColor="text1"/>
                <w:sz w:val="24"/>
              </w:rPr>
              <w:t>货物6（工程或服务）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1"/>
              </w:numPr>
              <w:tabs>
                <w:tab w:val="left" w:pos="82"/>
              </w:tabs>
              <w:adjustRightInd w:val="0"/>
              <w:snapToGrid w:val="0"/>
              <w:spacing w:line="360" w:lineRule="auto"/>
              <w:jc w:val="center"/>
              <w:rPr>
                <w:rFonts w:ascii="宋体" w:hAnsi="宋体"/>
                <w:bCs/>
                <w:color w:val="000000" w:themeColor="text1"/>
                <w:sz w:val="24"/>
              </w:rPr>
            </w:pPr>
          </w:p>
        </w:tc>
        <w:tc>
          <w:tcPr>
            <w:tcW w:w="2611" w:type="dxa"/>
            <w:shd w:val="clear" w:color="auto" w:fill="auto"/>
            <w:vAlign w:val="center"/>
          </w:tcPr>
          <w:p>
            <w:pPr>
              <w:tabs>
                <w:tab w:val="left" w:pos="0"/>
                <w:tab w:val="left" w:pos="56"/>
              </w:tabs>
              <w:adjustRightInd w:val="0"/>
              <w:snapToGrid w:val="0"/>
              <w:spacing w:line="360" w:lineRule="auto"/>
              <w:jc w:val="center"/>
              <w:rPr>
                <w:rFonts w:ascii="宋体" w:hAnsi="宋体"/>
                <w:bCs/>
                <w:color w:val="000000" w:themeColor="text1"/>
                <w:sz w:val="24"/>
              </w:rPr>
            </w:pPr>
            <w:r>
              <w:rPr>
                <w:rFonts w:hint="eastAsia" w:ascii="宋体" w:hAnsi="宋体"/>
                <w:bCs/>
                <w:color w:val="000000" w:themeColor="text1"/>
                <w:sz w:val="24"/>
              </w:rPr>
              <w:t>货物7（工程或服务）</w:t>
            </w: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spacing w:line="360" w:lineRule="auto"/>
              <w:jc w:val="center"/>
              <w:rPr>
                <w:rFonts w:ascii="宋体" w:hAnsi="宋体"/>
                <w:bCs/>
                <w:color w:val="000000" w:themeColor="text1"/>
                <w:sz w:val="24"/>
              </w:rPr>
            </w:pPr>
            <w:r>
              <w:rPr>
                <w:rFonts w:hint="eastAsia" w:ascii="宋体" w:hAnsi="宋体"/>
                <w:bCs/>
                <w:color w:val="000000" w:themeColor="text1"/>
                <w:sz w:val="24"/>
              </w:rPr>
              <w:t>…</w:t>
            </w:r>
          </w:p>
        </w:tc>
        <w:tc>
          <w:tcPr>
            <w:tcW w:w="2611"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1134"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800"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676"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c>
          <w:tcPr>
            <w:tcW w:w="1316" w:type="dxa"/>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c>
          <w:tcPr>
            <w:tcW w:w="1357" w:type="dxa"/>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360" w:lineRule="auto"/>
              <w:ind w:left="-48" w:leftChars="-23" w:right="-65" w:rightChars="-31"/>
              <w:jc w:val="center"/>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合计</w:t>
            </w:r>
          </w:p>
        </w:tc>
        <w:tc>
          <w:tcPr>
            <w:tcW w:w="2673" w:type="dxa"/>
            <w:gridSpan w:val="2"/>
            <w:shd w:val="clear" w:color="auto" w:fill="auto"/>
            <w:vAlign w:val="center"/>
          </w:tcPr>
          <w:p>
            <w:pPr>
              <w:spacing w:line="360" w:lineRule="auto"/>
              <w:ind w:left="-48" w:leftChars="-23" w:right="-65" w:rightChars="-31"/>
              <w:jc w:val="left"/>
              <w:rPr>
                <w:rFonts w:ascii="宋体" w:hAnsi="宋体" w:eastAsia="宋体" w:cs="宋体"/>
                <w:bCs/>
                <w:color w:val="000000" w:themeColor="text1"/>
                <w:kern w:val="0"/>
                <w:sz w:val="24"/>
                <w:szCs w:val="24"/>
              </w:rPr>
            </w:pPr>
          </w:p>
        </w:tc>
      </w:tr>
    </w:tbl>
    <w:p>
      <w:pPr>
        <w:spacing w:line="360" w:lineRule="auto"/>
        <w:ind w:left="1049" w:hanging="1048" w:hangingChars="437"/>
        <w:jc w:val="left"/>
        <w:rPr>
          <w:rFonts w:ascii="宋体" w:hAnsi="宋体"/>
          <w:bCs/>
          <w:color w:val="000000" w:themeColor="text1"/>
          <w:sz w:val="24"/>
        </w:rPr>
      </w:pPr>
      <w:r>
        <w:rPr>
          <w:rFonts w:hint="eastAsia" w:ascii="宋体" w:hAnsi="宋体"/>
          <w:bCs/>
          <w:color w:val="000000" w:themeColor="text1"/>
          <w:sz w:val="24"/>
        </w:rPr>
        <w:t>说明：1．所有价格均用人民币表示，单位为元。</w:t>
      </w:r>
    </w:p>
    <w:p>
      <w:pPr>
        <w:spacing w:line="360" w:lineRule="auto"/>
        <w:ind w:left="1061" w:leftChars="339" w:hanging="350" w:hangingChars="146"/>
        <w:jc w:val="left"/>
        <w:rPr>
          <w:rFonts w:ascii="宋体" w:hAnsi="宋体"/>
          <w:bCs/>
          <w:color w:val="000000" w:themeColor="text1"/>
          <w:sz w:val="24"/>
        </w:rPr>
      </w:pPr>
      <w:r>
        <w:rPr>
          <w:rFonts w:hint="eastAsia" w:ascii="宋体" w:hAnsi="宋体"/>
          <w:bCs/>
          <w:color w:val="000000" w:themeColor="text1"/>
          <w:sz w:val="24"/>
        </w:rPr>
        <w:t>2．报价明细表合计应与《开标一览表》中的投标总报价一致。</w:t>
      </w:r>
    </w:p>
    <w:p>
      <w:pPr>
        <w:spacing w:line="360" w:lineRule="auto"/>
        <w:ind w:left="1061" w:leftChars="339" w:hanging="350" w:hangingChars="146"/>
        <w:jc w:val="left"/>
        <w:rPr>
          <w:rFonts w:ascii="宋体" w:hAnsi="宋体"/>
          <w:bCs/>
          <w:color w:val="000000" w:themeColor="text1"/>
          <w:sz w:val="24"/>
        </w:rPr>
      </w:pPr>
      <w:r>
        <w:rPr>
          <w:rFonts w:hint="eastAsia" w:ascii="宋体" w:hAnsi="宋体"/>
          <w:bCs/>
          <w:color w:val="000000" w:themeColor="text1"/>
          <w:sz w:val="24"/>
        </w:rPr>
        <w:t>3．未提供详细的货物（工程或服务）报价明细</w:t>
      </w:r>
      <w:r>
        <w:rPr>
          <w:rFonts w:hint="eastAsia" w:ascii="宋体" w:hAnsi="宋体" w:cs="Corbel"/>
          <w:bCs/>
          <w:color w:val="000000" w:themeColor="text1"/>
          <w:sz w:val="24"/>
        </w:rPr>
        <w:t>，</w:t>
      </w:r>
      <w:r>
        <w:rPr>
          <w:rFonts w:hint="eastAsia" w:ascii="宋体" w:hAnsi="宋体"/>
          <w:bCs/>
          <w:color w:val="000000" w:themeColor="text1"/>
          <w:sz w:val="24"/>
        </w:rPr>
        <w:t>导致的后果由投标人自行承担。</w:t>
      </w:r>
    </w:p>
    <w:p>
      <w:pPr>
        <w:spacing w:line="360" w:lineRule="auto"/>
        <w:ind w:left="950" w:hanging="950" w:hangingChars="396"/>
        <w:jc w:val="left"/>
        <w:rPr>
          <w:rFonts w:ascii="宋体" w:hAnsi="宋体" w:eastAsia="宋体" w:cs="Times New Roman"/>
          <w:bCs/>
          <w:color w:val="000000" w:themeColor="text1"/>
          <w:sz w:val="24"/>
          <w:szCs w:val="24"/>
        </w:rPr>
      </w:pPr>
    </w:p>
    <w:p>
      <w:pPr>
        <w:spacing w:line="360" w:lineRule="auto"/>
        <w:ind w:left="950" w:hanging="950" w:hangingChars="396"/>
        <w:jc w:val="left"/>
        <w:rPr>
          <w:rFonts w:ascii="宋体" w:hAnsi="宋体" w:eastAsia="宋体" w:cs="Times New Roman"/>
          <w:bCs/>
          <w:color w:val="000000" w:themeColor="text1"/>
          <w:sz w:val="24"/>
          <w:szCs w:val="24"/>
        </w:rPr>
      </w:pPr>
    </w:p>
    <w:p>
      <w:pPr>
        <w:spacing w:line="360" w:lineRule="auto"/>
        <w:ind w:left="950" w:hanging="950" w:hangingChars="396"/>
        <w:jc w:val="left"/>
        <w:rPr>
          <w:rFonts w:ascii="宋体" w:hAnsi="宋体" w:eastAsia="宋体" w:cs="Times New Roman"/>
          <w:bCs/>
          <w:color w:val="000000" w:themeColor="text1"/>
          <w:sz w:val="24"/>
          <w:szCs w:val="24"/>
        </w:rPr>
      </w:pPr>
    </w:p>
    <w:p>
      <w:pPr>
        <w:spacing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p>
    <w:p>
      <w:pPr>
        <w:spacing w:line="360" w:lineRule="auto"/>
        <w:ind w:firstLine="3316" w:firstLineChars="1382"/>
        <w:rPr>
          <w:rFonts w:hAnsi="宋体"/>
          <w:bCs/>
          <w:color w:val="000000" w:themeColor="text1"/>
          <w:sz w:val="24"/>
          <w:u w:val="single"/>
        </w:rPr>
      </w:pPr>
      <w:r>
        <w:rPr>
          <w:rFonts w:hint="eastAsia" w:ascii="宋体" w:hAnsi="宋体" w:eastAsia="宋体" w:cs="Times New Roman"/>
          <w:bCs/>
          <w:color w:val="000000" w:themeColor="text1"/>
          <w:sz w:val="24"/>
          <w:szCs w:val="21"/>
          <w:lang w:val="zh-CN"/>
        </w:rPr>
        <w:t>投标人</w:t>
      </w:r>
      <w:r>
        <w:rPr>
          <w:rFonts w:hint="eastAsia" w:hAnsi="宋体"/>
          <w:bCs/>
          <w:color w:val="000000" w:themeColor="text1"/>
          <w:sz w:val="24"/>
        </w:rPr>
        <w:t>授权代表（签字）：</w:t>
      </w:r>
    </w:p>
    <w:p>
      <w:pPr>
        <w:spacing w:line="360" w:lineRule="auto"/>
        <w:ind w:firstLine="3316" w:firstLineChars="1382"/>
        <w:rPr>
          <w:rFonts w:hAnsi="宋体"/>
          <w:bCs/>
          <w:color w:val="000000" w:themeColor="text1"/>
          <w:sz w:val="24"/>
          <w:u w:val="single"/>
        </w:rPr>
      </w:pPr>
      <w:r>
        <w:rPr>
          <w:rFonts w:hint="eastAsia" w:ascii="宋体" w:hAnsi="宋体" w:eastAsia="宋体" w:cs="Times New Roman"/>
          <w:bCs/>
          <w:color w:val="000000" w:themeColor="text1"/>
          <w:sz w:val="24"/>
          <w:szCs w:val="21"/>
          <w:lang w:val="zh-CN"/>
        </w:rPr>
        <w:t>投标</w:t>
      </w:r>
      <w:r>
        <w:rPr>
          <w:rFonts w:hint="eastAsia" w:hAnsi="宋体"/>
          <w:bCs/>
          <w:color w:val="000000" w:themeColor="text1"/>
          <w:sz w:val="24"/>
        </w:rPr>
        <w:t>时间：</w:t>
      </w:r>
    </w:p>
    <w:p>
      <w:pPr>
        <w:spacing w:line="360" w:lineRule="auto"/>
        <w:rPr>
          <w:bCs/>
          <w:color w:val="000000" w:themeColor="text1"/>
        </w:rPr>
      </w:pPr>
      <w:r>
        <w:rPr>
          <w:bCs/>
          <w:color w:val="000000" w:themeColor="text1"/>
        </w:rPr>
        <w:br w:type="page"/>
      </w:r>
    </w:p>
    <w:p>
      <w:pPr>
        <w:pStyle w:val="4"/>
        <w:numPr>
          <w:ilvl w:val="0"/>
          <w:numId w:val="48"/>
        </w:numPr>
        <w:spacing w:before="0" w:after="0" w:line="360" w:lineRule="auto"/>
        <w:ind w:left="1288" w:hanging="1288"/>
        <w:rPr>
          <w:rFonts w:ascii="宋体" w:hAnsi="宋体" w:eastAsia="宋体"/>
          <w:color w:val="000000" w:themeColor="text1"/>
          <w:sz w:val="31"/>
          <w:szCs w:val="31"/>
        </w:rPr>
      </w:pPr>
      <w:bookmarkStart w:id="160" w:name="_Toc494745324"/>
      <w:bookmarkStart w:id="161" w:name="_Toc494665560"/>
      <w:bookmarkStart w:id="162" w:name="_Toc495861556"/>
      <w:bookmarkStart w:id="163" w:name="_Toc494702277"/>
      <w:bookmarkStart w:id="164" w:name="_Toc494665957"/>
      <w:bookmarkStart w:id="165" w:name="_Toc494577412"/>
      <w:bookmarkStart w:id="166" w:name="_Toc494721107"/>
      <w:bookmarkStart w:id="167" w:name="_Toc494665007"/>
      <w:r>
        <w:rPr>
          <w:rFonts w:hint="eastAsia" w:ascii="宋体" w:hAnsi="宋体" w:eastAsia="宋体"/>
          <w:color w:val="000000" w:themeColor="text1"/>
          <w:sz w:val="31"/>
          <w:szCs w:val="31"/>
        </w:rPr>
        <w:t>小型和微型企业、监狱企业、残疾人福利性单位货物汇总表</w:t>
      </w:r>
      <w:bookmarkEnd w:id="160"/>
      <w:bookmarkEnd w:id="161"/>
      <w:bookmarkEnd w:id="162"/>
      <w:bookmarkEnd w:id="163"/>
      <w:bookmarkEnd w:id="164"/>
      <w:bookmarkEnd w:id="165"/>
      <w:bookmarkEnd w:id="166"/>
      <w:bookmarkEnd w:id="167"/>
    </w:p>
    <w:p>
      <w:pPr>
        <w:spacing w:line="360" w:lineRule="auto"/>
        <w:jc w:val="left"/>
        <w:rPr>
          <w:rFonts w:hAnsi="宋体"/>
          <w:bCs/>
          <w:color w:val="000000" w:themeColor="text1"/>
          <w:sz w:val="24"/>
        </w:rPr>
      </w:pPr>
      <w:r>
        <w:rPr>
          <w:rFonts w:hint="eastAsia" w:hAnsi="宋体"/>
          <w:bCs/>
          <w:color w:val="000000" w:themeColor="text1"/>
          <w:sz w:val="24"/>
        </w:rPr>
        <w:t>投标人：</w:t>
      </w:r>
    </w:p>
    <w:p>
      <w:pPr>
        <w:spacing w:line="360" w:lineRule="auto"/>
        <w:jc w:val="left"/>
        <w:rPr>
          <w:rFonts w:hAnsi="宋体"/>
          <w:bCs/>
          <w:color w:val="000000" w:themeColor="text1"/>
          <w:sz w:val="24"/>
        </w:rPr>
      </w:pPr>
      <w:r>
        <w:rPr>
          <w:rFonts w:hint="eastAsia" w:ascii="宋体" w:hAnsi="宋体" w:eastAsia="宋体" w:cs="Times New Roman"/>
          <w:bCs/>
          <w:color w:val="000000" w:themeColor="text1"/>
          <w:sz w:val="24"/>
          <w:szCs w:val="21"/>
          <w:lang w:val="zh-CN"/>
        </w:rPr>
        <w:t>项目编号：                所投包号：</w:t>
      </w:r>
    </w:p>
    <w:tbl>
      <w:tblPr>
        <w:tblStyle w:val="2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rPr>
            </w:pPr>
            <w:r>
              <w:rPr>
                <w:rFonts w:hint="eastAsia" w:ascii="宋体" w:hAnsi="宋体"/>
                <w:bCs/>
                <w:color w:val="000000" w:themeColor="text1"/>
                <w:sz w:val="24"/>
              </w:rPr>
              <w:t>序号</w:t>
            </w:r>
          </w:p>
        </w:tc>
        <w:tc>
          <w:tcPr>
            <w:tcW w:w="1552"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rPr>
            </w:pPr>
            <w:r>
              <w:rPr>
                <w:rFonts w:hint="eastAsia" w:ascii="宋体" w:hAnsi="宋体"/>
                <w:bCs/>
                <w:color w:val="000000" w:themeColor="text1"/>
                <w:sz w:val="24"/>
              </w:rPr>
              <w:t>制造商名称</w:t>
            </w:r>
          </w:p>
        </w:tc>
        <w:tc>
          <w:tcPr>
            <w:tcW w:w="1560"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rPr>
            </w:pPr>
            <w:r>
              <w:rPr>
                <w:rFonts w:hint="eastAsia" w:ascii="宋体" w:hAnsi="宋体"/>
                <w:bCs/>
                <w:color w:val="000000" w:themeColor="text1"/>
                <w:sz w:val="24"/>
              </w:rPr>
              <w:t>货物名称</w:t>
            </w:r>
          </w:p>
        </w:tc>
        <w:tc>
          <w:tcPr>
            <w:tcW w:w="1133"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rPr>
            </w:pPr>
            <w:r>
              <w:rPr>
                <w:rFonts w:hint="eastAsia" w:ascii="宋体" w:hAnsi="宋体"/>
                <w:bCs/>
                <w:color w:val="000000" w:themeColor="text1"/>
                <w:sz w:val="24"/>
              </w:rPr>
              <w:t>规格型号</w:t>
            </w:r>
          </w:p>
        </w:tc>
        <w:tc>
          <w:tcPr>
            <w:tcW w:w="848"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rPr>
            </w:pPr>
            <w:r>
              <w:rPr>
                <w:rFonts w:hint="eastAsia" w:ascii="宋体" w:hAnsi="宋体"/>
                <w:bCs/>
                <w:color w:val="000000" w:themeColor="text1"/>
                <w:sz w:val="24"/>
              </w:rPr>
              <w:t>数量</w:t>
            </w:r>
          </w:p>
        </w:tc>
        <w:tc>
          <w:tcPr>
            <w:tcW w:w="1100"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rPr>
            </w:pPr>
            <w:r>
              <w:rPr>
                <w:rFonts w:hint="eastAsia" w:ascii="宋体" w:hAnsi="宋体"/>
                <w:bCs/>
                <w:color w:val="000000" w:themeColor="text1"/>
                <w:sz w:val="24"/>
              </w:rPr>
              <w:t>单价</w:t>
            </w:r>
          </w:p>
        </w:tc>
        <w:tc>
          <w:tcPr>
            <w:tcW w:w="1134"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rPr>
            </w:pPr>
            <w:r>
              <w:rPr>
                <w:rFonts w:hint="eastAsia" w:ascii="宋体" w:hAnsi="宋体"/>
                <w:bCs/>
                <w:color w:val="000000" w:themeColor="text1"/>
                <w:sz w:val="24"/>
              </w:rPr>
              <w:t>分项</w:t>
            </w:r>
          </w:p>
          <w:p>
            <w:pPr>
              <w:adjustRightInd w:val="0"/>
              <w:snapToGrid w:val="0"/>
              <w:spacing w:line="360" w:lineRule="auto"/>
              <w:ind w:left="-88" w:leftChars="-42"/>
              <w:jc w:val="center"/>
              <w:rPr>
                <w:rFonts w:ascii="宋体" w:hAnsi="宋体"/>
                <w:bCs/>
                <w:color w:val="000000" w:themeColor="text1"/>
                <w:sz w:val="24"/>
              </w:rPr>
            </w:pPr>
            <w:r>
              <w:rPr>
                <w:rFonts w:hint="eastAsia" w:ascii="宋体" w:hAnsi="宋体"/>
                <w:bCs/>
                <w:color w:val="000000" w:themeColor="text1"/>
                <w:sz w:val="24"/>
              </w:rPr>
              <w:t>合计</w:t>
            </w:r>
          </w:p>
        </w:tc>
        <w:tc>
          <w:tcPr>
            <w:tcW w:w="1468" w:type="dxa"/>
            <w:shd w:val="clear" w:color="auto" w:fill="F1F1F1" w:themeFill="background1" w:themeFillShade="F2"/>
            <w:vAlign w:val="center"/>
          </w:tcPr>
          <w:p>
            <w:pPr>
              <w:adjustRightInd w:val="0"/>
              <w:snapToGrid w:val="0"/>
              <w:spacing w:line="360" w:lineRule="auto"/>
              <w:ind w:left="-88" w:leftChars="-42"/>
              <w:jc w:val="center"/>
              <w:rPr>
                <w:rFonts w:ascii="宋体" w:hAnsi="宋体"/>
                <w:bCs/>
                <w:color w:val="000000" w:themeColor="text1"/>
                <w:sz w:val="24"/>
              </w:rPr>
            </w:pPr>
            <w:r>
              <w:rPr>
                <w:rFonts w:hint="eastAsia" w:ascii="宋体" w:hAnsi="宋体"/>
                <w:bCs/>
                <w:color w:val="000000" w:themeColor="text1"/>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6</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7</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1552" w:type="dxa"/>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56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3"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84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00"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134"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c>
          <w:tcPr>
            <w:tcW w:w="1468" w:type="dxa"/>
            <w:shd w:val="clear" w:color="auto" w:fill="auto"/>
            <w:vAlign w:val="center"/>
          </w:tcPr>
          <w:p>
            <w:pPr>
              <w:tabs>
                <w:tab w:val="left" w:pos="0"/>
                <w:tab w:val="left" w:pos="56"/>
              </w:tabs>
              <w:adjustRightInd w:val="0"/>
              <w:snapToGrid w:val="0"/>
              <w:spacing w:line="360" w:lineRule="auto"/>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000000" w:themeColor="text1"/>
                <w:sz w:val="24"/>
              </w:rPr>
            </w:pPr>
            <w:r>
              <w:rPr>
                <w:rFonts w:hint="eastAsia" w:ascii="宋体" w:hAnsi="宋体"/>
                <w:bCs/>
                <w:color w:val="000000" w:themeColor="text1"/>
                <w:sz w:val="24"/>
              </w:rPr>
              <w:t>合计</w:t>
            </w:r>
          </w:p>
        </w:tc>
        <w:tc>
          <w:tcPr>
            <w:tcW w:w="2602" w:type="dxa"/>
            <w:gridSpan w:val="2"/>
            <w:shd w:val="clear" w:color="auto" w:fill="auto"/>
            <w:vAlign w:val="center"/>
          </w:tcPr>
          <w:p>
            <w:pPr>
              <w:spacing w:line="360" w:lineRule="auto"/>
              <w:jc w:val="left"/>
              <w:rPr>
                <w:rFonts w:ascii="宋体" w:hAnsi="宋体"/>
                <w:bCs/>
                <w:color w:val="000000" w:themeColor="text1"/>
                <w:sz w:val="24"/>
              </w:rPr>
            </w:pPr>
          </w:p>
        </w:tc>
      </w:tr>
    </w:tbl>
    <w:p>
      <w:pPr>
        <w:spacing w:line="360" w:lineRule="auto"/>
        <w:ind w:left="1049" w:hanging="1048" w:hangingChars="437"/>
        <w:jc w:val="left"/>
        <w:rPr>
          <w:rFonts w:ascii="宋体" w:hAnsi="宋体"/>
          <w:color w:val="000000" w:themeColor="text1"/>
          <w:sz w:val="24"/>
        </w:rPr>
      </w:pPr>
      <w:r>
        <w:rPr>
          <w:rFonts w:hint="eastAsia" w:ascii="宋体" w:hAnsi="宋体"/>
          <w:color w:val="000000" w:themeColor="text1"/>
          <w:sz w:val="24"/>
        </w:rPr>
        <w:t>说明：1</w:t>
      </w:r>
      <w:r>
        <w:rPr>
          <w:rFonts w:hint="eastAsia" w:ascii="宋体" w:hAnsi="宋体" w:eastAsia="宋体" w:cs="Times New Roman"/>
          <w:color w:val="000000" w:themeColor="text1"/>
          <w:sz w:val="24"/>
          <w:szCs w:val="24"/>
        </w:rPr>
        <w:t>．</w:t>
      </w:r>
      <w:r>
        <w:rPr>
          <w:rFonts w:hint="eastAsia" w:ascii="宋体" w:hAnsi="宋体"/>
          <w:color w:val="000000" w:themeColor="text1"/>
          <w:sz w:val="24"/>
        </w:rPr>
        <w:t>所有价格均用人民币表示，单位为元。</w:t>
      </w:r>
    </w:p>
    <w:p>
      <w:pPr>
        <w:spacing w:line="360" w:lineRule="auto"/>
        <w:ind w:left="1061" w:leftChars="339" w:hanging="350" w:hangingChars="146"/>
        <w:jc w:val="left"/>
        <w:rPr>
          <w:rFonts w:ascii="宋体" w:hAnsi="宋体"/>
          <w:color w:val="000000" w:themeColor="text1"/>
          <w:sz w:val="24"/>
        </w:rPr>
      </w:pPr>
      <w:r>
        <w:rPr>
          <w:rFonts w:hint="eastAsia" w:ascii="宋体" w:hAnsi="宋体"/>
          <w:color w:val="000000" w:themeColor="text1"/>
          <w:sz w:val="24"/>
        </w:rPr>
        <w:t>2</w:t>
      </w:r>
      <w:r>
        <w:rPr>
          <w:rFonts w:hint="eastAsia" w:ascii="宋体" w:hAnsi="宋体" w:eastAsia="宋体" w:cs="Times New Roman"/>
          <w:color w:val="000000" w:themeColor="text1"/>
          <w:sz w:val="24"/>
          <w:szCs w:val="24"/>
        </w:rPr>
        <w:t>．</w:t>
      </w:r>
      <w:r>
        <w:rPr>
          <w:rFonts w:hint="eastAsia" w:ascii="宋体" w:hAnsi="宋体"/>
          <w:color w:val="000000" w:themeColor="text1"/>
          <w:sz w:val="24"/>
        </w:rPr>
        <w:t>投标人提供的相关证明文件对应页码填写到上表“投标文件对应的页码”中。</w:t>
      </w:r>
      <w:r>
        <w:rPr>
          <w:rFonts w:hint="eastAsia" w:ascii="宋体" w:hAnsi="宋体" w:cs="Corbel"/>
          <w:color w:val="000000" w:themeColor="text1"/>
          <w:sz w:val="24"/>
        </w:rPr>
        <w:t>如未提供页码或内容页码完全不一致的，</w:t>
      </w:r>
      <w:r>
        <w:rPr>
          <w:rFonts w:hint="eastAsia" w:ascii="宋体" w:hAnsi="宋体"/>
          <w:color w:val="000000" w:themeColor="text1"/>
          <w:sz w:val="24"/>
        </w:rPr>
        <w:t>导致的后果由投标人自行承担。</w:t>
      </w: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288" w:hanging="1288"/>
        <w:rPr>
          <w:rFonts w:ascii="宋体" w:hAnsi="宋体" w:eastAsia="宋体"/>
          <w:color w:val="000000" w:themeColor="text1"/>
        </w:rPr>
      </w:pPr>
      <w:bookmarkStart w:id="168" w:name="_Toc494665008"/>
      <w:bookmarkStart w:id="169" w:name="_Toc494721108"/>
      <w:bookmarkStart w:id="170" w:name="_Toc494745325"/>
      <w:bookmarkStart w:id="171" w:name="_Toc494665958"/>
      <w:bookmarkStart w:id="172" w:name="_Toc494702278"/>
      <w:bookmarkStart w:id="173" w:name="_Toc494665561"/>
      <w:bookmarkStart w:id="174" w:name="_Toc495861557"/>
      <w:r>
        <w:rPr>
          <w:rFonts w:hint="eastAsia" w:ascii="宋体" w:hAnsi="宋体" w:eastAsia="宋体"/>
          <w:color w:val="000000" w:themeColor="text1"/>
        </w:rPr>
        <w:t>投标货物（工程或服务）清单</w:t>
      </w:r>
      <w:bookmarkEnd w:id="168"/>
      <w:bookmarkEnd w:id="169"/>
      <w:bookmarkEnd w:id="170"/>
      <w:bookmarkEnd w:id="171"/>
      <w:bookmarkEnd w:id="172"/>
      <w:bookmarkEnd w:id="173"/>
      <w:bookmarkEnd w:id="174"/>
    </w:p>
    <w:p>
      <w:pPr>
        <w:adjustRightInd w:val="0"/>
        <w:snapToGrid w:val="0"/>
        <w:spacing w:line="360" w:lineRule="auto"/>
        <w:rPr>
          <w:rFonts w:ascii="宋体" w:hAnsi="宋体"/>
          <w:bCs/>
          <w:color w:val="000000" w:themeColor="text1"/>
          <w:sz w:val="24"/>
        </w:rPr>
      </w:pPr>
      <w:r>
        <w:rPr>
          <w:rFonts w:hint="eastAsia" w:ascii="宋体" w:hAnsi="宋体"/>
          <w:bCs/>
          <w:color w:val="000000" w:themeColor="text1"/>
          <w:sz w:val="24"/>
        </w:rPr>
        <w:t>投 标 人：</w:t>
      </w:r>
    </w:p>
    <w:p>
      <w:pPr>
        <w:adjustRightInd w:val="0"/>
        <w:snapToGrid w:val="0"/>
        <w:spacing w:line="360" w:lineRule="auto"/>
        <w:rPr>
          <w:rFonts w:ascii="宋体" w:hAnsi="宋体"/>
          <w:b/>
          <w:color w:val="000000" w:themeColor="text1"/>
          <w:sz w:val="24"/>
        </w:rPr>
      </w:pPr>
      <w:r>
        <w:rPr>
          <w:rFonts w:hint="eastAsia" w:ascii="宋体" w:hAnsi="宋体" w:eastAsia="宋体" w:cs="Times New Roman"/>
          <w:bCs/>
          <w:color w:val="000000" w:themeColor="text1"/>
          <w:sz w:val="24"/>
          <w:szCs w:val="21"/>
          <w:lang w:val="zh-CN"/>
        </w:rPr>
        <w:t>项目编号：                所投包号</w:t>
      </w:r>
      <w:r>
        <w:rPr>
          <w:rFonts w:hint="eastAsia" w:ascii="宋体" w:hAnsi="宋体" w:eastAsia="宋体" w:cs="Times New Roman"/>
          <w:b/>
          <w:bCs/>
          <w:color w:val="000000" w:themeColor="text1"/>
          <w:sz w:val="24"/>
          <w:szCs w:val="21"/>
          <w:lang w:val="zh-CN"/>
        </w:rPr>
        <w:t>：</w:t>
      </w:r>
    </w:p>
    <w:tbl>
      <w:tblPr>
        <w:tblStyle w:val="23"/>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rPr>
            </w:pPr>
            <w:r>
              <w:rPr>
                <w:rFonts w:hint="eastAsia" w:ascii="宋体" w:hAnsi="宋体" w:cs="宋体"/>
                <w:color w:val="000000" w:themeColor="text1"/>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spacing w:line="360" w:lineRule="auto"/>
              <w:ind w:left="-88" w:leftChars="-42"/>
              <w:jc w:val="center"/>
              <w:rPr>
                <w:rFonts w:ascii="宋体" w:hAnsi="宋体"/>
                <w:color w:val="000000" w:themeColor="text1"/>
                <w:sz w:val="24"/>
              </w:rPr>
            </w:pPr>
            <w:r>
              <w:rPr>
                <w:rFonts w:hint="eastAsia" w:ascii="宋体" w:hAnsi="宋体"/>
                <w:color w:val="000000" w:themeColor="text1"/>
                <w:sz w:val="24"/>
              </w:rPr>
              <w:t>1</w:t>
            </w:r>
          </w:p>
        </w:tc>
        <w:tc>
          <w:tcPr>
            <w:tcW w:w="2722" w:type="dxa"/>
            <w:tcBorders>
              <w:top w:val="single" w:color="auto" w:sz="4" w:space="0"/>
            </w:tcBorders>
            <w:vAlign w:val="center"/>
          </w:tcPr>
          <w:p>
            <w:pPr>
              <w:adjustRightInd w:val="0"/>
              <w:snapToGrid w:val="0"/>
              <w:spacing w:line="360" w:lineRule="auto"/>
              <w:ind w:left="-88" w:leftChars="-42"/>
              <w:jc w:val="center"/>
              <w:rPr>
                <w:rFonts w:ascii="宋体" w:hAnsi="宋体"/>
                <w:color w:val="000000" w:themeColor="text1"/>
                <w:sz w:val="24"/>
              </w:rPr>
            </w:pPr>
          </w:p>
        </w:tc>
        <w:tc>
          <w:tcPr>
            <w:tcW w:w="2459" w:type="dxa"/>
            <w:tcBorders>
              <w:top w:val="single" w:color="auto" w:sz="4" w:space="0"/>
            </w:tcBorders>
            <w:vAlign w:val="center"/>
          </w:tcPr>
          <w:p>
            <w:pPr>
              <w:adjustRightInd w:val="0"/>
              <w:snapToGrid w:val="0"/>
              <w:spacing w:line="360" w:lineRule="auto"/>
              <w:jc w:val="center"/>
              <w:rPr>
                <w:rFonts w:ascii="宋体" w:hAnsi="宋体"/>
                <w:color w:val="000000" w:themeColor="text1"/>
                <w:sz w:val="24"/>
              </w:rPr>
            </w:pPr>
          </w:p>
        </w:tc>
        <w:tc>
          <w:tcPr>
            <w:tcW w:w="851" w:type="dxa"/>
            <w:tcBorders>
              <w:top w:val="single" w:color="auto" w:sz="4" w:space="0"/>
            </w:tcBorders>
            <w:vAlign w:val="center"/>
          </w:tcPr>
          <w:p>
            <w:pPr>
              <w:adjustRightInd w:val="0"/>
              <w:snapToGrid w:val="0"/>
              <w:spacing w:line="360" w:lineRule="auto"/>
              <w:jc w:val="center"/>
              <w:rPr>
                <w:rFonts w:ascii="宋体" w:hAnsi="宋体"/>
                <w:color w:val="000000" w:themeColor="text1"/>
                <w:sz w:val="24"/>
              </w:rPr>
            </w:pPr>
          </w:p>
        </w:tc>
        <w:tc>
          <w:tcPr>
            <w:tcW w:w="2593" w:type="dxa"/>
            <w:tcBorders>
              <w:top w:val="single" w:color="auto" w:sz="4" w:space="0"/>
            </w:tcBorders>
            <w:vAlign w:val="center"/>
          </w:tcPr>
          <w:p>
            <w:pPr>
              <w:adjustRightInd w:val="0"/>
              <w:snapToGrid w:val="0"/>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rPr>
            </w:pPr>
            <w:r>
              <w:rPr>
                <w:rFonts w:hint="eastAsia" w:ascii="宋体" w:hAnsi="宋体"/>
                <w:color w:val="000000" w:themeColor="text1"/>
                <w:sz w:val="24"/>
              </w:rPr>
              <w:t>2</w:t>
            </w:r>
          </w:p>
        </w:tc>
        <w:tc>
          <w:tcPr>
            <w:tcW w:w="2722" w:type="dxa"/>
            <w:vAlign w:val="center"/>
          </w:tcPr>
          <w:p>
            <w:pPr>
              <w:adjustRightInd w:val="0"/>
              <w:snapToGrid w:val="0"/>
              <w:spacing w:line="360" w:lineRule="auto"/>
              <w:ind w:left="-88" w:leftChars="-42"/>
              <w:jc w:val="center"/>
              <w:rPr>
                <w:rFonts w:ascii="宋体" w:hAnsi="宋体"/>
                <w:color w:val="000000" w:themeColor="text1"/>
                <w:sz w:val="24"/>
              </w:rPr>
            </w:pPr>
          </w:p>
        </w:tc>
        <w:tc>
          <w:tcPr>
            <w:tcW w:w="2459" w:type="dxa"/>
            <w:vAlign w:val="center"/>
          </w:tcPr>
          <w:p>
            <w:pPr>
              <w:adjustRightInd w:val="0"/>
              <w:snapToGrid w:val="0"/>
              <w:spacing w:line="360" w:lineRule="auto"/>
              <w:jc w:val="center"/>
              <w:rPr>
                <w:rFonts w:ascii="宋体" w:hAnsi="宋体"/>
                <w:color w:val="000000" w:themeColor="text1"/>
                <w:sz w:val="24"/>
              </w:rPr>
            </w:pPr>
          </w:p>
        </w:tc>
        <w:tc>
          <w:tcPr>
            <w:tcW w:w="851" w:type="dxa"/>
            <w:vAlign w:val="center"/>
          </w:tcPr>
          <w:p>
            <w:pPr>
              <w:adjustRightInd w:val="0"/>
              <w:snapToGrid w:val="0"/>
              <w:spacing w:line="360" w:lineRule="auto"/>
              <w:jc w:val="center"/>
              <w:rPr>
                <w:rFonts w:ascii="宋体" w:hAnsi="宋体"/>
                <w:color w:val="000000" w:themeColor="text1"/>
                <w:sz w:val="24"/>
              </w:rPr>
            </w:pPr>
          </w:p>
        </w:tc>
        <w:tc>
          <w:tcPr>
            <w:tcW w:w="2593" w:type="dxa"/>
            <w:vAlign w:val="center"/>
          </w:tcPr>
          <w:p>
            <w:pPr>
              <w:adjustRightInd w:val="0"/>
              <w:snapToGrid w:val="0"/>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rPr>
            </w:pPr>
            <w:r>
              <w:rPr>
                <w:rFonts w:hint="eastAsia" w:ascii="宋体" w:hAnsi="宋体"/>
                <w:color w:val="000000" w:themeColor="text1"/>
                <w:sz w:val="24"/>
              </w:rPr>
              <w:t>3</w:t>
            </w:r>
          </w:p>
        </w:tc>
        <w:tc>
          <w:tcPr>
            <w:tcW w:w="2722" w:type="dxa"/>
            <w:vAlign w:val="center"/>
          </w:tcPr>
          <w:p>
            <w:pPr>
              <w:adjustRightInd w:val="0"/>
              <w:snapToGrid w:val="0"/>
              <w:spacing w:line="360" w:lineRule="auto"/>
              <w:ind w:left="-88" w:leftChars="-42"/>
              <w:jc w:val="center"/>
              <w:rPr>
                <w:rFonts w:ascii="宋体" w:hAnsi="宋体"/>
                <w:color w:val="000000" w:themeColor="text1"/>
                <w:sz w:val="24"/>
              </w:rPr>
            </w:pPr>
          </w:p>
        </w:tc>
        <w:tc>
          <w:tcPr>
            <w:tcW w:w="2459" w:type="dxa"/>
            <w:vAlign w:val="center"/>
          </w:tcPr>
          <w:p>
            <w:pPr>
              <w:adjustRightInd w:val="0"/>
              <w:snapToGrid w:val="0"/>
              <w:spacing w:line="360" w:lineRule="auto"/>
              <w:ind w:left="-88" w:leftChars="-42"/>
              <w:jc w:val="center"/>
              <w:rPr>
                <w:rFonts w:ascii="宋体" w:hAnsi="宋体"/>
                <w:color w:val="000000" w:themeColor="text1"/>
                <w:sz w:val="24"/>
              </w:rPr>
            </w:pPr>
          </w:p>
        </w:tc>
        <w:tc>
          <w:tcPr>
            <w:tcW w:w="851" w:type="dxa"/>
            <w:vAlign w:val="center"/>
          </w:tcPr>
          <w:p>
            <w:pPr>
              <w:adjustRightInd w:val="0"/>
              <w:snapToGrid w:val="0"/>
              <w:spacing w:line="360" w:lineRule="auto"/>
              <w:ind w:left="-88" w:leftChars="-42"/>
              <w:jc w:val="center"/>
              <w:rPr>
                <w:rFonts w:ascii="宋体" w:hAnsi="宋体"/>
                <w:color w:val="000000" w:themeColor="text1"/>
                <w:sz w:val="24"/>
              </w:rPr>
            </w:pPr>
          </w:p>
        </w:tc>
        <w:tc>
          <w:tcPr>
            <w:tcW w:w="2593" w:type="dxa"/>
            <w:vAlign w:val="center"/>
          </w:tcPr>
          <w:p>
            <w:pPr>
              <w:adjustRightInd w:val="0"/>
              <w:snapToGrid w:val="0"/>
              <w:spacing w:line="360" w:lineRule="auto"/>
              <w:ind w:left="-88" w:leftChars="-42"/>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rPr>
            </w:pPr>
            <w:r>
              <w:rPr>
                <w:rFonts w:hint="eastAsia" w:ascii="宋体" w:hAnsi="宋体"/>
                <w:color w:val="000000" w:themeColor="text1"/>
                <w:sz w:val="24"/>
              </w:rPr>
              <w:t>4</w:t>
            </w:r>
          </w:p>
        </w:tc>
        <w:tc>
          <w:tcPr>
            <w:tcW w:w="2722" w:type="dxa"/>
            <w:vAlign w:val="center"/>
          </w:tcPr>
          <w:p>
            <w:pPr>
              <w:adjustRightInd w:val="0"/>
              <w:snapToGrid w:val="0"/>
              <w:spacing w:line="360" w:lineRule="auto"/>
              <w:ind w:left="-88" w:leftChars="-42"/>
              <w:jc w:val="center"/>
              <w:rPr>
                <w:rFonts w:ascii="宋体" w:hAnsi="宋体"/>
                <w:color w:val="000000" w:themeColor="text1"/>
                <w:sz w:val="24"/>
              </w:rPr>
            </w:pPr>
          </w:p>
        </w:tc>
        <w:tc>
          <w:tcPr>
            <w:tcW w:w="2459" w:type="dxa"/>
            <w:vAlign w:val="center"/>
          </w:tcPr>
          <w:p>
            <w:pPr>
              <w:adjustRightInd w:val="0"/>
              <w:snapToGrid w:val="0"/>
              <w:spacing w:line="360" w:lineRule="auto"/>
              <w:jc w:val="center"/>
              <w:rPr>
                <w:rFonts w:ascii="宋体" w:hAnsi="宋体"/>
                <w:color w:val="000000" w:themeColor="text1"/>
                <w:sz w:val="24"/>
              </w:rPr>
            </w:pPr>
          </w:p>
        </w:tc>
        <w:tc>
          <w:tcPr>
            <w:tcW w:w="851" w:type="dxa"/>
            <w:vAlign w:val="center"/>
          </w:tcPr>
          <w:p>
            <w:pPr>
              <w:adjustRightInd w:val="0"/>
              <w:snapToGrid w:val="0"/>
              <w:spacing w:line="360" w:lineRule="auto"/>
              <w:jc w:val="center"/>
              <w:rPr>
                <w:rFonts w:ascii="宋体" w:hAnsi="宋体"/>
                <w:color w:val="000000" w:themeColor="text1"/>
                <w:sz w:val="24"/>
              </w:rPr>
            </w:pPr>
          </w:p>
        </w:tc>
        <w:tc>
          <w:tcPr>
            <w:tcW w:w="2593" w:type="dxa"/>
            <w:vAlign w:val="center"/>
          </w:tcPr>
          <w:p>
            <w:pPr>
              <w:adjustRightInd w:val="0"/>
              <w:snapToGrid w:val="0"/>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rPr>
            </w:pPr>
            <w:r>
              <w:rPr>
                <w:rFonts w:hint="eastAsia" w:ascii="宋体" w:hAnsi="宋体"/>
                <w:color w:val="000000" w:themeColor="text1"/>
                <w:sz w:val="24"/>
              </w:rPr>
              <w:t>5</w:t>
            </w:r>
          </w:p>
        </w:tc>
        <w:tc>
          <w:tcPr>
            <w:tcW w:w="2722" w:type="dxa"/>
            <w:vAlign w:val="center"/>
          </w:tcPr>
          <w:p>
            <w:pPr>
              <w:adjustRightInd w:val="0"/>
              <w:snapToGrid w:val="0"/>
              <w:spacing w:line="360" w:lineRule="auto"/>
              <w:ind w:left="-88" w:leftChars="-42"/>
              <w:jc w:val="center"/>
              <w:rPr>
                <w:rFonts w:ascii="宋体" w:hAnsi="宋体"/>
                <w:color w:val="000000" w:themeColor="text1"/>
                <w:sz w:val="24"/>
              </w:rPr>
            </w:pPr>
          </w:p>
        </w:tc>
        <w:tc>
          <w:tcPr>
            <w:tcW w:w="2459" w:type="dxa"/>
            <w:vAlign w:val="center"/>
          </w:tcPr>
          <w:p>
            <w:pPr>
              <w:adjustRightInd w:val="0"/>
              <w:snapToGrid w:val="0"/>
              <w:spacing w:line="360" w:lineRule="auto"/>
              <w:jc w:val="center"/>
              <w:rPr>
                <w:rFonts w:ascii="宋体" w:hAnsi="宋体"/>
                <w:color w:val="000000" w:themeColor="text1"/>
                <w:sz w:val="24"/>
              </w:rPr>
            </w:pPr>
          </w:p>
        </w:tc>
        <w:tc>
          <w:tcPr>
            <w:tcW w:w="851" w:type="dxa"/>
            <w:vAlign w:val="center"/>
          </w:tcPr>
          <w:p>
            <w:pPr>
              <w:adjustRightInd w:val="0"/>
              <w:snapToGrid w:val="0"/>
              <w:spacing w:line="360" w:lineRule="auto"/>
              <w:jc w:val="center"/>
              <w:rPr>
                <w:rFonts w:ascii="宋体" w:hAnsi="宋体"/>
                <w:color w:val="000000" w:themeColor="text1"/>
                <w:sz w:val="24"/>
              </w:rPr>
            </w:pPr>
          </w:p>
        </w:tc>
        <w:tc>
          <w:tcPr>
            <w:tcW w:w="2593" w:type="dxa"/>
            <w:vAlign w:val="center"/>
          </w:tcPr>
          <w:p>
            <w:pPr>
              <w:adjustRightInd w:val="0"/>
              <w:snapToGrid w:val="0"/>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rPr>
            </w:pPr>
            <w:r>
              <w:rPr>
                <w:rFonts w:hint="eastAsia" w:ascii="宋体" w:hAnsi="宋体"/>
                <w:color w:val="000000" w:themeColor="text1"/>
                <w:sz w:val="24"/>
              </w:rPr>
              <w:t>6</w:t>
            </w:r>
          </w:p>
        </w:tc>
        <w:tc>
          <w:tcPr>
            <w:tcW w:w="2722" w:type="dxa"/>
            <w:vAlign w:val="center"/>
          </w:tcPr>
          <w:p>
            <w:pPr>
              <w:adjustRightInd w:val="0"/>
              <w:snapToGrid w:val="0"/>
              <w:spacing w:line="360" w:lineRule="auto"/>
              <w:ind w:left="-88" w:leftChars="-42"/>
              <w:jc w:val="center"/>
              <w:rPr>
                <w:rFonts w:ascii="宋体" w:hAnsi="宋体"/>
                <w:color w:val="000000" w:themeColor="text1"/>
                <w:sz w:val="24"/>
              </w:rPr>
            </w:pPr>
          </w:p>
        </w:tc>
        <w:tc>
          <w:tcPr>
            <w:tcW w:w="2459" w:type="dxa"/>
            <w:vAlign w:val="center"/>
          </w:tcPr>
          <w:p>
            <w:pPr>
              <w:adjustRightInd w:val="0"/>
              <w:snapToGrid w:val="0"/>
              <w:spacing w:line="360" w:lineRule="auto"/>
              <w:jc w:val="center"/>
              <w:rPr>
                <w:rFonts w:ascii="宋体" w:hAnsi="宋体"/>
                <w:color w:val="000000" w:themeColor="text1"/>
                <w:sz w:val="24"/>
              </w:rPr>
            </w:pPr>
          </w:p>
        </w:tc>
        <w:tc>
          <w:tcPr>
            <w:tcW w:w="851" w:type="dxa"/>
            <w:vAlign w:val="center"/>
          </w:tcPr>
          <w:p>
            <w:pPr>
              <w:adjustRightInd w:val="0"/>
              <w:snapToGrid w:val="0"/>
              <w:spacing w:line="360" w:lineRule="auto"/>
              <w:jc w:val="center"/>
              <w:rPr>
                <w:rFonts w:ascii="宋体" w:hAnsi="宋体"/>
                <w:color w:val="000000" w:themeColor="text1"/>
                <w:sz w:val="24"/>
              </w:rPr>
            </w:pPr>
          </w:p>
        </w:tc>
        <w:tc>
          <w:tcPr>
            <w:tcW w:w="2593" w:type="dxa"/>
            <w:vAlign w:val="center"/>
          </w:tcPr>
          <w:p>
            <w:pPr>
              <w:adjustRightInd w:val="0"/>
              <w:snapToGrid w:val="0"/>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rPr>
            </w:pPr>
            <w:r>
              <w:rPr>
                <w:rFonts w:hint="eastAsia" w:ascii="宋体" w:hAnsi="宋体"/>
                <w:color w:val="000000" w:themeColor="text1"/>
                <w:sz w:val="24"/>
              </w:rPr>
              <w:t>7</w:t>
            </w:r>
          </w:p>
        </w:tc>
        <w:tc>
          <w:tcPr>
            <w:tcW w:w="2722" w:type="dxa"/>
            <w:vAlign w:val="center"/>
          </w:tcPr>
          <w:p>
            <w:pPr>
              <w:adjustRightInd w:val="0"/>
              <w:snapToGrid w:val="0"/>
              <w:spacing w:line="360" w:lineRule="auto"/>
              <w:ind w:left="-88" w:leftChars="-42"/>
              <w:jc w:val="center"/>
              <w:rPr>
                <w:rFonts w:ascii="宋体" w:hAnsi="宋体"/>
                <w:color w:val="000000" w:themeColor="text1"/>
                <w:sz w:val="24"/>
              </w:rPr>
            </w:pPr>
          </w:p>
        </w:tc>
        <w:tc>
          <w:tcPr>
            <w:tcW w:w="2459" w:type="dxa"/>
            <w:vAlign w:val="center"/>
          </w:tcPr>
          <w:p>
            <w:pPr>
              <w:adjustRightInd w:val="0"/>
              <w:snapToGrid w:val="0"/>
              <w:spacing w:line="360" w:lineRule="auto"/>
              <w:jc w:val="center"/>
              <w:rPr>
                <w:rFonts w:ascii="宋体" w:hAnsi="宋体"/>
                <w:color w:val="000000" w:themeColor="text1"/>
                <w:sz w:val="24"/>
              </w:rPr>
            </w:pPr>
          </w:p>
        </w:tc>
        <w:tc>
          <w:tcPr>
            <w:tcW w:w="851" w:type="dxa"/>
            <w:vAlign w:val="center"/>
          </w:tcPr>
          <w:p>
            <w:pPr>
              <w:adjustRightInd w:val="0"/>
              <w:snapToGrid w:val="0"/>
              <w:spacing w:line="360" w:lineRule="auto"/>
              <w:jc w:val="center"/>
              <w:rPr>
                <w:rFonts w:ascii="宋体" w:hAnsi="宋体"/>
                <w:color w:val="000000" w:themeColor="text1"/>
                <w:sz w:val="24"/>
              </w:rPr>
            </w:pPr>
          </w:p>
        </w:tc>
        <w:tc>
          <w:tcPr>
            <w:tcW w:w="2593" w:type="dxa"/>
            <w:vAlign w:val="center"/>
          </w:tcPr>
          <w:p>
            <w:pPr>
              <w:adjustRightInd w:val="0"/>
              <w:snapToGrid w:val="0"/>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spacing w:line="360" w:lineRule="auto"/>
              <w:ind w:left="-88" w:leftChars="-42"/>
              <w:jc w:val="center"/>
              <w:rPr>
                <w:rFonts w:ascii="宋体" w:hAnsi="宋体"/>
                <w:color w:val="000000" w:themeColor="text1"/>
                <w:sz w:val="24"/>
              </w:rPr>
            </w:pPr>
            <w:r>
              <w:rPr>
                <w:rFonts w:hint="eastAsia" w:ascii="宋体" w:hAnsi="宋体"/>
                <w:color w:val="000000" w:themeColor="text1"/>
                <w:sz w:val="24"/>
              </w:rPr>
              <w:t>…</w:t>
            </w:r>
          </w:p>
        </w:tc>
        <w:tc>
          <w:tcPr>
            <w:tcW w:w="2722" w:type="dxa"/>
            <w:vAlign w:val="center"/>
          </w:tcPr>
          <w:p>
            <w:pPr>
              <w:adjustRightInd w:val="0"/>
              <w:snapToGrid w:val="0"/>
              <w:spacing w:line="360" w:lineRule="auto"/>
              <w:ind w:left="-88" w:leftChars="-42"/>
              <w:jc w:val="center"/>
              <w:rPr>
                <w:rFonts w:ascii="宋体" w:hAnsi="宋体"/>
                <w:color w:val="000000" w:themeColor="text1"/>
                <w:sz w:val="24"/>
              </w:rPr>
            </w:pPr>
          </w:p>
        </w:tc>
        <w:tc>
          <w:tcPr>
            <w:tcW w:w="2459" w:type="dxa"/>
            <w:vAlign w:val="center"/>
          </w:tcPr>
          <w:p>
            <w:pPr>
              <w:adjustRightInd w:val="0"/>
              <w:snapToGrid w:val="0"/>
              <w:spacing w:line="360" w:lineRule="auto"/>
              <w:jc w:val="center"/>
              <w:rPr>
                <w:rFonts w:ascii="宋体" w:hAnsi="宋体"/>
                <w:color w:val="000000" w:themeColor="text1"/>
                <w:sz w:val="24"/>
              </w:rPr>
            </w:pPr>
          </w:p>
        </w:tc>
        <w:tc>
          <w:tcPr>
            <w:tcW w:w="851" w:type="dxa"/>
            <w:vAlign w:val="center"/>
          </w:tcPr>
          <w:p>
            <w:pPr>
              <w:adjustRightInd w:val="0"/>
              <w:snapToGrid w:val="0"/>
              <w:spacing w:line="360" w:lineRule="auto"/>
              <w:jc w:val="center"/>
              <w:rPr>
                <w:rFonts w:ascii="宋体" w:hAnsi="宋体"/>
                <w:color w:val="000000" w:themeColor="text1"/>
                <w:sz w:val="24"/>
              </w:rPr>
            </w:pPr>
          </w:p>
        </w:tc>
        <w:tc>
          <w:tcPr>
            <w:tcW w:w="2593" w:type="dxa"/>
            <w:vAlign w:val="center"/>
          </w:tcPr>
          <w:p>
            <w:pPr>
              <w:adjustRightInd w:val="0"/>
              <w:snapToGrid w:val="0"/>
              <w:spacing w:line="360" w:lineRule="auto"/>
              <w:jc w:val="center"/>
              <w:rPr>
                <w:rFonts w:ascii="宋体" w:hAnsi="宋体"/>
                <w:color w:val="000000" w:themeColor="text1"/>
                <w:sz w:val="24"/>
              </w:rPr>
            </w:pPr>
          </w:p>
        </w:tc>
      </w:tr>
    </w:tbl>
    <w:p>
      <w:pPr>
        <w:spacing w:line="360" w:lineRule="auto"/>
        <w:ind w:left="1078" w:hanging="1077" w:hangingChars="449"/>
        <w:jc w:val="left"/>
        <w:rPr>
          <w:rFonts w:ascii="宋体" w:hAnsi="宋体"/>
          <w:color w:val="000000" w:themeColor="text1"/>
          <w:sz w:val="24"/>
        </w:rPr>
      </w:pPr>
      <w:r>
        <w:rPr>
          <w:rFonts w:hint="eastAsia" w:ascii="宋体" w:hAnsi="宋体"/>
          <w:color w:val="000000" w:themeColor="text1"/>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000000" w:themeColor="text1"/>
          <w:sz w:val="24"/>
        </w:rPr>
      </w:pPr>
      <w:r>
        <w:rPr>
          <w:rFonts w:hint="eastAsia" w:ascii="宋体" w:hAnsi="宋体"/>
          <w:color w:val="000000" w:themeColor="text1"/>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adjustRightInd w:val="0"/>
        <w:snapToGrid w:val="0"/>
        <w:spacing w:line="360" w:lineRule="auto"/>
        <w:ind w:left="767" w:leftChars="194" w:hanging="360" w:hangingChars="150"/>
        <w:rPr>
          <w:rFonts w:ascii="宋体" w:hAnsi="宋体"/>
          <w:color w:val="000000" w:themeColor="text1"/>
          <w:sz w:val="24"/>
        </w:rPr>
      </w:pP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color w:val="000000" w:themeColor="text1"/>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r>
        <w:rPr>
          <w:color w:val="000000" w:themeColor="text1"/>
        </w:rPr>
        <w:br w:type="page"/>
      </w:r>
    </w:p>
    <w:p>
      <w:pPr>
        <w:spacing w:line="360" w:lineRule="auto"/>
        <w:rPr>
          <w:color w:val="000000" w:themeColor="text1"/>
        </w:rPr>
      </w:pPr>
    </w:p>
    <w:p>
      <w:pPr>
        <w:pStyle w:val="4"/>
        <w:numPr>
          <w:ilvl w:val="0"/>
          <w:numId w:val="48"/>
        </w:numPr>
        <w:spacing w:before="0" w:after="0" w:line="360" w:lineRule="auto"/>
        <w:ind w:left="1288" w:hanging="1288"/>
        <w:rPr>
          <w:rFonts w:ascii="宋体" w:hAnsi="宋体" w:eastAsia="宋体"/>
          <w:color w:val="000000" w:themeColor="text1"/>
        </w:rPr>
      </w:pPr>
      <w:bookmarkStart w:id="175" w:name="_Toc495861559"/>
      <w:bookmarkStart w:id="176" w:name="_Toc494665563"/>
      <w:bookmarkStart w:id="177" w:name="_Toc494665010"/>
      <w:bookmarkStart w:id="178" w:name="_Toc494702280"/>
      <w:bookmarkStart w:id="179" w:name="_Toc236473303"/>
      <w:bookmarkStart w:id="180" w:name="_Toc494665960"/>
      <w:bookmarkStart w:id="181" w:name="_Toc238276247"/>
      <w:bookmarkStart w:id="182" w:name="_Toc494721110"/>
      <w:bookmarkStart w:id="183" w:name="_Toc494745327"/>
      <w:r>
        <w:rPr>
          <w:rFonts w:hint="eastAsia" w:ascii="宋体" w:hAnsi="宋体" w:eastAsia="宋体"/>
          <w:color w:val="000000" w:themeColor="text1"/>
        </w:rPr>
        <w:t>法定代表人授权书</w:t>
      </w:r>
      <w:bookmarkEnd w:id="175"/>
      <w:bookmarkEnd w:id="176"/>
      <w:bookmarkEnd w:id="177"/>
      <w:bookmarkEnd w:id="178"/>
      <w:bookmarkEnd w:id="179"/>
      <w:bookmarkEnd w:id="180"/>
      <w:bookmarkEnd w:id="181"/>
      <w:bookmarkEnd w:id="182"/>
      <w:bookmarkEnd w:id="183"/>
    </w:p>
    <w:p>
      <w:pPr>
        <w:spacing w:line="360" w:lineRule="auto"/>
        <w:rPr>
          <w:rFonts w:ascii="宋体" w:hAnsi="宋体" w:eastAsia="宋体" w:cs="Times New Roman"/>
          <w:bCs/>
          <w:color w:val="000000" w:themeColor="text1"/>
          <w:sz w:val="24"/>
          <w:szCs w:val="24"/>
        </w:rPr>
      </w:pPr>
      <w:r>
        <w:rPr>
          <w:rFonts w:hint="eastAsia"/>
          <w:bCs/>
          <w:color w:val="000000" w:themeColor="text1"/>
          <w:sz w:val="24"/>
          <w:szCs w:val="24"/>
        </w:rPr>
        <w:t>采购人（或代理公司）</w:t>
      </w:r>
      <w:r>
        <w:rPr>
          <w:rFonts w:hint="eastAsia" w:ascii="宋体" w:hAnsi="宋体" w:cs="Courier New"/>
          <w:bCs/>
          <w:color w:val="000000" w:themeColor="text1"/>
          <w:sz w:val="24"/>
          <w:szCs w:val="24"/>
        </w:rPr>
        <w:t>：</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兹授权</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4"/>
        </w:rPr>
        <w:t>同志为我单位参加贵方组织的</w:t>
      </w:r>
      <w:r>
        <w:rPr>
          <w:rFonts w:hint="eastAsia" w:ascii="Times New Roman" w:hAnsi="宋体" w:eastAsia="宋体" w:cs="Times New Roman"/>
          <w:color w:val="000000" w:themeColor="text1"/>
          <w:sz w:val="24"/>
          <w:szCs w:val="24"/>
        </w:rPr>
        <w:t>____项目（项目编号：______）</w:t>
      </w:r>
      <w:r>
        <w:rPr>
          <w:rFonts w:hint="eastAsia" w:ascii="宋体" w:hAnsi="宋体" w:eastAsia="宋体" w:cs="Times New Roman"/>
          <w:color w:val="000000" w:themeColor="text1"/>
          <w:sz w:val="24"/>
          <w:szCs w:val="24"/>
        </w:rPr>
        <w:t>采购活动的投标人授权代表，全权代表我公司处理在</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4"/>
        </w:rPr>
        <w:t>项目采购活动中的一切事宜。代理期限从</w:t>
      </w:r>
      <w:r>
        <w:rPr>
          <w:rFonts w:hint="eastAsia" w:ascii="Times New Roman" w:hAnsi="宋体" w:eastAsia="宋体" w:cs="Times New Roman"/>
          <w:color w:val="000000" w:themeColor="text1"/>
          <w:sz w:val="24"/>
          <w:szCs w:val="24"/>
        </w:rPr>
        <w:t>__</w:t>
      </w:r>
      <w:r>
        <w:rPr>
          <w:rFonts w:hint="eastAsia" w:ascii="宋体" w:hAnsi="宋体" w:eastAsia="宋体" w:cs="Times New Roman"/>
          <w:color w:val="000000" w:themeColor="text1"/>
          <w:sz w:val="24"/>
          <w:szCs w:val="24"/>
        </w:rPr>
        <w:t>年</w:t>
      </w:r>
      <w:r>
        <w:rPr>
          <w:rFonts w:hint="eastAsia" w:ascii="Times New Roman" w:hAnsi="宋体" w:eastAsia="宋体" w:cs="Times New Roman"/>
          <w:color w:val="000000" w:themeColor="text1"/>
          <w:sz w:val="24"/>
          <w:szCs w:val="24"/>
        </w:rPr>
        <w:t>__</w:t>
      </w:r>
      <w:r>
        <w:rPr>
          <w:rFonts w:hint="eastAsia" w:ascii="宋体" w:hAnsi="宋体" w:eastAsia="宋体" w:cs="Times New Roman"/>
          <w:color w:val="000000" w:themeColor="text1"/>
          <w:sz w:val="24"/>
          <w:szCs w:val="24"/>
        </w:rPr>
        <w:t>月</w:t>
      </w:r>
      <w:r>
        <w:rPr>
          <w:rFonts w:hint="eastAsia" w:ascii="Times New Roman" w:hAnsi="宋体" w:eastAsia="宋体" w:cs="Times New Roman"/>
          <w:color w:val="000000" w:themeColor="text1"/>
          <w:sz w:val="24"/>
          <w:szCs w:val="24"/>
        </w:rPr>
        <w:t>__</w:t>
      </w:r>
      <w:r>
        <w:rPr>
          <w:rFonts w:hint="eastAsia" w:ascii="宋体" w:hAnsi="宋体" w:eastAsia="宋体" w:cs="Times New Roman"/>
          <w:color w:val="000000" w:themeColor="text1"/>
          <w:sz w:val="24"/>
          <w:szCs w:val="24"/>
        </w:rPr>
        <w:t>日起至</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4"/>
        </w:rPr>
        <w:t>年</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4"/>
        </w:rPr>
        <w:t>月</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4"/>
        </w:rPr>
        <w:t xml:space="preserve">日止。 </w:t>
      </w:r>
    </w:p>
    <w:p>
      <w:pPr>
        <w:spacing w:line="360" w:lineRule="auto"/>
        <w:ind w:firstLine="540" w:firstLineChars="225"/>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被授权代表无转委托权。</w:t>
      </w:r>
    </w:p>
    <w:p>
      <w:pPr>
        <w:spacing w:line="360" w:lineRule="auto"/>
        <w:ind w:firstLine="540" w:firstLineChars="225"/>
        <w:rPr>
          <w:rFonts w:ascii="宋体" w:hAnsi="宋体" w:eastAsia="宋体" w:cs="Times New Roman"/>
          <w:color w:val="000000" w:themeColor="text1"/>
          <w:sz w:val="24"/>
          <w:szCs w:val="24"/>
        </w:rPr>
      </w:pPr>
    </w:p>
    <w:p>
      <w:pPr>
        <w:spacing w:line="360" w:lineRule="auto"/>
        <w:ind w:firstLine="3316" w:firstLineChars="1382"/>
        <w:rPr>
          <w:rFonts w:hAnsi="宋体"/>
          <w:color w:val="000000" w:themeColor="text1"/>
          <w:sz w:val="24"/>
          <w:u w:val="single"/>
        </w:rPr>
      </w:pPr>
      <w:r>
        <w:rPr>
          <w:rFonts w:hint="eastAsia" w:hAnsi="宋体"/>
          <w:color w:val="000000" w:themeColor="text1"/>
          <w:sz w:val="24"/>
        </w:rPr>
        <w:t>授权单位（公章）：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法定代表人（签字或盖章）</w:t>
      </w:r>
      <w:r>
        <w:rPr>
          <w:rFonts w:hint="eastAsia" w:hAnsi="宋体"/>
          <w:color w:val="000000" w:themeColor="text1"/>
          <w:sz w:val="24"/>
        </w:rPr>
        <w:t>：</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签发日期：</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1"/>
          <w:lang w:val="zh-CN"/>
        </w:rPr>
        <w:t>年</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1"/>
          <w:lang w:val="zh-CN"/>
        </w:rPr>
        <w:t>月</w:t>
      </w:r>
      <w:r>
        <w:rPr>
          <w:rFonts w:hint="eastAsia" w:ascii="Times New Roman" w:hAnsi="宋体" w:eastAsia="宋体" w:cs="Times New Roman"/>
          <w:color w:val="000000" w:themeColor="text1"/>
          <w:sz w:val="24"/>
          <w:szCs w:val="24"/>
        </w:rPr>
        <w:t>____</w:t>
      </w:r>
      <w:r>
        <w:rPr>
          <w:rFonts w:hint="eastAsia" w:ascii="宋体" w:hAnsi="宋体" w:eastAsia="宋体" w:cs="Times New Roman"/>
          <w:color w:val="000000" w:themeColor="text1"/>
          <w:sz w:val="24"/>
          <w:szCs w:val="21"/>
          <w:lang w:val="zh-CN"/>
        </w:rPr>
        <w:t>日</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附：</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投标人授权代表单位名称：</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职务： 性别：</w:t>
      </w:r>
    </w:p>
    <w:p>
      <w:pPr>
        <w:spacing w:line="360" w:lineRule="auto"/>
        <w:ind w:firstLine="480" w:firstLineChars="200"/>
        <w:rPr>
          <w:rFonts w:ascii="宋体" w:hAnsi="宋体" w:eastAsia="宋体" w:cs="Times New Roman"/>
          <w:color w:val="000000" w:themeColor="text1"/>
          <w:sz w:val="24"/>
          <w:szCs w:val="24"/>
          <w:u w:val="single"/>
        </w:rPr>
      </w:pPr>
      <w:r>
        <w:rPr>
          <w:rFonts w:hint="eastAsia" w:ascii="宋体" w:hAnsi="宋体" w:eastAsia="宋体" w:cs="Times New Roman"/>
          <w:color w:val="000000" w:themeColor="text1"/>
          <w:sz w:val="24"/>
          <w:szCs w:val="24"/>
        </w:rPr>
        <w:t>身份证号码：</w:t>
      </w:r>
    </w:p>
    <w:p>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电话：</w:t>
      </w:r>
    </w:p>
    <w:tbl>
      <w:tblPr>
        <w:tblStyle w:val="23"/>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粘贴被授权人身份证（清晰影印件）</w:t>
            </w:r>
          </w:p>
        </w:tc>
      </w:tr>
    </w:tbl>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610" w:hanging="1610"/>
        <w:rPr>
          <w:rFonts w:ascii="宋体" w:hAnsi="宋体" w:eastAsia="宋体"/>
          <w:color w:val="000000" w:themeColor="text1"/>
        </w:rPr>
      </w:pPr>
      <w:bookmarkStart w:id="184" w:name="_Toc494721111"/>
      <w:bookmarkStart w:id="185" w:name="_Toc495861560"/>
      <w:bookmarkStart w:id="186" w:name="_Toc494745328"/>
      <w:bookmarkStart w:id="187" w:name="_Toc494665564"/>
      <w:bookmarkStart w:id="188" w:name="_Toc494665961"/>
      <w:bookmarkStart w:id="189" w:name="_Toc494702281"/>
      <w:bookmarkStart w:id="190" w:name="_Toc494665011"/>
      <w:bookmarkStart w:id="191" w:name="_Toc236473304"/>
      <w:bookmarkStart w:id="192" w:name="_Toc238276248"/>
      <w:r>
        <w:rPr>
          <w:rFonts w:hint="eastAsia" w:ascii="宋体" w:hAnsi="宋体" w:eastAsia="宋体"/>
          <w:color w:val="000000" w:themeColor="text1"/>
        </w:rPr>
        <w:t>投标人的资格声明</w:t>
      </w:r>
      <w:bookmarkEnd w:id="184"/>
      <w:bookmarkEnd w:id="185"/>
      <w:bookmarkEnd w:id="186"/>
      <w:bookmarkEnd w:id="187"/>
      <w:bookmarkEnd w:id="188"/>
      <w:bookmarkEnd w:id="189"/>
      <w:bookmarkEnd w:id="190"/>
      <w:bookmarkEnd w:id="191"/>
      <w:bookmarkEnd w:id="192"/>
    </w:p>
    <w:p>
      <w:pPr>
        <w:spacing w:line="360" w:lineRule="auto"/>
        <w:ind w:left="1078" w:hanging="1077" w:hangingChars="449"/>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1．名称及基本情况：</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（1）投标人：</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（2）地址：     邮编：</w:t>
      </w:r>
    </w:p>
    <w:p>
      <w:pPr>
        <w:spacing w:line="360" w:lineRule="auto"/>
        <w:ind w:firstLine="840" w:firstLineChars="350"/>
        <w:rPr>
          <w:rFonts w:ascii="宋体" w:hAnsi="宋体" w:eastAsia="宋体" w:cs="Times New Roman"/>
          <w:color w:val="000000" w:themeColor="text1"/>
          <w:sz w:val="24"/>
          <w:szCs w:val="24"/>
          <w:u w:val="single"/>
        </w:rPr>
      </w:pPr>
      <w:r>
        <w:rPr>
          <w:rFonts w:hint="eastAsia" w:ascii="宋体" w:hAnsi="宋体" w:eastAsia="宋体" w:cs="Times New Roman"/>
          <w:color w:val="000000" w:themeColor="text1"/>
          <w:sz w:val="24"/>
          <w:szCs w:val="24"/>
        </w:rPr>
        <w:t>电话：     传真：</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（3）成立或注册日期：</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（4）单位性质：</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（5）法定代表人或主要负责人：</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（6）员工人数：</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（7）注册资本：</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（8）实收资本：</w:t>
      </w:r>
    </w:p>
    <w:p>
      <w:pPr>
        <w:spacing w:line="360" w:lineRule="auto"/>
        <w:ind w:firstLine="240" w:firstLineChars="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（9）上年末资产负债表：</w:t>
      </w:r>
    </w:p>
    <w:p>
      <w:pPr>
        <w:spacing w:line="360" w:lineRule="auto"/>
        <w:ind w:firstLine="727" w:firstLineChars="303"/>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1）固定资产</w:t>
      </w:r>
    </w:p>
    <w:p>
      <w:pPr>
        <w:spacing w:line="360" w:lineRule="auto"/>
        <w:ind w:firstLine="727" w:firstLineChars="303"/>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原   值：    净   值： </w:t>
      </w:r>
    </w:p>
    <w:p>
      <w:pPr>
        <w:spacing w:line="360" w:lineRule="auto"/>
        <w:ind w:firstLine="727" w:firstLineChars="303"/>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2）流动资金：</w:t>
      </w:r>
    </w:p>
    <w:p>
      <w:pPr>
        <w:spacing w:line="360" w:lineRule="auto"/>
        <w:ind w:firstLine="727" w:firstLineChars="303"/>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3）长期负债：</w:t>
      </w:r>
    </w:p>
    <w:p>
      <w:pPr>
        <w:spacing w:line="360" w:lineRule="auto"/>
        <w:ind w:firstLine="727" w:firstLineChars="303"/>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4）短期负债：</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2．投标人认为需要声明的其它情况：                         </w:t>
      </w:r>
    </w:p>
    <w:p>
      <w:pPr>
        <w:spacing w:line="360" w:lineRule="auto"/>
        <w:ind w:firstLine="475" w:firstLineChars="198"/>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投标人</w:t>
      </w:r>
      <w:r>
        <w:rPr>
          <w:rFonts w:hint="eastAsia" w:ascii="Times New Roman" w:hAnsi="宋体" w:eastAsia="宋体" w:cs="Times New Roman"/>
          <w:bCs/>
          <w:color w:val="000000" w:themeColor="text1"/>
          <w:sz w:val="24"/>
          <w:szCs w:val="24"/>
        </w:rPr>
        <w:t>（公章）</w:t>
      </w:r>
      <w:r>
        <w:rPr>
          <w:rFonts w:hint="eastAsia" w:ascii="宋体" w:hAnsi="宋体" w:eastAsia="宋体" w:cs="Times New Roman"/>
          <w:bCs/>
          <w:color w:val="000000" w:themeColor="text1"/>
          <w:sz w:val="24"/>
          <w:szCs w:val="24"/>
        </w:rPr>
        <w:t>：</w:t>
      </w:r>
    </w:p>
    <w:p>
      <w:pPr>
        <w:spacing w:line="360" w:lineRule="auto"/>
        <w:ind w:left="504" w:leftChars="240"/>
        <w:rPr>
          <w:rFonts w:ascii="宋体" w:hAnsi="宋体" w:eastAsia="宋体" w:cs="Times New Roman"/>
          <w:bCs/>
          <w:color w:val="000000" w:themeColor="text1"/>
          <w:sz w:val="24"/>
          <w:szCs w:val="24"/>
        </w:rPr>
      </w:pPr>
      <w:r>
        <w:rPr>
          <w:rFonts w:hint="eastAsia" w:ascii="Times New Roman" w:hAnsi="宋体" w:eastAsia="宋体" w:cs="Times New Roman"/>
          <w:bCs/>
          <w:color w:val="000000" w:themeColor="text1"/>
          <w:sz w:val="24"/>
          <w:szCs w:val="24"/>
        </w:rPr>
        <w:t>法定代表人（签字或盖章）</w:t>
      </w:r>
      <w:r>
        <w:rPr>
          <w:rFonts w:hint="eastAsia" w:ascii="宋体" w:hAnsi="宋体" w:eastAsia="宋体" w:cs="Times New Roman"/>
          <w:bCs/>
          <w:color w:val="000000" w:themeColor="text1"/>
          <w:sz w:val="24"/>
          <w:szCs w:val="24"/>
        </w:rPr>
        <w:t>：</w:t>
      </w:r>
    </w:p>
    <w:p>
      <w:pPr>
        <w:spacing w:line="360" w:lineRule="auto"/>
        <w:ind w:left="504" w:leftChars="24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电    话：</w:t>
      </w:r>
    </w:p>
    <w:p>
      <w:pPr>
        <w:spacing w:line="360" w:lineRule="auto"/>
        <w:ind w:left="504" w:leftChars="240"/>
        <w:rPr>
          <w:rFonts w:ascii="宋体" w:hAnsi="宋体" w:eastAsia="宋体" w:cs="Times New Roman"/>
          <w:bCs/>
          <w:color w:val="000000" w:themeColor="text1"/>
          <w:sz w:val="24"/>
          <w:szCs w:val="24"/>
          <w:u w:val="single"/>
        </w:rPr>
      </w:pPr>
      <w:r>
        <w:rPr>
          <w:rFonts w:hint="eastAsia" w:ascii="宋体" w:hAnsi="宋体" w:eastAsia="宋体" w:cs="Times New Roman"/>
          <w:bCs/>
          <w:color w:val="000000" w:themeColor="text1"/>
          <w:sz w:val="24"/>
          <w:szCs w:val="24"/>
        </w:rPr>
        <w:t>传    真：</w:t>
      </w:r>
    </w:p>
    <w:p>
      <w:pPr>
        <w:spacing w:line="360" w:lineRule="auto"/>
        <w:ind w:left="504" w:leftChars="24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日    期：年月 日</w:t>
      </w: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17"/>
        <w:spacing w:line="360" w:lineRule="auto"/>
        <w:rPr>
          <w:color w:val="000000" w:themeColor="text1"/>
        </w:rPr>
      </w:pPr>
    </w:p>
    <w:p>
      <w:pPr>
        <w:pStyle w:val="4"/>
        <w:numPr>
          <w:ilvl w:val="0"/>
          <w:numId w:val="48"/>
        </w:numPr>
        <w:spacing w:before="0" w:after="0" w:line="360" w:lineRule="auto"/>
        <w:ind w:left="1610" w:hanging="1610"/>
        <w:rPr>
          <w:rFonts w:ascii="宋体" w:hAnsi="宋体" w:eastAsia="宋体"/>
          <w:color w:val="000000" w:themeColor="text1"/>
        </w:rPr>
      </w:pPr>
      <w:bookmarkStart w:id="193" w:name="_Toc494745329"/>
      <w:bookmarkStart w:id="194" w:name="_Toc494665962"/>
      <w:bookmarkStart w:id="195" w:name="_Toc494721112"/>
      <w:bookmarkStart w:id="196" w:name="_Toc494665012"/>
      <w:bookmarkStart w:id="197" w:name="_Toc495861561"/>
      <w:bookmarkStart w:id="198" w:name="_Toc494665565"/>
      <w:bookmarkStart w:id="199" w:name="_Toc494702282"/>
      <w:r>
        <w:rPr>
          <w:rFonts w:hint="eastAsia" w:ascii="宋体" w:hAnsi="宋体" w:eastAsia="宋体"/>
          <w:color w:val="000000" w:themeColor="text1"/>
        </w:rPr>
        <w:t>项目负责人、技术负责人简历表</w:t>
      </w:r>
      <w:bookmarkEnd w:id="193"/>
      <w:bookmarkEnd w:id="194"/>
      <w:bookmarkEnd w:id="195"/>
      <w:bookmarkEnd w:id="196"/>
      <w:bookmarkEnd w:id="197"/>
      <w:bookmarkEnd w:id="198"/>
      <w:bookmarkEnd w:id="199"/>
    </w:p>
    <w:p>
      <w:pPr>
        <w:spacing w:line="360" w:lineRule="auto"/>
        <w:jc w:val="left"/>
        <w:rPr>
          <w:rFonts w:hAnsi="宋体"/>
          <w:bCs/>
          <w:color w:val="000000" w:themeColor="text1"/>
          <w:sz w:val="24"/>
        </w:rPr>
      </w:pPr>
      <w:r>
        <w:rPr>
          <w:rFonts w:hint="eastAsia" w:hAnsi="宋体"/>
          <w:bCs/>
          <w:color w:val="000000" w:themeColor="text1"/>
          <w:sz w:val="24"/>
        </w:rPr>
        <w:t>投标人：</w:t>
      </w:r>
    </w:p>
    <w:p>
      <w:pPr>
        <w:spacing w:line="360" w:lineRule="auto"/>
        <w:jc w:val="left"/>
        <w:rPr>
          <w:rFonts w:hAnsi="宋体"/>
          <w:b/>
          <w:color w:val="000000" w:themeColor="text1"/>
          <w:sz w:val="24"/>
        </w:rPr>
      </w:pPr>
      <w:r>
        <w:rPr>
          <w:rFonts w:hint="eastAsia" w:ascii="宋体" w:hAnsi="宋体" w:eastAsia="宋体" w:cs="Times New Roman"/>
          <w:bCs/>
          <w:color w:val="000000" w:themeColor="text1"/>
          <w:sz w:val="24"/>
          <w:szCs w:val="21"/>
          <w:lang w:val="zh-CN"/>
        </w:rPr>
        <w:t>项目编号：                所投包号：</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参加工作</w:t>
            </w:r>
          </w:p>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r>
              <w:rPr>
                <w:rFonts w:hint="eastAsia" w:ascii="宋体" w:hAnsi="宋体" w:eastAsia="宋体" w:cs="Times New Roman"/>
                <w:color w:val="000000" w:themeColor="text1"/>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rPr>
            </w:pPr>
          </w:p>
        </w:tc>
      </w:tr>
    </w:tbl>
    <w:p>
      <w:pPr>
        <w:spacing w:line="360" w:lineRule="auto"/>
        <w:ind w:left="720" w:hanging="720" w:hangingChars="300"/>
        <w:jc w:val="left"/>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000000" w:themeColor="text1"/>
          <w:sz w:val="24"/>
          <w:szCs w:val="24"/>
          <w:lang w:val="zh-CN"/>
        </w:rPr>
      </w:pP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610" w:hanging="1610"/>
        <w:rPr>
          <w:rFonts w:ascii="宋体" w:hAnsi="宋体" w:eastAsia="宋体"/>
          <w:color w:val="000000" w:themeColor="text1"/>
        </w:rPr>
      </w:pPr>
      <w:bookmarkStart w:id="200" w:name="_Toc494665566"/>
      <w:bookmarkStart w:id="201" w:name="_Toc494745330"/>
      <w:bookmarkStart w:id="202" w:name="_Toc494721113"/>
      <w:bookmarkStart w:id="203" w:name="_Toc494665963"/>
      <w:bookmarkStart w:id="204" w:name="_Toc236473307"/>
      <w:bookmarkStart w:id="205" w:name="_Toc238276251"/>
      <w:bookmarkStart w:id="206" w:name="_Toc494702283"/>
      <w:bookmarkStart w:id="207" w:name="_Toc494665013"/>
      <w:bookmarkStart w:id="208" w:name="_Toc495861562"/>
      <w:r>
        <w:rPr>
          <w:rFonts w:hint="eastAsia" w:ascii="宋体" w:hAnsi="宋体" w:eastAsia="宋体"/>
          <w:color w:val="000000" w:themeColor="text1"/>
        </w:rPr>
        <w:t>项目班子成员情况表</w:t>
      </w:r>
      <w:bookmarkEnd w:id="200"/>
      <w:bookmarkEnd w:id="201"/>
      <w:bookmarkEnd w:id="202"/>
      <w:bookmarkEnd w:id="203"/>
      <w:bookmarkEnd w:id="204"/>
      <w:bookmarkEnd w:id="205"/>
      <w:bookmarkEnd w:id="206"/>
      <w:bookmarkEnd w:id="207"/>
      <w:bookmarkEnd w:id="208"/>
    </w:p>
    <w:p>
      <w:pPr>
        <w:spacing w:line="360" w:lineRule="auto"/>
        <w:jc w:val="left"/>
        <w:rPr>
          <w:rFonts w:hAnsi="宋体"/>
          <w:bCs/>
          <w:color w:val="000000" w:themeColor="text1"/>
          <w:sz w:val="24"/>
        </w:rPr>
      </w:pPr>
      <w:r>
        <w:rPr>
          <w:rFonts w:hint="eastAsia" w:hAnsi="宋体"/>
          <w:bCs/>
          <w:color w:val="000000" w:themeColor="text1"/>
          <w:sz w:val="24"/>
        </w:rPr>
        <w:t>投标人：</w:t>
      </w:r>
    </w:p>
    <w:p>
      <w:pPr>
        <w:spacing w:line="360" w:lineRule="auto"/>
        <w:jc w:val="left"/>
        <w:rPr>
          <w:rFonts w:hAnsi="宋体"/>
          <w:bCs/>
          <w:color w:val="000000" w:themeColor="text1"/>
          <w:sz w:val="24"/>
        </w:rPr>
      </w:pPr>
      <w:r>
        <w:rPr>
          <w:rFonts w:hint="eastAsia" w:ascii="宋体" w:hAnsi="宋体" w:eastAsia="宋体" w:cs="Times New Roman"/>
          <w:bCs/>
          <w:color w:val="000000" w:themeColor="text1"/>
          <w:sz w:val="24"/>
          <w:szCs w:val="21"/>
          <w:lang w:val="zh-CN"/>
        </w:rPr>
        <w:t>项目编号：                所投包号：</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3"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2" w:type="dxa"/>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000000" w:themeColor="text1"/>
                <w:sz w:val="24"/>
                <w:szCs w:val="24"/>
              </w:rPr>
            </w:pPr>
            <w:r>
              <w:rPr>
                <w:rFonts w:ascii="宋体" w:hAnsi="宋体" w:eastAsia="宋体" w:cs="Times New Roman"/>
                <w:b/>
                <w:color w:val="000000" w:themeColor="text1"/>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3" w:type="dxa"/>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1842" w:type="dxa"/>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r>
    </w:tbl>
    <w:p>
      <w:pPr>
        <w:spacing w:line="360" w:lineRule="auto"/>
        <w:ind w:left="720" w:hanging="720" w:hangingChars="300"/>
        <w:jc w:val="left"/>
        <w:rPr>
          <w:rFonts w:ascii="宋体" w:hAnsi="宋体" w:eastAsia="宋体" w:cs="Times New Roman"/>
          <w:color w:val="000000" w:themeColor="text1"/>
          <w:sz w:val="24"/>
          <w:szCs w:val="24"/>
          <w:lang w:val="zh-CN"/>
        </w:rPr>
      </w:pPr>
      <w:r>
        <w:rPr>
          <w:rFonts w:hint="eastAsia" w:ascii="宋体" w:hAnsi="宋体" w:eastAsia="宋体" w:cs="Times New Roman"/>
          <w:color w:val="000000" w:themeColor="text1"/>
          <w:sz w:val="24"/>
          <w:szCs w:val="24"/>
          <w:lang w:val="zh-CN"/>
        </w:rPr>
        <w:t>说明：投标文件正本应附完整的相关证明材料清晰影印件，</w:t>
      </w:r>
      <w:r>
        <w:rPr>
          <w:rFonts w:hint="eastAsia" w:ascii="宋体" w:hAnsi="宋体" w:eastAsia="宋体" w:cs="Corbel"/>
          <w:color w:val="000000" w:themeColor="text1"/>
          <w:sz w:val="24"/>
          <w:szCs w:val="21"/>
          <w:lang w:val="zh-CN"/>
        </w:rPr>
        <w:t>未按照要求详细完整填写此表，</w:t>
      </w:r>
      <w:r>
        <w:rPr>
          <w:rFonts w:hint="eastAsia" w:ascii="宋体" w:hAnsi="宋体" w:eastAsia="宋体" w:cs="Times New Roman"/>
          <w:color w:val="000000" w:themeColor="text1"/>
          <w:sz w:val="24"/>
          <w:szCs w:val="21"/>
          <w:lang w:val="zh-CN"/>
        </w:rPr>
        <w:t>导致的后果由投标人自行承担。</w:t>
      </w:r>
    </w:p>
    <w:p>
      <w:pPr>
        <w:spacing w:line="360" w:lineRule="auto"/>
        <w:jc w:val="left"/>
        <w:rPr>
          <w:rFonts w:ascii="宋体" w:hAnsi="宋体" w:eastAsia="宋体" w:cs="Times New Roman"/>
          <w:color w:val="000000" w:themeColor="text1"/>
          <w:sz w:val="24"/>
          <w:szCs w:val="24"/>
          <w:lang w:val="zh-CN"/>
        </w:rPr>
      </w:pPr>
    </w:p>
    <w:p>
      <w:pPr>
        <w:spacing w:line="360" w:lineRule="auto"/>
        <w:jc w:val="left"/>
        <w:rPr>
          <w:rFonts w:ascii="宋体" w:hAnsi="宋体" w:eastAsia="宋体" w:cs="Times New Roman"/>
          <w:color w:val="000000" w:themeColor="text1"/>
          <w:sz w:val="24"/>
          <w:szCs w:val="24"/>
          <w:lang w:val="zh-CN"/>
        </w:rPr>
      </w:pPr>
    </w:p>
    <w:p>
      <w:pPr>
        <w:spacing w:line="360" w:lineRule="auto"/>
        <w:jc w:val="left"/>
        <w:rPr>
          <w:rFonts w:ascii="宋体" w:hAnsi="宋体" w:eastAsia="宋体" w:cs="Times New Roman"/>
          <w:color w:val="000000" w:themeColor="text1"/>
          <w:sz w:val="24"/>
          <w:szCs w:val="24"/>
          <w:lang w:val="zh-CN"/>
        </w:rPr>
      </w:pPr>
    </w:p>
    <w:p>
      <w:pPr>
        <w:spacing w:line="360" w:lineRule="auto"/>
        <w:jc w:val="left"/>
        <w:rPr>
          <w:rFonts w:ascii="宋体" w:hAnsi="宋体" w:eastAsia="宋体" w:cs="Times New Roman"/>
          <w:color w:val="000000" w:themeColor="text1"/>
          <w:sz w:val="24"/>
          <w:szCs w:val="24"/>
          <w:lang w:val="zh-CN"/>
        </w:rPr>
      </w:pPr>
    </w:p>
    <w:p>
      <w:pPr>
        <w:spacing w:line="360" w:lineRule="auto"/>
        <w:jc w:val="left"/>
        <w:rPr>
          <w:rFonts w:ascii="宋体" w:hAnsi="宋体" w:eastAsia="宋体" w:cs="Times New Roman"/>
          <w:color w:val="000000" w:themeColor="text1"/>
          <w:sz w:val="24"/>
          <w:szCs w:val="24"/>
          <w:lang w:val="zh-CN"/>
        </w:rPr>
      </w:pP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610" w:hanging="1610"/>
        <w:rPr>
          <w:rFonts w:ascii="宋体" w:hAnsi="宋体" w:eastAsia="宋体"/>
          <w:color w:val="000000" w:themeColor="text1"/>
        </w:rPr>
      </w:pPr>
      <w:bookmarkStart w:id="209" w:name="_Toc494665567"/>
      <w:bookmarkStart w:id="210" w:name="_Toc494745331"/>
      <w:bookmarkStart w:id="211" w:name="_Toc495861563"/>
      <w:bookmarkStart w:id="212" w:name="_Toc494702284"/>
      <w:bookmarkStart w:id="213" w:name="_Toc494665964"/>
      <w:bookmarkStart w:id="214" w:name="_Toc238276256"/>
      <w:bookmarkStart w:id="215" w:name="_Toc494721114"/>
      <w:bookmarkStart w:id="216" w:name="_Toc236473312"/>
      <w:bookmarkStart w:id="217" w:name="_Toc494665014"/>
      <w:r>
        <w:rPr>
          <w:rFonts w:hint="eastAsia" w:ascii="宋体" w:hAnsi="宋体" w:eastAsia="宋体"/>
          <w:color w:val="000000" w:themeColor="text1"/>
        </w:rPr>
        <w:t>投标人类似项目业绩一览表</w:t>
      </w:r>
      <w:bookmarkEnd w:id="209"/>
      <w:bookmarkEnd w:id="210"/>
      <w:bookmarkEnd w:id="211"/>
      <w:bookmarkEnd w:id="212"/>
      <w:bookmarkEnd w:id="213"/>
      <w:bookmarkEnd w:id="214"/>
      <w:bookmarkEnd w:id="215"/>
      <w:bookmarkEnd w:id="216"/>
      <w:bookmarkEnd w:id="217"/>
    </w:p>
    <w:p>
      <w:pPr>
        <w:spacing w:line="360" w:lineRule="auto"/>
        <w:jc w:val="left"/>
        <w:rPr>
          <w:rFonts w:hAnsi="宋体"/>
          <w:bCs/>
          <w:color w:val="000000" w:themeColor="text1"/>
          <w:sz w:val="24"/>
        </w:rPr>
      </w:pPr>
      <w:r>
        <w:rPr>
          <w:rFonts w:hint="eastAsia" w:hAnsi="宋体"/>
          <w:bCs/>
          <w:color w:val="000000" w:themeColor="text1"/>
          <w:sz w:val="24"/>
        </w:rPr>
        <w:t>投标人：</w:t>
      </w:r>
    </w:p>
    <w:p>
      <w:pPr>
        <w:spacing w:line="360" w:lineRule="auto"/>
        <w:jc w:val="left"/>
        <w:rPr>
          <w:rFonts w:ascii="宋体" w:hAnsi="宋体" w:eastAsia="宋体" w:cs="Times New Roman"/>
          <w:bCs/>
          <w:color w:val="000000" w:themeColor="text1"/>
          <w:sz w:val="24"/>
          <w:szCs w:val="21"/>
          <w:lang w:val="zh-CN"/>
        </w:rPr>
      </w:pPr>
      <w:r>
        <w:rPr>
          <w:rFonts w:hint="eastAsia" w:ascii="宋体" w:hAnsi="宋体" w:eastAsia="宋体" w:cs="Times New Roman"/>
          <w:bCs/>
          <w:color w:val="000000" w:themeColor="text1"/>
          <w:sz w:val="24"/>
          <w:szCs w:val="21"/>
          <w:lang w:val="zh-CN"/>
        </w:rPr>
        <w:t>项目编号：                所投包号：</w:t>
      </w:r>
    </w:p>
    <w:p>
      <w:pPr>
        <w:pStyle w:val="17"/>
        <w:spacing w:line="360" w:lineRule="auto"/>
        <w:rPr>
          <w:bCs/>
          <w:color w:val="000000" w:themeColor="text1"/>
          <w:lang w:val="zh-CN"/>
        </w:rPr>
      </w:pPr>
    </w:p>
    <w:tbl>
      <w:tblPr>
        <w:tblStyle w:val="23"/>
        <w:tblW w:w="103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32"/>
        <w:gridCol w:w="2396"/>
        <w:gridCol w:w="708"/>
        <w:gridCol w:w="1418"/>
        <w:gridCol w:w="1134"/>
        <w:gridCol w:w="1417"/>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序号</w:t>
            </w:r>
          </w:p>
        </w:tc>
        <w:tc>
          <w:tcPr>
            <w:tcW w:w="1432"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服务时间</w:t>
            </w:r>
          </w:p>
        </w:tc>
        <w:tc>
          <w:tcPr>
            <w:tcW w:w="2396"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项目名称</w:t>
            </w:r>
          </w:p>
        </w:tc>
        <w:tc>
          <w:tcPr>
            <w:tcW w:w="708"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供货内容</w:t>
            </w:r>
          </w:p>
        </w:tc>
        <w:tc>
          <w:tcPr>
            <w:tcW w:w="1418"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合同总额</w:t>
            </w:r>
          </w:p>
        </w:tc>
        <w:tc>
          <w:tcPr>
            <w:tcW w:w="1134"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买方名称</w:t>
            </w:r>
          </w:p>
        </w:tc>
        <w:tc>
          <w:tcPr>
            <w:tcW w:w="1417"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联系人</w:t>
            </w:r>
          </w:p>
        </w:tc>
        <w:tc>
          <w:tcPr>
            <w:tcW w:w="1276"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1</w:t>
            </w:r>
          </w:p>
        </w:tc>
        <w:tc>
          <w:tcPr>
            <w:tcW w:w="1432" w:type="dxa"/>
          </w:tcPr>
          <w:p>
            <w:pPr>
              <w:adjustRightInd w:val="0"/>
              <w:snapToGrid w:val="0"/>
              <w:spacing w:line="360" w:lineRule="auto"/>
              <w:jc w:val="center"/>
              <w:rPr>
                <w:rFonts w:ascii="华文细黑" w:hAnsi="华文细黑" w:cs="宋体"/>
                <w:color w:val="000000" w:themeColor="text1"/>
                <w:szCs w:val="21"/>
              </w:rPr>
            </w:pPr>
          </w:p>
        </w:tc>
        <w:tc>
          <w:tcPr>
            <w:tcW w:w="2396" w:type="dxa"/>
          </w:tcPr>
          <w:p>
            <w:pPr>
              <w:adjustRightInd w:val="0"/>
              <w:snapToGrid w:val="0"/>
              <w:spacing w:line="360" w:lineRule="auto"/>
              <w:rPr>
                <w:rFonts w:ascii="华文细黑" w:hAnsi="华文细黑" w:cs="宋体"/>
                <w:color w:val="000000" w:themeColor="text1"/>
                <w:szCs w:val="21"/>
              </w:rPr>
            </w:pPr>
          </w:p>
        </w:tc>
        <w:tc>
          <w:tcPr>
            <w:tcW w:w="708" w:type="dxa"/>
          </w:tcPr>
          <w:p>
            <w:pPr>
              <w:adjustRightInd w:val="0"/>
              <w:snapToGrid w:val="0"/>
              <w:spacing w:line="360" w:lineRule="auto"/>
              <w:jc w:val="center"/>
              <w:rPr>
                <w:rFonts w:ascii="华文细黑" w:hAnsi="华文细黑" w:cs="宋体"/>
                <w:color w:val="000000" w:themeColor="text1"/>
                <w:szCs w:val="21"/>
              </w:rPr>
            </w:pPr>
          </w:p>
        </w:tc>
        <w:tc>
          <w:tcPr>
            <w:tcW w:w="1418" w:type="dxa"/>
          </w:tcPr>
          <w:p>
            <w:pPr>
              <w:adjustRightInd w:val="0"/>
              <w:snapToGrid w:val="0"/>
              <w:spacing w:line="360" w:lineRule="auto"/>
              <w:jc w:val="center"/>
              <w:rPr>
                <w:rFonts w:ascii="华文细黑" w:hAnsi="华文细黑" w:cs="宋体"/>
                <w:color w:val="000000" w:themeColor="text1"/>
                <w:szCs w:val="21"/>
              </w:rPr>
            </w:pPr>
          </w:p>
        </w:tc>
        <w:tc>
          <w:tcPr>
            <w:tcW w:w="1134" w:type="dxa"/>
          </w:tcPr>
          <w:p>
            <w:pPr>
              <w:adjustRightInd w:val="0"/>
              <w:snapToGrid w:val="0"/>
              <w:spacing w:line="360" w:lineRule="auto"/>
              <w:jc w:val="center"/>
              <w:rPr>
                <w:rFonts w:ascii="华文细黑" w:hAnsi="华文细黑" w:cs="宋体"/>
                <w:color w:val="000000" w:themeColor="text1"/>
                <w:szCs w:val="21"/>
              </w:rPr>
            </w:pPr>
          </w:p>
        </w:tc>
        <w:tc>
          <w:tcPr>
            <w:tcW w:w="1417" w:type="dxa"/>
          </w:tcPr>
          <w:p>
            <w:pPr>
              <w:adjustRightInd w:val="0"/>
              <w:snapToGrid w:val="0"/>
              <w:spacing w:line="360" w:lineRule="auto"/>
              <w:jc w:val="center"/>
              <w:rPr>
                <w:rFonts w:ascii="华文细黑" w:hAnsi="华文细黑" w:cs="宋体"/>
                <w:color w:val="000000" w:themeColor="text1"/>
                <w:szCs w:val="21"/>
              </w:rPr>
            </w:pPr>
          </w:p>
        </w:tc>
        <w:tc>
          <w:tcPr>
            <w:tcW w:w="1276" w:type="dxa"/>
          </w:tcPr>
          <w:p>
            <w:pPr>
              <w:adjustRightInd w:val="0"/>
              <w:snapToGrid w:val="0"/>
              <w:spacing w:line="360" w:lineRule="auto"/>
              <w:rPr>
                <w:rFonts w:ascii="华文细黑" w:hAnsi="华文细黑"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2</w:t>
            </w:r>
          </w:p>
        </w:tc>
        <w:tc>
          <w:tcPr>
            <w:tcW w:w="1432" w:type="dxa"/>
          </w:tcPr>
          <w:p>
            <w:pPr>
              <w:adjustRightInd w:val="0"/>
              <w:snapToGrid w:val="0"/>
              <w:spacing w:line="360" w:lineRule="auto"/>
              <w:jc w:val="center"/>
              <w:rPr>
                <w:rFonts w:ascii="华文细黑" w:hAnsi="华文细黑" w:cs="宋体"/>
                <w:color w:val="000000" w:themeColor="text1"/>
                <w:szCs w:val="21"/>
              </w:rPr>
            </w:pPr>
          </w:p>
        </w:tc>
        <w:tc>
          <w:tcPr>
            <w:tcW w:w="2396" w:type="dxa"/>
          </w:tcPr>
          <w:p>
            <w:pPr>
              <w:adjustRightInd w:val="0"/>
              <w:snapToGrid w:val="0"/>
              <w:spacing w:line="360" w:lineRule="auto"/>
              <w:rPr>
                <w:rFonts w:ascii="华文细黑" w:hAnsi="华文细黑" w:cs="宋体"/>
                <w:color w:val="000000" w:themeColor="text1"/>
                <w:szCs w:val="21"/>
              </w:rPr>
            </w:pPr>
          </w:p>
        </w:tc>
        <w:tc>
          <w:tcPr>
            <w:tcW w:w="708" w:type="dxa"/>
          </w:tcPr>
          <w:p>
            <w:pPr>
              <w:adjustRightInd w:val="0"/>
              <w:snapToGrid w:val="0"/>
              <w:spacing w:line="360" w:lineRule="auto"/>
              <w:jc w:val="center"/>
              <w:rPr>
                <w:rFonts w:ascii="华文细黑" w:hAnsi="华文细黑" w:cs="宋体"/>
                <w:color w:val="000000" w:themeColor="text1"/>
                <w:szCs w:val="21"/>
              </w:rPr>
            </w:pPr>
          </w:p>
        </w:tc>
        <w:tc>
          <w:tcPr>
            <w:tcW w:w="1418" w:type="dxa"/>
          </w:tcPr>
          <w:p>
            <w:pPr>
              <w:adjustRightInd w:val="0"/>
              <w:snapToGrid w:val="0"/>
              <w:spacing w:line="360" w:lineRule="auto"/>
              <w:jc w:val="center"/>
              <w:rPr>
                <w:rFonts w:ascii="华文细黑" w:hAnsi="华文细黑" w:cs="宋体"/>
                <w:color w:val="000000" w:themeColor="text1"/>
                <w:szCs w:val="21"/>
              </w:rPr>
            </w:pPr>
          </w:p>
        </w:tc>
        <w:tc>
          <w:tcPr>
            <w:tcW w:w="1134" w:type="dxa"/>
          </w:tcPr>
          <w:p>
            <w:pPr>
              <w:adjustRightInd w:val="0"/>
              <w:snapToGrid w:val="0"/>
              <w:spacing w:line="360" w:lineRule="auto"/>
              <w:rPr>
                <w:rFonts w:ascii="华文细黑" w:hAnsi="华文细黑" w:cs="宋体"/>
                <w:color w:val="000000" w:themeColor="text1"/>
                <w:szCs w:val="21"/>
              </w:rPr>
            </w:pPr>
          </w:p>
        </w:tc>
        <w:tc>
          <w:tcPr>
            <w:tcW w:w="1417" w:type="dxa"/>
          </w:tcPr>
          <w:p>
            <w:pPr>
              <w:adjustRightInd w:val="0"/>
              <w:snapToGrid w:val="0"/>
              <w:spacing w:line="360" w:lineRule="auto"/>
              <w:jc w:val="center"/>
              <w:rPr>
                <w:rFonts w:ascii="华文细黑" w:hAnsi="华文细黑" w:cs="宋体"/>
                <w:color w:val="000000" w:themeColor="text1"/>
                <w:szCs w:val="21"/>
              </w:rPr>
            </w:pPr>
          </w:p>
        </w:tc>
        <w:tc>
          <w:tcPr>
            <w:tcW w:w="1276" w:type="dxa"/>
          </w:tcPr>
          <w:p>
            <w:pPr>
              <w:adjustRightInd w:val="0"/>
              <w:snapToGrid w:val="0"/>
              <w:spacing w:line="360" w:lineRule="auto"/>
              <w:rPr>
                <w:rFonts w:ascii="华文细黑" w:hAnsi="华文细黑"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3</w:t>
            </w:r>
          </w:p>
        </w:tc>
        <w:tc>
          <w:tcPr>
            <w:tcW w:w="1432" w:type="dxa"/>
          </w:tcPr>
          <w:p>
            <w:pPr>
              <w:adjustRightInd w:val="0"/>
              <w:snapToGrid w:val="0"/>
              <w:spacing w:line="360" w:lineRule="auto"/>
              <w:jc w:val="center"/>
              <w:rPr>
                <w:rFonts w:ascii="华文细黑" w:hAnsi="华文细黑" w:cs="宋体"/>
                <w:color w:val="000000" w:themeColor="text1"/>
                <w:szCs w:val="21"/>
              </w:rPr>
            </w:pPr>
          </w:p>
        </w:tc>
        <w:tc>
          <w:tcPr>
            <w:tcW w:w="2396" w:type="dxa"/>
          </w:tcPr>
          <w:p>
            <w:pPr>
              <w:adjustRightInd w:val="0"/>
              <w:snapToGrid w:val="0"/>
              <w:spacing w:line="360" w:lineRule="auto"/>
              <w:rPr>
                <w:rFonts w:ascii="华文细黑" w:hAnsi="华文细黑" w:cs="宋体"/>
                <w:color w:val="000000" w:themeColor="text1"/>
                <w:szCs w:val="21"/>
              </w:rPr>
            </w:pPr>
          </w:p>
        </w:tc>
        <w:tc>
          <w:tcPr>
            <w:tcW w:w="708" w:type="dxa"/>
          </w:tcPr>
          <w:p>
            <w:pPr>
              <w:adjustRightInd w:val="0"/>
              <w:snapToGrid w:val="0"/>
              <w:spacing w:line="360" w:lineRule="auto"/>
              <w:jc w:val="center"/>
              <w:rPr>
                <w:rFonts w:ascii="华文细黑" w:hAnsi="华文细黑" w:cs="宋体"/>
                <w:color w:val="000000" w:themeColor="text1"/>
                <w:szCs w:val="21"/>
              </w:rPr>
            </w:pPr>
          </w:p>
        </w:tc>
        <w:tc>
          <w:tcPr>
            <w:tcW w:w="1418" w:type="dxa"/>
          </w:tcPr>
          <w:p>
            <w:pPr>
              <w:adjustRightInd w:val="0"/>
              <w:snapToGrid w:val="0"/>
              <w:spacing w:line="360" w:lineRule="auto"/>
              <w:jc w:val="center"/>
              <w:rPr>
                <w:rFonts w:ascii="华文细黑" w:hAnsi="华文细黑" w:cs="宋体"/>
                <w:color w:val="000000" w:themeColor="text1"/>
                <w:szCs w:val="21"/>
              </w:rPr>
            </w:pPr>
          </w:p>
        </w:tc>
        <w:tc>
          <w:tcPr>
            <w:tcW w:w="1134" w:type="dxa"/>
          </w:tcPr>
          <w:p>
            <w:pPr>
              <w:adjustRightInd w:val="0"/>
              <w:snapToGrid w:val="0"/>
              <w:spacing w:line="360" w:lineRule="auto"/>
              <w:rPr>
                <w:rFonts w:ascii="华文细黑" w:hAnsi="华文细黑" w:cs="宋体"/>
                <w:color w:val="000000" w:themeColor="text1"/>
                <w:szCs w:val="21"/>
              </w:rPr>
            </w:pPr>
          </w:p>
        </w:tc>
        <w:tc>
          <w:tcPr>
            <w:tcW w:w="1417" w:type="dxa"/>
          </w:tcPr>
          <w:p>
            <w:pPr>
              <w:adjustRightInd w:val="0"/>
              <w:snapToGrid w:val="0"/>
              <w:spacing w:line="360" w:lineRule="auto"/>
              <w:jc w:val="center"/>
              <w:rPr>
                <w:rFonts w:ascii="华文细黑" w:hAnsi="华文细黑" w:cs="宋体"/>
                <w:color w:val="000000" w:themeColor="text1"/>
                <w:szCs w:val="21"/>
              </w:rPr>
            </w:pPr>
          </w:p>
        </w:tc>
        <w:tc>
          <w:tcPr>
            <w:tcW w:w="1276" w:type="dxa"/>
          </w:tcPr>
          <w:p>
            <w:pPr>
              <w:adjustRightInd w:val="0"/>
              <w:snapToGrid w:val="0"/>
              <w:spacing w:line="360" w:lineRule="auto"/>
              <w:rPr>
                <w:rFonts w:ascii="华文细黑" w:hAnsi="华文细黑"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4</w:t>
            </w:r>
          </w:p>
        </w:tc>
        <w:tc>
          <w:tcPr>
            <w:tcW w:w="1432" w:type="dxa"/>
          </w:tcPr>
          <w:p>
            <w:pPr>
              <w:adjustRightInd w:val="0"/>
              <w:snapToGrid w:val="0"/>
              <w:spacing w:line="360" w:lineRule="auto"/>
              <w:jc w:val="center"/>
              <w:rPr>
                <w:rFonts w:ascii="华文细黑" w:hAnsi="华文细黑" w:cs="宋体"/>
                <w:color w:val="000000" w:themeColor="text1"/>
                <w:szCs w:val="21"/>
              </w:rPr>
            </w:pPr>
          </w:p>
        </w:tc>
        <w:tc>
          <w:tcPr>
            <w:tcW w:w="2396" w:type="dxa"/>
          </w:tcPr>
          <w:p>
            <w:pPr>
              <w:adjustRightInd w:val="0"/>
              <w:snapToGrid w:val="0"/>
              <w:spacing w:line="360" w:lineRule="auto"/>
              <w:rPr>
                <w:rFonts w:ascii="华文细黑" w:hAnsi="华文细黑" w:cs="宋体"/>
                <w:color w:val="000000" w:themeColor="text1"/>
                <w:szCs w:val="21"/>
              </w:rPr>
            </w:pPr>
          </w:p>
        </w:tc>
        <w:tc>
          <w:tcPr>
            <w:tcW w:w="708" w:type="dxa"/>
          </w:tcPr>
          <w:p>
            <w:pPr>
              <w:adjustRightInd w:val="0"/>
              <w:snapToGrid w:val="0"/>
              <w:spacing w:line="360" w:lineRule="auto"/>
              <w:jc w:val="center"/>
              <w:rPr>
                <w:rFonts w:ascii="华文细黑" w:hAnsi="华文细黑" w:cs="宋体"/>
                <w:color w:val="000000" w:themeColor="text1"/>
                <w:szCs w:val="21"/>
              </w:rPr>
            </w:pPr>
          </w:p>
        </w:tc>
        <w:tc>
          <w:tcPr>
            <w:tcW w:w="1418" w:type="dxa"/>
          </w:tcPr>
          <w:p>
            <w:pPr>
              <w:adjustRightInd w:val="0"/>
              <w:snapToGrid w:val="0"/>
              <w:spacing w:line="360" w:lineRule="auto"/>
              <w:jc w:val="center"/>
              <w:rPr>
                <w:rFonts w:ascii="华文细黑" w:hAnsi="华文细黑" w:cs="宋体"/>
                <w:color w:val="000000" w:themeColor="text1"/>
                <w:szCs w:val="21"/>
              </w:rPr>
            </w:pPr>
          </w:p>
        </w:tc>
        <w:tc>
          <w:tcPr>
            <w:tcW w:w="1134" w:type="dxa"/>
          </w:tcPr>
          <w:p>
            <w:pPr>
              <w:adjustRightInd w:val="0"/>
              <w:snapToGrid w:val="0"/>
              <w:spacing w:line="360" w:lineRule="auto"/>
              <w:rPr>
                <w:rFonts w:ascii="华文细黑" w:hAnsi="华文细黑" w:cs="宋体"/>
                <w:color w:val="000000" w:themeColor="text1"/>
                <w:szCs w:val="21"/>
              </w:rPr>
            </w:pPr>
          </w:p>
        </w:tc>
        <w:tc>
          <w:tcPr>
            <w:tcW w:w="1417" w:type="dxa"/>
          </w:tcPr>
          <w:p>
            <w:pPr>
              <w:adjustRightInd w:val="0"/>
              <w:snapToGrid w:val="0"/>
              <w:spacing w:line="360" w:lineRule="auto"/>
              <w:jc w:val="center"/>
              <w:rPr>
                <w:rFonts w:ascii="华文细黑" w:hAnsi="华文细黑" w:cs="宋体"/>
                <w:color w:val="000000" w:themeColor="text1"/>
                <w:szCs w:val="21"/>
              </w:rPr>
            </w:pPr>
          </w:p>
        </w:tc>
        <w:tc>
          <w:tcPr>
            <w:tcW w:w="1276" w:type="dxa"/>
          </w:tcPr>
          <w:p>
            <w:pPr>
              <w:adjustRightInd w:val="0"/>
              <w:snapToGrid w:val="0"/>
              <w:spacing w:line="360" w:lineRule="auto"/>
              <w:rPr>
                <w:rFonts w:ascii="华文细黑" w:hAnsi="华文细黑"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pPr>
              <w:adjustRightInd w:val="0"/>
              <w:snapToGrid w:val="0"/>
              <w:spacing w:line="360" w:lineRule="auto"/>
              <w:jc w:val="center"/>
              <w:rPr>
                <w:rFonts w:ascii="华文细黑" w:hAnsi="华文细黑" w:cs="宋体"/>
                <w:color w:val="000000" w:themeColor="text1"/>
                <w:szCs w:val="21"/>
              </w:rPr>
            </w:pPr>
            <w:r>
              <w:rPr>
                <w:rFonts w:hint="eastAsia" w:ascii="华文细黑" w:hAnsi="华文细黑" w:cs="宋体"/>
                <w:color w:val="000000" w:themeColor="text1"/>
                <w:szCs w:val="21"/>
              </w:rPr>
              <w:t>5</w:t>
            </w:r>
          </w:p>
        </w:tc>
        <w:tc>
          <w:tcPr>
            <w:tcW w:w="1432" w:type="dxa"/>
          </w:tcPr>
          <w:p>
            <w:pPr>
              <w:adjustRightInd w:val="0"/>
              <w:snapToGrid w:val="0"/>
              <w:spacing w:line="360" w:lineRule="auto"/>
              <w:jc w:val="center"/>
              <w:rPr>
                <w:rFonts w:ascii="华文细黑" w:hAnsi="华文细黑" w:cs="宋体"/>
                <w:color w:val="000000" w:themeColor="text1"/>
                <w:szCs w:val="21"/>
              </w:rPr>
            </w:pPr>
          </w:p>
        </w:tc>
        <w:tc>
          <w:tcPr>
            <w:tcW w:w="2396" w:type="dxa"/>
          </w:tcPr>
          <w:p>
            <w:pPr>
              <w:adjustRightInd w:val="0"/>
              <w:snapToGrid w:val="0"/>
              <w:spacing w:line="360" w:lineRule="auto"/>
              <w:rPr>
                <w:rFonts w:ascii="华文细黑" w:hAnsi="华文细黑" w:cs="宋体"/>
                <w:color w:val="000000" w:themeColor="text1"/>
                <w:szCs w:val="21"/>
              </w:rPr>
            </w:pPr>
          </w:p>
        </w:tc>
        <w:tc>
          <w:tcPr>
            <w:tcW w:w="708" w:type="dxa"/>
          </w:tcPr>
          <w:p>
            <w:pPr>
              <w:adjustRightInd w:val="0"/>
              <w:snapToGrid w:val="0"/>
              <w:spacing w:line="360" w:lineRule="auto"/>
              <w:jc w:val="center"/>
              <w:rPr>
                <w:rFonts w:ascii="华文细黑" w:hAnsi="华文细黑" w:cs="宋体"/>
                <w:color w:val="000000" w:themeColor="text1"/>
                <w:szCs w:val="21"/>
              </w:rPr>
            </w:pPr>
          </w:p>
        </w:tc>
        <w:tc>
          <w:tcPr>
            <w:tcW w:w="1418" w:type="dxa"/>
          </w:tcPr>
          <w:p>
            <w:pPr>
              <w:adjustRightInd w:val="0"/>
              <w:snapToGrid w:val="0"/>
              <w:spacing w:line="360" w:lineRule="auto"/>
              <w:jc w:val="center"/>
              <w:rPr>
                <w:rFonts w:ascii="华文细黑" w:hAnsi="华文细黑" w:cs="宋体"/>
                <w:color w:val="000000" w:themeColor="text1"/>
                <w:szCs w:val="21"/>
              </w:rPr>
            </w:pPr>
          </w:p>
        </w:tc>
        <w:tc>
          <w:tcPr>
            <w:tcW w:w="1134" w:type="dxa"/>
          </w:tcPr>
          <w:p>
            <w:pPr>
              <w:adjustRightInd w:val="0"/>
              <w:snapToGrid w:val="0"/>
              <w:spacing w:line="360" w:lineRule="auto"/>
              <w:rPr>
                <w:rFonts w:ascii="华文细黑" w:hAnsi="华文细黑" w:cs="宋体"/>
                <w:color w:val="000000" w:themeColor="text1"/>
                <w:szCs w:val="21"/>
              </w:rPr>
            </w:pPr>
          </w:p>
        </w:tc>
        <w:tc>
          <w:tcPr>
            <w:tcW w:w="1417" w:type="dxa"/>
          </w:tcPr>
          <w:p>
            <w:pPr>
              <w:adjustRightInd w:val="0"/>
              <w:snapToGrid w:val="0"/>
              <w:spacing w:line="360" w:lineRule="auto"/>
              <w:jc w:val="center"/>
              <w:rPr>
                <w:rFonts w:ascii="华文细黑" w:hAnsi="华文细黑" w:cs="宋体"/>
                <w:color w:val="000000" w:themeColor="text1"/>
                <w:szCs w:val="21"/>
              </w:rPr>
            </w:pPr>
          </w:p>
        </w:tc>
        <w:tc>
          <w:tcPr>
            <w:tcW w:w="1276" w:type="dxa"/>
          </w:tcPr>
          <w:p>
            <w:pPr>
              <w:adjustRightInd w:val="0"/>
              <w:snapToGrid w:val="0"/>
              <w:spacing w:line="360" w:lineRule="auto"/>
              <w:rPr>
                <w:rFonts w:ascii="华文细黑" w:hAnsi="华文细黑" w:cs="宋体"/>
                <w:color w:val="000000" w:themeColor="text1"/>
                <w:szCs w:val="21"/>
              </w:rPr>
            </w:pPr>
          </w:p>
        </w:tc>
      </w:tr>
    </w:tbl>
    <w:p>
      <w:pPr>
        <w:pStyle w:val="17"/>
        <w:spacing w:line="360" w:lineRule="auto"/>
        <w:rPr>
          <w:color w:val="000000" w:themeColor="text1"/>
          <w:lang w:val="zh-CN"/>
        </w:rPr>
      </w:pPr>
    </w:p>
    <w:p>
      <w:pPr>
        <w:spacing w:line="360" w:lineRule="auto"/>
        <w:ind w:left="1061" w:leftChars="339" w:hanging="350" w:hangingChars="146"/>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注：供应商须按上表提供业绩证明资料（中标通知书或合同复印件加盖公章）。</w:t>
      </w:r>
    </w:p>
    <w:p>
      <w:pPr>
        <w:spacing w:line="360" w:lineRule="auto"/>
        <w:ind w:firstLine="720" w:firstLineChars="300"/>
        <w:rPr>
          <w:rFonts w:ascii="宋体" w:hAnsi="宋体" w:eastAsia="宋体" w:cs="Times New Roman"/>
          <w:color w:val="000000" w:themeColor="text1"/>
          <w:sz w:val="24"/>
          <w:szCs w:val="24"/>
        </w:rPr>
      </w:pPr>
    </w:p>
    <w:p>
      <w:pPr>
        <w:spacing w:line="360" w:lineRule="auto"/>
        <w:ind w:firstLine="720" w:firstLineChars="300"/>
        <w:rPr>
          <w:rFonts w:ascii="宋体" w:hAnsi="宋体" w:eastAsia="宋体" w:cs="Times New Roman"/>
          <w:color w:val="000000" w:themeColor="text1"/>
          <w:sz w:val="24"/>
          <w:szCs w:val="24"/>
        </w:rPr>
      </w:pP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color w:val="000000" w:themeColor="text1"/>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610" w:hanging="1610"/>
        <w:rPr>
          <w:rFonts w:ascii="宋体" w:hAnsi="宋体" w:eastAsia="宋体"/>
          <w:color w:val="000000" w:themeColor="text1"/>
        </w:rPr>
      </w:pPr>
      <w:bookmarkStart w:id="218" w:name="_Toc494702285"/>
      <w:bookmarkStart w:id="219" w:name="_Toc494745332"/>
      <w:bookmarkStart w:id="220" w:name="_Toc494665568"/>
      <w:bookmarkStart w:id="221" w:name="_Toc494721115"/>
      <w:bookmarkStart w:id="222" w:name="_Toc494665015"/>
      <w:bookmarkStart w:id="223" w:name="_Toc494665965"/>
      <w:bookmarkStart w:id="224" w:name="_Toc495861564"/>
      <w:r>
        <w:rPr>
          <w:rFonts w:hint="eastAsia" w:ascii="宋体" w:hAnsi="宋体" w:eastAsia="宋体"/>
          <w:color w:val="000000" w:themeColor="text1"/>
        </w:rPr>
        <w:t>符合性审查对照表</w:t>
      </w:r>
      <w:bookmarkEnd w:id="218"/>
      <w:bookmarkEnd w:id="219"/>
      <w:bookmarkEnd w:id="220"/>
      <w:bookmarkEnd w:id="221"/>
      <w:bookmarkEnd w:id="222"/>
      <w:bookmarkEnd w:id="223"/>
      <w:bookmarkEnd w:id="224"/>
    </w:p>
    <w:p>
      <w:pPr>
        <w:spacing w:line="360" w:lineRule="auto"/>
        <w:jc w:val="left"/>
        <w:rPr>
          <w:rFonts w:hAnsi="宋体"/>
          <w:bCs/>
          <w:color w:val="000000" w:themeColor="text1"/>
          <w:sz w:val="24"/>
        </w:rPr>
      </w:pPr>
      <w:r>
        <w:rPr>
          <w:rFonts w:hint="eastAsia" w:hAnsi="宋体"/>
          <w:bCs/>
          <w:color w:val="000000" w:themeColor="text1"/>
          <w:sz w:val="24"/>
        </w:rPr>
        <w:t>投标人：</w:t>
      </w:r>
    </w:p>
    <w:p>
      <w:pPr>
        <w:spacing w:line="360" w:lineRule="auto"/>
        <w:jc w:val="left"/>
        <w:rPr>
          <w:rFonts w:hAnsi="宋体"/>
          <w:b/>
          <w:color w:val="000000" w:themeColor="text1"/>
          <w:sz w:val="24"/>
        </w:rPr>
      </w:pPr>
      <w:r>
        <w:rPr>
          <w:rFonts w:hint="eastAsia" w:ascii="宋体" w:hAnsi="宋体" w:eastAsia="宋体" w:cs="Times New Roman"/>
          <w:bCs/>
          <w:color w:val="000000" w:themeColor="text1"/>
          <w:sz w:val="24"/>
          <w:szCs w:val="21"/>
          <w:lang w:val="zh-CN"/>
        </w:rPr>
        <w:t>项目编号：                所投包号：</w:t>
      </w:r>
    </w:p>
    <w:tbl>
      <w:tblPr>
        <w:tblStyle w:val="23"/>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3032"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w:t>
            </w:r>
            <w:r>
              <w:rPr>
                <w:rFonts w:hint="eastAsia" w:ascii="宋体" w:hAnsi="宋体" w:eastAsia="宋体" w:cs="Corbel"/>
                <w:color w:val="000000" w:themeColor="text1"/>
                <w:sz w:val="24"/>
                <w:szCs w:val="24"/>
              </w:rPr>
              <w:t>符合性审查条款</w:t>
            </w:r>
          </w:p>
        </w:tc>
        <w:tc>
          <w:tcPr>
            <w:tcW w:w="2754"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363"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02"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3032" w:type="dxa"/>
            <w:vAlign w:val="center"/>
          </w:tcPr>
          <w:p>
            <w:pPr>
              <w:spacing w:line="360" w:lineRule="auto"/>
              <w:jc w:val="center"/>
              <w:rPr>
                <w:rFonts w:ascii="宋体" w:hAnsi="宋体" w:eastAsia="宋体" w:cs="仿宋_GB2312"/>
                <w:color w:val="000000" w:themeColor="text1"/>
                <w:sz w:val="24"/>
                <w:szCs w:val="24"/>
              </w:rPr>
            </w:pPr>
          </w:p>
        </w:tc>
        <w:tc>
          <w:tcPr>
            <w:tcW w:w="2754" w:type="dxa"/>
            <w:vAlign w:val="center"/>
          </w:tcPr>
          <w:p>
            <w:pPr>
              <w:spacing w:line="360" w:lineRule="auto"/>
              <w:jc w:val="center"/>
              <w:rPr>
                <w:rFonts w:ascii="宋体" w:hAnsi="宋体" w:eastAsia="宋体" w:cs="仿宋_GB2312"/>
                <w:color w:val="000000" w:themeColor="text1"/>
                <w:sz w:val="24"/>
                <w:szCs w:val="24"/>
              </w:rPr>
            </w:pPr>
          </w:p>
        </w:tc>
        <w:tc>
          <w:tcPr>
            <w:tcW w:w="1363" w:type="dxa"/>
            <w:vAlign w:val="center"/>
          </w:tcPr>
          <w:p>
            <w:pPr>
              <w:spacing w:line="360" w:lineRule="auto"/>
              <w:jc w:val="center"/>
              <w:rPr>
                <w:rFonts w:ascii="宋体" w:hAnsi="宋体" w:eastAsia="宋体" w:cs="仿宋_GB2312"/>
                <w:color w:val="000000" w:themeColor="text1"/>
                <w:sz w:val="24"/>
                <w:szCs w:val="24"/>
              </w:rPr>
            </w:pPr>
          </w:p>
        </w:tc>
        <w:tc>
          <w:tcPr>
            <w:tcW w:w="1602"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3032" w:type="dxa"/>
            <w:vAlign w:val="center"/>
          </w:tcPr>
          <w:p>
            <w:pPr>
              <w:spacing w:line="360" w:lineRule="auto"/>
              <w:jc w:val="center"/>
              <w:rPr>
                <w:rFonts w:ascii="宋体" w:hAnsi="宋体" w:eastAsia="宋体" w:cs="仿宋_GB2312"/>
                <w:color w:val="000000" w:themeColor="text1"/>
                <w:sz w:val="24"/>
                <w:szCs w:val="24"/>
              </w:rPr>
            </w:pPr>
          </w:p>
        </w:tc>
        <w:tc>
          <w:tcPr>
            <w:tcW w:w="2754" w:type="dxa"/>
            <w:vAlign w:val="center"/>
          </w:tcPr>
          <w:p>
            <w:pPr>
              <w:spacing w:line="360" w:lineRule="auto"/>
              <w:jc w:val="center"/>
              <w:rPr>
                <w:rFonts w:ascii="宋体" w:hAnsi="宋体" w:eastAsia="宋体" w:cs="仿宋_GB2312"/>
                <w:color w:val="000000" w:themeColor="text1"/>
                <w:sz w:val="24"/>
                <w:szCs w:val="24"/>
              </w:rPr>
            </w:pPr>
          </w:p>
        </w:tc>
        <w:tc>
          <w:tcPr>
            <w:tcW w:w="1363" w:type="dxa"/>
            <w:vAlign w:val="center"/>
          </w:tcPr>
          <w:p>
            <w:pPr>
              <w:spacing w:line="360" w:lineRule="auto"/>
              <w:jc w:val="center"/>
              <w:rPr>
                <w:rFonts w:ascii="宋体" w:hAnsi="宋体" w:eastAsia="宋体" w:cs="仿宋_GB2312"/>
                <w:color w:val="000000" w:themeColor="text1"/>
                <w:sz w:val="24"/>
                <w:szCs w:val="24"/>
              </w:rPr>
            </w:pPr>
          </w:p>
        </w:tc>
        <w:tc>
          <w:tcPr>
            <w:tcW w:w="1602"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3032" w:type="dxa"/>
            <w:vAlign w:val="center"/>
          </w:tcPr>
          <w:p>
            <w:pPr>
              <w:spacing w:line="360" w:lineRule="auto"/>
              <w:jc w:val="center"/>
              <w:rPr>
                <w:rFonts w:ascii="宋体" w:hAnsi="宋体" w:eastAsia="宋体" w:cs="仿宋_GB2312"/>
                <w:color w:val="000000" w:themeColor="text1"/>
                <w:sz w:val="24"/>
                <w:szCs w:val="24"/>
              </w:rPr>
            </w:pPr>
          </w:p>
        </w:tc>
        <w:tc>
          <w:tcPr>
            <w:tcW w:w="2754" w:type="dxa"/>
            <w:vAlign w:val="center"/>
          </w:tcPr>
          <w:p>
            <w:pPr>
              <w:spacing w:line="360" w:lineRule="auto"/>
              <w:jc w:val="center"/>
              <w:rPr>
                <w:rFonts w:ascii="宋体" w:hAnsi="宋体" w:eastAsia="宋体" w:cs="仿宋_GB2312"/>
                <w:color w:val="000000" w:themeColor="text1"/>
                <w:sz w:val="24"/>
                <w:szCs w:val="24"/>
              </w:rPr>
            </w:pPr>
          </w:p>
        </w:tc>
        <w:tc>
          <w:tcPr>
            <w:tcW w:w="1363" w:type="dxa"/>
            <w:vAlign w:val="center"/>
          </w:tcPr>
          <w:p>
            <w:pPr>
              <w:spacing w:line="360" w:lineRule="auto"/>
              <w:jc w:val="center"/>
              <w:rPr>
                <w:rFonts w:ascii="宋体" w:hAnsi="宋体" w:eastAsia="宋体" w:cs="仿宋_GB2312"/>
                <w:color w:val="000000" w:themeColor="text1"/>
                <w:sz w:val="24"/>
                <w:szCs w:val="24"/>
              </w:rPr>
            </w:pPr>
          </w:p>
        </w:tc>
        <w:tc>
          <w:tcPr>
            <w:tcW w:w="1602"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3032" w:type="dxa"/>
            <w:vAlign w:val="center"/>
          </w:tcPr>
          <w:p>
            <w:pPr>
              <w:spacing w:line="360" w:lineRule="auto"/>
              <w:jc w:val="center"/>
              <w:rPr>
                <w:rFonts w:ascii="宋体" w:hAnsi="宋体" w:eastAsia="宋体" w:cs="仿宋_GB2312"/>
                <w:color w:val="000000" w:themeColor="text1"/>
                <w:sz w:val="24"/>
                <w:szCs w:val="24"/>
              </w:rPr>
            </w:pPr>
          </w:p>
        </w:tc>
        <w:tc>
          <w:tcPr>
            <w:tcW w:w="2754" w:type="dxa"/>
            <w:vAlign w:val="center"/>
          </w:tcPr>
          <w:p>
            <w:pPr>
              <w:spacing w:line="360" w:lineRule="auto"/>
              <w:jc w:val="center"/>
              <w:rPr>
                <w:rFonts w:ascii="宋体" w:hAnsi="宋体" w:eastAsia="宋体" w:cs="仿宋_GB2312"/>
                <w:color w:val="000000" w:themeColor="text1"/>
                <w:sz w:val="24"/>
                <w:szCs w:val="24"/>
              </w:rPr>
            </w:pPr>
          </w:p>
        </w:tc>
        <w:tc>
          <w:tcPr>
            <w:tcW w:w="1363" w:type="dxa"/>
            <w:vAlign w:val="center"/>
          </w:tcPr>
          <w:p>
            <w:pPr>
              <w:spacing w:line="360" w:lineRule="auto"/>
              <w:jc w:val="center"/>
              <w:rPr>
                <w:rFonts w:ascii="宋体" w:hAnsi="宋体" w:eastAsia="宋体" w:cs="仿宋_GB2312"/>
                <w:color w:val="000000" w:themeColor="text1"/>
                <w:sz w:val="24"/>
                <w:szCs w:val="24"/>
              </w:rPr>
            </w:pPr>
          </w:p>
        </w:tc>
        <w:tc>
          <w:tcPr>
            <w:tcW w:w="1602"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3032" w:type="dxa"/>
            <w:vAlign w:val="center"/>
          </w:tcPr>
          <w:p>
            <w:pPr>
              <w:spacing w:line="360" w:lineRule="auto"/>
              <w:jc w:val="center"/>
              <w:rPr>
                <w:rFonts w:ascii="宋体" w:hAnsi="宋体" w:eastAsia="宋体" w:cs="仿宋_GB2312"/>
                <w:color w:val="000000" w:themeColor="text1"/>
                <w:sz w:val="24"/>
                <w:szCs w:val="24"/>
              </w:rPr>
            </w:pPr>
          </w:p>
        </w:tc>
        <w:tc>
          <w:tcPr>
            <w:tcW w:w="2754" w:type="dxa"/>
            <w:vAlign w:val="center"/>
          </w:tcPr>
          <w:p>
            <w:pPr>
              <w:spacing w:line="360" w:lineRule="auto"/>
              <w:jc w:val="center"/>
              <w:rPr>
                <w:rFonts w:ascii="宋体" w:hAnsi="宋体" w:eastAsia="宋体" w:cs="仿宋_GB2312"/>
                <w:color w:val="000000" w:themeColor="text1"/>
                <w:sz w:val="24"/>
                <w:szCs w:val="24"/>
              </w:rPr>
            </w:pPr>
          </w:p>
        </w:tc>
        <w:tc>
          <w:tcPr>
            <w:tcW w:w="1363" w:type="dxa"/>
            <w:vAlign w:val="center"/>
          </w:tcPr>
          <w:p>
            <w:pPr>
              <w:spacing w:line="360" w:lineRule="auto"/>
              <w:jc w:val="center"/>
              <w:rPr>
                <w:rFonts w:ascii="宋体" w:hAnsi="宋体" w:eastAsia="宋体" w:cs="仿宋_GB2312"/>
                <w:color w:val="000000" w:themeColor="text1"/>
                <w:sz w:val="24"/>
                <w:szCs w:val="24"/>
              </w:rPr>
            </w:pPr>
          </w:p>
        </w:tc>
        <w:tc>
          <w:tcPr>
            <w:tcW w:w="1602"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w:t>
            </w:r>
          </w:p>
        </w:tc>
        <w:tc>
          <w:tcPr>
            <w:tcW w:w="3032" w:type="dxa"/>
            <w:vAlign w:val="center"/>
          </w:tcPr>
          <w:p>
            <w:pPr>
              <w:spacing w:line="360" w:lineRule="auto"/>
              <w:jc w:val="center"/>
              <w:rPr>
                <w:rFonts w:ascii="宋体" w:hAnsi="宋体" w:eastAsia="宋体" w:cs="仿宋_GB2312"/>
                <w:color w:val="000000" w:themeColor="text1"/>
                <w:sz w:val="24"/>
                <w:szCs w:val="24"/>
              </w:rPr>
            </w:pPr>
          </w:p>
        </w:tc>
        <w:tc>
          <w:tcPr>
            <w:tcW w:w="2754" w:type="dxa"/>
            <w:vAlign w:val="center"/>
          </w:tcPr>
          <w:p>
            <w:pPr>
              <w:spacing w:line="360" w:lineRule="auto"/>
              <w:jc w:val="center"/>
              <w:rPr>
                <w:rFonts w:ascii="宋体" w:hAnsi="宋体" w:eastAsia="宋体" w:cs="仿宋_GB2312"/>
                <w:color w:val="000000" w:themeColor="text1"/>
                <w:sz w:val="24"/>
                <w:szCs w:val="24"/>
              </w:rPr>
            </w:pPr>
          </w:p>
        </w:tc>
        <w:tc>
          <w:tcPr>
            <w:tcW w:w="1363" w:type="dxa"/>
            <w:vAlign w:val="center"/>
          </w:tcPr>
          <w:p>
            <w:pPr>
              <w:spacing w:line="360" w:lineRule="auto"/>
              <w:jc w:val="center"/>
              <w:rPr>
                <w:rFonts w:ascii="宋体" w:hAnsi="宋体" w:eastAsia="宋体" w:cs="仿宋_GB2312"/>
                <w:color w:val="000000" w:themeColor="text1"/>
                <w:sz w:val="24"/>
                <w:szCs w:val="24"/>
              </w:rPr>
            </w:pPr>
          </w:p>
        </w:tc>
        <w:tc>
          <w:tcPr>
            <w:tcW w:w="1602"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7</w:t>
            </w:r>
          </w:p>
        </w:tc>
        <w:tc>
          <w:tcPr>
            <w:tcW w:w="3032" w:type="dxa"/>
            <w:vAlign w:val="center"/>
          </w:tcPr>
          <w:p>
            <w:pPr>
              <w:spacing w:line="360" w:lineRule="auto"/>
              <w:jc w:val="center"/>
              <w:rPr>
                <w:rFonts w:ascii="宋体" w:hAnsi="宋体" w:eastAsia="宋体" w:cs="仿宋_GB2312"/>
                <w:color w:val="000000" w:themeColor="text1"/>
                <w:sz w:val="24"/>
                <w:szCs w:val="24"/>
              </w:rPr>
            </w:pPr>
          </w:p>
        </w:tc>
        <w:tc>
          <w:tcPr>
            <w:tcW w:w="2754" w:type="dxa"/>
            <w:vAlign w:val="center"/>
          </w:tcPr>
          <w:p>
            <w:pPr>
              <w:spacing w:line="360" w:lineRule="auto"/>
              <w:jc w:val="center"/>
              <w:rPr>
                <w:rFonts w:ascii="宋体" w:hAnsi="宋体" w:eastAsia="宋体" w:cs="仿宋_GB2312"/>
                <w:color w:val="000000" w:themeColor="text1"/>
                <w:sz w:val="24"/>
                <w:szCs w:val="24"/>
              </w:rPr>
            </w:pPr>
          </w:p>
        </w:tc>
        <w:tc>
          <w:tcPr>
            <w:tcW w:w="1363" w:type="dxa"/>
            <w:vAlign w:val="center"/>
          </w:tcPr>
          <w:p>
            <w:pPr>
              <w:spacing w:line="360" w:lineRule="auto"/>
              <w:jc w:val="center"/>
              <w:rPr>
                <w:rFonts w:ascii="宋体" w:hAnsi="宋体" w:eastAsia="宋体" w:cs="仿宋_GB2312"/>
                <w:color w:val="000000" w:themeColor="text1"/>
                <w:sz w:val="24"/>
                <w:szCs w:val="24"/>
              </w:rPr>
            </w:pPr>
          </w:p>
        </w:tc>
        <w:tc>
          <w:tcPr>
            <w:tcW w:w="1602"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3032" w:type="dxa"/>
            <w:vAlign w:val="center"/>
          </w:tcPr>
          <w:p>
            <w:pPr>
              <w:spacing w:line="360" w:lineRule="auto"/>
              <w:jc w:val="center"/>
              <w:rPr>
                <w:rFonts w:ascii="宋体" w:hAnsi="宋体" w:eastAsia="宋体" w:cs="仿宋_GB2312"/>
                <w:color w:val="000000" w:themeColor="text1"/>
                <w:sz w:val="24"/>
                <w:szCs w:val="24"/>
              </w:rPr>
            </w:pPr>
          </w:p>
        </w:tc>
        <w:tc>
          <w:tcPr>
            <w:tcW w:w="2754" w:type="dxa"/>
            <w:vAlign w:val="center"/>
          </w:tcPr>
          <w:p>
            <w:pPr>
              <w:spacing w:line="360" w:lineRule="auto"/>
              <w:jc w:val="center"/>
              <w:rPr>
                <w:rFonts w:ascii="宋体" w:hAnsi="宋体" w:eastAsia="宋体" w:cs="仿宋_GB2312"/>
                <w:color w:val="000000" w:themeColor="text1"/>
                <w:sz w:val="24"/>
                <w:szCs w:val="24"/>
              </w:rPr>
            </w:pPr>
          </w:p>
        </w:tc>
        <w:tc>
          <w:tcPr>
            <w:tcW w:w="1363" w:type="dxa"/>
            <w:vAlign w:val="center"/>
          </w:tcPr>
          <w:p>
            <w:pPr>
              <w:spacing w:line="360" w:lineRule="auto"/>
              <w:jc w:val="center"/>
              <w:rPr>
                <w:rFonts w:ascii="宋体" w:hAnsi="宋体" w:eastAsia="宋体" w:cs="仿宋_GB2312"/>
                <w:color w:val="000000" w:themeColor="text1"/>
                <w:sz w:val="24"/>
                <w:szCs w:val="24"/>
              </w:rPr>
            </w:pPr>
          </w:p>
        </w:tc>
        <w:tc>
          <w:tcPr>
            <w:tcW w:w="1602" w:type="dxa"/>
            <w:vAlign w:val="center"/>
          </w:tcPr>
          <w:p>
            <w:pPr>
              <w:spacing w:line="360" w:lineRule="auto"/>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Times New Roman"/>
          <w:b/>
          <w:color w:val="000000" w:themeColor="text1"/>
          <w:sz w:val="24"/>
          <w:szCs w:val="24"/>
        </w:rPr>
      </w:pPr>
      <w:r>
        <w:rPr>
          <w:rFonts w:hint="eastAsia" w:ascii="宋体" w:hAnsi="宋体" w:eastAsia="宋体" w:cs="Times New Roman"/>
          <w:color w:val="000000" w:themeColor="text1"/>
          <w:sz w:val="24"/>
          <w:szCs w:val="24"/>
        </w:rPr>
        <w:t>说明</w:t>
      </w:r>
      <w:r>
        <w:rPr>
          <w:rFonts w:hint="eastAsia" w:ascii="宋体" w:hAnsi="宋体" w:eastAsia="宋体" w:cs="Corbel"/>
          <w:color w:val="000000" w:themeColor="text1"/>
          <w:sz w:val="24"/>
          <w:szCs w:val="24"/>
        </w:rPr>
        <w:t>：1</w:t>
      </w:r>
      <w:r>
        <w:rPr>
          <w:rFonts w:hint="eastAsia" w:ascii="宋体" w:hAnsi="宋体" w:eastAsia="宋体" w:cs="Times New Roman"/>
          <w:color w:val="000000" w:themeColor="text1"/>
          <w:sz w:val="24"/>
          <w:szCs w:val="24"/>
        </w:rPr>
        <w:t>．</w:t>
      </w:r>
      <w:r>
        <w:rPr>
          <w:rFonts w:hint="eastAsia" w:ascii="宋体" w:hAnsi="宋体" w:eastAsia="宋体" w:cs="Corbel"/>
          <w:color w:val="000000" w:themeColor="text1"/>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61" w:leftChars="339" w:hanging="350" w:hangingChars="146"/>
        <w:jc w:val="left"/>
        <w:rPr>
          <w:rFonts w:ascii="宋体" w:hAnsi="宋体" w:eastAsia="宋体" w:cs="Times New Roman"/>
          <w:b/>
          <w:color w:val="000000" w:themeColor="text1"/>
          <w:sz w:val="24"/>
          <w:szCs w:val="24"/>
        </w:rPr>
      </w:pPr>
      <w:r>
        <w:rPr>
          <w:rFonts w:hint="eastAsia" w:ascii="宋体" w:hAnsi="宋体" w:eastAsia="宋体" w:cs="Corbel"/>
          <w:color w:val="000000" w:themeColor="text1"/>
          <w:sz w:val="24"/>
          <w:szCs w:val="24"/>
        </w:rPr>
        <w:t>2．</w:t>
      </w:r>
      <w:r>
        <w:rPr>
          <w:rFonts w:hint="eastAsia" w:ascii="宋体" w:hAnsi="宋体" w:eastAsia="宋体" w:cs="Times New Roman"/>
          <w:color w:val="000000" w:themeColor="text1"/>
          <w:sz w:val="24"/>
          <w:szCs w:val="24"/>
        </w:rPr>
        <w:t>投标人</w:t>
      </w:r>
      <w:r>
        <w:rPr>
          <w:rFonts w:hint="eastAsia" w:ascii="宋体" w:hAnsi="宋体" w:eastAsia="宋体" w:cs="Corbel"/>
          <w:color w:val="000000" w:themeColor="text1"/>
          <w:sz w:val="24"/>
          <w:szCs w:val="24"/>
        </w:rPr>
        <w:t>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color w:val="000000" w:themeColor="text1"/>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610" w:hanging="1610"/>
        <w:rPr>
          <w:rFonts w:ascii="宋体" w:hAnsi="宋体" w:eastAsia="宋体"/>
          <w:color w:val="000000" w:themeColor="text1"/>
        </w:rPr>
      </w:pPr>
      <w:bookmarkStart w:id="225" w:name="_Toc494721116"/>
      <w:bookmarkStart w:id="226" w:name="_Toc495861565"/>
      <w:bookmarkStart w:id="227" w:name="_Toc494665966"/>
      <w:bookmarkStart w:id="228" w:name="_Toc494745333"/>
      <w:bookmarkStart w:id="229" w:name="_Toc494665016"/>
      <w:bookmarkStart w:id="230" w:name="_Toc494665569"/>
      <w:bookmarkStart w:id="231" w:name="_Toc494702286"/>
      <w:r>
        <w:rPr>
          <w:rFonts w:hint="eastAsia" w:ascii="宋体" w:hAnsi="宋体" w:eastAsia="宋体"/>
          <w:color w:val="000000" w:themeColor="text1"/>
        </w:rPr>
        <w:t>商务要求响应、偏离说明表</w:t>
      </w:r>
      <w:bookmarkEnd w:id="225"/>
      <w:bookmarkEnd w:id="226"/>
      <w:bookmarkEnd w:id="227"/>
      <w:bookmarkEnd w:id="228"/>
      <w:bookmarkEnd w:id="229"/>
      <w:bookmarkEnd w:id="230"/>
      <w:bookmarkEnd w:id="231"/>
    </w:p>
    <w:p>
      <w:pPr>
        <w:spacing w:line="360" w:lineRule="auto"/>
        <w:jc w:val="left"/>
        <w:rPr>
          <w:rFonts w:hAnsi="宋体"/>
          <w:bCs/>
          <w:color w:val="000000" w:themeColor="text1"/>
          <w:sz w:val="24"/>
        </w:rPr>
      </w:pPr>
      <w:r>
        <w:rPr>
          <w:rFonts w:hint="eastAsia" w:hAnsi="宋体"/>
          <w:bCs/>
          <w:color w:val="000000" w:themeColor="text1"/>
          <w:sz w:val="24"/>
        </w:rPr>
        <w:t>投标人：</w:t>
      </w:r>
    </w:p>
    <w:p>
      <w:pPr>
        <w:spacing w:line="360" w:lineRule="auto"/>
        <w:jc w:val="left"/>
        <w:rPr>
          <w:rFonts w:hAnsi="宋体"/>
          <w:bCs/>
          <w:color w:val="000000" w:themeColor="text1"/>
          <w:sz w:val="24"/>
        </w:rPr>
      </w:pPr>
      <w:r>
        <w:rPr>
          <w:rFonts w:hint="eastAsia" w:ascii="宋体" w:hAnsi="宋体" w:eastAsia="宋体" w:cs="Times New Roman"/>
          <w:bCs/>
          <w:color w:val="000000" w:themeColor="text1"/>
          <w:sz w:val="24"/>
          <w:szCs w:val="21"/>
          <w:lang w:val="zh-CN"/>
        </w:rPr>
        <w:t>项目编号：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招标文件商务要求条款</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619"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7</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说明</w:t>
      </w:r>
      <w:r>
        <w:rPr>
          <w:rFonts w:hint="eastAsia" w:ascii="宋体" w:hAnsi="宋体" w:eastAsia="宋体" w:cs="Corbel"/>
          <w:color w:val="000000" w:themeColor="text1"/>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rPr>
      </w:pPr>
      <w:r>
        <w:rPr>
          <w:rFonts w:hint="eastAsia" w:ascii="宋体" w:hAnsi="宋体" w:eastAsia="宋体" w:cs="Corbel"/>
          <w:color w:val="000000" w:themeColor="text1"/>
          <w:sz w:val="24"/>
          <w:szCs w:val="24"/>
        </w:rPr>
        <w:t>2．投标人</w:t>
      </w:r>
      <w:r>
        <w:rPr>
          <w:rFonts w:hint="eastAsia" w:ascii="宋体" w:hAnsi="宋体" w:eastAsia="宋体" w:cs="Times New Roman"/>
          <w:color w:val="000000" w:themeColor="text1"/>
          <w:sz w:val="24"/>
          <w:szCs w:val="24"/>
        </w:rPr>
        <w:t>提供</w:t>
      </w:r>
      <w:r>
        <w:rPr>
          <w:rFonts w:hint="eastAsia" w:ascii="宋体" w:hAnsi="宋体" w:eastAsia="宋体" w:cs="Corbel"/>
          <w:color w:val="000000" w:themeColor="text1"/>
          <w:sz w:val="24"/>
          <w:szCs w:val="24"/>
        </w:rPr>
        <w:t>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color w:val="000000" w:themeColor="text1"/>
          <w:sz w:val="24"/>
          <w:szCs w:val="24"/>
        </w:rPr>
      </w:pP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color w:val="000000" w:themeColor="text1"/>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610" w:hanging="1610"/>
        <w:rPr>
          <w:rFonts w:ascii="宋体" w:hAnsi="宋体" w:eastAsia="宋体"/>
          <w:color w:val="000000" w:themeColor="text1"/>
        </w:rPr>
      </w:pPr>
      <w:bookmarkStart w:id="232" w:name="_Toc494665967"/>
      <w:bookmarkStart w:id="233" w:name="_Toc495861566"/>
      <w:bookmarkStart w:id="234" w:name="_Toc494721117"/>
      <w:bookmarkStart w:id="235" w:name="_Toc494745334"/>
      <w:bookmarkStart w:id="236" w:name="_Toc494665570"/>
      <w:bookmarkStart w:id="237" w:name="_Toc494702287"/>
      <w:bookmarkStart w:id="238" w:name="_Toc494665017"/>
      <w:r>
        <w:rPr>
          <w:rFonts w:hint="eastAsia" w:ascii="宋体" w:hAnsi="宋体" w:eastAsia="宋体"/>
          <w:color w:val="000000" w:themeColor="text1"/>
        </w:rPr>
        <w:t>商务要求“★”号条款响应、偏离说明表</w:t>
      </w:r>
      <w:bookmarkEnd w:id="232"/>
      <w:bookmarkEnd w:id="233"/>
      <w:bookmarkEnd w:id="234"/>
      <w:bookmarkEnd w:id="235"/>
      <w:bookmarkEnd w:id="236"/>
      <w:bookmarkEnd w:id="237"/>
      <w:bookmarkEnd w:id="238"/>
    </w:p>
    <w:p>
      <w:pPr>
        <w:pStyle w:val="4"/>
        <w:spacing w:before="0" w:after="0" w:line="360" w:lineRule="auto"/>
        <w:rPr>
          <w:rFonts w:ascii="宋体" w:hAnsi="宋体" w:eastAsia="宋体"/>
          <w:color w:val="000000" w:themeColor="text1"/>
        </w:rPr>
      </w:pPr>
    </w:p>
    <w:p>
      <w:pPr>
        <w:spacing w:line="360" w:lineRule="auto"/>
        <w:jc w:val="left"/>
        <w:rPr>
          <w:rFonts w:hAnsi="宋体"/>
          <w:bCs/>
          <w:color w:val="000000" w:themeColor="text1"/>
          <w:sz w:val="24"/>
        </w:rPr>
      </w:pPr>
      <w:r>
        <w:rPr>
          <w:rFonts w:hint="eastAsia" w:hAnsi="宋体"/>
          <w:bCs/>
          <w:color w:val="000000" w:themeColor="text1"/>
          <w:sz w:val="24"/>
        </w:rPr>
        <w:t>投标人：</w:t>
      </w:r>
    </w:p>
    <w:p>
      <w:pPr>
        <w:spacing w:line="360" w:lineRule="auto"/>
        <w:jc w:val="left"/>
        <w:rPr>
          <w:rFonts w:hAnsi="宋体"/>
          <w:bCs/>
          <w:color w:val="000000" w:themeColor="text1"/>
          <w:sz w:val="24"/>
        </w:rPr>
      </w:pPr>
      <w:r>
        <w:rPr>
          <w:rFonts w:hint="eastAsia" w:ascii="宋体" w:hAnsi="宋体" w:eastAsia="宋体" w:cs="Times New Roman"/>
          <w:bCs/>
          <w:color w:val="000000" w:themeColor="text1"/>
          <w:sz w:val="24"/>
          <w:szCs w:val="21"/>
          <w:lang w:val="zh-CN"/>
        </w:rPr>
        <w:t>项目编号：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w:t>
            </w:r>
            <w:r>
              <w:rPr>
                <w:rFonts w:hint="eastAsia" w:ascii="宋体" w:hAnsi="宋体" w:eastAsia="宋体" w:cs="Corbel"/>
                <w:color w:val="000000" w:themeColor="text1"/>
                <w:sz w:val="24"/>
                <w:szCs w:val="24"/>
              </w:rPr>
              <w:t>商务要求“★”号条款</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619"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7</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color w:val="000000" w:themeColor="text1"/>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widowControl/>
        <w:spacing w:line="360" w:lineRule="auto"/>
        <w:jc w:val="left"/>
        <w:rPr>
          <w:color w:val="000000" w:themeColor="text1"/>
        </w:rPr>
      </w:pPr>
      <w:r>
        <w:rPr>
          <w:color w:val="000000" w:themeColor="text1"/>
        </w:rPr>
        <w:br w:type="page"/>
      </w:r>
    </w:p>
    <w:p>
      <w:pPr>
        <w:spacing w:line="360" w:lineRule="auto"/>
        <w:rPr>
          <w:color w:val="000000" w:themeColor="text1"/>
        </w:rPr>
      </w:pPr>
    </w:p>
    <w:p>
      <w:pPr>
        <w:pStyle w:val="4"/>
        <w:numPr>
          <w:ilvl w:val="0"/>
          <w:numId w:val="48"/>
        </w:numPr>
        <w:spacing w:before="0" w:after="0" w:line="360" w:lineRule="auto"/>
        <w:ind w:left="1610" w:hanging="1610"/>
        <w:rPr>
          <w:rFonts w:ascii="宋体" w:hAnsi="宋体" w:eastAsia="宋体"/>
          <w:color w:val="000000" w:themeColor="text1"/>
        </w:rPr>
      </w:pPr>
      <w:bookmarkStart w:id="239" w:name="_Toc494702288"/>
      <w:bookmarkStart w:id="240" w:name="_Toc494721118"/>
      <w:bookmarkStart w:id="241" w:name="_Toc494745335"/>
      <w:bookmarkStart w:id="242" w:name="_Toc494665018"/>
      <w:bookmarkStart w:id="243" w:name="_Toc494665968"/>
      <w:bookmarkStart w:id="244" w:name="_Toc494665571"/>
      <w:bookmarkStart w:id="245" w:name="_Toc495861567"/>
      <w:r>
        <w:rPr>
          <w:rFonts w:hint="eastAsia" w:ascii="宋体" w:hAnsi="宋体" w:eastAsia="宋体"/>
          <w:color w:val="000000" w:themeColor="text1"/>
        </w:rPr>
        <w:t>商务评议对照表</w:t>
      </w:r>
      <w:bookmarkEnd w:id="239"/>
      <w:bookmarkEnd w:id="240"/>
      <w:bookmarkEnd w:id="241"/>
      <w:bookmarkEnd w:id="242"/>
      <w:bookmarkEnd w:id="243"/>
      <w:bookmarkEnd w:id="244"/>
      <w:bookmarkEnd w:id="245"/>
    </w:p>
    <w:p>
      <w:pPr>
        <w:spacing w:line="360" w:lineRule="auto"/>
        <w:jc w:val="left"/>
        <w:rPr>
          <w:rFonts w:hAnsi="宋体"/>
          <w:bCs/>
          <w:color w:val="000000" w:themeColor="text1"/>
          <w:sz w:val="24"/>
        </w:rPr>
      </w:pPr>
      <w:r>
        <w:rPr>
          <w:rFonts w:hint="eastAsia" w:hAnsi="宋体"/>
          <w:bCs/>
          <w:color w:val="000000" w:themeColor="text1"/>
          <w:sz w:val="24"/>
        </w:rPr>
        <w:t>投标人：</w:t>
      </w:r>
    </w:p>
    <w:p>
      <w:pPr>
        <w:spacing w:line="360" w:lineRule="auto"/>
        <w:jc w:val="left"/>
        <w:rPr>
          <w:rFonts w:hAnsi="宋体"/>
          <w:b/>
          <w:color w:val="000000" w:themeColor="text1"/>
          <w:sz w:val="24"/>
        </w:rPr>
      </w:pPr>
      <w:r>
        <w:rPr>
          <w:rFonts w:hint="eastAsia" w:ascii="宋体" w:hAnsi="宋体" w:eastAsia="宋体" w:cs="Times New Roman"/>
          <w:bCs/>
          <w:color w:val="000000" w:themeColor="text1"/>
          <w:sz w:val="24"/>
          <w:szCs w:val="21"/>
          <w:lang w:val="zh-CN"/>
        </w:rPr>
        <w:t>项目编号：                所投包号</w:t>
      </w:r>
      <w:r>
        <w:rPr>
          <w:rFonts w:hint="eastAsia" w:ascii="宋体" w:hAnsi="宋体" w:eastAsia="宋体" w:cs="Times New Roman"/>
          <w:b/>
          <w:bCs/>
          <w:color w:val="000000" w:themeColor="text1"/>
          <w:sz w:val="24"/>
          <w:szCs w:val="21"/>
          <w:lang w:val="zh-CN"/>
        </w:rPr>
        <w:t>：</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spacing w:line="360" w:lineRule="auto"/>
              <w:ind w:left="-37" w:leftChars="-18" w:right="-48" w:rightChars="-23"/>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2848"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招标文件商务评分标准</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619"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2"/>
              </w:numPr>
              <w:spacing w:line="360" w:lineRule="auto"/>
              <w:jc w:val="center"/>
              <w:rPr>
                <w:rFonts w:ascii="宋体" w:hAnsi="宋体" w:eastAsia="宋体" w:cs="仿宋_GB2312"/>
                <w:color w:val="000000" w:themeColor="text1"/>
                <w:sz w:val="24"/>
                <w:szCs w:val="24"/>
              </w:rPr>
            </w:pPr>
          </w:p>
        </w:tc>
        <w:tc>
          <w:tcPr>
            <w:tcW w:w="2848"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2"/>
              </w:numPr>
              <w:spacing w:line="360" w:lineRule="auto"/>
              <w:jc w:val="center"/>
              <w:rPr>
                <w:rFonts w:ascii="宋体" w:hAnsi="宋体" w:eastAsia="宋体" w:cs="仿宋_GB2312"/>
                <w:color w:val="000000" w:themeColor="text1"/>
                <w:sz w:val="24"/>
                <w:szCs w:val="24"/>
              </w:rPr>
            </w:pPr>
          </w:p>
        </w:tc>
        <w:tc>
          <w:tcPr>
            <w:tcW w:w="2848"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2"/>
              </w:numPr>
              <w:spacing w:line="360" w:lineRule="auto"/>
              <w:jc w:val="center"/>
              <w:rPr>
                <w:rFonts w:ascii="宋体" w:hAnsi="宋体" w:eastAsia="宋体" w:cs="仿宋_GB2312"/>
                <w:color w:val="000000" w:themeColor="text1"/>
                <w:sz w:val="24"/>
                <w:szCs w:val="24"/>
              </w:rPr>
            </w:pPr>
          </w:p>
        </w:tc>
        <w:tc>
          <w:tcPr>
            <w:tcW w:w="2848"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2"/>
              </w:numPr>
              <w:spacing w:line="360" w:lineRule="auto"/>
              <w:jc w:val="center"/>
              <w:rPr>
                <w:rFonts w:ascii="宋体" w:hAnsi="宋体" w:eastAsia="宋体" w:cs="仿宋_GB2312"/>
                <w:color w:val="000000" w:themeColor="text1"/>
                <w:sz w:val="24"/>
                <w:szCs w:val="24"/>
              </w:rPr>
            </w:pPr>
          </w:p>
        </w:tc>
        <w:tc>
          <w:tcPr>
            <w:tcW w:w="2848"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2"/>
              </w:numPr>
              <w:spacing w:line="360" w:lineRule="auto"/>
              <w:jc w:val="center"/>
              <w:rPr>
                <w:rFonts w:ascii="宋体" w:hAnsi="宋体" w:eastAsia="宋体" w:cs="仿宋_GB2312"/>
                <w:color w:val="000000" w:themeColor="text1"/>
                <w:sz w:val="24"/>
                <w:szCs w:val="24"/>
              </w:rPr>
            </w:pPr>
          </w:p>
        </w:tc>
        <w:tc>
          <w:tcPr>
            <w:tcW w:w="2848"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52"/>
              </w:numPr>
              <w:spacing w:line="360" w:lineRule="auto"/>
              <w:jc w:val="center"/>
              <w:rPr>
                <w:rFonts w:ascii="宋体" w:hAnsi="宋体" w:eastAsia="宋体" w:cs="仿宋_GB2312"/>
                <w:color w:val="000000" w:themeColor="text1"/>
                <w:sz w:val="24"/>
                <w:szCs w:val="24"/>
              </w:rPr>
            </w:pPr>
          </w:p>
        </w:tc>
        <w:tc>
          <w:tcPr>
            <w:tcW w:w="2848"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2848" w:type="dxa"/>
            <w:vAlign w:val="center"/>
          </w:tcPr>
          <w:p>
            <w:pPr>
              <w:spacing w:line="360" w:lineRule="auto"/>
              <w:jc w:val="center"/>
              <w:rPr>
                <w:rFonts w:ascii="宋体" w:hAnsi="宋体" w:eastAsia="宋体" w:cs="仿宋_GB2312"/>
                <w:color w:val="000000" w:themeColor="text1"/>
                <w:sz w:val="24"/>
                <w:szCs w:val="24"/>
              </w:rPr>
            </w:pP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color w:val="000000" w:themeColor="text1"/>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610" w:hanging="1610"/>
        <w:rPr>
          <w:rFonts w:ascii="宋体" w:hAnsi="宋体" w:eastAsia="宋体"/>
          <w:color w:val="000000" w:themeColor="text1"/>
        </w:rPr>
      </w:pPr>
      <w:bookmarkStart w:id="246" w:name="_Toc494665019"/>
      <w:bookmarkStart w:id="247" w:name="_Toc494702289"/>
      <w:bookmarkStart w:id="248" w:name="_Toc494665572"/>
      <w:bookmarkStart w:id="249" w:name="_Toc495861568"/>
      <w:bookmarkStart w:id="250" w:name="_Toc494665969"/>
      <w:bookmarkStart w:id="251" w:name="_Toc494721119"/>
      <w:bookmarkStart w:id="252" w:name="_Toc494745336"/>
      <w:r>
        <w:rPr>
          <w:rFonts w:hint="eastAsia" w:ascii="宋体" w:hAnsi="宋体" w:eastAsia="宋体"/>
          <w:color w:val="000000" w:themeColor="text1"/>
        </w:rPr>
        <w:t>技术、服务要求响应、偏离说明表</w:t>
      </w:r>
      <w:bookmarkEnd w:id="246"/>
      <w:bookmarkEnd w:id="247"/>
      <w:bookmarkEnd w:id="248"/>
      <w:bookmarkEnd w:id="249"/>
      <w:bookmarkEnd w:id="250"/>
      <w:bookmarkEnd w:id="251"/>
      <w:bookmarkEnd w:id="252"/>
    </w:p>
    <w:p>
      <w:pPr>
        <w:spacing w:line="360" w:lineRule="auto"/>
        <w:jc w:val="left"/>
        <w:rPr>
          <w:rFonts w:hAnsi="宋体"/>
          <w:bCs/>
          <w:color w:val="000000" w:themeColor="text1"/>
          <w:sz w:val="24"/>
        </w:rPr>
      </w:pPr>
      <w:r>
        <w:rPr>
          <w:rFonts w:hint="eastAsia" w:hAnsi="宋体"/>
          <w:bCs/>
          <w:color w:val="000000" w:themeColor="text1"/>
          <w:sz w:val="24"/>
        </w:rPr>
        <w:t>投标人：</w:t>
      </w:r>
    </w:p>
    <w:p>
      <w:pPr>
        <w:spacing w:line="360" w:lineRule="auto"/>
        <w:jc w:val="left"/>
        <w:rPr>
          <w:rFonts w:hAnsi="宋体"/>
          <w:bCs/>
          <w:color w:val="000000" w:themeColor="text1"/>
          <w:sz w:val="24"/>
        </w:rPr>
      </w:pPr>
      <w:r>
        <w:rPr>
          <w:rFonts w:hint="eastAsia" w:ascii="宋体" w:hAnsi="宋体" w:eastAsia="宋体" w:cs="Times New Roman"/>
          <w:bCs/>
          <w:color w:val="000000" w:themeColor="text1"/>
          <w:sz w:val="24"/>
          <w:szCs w:val="21"/>
          <w:lang w:val="zh-CN"/>
        </w:rPr>
        <w:t>项目编号：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3031"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招标文件技术、服务要求条款</w:t>
            </w:r>
          </w:p>
        </w:tc>
        <w:tc>
          <w:tcPr>
            <w:tcW w:w="2755"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364"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3031" w:type="dxa"/>
            <w:vAlign w:val="center"/>
          </w:tcPr>
          <w:p>
            <w:pPr>
              <w:spacing w:line="360" w:lineRule="auto"/>
              <w:jc w:val="center"/>
              <w:rPr>
                <w:rFonts w:ascii="宋体" w:hAnsi="宋体" w:eastAsia="宋体" w:cs="仿宋_GB2312"/>
                <w:color w:val="000000" w:themeColor="text1"/>
                <w:sz w:val="24"/>
                <w:szCs w:val="24"/>
              </w:rPr>
            </w:pPr>
          </w:p>
        </w:tc>
        <w:tc>
          <w:tcPr>
            <w:tcW w:w="2755" w:type="dxa"/>
            <w:vAlign w:val="center"/>
          </w:tcPr>
          <w:p>
            <w:pPr>
              <w:spacing w:line="360" w:lineRule="auto"/>
              <w:jc w:val="center"/>
              <w:rPr>
                <w:rFonts w:ascii="宋体" w:hAnsi="宋体" w:eastAsia="宋体" w:cs="仿宋_GB2312"/>
                <w:color w:val="000000" w:themeColor="text1"/>
                <w:sz w:val="24"/>
                <w:szCs w:val="24"/>
              </w:rPr>
            </w:pPr>
          </w:p>
        </w:tc>
        <w:tc>
          <w:tcPr>
            <w:tcW w:w="1364"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3031" w:type="dxa"/>
            <w:vAlign w:val="center"/>
          </w:tcPr>
          <w:p>
            <w:pPr>
              <w:spacing w:line="360" w:lineRule="auto"/>
              <w:jc w:val="center"/>
              <w:rPr>
                <w:rFonts w:ascii="宋体" w:hAnsi="宋体" w:eastAsia="宋体" w:cs="仿宋_GB2312"/>
                <w:color w:val="000000" w:themeColor="text1"/>
                <w:sz w:val="24"/>
                <w:szCs w:val="24"/>
              </w:rPr>
            </w:pPr>
          </w:p>
        </w:tc>
        <w:tc>
          <w:tcPr>
            <w:tcW w:w="2755" w:type="dxa"/>
            <w:vAlign w:val="center"/>
          </w:tcPr>
          <w:p>
            <w:pPr>
              <w:spacing w:line="360" w:lineRule="auto"/>
              <w:jc w:val="center"/>
              <w:rPr>
                <w:rFonts w:ascii="宋体" w:hAnsi="宋体" w:eastAsia="宋体" w:cs="仿宋_GB2312"/>
                <w:color w:val="000000" w:themeColor="text1"/>
                <w:sz w:val="24"/>
                <w:szCs w:val="24"/>
              </w:rPr>
            </w:pPr>
          </w:p>
        </w:tc>
        <w:tc>
          <w:tcPr>
            <w:tcW w:w="1364"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3031" w:type="dxa"/>
            <w:vAlign w:val="center"/>
          </w:tcPr>
          <w:p>
            <w:pPr>
              <w:spacing w:line="360" w:lineRule="auto"/>
              <w:jc w:val="center"/>
              <w:rPr>
                <w:rFonts w:ascii="宋体" w:hAnsi="宋体" w:eastAsia="宋体" w:cs="仿宋_GB2312"/>
                <w:color w:val="000000" w:themeColor="text1"/>
                <w:sz w:val="24"/>
                <w:szCs w:val="24"/>
              </w:rPr>
            </w:pPr>
          </w:p>
        </w:tc>
        <w:tc>
          <w:tcPr>
            <w:tcW w:w="2755" w:type="dxa"/>
            <w:vAlign w:val="center"/>
          </w:tcPr>
          <w:p>
            <w:pPr>
              <w:spacing w:line="360" w:lineRule="auto"/>
              <w:jc w:val="center"/>
              <w:rPr>
                <w:rFonts w:ascii="宋体" w:hAnsi="宋体" w:eastAsia="宋体" w:cs="仿宋_GB2312"/>
                <w:color w:val="000000" w:themeColor="text1"/>
                <w:sz w:val="24"/>
                <w:szCs w:val="24"/>
              </w:rPr>
            </w:pPr>
          </w:p>
        </w:tc>
        <w:tc>
          <w:tcPr>
            <w:tcW w:w="1364"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3031" w:type="dxa"/>
            <w:vAlign w:val="center"/>
          </w:tcPr>
          <w:p>
            <w:pPr>
              <w:spacing w:line="360" w:lineRule="auto"/>
              <w:jc w:val="center"/>
              <w:rPr>
                <w:rFonts w:ascii="宋体" w:hAnsi="宋体" w:eastAsia="宋体" w:cs="仿宋_GB2312"/>
                <w:color w:val="000000" w:themeColor="text1"/>
                <w:sz w:val="24"/>
                <w:szCs w:val="24"/>
              </w:rPr>
            </w:pPr>
          </w:p>
        </w:tc>
        <w:tc>
          <w:tcPr>
            <w:tcW w:w="2755" w:type="dxa"/>
            <w:vAlign w:val="center"/>
          </w:tcPr>
          <w:p>
            <w:pPr>
              <w:spacing w:line="360" w:lineRule="auto"/>
              <w:jc w:val="center"/>
              <w:rPr>
                <w:rFonts w:ascii="宋体" w:hAnsi="宋体" w:eastAsia="宋体" w:cs="仿宋_GB2312"/>
                <w:color w:val="000000" w:themeColor="text1"/>
                <w:sz w:val="24"/>
                <w:szCs w:val="24"/>
              </w:rPr>
            </w:pPr>
          </w:p>
        </w:tc>
        <w:tc>
          <w:tcPr>
            <w:tcW w:w="1364"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3031" w:type="dxa"/>
            <w:vAlign w:val="center"/>
          </w:tcPr>
          <w:p>
            <w:pPr>
              <w:spacing w:line="360" w:lineRule="auto"/>
              <w:jc w:val="center"/>
              <w:rPr>
                <w:rFonts w:ascii="宋体" w:hAnsi="宋体" w:eastAsia="宋体" w:cs="仿宋_GB2312"/>
                <w:color w:val="000000" w:themeColor="text1"/>
                <w:sz w:val="24"/>
                <w:szCs w:val="24"/>
              </w:rPr>
            </w:pPr>
          </w:p>
        </w:tc>
        <w:tc>
          <w:tcPr>
            <w:tcW w:w="2755" w:type="dxa"/>
            <w:vAlign w:val="center"/>
          </w:tcPr>
          <w:p>
            <w:pPr>
              <w:spacing w:line="360" w:lineRule="auto"/>
              <w:jc w:val="center"/>
              <w:rPr>
                <w:rFonts w:ascii="宋体" w:hAnsi="宋体" w:eastAsia="宋体" w:cs="仿宋_GB2312"/>
                <w:color w:val="000000" w:themeColor="text1"/>
                <w:sz w:val="24"/>
                <w:szCs w:val="24"/>
              </w:rPr>
            </w:pPr>
          </w:p>
        </w:tc>
        <w:tc>
          <w:tcPr>
            <w:tcW w:w="1364"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w:t>
            </w:r>
          </w:p>
        </w:tc>
        <w:tc>
          <w:tcPr>
            <w:tcW w:w="3031" w:type="dxa"/>
            <w:vAlign w:val="center"/>
          </w:tcPr>
          <w:p>
            <w:pPr>
              <w:spacing w:line="360" w:lineRule="auto"/>
              <w:jc w:val="center"/>
              <w:rPr>
                <w:rFonts w:ascii="宋体" w:hAnsi="宋体" w:eastAsia="宋体" w:cs="仿宋_GB2312"/>
                <w:color w:val="000000" w:themeColor="text1"/>
                <w:sz w:val="24"/>
                <w:szCs w:val="24"/>
              </w:rPr>
            </w:pPr>
          </w:p>
        </w:tc>
        <w:tc>
          <w:tcPr>
            <w:tcW w:w="2755" w:type="dxa"/>
            <w:vAlign w:val="center"/>
          </w:tcPr>
          <w:p>
            <w:pPr>
              <w:spacing w:line="360" w:lineRule="auto"/>
              <w:jc w:val="center"/>
              <w:rPr>
                <w:rFonts w:ascii="宋体" w:hAnsi="宋体" w:eastAsia="宋体" w:cs="仿宋_GB2312"/>
                <w:color w:val="000000" w:themeColor="text1"/>
                <w:sz w:val="24"/>
                <w:szCs w:val="24"/>
              </w:rPr>
            </w:pPr>
          </w:p>
        </w:tc>
        <w:tc>
          <w:tcPr>
            <w:tcW w:w="1364"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7</w:t>
            </w:r>
          </w:p>
        </w:tc>
        <w:tc>
          <w:tcPr>
            <w:tcW w:w="3031" w:type="dxa"/>
            <w:vAlign w:val="center"/>
          </w:tcPr>
          <w:p>
            <w:pPr>
              <w:spacing w:line="360" w:lineRule="auto"/>
              <w:jc w:val="center"/>
              <w:rPr>
                <w:rFonts w:ascii="宋体" w:hAnsi="宋体" w:eastAsia="宋体" w:cs="仿宋_GB2312"/>
                <w:color w:val="000000" w:themeColor="text1"/>
                <w:sz w:val="24"/>
                <w:szCs w:val="24"/>
              </w:rPr>
            </w:pPr>
          </w:p>
        </w:tc>
        <w:tc>
          <w:tcPr>
            <w:tcW w:w="2755" w:type="dxa"/>
            <w:vAlign w:val="center"/>
          </w:tcPr>
          <w:p>
            <w:pPr>
              <w:spacing w:line="360" w:lineRule="auto"/>
              <w:jc w:val="center"/>
              <w:rPr>
                <w:rFonts w:ascii="宋体" w:hAnsi="宋体" w:eastAsia="宋体" w:cs="仿宋_GB2312"/>
                <w:color w:val="000000" w:themeColor="text1"/>
                <w:sz w:val="24"/>
                <w:szCs w:val="24"/>
              </w:rPr>
            </w:pPr>
          </w:p>
        </w:tc>
        <w:tc>
          <w:tcPr>
            <w:tcW w:w="1364"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3031" w:type="dxa"/>
            <w:vAlign w:val="center"/>
          </w:tcPr>
          <w:p>
            <w:pPr>
              <w:spacing w:line="360" w:lineRule="auto"/>
              <w:jc w:val="center"/>
              <w:rPr>
                <w:rFonts w:ascii="宋体" w:hAnsi="宋体" w:eastAsia="宋体" w:cs="仿宋_GB2312"/>
                <w:color w:val="000000" w:themeColor="text1"/>
                <w:sz w:val="24"/>
                <w:szCs w:val="24"/>
              </w:rPr>
            </w:pPr>
          </w:p>
        </w:tc>
        <w:tc>
          <w:tcPr>
            <w:tcW w:w="2755" w:type="dxa"/>
            <w:vAlign w:val="center"/>
          </w:tcPr>
          <w:p>
            <w:pPr>
              <w:spacing w:line="360" w:lineRule="auto"/>
              <w:jc w:val="center"/>
              <w:rPr>
                <w:rFonts w:ascii="宋体" w:hAnsi="宋体" w:eastAsia="宋体" w:cs="仿宋_GB2312"/>
                <w:color w:val="000000" w:themeColor="text1"/>
                <w:sz w:val="24"/>
                <w:szCs w:val="24"/>
              </w:rPr>
            </w:pPr>
          </w:p>
        </w:tc>
        <w:tc>
          <w:tcPr>
            <w:tcW w:w="1364"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Times New Roman"/>
          <w:color w:val="000000" w:themeColor="text1"/>
          <w:sz w:val="24"/>
          <w:szCs w:val="24"/>
        </w:rPr>
      </w:pPr>
      <w:r>
        <w:rPr>
          <w:rFonts w:hint="eastAsia" w:ascii="宋体" w:hAnsi="宋体" w:eastAsia="宋体" w:cs="Corbel"/>
          <w:color w:val="000000" w:themeColor="text1"/>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color w:val="000000" w:themeColor="text1"/>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610" w:hanging="1610"/>
        <w:jc w:val="left"/>
        <w:rPr>
          <w:rFonts w:hAnsi="宋体"/>
          <w:color w:val="000000" w:themeColor="text1"/>
          <w:sz w:val="24"/>
        </w:rPr>
      </w:pPr>
      <w:bookmarkStart w:id="253" w:name="_Toc494702290"/>
      <w:bookmarkStart w:id="254" w:name="_Toc494665970"/>
      <w:bookmarkStart w:id="255" w:name="_Toc494665573"/>
      <w:bookmarkStart w:id="256" w:name="_Toc494665020"/>
      <w:bookmarkStart w:id="257" w:name="_Toc495861569"/>
      <w:bookmarkStart w:id="258" w:name="_Toc494745337"/>
      <w:bookmarkStart w:id="259" w:name="_Toc494721120"/>
      <w:bookmarkStart w:id="260" w:name="_Toc329859066"/>
      <w:r>
        <w:rPr>
          <w:rFonts w:hint="eastAsia" w:ascii="宋体" w:hAnsi="宋体" w:eastAsia="宋体"/>
          <w:color w:val="000000" w:themeColor="text1"/>
        </w:rPr>
        <w:t>技术、服务要求“★”号条款响应、偏离说明表</w:t>
      </w:r>
      <w:bookmarkEnd w:id="253"/>
      <w:bookmarkEnd w:id="254"/>
      <w:bookmarkEnd w:id="255"/>
      <w:bookmarkEnd w:id="256"/>
      <w:bookmarkEnd w:id="257"/>
      <w:bookmarkEnd w:id="258"/>
      <w:bookmarkEnd w:id="259"/>
    </w:p>
    <w:p>
      <w:pPr>
        <w:pStyle w:val="4"/>
        <w:spacing w:before="0" w:after="0" w:line="360" w:lineRule="auto"/>
        <w:jc w:val="left"/>
        <w:rPr>
          <w:rFonts w:hAnsi="宋体"/>
          <w:b w:val="0"/>
          <w:bCs w:val="0"/>
          <w:color w:val="000000" w:themeColor="text1"/>
          <w:sz w:val="24"/>
        </w:rPr>
      </w:pPr>
      <w:r>
        <w:rPr>
          <w:rFonts w:hint="eastAsia" w:hAnsi="宋体"/>
          <w:b w:val="0"/>
          <w:bCs w:val="0"/>
          <w:color w:val="000000" w:themeColor="text1"/>
          <w:sz w:val="24"/>
        </w:rPr>
        <w:t>投标人：</w:t>
      </w:r>
    </w:p>
    <w:p>
      <w:pPr>
        <w:spacing w:line="360" w:lineRule="auto"/>
        <w:jc w:val="left"/>
        <w:rPr>
          <w:rFonts w:hAnsi="宋体"/>
          <w:color w:val="000000" w:themeColor="text1"/>
          <w:sz w:val="24"/>
        </w:rPr>
      </w:pPr>
      <w:r>
        <w:rPr>
          <w:rFonts w:hint="eastAsia" w:ascii="宋体" w:hAnsi="宋体" w:eastAsia="宋体" w:cs="Times New Roman"/>
          <w:color w:val="000000" w:themeColor="text1"/>
          <w:sz w:val="24"/>
          <w:szCs w:val="21"/>
          <w:lang w:val="zh-CN"/>
        </w:rPr>
        <w:t>项目编号：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276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w:t>
            </w:r>
            <w:r>
              <w:rPr>
                <w:rFonts w:hint="eastAsia" w:ascii="宋体" w:hAnsi="宋体" w:eastAsia="宋体" w:cs="Corbel"/>
                <w:color w:val="000000" w:themeColor="text1"/>
                <w:sz w:val="24"/>
                <w:szCs w:val="24"/>
              </w:rPr>
              <w:t>技术、服务要求“★”号条款</w:t>
            </w:r>
          </w:p>
        </w:tc>
        <w:tc>
          <w:tcPr>
            <w:tcW w:w="287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509"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619"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877" w:type="dxa"/>
            <w:vAlign w:val="center"/>
          </w:tcPr>
          <w:p>
            <w:pPr>
              <w:spacing w:line="360" w:lineRule="auto"/>
              <w:jc w:val="center"/>
              <w:rPr>
                <w:rFonts w:ascii="宋体" w:hAnsi="宋体" w:eastAsia="宋体" w:cs="仿宋_GB2312"/>
                <w:color w:val="000000" w:themeColor="text1"/>
                <w:sz w:val="24"/>
                <w:szCs w:val="24"/>
              </w:rPr>
            </w:pPr>
          </w:p>
        </w:tc>
        <w:tc>
          <w:tcPr>
            <w:tcW w:w="150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877" w:type="dxa"/>
            <w:vAlign w:val="center"/>
          </w:tcPr>
          <w:p>
            <w:pPr>
              <w:spacing w:line="360" w:lineRule="auto"/>
              <w:jc w:val="center"/>
              <w:rPr>
                <w:rFonts w:ascii="宋体" w:hAnsi="宋体" w:eastAsia="宋体" w:cs="仿宋_GB2312"/>
                <w:color w:val="000000" w:themeColor="text1"/>
                <w:sz w:val="24"/>
                <w:szCs w:val="24"/>
              </w:rPr>
            </w:pPr>
          </w:p>
        </w:tc>
        <w:tc>
          <w:tcPr>
            <w:tcW w:w="150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877" w:type="dxa"/>
            <w:vAlign w:val="center"/>
          </w:tcPr>
          <w:p>
            <w:pPr>
              <w:spacing w:line="360" w:lineRule="auto"/>
              <w:jc w:val="center"/>
              <w:rPr>
                <w:rFonts w:ascii="宋体" w:hAnsi="宋体" w:eastAsia="宋体" w:cs="仿宋_GB2312"/>
                <w:color w:val="000000" w:themeColor="text1"/>
                <w:sz w:val="24"/>
                <w:szCs w:val="24"/>
              </w:rPr>
            </w:pPr>
          </w:p>
        </w:tc>
        <w:tc>
          <w:tcPr>
            <w:tcW w:w="150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877" w:type="dxa"/>
            <w:vAlign w:val="center"/>
          </w:tcPr>
          <w:p>
            <w:pPr>
              <w:spacing w:line="360" w:lineRule="auto"/>
              <w:jc w:val="center"/>
              <w:rPr>
                <w:rFonts w:ascii="宋体" w:hAnsi="宋体" w:eastAsia="宋体" w:cs="仿宋_GB2312"/>
                <w:color w:val="000000" w:themeColor="text1"/>
                <w:sz w:val="24"/>
                <w:szCs w:val="24"/>
              </w:rPr>
            </w:pPr>
          </w:p>
        </w:tc>
        <w:tc>
          <w:tcPr>
            <w:tcW w:w="150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5</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877" w:type="dxa"/>
            <w:vAlign w:val="center"/>
          </w:tcPr>
          <w:p>
            <w:pPr>
              <w:spacing w:line="360" w:lineRule="auto"/>
              <w:jc w:val="center"/>
              <w:rPr>
                <w:rFonts w:ascii="宋体" w:hAnsi="宋体" w:eastAsia="宋体" w:cs="仿宋_GB2312"/>
                <w:color w:val="000000" w:themeColor="text1"/>
                <w:sz w:val="24"/>
                <w:szCs w:val="24"/>
              </w:rPr>
            </w:pPr>
          </w:p>
        </w:tc>
        <w:tc>
          <w:tcPr>
            <w:tcW w:w="150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877" w:type="dxa"/>
            <w:vAlign w:val="center"/>
          </w:tcPr>
          <w:p>
            <w:pPr>
              <w:spacing w:line="360" w:lineRule="auto"/>
              <w:jc w:val="center"/>
              <w:rPr>
                <w:rFonts w:ascii="宋体" w:hAnsi="宋体" w:eastAsia="宋体" w:cs="仿宋_GB2312"/>
                <w:color w:val="000000" w:themeColor="text1"/>
                <w:sz w:val="24"/>
                <w:szCs w:val="24"/>
              </w:rPr>
            </w:pPr>
          </w:p>
        </w:tc>
        <w:tc>
          <w:tcPr>
            <w:tcW w:w="150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2767" w:type="dxa"/>
            <w:vAlign w:val="center"/>
          </w:tcPr>
          <w:p>
            <w:pPr>
              <w:spacing w:line="360" w:lineRule="auto"/>
              <w:jc w:val="center"/>
              <w:rPr>
                <w:rFonts w:ascii="宋体" w:hAnsi="宋体" w:eastAsia="宋体" w:cs="仿宋_GB2312"/>
                <w:color w:val="000000" w:themeColor="text1"/>
                <w:sz w:val="24"/>
                <w:szCs w:val="24"/>
              </w:rPr>
            </w:pPr>
          </w:p>
        </w:tc>
        <w:tc>
          <w:tcPr>
            <w:tcW w:w="2877" w:type="dxa"/>
            <w:vAlign w:val="center"/>
          </w:tcPr>
          <w:p>
            <w:pPr>
              <w:spacing w:line="360" w:lineRule="auto"/>
              <w:jc w:val="center"/>
              <w:rPr>
                <w:rFonts w:ascii="宋体" w:hAnsi="宋体" w:eastAsia="宋体" w:cs="仿宋_GB2312"/>
                <w:color w:val="000000" w:themeColor="text1"/>
                <w:sz w:val="24"/>
                <w:szCs w:val="24"/>
              </w:rPr>
            </w:pPr>
          </w:p>
        </w:tc>
        <w:tc>
          <w:tcPr>
            <w:tcW w:w="1509" w:type="dxa"/>
            <w:vAlign w:val="center"/>
          </w:tcPr>
          <w:p>
            <w:pPr>
              <w:spacing w:line="360" w:lineRule="auto"/>
              <w:jc w:val="center"/>
              <w:rPr>
                <w:rFonts w:ascii="宋体" w:hAnsi="宋体" w:eastAsia="宋体" w:cs="仿宋_GB2312"/>
                <w:color w:val="000000" w:themeColor="text1"/>
                <w:sz w:val="24"/>
                <w:szCs w:val="24"/>
              </w:rPr>
            </w:pPr>
          </w:p>
        </w:tc>
        <w:tc>
          <w:tcPr>
            <w:tcW w:w="1619" w:type="dxa"/>
            <w:vAlign w:val="center"/>
          </w:tcPr>
          <w:p>
            <w:pPr>
              <w:spacing w:line="360" w:lineRule="auto"/>
              <w:jc w:val="center"/>
              <w:rPr>
                <w:rFonts w:ascii="宋体" w:hAnsi="宋体" w:eastAsia="宋体" w:cs="仿宋_GB2312"/>
                <w:color w:val="000000" w:themeColor="text1"/>
                <w:sz w:val="24"/>
                <w:szCs w:val="24"/>
              </w:rPr>
            </w:pPr>
          </w:p>
        </w:tc>
      </w:tr>
    </w:tbl>
    <w:p>
      <w:pPr>
        <w:spacing w:line="360" w:lineRule="auto"/>
        <w:ind w:left="936" w:hanging="936" w:hangingChars="390"/>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说明：1．投标人应按招标文件第三章“项目技术、服务及商务要求”中技术、服务要求</w:t>
      </w:r>
      <w:r>
        <w:rPr>
          <w:rFonts w:hint="eastAsia" w:ascii="Times New Roman" w:hAnsi="宋体" w:eastAsia="宋体" w:cs="Times New Roman"/>
          <w:color w:val="000000" w:themeColor="text1"/>
          <w:sz w:val="24"/>
          <w:szCs w:val="24"/>
        </w:rPr>
        <w:t>“★”号</w:t>
      </w:r>
      <w:r>
        <w:rPr>
          <w:rFonts w:hint="eastAsia" w:ascii="宋体" w:hAnsi="宋体" w:eastAsia="宋体" w:cs="Corbel"/>
          <w:color w:val="000000" w:themeColor="text1"/>
          <w:sz w:val="24"/>
          <w:szCs w:val="24"/>
        </w:rPr>
        <w:t>条款进行逐项说明是否满足要求，如有偏离,投标人应详细说明。未按照要求填写此表或仅注明“符合”、“满足”的，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bookmarkEnd w:id="260"/>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color w:val="000000" w:themeColor="text1"/>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spacing w:line="360" w:lineRule="auto"/>
        <w:rPr>
          <w:color w:val="000000" w:themeColor="text1"/>
        </w:rPr>
      </w:pPr>
      <w:r>
        <w:rPr>
          <w:color w:val="000000" w:themeColor="text1"/>
        </w:rPr>
        <w:br w:type="page"/>
      </w:r>
    </w:p>
    <w:p>
      <w:pPr>
        <w:pStyle w:val="4"/>
        <w:numPr>
          <w:ilvl w:val="0"/>
          <w:numId w:val="48"/>
        </w:numPr>
        <w:spacing w:before="0" w:after="0" w:line="360" w:lineRule="auto"/>
        <w:ind w:left="1610" w:hanging="1610"/>
        <w:rPr>
          <w:rFonts w:ascii="宋体" w:hAnsi="宋体" w:eastAsia="宋体"/>
          <w:color w:val="000000" w:themeColor="text1"/>
        </w:rPr>
      </w:pPr>
      <w:bookmarkStart w:id="261" w:name="_Toc494702291"/>
      <w:bookmarkStart w:id="262" w:name="_Toc494721121"/>
      <w:bookmarkStart w:id="263" w:name="_Toc494665574"/>
      <w:bookmarkStart w:id="264" w:name="_Toc494745338"/>
      <w:bookmarkStart w:id="265" w:name="_Toc495861570"/>
      <w:bookmarkStart w:id="266" w:name="_Toc494665971"/>
      <w:bookmarkStart w:id="267" w:name="_Toc494665021"/>
      <w:r>
        <w:rPr>
          <w:rFonts w:hint="eastAsia" w:ascii="宋体" w:hAnsi="宋体" w:eastAsia="宋体"/>
          <w:color w:val="000000" w:themeColor="text1"/>
        </w:rPr>
        <w:t>技术、服务评议对照表</w:t>
      </w:r>
      <w:bookmarkEnd w:id="261"/>
      <w:bookmarkEnd w:id="262"/>
      <w:bookmarkEnd w:id="263"/>
      <w:bookmarkEnd w:id="264"/>
      <w:bookmarkEnd w:id="265"/>
      <w:bookmarkEnd w:id="266"/>
      <w:bookmarkEnd w:id="267"/>
    </w:p>
    <w:p>
      <w:pPr>
        <w:spacing w:line="360" w:lineRule="auto"/>
        <w:jc w:val="left"/>
        <w:rPr>
          <w:rFonts w:hAnsi="宋体"/>
          <w:bCs/>
          <w:color w:val="000000" w:themeColor="text1"/>
          <w:sz w:val="24"/>
        </w:rPr>
      </w:pPr>
      <w:r>
        <w:rPr>
          <w:rFonts w:hint="eastAsia" w:hAnsi="宋体"/>
          <w:bCs/>
          <w:color w:val="000000" w:themeColor="text1"/>
          <w:sz w:val="24"/>
        </w:rPr>
        <w:t>投标人：</w:t>
      </w:r>
    </w:p>
    <w:p>
      <w:pPr>
        <w:spacing w:line="360" w:lineRule="auto"/>
        <w:jc w:val="left"/>
        <w:rPr>
          <w:rFonts w:hAnsi="宋体"/>
          <w:b/>
          <w:color w:val="000000" w:themeColor="text1"/>
          <w:sz w:val="24"/>
        </w:rPr>
      </w:pPr>
      <w:r>
        <w:rPr>
          <w:rFonts w:hint="eastAsia" w:ascii="宋体" w:hAnsi="宋体" w:eastAsia="宋体" w:cs="Times New Roman"/>
          <w:bCs/>
          <w:color w:val="000000" w:themeColor="text1"/>
          <w:sz w:val="24"/>
          <w:szCs w:val="21"/>
          <w:lang w:val="zh-CN"/>
        </w:rPr>
        <w:t>项目编号：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spacing w:line="360" w:lineRule="auto"/>
              <w:ind w:left="-37" w:leftChars="-18" w:right="-48" w:rightChars="-23"/>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序号</w:t>
            </w:r>
          </w:p>
        </w:tc>
        <w:tc>
          <w:tcPr>
            <w:tcW w:w="2389"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招标文件技术、服务评分标准</w:t>
            </w:r>
          </w:p>
        </w:tc>
        <w:tc>
          <w:tcPr>
            <w:tcW w:w="3227"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投标响应内容对应简述</w:t>
            </w:r>
          </w:p>
        </w:tc>
        <w:tc>
          <w:tcPr>
            <w:tcW w:w="1256" w:type="dxa"/>
            <w:shd w:val="clear" w:color="auto" w:fill="F1F1F1" w:themeFill="background1" w:themeFillShade="F2"/>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偏离说明</w:t>
            </w:r>
          </w:p>
        </w:tc>
        <w:tc>
          <w:tcPr>
            <w:tcW w:w="1983" w:type="dxa"/>
            <w:shd w:val="clear" w:color="auto" w:fill="F1F1F1" w:themeFill="background1" w:themeFillShade="F2"/>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3"/>
              </w:numPr>
              <w:spacing w:line="360" w:lineRule="auto"/>
              <w:jc w:val="center"/>
              <w:rPr>
                <w:rFonts w:ascii="宋体" w:hAnsi="宋体" w:eastAsia="宋体" w:cs="仿宋_GB2312"/>
                <w:color w:val="000000" w:themeColor="text1"/>
                <w:sz w:val="24"/>
                <w:szCs w:val="24"/>
              </w:rPr>
            </w:pPr>
          </w:p>
        </w:tc>
        <w:tc>
          <w:tcPr>
            <w:tcW w:w="2389" w:type="dxa"/>
            <w:vAlign w:val="center"/>
          </w:tcPr>
          <w:p>
            <w:pPr>
              <w:spacing w:line="360" w:lineRule="auto"/>
              <w:jc w:val="center"/>
              <w:rPr>
                <w:rFonts w:ascii="宋体" w:hAnsi="宋体" w:eastAsia="宋体" w:cs="仿宋_GB2312"/>
                <w:color w:val="000000" w:themeColor="text1"/>
                <w:sz w:val="24"/>
                <w:szCs w:val="24"/>
              </w:rPr>
            </w:pPr>
          </w:p>
        </w:tc>
        <w:tc>
          <w:tcPr>
            <w:tcW w:w="3227" w:type="dxa"/>
            <w:vAlign w:val="center"/>
          </w:tcPr>
          <w:p>
            <w:pPr>
              <w:spacing w:line="360" w:lineRule="auto"/>
              <w:jc w:val="center"/>
              <w:rPr>
                <w:rFonts w:ascii="宋体" w:hAnsi="宋体" w:eastAsia="宋体" w:cs="仿宋_GB2312"/>
                <w:color w:val="000000" w:themeColor="text1"/>
                <w:sz w:val="24"/>
                <w:szCs w:val="24"/>
              </w:rPr>
            </w:pPr>
          </w:p>
        </w:tc>
        <w:tc>
          <w:tcPr>
            <w:tcW w:w="1256" w:type="dxa"/>
            <w:vAlign w:val="center"/>
          </w:tcPr>
          <w:p>
            <w:pPr>
              <w:spacing w:line="360" w:lineRule="auto"/>
              <w:jc w:val="center"/>
              <w:rPr>
                <w:rFonts w:ascii="宋体" w:hAnsi="宋体" w:eastAsia="宋体" w:cs="仿宋_GB2312"/>
                <w:color w:val="000000" w:themeColor="text1"/>
                <w:sz w:val="24"/>
                <w:szCs w:val="24"/>
              </w:rPr>
            </w:pPr>
          </w:p>
        </w:tc>
        <w:tc>
          <w:tcPr>
            <w:tcW w:w="1983"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3"/>
              </w:numPr>
              <w:spacing w:line="360" w:lineRule="auto"/>
              <w:jc w:val="center"/>
              <w:rPr>
                <w:rFonts w:ascii="宋体" w:hAnsi="宋体" w:eastAsia="宋体" w:cs="仿宋_GB2312"/>
                <w:color w:val="000000" w:themeColor="text1"/>
                <w:sz w:val="24"/>
                <w:szCs w:val="24"/>
              </w:rPr>
            </w:pPr>
          </w:p>
        </w:tc>
        <w:tc>
          <w:tcPr>
            <w:tcW w:w="2389" w:type="dxa"/>
            <w:vAlign w:val="center"/>
          </w:tcPr>
          <w:p>
            <w:pPr>
              <w:spacing w:line="360" w:lineRule="auto"/>
              <w:jc w:val="center"/>
              <w:rPr>
                <w:rFonts w:ascii="宋体" w:hAnsi="宋体" w:eastAsia="宋体" w:cs="仿宋_GB2312"/>
                <w:color w:val="000000" w:themeColor="text1"/>
                <w:sz w:val="24"/>
                <w:szCs w:val="24"/>
              </w:rPr>
            </w:pPr>
          </w:p>
        </w:tc>
        <w:tc>
          <w:tcPr>
            <w:tcW w:w="3227" w:type="dxa"/>
            <w:vAlign w:val="center"/>
          </w:tcPr>
          <w:p>
            <w:pPr>
              <w:spacing w:line="360" w:lineRule="auto"/>
              <w:jc w:val="center"/>
              <w:rPr>
                <w:rFonts w:ascii="宋体" w:hAnsi="宋体" w:eastAsia="宋体" w:cs="仿宋_GB2312"/>
                <w:color w:val="000000" w:themeColor="text1"/>
                <w:sz w:val="24"/>
                <w:szCs w:val="24"/>
              </w:rPr>
            </w:pPr>
          </w:p>
        </w:tc>
        <w:tc>
          <w:tcPr>
            <w:tcW w:w="1256" w:type="dxa"/>
            <w:vAlign w:val="center"/>
          </w:tcPr>
          <w:p>
            <w:pPr>
              <w:spacing w:line="360" w:lineRule="auto"/>
              <w:jc w:val="center"/>
              <w:rPr>
                <w:rFonts w:ascii="宋体" w:hAnsi="宋体" w:eastAsia="宋体" w:cs="仿宋_GB2312"/>
                <w:color w:val="000000" w:themeColor="text1"/>
                <w:sz w:val="24"/>
                <w:szCs w:val="24"/>
              </w:rPr>
            </w:pPr>
          </w:p>
        </w:tc>
        <w:tc>
          <w:tcPr>
            <w:tcW w:w="1983"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3"/>
              </w:numPr>
              <w:spacing w:line="360" w:lineRule="auto"/>
              <w:jc w:val="center"/>
              <w:rPr>
                <w:rFonts w:ascii="宋体" w:hAnsi="宋体" w:eastAsia="宋体" w:cs="仿宋_GB2312"/>
                <w:color w:val="000000" w:themeColor="text1"/>
                <w:sz w:val="24"/>
                <w:szCs w:val="24"/>
              </w:rPr>
            </w:pPr>
          </w:p>
        </w:tc>
        <w:tc>
          <w:tcPr>
            <w:tcW w:w="2389" w:type="dxa"/>
            <w:vAlign w:val="center"/>
          </w:tcPr>
          <w:p>
            <w:pPr>
              <w:spacing w:line="360" w:lineRule="auto"/>
              <w:jc w:val="center"/>
              <w:rPr>
                <w:rFonts w:ascii="宋体" w:hAnsi="宋体" w:eastAsia="宋体" w:cs="仿宋_GB2312"/>
                <w:color w:val="000000" w:themeColor="text1"/>
                <w:sz w:val="24"/>
                <w:szCs w:val="24"/>
              </w:rPr>
            </w:pPr>
          </w:p>
        </w:tc>
        <w:tc>
          <w:tcPr>
            <w:tcW w:w="3227" w:type="dxa"/>
            <w:vAlign w:val="center"/>
          </w:tcPr>
          <w:p>
            <w:pPr>
              <w:spacing w:line="360" w:lineRule="auto"/>
              <w:jc w:val="center"/>
              <w:rPr>
                <w:rFonts w:ascii="宋体" w:hAnsi="宋体" w:eastAsia="宋体" w:cs="仿宋_GB2312"/>
                <w:color w:val="000000" w:themeColor="text1"/>
                <w:sz w:val="24"/>
                <w:szCs w:val="24"/>
              </w:rPr>
            </w:pPr>
          </w:p>
        </w:tc>
        <w:tc>
          <w:tcPr>
            <w:tcW w:w="1256" w:type="dxa"/>
            <w:vAlign w:val="center"/>
          </w:tcPr>
          <w:p>
            <w:pPr>
              <w:spacing w:line="360" w:lineRule="auto"/>
              <w:jc w:val="center"/>
              <w:rPr>
                <w:rFonts w:ascii="宋体" w:hAnsi="宋体" w:eastAsia="宋体" w:cs="仿宋_GB2312"/>
                <w:color w:val="000000" w:themeColor="text1"/>
                <w:sz w:val="24"/>
                <w:szCs w:val="24"/>
              </w:rPr>
            </w:pPr>
          </w:p>
        </w:tc>
        <w:tc>
          <w:tcPr>
            <w:tcW w:w="1983"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3"/>
              </w:numPr>
              <w:spacing w:line="360" w:lineRule="auto"/>
              <w:jc w:val="center"/>
              <w:rPr>
                <w:rFonts w:ascii="宋体" w:hAnsi="宋体" w:eastAsia="宋体" w:cs="仿宋_GB2312"/>
                <w:color w:val="000000" w:themeColor="text1"/>
                <w:sz w:val="24"/>
                <w:szCs w:val="24"/>
              </w:rPr>
            </w:pPr>
          </w:p>
        </w:tc>
        <w:tc>
          <w:tcPr>
            <w:tcW w:w="2389" w:type="dxa"/>
            <w:vAlign w:val="center"/>
          </w:tcPr>
          <w:p>
            <w:pPr>
              <w:spacing w:line="360" w:lineRule="auto"/>
              <w:jc w:val="center"/>
              <w:rPr>
                <w:rFonts w:ascii="宋体" w:hAnsi="宋体" w:eastAsia="宋体" w:cs="仿宋_GB2312"/>
                <w:color w:val="000000" w:themeColor="text1"/>
                <w:sz w:val="24"/>
                <w:szCs w:val="24"/>
              </w:rPr>
            </w:pPr>
          </w:p>
        </w:tc>
        <w:tc>
          <w:tcPr>
            <w:tcW w:w="3227" w:type="dxa"/>
            <w:vAlign w:val="center"/>
          </w:tcPr>
          <w:p>
            <w:pPr>
              <w:spacing w:line="360" w:lineRule="auto"/>
              <w:jc w:val="center"/>
              <w:rPr>
                <w:rFonts w:ascii="宋体" w:hAnsi="宋体" w:eastAsia="宋体" w:cs="仿宋_GB2312"/>
                <w:color w:val="000000" w:themeColor="text1"/>
                <w:sz w:val="24"/>
                <w:szCs w:val="24"/>
              </w:rPr>
            </w:pPr>
          </w:p>
        </w:tc>
        <w:tc>
          <w:tcPr>
            <w:tcW w:w="1256" w:type="dxa"/>
            <w:vAlign w:val="center"/>
          </w:tcPr>
          <w:p>
            <w:pPr>
              <w:spacing w:line="360" w:lineRule="auto"/>
              <w:jc w:val="center"/>
              <w:rPr>
                <w:rFonts w:ascii="宋体" w:hAnsi="宋体" w:eastAsia="宋体" w:cs="仿宋_GB2312"/>
                <w:color w:val="000000" w:themeColor="text1"/>
                <w:sz w:val="24"/>
                <w:szCs w:val="24"/>
              </w:rPr>
            </w:pPr>
          </w:p>
        </w:tc>
        <w:tc>
          <w:tcPr>
            <w:tcW w:w="1983"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3"/>
              </w:numPr>
              <w:spacing w:line="360" w:lineRule="auto"/>
              <w:jc w:val="center"/>
              <w:rPr>
                <w:rFonts w:ascii="宋体" w:hAnsi="宋体" w:eastAsia="宋体" w:cs="仿宋_GB2312"/>
                <w:color w:val="000000" w:themeColor="text1"/>
                <w:sz w:val="24"/>
                <w:szCs w:val="24"/>
              </w:rPr>
            </w:pPr>
          </w:p>
        </w:tc>
        <w:tc>
          <w:tcPr>
            <w:tcW w:w="2389" w:type="dxa"/>
            <w:vAlign w:val="center"/>
          </w:tcPr>
          <w:p>
            <w:pPr>
              <w:spacing w:line="360" w:lineRule="auto"/>
              <w:jc w:val="center"/>
              <w:rPr>
                <w:rFonts w:ascii="宋体" w:hAnsi="宋体" w:eastAsia="宋体" w:cs="仿宋_GB2312"/>
                <w:color w:val="000000" w:themeColor="text1"/>
                <w:sz w:val="24"/>
                <w:szCs w:val="24"/>
              </w:rPr>
            </w:pPr>
          </w:p>
        </w:tc>
        <w:tc>
          <w:tcPr>
            <w:tcW w:w="3227" w:type="dxa"/>
            <w:vAlign w:val="center"/>
          </w:tcPr>
          <w:p>
            <w:pPr>
              <w:spacing w:line="360" w:lineRule="auto"/>
              <w:jc w:val="center"/>
              <w:rPr>
                <w:rFonts w:ascii="宋体" w:hAnsi="宋体" w:eastAsia="宋体" w:cs="仿宋_GB2312"/>
                <w:color w:val="000000" w:themeColor="text1"/>
                <w:sz w:val="24"/>
                <w:szCs w:val="24"/>
              </w:rPr>
            </w:pPr>
          </w:p>
        </w:tc>
        <w:tc>
          <w:tcPr>
            <w:tcW w:w="1256" w:type="dxa"/>
            <w:vAlign w:val="center"/>
          </w:tcPr>
          <w:p>
            <w:pPr>
              <w:spacing w:line="360" w:lineRule="auto"/>
              <w:jc w:val="center"/>
              <w:rPr>
                <w:rFonts w:ascii="宋体" w:hAnsi="宋体" w:eastAsia="宋体" w:cs="仿宋_GB2312"/>
                <w:color w:val="000000" w:themeColor="text1"/>
                <w:sz w:val="24"/>
                <w:szCs w:val="24"/>
              </w:rPr>
            </w:pPr>
          </w:p>
        </w:tc>
        <w:tc>
          <w:tcPr>
            <w:tcW w:w="1983"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53"/>
              </w:numPr>
              <w:spacing w:line="360" w:lineRule="auto"/>
              <w:jc w:val="center"/>
              <w:rPr>
                <w:rFonts w:ascii="宋体" w:hAnsi="宋体" w:eastAsia="宋体" w:cs="仿宋_GB2312"/>
                <w:color w:val="000000" w:themeColor="text1"/>
                <w:sz w:val="24"/>
                <w:szCs w:val="24"/>
              </w:rPr>
            </w:pPr>
          </w:p>
        </w:tc>
        <w:tc>
          <w:tcPr>
            <w:tcW w:w="2389" w:type="dxa"/>
            <w:vAlign w:val="center"/>
          </w:tcPr>
          <w:p>
            <w:pPr>
              <w:spacing w:line="360" w:lineRule="auto"/>
              <w:jc w:val="center"/>
              <w:rPr>
                <w:rFonts w:ascii="宋体" w:hAnsi="宋体" w:eastAsia="宋体" w:cs="仿宋_GB2312"/>
                <w:color w:val="000000" w:themeColor="text1"/>
                <w:sz w:val="24"/>
                <w:szCs w:val="24"/>
              </w:rPr>
            </w:pPr>
          </w:p>
        </w:tc>
        <w:tc>
          <w:tcPr>
            <w:tcW w:w="3227" w:type="dxa"/>
            <w:vAlign w:val="center"/>
          </w:tcPr>
          <w:p>
            <w:pPr>
              <w:spacing w:line="360" w:lineRule="auto"/>
              <w:jc w:val="center"/>
              <w:rPr>
                <w:rFonts w:ascii="宋体" w:hAnsi="宋体" w:eastAsia="宋体" w:cs="仿宋_GB2312"/>
                <w:color w:val="000000" w:themeColor="text1"/>
                <w:sz w:val="24"/>
                <w:szCs w:val="24"/>
              </w:rPr>
            </w:pPr>
          </w:p>
        </w:tc>
        <w:tc>
          <w:tcPr>
            <w:tcW w:w="1256" w:type="dxa"/>
            <w:vAlign w:val="center"/>
          </w:tcPr>
          <w:p>
            <w:pPr>
              <w:spacing w:line="360" w:lineRule="auto"/>
              <w:jc w:val="center"/>
              <w:rPr>
                <w:rFonts w:ascii="宋体" w:hAnsi="宋体" w:eastAsia="宋体" w:cs="仿宋_GB2312"/>
                <w:color w:val="000000" w:themeColor="text1"/>
                <w:sz w:val="24"/>
                <w:szCs w:val="24"/>
              </w:rPr>
            </w:pPr>
          </w:p>
        </w:tc>
        <w:tc>
          <w:tcPr>
            <w:tcW w:w="1983" w:type="dxa"/>
            <w:vAlign w:val="center"/>
          </w:tcPr>
          <w:p>
            <w:pPr>
              <w:spacing w:line="360" w:lineRule="auto"/>
              <w:jc w:val="center"/>
              <w:rPr>
                <w:rFonts w:ascii="宋体" w:hAnsi="宋体" w:eastAsia="宋体"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spacing w:line="360" w:lineRule="auto"/>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w:t>
            </w:r>
          </w:p>
        </w:tc>
        <w:tc>
          <w:tcPr>
            <w:tcW w:w="2389" w:type="dxa"/>
            <w:vAlign w:val="center"/>
          </w:tcPr>
          <w:p>
            <w:pPr>
              <w:spacing w:line="360" w:lineRule="auto"/>
              <w:jc w:val="center"/>
              <w:rPr>
                <w:rFonts w:ascii="宋体" w:hAnsi="宋体" w:eastAsia="宋体" w:cs="仿宋_GB2312"/>
                <w:color w:val="000000" w:themeColor="text1"/>
                <w:sz w:val="24"/>
                <w:szCs w:val="24"/>
              </w:rPr>
            </w:pPr>
          </w:p>
        </w:tc>
        <w:tc>
          <w:tcPr>
            <w:tcW w:w="3227" w:type="dxa"/>
            <w:vAlign w:val="center"/>
          </w:tcPr>
          <w:p>
            <w:pPr>
              <w:spacing w:line="360" w:lineRule="auto"/>
              <w:jc w:val="center"/>
              <w:rPr>
                <w:rFonts w:ascii="宋体" w:hAnsi="宋体" w:eastAsia="宋体" w:cs="仿宋_GB2312"/>
                <w:color w:val="000000" w:themeColor="text1"/>
                <w:sz w:val="24"/>
                <w:szCs w:val="24"/>
              </w:rPr>
            </w:pPr>
          </w:p>
        </w:tc>
        <w:tc>
          <w:tcPr>
            <w:tcW w:w="1256" w:type="dxa"/>
            <w:vAlign w:val="center"/>
          </w:tcPr>
          <w:p>
            <w:pPr>
              <w:spacing w:line="360" w:lineRule="auto"/>
              <w:jc w:val="center"/>
              <w:rPr>
                <w:rFonts w:ascii="宋体" w:hAnsi="宋体" w:eastAsia="宋体" w:cs="仿宋_GB2312"/>
                <w:color w:val="000000" w:themeColor="text1"/>
                <w:sz w:val="24"/>
                <w:szCs w:val="24"/>
              </w:rPr>
            </w:pPr>
          </w:p>
        </w:tc>
        <w:tc>
          <w:tcPr>
            <w:tcW w:w="1983" w:type="dxa"/>
            <w:vAlign w:val="center"/>
          </w:tcPr>
          <w:p>
            <w:pPr>
              <w:spacing w:line="360" w:lineRule="auto"/>
              <w:jc w:val="center"/>
              <w:rPr>
                <w:rFonts w:ascii="宋体" w:hAnsi="宋体" w:eastAsia="宋体" w:cs="仿宋_GB2312"/>
                <w:color w:val="000000" w:themeColor="text1"/>
                <w:sz w:val="24"/>
                <w:szCs w:val="24"/>
              </w:rPr>
            </w:pPr>
          </w:p>
        </w:tc>
      </w:tr>
    </w:tbl>
    <w:p>
      <w:pPr>
        <w:spacing w:line="360" w:lineRule="auto"/>
        <w:ind w:left="1092" w:hanging="1092" w:hangingChars="455"/>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rPr>
      </w:pPr>
      <w:r>
        <w:rPr>
          <w:rFonts w:hint="eastAsia" w:ascii="宋体" w:hAnsi="宋体" w:eastAsia="宋体" w:cs="Corbel"/>
          <w:color w:val="000000" w:themeColor="text1"/>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rPr>
        <w:t>导致的后果由投标人自行承担。</w:t>
      </w:r>
    </w:p>
    <w:p>
      <w:pPr>
        <w:adjustRightInd w:val="0"/>
        <w:snapToGrid w:val="0"/>
        <w:spacing w:line="360" w:lineRule="auto"/>
        <w:ind w:left="720" w:hanging="720" w:hangingChars="300"/>
        <w:rPr>
          <w:rFonts w:ascii="宋体" w:hAnsi="宋体" w:eastAsia="宋体" w:cs="Corbel"/>
          <w:color w:val="000000" w:themeColor="text1"/>
          <w:sz w:val="24"/>
          <w:szCs w:val="24"/>
        </w:rPr>
      </w:pPr>
    </w:p>
    <w:p>
      <w:pPr>
        <w:spacing w:line="360" w:lineRule="auto"/>
        <w:ind w:firstLine="3316" w:firstLineChars="1382"/>
        <w:rPr>
          <w:rFonts w:hAnsi="宋体"/>
          <w:color w:val="000000" w:themeColor="text1"/>
          <w:sz w:val="24"/>
          <w:u w:val="single"/>
        </w:rPr>
      </w:pPr>
      <w:r>
        <w:rPr>
          <w:rFonts w:hint="eastAsia" w:hAnsi="宋体"/>
          <w:color w:val="000000" w:themeColor="text1"/>
          <w:sz w:val="24"/>
        </w:rPr>
        <w:t>投标人（公章）：</w:t>
      </w:r>
    </w:p>
    <w:p>
      <w:pPr>
        <w:spacing w:line="360" w:lineRule="auto"/>
        <w:ind w:firstLine="3316" w:firstLineChars="1382"/>
        <w:rPr>
          <w:rFonts w:hAnsi="宋体"/>
          <w:color w:val="000000" w:themeColor="text1"/>
          <w:sz w:val="24"/>
          <w:u w:val="single"/>
        </w:rPr>
      </w:pPr>
      <w:r>
        <w:rPr>
          <w:rFonts w:hint="eastAsia" w:ascii="宋体" w:hAnsi="宋体" w:eastAsia="宋体" w:cs="Times New Roman"/>
          <w:color w:val="000000" w:themeColor="text1"/>
          <w:sz w:val="24"/>
          <w:szCs w:val="21"/>
          <w:lang w:val="zh-CN"/>
        </w:rPr>
        <w:t>投标人</w:t>
      </w:r>
      <w:r>
        <w:rPr>
          <w:rFonts w:hint="eastAsia" w:hAnsi="宋体"/>
          <w:color w:val="000000" w:themeColor="text1"/>
          <w:sz w:val="24"/>
        </w:rPr>
        <w:t>授权代表（签字）：</w:t>
      </w:r>
    </w:p>
    <w:p>
      <w:pPr>
        <w:spacing w:line="360" w:lineRule="auto"/>
        <w:ind w:firstLine="3316" w:firstLineChars="1382"/>
        <w:rPr>
          <w:color w:val="000000" w:themeColor="text1"/>
        </w:rPr>
      </w:pPr>
      <w:r>
        <w:rPr>
          <w:rFonts w:hint="eastAsia" w:ascii="宋体" w:hAnsi="宋体" w:eastAsia="宋体" w:cs="Times New Roman"/>
          <w:color w:val="000000" w:themeColor="text1"/>
          <w:sz w:val="24"/>
          <w:szCs w:val="21"/>
          <w:lang w:val="zh-CN"/>
        </w:rPr>
        <w:t>投标</w:t>
      </w:r>
      <w:r>
        <w:rPr>
          <w:rFonts w:hint="eastAsia" w:hAnsi="宋体"/>
          <w:color w:val="000000" w:themeColor="text1"/>
          <w:sz w:val="24"/>
        </w:rPr>
        <w:t>时间：</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tabs>
          <w:tab w:val="left" w:pos="5460"/>
        </w:tabs>
        <w:spacing w:line="360" w:lineRule="auto"/>
        <w:rPr>
          <w:color w:val="000000" w:themeColor="text1"/>
        </w:rPr>
      </w:pPr>
    </w:p>
    <w:sectPr>
      <w:pgSz w:w="11906" w:h="16838"/>
      <w:pgMar w:top="1134" w:right="1191" w:bottom="1134" w:left="141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themeColor="text1" w:sz="4" w:space="1"/>
      </w:pBdr>
      <w:tabs>
        <w:tab w:val="clear" w:pos="4153"/>
        <w:tab w:val="clear" w:pos="8306"/>
      </w:tabs>
      <w:wordWrap w:val="0"/>
      <w:ind w:right="171" w:firstLine="360" w:firstLineChars="200"/>
      <w:jc w:val="right"/>
    </w:pPr>
    <w:r>
      <w:rPr>
        <w:rFonts w:hint="eastAsia" w:asciiTheme="minorEastAsia" w:hAnsiTheme="minorEastAsia"/>
        <w:u w:val="single"/>
      </w:rPr>
      <w:t xml:space="preserve">黄石曼宇工程项目管理有限公司  </w:t>
    </w:r>
    <w:r>
      <w:rPr>
        <w:rFonts w:hint="eastAsia" w:asciiTheme="minorEastAsia" w:hAnsiTheme="minorEastAsia"/>
      </w:rPr>
      <w:t>制</w:t>
    </w:r>
  </w:p>
  <w:p>
    <w:pPr>
      <w:pStyle w:val="17"/>
      <w:pBdr>
        <w:top w:val="single" w:color="000000" w:themeColor="text1" w:sz="4" w:space="1"/>
      </w:pBdr>
      <w:tabs>
        <w:tab w:val="clear" w:pos="4153"/>
        <w:tab w:val="clear" w:pos="8306"/>
      </w:tabs>
      <w:ind w:right="-9"/>
      <w:jc w:val="center"/>
      <w:rPr>
        <w:rFonts w:asciiTheme="minorEastAsia" w:hAnsiTheme="min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rPr>
      <w:t>黄石曼宇工程项目管理有限公司</w:t>
    </w:r>
    <w:r>
      <w:rPr>
        <w:rFonts w:hint="eastAsia" w:asciiTheme="minorEastAsia" w:hAnsiTheme="minorEastAsia"/>
      </w:rPr>
      <w:t>制</w:t>
    </w:r>
  </w:p>
  <w:p>
    <w:pPr>
      <w:pStyle w:val="17"/>
      <w:pBdr>
        <w:top w:val="single" w:color="000000" w:themeColor="text1" w:sz="4" w:space="1"/>
      </w:pBdr>
      <w:tabs>
        <w:tab w:val="clear" w:pos="4153"/>
        <w:tab w:val="clear" w:pos="8306"/>
      </w:tabs>
      <w:ind w:right="-9"/>
      <w:jc w:val="center"/>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themeColor="text1" w:sz="4" w:space="1"/>
      </w:pBdr>
      <w:tabs>
        <w:tab w:val="clear" w:pos="4153"/>
        <w:tab w:val="clear" w:pos="8306"/>
      </w:tabs>
      <w:ind w:right="-9" w:firstLine="360" w:firstLineChars="20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Theme="minorEastAsia" w:hAnsiTheme="minorEastAsia"/>
      </w:rPr>
      <w:t>黄石曼宇工程项目管理有限公司  制</w:t>
    </w:r>
  </w:p>
  <w:p>
    <w:pPr>
      <w:pStyle w:val="17"/>
      <w:pBdr>
        <w:top w:val="single" w:color="000000" w:themeColor="text1" w:sz="4" w:space="1"/>
      </w:pBdr>
      <w:tabs>
        <w:tab w:val="clear" w:pos="4153"/>
        <w:tab w:val="clear" w:pos="8306"/>
      </w:tabs>
      <w:ind w:right="-9"/>
      <w:jc w:val="center"/>
      <w:rPr>
        <w:rFonts w:asciiTheme="minorEastAsia" w:hAnsiTheme="minorEastAsia"/>
        <w:b/>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BA0B8"/>
    <w:multiLevelType w:val="singleLevel"/>
    <w:tmpl w:val="903BA0B8"/>
    <w:lvl w:ilvl="0" w:tentative="0">
      <w:start w:val="2"/>
      <w:numFmt w:val="decimal"/>
      <w:suff w:val="nothing"/>
      <w:lvlText w:val="（%1）"/>
      <w:lvlJc w:val="left"/>
    </w:lvl>
  </w:abstractNum>
  <w:abstractNum w:abstractNumId="1">
    <w:nsid w:val="A2555581"/>
    <w:multiLevelType w:val="singleLevel"/>
    <w:tmpl w:val="A2555581"/>
    <w:lvl w:ilvl="0" w:tentative="0">
      <w:start w:val="3"/>
      <w:numFmt w:val="chineseCounting"/>
      <w:suff w:val="nothing"/>
      <w:lvlText w:val="%1、"/>
      <w:lvlJc w:val="left"/>
      <w:pPr>
        <w:ind w:left="92"/>
      </w:pPr>
      <w:rPr>
        <w:rFonts w:hint="eastAsia"/>
      </w:rPr>
    </w:lvl>
  </w:abstractNum>
  <w:abstractNum w:abstractNumId="2">
    <w:nsid w:val="BE7CE881"/>
    <w:multiLevelType w:val="singleLevel"/>
    <w:tmpl w:val="BE7CE881"/>
    <w:lvl w:ilvl="0" w:tentative="0">
      <w:start w:val="1"/>
      <w:numFmt w:val="chineseCounting"/>
      <w:suff w:val="space"/>
      <w:lvlText w:val="第%1部分"/>
      <w:lvlJc w:val="left"/>
      <w:rPr>
        <w:rFonts w:hint="eastAsia"/>
      </w:rPr>
    </w:lvl>
  </w:abstractNum>
  <w:abstractNum w:abstractNumId="3">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482B0A"/>
    <w:multiLevelType w:val="singleLevel"/>
    <w:tmpl w:val="0B482B0A"/>
    <w:lvl w:ilvl="0" w:tentative="0">
      <w:start w:val="6"/>
      <w:numFmt w:val="chineseCounting"/>
      <w:suff w:val="nothing"/>
      <w:lvlText w:val="%1、"/>
      <w:lvlJc w:val="left"/>
      <w:rPr>
        <w:rFonts w:hint="eastAsia"/>
      </w:r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1">
    <w:nsid w:val="11D4169B"/>
    <w:multiLevelType w:val="singleLevel"/>
    <w:tmpl w:val="11D4169B"/>
    <w:lvl w:ilvl="0" w:tentative="0">
      <w:start w:val="2"/>
      <w:numFmt w:val="chineseCounting"/>
      <w:suff w:val="space"/>
      <w:lvlText w:val="第%1部分"/>
      <w:lvlJc w:val="left"/>
      <w:rPr>
        <w:rFonts w:hint="eastAsia"/>
      </w:r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BDAD09"/>
    <w:multiLevelType w:val="singleLevel"/>
    <w:tmpl w:val="1CBDAD09"/>
    <w:lvl w:ilvl="0" w:tentative="0">
      <w:start w:val="1"/>
      <w:numFmt w:val="chineseCounting"/>
      <w:suff w:val="nothing"/>
      <w:lvlText w:val="%1、"/>
      <w:lvlJc w:val="left"/>
      <w:rPr>
        <w:rFonts w:hint="eastAsia"/>
      </w:rPr>
    </w:lvl>
  </w:abstractNum>
  <w:abstractNum w:abstractNumId="18">
    <w:nsid w:val="225E89AD"/>
    <w:multiLevelType w:val="singleLevel"/>
    <w:tmpl w:val="225E89AD"/>
    <w:lvl w:ilvl="0" w:tentative="0">
      <w:start w:val="1"/>
      <w:numFmt w:val="decimal"/>
      <w:suff w:val="nothing"/>
      <w:lvlText w:val="%1、"/>
      <w:lvlJc w:val="left"/>
    </w:lvl>
  </w:abstractNum>
  <w:abstractNum w:abstractNumId="19">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0">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1">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2">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4">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32E05F28"/>
    <w:multiLevelType w:val="singleLevel"/>
    <w:tmpl w:val="32E05F28"/>
    <w:lvl w:ilvl="0" w:tentative="0">
      <w:start w:val="1"/>
      <w:numFmt w:val="decimal"/>
      <w:suff w:val="nothing"/>
      <w:lvlText w:val="%1、"/>
      <w:lvlJc w:val="left"/>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8">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84917E7"/>
    <w:multiLevelType w:val="singleLevel"/>
    <w:tmpl w:val="584917E7"/>
    <w:lvl w:ilvl="0" w:tentative="0">
      <w:start w:val="1"/>
      <w:numFmt w:val="decimal"/>
      <w:suff w:val="nothing"/>
      <w:lvlText w:val="%1、"/>
      <w:lvlJc w:val="left"/>
    </w:lvl>
  </w:abstractNum>
  <w:abstractNum w:abstractNumId="42">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3">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4">
    <w:nsid w:val="5A0B11B2"/>
    <w:multiLevelType w:val="multilevel"/>
    <w:tmpl w:val="5A0B11B2"/>
    <w:lvl w:ilvl="0" w:tentative="0">
      <w:start w:val="1"/>
      <w:numFmt w:val="decimal"/>
      <w:lvlText w:val="%1. "/>
      <w:lvlJc w:val="left"/>
      <w:pPr>
        <w:ind w:left="987"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5">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6">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48">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9">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0">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2">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38"/>
  </w:num>
  <w:num w:numId="2">
    <w:abstractNumId w:val="0"/>
  </w:num>
  <w:num w:numId="3">
    <w:abstractNumId w:val="4"/>
  </w:num>
  <w:num w:numId="4">
    <w:abstractNumId w:val="35"/>
  </w:num>
  <w:num w:numId="5">
    <w:abstractNumId w:val="16"/>
  </w:num>
  <w:num w:numId="6">
    <w:abstractNumId w:val="7"/>
  </w:num>
  <w:num w:numId="7">
    <w:abstractNumId w:val="45"/>
  </w:num>
  <w:num w:numId="8">
    <w:abstractNumId w:val="32"/>
  </w:num>
  <w:num w:numId="9">
    <w:abstractNumId w:val="42"/>
  </w:num>
  <w:num w:numId="10">
    <w:abstractNumId w:val="29"/>
  </w:num>
  <w:num w:numId="11">
    <w:abstractNumId w:val="6"/>
  </w:num>
  <w:num w:numId="12">
    <w:abstractNumId w:val="24"/>
  </w:num>
  <w:num w:numId="13">
    <w:abstractNumId w:val="25"/>
  </w:num>
  <w:num w:numId="14">
    <w:abstractNumId w:val="10"/>
  </w:num>
  <w:num w:numId="15">
    <w:abstractNumId w:val="9"/>
  </w:num>
  <w:num w:numId="16">
    <w:abstractNumId w:val="50"/>
  </w:num>
  <w:num w:numId="17">
    <w:abstractNumId w:val="1"/>
  </w:num>
  <w:num w:numId="18">
    <w:abstractNumId w:val="18"/>
  </w:num>
  <w:num w:numId="19">
    <w:abstractNumId w:val="8"/>
  </w:num>
  <w:num w:numId="20">
    <w:abstractNumId w:val="17"/>
  </w:num>
  <w:num w:numId="21">
    <w:abstractNumId w:val="40"/>
  </w:num>
  <w:num w:numId="22">
    <w:abstractNumId w:val="27"/>
  </w:num>
  <w:num w:numId="23">
    <w:abstractNumId w:val="39"/>
  </w:num>
  <w:num w:numId="24">
    <w:abstractNumId w:val="31"/>
  </w:num>
  <w:num w:numId="25">
    <w:abstractNumId w:val="36"/>
  </w:num>
  <w:num w:numId="26">
    <w:abstractNumId w:val="33"/>
  </w:num>
  <w:num w:numId="27">
    <w:abstractNumId w:val="20"/>
  </w:num>
  <w:num w:numId="28">
    <w:abstractNumId w:val="44"/>
  </w:num>
  <w:num w:numId="29">
    <w:abstractNumId w:val="52"/>
  </w:num>
  <w:num w:numId="30">
    <w:abstractNumId w:val="21"/>
  </w:num>
  <w:num w:numId="31">
    <w:abstractNumId w:val="19"/>
  </w:num>
  <w:num w:numId="32">
    <w:abstractNumId w:val="3"/>
  </w:num>
  <w:num w:numId="33">
    <w:abstractNumId w:val="43"/>
    <w:lvlOverride w:ilvl="0">
      <w:startOverride w:val="1"/>
    </w:lvlOverride>
  </w:num>
  <w:num w:numId="34">
    <w:abstractNumId w:val="14"/>
  </w:num>
  <w:num w:numId="35">
    <w:abstractNumId w:val="26"/>
  </w:num>
  <w:num w:numId="36">
    <w:abstractNumId w:val="51"/>
  </w:num>
  <w:num w:numId="37">
    <w:abstractNumId w:val="30"/>
  </w:num>
  <w:num w:numId="38">
    <w:abstractNumId w:val="41"/>
  </w:num>
  <w:num w:numId="39">
    <w:abstractNumId w:val="47"/>
  </w:num>
  <w:num w:numId="40">
    <w:abstractNumId w:val="37"/>
  </w:num>
  <w:num w:numId="41">
    <w:abstractNumId w:val="13"/>
  </w:num>
  <w:num w:numId="42">
    <w:abstractNumId w:val="2"/>
  </w:num>
  <w:num w:numId="43">
    <w:abstractNumId w:val="23"/>
  </w:num>
  <w:num w:numId="44">
    <w:abstractNumId w:val="48"/>
  </w:num>
  <w:num w:numId="45">
    <w:abstractNumId w:val="11"/>
  </w:num>
  <w:num w:numId="46">
    <w:abstractNumId w:val="34"/>
  </w:num>
  <w:num w:numId="47">
    <w:abstractNumId w:val="49"/>
  </w:num>
  <w:num w:numId="48">
    <w:abstractNumId w:val="12"/>
  </w:num>
  <w:num w:numId="49">
    <w:abstractNumId w:val="46"/>
  </w:num>
  <w:num w:numId="50">
    <w:abstractNumId w:val="22"/>
  </w:num>
  <w:num w:numId="51">
    <w:abstractNumId w:val="5"/>
  </w:num>
  <w:num w:numId="52">
    <w:abstractNumId w:val="15"/>
  </w:num>
  <w:num w:numId="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48FD"/>
    <w:rsid w:val="00016562"/>
    <w:rsid w:val="00017BE8"/>
    <w:rsid w:val="00020344"/>
    <w:rsid w:val="00040B72"/>
    <w:rsid w:val="00041F0E"/>
    <w:rsid w:val="000426FC"/>
    <w:rsid w:val="00046CAA"/>
    <w:rsid w:val="000550C8"/>
    <w:rsid w:val="000658A4"/>
    <w:rsid w:val="0007680A"/>
    <w:rsid w:val="00077E85"/>
    <w:rsid w:val="000812D6"/>
    <w:rsid w:val="00081EFC"/>
    <w:rsid w:val="000855FE"/>
    <w:rsid w:val="00092450"/>
    <w:rsid w:val="00093560"/>
    <w:rsid w:val="00093DE3"/>
    <w:rsid w:val="00095415"/>
    <w:rsid w:val="000A69D9"/>
    <w:rsid w:val="000B1EA5"/>
    <w:rsid w:val="000B3053"/>
    <w:rsid w:val="000B42CE"/>
    <w:rsid w:val="000C1DBB"/>
    <w:rsid w:val="000C2224"/>
    <w:rsid w:val="000C46E9"/>
    <w:rsid w:val="000C7B79"/>
    <w:rsid w:val="000D274B"/>
    <w:rsid w:val="000E0271"/>
    <w:rsid w:val="000E4686"/>
    <w:rsid w:val="000E71BE"/>
    <w:rsid w:val="000F64E0"/>
    <w:rsid w:val="00100585"/>
    <w:rsid w:val="00105BC5"/>
    <w:rsid w:val="00122C84"/>
    <w:rsid w:val="00131D63"/>
    <w:rsid w:val="00133220"/>
    <w:rsid w:val="001338E8"/>
    <w:rsid w:val="001356ED"/>
    <w:rsid w:val="001373CE"/>
    <w:rsid w:val="00155D1D"/>
    <w:rsid w:val="001641C9"/>
    <w:rsid w:val="001756AE"/>
    <w:rsid w:val="001761B7"/>
    <w:rsid w:val="00177C62"/>
    <w:rsid w:val="00185E9A"/>
    <w:rsid w:val="001A0AB1"/>
    <w:rsid w:val="001A1335"/>
    <w:rsid w:val="001A2B2A"/>
    <w:rsid w:val="001A5359"/>
    <w:rsid w:val="001A54E8"/>
    <w:rsid w:val="001B03BB"/>
    <w:rsid w:val="001B0E69"/>
    <w:rsid w:val="001B172D"/>
    <w:rsid w:val="001B38CD"/>
    <w:rsid w:val="001C23B5"/>
    <w:rsid w:val="001C6A22"/>
    <w:rsid w:val="001C7B23"/>
    <w:rsid w:val="001D0604"/>
    <w:rsid w:val="001D2460"/>
    <w:rsid w:val="001D3EE7"/>
    <w:rsid w:val="001E157C"/>
    <w:rsid w:val="001E5D69"/>
    <w:rsid w:val="001E7CEA"/>
    <w:rsid w:val="0020384B"/>
    <w:rsid w:val="00216A3E"/>
    <w:rsid w:val="00220470"/>
    <w:rsid w:val="00222B0D"/>
    <w:rsid w:val="00223408"/>
    <w:rsid w:val="002334D5"/>
    <w:rsid w:val="00236772"/>
    <w:rsid w:val="002426EA"/>
    <w:rsid w:val="002446C6"/>
    <w:rsid w:val="00244712"/>
    <w:rsid w:val="0024686D"/>
    <w:rsid w:val="002600C1"/>
    <w:rsid w:val="0026342E"/>
    <w:rsid w:val="00270435"/>
    <w:rsid w:val="00276CFD"/>
    <w:rsid w:val="00277541"/>
    <w:rsid w:val="0028458B"/>
    <w:rsid w:val="00293211"/>
    <w:rsid w:val="00295F64"/>
    <w:rsid w:val="0029797A"/>
    <w:rsid w:val="002B7581"/>
    <w:rsid w:val="002C38E4"/>
    <w:rsid w:val="002C7FA6"/>
    <w:rsid w:val="002D07BB"/>
    <w:rsid w:val="002D2531"/>
    <w:rsid w:val="002D412B"/>
    <w:rsid w:val="002D5EE6"/>
    <w:rsid w:val="002E460A"/>
    <w:rsid w:val="0030359D"/>
    <w:rsid w:val="00303EDA"/>
    <w:rsid w:val="00305F42"/>
    <w:rsid w:val="00310B7E"/>
    <w:rsid w:val="00310F98"/>
    <w:rsid w:val="0031181B"/>
    <w:rsid w:val="00314B08"/>
    <w:rsid w:val="00316026"/>
    <w:rsid w:val="003170B3"/>
    <w:rsid w:val="00320ACF"/>
    <w:rsid w:val="0032265C"/>
    <w:rsid w:val="00323F1C"/>
    <w:rsid w:val="0032633F"/>
    <w:rsid w:val="00333225"/>
    <w:rsid w:val="0033323B"/>
    <w:rsid w:val="0034373E"/>
    <w:rsid w:val="00352AE1"/>
    <w:rsid w:val="003532AD"/>
    <w:rsid w:val="00353542"/>
    <w:rsid w:val="003540BC"/>
    <w:rsid w:val="0035468A"/>
    <w:rsid w:val="00360712"/>
    <w:rsid w:val="00362CBA"/>
    <w:rsid w:val="0036309F"/>
    <w:rsid w:val="00363C3C"/>
    <w:rsid w:val="0036474B"/>
    <w:rsid w:val="003661C8"/>
    <w:rsid w:val="00366E30"/>
    <w:rsid w:val="00370701"/>
    <w:rsid w:val="00377B5F"/>
    <w:rsid w:val="00383221"/>
    <w:rsid w:val="00393E94"/>
    <w:rsid w:val="003A20CE"/>
    <w:rsid w:val="003B0D5A"/>
    <w:rsid w:val="003B4F8E"/>
    <w:rsid w:val="003B718F"/>
    <w:rsid w:val="003B7A0D"/>
    <w:rsid w:val="003C2008"/>
    <w:rsid w:val="003C2241"/>
    <w:rsid w:val="003C6083"/>
    <w:rsid w:val="003C7699"/>
    <w:rsid w:val="003D1759"/>
    <w:rsid w:val="003D5E80"/>
    <w:rsid w:val="003D792E"/>
    <w:rsid w:val="003E5AE0"/>
    <w:rsid w:val="003F2B92"/>
    <w:rsid w:val="003F3007"/>
    <w:rsid w:val="0040329E"/>
    <w:rsid w:val="0040679C"/>
    <w:rsid w:val="004110F8"/>
    <w:rsid w:val="00414A80"/>
    <w:rsid w:val="00415E8D"/>
    <w:rsid w:val="004161BA"/>
    <w:rsid w:val="004201EE"/>
    <w:rsid w:val="00436CC2"/>
    <w:rsid w:val="004475F1"/>
    <w:rsid w:val="0045683E"/>
    <w:rsid w:val="00457308"/>
    <w:rsid w:val="00460023"/>
    <w:rsid w:val="004605F3"/>
    <w:rsid w:val="00461DFE"/>
    <w:rsid w:val="00476E59"/>
    <w:rsid w:val="004840B3"/>
    <w:rsid w:val="0048446E"/>
    <w:rsid w:val="004871A8"/>
    <w:rsid w:val="004A4F81"/>
    <w:rsid w:val="004B0CC2"/>
    <w:rsid w:val="004B118F"/>
    <w:rsid w:val="004B4BED"/>
    <w:rsid w:val="004B6A4B"/>
    <w:rsid w:val="004C1027"/>
    <w:rsid w:val="004C221E"/>
    <w:rsid w:val="004C62F7"/>
    <w:rsid w:val="004C7507"/>
    <w:rsid w:val="004C750B"/>
    <w:rsid w:val="004D548F"/>
    <w:rsid w:val="004E00F2"/>
    <w:rsid w:val="004E40B4"/>
    <w:rsid w:val="004E48AF"/>
    <w:rsid w:val="004E5A44"/>
    <w:rsid w:val="004E62B0"/>
    <w:rsid w:val="004F15CB"/>
    <w:rsid w:val="004F21F4"/>
    <w:rsid w:val="004F3CBA"/>
    <w:rsid w:val="004F4302"/>
    <w:rsid w:val="004F43AD"/>
    <w:rsid w:val="004F6DB5"/>
    <w:rsid w:val="00501BB9"/>
    <w:rsid w:val="005025B6"/>
    <w:rsid w:val="0050732D"/>
    <w:rsid w:val="00511E96"/>
    <w:rsid w:val="005130B9"/>
    <w:rsid w:val="00520B11"/>
    <w:rsid w:val="005215EA"/>
    <w:rsid w:val="005223DE"/>
    <w:rsid w:val="00522D80"/>
    <w:rsid w:val="00525A93"/>
    <w:rsid w:val="005437D7"/>
    <w:rsid w:val="005445A9"/>
    <w:rsid w:val="00545B0F"/>
    <w:rsid w:val="00545EDA"/>
    <w:rsid w:val="00551F3F"/>
    <w:rsid w:val="00552BFE"/>
    <w:rsid w:val="0055447A"/>
    <w:rsid w:val="00556850"/>
    <w:rsid w:val="0056071E"/>
    <w:rsid w:val="00560FA5"/>
    <w:rsid w:val="00573437"/>
    <w:rsid w:val="0057573F"/>
    <w:rsid w:val="00580FFF"/>
    <w:rsid w:val="005813AA"/>
    <w:rsid w:val="00585DDC"/>
    <w:rsid w:val="005967BA"/>
    <w:rsid w:val="005A39B3"/>
    <w:rsid w:val="005A58A0"/>
    <w:rsid w:val="005B12FC"/>
    <w:rsid w:val="005B6D3E"/>
    <w:rsid w:val="005B713A"/>
    <w:rsid w:val="005B748C"/>
    <w:rsid w:val="005C31D8"/>
    <w:rsid w:val="005D5398"/>
    <w:rsid w:val="005D6632"/>
    <w:rsid w:val="005E077C"/>
    <w:rsid w:val="005E3CD4"/>
    <w:rsid w:val="005E418E"/>
    <w:rsid w:val="005F1588"/>
    <w:rsid w:val="00601112"/>
    <w:rsid w:val="00601990"/>
    <w:rsid w:val="00605C0D"/>
    <w:rsid w:val="0061424B"/>
    <w:rsid w:val="00614D82"/>
    <w:rsid w:val="00623CBB"/>
    <w:rsid w:val="006269B4"/>
    <w:rsid w:val="006302AC"/>
    <w:rsid w:val="00630B71"/>
    <w:rsid w:val="006440C5"/>
    <w:rsid w:val="006505EF"/>
    <w:rsid w:val="006508E8"/>
    <w:rsid w:val="00657A56"/>
    <w:rsid w:val="00662962"/>
    <w:rsid w:val="00663B35"/>
    <w:rsid w:val="00666B23"/>
    <w:rsid w:val="00667D69"/>
    <w:rsid w:val="0067786F"/>
    <w:rsid w:val="00680A96"/>
    <w:rsid w:val="006852F6"/>
    <w:rsid w:val="00690659"/>
    <w:rsid w:val="006919A3"/>
    <w:rsid w:val="006A0CE4"/>
    <w:rsid w:val="006A383C"/>
    <w:rsid w:val="006A56C6"/>
    <w:rsid w:val="006A6C1D"/>
    <w:rsid w:val="006A6C51"/>
    <w:rsid w:val="006A7A3D"/>
    <w:rsid w:val="006C0B5F"/>
    <w:rsid w:val="006C0B7B"/>
    <w:rsid w:val="006C1AF1"/>
    <w:rsid w:val="006C6FDC"/>
    <w:rsid w:val="006D1D6E"/>
    <w:rsid w:val="006E5F1B"/>
    <w:rsid w:val="006F0C69"/>
    <w:rsid w:val="006F0D07"/>
    <w:rsid w:val="00715E44"/>
    <w:rsid w:val="00722075"/>
    <w:rsid w:val="007220EC"/>
    <w:rsid w:val="00723103"/>
    <w:rsid w:val="00725899"/>
    <w:rsid w:val="00725F67"/>
    <w:rsid w:val="007308BA"/>
    <w:rsid w:val="007318D6"/>
    <w:rsid w:val="00732E91"/>
    <w:rsid w:val="00734B13"/>
    <w:rsid w:val="00735920"/>
    <w:rsid w:val="00737211"/>
    <w:rsid w:val="00752F21"/>
    <w:rsid w:val="0075376D"/>
    <w:rsid w:val="00773A2C"/>
    <w:rsid w:val="00774EB7"/>
    <w:rsid w:val="00775A96"/>
    <w:rsid w:val="00780DBA"/>
    <w:rsid w:val="00782541"/>
    <w:rsid w:val="00784AEB"/>
    <w:rsid w:val="00784ED7"/>
    <w:rsid w:val="00786601"/>
    <w:rsid w:val="00786E84"/>
    <w:rsid w:val="00796078"/>
    <w:rsid w:val="007A27DA"/>
    <w:rsid w:val="007A2D91"/>
    <w:rsid w:val="007A427D"/>
    <w:rsid w:val="007A6F5F"/>
    <w:rsid w:val="007B223D"/>
    <w:rsid w:val="007C0DA7"/>
    <w:rsid w:val="007C132C"/>
    <w:rsid w:val="007C1D03"/>
    <w:rsid w:val="007C442D"/>
    <w:rsid w:val="007D72CF"/>
    <w:rsid w:val="007E3D3C"/>
    <w:rsid w:val="007F03C8"/>
    <w:rsid w:val="007F4B95"/>
    <w:rsid w:val="007F504A"/>
    <w:rsid w:val="007F6863"/>
    <w:rsid w:val="007F6F97"/>
    <w:rsid w:val="00802536"/>
    <w:rsid w:val="00804419"/>
    <w:rsid w:val="00805325"/>
    <w:rsid w:val="0081114F"/>
    <w:rsid w:val="00816910"/>
    <w:rsid w:val="00820E08"/>
    <w:rsid w:val="0082486D"/>
    <w:rsid w:val="0083070A"/>
    <w:rsid w:val="00837726"/>
    <w:rsid w:val="00844B87"/>
    <w:rsid w:val="008456E3"/>
    <w:rsid w:val="00860C81"/>
    <w:rsid w:val="00863EDD"/>
    <w:rsid w:val="00871AA7"/>
    <w:rsid w:val="00876E59"/>
    <w:rsid w:val="00877211"/>
    <w:rsid w:val="0088586B"/>
    <w:rsid w:val="00885E86"/>
    <w:rsid w:val="008879F9"/>
    <w:rsid w:val="008966BE"/>
    <w:rsid w:val="008A1434"/>
    <w:rsid w:val="008A30BA"/>
    <w:rsid w:val="008B4111"/>
    <w:rsid w:val="008B4F32"/>
    <w:rsid w:val="008B5601"/>
    <w:rsid w:val="008B6529"/>
    <w:rsid w:val="008D35F1"/>
    <w:rsid w:val="008D3612"/>
    <w:rsid w:val="008D5777"/>
    <w:rsid w:val="008D65DE"/>
    <w:rsid w:val="008D7D59"/>
    <w:rsid w:val="008E2203"/>
    <w:rsid w:val="008E3F8B"/>
    <w:rsid w:val="008E78DC"/>
    <w:rsid w:val="008F1B81"/>
    <w:rsid w:val="008F3383"/>
    <w:rsid w:val="008F639F"/>
    <w:rsid w:val="009020C7"/>
    <w:rsid w:val="0090240A"/>
    <w:rsid w:val="00903A2D"/>
    <w:rsid w:val="00907388"/>
    <w:rsid w:val="00914F14"/>
    <w:rsid w:val="00926655"/>
    <w:rsid w:val="0093723A"/>
    <w:rsid w:val="009402E6"/>
    <w:rsid w:val="00943F98"/>
    <w:rsid w:val="00947542"/>
    <w:rsid w:val="00954A2F"/>
    <w:rsid w:val="009552B8"/>
    <w:rsid w:val="00956AAC"/>
    <w:rsid w:val="00967BB9"/>
    <w:rsid w:val="00967D22"/>
    <w:rsid w:val="0097080D"/>
    <w:rsid w:val="009714FE"/>
    <w:rsid w:val="00973398"/>
    <w:rsid w:val="00982AD3"/>
    <w:rsid w:val="009849C0"/>
    <w:rsid w:val="00985447"/>
    <w:rsid w:val="0098774A"/>
    <w:rsid w:val="009944A9"/>
    <w:rsid w:val="00996DEE"/>
    <w:rsid w:val="009B10AF"/>
    <w:rsid w:val="009B11C0"/>
    <w:rsid w:val="009B3048"/>
    <w:rsid w:val="009B3424"/>
    <w:rsid w:val="009B69B8"/>
    <w:rsid w:val="009C0CA8"/>
    <w:rsid w:val="009D36C0"/>
    <w:rsid w:val="009D3A00"/>
    <w:rsid w:val="009E04AF"/>
    <w:rsid w:val="009F014B"/>
    <w:rsid w:val="00A05AF5"/>
    <w:rsid w:val="00A0777C"/>
    <w:rsid w:val="00A2347E"/>
    <w:rsid w:val="00A24B45"/>
    <w:rsid w:val="00A27E87"/>
    <w:rsid w:val="00A30AE5"/>
    <w:rsid w:val="00A30DFD"/>
    <w:rsid w:val="00A33A80"/>
    <w:rsid w:val="00A36FFA"/>
    <w:rsid w:val="00A40BC9"/>
    <w:rsid w:val="00A46DEF"/>
    <w:rsid w:val="00A51D8F"/>
    <w:rsid w:val="00A52A2B"/>
    <w:rsid w:val="00A54E82"/>
    <w:rsid w:val="00A56A59"/>
    <w:rsid w:val="00A62860"/>
    <w:rsid w:val="00A678FB"/>
    <w:rsid w:val="00A75148"/>
    <w:rsid w:val="00A813D2"/>
    <w:rsid w:val="00A879DB"/>
    <w:rsid w:val="00A97AD4"/>
    <w:rsid w:val="00AA4E37"/>
    <w:rsid w:val="00AA6806"/>
    <w:rsid w:val="00AB1620"/>
    <w:rsid w:val="00AB2B17"/>
    <w:rsid w:val="00AB3343"/>
    <w:rsid w:val="00AC034A"/>
    <w:rsid w:val="00AC399F"/>
    <w:rsid w:val="00AC584B"/>
    <w:rsid w:val="00AD18FC"/>
    <w:rsid w:val="00AD52A3"/>
    <w:rsid w:val="00AD634F"/>
    <w:rsid w:val="00AD693E"/>
    <w:rsid w:val="00AE02A5"/>
    <w:rsid w:val="00AF0DE0"/>
    <w:rsid w:val="00AF18BF"/>
    <w:rsid w:val="00B002B6"/>
    <w:rsid w:val="00B0070A"/>
    <w:rsid w:val="00B14753"/>
    <w:rsid w:val="00B161F2"/>
    <w:rsid w:val="00B20815"/>
    <w:rsid w:val="00B20FD9"/>
    <w:rsid w:val="00B24B0B"/>
    <w:rsid w:val="00B279FB"/>
    <w:rsid w:val="00B27BEE"/>
    <w:rsid w:val="00B36D9B"/>
    <w:rsid w:val="00B4118F"/>
    <w:rsid w:val="00B43A5D"/>
    <w:rsid w:val="00B52520"/>
    <w:rsid w:val="00B63D5E"/>
    <w:rsid w:val="00B67CCB"/>
    <w:rsid w:val="00B71D62"/>
    <w:rsid w:val="00B73369"/>
    <w:rsid w:val="00B84A3B"/>
    <w:rsid w:val="00B94CFC"/>
    <w:rsid w:val="00B956F2"/>
    <w:rsid w:val="00BA438A"/>
    <w:rsid w:val="00BA4681"/>
    <w:rsid w:val="00BB78CC"/>
    <w:rsid w:val="00BC386C"/>
    <w:rsid w:val="00BC3AA1"/>
    <w:rsid w:val="00BD0C54"/>
    <w:rsid w:val="00BD2144"/>
    <w:rsid w:val="00BD5754"/>
    <w:rsid w:val="00BD62C1"/>
    <w:rsid w:val="00BD681B"/>
    <w:rsid w:val="00BE3563"/>
    <w:rsid w:val="00BF5732"/>
    <w:rsid w:val="00C0257A"/>
    <w:rsid w:val="00C040D1"/>
    <w:rsid w:val="00C139A6"/>
    <w:rsid w:val="00C1592E"/>
    <w:rsid w:val="00C279EC"/>
    <w:rsid w:val="00C37FEA"/>
    <w:rsid w:val="00C45AFE"/>
    <w:rsid w:val="00C52140"/>
    <w:rsid w:val="00C5718B"/>
    <w:rsid w:val="00C6438A"/>
    <w:rsid w:val="00C64D3E"/>
    <w:rsid w:val="00C6680F"/>
    <w:rsid w:val="00C66ACC"/>
    <w:rsid w:val="00C72415"/>
    <w:rsid w:val="00C77E82"/>
    <w:rsid w:val="00C8468C"/>
    <w:rsid w:val="00C911B1"/>
    <w:rsid w:val="00C9289E"/>
    <w:rsid w:val="00C92F51"/>
    <w:rsid w:val="00CA0253"/>
    <w:rsid w:val="00CA0F95"/>
    <w:rsid w:val="00CB10F9"/>
    <w:rsid w:val="00CB3DF8"/>
    <w:rsid w:val="00CB413B"/>
    <w:rsid w:val="00CF76A5"/>
    <w:rsid w:val="00D123DC"/>
    <w:rsid w:val="00D14987"/>
    <w:rsid w:val="00D14E3A"/>
    <w:rsid w:val="00D204F5"/>
    <w:rsid w:val="00D32F66"/>
    <w:rsid w:val="00D5042D"/>
    <w:rsid w:val="00D50BE4"/>
    <w:rsid w:val="00D57CBF"/>
    <w:rsid w:val="00D64AB9"/>
    <w:rsid w:val="00D7177A"/>
    <w:rsid w:val="00D90694"/>
    <w:rsid w:val="00D94CD4"/>
    <w:rsid w:val="00DA4143"/>
    <w:rsid w:val="00DB00B6"/>
    <w:rsid w:val="00DB115D"/>
    <w:rsid w:val="00DB3C8A"/>
    <w:rsid w:val="00DC08BE"/>
    <w:rsid w:val="00DC4938"/>
    <w:rsid w:val="00DD6657"/>
    <w:rsid w:val="00DD7F3C"/>
    <w:rsid w:val="00DE0E8F"/>
    <w:rsid w:val="00DE300D"/>
    <w:rsid w:val="00DE4A9E"/>
    <w:rsid w:val="00E02B75"/>
    <w:rsid w:val="00E04D53"/>
    <w:rsid w:val="00E05B42"/>
    <w:rsid w:val="00E14D3C"/>
    <w:rsid w:val="00E1507B"/>
    <w:rsid w:val="00E15A50"/>
    <w:rsid w:val="00E22388"/>
    <w:rsid w:val="00E2369D"/>
    <w:rsid w:val="00E32C21"/>
    <w:rsid w:val="00E34D2C"/>
    <w:rsid w:val="00E3763E"/>
    <w:rsid w:val="00E41743"/>
    <w:rsid w:val="00E43952"/>
    <w:rsid w:val="00E54453"/>
    <w:rsid w:val="00E54FFA"/>
    <w:rsid w:val="00E564EC"/>
    <w:rsid w:val="00E63CF0"/>
    <w:rsid w:val="00E674AB"/>
    <w:rsid w:val="00E971BC"/>
    <w:rsid w:val="00EA0C6D"/>
    <w:rsid w:val="00EB1E3A"/>
    <w:rsid w:val="00EB1E78"/>
    <w:rsid w:val="00EB4033"/>
    <w:rsid w:val="00EC09F8"/>
    <w:rsid w:val="00EC26C4"/>
    <w:rsid w:val="00EC6049"/>
    <w:rsid w:val="00ED0545"/>
    <w:rsid w:val="00ED4AE9"/>
    <w:rsid w:val="00EE3C83"/>
    <w:rsid w:val="00EE715C"/>
    <w:rsid w:val="00EE7236"/>
    <w:rsid w:val="00F04B4C"/>
    <w:rsid w:val="00F05FC4"/>
    <w:rsid w:val="00F1193F"/>
    <w:rsid w:val="00F152FA"/>
    <w:rsid w:val="00F17360"/>
    <w:rsid w:val="00F242DA"/>
    <w:rsid w:val="00F24BF3"/>
    <w:rsid w:val="00F42684"/>
    <w:rsid w:val="00F47226"/>
    <w:rsid w:val="00F5567D"/>
    <w:rsid w:val="00F56D9F"/>
    <w:rsid w:val="00F621A3"/>
    <w:rsid w:val="00F63420"/>
    <w:rsid w:val="00F65CE2"/>
    <w:rsid w:val="00F71D83"/>
    <w:rsid w:val="00F90477"/>
    <w:rsid w:val="00F90515"/>
    <w:rsid w:val="00FB2B31"/>
    <w:rsid w:val="00FC24F7"/>
    <w:rsid w:val="00FC2E73"/>
    <w:rsid w:val="00FC60B5"/>
    <w:rsid w:val="00FD44A8"/>
    <w:rsid w:val="00FE2024"/>
    <w:rsid w:val="00FE25B7"/>
    <w:rsid w:val="00FE51C1"/>
    <w:rsid w:val="00FE6860"/>
    <w:rsid w:val="00FF4FBA"/>
    <w:rsid w:val="00FF6E00"/>
    <w:rsid w:val="01143A6C"/>
    <w:rsid w:val="016B757D"/>
    <w:rsid w:val="01AB1278"/>
    <w:rsid w:val="0201402C"/>
    <w:rsid w:val="024452F8"/>
    <w:rsid w:val="025E1424"/>
    <w:rsid w:val="0266685A"/>
    <w:rsid w:val="02805DB9"/>
    <w:rsid w:val="0286730A"/>
    <w:rsid w:val="028C090F"/>
    <w:rsid w:val="028D3E75"/>
    <w:rsid w:val="029D5781"/>
    <w:rsid w:val="02CB6DFA"/>
    <w:rsid w:val="030A3DA9"/>
    <w:rsid w:val="031C5952"/>
    <w:rsid w:val="0341645D"/>
    <w:rsid w:val="039901E2"/>
    <w:rsid w:val="03AA1C11"/>
    <w:rsid w:val="03C74658"/>
    <w:rsid w:val="03D910D3"/>
    <w:rsid w:val="03E130B0"/>
    <w:rsid w:val="040A16A0"/>
    <w:rsid w:val="043334AF"/>
    <w:rsid w:val="043E0372"/>
    <w:rsid w:val="049F2029"/>
    <w:rsid w:val="04AA753F"/>
    <w:rsid w:val="04AC6649"/>
    <w:rsid w:val="04BB25B1"/>
    <w:rsid w:val="04D029D1"/>
    <w:rsid w:val="04DA23A6"/>
    <w:rsid w:val="051166F9"/>
    <w:rsid w:val="054244B9"/>
    <w:rsid w:val="0562059F"/>
    <w:rsid w:val="05881B56"/>
    <w:rsid w:val="05A76D02"/>
    <w:rsid w:val="05EC3974"/>
    <w:rsid w:val="05ED6411"/>
    <w:rsid w:val="05F578D9"/>
    <w:rsid w:val="0611656E"/>
    <w:rsid w:val="06531C6E"/>
    <w:rsid w:val="06624FC3"/>
    <w:rsid w:val="06814416"/>
    <w:rsid w:val="06BE2CEE"/>
    <w:rsid w:val="0722033E"/>
    <w:rsid w:val="072A3771"/>
    <w:rsid w:val="075A77A2"/>
    <w:rsid w:val="07751C03"/>
    <w:rsid w:val="07812754"/>
    <w:rsid w:val="0795299A"/>
    <w:rsid w:val="079E03E4"/>
    <w:rsid w:val="07A768CD"/>
    <w:rsid w:val="07AE65B6"/>
    <w:rsid w:val="07B15F3F"/>
    <w:rsid w:val="07BE7635"/>
    <w:rsid w:val="07DA37A8"/>
    <w:rsid w:val="07E61DE1"/>
    <w:rsid w:val="07F162D0"/>
    <w:rsid w:val="081D7E45"/>
    <w:rsid w:val="084478C2"/>
    <w:rsid w:val="08561834"/>
    <w:rsid w:val="0862484D"/>
    <w:rsid w:val="087A5DAC"/>
    <w:rsid w:val="089E47B2"/>
    <w:rsid w:val="08C85913"/>
    <w:rsid w:val="092044E9"/>
    <w:rsid w:val="095C41FC"/>
    <w:rsid w:val="097A33C1"/>
    <w:rsid w:val="09854DA8"/>
    <w:rsid w:val="099F403F"/>
    <w:rsid w:val="09A5713F"/>
    <w:rsid w:val="09AD2DA1"/>
    <w:rsid w:val="09DA6D23"/>
    <w:rsid w:val="09E25985"/>
    <w:rsid w:val="0A0072FE"/>
    <w:rsid w:val="0A111CF8"/>
    <w:rsid w:val="0A2C3F7D"/>
    <w:rsid w:val="0A2E69CD"/>
    <w:rsid w:val="0AA63937"/>
    <w:rsid w:val="0B2C1C19"/>
    <w:rsid w:val="0B775150"/>
    <w:rsid w:val="0B894070"/>
    <w:rsid w:val="0BB45FBA"/>
    <w:rsid w:val="0BE73A43"/>
    <w:rsid w:val="0BFF4AD3"/>
    <w:rsid w:val="0C053C48"/>
    <w:rsid w:val="0C28797E"/>
    <w:rsid w:val="0C414439"/>
    <w:rsid w:val="0C5D414E"/>
    <w:rsid w:val="0C7A15AE"/>
    <w:rsid w:val="0C8B1ACE"/>
    <w:rsid w:val="0CBF16D9"/>
    <w:rsid w:val="0CD21FB8"/>
    <w:rsid w:val="0CE12017"/>
    <w:rsid w:val="0CF83B8A"/>
    <w:rsid w:val="0D002424"/>
    <w:rsid w:val="0D3D27E6"/>
    <w:rsid w:val="0D673EA6"/>
    <w:rsid w:val="0D6E1EAC"/>
    <w:rsid w:val="0D871C84"/>
    <w:rsid w:val="0D99084E"/>
    <w:rsid w:val="0DB7037C"/>
    <w:rsid w:val="0DBD3824"/>
    <w:rsid w:val="0DBD5E66"/>
    <w:rsid w:val="0DE405D2"/>
    <w:rsid w:val="0E1745B1"/>
    <w:rsid w:val="0E5C2625"/>
    <w:rsid w:val="0EE837B0"/>
    <w:rsid w:val="0EEE6DF9"/>
    <w:rsid w:val="0F2A37B4"/>
    <w:rsid w:val="0F396ED0"/>
    <w:rsid w:val="0F3D31A9"/>
    <w:rsid w:val="0F465105"/>
    <w:rsid w:val="0F7B331A"/>
    <w:rsid w:val="0F7D2BF0"/>
    <w:rsid w:val="0FB3062A"/>
    <w:rsid w:val="0FC038AD"/>
    <w:rsid w:val="103B43C8"/>
    <w:rsid w:val="107C1DD7"/>
    <w:rsid w:val="10C07413"/>
    <w:rsid w:val="10F706BA"/>
    <w:rsid w:val="10FC4805"/>
    <w:rsid w:val="1149074C"/>
    <w:rsid w:val="11603C32"/>
    <w:rsid w:val="11902ADA"/>
    <w:rsid w:val="11920B22"/>
    <w:rsid w:val="11923040"/>
    <w:rsid w:val="11A04D76"/>
    <w:rsid w:val="11A44066"/>
    <w:rsid w:val="11BA5751"/>
    <w:rsid w:val="11BB5292"/>
    <w:rsid w:val="11DA3077"/>
    <w:rsid w:val="11F82FED"/>
    <w:rsid w:val="120F771A"/>
    <w:rsid w:val="121047A8"/>
    <w:rsid w:val="121B340F"/>
    <w:rsid w:val="122A0AFD"/>
    <w:rsid w:val="12457929"/>
    <w:rsid w:val="124D069B"/>
    <w:rsid w:val="126D6281"/>
    <w:rsid w:val="12767FFB"/>
    <w:rsid w:val="12A511AB"/>
    <w:rsid w:val="12C2421D"/>
    <w:rsid w:val="132E6008"/>
    <w:rsid w:val="1330349F"/>
    <w:rsid w:val="13514712"/>
    <w:rsid w:val="135F3564"/>
    <w:rsid w:val="138560F3"/>
    <w:rsid w:val="13DB2942"/>
    <w:rsid w:val="13FF6321"/>
    <w:rsid w:val="140030AA"/>
    <w:rsid w:val="14282746"/>
    <w:rsid w:val="14D1104C"/>
    <w:rsid w:val="14F42C35"/>
    <w:rsid w:val="14FB08E3"/>
    <w:rsid w:val="15001156"/>
    <w:rsid w:val="1505402E"/>
    <w:rsid w:val="15092208"/>
    <w:rsid w:val="15361E70"/>
    <w:rsid w:val="1536500A"/>
    <w:rsid w:val="154B71D0"/>
    <w:rsid w:val="15852B10"/>
    <w:rsid w:val="159A33B0"/>
    <w:rsid w:val="15B02535"/>
    <w:rsid w:val="15BE351F"/>
    <w:rsid w:val="15EC735D"/>
    <w:rsid w:val="16175E9C"/>
    <w:rsid w:val="16260CFE"/>
    <w:rsid w:val="163907EA"/>
    <w:rsid w:val="16707D1A"/>
    <w:rsid w:val="16900642"/>
    <w:rsid w:val="16B13BA4"/>
    <w:rsid w:val="16C27909"/>
    <w:rsid w:val="16C841BB"/>
    <w:rsid w:val="16F32510"/>
    <w:rsid w:val="171D5D05"/>
    <w:rsid w:val="175A7982"/>
    <w:rsid w:val="177C3B4C"/>
    <w:rsid w:val="17813795"/>
    <w:rsid w:val="17833A78"/>
    <w:rsid w:val="17983D23"/>
    <w:rsid w:val="17B4165D"/>
    <w:rsid w:val="17BC6C8A"/>
    <w:rsid w:val="17DC44B8"/>
    <w:rsid w:val="18001B24"/>
    <w:rsid w:val="18482D7B"/>
    <w:rsid w:val="18936635"/>
    <w:rsid w:val="18996F7C"/>
    <w:rsid w:val="18A73550"/>
    <w:rsid w:val="19197C43"/>
    <w:rsid w:val="19312693"/>
    <w:rsid w:val="197D1C64"/>
    <w:rsid w:val="198B641D"/>
    <w:rsid w:val="198D54F7"/>
    <w:rsid w:val="19A54E71"/>
    <w:rsid w:val="19D32ACC"/>
    <w:rsid w:val="19EF2DE5"/>
    <w:rsid w:val="1A3033ED"/>
    <w:rsid w:val="1A316B16"/>
    <w:rsid w:val="1A462D4D"/>
    <w:rsid w:val="1A501712"/>
    <w:rsid w:val="1A733D2A"/>
    <w:rsid w:val="1A84557F"/>
    <w:rsid w:val="1A883271"/>
    <w:rsid w:val="1A8A4D15"/>
    <w:rsid w:val="1A8B46C1"/>
    <w:rsid w:val="1A920038"/>
    <w:rsid w:val="1A9756D0"/>
    <w:rsid w:val="1A983C76"/>
    <w:rsid w:val="1AA754A7"/>
    <w:rsid w:val="1AB1400D"/>
    <w:rsid w:val="1ABA7996"/>
    <w:rsid w:val="1B012D16"/>
    <w:rsid w:val="1B375B58"/>
    <w:rsid w:val="1B4235EC"/>
    <w:rsid w:val="1B4D5A4C"/>
    <w:rsid w:val="1B612929"/>
    <w:rsid w:val="1B614BB5"/>
    <w:rsid w:val="1B730228"/>
    <w:rsid w:val="1B8F744A"/>
    <w:rsid w:val="1B917CF0"/>
    <w:rsid w:val="1BC5171E"/>
    <w:rsid w:val="1BFF0756"/>
    <w:rsid w:val="1C0D6823"/>
    <w:rsid w:val="1C21584D"/>
    <w:rsid w:val="1C342179"/>
    <w:rsid w:val="1C351CF0"/>
    <w:rsid w:val="1C59379D"/>
    <w:rsid w:val="1C885B16"/>
    <w:rsid w:val="1D2767EB"/>
    <w:rsid w:val="1D3968E0"/>
    <w:rsid w:val="1D490D8D"/>
    <w:rsid w:val="1D676C4A"/>
    <w:rsid w:val="1D9D3D5D"/>
    <w:rsid w:val="1DB17274"/>
    <w:rsid w:val="1DBE61C6"/>
    <w:rsid w:val="1E1D5A7A"/>
    <w:rsid w:val="1E3D49A4"/>
    <w:rsid w:val="1E530BA2"/>
    <w:rsid w:val="1E9E4069"/>
    <w:rsid w:val="1EA07366"/>
    <w:rsid w:val="1EA53344"/>
    <w:rsid w:val="1ED9558F"/>
    <w:rsid w:val="1EF2045A"/>
    <w:rsid w:val="1F03793D"/>
    <w:rsid w:val="1F120945"/>
    <w:rsid w:val="1F777449"/>
    <w:rsid w:val="1F941D82"/>
    <w:rsid w:val="1FE33B27"/>
    <w:rsid w:val="20196D38"/>
    <w:rsid w:val="20307D4B"/>
    <w:rsid w:val="20373616"/>
    <w:rsid w:val="204A01E9"/>
    <w:rsid w:val="20643417"/>
    <w:rsid w:val="207F074F"/>
    <w:rsid w:val="20B24D81"/>
    <w:rsid w:val="21220441"/>
    <w:rsid w:val="21410872"/>
    <w:rsid w:val="216C5842"/>
    <w:rsid w:val="216C61B5"/>
    <w:rsid w:val="21A16473"/>
    <w:rsid w:val="21AE082B"/>
    <w:rsid w:val="21C67917"/>
    <w:rsid w:val="21DB4A99"/>
    <w:rsid w:val="22117DC0"/>
    <w:rsid w:val="2268149F"/>
    <w:rsid w:val="227A7704"/>
    <w:rsid w:val="22D351E4"/>
    <w:rsid w:val="23A823B8"/>
    <w:rsid w:val="23B442EA"/>
    <w:rsid w:val="23D40F14"/>
    <w:rsid w:val="23E11963"/>
    <w:rsid w:val="24252614"/>
    <w:rsid w:val="244D1953"/>
    <w:rsid w:val="24970F96"/>
    <w:rsid w:val="24CD3F86"/>
    <w:rsid w:val="24FD23BA"/>
    <w:rsid w:val="253675D5"/>
    <w:rsid w:val="255D1894"/>
    <w:rsid w:val="25AF04DE"/>
    <w:rsid w:val="25DF3EC1"/>
    <w:rsid w:val="25FE2AB1"/>
    <w:rsid w:val="25FF1B5B"/>
    <w:rsid w:val="26327A54"/>
    <w:rsid w:val="266A3F3D"/>
    <w:rsid w:val="269878FD"/>
    <w:rsid w:val="26EA76FA"/>
    <w:rsid w:val="26F23215"/>
    <w:rsid w:val="26F56AB5"/>
    <w:rsid w:val="26F855C1"/>
    <w:rsid w:val="27547017"/>
    <w:rsid w:val="27687E75"/>
    <w:rsid w:val="27C06EDB"/>
    <w:rsid w:val="27C8420D"/>
    <w:rsid w:val="28466262"/>
    <w:rsid w:val="288542AB"/>
    <w:rsid w:val="28954F6C"/>
    <w:rsid w:val="28B76B6E"/>
    <w:rsid w:val="28DD2E72"/>
    <w:rsid w:val="28EC6CA4"/>
    <w:rsid w:val="28F12300"/>
    <w:rsid w:val="28F9644D"/>
    <w:rsid w:val="29074377"/>
    <w:rsid w:val="290756D0"/>
    <w:rsid w:val="293552DE"/>
    <w:rsid w:val="293C663C"/>
    <w:rsid w:val="296B2AAF"/>
    <w:rsid w:val="29A62B4F"/>
    <w:rsid w:val="29AB4598"/>
    <w:rsid w:val="29E95868"/>
    <w:rsid w:val="2A0F5DDC"/>
    <w:rsid w:val="2A277402"/>
    <w:rsid w:val="2A3A2BA0"/>
    <w:rsid w:val="2A5579F5"/>
    <w:rsid w:val="2A5909F1"/>
    <w:rsid w:val="2A6A5ACB"/>
    <w:rsid w:val="2A777522"/>
    <w:rsid w:val="2A7A0571"/>
    <w:rsid w:val="2A916579"/>
    <w:rsid w:val="2AAF75E2"/>
    <w:rsid w:val="2AC97D37"/>
    <w:rsid w:val="2ACC4AAF"/>
    <w:rsid w:val="2AE83BA8"/>
    <w:rsid w:val="2B032A0A"/>
    <w:rsid w:val="2B2922BA"/>
    <w:rsid w:val="2B3B23BD"/>
    <w:rsid w:val="2B500F55"/>
    <w:rsid w:val="2B647E8E"/>
    <w:rsid w:val="2B6D5AD2"/>
    <w:rsid w:val="2B7924BB"/>
    <w:rsid w:val="2B930A23"/>
    <w:rsid w:val="2C7B192D"/>
    <w:rsid w:val="2CA21E29"/>
    <w:rsid w:val="2CC41E56"/>
    <w:rsid w:val="2CEC5B44"/>
    <w:rsid w:val="2D4C25DF"/>
    <w:rsid w:val="2D575F4F"/>
    <w:rsid w:val="2D5838E8"/>
    <w:rsid w:val="2D5B2F16"/>
    <w:rsid w:val="2D633537"/>
    <w:rsid w:val="2D735329"/>
    <w:rsid w:val="2DA53071"/>
    <w:rsid w:val="2DCC2148"/>
    <w:rsid w:val="2DD3358A"/>
    <w:rsid w:val="2E1C0DA8"/>
    <w:rsid w:val="2E313A91"/>
    <w:rsid w:val="2E4616E3"/>
    <w:rsid w:val="2EEC61B4"/>
    <w:rsid w:val="2F1F1EB6"/>
    <w:rsid w:val="2F440A1A"/>
    <w:rsid w:val="2F4C5B18"/>
    <w:rsid w:val="2FA42BCF"/>
    <w:rsid w:val="2FCA58ED"/>
    <w:rsid w:val="2FDA39CA"/>
    <w:rsid w:val="309A47A9"/>
    <w:rsid w:val="309E0D2B"/>
    <w:rsid w:val="310C79FA"/>
    <w:rsid w:val="31182D49"/>
    <w:rsid w:val="313512A4"/>
    <w:rsid w:val="31614F93"/>
    <w:rsid w:val="3171039B"/>
    <w:rsid w:val="3193079B"/>
    <w:rsid w:val="31C1583E"/>
    <w:rsid w:val="31DD7001"/>
    <w:rsid w:val="32336177"/>
    <w:rsid w:val="32423486"/>
    <w:rsid w:val="32862846"/>
    <w:rsid w:val="329A51B5"/>
    <w:rsid w:val="329F0C29"/>
    <w:rsid w:val="32D039D4"/>
    <w:rsid w:val="32D601C6"/>
    <w:rsid w:val="33B518E7"/>
    <w:rsid w:val="33BB4C5E"/>
    <w:rsid w:val="33CF2C6A"/>
    <w:rsid w:val="33ED5FBE"/>
    <w:rsid w:val="34190E59"/>
    <w:rsid w:val="34276FB1"/>
    <w:rsid w:val="343B50E4"/>
    <w:rsid w:val="345D6031"/>
    <w:rsid w:val="346059BD"/>
    <w:rsid w:val="3477754B"/>
    <w:rsid w:val="34857840"/>
    <w:rsid w:val="34900EA8"/>
    <w:rsid w:val="34A1196D"/>
    <w:rsid w:val="34AF301F"/>
    <w:rsid w:val="34D5654E"/>
    <w:rsid w:val="34E025A9"/>
    <w:rsid w:val="35130D87"/>
    <w:rsid w:val="351A4295"/>
    <w:rsid w:val="352A5E64"/>
    <w:rsid w:val="352F5C9D"/>
    <w:rsid w:val="353B5538"/>
    <w:rsid w:val="353C3AD3"/>
    <w:rsid w:val="35455863"/>
    <w:rsid w:val="35500757"/>
    <w:rsid w:val="35527189"/>
    <w:rsid w:val="355447E0"/>
    <w:rsid w:val="356E4FCD"/>
    <w:rsid w:val="3592616F"/>
    <w:rsid w:val="35AD431D"/>
    <w:rsid w:val="35BF25CA"/>
    <w:rsid w:val="35D5017A"/>
    <w:rsid w:val="35E02D54"/>
    <w:rsid w:val="35E93B1D"/>
    <w:rsid w:val="35F77A19"/>
    <w:rsid w:val="35FD0B25"/>
    <w:rsid w:val="362F7FBA"/>
    <w:rsid w:val="36437EF0"/>
    <w:rsid w:val="364F0FD1"/>
    <w:rsid w:val="3672397D"/>
    <w:rsid w:val="367D3107"/>
    <w:rsid w:val="36936DF8"/>
    <w:rsid w:val="36B66F7C"/>
    <w:rsid w:val="36B77304"/>
    <w:rsid w:val="36BC2F16"/>
    <w:rsid w:val="36C40EEF"/>
    <w:rsid w:val="3709796B"/>
    <w:rsid w:val="370D3CE2"/>
    <w:rsid w:val="3744259A"/>
    <w:rsid w:val="3763197C"/>
    <w:rsid w:val="37684561"/>
    <w:rsid w:val="377E1B3C"/>
    <w:rsid w:val="37AA28C7"/>
    <w:rsid w:val="37CF10CC"/>
    <w:rsid w:val="37EE7A91"/>
    <w:rsid w:val="37FC47BB"/>
    <w:rsid w:val="37FF0238"/>
    <w:rsid w:val="382605E7"/>
    <w:rsid w:val="385E5146"/>
    <w:rsid w:val="38615280"/>
    <w:rsid w:val="389B79E4"/>
    <w:rsid w:val="38A04389"/>
    <w:rsid w:val="38B65AE2"/>
    <w:rsid w:val="38E01139"/>
    <w:rsid w:val="38EA6212"/>
    <w:rsid w:val="39281225"/>
    <w:rsid w:val="396C31B9"/>
    <w:rsid w:val="39966722"/>
    <w:rsid w:val="39ED7AB2"/>
    <w:rsid w:val="3A2A1A1A"/>
    <w:rsid w:val="3A9B535D"/>
    <w:rsid w:val="3AA326F8"/>
    <w:rsid w:val="3AA40320"/>
    <w:rsid w:val="3AB9471D"/>
    <w:rsid w:val="3AC32F81"/>
    <w:rsid w:val="3AC859F8"/>
    <w:rsid w:val="3B022729"/>
    <w:rsid w:val="3B6A03C3"/>
    <w:rsid w:val="3B992962"/>
    <w:rsid w:val="3B9B537E"/>
    <w:rsid w:val="3BE9135E"/>
    <w:rsid w:val="3C033B3E"/>
    <w:rsid w:val="3C477B6A"/>
    <w:rsid w:val="3C4E6BBF"/>
    <w:rsid w:val="3C6527F8"/>
    <w:rsid w:val="3C79402D"/>
    <w:rsid w:val="3CB235B5"/>
    <w:rsid w:val="3CCF6A87"/>
    <w:rsid w:val="3CE13093"/>
    <w:rsid w:val="3D31257A"/>
    <w:rsid w:val="3D4E49C5"/>
    <w:rsid w:val="3D731CAB"/>
    <w:rsid w:val="3D732315"/>
    <w:rsid w:val="3D960BF2"/>
    <w:rsid w:val="3DC64825"/>
    <w:rsid w:val="3DCA0996"/>
    <w:rsid w:val="3DEF0CC1"/>
    <w:rsid w:val="3E263579"/>
    <w:rsid w:val="3E341F32"/>
    <w:rsid w:val="3E820E20"/>
    <w:rsid w:val="3EDE6979"/>
    <w:rsid w:val="3EF24237"/>
    <w:rsid w:val="3EFE19DF"/>
    <w:rsid w:val="3F055B24"/>
    <w:rsid w:val="3F7D0C92"/>
    <w:rsid w:val="3F813FBE"/>
    <w:rsid w:val="3FA37766"/>
    <w:rsid w:val="3FBF1E11"/>
    <w:rsid w:val="404956FE"/>
    <w:rsid w:val="404D16D9"/>
    <w:rsid w:val="405259CF"/>
    <w:rsid w:val="40930225"/>
    <w:rsid w:val="40C03751"/>
    <w:rsid w:val="40C71CB9"/>
    <w:rsid w:val="40E86052"/>
    <w:rsid w:val="40FE3D95"/>
    <w:rsid w:val="4159651B"/>
    <w:rsid w:val="41737DF2"/>
    <w:rsid w:val="4175474F"/>
    <w:rsid w:val="41B06545"/>
    <w:rsid w:val="41C32F69"/>
    <w:rsid w:val="41CD53C0"/>
    <w:rsid w:val="41F6541F"/>
    <w:rsid w:val="42157D71"/>
    <w:rsid w:val="42187B5D"/>
    <w:rsid w:val="421B339A"/>
    <w:rsid w:val="42722BCE"/>
    <w:rsid w:val="42807925"/>
    <w:rsid w:val="42901E3F"/>
    <w:rsid w:val="429B570E"/>
    <w:rsid w:val="429C6ADA"/>
    <w:rsid w:val="42A44D11"/>
    <w:rsid w:val="42B60474"/>
    <w:rsid w:val="42CE4508"/>
    <w:rsid w:val="4305053C"/>
    <w:rsid w:val="43112B98"/>
    <w:rsid w:val="432D0E68"/>
    <w:rsid w:val="434823E2"/>
    <w:rsid w:val="438C1A4E"/>
    <w:rsid w:val="438F78CF"/>
    <w:rsid w:val="43AE3495"/>
    <w:rsid w:val="43B75909"/>
    <w:rsid w:val="43BB4908"/>
    <w:rsid w:val="43CC6C1A"/>
    <w:rsid w:val="43CF0DC1"/>
    <w:rsid w:val="445F76C4"/>
    <w:rsid w:val="446573C1"/>
    <w:rsid w:val="447436CB"/>
    <w:rsid w:val="448B352D"/>
    <w:rsid w:val="44A11A6B"/>
    <w:rsid w:val="44C1233E"/>
    <w:rsid w:val="44DE63F2"/>
    <w:rsid w:val="450052FE"/>
    <w:rsid w:val="4525715A"/>
    <w:rsid w:val="454A3D99"/>
    <w:rsid w:val="45C5105D"/>
    <w:rsid w:val="45F331F6"/>
    <w:rsid w:val="460F02CA"/>
    <w:rsid w:val="464057E6"/>
    <w:rsid w:val="464C0E3F"/>
    <w:rsid w:val="4660437F"/>
    <w:rsid w:val="466D1F19"/>
    <w:rsid w:val="466D6FEB"/>
    <w:rsid w:val="466F27E1"/>
    <w:rsid w:val="467668DF"/>
    <w:rsid w:val="467F03C4"/>
    <w:rsid w:val="46CC2420"/>
    <w:rsid w:val="46D700BA"/>
    <w:rsid w:val="46E576A0"/>
    <w:rsid w:val="46EF403D"/>
    <w:rsid w:val="47973FAB"/>
    <w:rsid w:val="47AF3E5D"/>
    <w:rsid w:val="47B72A33"/>
    <w:rsid w:val="47B74373"/>
    <w:rsid w:val="47BE3BAD"/>
    <w:rsid w:val="48002448"/>
    <w:rsid w:val="48056AF7"/>
    <w:rsid w:val="482640F1"/>
    <w:rsid w:val="48466CB2"/>
    <w:rsid w:val="48A24CFC"/>
    <w:rsid w:val="48B4158C"/>
    <w:rsid w:val="48B83ADB"/>
    <w:rsid w:val="48B929F6"/>
    <w:rsid w:val="48CD0453"/>
    <w:rsid w:val="49277AC7"/>
    <w:rsid w:val="493E34F5"/>
    <w:rsid w:val="49540F9B"/>
    <w:rsid w:val="498A7C9E"/>
    <w:rsid w:val="498D69E8"/>
    <w:rsid w:val="49BB647A"/>
    <w:rsid w:val="49E37921"/>
    <w:rsid w:val="4A0726D0"/>
    <w:rsid w:val="4A47044F"/>
    <w:rsid w:val="4A4E7CC2"/>
    <w:rsid w:val="4A7810AB"/>
    <w:rsid w:val="4AAC0504"/>
    <w:rsid w:val="4AE2267D"/>
    <w:rsid w:val="4B0A44F7"/>
    <w:rsid w:val="4B0F7903"/>
    <w:rsid w:val="4B510E5B"/>
    <w:rsid w:val="4B68679F"/>
    <w:rsid w:val="4B9D24E8"/>
    <w:rsid w:val="4BB541C1"/>
    <w:rsid w:val="4BD60E63"/>
    <w:rsid w:val="4BD978DE"/>
    <w:rsid w:val="4C3D3C1C"/>
    <w:rsid w:val="4C5B1FDF"/>
    <w:rsid w:val="4CA15E1A"/>
    <w:rsid w:val="4CA71DFD"/>
    <w:rsid w:val="4CB72929"/>
    <w:rsid w:val="4CBE45E0"/>
    <w:rsid w:val="4D63028A"/>
    <w:rsid w:val="4D882424"/>
    <w:rsid w:val="4D8B7729"/>
    <w:rsid w:val="4DD234C1"/>
    <w:rsid w:val="4DD4069F"/>
    <w:rsid w:val="4DDB33A7"/>
    <w:rsid w:val="4E226464"/>
    <w:rsid w:val="4E2B2442"/>
    <w:rsid w:val="4E3F06FB"/>
    <w:rsid w:val="4E492B77"/>
    <w:rsid w:val="4E6906A7"/>
    <w:rsid w:val="4E8307EF"/>
    <w:rsid w:val="4E9C5519"/>
    <w:rsid w:val="4EA1547B"/>
    <w:rsid w:val="4EB12D06"/>
    <w:rsid w:val="4EFB1AEC"/>
    <w:rsid w:val="4F0C7314"/>
    <w:rsid w:val="4F122C30"/>
    <w:rsid w:val="4F1E46B3"/>
    <w:rsid w:val="4F2F2088"/>
    <w:rsid w:val="4F6F6BE9"/>
    <w:rsid w:val="4F732B0F"/>
    <w:rsid w:val="4FC2146F"/>
    <w:rsid w:val="4FE10E2F"/>
    <w:rsid w:val="50131E0B"/>
    <w:rsid w:val="50740891"/>
    <w:rsid w:val="508703D9"/>
    <w:rsid w:val="50BF7DB2"/>
    <w:rsid w:val="50FF5FC1"/>
    <w:rsid w:val="51A514CE"/>
    <w:rsid w:val="51AD517C"/>
    <w:rsid w:val="51D2772F"/>
    <w:rsid w:val="51E4186C"/>
    <w:rsid w:val="525A474C"/>
    <w:rsid w:val="528C3170"/>
    <w:rsid w:val="531625FB"/>
    <w:rsid w:val="53377A61"/>
    <w:rsid w:val="53433E95"/>
    <w:rsid w:val="53446065"/>
    <w:rsid w:val="53900D1D"/>
    <w:rsid w:val="53A9548F"/>
    <w:rsid w:val="53AE0BD8"/>
    <w:rsid w:val="53DA43B5"/>
    <w:rsid w:val="53DE646A"/>
    <w:rsid w:val="53EC1D6D"/>
    <w:rsid w:val="5406559E"/>
    <w:rsid w:val="54077850"/>
    <w:rsid w:val="54097DC6"/>
    <w:rsid w:val="54233608"/>
    <w:rsid w:val="54301DD8"/>
    <w:rsid w:val="543B4EB4"/>
    <w:rsid w:val="54466C98"/>
    <w:rsid w:val="54477960"/>
    <w:rsid w:val="544A086D"/>
    <w:rsid w:val="548D0C7D"/>
    <w:rsid w:val="54ED7D27"/>
    <w:rsid w:val="54F55E45"/>
    <w:rsid w:val="55213436"/>
    <w:rsid w:val="55377220"/>
    <w:rsid w:val="55681AC9"/>
    <w:rsid w:val="556D6EEC"/>
    <w:rsid w:val="55725BDD"/>
    <w:rsid w:val="55782CD1"/>
    <w:rsid w:val="559C7CFD"/>
    <w:rsid w:val="55B505FC"/>
    <w:rsid w:val="55B8060A"/>
    <w:rsid w:val="55F44A25"/>
    <w:rsid w:val="55FC3499"/>
    <w:rsid w:val="56166497"/>
    <w:rsid w:val="5617003C"/>
    <w:rsid w:val="561F08D3"/>
    <w:rsid w:val="562C3B69"/>
    <w:rsid w:val="566C18F8"/>
    <w:rsid w:val="569D2674"/>
    <w:rsid w:val="56C67EC2"/>
    <w:rsid w:val="56C97731"/>
    <w:rsid w:val="56DB2E29"/>
    <w:rsid w:val="56E05EB7"/>
    <w:rsid w:val="56ED5B3B"/>
    <w:rsid w:val="57187F28"/>
    <w:rsid w:val="573E03F9"/>
    <w:rsid w:val="574B646D"/>
    <w:rsid w:val="57590B0A"/>
    <w:rsid w:val="57BC64D1"/>
    <w:rsid w:val="57E36A38"/>
    <w:rsid w:val="580666AD"/>
    <w:rsid w:val="58422A44"/>
    <w:rsid w:val="585B347A"/>
    <w:rsid w:val="58AA3460"/>
    <w:rsid w:val="5910704C"/>
    <w:rsid w:val="596C7E8F"/>
    <w:rsid w:val="597D5EE2"/>
    <w:rsid w:val="59A35FD9"/>
    <w:rsid w:val="59D7534F"/>
    <w:rsid w:val="59FF6B39"/>
    <w:rsid w:val="5A171C13"/>
    <w:rsid w:val="5A1E59BB"/>
    <w:rsid w:val="5AA81E92"/>
    <w:rsid w:val="5B0F66C9"/>
    <w:rsid w:val="5B334D3F"/>
    <w:rsid w:val="5B495CDC"/>
    <w:rsid w:val="5B6D17E2"/>
    <w:rsid w:val="5B7F73B4"/>
    <w:rsid w:val="5B863EAF"/>
    <w:rsid w:val="5BA93288"/>
    <w:rsid w:val="5BCF05A1"/>
    <w:rsid w:val="5BDC6859"/>
    <w:rsid w:val="5C095EE9"/>
    <w:rsid w:val="5C1F0BC8"/>
    <w:rsid w:val="5C3254CC"/>
    <w:rsid w:val="5C660AC0"/>
    <w:rsid w:val="5C7D0EF7"/>
    <w:rsid w:val="5C911D47"/>
    <w:rsid w:val="5C9B1F99"/>
    <w:rsid w:val="5CAD7D56"/>
    <w:rsid w:val="5CB816BB"/>
    <w:rsid w:val="5CCB5CF1"/>
    <w:rsid w:val="5CDA2815"/>
    <w:rsid w:val="5D354FEB"/>
    <w:rsid w:val="5D510DF2"/>
    <w:rsid w:val="5D577FA7"/>
    <w:rsid w:val="5D8A0B8A"/>
    <w:rsid w:val="5D8D1DC3"/>
    <w:rsid w:val="5DDD0C97"/>
    <w:rsid w:val="5DE640E8"/>
    <w:rsid w:val="5DE81AF7"/>
    <w:rsid w:val="5E48769E"/>
    <w:rsid w:val="5E6A70D4"/>
    <w:rsid w:val="5EBD1AC0"/>
    <w:rsid w:val="5EBE3B7F"/>
    <w:rsid w:val="5F01496B"/>
    <w:rsid w:val="5F5702E5"/>
    <w:rsid w:val="5F6B206F"/>
    <w:rsid w:val="5F8108E9"/>
    <w:rsid w:val="5F917BE3"/>
    <w:rsid w:val="5FAC4183"/>
    <w:rsid w:val="5FD247F3"/>
    <w:rsid w:val="5FF3614D"/>
    <w:rsid w:val="600A435D"/>
    <w:rsid w:val="602B1CB3"/>
    <w:rsid w:val="603A4943"/>
    <w:rsid w:val="60A4403C"/>
    <w:rsid w:val="60B849C5"/>
    <w:rsid w:val="60D14824"/>
    <w:rsid w:val="60F751BA"/>
    <w:rsid w:val="61064A79"/>
    <w:rsid w:val="610C5927"/>
    <w:rsid w:val="61130A16"/>
    <w:rsid w:val="613B65D5"/>
    <w:rsid w:val="615C7B1A"/>
    <w:rsid w:val="616A1152"/>
    <w:rsid w:val="618118F1"/>
    <w:rsid w:val="618D567C"/>
    <w:rsid w:val="61995DF8"/>
    <w:rsid w:val="61BA1432"/>
    <w:rsid w:val="61EC689E"/>
    <w:rsid w:val="622E7DF0"/>
    <w:rsid w:val="6238442F"/>
    <w:rsid w:val="624C494A"/>
    <w:rsid w:val="62A73644"/>
    <w:rsid w:val="63063EF8"/>
    <w:rsid w:val="630D1EF1"/>
    <w:rsid w:val="63466F33"/>
    <w:rsid w:val="63751F96"/>
    <w:rsid w:val="63914881"/>
    <w:rsid w:val="63AC704E"/>
    <w:rsid w:val="63D475BB"/>
    <w:rsid w:val="640F71F4"/>
    <w:rsid w:val="64647E28"/>
    <w:rsid w:val="647C567B"/>
    <w:rsid w:val="64B2428D"/>
    <w:rsid w:val="64BE76EB"/>
    <w:rsid w:val="64D87715"/>
    <w:rsid w:val="64E94F32"/>
    <w:rsid w:val="65F56BFB"/>
    <w:rsid w:val="66361487"/>
    <w:rsid w:val="664239AC"/>
    <w:rsid w:val="66A67527"/>
    <w:rsid w:val="67051F22"/>
    <w:rsid w:val="672A6C18"/>
    <w:rsid w:val="673834DE"/>
    <w:rsid w:val="67912143"/>
    <w:rsid w:val="67D36E39"/>
    <w:rsid w:val="67E067A9"/>
    <w:rsid w:val="68304E12"/>
    <w:rsid w:val="6853053A"/>
    <w:rsid w:val="68766038"/>
    <w:rsid w:val="687D42F5"/>
    <w:rsid w:val="68962343"/>
    <w:rsid w:val="68DC147D"/>
    <w:rsid w:val="692D1A99"/>
    <w:rsid w:val="693F4D3B"/>
    <w:rsid w:val="69442D22"/>
    <w:rsid w:val="694C4738"/>
    <w:rsid w:val="695D6E18"/>
    <w:rsid w:val="69672A5A"/>
    <w:rsid w:val="696D6786"/>
    <w:rsid w:val="69BF04FE"/>
    <w:rsid w:val="6A444182"/>
    <w:rsid w:val="6A783A56"/>
    <w:rsid w:val="6A8A0850"/>
    <w:rsid w:val="6AB15D94"/>
    <w:rsid w:val="6AF87724"/>
    <w:rsid w:val="6B536126"/>
    <w:rsid w:val="6B731CB8"/>
    <w:rsid w:val="6B945CBC"/>
    <w:rsid w:val="6BC22E74"/>
    <w:rsid w:val="6BC75EE5"/>
    <w:rsid w:val="6BDF65ED"/>
    <w:rsid w:val="6BF26BA9"/>
    <w:rsid w:val="6C1578B9"/>
    <w:rsid w:val="6C260A10"/>
    <w:rsid w:val="6C3C27FC"/>
    <w:rsid w:val="6C3F0F83"/>
    <w:rsid w:val="6C4B7F70"/>
    <w:rsid w:val="6C515718"/>
    <w:rsid w:val="6C9C6B07"/>
    <w:rsid w:val="6CAA3E61"/>
    <w:rsid w:val="6CC14A02"/>
    <w:rsid w:val="6CE1113B"/>
    <w:rsid w:val="6D111E45"/>
    <w:rsid w:val="6D1E19C3"/>
    <w:rsid w:val="6D5F00EB"/>
    <w:rsid w:val="6D64447A"/>
    <w:rsid w:val="6D847EF3"/>
    <w:rsid w:val="6D9D3429"/>
    <w:rsid w:val="6DAB03BC"/>
    <w:rsid w:val="6DD003FC"/>
    <w:rsid w:val="6DD0528D"/>
    <w:rsid w:val="6DD22305"/>
    <w:rsid w:val="6DE16FB7"/>
    <w:rsid w:val="6E105EC7"/>
    <w:rsid w:val="6E1D53FC"/>
    <w:rsid w:val="6E22598D"/>
    <w:rsid w:val="6E817500"/>
    <w:rsid w:val="6EB1207D"/>
    <w:rsid w:val="6EB30CC1"/>
    <w:rsid w:val="6EFA7A00"/>
    <w:rsid w:val="6F4946F6"/>
    <w:rsid w:val="6F86181D"/>
    <w:rsid w:val="6F9550CF"/>
    <w:rsid w:val="6FCF39EE"/>
    <w:rsid w:val="6FDC6384"/>
    <w:rsid w:val="6FDF1AD2"/>
    <w:rsid w:val="6FF07DDF"/>
    <w:rsid w:val="700A1F16"/>
    <w:rsid w:val="701D33C0"/>
    <w:rsid w:val="70216B99"/>
    <w:rsid w:val="70221C18"/>
    <w:rsid w:val="70787892"/>
    <w:rsid w:val="70915040"/>
    <w:rsid w:val="70935015"/>
    <w:rsid w:val="70A9349D"/>
    <w:rsid w:val="70AA1237"/>
    <w:rsid w:val="70B2275A"/>
    <w:rsid w:val="70F440DF"/>
    <w:rsid w:val="70F51B91"/>
    <w:rsid w:val="710C49C5"/>
    <w:rsid w:val="712901A1"/>
    <w:rsid w:val="7140190A"/>
    <w:rsid w:val="716D5763"/>
    <w:rsid w:val="71A35B78"/>
    <w:rsid w:val="71AE4044"/>
    <w:rsid w:val="71B9675B"/>
    <w:rsid w:val="71BE3CEA"/>
    <w:rsid w:val="71D71D1A"/>
    <w:rsid w:val="721A231F"/>
    <w:rsid w:val="723B6DEF"/>
    <w:rsid w:val="723D3FD5"/>
    <w:rsid w:val="728366C5"/>
    <w:rsid w:val="72AE0222"/>
    <w:rsid w:val="72FA26BA"/>
    <w:rsid w:val="73876BB3"/>
    <w:rsid w:val="739F1CA8"/>
    <w:rsid w:val="73A6487D"/>
    <w:rsid w:val="73EE7781"/>
    <w:rsid w:val="73F0678F"/>
    <w:rsid w:val="73F7473B"/>
    <w:rsid w:val="73FD11BA"/>
    <w:rsid w:val="740D2FB4"/>
    <w:rsid w:val="74283703"/>
    <w:rsid w:val="749E3CAC"/>
    <w:rsid w:val="74D1756F"/>
    <w:rsid w:val="74F70BBE"/>
    <w:rsid w:val="75034F98"/>
    <w:rsid w:val="75207FB6"/>
    <w:rsid w:val="75460847"/>
    <w:rsid w:val="7552486A"/>
    <w:rsid w:val="755C41CC"/>
    <w:rsid w:val="75674A21"/>
    <w:rsid w:val="758A02DB"/>
    <w:rsid w:val="759B4FF2"/>
    <w:rsid w:val="75BA64AB"/>
    <w:rsid w:val="75D30A2A"/>
    <w:rsid w:val="75FC7C39"/>
    <w:rsid w:val="76215F7A"/>
    <w:rsid w:val="762415AB"/>
    <w:rsid w:val="763526A7"/>
    <w:rsid w:val="763F13EA"/>
    <w:rsid w:val="765A56AE"/>
    <w:rsid w:val="766656F2"/>
    <w:rsid w:val="76800346"/>
    <w:rsid w:val="76DE6A9A"/>
    <w:rsid w:val="76F86BB1"/>
    <w:rsid w:val="770144CB"/>
    <w:rsid w:val="770C46A5"/>
    <w:rsid w:val="77407F8E"/>
    <w:rsid w:val="776A0349"/>
    <w:rsid w:val="77755280"/>
    <w:rsid w:val="778D7280"/>
    <w:rsid w:val="77B602F2"/>
    <w:rsid w:val="77B730B3"/>
    <w:rsid w:val="77D06E0E"/>
    <w:rsid w:val="77DF6229"/>
    <w:rsid w:val="78200235"/>
    <w:rsid w:val="78500513"/>
    <w:rsid w:val="786309D8"/>
    <w:rsid w:val="78A30056"/>
    <w:rsid w:val="78F245D9"/>
    <w:rsid w:val="791652EA"/>
    <w:rsid w:val="792876E6"/>
    <w:rsid w:val="794C08D1"/>
    <w:rsid w:val="7960070E"/>
    <w:rsid w:val="79602B7C"/>
    <w:rsid w:val="79B80725"/>
    <w:rsid w:val="79D4466C"/>
    <w:rsid w:val="79DB2554"/>
    <w:rsid w:val="7A18329D"/>
    <w:rsid w:val="7A2B629E"/>
    <w:rsid w:val="7A51352E"/>
    <w:rsid w:val="7A5B0914"/>
    <w:rsid w:val="7A83776E"/>
    <w:rsid w:val="7AA25E09"/>
    <w:rsid w:val="7AE64A43"/>
    <w:rsid w:val="7B390CEC"/>
    <w:rsid w:val="7B3D3052"/>
    <w:rsid w:val="7B513C20"/>
    <w:rsid w:val="7B802F97"/>
    <w:rsid w:val="7B8A4150"/>
    <w:rsid w:val="7B920B9F"/>
    <w:rsid w:val="7B9215AF"/>
    <w:rsid w:val="7B937DFF"/>
    <w:rsid w:val="7BA95CC4"/>
    <w:rsid w:val="7BB453F6"/>
    <w:rsid w:val="7BCB13AB"/>
    <w:rsid w:val="7BF42BD1"/>
    <w:rsid w:val="7C126EE4"/>
    <w:rsid w:val="7C4343A3"/>
    <w:rsid w:val="7C4B2B79"/>
    <w:rsid w:val="7C5E4767"/>
    <w:rsid w:val="7C626DC5"/>
    <w:rsid w:val="7CD6263B"/>
    <w:rsid w:val="7CF22357"/>
    <w:rsid w:val="7CFC0E33"/>
    <w:rsid w:val="7D0F3FA6"/>
    <w:rsid w:val="7D2A1CAD"/>
    <w:rsid w:val="7D6261A6"/>
    <w:rsid w:val="7D883202"/>
    <w:rsid w:val="7DA00D9E"/>
    <w:rsid w:val="7DA17198"/>
    <w:rsid w:val="7DA96494"/>
    <w:rsid w:val="7DDC499A"/>
    <w:rsid w:val="7DDE4907"/>
    <w:rsid w:val="7E0B123D"/>
    <w:rsid w:val="7E0B6E46"/>
    <w:rsid w:val="7E106DBE"/>
    <w:rsid w:val="7E11390A"/>
    <w:rsid w:val="7E2E7BC2"/>
    <w:rsid w:val="7E337B39"/>
    <w:rsid w:val="7E47157E"/>
    <w:rsid w:val="7E495843"/>
    <w:rsid w:val="7E61262E"/>
    <w:rsid w:val="7E931191"/>
    <w:rsid w:val="7E941BB2"/>
    <w:rsid w:val="7EBB1A5F"/>
    <w:rsid w:val="7EE869CB"/>
    <w:rsid w:val="7F165389"/>
    <w:rsid w:val="7F39485A"/>
    <w:rsid w:val="7F90327B"/>
    <w:rsid w:val="7F9739B3"/>
    <w:rsid w:val="7FBC3AB6"/>
    <w:rsid w:val="7FD46A91"/>
    <w:rsid w:val="7FDF2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5"/>
    <w:basedOn w:val="1"/>
    <w:next w:val="1"/>
    <w:link w:val="51"/>
    <w:qFormat/>
    <w:uiPriority w:val="9"/>
    <w:pPr>
      <w:ind w:left="840"/>
      <w:outlineLvl w:val="4"/>
    </w:pPr>
    <w:rPr>
      <w:b/>
      <w:bCs/>
      <w:szCs w:val="21"/>
    </w:rPr>
  </w:style>
  <w:style w:type="paragraph" w:styleId="6">
    <w:name w:val="heading 6"/>
    <w:basedOn w:val="1"/>
    <w:next w:val="1"/>
    <w:qFormat/>
    <w:uiPriority w:val="1"/>
    <w:pPr>
      <w:ind w:left="1251" w:hanging="484"/>
      <w:outlineLvl w:val="5"/>
    </w:pPr>
    <w:rPr>
      <w:rFonts w:ascii="宋体" w:hAnsi="宋体" w:eastAsia="宋体" w:cs="宋体"/>
      <w:b/>
      <w:bCs/>
      <w:sz w:val="24"/>
      <w:szCs w:val="24"/>
      <w:lang w:val="zh-CN" w:bidi="zh-CN"/>
    </w:rPr>
  </w:style>
  <w:style w:type="paragraph" w:styleId="7">
    <w:name w:val="heading 7"/>
    <w:basedOn w:val="1"/>
    <w:next w:val="1"/>
    <w:qFormat/>
    <w:uiPriority w:val="1"/>
    <w:pPr>
      <w:spacing w:before="66"/>
      <w:ind w:left="768"/>
      <w:outlineLvl w:val="6"/>
    </w:pPr>
    <w:rPr>
      <w:rFonts w:ascii="宋体" w:hAnsi="宋体" w:eastAsia="宋体" w:cs="宋体"/>
      <w:sz w:val="24"/>
      <w:szCs w:val="24"/>
      <w:lang w:val="zh-CN" w:bidi="zh-CN"/>
    </w:rPr>
  </w:style>
  <w:style w:type="paragraph" w:styleId="8">
    <w:name w:val="heading 8"/>
    <w:basedOn w:val="1"/>
    <w:next w:val="1"/>
    <w:qFormat/>
    <w:uiPriority w:val="1"/>
    <w:pPr>
      <w:ind w:left="1025" w:hanging="908"/>
      <w:outlineLvl w:val="7"/>
    </w:pPr>
    <w:rPr>
      <w:rFonts w:ascii="宋体" w:hAnsi="宋体" w:eastAsia="宋体" w:cs="宋体"/>
      <w:b/>
      <w:bCs/>
      <w:szCs w:val="21"/>
      <w:lang w:val="zh-CN" w:bidi="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9">
    <w:name w:val="Normal Indent"/>
    <w:basedOn w:val="1"/>
    <w:link w:val="45"/>
    <w:qFormat/>
    <w:uiPriority w:val="0"/>
    <w:pPr>
      <w:ind w:firstLine="420"/>
    </w:pPr>
  </w:style>
  <w:style w:type="paragraph" w:styleId="10">
    <w:name w:val="annotation text"/>
    <w:basedOn w:val="1"/>
    <w:link w:val="39"/>
    <w:unhideWhenUsed/>
    <w:qFormat/>
    <w:uiPriority w:val="99"/>
    <w:pPr>
      <w:jc w:val="left"/>
    </w:pPr>
  </w:style>
  <w:style w:type="paragraph" w:styleId="11">
    <w:name w:val="Body Text 3"/>
    <w:basedOn w:val="1"/>
    <w:unhideWhenUsed/>
    <w:qFormat/>
    <w:uiPriority w:val="99"/>
    <w:rPr>
      <w:sz w:val="16"/>
      <w:szCs w:val="16"/>
    </w:rPr>
  </w:style>
  <w:style w:type="paragraph" w:styleId="12">
    <w:name w:val="Body Text"/>
    <w:basedOn w:val="1"/>
    <w:qFormat/>
    <w:uiPriority w:val="1"/>
    <w:rPr>
      <w:rFonts w:ascii="宋体" w:hAnsi="宋体" w:eastAsia="宋体" w:cs="宋体"/>
      <w:szCs w:val="21"/>
      <w:lang w:val="zh-CN" w:bidi="zh-CN"/>
    </w:r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Plain Text"/>
    <w:basedOn w:val="1"/>
    <w:link w:val="42"/>
    <w:qFormat/>
    <w:uiPriority w:val="0"/>
    <w:rPr>
      <w:rFonts w:ascii="宋体" w:hAnsi="Courier New" w:cs="Courier New"/>
      <w:szCs w:val="21"/>
    </w:rPr>
  </w:style>
  <w:style w:type="paragraph" w:styleId="15">
    <w:name w:val="endnote text"/>
    <w:basedOn w:val="1"/>
    <w:link w:val="41"/>
    <w:unhideWhenUsed/>
    <w:qFormat/>
    <w:uiPriority w:val="99"/>
    <w:pPr>
      <w:snapToGrid w:val="0"/>
      <w:jc w:val="left"/>
    </w:pPr>
  </w:style>
  <w:style w:type="paragraph" w:styleId="16">
    <w:name w:val="Balloon Text"/>
    <w:basedOn w:val="1"/>
    <w:link w:val="35"/>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2"/>
    <w:basedOn w:val="20"/>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20">
    <w:name w:val="引用1"/>
    <w:basedOn w:val="1"/>
    <w:next w:val="1"/>
    <w:link w:val="44"/>
    <w:qFormat/>
    <w:uiPriority w:val="29"/>
    <w:rPr>
      <w:i/>
      <w:iCs/>
      <w:color w:val="000000" w:themeColor="text1"/>
    </w:rPr>
  </w:style>
  <w:style w:type="paragraph" w:styleId="21">
    <w:name w:val="Normal (Web)"/>
    <w:basedOn w:val="1"/>
    <w:unhideWhenUsed/>
    <w:qFormat/>
    <w:uiPriority w:val="99"/>
    <w:pPr>
      <w:spacing w:before="100" w:beforeAutospacing="1" w:after="100" w:afterAutospacing="1"/>
      <w:jc w:val="left"/>
    </w:pPr>
    <w:rPr>
      <w:kern w:val="0"/>
      <w:sz w:val="24"/>
      <w:szCs w:val="24"/>
    </w:rPr>
  </w:style>
  <w:style w:type="paragraph" w:styleId="22">
    <w:name w:val="annotation subject"/>
    <w:basedOn w:val="10"/>
    <w:next w:val="10"/>
    <w:link w:val="46"/>
    <w:unhideWhenUsed/>
    <w:qFormat/>
    <w:uiPriority w:val="99"/>
    <w:rPr>
      <w:b/>
      <w:bCs/>
    </w:rPr>
  </w:style>
  <w:style w:type="table" w:styleId="24">
    <w:name w:val="Table Grid"/>
    <w:basedOn w:val="2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rPr>
  </w:style>
  <w:style w:type="character" w:styleId="27">
    <w:name w:val="endnote reference"/>
    <w:basedOn w:val="25"/>
    <w:unhideWhenUsed/>
    <w:qFormat/>
    <w:uiPriority w:val="99"/>
    <w:rPr>
      <w:vertAlign w:val="superscript"/>
    </w:rPr>
  </w:style>
  <w:style w:type="character" w:styleId="28">
    <w:name w:val="FollowedHyperlink"/>
    <w:basedOn w:val="25"/>
    <w:semiHidden/>
    <w:unhideWhenUsed/>
    <w:qFormat/>
    <w:uiPriority w:val="99"/>
    <w:rPr>
      <w:color w:val="800080"/>
      <w:u w:val="single"/>
    </w:rPr>
  </w:style>
  <w:style w:type="character" w:styleId="29">
    <w:name w:val="Emphasis"/>
    <w:basedOn w:val="25"/>
    <w:qFormat/>
    <w:uiPriority w:val="20"/>
  </w:style>
  <w:style w:type="character" w:styleId="30">
    <w:name w:val="Hyperlink"/>
    <w:basedOn w:val="25"/>
    <w:unhideWhenUsed/>
    <w:qFormat/>
    <w:uiPriority w:val="99"/>
    <w:rPr>
      <w:color w:val="0000FF" w:themeColor="hyperlink"/>
      <w:u w:val="single"/>
    </w:rPr>
  </w:style>
  <w:style w:type="character" w:styleId="31">
    <w:name w:val="annotation reference"/>
    <w:qFormat/>
    <w:uiPriority w:val="99"/>
    <w:rPr>
      <w:sz w:val="21"/>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页眉 Char"/>
    <w:basedOn w:val="25"/>
    <w:link w:val="18"/>
    <w:qFormat/>
    <w:uiPriority w:val="99"/>
    <w:rPr>
      <w:sz w:val="18"/>
      <w:szCs w:val="18"/>
    </w:rPr>
  </w:style>
  <w:style w:type="character" w:customStyle="1" w:styleId="34">
    <w:name w:val="页脚 Char"/>
    <w:basedOn w:val="25"/>
    <w:link w:val="17"/>
    <w:qFormat/>
    <w:uiPriority w:val="99"/>
    <w:rPr>
      <w:sz w:val="18"/>
      <w:szCs w:val="18"/>
    </w:rPr>
  </w:style>
  <w:style w:type="character" w:customStyle="1" w:styleId="35">
    <w:name w:val="批注框文本 Char"/>
    <w:basedOn w:val="25"/>
    <w:link w:val="16"/>
    <w:semiHidden/>
    <w:qFormat/>
    <w:uiPriority w:val="99"/>
    <w:rPr>
      <w:sz w:val="18"/>
      <w:szCs w:val="18"/>
    </w:rPr>
  </w:style>
  <w:style w:type="paragraph" w:customStyle="1" w:styleId="36">
    <w:name w:val="列出段落1"/>
    <w:basedOn w:val="1"/>
    <w:qFormat/>
    <w:uiPriority w:val="34"/>
    <w:pPr>
      <w:ind w:firstLine="420" w:firstLineChars="200"/>
    </w:pPr>
  </w:style>
  <w:style w:type="character" w:customStyle="1" w:styleId="37">
    <w:name w:val="标题 1 Char"/>
    <w:basedOn w:val="25"/>
    <w:link w:val="3"/>
    <w:qFormat/>
    <w:uiPriority w:val="9"/>
    <w:rPr>
      <w:b/>
      <w:bCs/>
      <w:kern w:val="44"/>
      <w:sz w:val="44"/>
      <w:szCs w:val="44"/>
    </w:rPr>
  </w:style>
  <w:style w:type="paragraph" w:customStyle="1" w:styleId="3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9">
    <w:name w:val="批注文字 Char"/>
    <w:basedOn w:val="25"/>
    <w:link w:val="10"/>
    <w:qFormat/>
    <w:uiPriority w:val="99"/>
  </w:style>
  <w:style w:type="character" w:customStyle="1" w:styleId="40">
    <w:name w:val="标题 2 Char"/>
    <w:basedOn w:val="25"/>
    <w:link w:val="4"/>
    <w:qFormat/>
    <w:uiPriority w:val="9"/>
    <w:rPr>
      <w:rFonts w:asciiTheme="majorHAnsi" w:hAnsiTheme="majorHAnsi" w:eastAsiaTheme="majorEastAsia" w:cstheme="majorBidi"/>
      <w:b/>
      <w:bCs/>
      <w:sz w:val="32"/>
      <w:szCs w:val="32"/>
    </w:rPr>
  </w:style>
  <w:style w:type="character" w:customStyle="1" w:styleId="41">
    <w:name w:val="尾注文本 Char"/>
    <w:basedOn w:val="25"/>
    <w:link w:val="15"/>
    <w:semiHidden/>
    <w:qFormat/>
    <w:uiPriority w:val="99"/>
  </w:style>
  <w:style w:type="character" w:customStyle="1" w:styleId="42">
    <w:name w:val="纯文本 Char"/>
    <w:link w:val="14"/>
    <w:qFormat/>
    <w:uiPriority w:val="0"/>
    <w:rPr>
      <w:rFonts w:ascii="宋体" w:hAnsi="Courier New" w:cs="Courier New"/>
      <w:szCs w:val="21"/>
    </w:rPr>
  </w:style>
  <w:style w:type="character" w:customStyle="1" w:styleId="43">
    <w:name w:val="纯文本 Char1"/>
    <w:basedOn w:val="25"/>
    <w:semiHidden/>
    <w:qFormat/>
    <w:uiPriority w:val="99"/>
    <w:rPr>
      <w:rFonts w:ascii="宋体" w:hAnsi="Courier New" w:eastAsia="宋体" w:cs="Courier New"/>
      <w:szCs w:val="21"/>
    </w:rPr>
  </w:style>
  <w:style w:type="character" w:customStyle="1" w:styleId="44">
    <w:name w:val="引用 Char"/>
    <w:basedOn w:val="25"/>
    <w:link w:val="20"/>
    <w:qFormat/>
    <w:uiPriority w:val="29"/>
    <w:rPr>
      <w:i/>
      <w:iCs/>
      <w:color w:val="000000" w:themeColor="text1"/>
    </w:rPr>
  </w:style>
  <w:style w:type="character" w:customStyle="1" w:styleId="45">
    <w:name w:val="正文缩进 Char"/>
    <w:link w:val="9"/>
    <w:qFormat/>
    <w:uiPriority w:val="0"/>
  </w:style>
  <w:style w:type="character" w:customStyle="1" w:styleId="46">
    <w:name w:val="批注主题 Char"/>
    <w:basedOn w:val="39"/>
    <w:link w:val="22"/>
    <w:semiHidden/>
    <w:qFormat/>
    <w:uiPriority w:val="99"/>
    <w:rPr>
      <w:b/>
      <w:bCs/>
    </w:rPr>
  </w:style>
  <w:style w:type="paragraph" w:customStyle="1" w:styleId="47">
    <w:name w:val="列出段落2"/>
    <w:basedOn w:val="1"/>
    <w:unhideWhenUsed/>
    <w:qFormat/>
    <w:uiPriority w:val="99"/>
    <w:pPr>
      <w:ind w:firstLine="420" w:firstLineChars="200"/>
    </w:pPr>
  </w:style>
  <w:style w:type="paragraph" w:customStyle="1" w:styleId="48">
    <w:name w:val="Table Paragraph"/>
    <w:basedOn w:val="1"/>
    <w:qFormat/>
    <w:uiPriority w:val="0"/>
    <w:pPr>
      <w:autoSpaceDE w:val="0"/>
      <w:autoSpaceDN w:val="0"/>
      <w:jc w:val="left"/>
    </w:pPr>
    <w:rPr>
      <w:rFonts w:ascii="仿宋" w:hAnsi="仿宋" w:eastAsia="仿宋" w:cs="宋体"/>
      <w:kern w:val="0"/>
      <w:sz w:val="22"/>
    </w:rPr>
  </w:style>
  <w:style w:type="paragraph" w:styleId="49">
    <w:name w:val="List Paragraph"/>
    <w:basedOn w:val="1"/>
    <w:unhideWhenUsed/>
    <w:qFormat/>
    <w:uiPriority w:val="99"/>
    <w:pPr>
      <w:ind w:firstLine="420" w:firstLineChars="200"/>
    </w:pPr>
  </w:style>
  <w:style w:type="paragraph" w:customStyle="1" w:styleId="50">
    <w:name w:val="段"/>
    <w:next w:val="1"/>
    <w:qFormat/>
    <w:uiPriority w:val="0"/>
    <w:pPr>
      <w:autoSpaceDE w:val="0"/>
      <w:autoSpaceDN w:val="0"/>
      <w:adjustRightInd w:val="0"/>
      <w:snapToGrid w:val="0"/>
      <w:spacing w:line="360" w:lineRule="auto"/>
      <w:ind w:firstLine="200" w:firstLineChars="200"/>
      <w:jc w:val="both"/>
    </w:pPr>
    <w:rPr>
      <w:rFonts w:ascii="宋体" w:hAnsi="Calibri" w:eastAsia="微软雅黑" w:cstheme="minorBidi"/>
      <w:sz w:val="24"/>
      <w:szCs w:val="22"/>
      <w:lang w:val="en-US" w:eastAsia="zh-CN" w:bidi="ar-SA"/>
    </w:rPr>
  </w:style>
  <w:style w:type="character" w:customStyle="1" w:styleId="51">
    <w:name w:val="标题 5 Char"/>
    <w:basedOn w:val="25"/>
    <w:link w:val="5"/>
    <w:qFormat/>
    <w:uiPriority w:val="0"/>
    <w:rPr>
      <w:b/>
      <w:kern w:val="2"/>
      <w:sz w:val="28"/>
      <w:szCs w:val="28"/>
    </w:rPr>
  </w:style>
  <w:style w:type="character" w:customStyle="1" w:styleId="52">
    <w:name w:val="last-child"/>
    <w:basedOn w:val="25"/>
    <w:qFormat/>
    <w:uiPriority w:val="0"/>
  </w:style>
  <w:style w:type="character" w:customStyle="1" w:styleId="53">
    <w:name w:val="is_active"/>
    <w:basedOn w:val="25"/>
    <w:qFormat/>
    <w:uiPriority w:val="0"/>
    <w:rPr>
      <w:color w:val="FFFFFF"/>
      <w:shd w:val="clear" w:color="auto" w:fill="F07C17"/>
    </w:rPr>
  </w:style>
  <w:style w:type="character" w:customStyle="1" w:styleId="54">
    <w:name w:val="is_active1"/>
    <w:basedOn w:val="25"/>
    <w:qFormat/>
    <w:uiPriority w:val="0"/>
    <w:rPr>
      <w:color w:val="FFFFFF"/>
      <w:shd w:val="clear" w:color="auto" w:fill="F07C17"/>
    </w:rPr>
  </w:style>
  <w:style w:type="paragraph" w:customStyle="1" w:styleId="55">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C8C2E-249C-4573-BEBD-58EF09D4A35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7986</Words>
  <Characters>45523</Characters>
  <Lines>379</Lines>
  <Paragraphs>106</Paragraphs>
  <TotalTime>55</TotalTime>
  <ScaleCrop>false</ScaleCrop>
  <LinksUpToDate>false</LinksUpToDate>
  <CharactersWithSpaces>53403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lenovo</cp:lastModifiedBy>
  <cp:lastPrinted>2021-06-17T08:00:00Z</cp:lastPrinted>
  <dcterms:modified xsi:type="dcterms:W3CDTF">2022-03-04T06:31:40Z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F52931292AFC4E9CAEA7405F7B809550</vt:lpwstr>
  </property>
</Properties>
</file>